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3.xml" ContentType="application/vnd.openxmlformats-officedocument.drawingml.chartshapes+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theme/themeOverride2.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xml" ContentType="application/vnd.openxmlformats-officedocument.themeOverride+xml"/>
  <Override PartName="/word/footer3.xml" ContentType="application/vnd.openxmlformats-officedocument.wordprocessingml.footer+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footer9.xml" ContentType="application/vnd.openxmlformats-officedocument.wordprocessingml.footer+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2755341"/>
    <w:bookmarkStart w:id="1" w:name="_Toc73537332"/>
    <w:p w14:paraId="152CA8F1" w14:textId="1A354BEA" w:rsidR="00F204C0" w:rsidRPr="007F50D8" w:rsidRDefault="00F21498" w:rsidP="00EB236B">
      <w:pPr>
        <w:pStyle w:val="Title"/>
        <w:spacing w:line="276" w:lineRule="auto"/>
        <w:rPr>
          <w:rFonts w:ascii="Tw Cen MT Condensed" w:hAnsi="Tw Cen MT Condensed"/>
          <w:color w:val="FFFFFF" w:themeColor="background1"/>
          <w:sz w:val="160"/>
        </w:rPr>
      </w:pPr>
      <w:r>
        <w:rPr>
          <w:rFonts w:ascii="Tw Cen MT Condensed" w:hAnsi="Tw Cen MT Condensed"/>
          <w:noProof/>
          <w:color w:val="FFFFFF" w:themeColor="background1"/>
          <w:sz w:val="160"/>
          <w:lang w:eastAsia="en-AU"/>
        </w:rPr>
        <mc:AlternateContent>
          <mc:Choice Requires="wps">
            <w:drawing>
              <wp:anchor distT="0" distB="0" distL="114300" distR="114300" simplePos="0" relativeHeight="251658241" behindDoc="0" locked="0" layoutInCell="1" allowOverlap="1" wp14:anchorId="5B338FD1" wp14:editId="402B7F6B">
                <wp:simplePos x="0" y="0"/>
                <wp:positionH relativeFrom="column">
                  <wp:posOffset>-350874</wp:posOffset>
                </wp:positionH>
                <wp:positionV relativeFrom="paragraph">
                  <wp:posOffset>-882502</wp:posOffset>
                </wp:positionV>
                <wp:extent cx="4253023" cy="10625455"/>
                <wp:effectExtent l="0" t="0" r="0" b="4445"/>
                <wp:wrapNone/>
                <wp:docPr id="30" name="Rectangle 30"/>
                <wp:cNvGraphicFramePr/>
                <a:graphic xmlns:a="http://schemas.openxmlformats.org/drawingml/2006/main">
                  <a:graphicData uri="http://schemas.microsoft.com/office/word/2010/wordprocessingShape">
                    <wps:wsp>
                      <wps:cNvSpPr/>
                      <wps:spPr>
                        <a:xfrm>
                          <a:off x="0" y="0"/>
                          <a:ext cx="4253023" cy="10625455"/>
                        </a:xfrm>
                        <a:prstGeom prst="rect">
                          <a:avLst/>
                        </a:prstGeom>
                        <a:solidFill>
                          <a:srgbClr val="ED7D31">
                            <a:alpha val="1882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45C98" w14:textId="6888EB4B" w:rsidR="00C33FAA" w:rsidRDefault="00C33FAA" w:rsidP="007F50D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38FD1" id="Rectangle 30" o:spid="_x0000_s1026" style="position:absolute;margin-left:-27.65pt;margin-top:-69.5pt;width:334.9pt;height:83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" fillcolor="#ed7d31" stroked="f" strokeweight="1pt">
                <v:fill opacity="12336f"/>
                <v:textbox>
                  <w:txbxContent>
                    <w:p w14:paraId="68B45C98" w14:textId="6888EB4B" w:rsidR="00C33FAA" w:rsidRDefault="00C33FAA" w:rsidP="007F50D8">
                      <w:pPr>
                        <w:jc w:val="center"/>
                      </w:pPr>
                      <w:r>
                        <w:t>v</w:t>
                      </w:r>
                    </w:p>
                  </w:txbxContent>
                </v:textbox>
              </v:rect>
            </w:pict>
          </mc:Fallback>
        </mc:AlternateContent>
      </w:r>
      <w:r w:rsidR="007F50D8">
        <w:rPr>
          <w:rFonts w:ascii="Tw Cen MT Condensed" w:hAnsi="Tw Cen MT Condensed"/>
          <w:noProof/>
          <w:color w:val="FFFFFF" w:themeColor="background1"/>
          <w:sz w:val="160"/>
          <w:lang w:eastAsia="en-AU"/>
        </w:rPr>
        <mc:AlternateContent>
          <mc:Choice Requires="wps">
            <w:drawing>
              <wp:anchor distT="0" distB="0" distL="114300" distR="114300" simplePos="0" relativeHeight="251658242" behindDoc="0" locked="0" layoutInCell="1" allowOverlap="1" wp14:anchorId="0529618C" wp14:editId="5FC403D6">
                <wp:simplePos x="0" y="0"/>
                <wp:positionH relativeFrom="column">
                  <wp:posOffset>-903251</wp:posOffset>
                </wp:positionH>
                <wp:positionV relativeFrom="paragraph">
                  <wp:posOffset>-956310</wp:posOffset>
                </wp:positionV>
                <wp:extent cx="4306186" cy="6283842"/>
                <wp:effectExtent l="0" t="0" r="0" b="3175"/>
                <wp:wrapNone/>
                <wp:docPr id="31" name="Rectangle 31"/>
                <wp:cNvGraphicFramePr/>
                <a:graphic xmlns:a="http://schemas.openxmlformats.org/drawingml/2006/main">
                  <a:graphicData uri="http://schemas.microsoft.com/office/word/2010/wordprocessingShape">
                    <wps:wsp>
                      <wps:cNvSpPr/>
                      <wps:spPr>
                        <a:xfrm>
                          <a:off x="0" y="0"/>
                          <a:ext cx="4306186" cy="6283842"/>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BF35A04" w14:textId="389C466F" w:rsidR="00C33FAA" w:rsidRDefault="00C33FAA" w:rsidP="002471CE">
                            <w:pPr>
                              <w:rPr>
                                <w:rFonts w:ascii="Tw Cen MT Condensed" w:hAnsi="Tw Cen MT Condensed"/>
                                <w:caps/>
                                <w:sz w:val="96"/>
                                <w:szCs w:val="96"/>
                              </w:rPr>
                            </w:pPr>
                            <w:r w:rsidRPr="002471CE">
                              <w:rPr>
                                <w:rFonts w:ascii="Tw Cen MT Condensed" w:hAnsi="Tw Cen MT Condensed"/>
                                <w:caps/>
                                <w:sz w:val="96"/>
                                <w:szCs w:val="96"/>
                              </w:rPr>
                              <w:t>impacts of policies on fertility rate</w:t>
                            </w:r>
                            <w:r w:rsidR="007E4ADE">
                              <w:rPr>
                                <w:rFonts w:ascii="Tw Cen MT Condensed" w:hAnsi="Tw Cen MT Condensed"/>
                                <w:caps/>
                                <w:sz w:val="96"/>
                                <w:szCs w:val="96"/>
                              </w:rPr>
                              <w:t>s</w:t>
                            </w:r>
                          </w:p>
                          <w:p w14:paraId="543370E6" w14:textId="7DCE7D8A" w:rsidR="00B618A5" w:rsidRDefault="00B618A5" w:rsidP="002471CE">
                            <w:pPr>
                              <w:rPr>
                                <w:rFonts w:ascii="Tw Cen MT Condensed" w:hAnsi="Tw Cen MT Condensed"/>
                                <w:caps/>
                                <w:szCs w:val="96"/>
                              </w:rPr>
                            </w:pPr>
                            <w:r>
                              <w:rPr>
                                <w:rFonts w:ascii="Tw Cen MT Condensed" w:hAnsi="Tw Cen MT Condensed"/>
                                <w:caps/>
                                <w:szCs w:val="96"/>
                              </w:rPr>
                              <w:t>Australian National University</w:t>
                            </w:r>
                          </w:p>
                          <w:p w14:paraId="359641FB" w14:textId="0D035729" w:rsidR="00C33FAA" w:rsidRPr="00615891" w:rsidRDefault="00C33FAA" w:rsidP="002471CE">
                            <w:pPr>
                              <w:rPr>
                                <w:rFonts w:ascii="Tw Cen MT Condensed" w:hAnsi="Tw Cen MT Condensed"/>
                                <w:caps/>
                                <w:szCs w:val="96"/>
                              </w:rPr>
                            </w:pPr>
                            <w:r>
                              <w:rPr>
                                <w:rFonts w:ascii="Tw Cen MT Condensed" w:hAnsi="Tw Cen MT Condensed"/>
                                <w:caps/>
                                <w:szCs w:val="96"/>
                              </w:rPr>
                              <w:t xml:space="preserve">Authors: </w:t>
                            </w:r>
                            <w:r>
                              <w:rPr>
                                <w:rFonts w:ascii="Tw Cen MT Condensed" w:hAnsi="Tw Cen MT Condensed"/>
                                <w:caps/>
                                <w:szCs w:val="96"/>
                              </w:rPr>
                              <w:br/>
                              <w:t>Edith Gray</w:t>
                            </w:r>
                            <w:r>
                              <w:rPr>
                                <w:rFonts w:ascii="Tw Cen MT Condensed" w:hAnsi="Tw Cen MT Condensed"/>
                                <w:caps/>
                                <w:szCs w:val="96"/>
                              </w:rPr>
                              <w:br/>
                              <w:t>Anna Reimondos</w:t>
                            </w:r>
                            <w:r>
                              <w:rPr>
                                <w:rFonts w:ascii="Tw Cen MT Condensed" w:hAnsi="Tw Cen MT Condensed"/>
                                <w:caps/>
                                <w:szCs w:val="96"/>
                              </w:rPr>
                              <w:br/>
                              <w:t>Ester Lazzari</w:t>
                            </w:r>
                            <w:r>
                              <w:rPr>
                                <w:rFonts w:ascii="Tw Cen MT Condensed" w:hAnsi="Tw Cen MT Condensed"/>
                                <w:caps/>
                                <w:szCs w:val="96"/>
                              </w:rPr>
                              <w:br/>
                              <w:t>robert Breunig</w:t>
                            </w:r>
                            <w:r>
                              <w:rPr>
                                <w:rFonts w:ascii="Tw Cen MT Condensed" w:hAnsi="Tw Cen MT Condensed"/>
                                <w:caps/>
                                <w:szCs w:val="96"/>
                              </w:rPr>
                              <w:br/>
                              <w:t>ralf steinhauser</w:t>
                            </w:r>
                            <w:r>
                              <w:rPr>
                                <w:rFonts w:ascii="Tw Cen MT Condensed" w:hAnsi="Tw Cen MT Condensed"/>
                                <w:caps/>
                                <w:szCs w:val="96"/>
                              </w:rPr>
                              <w:br/>
                              <w:t>Jacquelyn Zhang</w:t>
                            </w:r>
                            <w:r>
                              <w:rPr>
                                <w:rFonts w:ascii="Tw Cen MT Condensed" w:hAnsi="Tw Cen MT Condensed"/>
                                <w:caps/>
                                <w:szCs w:val="96"/>
                              </w:rPr>
                              <w:br/>
                              <w:t>nicholas biddle</w:t>
                            </w:r>
                            <w:r>
                              <w:rPr>
                                <w:rFonts w:ascii="Tw Cen MT Condensed" w:hAnsi="Tw Cen MT Condensed"/>
                                <w:caps/>
                                <w:szCs w:val="96"/>
                              </w:rPr>
                              <w:br/>
                              <w:t>matthew gray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9618C" id="Rectangle 31" o:spid="_x0000_s1027" style="position:absolute;margin-left:-71.1pt;margin-top:-75.3pt;width:339.05pt;height:494.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" fillcolor="#ed7d31 [3205]" stroked="f" strokeweight="1pt">
                <v:textbox>
                  <w:txbxContent>
                    <w:p w14:paraId="1BF35A04" w14:textId="389C466F" w:rsidR="00C33FAA" w:rsidRDefault="00C33FAA" w:rsidP="002471CE">
                      <w:pPr>
                        <w:rPr>
                          <w:rFonts w:ascii="Tw Cen MT Condensed" w:hAnsi="Tw Cen MT Condensed"/>
                          <w:caps/>
                          <w:sz w:val="96"/>
                          <w:szCs w:val="96"/>
                        </w:rPr>
                      </w:pPr>
                      <w:r w:rsidRPr="002471CE">
                        <w:rPr>
                          <w:rFonts w:ascii="Tw Cen MT Condensed" w:hAnsi="Tw Cen MT Condensed"/>
                          <w:caps/>
                          <w:sz w:val="96"/>
                          <w:szCs w:val="96"/>
                        </w:rPr>
                        <w:t>impacts of policies on fertility rate</w:t>
                      </w:r>
                      <w:r w:rsidR="007E4ADE">
                        <w:rPr>
                          <w:rFonts w:ascii="Tw Cen MT Condensed" w:hAnsi="Tw Cen MT Condensed"/>
                          <w:caps/>
                          <w:sz w:val="96"/>
                          <w:szCs w:val="96"/>
                        </w:rPr>
                        <w:t>s</w:t>
                      </w:r>
                    </w:p>
                    <w:p w14:paraId="543370E6" w14:textId="7DCE7D8A" w:rsidR="00B618A5" w:rsidRDefault="00B618A5" w:rsidP="002471CE">
                      <w:pPr>
                        <w:rPr>
                          <w:rFonts w:ascii="Tw Cen MT Condensed" w:hAnsi="Tw Cen MT Condensed"/>
                          <w:caps/>
                          <w:szCs w:val="96"/>
                        </w:rPr>
                      </w:pPr>
                      <w:r>
                        <w:rPr>
                          <w:rFonts w:ascii="Tw Cen MT Condensed" w:hAnsi="Tw Cen MT Condensed"/>
                          <w:caps/>
                          <w:szCs w:val="96"/>
                        </w:rPr>
                        <w:t>Australian National University</w:t>
                      </w:r>
                    </w:p>
                    <w:p w14:paraId="359641FB" w14:textId="0D035729" w:rsidR="00C33FAA" w:rsidRPr="00615891" w:rsidRDefault="00C33FAA" w:rsidP="002471CE">
                      <w:pPr>
                        <w:rPr>
                          <w:rFonts w:ascii="Tw Cen MT Condensed" w:hAnsi="Tw Cen MT Condensed"/>
                          <w:caps/>
                          <w:szCs w:val="96"/>
                        </w:rPr>
                      </w:pPr>
                      <w:r>
                        <w:rPr>
                          <w:rFonts w:ascii="Tw Cen MT Condensed" w:hAnsi="Tw Cen MT Condensed"/>
                          <w:caps/>
                          <w:szCs w:val="96"/>
                        </w:rPr>
                        <w:t xml:space="preserve">Authors: </w:t>
                      </w:r>
                      <w:r>
                        <w:rPr>
                          <w:rFonts w:ascii="Tw Cen MT Condensed" w:hAnsi="Tw Cen MT Condensed"/>
                          <w:caps/>
                          <w:szCs w:val="96"/>
                        </w:rPr>
                        <w:br/>
                        <w:t>Edith Gray</w:t>
                      </w:r>
                      <w:r>
                        <w:rPr>
                          <w:rFonts w:ascii="Tw Cen MT Condensed" w:hAnsi="Tw Cen MT Condensed"/>
                          <w:caps/>
                          <w:szCs w:val="96"/>
                        </w:rPr>
                        <w:br/>
                        <w:t>Anna Reimondos</w:t>
                      </w:r>
                      <w:r>
                        <w:rPr>
                          <w:rFonts w:ascii="Tw Cen MT Condensed" w:hAnsi="Tw Cen MT Condensed"/>
                          <w:caps/>
                          <w:szCs w:val="96"/>
                        </w:rPr>
                        <w:br/>
                        <w:t>Ester Lazzari</w:t>
                      </w:r>
                      <w:r>
                        <w:rPr>
                          <w:rFonts w:ascii="Tw Cen MT Condensed" w:hAnsi="Tw Cen MT Condensed"/>
                          <w:caps/>
                          <w:szCs w:val="96"/>
                        </w:rPr>
                        <w:br/>
                        <w:t>robert Breunig</w:t>
                      </w:r>
                      <w:r>
                        <w:rPr>
                          <w:rFonts w:ascii="Tw Cen MT Condensed" w:hAnsi="Tw Cen MT Condensed"/>
                          <w:caps/>
                          <w:szCs w:val="96"/>
                        </w:rPr>
                        <w:br/>
                        <w:t>ralf steinhauser</w:t>
                      </w:r>
                      <w:r>
                        <w:rPr>
                          <w:rFonts w:ascii="Tw Cen MT Condensed" w:hAnsi="Tw Cen MT Condensed"/>
                          <w:caps/>
                          <w:szCs w:val="96"/>
                        </w:rPr>
                        <w:br/>
                        <w:t>Jacquelyn Zhang</w:t>
                      </w:r>
                      <w:r>
                        <w:rPr>
                          <w:rFonts w:ascii="Tw Cen MT Condensed" w:hAnsi="Tw Cen MT Condensed"/>
                          <w:caps/>
                          <w:szCs w:val="96"/>
                        </w:rPr>
                        <w:br/>
                        <w:t>nicholas biddle</w:t>
                      </w:r>
                      <w:r>
                        <w:rPr>
                          <w:rFonts w:ascii="Tw Cen MT Condensed" w:hAnsi="Tw Cen MT Condensed"/>
                          <w:caps/>
                          <w:szCs w:val="96"/>
                        </w:rPr>
                        <w:br/>
                        <w:t>matthew gray</w:t>
                      </w:r>
                    </w:p>
                  </w:txbxContent>
                </v:textbox>
              </v:rect>
            </w:pict>
          </mc:Fallback>
        </mc:AlternateContent>
      </w:r>
    </w:p>
    <w:p w14:paraId="6068F33E" w14:textId="2B018423" w:rsidR="00F204C0" w:rsidRPr="007F50D8" w:rsidRDefault="00F204C0" w:rsidP="00BC5105">
      <w:pPr>
        <w:spacing w:line="276" w:lineRule="auto"/>
        <w:rPr>
          <w:rFonts w:ascii="Tw Cen MT Condensed" w:hAnsi="Tw Cen MT Condensed" w:cstheme="minorHAnsi"/>
          <w:b/>
          <w:sz w:val="28"/>
        </w:rPr>
      </w:pPr>
    </w:p>
    <w:p w14:paraId="35488D75" w14:textId="10F88FA6" w:rsidR="00F204C0" w:rsidRPr="003635BF" w:rsidRDefault="00F204C0" w:rsidP="00BC5105">
      <w:pPr>
        <w:spacing w:line="276" w:lineRule="auto"/>
        <w:rPr>
          <w:rFonts w:cstheme="minorHAnsi"/>
          <w:b/>
        </w:rPr>
      </w:pPr>
    </w:p>
    <w:p w14:paraId="3B67859D" w14:textId="176BB2BE" w:rsidR="00F204C0" w:rsidRPr="003635BF" w:rsidRDefault="007F50D8" w:rsidP="00BC5105">
      <w:pPr>
        <w:spacing w:line="276" w:lineRule="auto"/>
        <w:rPr>
          <w:rFonts w:cstheme="minorHAnsi"/>
          <w:b/>
        </w:rPr>
      </w:pPr>
      <w:r w:rsidRPr="007F50D8">
        <w:rPr>
          <w:rFonts w:eastAsiaTheme="majorEastAsia" w:cstheme="minorHAnsi"/>
          <w:noProof/>
          <w:sz w:val="40"/>
          <w:szCs w:val="32"/>
          <w:lang w:eastAsia="en-AU"/>
        </w:rPr>
        <w:drawing>
          <wp:anchor distT="0" distB="0" distL="114300" distR="114300" simplePos="0" relativeHeight="251658240" behindDoc="1" locked="0" layoutInCell="1" allowOverlap="1" wp14:anchorId="18349DBC" wp14:editId="21525B04">
            <wp:simplePos x="0" y="0"/>
            <wp:positionH relativeFrom="column">
              <wp:posOffset>-2305050</wp:posOffset>
            </wp:positionH>
            <wp:positionV relativeFrom="paragraph">
              <wp:posOffset>440690</wp:posOffset>
            </wp:positionV>
            <wp:extent cx="8963025" cy="907288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rgiu-valena-E8Huxn-RvxA-unsplash.jpg"/>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3135" b="-23630"/>
                    <a:stretch/>
                  </pic:blipFill>
                  <pic:spPr bwMode="auto">
                    <a:xfrm>
                      <a:off x="0" y="0"/>
                      <a:ext cx="8963025" cy="907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DB626" w14:textId="4E6BC4DA" w:rsidR="00F204C0" w:rsidRPr="003635BF" w:rsidRDefault="00F204C0" w:rsidP="00BC5105">
      <w:pPr>
        <w:spacing w:line="276" w:lineRule="auto"/>
        <w:rPr>
          <w:rFonts w:eastAsiaTheme="majorEastAsia" w:cstheme="minorHAnsi"/>
          <w:sz w:val="32"/>
          <w:szCs w:val="32"/>
          <w:lang w:val="en-US"/>
        </w:rPr>
      </w:pPr>
      <w:r w:rsidRPr="003635BF">
        <w:rPr>
          <w:rFonts w:cstheme="minorHAnsi"/>
        </w:rPr>
        <w:br w:type="page"/>
      </w:r>
    </w:p>
    <w:sdt>
      <w:sdtPr>
        <w:rPr>
          <w:rFonts w:asciiTheme="minorHAnsi" w:eastAsiaTheme="minorHAnsi" w:hAnsiTheme="minorHAnsi" w:cstheme="minorBidi"/>
          <w:color w:val="auto"/>
          <w:sz w:val="22"/>
          <w:szCs w:val="22"/>
          <w:lang w:val="en-AU"/>
        </w:rPr>
        <w:id w:val="-1512375764"/>
        <w:docPartObj>
          <w:docPartGallery w:val="Table of Contents"/>
          <w:docPartUnique/>
        </w:docPartObj>
      </w:sdtPr>
      <w:sdtEndPr>
        <w:rPr>
          <w:b/>
          <w:bCs/>
          <w:noProof/>
        </w:rPr>
      </w:sdtEndPr>
      <w:sdtContent>
        <w:p w14:paraId="6B4C353C" w14:textId="78B856F9" w:rsidR="00AC6A56" w:rsidRDefault="00AC6A56" w:rsidP="00AC6A56">
          <w:pPr>
            <w:pStyle w:val="TOCHeading"/>
            <w:numPr>
              <w:ilvl w:val="0"/>
              <w:numId w:val="0"/>
            </w:numPr>
            <w:ind w:left="432" w:hanging="432"/>
          </w:pPr>
          <w:r>
            <w:t>Contents</w:t>
          </w:r>
        </w:p>
        <w:p w14:paraId="13CA02A9" w14:textId="098EC146" w:rsidR="00061E65" w:rsidRDefault="00AC6A56">
          <w:pPr>
            <w:pStyle w:val="TOC1"/>
            <w:rPr>
              <w:rFonts w:eastAsiaTheme="minorEastAsia"/>
              <w:noProof/>
              <w:lang w:eastAsia="en-AU"/>
            </w:rPr>
          </w:pPr>
          <w:r>
            <w:fldChar w:fldCharType="begin"/>
          </w:r>
          <w:r>
            <w:instrText xml:space="preserve"> TOC \o "1-2" \h \z \u </w:instrText>
          </w:r>
          <w:r>
            <w:fldChar w:fldCharType="separate"/>
          </w:r>
          <w:hyperlink w:anchor="_Toc98404943" w:history="1">
            <w:r w:rsidR="00061E65" w:rsidRPr="00E9493A">
              <w:rPr>
                <w:rStyle w:val="Hyperlink"/>
                <w:noProof/>
              </w:rPr>
              <w:t>Executive summary</w:t>
            </w:r>
            <w:r w:rsidR="00061E65">
              <w:rPr>
                <w:noProof/>
                <w:webHidden/>
              </w:rPr>
              <w:tab/>
            </w:r>
            <w:r w:rsidR="00061E65">
              <w:rPr>
                <w:noProof/>
                <w:webHidden/>
              </w:rPr>
              <w:fldChar w:fldCharType="begin"/>
            </w:r>
            <w:r w:rsidR="00061E65">
              <w:rPr>
                <w:noProof/>
                <w:webHidden/>
              </w:rPr>
              <w:instrText xml:space="preserve"> PAGEREF _Toc98404943 \h </w:instrText>
            </w:r>
            <w:r w:rsidR="00061E65">
              <w:rPr>
                <w:noProof/>
                <w:webHidden/>
              </w:rPr>
            </w:r>
            <w:r w:rsidR="00061E65">
              <w:rPr>
                <w:noProof/>
                <w:webHidden/>
              </w:rPr>
              <w:fldChar w:fldCharType="separate"/>
            </w:r>
            <w:r w:rsidR="00115E22">
              <w:rPr>
                <w:noProof/>
                <w:webHidden/>
              </w:rPr>
              <w:t>4</w:t>
            </w:r>
            <w:r w:rsidR="00061E65">
              <w:rPr>
                <w:noProof/>
                <w:webHidden/>
              </w:rPr>
              <w:fldChar w:fldCharType="end"/>
            </w:r>
          </w:hyperlink>
        </w:p>
        <w:p w14:paraId="47D4C3DE" w14:textId="7CED9ED3" w:rsidR="00061E65" w:rsidRDefault="00DE280D">
          <w:pPr>
            <w:pStyle w:val="TOC1"/>
            <w:rPr>
              <w:rFonts w:eastAsiaTheme="minorEastAsia"/>
              <w:noProof/>
              <w:lang w:eastAsia="en-AU"/>
            </w:rPr>
          </w:pPr>
          <w:hyperlink w:anchor="_Toc98404944" w:history="1">
            <w:r w:rsidR="00061E65" w:rsidRPr="00E9493A">
              <w:rPr>
                <w:rStyle w:val="Hyperlink"/>
                <w:noProof/>
              </w:rPr>
              <w:t>PART 1: LITERATURE REVIEW</w:t>
            </w:r>
            <w:r w:rsidR="00061E65">
              <w:rPr>
                <w:noProof/>
                <w:webHidden/>
              </w:rPr>
              <w:tab/>
            </w:r>
            <w:r w:rsidR="00061E65">
              <w:rPr>
                <w:noProof/>
                <w:webHidden/>
              </w:rPr>
              <w:fldChar w:fldCharType="begin"/>
            </w:r>
            <w:r w:rsidR="00061E65">
              <w:rPr>
                <w:noProof/>
                <w:webHidden/>
              </w:rPr>
              <w:instrText xml:space="preserve"> PAGEREF _Toc98404944 \h </w:instrText>
            </w:r>
            <w:r w:rsidR="00061E65">
              <w:rPr>
                <w:noProof/>
                <w:webHidden/>
              </w:rPr>
            </w:r>
            <w:r w:rsidR="00061E65">
              <w:rPr>
                <w:noProof/>
                <w:webHidden/>
              </w:rPr>
              <w:fldChar w:fldCharType="separate"/>
            </w:r>
            <w:r w:rsidR="00115E22">
              <w:rPr>
                <w:noProof/>
                <w:webHidden/>
              </w:rPr>
              <w:t>9</w:t>
            </w:r>
            <w:r w:rsidR="00061E65">
              <w:rPr>
                <w:noProof/>
                <w:webHidden/>
              </w:rPr>
              <w:fldChar w:fldCharType="end"/>
            </w:r>
          </w:hyperlink>
        </w:p>
        <w:p w14:paraId="486AF783" w14:textId="0805F304" w:rsidR="00061E65" w:rsidRDefault="00DE280D">
          <w:pPr>
            <w:pStyle w:val="TOC1"/>
            <w:tabs>
              <w:tab w:val="left" w:pos="440"/>
            </w:tabs>
            <w:rPr>
              <w:rFonts w:eastAsiaTheme="minorEastAsia"/>
              <w:noProof/>
              <w:lang w:eastAsia="en-AU"/>
            </w:rPr>
          </w:pPr>
          <w:hyperlink w:anchor="_Toc98404945" w:history="1">
            <w:r w:rsidR="00061E65" w:rsidRPr="00E9493A">
              <w:rPr>
                <w:rStyle w:val="Hyperlink"/>
                <w:noProof/>
              </w:rPr>
              <w:t>1</w:t>
            </w:r>
            <w:r w:rsidR="00061E65">
              <w:rPr>
                <w:rFonts w:eastAsiaTheme="minorEastAsia"/>
                <w:noProof/>
                <w:lang w:eastAsia="en-AU"/>
              </w:rPr>
              <w:tab/>
            </w:r>
            <w:r w:rsidR="00061E65" w:rsidRPr="00E9493A">
              <w:rPr>
                <w:rStyle w:val="Hyperlink"/>
                <w:noProof/>
              </w:rPr>
              <w:t>Trends in Australian fertility</w:t>
            </w:r>
            <w:r w:rsidR="00061E65">
              <w:rPr>
                <w:noProof/>
                <w:webHidden/>
              </w:rPr>
              <w:tab/>
            </w:r>
            <w:r w:rsidR="00061E65">
              <w:rPr>
                <w:noProof/>
                <w:webHidden/>
              </w:rPr>
              <w:fldChar w:fldCharType="begin"/>
            </w:r>
            <w:r w:rsidR="00061E65">
              <w:rPr>
                <w:noProof/>
                <w:webHidden/>
              </w:rPr>
              <w:instrText xml:space="preserve"> PAGEREF _Toc98404945 \h </w:instrText>
            </w:r>
            <w:r w:rsidR="00061E65">
              <w:rPr>
                <w:noProof/>
                <w:webHidden/>
              </w:rPr>
            </w:r>
            <w:r w:rsidR="00061E65">
              <w:rPr>
                <w:noProof/>
                <w:webHidden/>
              </w:rPr>
              <w:fldChar w:fldCharType="separate"/>
            </w:r>
            <w:r w:rsidR="00115E22">
              <w:rPr>
                <w:noProof/>
                <w:webHidden/>
              </w:rPr>
              <w:t>9</w:t>
            </w:r>
            <w:r w:rsidR="00061E65">
              <w:rPr>
                <w:noProof/>
                <w:webHidden/>
              </w:rPr>
              <w:fldChar w:fldCharType="end"/>
            </w:r>
          </w:hyperlink>
        </w:p>
        <w:p w14:paraId="4AA62A97" w14:textId="6FDB74C8" w:rsidR="00061E65" w:rsidRDefault="00DE280D">
          <w:pPr>
            <w:pStyle w:val="TOC2"/>
            <w:rPr>
              <w:rFonts w:eastAsiaTheme="minorEastAsia"/>
              <w:noProof/>
              <w:lang w:eastAsia="en-AU"/>
            </w:rPr>
          </w:pPr>
          <w:hyperlink w:anchor="_Toc98404946" w:history="1">
            <w:r w:rsidR="00061E65" w:rsidRPr="00E9493A">
              <w:rPr>
                <w:rStyle w:val="Hyperlink"/>
                <w:noProof/>
              </w:rPr>
              <w:t>1.1</w:t>
            </w:r>
            <w:r w:rsidR="00061E65">
              <w:rPr>
                <w:rFonts w:eastAsiaTheme="minorEastAsia"/>
                <w:noProof/>
                <w:lang w:eastAsia="en-AU"/>
              </w:rPr>
              <w:tab/>
            </w:r>
            <w:r w:rsidR="00061E65" w:rsidRPr="00E9493A">
              <w:rPr>
                <w:rStyle w:val="Hyperlink"/>
                <w:noProof/>
              </w:rPr>
              <w:t>Fertility indicators and their interpretation</w:t>
            </w:r>
            <w:r w:rsidR="00061E65">
              <w:rPr>
                <w:noProof/>
                <w:webHidden/>
              </w:rPr>
              <w:tab/>
            </w:r>
            <w:r w:rsidR="00061E65">
              <w:rPr>
                <w:noProof/>
                <w:webHidden/>
              </w:rPr>
              <w:fldChar w:fldCharType="begin"/>
            </w:r>
            <w:r w:rsidR="00061E65">
              <w:rPr>
                <w:noProof/>
                <w:webHidden/>
              </w:rPr>
              <w:instrText xml:space="preserve"> PAGEREF _Toc98404946 \h </w:instrText>
            </w:r>
            <w:r w:rsidR="00061E65">
              <w:rPr>
                <w:noProof/>
                <w:webHidden/>
              </w:rPr>
            </w:r>
            <w:r w:rsidR="00061E65">
              <w:rPr>
                <w:noProof/>
                <w:webHidden/>
              </w:rPr>
              <w:fldChar w:fldCharType="separate"/>
            </w:r>
            <w:r w:rsidR="00115E22">
              <w:rPr>
                <w:noProof/>
                <w:webHidden/>
              </w:rPr>
              <w:t>9</w:t>
            </w:r>
            <w:r w:rsidR="00061E65">
              <w:rPr>
                <w:noProof/>
                <w:webHidden/>
              </w:rPr>
              <w:fldChar w:fldCharType="end"/>
            </w:r>
          </w:hyperlink>
        </w:p>
        <w:p w14:paraId="63BCC010" w14:textId="6D162CF7" w:rsidR="00061E65" w:rsidRDefault="00DE280D">
          <w:pPr>
            <w:pStyle w:val="TOC2"/>
            <w:rPr>
              <w:rFonts w:eastAsiaTheme="minorEastAsia"/>
              <w:noProof/>
              <w:lang w:eastAsia="en-AU"/>
            </w:rPr>
          </w:pPr>
          <w:hyperlink w:anchor="_Toc98404947" w:history="1">
            <w:r w:rsidR="00061E65" w:rsidRPr="00E9493A">
              <w:rPr>
                <w:rStyle w:val="Hyperlink"/>
                <w:rFonts w:cstheme="minorHAnsi"/>
                <w:noProof/>
              </w:rPr>
              <w:t>1.1</w:t>
            </w:r>
            <w:r w:rsidR="00061E65">
              <w:rPr>
                <w:rFonts w:eastAsiaTheme="minorEastAsia"/>
                <w:noProof/>
                <w:lang w:eastAsia="en-AU"/>
              </w:rPr>
              <w:tab/>
            </w:r>
            <w:r w:rsidR="00061E65" w:rsidRPr="00E9493A">
              <w:rPr>
                <w:rStyle w:val="Hyperlink"/>
                <w:rFonts w:cstheme="minorHAnsi"/>
                <w:noProof/>
              </w:rPr>
              <w:t>Cohort fertility</w:t>
            </w:r>
            <w:r w:rsidR="00061E65">
              <w:rPr>
                <w:noProof/>
                <w:webHidden/>
              </w:rPr>
              <w:tab/>
            </w:r>
            <w:r w:rsidR="00061E65">
              <w:rPr>
                <w:noProof/>
                <w:webHidden/>
              </w:rPr>
              <w:fldChar w:fldCharType="begin"/>
            </w:r>
            <w:r w:rsidR="00061E65">
              <w:rPr>
                <w:noProof/>
                <w:webHidden/>
              </w:rPr>
              <w:instrText xml:space="preserve"> PAGEREF _Toc98404947 \h </w:instrText>
            </w:r>
            <w:r w:rsidR="00061E65">
              <w:rPr>
                <w:noProof/>
                <w:webHidden/>
              </w:rPr>
            </w:r>
            <w:r w:rsidR="00061E65">
              <w:rPr>
                <w:noProof/>
                <w:webHidden/>
              </w:rPr>
              <w:fldChar w:fldCharType="separate"/>
            </w:r>
            <w:r w:rsidR="00115E22">
              <w:rPr>
                <w:noProof/>
                <w:webHidden/>
              </w:rPr>
              <w:t>13</w:t>
            </w:r>
            <w:r w:rsidR="00061E65">
              <w:rPr>
                <w:noProof/>
                <w:webHidden/>
              </w:rPr>
              <w:fldChar w:fldCharType="end"/>
            </w:r>
          </w:hyperlink>
        </w:p>
        <w:p w14:paraId="5B212484" w14:textId="0241BA1A" w:rsidR="00061E65" w:rsidRDefault="00DE280D">
          <w:pPr>
            <w:pStyle w:val="TOC2"/>
            <w:rPr>
              <w:rFonts w:eastAsiaTheme="minorEastAsia"/>
              <w:noProof/>
              <w:lang w:eastAsia="en-AU"/>
            </w:rPr>
          </w:pPr>
          <w:hyperlink w:anchor="_Toc98404948" w:history="1">
            <w:r w:rsidR="00061E65" w:rsidRPr="00E9493A">
              <w:rPr>
                <w:rStyle w:val="Hyperlink"/>
                <w:noProof/>
              </w:rPr>
              <w:t>1.2</w:t>
            </w:r>
            <w:r w:rsidR="00061E65">
              <w:rPr>
                <w:rFonts w:eastAsiaTheme="minorEastAsia"/>
                <w:noProof/>
                <w:lang w:eastAsia="en-AU"/>
              </w:rPr>
              <w:tab/>
            </w:r>
            <w:r w:rsidR="00061E65" w:rsidRPr="00E9493A">
              <w:rPr>
                <w:rStyle w:val="Hyperlink"/>
                <w:noProof/>
              </w:rPr>
              <w:t>Problems with TFR</w:t>
            </w:r>
            <w:r w:rsidR="00061E65">
              <w:rPr>
                <w:noProof/>
                <w:webHidden/>
              </w:rPr>
              <w:tab/>
            </w:r>
            <w:r w:rsidR="00061E65">
              <w:rPr>
                <w:noProof/>
                <w:webHidden/>
              </w:rPr>
              <w:fldChar w:fldCharType="begin"/>
            </w:r>
            <w:r w:rsidR="00061E65">
              <w:rPr>
                <w:noProof/>
                <w:webHidden/>
              </w:rPr>
              <w:instrText xml:space="preserve"> PAGEREF _Toc98404948 \h </w:instrText>
            </w:r>
            <w:r w:rsidR="00061E65">
              <w:rPr>
                <w:noProof/>
                <w:webHidden/>
              </w:rPr>
            </w:r>
            <w:r w:rsidR="00061E65">
              <w:rPr>
                <w:noProof/>
                <w:webHidden/>
              </w:rPr>
              <w:fldChar w:fldCharType="separate"/>
            </w:r>
            <w:r w:rsidR="00115E22">
              <w:rPr>
                <w:noProof/>
                <w:webHidden/>
              </w:rPr>
              <w:t>15</w:t>
            </w:r>
            <w:r w:rsidR="00061E65">
              <w:rPr>
                <w:noProof/>
                <w:webHidden/>
              </w:rPr>
              <w:fldChar w:fldCharType="end"/>
            </w:r>
          </w:hyperlink>
        </w:p>
        <w:p w14:paraId="2182BBB7" w14:textId="06783963" w:rsidR="00061E65" w:rsidRDefault="00DE280D">
          <w:pPr>
            <w:pStyle w:val="TOC2"/>
            <w:rPr>
              <w:rFonts w:eastAsiaTheme="minorEastAsia"/>
              <w:noProof/>
              <w:lang w:eastAsia="en-AU"/>
            </w:rPr>
          </w:pPr>
          <w:hyperlink w:anchor="_Toc98404949" w:history="1">
            <w:r w:rsidR="00061E65" w:rsidRPr="00E9493A">
              <w:rPr>
                <w:rStyle w:val="Hyperlink"/>
                <w:noProof/>
              </w:rPr>
              <w:t>1.3</w:t>
            </w:r>
            <w:r w:rsidR="00061E65">
              <w:rPr>
                <w:rFonts w:eastAsiaTheme="minorEastAsia"/>
                <w:noProof/>
                <w:lang w:eastAsia="en-AU"/>
              </w:rPr>
              <w:tab/>
            </w:r>
            <w:r w:rsidR="00061E65" w:rsidRPr="00E9493A">
              <w:rPr>
                <w:rStyle w:val="Hyperlink"/>
                <w:noProof/>
              </w:rPr>
              <w:t>Fertility in sub-groups</w:t>
            </w:r>
            <w:r w:rsidR="00061E65">
              <w:rPr>
                <w:noProof/>
                <w:webHidden/>
              </w:rPr>
              <w:tab/>
            </w:r>
            <w:r w:rsidR="00061E65">
              <w:rPr>
                <w:noProof/>
                <w:webHidden/>
              </w:rPr>
              <w:fldChar w:fldCharType="begin"/>
            </w:r>
            <w:r w:rsidR="00061E65">
              <w:rPr>
                <w:noProof/>
                <w:webHidden/>
              </w:rPr>
              <w:instrText xml:space="preserve"> PAGEREF _Toc98404949 \h </w:instrText>
            </w:r>
            <w:r w:rsidR="00061E65">
              <w:rPr>
                <w:noProof/>
                <w:webHidden/>
              </w:rPr>
            </w:r>
            <w:r w:rsidR="00061E65">
              <w:rPr>
                <w:noProof/>
                <w:webHidden/>
              </w:rPr>
              <w:fldChar w:fldCharType="separate"/>
            </w:r>
            <w:r w:rsidR="00115E22">
              <w:rPr>
                <w:noProof/>
                <w:webHidden/>
              </w:rPr>
              <w:t>18</w:t>
            </w:r>
            <w:r w:rsidR="00061E65">
              <w:rPr>
                <w:noProof/>
                <w:webHidden/>
              </w:rPr>
              <w:fldChar w:fldCharType="end"/>
            </w:r>
          </w:hyperlink>
        </w:p>
        <w:p w14:paraId="2F681434" w14:textId="56358360" w:rsidR="00061E65" w:rsidRDefault="00DE280D">
          <w:pPr>
            <w:pStyle w:val="TOC1"/>
            <w:tabs>
              <w:tab w:val="left" w:pos="440"/>
            </w:tabs>
            <w:rPr>
              <w:rFonts w:eastAsiaTheme="minorEastAsia"/>
              <w:noProof/>
              <w:lang w:eastAsia="en-AU"/>
            </w:rPr>
          </w:pPr>
          <w:hyperlink w:anchor="_Toc98404950" w:history="1">
            <w:r w:rsidR="00061E65" w:rsidRPr="00E9493A">
              <w:rPr>
                <w:rStyle w:val="Hyperlink"/>
                <w:noProof/>
              </w:rPr>
              <w:t>2</w:t>
            </w:r>
            <w:r w:rsidR="00061E65">
              <w:rPr>
                <w:rFonts w:eastAsiaTheme="minorEastAsia"/>
                <w:noProof/>
                <w:lang w:eastAsia="en-AU"/>
              </w:rPr>
              <w:tab/>
            </w:r>
            <w:r w:rsidR="00061E65" w:rsidRPr="00E9493A">
              <w:rPr>
                <w:rStyle w:val="Hyperlink"/>
                <w:noProof/>
              </w:rPr>
              <w:t>Theories of fertility change</w:t>
            </w:r>
            <w:r w:rsidR="00061E65">
              <w:rPr>
                <w:noProof/>
                <w:webHidden/>
              </w:rPr>
              <w:tab/>
            </w:r>
            <w:r w:rsidR="00061E65">
              <w:rPr>
                <w:noProof/>
                <w:webHidden/>
              </w:rPr>
              <w:fldChar w:fldCharType="begin"/>
            </w:r>
            <w:r w:rsidR="00061E65">
              <w:rPr>
                <w:noProof/>
                <w:webHidden/>
              </w:rPr>
              <w:instrText xml:space="preserve"> PAGEREF _Toc98404950 \h </w:instrText>
            </w:r>
            <w:r w:rsidR="00061E65">
              <w:rPr>
                <w:noProof/>
                <w:webHidden/>
              </w:rPr>
            </w:r>
            <w:r w:rsidR="00061E65">
              <w:rPr>
                <w:noProof/>
                <w:webHidden/>
              </w:rPr>
              <w:fldChar w:fldCharType="separate"/>
            </w:r>
            <w:r w:rsidR="00115E22">
              <w:rPr>
                <w:noProof/>
                <w:webHidden/>
              </w:rPr>
              <w:t>23</w:t>
            </w:r>
            <w:r w:rsidR="00061E65">
              <w:rPr>
                <w:noProof/>
                <w:webHidden/>
              </w:rPr>
              <w:fldChar w:fldCharType="end"/>
            </w:r>
          </w:hyperlink>
        </w:p>
        <w:p w14:paraId="46DBD59F" w14:textId="00414EBC" w:rsidR="00061E65" w:rsidRDefault="00DE280D">
          <w:pPr>
            <w:pStyle w:val="TOC1"/>
            <w:tabs>
              <w:tab w:val="left" w:pos="440"/>
            </w:tabs>
            <w:rPr>
              <w:rFonts w:eastAsiaTheme="minorEastAsia"/>
              <w:noProof/>
              <w:lang w:eastAsia="en-AU"/>
            </w:rPr>
          </w:pPr>
          <w:hyperlink w:anchor="_Toc98404951" w:history="1">
            <w:r w:rsidR="00061E65" w:rsidRPr="00E9493A">
              <w:rPr>
                <w:rStyle w:val="Hyperlink"/>
                <w:noProof/>
              </w:rPr>
              <w:t>3</w:t>
            </w:r>
            <w:r w:rsidR="00061E65">
              <w:rPr>
                <w:rFonts w:eastAsiaTheme="minorEastAsia"/>
                <w:noProof/>
                <w:lang w:eastAsia="en-AU"/>
              </w:rPr>
              <w:tab/>
            </w:r>
            <w:r w:rsidR="00061E65" w:rsidRPr="00E9493A">
              <w:rPr>
                <w:rStyle w:val="Hyperlink"/>
                <w:noProof/>
              </w:rPr>
              <w:t>The main driving forces of low fertility</w:t>
            </w:r>
            <w:r w:rsidR="00061E65">
              <w:rPr>
                <w:noProof/>
                <w:webHidden/>
              </w:rPr>
              <w:tab/>
            </w:r>
            <w:r w:rsidR="00061E65">
              <w:rPr>
                <w:noProof/>
                <w:webHidden/>
              </w:rPr>
              <w:fldChar w:fldCharType="begin"/>
            </w:r>
            <w:r w:rsidR="00061E65">
              <w:rPr>
                <w:noProof/>
                <w:webHidden/>
              </w:rPr>
              <w:instrText xml:space="preserve"> PAGEREF _Toc98404951 \h </w:instrText>
            </w:r>
            <w:r w:rsidR="00061E65">
              <w:rPr>
                <w:noProof/>
                <w:webHidden/>
              </w:rPr>
            </w:r>
            <w:r w:rsidR="00061E65">
              <w:rPr>
                <w:noProof/>
                <w:webHidden/>
              </w:rPr>
              <w:fldChar w:fldCharType="separate"/>
            </w:r>
            <w:r w:rsidR="00115E22">
              <w:rPr>
                <w:noProof/>
                <w:webHidden/>
              </w:rPr>
              <w:t>25</w:t>
            </w:r>
            <w:r w:rsidR="00061E65">
              <w:rPr>
                <w:noProof/>
                <w:webHidden/>
              </w:rPr>
              <w:fldChar w:fldCharType="end"/>
            </w:r>
          </w:hyperlink>
        </w:p>
        <w:p w14:paraId="7A9F2095" w14:textId="341C7B36" w:rsidR="00061E65" w:rsidRDefault="00DE280D">
          <w:pPr>
            <w:pStyle w:val="TOC2"/>
            <w:rPr>
              <w:rFonts w:eastAsiaTheme="minorEastAsia"/>
              <w:noProof/>
              <w:lang w:eastAsia="en-AU"/>
            </w:rPr>
          </w:pPr>
          <w:hyperlink w:anchor="_Toc98404952" w:history="1">
            <w:r w:rsidR="00061E65" w:rsidRPr="00E9493A">
              <w:rPr>
                <w:rStyle w:val="Hyperlink"/>
                <w:noProof/>
              </w:rPr>
              <w:t>3.1</w:t>
            </w:r>
            <w:r w:rsidR="00061E65">
              <w:rPr>
                <w:rFonts w:eastAsiaTheme="minorEastAsia"/>
                <w:noProof/>
                <w:lang w:eastAsia="en-AU"/>
              </w:rPr>
              <w:tab/>
            </w:r>
            <w:r w:rsidR="00061E65" w:rsidRPr="00E9493A">
              <w:rPr>
                <w:rStyle w:val="Hyperlink"/>
                <w:noProof/>
              </w:rPr>
              <w:t>Costs and benefits of children.</w:t>
            </w:r>
            <w:r w:rsidR="00061E65">
              <w:rPr>
                <w:noProof/>
                <w:webHidden/>
              </w:rPr>
              <w:tab/>
            </w:r>
            <w:r w:rsidR="00061E65">
              <w:rPr>
                <w:noProof/>
                <w:webHidden/>
              </w:rPr>
              <w:fldChar w:fldCharType="begin"/>
            </w:r>
            <w:r w:rsidR="00061E65">
              <w:rPr>
                <w:noProof/>
                <w:webHidden/>
              </w:rPr>
              <w:instrText xml:space="preserve"> PAGEREF _Toc98404952 \h </w:instrText>
            </w:r>
            <w:r w:rsidR="00061E65">
              <w:rPr>
                <w:noProof/>
                <w:webHidden/>
              </w:rPr>
            </w:r>
            <w:r w:rsidR="00061E65">
              <w:rPr>
                <w:noProof/>
                <w:webHidden/>
              </w:rPr>
              <w:fldChar w:fldCharType="separate"/>
            </w:r>
            <w:r w:rsidR="00115E22">
              <w:rPr>
                <w:noProof/>
                <w:webHidden/>
              </w:rPr>
              <w:t>29</w:t>
            </w:r>
            <w:r w:rsidR="00061E65">
              <w:rPr>
                <w:noProof/>
                <w:webHidden/>
              </w:rPr>
              <w:fldChar w:fldCharType="end"/>
            </w:r>
          </w:hyperlink>
        </w:p>
        <w:p w14:paraId="45B1DC94" w14:textId="4E230300" w:rsidR="00061E65" w:rsidRDefault="00DE280D">
          <w:pPr>
            <w:pStyle w:val="TOC2"/>
            <w:rPr>
              <w:rFonts w:eastAsiaTheme="minorEastAsia"/>
              <w:noProof/>
              <w:lang w:eastAsia="en-AU"/>
            </w:rPr>
          </w:pPr>
          <w:hyperlink w:anchor="_Toc98404953" w:history="1">
            <w:r w:rsidR="00061E65" w:rsidRPr="00E9493A">
              <w:rPr>
                <w:rStyle w:val="Hyperlink"/>
                <w:noProof/>
                <w:lang w:val="en-US"/>
              </w:rPr>
              <w:t>3.2</w:t>
            </w:r>
            <w:r w:rsidR="00061E65">
              <w:rPr>
                <w:rFonts w:eastAsiaTheme="minorEastAsia"/>
                <w:noProof/>
                <w:lang w:eastAsia="en-AU"/>
              </w:rPr>
              <w:tab/>
            </w:r>
            <w:r w:rsidR="00061E65" w:rsidRPr="00E9493A">
              <w:rPr>
                <w:rStyle w:val="Hyperlink"/>
                <w:noProof/>
                <w:lang w:val="en-US"/>
              </w:rPr>
              <w:t>Economic factors</w:t>
            </w:r>
            <w:r w:rsidR="00061E65">
              <w:rPr>
                <w:noProof/>
                <w:webHidden/>
              </w:rPr>
              <w:tab/>
            </w:r>
            <w:r w:rsidR="00061E65">
              <w:rPr>
                <w:noProof/>
                <w:webHidden/>
              </w:rPr>
              <w:fldChar w:fldCharType="begin"/>
            </w:r>
            <w:r w:rsidR="00061E65">
              <w:rPr>
                <w:noProof/>
                <w:webHidden/>
              </w:rPr>
              <w:instrText xml:space="preserve"> PAGEREF _Toc98404953 \h </w:instrText>
            </w:r>
            <w:r w:rsidR="00061E65">
              <w:rPr>
                <w:noProof/>
                <w:webHidden/>
              </w:rPr>
            </w:r>
            <w:r w:rsidR="00061E65">
              <w:rPr>
                <w:noProof/>
                <w:webHidden/>
              </w:rPr>
              <w:fldChar w:fldCharType="separate"/>
            </w:r>
            <w:r w:rsidR="00115E22">
              <w:rPr>
                <w:noProof/>
                <w:webHidden/>
              </w:rPr>
              <w:t>32</w:t>
            </w:r>
            <w:r w:rsidR="00061E65">
              <w:rPr>
                <w:noProof/>
                <w:webHidden/>
              </w:rPr>
              <w:fldChar w:fldCharType="end"/>
            </w:r>
          </w:hyperlink>
        </w:p>
        <w:p w14:paraId="5367FBB2" w14:textId="7E4E494A" w:rsidR="00061E65" w:rsidRDefault="00DE280D">
          <w:pPr>
            <w:pStyle w:val="TOC2"/>
            <w:rPr>
              <w:rFonts w:eastAsiaTheme="minorEastAsia"/>
              <w:noProof/>
              <w:lang w:eastAsia="en-AU"/>
            </w:rPr>
          </w:pPr>
          <w:hyperlink w:anchor="_Toc98404954" w:history="1">
            <w:r w:rsidR="00061E65" w:rsidRPr="00E9493A">
              <w:rPr>
                <w:rStyle w:val="Hyperlink"/>
                <w:noProof/>
              </w:rPr>
              <w:t>3.3</w:t>
            </w:r>
            <w:r w:rsidR="00061E65">
              <w:rPr>
                <w:rFonts w:eastAsiaTheme="minorEastAsia"/>
                <w:noProof/>
                <w:lang w:eastAsia="en-AU"/>
              </w:rPr>
              <w:tab/>
            </w:r>
            <w:r w:rsidR="00061E65" w:rsidRPr="00E9493A">
              <w:rPr>
                <w:rStyle w:val="Hyperlink"/>
                <w:noProof/>
              </w:rPr>
              <w:t>Social norms and lifestyles</w:t>
            </w:r>
            <w:r w:rsidR="00061E65">
              <w:rPr>
                <w:noProof/>
                <w:webHidden/>
              </w:rPr>
              <w:tab/>
            </w:r>
            <w:r w:rsidR="00061E65">
              <w:rPr>
                <w:noProof/>
                <w:webHidden/>
              </w:rPr>
              <w:fldChar w:fldCharType="begin"/>
            </w:r>
            <w:r w:rsidR="00061E65">
              <w:rPr>
                <w:noProof/>
                <w:webHidden/>
              </w:rPr>
              <w:instrText xml:space="preserve"> PAGEREF _Toc98404954 \h </w:instrText>
            </w:r>
            <w:r w:rsidR="00061E65">
              <w:rPr>
                <w:noProof/>
                <w:webHidden/>
              </w:rPr>
            </w:r>
            <w:r w:rsidR="00061E65">
              <w:rPr>
                <w:noProof/>
                <w:webHidden/>
              </w:rPr>
              <w:fldChar w:fldCharType="separate"/>
            </w:r>
            <w:r w:rsidR="00115E22">
              <w:rPr>
                <w:noProof/>
                <w:webHidden/>
              </w:rPr>
              <w:t>35</w:t>
            </w:r>
            <w:r w:rsidR="00061E65">
              <w:rPr>
                <w:noProof/>
                <w:webHidden/>
              </w:rPr>
              <w:fldChar w:fldCharType="end"/>
            </w:r>
          </w:hyperlink>
        </w:p>
        <w:p w14:paraId="572FC503" w14:textId="1026E47D" w:rsidR="00061E65" w:rsidRDefault="00DE280D">
          <w:pPr>
            <w:pStyle w:val="TOC2"/>
            <w:rPr>
              <w:rFonts w:eastAsiaTheme="minorEastAsia"/>
              <w:noProof/>
              <w:lang w:eastAsia="en-AU"/>
            </w:rPr>
          </w:pPr>
          <w:hyperlink w:anchor="_Toc98404955" w:history="1">
            <w:r w:rsidR="00061E65" w:rsidRPr="00E9493A">
              <w:rPr>
                <w:rStyle w:val="Hyperlink"/>
                <w:noProof/>
              </w:rPr>
              <w:t>3.4</w:t>
            </w:r>
            <w:r w:rsidR="00061E65">
              <w:rPr>
                <w:rFonts w:eastAsiaTheme="minorEastAsia"/>
                <w:noProof/>
                <w:lang w:eastAsia="en-AU"/>
              </w:rPr>
              <w:tab/>
            </w:r>
            <w:r w:rsidR="00061E65" w:rsidRPr="00E9493A">
              <w:rPr>
                <w:rStyle w:val="Hyperlink"/>
                <w:noProof/>
              </w:rPr>
              <w:t>Policies</w:t>
            </w:r>
            <w:r w:rsidR="00061E65">
              <w:rPr>
                <w:noProof/>
                <w:webHidden/>
              </w:rPr>
              <w:tab/>
            </w:r>
            <w:r w:rsidR="00061E65">
              <w:rPr>
                <w:noProof/>
                <w:webHidden/>
              </w:rPr>
              <w:fldChar w:fldCharType="begin"/>
            </w:r>
            <w:r w:rsidR="00061E65">
              <w:rPr>
                <w:noProof/>
                <w:webHidden/>
              </w:rPr>
              <w:instrText xml:space="preserve"> PAGEREF _Toc98404955 \h </w:instrText>
            </w:r>
            <w:r w:rsidR="00061E65">
              <w:rPr>
                <w:noProof/>
                <w:webHidden/>
              </w:rPr>
            </w:r>
            <w:r w:rsidR="00061E65">
              <w:rPr>
                <w:noProof/>
                <w:webHidden/>
              </w:rPr>
              <w:fldChar w:fldCharType="separate"/>
            </w:r>
            <w:r w:rsidR="00115E22">
              <w:rPr>
                <w:noProof/>
                <w:webHidden/>
              </w:rPr>
              <w:t>37</w:t>
            </w:r>
            <w:r w:rsidR="00061E65">
              <w:rPr>
                <w:noProof/>
                <w:webHidden/>
              </w:rPr>
              <w:fldChar w:fldCharType="end"/>
            </w:r>
          </w:hyperlink>
        </w:p>
        <w:p w14:paraId="5EA5ECC3" w14:textId="6F8C2716" w:rsidR="00061E65" w:rsidRDefault="00DE280D">
          <w:pPr>
            <w:pStyle w:val="TOC1"/>
            <w:tabs>
              <w:tab w:val="left" w:pos="440"/>
            </w:tabs>
            <w:rPr>
              <w:rFonts w:eastAsiaTheme="minorEastAsia"/>
              <w:noProof/>
              <w:lang w:eastAsia="en-AU"/>
            </w:rPr>
          </w:pPr>
          <w:hyperlink w:anchor="_Toc98404956" w:history="1">
            <w:r w:rsidR="00061E65" w:rsidRPr="00E9493A">
              <w:rPr>
                <w:rStyle w:val="Hyperlink"/>
                <w:noProof/>
              </w:rPr>
              <w:t>4</w:t>
            </w:r>
            <w:r w:rsidR="00061E65">
              <w:rPr>
                <w:rFonts w:eastAsiaTheme="minorEastAsia"/>
                <w:noProof/>
                <w:lang w:eastAsia="en-AU"/>
              </w:rPr>
              <w:tab/>
            </w:r>
            <w:r w:rsidR="00061E65" w:rsidRPr="00E9493A">
              <w:rPr>
                <w:rStyle w:val="Hyperlink"/>
                <w:noProof/>
              </w:rPr>
              <w:t>Welfare contexts</w:t>
            </w:r>
            <w:r w:rsidR="00061E65">
              <w:rPr>
                <w:noProof/>
                <w:webHidden/>
              </w:rPr>
              <w:tab/>
            </w:r>
            <w:r w:rsidR="00061E65">
              <w:rPr>
                <w:noProof/>
                <w:webHidden/>
              </w:rPr>
              <w:fldChar w:fldCharType="begin"/>
            </w:r>
            <w:r w:rsidR="00061E65">
              <w:rPr>
                <w:noProof/>
                <w:webHidden/>
              </w:rPr>
              <w:instrText xml:space="preserve"> PAGEREF _Toc98404956 \h </w:instrText>
            </w:r>
            <w:r w:rsidR="00061E65">
              <w:rPr>
                <w:noProof/>
                <w:webHidden/>
              </w:rPr>
            </w:r>
            <w:r w:rsidR="00061E65">
              <w:rPr>
                <w:noProof/>
                <w:webHidden/>
              </w:rPr>
              <w:fldChar w:fldCharType="separate"/>
            </w:r>
            <w:r w:rsidR="00115E22">
              <w:rPr>
                <w:noProof/>
                <w:webHidden/>
              </w:rPr>
              <w:t>40</w:t>
            </w:r>
            <w:r w:rsidR="00061E65">
              <w:rPr>
                <w:noProof/>
                <w:webHidden/>
              </w:rPr>
              <w:fldChar w:fldCharType="end"/>
            </w:r>
          </w:hyperlink>
        </w:p>
        <w:p w14:paraId="1E78EB87" w14:textId="5FD91D79" w:rsidR="00061E65" w:rsidRDefault="00DE280D">
          <w:pPr>
            <w:pStyle w:val="TOC1"/>
            <w:tabs>
              <w:tab w:val="left" w:pos="440"/>
            </w:tabs>
            <w:rPr>
              <w:rFonts w:eastAsiaTheme="minorEastAsia"/>
              <w:noProof/>
              <w:lang w:eastAsia="en-AU"/>
            </w:rPr>
          </w:pPr>
          <w:hyperlink w:anchor="_Toc98404957" w:history="1">
            <w:r w:rsidR="00061E65" w:rsidRPr="00E9493A">
              <w:rPr>
                <w:rStyle w:val="Hyperlink"/>
                <w:noProof/>
              </w:rPr>
              <w:t>5</w:t>
            </w:r>
            <w:r w:rsidR="00061E65">
              <w:rPr>
                <w:rFonts w:eastAsiaTheme="minorEastAsia"/>
                <w:noProof/>
                <w:lang w:eastAsia="en-AU"/>
              </w:rPr>
              <w:tab/>
            </w:r>
            <w:r w:rsidR="00061E65" w:rsidRPr="00E9493A">
              <w:rPr>
                <w:rStyle w:val="Hyperlink"/>
                <w:noProof/>
              </w:rPr>
              <w:t>Measuring the effect of policies</w:t>
            </w:r>
            <w:r w:rsidR="00061E65">
              <w:rPr>
                <w:noProof/>
                <w:webHidden/>
              </w:rPr>
              <w:tab/>
            </w:r>
            <w:r w:rsidR="00061E65">
              <w:rPr>
                <w:noProof/>
                <w:webHidden/>
              </w:rPr>
              <w:fldChar w:fldCharType="begin"/>
            </w:r>
            <w:r w:rsidR="00061E65">
              <w:rPr>
                <w:noProof/>
                <w:webHidden/>
              </w:rPr>
              <w:instrText xml:space="preserve"> PAGEREF _Toc98404957 \h </w:instrText>
            </w:r>
            <w:r w:rsidR="00061E65">
              <w:rPr>
                <w:noProof/>
                <w:webHidden/>
              </w:rPr>
            </w:r>
            <w:r w:rsidR="00061E65">
              <w:rPr>
                <w:noProof/>
                <w:webHidden/>
              </w:rPr>
              <w:fldChar w:fldCharType="separate"/>
            </w:r>
            <w:r w:rsidR="00115E22">
              <w:rPr>
                <w:noProof/>
                <w:webHidden/>
              </w:rPr>
              <w:t>44</w:t>
            </w:r>
            <w:r w:rsidR="00061E65">
              <w:rPr>
                <w:noProof/>
                <w:webHidden/>
              </w:rPr>
              <w:fldChar w:fldCharType="end"/>
            </w:r>
          </w:hyperlink>
        </w:p>
        <w:p w14:paraId="1FF06918" w14:textId="6675A11E" w:rsidR="00061E65" w:rsidRDefault="00DE280D">
          <w:pPr>
            <w:pStyle w:val="TOC1"/>
            <w:tabs>
              <w:tab w:val="left" w:pos="440"/>
            </w:tabs>
            <w:rPr>
              <w:rFonts w:eastAsiaTheme="minorEastAsia"/>
              <w:noProof/>
              <w:lang w:eastAsia="en-AU"/>
            </w:rPr>
          </w:pPr>
          <w:hyperlink w:anchor="_Toc98404958" w:history="1">
            <w:r w:rsidR="00061E65" w:rsidRPr="00E9493A">
              <w:rPr>
                <w:rStyle w:val="Hyperlink"/>
                <w:noProof/>
              </w:rPr>
              <w:t>6</w:t>
            </w:r>
            <w:r w:rsidR="00061E65">
              <w:rPr>
                <w:rFonts w:eastAsiaTheme="minorEastAsia"/>
                <w:noProof/>
                <w:lang w:eastAsia="en-AU"/>
              </w:rPr>
              <w:tab/>
            </w:r>
            <w:r w:rsidR="00061E65" w:rsidRPr="00E9493A">
              <w:rPr>
                <w:rStyle w:val="Hyperlink"/>
                <w:noProof/>
              </w:rPr>
              <w:t>Financial transfers</w:t>
            </w:r>
            <w:r w:rsidR="00061E65">
              <w:rPr>
                <w:noProof/>
                <w:webHidden/>
              </w:rPr>
              <w:tab/>
            </w:r>
            <w:r w:rsidR="00061E65">
              <w:rPr>
                <w:noProof/>
                <w:webHidden/>
              </w:rPr>
              <w:fldChar w:fldCharType="begin"/>
            </w:r>
            <w:r w:rsidR="00061E65">
              <w:rPr>
                <w:noProof/>
                <w:webHidden/>
              </w:rPr>
              <w:instrText xml:space="preserve"> PAGEREF _Toc98404958 \h </w:instrText>
            </w:r>
            <w:r w:rsidR="00061E65">
              <w:rPr>
                <w:noProof/>
                <w:webHidden/>
              </w:rPr>
            </w:r>
            <w:r w:rsidR="00061E65">
              <w:rPr>
                <w:noProof/>
                <w:webHidden/>
              </w:rPr>
              <w:fldChar w:fldCharType="separate"/>
            </w:r>
            <w:r w:rsidR="00115E22">
              <w:rPr>
                <w:noProof/>
                <w:webHidden/>
              </w:rPr>
              <w:t>47</w:t>
            </w:r>
            <w:r w:rsidR="00061E65">
              <w:rPr>
                <w:noProof/>
                <w:webHidden/>
              </w:rPr>
              <w:fldChar w:fldCharType="end"/>
            </w:r>
          </w:hyperlink>
        </w:p>
        <w:p w14:paraId="64FC8965" w14:textId="7A78A96F" w:rsidR="00061E65" w:rsidRDefault="00DE280D">
          <w:pPr>
            <w:pStyle w:val="TOC2"/>
            <w:rPr>
              <w:rFonts w:eastAsiaTheme="minorEastAsia"/>
              <w:noProof/>
              <w:lang w:eastAsia="en-AU"/>
            </w:rPr>
          </w:pPr>
          <w:hyperlink w:anchor="_Toc98404959" w:history="1">
            <w:r w:rsidR="00061E65" w:rsidRPr="00E9493A">
              <w:rPr>
                <w:rStyle w:val="Hyperlink"/>
                <w:noProof/>
              </w:rPr>
              <w:t>6.1</w:t>
            </w:r>
            <w:r w:rsidR="00061E65">
              <w:rPr>
                <w:rFonts w:eastAsiaTheme="minorEastAsia"/>
                <w:noProof/>
                <w:lang w:eastAsia="en-AU"/>
              </w:rPr>
              <w:tab/>
            </w:r>
            <w:r w:rsidR="00061E65" w:rsidRPr="00E9493A">
              <w:rPr>
                <w:rStyle w:val="Hyperlink"/>
                <w:noProof/>
              </w:rPr>
              <w:t>Theoretical link between financial transfers and fertility</w:t>
            </w:r>
            <w:r w:rsidR="00061E65">
              <w:rPr>
                <w:noProof/>
                <w:webHidden/>
              </w:rPr>
              <w:tab/>
            </w:r>
            <w:r w:rsidR="00061E65">
              <w:rPr>
                <w:noProof/>
                <w:webHidden/>
              </w:rPr>
              <w:fldChar w:fldCharType="begin"/>
            </w:r>
            <w:r w:rsidR="00061E65">
              <w:rPr>
                <w:noProof/>
                <w:webHidden/>
              </w:rPr>
              <w:instrText xml:space="preserve"> PAGEREF _Toc98404959 \h </w:instrText>
            </w:r>
            <w:r w:rsidR="00061E65">
              <w:rPr>
                <w:noProof/>
                <w:webHidden/>
              </w:rPr>
            </w:r>
            <w:r w:rsidR="00061E65">
              <w:rPr>
                <w:noProof/>
                <w:webHidden/>
              </w:rPr>
              <w:fldChar w:fldCharType="separate"/>
            </w:r>
            <w:r w:rsidR="00115E22">
              <w:rPr>
                <w:noProof/>
                <w:webHidden/>
              </w:rPr>
              <w:t>47</w:t>
            </w:r>
            <w:r w:rsidR="00061E65">
              <w:rPr>
                <w:noProof/>
                <w:webHidden/>
              </w:rPr>
              <w:fldChar w:fldCharType="end"/>
            </w:r>
          </w:hyperlink>
        </w:p>
        <w:p w14:paraId="472FD310" w14:textId="4967233B" w:rsidR="00061E65" w:rsidRDefault="00DE280D">
          <w:pPr>
            <w:pStyle w:val="TOC2"/>
            <w:rPr>
              <w:rFonts w:eastAsiaTheme="minorEastAsia"/>
              <w:noProof/>
              <w:lang w:eastAsia="en-AU"/>
            </w:rPr>
          </w:pPr>
          <w:hyperlink w:anchor="_Toc98404960" w:history="1">
            <w:r w:rsidR="00061E65" w:rsidRPr="00E9493A">
              <w:rPr>
                <w:rStyle w:val="Hyperlink"/>
                <w:noProof/>
              </w:rPr>
              <w:t>6.2</w:t>
            </w:r>
            <w:r w:rsidR="00061E65">
              <w:rPr>
                <w:rFonts w:eastAsiaTheme="minorEastAsia"/>
                <w:noProof/>
                <w:lang w:eastAsia="en-AU"/>
              </w:rPr>
              <w:tab/>
            </w:r>
            <w:r w:rsidR="00061E65" w:rsidRPr="00E9493A">
              <w:rPr>
                <w:rStyle w:val="Hyperlink"/>
                <w:noProof/>
              </w:rPr>
              <w:t>Financial transfers across OECD countries</w:t>
            </w:r>
            <w:r w:rsidR="00061E65">
              <w:rPr>
                <w:noProof/>
                <w:webHidden/>
              </w:rPr>
              <w:tab/>
            </w:r>
            <w:r w:rsidR="00061E65">
              <w:rPr>
                <w:noProof/>
                <w:webHidden/>
              </w:rPr>
              <w:fldChar w:fldCharType="begin"/>
            </w:r>
            <w:r w:rsidR="00061E65">
              <w:rPr>
                <w:noProof/>
                <w:webHidden/>
              </w:rPr>
              <w:instrText xml:space="preserve"> PAGEREF _Toc98404960 \h </w:instrText>
            </w:r>
            <w:r w:rsidR="00061E65">
              <w:rPr>
                <w:noProof/>
                <w:webHidden/>
              </w:rPr>
            </w:r>
            <w:r w:rsidR="00061E65">
              <w:rPr>
                <w:noProof/>
                <w:webHidden/>
              </w:rPr>
              <w:fldChar w:fldCharType="separate"/>
            </w:r>
            <w:r w:rsidR="00115E22">
              <w:rPr>
                <w:noProof/>
                <w:webHidden/>
              </w:rPr>
              <w:t>47</w:t>
            </w:r>
            <w:r w:rsidR="00061E65">
              <w:rPr>
                <w:noProof/>
                <w:webHidden/>
              </w:rPr>
              <w:fldChar w:fldCharType="end"/>
            </w:r>
          </w:hyperlink>
        </w:p>
        <w:p w14:paraId="10C0F1D2" w14:textId="3586DE28" w:rsidR="00061E65" w:rsidRDefault="00DE280D">
          <w:pPr>
            <w:pStyle w:val="TOC2"/>
            <w:rPr>
              <w:rFonts w:eastAsiaTheme="minorEastAsia"/>
              <w:noProof/>
              <w:lang w:eastAsia="en-AU"/>
            </w:rPr>
          </w:pPr>
          <w:hyperlink w:anchor="_Toc98404961" w:history="1">
            <w:r w:rsidR="00061E65" w:rsidRPr="00E9493A">
              <w:rPr>
                <w:rStyle w:val="Hyperlink"/>
                <w:noProof/>
              </w:rPr>
              <w:t>6.3</w:t>
            </w:r>
            <w:r w:rsidR="00061E65">
              <w:rPr>
                <w:rFonts w:eastAsiaTheme="minorEastAsia"/>
                <w:noProof/>
                <w:lang w:eastAsia="en-AU"/>
              </w:rPr>
              <w:tab/>
            </w:r>
            <w:r w:rsidR="00061E65" w:rsidRPr="00E9493A">
              <w:rPr>
                <w:rStyle w:val="Hyperlink"/>
                <w:noProof/>
              </w:rPr>
              <w:t>Financial transfers in Australia</w:t>
            </w:r>
            <w:r w:rsidR="00061E65">
              <w:rPr>
                <w:noProof/>
                <w:webHidden/>
              </w:rPr>
              <w:tab/>
            </w:r>
            <w:r w:rsidR="00061E65">
              <w:rPr>
                <w:noProof/>
                <w:webHidden/>
              </w:rPr>
              <w:fldChar w:fldCharType="begin"/>
            </w:r>
            <w:r w:rsidR="00061E65">
              <w:rPr>
                <w:noProof/>
                <w:webHidden/>
              </w:rPr>
              <w:instrText xml:space="preserve"> PAGEREF _Toc98404961 \h </w:instrText>
            </w:r>
            <w:r w:rsidR="00061E65">
              <w:rPr>
                <w:noProof/>
                <w:webHidden/>
              </w:rPr>
            </w:r>
            <w:r w:rsidR="00061E65">
              <w:rPr>
                <w:noProof/>
                <w:webHidden/>
              </w:rPr>
              <w:fldChar w:fldCharType="separate"/>
            </w:r>
            <w:r w:rsidR="00115E22">
              <w:rPr>
                <w:noProof/>
                <w:webHidden/>
              </w:rPr>
              <w:t>50</w:t>
            </w:r>
            <w:r w:rsidR="00061E65">
              <w:rPr>
                <w:noProof/>
                <w:webHidden/>
              </w:rPr>
              <w:fldChar w:fldCharType="end"/>
            </w:r>
          </w:hyperlink>
        </w:p>
        <w:p w14:paraId="5509B312" w14:textId="302003CF" w:rsidR="00061E65" w:rsidRDefault="00DE280D">
          <w:pPr>
            <w:pStyle w:val="TOC2"/>
            <w:rPr>
              <w:rFonts w:eastAsiaTheme="minorEastAsia"/>
              <w:noProof/>
              <w:lang w:eastAsia="en-AU"/>
            </w:rPr>
          </w:pPr>
          <w:hyperlink w:anchor="_Toc98404962" w:history="1">
            <w:r w:rsidR="00061E65" w:rsidRPr="00E9493A">
              <w:rPr>
                <w:rStyle w:val="Hyperlink"/>
                <w:noProof/>
              </w:rPr>
              <w:t>6.4</w:t>
            </w:r>
            <w:r w:rsidR="00061E65">
              <w:rPr>
                <w:rFonts w:eastAsiaTheme="minorEastAsia"/>
                <w:noProof/>
                <w:lang w:eastAsia="en-AU"/>
              </w:rPr>
              <w:tab/>
            </w:r>
            <w:r w:rsidR="00061E65" w:rsidRPr="00E9493A">
              <w:rPr>
                <w:rStyle w:val="Hyperlink"/>
                <w:noProof/>
              </w:rPr>
              <w:t>Do financial transfers affect fertility?</w:t>
            </w:r>
            <w:r w:rsidR="00061E65">
              <w:rPr>
                <w:noProof/>
                <w:webHidden/>
              </w:rPr>
              <w:tab/>
            </w:r>
            <w:r w:rsidR="00061E65">
              <w:rPr>
                <w:noProof/>
                <w:webHidden/>
              </w:rPr>
              <w:fldChar w:fldCharType="begin"/>
            </w:r>
            <w:r w:rsidR="00061E65">
              <w:rPr>
                <w:noProof/>
                <w:webHidden/>
              </w:rPr>
              <w:instrText xml:space="preserve"> PAGEREF _Toc98404962 \h </w:instrText>
            </w:r>
            <w:r w:rsidR="00061E65">
              <w:rPr>
                <w:noProof/>
                <w:webHidden/>
              </w:rPr>
            </w:r>
            <w:r w:rsidR="00061E65">
              <w:rPr>
                <w:noProof/>
                <w:webHidden/>
              </w:rPr>
              <w:fldChar w:fldCharType="separate"/>
            </w:r>
            <w:r w:rsidR="00115E22">
              <w:rPr>
                <w:noProof/>
                <w:webHidden/>
              </w:rPr>
              <w:t>51</w:t>
            </w:r>
            <w:r w:rsidR="00061E65">
              <w:rPr>
                <w:noProof/>
                <w:webHidden/>
              </w:rPr>
              <w:fldChar w:fldCharType="end"/>
            </w:r>
          </w:hyperlink>
        </w:p>
        <w:p w14:paraId="702792B3" w14:textId="5CD78C1A" w:rsidR="00061E65" w:rsidRDefault="00DE280D">
          <w:pPr>
            <w:pStyle w:val="TOC2"/>
            <w:rPr>
              <w:rFonts w:eastAsiaTheme="minorEastAsia"/>
              <w:noProof/>
              <w:lang w:eastAsia="en-AU"/>
            </w:rPr>
          </w:pPr>
          <w:hyperlink w:anchor="_Toc98404963" w:history="1">
            <w:r w:rsidR="00061E65" w:rsidRPr="00E9493A">
              <w:rPr>
                <w:rStyle w:val="Hyperlink"/>
                <w:noProof/>
              </w:rPr>
              <w:t>6.5</w:t>
            </w:r>
            <w:r w:rsidR="00061E65">
              <w:rPr>
                <w:rFonts w:eastAsiaTheme="minorEastAsia"/>
                <w:noProof/>
                <w:lang w:eastAsia="en-AU"/>
              </w:rPr>
              <w:tab/>
            </w:r>
            <w:r w:rsidR="00061E65" w:rsidRPr="00E9493A">
              <w:rPr>
                <w:rStyle w:val="Hyperlink"/>
                <w:noProof/>
              </w:rPr>
              <w:t>Baby bonus or birth grants</w:t>
            </w:r>
            <w:r w:rsidR="00061E65">
              <w:rPr>
                <w:noProof/>
                <w:webHidden/>
              </w:rPr>
              <w:tab/>
            </w:r>
            <w:r w:rsidR="00061E65">
              <w:rPr>
                <w:noProof/>
                <w:webHidden/>
              </w:rPr>
              <w:fldChar w:fldCharType="begin"/>
            </w:r>
            <w:r w:rsidR="00061E65">
              <w:rPr>
                <w:noProof/>
                <w:webHidden/>
              </w:rPr>
              <w:instrText xml:space="preserve"> PAGEREF _Toc98404963 \h </w:instrText>
            </w:r>
            <w:r w:rsidR="00061E65">
              <w:rPr>
                <w:noProof/>
                <w:webHidden/>
              </w:rPr>
            </w:r>
            <w:r w:rsidR="00061E65">
              <w:rPr>
                <w:noProof/>
                <w:webHidden/>
              </w:rPr>
              <w:fldChar w:fldCharType="separate"/>
            </w:r>
            <w:r w:rsidR="00115E22">
              <w:rPr>
                <w:noProof/>
                <w:webHidden/>
              </w:rPr>
              <w:t>56</w:t>
            </w:r>
            <w:r w:rsidR="00061E65">
              <w:rPr>
                <w:noProof/>
                <w:webHidden/>
              </w:rPr>
              <w:fldChar w:fldCharType="end"/>
            </w:r>
          </w:hyperlink>
        </w:p>
        <w:p w14:paraId="3933E313" w14:textId="6A294BE9" w:rsidR="00061E65" w:rsidRDefault="00DE280D">
          <w:pPr>
            <w:pStyle w:val="TOC2"/>
            <w:rPr>
              <w:rFonts w:eastAsiaTheme="minorEastAsia"/>
              <w:noProof/>
              <w:lang w:eastAsia="en-AU"/>
            </w:rPr>
          </w:pPr>
          <w:hyperlink w:anchor="_Toc98404964" w:history="1">
            <w:r w:rsidR="00061E65" w:rsidRPr="00E9493A">
              <w:rPr>
                <w:rStyle w:val="Hyperlink"/>
                <w:noProof/>
              </w:rPr>
              <w:t>6.6</w:t>
            </w:r>
            <w:r w:rsidR="00061E65">
              <w:rPr>
                <w:rFonts w:eastAsiaTheme="minorEastAsia"/>
                <w:noProof/>
                <w:lang w:eastAsia="en-AU"/>
              </w:rPr>
              <w:tab/>
            </w:r>
            <w:r w:rsidR="00061E65" w:rsidRPr="00E9493A">
              <w:rPr>
                <w:rStyle w:val="Hyperlink"/>
                <w:noProof/>
              </w:rPr>
              <w:t>Conclusion</w:t>
            </w:r>
            <w:r w:rsidR="00061E65">
              <w:rPr>
                <w:noProof/>
                <w:webHidden/>
              </w:rPr>
              <w:tab/>
            </w:r>
            <w:r w:rsidR="00061E65">
              <w:rPr>
                <w:noProof/>
                <w:webHidden/>
              </w:rPr>
              <w:fldChar w:fldCharType="begin"/>
            </w:r>
            <w:r w:rsidR="00061E65">
              <w:rPr>
                <w:noProof/>
                <w:webHidden/>
              </w:rPr>
              <w:instrText xml:space="preserve"> PAGEREF _Toc98404964 \h </w:instrText>
            </w:r>
            <w:r w:rsidR="00061E65">
              <w:rPr>
                <w:noProof/>
                <w:webHidden/>
              </w:rPr>
            </w:r>
            <w:r w:rsidR="00061E65">
              <w:rPr>
                <w:noProof/>
                <w:webHidden/>
              </w:rPr>
              <w:fldChar w:fldCharType="separate"/>
            </w:r>
            <w:r w:rsidR="00115E22">
              <w:rPr>
                <w:noProof/>
                <w:webHidden/>
              </w:rPr>
              <w:t>60</w:t>
            </w:r>
            <w:r w:rsidR="00061E65">
              <w:rPr>
                <w:noProof/>
                <w:webHidden/>
              </w:rPr>
              <w:fldChar w:fldCharType="end"/>
            </w:r>
          </w:hyperlink>
        </w:p>
        <w:p w14:paraId="169B2819" w14:textId="0C019DC0" w:rsidR="00061E65" w:rsidRDefault="00DE280D">
          <w:pPr>
            <w:pStyle w:val="TOC1"/>
            <w:tabs>
              <w:tab w:val="left" w:pos="440"/>
            </w:tabs>
            <w:rPr>
              <w:rFonts w:eastAsiaTheme="minorEastAsia"/>
              <w:noProof/>
              <w:lang w:eastAsia="en-AU"/>
            </w:rPr>
          </w:pPr>
          <w:hyperlink w:anchor="_Toc98404965" w:history="1">
            <w:r w:rsidR="00061E65" w:rsidRPr="00E9493A">
              <w:rPr>
                <w:rStyle w:val="Hyperlink"/>
                <w:noProof/>
              </w:rPr>
              <w:t>7</w:t>
            </w:r>
            <w:r w:rsidR="00061E65">
              <w:rPr>
                <w:rFonts w:eastAsiaTheme="minorEastAsia"/>
                <w:noProof/>
                <w:lang w:eastAsia="en-AU"/>
              </w:rPr>
              <w:tab/>
            </w:r>
            <w:r w:rsidR="00061E65" w:rsidRPr="00E9493A">
              <w:rPr>
                <w:rStyle w:val="Hyperlink"/>
                <w:noProof/>
              </w:rPr>
              <w:t>Parental leave</w:t>
            </w:r>
            <w:r w:rsidR="00061E65">
              <w:rPr>
                <w:noProof/>
                <w:webHidden/>
              </w:rPr>
              <w:tab/>
            </w:r>
            <w:r w:rsidR="00061E65">
              <w:rPr>
                <w:noProof/>
                <w:webHidden/>
              </w:rPr>
              <w:fldChar w:fldCharType="begin"/>
            </w:r>
            <w:r w:rsidR="00061E65">
              <w:rPr>
                <w:noProof/>
                <w:webHidden/>
              </w:rPr>
              <w:instrText xml:space="preserve"> PAGEREF _Toc98404965 \h </w:instrText>
            </w:r>
            <w:r w:rsidR="00061E65">
              <w:rPr>
                <w:noProof/>
                <w:webHidden/>
              </w:rPr>
            </w:r>
            <w:r w:rsidR="00061E65">
              <w:rPr>
                <w:noProof/>
                <w:webHidden/>
              </w:rPr>
              <w:fldChar w:fldCharType="separate"/>
            </w:r>
            <w:r w:rsidR="00115E22">
              <w:rPr>
                <w:noProof/>
                <w:webHidden/>
              </w:rPr>
              <w:t>61</w:t>
            </w:r>
            <w:r w:rsidR="00061E65">
              <w:rPr>
                <w:noProof/>
                <w:webHidden/>
              </w:rPr>
              <w:fldChar w:fldCharType="end"/>
            </w:r>
          </w:hyperlink>
        </w:p>
        <w:p w14:paraId="595DF28A" w14:textId="69787C67" w:rsidR="00061E65" w:rsidRDefault="00DE280D">
          <w:pPr>
            <w:pStyle w:val="TOC2"/>
            <w:rPr>
              <w:rFonts w:eastAsiaTheme="minorEastAsia"/>
              <w:noProof/>
              <w:lang w:eastAsia="en-AU"/>
            </w:rPr>
          </w:pPr>
          <w:hyperlink w:anchor="_Toc98404966" w:history="1">
            <w:r w:rsidR="00061E65" w:rsidRPr="00E9493A">
              <w:rPr>
                <w:rStyle w:val="Hyperlink"/>
                <w:noProof/>
              </w:rPr>
              <w:t>7.1</w:t>
            </w:r>
            <w:r w:rsidR="00061E65">
              <w:rPr>
                <w:rFonts w:eastAsiaTheme="minorEastAsia"/>
                <w:noProof/>
                <w:lang w:eastAsia="en-AU"/>
              </w:rPr>
              <w:tab/>
            </w:r>
            <w:r w:rsidR="00061E65" w:rsidRPr="00E9493A">
              <w:rPr>
                <w:rStyle w:val="Hyperlink"/>
                <w:noProof/>
              </w:rPr>
              <w:t>Theoretical link between parental leave and fertility</w:t>
            </w:r>
            <w:r w:rsidR="00061E65">
              <w:rPr>
                <w:noProof/>
                <w:webHidden/>
              </w:rPr>
              <w:tab/>
            </w:r>
            <w:r w:rsidR="00061E65">
              <w:rPr>
                <w:noProof/>
                <w:webHidden/>
              </w:rPr>
              <w:fldChar w:fldCharType="begin"/>
            </w:r>
            <w:r w:rsidR="00061E65">
              <w:rPr>
                <w:noProof/>
                <w:webHidden/>
              </w:rPr>
              <w:instrText xml:space="preserve"> PAGEREF _Toc98404966 \h </w:instrText>
            </w:r>
            <w:r w:rsidR="00061E65">
              <w:rPr>
                <w:noProof/>
                <w:webHidden/>
              </w:rPr>
            </w:r>
            <w:r w:rsidR="00061E65">
              <w:rPr>
                <w:noProof/>
                <w:webHidden/>
              </w:rPr>
              <w:fldChar w:fldCharType="separate"/>
            </w:r>
            <w:r w:rsidR="00115E22">
              <w:rPr>
                <w:noProof/>
                <w:webHidden/>
              </w:rPr>
              <w:t>61</w:t>
            </w:r>
            <w:r w:rsidR="00061E65">
              <w:rPr>
                <w:noProof/>
                <w:webHidden/>
              </w:rPr>
              <w:fldChar w:fldCharType="end"/>
            </w:r>
          </w:hyperlink>
        </w:p>
        <w:p w14:paraId="042E7F77" w14:textId="07B7D21E" w:rsidR="00061E65" w:rsidRDefault="00DE280D">
          <w:pPr>
            <w:pStyle w:val="TOC2"/>
            <w:rPr>
              <w:rFonts w:eastAsiaTheme="minorEastAsia"/>
              <w:noProof/>
              <w:lang w:eastAsia="en-AU"/>
            </w:rPr>
          </w:pPr>
          <w:hyperlink w:anchor="_Toc98404967" w:history="1">
            <w:r w:rsidR="00061E65" w:rsidRPr="00E9493A">
              <w:rPr>
                <w:rStyle w:val="Hyperlink"/>
                <w:noProof/>
              </w:rPr>
              <w:t>7.2</w:t>
            </w:r>
            <w:r w:rsidR="00061E65">
              <w:rPr>
                <w:rFonts w:eastAsiaTheme="minorEastAsia"/>
                <w:noProof/>
                <w:lang w:eastAsia="en-AU"/>
              </w:rPr>
              <w:tab/>
            </w:r>
            <w:r w:rsidR="00061E65" w:rsidRPr="00E9493A">
              <w:rPr>
                <w:rStyle w:val="Hyperlink"/>
                <w:noProof/>
              </w:rPr>
              <w:t>Parental leave across OECD countries</w:t>
            </w:r>
            <w:r w:rsidR="00061E65">
              <w:rPr>
                <w:noProof/>
                <w:webHidden/>
              </w:rPr>
              <w:tab/>
            </w:r>
            <w:r w:rsidR="00061E65">
              <w:rPr>
                <w:noProof/>
                <w:webHidden/>
              </w:rPr>
              <w:fldChar w:fldCharType="begin"/>
            </w:r>
            <w:r w:rsidR="00061E65">
              <w:rPr>
                <w:noProof/>
                <w:webHidden/>
              </w:rPr>
              <w:instrText xml:space="preserve"> PAGEREF _Toc98404967 \h </w:instrText>
            </w:r>
            <w:r w:rsidR="00061E65">
              <w:rPr>
                <w:noProof/>
                <w:webHidden/>
              </w:rPr>
            </w:r>
            <w:r w:rsidR="00061E65">
              <w:rPr>
                <w:noProof/>
                <w:webHidden/>
              </w:rPr>
              <w:fldChar w:fldCharType="separate"/>
            </w:r>
            <w:r w:rsidR="00115E22">
              <w:rPr>
                <w:noProof/>
                <w:webHidden/>
              </w:rPr>
              <w:t>62</w:t>
            </w:r>
            <w:r w:rsidR="00061E65">
              <w:rPr>
                <w:noProof/>
                <w:webHidden/>
              </w:rPr>
              <w:fldChar w:fldCharType="end"/>
            </w:r>
          </w:hyperlink>
        </w:p>
        <w:p w14:paraId="06DC97DB" w14:textId="4C570032" w:rsidR="00061E65" w:rsidRDefault="00DE280D">
          <w:pPr>
            <w:pStyle w:val="TOC2"/>
            <w:rPr>
              <w:rFonts w:eastAsiaTheme="minorEastAsia"/>
              <w:noProof/>
              <w:lang w:eastAsia="en-AU"/>
            </w:rPr>
          </w:pPr>
          <w:hyperlink w:anchor="_Toc98404968" w:history="1">
            <w:r w:rsidR="00061E65" w:rsidRPr="00E9493A">
              <w:rPr>
                <w:rStyle w:val="Hyperlink"/>
                <w:noProof/>
              </w:rPr>
              <w:t>7.3</w:t>
            </w:r>
            <w:r w:rsidR="00061E65">
              <w:rPr>
                <w:rFonts w:eastAsiaTheme="minorEastAsia"/>
                <w:noProof/>
                <w:lang w:eastAsia="en-AU"/>
              </w:rPr>
              <w:tab/>
            </w:r>
            <w:r w:rsidR="00061E65" w:rsidRPr="00E9493A">
              <w:rPr>
                <w:rStyle w:val="Hyperlink"/>
                <w:noProof/>
              </w:rPr>
              <w:t>Parental leave in Australia</w:t>
            </w:r>
            <w:r w:rsidR="00061E65">
              <w:rPr>
                <w:noProof/>
                <w:webHidden/>
              </w:rPr>
              <w:tab/>
            </w:r>
            <w:r w:rsidR="00061E65">
              <w:rPr>
                <w:noProof/>
                <w:webHidden/>
              </w:rPr>
              <w:fldChar w:fldCharType="begin"/>
            </w:r>
            <w:r w:rsidR="00061E65">
              <w:rPr>
                <w:noProof/>
                <w:webHidden/>
              </w:rPr>
              <w:instrText xml:space="preserve"> PAGEREF _Toc98404968 \h </w:instrText>
            </w:r>
            <w:r w:rsidR="00061E65">
              <w:rPr>
                <w:noProof/>
                <w:webHidden/>
              </w:rPr>
            </w:r>
            <w:r w:rsidR="00061E65">
              <w:rPr>
                <w:noProof/>
                <w:webHidden/>
              </w:rPr>
              <w:fldChar w:fldCharType="separate"/>
            </w:r>
            <w:r w:rsidR="00115E22">
              <w:rPr>
                <w:noProof/>
                <w:webHidden/>
              </w:rPr>
              <w:t>65</w:t>
            </w:r>
            <w:r w:rsidR="00061E65">
              <w:rPr>
                <w:noProof/>
                <w:webHidden/>
              </w:rPr>
              <w:fldChar w:fldCharType="end"/>
            </w:r>
          </w:hyperlink>
        </w:p>
        <w:p w14:paraId="57BA52B2" w14:textId="0D25155D" w:rsidR="00061E65" w:rsidRDefault="00DE280D">
          <w:pPr>
            <w:pStyle w:val="TOC2"/>
            <w:rPr>
              <w:rFonts w:eastAsiaTheme="minorEastAsia"/>
              <w:noProof/>
              <w:lang w:eastAsia="en-AU"/>
            </w:rPr>
          </w:pPr>
          <w:hyperlink w:anchor="_Toc98404969" w:history="1">
            <w:r w:rsidR="00061E65" w:rsidRPr="00E9493A">
              <w:rPr>
                <w:rStyle w:val="Hyperlink"/>
                <w:noProof/>
              </w:rPr>
              <w:t>7.4</w:t>
            </w:r>
            <w:r w:rsidR="00061E65">
              <w:rPr>
                <w:rFonts w:eastAsiaTheme="minorEastAsia"/>
                <w:noProof/>
                <w:lang w:eastAsia="en-AU"/>
              </w:rPr>
              <w:tab/>
            </w:r>
            <w:r w:rsidR="00061E65" w:rsidRPr="00E9493A">
              <w:rPr>
                <w:rStyle w:val="Hyperlink"/>
                <w:noProof/>
              </w:rPr>
              <w:t>Does parental leave increase fertility?</w:t>
            </w:r>
            <w:r w:rsidR="00061E65">
              <w:rPr>
                <w:noProof/>
                <w:webHidden/>
              </w:rPr>
              <w:tab/>
            </w:r>
            <w:r w:rsidR="00061E65">
              <w:rPr>
                <w:noProof/>
                <w:webHidden/>
              </w:rPr>
              <w:fldChar w:fldCharType="begin"/>
            </w:r>
            <w:r w:rsidR="00061E65">
              <w:rPr>
                <w:noProof/>
                <w:webHidden/>
              </w:rPr>
              <w:instrText xml:space="preserve"> PAGEREF _Toc98404969 \h </w:instrText>
            </w:r>
            <w:r w:rsidR="00061E65">
              <w:rPr>
                <w:noProof/>
                <w:webHidden/>
              </w:rPr>
            </w:r>
            <w:r w:rsidR="00061E65">
              <w:rPr>
                <w:noProof/>
                <w:webHidden/>
              </w:rPr>
              <w:fldChar w:fldCharType="separate"/>
            </w:r>
            <w:r w:rsidR="00115E22">
              <w:rPr>
                <w:noProof/>
                <w:webHidden/>
              </w:rPr>
              <w:t>68</w:t>
            </w:r>
            <w:r w:rsidR="00061E65">
              <w:rPr>
                <w:noProof/>
                <w:webHidden/>
              </w:rPr>
              <w:fldChar w:fldCharType="end"/>
            </w:r>
          </w:hyperlink>
        </w:p>
        <w:p w14:paraId="220361F7" w14:textId="46A14071" w:rsidR="00061E65" w:rsidRDefault="00DE280D">
          <w:pPr>
            <w:pStyle w:val="TOC2"/>
            <w:rPr>
              <w:rFonts w:eastAsiaTheme="minorEastAsia"/>
              <w:noProof/>
              <w:lang w:eastAsia="en-AU"/>
            </w:rPr>
          </w:pPr>
          <w:hyperlink w:anchor="_Toc98404970" w:history="1">
            <w:r w:rsidR="00061E65" w:rsidRPr="00E9493A">
              <w:rPr>
                <w:rStyle w:val="Hyperlink"/>
                <w:noProof/>
              </w:rPr>
              <w:t>7.5</w:t>
            </w:r>
            <w:r w:rsidR="00061E65">
              <w:rPr>
                <w:rFonts w:eastAsiaTheme="minorEastAsia"/>
                <w:noProof/>
                <w:lang w:eastAsia="en-AU"/>
              </w:rPr>
              <w:tab/>
            </w:r>
            <w:r w:rsidR="00061E65" w:rsidRPr="00E9493A">
              <w:rPr>
                <w:rStyle w:val="Hyperlink"/>
                <w:noProof/>
              </w:rPr>
              <w:t>Conclusion</w:t>
            </w:r>
            <w:r w:rsidR="00061E65">
              <w:rPr>
                <w:noProof/>
                <w:webHidden/>
              </w:rPr>
              <w:tab/>
            </w:r>
            <w:r w:rsidR="00061E65">
              <w:rPr>
                <w:noProof/>
                <w:webHidden/>
              </w:rPr>
              <w:fldChar w:fldCharType="begin"/>
            </w:r>
            <w:r w:rsidR="00061E65">
              <w:rPr>
                <w:noProof/>
                <w:webHidden/>
              </w:rPr>
              <w:instrText xml:space="preserve"> PAGEREF _Toc98404970 \h </w:instrText>
            </w:r>
            <w:r w:rsidR="00061E65">
              <w:rPr>
                <w:noProof/>
                <w:webHidden/>
              </w:rPr>
            </w:r>
            <w:r w:rsidR="00061E65">
              <w:rPr>
                <w:noProof/>
                <w:webHidden/>
              </w:rPr>
              <w:fldChar w:fldCharType="separate"/>
            </w:r>
            <w:r w:rsidR="00115E22">
              <w:rPr>
                <w:noProof/>
                <w:webHidden/>
              </w:rPr>
              <w:t>73</w:t>
            </w:r>
            <w:r w:rsidR="00061E65">
              <w:rPr>
                <w:noProof/>
                <w:webHidden/>
              </w:rPr>
              <w:fldChar w:fldCharType="end"/>
            </w:r>
          </w:hyperlink>
        </w:p>
        <w:p w14:paraId="76D1F866" w14:textId="0224826D" w:rsidR="00061E65" w:rsidRDefault="00DE280D">
          <w:pPr>
            <w:pStyle w:val="TOC1"/>
            <w:tabs>
              <w:tab w:val="left" w:pos="440"/>
            </w:tabs>
            <w:rPr>
              <w:rFonts w:eastAsiaTheme="minorEastAsia"/>
              <w:noProof/>
              <w:lang w:eastAsia="en-AU"/>
            </w:rPr>
          </w:pPr>
          <w:hyperlink w:anchor="_Toc98404971" w:history="1">
            <w:r w:rsidR="00061E65" w:rsidRPr="00E9493A">
              <w:rPr>
                <w:rStyle w:val="Hyperlink"/>
                <w:noProof/>
              </w:rPr>
              <w:t>8</w:t>
            </w:r>
            <w:r w:rsidR="00061E65">
              <w:rPr>
                <w:rFonts w:eastAsiaTheme="minorEastAsia"/>
                <w:noProof/>
                <w:lang w:eastAsia="en-AU"/>
              </w:rPr>
              <w:tab/>
            </w:r>
            <w:r w:rsidR="00061E65" w:rsidRPr="00E9493A">
              <w:rPr>
                <w:rStyle w:val="Hyperlink"/>
                <w:noProof/>
              </w:rPr>
              <w:t>Child care</w:t>
            </w:r>
            <w:r w:rsidR="00061E65">
              <w:rPr>
                <w:noProof/>
                <w:webHidden/>
              </w:rPr>
              <w:tab/>
            </w:r>
            <w:r w:rsidR="00061E65">
              <w:rPr>
                <w:noProof/>
                <w:webHidden/>
              </w:rPr>
              <w:fldChar w:fldCharType="begin"/>
            </w:r>
            <w:r w:rsidR="00061E65">
              <w:rPr>
                <w:noProof/>
                <w:webHidden/>
              </w:rPr>
              <w:instrText xml:space="preserve"> PAGEREF _Toc98404971 \h </w:instrText>
            </w:r>
            <w:r w:rsidR="00061E65">
              <w:rPr>
                <w:noProof/>
                <w:webHidden/>
              </w:rPr>
            </w:r>
            <w:r w:rsidR="00061E65">
              <w:rPr>
                <w:noProof/>
                <w:webHidden/>
              </w:rPr>
              <w:fldChar w:fldCharType="separate"/>
            </w:r>
            <w:r w:rsidR="00115E22">
              <w:rPr>
                <w:noProof/>
                <w:webHidden/>
              </w:rPr>
              <w:t>74</w:t>
            </w:r>
            <w:r w:rsidR="00061E65">
              <w:rPr>
                <w:noProof/>
                <w:webHidden/>
              </w:rPr>
              <w:fldChar w:fldCharType="end"/>
            </w:r>
          </w:hyperlink>
        </w:p>
        <w:p w14:paraId="70335FAE" w14:textId="2542D40A" w:rsidR="00061E65" w:rsidRDefault="00DE280D">
          <w:pPr>
            <w:pStyle w:val="TOC2"/>
            <w:rPr>
              <w:rFonts w:eastAsiaTheme="minorEastAsia"/>
              <w:noProof/>
              <w:lang w:eastAsia="en-AU"/>
            </w:rPr>
          </w:pPr>
          <w:hyperlink w:anchor="_Toc98404972" w:history="1">
            <w:r w:rsidR="00061E65" w:rsidRPr="00E9493A">
              <w:rPr>
                <w:rStyle w:val="Hyperlink"/>
                <w:noProof/>
              </w:rPr>
              <w:t>8.1</w:t>
            </w:r>
            <w:r w:rsidR="00061E65">
              <w:rPr>
                <w:rFonts w:eastAsiaTheme="minorEastAsia"/>
                <w:noProof/>
                <w:lang w:eastAsia="en-AU"/>
              </w:rPr>
              <w:tab/>
            </w:r>
            <w:r w:rsidR="00061E65" w:rsidRPr="00E9493A">
              <w:rPr>
                <w:rStyle w:val="Hyperlink"/>
                <w:noProof/>
              </w:rPr>
              <w:t>Theoretical link between child care and fertility</w:t>
            </w:r>
            <w:r w:rsidR="00061E65">
              <w:rPr>
                <w:noProof/>
                <w:webHidden/>
              </w:rPr>
              <w:tab/>
            </w:r>
            <w:r w:rsidR="00061E65">
              <w:rPr>
                <w:noProof/>
                <w:webHidden/>
              </w:rPr>
              <w:fldChar w:fldCharType="begin"/>
            </w:r>
            <w:r w:rsidR="00061E65">
              <w:rPr>
                <w:noProof/>
                <w:webHidden/>
              </w:rPr>
              <w:instrText xml:space="preserve"> PAGEREF _Toc98404972 \h </w:instrText>
            </w:r>
            <w:r w:rsidR="00061E65">
              <w:rPr>
                <w:noProof/>
                <w:webHidden/>
              </w:rPr>
            </w:r>
            <w:r w:rsidR="00061E65">
              <w:rPr>
                <w:noProof/>
                <w:webHidden/>
              </w:rPr>
              <w:fldChar w:fldCharType="separate"/>
            </w:r>
            <w:r w:rsidR="00115E22">
              <w:rPr>
                <w:noProof/>
                <w:webHidden/>
              </w:rPr>
              <w:t>74</w:t>
            </w:r>
            <w:r w:rsidR="00061E65">
              <w:rPr>
                <w:noProof/>
                <w:webHidden/>
              </w:rPr>
              <w:fldChar w:fldCharType="end"/>
            </w:r>
          </w:hyperlink>
        </w:p>
        <w:p w14:paraId="7DEA9583" w14:textId="79F63FC9" w:rsidR="00061E65" w:rsidRDefault="00DE280D">
          <w:pPr>
            <w:pStyle w:val="TOC2"/>
            <w:rPr>
              <w:rFonts w:eastAsiaTheme="minorEastAsia"/>
              <w:noProof/>
              <w:lang w:eastAsia="en-AU"/>
            </w:rPr>
          </w:pPr>
          <w:hyperlink w:anchor="_Toc98404973" w:history="1">
            <w:r w:rsidR="00061E65" w:rsidRPr="00E9493A">
              <w:rPr>
                <w:rStyle w:val="Hyperlink"/>
                <w:noProof/>
              </w:rPr>
              <w:t>8.2</w:t>
            </w:r>
            <w:r w:rsidR="00061E65">
              <w:rPr>
                <w:rFonts w:eastAsiaTheme="minorEastAsia"/>
                <w:noProof/>
                <w:lang w:eastAsia="en-AU"/>
              </w:rPr>
              <w:tab/>
            </w:r>
            <w:r w:rsidR="00061E65" w:rsidRPr="00E9493A">
              <w:rPr>
                <w:rStyle w:val="Hyperlink"/>
                <w:noProof/>
              </w:rPr>
              <w:t>Child care across OECD countries</w:t>
            </w:r>
            <w:r w:rsidR="00061E65">
              <w:rPr>
                <w:noProof/>
                <w:webHidden/>
              </w:rPr>
              <w:tab/>
            </w:r>
            <w:r w:rsidR="00061E65">
              <w:rPr>
                <w:noProof/>
                <w:webHidden/>
              </w:rPr>
              <w:fldChar w:fldCharType="begin"/>
            </w:r>
            <w:r w:rsidR="00061E65">
              <w:rPr>
                <w:noProof/>
                <w:webHidden/>
              </w:rPr>
              <w:instrText xml:space="preserve"> PAGEREF _Toc98404973 \h </w:instrText>
            </w:r>
            <w:r w:rsidR="00061E65">
              <w:rPr>
                <w:noProof/>
                <w:webHidden/>
              </w:rPr>
            </w:r>
            <w:r w:rsidR="00061E65">
              <w:rPr>
                <w:noProof/>
                <w:webHidden/>
              </w:rPr>
              <w:fldChar w:fldCharType="separate"/>
            </w:r>
            <w:r w:rsidR="00115E22">
              <w:rPr>
                <w:noProof/>
                <w:webHidden/>
              </w:rPr>
              <w:t>74</w:t>
            </w:r>
            <w:r w:rsidR="00061E65">
              <w:rPr>
                <w:noProof/>
                <w:webHidden/>
              </w:rPr>
              <w:fldChar w:fldCharType="end"/>
            </w:r>
          </w:hyperlink>
        </w:p>
        <w:p w14:paraId="2B76B3CF" w14:textId="1007045F" w:rsidR="00061E65" w:rsidRDefault="00DE280D">
          <w:pPr>
            <w:pStyle w:val="TOC2"/>
            <w:rPr>
              <w:rFonts w:eastAsiaTheme="minorEastAsia"/>
              <w:noProof/>
              <w:lang w:eastAsia="en-AU"/>
            </w:rPr>
          </w:pPr>
          <w:hyperlink w:anchor="_Toc98404974" w:history="1">
            <w:r w:rsidR="00061E65" w:rsidRPr="00E9493A">
              <w:rPr>
                <w:rStyle w:val="Hyperlink"/>
                <w:noProof/>
              </w:rPr>
              <w:t>8.3</w:t>
            </w:r>
            <w:r w:rsidR="00061E65">
              <w:rPr>
                <w:rFonts w:eastAsiaTheme="minorEastAsia"/>
                <w:noProof/>
                <w:lang w:eastAsia="en-AU"/>
              </w:rPr>
              <w:tab/>
            </w:r>
            <w:r w:rsidR="00061E65" w:rsidRPr="00E9493A">
              <w:rPr>
                <w:rStyle w:val="Hyperlink"/>
                <w:noProof/>
              </w:rPr>
              <w:t>Australia’s ECEC</w:t>
            </w:r>
            <w:r w:rsidR="00061E65">
              <w:rPr>
                <w:noProof/>
                <w:webHidden/>
              </w:rPr>
              <w:tab/>
            </w:r>
            <w:r w:rsidR="00061E65">
              <w:rPr>
                <w:noProof/>
                <w:webHidden/>
              </w:rPr>
              <w:fldChar w:fldCharType="begin"/>
            </w:r>
            <w:r w:rsidR="00061E65">
              <w:rPr>
                <w:noProof/>
                <w:webHidden/>
              </w:rPr>
              <w:instrText xml:space="preserve"> PAGEREF _Toc98404974 \h </w:instrText>
            </w:r>
            <w:r w:rsidR="00061E65">
              <w:rPr>
                <w:noProof/>
                <w:webHidden/>
              </w:rPr>
            </w:r>
            <w:r w:rsidR="00061E65">
              <w:rPr>
                <w:noProof/>
                <w:webHidden/>
              </w:rPr>
              <w:fldChar w:fldCharType="separate"/>
            </w:r>
            <w:r w:rsidR="00115E22">
              <w:rPr>
                <w:noProof/>
                <w:webHidden/>
              </w:rPr>
              <w:t>81</w:t>
            </w:r>
            <w:r w:rsidR="00061E65">
              <w:rPr>
                <w:noProof/>
                <w:webHidden/>
              </w:rPr>
              <w:fldChar w:fldCharType="end"/>
            </w:r>
          </w:hyperlink>
        </w:p>
        <w:p w14:paraId="03DCD15D" w14:textId="26A3F416" w:rsidR="00061E65" w:rsidRDefault="00DE280D">
          <w:pPr>
            <w:pStyle w:val="TOC2"/>
            <w:rPr>
              <w:rFonts w:eastAsiaTheme="minorEastAsia"/>
              <w:noProof/>
              <w:lang w:eastAsia="en-AU"/>
            </w:rPr>
          </w:pPr>
          <w:hyperlink w:anchor="_Toc98404975" w:history="1">
            <w:r w:rsidR="00061E65" w:rsidRPr="00E9493A">
              <w:rPr>
                <w:rStyle w:val="Hyperlink"/>
                <w:noProof/>
              </w:rPr>
              <w:t>8.4</w:t>
            </w:r>
            <w:r w:rsidR="00061E65">
              <w:rPr>
                <w:rFonts w:eastAsiaTheme="minorEastAsia"/>
                <w:noProof/>
                <w:lang w:eastAsia="en-AU"/>
              </w:rPr>
              <w:tab/>
            </w:r>
            <w:r w:rsidR="00061E65" w:rsidRPr="00E9493A">
              <w:rPr>
                <w:rStyle w:val="Hyperlink"/>
                <w:noProof/>
              </w:rPr>
              <w:t>Does child care availability increase fertility?</w:t>
            </w:r>
            <w:r w:rsidR="00061E65">
              <w:rPr>
                <w:noProof/>
                <w:webHidden/>
              </w:rPr>
              <w:tab/>
            </w:r>
            <w:r w:rsidR="00061E65">
              <w:rPr>
                <w:noProof/>
                <w:webHidden/>
              </w:rPr>
              <w:fldChar w:fldCharType="begin"/>
            </w:r>
            <w:r w:rsidR="00061E65">
              <w:rPr>
                <w:noProof/>
                <w:webHidden/>
              </w:rPr>
              <w:instrText xml:space="preserve"> PAGEREF _Toc98404975 \h </w:instrText>
            </w:r>
            <w:r w:rsidR="00061E65">
              <w:rPr>
                <w:noProof/>
                <w:webHidden/>
              </w:rPr>
            </w:r>
            <w:r w:rsidR="00061E65">
              <w:rPr>
                <w:noProof/>
                <w:webHidden/>
              </w:rPr>
              <w:fldChar w:fldCharType="separate"/>
            </w:r>
            <w:r w:rsidR="00115E22">
              <w:rPr>
                <w:noProof/>
                <w:webHidden/>
              </w:rPr>
              <w:t>84</w:t>
            </w:r>
            <w:r w:rsidR="00061E65">
              <w:rPr>
                <w:noProof/>
                <w:webHidden/>
              </w:rPr>
              <w:fldChar w:fldCharType="end"/>
            </w:r>
          </w:hyperlink>
        </w:p>
        <w:p w14:paraId="49588300" w14:textId="1F509A73" w:rsidR="00061E65" w:rsidRDefault="00DE280D">
          <w:pPr>
            <w:pStyle w:val="TOC2"/>
            <w:rPr>
              <w:rFonts w:eastAsiaTheme="minorEastAsia"/>
              <w:noProof/>
              <w:lang w:eastAsia="en-AU"/>
            </w:rPr>
          </w:pPr>
          <w:hyperlink w:anchor="_Toc98404976" w:history="1">
            <w:r w:rsidR="00061E65" w:rsidRPr="00E9493A">
              <w:rPr>
                <w:rStyle w:val="Hyperlink"/>
                <w:noProof/>
              </w:rPr>
              <w:t>8.5</w:t>
            </w:r>
            <w:r w:rsidR="00061E65">
              <w:rPr>
                <w:rFonts w:eastAsiaTheme="minorEastAsia"/>
                <w:noProof/>
                <w:lang w:eastAsia="en-AU"/>
              </w:rPr>
              <w:tab/>
            </w:r>
            <w:r w:rsidR="00061E65" w:rsidRPr="00E9493A">
              <w:rPr>
                <w:rStyle w:val="Hyperlink"/>
                <w:noProof/>
              </w:rPr>
              <w:t>Conclusion</w:t>
            </w:r>
            <w:r w:rsidR="00061E65">
              <w:rPr>
                <w:noProof/>
                <w:webHidden/>
              </w:rPr>
              <w:tab/>
            </w:r>
            <w:r w:rsidR="00061E65">
              <w:rPr>
                <w:noProof/>
                <w:webHidden/>
              </w:rPr>
              <w:fldChar w:fldCharType="begin"/>
            </w:r>
            <w:r w:rsidR="00061E65">
              <w:rPr>
                <w:noProof/>
                <w:webHidden/>
              </w:rPr>
              <w:instrText xml:space="preserve"> PAGEREF _Toc98404976 \h </w:instrText>
            </w:r>
            <w:r w:rsidR="00061E65">
              <w:rPr>
                <w:noProof/>
                <w:webHidden/>
              </w:rPr>
            </w:r>
            <w:r w:rsidR="00061E65">
              <w:rPr>
                <w:noProof/>
                <w:webHidden/>
              </w:rPr>
              <w:fldChar w:fldCharType="separate"/>
            </w:r>
            <w:r w:rsidR="00115E22">
              <w:rPr>
                <w:noProof/>
                <w:webHidden/>
              </w:rPr>
              <w:t>88</w:t>
            </w:r>
            <w:r w:rsidR="00061E65">
              <w:rPr>
                <w:noProof/>
                <w:webHidden/>
              </w:rPr>
              <w:fldChar w:fldCharType="end"/>
            </w:r>
          </w:hyperlink>
        </w:p>
        <w:p w14:paraId="63A662E7" w14:textId="1C822FBE" w:rsidR="00061E65" w:rsidRDefault="00DE280D">
          <w:pPr>
            <w:pStyle w:val="TOC1"/>
            <w:tabs>
              <w:tab w:val="left" w:pos="440"/>
            </w:tabs>
            <w:rPr>
              <w:rFonts w:eastAsiaTheme="minorEastAsia"/>
              <w:noProof/>
              <w:lang w:eastAsia="en-AU"/>
            </w:rPr>
          </w:pPr>
          <w:hyperlink w:anchor="_Toc98404977" w:history="1">
            <w:r w:rsidR="00061E65" w:rsidRPr="00E9493A">
              <w:rPr>
                <w:rStyle w:val="Hyperlink"/>
                <w:noProof/>
              </w:rPr>
              <w:t>9</w:t>
            </w:r>
            <w:r w:rsidR="00061E65">
              <w:rPr>
                <w:rFonts w:eastAsiaTheme="minorEastAsia"/>
                <w:noProof/>
                <w:lang w:eastAsia="en-AU"/>
              </w:rPr>
              <w:tab/>
            </w:r>
            <w:r w:rsidR="00061E65" w:rsidRPr="00E9493A">
              <w:rPr>
                <w:rStyle w:val="Hyperlink"/>
                <w:noProof/>
              </w:rPr>
              <w:t>Cross-national, cross-policy studies</w:t>
            </w:r>
            <w:r w:rsidR="00061E65">
              <w:rPr>
                <w:noProof/>
                <w:webHidden/>
              </w:rPr>
              <w:tab/>
            </w:r>
            <w:r w:rsidR="00061E65">
              <w:rPr>
                <w:noProof/>
                <w:webHidden/>
              </w:rPr>
              <w:fldChar w:fldCharType="begin"/>
            </w:r>
            <w:r w:rsidR="00061E65">
              <w:rPr>
                <w:noProof/>
                <w:webHidden/>
              </w:rPr>
              <w:instrText xml:space="preserve"> PAGEREF _Toc98404977 \h </w:instrText>
            </w:r>
            <w:r w:rsidR="00061E65">
              <w:rPr>
                <w:noProof/>
                <w:webHidden/>
              </w:rPr>
            </w:r>
            <w:r w:rsidR="00061E65">
              <w:rPr>
                <w:noProof/>
                <w:webHidden/>
              </w:rPr>
              <w:fldChar w:fldCharType="separate"/>
            </w:r>
            <w:r w:rsidR="00115E22">
              <w:rPr>
                <w:noProof/>
                <w:webHidden/>
              </w:rPr>
              <w:t>89</w:t>
            </w:r>
            <w:r w:rsidR="00061E65">
              <w:rPr>
                <w:noProof/>
                <w:webHidden/>
              </w:rPr>
              <w:fldChar w:fldCharType="end"/>
            </w:r>
          </w:hyperlink>
        </w:p>
        <w:p w14:paraId="012D11D6" w14:textId="431C6ADB" w:rsidR="00061E65" w:rsidRDefault="00DE280D">
          <w:pPr>
            <w:pStyle w:val="TOC1"/>
            <w:tabs>
              <w:tab w:val="left" w:pos="660"/>
            </w:tabs>
            <w:rPr>
              <w:rFonts w:eastAsiaTheme="minorEastAsia"/>
              <w:noProof/>
              <w:lang w:eastAsia="en-AU"/>
            </w:rPr>
          </w:pPr>
          <w:hyperlink w:anchor="_Toc98404978" w:history="1">
            <w:r w:rsidR="00061E65" w:rsidRPr="00E9493A">
              <w:rPr>
                <w:rStyle w:val="Hyperlink"/>
                <w:noProof/>
              </w:rPr>
              <w:t>10</w:t>
            </w:r>
            <w:r w:rsidR="00061E65">
              <w:rPr>
                <w:rFonts w:eastAsiaTheme="minorEastAsia"/>
                <w:noProof/>
                <w:lang w:eastAsia="en-AU"/>
              </w:rPr>
              <w:tab/>
            </w:r>
            <w:r w:rsidR="00061E65" w:rsidRPr="00E9493A">
              <w:rPr>
                <w:rStyle w:val="Hyperlink"/>
                <w:noProof/>
              </w:rPr>
              <w:t>Assisted Reproductive Technology (ART)</w:t>
            </w:r>
            <w:r w:rsidR="00061E65">
              <w:rPr>
                <w:noProof/>
                <w:webHidden/>
              </w:rPr>
              <w:tab/>
            </w:r>
            <w:r w:rsidR="00061E65">
              <w:rPr>
                <w:noProof/>
                <w:webHidden/>
              </w:rPr>
              <w:fldChar w:fldCharType="begin"/>
            </w:r>
            <w:r w:rsidR="00061E65">
              <w:rPr>
                <w:noProof/>
                <w:webHidden/>
              </w:rPr>
              <w:instrText xml:space="preserve"> PAGEREF _Toc98404978 \h </w:instrText>
            </w:r>
            <w:r w:rsidR="00061E65">
              <w:rPr>
                <w:noProof/>
                <w:webHidden/>
              </w:rPr>
            </w:r>
            <w:r w:rsidR="00061E65">
              <w:rPr>
                <w:noProof/>
                <w:webHidden/>
              </w:rPr>
              <w:fldChar w:fldCharType="separate"/>
            </w:r>
            <w:r w:rsidR="00115E22">
              <w:rPr>
                <w:noProof/>
                <w:webHidden/>
              </w:rPr>
              <w:t>95</w:t>
            </w:r>
            <w:r w:rsidR="00061E65">
              <w:rPr>
                <w:noProof/>
                <w:webHidden/>
              </w:rPr>
              <w:fldChar w:fldCharType="end"/>
            </w:r>
          </w:hyperlink>
        </w:p>
        <w:p w14:paraId="3911F105" w14:textId="6B08B492" w:rsidR="00061E65" w:rsidRDefault="00DE280D">
          <w:pPr>
            <w:pStyle w:val="TOC1"/>
            <w:tabs>
              <w:tab w:val="left" w:pos="660"/>
            </w:tabs>
            <w:rPr>
              <w:rFonts w:eastAsiaTheme="minorEastAsia"/>
              <w:noProof/>
              <w:lang w:eastAsia="en-AU"/>
            </w:rPr>
          </w:pPr>
          <w:hyperlink w:anchor="_Toc98404979" w:history="1">
            <w:r w:rsidR="00061E65" w:rsidRPr="00E9493A">
              <w:rPr>
                <w:rStyle w:val="Hyperlink"/>
                <w:noProof/>
              </w:rPr>
              <w:t>11</w:t>
            </w:r>
            <w:r w:rsidR="00061E65">
              <w:rPr>
                <w:rFonts w:eastAsiaTheme="minorEastAsia"/>
                <w:noProof/>
                <w:lang w:eastAsia="en-AU"/>
              </w:rPr>
              <w:tab/>
            </w:r>
            <w:r w:rsidR="00061E65" w:rsidRPr="00E9493A">
              <w:rPr>
                <w:rStyle w:val="Hyperlink"/>
                <w:noProof/>
              </w:rPr>
              <w:t>Conclusion</w:t>
            </w:r>
            <w:r w:rsidR="00061E65">
              <w:rPr>
                <w:noProof/>
                <w:webHidden/>
              </w:rPr>
              <w:tab/>
            </w:r>
            <w:r w:rsidR="00061E65">
              <w:rPr>
                <w:noProof/>
                <w:webHidden/>
              </w:rPr>
              <w:fldChar w:fldCharType="begin"/>
            </w:r>
            <w:r w:rsidR="00061E65">
              <w:rPr>
                <w:noProof/>
                <w:webHidden/>
              </w:rPr>
              <w:instrText xml:space="preserve"> PAGEREF _Toc98404979 \h </w:instrText>
            </w:r>
            <w:r w:rsidR="00061E65">
              <w:rPr>
                <w:noProof/>
                <w:webHidden/>
              </w:rPr>
            </w:r>
            <w:r w:rsidR="00061E65">
              <w:rPr>
                <w:noProof/>
                <w:webHidden/>
              </w:rPr>
              <w:fldChar w:fldCharType="separate"/>
            </w:r>
            <w:r w:rsidR="00115E22">
              <w:rPr>
                <w:noProof/>
                <w:webHidden/>
              </w:rPr>
              <w:t>100</w:t>
            </w:r>
            <w:r w:rsidR="00061E65">
              <w:rPr>
                <w:noProof/>
                <w:webHidden/>
              </w:rPr>
              <w:fldChar w:fldCharType="end"/>
            </w:r>
          </w:hyperlink>
        </w:p>
        <w:p w14:paraId="00582217" w14:textId="56794863" w:rsidR="00061E65" w:rsidRDefault="00DE280D">
          <w:pPr>
            <w:pStyle w:val="TOC1"/>
            <w:rPr>
              <w:rFonts w:eastAsiaTheme="minorEastAsia"/>
              <w:noProof/>
              <w:lang w:eastAsia="en-AU"/>
            </w:rPr>
          </w:pPr>
          <w:hyperlink w:anchor="_Toc98404980" w:history="1">
            <w:r w:rsidR="00061E65" w:rsidRPr="00E9493A">
              <w:rPr>
                <w:rStyle w:val="Hyperlink"/>
                <w:noProof/>
              </w:rPr>
              <w:t>PART 2: HILDA ANALYSIS</w:t>
            </w:r>
            <w:r w:rsidR="00061E65">
              <w:rPr>
                <w:noProof/>
                <w:webHidden/>
              </w:rPr>
              <w:tab/>
            </w:r>
            <w:r w:rsidR="00061E65">
              <w:rPr>
                <w:noProof/>
                <w:webHidden/>
              </w:rPr>
              <w:fldChar w:fldCharType="begin"/>
            </w:r>
            <w:r w:rsidR="00061E65">
              <w:rPr>
                <w:noProof/>
                <w:webHidden/>
              </w:rPr>
              <w:instrText xml:space="preserve"> PAGEREF _Toc98404980 \h </w:instrText>
            </w:r>
            <w:r w:rsidR="00061E65">
              <w:rPr>
                <w:noProof/>
                <w:webHidden/>
              </w:rPr>
            </w:r>
            <w:r w:rsidR="00061E65">
              <w:rPr>
                <w:noProof/>
                <w:webHidden/>
              </w:rPr>
              <w:fldChar w:fldCharType="separate"/>
            </w:r>
            <w:r w:rsidR="00115E22">
              <w:rPr>
                <w:noProof/>
                <w:webHidden/>
              </w:rPr>
              <w:t>105</w:t>
            </w:r>
            <w:r w:rsidR="00061E65">
              <w:rPr>
                <w:noProof/>
                <w:webHidden/>
              </w:rPr>
              <w:fldChar w:fldCharType="end"/>
            </w:r>
          </w:hyperlink>
        </w:p>
        <w:p w14:paraId="5020800E" w14:textId="4015BD5B" w:rsidR="00061E65" w:rsidRDefault="00DE280D">
          <w:pPr>
            <w:pStyle w:val="TOC1"/>
            <w:tabs>
              <w:tab w:val="left" w:pos="660"/>
            </w:tabs>
            <w:rPr>
              <w:rFonts w:eastAsiaTheme="minorEastAsia"/>
              <w:noProof/>
              <w:lang w:eastAsia="en-AU"/>
            </w:rPr>
          </w:pPr>
          <w:hyperlink w:anchor="_Toc98404981" w:history="1">
            <w:r w:rsidR="00061E65" w:rsidRPr="00E9493A">
              <w:rPr>
                <w:rStyle w:val="Hyperlink"/>
                <w:noProof/>
              </w:rPr>
              <w:t>12</w:t>
            </w:r>
            <w:r w:rsidR="00061E65">
              <w:rPr>
                <w:rFonts w:eastAsiaTheme="minorEastAsia"/>
                <w:noProof/>
                <w:lang w:eastAsia="en-AU"/>
              </w:rPr>
              <w:tab/>
            </w:r>
            <w:r w:rsidR="00061E65" w:rsidRPr="00E9493A">
              <w:rPr>
                <w:rStyle w:val="Hyperlink"/>
                <w:noProof/>
              </w:rPr>
              <w:t>Analysis of HILDA data: policy analysis and fertility</w:t>
            </w:r>
            <w:r w:rsidR="00061E65">
              <w:rPr>
                <w:noProof/>
                <w:webHidden/>
              </w:rPr>
              <w:tab/>
            </w:r>
            <w:r w:rsidR="00061E65">
              <w:rPr>
                <w:noProof/>
                <w:webHidden/>
              </w:rPr>
              <w:fldChar w:fldCharType="begin"/>
            </w:r>
            <w:r w:rsidR="00061E65">
              <w:rPr>
                <w:noProof/>
                <w:webHidden/>
              </w:rPr>
              <w:instrText xml:space="preserve"> PAGEREF _Toc98404981 \h </w:instrText>
            </w:r>
            <w:r w:rsidR="00061E65">
              <w:rPr>
                <w:noProof/>
                <w:webHidden/>
              </w:rPr>
            </w:r>
            <w:r w:rsidR="00061E65">
              <w:rPr>
                <w:noProof/>
                <w:webHidden/>
              </w:rPr>
              <w:fldChar w:fldCharType="separate"/>
            </w:r>
            <w:r w:rsidR="00115E22">
              <w:rPr>
                <w:noProof/>
                <w:webHidden/>
              </w:rPr>
              <w:t>105</w:t>
            </w:r>
            <w:r w:rsidR="00061E65">
              <w:rPr>
                <w:noProof/>
                <w:webHidden/>
              </w:rPr>
              <w:fldChar w:fldCharType="end"/>
            </w:r>
          </w:hyperlink>
        </w:p>
        <w:p w14:paraId="09DD7FAB" w14:textId="60263B24" w:rsidR="00061E65" w:rsidRDefault="00DE280D">
          <w:pPr>
            <w:pStyle w:val="TOC2"/>
            <w:rPr>
              <w:rFonts w:eastAsiaTheme="minorEastAsia"/>
              <w:noProof/>
              <w:lang w:eastAsia="en-AU"/>
            </w:rPr>
          </w:pPr>
          <w:hyperlink w:anchor="_Toc98404982" w:history="1">
            <w:r w:rsidR="00061E65" w:rsidRPr="00E9493A">
              <w:rPr>
                <w:rStyle w:val="Hyperlink"/>
                <w:noProof/>
              </w:rPr>
              <w:t>12.1</w:t>
            </w:r>
            <w:r w:rsidR="00061E65">
              <w:rPr>
                <w:rFonts w:eastAsiaTheme="minorEastAsia"/>
                <w:noProof/>
                <w:lang w:eastAsia="en-AU"/>
              </w:rPr>
              <w:tab/>
            </w:r>
            <w:r w:rsidR="00061E65" w:rsidRPr="00E9493A">
              <w:rPr>
                <w:rStyle w:val="Hyperlink"/>
                <w:noProof/>
              </w:rPr>
              <w:t>Data and Methodology</w:t>
            </w:r>
            <w:r w:rsidR="00061E65">
              <w:rPr>
                <w:noProof/>
                <w:webHidden/>
              </w:rPr>
              <w:tab/>
            </w:r>
            <w:r w:rsidR="00061E65">
              <w:rPr>
                <w:noProof/>
                <w:webHidden/>
              </w:rPr>
              <w:fldChar w:fldCharType="begin"/>
            </w:r>
            <w:r w:rsidR="00061E65">
              <w:rPr>
                <w:noProof/>
                <w:webHidden/>
              </w:rPr>
              <w:instrText xml:space="preserve"> PAGEREF _Toc98404982 \h </w:instrText>
            </w:r>
            <w:r w:rsidR="00061E65">
              <w:rPr>
                <w:noProof/>
                <w:webHidden/>
              </w:rPr>
            </w:r>
            <w:r w:rsidR="00061E65">
              <w:rPr>
                <w:noProof/>
                <w:webHidden/>
              </w:rPr>
              <w:fldChar w:fldCharType="separate"/>
            </w:r>
            <w:r w:rsidR="00115E22">
              <w:rPr>
                <w:noProof/>
                <w:webHidden/>
              </w:rPr>
              <w:t>106</w:t>
            </w:r>
            <w:r w:rsidR="00061E65">
              <w:rPr>
                <w:noProof/>
                <w:webHidden/>
              </w:rPr>
              <w:fldChar w:fldCharType="end"/>
            </w:r>
          </w:hyperlink>
        </w:p>
        <w:p w14:paraId="1177782C" w14:textId="07C7BE43" w:rsidR="00061E65" w:rsidRDefault="00DE280D">
          <w:pPr>
            <w:pStyle w:val="TOC2"/>
            <w:rPr>
              <w:rFonts w:eastAsiaTheme="minorEastAsia"/>
              <w:noProof/>
              <w:lang w:eastAsia="en-AU"/>
            </w:rPr>
          </w:pPr>
          <w:hyperlink w:anchor="_Toc98404983" w:history="1">
            <w:r w:rsidR="00061E65" w:rsidRPr="00E9493A">
              <w:rPr>
                <w:rStyle w:val="Hyperlink"/>
                <w:noProof/>
              </w:rPr>
              <w:t>12.2</w:t>
            </w:r>
            <w:r w:rsidR="00061E65">
              <w:rPr>
                <w:rFonts w:eastAsiaTheme="minorEastAsia"/>
                <w:noProof/>
                <w:lang w:eastAsia="en-AU"/>
              </w:rPr>
              <w:tab/>
            </w:r>
            <w:r w:rsidR="00061E65" w:rsidRPr="00E9493A">
              <w:rPr>
                <w:rStyle w:val="Hyperlink"/>
                <w:noProof/>
              </w:rPr>
              <w:t>Policy 1: Baby Bonus Program</w:t>
            </w:r>
            <w:r w:rsidR="00061E65">
              <w:rPr>
                <w:noProof/>
                <w:webHidden/>
              </w:rPr>
              <w:tab/>
            </w:r>
            <w:r w:rsidR="00061E65">
              <w:rPr>
                <w:noProof/>
                <w:webHidden/>
              </w:rPr>
              <w:fldChar w:fldCharType="begin"/>
            </w:r>
            <w:r w:rsidR="00061E65">
              <w:rPr>
                <w:noProof/>
                <w:webHidden/>
              </w:rPr>
              <w:instrText xml:space="preserve"> PAGEREF _Toc98404983 \h </w:instrText>
            </w:r>
            <w:r w:rsidR="00061E65">
              <w:rPr>
                <w:noProof/>
                <w:webHidden/>
              </w:rPr>
            </w:r>
            <w:r w:rsidR="00061E65">
              <w:rPr>
                <w:noProof/>
                <w:webHidden/>
              </w:rPr>
              <w:fldChar w:fldCharType="separate"/>
            </w:r>
            <w:r w:rsidR="00115E22">
              <w:rPr>
                <w:noProof/>
                <w:webHidden/>
              </w:rPr>
              <w:t>111</w:t>
            </w:r>
            <w:r w:rsidR="00061E65">
              <w:rPr>
                <w:noProof/>
                <w:webHidden/>
              </w:rPr>
              <w:fldChar w:fldCharType="end"/>
            </w:r>
          </w:hyperlink>
        </w:p>
        <w:p w14:paraId="2F49FA8A" w14:textId="60D06876" w:rsidR="00061E65" w:rsidRDefault="00DE280D">
          <w:pPr>
            <w:pStyle w:val="TOC2"/>
            <w:rPr>
              <w:rFonts w:eastAsiaTheme="minorEastAsia"/>
              <w:noProof/>
              <w:lang w:eastAsia="en-AU"/>
            </w:rPr>
          </w:pPr>
          <w:hyperlink w:anchor="_Toc98404984" w:history="1">
            <w:r w:rsidR="00061E65" w:rsidRPr="00E9493A">
              <w:rPr>
                <w:rStyle w:val="Hyperlink"/>
                <w:noProof/>
              </w:rPr>
              <w:t>12.3</w:t>
            </w:r>
            <w:r w:rsidR="00061E65">
              <w:rPr>
                <w:rFonts w:eastAsiaTheme="minorEastAsia"/>
                <w:noProof/>
                <w:lang w:eastAsia="en-AU"/>
              </w:rPr>
              <w:tab/>
            </w:r>
            <w:r w:rsidR="00061E65" w:rsidRPr="00E9493A">
              <w:rPr>
                <w:rStyle w:val="Hyperlink"/>
                <w:noProof/>
              </w:rPr>
              <w:t>Policy 2: Paid Parental Leave</w:t>
            </w:r>
            <w:r w:rsidR="00061E65">
              <w:rPr>
                <w:noProof/>
                <w:webHidden/>
              </w:rPr>
              <w:tab/>
            </w:r>
            <w:r w:rsidR="00061E65">
              <w:rPr>
                <w:noProof/>
                <w:webHidden/>
              </w:rPr>
              <w:fldChar w:fldCharType="begin"/>
            </w:r>
            <w:r w:rsidR="00061E65">
              <w:rPr>
                <w:noProof/>
                <w:webHidden/>
              </w:rPr>
              <w:instrText xml:space="preserve"> PAGEREF _Toc98404984 \h </w:instrText>
            </w:r>
            <w:r w:rsidR="00061E65">
              <w:rPr>
                <w:noProof/>
                <w:webHidden/>
              </w:rPr>
            </w:r>
            <w:r w:rsidR="00061E65">
              <w:rPr>
                <w:noProof/>
                <w:webHidden/>
              </w:rPr>
              <w:fldChar w:fldCharType="separate"/>
            </w:r>
            <w:r w:rsidR="00115E22">
              <w:rPr>
                <w:noProof/>
                <w:webHidden/>
              </w:rPr>
              <w:t>119</w:t>
            </w:r>
            <w:r w:rsidR="00061E65">
              <w:rPr>
                <w:noProof/>
                <w:webHidden/>
              </w:rPr>
              <w:fldChar w:fldCharType="end"/>
            </w:r>
          </w:hyperlink>
        </w:p>
        <w:p w14:paraId="441D4FB5" w14:textId="3C920E30" w:rsidR="00061E65" w:rsidRDefault="00DE280D">
          <w:pPr>
            <w:pStyle w:val="TOC2"/>
            <w:rPr>
              <w:rFonts w:eastAsiaTheme="minorEastAsia"/>
              <w:noProof/>
              <w:lang w:eastAsia="en-AU"/>
            </w:rPr>
          </w:pPr>
          <w:hyperlink w:anchor="_Toc98404985" w:history="1">
            <w:r w:rsidR="00061E65" w:rsidRPr="00E9493A">
              <w:rPr>
                <w:rStyle w:val="Hyperlink"/>
                <w:noProof/>
              </w:rPr>
              <w:t>12.4</w:t>
            </w:r>
            <w:r w:rsidR="00061E65">
              <w:rPr>
                <w:rFonts w:eastAsiaTheme="minorEastAsia"/>
                <w:noProof/>
                <w:lang w:eastAsia="en-AU"/>
              </w:rPr>
              <w:tab/>
            </w:r>
            <w:r w:rsidR="00061E65" w:rsidRPr="00E9493A">
              <w:rPr>
                <w:rStyle w:val="Hyperlink"/>
                <w:noProof/>
              </w:rPr>
              <w:t>Policy 3: Dad and Partner Pay</w:t>
            </w:r>
            <w:r w:rsidR="00061E65">
              <w:rPr>
                <w:noProof/>
                <w:webHidden/>
              </w:rPr>
              <w:tab/>
            </w:r>
            <w:r w:rsidR="00061E65">
              <w:rPr>
                <w:noProof/>
                <w:webHidden/>
              </w:rPr>
              <w:fldChar w:fldCharType="begin"/>
            </w:r>
            <w:r w:rsidR="00061E65">
              <w:rPr>
                <w:noProof/>
                <w:webHidden/>
              </w:rPr>
              <w:instrText xml:space="preserve"> PAGEREF _Toc98404985 \h </w:instrText>
            </w:r>
            <w:r w:rsidR="00061E65">
              <w:rPr>
                <w:noProof/>
                <w:webHidden/>
              </w:rPr>
            </w:r>
            <w:r w:rsidR="00061E65">
              <w:rPr>
                <w:noProof/>
                <w:webHidden/>
              </w:rPr>
              <w:fldChar w:fldCharType="separate"/>
            </w:r>
            <w:r w:rsidR="00115E22">
              <w:rPr>
                <w:noProof/>
                <w:webHidden/>
              </w:rPr>
              <w:t>125</w:t>
            </w:r>
            <w:r w:rsidR="00061E65">
              <w:rPr>
                <w:noProof/>
                <w:webHidden/>
              </w:rPr>
              <w:fldChar w:fldCharType="end"/>
            </w:r>
          </w:hyperlink>
        </w:p>
        <w:p w14:paraId="3387A8D9" w14:textId="3091D0D8" w:rsidR="00061E65" w:rsidRDefault="00DE280D">
          <w:pPr>
            <w:pStyle w:val="TOC2"/>
            <w:rPr>
              <w:rFonts w:eastAsiaTheme="minorEastAsia"/>
              <w:noProof/>
              <w:lang w:eastAsia="en-AU"/>
            </w:rPr>
          </w:pPr>
          <w:hyperlink w:anchor="_Toc98404986" w:history="1">
            <w:r w:rsidR="00061E65" w:rsidRPr="00E9493A">
              <w:rPr>
                <w:rStyle w:val="Hyperlink"/>
                <w:noProof/>
              </w:rPr>
              <w:t>12.5</w:t>
            </w:r>
            <w:r w:rsidR="00061E65">
              <w:rPr>
                <w:rFonts w:eastAsiaTheme="minorEastAsia"/>
                <w:noProof/>
                <w:lang w:eastAsia="en-AU"/>
              </w:rPr>
              <w:tab/>
            </w:r>
            <w:r w:rsidR="00061E65" w:rsidRPr="00E9493A">
              <w:rPr>
                <w:rStyle w:val="Hyperlink"/>
                <w:noProof/>
              </w:rPr>
              <w:t>Policy 4: Family Tax Benefit Reform</w:t>
            </w:r>
            <w:r w:rsidR="00061E65">
              <w:rPr>
                <w:noProof/>
                <w:webHidden/>
              </w:rPr>
              <w:tab/>
            </w:r>
            <w:r w:rsidR="00061E65">
              <w:rPr>
                <w:noProof/>
                <w:webHidden/>
              </w:rPr>
              <w:fldChar w:fldCharType="begin"/>
            </w:r>
            <w:r w:rsidR="00061E65">
              <w:rPr>
                <w:noProof/>
                <w:webHidden/>
              </w:rPr>
              <w:instrText xml:space="preserve"> PAGEREF _Toc98404986 \h </w:instrText>
            </w:r>
            <w:r w:rsidR="00061E65">
              <w:rPr>
                <w:noProof/>
                <w:webHidden/>
              </w:rPr>
            </w:r>
            <w:r w:rsidR="00061E65">
              <w:rPr>
                <w:noProof/>
                <w:webHidden/>
              </w:rPr>
              <w:fldChar w:fldCharType="separate"/>
            </w:r>
            <w:r w:rsidR="00115E22">
              <w:rPr>
                <w:noProof/>
                <w:webHidden/>
              </w:rPr>
              <w:t>130</w:t>
            </w:r>
            <w:r w:rsidR="00061E65">
              <w:rPr>
                <w:noProof/>
                <w:webHidden/>
              </w:rPr>
              <w:fldChar w:fldCharType="end"/>
            </w:r>
          </w:hyperlink>
        </w:p>
        <w:p w14:paraId="76655B5B" w14:textId="33D46434" w:rsidR="00061E65" w:rsidRDefault="00DE280D">
          <w:pPr>
            <w:pStyle w:val="TOC2"/>
            <w:rPr>
              <w:rFonts w:eastAsiaTheme="minorEastAsia"/>
              <w:noProof/>
              <w:lang w:eastAsia="en-AU"/>
            </w:rPr>
          </w:pPr>
          <w:hyperlink w:anchor="_Toc98404987" w:history="1">
            <w:r w:rsidR="00061E65" w:rsidRPr="00E9493A">
              <w:rPr>
                <w:rStyle w:val="Hyperlink"/>
                <w:noProof/>
              </w:rPr>
              <w:t>12.6</w:t>
            </w:r>
            <w:r w:rsidR="00061E65">
              <w:rPr>
                <w:rFonts w:eastAsiaTheme="minorEastAsia"/>
                <w:noProof/>
                <w:lang w:eastAsia="en-AU"/>
              </w:rPr>
              <w:tab/>
            </w:r>
            <w:r w:rsidR="00061E65" w:rsidRPr="00E9493A">
              <w:rPr>
                <w:rStyle w:val="Hyperlink"/>
                <w:noProof/>
              </w:rPr>
              <w:t>Analysis of fertility measures</w:t>
            </w:r>
            <w:r w:rsidR="00061E65">
              <w:rPr>
                <w:noProof/>
                <w:webHidden/>
              </w:rPr>
              <w:tab/>
            </w:r>
            <w:r w:rsidR="00061E65">
              <w:rPr>
                <w:noProof/>
                <w:webHidden/>
              </w:rPr>
              <w:fldChar w:fldCharType="begin"/>
            </w:r>
            <w:r w:rsidR="00061E65">
              <w:rPr>
                <w:noProof/>
                <w:webHidden/>
              </w:rPr>
              <w:instrText xml:space="preserve"> PAGEREF _Toc98404987 \h </w:instrText>
            </w:r>
            <w:r w:rsidR="00061E65">
              <w:rPr>
                <w:noProof/>
                <w:webHidden/>
              </w:rPr>
            </w:r>
            <w:r w:rsidR="00061E65">
              <w:rPr>
                <w:noProof/>
                <w:webHidden/>
              </w:rPr>
              <w:fldChar w:fldCharType="separate"/>
            </w:r>
            <w:r w:rsidR="00115E22">
              <w:rPr>
                <w:noProof/>
                <w:webHidden/>
              </w:rPr>
              <w:t>135</w:t>
            </w:r>
            <w:r w:rsidR="00061E65">
              <w:rPr>
                <w:noProof/>
                <w:webHidden/>
              </w:rPr>
              <w:fldChar w:fldCharType="end"/>
            </w:r>
          </w:hyperlink>
        </w:p>
        <w:p w14:paraId="296E99B0" w14:textId="16B93E66" w:rsidR="00061E65" w:rsidRDefault="00DE280D">
          <w:pPr>
            <w:pStyle w:val="TOC2"/>
            <w:rPr>
              <w:rFonts w:eastAsiaTheme="minorEastAsia"/>
              <w:noProof/>
              <w:lang w:eastAsia="en-AU"/>
            </w:rPr>
          </w:pPr>
          <w:hyperlink w:anchor="_Toc98404988" w:history="1">
            <w:r w:rsidR="00061E65" w:rsidRPr="00E9493A">
              <w:rPr>
                <w:rStyle w:val="Hyperlink"/>
                <w:noProof/>
              </w:rPr>
              <w:t>12.7</w:t>
            </w:r>
            <w:r w:rsidR="00061E65">
              <w:rPr>
                <w:rFonts w:eastAsiaTheme="minorEastAsia"/>
                <w:noProof/>
                <w:lang w:eastAsia="en-AU"/>
              </w:rPr>
              <w:tab/>
            </w:r>
            <w:r w:rsidR="00061E65" w:rsidRPr="00E9493A">
              <w:rPr>
                <w:rStyle w:val="Hyperlink"/>
                <w:noProof/>
              </w:rPr>
              <w:t>Conclusion</w:t>
            </w:r>
            <w:r w:rsidR="00061E65">
              <w:rPr>
                <w:noProof/>
                <w:webHidden/>
              </w:rPr>
              <w:tab/>
            </w:r>
            <w:r w:rsidR="00061E65">
              <w:rPr>
                <w:noProof/>
                <w:webHidden/>
              </w:rPr>
              <w:fldChar w:fldCharType="begin"/>
            </w:r>
            <w:r w:rsidR="00061E65">
              <w:rPr>
                <w:noProof/>
                <w:webHidden/>
              </w:rPr>
              <w:instrText xml:space="preserve"> PAGEREF _Toc98404988 \h </w:instrText>
            </w:r>
            <w:r w:rsidR="00061E65">
              <w:rPr>
                <w:noProof/>
                <w:webHidden/>
              </w:rPr>
            </w:r>
            <w:r w:rsidR="00061E65">
              <w:rPr>
                <w:noProof/>
                <w:webHidden/>
              </w:rPr>
              <w:fldChar w:fldCharType="separate"/>
            </w:r>
            <w:r w:rsidR="00115E22">
              <w:rPr>
                <w:noProof/>
                <w:webHidden/>
              </w:rPr>
              <w:t>149</w:t>
            </w:r>
            <w:r w:rsidR="00061E65">
              <w:rPr>
                <w:noProof/>
                <w:webHidden/>
              </w:rPr>
              <w:fldChar w:fldCharType="end"/>
            </w:r>
          </w:hyperlink>
        </w:p>
        <w:p w14:paraId="130AB082" w14:textId="73BBB9EB" w:rsidR="00061E65" w:rsidRDefault="00DE280D">
          <w:pPr>
            <w:pStyle w:val="TOC1"/>
            <w:rPr>
              <w:rFonts w:eastAsiaTheme="minorEastAsia"/>
              <w:noProof/>
              <w:lang w:eastAsia="en-AU"/>
            </w:rPr>
          </w:pPr>
          <w:hyperlink w:anchor="_Toc98404989" w:history="1">
            <w:r w:rsidR="00061E65" w:rsidRPr="00E9493A">
              <w:rPr>
                <w:rStyle w:val="Hyperlink"/>
                <w:noProof/>
              </w:rPr>
              <w:t>PART 3: SURVEY RESULTS</w:t>
            </w:r>
            <w:r w:rsidR="00061E65">
              <w:rPr>
                <w:noProof/>
                <w:webHidden/>
              </w:rPr>
              <w:tab/>
            </w:r>
            <w:r w:rsidR="00061E65">
              <w:rPr>
                <w:noProof/>
                <w:webHidden/>
              </w:rPr>
              <w:fldChar w:fldCharType="begin"/>
            </w:r>
            <w:r w:rsidR="00061E65">
              <w:rPr>
                <w:noProof/>
                <w:webHidden/>
              </w:rPr>
              <w:instrText xml:space="preserve"> PAGEREF _Toc98404989 \h </w:instrText>
            </w:r>
            <w:r w:rsidR="00061E65">
              <w:rPr>
                <w:noProof/>
                <w:webHidden/>
              </w:rPr>
            </w:r>
            <w:r w:rsidR="00061E65">
              <w:rPr>
                <w:noProof/>
                <w:webHidden/>
              </w:rPr>
              <w:fldChar w:fldCharType="separate"/>
            </w:r>
            <w:r w:rsidR="00115E22">
              <w:rPr>
                <w:noProof/>
                <w:webHidden/>
              </w:rPr>
              <w:t>150</w:t>
            </w:r>
            <w:r w:rsidR="00061E65">
              <w:rPr>
                <w:noProof/>
                <w:webHidden/>
              </w:rPr>
              <w:fldChar w:fldCharType="end"/>
            </w:r>
          </w:hyperlink>
        </w:p>
        <w:p w14:paraId="1C222E37" w14:textId="3457EE58" w:rsidR="00061E65" w:rsidRDefault="00DE280D">
          <w:pPr>
            <w:pStyle w:val="TOC1"/>
            <w:tabs>
              <w:tab w:val="left" w:pos="660"/>
            </w:tabs>
            <w:rPr>
              <w:rFonts w:eastAsiaTheme="minorEastAsia"/>
              <w:noProof/>
              <w:lang w:eastAsia="en-AU"/>
            </w:rPr>
          </w:pPr>
          <w:hyperlink w:anchor="_Toc98404990" w:history="1">
            <w:r w:rsidR="00061E65" w:rsidRPr="00E9493A">
              <w:rPr>
                <w:rStyle w:val="Hyperlink"/>
                <w:noProof/>
              </w:rPr>
              <w:t>13</w:t>
            </w:r>
            <w:r w:rsidR="00061E65">
              <w:rPr>
                <w:rFonts w:eastAsiaTheme="minorEastAsia"/>
                <w:noProof/>
                <w:lang w:eastAsia="en-AU"/>
              </w:rPr>
              <w:tab/>
            </w:r>
            <w:r w:rsidR="00061E65" w:rsidRPr="00E9493A">
              <w:rPr>
                <w:rStyle w:val="Hyperlink"/>
                <w:noProof/>
              </w:rPr>
              <w:t>Survey of opinions on fertility preferences, considerations and policies</w:t>
            </w:r>
            <w:r w:rsidR="00061E65">
              <w:rPr>
                <w:noProof/>
                <w:webHidden/>
              </w:rPr>
              <w:tab/>
            </w:r>
            <w:r w:rsidR="00061E65">
              <w:rPr>
                <w:noProof/>
                <w:webHidden/>
              </w:rPr>
              <w:fldChar w:fldCharType="begin"/>
            </w:r>
            <w:r w:rsidR="00061E65">
              <w:rPr>
                <w:noProof/>
                <w:webHidden/>
              </w:rPr>
              <w:instrText xml:space="preserve"> PAGEREF _Toc98404990 \h </w:instrText>
            </w:r>
            <w:r w:rsidR="00061E65">
              <w:rPr>
                <w:noProof/>
                <w:webHidden/>
              </w:rPr>
            </w:r>
            <w:r w:rsidR="00061E65">
              <w:rPr>
                <w:noProof/>
                <w:webHidden/>
              </w:rPr>
              <w:fldChar w:fldCharType="separate"/>
            </w:r>
            <w:r w:rsidR="00115E22">
              <w:rPr>
                <w:noProof/>
                <w:webHidden/>
              </w:rPr>
              <w:t>150</w:t>
            </w:r>
            <w:r w:rsidR="00061E65">
              <w:rPr>
                <w:noProof/>
                <w:webHidden/>
              </w:rPr>
              <w:fldChar w:fldCharType="end"/>
            </w:r>
          </w:hyperlink>
        </w:p>
        <w:p w14:paraId="6653B64A" w14:textId="0241808A" w:rsidR="00061E65" w:rsidRDefault="00DE280D">
          <w:pPr>
            <w:pStyle w:val="TOC2"/>
            <w:rPr>
              <w:rFonts w:eastAsiaTheme="minorEastAsia"/>
              <w:noProof/>
              <w:lang w:eastAsia="en-AU"/>
            </w:rPr>
          </w:pPr>
          <w:hyperlink w:anchor="_Toc98404991" w:history="1">
            <w:r w:rsidR="00061E65" w:rsidRPr="00E9493A">
              <w:rPr>
                <w:rStyle w:val="Hyperlink"/>
                <w:noProof/>
              </w:rPr>
              <w:t>13.1.</w:t>
            </w:r>
            <w:r w:rsidR="00061E65">
              <w:rPr>
                <w:rFonts w:eastAsiaTheme="minorEastAsia"/>
                <w:noProof/>
                <w:lang w:eastAsia="en-AU"/>
              </w:rPr>
              <w:tab/>
            </w:r>
            <w:r w:rsidR="00061E65" w:rsidRPr="00E9493A">
              <w:rPr>
                <w:rStyle w:val="Hyperlink"/>
                <w:noProof/>
              </w:rPr>
              <w:t>Data</w:t>
            </w:r>
            <w:r w:rsidR="00061E65">
              <w:rPr>
                <w:noProof/>
                <w:webHidden/>
              </w:rPr>
              <w:tab/>
            </w:r>
            <w:r w:rsidR="00061E65">
              <w:rPr>
                <w:noProof/>
                <w:webHidden/>
              </w:rPr>
              <w:fldChar w:fldCharType="begin"/>
            </w:r>
            <w:r w:rsidR="00061E65">
              <w:rPr>
                <w:noProof/>
                <w:webHidden/>
              </w:rPr>
              <w:instrText xml:space="preserve"> PAGEREF _Toc98404991 \h </w:instrText>
            </w:r>
            <w:r w:rsidR="00061E65">
              <w:rPr>
                <w:noProof/>
                <w:webHidden/>
              </w:rPr>
            </w:r>
            <w:r w:rsidR="00061E65">
              <w:rPr>
                <w:noProof/>
                <w:webHidden/>
              </w:rPr>
              <w:fldChar w:fldCharType="separate"/>
            </w:r>
            <w:r w:rsidR="00115E22">
              <w:rPr>
                <w:noProof/>
                <w:webHidden/>
              </w:rPr>
              <w:t>150</w:t>
            </w:r>
            <w:r w:rsidR="00061E65">
              <w:rPr>
                <w:noProof/>
                <w:webHidden/>
              </w:rPr>
              <w:fldChar w:fldCharType="end"/>
            </w:r>
          </w:hyperlink>
        </w:p>
        <w:p w14:paraId="34852B92" w14:textId="0B66E5C3" w:rsidR="00061E65" w:rsidRDefault="00DE280D">
          <w:pPr>
            <w:pStyle w:val="TOC2"/>
            <w:rPr>
              <w:rFonts w:eastAsiaTheme="minorEastAsia"/>
              <w:noProof/>
              <w:lang w:eastAsia="en-AU"/>
            </w:rPr>
          </w:pPr>
          <w:hyperlink w:anchor="_Toc98404992" w:history="1">
            <w:r w:rsidR="00061E65" w:rsidRPr="00E9493A">
              <w:rPr>
                <w:rStyle w:val="Hyperlink"/>
                <w:noProof/>
              </w:rPr>
              <w:t>13.2.</w:t>
            </w:r>
            <w:r w:rsidR="00061E65">
              <w:rPr>
                <w:rFonts w:eastAsiaTheme="minorEastAsia"/>
                <w:noProof/>
                <w:lang w:eastAsia="en-AU"/>
              </w:rPr>
              <w:tab/>
            </w:r>
            <w:r w:rsidR="00061E65" w:rsidRPr="00E9493A">
              <w:rPr>
                <w:rStyle w:val="Hyperlink"/>
                <w:noProof/>
              </w:rPr>
              <w:t>Fertility intentions</w:t>
            </w:r>
            <w:r w:rsidR="00061E65">
              <w:rPr>
                <w:noProof/>
                <w:webHidden/>
              </w:rPr>
              <w:tab/>
            </w:r>
            <w:r w:rsidR="00061E65">
              <w:rPr>
                <w:noProof/>
                <w:webHidden/>
              </w:rPr>
              <w:fldChar w:fldCharType="begin"/>
            </w:r>
            <w:r w:rsidR="00061E65">
              <w:rPr>
                <w:noProof/>
                <w:webHidden/>
              </w:rPr>
              <w:instrText xml:space="preserve"> PAGEREF _Toc98404992 \h </w:instrText>
            </w:r>
            <w:r w:rsidR="00061E65">
              <w:rPr>
                <w:noProof/>
                <w:webHidden/>
              </w:rPr>
            </w:r>
            <w:r w:rsidR="00061E65">
              <w:rPr>
                <w:noProof/>
                <w:webHidden/>
              </w:rPr>
              <w:fldChar w:fldCharType="separate"/>
            </w:r>
            <w:r w:rsidR="00115E22">
              <w:rPr>
                <w:noProof/>
                <w:webHidden/>
              </w:rPr>
              <w:t>152</w:t>
            </w:r>
            <w:r w:rsidR="00061E65">
              <w:rPr>
                <w:noProof/>
                <w:webHidden/>
              </w:rPr>
              <w:fldChar w:fldCharType="end"/>
            </w:r>
          </w:hyperlink>
        </w:p>
        <w:p w14:paraId="73E54F16" w14:textId="7369AC4C" w:rsidR="00061E65" w:rsidRDefault="00DE280D">
          <w:pPr>
            <w:pStyle w:val="TOC2"/>
            <w:rPr>
              <w:rFonts w:eastAsiaTheme="minorEastAsia"/>
              <w:noProof/>
              <w:lang w:eastAsia="en-AU"/>
            </w:rPr>
          </w:pPr>
          <w:hyperlink w:anchor="_Toc98404993" w:history="1">
            <w:r w:rsidR="00061E65" w:rsidRPr="00E9493A">
              <w:rPr>
                <w:rStyle w:val="Hyperlink"/>
                <w:noProof/>
              </w:rPr>
              <w:t>13.3.</w:t>
            </w:r>
            <w:r w:rsidR="00061E65">
              <w:rPr>
                <w:rFonts w:eastAsiaTheme="minorEastAsia"/>
                <w:noProof/>
                <w:lang w:eastAsia="en-AU"/>
              </w:rPr>
              <w:tab/>
            </w:r>
            <w:r w:rsidR="00061E65" w:rsidRPr="00E9493A">
              <w:rPr>
                <w:rStyle w:val="Hyperlink"/>
                <w:noProof/>
              </w:rPr>
              <w:t>Impact of COVID-19 on fertility intentions</w:t>
            </w:r>
            <w:r w:rsidR="00061E65">
              <w:rPr>
                <w:noProof/>
                <w:webHidden/>
              </w:rPr>
              <w:tab/>
            </w:r>
            <w:r w:rsidR="00061E65">
              <w:rPr>
                <w:noProof/>
                <w:webHidden/>
              </w:rPr>
              <w:fldChar w:fldCharType="begin"/>
            </w:r>
            <w:r w:rsidR="00061E65">
              <w:rPr>
                <w:noProof/>
                <w:webHidden/>
              </w:rPr>
              <w:instrText xml:space="preserve"> PAGEREF _Toc98404993 \h </w:instrText>
            </w:r>
            <w:r w:rsidR="00061E65">
              <w:rPr>
                <w:noProof/>
                <w:webHidden/>
              </w:rPr>
            </w:r>
            <w:r w:rsidR="00061E65">
              <w:rPr>
                <w:noProof/>
                <w:webHidden/>
              </w:rPr>
              <w:fldChar w:fldCharType="separate"/>
            </w:r>
            <w:r w:rsidR="00115E22">
              <w:rPr>
                <w:noProof/>
                <w:webHidden/>
              </w:rPr>
              <w:t>153</w:t>
            </w:r>
            <w:r w:rsidR="00061E65">
              <w:rPr>
                <w:noProof/>
                <w:webHidden/>
              </w:rPr>
              <w:fldChar w:fldCharType="end"/>
            </w:r>
          </w:hyperlink>
        </w:p>
        <w:p w14:paraId="3F17F109" w14:textId="03A17688" w:rsidR="00061E65" w:rsidRDefault="00DE280D">
          <w:pPr>
            <w:pStyle w:val="TOC2"/>
            <w:rPr>
              <w:rFonts w:eastAsiaTheme="minorEastAsia"/>
              <w:noProof/>
              <w:lang w:eastAsia="en-AU"/>
            </w:rPr>
          </w:pPr>
          <w:hyperlink w:anchor="_Toc98404994" w:history="1">
            <w:r w:rsidR="00061E65" w:rsidRPr="00E9493A">
              <w:rPr>
                <w:rStyle w:val="Hyperlink"/>
                <w:noProof/>
              </w:rPr>
              <w:t>13.4.</w:t>
            </w:r>
            <w:r w:rsidR="00061E65">
              <w:rPr>
                <w:rFonts w:eastAsiaTheme="minorEastAsia"/>
                <w:noProof/>
                <w:lang w:eastAsia="en-AU"/>
              </w:rPr>
              <w:tab/>
            </w:r>
            <w:r w:rsidR="00061E65" w:rsidRPr="00E9493A">
              <w:rPr>
                <w:rStyle w:val="Hyperlink"/>
                <w:noProof/>
              </w:rPr>
              <w:t>Factors associated with COVID-19 related downwards revision of childbearing expectations</w:t>
            </w:r>
            <w:r w:rsidR="00061E65">
              <w:rPr>
                <w:noProof/>
                <w:webHidden/>
              </w:rPr>
              <w:tab/>
            </w:r>
            <w:r w:rsidR="00061E65">
              <w:rPr>
                <w:noProof/>
                <w:webHidden/>
              </w:rPr>
              <w:fldChar w:fldCharType="begin"/>
            </w:r>
            <w:r w:rsidR="00061E65">
              <w:rPr>
                <w:noProof/>
                <w:webHidden/>
              </w:rPr>
              <w:instrText xml:space="preserve"> PAGEREF _Toc98404994 \h </w:instrText>
            </w:r>
            <w:r w:rsidR="00061E65">
              <w:rPr>
                <w:noProof/>
                <w:webHidden/>
              </w:rPr>
            </w:r>
            <w:r w:rsidR="00061E65">
              <w:rPr>
                <w:noProof/>
                <w:webHidden/>
              </w:rPr>
              <w:fldChar w:fldCharType="separate"/>
            </w:r>
            <w:r w:rsidR="00115E22">
              <w:rPr>
                <w:noProof/>
                <w:webHidden/>
              </w:rPr>
              <w:t>154</w:t>
            </w:r>
            <w:r w:rsidR="00061E65">
              <w:rPr>
                <w:noProof/>
                <w:webHidden/>
              </w:rPr>
              <w:fldChar w:fldCharType="end"/>
            </w:r>
          </w:hyperlink>
        </w:p>
        <w:p w14:paraId="1486AB6E" w14:textId="5CD056A8" w:rsidR="00061E65" w:rsidRDefault="00DE280D">
          <w:pPr>
            <w:pStyle w:val="TOC2"/>
            <w:rPr>
              <w:rFonts w:eastAsiaTheme="minorEastAsia"/>
              <w:noProof/>
              <w:lang w:eastAsia="en-AU"/>
            </w:rPr>
          </w:pPr>
          <w:hyperlink w:anchor="_Toc98404995" w:history="1">
            <w:r w:rsidR="00061E65" w:rsidRPr="00E9493A">
              <w:rPr>
                <w:rStyle w:val="Hyperlink"/>
                <w:noProof/>
              </w:rPr>
              <w:t>13.5.</w:t>
            </w:r>
            <w:r w:rsidR="00061E65">
              <w:rPr>
                <w:rFonts w:eastAsiaTheme="minorEastAsia"/>
                <w:noProof/>
                <w:lang w:eastAsia="en-AU"/>
              </w:rPr>
              <w:tab/>
            </w:r>
            <w:r w:rsidR="00061E65" w:rsidRPr="00E9493A">
              <w:rPr>
                <w:rStyle w:val="Hyperlink"/>
                <w:noProof/>
              </w:rPr>
              <w:t>Self-reported factors associated with fertility decisions</w:t>
            </w:r>
            <w:r w:rsidR="00061E65">
              <w:rPr>
                <w:noProof/>
                <w:webHidden/>
              </w:rPr>
              <w:tab/>
            </w:r>
            <w:r w:rsidR="00061E65">
              <w:rPr>
                <w:noProof/>
                <w:webHidden/>
              </w:rPr>
              <w:fldChar w:fldCharType="begin"/>
            </w:r>
            <w:r w:rsidR="00061E65">
              <w:rPr>
                <w:noProof/>
                <w:webHidden/>
              </w:rPr>
              <w:instrText xml:space="preserve"> PAGEREF _Toc98404995 \h </w:instrText>
            </w:r>
            <w:r w:rsidR="00061E65">
              <w:rPr>
                <w:noProof/>
                <w:webHidden/>
              </w:rPr>
            </w:r>
            <w:r w:rsidR="00061E65">
              <w:rPr>
                <w:noProof/>
                <w:webHidden/>
              </w:rPr>
              <w:fldChar w:fldCharType="separate"/>
            </w:r>
            <w:r w:rsidR="00115E22">
              <w:rPr>
                <w:noProof/>
                <w:webHidden/>
              </w:rPr>
              <w:t>157</w:t>
            </w:r>
            <w:r w:rsidR="00061E65">
              <w:rPr>
                <w:noProof/>
                <w:webHidden/>
              </w:rPr>
              <w:fldChar w:fldCharType="end"/>
            </w:r>
          </w:hyperlink>
        </w:p>
        <w:p w14:paraId="0D6B678B" w14:textId="40F17720" w:rsidR="00061E65" w:rsidRDefault="00DE280D">
          <w:pPr>
            <w:pStyle w:val="TOC2"/>
            <w:rPr>
              <w:rFonts w:eastAsiaTheme="minorEastAsia"/>
              <w:noProof/>
              <w:lang w:eastAsia="en-AU"/>
            </w:rPr>
          </w:pPr>
          <w:hyperlink w:anchor="_Toc98404996" w:history="1">
            <w:r w:rsidR="00061E65" w:rsidRPr="00E9493A">
              <w:rPr>
                <w:rStyle w:val="Hyperlink"/>
                <w:noProof/>
              </w:rPr>
              <w:t>13.6.</w:t>
            </w:r>
            <w:r w:rsidR="00061E65">
              <w:rPr>
                <w:rFonts w:eastAsiaTheme="minorEastAsia"/>
                <w:noProof/>
                <w:lang w:eastAsia="en-AU"/>
              </w:rPr>
              <w:tab/>
            </w:r>
            <w:r w:rsidR="00061E65" w:rsidRPr="00E9493A">
              <w:rPr>
                <w:rStyle w:val="Hyperlink"/>
                <w:noProof/>
              </w:rPr>
              <w:t>Relationship between the factors associated with fertility considerations</w:t>
            </w:r>
            <w:r w:rsidR="00061E65">
              <w:rPr>
                <w:noProof/>
                <w:webHidden/>
              </w:rPr>
              <w:tab/>
            </w:r>
            <w:r w:rsidR="00061E65">
              <w:rPr>
                <w:noProof/>
                <w:webHidden/>
              </w:rPr>
              <w:fldChar w:fldCharType="begin"/>
            </w:r>
            <w:r w:rsidR="00061E65">
              <w:rPr>
                <w:noProof/>
                <w:webHidden/>
              </w:rPr>
              <w:instrText xml:space="preserve"> PAGEREF _Toc98404996 \h </w:instrText>
            </w:r>
            <w:r w:rsidR="00061E65">
              <w:rPr>
                <w:noProof/>
                <w:webHidden/>
              </w:rPr>
            </w:r>
            <w:r w:rsidR="00061E65">
              <w:rPr>
                <w:noProof/>
                <w:webHidden/>
              </w:rPr>
              <w:fldChar w:fldCharType="separate"/>
            </w:r>
            <w:r w:rsidR="00115E22">
              <w:rPr>
                <w:noProof/>
                <w:webHidden/>
              </w:rPr>
              <w:t>159</w:t>
            </w:r>
            <w:r w:rsidR="00061E65">
              <w:rPr>
                <w:noProof/>
                <w:webHidden/>
              </w:rPr>
              <w:fldChar w:fldCharType="end"/>
            </w:r>
          </w:hyperlink>
        </w:p>
        <w:p w14:paraId="6C6FE508" w14:textId="5DD2A9AF" w:rsidR="00061E65" w:rsidRDefault="00DE280D">
          <w:pPr>
            <w:pStyle w:val="TOC2"/>
            <w:rPr>
              <w:rFonts w:eastAsiaTheme="minorEastAsia"/>
              <w:noProof/>
              <w:lang w:eastAsia="en-AU"/>
            </w:rPr>
          </w:pPr>
          <w:hyperlink w:anchor="_Toc98404997" w:history="1">
            <w:r w:rsidR="00061E65" w:rsidRPr="00E9493A">
              <w:rPr>
                <w:rStyle w:val="Hyperlink"/>
                <w:noProof/>
              </w:rPr>
              <w:t>13.7.</w:t>
            </w:r>
            <w:r w:rsidR="00061E65">
              <w:rPr>
                <w:rFonts w:eastAsiaTheme="minorEastAsia"/>
                <w:noProof/>
                <w:lang w:eastAsia="en-AU"/>
              </w:rPr>
              <w:tab/>
            </w:r>
            <w:r w:rsidR="00061E65" w:rsidRPr="00E9493A">
              <w:rPr>
                <w:rStyle w:val="Hyperlink"/>
                <w:noProof/>
              </w:rPr>
              <w:t>Views on general population issues and related policy</w:t>
            </w:r>
            <w:r w:rsidR="00061E65">
              <w:rPr>
                <w:noProof/>
                <w:webHidden/>
              </w:rPr>
              <w:tab/>
            </w:r>
            <w:r w:rsidR="00061E65">
              <w:rPr>
                <w:noProof/>
                <w:webHidden/>
              </w:rPr>
              <w:fldChar w:fldCharType="begin"/>
            </w:r>
            <w:r w:rsidR="00061E65">
              <w:rPr>
                <w:noProof/>
                <w:webHidden/>
              </w:rPr>
              <w:instrText xml:space="preserve"> PAGEREF _Toc98404997 \h </w:instrText>
            </w:r>
            <w:r w:rsidR="00061E65">
              <w:rPr>
                <w:noProof/>
                <w:webHidden/>
              </w:rPr>
            </w:r>
            <w:r w:rsidR="00061E65">
              <w:rPr>
                <w:noProof/>
                <w:webHidden/>
              </w:rPr>
              <w:fldChar w:fldCharType="separate"/>
            </w:r>
            <w:r w:rsidR="00115E22">
              <w:rPr>
                <w:noProof/>
                <w:webHidden/>
              </w:rPr>
              <w:t>163</w:t>
            </w:r>
            <w:r w:rsidR="00061E65">
              <w:rPr>
                <w:noProof/>
                <w:webHidden/>
              </w:rPr>
              <w:fldChar w:fldCharType="end"/>
            </w:r>
          </w:hyperlink>
        </w:p>
        <w:p w14:paraId="1BB26430" w14:textId="23F23F7F" w:rsidR="00061E65" w:rsidRDefault="00DE280D">
          <w:pPr>
            <w:pStyle w:val="TOC2"/>
            <w:rPr>
              <w:rFonts w:eastAsiaTheme="minorEastAsia"/>
              <w:noProof/>
              <w:lang w:eastAsia="en-AU"/>
            </w:rPr>
          </w:pPr>
          <w:hyperlink w:anchor="_Toc98404998" w:history="1">
            <w:r w:rsidR="00061E65" w:rsidRPr="00E9493A">
              <w:rPr>
                <w:rStyle w:val="Hyperlink"/>
                <w:noProof/>
              </w:rPr>
              <w:t>13.8.</w:t>
            </w:r>
            <w:r w:rsidR="00061E65">
              <w:rPr>
                <w:rFonts w:eastAsiaTheme="minorEastAsia"/>
                <w:noProof/>
                <w:lang w:eastAsia="en-AU"/>
              </w:rPr>
              <w:tab/>
            </w:r>
            <w:r w:rsidR="00061E65" w:rsidRPr="00E9493A">
              <w:rPr>
                <w:rStyle w:val="Hyperlink"/>
                <w:noProof/>
              </w:rPr>
              <w:t>Conclusion</w:t>
            </w:r>
            <w:r w:rsidR="00061E65">
              <w:rPr>
                <w:noProof/>
                <w:webHidden/>
              </w:rPr>
              <w:tab/>
            </w:r>
            <w:r w:rsidR="00061E65">
              <w:rPr>
                <w:noProof/>
                <w:webHidden/>
              </w:rPr>
              <w:fldChar w:fldCharType="begin"/>
            </w:r>
            <w:r w:rsidR="00061E65">
              <w:rPr>
                <w:noProof/>
                <w:webHidden/>
              </w:rPr>
              <w:instrText xml:space="preserve"> PAGEREF _Toc98404998 \h </w:instrText>
            </w:r>
            <w:r w:rsidR="00061E65">
              <w:rPr>
                <w:noProof/>
                <w:webHidden/>
              </w:rPr>
            </w:r>
            <w:r w:rsidR="00061E65">
              <w:rPr>
                <w:noProof/>
                <w:webHidden/>
              </w:rPr>
              <w:fldChar w:fldCharType="separate"/>
            </w:r>
            <w:r w:rsidR="00115E22">
              <w:rPr>
                <w:noProof/>
                <w:webHidden/>
              </w:rPr>
              <w:t>167</w:t>
            </w:r>
            <w:r w:rsidR="00061E65">
              <w:rPr>
                <w:noProof/>
                <w:webHidden/>
              </w:rPr>
              <w:fldChar w:fldCharType="end"/>
            </w:r>
          </w:hyperlink>
        </w:p>
        <w:p w14:paraId="25BA37B7" w14:textId="69018F6A" w:rsidR="00061E65" w:rsidRDefault="00DE280D">
          <w:pPr>
            <w:pStyle w:val="TOC1"/>
            <w:rPr>
              <w:rFonts w:eastAsiaTheme="minorEastAsia"/>
              <w:noProof/>
              <w:lang w:eastAsia="en-AU"/>
            </w:rPr>
          </w:pPr>
          <w:hyperlink w:anchor="_Toc98404999" w:history="1">
            <w:r w:rsidR="00061E65" w:rsidRPr="00E9493A">
              <w:rPr>
                <w:rStyle w:val="Hyperlink"/>
                <w:noProof/>
                <w:lang w:val="it-IT"/>
              </w:rPr>
              <w:t>References</w:t>
            </w:r>
            <w:r w:rsidR="00061E65">
              <w:rPr>
                <w:noProof/>
                <w:webHidden/>
              </w:rPr>
              <w:tab/>
            </w:r>
            <w:r w:rsidR="00061E65">
              <w:rPr>
                <w:noProof/>
                <w:webHidden/>
              </w:rPr>
              <w:fldChar w:fldCharType="begin"/>
            </w:r>
            <w:r w:rsidR="00061E65">
              <w:rPr>
                <w:noProof/>
                <w:webHidden/>
              </w:rPr>
              <w:instrText xml:space="preserve"> PAGEREF _Toc98404999 \h </w:instrText>
            </w:r>
            <w:r w:rsidR="00061E65">
              <w:rPr>
                <w:noProof/>
                <w:webHidden/>
              </w:rPr>
            </w:r>
            <w:r w:rsidR="00061E65">
              <w:rPr>
                <w:noProof/>
                <w:webHidden/>
              </w:rPr>
              <w:fldChar w:fldCharType="separate"/>
            </w:r>
            <w:r w:rsidR="00115E22">
              <w:rPr>
                <w:noProof/>
                <w:webHidden/>
              </w:rPr>
              <w:t>168</w:t>
            </w:r>
            <w:r w:rsidR="00061E65">
              <w:rPr>
                <w:noProof/>
                <w:webHidden/>
              </w:rPr>
              <w:fldChar w:fldCharType="end"/>
            </w:r>
          </w:hyperlink>
        </w:p>
        <w:p w14:paraId="73F83CBF" w14:textId="2C15701E" w:rsidR="00061E65" w:rsidRDefault="00DE280D">
          <w:pPr>
            <w:pStyle w:val="TOC1"/>
            <w:rPr>
              <w:rFonts w:eastAsiaTheme="minorEastAsia"/>
              <w:noProof/>
              <w:lang w:eastAsia="en-AU"/>
            </w:rPr>
          </w:pPr>
          <w:hyperlink w:anchor="_Toc98405000" w:history="1">
            <w:r w:rsidR="00061E65" w:rsidRPr="00E9493A">
              <w:rPr>
                <w:rStyle w:val="Hyperlink"/>
                <w:noProof/>
              </w:rPr>
              <w:t>APPENDIX</w:t>
            </w:r>
            <w:r w:rsidR="00061E65">
              <w:rPr>
                <w:noProof/>
                <w:webHidden/>
              </w:rPr>
              <w:tab/>
            </w:r>
            <w:r w:rsidR="00061E65">
              <w:rPr>
                <w:noProof/>
                <w:webHidden/>
              </w:rPr>
              <w:fldChar w:fldCharType="begin"/>
            </w:r>
            <w:r w:rsidR="00061E65">
              <w:rPr>
                <w:noProof/>
                <w:webHidden/>
              </w:rPr>
              <w:instrText xml:space="preserve"> PAGEREF _Toc98405000 \h </w:instrText>
            </w:r>
            <w:r w:rsidR="00061E65">
              <w:rPr>
                <w:noProof/>
                <w:webHidden/>
              </w:rPr>
            </w:r>
            <w:r w:rsidR="00061E65">
              <w:rPr>
                <w:noProof/>
                <w:webHidden/>
              </w:rPr>
              <w:fldChar w:fldCharType="separate"/>
            </w:r>
            <w:r w:rsidR="00115E22">
              <w:rPr>
                <w:noProof/>
                <w:webHidden/>
              </w:rPr>
              <w:t>185</w:t>
            </w:r>
            <w:r w:rsidR="00061E65">
              <w:rPr>
                <w:noProof/>
                <w:webHidden/>
              </w:rPr>
              <w:fldChar w:fldCharType="end"/>
            </w:r>
          </w:hyperlink>
        </w:p>
        <w:p w14:paraId="65A3273F" w14:textId="153F605A" w:rsidR="00AC6A56" w:rsidRDefault="00AC6A56">
          <w:r>
            <w:fldChar w:fldCharType="end"/>
          </w:r>
        </w:p>
      </w:sdtContent>
    </w:sdt>
    <w:p w14:paraId="3EEB71EF" w14:textId="77777777" w:rsidR="00E04BA2" w:rsidRDefault="00E04BA2">
      <w:pPr>
        <w:rPr>
          <w:rFonts w:cstheme="minorHAnsi"/>
        </w:rPr>
        <w:sectPr w:rsidR="00E04BA2">
          <w:headerReference w:type="default" r:id="rId10"/>
          <w:footerReference w:type="default" r:id="rId11"/>
          <w:pgSz w:w="11906" w:h="16838"/>
          <w:pgMar w:top="1440" w:right="1440" w:bottom="1440" w:left="1440" w:header="708" w:footer="708" w:gutter="0"/>
          <w:cols w:space="708"/>
          <w:docGrid w:linePitch="360"/>
        </w:sectPr>
      </w:pPr>
    </w:p>
    <w:p w14:paraId="39A9C748" w14:textId="63D40CEE" w:rsidR="00F204C0" w:rsidRDefault="00232F89" w:rsidP="00232F89">
      <w:pPr>
        <w:pStyle w:val="Heading1"/>
        <w:numPr>
          <w:ilvl w:val="0"/>
          <w:numId w:val="0"/>
        </w:numPr>
        <w:ind w:left="432" w:hanging="432"/>
      </w:pPr>
      <w:bookmarkStart w:id="2" w:name="_Toc87454589"/>
      <w:bookmarkStart w:id="3" w:name="_Toc98404943"/>
      <w:r>
        <w:lastRenderedPageBreak/>
        <w:t>Executive summary</w:t>
      </w:r>
      <w:bookmarkEnd w:id="2"/>
      <w:bookmarkEnd w:id="3"/>
    </w:p>
    <w:p w14:paraId="28E3EA22" w14:textId="4ADD97C0" w:rsidR="00232F89" w:rsidRDefault="00B618A5" w:rsidP="00232F89">
      <w:pPr>
        <w:rPr>
          <w:lang w:val="en-US"/>
        </w:rPr>
      </w:pPr>
      <w:r w:rsidRPr="00B618A5">
        <w:t xml:space="preserve">The Centre for Population has commissioned </w:t>
      </w:r>
      <w:r>
        <w:t>this report</w:t>
      </w:r>
      <w:r w:rsidRPr="00B618A5">
        <w:t xml:space="preserve"> from the Australian National University </w:t>
      </w:r>
      <w:r>
        <w:t>to</w:t>
      </w:r>
      <w:r w:rsidRPr="00B618A5">
        <w:t xml:space="preserve"> explain trends and drivers of fertility in Australia and better understand the impact of government policies on fertility decisions.</w:t>
      </w:r>
    </w:p>
    <w:p w14:paraId="2310B06B" w14:textId="41393211" w:rsidR="00DC36AF" w:rsidRDefault="00DC36AF" w:rsidP="00DC36AF">
      <w:r>
        <w:t xml:space="preserve">Modern life, particularly the ability to negotiate work and family lives, has led to declining fertility rates across high-income countries. </w:t>
      </w:r>
      <w:r w:rsidR="00B67539">
        <w:t>Many individuals’ p</w:t>
      </w:r>
      <w:r>
        <w:t>references for</w:t>
      </w:r>
      <w:r w:rsidR="00B67539">
        <w:t xml:space="preserve"> desired number of</w:t>
      </w:r>
      <w:r>
        <w:t xml:space="preserve"> children are higher than the number of children that people</w:t>
      </w:r>
      <w:r w:rsidR="00B67539">
        <w:t xml:space="preserve"> eventually</w:t>
      </w:r>
      <w:r>
        <w:t xml:space="preserve"> have, suggesting that there are barriers to having children. </w:t>
      </w:r>
      <w:r w:rsidR="00B67539">
        <w:t>Over time, c</w:t>
      </w:r>
      <w:r>
        <w:t xml:space="preserve">hildbearing </w:t>
      </w:r>
      <w:r w:rsidR="00B67539">
        <w:t>has increasingly been</w:t>
      </w:r>
      <w:r>
        <w:t xml:space="preserve"> delayed to later ages, potentially contributing to fertility difficulties for couples if left too late in the reproductive lifespan. </w:t>
      </w:r>
    </w:p>
    <w:p w14:paraId="07797E9E" w14:textId="1BEB30E9" w:rsidR="009B60DD" w:rsidRDefault="009B60DD" w:rsidP="00DC36AF">
      <w:r>
        <w:t>This report includes three components: a literature review, an analysis of the Household, Income and Labour Dynamics in Australia</w:t>
      </w:r>
      <w:r w:rsidR="00B67539">
        <w:t xml:space="preserve"> (HILDA)</w:t>
      </w:r>
      <w:r>
        <w:t xml:space="preserve"> panel study, and questions about fertility intentions and family policies that were included in a survey of Australians. </w:t>
      </w:r>
    </w:p>
    <w:p w14:paraId="524CB676" w14:textId="534AAE79" w:rsidR="00DC36AF" w:rsidRDefault="00DC36AF" w:rsidP="00DC36AF">
      <w:r>
        <w:t xml:space="preserve">The literature review demonstrates the importance of policies that provide stability and support for raising children, for participation in employment through parental leave and </w:t>
      </w:r>
      <w:r w:rsidR="008D52A6">
        <w:t>child care</w:t>
      </w:r>
      <w:r>
        <w:t xml:space="preserve">, and that reduce the financial costs for parents. It also points to the importance of shared gender roles supported by public policies which support both parents’ involvement in work and family, through the availability of leave and the provision of </w:t>
      </w:r>
      <w:r w:rsidR="008D52A6">
        <w:t>child care</w:t>
      </w:r>
      <w:r>
        <w:t xml:space="preserve">. </w:t>
      </w:r>
    </w:p>
    <w:p w14:paraId="2BE6B425" w14:textId="14F3E319" w:rsidR="009B60DD" w:rsidRDefault="00DC36AF" w:rsidP="00DC36AF">
      <w:r>
        <w:t xml:space="preserve">The HILDA analysis </w:t>
      </w:r>
      <w:r w:rsidR="009B60DD">
        <w:t>investigates</w:t>
      </w:r>
      <w:r>
        <w:t xml:space="preserve"> the impact</w:t>
      </w:r>
      <w:r w:rsidR="009B60DD">
        <w:t>s</w:t>
      </w:r>
      <w:r>
        <w:t xml:space="preserve"> that polic</w:t>
      </w:r>
      <w:r w:rsidR="009B60DD">
        <w:t>ies</w:t>
      </w:r>
      <w:r>
        <w:t xml:space="preserve"> ha</w:t>
      </w:r>
      <w:r w:rsidR="009B60DD">
        <w:t>ve</w:t>
      </w:r>
      <w:r>
        <w:t xml:space="preserve"> on fertility</w:t>
      </w:r>
      <w:r w:rsidR="009B60DD">
        <w:t xml:space="preserve"> using quasi-experimental methods. </w:t>
      </w:r>
      <w:r w:rsidR="00193101">
        <w:t>The policies considered includ</w:t>
      </w:r>
      <w:r w:rsidR="00083754">
        <w:t>e</w:t>
      </w:r>
      <w:r w:rsidR="00193101">
        <w:t xml:space="preserve"> the introduction of the baby bonus, paid parental leave, paid partner leave, and adjustments to family tax benefits. The analysis does not provide convincing causal evidence of </w:t>
      </w:r>
      <w:r w:rsidR="00B67539">
        <w:t xml:space="preserve">changes in births </w:t>
      </w:r>
      <w:r w:rsidR="00193101">
        <w:t>due to the introduction of these policies</w:t>
      </w:r>
      <w:r>
        <w:t xml:space="preserve">. </w:t>
      </w:r>
    </w:p>
    <w:p w14:paraId="6400B28B" w14:textId="65215B1C" w:rsidR="00DC36AF" w:rsidRDefault="009B60DD" w:rsidP="00DC36AF">
      <w:r>
        <w:t>T</w:t>
      </w:r>
      <w:r w:rsidR="00DC36AF">
        <w:t>he survey analysis reinforces which issues are important to people when considering having children. Among the top five were the cost of raising children, the security of their or their partner’s job, the cost of housing, having someone to love, and their age.</w:t>
      </w:r>
    </w:p>
    <w:p w14:paraId="0965F423" w14:textId="07FB97A3" w:rsidR="009B60DD" w:rsidRDefault="007065D0" w:rsidP="00DC36AF">
      <w:r>
        <w:t xml:space="preserve">Taken together, these components provide insight into the issues that Australian parents and </w:t>
      </w:r>
      <w:r w:rsidR="00EC3298">
        <w:t xml:space="preserve">prospective </w:t>
      </w:r>
      <w:r>
        <w:t xml:space="preserve">parents face when considering having a child, and what measures can be considered to support parenting. In a setting like Australia, where it is usual and expected that parents are involved in both paid work and raising of children, </w:t>
      </w:r>
      <w:r w:rsidR="00C90D2A">
        <w:t>supportive family policies are needed to prevent a rapid decline in fertility</w:t>
      </w:r>
      <w:r w:rsidR="00DE018E">
        <w:t>.</w:t>
      </w:r>
      <w:r>
        <w:t xml:space="preserve"> </w:t>
      </w:r>
    </w:p>
    <w:p w14:paraId="686301C1" w14:textId="77777777" w:rsidR="00DC36AF" w:rsidRDefault="00DC36AF" w:rsidP="00232F89">
      <w:pPr>
        <w:rPr>
          <w:lang w:val="en-US"/>
        </w:rPr>
      </w:pPr>
    </w:p>
    <w:p w14:paraId="741309E8" w14:textId="77777777" w:rsidR="007443F0" w:rsidRPr="006A49D8" w:rsidRDefault="007443F0" w:rsidP="007443F0">
      <w:pPr>
        <w:spacing w:before="120" w:after="0"/>
        <w:jc w:val="both"/>
        <w:rPr>
          <w:rFonts w:asciiTheme="majorHAnsi" w:hAnsiTheme="majorHAnsi" w:cstheme="majorHAnsi"/>
          <w:color w:val="2E74B5" w:themeColor="accent1" w:themeShade="BF"/>
          <w:sz w:val="32"/>
          <w:szCs w:val="32"/>
        </w:rPr>
      </w:pPr>
      <w:r w:rsidRPr="006A49D8">
        <w:rPr>
          <w:rFonts w:asciiTheme="majorHAnsi" w:hAnsiTheme="majorHAnsi" w:cstheme="majorHAnsi"/>
          <w:color w:val="2E74B5" w:themeColor="accent1" w:themeShade="BF"/>
          <w:sz w:val="32"/>
          <w:szCs w:val="32"/>
        </w:rPr>
        <w:t xml:space="preserve">Part 1: Literature Review </w:t>
      </w:r>
    </w:p>
    <w:p w14:paraId="3A4CEBFE" w14:textId="257FB173" w:rsidR="00DE018E" w:rsidRDefault="00DE018E" w:rsidP="007443F0">
      <w:pPr>
        <w:spacing w:before="120" w:after="0"/>
        <w:jc w:val="both"/>
      </w:pPr>
      <w:r>
        <w:t>The purpose of the literature review is to understand the features of Australian fertility, and what is known about public policies to support childbearing. The review encompasses trends in Australian fertility, and how they compare internationally. It considers how fertility is measured, and the limitations of those measures for considering policy interventions.</w:t>
      </w:r>
    </w:p>
    <w:p w14:paraId="6DB2A566" w14:textId="65D0CE68" w:rsidR="00124A92" w:rsidRPr="00AF3090" w:rsidRDefault="00124A92" w:rsidP="00AF3090">
      <w:pPr>
        <w:spacing w:before="120" w:after="0"/>
        <w:jc w:val="both"/>
      </w:pPr>
      <w:r w:rsidRPr="00AF3090">
        <w:t>Following the trends, the review discusses the factors associated with fertility at the macro- and micro-levels, which together lead to fertility outcomes at the population level. The review then moves to consider the main policies which have been found to be associated with supporting fertility: financial transfers, parental leave and child</w:t>
      </w:r>
      <w:r w:rsidR="009F7190">
        <w:t xml:space="preserve"> </w:t>
      </w:r>
      <w:r w:rsidRPr="00AF3090">
        <w:t>care. The review ends with considerations of other policy settings surrounding issues such as housing and assisted</w:t>
      </w:r>
      <w:r w:rsidR="00A57FDE">
        <w:t xml:space="preserve"> </w:t>
      </w:r>
      <w:r w:rsidRPr="00AF3090">
        <w:t>reproductive technologies as they relate to fertility.</w:t>
      </w:r>
    </w:p>
    <w:p w14:paraId="6CCA6CF2" w14:textId="6B1D9E88" w:rsidR="00707D80" w:rsidRPr="00636377" w:rsidRDefault="00AF3090" w:rsidP="00636377">
      <w:pPr>
        <w:spacing w:before="120" w:after="0" w:line="360" w:lineRule="auto"/>
        <w:jc w:val="both"/>
        <w:rPr>
          <w:i/>
          <w:iCs/>
          <w:color w:val="5B9BD5" w:themeColor="accent1"/>
          <w:sz w:val="28"/>
          <w:szCs w:val="28"/>
        </w:rPr>
      </w:pPr>
      <w:r w:rsidRPr="00DF4353">
        <w:rPr>
          <w:i/>
          <w:iCs/>
          <w:color w:val="5B9BD5" w:themeColor="accent1"/>
          <w:sz w:val="28"/>
          <w:szCs w:val="28"/>
        </w:rPr>
        <w:lastRenderedPageBreak/>
        <w:t>Trends in Fertility</w:t>
      </w:r>
    </w:p>
    <w:p w14:paraId="355203D9" w14:textId="717CB621" w:rsidR="007443F0" w:rsidRDefault="00036159" w:rsidP="007443F0">
      <w:pPr>
        <w:spacing w:before="120" w:after="0"/>
        <w:jc w:val="both"/>
      </w:pPr>
      <w:r>
        <w:t>F</w:t>
      </w:r>
      <w:r w:rsidR="007443F0">
        <w:t xml:space="preserve">ertility rates have been declining in most high-income countries: </w:t>
      </w:r>
      <w:r>
        <w:t xml:space="preserve">with </w:t>
      </w:r>
      <w:r w:rsidR="007443F0">
        <w:t>all hav</w:t>
      </w:r>
      <w:r>
        <w:t>ing</w:t>
      </w:r>
      <w:r w:rsidR="007443F0">
        <w:t xml:space="preserve"> </w:t>
      </w:r>
      <w:r>
        <w:t>Total Fertility Rates (</w:t>
      </w:r>
      <w:r w:rsidR="007443F0">
        <w:t>TFRs</w:t>
      </w:r>
      <w:r>
        <w:t>)</w:t>
      </w:r>
      <w:r w:rsidR="007443F0">
        <w:t xml:space="preserve"> below ‘replacement-level’ fertility</w:t>
      </w:r>
      <w:r w:rsidR="00124A92">
        <w:t>, that is the fertility level required to replace the previous generation, usually around 2.1 births</w:t>
      </w:r>
      <w:r>
        <w:t xml:space="preserve"> per woman</w:t>
      </w:r>
      <w:r w:rsidR="007443F0">
        <w:t xml:space="preserve">. Some </w:t>
      </w:r>
      <w:r w:rsidR="00124A92">
        <w:t xml:space="preserve">countries, including South Korea, Singapore and Italy, have </w:t>
      </w:r>
      <w:r w:rsidR="007443F0">
        <w:t>TFRs that are described as ‘</w:t>
      </w:r>
      <w:r w:rsidR="00D9745A">
        <w:t>lowest-</w:t>
      </w:r>
      <w:r w:rsidR="007443F0">
        <w:t xml:space="preserve">low’, that is, below 1.3. Australia has typically maintained relatively higher fertility rates compared to other high-income countries, however the TFR fell to its lowest </w:t>
      </w:r>
      <w:r w:rsidR="00734993">
        <w:t xml:space="preserve">recorded </w:t>
      </w:r>
      <w:r w:rsidR="007443F0">
        <w:t>level of 1.</w:t>
      </w:r>
      <w:r w:rsidR="0026646C">
        <w:t>58</w:t>
      </w:r>
      <w:r w:rsidR="007443F0">
        <w:t xml:space="preserve"> in 20</w:t>
      </w:r>
      <w:r w:rsidR="0026646C">
        <w:t>20</w:t>
      </w:r>
      <w:r w:rsidR="00813F34">
        <w:t xml:space="preserve"> (A</w:t>
      </w:r>
      <w:r w:rsidR="00F5132D">
        <w:t xml:space="preserve">ustralian Bureau of Statistics, </w:t>
      </w:r>
      <w:r w:rsidR="00813F34">
        <w:t>20</w:t>
      </w:r>
      <w:r w:rsidR="0026646C">
        <w:t>21</w:t>
      </w:r>
      <w:r w:rsidR="00F5132D">
        <w:t>a</w:t>
      </w:r>
      <w:r w:rsidR="00813F34">
        <w:t>)</w:t>
      </w:r>
      <w:r w:rsidR="007443F0">
        <w:t>.</w:t>
      </w:r>
    </w:p>
    <w:p w14:paraId="266A5AEC" w14:textId="71EA2FD0" w:rsidR="007443F0" w:rsidRDefault="007443F0" w:rsidP="007443F0">
      <w:pPr>
        <w:spacing w:before="120" w:after="0"/>
        <w:jc w:val="both"/>
      </w:pPr>
      <w:r>
        <w:t>One of the reasons for the decline in the TFR is because Australians are having children at later ages. Since the mid-1970s there has been a constant increase in the mean age at childbearing in Australia. At the population level, it has been observed that later entry into parenthood is associated with lower fertility levels.</w:t>
      </w:r>
    </w:p>
    <w:p w14:paraId="40394210" w14:textId="1E50B675" w:rsidR="00707D80" w:rsidRPr="00636377" w:rsidRDefault="00707D80" w:rsidP="00636377">
      <w:pPr>
        <w:spacing w:before="120" w:after="0" w:line="360" w:lineRule="auto"/>
        <w:jc w:val="both"/>
        <w:rPr>
          <w:i/>
          <w:iCs/>
          <w:color w:val="5B9BD5" w:themeColor="accent1"/>
          <w:sz w:val="28"/>
          <w:szCs w:val="28"/>
        </w:rPr>
      </w:pPr>
      <w:r w:rsidRPr="00636377">
        <w:rPr>
          <w:i/>
          <w:iCs/>
          <w:color w:val="5B9BD5" w:themeColor="accent1"/>
          <w:sz w:val="28"/>
          <w:szCs w:val="28"/>
        </w:rPr>
        <w:t>Framework for understanding changes in fertility</w:t>
      </w:r>
    </w:p>
    <w:p w14:paraId="3FCA3D77" w14:textId="17DFEDCA" w:rsidR="007443F0" w:rsidRDefault="007443F0" w:rsidP="007443F0">
      <w:r>
        <w:t>Fertility rates are the result of individual childbearing decisions and outcomes that occur within the wider societal context. As such a macro-micro framework</w:t>
      </w:r>
      <w:r w:rsidR="00EE6F75">
        <w:t xml:space="preserve"> incorporates the societal and individual factors that influence </w:t>
      </w:r>
      <w:r w:rsidR="00C52A68">
        <w:t xml:space="preserve">the timing of </w:t>
      </w:r>
      <w:r w:rsidR="00EE6F75">
        <w:t>childbearing and</w:t>
      </w:r>
      <w:r w:rsidR="00C52A68">
        <w:t xml:space="preserve"> number of children born, which at the population level </w:t>
      </w:r>
      <w:r w:rsidR="00EE6F75">
        <w:t xml:space="preserve">contribute to </w:t>
      </w:r>
      <w:r>
        <w:t xml:space="preserve">contemporary fertility </w:t>
      </w:r>
      <w:r w:rsidR="00C52A68">
        <w:t>rates</w:t>
      </w:r>
      <w:r>
        <w:t xml:space="preserve">. </w:t>
      </w:r>
      <w:r>
        <w:rPr>
          <w:rFonts w:cstheme="minorHAnsi"/>
          <w:color w:val="000000" w:themeColor="text1"/>
        </w:rPr>
        <w:t xml:space="preserve">Conceptualising fertility as a system, where individuals make their reproductive choices within a wider macro-context can aid understanding of the multiple influences on fertility, how these interact with each other, as well as what roles policies have in shaping factors that are important in fertility decision making. </w:t>
      </w:r>
    </w:p>
    <w:p w14:paraId="4CA4C783" w14:textId="04520D14" w:rsidR="007443F0" w:rsidRDefault="007443F0" w:rsidP="007443F0">
      <w:r>
        <w:t>Fertility theories highlight</w:t>
      </w:r>
      <w:r w:rsidR="0065014A">
        <w:t xml:space="preserve"> a number of</w:t>
      </w:r>
      <w:r>
        <w:t xml:space="preserve"> important societal factors that influence the decision to have a child. These include: the costs and benefits of having a child for the parents in that historical place and time; economic conditions such as labour market stability, recessions or other uncertainty; and social attitudes and norms including gender-role attitudes and autonomy. </w:t>
      </w:r>
    </w:p>
    <w:p w14:paraId="6886B8CA" w14:textId="77777777" w:rsidR="007443F0" w:rsidRPr="00636377" w:rsidRDefault="007443F0" w:rsidP="00636377">
      <w:pPr>
        <w:spacing w:before="120" w:after="0" w:line="360" w:lineRule="auto"/>
        <w:jc w:val="both"/>
        <w:rPr>
          <w:i/>
          <w:iCs/>
          <w:color w:val="5B9BD5" w:themeColor="accent1"/>
          <w:sz w:val="28"/>
          <w:szCs w:val="28"/>
        </w:rPr>
      </w:pPr>
      <w:r w:rsidRPr="00636377">
        <w:rPr>
          <w:i/>
          <w:iCs/>
          <w:color w:val="5B9BD5" w:themeColor="accent1"/>
          <w:sz w:val="28"/>
          <w:szCs w:val="28"/>
        </w:rPr>
        <w:t>Measuring effects of policies</w:t>
      </w:r>
    </w:p>
    <w:p w14:paraId="6FEADFDE" w14:textId="35590A38" w:rsidR="007443F0" w:rsidRPr="00636377" w:rsidRDefault="007443F0" w:rsidP="00636377">
      <w:pPr>
        <w:spacing w:before="120" w:after="0" w:line="360" w:lineRule="auto"/>
        <w:jc w:val="both"/>
        <w:rPr>
          <w:i/>
          <w:iCs/>
          <w:color w:val="5B9BD5" w:themeColor="accent1"/>
          <w:sz w:val="24"/>
          <w:szCs w:val="24"/>
        </w:rPr>
      </w:pPr>
      <w:r w:rsidRPr="00636377">
        <w:rPr>
          <w:i/>
          <w:iCs/>
          <w:color w:val="5B9BD5" w:themeColor="accent1"/>
          <w:sz w:val="24"/>
          <w:szCs w:val="24"/>
        </w:rPr>
        <w:t xml:space="preserve">Financial </w:t>
      </w:r>
      <w:r w:rsidR="0054521C">
        <w:rPr>
          <w:i/>
          <w:iCs/>
          <w:color w:val="5B9BD5" w:themeColor="accent1"/>
          <w:sz w:val="24"/>
          <w:szCs w:val="24"/>
        </w:rPr>
        <w:t>support for families</w:t>
      </w:r>
    </w:p>
    <w:p w14:paraId="209B2CE1" w14:textId="5B2B2F29" w:rsidR="007443F0" w:rsidRPr="00600F34" w:rsidRDefault="007443F0" w:rsidP="007443F0">
      <w:pPr>
        <w:rPr>
          <w:lang w:val="en-US"/>
        </w:rPr>
      </w:pPr>
      <w:r w:rsidRPr="00600F34">
        <w:rPr>
          <w:lang w:val="en-US"/>
        </w:rPr>
        <w:t xml:space="preserve">Financial transfers </w:t>
      </w:r>
      <w:r>
        <w:rPr>
          <w:lang w:val="en-US"/>
        </w:rPr>
        <w:t xml:space="preserve">are often provided by governments </w:t>
      </w:r>
      <w:r w:rsidRPr="00600F34">
        <w:rPr>
          <w:lang w:val="en-US"/>
        </w:rPr>
        <w:t>to help reduce the direct costs of children</w:t>
      </w:r>
      <w:r>
        <w:rPr>
          <w:lang w:val="en-US"/>
        </w:rPr>
        <w:t xml:space="preserve"> to parents. </w:t>
      </w:r>
      <w:r w:rsidRPr="00600F34">
        <w:rPr>
          <w:lang w:val="en-US"/>
        </w:rPr>
        <w:t>Australia has relatively generous, means-tested financial transfers in the form of Family Tax Benefit A and B</w:t>
      </w:r>
      <w:r w:rsidR="00672760">
        <w:rPr>
          <w:lang w:val="en-US"/>
        </w:rPr>
        <w:t xml:space="preserve">, which </w:t>
      </w:r>
      <w:r w:rsidR="00070722">
        <w:rPr>
          <w:lang w:val="en-US"/>
        </w:rPr>
        <w:t>provide a monthly transfer to families based on the number of children, the ages of the children</w:t>
      </w:r>
      <w:r w:rsidR="009473B5">
        <w:rPr>
          <w:lang w:val="en-US"/>
        </w:rPr>
        <w:t>,</w:t>
      </w:r>
      <w:r w:rsidR="00070722">
        <w:rPr>
          <w:lang w:val="en-US"/>
        </w:rPr>
        <w:t xml:space="preserve"> and the family income. </w:t>
      </w:r>
    </w:p>
    <w:p w14:paraId="7C15767F" w14:textId="1E45E0F0" w:rsidR="007443F0" w:rsidRPr="00600F34" w:rsidRDefault="007443F0" w:rsidP="007443F0">
      <w:pPr>
        <w:rPr>
          <w:lang w:val="en-US"/>
        </w:rPr>
      </w:pPr>
      <w:r w:rsidRPr="00600F34">
        <w:rPr>
          <w:lang w:val="en-US"/>
        </w:rPr>
        <w:t>Evidence from other countries suggests that financial transfers have a</w:t>
      </w:r>
      <w:r>
        <w:rPr>
          <w:lang w:val="en-US"/>
        </w:rPr>
        <w:t xml:space="preserve">n </w:t>
      </w:r>
      <w:r w:rsidRPr="00600F34">
        <w:rPr>
          <w:lang w:val="en-US"/>
        </w:rPr>
        <w:t>overall positive effect on fertility</w:t>
      </w:r>
      <w:r>
        <w:rPr>
          <w:lang w:val="en-US"/>
        </w:rPr>
        <w:t xml:space="preserve">. </w:t>
      </w:r>
      <w:r w:rsidRPr="00600F34">
        <w:rPr>
          <w:lang w:val="en-US"/>
        </w:rPr>
        <w:t>However</w:t>
      </w:r>
      <w:r w:rsidR="004D2C12">
        <w:rPr>
          <w:lang w:val="en-US"/>
        </w:rPr>
        <w:t>,</w:t>
      </w:r>
      <w:r w:rsidRPr="00600F34">
        <w:rPr>
          <w:lang w:val="en-US"/>
        </w:rPr>
        <w:t xml:space="preserve"> the effect on fertility is usually small because the transfers only represent a </w:t>
      </w:r>
      <w:r w:rsidR="009473B5">
        <w:rPr>
          <w:lang w:val="en-US"/>
        </w:rPr>
        <w:t>small fraction of</w:t>
      </w:r>
      <w:r w:rsidRPr="00600F34">
        <w:rPr>
          <w:lang w:val="en-US"/>
        </w:rPr>
        <w:t xml:space="preserve"> the large direct costs of children</w:t>
      </w:r>
      <w:r>
        <w:rPr>
          <w:lang w:val="en-US"/>
        </w:rPr>
        <w:t>.</w:t>
      </w:r>
    </w:p>
    <w:p w14:paraId="5E6FE045" w14:textId="77777777" w:rsidR="007443F0" w:rsidRPr="00636377" w:rsidRDefault="007443F0" w:rsidP="002736EC">
      <w:pPr>
        <w:spacing w:before="120" w:after="0" w:line="360" w:lineRule="auto"/>
        <w:jc w:val="both"/>
        <w:rPr>
          <w:i/>
          <w:iCs/>
          <w:color w:val="5B9BD5" w:themeColor="accent1"/>
          <w:sz w:val="24"/>
          <w:szCs w:val="24"/>
        </w:rPr>
      </w:pPr>
      <w:r w:rsidRPr="00636377">
        <w:rPr>
          <w:i/>
          <w:iCs/>
          <w:color w:val="5B9BD5" w:themeColor="accent1"/>
          <w:sz w:val="24"/>
          <w:szCs w:val="24"/>
        </w:rPr>
        <w:t>Parental leave</w:t>
      </w:r>
    </w:p>
    <w:p w14:paraId="04FB93E8" w14:textId="597ADE99" w:rsidR="007443F0" w:rsidRDefault="007443F0" w:rsidP="007443F0">
      <w:pPr>
        <w:rPr>
          <w:lang w:val="en-US"/>
        </w:rPr>
      </w:pPr>
      <w:r w:rsidRPr="00E23209">
        <w:rPr>
          <w:lang w:val="en-US"/>
        </w:rPr>
        <w:t xml:space="preserve">Paid parental leave policies decrease the opportunity cost of childbearing for women by allowing for career </w:t>
      </w:r>
      <w:r w:rsidR="00FE6D64" w:rsidRPr="00E23209">
        <w:rPr>
          <w:lang w:val="en-US"/>
        </w:rPr>
        <w:t>continuity and</w:t>
      </w:r>
      <w:r w:rsidRPr="00E23209">
        <w:rPr>
          <w:lang w:val="en-US"/>
        </w:rPr>
        <w:t xml:space="preserve"> compensating for lost income due to tim</w:t>
      </w:r>
      <w:r>
        <w:rPr>
          <w:lang w:val="en-US"/>
        </w:rPr>
        <w:t>e taken away from the workforce. Australia has had paid parental leave</w:t>
      </w:r>
      <w:r w:rsidR="00164EAB">
        <w:rPr>
          <w:lang w:val="en-US"/>
        </w:rPr>
        <w:t xml:space="preserve"> fo</w:t>
      </w:r>
      <w:r w:rsidR="00355DB7">
        <w:rPr>
          <w:lang w:val="en-US"/>
        </w:rPr>
        <w:t>r</w:t>
      </w:r>
      <w:r w:rsidR="00164EAB">
        <w:rPr>
          <w:lang w:val="en-US"/>
        </w:rPr>
        <w:t xml:space="preserve"> the primary carer, usually the mother, </w:t>
      </w:r>
      <w:r>
        <w:rPr>
          <w:lang w:val="en-US"/>
        </w:rPr>
        <w:t>since 2011, and paid paternity leave since 2013. The uptake of paternity leave by fathers has been low.</w:t>
      </w:r>
    </w:p>
    <w:p w14:paraId="4265E0C8" w14:textId="601E9957" w:rsidR="007443F0" w:rsidRDefault="009473B5" w:rsidP="007443F0">
      <w:pPr>
        <w:rPr>
          <w:lang w:val="en-US"/>
        </w:rPr>
      </w:pPr>
      <w:r>
        <w:rPr>
          <w:lang w:val="en-US"/>
        </w:rPr>
        <w:lastRenderedPageBreak/>
        <w:t>E</w:t>
      </w:r>
      <w:r w:rsidR="007443F0" w:rsidRPr="00E23209">
        <w:rPr>
          <w:lang w:val="en-US"/>
        </w:rPr>
        <w:t>vidence from reforms introduced in other countries suggests that well-paid maternity leave has a positive effect on fertility, at least in the short term</w:t>
      </w:r>
      <w:r w:rsidR="007443F0">
        <w:rPr>
          <w:lang w:val="en-US"/>
        </w:rPr>
        <w:t xml:space="preserve">. Evidence of the effect of paternity leave on fertility is </w:t>
      </w:r>
      <w:r>
        <w:rPr>
          <w:lang w:val="en-US"/>
        </w:rPr>
        <w:t>less clear</w:t>
      </w:r>
      <w:r w:rsidR="007443F0">
        <w:rPr>
          <w:lang w:val="en-US"/>
        </w:rPr>
        <w:t>.</w:t>
      </w:r>
    </w:p>
    <w:p w14:paraId="596D26A8" w14:textId="163DA283" w:rsidR="007443F0" w:rsidRPr="00636377" w:rsidRDefault="007443F0" w:rsidP="002736EC">
      <w:pPr>
        <w:spacing w:before="120" w:after="0" w:line="360" w:lineRule="auto"/>
        <w:jc w:val="both"/>
        <w:rPr>
          <w:i/>
          <w:iCs/>
          <w:color w:val="5B9BD5" w:themeColor="accent1"/>
          <w:sz w:val="24"/>
          <w:szCs w:val="24"/>
        </w:rPr>
      </w:pPr>
      <w:r w:rsidRPr="00636377">
        <w:rPr>
          <w:i/>
          <w:iCs/>
          <w:color w:val="5B9BD5" w:themeColor="accent1"/>
          <w:sz w:val="24"/>
          <w:szCs w:val="24"/>
        </w:rPr>
        <w:t>Child</w:t>
      </w:r>
      <w:r w:rsidR="009F7190">
        <w:rPr>
          <w:i/>
          <w:iCs/>
          <w:color w:val="5B9BD5" w:themeColor="accent1"/>
          <w:sz w:val="24"/>
          <w:szCs w:val="24"/>
        </w:rPr>
        <w:t xml:space="preserve"> </w:t>
      </w:r>
      <w:r w:rsidRPr="00636377">
        <w:rPr>
          <w:i/>
          <w:iCs/>
          <w:color w:val="5B9BD5" w:themeColor="accent1"/>
          <w:sz w:val="24"/>
          <w:szCs w:val="24"/>
        </w:rPr>
        <w:t xml:space="preserve">care </w:t>
      </w:r>
    </w:p>
    <w:p w14:paraId="6E55F00A" w14:textId="689EFAE1" w:rsidR="007443F0" w:rsidRPr="004C71DD" w:rsidRDefault="007443F0" w:rsidP="00AF3090">
      <w:r>
        <w:rPr>
          <w:lang w:val="en-US"/>
        </w:rPr>
        <w:t>While child</w:t>
      </w:r>
      <w:r w:rsidR="009F7190">
        <w:rPr>
          <w:lang w:val="en-US"/>
        </w:rPr>
        <w:t xml:space="preserve"> </w:t>
      </w:r>
      <w:r>
        <w:rPr>
          <w:lang w:val="en-US"/>
        </w:rPr>
        <w:t xml:space="preserve">care is not designed to support fertility, it can </w:t>
      </w:r>
      <w:r w:rsidRPr="00E23209">
        <w:rPr>
          <w:lang w:val="en-US"/>
        </w:rPr>
        <w:t>have a positive effect on childbearing by increasing work-family compatibility.</w:t>
      </w:r>
      <w:r>
        <w:rPr>
          <w:lang w:val="en-US"/>
        </w:rPr>
        <w:t xml:space="preserve"> </w:t>
      </w:r>
      <w:r w:rsidRPr="00E23209">
        <w:rPr>
          <w:lang w:val="en-US"/>
        </w:rPr>
        <w:t>In Australia, child</w:t>
      </w:r>
      <w:r w:rsidR="009F7190">
        <w:rPr>
          <w:lang w:val="en-US"/>
        </w:rPr>
        <w:t xml:space="preserve"> </w:t>
      </w:r>
      <w:r w:rsidRPr="00E23209">
        <w:rPr>
          <w:lang w:val="en-US"/>
        </w:rPr>
        <w:t>care is primarily market based, and subsidi</w:t>
      </w:r>
      <w:r w:rsidR="00AC01B0">
        <w:rPr>
          <w:lang w:val="en-US"/>
        </w:rPr>
        <w:t>s</w:t>
      </w:r>
      <w:r w:rsidRPr="00E23209">
        <w:rPr>
          <w:lang w:val="en-US"/>
        </w:rPr>
        <w:t>ed by the governmen</w:t>
      </w:r>
      <w:r>
        <w:rPr>
          <w:lang w:val="en-US"/>
        </w:rPr>
        <w:t>t through the Child</w:t>
      </w:r>
      <w:r w:rsidR="0054521C">
        <w:rPr>
          <w:lang w:val="en-US"/>
        </w:rPr>
        <w:t xml:space="preserve"> C</w:t>
      </w:r>
      <w:r>
        <w:rPr>
          <w:lang w:val="en-US"/>
        </w:rPr>
        <w:t>are Subsidy</w:t>
      </w:r>
      <w:r w:rsidR="008855B4">
        <w:rPr>
          <w:lang w:val="en-US"/>
        </w:rPr>
        <w:t xml:space="preserve">. </w:t>
      </w:r>
      <w:r w:rsidRPr="00E23209">
        <w:rPr>
          <w:lang w:val="en-US"/>
        </w:rPr>
        <w:t>Evidence from overseas suggests that increased child</w:t>
      </w:r>
      <w:r w:rsidR="009F7190">
        <w:rPr>
          <w:lang w:val="en-US"/>
        </w:rPr>
        <w:t xml:space="preserve"> </w:t>
      </w:r>
      <w:r w:rsidRPr="00E23209">
        <w:rPr>
          <w:lang w:val="en-US"/>
        </w:rPr>
        <w:t>care provision has</w:t>
      </w:r>
      <w:r>
        <w:rPr>
          <w:lang w:val="en-US"/>
        </w:rPr>
        <w:t xml:space="preserve"> a positive effect on fertility</w:t>
      </w:r>
      <w:r w:rsidRPr="00E23209">
        <w:rPr>
          <w:lang w:val="en-US"/>
        </w:rPr>
        <w:t>.</w:t>
      </w:r>
    </w:p>
    <w:p w14:paraId="139712BD" w14:textId="0E8F9341" w:rsidR="007443F0" w:rsidRPr="00636377" w:rsidRDefault="00EB7882" w:rsidP="00636377">
      <w:pPr>
        <w:spacing w:before="120" w:after="0" w:line="360" w:lineRule="auto"/>
        <w:jc w:val="both"/>
        <w:rPr>
          <w:i/>
          <w:iCs/>
          <w:color w:val="5B9BD5" w:themeColor="accent1"/>
          <w:sz w:val="24"/>
          <w:szCs w:val="24"/>
        </w:rPr>
      </w:pPr>
      <w:r w:rsidRPr="00636377">
        <w:rPr>
          <w:i/>
          <w:iCs/>
          <w:color w:val="5B9BD5" w:themeColor="accent1"/>
          <w:sz w:val="24"/>
          <w:szCs w:val="24"/>
        </w:rPr>
        <w:t xml:space="preserve">Assisted reproductive technology </w:t>
      </w:r>
    </w:p>
    <w:p w14:paraId="25B69455" w14:textId="018023D8" w:rsidR="007443F0" w:rsidRPr="00E23209" w:rsidRDefault="00A32014" w:rsidP="007443F0">
      <w:pPr>
        <w:jc w:val="both"/>
        <w:rPr>
          <w:lang w:val="en-US"/>
        </w:rPr>
      </w:pPr>
      <w:r>
        <w:rPr>
          <w:rFonts w:cstheme="minorHAnsi"/>
          <w:lang w:val="en-US"/>
        </w:rPr>
        <w:t>As the average</w:t>
      </w:r>
      <w:r w:rsidR="007443F0">
        <w:rPr>
          <w:rFonts w:cstheme="minorHAnsi"/>
          <w:lang w:val="en-US"/>
        </w:rPr>
        <w:t xml:space="preserve"> age at having children</w:t>
      </w:r>
      <w:r>
        <w:rPr>
          <w:rFonts w:cstheme="minorHAnsi"/>
          <w:lang w:val="en-US"/>
        </w:rPr>
        <w:t xml:space="preserve"> has increased over time</w:t>
      </w:r>
      <w:r w:rsidR="007443F0" w:rsidRPr="00E23209">
        <w:rPr>
          <w:rFonts w:cstheme="minorHAnsi"/>
          <w:lang w:val="en-US"/>
        </w:rPr>
        <w:t>, the proportion of women experiencing difficulty in achieving a pregnancy has increased</w:t>
      </w:r>
      <w:r w:rsidR="007443F0">
        <w:rPr>
          <w:rFonts w:cstheme="minorHAnsi"/>
          <w:lang w:val="en-US"/>
        </w:rPr>
        <w:t>. A</w:t>
      </w:r>
      <w:r w:rsidR="007443F0" w:rsidRPr="00E23209">
        <w:rPr>
          <w:rFonts w:cstheme="minorHAnsi"/>
          <w:lang w:val="en-US"/>
        </w:rPr>
        <w:t xml:space="preserve">ssisted reproductive technology (ART) treatments </w:t>
      </w:r>
      <w:r w:rsidR="007443F0">
        <w:rPr>
          <w:rFonts w:cstheme="minorHAnsi"/>
          <w:lang w:val="en-US"/>
        </w:rPr>
        <w:t xml:space="preserve">are becoming increasingly used </w:t>
      </w:r>
      <w:r w:rsidR="007443F0" w:rsidRPr="00E23209">
        <w:rPr>
          <w:rFonts w:cstheme="minorHAnsi"/>
          <w:lang w:val="en-US"/>
        </w:rPr>
        <w:t>to counteract this decline.</w:t>
      </w:r>
    </w:p>
    <w:p w14:paraId="68655924" w14:textId="4A44DDF7" w:rsidR="007443F0" w:rsidRPr="00F33C92" w:rsidRDefault="007443F0" w:rsidP="007443F0">
      <w:pPr>
        <w:jc w:val="both"/>
        <w:rPr>
          <w:lang w:val="en-US"/>
        </w:rPr>
      </w:pPr>
      <w:r>
        <w:rPr>
          <w:rFonts w:cstheme="minorHAnsi"/>
          <w:lang w:val="en-US"/>
        </w:rPr>
        <w:t xml:space="preserve">In comparison to other countries, </w:t>
      </w:r>
      <w:r w:rsidRPr="00F33C92">
        <w:rPr>
          <w:rFonts w:cstheme="minorHAnsi"/>
          <w:lang w:val="en-US"/>
        </w:rPr>
        <w:t xml:space="preserve">Australia </w:t>
      </w:r>
      <w:r>
        <w:rPr>
          <w:rFonts w:cstheme="minorHAnsi"/>
          <w:lang w:val="en-US"/>
        </w:rPr>
        <w:t xml:space="preserve">has </w:t>
      </w:r>
      <w:r w:rsidRPr="00F33C92">
        <w:rPr>
          <w:rFonts w:cstheme="minorHAnsi"/>
          <w:lang w:val="en-US"/>
        </w:rPr>
        <w:t xml:space="preserve">relatively supportive public </w:t>
      </w:r>
      <w:r w:rsidR="00A32014">
        <w:rPr>
          <w:rFonts w:cstheme="minorHAnsi"/>
          <w:lang w:val="en-US"/>
        </w:rPr>
        <w:t>policy</w:t>
      </w:r>
      <w:r w:rsidR="00A32014" w:rsidRPr="00F33C92">
        <w:rPr>
          <w:rFonts w:cstheme="minorHAnsi"/>
          <w:lang w:val="en-US"/>
        </w:rPr>
        <w:t xml:space="preserve"> </w:t>
      </w:r>
      <w:r w:rsidRPr="00F33C92">
        <w:rPr>
          <w:rFonts w:cstheme="minorHAnsi"/>
          <w:lang w:val="en-US"/>
        </w:rPr>
        <w:t>for ART and has one of the highest proportion of children born as a result of ART (5%).</w:t>
      </w:r>
      <w:r>
        <w:rPr>
          <w:lang w:val="en-US"/>
        </w:rPr>
        <w:t xml:space="preserve"> Hence, </w:t>
      </w:r>
      <w:r w:rsidRPr="00F33C92">
        <w:rPr>
          <w:rFonts w:cstheme="minorHAnsi"/>
          <w:lang w:val="en-US"/>
        </w:rPr>
        <w:t>ART can broaden the range of possible responses to low fertility rates, although its contribution to the TFR so far has been modest.</w:t>
      </w:r>
    </w:p>
    <w:p w14:paraId="1319B93C" w14:textId="77777777" w:rsidR="007443F0" w:rsidRPr="007443F0" w:rsidRDefault="007443F0" w:rsidP="007443F0">
      <w:pPr>
        <w:rPr>
          <w:rFonts w:asciiTheme="majorHAnsi" w:hAnsiTheme="majorHAnsi" w:cstheme="majorHAnsi"/>
          <w:color w:val="2E74B5" w:themeColor="accent1" w:themeShade="BF"/>
          <w:sz w:val="32"/>
          <w:szCs w:val="32"/>
        </w:rPr>
      </w:pPr>
      <w:r w:rsidRPr="007443F0">
        <w:rPr>
          <w:rFonts w:asciiTheme="majorHAnsi" w:hAnsiTheme="majorHAnsi" w:cstheme="majorHAnsi"/>
          <w:color w:val="2E74B5" w:themeColor="accent1" w:themeShade="BF"/>
          <w:sz w:val="32"/>
          <w:szCs w:val="32"/>
        </w:rPr>
        <w:t>Part 2: HILDA analysis</w:t>
      </w:r>
    </w:p>
    <w:p w14:paraId="5CE3EFA3" w14:textId="3190138C" w:rsidR="007443F0" w:rsidRPr="007708C3" w:rsidRDefault="007443F0" w:rsidP="007443F0">
      <w:r>
        <w:t xml:space="preserve">The Household Income and Labour Dynamics (HILDA) survey </w:t>
      </w:r>
      <w:r w:rsidR="00A32014">
        <w:t xml:space="preserve">is </w:t>
      </w:r>
      <w:r>
        <w:t>used to analyse</w:t>
      </w:r>
      <w:r w:rsidR="00A32014">
        <w:t xml:space="preserve"> the effect of family policies on</w:t>
      </w:r>
      <w:r>
        <w:t xml:space="preserve"> fertility intentions and outcomes. The policies investigated are: </w:t>
      </w:r>
      <w:r w:rsidRPr="00F33C92">
        <w:rPr>
          <w:rFonts w:ascii="Calibri" w:eastAsia="Times New Roman" w:hAnsi="Calibri" w:cs="Calibri"/>
          <w:lang w:eastAsia="en-GB"/>
        </w:rPr>
        <w:t>the baby bonus program</w:t>
      </w:r>
      <w:r>
        <w:rPr>
          <w:rFonts w:ascii="Calibri" w:eastAsia="Times New Roman" w:hAnsi="Calibri" w:cs="Calibri"/>
          <w:lang w:eastAsia="en-GB"/>
        </w:rPr>
        <w:t xml:space="preserve">; </w:t>
      </w:r>
      <w:r w:rsidR="00EA633F">
        <w:rPr>
          <w:rFonts w:ascii="Calibri" w:eastAsia="Times New Roman" w:hAnsi="Calibri" w:cs="Calibri"/>
          <w:lang w:eastAsia="en-GB"/>
        </w:rPr>
        <w:t>Paid L</w:t>
      </w:r>
      <w:r>
        <w:rPr>
          <w:rFonts w:ascii="Calibri" w:eastAsia="Times New Roman" w:hAnsi="Calibri" w:cs="Calibri"/>
          <w:lang w:eastAsia="en-GB"/>
        </w:rPr>
        <w:t>eave</w:t>
      </w:r>
      <w:r w:rsidR="00EA633F">
        <w:rPr>
          <w:rFonts w:ascii="Calibri" w:eastAsia="Times New Roman" w:hAnsi="Calibri" w:cs="Calibri"/>
          <w:lang w:eastAsia="en-GB"/>
        </w:rPr>
        <w:t xml:space="preserve"> Pay</w:t>
      </w:r>
      <w:r w:rsidRPr="00F33C92">
        <w:rPr>
          <w:rFonts w:ascii="Calibri" w:eastAsia="Times New Roman" w:hAnsi="Calibri" w:cs="Calibri"/>
          <w:lang w:eastAsia="en-GB"/>
        </w:rPr>
        <w:t xml:space="preserve">; </w:t>
      </w:r>
      <w:r w:rsidR="00A32014">
        <w:rPr>
          <w:rFonts w:ascii="Calibri" w:eastAsia="Times New Roman" w:hAnsi="Calibri" w:cs="Calibri"/>
          <w:lang w:eastAsia="en-GB"/>
        </w:rPr>
        <w:t>Dad and</w:t>
      </w:r>
      <w:r>
        <w:rPr>
          <w:rFonts w:ascii="Calibri" w:eastAsia="Times New Roman" w:hAnsi="Calibri" w:cs="Calibri"/>
          <w:lang w:eastAsia="en-GB"/>
        </w:rPr>
        <w:t xml:space="preserve"> </w:t>
      </w:r>
      <w:r w:rsidR="00A32014">
        <w:rPr>
          <w:rFonts w:ascii="Calibri" w:eastAsia="Times New Roman" w:hAnsi="Calibri" w:cs="Calibri"/>
          <w:lang w:eastAsia="en-GB"/>
        </w:rPr>
        <w:t>Partner Pay</w:t>
      </w:r>
      <w:r w:rsidRPr="00F33C92">
        <w:rPr>
          <w:rFonts w:ascii="Calibri" w:eastAsia="Times New Roman" w:hAnsi="Calibri" w:cs="Calibri"/>
          <w:lang w:eastAsia="en-GB"/>
        </w:rPr>
        <w:t>; and</w:t>
      </w:r>
      <w:r>
        <w:rPr>
          <w:rFonts w:ascii="Calibri" w:eastAsia="Times New Roman" w:hAnsi="Calibri" w:cs="Calibri"/>
          <w:lang w:eastAsia="en-GB"/>
        </w:rPr>
        <w:t>,</w:t>
      </w:r>
      <w:r w:rsidRPr="00F33C92">
        <w:rPr>
          <w:rFonts w:ascii="Calibri" w:eastAsia="Times New Roman" w:hAnsi="Calibri" w:cs="Calibri"/>
          <w:lang w:eastAsia="en-GB"/>
        </w:rPr>
        <w:t xml:space="preserve"> reform</w:t>
      </w:r>
      <w:r w:rsidR="00A32014">
        <w:rPr>
          <w:rFonts w:ascii="Calibri" w:eastAsia="Times New Roman" w:hAnsi="Calibri" w:cs="Calibri"/>
          <w:lang w:eastAsia="en-GB"/>
        </w:rPr>
        <w:t>s to Family Tax Benefit</w:t>
      </w:r>
      <w:r w:rsidRPr="00F33C92">
        <w:rPr>
          <w:rFonts w:ascii="Calibri" w:eastAsia="Times New Roman" w:hAnsi="Calibri" w:cs="Calibri"/>
          <w:lang w:eastAsia="en-GB"/>
        </w:rPr>
        <w:t>.</w:t>
      </w:r>
    </w:p>
    <w:p w14:paraId="2F6D2CF0" w14:textId="77777777" w:rsidR="007443F0" w:rsidRDefault="007443F0" w:rsidP="007443F0">
      <w:r>
        <w:t xml:space="preserve">A number of fertility outcomes are investigated including: actual births, preferences for children, expectations of having children, number of intended children and expected timing of next child. </w:t>
      </w:r>
    </w:p>
    <w:p w14:paraId="45A18155" w14:textId="182AEDC6" w:rsidR="00FA63AE" w:rsidRDefault="007443F0" w:rsidP="007443F0">
      <w:r>
        <w:t xml:space="preserve">The impact of policy changes </w:t>
      </w:r>
      <w:r w:rsidR="00E434B7">
        <w:t xml:space="preserve">is </w:t>
      </w:r>
      <w:r>
        <w:t>assessed using</w:t>
      </w:r>
      <w:r w:rsidR="00615891">
        <w:t xml:space="preserve"> </w:t>
      </w:r>
      <w:r w:rsidR="00E434B7">
        <w:t xml:space="preserve">a </w:t>
      </w:r>
      <w:r w:rsidR="00615891">
        <w:t xml:space="preserve">quasi-experimental approach </w:t>
      </w:r>
      <w:r w:rsidR="00A32014">
        <w:t>(</w:t>
      </w:r>
      <w:r w:rsidR="00615891">
        <w:t>Difference-in-Difference (DiD</w:t>
      </w:r>
      <w:r>
        <w:t>) strategy</w:t>
      </w:r>
      <w:r w:rsidR="00A32014">
        <w:t>)</w:t>
      </w:r>
      <w:r>
        <w:t xml:space="preserve"> to model fertility outcomes for treatment and control group</w:t>
      </w:r>
      <w:r w:rsidR="00A32014">
        <w:t>s</w:t>
      </w:r>
      <w:r>
        <w:t xml:space="preserve">. </w:t>
      </w:r>
      <w:r w:rsidR="00070722">
        <w:t xml:space="preserve">The fertility behaviour of the two groups </w:t>
      </w:r>
      <w:r w:rsidR="00307A12">
        <w:t xml:space="preserve">is </w:t>
      </w:r>
      <w:r w:rsidR="00070722">
        <w:t>compared before and after a particular policy change</w:t>
      </w:r>
      <w:r w:rsidR="00AA0165">
        <w:t>d.</w:t>
      </w:r>
      <w:r w:rsidR="00BB4ED1">
        <w:t xml:space="preserve"> </w:t>
      </w:r>
    </w:p>
    <w:p w14:paraId="6052A0F8" w14:textId="758E75CB" w:rsidR="007443F0" w:rsidRDefault="00FA63AE" w:rsidP="007443F0">
      <w:r>
        <w:t>Caveats about internal and external validity are discussed in detail</w:t>
      </w:r>
      <w:r w:rsidR="0012766C">
        <w:t xml:space="preserve"> in the report</w:t>
      </w:r>
      <w:r>
        <w:t xml:space="preserve"> </w:t>
      </w:r>
      <w:r w:rsidR="0012766C">
        <w:t xml:space="preserve">and </w:t>
      </w:r>
      <w:r>
        <w:t xml:space="preserve">should be </w:t>
      </w:r>
      <w:r w:rsidR="0012766C">
        <w:t>considered</w:t>
      </w:r>
      <w:r>
        <w:t xml:space="preserve"> when </w:t>
      </w:r>
      <w:r w:rsidR="0012766C">
        <w:t>interpreting</w:t>
      </w:r>
      <w:r>
        <w:t xml:space="preserve"> results.  Given that the policies</w:t>
      </w:r>
      <w:r w:rsidR="0012766C">
        <w:t xml:space="preserve"> examined </w:t>
      </w:r>
      <w:r w:rsidR="00307A12">
        <w:t>a</w:t>
      </w:r>
      <w:r w:rsidR="0012766C">
        <w:t>ffected</w:t>
      </w:r>
      <w:r>
        <w:t xml:space="preserve"> different</w:t>
      </w:r>
      <w:r w:rsidR="0012766C">
        <w:t xml:space="preserve"> cohorts</w:t>
      </w:r>
      <w:r>
        <w:t xml:space="preserve"> of individuals and at different time periods, </w:t>
      </w:r>
      <w:r w:rsidR="00872F02">
        <w:t>results for each policy should not be</w:t>
      </w:r>
      <w:r>
        <w:t xml:space="preserve"> directly </w:t>
      </w:r>
      <w:r w:rsidR="00872F02">
        <w:t>compared</w:t>
      </w:r>
      <w:r>
        <w:t xml:space="preserve">.     </w:t>
      </w:r>
    </w:p>
    <w:p w14:paraId="5CF6371D" w14:textId="48FC3081" w:rsidR="007443F0" w:rsidRDefault="007443F0" w:rsidP="00066A13">
      <w:pPr>
        <w:jc w:val="both"/>
      </w:pPr>
      <w:r>
        <w:t xml:space="preserve">For the Baby Bonus program, </w:t>
      </w:r>
      <w:r w:rsidR="00066A13">
        <w:rPr>
          <w:lang w:eastAsia="en-GB"/>
        </w:rPr>
        <w:t xml:space="preserve">overall, it is estimated that the introduction of the baby bonus increased births by less than 2%, and the effect </w:t>
      </w:r>
      <w:r w:rsidR="009202C6">
        <w:rPr>
          <w:lang w:eastAsia="en-GB"/>
        </w:rPr>
        <w:t xml:space="preserve">applied mostly to those having a </w:t>
      </w:r>
      <w:r w:rsidR="00066A13">
        <w:rPr>
          <w:lang w:eastAsia="en-GB"/>
        </w:rPr>
        <w:t>first birth</w:t>
      </w:r>
      <w:r w:rsidR="009202C6">
        <w:rPr>
          <w:lang w:eastAsia="en-GB"/>
        </w:rPr>
        <w:t>, where a 3% increase was observed</w:t>
      </w:r>
      <w:r w:rsidR="00066A13">
        <w:rPr>
          <w:lang w:eastAsia="en-GB"/>
        </w:rPr>
        <w:t>.</w:t>
      </w:r>
      <w:r w:rsidR="009202C6">
        <w:rPr>
          <w:lang w:eastAsia="en-GB"/>
        </w:rPr>
        <w:t xml:space="preserve"> We conclude that the baby bonus mattered</w:t>
      </w:r>
      <w:r w:rsidR="00797EF7">
        <w:rPr>
          <w:lang w:eastAsia="en-GB"/>
        </w:rPr>
        <w:t xml:space="preserve"> most</w:t>
      </w:r>
      <w:r w:rsidR="009202C6">
        <w:rPr>
          <w:lang w:eastAsia="en-GB"/>
        </w:rPr>
        <w:t xml:space="preserve"> for those starting a family, possibly bringing the decision to have a first child forward.</w:t>
      </w:r>
    </w:p>
    <w:p w14:paraId="366B4241" w14:textId="4993128F" w:rsidR="004C245B" w:rsidRDefault="007443F0" w:rsidP="004C245B">
      <w:r>
        <w:t xml:space="preserve">For Paid </w:t>
      </w:r>
      <w:r w:rsidR="00C45E4A">
        <w:t xml:space="preserve">Parental Leave the results </w:t>
      </w:r>
      <w:r w:rsidR="00272FD1">
        <w:t xml:space="preserve">show that </w:t>
      </w:r>
      <w:r w:rsidR="00BA1B81">
        <w:t xml:space="preserve">there was a 5% increase in the difference between births of the treatment group </w:t>
      </w:r>
      <w:r w:rsidR="00BA1B81">
        <w:rPr>
          <w:lang w:eastAsia="en-GB"/>
        </w:rPr>
        <w:t>compared to the control group</w:t>
      </w:r>
      <w:r w:rsidR="00272FD1">
        <w:t xml:space="preserve">, but this is due to a decline in </w:t>
      </w:r>
      <w:r w:rsidR="00BA1B81">
        <w:t>births</w:t>
      </w:r>
      <w:r w:rsidR="00272FD1">
        <w:t xml:space="preserve"> of the control group rather than an increase in births of the treatment group.</w:t>
      </w:r>
      <w:r>
        <w:t xml:space="preserve"> </w:t>
      </w:r>
      <w:r w:rsidR="00BA1B81">
        <w:t xml:space="preserve">Births of the treatment group are quite stable after the introduction of the policy. </w:t>
      </w:r>
      <w:r w:rsidR="004C245B">
        <w:t>The</w:t>
      </w:r>
      <w:r w:rsidR="00872F02">
        <w:t xml:space="preserve"> effect</w:t>
      </w:r>
      <w:r w:rsidR="004C245B">
        <w:t xml:space="preserve"> does not </w:t>
      </w:r>
      <w:r w:rsidR="00BA1B81">
        <w:t>vary</w:t>
      </w:r>
      <w:r w:rsidR="004C245B">
        <w:t xml:space="preserve"> by the number of children already born.</w:t>
      </w:r>
    </w:p>
    <w:p w14:paraId="70828A43" w14:textId="4973F524" w:rsidR="00307A12" w:rsidRDefault="00BA1B81" w:rsidP="007443F0">
      <w:r>
        <w:t xml:space="preserve">The </w:t>
      </w:r>
      <w:r w:rsidR="004576B0">
        <w:t xml:space="preserve">introduction of Dad and Partner Pay </w:t>
      </w:r>
      <w:r>
        <w:t>showed a similar pattern to the introduction of paid parental leave</w:t>
      </w:r>
      <w:r w:rsidR="004576B0">
        <w:t xml:space="preserve">. While there was a 3% increase in the difference between births of the treatment </w:t>
      </w:r>
      <w:r w:rsidR="004576B0">
        <w:lastRenderedPageBreak/>
        <w:t xml:space="preserve">group </w:t>
      </w:r>
      <w:r w:rsidR="004576B0">
        <w:rPr>
          <w:lang w:eastAsia="en-GB"/>
        </w:rPr>
        <w:t xml:space="preserve">compared to the control group, this effect is a result of a decline in fertility of the control group. </w:t>
      </w:r>
      <w:r>
        <w:rPr>
          <w:lang w:eastAsia="en-GB"/>
        </w:rPr>
        <w:t>Again, b</w:t>
      </w:r>
      <w:r w:rsidR="004576B0">
        <w:rPr>
          <w:lang w:eastAsia="en-GB"/>
        </w:rPr>
        <w:t>irths of the treatment group are quite stable after the introduction of the policy, while they decline slightly for the control group.</w:t>
      </w:r>
      <w:r w:rsidR="004576B0">
        <w:rPr>
          <w:rFonts w:ascii="Times New Roman" w:hAnsi="Times New Roman" w:cs="Times New Roman"/>
          <w:sz w:val="24"/>
          <w:szCs w:val="24"/>
          <w:lang w:eastAsia="en-AU"/>
        </w:rPr>
        <w:t xml:space="preserve"> </w:t>
      </w:r>
      <w:r w:rsidR="004576B0">
        <w:rPr>
          <w:lang w:eastAsia="en-GB"/>
        </w:rPr>
        <w:t> </w:t>
      </w:r>
      <w:r w:rsidR="00872F02">
        <w:rPr>
          <w:lang w:eastAsia="en-GB"/>
        </w:rPr>
        <w:t xml:space="preserve">This </w:t>
      </w:r>
      <w:r w:rsidR="004576B0">
        <w:rPr>
          <w:lang w:eastAsia="en-GB"/>
        </w:rPr>
        <w:t xml:space="preserve">suggests </w:t>
      </w:r>
      <w:r w:rsidR="00D64BD0" w:rsidRPr="00D64BD0">
        <w:rPr>
          <w:lang w:eastAsia="en-GB"/>
        </w:rPr>
        <w:t>that the measured effect may be a result of something which changed for the control group rather than an effect of the policy</w:t>
      </w:r>
      <w:r w:rsidR="004576B0">
        <w:rPr>
          <w:lang w:eastAsia="en-GB"/>
        </w:rPr>
        <w:t>.</w:t>
      </w:r>
      <w:r>
        <w:rPr>
          <w:lang w:eastAsia="en-GB"/>
        </w:rPr>
        <w:t xml:space="preserve"> </w:t>
      </w:r>
    </w:p>
    <w:p w14:paraId="115BDB41" w14:textId="58E8E8E6" w:rsidR="007443F0" w:rsidRDefault="007443F0" w:rsidP="007443F0">
      <w:r>
        <w:t xml:space="preserve">Family Tax Benefit A &amp; B </w:t>
      </w:r>
      <w:r w:rsidR="00066A13">
        <w:t xml:space="preserve">reform </w:t>
      </w:r>
      <w:r>
        <w:t xml:space="preserve">was associated with </w:t>
      </w:r>
      <w:r w:rsidR="00A03316">
        <w:t xml:space="preserve">very </w:t>
      </w:r>
      <w:r w:rsidR="00D64BD0">
        <w:t>small</w:t>
      </w:r>
      <w:r>
        <w:t xml:space="preserve"> increase</w:t>
      </w:r>
      <w:r w:rsidR="00A03316">
        <w:t>s</w:t>
      </w:r>
      <w:r w:rsidR="00D64BD0">
        <w:t xml:space="preserve"> of </w:t>
      </w:r>
      <w:r>
        <w:t>in the expectation of having children, and in the number of intended children</w:t>
      </w:r>
      <w:r w:rsidR="00BA29BB">
        <w:t>.</w:t>
      </w:r>
      <w:r w:rsidR="004576B0">
        <w:t xml:space="preserve"> </w:t>
      </w:r>
    </w:p>
    <w:p w14:paraId="6B726249" w14:textId="1FB09BF2" w:rsidR="00A60EE3" w:rsidRDefault="00A60EE3" w:rsidP="007443F0">
      <w:r>
        <w:t xml:space="preserve">This analysis also looks at </w:t>
      </w:r>
      <w:r w:rsidR="001942B4">
        <w:t>other</w:t>
      </w:r>
      <w:r>
        <w:t xml:space="preserve"> factors which are thought to have an effect on fertility.</w:t>
      </w:r>
    </w:p>
    <w:p w14:paraId="4457101F" w14:textId="1EDC20B4" w:rsidR="00615891" w:rsidRDefault="00615891" w:rsidP="00615891">
      <w:r>
        <w:t>Consistent with previous knowledge about the patterns of childbearing, the analysis finds that women with a higher level of education (Bachelor</w:t>
      </w:r>
      <w:r w:rsidR="00BA29BB">
        <w:t xml:space="preserve"> level and above</w:t>
      </w:r>
      <w:r>
        <w:t xml:space="preserve">) are significantly more likely to be childless at all ages compared to women with lower levels of education.  However, educational differences decreased with age, as a result of women with higher education having births at later ages. While young women with a higher disposable household income are more likely to be childless, at ages 40 and above it was women with a lower household income that were more likely to be childless. </w:t>
      </w:r>
    </w:p>
    <w:p w14:paraId="5B124E0D" w14:textId="77777777" w:rsidR="00615891" w:rsidRDefault="00615891" w:rsidP="00615891">
      <w:r>
        <w:t xml:space="preserve">Older women, those who were single, had low levels of education or had lower household income were the most likely to express a desire for (additional) children but a low expectation of having them. Across all birth outcomes, women born in Australia have higher fertility than women born overseas. </w:t>
      </w:r>
    </w:p>
    <w:p w14:paraId="31298A3E" w14:textId="2415595B" w:rsidR="007443F0" w:rsidRPr="007443F0" w:rsidRDefault="006C7BAA" w:rsidP="007443F0">
      <w:pPr>
        <w:rPr>
          <w:rFonts w:asciiTheme="majorHAnsi" w:hAnsiTheme="majorHAnsi" w:cstheme="majorHAnsi"/>
          <w:color w:val="2E74B5" w:themeColor="accent1" w:themeShade="BF"/>
          <w:sz w:val="32"/>
          <w:szCs w:val="32"/>
        </w:rPr>
      </w:pPr>
      <w:r>
        <w:rPr>
          <w:rFonts w:asciiTheme="majorHAnsi" w:hAnsiTheme="majorHAnsi" w:cstheme="majorHAnsi"/>
          <w:color w:val="2E74B5" w:themeColor="accent1" w:themeShade="BF"/>
          <w:sz w:val="32"/>
          <w:szCs w:val="32"/>
        </w:rPr>
        <w:t>Part 3</w:t>
      </w:r>
      <w:r w:rsidR="007443F0" w:rsidRPr="007443F0">
        <w:rPr>
          <w:rFonts w:asciiTheme="majorHAnsi" w:hAnsiTheme="majorHAnsi" w:cstheme="majorHAnsi"/>
          <w:color w:val="2E74B5" w:themeColor="accent1" w:themeShade="BF"/>
          <w:sz w:val="32"/>
          <w:szCs w:val="32"/>
        </w:rPr>
        <w:t xml:space="preserve">: </w:t>
      </w:r>
      <w:r w:rsidR="007443F0">
        <w:rPr>
          <w:rFonts w:asciiTheme="majorHAnsi" w:hAnsiTheme="majorHAnsi" w:cstheme="majorHAnsi"/>
          <w:color w:val="2E74B5" w:themeColor="accent1" w:themeShade="BF"/>
          <w:sz w:val="32"/>
          <w:szCs w:val="32"/>
        </w:rPr>
        <w:t>Survey</w:t>
      </w:r>
      <w:r w:rsidR="007443F0" w:rsidRPr="007443F0">
        <w:rPr>
          <w:rFonts w:asciiTheme="majorHAnsi" w:hAnsiTheme="majorHAnsi" w:cstheme="majorHAnsi"/>
          <w:color w:val="2E74B5" w:themeColor="accent1" w:themeShade="BF"/>
          <w:sz w:val="32"/>
          <w:szCs w:val="32"/>
        </w:rPr>
        <w:t xml:space="preserve"> analysis</w:t>
      </w:r>
    </w:p>
    <w:p w14:paraId="1F9A0F35" w14:textId="77777777" w:rsidR="007443F0" w:rsidRDefault="007443F0" w:rsidP="007443F0">
      <w:r>
        <w:t xml:space="preserve">Data was collected by ANUpoll in April 2021 and August 2021. This survey included 3,286 respondents in April and 3,135 respondents in August, and a range of questions regarding their fertility intentions, as well as what considerations where important to respondents when considering whether to have a child. </w:t>
      </w:r>
    </w:p>
    <w:p w14:paraId="74463254" w14:textId="2DADCFB8" w:rsidR="007443F0" w:rsidRDefault="007443F0" w:rsidP="007443F0">
      <w:r>
        <w:t xml:space="preserve">When asked if the COVID-19 pandemic had impacted the likelihood of having children, </w:t>
      </w:r>
      <w:r w:rsidR="00334C99">
        <w:t xml:space="preserve">a </w:t>
      </w:r>
      <w:r>
        <w:t xml:space="preserve">majority of respondents said there had been no impact (58%). </w:t>
      </w:r>
      <w:r w:rsidR="00066A13">
        <w:t>However,</w:t>
      </w:r>
      <w:r>
        <w:t xml:space="preserve"> 37%</w:t>
      </w:r>
      <w:r w:rsidR="00334C99">
        <w:t xml:space="preserve"> of parents and 27% of childless respondents</w:t>
      </w:r>
      <w:r>
        <w:t xml:space="preserve"> indicated that the pandemic had </w:t>
      </w:r>
      <w:r w:rsidR="007E5DE7">
        <w:t>decreased their</w:t>
      </w:r>
      <w:r>
        <w:t xml:space="preserve"> likelihood of having children. Only a small minority of childless respondents (10%) and parents (9%) felt that the likelihood of them having children had increased as a result of the pandemic.</w:t>
      </w:r>
    </w:p>
    <w:p w14:paraId="4405A4B2" w14:textId="689EBAA0" w:rsidR="007443F0" w:rsidRDefault="007443F0" w:rsidP="007443F0">
      <w:r>
        <w:t xml:space="preserve">In terms of the </w:t>
      </w:r>
      <w:r w:rsidR="00066A13">
        <w:t>factors</w:t>
      </w:r>
      <w:r>
        <w:t xml:space="preserve"> people took into account when considering whether or not to have a child the top five </w:t>
      </w:r>
      <w:r w:rsidR="00B83122">
        <w:t>factors</w:t>
      </w:r>
      <w:r>
        <w:t xml:space="preserve"> where: the general cost of raising children, the security of the respondents or their partner’s job, having someone to love, being able to buy a home or a better home, and how old the respondent was. </w:t>
      </w:r>
      <w:r w:rsidR="00B83122">
        <w:t>However</w:t>
      </w:r>
      <w:r w:rsidR="007B5BB4">
        <w:t>,</w:t>
      </w:r>
      <w:r w:rsidR="00B83122">
        <w:t xml:space="preserve"> different factors were of greater importance to differ</w:t>
      </w:r>
      <w:r w:rsidR="00C91DAC">
        <w:t>ent groups of people. Those without university education</w:t>
      </w:r>
      <w:r w:rsidR="00B83122">
        <w:t xml:space="preserve">, as well as childless respondents were more likely to place a greater importance on being able to buy a home or a better home. </w:t>
      </w:r>
    </w:p>
    <w:p w14:paraId="3C6939A1" w14:textId="730FD37D" w:rsidR="004C245B" w:rsidRDefault="004C245B" w:rsidP="00066A13">
      <w:pPr>
        <w:spacing w:after="0" w:line="240" w:lineRule="auto"/>
      </w:pPr>
      <w:r>
        <w:t>Support for paid parental leave was very high with more than 80% of respondents indicating there should be paid parental leave if one parent stops working to look after a newborn.</w:t>
      </w:r>
      <w:r w:rsidR="0025211F">
        <w:t xml:space="preserve"> Those with higher levels of education were particularly supportive of paid parental leave. </w:t>
      </w:r>
      <w:r>
        <w:t xml:space="preserve"> Most respondents believed either just the Government, or a combination of Government and employers should pay for parental leave. </w:t>
      </w:r>
    </w:p>
    <w:p w14:paraId="5D3F325F" w14:textId="77777777" w:rsidR="00066A13" w:rsidRDefault="00066A13" w:rsidP="00066A13">
      <w:pPr>
        <w:spacing w:after="0" w:line="240" w:lineRule="auto"/>
      </w:pPr>
    </w:p>
    <w:p w14:paraId="651974A7" w14:textId="243026FD" w:rsidR="00F204C0" w:rsidRPr="003635BF" w:rsidRDefault="004C245B" w:rsidP="00BC5105">
      <w:pPr>
        <w:spacing w:line="276" w:lineRule="auto"/>
        <w:rPr>
          <w:rFonts w:eastAsiaTheme="majorEastAsia" w:cstheme="minorHAnsi"/>
          <w:sz w:val="44"/>
          <w:szCs w:val="32"/>
          <w:lang w:val="en-US"/>
        </w:rPr>
      </w:pPr>
      <w:r>
        <w:lastRenderedPageBreak/>
        <w:t>Support for subsidised child</w:t>
      </w:r>
      <w:r w:rsidR="009F7190">
        <w:t xml:space="preserve"> </w:t>
      </w:r>
      <w:r>
        <w:t>care was also very high. Only 10-12% of respondents felt that there should be no subsidised child</w:t>
      </w:r>
      <w:r w:rsidR="009F7190">
        <w:t xml:space="preserve"> </w:t>
      </w:r>
      <w:r>
        <w:t>care at all.</w:t>
      </w:r>
      <w:r w:rsidR="0025211F">
        <w:t xml:space="preserve"> Those with lower levels of education were particularly supportive of more than half the cost of child</w:t>
      </w:r>
      <w:r w:rsidR="009F7190">
        <w:t xml:space="preserve"> </w:t>
      </w:r>
      <w:r w:rsidR="0025211F">
        <w:t>care being subsidised.</w:t>
      </w:r>
      <w:r>
        <w:t xml:space="preserve"> Three-quarters (75%) of respondents felt the Government should pay for subsidised child</w:t>
      </w:r>
      <w:r w:rsidR="009F7190">
        <w:t xml:space="preserve"> </w:t>
      </w:r>
      <w:r>
        <w:t xml:space="preserve">care. </w:t>
      </w:r>
      <w:r w:rsidR="00F204C0" w:rsidRPr="003635BF">
        <w:rPr>
          <w:rFonts w:cstheme="minorHAnsi"/>
          <w:sz w:val="44"/>
        </w:rPr>
        <w:br w:type="page"/>
      </w:r>
    </w:p>
    <w:p w14:paraId="6C649E78" w14:textId="2191A0FF" w:rsidR="009B7272" w:rsidRPr="009B7272" w:rsidRDefault="009B7272" w:rsidP="00243674">
      <w:pPr>
        <w:pStyle w:val="Style1"/>
        <w:pBdr>
          <w:bottom w:val="single" w:sz="4" w:space="1" w:color="ED7D31" w:themeColor="accent2"/>
        </w:pBdr>
      </w:pPr>
      <w:bookmarkStart w:id="4" w:name="_Toc87454590"/>
      <w:bookmarkStart w:id="5" w:name="_Toc98404944"/>
      <w:bookmarkStart w:id="6" w:name="_Toc75703346"/>
      <w:r>
        <w:lastRenderedPageBreak/>
        <w:t xml:space="preserve">PART 1: </w:t>
      </w:r>
      <w:r w:rsidRPr="009B7272">
        <w:t>LITERATURE REVIEW</w:t>
      </w:r>
      <w:bookmarkEnd w:id="4"/>
      <w:bookmarkEnd w:id="5"/>
    </w:p>
    <w:p w14:paraId="03783D60" w14:textId="355080A9" w:rsidR="0043335D" w:rsidRPr="003635BF" w:rsidRDefault="0043335D" w:rsidP="002B4F52">
      <w:pPr>
        <w:pStyle w:val="Heading1"/>
        <w:spacing w:line="276" w:lineRule="auto"/>
      </w:pPr>
      <w:bookmarkStart w:id="7" w:name="_Toc87454591"/>
      <w:bookmarkStart w:id="8" w:name="_Toc98404945"/>
      <w:r w:rsidRPr="003635BF">
        <w:t>Trends in Australian fertility</w:t>
      </w:r>
      <w:bookmarkEnd w:id="6"/>
      <w:bookmarkEnd w:id="7"/>
      <w:bookmarkEnd w:id="8"/>
    </w:p>
    <w:p w14:paraId="5006BC8D" w14:textId="405AA85D" w:rsidR="00B7117B" w:rsidRDefault="00232F89" w:rsidP="00EC1A74">
      <w:pPr>
        <w:rPr>
          <w:lang w:val="en-US"/>
        </w:rPr>
      </w:pPr>
      <w:r>
        <w:rPr>
          <w:b/>
          <w:bCs/>
          <w:lang w:val="en-US"/>
        </w:rPr>
        <w:t>Key points</w:t>
      </w:r>
      <w:r w:rsidR="00B7117B">
        <w:rPr>
          <w:lang w:val="en-US"/>
        </w:rPr>
        <w:t>:</w:t>
      </w:r>
    </w:p>
    <w:p w14:paraId="3F984DEA" w14:textId="13671B90" w:rsidR="00B7117B" w:rsidRPr="00EC1A74" w:rsidRDefault="00B7117B" w:rsidP="00244248">
      <w:pPr>
        <w:pStyle w:val="ListParagraph"/>
        <w:numPr>
          <w:ilvl w:val="0"/>
          <w:numId w:val="19"/>
        </w:numPr>
        <w:jc w:val="both"/>
        <w:rPr>
          <w:lang w:val="en-US"/>
        </w:rPr>
      </w:pPr>
      <w:r>
        <w:rPr>
          <w:lang w:val="en-US"/>
        </w:rPr>
        <w:t xml:space="preserve">The total fertility rate (TFR) is the most commonly used indicator of overall fertility. It provides a summary of the fertility experience of all women aged 15-49 in a given year and it does not reflect the experience of any particular cohort. </w:t>
      </w:r>
      <w:r w:rsidRPr="00B7117B">
        <w:rPr>
          <w:lang w:val="en-US"/>
        </w:rPr>
        <w:t>Today, almost all high-income countries</w:t>
      </w:r>
      <w:r w:rsidRPr="00EC1A74">
        <w:rPr>
          <w:lang w:val="en-US"/>
        </w:rPr>
        <w:t xml:space="preserve"> are characterized by total fertility rates below the replacement level of 2.1.</w:t>
      </w:r>
    </w:p>
    <w:p w14:paraId="0A29BE49" w14:textId="66F0EE98" w:rsidR="00B7117B" w:rsidRPr="00EC1A74" w:rsidRDefault="00B7117B" w:rsidP="00244248">
      <w:pPr>
        <w:pStyle w:val="ListParagraph"/>
        <w:numPr>
          <w:ilvl w:val="0"/>
          <w:numId w:val="19"/>
        </w:numPr>
        <w:jc w:val="both"/>
        <w:rPr>
          <w:lang w:val="en-US"/>
        </w:rPr>
      </w:pPr>
      <w:r>
        <w:rPr>
          <w:lang w:val="en-US"/>
        </w:rPr>
        <w:t>S</w:t>
      </w:r>
      <w:r w:rsidRPr="003635BF">
        <w:rPr>
          <w:rFonts w:cstheme="minorHAnsi"/>
          <w:lang w:val="en-US"/>
        </w:rPr>
        <w:t>ince the mid-1970s</w:t>
      </w:r>
      <w:r>
        <w:rPr>
          <w:rFonts w:cstheme="minorHAnsi"/>
          <w:lang w:val="en-US"/>
        </w:rPr>
        <w:t xml:space="preserve">, </w:t>
      </w:r>
      <w:r w:rsidRPr="003635BF">
        <w:rPr>
          <w:rFonts w:cstheme="minorHAnsi"/>
          <w:lang w:val="en-US"/>
        </w:rPr>
        <w:t xml:space="preserve">there has been a </w:t>
      </w:r>
      <w:r>
        <w:rPr>
          <w:rFonts w:cstheme="minorHAnsi"/>
          <w:lang w:val="en-US"/>
        </w:rPr>
        <w:t xml:space="preserve">constant </w:t>
      </w:r>
      <w:r w:rsidRPr="003635BF">
        <w:rPr>
          <w:rFonts w:cstheme="minorHAnsi"/>
          <w:lang w:val="en-US"/>
        </w:rPr>
        <w:t>increase in the mean age at childbearing</w:t>
      </w:r>
      <w:r w:rsidR="003C3693" w:rsidRPr="003C3693">
        <w:rPr>
          <w:rFonts w:cstheme="minorHAnsi"/>
          <w:lang w:val="en-US"/>
        </w:rPr>
        <w:t xml:space="preserve"> </w:t>
      </w:r>
      <w:r w:rsidR="003C3693">
        <w:rPr>
          <w:rFonts w:cstheme="minorHAnsi"/>
          <w:lang w:val="en-US"/>
        </w:rPr>
        <w:t>in Australia</w:t>
      </w:r>
      <w:r>
        <w:rPr>
          <w:rFonts w:cstheme="minorHAnsi"/>
          <w:lang w:val="en-US"/>
        </w:rPr>
        <w:t>. The delay in fertility represents a risk for the successful realization of childbearing plans, because the ability to reproduce declines with age.</w:t>
      </w:r>
      <w:r w:rsidR="00EC1A74">
        <w:rPr>
          <w:rFonts w:cstheme="minorHAnsi"/>
          <w:lang w:val="en-US"/>
        </w:rPr>
        <w:t xml:space="preserve"> </w:t>
      </w:r>
      <w:r w:rsidR="00470B1A">
        <w:rPr>
          <w:rFonts w:cstheme="minorHAnsi"/>
          <w:lang w:val="en-US"/>
        </w:rPr>
        <w:t>At the population level, a</w:t>
      </w:r>
      <w:r w:rsidR="00EC1A74">
        <w:rPr>
          <w:rFonts w:cstheme="minorHAnsi"/>
          <w:lang w:val="en-US"/>
        </w:rPr>
        <w:t xml:space="preserve"> strong link exists between</w:t>
      </w:r>
      <w:r>
        <w:rPr>
          <w:rFonts w:cstheme="minorHAnsi"/>
          <w:lang w:val="en-US"/>
        </w:rPr>
        <w:t xml:space="preserve"> </w:t>
      </w:r>
      <w:r w:rsidR="00EC1A74">
        <w:rPr>
          <w:rFonts w:cstheme="minorHAnsi"/>
          <w:lang w:val="en-US"/>
        </w:rPr>
        <w:t>l</w:t>
      </w:r>
      <w:r>
        <w:rPr>
          <w:rFonts w:cstheme="minorHAnsi"/>
          <w:lang w:val="en-US"/>
        </w:rPr>
        <w:t>ate and low fertilit</w:t>
      </w:r>
      <w:r w:rsidR="00EC1A74">
        <w:rPr>
          <w:rFonts w:cstheme="minorHAnsi"/>
          <w:lang w:val="en-US"/>
        </w:rPr>
        <w:t>y.</w:t>
      </w:r>
    </w:p>
    <w:p w14:paraId="0CB3D596" w14:textId="665CC356" w:rsidR="00EC1A74" w:rsidRPr="0049442D" w:rsidRDefault="00EC1A74" w:rsidP="00244248">
      <w:pPr>
        <w:pStyle w:val="ListParagraph"/>
        <w:numPr>
          <w:ilvl w:val="0"/>
          <w:numId w:val="19"/>
        </w:numPr>
        <w:jc w:val="both"/>
      </w:pPr>
      <w:r w:rsidRPr="003635BF">
        <w:rPr>
          <w:rFonts w:cstheme="minorHAnsi"/>
        </w:rPr>
        <w:t>While the national TFR is useful for looking at trends over time, it hides a wide variation in fertility levels across sub-groups of the population.</w:t>
      </w:r>
      <w:r>
        <w:rPr>
          <w:rFonts w:cstheme="minorHAnsi"/>
        </w:rPr>
        <w:t xml:space="preserve"> Country of birth, geographic location, education level, and </w:t>
      </w:r>
      <w:r w:rsidR="003C3693">
        <w:rPr>
          <w:rFonts w:cstheme="minorHAnsi"/>
        </w:rPr>
        <w:t>Indigenous status</w:t>
      </w:r>
      <w:r>
        <w:rPr>
          <w:rFonts w:cstheme="minorHAnsi"/>
        </w:rPr>
        <w:t xml:space="preserve"> are </w:t>
      </w:r>
      <w:r w:rsidR="003C3693">
        <w:rPr>
          <w:rFonts w:cstheme="minorHAnsi"/>
        </w:rPr>
        <w:t>associated with</w:t>
      </w:r>
      <w:r>
        <w:rPr>
          <w:rFonts w:cstheme="minorHAnsi"/>
        </w:rPr>
        <w:t xml:space="preserve"> the fertility rate.</w:t>
      </w:r>
    </w:p>
    <w:p w14:paraId="36D74ABE" w14:textId="77777777" w:rsidR="0043335D" w:rsidRPr="003635BF" w:rsidRDefault="0043335D" w:rsidP="00BC5105">
      <w:pPr>
        <w:pStyle w:val="Heading2"/>
        <w:spacing w:line="276" w:lineRule="auto"/>
      </w:pPr>
      <w:r w:rsidRPr="003635BF">
        <w:t xml:space="preserve"> </w:t>
      </w:r>
      <w:bookmarkStart w:id="9" w:name="_Toc75703347"/>
      <w:bookmarkStart w:id="10" w:name="_Toc87454592"/>
      <w:bookmarkStart w:id="11" w:name="_Toc98404946"/>
      <w:r w:rsidRPr="003635BF">
        <w:t>Fertility indicators and their interpretation</w:t>
      </w:r>
      <w:bookmarkEnd w:id="9"/>
      <w:bookmarkEnd w:id="10"/>
      <w:bookmarkEnd w:id="11"/>
    </w:p>
    <w:p w14:paraId="7C5B1DB5" w14:textId="2CF7502B" w:rsidR="0043335D" w:rsidRPr="003635BF" w:rsidRDefault="0043335D" w:rsidP="00BC5105">
      <w:pPr>
        <w:spacing w:line="276" w:lineRule="auto"/>
        <w:jc w:val="both"/>
        <w:rPr>
          <w:rFonts w:cstheme="minorHAnsi"/>
          <w:lang w:val="en-US"/>
        </w:rPr>
      </w:pPr>
      <w:r w:rsidRPr="003635BF">
        <w:rPr>
          <w:rFonts w:cstheme="minorHAnsi"/>
          <w:lang w:val="en-US"/>
        </w:rPr>
        <w:t xml:space="preserve">The total fertility rate (TFR) is a commonly used indicator of overall fertility. For a specific year, it measures the average number of children a woman would bear if she survived through </w:t>
      </w:r>
      <w:r w:rsidR="003C3693">
        <w:rPr>
          <w:rFonts w:cstheme="minorHAnsi"/>
          <w:lang w:val="en-US"/>
        </w:rPr>
        <w:t xml:space="preserve">to </w:t>
      </w:r>
      <w:r w:rsidRPr="003635BF">
        <w:rPr>
          <w:rFonts w:cstheme="minorHAnsi"/>
          <w:lang w:val="en-US"/>
        </w:rPr>
        <w:t>the end of the reproductive age span and expe</w:t>
      </w:r>
      <w:r>
        <w:rPr>
          <w:rFonts w:cstheme="minorHAnsi"/>
          <w:lang w:val="en-US"/>
        </w:rPr>
        <w:t>rienced at each age the age-</w:t>
      </w:r>
      <w:r w:rsidRPr="003635BF">
        <w:rPr>
          <w:rFonts w:cstheme="minorHAnsi"/>
          <w:lang w:val="en-US"/>
        </w:rPr>
        <w:t xml:space="preserve">specific fertility rates of that year </w:t>
      </w:r>
      <w:r w:rsidR="00675270" w:rsidRPr="007E15F6">
        <w:rPr>
          <w:rFonts w:cstheme="minorHAnsi"/>
          <w:noProof/>
        </w:rPr>
        <w:t xml:space="preserve">(Preston, </w:t>
      </w:r>
      <w:r w:rsidR="00675270" w:rsidRPr="007E15F6">
        <w:rPr>
          <w:rFonts w:cstheme="minorHAnsi"/>
          <w:i/>
          <w:iCs/>
          <w:noProof/>
        </w:rPr>
        <w:t>et al.</w:t>
      </w:r>
      <w:r w:rsidR="00675270" w:rsidRPr="007E15F6">
        <w:rPr>
          <w:rFonts w:cstheme="minorHAnsi"/>
          <w:noProof/>
        </w:rPr>
        <w:t xml:space="preserve"> 2001)</w:t>
      </w:r>
      <w:r w:rsidRPr="003635BF">
        <w:rPr>
          <w:rFonts w:cstheme="minorHAnsi"/>
          <w:lang w:val="en-US"/>
        </w:rPr>
        <w:t>. In the absence of migration</w:t>
      </w:r>
      <w:r>
        <w:rPr>
          <w:rFonts w:cstheme="minorHAnsi"/>
          <w:lang w:val="en-US"/>
        </w:rPr>
        <w:t xml:space="preserve"> and in low mortality settings</w:t>
      </w:r>
      <w:r w:rsidRPr="003635BF">
        <w:rPr>
          <w:rFonts w:cstheme="minorHAnsi"/>
          <w:lang w:val="en-US"/>
        </w:rPr>
        <w:t>, for a generation to replace itself</w:t>
      </w:r>
      <w:r w:rsidR="003C3693">
        <w:rPr>
          <w:rFonts w:cstheme="minorHAnsi"/>
          <w:lang w:val="en-US"/>
        </w:rPr>
        <w:t>,</w:t>
      </w:r>
      <w:r w:rsidRPr="003635BF">
        <w:rPr>
          <w:rFonts w:cstheme="minorHAnsi"/>
          <w:lang w:val="en-US"/>
        </w:rPr>
        <w:t xml:space="preserve"> each woman would need to have on average 2.1 children: one child to replace herself, one child to replace her partner, and 0.1 to account for inf</w:t>
      </w:r>
      <w:r>
        <w:rPr>
          <w:rFonts w:cstheme="minorHAnsi"/>
          <w:lang w:val="en-US"/>
        </w:rPr>
        <w:t xml:space="preserve">ant and child mortality and sex </w:t>
      </w:r>
      <w:r w:rsidRPr="003635BF">
        <w:rPr>
          <w:rFonts w:cstheme="minorHAnsi"/>
          <w:lang w:val="en-US"/>
        </w:rPr>
        <w:t xml:space="preserve">ratio. Since the TFR is the sum of the age-specific fertility rates of all women of reproductive age in a given year, it does not measure the fertility experience of any </w:t>
      </w:r>
      <w:r w:rsidR="003C3693">
        <w:rPr>
          <w:rFonts w:cstheme="minorHAnsi"/>
          <w:lang w:val="en-US"/>
        </w:rPr>
        <w:t>specific</w:t>
      </w:r>
      <w:r w:rsidR="00553D33" w:rsidRPr="003635BF">
        <w:rPr>
          <w:rFonts w:cstheme="minorHAnsi"/>
          <w:lang w:val="en-US"/>
        </w:rPr>
        <w:t xml:space="preserve"> </w:t>
      </w:r>
      <w:r w:rsidRPr="003635BF">
        <w:rPr>
          <w:rFonts w:cstheme="minorHAnsi"/>
          <w:lang w:val="en-US"/>
        </w:rPr>
        <w:t>cohort of women.</w:t>
      </w:r>
    </w:p>
    <w:p w14:paraId="6E9BA3F1" w14:textId="6BF7065E" w:rsidR="003E4630" w:rsidRDefault="00AB313B" w:rsidP="00BC5105">
      <w:pPr>
        <w:spacing w:line="276" w:lineRule="auto"/>
        <w:jc w:val="both"/>
        <w:rPr>
          <w:rFonts w:cstheme="minorHAnsi"/>
          <w:lang w:val="en-US"/>
        </w:rPr>
      </w:pPr>
      <w:r>
        <w:rPr>
          <w:rFonts w:cstheme="minorHAnsi"/>
          <w:lang w:val="en-US"/>
        </w:rPr>
        <w:t>Figure 1</w:t>
      </w:r>
      <w:r w:rsidR="0043335D" w:rsidRPr="006A413D">
        <w:rPr>
          <w:rFonts w:cstheme="minorHAnsi"/>
          <w:lang w:val="en-US"/>
        </w:rPr>
        <w:t xml:space="preserve"> shows the </w:t>
      </w:r>
      <w:r>
        <w:rPr>
          <w:rFonts w:cstheme="minorHAnsi"/>
          <w:lang w:val="en-US"/>
        </w:rPr>
        <w:t>pattern of</w:t>
      </w:r>
      <w:r w:rsidR="0043335D" w:rsidRPr="006A413D">
        <w:rPr>
          <w:rFonts w:cstheme="minorHAnsi"/>
          <w:lang w:val="en-US"/>
        </w:rPr>
        <w:t xml:space="preserve"> the TFR in Australia between 1960 and 20</w:t>
      </w:r>
      <w:r w:rsidR="00D816B2">
        <w:rPr>
          <w:rFonts w:cstheme="minorHAnsi"/>
          <w:lang w:val="en-US"/>
        </w:rPr>
        <w:t>20</w:t>
      </w:r>
      <w:r w:rsidR="00B831EE">
        <w:rPr>
          <w:rFonts w:cstheme="minorHAnsi"/>
          <w:lang w:val="en-US"/>
        </w:rPr>
        <w:t xml:space="preserve"> and highlights lows and highs</w:t>
      </w:r>
      <w:r w:rsidR="0043335D" w:rsidRPr="006A413D">
        <w:rPr>
          <w:rFonts w:cstheme="minorHAnsi"/>
          <w:lang w:val="en-US"/>
        </w:rPr>
        <w:t>. After experiencing</w:t>
      </w:r>
      <w:r w:rsidR="0043335D" w:rsidRPr="003635BF">
        <w:rPr>
          <w:rFonts w:cstheme="minorHAnsi"/>
          <w:lang w:val="en-US"/>
        </w:rPr>
        <w:t xml:space="preserve"> a long baby boom which culminated in a TFR of 3.5</w:t>
      </w:r>
      <w:r w:rsidR="0043335D">
        <w:rPr>
          <w:rFonts w:cstheme="minorHAnsi"/>
          <w:lang w:val="en-US"/>
        </w:rPr>
        <w:t>6</w:t>
      </w:r>
      <w:r w:rsidR="0043335D" w:rsidRPr="003635BF">
        <w:rPr>
          <w:rFonts w:cstheme="minorHAnsi"/>
          <w:lang w:val="en-US"/>
        </w:rPr>
        <w:t xml:space="preserve"> children per woman in 1961, the TFR fell sharply during the early 1960s, as safe and reliable methods of contraception became available</w:t>
      </w:r>
      <w:r w:rsidR="00213539">
        <w:rPr>
          <w:rFonts w:cstheme="minorHAnsi"/>
          <w:noProof/>
        </w:rPr>
        <w:t xml:space="preserve"> </w:t>
      </w:r>
      <w:r w:rsidR="00213539" w:rsidRPr="007E15F6">
        <w:rPr>
          <w:rFonts w:cstheme="minorHAnsi"/>
          <w:noProof/>
        </w:rPr>
        <w:t>(Carmichael &amp; McDonald, 2003)</w:t>
      </w:r>
      <w:r w:rsidR="0043335D" w:rsidRPr="003635BF">
        <w:rPr>
          <w:rFonts w:cstheme="minorHAnsi"/>
          <w:lang w:val="en-US"/>
        </w:rPr>
        <w:t xml:space="preserve">. Approved in Australia in 1961, the </w:t>
      </w:r>
      <w:r w:rsidR="00344C9B">
        <w:rPr>
          <w:rFonts w:cstheme="minorHAnsi"/>
          <w:lang w:val="en-US"/>
        </w:rPr>
        <w:t xml:space="preserve">oral contraceptives (the </w:t>
      </w:r>
      <w:r w:rsidR="0043335D">
        <w:rPr>
          <w:rFonts w:cstheme="minorHAnsi"/>
          <w:lang w:val="en-US"/>
        </w:rPr>
        <w:t xml:space="preserve">contraceptive </w:t>
      </w:r>
      <w:r w:rsidR="0043335D" w:rsidRPr="003635BF">
        <w:rPr>
          <w:rFonts w:cstheme="minorHAnsi"/>
          <w:lang w:val="en-US"/>
        </w:rPr>
        <w:t>pill</w:t>
      </w:r>
      <w:r w:rsidR="00344C9B">
        <w:rPr>
          <w:rFonts w:cstheme="minorHAnsi"/>
          <w:lang w:val="en-US"/>
        </w:rPr>
        <w:t>)</w:t>
      </w:r>
      <w:r w:rsidR="0043335D" w:rsidRPr="003635BF">
        <w:rPr>
          <w:rFonts w:cstheme="minorHAnsi"/>
          <w:lang w:val="en-US"/>
        </w:rPr>
        <w:t xml:space="preserve"> rapidly became the </w:t>
      </w:r>
      <w:r w:rsidR="00344C9B">
        <w:rPr>
          <w:rFonts w:cstheme="minorHAnsi"/>
          <w:lang w:val="en-US"/>
        </w:rPr>
        <w:t>most common method used</w:t>
      </w:r>
      <w:r w:rsidR="0043335D" w:rsidRPr="003635BF">
        <w:rPr>
          <w:rFonts w:cstheme="minorHAnsi"/>
          <w:lang w:val="en-US"/>
        </w:rPr>
        <w:t xml:space="preserve"> </w:t>
      </w:r>
      <w:r w:rsidR="00344C9B">
        <w:rPr>
          <w:rFonts w:cstheme="minorHAnsi"/>
          <w:lang w:val="en-US"/>
        </w:rPr>
        <w:t>by</w:t>
      </w:r>
      <w:r w:rsidR="00344C9B" w:rsidRPr="003635BF">
        <w:rPr>
          <w:rFonts w:cstheme="minorHAnsi"/>
          <w:lang w:val="en-US"/>
        </w:rPr>
        <w:t xml:space="preserve"> </w:t>
      </w:r>
      <w:r w:rsidR="0043335D" w:rsidRPr="003635BF">
        <w:rPr>
          <w:rFonts w:cstheme="minorHAnsi"/>
          <w:lang w:val="en-US"/>
        </w:rPr>
        <w:t xml:space="preserve">Australian women to prevent unwanted pregnancies </w:t>
      </w:r>
      <w:r w:rsidR="00213539" w:rsidRPr="007E15F6">
        <w:rPr>
          <w:rFonts w:cstheme="minorHAnsi"/>
          <w:noProof/>
        </w:rPr>
        <w:t>(Santow, 1991)</w:t>
      </w:r>
      <w:r w:rsidR="0043335D" w:rsidRPr="003635BF">
        <w:rPr>
          <w:rFonts w:cstheme="minorHAnsi"/>
          <w:lang w:val="en-US"/>
        </w:rPr>
        <w:t>. The TFR levelled off at around 2.9 children per woman during 1966-71. After 1971, the TFR fell again</w:t>
      </w:r>
      <w:r w:rsidR="0043335D">
        <w:rPr>
          <w:rFonts w:cstheme="minorHAnsi"/>
          <w:lang w:val="en-US"/>
        </w:rPr>
        <w:t>,</w:t>
      </w:r>
      <w:r w:rsidR="0043335D" w:rsidRPr="003635BF">
        <w:rPr>
          <w:rFonts w:cstheme="minorHAnsi"/>
          <w:lang w:val="en-US"/>
        </w:rPr>
        <w:t xml:space="preserve"> reaching a low point of 1.9 in 1980 and then experienced small fluctuations throughout the 1990s. In the last 30 years, the TFR has fluctuated substantially. It fell from 1.9 in 199</w:t>
      </w:r>
      <w:r w:rsidR="0043335D">
        <w:rPr>
          <w:rFonts w:cstheme="minorHAnsi"/>
          <w:lang w:val="en-US"/>
        </w:rPr>
        <w:t>0 to 1.74 in 2001. From the mid-2000</w:t>
      </w:r>
      <w:r w:rsidR="0043335D" w:rsidRPr="003635BF">
        <w:rPr>
          <w:rFonts w:cstheme="minorHAnsi"/>
          <w:lang w:val="en-US"/>
        </w:rPr>
        <w:t>s it started to increase, reaching a peak of 2.02 in 2008 before declining once again. In 20</w:t>
      </w:r>
      <w:r w:rsidR="0026646C">
        <w:rPr>
          <w:rFonts w:cstheme="minorHAnsi"/>
          <w:lang w:val="en-US"/>
        </w:rPr>
        <w:t>20</w:t>
      </w:r>
      <w:r w:rsidR="0043335D" w:rsidRPr="003635BF">
        <w:rPr>
          <w:rFonts w:cstheme="minorHAnsi"/>
          <w:lang w:val="en-US"/>
        </w:rPr>
        <w:t xml:space="preserve"> it reached its lowest level of 1.</w:t>
      </w:r>
      <w:r w:rsidR="0026646C">
        <w:rPr>
          <w:rFonts w:cstheme="minorHAnsi"/>
          <w:lang w:val="en-US"/>
        </w:rPr>
        <w:t>58</w:t>
      </w:r>
      <w:r w:rsidR="0043335D" w:rsidRPr="003635BF">
        <w:rPr>
          <w:rFonts w:cstheme="minorHAnsi"/>
          <w:lang w:val="en-US"/>
        </w:rPr>
        <w:t xml:space="preserve"> </w:t>
      </w:r>
      <w:r w:rsidR="00213539" w:rsidRPr="007E15F6">
        <w:rPr>
          <w:rFonts w:cstheme="minorHAnsi"/>
          <w:noProof/>
        </w:rPr>
        <w:t>(Australian Bureau of Statistics, 202</w:t>
      </w:r>
      <w:r w:rsidR="0026646C">
        <w:rPr>
          <w:rFonts w:cstheme="minorHAnsi"/>
          <w:noProof/>
        </w:rPr>
        <w:t>1</w:t>
      </w:r>
      <w:r w:rsidR="00AE2198">
        <w:rPr>
          <w:rFonts w:cstheme="minorHAnsi"/>
          <w:noProof/>
        </w:rPr>
        <w:t>a</w:t>
      </w:r>
      <w:r w:rsidR="00213539" w:rsidRPr="007E15F6">
        <w:rPr>
          <w:rFonts w:cstheme="minorHAnsi"/>
          <w:noProof/>
        </w:rPr>
        <w:t>)</w:t>
      </w:r>
      <w:r w:rsidR="0043335D" w:rsidRPr="003635BF">
        <w:rPr>
          <w:rFonts w:cstheme="minorHAnsi"/>
          <w:lang w:val="en-US"/>
        </w:rPr>
        <w:t>.</w:t>
      </w:r>
      <w:r w:rsidR="003E4630">
        <w:rPr>
          <w:rFonts w:cstheme="minorHAnsi"/>
          <w:lang w:val="en-US"/>
        </w:rPr>
        <w:t xml:space="preserve">  In the long run, it is estimated to fall to</w:t>
      </w:r>
      <w:r w:rsidR="003E4630" w:rsidRPr="003E4630">
        <w:rPr>
          <w:rFonts w:cstheme="minorHAnsi"/>
          <w:lang w:val="en-US"/>
        </w:rPr>
        <w:t xml:space="preserve"> 1.62 by 2030-31</w:t>
      </w:r>
      <w:r>
        <w:rPr>
          <w:rFonts w:cstheme="minorHAnsi"/>
          <w:lang w:val="en-US"/>
        </w:rPr>
        <w:t xml:space="preserve"> </w:t>
      </w:r>
      <w:r w:rsidR="00DD31D4" w:rsidRPr="007E15F6">
        <w:rPr>
          <w:rFonts w:cstheme="minorHAnsi"/>
          <w:noProof/>
          <w:lang w:val="en-US"/>
        </w:rPr>
        <w:t>(McDonald, 2020)</w:t>
      </w:r>
      <w:r w:rsidR="00496406">
        <w:rPr>
          <w:rFonts w:cstheme="minorHAnsi"/>
          <w:lang w:val="en-US"/>
        </w:rPr>
        <w:t>.</w:t>
      </w:r>
    </w:p>
    <w:p w14:paraId="2046DBC7" w14:textId="3957D5CD" w:rsidR="00DD31D4" w:rsidRDefault="00DD31D4" w:rsidP="00BC5105">
      <w:pPr>
        <w:spacing w:line="276" w:lineRule="auto"/>
        <w:jc w:val="both"/>
        <w:rPr>
          <w:rFonts w:cstheme="minorHAnsi"/>
          <w:lang w:val="en-US"/>
        </w:rPr>
      </w:pPr>
    </w:p>
    <w:p w14:paraId="79B1E347" w14:textId="3869086A" w:rsidR="00DD31D4" w:rsidRDefault="00DD31D4" w:rsidP="00BC5105">
      <w:pPr>
        <w:spacing w:line="276" w:lineRule="auto"/>
        <w:jc w:val="both"/>
        <w:rPr>
          <w:rFonts w:cstheme="minorHAnsi"/>
          <w:lang w:val="en-US"/>
        </w:rPr>
      </w:pPr>
    </w:p>
    <w:p w14:paraId="30749A75" w14:textId="04564D14" w:rsidR="00DD31D4" w:rsidRDefault="00DD31D4" w:rsidP="00BC5105">
      <w:pPr>
        <w:spacing w:line="276" w:lineRule="auto"/>
        <w:jc w:val="both"/>
        <w:rPr>
          <w:rFonts w:cstheme="minorHAnsi"/>
          <w:lang w:val="en-US"/>
        </w:rPr>
      </w:pPr>
    </w:p>
    <w:p w14:paraId="7DD7B22F" w14:textId="56DB9E92" w:rsidR="00DD31D4" w:rsidRDefault="00DD31D4" w:rsidP="00BC5105">
      <w:pPr>
        <w:spacing w:line="276" w:lineRule="auto"/>
        <w:jc w:val="both"/>
        <w:rPr>
          <w:rFonts w:cstheme="minorHAnsi"/>
          <w:lang w:val="en-US"/>
        </w:rPr>
      </w:pPr>
    </w:p>
    <w:p w14:paraId="60EB1A6E" w14:textId="11A04C96" w:rsidR="006A413D" w:rsidRDefault="006A413D" w:rsidP="00BC5105">
      <w:pPr>
        <w:pStyle w:val="Caption"/>
        <w:spacing w:line="276" w:lineRule="auto"/>
      </w:pPr>
      <w:r>
        <w:t xml:space="preserve">Figure </w:t>
      </w:r>
      <w:fldSimple w:instr=" SEQ Figure \* ARABIC ">
        <w:r w:rsidR="00115E22">
          <w:rPr>
            <w:noProof/>
          </w:rPr>
          <w:t>1</w:t>
        </w:r>
      </w:fldSimple>
      <w:r>
        <w:t xml:space="preserve"> </w:t>
      </w:r>
      <w:r w:rsidRPr="0034715E">
        <w:t>Total fertility rate in Australia, 1960-20</w:t>
      </w:r>
      <w:r w:rsidR="00692F9F">
        <w:t>20</w:t>
      </w:r>
      <w:r w:rsidRPr="0034715E">
        <w:t>.</w:t>
      </w:r>
    </w:p>
    <w:p w14:paraId="439ECC42" w14:textId="08EB4306" w:rsidR="00692F9F" w:rsidRPr="00692F9F" w:rsidRDefault="00692F9F" w:rsidP="00692F9F">
      <w:r w:rsidRPr="00692F9F">
        <w:rPr>
          <w:noProof/>
          <w:shd w:val="clear" w:color="auto" w:fill="ED7D31" w:themeFill="accent2"/>
          <w:lang w:eastAsia="en-AU"/>
        </w:rPr>
        <w:drawing>
          <wp:inline distT="0" distB="0" distL="0" distR="0" wp14:anchorId="651D4DD6" wp14:editId="11F38C32">
            <wp:extent cx="5731510" cy="2329815"/>
            <wp:effectExtent l="0" t="0" r="2540" b="0"/>
            <wp:docPr id="5" name="Chart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4EFD21" w14:textId="41EF33A9" w:rsidR="0043335D" w:rsidRPr="00A44987" w:rsidRDefault="0043335D" w:rsidP="00BC5105">
      <w:pPr>
        <w:spacing w:line="276" w:lineRule="auto"/>
        <w:jc w:val="center"/>
        <w:rPr>
          <w:rFonts w:cstheme="minorHAnsi"/>
          <w:lang w:val="en-US"/>
        </w:rPr>
      </w:pPr>
      <w:bookmarkStart w:id="12" w:name="_Ref75522533"/>
    </w:p>
    <w:bookmarkEnd w:id="12"/>
    <w:p w14:paraId="0951D700" w14:textId="23C3C5BE" w:rsidR="0043335D" w:rsidRDefault="0043335D" w:rsidP="00BC5105">
      <w:pPr>
        <w:spacing w:line="276" w:lineRule="auto"/>
        <w:rPr>
          <w:rFonts w:cstheme="minorHAnsi"/>
          <w:sz w:val="18"/>
          <w:lang w:val="en-US"/>
        </w:rPr>
      </w:pPr>
      <w:r w:rsidRPr="003635BF">
        <w:rPr>
          <w:rFonts w:cstheme="minorHAnsi"/>
          <w:sz w:val="18"/>
          <w:lang w:val="en-US"/>
        </w:rPr>
        <w:t xml:space="preserve">Source: </w:t>
      </w:r>
      <w:r>
        <w:rPr>
          <w:rFonts w:cstheme="minorHAnsi"/>
          <w:sz w:val="18"/>
          <w:lang w:val="en-US"/>
        </w:rPr>
        <w:t>Australian Bureau of Statistics</w:t>
      </w:r>
      <w:r w:rsidR="00496406">
        <w:rPr>
          <w:rFonts w:cstheme="minorHAnsi"/>
          <w:sz w:val="18"/>
          <w:lang w:val="en-US"/>
        </w:rPr>
        <w:t xml:space="preserve"> </w:t>
      </w:r>
      <w:r w:rsidR="00F5132D" w:rsidRPr="0026646C">
        <w:rPr>
          <w:rFonts w:cstheme="minorHAnsi"/>
          <w:noProof/>
          <w:sz w:val="18"/>
        </w:rPr>
        <w:t>(2021</w:t>
      </w:r>
      <w:r w:rsidR="00F5132D">
        <w:rPr>
          <w:rFonts w:cstheme="minorHAnsi"/>
          <w:noProof/>
          <w:sz w:val="18"/>
        </w:rPr>
        <w:t>a</w:t>
      </w:r>
      <w:r w:rsidR="00F5132D" w:rsidRPr="0026646C">
        <w:rPr>
          <w:rFonts w:cstheme="minorHAnsi"/>
          <w:noProof/>
          <w:sz w:val="18"/>
        </w:rPr>
        <w:t>)</w:t>
      </w:r>
      <w:r>
        <w:rPr>
          <w:rFonts w:cstheme="minorHAnsi"/>
          <w:sz w:val="18"/>
          <w:lang w:val="en-US"/>
        </w:rPr>
        <w:t>.</w:t>
      </w:r>
    </w:p>
    <w:p w14:paraId="23B1BFCB" w14:textId="2360E4F5" w:rsidR="0043335D" w:rsidRPr="00F9624A" w:rsidRDefault="0043335D" w:rsidP="00BC5105">
      <w:pPr>
        <w:spacing w:line="276" w:lineRule="auto"/>
        <w:jc w:val="both"/>
        <w:rPr>
          <w:rFonts w:cstheme="minorHAnsi"/>
          <w:lang w:val="en-US"/>
        </w:rPr>
      </w:pPr>
      <w:r w:rsidRPr="003635BF">
        <w:rPr>
          <w:rFonts w:cstheme="minorHAnsi"/>
          <w:lang w:val="en-US"/>
        </w:rPr>
        <w:t>Since the 1970s, fertility levels in some countr</w:t>
      </w:r>
      <w:r>
        <w:rPr>
          <w:rFonts w:cstheme="minorHAnsi"/>
          <w:lang w:val="en-US"/>
        </w:rPr>
        <w:t>ies have dropped</w:t>
      </w:r>
      <w:r w:rsidRPr="003635BF">
        <w:rPr>
          <w:rFonts w:cstheme="minorHAnsi"/>
          <w:lang w:val="en-US"/>
        </w:rPr>
        <w:t xml:space="preserve"> far below the replacement fertility level, closer to an average of only one birth per woman. While below replacement fertility levels can be observed in almost all OECD countries, </w:t>
      </w:r>
      <w:r>
        <w:rPr>
          <w:rFonts w:cstheme="minorHAnsi"/>
          <w:lang w:val="en-US"/>
        </w:rPr>
        <w:t>contemporary</w:t>
      </w:r>
      <w:r w:rsidRPr="003635BF">
        <w:rPr>
          <w:rFonts w:cstheme="minorHAnsi"/>
          <w:lang w:val="en-US"/>
        </w:rPr>
        <w:t xml:space="preserve"> extremely low fertility rates </w:t>
      </w:r>
      <w:r>
        <w:rPr>
          <w:rFonts w:cstheme="minorHAnsi"/>
          <w:lang w:val="en-US"/>
        </w:rPr>
        <w:t xml:space="preserve">are characteristic of </w:t>
      </w:r>
      <w:r w:rsidRPr="003635BF">
        <w:rPr>
          <w:rFonts w:cstheme="minorHAnsi"/>
          <w:lang w:val="en-US"/>
        </w:rPr>
        <w:t xml:space="preserve">only a cluster of </w:t>
      </w:r>
      <w:r>
        <w:rPr>
          <w:rFonts w:cstheme="minorHAnsi"/>
          <w:lang w:val="en-US"/>
        </w:rPr>
        <w:t>nations</w:t>
      </w:r>
      <w:r w:rsidRPr="003635BF">
        <w:rPr>
          <w:rFonts w:cstheme="minorHAnsi"/>
          <w:lang w:val="en-US"/>
        </w:rPr>
        <w:t xml:space="preserve">, mainly concentrated in the South of Europe and East Asia. A new term </w:t>
      </w:r>
      <w:r w:rsidR="00344C9B">
        <w:rPr>
          <w:rFonts w:cstheme="minorHAnsi"/>
          <w:lang w:val="en-US"/>
        </w:rPr>
        <w:t>w</w:t>
      </w:r>
      <w:r w:rsidRPr="003635BF">
        <w:rPr>
          <w:rFonts w:cstheme="minorHAnsi"/>
          <w:lang w:val="en-US"/>
        </w:rPr>
        <w:t>as proposed by demographers</w:t>
      </w:r>
      <w:r w:rsidR="001C2B62">
        <w:rPr>
          <w:rFonts w:cstheme="minorHAnsi"/>
          <w:lang w:val="en-US"/>
        </w:rPr>
        <w:t xml:space="preserve"> in the early 2000s</w:t>
      </w:r>
      <w:r w:rsidRPr="003635BF">
        <w:rPr>
          <w:rFonts w:cstheme="minorHAnsi"/>
          <w:lang w:val="en-US"/>
        </w:rPr>
        <w:t xml:space="preserve">, </w:t>
      </w:r>
      <w:r w:rsidR="004E64F4">
        <w:rPr>
          <w:rFonts w:cstheme="minorHAnsi"/>
          <w:lang w:val="en-US"/>
        </w:rPr>
        <w:t>‘lowest-low fertility’</w:t>
      </w:r>
      <w:r w:rsidRPr="003635BF">
        <w:rPr>
          <w:rFonts w:cstheme="minorHAnsi"/>
          <w:lang w:val="en-US"/>
        </w:rPr>
        <w:t xml:space="preserve">, to denote a fertility rate that is at or below 1.3 </w:t>
      </w:r>
      <w:r w:rsidR="006347FD">
        <w:rPr>
          <w:rFonts w:cstheme="minorHAnsi"/>
          <w:noProof/>
        </w:rPr>
        <w:t xml:space="preserve">(Kohler, </w:t>
      </w:r>
      <w:r w:rsidR="00B95174" w:rsidRPr="00B95174">
        <w:rPr>
          <w:rFonts w:cstheme="minorHAnsi"/>
          <w:i/>
          <w:noProof/>
        </w:rPr>
        <w:t>et al.,</w:t>
      </w:r>
      <w:r w:rsidR="006347FD">
        <w:rPr>
          <w:rFonts w:cstheme="minorHAnsi"/>
          <w:noProof/>
        </w:rPr>
        <w:t xml:space="preserve"> 2002; Billari &amp; Kohler, 2004)</w:t>
      </w:r>
      <w:r w:rsidRPr="003635BF">
        <w:rPr>
          <w:rFonts w:cstheme="minorHAnsi"/>
          <w:lang w:val="en-US"/>
        </w:rPr>
        <w:t xml:space="preserve">. </w:t>
      </w:r>
      <w:r w:rsidR="001C2B62">
        <w:t xml:space="preserve">Such </w:t>
      </w:r>
      <w:r w:rsidR="004E64F4">
        <w:t xml:space="preserve">a </w:t>
      </w:r>
      <w:r w:rsidR="001C2B62">
        <w:t>level is arbitrarily cho</w:t>
      </w:r>
      <w:r w:rsidR="004E64F4">
        <w:t>sen to distinguish between the ‘</w:t>
      </w:r>
      <w:r w:rsidR="001C2B62">
        <w:t>extremely low TFR reached in many countries of Central, Eastern, and Southern Europe in the 1990s and the somewhat higher TFR in Western and Northern Europe</w:t>
      </w:r>
      <w:r w:rsidR="004E64F4">
        <w:t>’</w:t>
      </w:r>
      <w:r w:rsidR="001C2B62">
        <w:t xml:space="preserve"> </w:t>
      </w:r>
      <w:r w:rsidR="006347FD">
        <w:rPr>
          <w:noProof/>
        </w:rPr>
        <w:t>(Sobotka, 2005)</w:t>
      </w:r>
      <w:r w:rsidR="001C2B62">
        <w:t xml:space="preserve">. </w:t>
      </w:r>
      <w:r w:rsidR="001C2B62">
        <w:rPr>
          <w:rFonts w:cstheme="minorHAnsi"/>
          <w:lang w:val="en-US"/>
        </w:rPr>
        <w:t>A</w:t>
      </w:r>
      <w:r w:rsidRPr="003635BF">
        <w:rPr>
          <w:rFonts w:cstheme="minorHAnsi"/>
          <w:lang w:val="en-US"/>
        </w:rPr>
        <w:t xml:space="preserve"> lowest-low </w:t>
      </w:r>
      <w:r>
        <w:rPr>
          <w:rFonts w:cstheme="minorHAnsi"/>
          <w:lang w:val="en-US"/>
        </w:rPr>
        <w:t xml:space="preserve">fertility </w:t>
      </w:r>
      <w:r w:rsidRPr="003635BF">
        <w:rPr>
          <w:rFonts w:cstheme="minorHAnsi"/>
          <w:lang w:val="en-US"/>
        </w:rPr>
        <w:t>level represents serious challenges for economic sustainability, as it may lead to an accelerated rate of population ageing and of population decline. As shown in Figure 2, when compared to the rest of OECD countries,</w:t>
      </w:r>
      <w:r>
        <w:rPr>
          <w:rFonts w:cstheme="minorHAnsi"/>
          <w:lang w:val="en-US"/>
        </w:rPr>
        <w:t xml:space="preserve"> in 2019 the </w:t>
      </w:r>
      <w:r w:rsidR="00C0571E">
        <w:rPr>
          <w:rFonts w:cstheme="minorHAnsi"/>
          <w:lang w:val="en-US"/>
        </w:rPr>
        <w:t>TFR</w:t>
      </w:r>
      <w:r>
        <w:rPr>
          <w:rFonts w:cstheme="minorHAnsi"/>
          <w:lang w:val="en-US"/>
        </w:rPr>
        <w:t xml:space="preserve"> </w:t>
      </w:r>
      <w:r w:rsidRPr="003635BF">
        <w:rPr>
          <w:rFonts w:cstheme="minorHAnsi"/>
          <w:lang w:val="en-US"/>
        </w:rPr>
        <w:t xml:space="preserve">in Australia </w:t>
      </w:r>
      <w:r>
        <w:rPr>
          <w:rFonts w:cstheme="minorHAnsi"/>
          <w:lang w:val="en-US"/>
        </w:rPr>
        <w:t>was</w:t>
      </w:r>
      <w:r w:rsidRPr="003635BF">
        <w:rPr>
          <w:rFonts w:cstheme="minorHAnsi"/>
          <w:lang w:val="en-US"/>
        </w:rPr>
        <w:t xml:space="preserve"> relatively high</w:t>
      </w:r>
      <w:r>
        <w:rPr>
          <w:rFonts w:cstheme="minorHAnsi"/>
          <w:lang w:val="en-US"/>
        </w:rPr>
        <w:t xml:space="preserve"> (1.66)</w:t>
      </w:r>
      <w:r w:rsidRPr="003635BF">
        <w:rPr>
          <w:rFonts w:cstheme="minorHAnsi"/>
          <w:lang w:val="en-US"/>
        </w:rPr>
        <w:t xml:space="preserve">. In particular, </w:t>
      </w:r>
      <w:r>
        <w:rPr>
          <w:rFonts w:cstheme="minorHAnsi"/>
          <w:lang w:val="en-US"/>
        </w:rPr>
        <w:t>it</w:t>
      </w:r>
      <w:r w:rsidRPr="003635BF">
        <w:rPr>
          <w:rFonts w:cstheme="minorHAnsi"/>
          <w:lang w:val="en-US"/>
        </w:rPr>
        <w:t xml:space="preserve"> appear</w:t>
      </w:r>
      <w:r>
        <w:rPr>
          <w:rFonts w:cstheme="minorHAnsi"/>
          <w:lang w:val="en-US"/>
        </w:rPr>
        <w:t>s</w:t>
      </w:r>
      <w:r w:rsidRPr="003635BF">
        <w:rPr>
          <w:rFonts w:cstheme="minorHAnsi"/>
          <w:lang w:val="en-US"/>
        </w:rPr>
        <w:t xml:space="preserve"> to be above both the OECD average</w:t>
      </w:r>
      <w:r>
        <w:rPr>
          <w:rFonts w:cstheme="minorHAnsi"/>
          <w:lang w:val="en-US"/>
        </w:rPr>
        <w:t xml:space="preserve"> (1.50)</w:t>
      </w:r>
      <w:r w:rsidRPr="003635BF">
        <w:rPr>
          <w:rFonts w:cstheme="minorHAnsi"/>
          <w:lang w:val="en-US"/>
        </w:rPr>
        <w:t xml:space="preserve"> and the EU average </w:t>
      </w:r>
      <w:r>
        <w:rPr>
          <w:rFonts w:cstheme="minorHAnsi"/>
          <w:lang w:val="en-US"/>
        </w:rPr>
        <w:t xml:space="preserve">(1.60) </w:t>
      </w:r>
      <w:r w:rsidRPr="003635BF">
        <w:rPr>
          <w:rFonts w:cstheme="minorHAnsi"/>
          <w:lang w:val="en-US"/>
        </w:rPr>
        <w:t xml:space="preserve">and far above the lowest-low level of 1.3. The </w:t>
      </w:r>
      <w:r w:rsidR="00C0571E">
        <w:rPr>
          <w:rFonts w:cstheme="minorHAnsi"/>
          <w:lang w:val="en-US"/>
        </w:rPr>
        <w:t>TFR</w:t>
      </w:r>
      <w:r w:rsidRPr="003635BF">
        <w:rPr>
          <w:rFonts w:cstheme="minorHAnsi"/>
          <w:lang w:val="en-US"/>
        </w:rPr>
        <w:t xml:space="preserve"> in Australia is comparable to other English speaking countries, particularly to</w:t>
      </w:r>
      <w:r>
        <w:rPr>
          <w:rFonts w:cstheme="minorHAnsi"/>
          <w:lang w:val="en-US"/>
        </w:rPr>
        <w:t xml:space="preserve"> that of the United Kingdom (1.63).</w:t>
      </w:r>
      <w:r w:rsidRPr="008F4C5B">
        <w:rPr>
          <w:i/>
          <w:iCs/>
          <w:noProof/>
          <w:lang w:eastAsia="en-AU"/>
        </w:rPr>
        <mc:AlternateContent>
          <mc:Choice Requires="wps">
            <w:drawing>
              <wp:anchor distT="0" distB="0" distL="114300" distR="114300" simplePos="0" relativeHeight="251658256" behindDoc="0" locked="0" layoutInCell="1" allowOverlap="1" wp14:anchorId="4E37EE1A" wp14:editId="52B64565">
                <wp:simplePos x="0" y="0"/>
                <wp:positionH relativeFrom="column">
                  <wp:posOffset>-2324100</wp:posOffset>
                </wp:positionH>
                <wp:positionV relativeFrom="paragraph">
                  <wp:posOffset>2324100</wp:posOffset>
                </wp:positionV>
                <wp:extent cx="466725" cy="228598"/>
                <wp:effectExtent l="0" t="0" r="28575" b="19685"/>
                <wp:wrapNone/>
                <wp:docPr id="35" name="Rectangle 4"/>
                <wp:cNvGraphicFramePr/>
                <a:graphic xmlns:a="http://schemas.openxmlformats.org/drawingml/2006/main">
                  <a:graphicData uri="http://schemas.microsoft.com/office/word/2010/wordprocessingShape">
                    <wps:wsp>
                      <wps:cNvSpPr/>
                      <wps:spPr>
                        <a:xfrm>
                          <a:off x="0" y="0"/>
                          <a:ext cx="466725" cy="228598"/>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F0BFB" w14:textId="77777777" w:rsidR="00C33FAA" w:rsidRDefault="00C33FAA" w:rsidP="0043335D">
                            <w:pPr>
                              <w:pStyle w:val="NormalWeb"/>
                              <w:spacing w:before="0" w:beforeAutospacing="0" w:after="0" w:afterAutospacing="0"/>
                            </w:pPr>
                            <w:r>
                              <w:rPr>
                                <w:rFonts w:asciiTheme="minorHAnsi" w:hAnsi="Calibri" w:cstheme="minorBidi"/>
                                <w:color w:val="000000" w:themeColor="text1"/>
                              </w:rPr>
                              <w:t>1.61</w:t>
                            </w:r>
                          </w:p>
                        </w:txbxContent>
                      </wps:txbx>
                      <wps:bodyPr vertOverflow="clip" horzOverflow="clip" rtlCol="0" anchor="t"/>
                    </wps:wsp>
                  </a:graphicData>
                </a:graphic>
              </wp:anchor>
            </w:drawing>
          </mc:Choice>
          <mc:Fallback>
            <w:pict>
              <v:rect w14:anchorId="4E37EE1A" id="Rectangle 4" o:spid="_x0000_s1028" style="position:absolute;left:0;text-align:left;margin-left:-183pt;margin-top:183pt;width:36.75pt;height:18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" filled="f" strokecolor="windowText" strokeweight="1pt">
                <v:textbox>
                  <w:txbxContent>
                    <w:p w14:paraId="4D7F0BFB" w14:textId="77777777" w:rsidR="00C33FAA" w:rsidRDefault="00C33FAA" w:rsidP="0043335D">
                      <w:pPr>
                        <w:pStyle w:val="NormalWeb"/>
                        <w:spacing w:before="0" w:beforeAutospacing="0" w:after="0" w:afterAutospacing="0"/>
                      </w:pPr>
                      <w:r>
                        <w:rPr>
                          <w:rFonts w:asciiTheme="minorHAnsi" w:hAnsi="Calibri" w:cstheme="minorBidi"/>
                          <w:color w:val="000000" w:themeColor="text1"/>
                        </w:rPr>
                        <w:t>1.61</w:t>
                      </w:r>
                    </w:p>
                  </w:txbxContent>
                </v:textbox>
              </v:rect>
            </w:pict>
          </mc:Fallback>
        </mc:AlternateContent>
      </w:r>
      <w:r>
        <w:rPr>
          <w:noProof/>
          <w:lang w:eastAsia="en-AU"/>
        </w:rPr>
        <mc:AlternateContent>
          <mc:Choice Requires="wps">
            <w:drawing>
              <wp:anchor distT="0" distB="0" distL="114300" distR="114300" simplePos="0" relativeHeight="251658257" behindDoc="0" locked="0" layoutInCell="1" allowOverlap="1" wp14:anchorId="35910763" wp14:editId="17D536B0">
                <wp:simplePos x="0" y="0"/>
                <wp:positionH relativeFrom="column">
                  <wp:posOffset>-2324100</wp:posOffset>
                </wp:positionH>
                <wp:positionV relativeFrom="paragraph">
                  <wp:posOffset>2324100</wp:posOffset>
                </wp:positionV>
                <wp:extent cx="133350" cy="38100"/>
                <wp:effectExtent l="0" t="0" r="19050" b="19050"/>
                <wp:wrapNone/>
                <wp:docPr id="40" name="Straight Connector 6"/>
                <wp:cNvGraphicFramePr/>
                <a:graphic xmlns:a="http://schemas.openxmlformats.org/drawingml/2006/main">
                  <a:graphicData uri="http://schemas.microsoft.com/office/word/2010/wordprocessingShape">
                    <wps:wsp>
                      <wps:cNvCnPr/>
                      <wps:spPr>
                        <a:xfrm>
                          <a:off x="0" y="0"/>
                          <a:ext cx="133350" cy="38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5E1254" id="Straight Connector 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83pt" to="-17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" strokecolor="#5b9bd5" strokeweight=".5pt">
                <v:stroke joinstyle="miter"/>
              </v:line>
            </w:pict>
          </mc:Fallback>
        </mc:AlternateContent>
      </w:r>
    </w:p>
    <w:p w14:paraId="0B8F0BAB" w14:textId="2117E618" w:rsidR="006A413D" w:rsidRDefault="006A413D" w:rsidP="007E15F6">
      <w:pPr>
        <w:pStyle w:val="Caption"/>
        <w:keepNext/>
        <w:spacing w:line="276" w:lineRule="auto"/>
      </w:pPr>
      <w:r>
        <w:lastRenderedPageBreak/>
        <w:t xml:space="preserve">Figure </w:t>
      </w:r>
      <w:fldSimple w:instr=" SEQ Figure \* ARABIC ">
        <w:r w:rsidR="00115E22">
          <w:rPr>
            <w:noProof/>
          </w:rPr>
          <w:t>2</w:t>
        </w:r>
      </w:fldSimple>
      <w:r>
        <w:t xml:space="preserve"> </w:t>
      </w:r>
      <w:r w:rsidRPr="00F05290">
        <w:t>Total fertility rate in 2019, OECD countries</w:t>
      </w:r>
    </w:p>
    <w:p w14:paraId="22FCAA18" w14:textId="09850FB6" w:rsidR="0043335D" w:rsidRDefault="00354AC1" w:rsidP="00BC5105">
      <w:pPr>
        <w:spacing w:line="276" w:lineRule="auto"/>
        <w:jc w:val="center"/>
      </w:pPr>
      <w:r>
        <w:rPr>
          <w:noProof/>
          <w:lang w:eastAsia="en-AU"/>
        </w:rPr>
        <mc:AlternateContent>
          <mc:Choice Requires="wps">
            <w:drawing>
              <wp:anchor distT="0" distB="0" distL="114300" distR="114300" simplePos="0" relativeHeight="251658279" behindDoc="0" locked="0" layoutInCell="1" allowOverlap="1" wp14:anchorId="5C710977" wp14:editId="08AAB5CC">
                <wp:simplePos x="0" y="0"/>
                <wp:positionH relativeFrom="column">
                  <wp:posOffset>2935144</wp:posOffset>
                </wp:positionH>
                <wp:positionV relativeFrom="paragraph">
                  <wp:posOffset>79532</wp:posOffset>
                </wp:positionV>
                <wp:extent cx="513386" cy="262201"/>
                <wp:effectExtent l="0" t="0" r="1270" b="5080"/>
                <wp:wrapNone/>
                <wp:docPr id="199" name="Text Box 199"/>
                <wp:cNvGraphicFramePr/>
                <a:graphic xmlns:a="http://schemas.openxmlformats.org/drawingml/2006/main">
                  <a:graphicData uri="http://schemas.microsoft.com/office/word/2010/wordprocessingShape">
                    <wps:wsp>
                      <wps:cNvSpPr txBox="1"/>
                      <wps:spPr>
                        <a:xfrm>
                          <a:off x="0" y="0"/>
                          <a:ext cx="513386" cy="262201"/>
                        </a:xfrm>
                        <a:prstGeom prst="rect">
                          <a:avLst/>
                        </a:prstGeom>
                        <a:solidFill>
                          <a:schemeClr val="lt1"/>
                        </a:solidFill>
                        <a:ln w="6350">
                          <a:noFill/>
                        </a:ln>
                      </wps:spPr>
                      <wps:txbx>
                        <w:txbxContent>
                          <w:p w14:paraId="29608145" w14:textId="339BB48D" w:rsidR="00C33FAA" w:rsidRPr="00354AC1" w:rsidRDefault="00C33FAA" w:rsidP="00354AC1">
                            <w:pPr>
                              <w:rPr>
                                <w:color w:val="0070C0"/>
                              </w:rPr>
                            </w:pPr>
                            <w:r>
                              <w:rPr>
                                <w:color w:val="0070C0"/>
                                <w:sz w:val="20"/>
                                <w:szCs w:val="20"/>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10977" id="_x0000_t202" coordsize="21600,21600" o:spt="202" path="m,l,21600r21600,l21600,xe">
                <v:stroke joinstyle="miter"/>
                <v:path gradientshapeok="t" o:connecttype="rect"/>
              </v:shapetype>
              <v:shape id="Text Box 199" o:spid="_x0000_s1029" type="#_x0000_t202" style="position:absolute;left:0;text-align:left;margin-left:231.1pt;margin-top:6.25pt;width:40.4pt;height:20.6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" fillcolor="white [3201]" stroked="f" strokeweight=".5pt">
                <v:textbox>
                  <w:txbxContent>
                    <w:p w14:paraId="29608145" w14:textId="339BB48D" w:rsidR="00C33FAA" w:rsidRPr="00354AC1" w:rsidRDefault="00C33FAA" w:rsidP="00354AC1">
                      <w:pPr>
                        <w:rPr>
                          <w:color w:val="0070C0"/>
                        </w:rPr>
                      </w:pPr>
                      <w:r>
                        <w:rPr>
                          <w:color w:val="0070C0"/>
                          <w:sz w:val="20"/>
                          <w:szCs w:val="20"/>
                        </w:rPr>
                        <w:t>0.9</w:t>
                      </w:r>
                    </w:p>
                  </w:txbxContent>
                </v:textbox>
              </v:shape>
            </w:pict>
          </mc:Fallback>
        </mc:AlternateContent>
      </w:r>
      <w:r>
        <w:rPr>
          <w:noProof/>
          <w:lang w:eastAsia="en-AU"/>
        </w:rPr>
        <mc:AlternateContent>
          <mc:Choice Requires="wps">
            <w:drawing>
              <wp:anchor distT="0" distB="0" distL="114300" distR="114300" simplePos="0" relativeHeight="251658278" behindDoc="0" locked="0" layoutInCell="1" allowOverlap="1" wp14:anchorId="3FB08FCB" wp14:editId="70CC8F51">
                <wp:simplePos x="0" y="0"/>
                <wp:positionH relativeFrom="column">
                  <wp:posOffset>3221059</wp:posOffset>
                </wp:positionH>
                <wp:positionV relativeFrom="paragraph">
                  <wp:posOffset>1993317</wp:posOffset>
                </wp:positionV>
                <wp:extent cx="513386" cy="262201"/>
                <wp:effectExtent l="0" t="0" r="1270" b="5080"/>
                <wp:wrapNone/>
                <wp:docPr id="198" name="Text Box 198"/>
                <wp:cNvGraphicFramePr/>
                <a:graphic xmlns:a="http://schemas.openxmlformats.org/drawingml/2006/main">
                  <a:graphicData uri="http://schemas.microsoft.com/office/word/2010/wordprocessingShape">
                    <wps:wsp>
                      <wps:cNvSpPr txBox="1"/>
                      <wps:spPr>
                        <a:xfrm>
                          <a:off x="0" y="0"/>
                          <a:ext cx="513386" cy="262201"/>
                        </a:xfrm>
                        <a:prstGeom prst="rect">
                          <a:avLst/>
                        </a:prstGeom>
                        <a:solidFill>
                          <a:schemeClr val="lt1"/>
                        </a:solidFill>
                        <a:ln w="6350">
                          <a:noFill/>
                        </a:ln>
                      </wps:spPr>
                      <wps:txbx>
                        <w:txbxContent>
                          <w:p w14:paraId="0D609D15" w14:textId="196F9C27" w:rsidR="00C33FAA" w:rsidRPr="00354AC1" w:rsidRDefault="00C33FAA" w:rsidP="00354AC1">
                            <w:pPr>
                              <w:rPr>
                                <w:color w:val="0070C0"/>
                              </w:rPr>
                            </w:pPr>
                            <w:r w:rsidRPr="00354AC1">
                              <w:rPr>
                                <w:color w:val="0070C0"/>
                                <w:sz w:val="20"/>
                                <w:szCs w:val="20"/>
                              </w:rPr>
                              <w:t>1.</w:t>
                            </w:r>
                            <w:r>
                              <w:rPr>
                                <w:color w:val="0070C0"/>
                                <w:sz w:val="20"/>
                                <w:szCs w:val="2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8FCB" id="Text Box 198" o:spid="_x0000_s1030" type="#_x0000_t202" style="position:absolute;left:0;text-align:left;margin-left:253.65pt;margin-top:156.95pt;width:40.4pt;height:20.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" fillcolor="white [3201]" stroked="f" strokeweight=".5pt">
                <v:textbox>
                  <w:txbxContent>
                    <w:p w14:paraId="0D609D15" w14:textId="196F9C27" w:rsidR="00C33FAA" w:rsidRPr="00354AC1" w:rsidRDefault="00C33FAA" w:rsidP="00354AC1">
                      <w:pPr>
                        <w:rPr>
                          <w:color w:val="0070C0"/>
                        </w:rPr>
                      </w:pPr>
                      <w:r w:rsidRPr="00354AC1">
                        <w:rPr>
                          <w:color w:val="0070C0"/>
                          <w:sz w:val="20"/>
                          <w:szCs w:val="20"/>
                        </w:rPr>
                        <w:t>1.</w:t>
                      </w:r>
                      <w:r>
                        <w:rPr>
                          <w:color w:val="0070C0"/>
                          <w:sz w:val="20"/>
                          <w:szCs w:val="20"/>
                        </w:rPr>
                        <w:t>50</w:t>
                      </w:r>
                    </w:p>
                  </w:txbxContent>
                </v:textbox>
              </v:shape>
            </w:pict>
          </mc:Fallback>
        </mc:AlternateContent>
      </w:r>
      <w:r>
        <w:rPr>
          <w:noProof/>
          <w:lang w:eastAsia="en-AU"/>
        </w:rPr>
        <mc:AlternateContent>
          <mc:Choice Requires="wps">
            <w:drawing>
              <wp:anchor distT="0" distB="0" distL="114300" distR="114300" simplePos="0" relativeHeight="251658277" behindDoc="0" locked="0" layoutInCell="1" allowOverlap="1" wp14:anchorId="49B6E65C" wp14:editId="31588DFD">
                <wp:simplePos x="0" y="0"/>
                <wp:positionH relativeFrom="column">
                  <wp:posOffset>3338479</wp:posOffset>
                </wp:positionH>
                <wp:positionV relativeFrom="paragraph">
                  <wp:posOffset>3777501</wp:posOffset>
                </wp:positionV>
                <wp:extent cx="513386" cy="262201"/>
                <wp:effectExtent l="0" t="0" r="1270" b="5080"/>
                <wp:wrapNone/>
                <wp:docPr id="197" name="Text Box 197"/>
                <wp:cNvGraphicFramePr/>
                <a:graphic xmlns:a="http://schemas.openxmlformats.org/drawingml/2006/main">
                  <a:graphicData uri="http://schemas.microsoft.com/office/word/2010/wordprocessingShape">
                    <wps:wsp>
                      <wps:cNvSpPr txBox="1"/>
                      <wps:spPr>
                        <a:xfrm>
                          <a:off x="0" y="0"/>
                          <a:ext cx="513386" cy="262201"/>
                        </a:xfrm>
                        <a:prstGeom prst="rect">
                          <a:avLst/>
                        </a:prstGeom>
                        <a:solidFill>
                          <a:schemeClr val="lt1"/>
                        </a:solidFill>
                        <a:ln w="6350">
                          <a:noFill/>
                        </a:ln>
                      </wps:spPr>
                      <wps:txbx>
                        <w:txbxContent>
                          <w:p w14:paraId="05203411" w14:textId="2B362142" w:rsidR="00C33FAA" w:rsidRPr="00354AC1" w:rsidRDefault="00C33FAA" w:rsidP="00354AC1">
                            <w:pPr>
                              <w:rPr>
                                <w:color w:val="FF0000"/>
                              </w:rPr>
                            </w:pPr>
                            <w:r w:rsidRPr="00354AC1">
                              <w:rPr>
                                <w:color w:val="FF0000"/>
                                <w:sz w:val="20"/>
                                <w:szCs w:val="20"/>
                              </w:rPr>
                              <w:t>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E65C" id="Text Box 197" o:spid="_x0000_s1031" type="#_x0000_t202" style="position:absolute;left:0;text-align:left;margin-left:262.85pt;margin-top:297.45pt;width:40.4pt;height:20.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" fillcolor="white [3201]" stroked="f" strokeweight=".5pt">
                <v:textbox>
                  <w:txbxContent>
                    <w:p w14:paraId="05203411" w14:textId="2B362142" w:rsidR="00C33FAA" w:rsidRPr="00354AC1" w:rsidRDefault="00C33FAA" w:rsidP="00354AC1">
                      <w:pPr>
                        <w:rPr>
                          <w:color w:val="FF0000"/>
                        </w:rPr>
                      </w:pPr>
                      <w:r w:rsidRPr="00354AC1">
                        <w:rPr>
                          <w:color w:val="FF0000"/>
                          <w:sz w:val="20"/>
                          <w:szCs w:val="20"/>
                        </w:rPr>
                        <w:t>1.66</w:t>
                      </w:r>
                    </w:p>
                  </w:txbxContent>
                </v:textbox>
              </v:shape>
            </w:pict>
          </mc:Fallback>
        </mc:AlternateContent>
      </w:r>
      <w:r>
        <w:rPr>
          <w:noProof/>
          <w:lang w:eastAsia="en-AU"/>
        </w:rPr>
        <mc:AlternateContent>
          <mc:Choice Requires="wps">
            <w:drawing>
              <wp:anchor distT="0" distB="0" distL="114300" distR="114300" simplePos="0" relativeHeight="251658276" behindDoc="0" locked="0" layoutInCell="1" allowOverlap="1" wp14:anchorId="142FEB09" wp14:editId="110A7892">
                <wp:simplePos x="0" y="0"/>
                <wp:positionH relativeFrom="column">
                  <wp:posOffset>3291618</wp:posOffset>
                </wp:positionH>
                <wp:positionV relativeFrom="paragraph">
                  <wp:posOffset>3063363</wp:posOffset>
                </wp:positionV>
                <wp:extent cx="513386" cy="262201"/>
                <wp:effectExtent l="0" t="0" r="1270" b="5080"/>
                <wp:wrapNone/>
                <wp:docPr id="196" name="Text Box 196"/>
                <wp:cNvGraphicFramePr/>
                <a:graphic xmlns:a="http://schemas.openxmlformats.org/drawingml/2006/main">
                  <a:graphicData uri="http://schemas.microsoft.com/office/word/2010/wordprocessingShape">
                    <wps:wsp>
                      <wps:cNvSpPr txBox="1"/>
                      <wps:spPr>
                        <a:xfrm>
                          <a:off x="0" y="0"/>
                          <a:ext cx="513386" cy="262201"/>
                        </a:xfrm>
                        <a:prstGeom prst="rect">
                          <a:avLst/>
                        </a:prstGeom>
                        <a:solidFill>
                          <a:schemeClr val="lt1"/>
                        </a:solidFill>
                        <a:ln w="6350">
                          <a:noFill/>
                        </a:ln>
                      </wps:spPr>
                      <wps:txbx>
                        <w:txbxContent>
                          <w:p w14:paraId="17C7E66B" w14:textId="76E6A8DE" w:rsidR="00C33FAA" w:rsidRPr="00354AC1" w:rsidRDefault="00C33FAA">
                            <w:pPr>
                              <w:rPr>
                                <w:color w:val="0070C0"/>
                              </w:rPr>
                            </w:pPr>
                            <w:r w:rsidRPr="00354AC1">
                              <w:rPr>
                                <w:color w:val="0070C0"/>
                                <w:sz w:val="20"/>
                                <w:szCs w:val="20"/>
                              </w:rPr>
                              <w:t>1.6</w:t>
                            </w:r>
                            <w:r>
                              <w:rPr>
                                <w:color w:val="0070C0"/>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EB09" id="Text Box 196" o:spid="_x0000_s1032" type="#_x0000_t202" style="position:absolute;left:0;text-align:left;margin-left:259.2pt;margin-top:241.2pt;width:40.4pt;height:20.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" fillcolor="white [3201]" stroked="f" strokeweight=".5pt">
                <v:textbox>
                  <w:txbxContent>
                    <w:p w14:paraId="17C7E66B" w14:textId="76E6A8DE" w:rsidR="00C33FAA" w:rsidRPr="00354AC1" w:rsidRDefault="00C33FAA">
                      <w:pPr>
                        <w:rPr>
                          <w:color w:val="0070C0"/>
                        </w:rPr>
                      </w:pPr>
                      <w:r w:rsidRPr="00354AC1">
                        <w:rPr>
                          <w:color w:val="0070C0"/>
                          <w:sz w:val="20"/>
                          <w:szCs w:val="20"/>
                        </w:rPr>
                        <w:t>1.6</w:t>
                      </w:r>
                      <w:r>
                        <w:rPr>
                          <w:color w:val="0070C0"/>
                          <w:sz w:val="20"/>
                          <w:szCs w:val="20"/>
                        </w:rPr>
                        <w:t>1</w:t>
                      </w:r>
                    </w:p>
                  </w:txbxContent>
                </v:textbox>
              </v:shape>
            </w:pict>
          </mc:Fallback>
        </mc:AlternateContent>
      </w:r>
      <w:r w:rsidR="0043335D">
        <w:rPr>
          <w:noProof/>
          <w:lang w:eastAsia="en-AU"/>
        </w:rPr>
        <w:drawing>
          <wp:inline distT="0" distB="0" distL="0" distR="0" wp14:anchorId="60356B88" wp14:editId="41863308">
            <wp:extent cx="3204000" cy="6876000"/>
            <wp:effectExtent l="0" t="0" r="15875" b="127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162C51" w14:textId="634B093C" w:rsidR="0043335D" w:rsidRPr="003E7ABC" w:rsidRDefault="0043335D" w:rsidP="00BC5105">
      <w:pPr>
        <w:spacing w:line="276" w:lineRule="auto"/>
        <w:rPr>
          <w:sz w:val="20"/>
          <w:szCs w:val="20"/>
        </w:rPr>
      </w:pPr>
      <w:r w:rsidRPr="003E7ABC">
        <w:rPr>
          <w:sz w:val="20"/>
          <w:szCs w:val="20"/>
        </w:rPr>
        <w:t xml:space="preserve">Source: OECD </w:t>
      </w:r>
      <w:sdt>
        <w:sdtPr>
          <w:rPr>
            <w:sz w:val="20"/>
            <w:szCs w:val="20"/>
          </w:rPr>
          <w:id w:val="-676183061"/>
          <w:citation/>
        </w:sdtPr>
        <w:sdtEndPr/>
        <w:sdtContent>
          <w:r w:rsidR="00496406">
            <w:rPr>
              <w:sz w:val="20"/>
              <w:szCs w:val="20"/>
            </w:rPr>
            <w:fldChar w:fldCharType="begin"/>
          </w:r>
          <w:r w:rsidR="00496406">
            <w:rPr>
              <w:sz w:val="20"/>
              <w:szCs w:val="20"/>
            </w:rPr>
            <w:instrText xml:space="preserve">CITATION OEC0a1 \n  \t  \l 3081 </w:instrText>
          </w:r>
          <w:r w:rsidR="00496406">
            <w:rPr>
              <w:sz w:val="20"/>
              <w:szCs w:val="20"/>
            </w:rPr>
            <w:fldChar w:fldCharType="separate"/>
          </w:r>
          <w:r w:rsidR="00BE2DD4" w:rsidRPr="0047156B">
            <w:rPr>
              <w:noProof/>
              <w:sz w:val="20"/>
              <w:szCs w:val="20"/>
            </w:rPr>
            <w:t>(2020a)</w:t>
          </w:r>
          <w:r w:rsidR="00496406">
            <w:rPr>
              <w:sz w:val="20"/>
              <w:szCs w:val="20"/>
            </w:rPr>
            <w:fldChar w:fldCharType="end"/>
          </w:r>
        </w:sdtContent>
      </w:sdt>
      <w:r w:rsidRPr="003E7ABC">
        <w:rPr>
          <w:sz w:val="20"/>
          <w:szCs w:val="20"/>
        </w:rPr>
        <w:t>.</w:t>
      </w:r>
    </w:p>
    <w:p w14:paraId="4FEB883B" w14:textId="77777777" w:rsidR="00243674" w:rsidRDefault="00243674">
      <w:pPr>
        <w:rPr>
          <w:rFonts w:eastAsiaTheme="majorEastAsia" w:cstheme="minorHAnsi"/>
          <w:color w:val="2E74B5" w:themeColor="accent1" w:themeShade="BF"/>
          <w:sz w:val="26"/>
          <w:szCs w:val="26"/>
          <w:highlight w:val="lightGray"/>
          <w:lang w:val="en-US"/>
        </w:rPr>
      </w:pPr>
      <w:bookmarkStart w:id="13" w:name="_Toc75703348"/>
      <w:r>
        <w:rPr>
          <w:rFonts w:cstheme="minorHAnsi"/>
          <w:highlight w:val="lightGray"/>
          <w:lang w:val="en-US"/>
        </w:rPr>
        <w:br w:type="page"/>
      </w:r>
    </w:p>
    <w:p w14:paraId="37AEF1D9" w14:textId="38B9EDFB" w:rsidR="0043335D" w:rsidRPr="00797EF7" w:rsidRDefault="003F7F8B" w:rsidP="00797EF7">
      <w:pPr>
        <w:rPr>
          <w:rFonts w:cstheme="majorHAnsi"/>
          <w:color w:val="5B9BD5" w:themeColor="accent1"/>
          <w:lang w:val="en-US"/>
        </w:rPr>
      </w:pPr>
      <w:bookmarkStart w:id="14" w:name="_Toc87454593"/>
      <w:r w:rsidRPr="00797EF7">
        <w:rPr>
          <w:rFonts w:asciiTheme="majorHAnsi" w:hAnsiTheme="majorHAnsi" w:cstheme="majorHAnsi"/>
          <w:color w:val="5B9BD5" w:themeColor="accent1"/>
          <w:sz w:val="26"/>
          <w:szCs w:val="26"/>
          <w:lang w:val="en-US"/>
        </w:rPr>
        <w:lastRenderedPageBreak/>
        <w:t xml:space="preserve">Age-specific </w:t>
      </w:r>
      <w:r w:rsidR="0043335D" w:rsidRPr="00797EF7">
        <w:rPr>
          <w:rFonts w:asciiTheme="majorHAnsi" w:hAnsiTheme="majorHAnsi" w:cstheme="majorHAnsi"/>
          <w:color w:val="5B9BD5" w:themeColor="accent1"/>
          <w:sz w:val="26"/>
          <w:szCs w:val="26"/>
          <w:lang w:val="en-US"/>
        </w:rPr>
        <w:t>fertility rates</w:t>
      </w:r>
      <w:bookmarkEnd w:id="13"/>
      <w:bookmarkEnd w:id="14"/>
    </w:p>
    <w:p w14:paraId="4D80E42D" w14:textId="18CE8F87" w:rsidR="0043335D" w:rsidRPr="003635BF" w:rsidRDefault="0043335D" w:rsidP="00BC5105">
      <w:pPr>
        <w:spacing w:line="276" w:lineRule="auto"/>
        <w:jc w:val="both"/>
        <w:rPr>
          <w:rFonts w:cstheme="minorHAnsi"/>
          <w:lang w:val="en-US"/>
        </w:rPr>
      </w:pPr>
      <w:r w:rsidRPr="003635BF">
        <w:rPr>
          <w:rFonts w:cstheme="minorHAnsi"/>
          <w:lang w:val="en-US"/>
        </w:rPr>
        <w:t xml:space="preserve">The age-specific fertility rate measures the number of births born to women of a specified age group per 1,000 women in that age group in a given year. The sum of age-specific fertility across all ages in one year </w:t>
      </w:r>
      <w:r w:rsidR="003F7F8B">
        <w:rPr>
          <w:rFonts w:cstheme="minorHAnsi"/>
          <w:lang w:val="en-US"/>
        </w:rPr>
        <w:t>equals</w:t>
      </w:r>
      <w:r w:rsidRPr="003635BF">
        <w:rPr>
          <w:rFonts w:cstheme="minorHAnsi"/>
          <w:lang w:val="en-US"/>
        </w:rPr>
        <w:t xml:space="preserve"> the TFR </w:t>
      </w:r>
      <w:r w:rsidR="003F7F8B">
        <w:rPr>
          <w:rFonts w:cstheme="minorHAnsi"/>
          <w:lang w:val="en-US"/>
        </w:rPr>
        <w:t xml:space="preserve">in that </w:t>
      </w:r>
      <w:r w:rsidRPr="003635BF">
        <w:rPr>
          <w:rFonts w:cstheme="minorHAnsi"/>
          <w:lang w:val="en-US"/>
        </w:rPr>
        <w:t xml:space="preserve">year. Figure </w:t>
      </w:r>
      <w:r w:rsidR="00354AC1">
        <w:rPr>
          <w:rFonts w:cstheme="minorHAnsi"/>
          <w:lang w:val="en-US"/>
        </w:rPr>
        <w:t>3</w:t>
      </w:r>
      <w:r w:rsidRPr="003635BF">
        <w:rPr>
          <w:rFonts w:cstheme="minorHAnsi"/>
          <w:lang w:val="en-US"/>
        </w:rPr>
        <w:t xml:space="preserve"> features</w:t>
      </w:r>
      <w:r w:rsidRPr="003635BF">
        <w:rPr>
          <w:rFonts w:cstheme="minorHAnsi"/>
          <w:b/>
          <w:sz w:val="28"/>
          <w:lang w:val="en-US"/>
        </w:rPr>
        <w:t xml:space="preserve"> </w:t>
      </w:r>
      <w:r w:rsidRPr="003635BF">
        <w:rPr>
          <w:rFonts w:cstheme="minorHAnsi"/>
          <w:lang w:val="en-US"/>
        </w:rPr>
        <w:t>the trend in age-specific fertility rates in Australia between 1960 and 2017 by five-year age groups. Since the mid-1970s</w:t>
      </w:r>
      <w:r w:rsidR="003F7F8B">
        <w:rPr>
          <w:rFonts w:cstheme="minorHAnsi"/>
          <w:lang w:val="en-US"/>
        </w:rPr>
        <w:t>,</w:t>
      </w:r>
      <w:r w:rsidRPr="003635BF">
        <w:rPr>
          <w:rFonts w:cstheme="minorHAnsi"/>
          <w:lang w:val="en-US"/>
        </w:rPr>
        <w:t xml:space="preserve"> childbearing at age 30 and above has become increasingly more common while fertility rates at ages below 30 have continued to </w:t>
      </w:r>
      <w:r w:rsidR="003F7F8B">
        <w:rPr>
          <w:rFonts w:cstheme="minorHAnsi"/>
          <w:lang w:val="en-US"/>
        </w:rPr>
        <w:t>decline</w:t>
      </w:r>
      <w:r w:rsidRPr="003635BF">
        <w:rPr>
          <w:rFonts w:cstheme="minorHAnsi"/>
          <w:lang w:val="en-US"/>
        </w:rPr>
        <w:t xml:space="preserve">. The fertility rate of women aged 25-29 </w:t>
      </w:r>
      <w:r w:rsidR="00243C37">
        <w:rPr>
          <w:rFonts w:cstheme="minorHAnsi"/>
          <w:lang w:val="en-US"/>
        </w:rPr>
        <w:t>slightly increase</w:t>
      </w:r>
      <w:r w:rsidRPr="003635BF">
        <w:rPr>
          <w:rFonts w:cstheme="minorHAnsi"/>
          <w:lang w:val="en-US"/>
        </w:rPr>
        <w:t xml:space="preserve"> in the mid-1980s, at a rate </w:t>
      </w:r>
      <w:r w:rsidR="00243C37">
        <w:rPr>
          <w:rFonts w:cstheme="minorHAnsi"/>
          <w:lang w:val="en-US"/>
        </w:rPr>
        <w:t>just below</w:t>
      </w:r>
      <w:r w:rsidRPr="003635BF">
        <w:rPr>
          <w:rFonts w:cstheme="minorHAnsi"/>
          <w:lang w:val="en-US"/>
        </w:rPr>
        <w:t xml:space="preserve"> 150 births per 1,000 women, while the corresponding rate for 30-34 year-old</w:t>
      </w:r>
      <w:r w:rsidR="00344C9B">
        <w:rPr>
          <w:rFonts w:cstheme="minorHAnsi"/>
          <w:lang w:val="en-US"/>
        </w:rPr>
        <w:t>s</w:t>
      </w:r>
      <w:r w:rsidRPr="003635BF">
        <w:rPr>
          <w:rFonts w:cstheme="minorHAnsi"/>
          <w:lang w:val="en-US"/>
        </w:rPr>
        <w:t xml:space="preserve"> was around 100. However, since the early 2000s this pattern has reversed and fertility has become higher among the 30 to 34 age group. Fertility rates among women aged 25 to 29 have </w:t>
      </w:r>
      <w:r w:rsidR="00344C9B">
        <w:rPr>
          <w:rFonts w:cstheme="minorHAnsi"/>
          <w:lang w:val="en-US"/>
        </w:rPr>
        <w:t>continued to decline</w:t>
      </w:r>
      <w:r w:rsidRPr="003635BF">
        <w:rPr>
          <w:rFonts w:cstheme="minorHAnsi"/>
          <w:lang w:val="en-US"/>
        </w:rPr>
        <w:t xml:space="preserve">, and by 2017 they </w:t>
      </w:r>
      <w:r w:rsidR="00344C9B">
        <w:rPr>
          <w:rFonts w:cstheme="minorHAnsi"/>
          <w:lang w:val="en-US"/>
        </w:rPr>
        <w:t xml:space="preserve">had fallen </w:t>
      </w:r>
      <w:r w:rsidRPr="003635BF">
        <w:rPr>
          <w:rFonts w:cstheme="minorHAnsi"/>
          <w:lang w:val="en-US"/>
        </w:rPr>
        <w:t xml:space="preserve">to values </w:t>
      </w:r>
      <w:r w:rsidR="00344C9B">
        <w:rPr>
          <w:rFonts w:cstheme="minorHAnsi"/>
          <w:lang w:val="en-US"/>
        </w:rPr>
        <w:t xml:space="preserve">similar </w:t>
      </w:r>
      <w:r w:rsidRPr="003635BF">
        <w:rPr>
          <w:rFonts w:cstheme="minorHAnsi"/>
          <w:lang w:val="en-US"/>
        </w:rPr>
        <w:t xml:space="preserve">to women aged between 35 and 39. Notably the fertility rates of women at older reproductive ages (30 and above) have been the only rates showing an upward trend. </w:t>
      </w:r>
    </w:p>
    <w:p w14:paraId="329F5004" w14:textId="7CE54C91" w:rsidR="006A413D" w:rsidRDefault="006A413D" w:rsidP="00BC5105">
      <w:pPr>
        <w:pStyle w:val="Caption"/>
        <w:keepNext/>
        <w:spacing w:line="276" w:lineRule="auto"/>
      </w:pPr>
      <w:r>
        <w:t xml:space="preserve">Figure </w:t>
      </w:r>
      <w:fldSimple w:instr=" SEQ Figure \* ARABIC ">
        <w:r w:rsidR="00115E22">
          <w:rPr>
            <w:noProof/>
          </w:rPr>
          <w:t>3</w:t>
        </w:r>
      </w:fldSimple>
      <w:r>
        <w:t xml:space="preserve"> </w:t>
      </w:r>
      <w:r w:rsidRPr="004330AB">
        <w:t>Age-specific Fertility Rate in Australia, 1960-</w:t>
      </w:r>
      <w:r w:rsidR="00F5132D">
        <w:t>2020</w:t>
      </w:r>
    </w:p>
    <w:p w14:paraId="03B75190" w14:textId="7EA6CEE7" w:rsidR="00F5132D" w:rsidRDefault="00F5132D" w:rsidP="00F5132D">
      <w:r>
        <w:rPr>
          <w:noProof/>
          <w:lang w:eastAsia="en-AU"/>
        </w:rPr>
        <w:drawing>
          <wp:inline distT="0" distB="0" distL="0" distR="0" wp14:anchorId="605C6BCD" wp14:editId="5FF53716">
            <wp:extent cx="5731510" cy="3175000"/>
            <wp:effectExtent l="0" t="0" r="2540" b="6350"/>
            <wp:docPr id="235" name="Chart 23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C4E1B0" w14:textId="19AD11F1" w:rsidR="006A413D" w:rsidRDefault="0043335D" w:rsidP="00BC5105">
      <w:pPr>
        <w:spacing w:line="276" w:lineRule="auto"/>
        <w:jc w:val="both"/>
        <w:rPr>
          <w:rFonts w:cstheme="minorHAnsi"/>
          <w:sz w:val="20"/>
          <w:szCs w:val="20"/>
          <w:lang w:val="en-US"/>
        </w:rPr>
      </w:pPr>
      <w:r w:rsidRPr="003E7ABC">
        <w:rPr>
          <w:rFonts w:cstheme="minorHAnsi"/>
          <w:sz w:val="20"/>
          <w:szCs w:val="20"/>
          <w:lang w:val="en-US"/>
        </w:rPr>
        <w:t xml:space="preserve">Source: Australian Bureau of Statistics </w:t>
      </w:r>
      <w:r w:rsidR="00F5132D" w:rsidRPr="0026646C">
        <w:rPr>
          <w:rFonts w:cstheme="minorHAnsi"/>
          <w:noProof/>
          <w:sz w:val="20"/>
          <w:szCs w:val="20"/>
          <w:lang w:val="en-US"/>
        </w:rPr>
        <w:t>(2021</w:t>
      </w:r>
      <w:r w:rsidR="00F5132D">
        <w:rPr>
          <w:rFonts w:cstheme="minorHAnsi"/>
          <w:noProof/>
          <w:sz w:val="20"/>
          <w:szCs w:val="20"/>
          <w:lang w:val="en-US"/>
        </w:rPr>
        <w:t>a</w:t>
      </w:r>
      <w:r w:rsidR="00F5132D" w:rsidRPr="0026646C">
        <w:rPr>
          <w:rFonts w:cstheme="minorHAnsi"/>
          <w:noProof/>
          <w:sz w:val="20"/>
          <w:szCs w:val="20"/>
          <w:lang w:val="en-US"/>
        </w:rPr>
        <w:t>)</w:t>
      </w:r>
    </w:p>
    <w:p w14:paraId="0A12CF04" w14:textId="77777777" w:rsidR="006A413D" w:rsidRDefault="006A413D" w:rsidP="00BC5105">
      <w:pPr>
        <w:spacing w:line="276" w:lineRule="auto"/>
        <w:rPr>
          <w:rFonts w:cstheme="minorHAnsi"/>
          <w:sz w:val="20"/>
          <w:szCs w:val="20"/>
          <w:lang w:val="en-US"/>
        </w:rPr>
      </w:pPr>
      <w:r>
        <w:rPr>
          <w:rFonts w:cstheme="minorHAnsi"/>
          <w:sz w:val="20"/>
          <w:szCs w:val="20"/>
          <w:lang w:val="en-US"/>
        </w:rPr>
        <w:br w:type="page"/>
      </w:r>
    </w:p>
    <w:p w14:paraId="5FC8554A" w14:textId="77777777" w:rsidR="0043335D" w:rsidRPr="003E7ABC" w:rsidRDefault="0043335D" w:rsidP="00BC5105">
      <w:pPr>
        <w:spacing w:line="276" w:lineRule="auto"/>
        <w:jc w:val="both"/>
        <w:rPr>
          <w:rFonts w:cstheme="minorHAnsi"/>
          <w:sz w:val="20"/>
          <w:szCs w:val="20"/>
          <w:lang w:val="en-US"/>
        </w:rPr>
      </w:pPr>
    </w:p>
    <w:p w14:paraId="6F0C546B" w14:textId="251AA857" w:rsidR="006A413D" w:rsidRDefault="0043335D" w:rsidP="00244248">
      <w:pPr>
        <w:pStyle w:val="Heading2"/>
        <w:numPr>
          <w:ilvl w:val="1"/>
          <w:numId w:val="15"/>
        </w:numPr>
        <w:spacing w:line="276" w:lineRule="auto"/>
        <w:rPr>
          <w:rFonts w:asciiTheme="minorHAnsi" w:hAnsiTheme="minorHAnsi" w:cstheme="minorHAnsi"/>
        </w:rPr>
      </w:pPr>
      <w:bookmarkStart w:id="15" w:name="_Toc75703349"/>
      <w:bookmarkStart w:id="16" w:name="_Toc87454594"/>
      <w:bookmarkStart w:id="17" w:name="_Toc98404947"/>
      <w:r w:rsidRPr="00410EEB">
        <w:rPr>
          <w:rFonts w:asciiTheme="minorHAnsi" w:hAnsiTheme="minorHAnsi" w:cstheme="minorHAnsi"/>
        </w:rPr>
        <w:t>Cohort fertility</w:t>
      </w:r>
      <w:bookmarkEnd w:id="15"/>
      <w:bookmarkEnd w:id="16"/>
      <w:bookmarkEnd w:id="17"/>
      <w:r w:rsidRPr="00410EEB">
        <w:rPr>
          <w:rFonts w:asciiTheme="minorHAnsi" w:hAnsiTheme="minorHAnsi" w:cstheme="minorHAnsi"/>
        </w:rPr>
        <w:t xml:space="preserve"> </w:t>
      </w:r>
    </w:p>
    <w:p w14:paraId="6F6D3147" w14:textId="77777777" w:rsidR="00243674" w:rsidRDefault="00243674" w:rsidP="00243674">
      <w:pPr>
        <w:spacing w:line="276" w:lineRule="auto"/>
        <w:jc w:val="both"/>
        <w:rPr>
          <w:rFonts w:cstheme="minorHAnsi"/>
          <w:lang w:val="en-US"/>
        </w:rPr>
      </w:pPr>
      <w:r w:rsidRPr="003635BF">
        <w:rPr>
          <w:rFonts w:cstheme="minorHAnsi"/>
          <w:lang w:val="en-US"/>
        </w:rPr>
        <w:t xml:space="preserve">To fully understand and quantify to what degree postponed births are recuperated later in the reproductive life, it is necessary to adopt a cohort perspective. </w:t>
      </w:r>
      <w:r>
        <w:rPr>
          <w:rFonts w:cstheme="minorHAnsi"/>
          <w:lang w:val="en-US"/>
        </w:rPr>
        <w:t>The completed cohort fertility (CCF) is</w:t>
      </w:r>
      <w:r w:rsidRPr="003635BF">
        <w:rPr>
          <w:rFonts w:cstheme="minorHAnsi"/>
          <w:lang w:val="en-US"/>
        </w:rPr>
        <w:t xml:space="preserve"> based on a real cohort of women born in the same year</w:t>
      </w:r>
      <w:r>
        <w:rPr>
          <w:rFonts w:cstheme="minorHAnsi"/>
          <w:lang w:val="en-US"/>
        </w:rPr>
        <w:t xml:space="preserve"> and provides a complete picture to answer the question of how many children on average are born to the cohort. In order to calculate this indicator, it is necessary that women complete their reproductive life and hence achieve at least their 45</w:t>
      </w:r>
      <w:r w:rsidRPr="00FC1994">
        <w:rPr>
          <w:rFonts w:cstheme="minorHAnsi"/>
          <w:vertAlign w:val="superscript"/>
          <w:lang w:val="en-US"/>
        </w:rPr>
        <w:t>th</w:t>
      </w:r>
      <w:r>
        <w:rPr>
          <w:rFonts w:cstheme="minorHAnsi"/>
          <w:lang w:val="en-US"/>
        </w:rPr>
        <w:t xml:space="preserve"> birthday, and preferably their 50th. This means that today it is possible to compute the CCF only of women born up to the early 1970s, while no indicator of completed fertility is yet available for later cohorts. The advantage of using the CCF is that it reflects the actual experience of a real cohort of women. Its main shortcoming consists of its inability to provide current information on fertility trends as it takes women at the end of their reproductive life. </w:t>
      </w:r>
    </w:p>
    <w:p w14:paraId="4B086BE6" w14:textId="77777777" w:rsidR="00243674" w:rsidRDefault="00243674" w:rsidP="00243674">
      <w:pPr>
        <w:spacing w:line="276" w:lineRule="auto"/>
        <w:jc w:val="both"/>
        <w:rPr>
          <w:rFonts w:cstheme="minorHAnsi"/>
          <w:lang w:val="en-US"/>
        </w:rPr>
      </w:pPr>
      <w:r>
        <w:rPr>
          <w:rFonts w:cstheme="minorHAnsi"/>
          <w:lang w:val="en-US"/>
        </w:rPr>
        <w:t xml:space="preserve">Figure 4 shows the completed fertility rate and the percentage distribution of the number of children ever born to Australian women born between 1945 and 1970. The CCF has been steadily declining from 2.46 in 1945 to 1.99 among women born in 1971, who have just completed their reproductive life. Trends in the completed family size reveal that the decline in the proportion of women having three or more children has been accompanied by an increase in the proportion of women having only one child or no children. The proportion of women having two children has remained relatively stable ranging between 37% and 39% for these cohorts. This is consistent with the existence of a two-child family social norm in Australia </w:t>
      </w:r>
      <w:r>
        <w:rPr>
          <w:rFonts w:cstheme="minorHAnsi"/>
          <w:noProof/>
        </w:rPr>
        <w:t xml:space="preserve">(Kippen, </w:t>
      </w:r>
      <w:r w:rsidRPr="007E15F6">
        <w:rPr>
          <w:rFonts w:cstheme="minorHAnsi"/>
          <w:i/>
          <w:iCs/>
          <w:noProof/>
        </w:rPr>
        <w:t>et al</w:t>
      </w:r>
      <w:r>
        <w:rPr>
          <w:rFonts w:cstheme="minorHAnsi"/>
          <w:noProof/>
        </w:rPr>
        <w:t>. 2007)</w:t>
      </w:r>
      <w:r>
        <w:rPr>
          <w:rFonts w:cstheme="minorHAnsi"/>
          <w:lang w:val="en-US"/>
        </w:rPr>
        <w:t xml:space="preserve">. </w:t>
      </w:r>
    </w:p>
    <w:p w14:paraId="79714764" w14:textId="77777777" w:rsidR="00243674" w:rsidRDefault="00243674" w:rsidP="00243674">
      <w:pPr>
        <w:spacing w:line="276" w:lineRule="auto"/>
        <w:jc w:val="both"/>
      </w:pPr>
      <w:r w:rsidRPr="003635BF">
        <w:rPr>
          <w:rFonts w:cstheme="minorHAnsi"/>
          <w:lang w:val="en-US"/>
        </w:rPr>
        <w:t xml:space="preserve">Couples in Australia as well as in other </w:t>
      </w:r>
      <w:r>
        <w:rPr>
          <w:rFonts w:cstheme="minorHAnsi"/>
          <w:lang w:val="en-US"/>
        </w:rPr>
        <w:t>high-income</w:t>
      </w:r>
      <w:r w:rsidRPr="003635BF">
        <w:rPr>
          <w:rFonts w:cstheme="minorHAnsi"/>
          <w:lang w:val="en-US"/>
        </w:rPr>
        <w:t xml:space="preserve"> countries have access to safe and reliable methods of contraception, which give them the flexibility to affect the timing of births. Hence, they can decide to start having children later</w:t>
      </w:r>
      <w:r>
        <w:rPr>
          <w:rFonts w:cstheme="minorHAnsi"/>
          <w:lang w:val="en-US"/>
        </w:rPr>
        <w:t xml:space="preserve"> (</w:t>
      </w:r>
      <w:r w:rsidRPr="003635BF">
        <w:rPr>
          <w:rFonts w:cstheme="minorHAnsi"/>
          <w:lang w:val="en-US"/>
        </w:rPr>
        <w:t>or earlier</w:t>
      </w:r>
      <w:r>
        <w:rPr>
          <w:rFonts w:cstheme="minorHAnsi"/>
          <w:lang w:val="en-US"/>
        </w:rPr>
        <w:t>)</w:t>
      </w:r>
      <w:r w:rsidRPr="003635BF">
        <w:rPr>
          <w:rFonts w:cstheme="minorHAnsi"/>
          <w:lang w:val="en-US"/>
        </w:rPr>
        <w:t>,</w:t>
      </w:r>
      <w:r>
        <w:rPr>
          <w:rFonts w:cstheme="minorHAnsi"/>
          <w:lang w:val="en-US"/>
        </w:rPr>
        <w:t xml:space="preserve"> and</w:t>
      </w:r>
      <w:r w:rsidRPr="003635BF">
        <w:rPr>
          <w:rFonts w:cstheme="minorHAnsi"/>
          <w:lang w:val="en-US"/>
        </w:rPr>
        <w:t xml:space="preserve"> to space births closer</w:t>
      </w:r>
      <w:r>
        <w:rPr>
          <w:rFonts w:cstheme="minorHAnsi"/>
          <w:lang w:val="en-US"/>
        </w:rPr>
        <w:t>,</w:t>
      </w:r>
      <w:r w:rsidRPr="003635BF">
        <w:rPr>
          <w:rFonts w:cstheme="minorHAnsi"/>
          <w:lang w:val="en-US"/>
        </w:rPr>
        <w:t xml:space="preserve"> or further apart. </w:t>
      </w:r>
      <w:r>
        <w:t xml:space="preserve">Figure 5 displays the age-specific fertility rate for nine different groups of cohorts born between 1945-49 and 1985-89. In Australia there has been a clear tendency to delay childbearing and, on average, younger cohorts of women are having children later. Although women born in the 1980s have not yet completed their reproductive life, the data points available suggest a continuation of the trend towards childbearing delay for these recent cohorts of women. </w:t>
      </w:r>
    </w:p>
    <w:p w14:paraId="4451708B" w14:textId="6027C41D" w:rsidR="00243674" w:rsidRPr="004A704A" w:rsidRDefault="00243674" w:rsidP="00243674">
      <w:pPr>
        <w:jc w:val="both"/>
        <w:rPr>
          <w:rFonts w:cstheme="minorHAnsi"/>
        </w:rPr>
      </w:pPr>
      <w:r w:rsidRPr="003635BF">
        <w:rPr>
          <w:rFonts w:cstheme="minorHAnsi"/>
          <w:noProof/>
        </w:rPr>
        <w:t xml:space="preserve">Ní Bhrolcháin </w:t>
      </w:r>
      <w:r w:rsidRPr="007E15F6">
        <w:rPr>
          <w:rFonts w:cstheme="minorHAnsi"/>
          <w:noProof/>
        </w:rPr>
        <w:t>(2011)</w:t>
      </w:r>
      <w:r w:rsidRPr="003635BF">
        <w:rPr>
          <w:rFonts w:cstheme="minorHAnsi"/>
          <w:noProof/>
        </w:rPr>
        <w:t xml:space="preserve"> uses an analogy of a car to highlight the difference between TFR and </w:t>
      </w:r>
      <w:r>
        <w:rPr>
          <w:rFonts w:cstheme="minorHAnsi"/>
          <w:noProof/>
        </w:rPr>
        <w:t>CCF</w:t>
      </w:r>
      <w:r w:rsidRPr="003635BF">
        <w:rPr>
          <w:rFonts w:cstheme="minorHAnsi"/>
          <w:noProof/>
        </w:rPr>
        <w:t>. The analogy asks us to consider a car travelling for a fix</w:t>
      </w:r>
      <w:r>
        <w:rPr>
          <w:rFonts w:cstheme="minorHAnsi"/>
          <w:noProof/>
        </w:rPr>
        <w:t>ed</w:t>
      </w:r>
      <w:r w:rsidRPr="003635BF">
        <w:rPr>
          <w:rFonts w:cstheme="minorHAnsi"/>
          <w:noProof/>
        </w:rPr>
        <w:t xml:space="preserve"> duration of time, such as 35 minutes to represent the 35 years of an average woman’s reproductive life. At times the car will speed up when the road is clear and straight, </w:t>
      </w:r>
      <w:r>
        <w:rPr>
          <w:rFonts w:cstheme="minorHAnsi"/>
          <w:noProof/>
        </w:rPr>
        <w:t xml:space="preserve">while at </w:t>
      </w:r>
      <w:r w:rsidRPr="003635BF">
        <w:rPr>
          <w:rFonts w:cstheme="minorHAnsi"/>
          <w:noProof/>
        </w:rPr>
        <w:t>other times it will slow down as it goes around bends</w:t>
      </w:r>
      <w:r>
        <w:rPr>
          <w:rFonts w:cstheme="minorHAnsi"/>
          <w:noProof/>
        </w:rPr>
        <w:t>, up hill or comes across obstacles</w:t>
      </w:r>
      <w:r w:rsidRPr="003635BF">
        <w:rPr>
          <w:rFonts w:cstheme="minorHAnsi"/>
          <w:noProof/>
        </w:rPr>
        <w:t xml:space="preserve">.  The speed will also depend on factors such as the weather, the driver’s personality and so on. The average speed, analagous to cohort fertility, will only be known at the end of the journey. If we measure the speed at certain moments in time this is equivalent to TFR. </w:t>
      </w:r>
      <w:r w:rsidRPr="003635BF">
        <w:rPr>
          <w:rFonts w:cstheme="minorHAnsi"/>
        </w:rPr>
        <w:t>To understand shorter term TFR trends or changes we would need to look at the sequence of events leading i</w:t>
      </w:r>
      <w:r>
        <w:rPr>
          <w:rFonts w:cstheme="minorHAnsi"/>
        </w:rPr>
        <w:t>t to slow down or speed up</w:t>
      </w:r>
      <w:r w:rsidRPr="003635BF">
        <w:rPr>
          <w:rFonts w:cstheme="minorHAnsi"/>
        </w:rPr>
        <w:t xml:space="preserve"> </w:t>
      </w:r>
      <w:sdt>
        <w:sdtPr>
          <w:rPr>
            <w:rFonts w:cstheme="minorHAnsi"/>
          </w:rPr>
          <w:id w:val="2115325611"/>
          <w:citation/>
        </w:sdtPr>
        <w:sdtEndPr/>
        <w:sdtContent>
          <w:r w:rsidRPr="003635BF">
            <w:rPr>
              <w:rFonts w:cstheme="minorHAnsi"/>
            </w:rPr>
            <w:fldChar w:fldCharType="begin"/>
          </w:r>
          <w:r w:rsidRPr="003635BF">
            <w:rPr>
              <w:rFonts w:cstheme="minorHAnsi"/>
            </w:rPr>
            <w:instrText xml:space="preserve"> CITATION Bas20 \l 3081 </w:instrText>
          </w:r>
          <w:r w:rsidRPr="003635BF">
            <w:rPr>
              <w:rFonts w:cstheme="minorHAnsi"/>
            </w:rPr>
            <w:fldChar w:fldCharType="separate"/>
          </w:r>
          <w:r w:rsidR="00BE2DD4" w:rsidRPr="001244DA">
            <w:rPr>
              <w:rFonts w:cstheme="minorHAnsi"/>
              <w:noProof/>
            </w:rPr>
            <w:t>(Bassford &amp; Fisher, 2020)</w:t>
          </w:r>
          <w:r w:rsidRPr="003635BF">
            <w:rPr>
              <w:rFonts w:cstheme="minorHAnsi"/>
            </w:rPr>
            <w:fldChar w:fldCharType="end"/>
          </w:r>
        </w:sdtContent>
      </w:sdt>
      <w:r>
        <w:rPr>
          <w:rFonts w:cstheme="minorHAnsi"/>
        </w:rPr>
        <w:t>.</w:t>
      </w:r>
    </w:p>
    <w:p w14:paraId="0AB8D26C" w14:textId="77777777" w:rsidR="00243674" w:rsidRPr="00243674" w:rsidRDefault="00243674" w:rsidP="00243674"/>
    <w:p w14:paraId="470F7818" w14:textId="4F896F85" w:rsidR="006A413D" w:rsidRDefault="006A413D" w:rsidP="003F7F8B">
      <w:pPr>
        <w:pStyle w:val="Caption"/>
        <w:keepNext/>
        <w:spacing w:line="276" w:lineRule="auto"/>
      </w:pPr>
      <w:r>
        <w:lastRenderedPageBreak/>
        <w:t xml:space="preserve">Figure </w:t>
      </w:r>
      <w:fldSimple w:instr=" SEQ Figure \* ARABIC ">
        <w:r w:rsidR="00115E22">
          <w:rPr>
            <w:noProof/>
          </w:rPr>
          <w:t>4</w:t>
        </w:r>
      </w:fldSimple>
      <w:r>
        <w:t xml:space="preserve"> </w:t>
      </w:r>
      <w:r w:rsidRPr="00F908C5">
        <w:t>Completed family size and number of children, women born 1945-1971</w:t>
      </w:r>
    </w:p>
    <w:p w14:paraId="1049439E" w14:textId="58C6F230" w:rsidR="00A70A29" w:rsidRPr="00A2405A" w:rsidRDefault="00A07454" w:rsidP="00BC5105">
      <w:pPr>
        <w:spacing w:line="276" w:lineRule="auto"/>
      </w:pPr>
      <w:r>
        <w:rPr>
          <w:i/>
          <w:iCs/>
          <w:noProof/>
          <w:lang w:eastAsia="en-AU"/>
        </w:rPr>
        <mc:AlternateContent>
          <mc:Choice Requires="wps">
            <w:drawing>
              <wp:anchor distT="0" distB="0" distL="114300" distR="114300" simplePos="0" relativeHeight="251658281" behindDoc="0" locked="0" layoutInCell="1" allowOverlap="1" wp14:anchorId="4672201F" wp14:editId="144790BC">
                <wp:simplePos x="0" y="0"/>
                <wp:positionH relativeFrom="column">
                  <wp:posOffset>723900</wp:posOffset>
                </wp:positionH>
                <wp:positionV relativeFrom="paragraph">
                  <wp:posOffset>407670</wp:posOffset>
                </wp:positionV>
                <wp:extent cx="495300"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95300" cy="323850"/>
                        </a:xfrm>
                        <a:prstGeom prst="rect">
                          <a:avLst/>
                        </a:prstGeom>
                        <a:noFill/>
                        <a:ln w="6350">
                          <a:noFill/>
                        </a:ln>
                      </wps:spPr>
                      <wps:txbx>
                        <w:txbxContent>
                          <w:p w14:paraId="3A3B5E4F" w14:textId="4403970F" w:rsidR="00C33FAA" w:rsidRPr="00A07454" w:rsidRDefault="00C33FAA" w:rsidP="00A07454">
                            <w:pPr>
                              <w:rPr>
                                <w:color w:val="FFFFFF" w:themeColor="background1"/>
                              </w:rPr>
                            </w:pPr>
                            <w:r>
                              <w:rPr>
                                <w:color w:val="FFFFFF" w:themeColor="background1"/>
                              </w:rPr>
                              <w:t>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2201F" id="Text Box 24" o:spid="_x0000_s1033" type="#_x0000_t202" style="position:absolute;margin-left:57pt;margin-top:32.1pt;width:39pt;height:25.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" filled="f" stroked="f" strokeweight=".5pt">
                <v:textbox>
                  <w:txbxContent>
                    <w:p w14:paraId="3A3B5E4F" w14:textId="4403970F" w:rsidR="00C33FAA" w:rsidRPr="00A07454" w:rsidRDefault="00C33FAA" w:rsidP="00A07454">
                      <w:pPr>
                        <w:rPr>
                          <w:color w:val="FFFFFF" w:themeColor="background1"/>
                        </w:rPr>
                      </w:pPr>
                      <w:r>
                        <w:rPr>
                          <w:color w:val="FFFFFF" w:themeColor="background1"/>
                        </w:rPr>
                        <w:t>2.46</w:t>
                      </w:r>
                    </w:p>
                  </w:txbxContent>
                </v:textbox>
              </v:shape>
            </w:pict>
          </mc:Fallback>
        </mc:AlternateContent>
      </w:r>
      <w:r>
        <w:rPr>
          <w:i/>
          <w:iCs/>
          <w:noProof/>
          <w:lang w:eastAsia="en-AU"/>
        </w:rPr>
        <mc:AlternateContent>
          <mc:Choice Requires="wps">
            <w:drawing>
              <wp:anchor distT="0" distB="0" distL="114300" distR="114300" simplePos="0" relativeHeight="251658280" behindDoc="0" locked="0" layoutInCell="1" allowOverlap="1" wp14:anchorId="3FEF46F4" wp14:editId="3339A35B">
                <wp:simplePos x="0" y="0"/>
                <wp:positionH relativeFrom="column">
                  <wp:posOffset>2962275</wp:posOffset>
                </wp:positionH>
                <wp:positionV relativeFrom="paragraph">
                  <wp:posOffset>2436495</wp:posOffset>
                </wp:positionV>
                <wp:extent cx="495300" cy="323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95300" cy="323850"/>
                        </a:xfrm>
                        <a:prstGeom prst="rect">
                          <a:avLst/>
                        </a:prstGeom>
                        <a:noFill/>
                        <a:ln w="6350">
                          <a:noFill/>
                        </a:ln>
                      </wps:spPr>
                      <wps:txbx>
                        <w:txbxContent>
                          <w:p w14:paraId="62FC33A4" w14:textId="5EAD13A9" w:rsidR="00C33FAA" w:rsidRPr="00A07454" w:rsidRDefault="00C33FAA">
                            <w:pPr>
                              <w:rPr>
                                <w:color w:val="FFFFFF" w:themeColor="background1"/>
                              </w:rPr>
                            </w:pPr>
                            <w:r w:rsidRPr="00A07454">
                              <w:rPr>
                                <w:color w:val="FFFFFF" w:themeColor="background1"/>
                              </w:rPr>
                              <w:t>1.99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EF46F4" id="Text Box 23" o:spid="_x0000_s1034" type="#_x0000_t202" style="position:absolute;margin-left:233.25pt;margin-top:191.85pt;width:39pt;height:25.5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" filled="f" stroked="f" strokeweight=".5pt">
                <v:textbox>
                  <w:txbxContent>
                    <w:p w14:paraId="62FC33A4" w14:textId="5EAD13A9" w:rsidR="00C33FAA" w:rsidRPr="00A07454" w:rsidRDefault="00C33FAA">
                      <w:pPr>
                        <w:rPr>
                          <w:color w:val="FFFFFF" w:themeColor="background1"/>
                        </w:rPr>
                      </w:pPr>
                      <w:r w:rsidRPr="00A07454">
                        <w:rPr>
                          <w:color w:val="FFFFFF" w:themeColor="background1"/>
                        </w:rPr>
                        <w:t>1.99</w:t>
                      </w:r>
                    </w:p>
                  </w:txbxContent>
                </v:textbox>
              </v:shape>
            </w:pict>
          </mc:Fallback>
        </mc:AlternateContent>
      </w:r>
      <w:r w:rsidR="00A70A29">
        <w:rPr>
          <w:noProof/>
          <w:lang w:eastAsia="en-AU"/>
        </w:rPr>
        <w:drawing>
          <wp:inline distT="0" distB="0" distL="0" distR="0" wp14:anchorId="6EF14380" wp14:editId="6346102D">
            <wp:extent cx="5731510" cy="4658360"/>
            <wp:effectExtent l="0" t="0" r="2540" b="889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26BC98" w14:textId="5C27E071" w:rsidR="0043335D" w:rsidRPr="003635BF" w:rsidRDefault="0043335D" w:rsidP="00BC5105">
      <w:pPr>
        <w:spacing w:before="240" w:line="276" w:lineRule="auto"/>
        <w:jc w:val="center"/>
        <w:rPr>
          <w:rFonts w:cstheme="minorHAnsi"/>
          <w:lang w:val="en-US"/>
        </w:rPr>
      </w:pPr>
    </w:p>
    <w:p w14:paraId="0E1E0A35" w14:textId="1BDEAA2F" w:rsidR="0043335D" w:rsidRPr="003E7ABC" w:rsidRDefault="0043335D" w:rsidP="00BC5105">
      <w:pPr>
        <w:spacing w:line="276" w:lineRule="auto"/>
        <w:jc w:val="both"/>
        <w:rPr>
          <w:rFonts w:cstheme="minorHAnsi"/>
          <w:sz w:val="20"/>
          <w:szCs w:val="20"/>
          <w:lang w:val="en-US"/>
        </w:rPr>
      </w:pPr>
      <w:r w:rsidRPr="003E7ABC">
        <w:rPr>
          <w:rFonts w:cstheme="minorHAnsi"/>
          <w:sz w:val="20"/>
          <w:szCs w:val="20"/>
          <w:lang w:val="en-US"/>
        </w:rPr>
        <w:t xml:space="preserve">Source: </w:t>
      </w:r>
      <w:r w:rsidR="00031258">
        <w:rPr>
          <w:rFonts w:cstheme="minorHAnsi"/>
          <w:sz w:val="20"/>
          <w:szCs w:val="20"/>
          <w:lang w:val="en-US"/>
        </w:rPr>
        <w:t>Australian Bureau of Statistics</w:t>
      </w:r>
      <w:r w:rsidR="00847398">
        <w:rPr>
          <w:rFonts w:cstheme="minorHAnsi"/>
          <w:sz w:val="20"/>
          <w:szCs w:val="20"/>
          <w:lang w:val="en-US"/>
        </w:rPr>
        <w:t xml:space="preserve">.  Census 2016, TableBuilder. </w:t>
      </w:r>
    </w:p>
    <w:p w14:paraId="6831E95E" w14:textId="33314F8B" w:rsidR="00243C37" w:rsidRPr="003E7ABC" w:rsidRDefault="00243C37" w:rsidP="00BC5105">
      <w:pPr>
        <w:spacing w:line="276" w:lineRule="auto"/>
        <w:jc w:val="both"/>
        <w:rPr>
          <w:rFonts w:cstheme="minorHAnsi"/>
          <w:sz w:val="20"/>
          <w:szCs w:val="20"/>
          <w:lang w:val="en-US"/>
        </w:rPr>
      </w:pPr>
      <w:r>
        <w:rPr>
          <w:rFonts w:cstheme="minorHAnsi"/>
          <w:sz w:val="20"/>
          <w:szCs w:val="20"/>
          <w:lang w:val="en-US"/>
        </w:rPr>
        <w:t xml:space="preserve">Note: The cohort of women born in 1971 represents the most recent cohort of women to have completed </w:t>
      </w:r>
      <w:r w:rsidR="00344C9B">
        <w:rPr>
          <w:rFonts w:cstheme="minorHAnsi"/>
          <w:sz w:val="20"/>
          <w:szCs w:val="20"/>
          <w:lang w:val="en-US"/>
        </w:rPr>
        <w:t>their</w:t>
      </w:r>
      <w:r>
        <w:rPr>
          <w:rFonts w:cstheme="minorHAnsi"/>
          <w:sz w:val="20"/>
          <w:szCs w:val="20"/>
          <w:lang w:val="en-US"/>
        </w:rPr>
        <w:t xml:space="preserve"> reproductive life. These women were aged </w:t>
      </w:r>
      <w:r w:rsidR="00344C9B">
        <w:rPr>
          <w:rFonts w:cstheme="minorHAnsi"/>
          <w:sz w:val="20"/>
          <w:szCs w:val="20"/>
          <w:lang w:val="en-US"/>
        </w:rPr>
        <w:t>4</w:t>
      </w:r>
      <w:r>
        <w:rPr>
          <w:rFonts w:cstheme="minorHAnsi"/>
          <w:sz w:val="20"/>
          <w:szCs w:val="20"/>
          <w:lang w:val="en-US"/>
        </w:rPr>
        <w:t xml:space="preserve">9 in 2020, which is considered the last year of </w:t>
      </w:r>
      <w:r w:rsidR="00344C9B">
        <w:rPr>
          <w:rFonts w:cstheme="minorHAnsi"/>
          <w:sz w:val="20"/>
          <w:szCs w:val="20"/>
          <w:lang w:val="en-US"/>
        </w:rPr>
        <w:t xml:space="preserve">the </w:t>
      </w:r>
      <w:r>
        <w:rPr>
          <w:rFonts w:cstheme="minorHAnsi"/>
          <w:sz w:val="20"/>
          <w:szCs w:val="20"/>
          <w:lang w:val="en-US"/>
        </w:rPr>
        <w:t>reproductive life span.</w:t>
      </w:r>
    </w:p>
    <w:p w14:paraId="51F00206" w14:textId="21627998" w:rsidR="0029613E" w:rsidRDefault="0029613E" w:rsidP="00BC5105">
      <w:pPr>
        <w:spacing w:line="276" w:lineRule="auto"/>
        <w:jc w:val="both"/>
        <w:rPr>
          <w:rFonts w:cstheme="minorHAnsi"/>
          <w:lang w:val="en-US"/>
        </w:rPr>
      </w:pPr>
    </w:p>
    <w:p w14:paraId="21F654E8" w14:textId="16D935A2" w:rsidR="00FB5153" w:rsidRDefault="00FB5153" w:rsidP="006C6E6D">
      <w:pPr>
        <w:pStyle w:val="Caption"/>
        <w:keepNext/>
        <w:jc w:val="both"/>
      </w:pPr>
      <w:r>
        <w:lastRenderedPageBreak/>
        <w:t xml:space="preserve">Figure </w:t>
      </w:r>
      <w:fldSimple w:instr=" SEQ Figure \* ARABIC ">
        <w:r w:rsidR="00115E22">
          <w:rPr>
            <w:noProof/>
          </w:rPr>
          <w:t>5</w:t>
        </w:r>
      </w:fldSimple>
      <w:r>
        <w:t xml:space="preserve"> </w:t>
      </w:r>
      <w:r w:rsidRPr="000408C7">
        <w:t>Age-specific fertility rates for cohorts born 1945-49 to 1985-89</w:t>
      </w:r>
    </w:p>
    <w:p w14:paraId="3ED58C13" w14:textId="0F432C3A" w:rsidR="0029613E" w:rsidRPr="006C6E6D" w:rsidRDefault="0029613E" w:rsidP="006C6E6D">
      <w:pPr>
        <w:keepNext/>
        <w:spacing w:line="276" w:lineRule="auto"/>
        <w:jc w:val="both"/>
      </w:pPr>
      <w:r>
        <w:rPr>
          <w:noProof/>
          <w:lang w:eastAsia="en-AU"/>
        </w:rPr>
        <w:drawing>
          <wp:inline distT="0" distB="0" distL="0" distR="0" wp14:anchorId="79C5DCC5" wp14:editId="36F0AB29">
            <wp:extent cx="5731510" cy="3444240"/>
            <wp:effectExtent l="0" t="0" r="2540" b="38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EB237B" w14:textId="77777777" w:rsidR="0043335D" w:rsidRPr="003635BF" w:rsidRDefault="0043335D" w:rsidP="00BC5105">
      <w:pPr>
        <w:pStyle w:val="Heading2"/>
        <w:spacing w:line="276" w:lineRule="auto"/>
      </w:pPr>
      <w:bookmarkStart w:id="18" w:name="_Toc75703351"/>
      <w:bookmarkStart w:id="19" w:name="_Toc87454595"/>
      <w:bookmarkStart w:id="20" w:name="_Toc98404948"/>
      <w:r w:rsidRPr="003635BF">
        <w:t>Problems with TFR</w:t>
      </w:r>
      <w:bookmarkEnd w:id="18"/>
      <w:bookmarkEnd w:id="19"/>
      <w:bookmarkEnd w:id="20"/>
    </w:p>
    <w:p w14:paraId="5BBD1A7F" w14:textId="33FF772C" w:rsidR="0043335D" w:rsidRPr="00BB3130" w:rsidRDefault="0043335D" w:rsidP="00EA60CC">
      <w:pPr>
        <w:jc w:val="both"/>
      </w:pPr>
      <w:r>
        <w:rPr>
          <w:rFonts w:cstheme="minorHAnsi"/>
          <w:lang w:val="en-US"/>
        </w:rPr>
        <w:t>While t</w:t>
      </w:r>
      <w:r w:rsidRPr="003635BF">
        <w:rPr>
          <w:rFonts w:cstheme="minorHAnsi"/>
          <w:lang w:val="en-US"/>
        </w:rPr>
        <w:t xml:space="preserve">he TFR is an intuitive and widely available </w:t>
      </w:r>
      <w:r>
        <w:rPr>
          <w:rFonts w:cstheme="minorHAnsi"/>
          <w:lang w:val="en-US"/>
        </w:rPr>
        <w:t xml:space="preserve">statistic, it has several important </w:t>
      </w:r>
      <w:r w:rsidRPr="003635BF">
        <w:rPr>
          <w:rFonts w:cstheme="minorHAnsi"/>
          <w:lang w:val="en-US"/>
        </w:rPr>
        <w:t xml:space="preserve">shortcomings that should be taken into account when interpreting </w:t>
      </w:r>
      <w:r>
        <w:rPr>
          <w:rFonts w:cstheme="minorHAnsi"/>
          <w:lang w:val="en-US"/>
        </w:rPr>
        <w:t>it</w:t>
      </w:r>
      <w:r w:rsidRPr="003635BF">
        <w:rPr>
          <w:rFonts w:cstheme="minorHAnsi"/>
          <w:lang w:val="en-US"/>
        </w:rPr>
        <w:t xml:space="preserve"> </w:t>
      </w:r>
      <w:r w:rsidR="00213539" w:rsidRPr="007E15F6">
        <w:rPr>
          <w:rFonts w:cstheme="minorHAnsi"/>
          <w:noProof/>
        </w:rPr>
        <w:t>(Bongaarts &amp; Feeney, 1998)</w:t>
      </w:r>
      <w:r w:rsidRPr="003635BF">
        <w:rPr>
          <w:rFonts w:cstheme="minorHAnsi"/>
          <w:lang w:val="en-US"/>
        </w:rPr>
        <w:t xml:space="preserve">. Fluctuations in period fertility may be the consequence of a change in the timing of childbirth, and </w:t>
      </w:r>
      <w:r w:rsidR="00F078D6">
        <w:rPr>
          <w:rFonts w:cstheme="minorHAnsi"/>
          <w:lang w:val="en-US"/>
        </w:rPr>
        <w:t>they do</w:t>
      </w:r>
      <w:r w:rsidR="00F078D6" w:rsidRPr="003635BF">
        <w:rPr>
          <w:rFonts w:cstheme="minorHAnsi"/>
          <w:lang w:val="en-US"/>
        </w:rPr>
        <w:t xml:space="preserve"> </w:t>
      </w:r>
      <w:r w:rsidRPr="003635BF">
        <w:rPr>
          <w:rFonts w:cstheme="minorHAnsi"/>
          <w:lang w:val="en-US"/>
        </w:rPr>
        <w:t>not necessarily indicate a change in the actual final number of children that women will give birth to by the end of their reproductive life. For example, it is possible that all women of childbearing age in 20</w:t>
      </w:r>
      <w:r w:rsidR="00D816B2">
        <w:rPr>
          <w:rFonts w:cstheme="minorHAnsi"/>
          <w:lang w:val="en-US"/>
        </w:rPr>
        <w:t>20</w:t>
      </w:r>
      <w:r w:rsidRPr="003635BF">
        <w:rPr>
          <w:rFonts w:cstheme="minorHAnsi"/>
          <w:lang w:val="en-US"/>
        </w:rPr>
        <w:t xml:space="preserve"> will have more children than 1.</w:t>
      </w:r>
      <w:r w:rsidR="00D816B2">
        <w:rPr>
          <w:rFonts w:cstheme="minorHAnsi"/>
          <w:lang w:val="en-US"/>
        </w:rPr>
        <w:t>6</w:t>
      </w:r>
      <w:r w:rsidRPr="003635BF">
        <w:rPr>
          <w:rFonts w:cstheme="minorHAnsi"/>
          <w:lang w:val="en-US"/>
        </w:rPr>
        <w:t xml:space="preserve"> each on average, even though the TFR in 2019 is 1.</w:t>
      </w:r>
      <w:r w:rsidR="00D816B2">
        <w:rPr>
          <w:rFonts w:cstheme="minorHAnsi"/>
          <w:lang w:val="en-US"/>
        </w:rPr>
        <w:t>6</w:t>
      </w:r>
      <w:r w:rsidRPr="003635BF">
        <w:rPr>
          <w:rFonts w:cstheme="minorHAnsi"/>
          <w:lang w:val="en-US"/>
        </w:rPr>
        <w:t xml:space="preserve">. This can be explained by the fact that the TFR does not measure the fertility experience of a real cohort of women, but the level of fertility in a given calendar year. The increasing trend of delaying births until older ages has a negative impact on the TFR, </w:t>
      </w:r>
      <w:r w:rsidR="00C0571E">
        <w:rPr>
          <w:rFonts w:cstheme="minorHAnsi"/>
          <w:lang w:val="en-US"/>
        </w:rPr>
        <w:t>due to</w:t>
      </w:r>
      <w:r w:rsidRPr="003635BF">
        <w:rPr>
          <w:rFonts w:cstheme="minorHAnsi"/>
          <w:lang w:val="en-US"/>
        </w:rPr>
        <w:t xml:space="preserve"> decreasing age-specific fertility rates at younger ages. </w:t>
      </w:r>
      <w:r w:rsidR="00601AFC">
        <w:t xml:space="preserve">Since the mid-1970s Australia and other </w:t>
      </w:r>
      <w:r w:rsidR="00C0571E">
        <w:t>high-income</w:t>
      </w:r>
      <w:r w:rsidR="00601AFC">
        <w:t xml:space="preserve"> countries have witnessed a constant increase in the mean age at childbearing, w</w:t>
      </w:r>
      <w:r w:rsidR="004E64F4">
        <w:t>hich has led to a consistent ‘</w:t>
      </w:r>
      <w:r w:rsidR="00F078D6">
        <w:t xml:space="preserve">underestimation’ </w:t>
      </w:r>
      <w:r w:rsidR="00601AFC">
        <w:t xml:space="preserve">of the </w:t>
      </w:r>
      <w:r w:rsidR="00C0571E">
        <w:t>TFR</w:t>
      </w:r>
      <w:r w:rsidR="00601AFC">
        <w:t>.</w:t>
      </w:r>
      <w:r w:rsidRPr="003635BF">
        <w:rPr>
          <w:rFonts w:cstheme="minorHAnsi"/>
          <w:lang w:val="en-US"/>
        </w:rPr>
        <w:t xml:space="preserve"> This decline in the TFR may not be </w:t>
      </w:r>
      <w:r w:rsidR="005B47D6">
        <w:rPr>
          <w:rFonts w:cstheme="minorHAnsi"/>
          <w:lang w:val="en-US"/>
        </w:rPr>
        <w:t xml:space="preserve">a </w:t>
      </w:r>
      <w:r w:rsidRPr="003635BF">
        <w:rPr>
          <w:rFonts w:cstheme="minorHAnsi"/>
          <w:lang w:val="en-US"/>
        </w:rPr>
        <w:t>real</w:t>
      </w:r>
      <w:r w:rsidR="005B47D6">
        <w:rPr>
          <w:rFonts w:cstheme="minorHAnsi"/>
          <w:lang w:val="en-US"/>
        </w:rPr>
        <w:t xml:space="preserve"> decline in fertility</w:t>
      </w:r>
      <w:r w:rsidRPr="003635BF">
        <w:rPr>
          <w:rFonts w:cstheme="minorHAnsi"/>
          <w:lang w:val="en-US"/>
        </w:rPr>
        <w:t xml:space="preserve">, since the cohorts of women that have postponed childbearing may recuperate these births later on, leading to an increase in age-specific fertility rates as compared </w:t>
      </w:r>
      <w:r>
        <w:rPr>
          <w:rFonts w:cstheme="minorHAnsi"/>
          <w:lang w:val="en-US"/>
        </w:rPr>
        <w:t xml:space="preserve">to </w:t>
      </w:r>
      <w:r w:rsidRPr="003635BF">
        <w:rPr>
          <w:rFonts w:cstheme="minorHAnsi"/>
          <w:lang w:val="en-US"/>
        </w:rPr>
        <w:t xml:space="preserve">those considered in the TFR. Hence, changes in the TFR are not simply driven by a change in the average number of children (i.e. quantum), but also by the shift of childbearing towards older ages (i.e. </w:t>
      </w:r>
      <w:r w:rsidRPr="003635BF">
        <w:rPr>
          <w:rFonts w:cstheme="minorHAnsi"/>
        </w:rPr>
        <w:t>tempo)</w:t>
      </w:r>
      <w:r w:rsidRPr="003635BF">
        <w:rPr>
          <w:rFonts w:cstheme="minorHAnsi"/>
          <w:lang w:val="en-US"/>
        </w:rPr>
        <w:t xml:space="preserve">. Usually, both factors are important in explaining changes in the fertility rate, so that when a decline in the TFR is observed, it is likely due to a combination of both. </w:t>
      </w:r>
    </w:p>
    <w:p w14:paraId="00AE5ACC" w14:textId="72C32826" w:rsidR="0043335D" w:rsidRDefault="0043335D" w:rsidP="00BC5105">
      <w:pPr>
        <w:pStyle w:val="Heading3"/>
        <w:spacing w:line="276" w:lineRule="auto"/>
        <w:rPr>
          <w:lang w:val="en-US"/>
        </w:rPr>
      </w:pPr>
      <w:bookmarkStart w:id="21" w:name="_Toc87454596"/>
      <w:r>
        <w:rPr>
          <w:lang w:val="en-US"/>
        </w:rPr>
        <w:t>Adjusted-TFR</w:t>
      </w:r>
      <w:bookmarkEnd w:id="21"/>
    </w:p>
    <w:p w14:paraId="4F41B237" w14:textId="06062B97" w:rsidR="0043335D" w:rsidRDefault="0043335D" w:rsidP="00BC5105">
      <w:pPr>
        <w:spacing w:line="276" w:lineRule="auto"/>
        <w:jc w:val="both"/>
        <w:rPr>
          <w:rFonts w:cstheme="minorHAnsi"/>
          <w:lang w:val="en-US"/>
        </w:rPr>
      </w:pPr>
      <w:r w:rsidRPr="003635BF">
        <w:rPr>
          <w:rFonts w:cstheme="minorHAnsi"/>
          <w:lang w:val="en-US"/>
        </w:rPr>
        <w:t xml:space="preserve">A modified version of the traditional TFR has been proposed </w:t>
      </w:r>
      <w:r w:rsidR="00213539" w:rsidRPr="007E15F6">
        <w:rPr>
          <w:rFonts w:cstheme="minorHAnsi"/>
          <w:noProof/>
        </w:rPr>
        <w:t>(Bongaarts &amp; Feeney, 1998)</w:t>
      </w:r>
      <w:r>
        <w:rPr>
          <w:rFonts w:cstheme="minorHAnsi"/>
          <w:lang w:val="en-US"/>
        </w:rPr>
        <w:t xml:space="preserve"> </w:t>
      </w:r>
      <w:r w:rsidRPr="003635BF">
        <w:rPr>
          <w:rFonts w:cstheme="minorHAnsi"/>
          <w:lang w:val="en-US"/>
        </w:rPr>
        <w:t>with the aim to obtain</w:t>
      </w:r>
      <w:r w:rsidR="00D66F76">
        <w:rPr>
          <w:rFonts w:cstheme="minorHAnsi"/>
          <w:lang w:val="en-US"/>
        </w:rPr>
        <w:t>ing</w:t>
      </w:r>
      <w:r w:rsidRPr="003635BF">
        <w:rPr>
          <w:rFonts w:cstheme="minorHAnsi"/>
          <w:lang w:val="en-US"/>
        </w:rPr>
        <w:t xml:space="preserve"> a level of fertility that is free from tempo effects and thus able to provide a better indicator of the actual</w:t>
      </w:r>
      <w:r>
        <w:rPr>
          <w:rFonts w:cstheme="minorHAnsi"/>
          <w:lang w:val="en-US"/>
        </w:rPr>
        <w:t xml:space="preserve"> average number of children</w:t>
      </w:r>
      <w:r w:rsidRPr="003635BF">
        <w:rPr>
          <w:rFonts w:cstheme="minorHAnsi"/>
          <w:lang w:val="en-US"/>
        </w:rPr>
        <w:t xml:space="preserve"> women have during their reproductive life. The tempo-adjusted total fertility rate (adjusted-TFR) modifies the more conventional TFR by taking into account tempo effects, providing an estimate of what the TFR could have been in the absence of </w:t>
      </w:r>
      <w:r w:rsidRPr="003635BF">
        <w:rPr>
          <w:rFonts w:cstheme="minorHAnsi"/>
          <w:lang w:val="en-US"/>
        </w:rPr>
        <w:lastRenderedPageBreak/>
        <w:t xml:space="preserve">tempo distortions. </w:t>
      </w:r>
      <w:r>
        <w:rPr>
          <w:rFonts w:cstheme="minorHAnsi"/>
          <w:lang w:val="en-US"/>
        </w:rPr>
        <w:t>Just like for the TFR, the adjusted-TFR is given by the sum of age-specific fertility rates. However, these rates are modified using an adjustment factor that takes into account the temporal distribution of births. The adjustment factor corresponds to the rate of change in the mean age of ch</w:t>
      </w:r>
      <w:r w:rsidR="00D66F76">
        <w:rPr>
          <w:rFonts w:cstheme="minorHAnsi"/>
          <w:lang w:val="en-US"/>
        </w:rPr>
        <w:t xml:space="preserve">ildbearing and it is estimated </w:t>
      </w:r>
      <w:r>
        <w:rPr>
          <w:rFonts w:cstheme="minorHAnsi"/>
          <w:lang w:val="en-US"/>
        </w:rPr>
        <w:t>as the half-di</w:t>
      </w:r>
      <w:r w:rsidR="00D66F76">
        <w:rPr>
          <w:rFonts w:cstheme="minorHAnsi"/>
          <w:lang w:val="en-US"/>
        </w:rPr>
        <w:t>fference between the mean age of</w:t>
      </w:r>
      <w:r>
        <w:rPr>
          <w:rFonts w:cstheme="minorHAnsi"/>
          <w:lang w:val="en-US"/>
        </w:rPr>
        <w:t xml:space="preserve"> childbearing values between two consecutive years.</w:t>
      </w:r>
      <w:r w:rsidR="00D66F76">
        <w:rPr>
          <w:rFonts w:cstheme="minorHAnsi"/>
          <w:lang w:val="en-US"/>
        </w:rPr>
        <w:t xml:space="preserve"> Overall the formula consists of</w:t>
      </w:r>
      <w:r>
        <w:rPr>
          <w:rFonts w:cstheme="minorHAnsi"/>
          <w:lang w:val="en-US"/>
        </w:rPr>
        <w:t xml:space="preserve"> summing all adjusted age-speci</w:t>
      </w:r>
      <w:r w:rsidR="00D66F76">
        <w:rPr>
          <w:rFonts w:cstheme="minorHAnsi"/>
          <w:lang w:val="en-US"/>
        </w:rPr>
        <w:t>fic fertility rates,</w:t>
      </w:r>
      <w:r>
        <w:rPr>
          <w:rFonts w:cstheme="minorHAnsi"/>
          <w:lang w:val="en-US"/>
        </w:rPr>
        <w:t xml:space="preserve"> multiplying each one of them by the adjustment factor.</w:t>
      </w:r>
      <w:r w:rsidR="00D66F76">
        <w:rPr>
          <w:rFonts w:cstheme="minorHAnsi"/>
          <w:lang w:val="en-US"/>
        </w:rPr>
        <w:t xml:space="preserve"> </w:t>
      </w:r>
    </w:p>
    <w:tbl>
      <w:tblPr>
        <w:tblStyle w:val="TableGrid"/>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FBE4D5" w:themeFill="accent2" w:themeFillTint="33"/>
        <w:tblLook w:val="04A0" w:firstRow="1" w:lastRow="0" w:firstColumn="1" w:lastColumn="0" w:noHBand="0" w:noVBand="1"/>
      </w:tblPr>
      <w:tblGrid>
        <w:gridCol w:w="9016"/>
      </w:tblGrid>
      <w:tr w:rsidR="00077D36" w:rsidRPr="007A40F7" w14:paraId="09380572" w14:textId="77777777" w:rsidTr="003C3693">
        <w:tc>
          <w:tcPr>
            <w:tcW w:w="9016" w:type="dxa"/>
            <w:shd w:val="clear" w:color="auto" w:fill="FBE4D5" w:themeFill="accent2" w:themeFillTint="33"/>
          </w:tcPr>
          <w:p w14:paraId="75B6B219" w14:textId="77777777" w:rsidR="00077D36" w:rsidRDefault="00077D36" w:rsidP="003C3693">
            <w:pPr>
              <w:rPr>
                <w:rFonts w:ascii="Arial Nova Cond Light" w:hAnsi="Arial Nova Cond Light" w:cstheme="majorHAnsi"/>
                <w:b/>
                <w:bCs/>
                <w:noProof/>
              </w:rPr>
            </w:pPr>
          </w:p>
          <w:p w14:paraId="7CDB6D54" w14:textId="7DFAA0BC" w:rsidR="00077D36" w:rsidRPr="00BB0074" w:rsidRDefault="00077D36" w:rsidP="003C3693">
            <w:pPr>
              <w:rPr>
                <w:rFonts w:ascii="Tw Cen MT Condensed" w:hAnsi="Tw Cen MT Condensed" w:cstheme="majorHAnsi"/>
                <w:b/>
                <w:bCs/>
                <w:noProof/>
                <w:sz w:val="24"/>
                <w:szCs w:val="24"/>
              </w:rPr>
            </w:pPr>
            <w:r>
              <w:rPr>
                <w:rFonts w:ascii="Tw Cen MT Condensed" w:hAnsi="Tw Cen MT Condensed" w:cstheme="majorHAnsi"/>
                <w:b/>
                <w:bCs/>
                <w:noProof/>
                <w:sz w:val="24"/>
                <w:szCs w:val="24"/>
              </w:rPr>
              <w:t>Adjusted-TFR</w:t>
            </w:r>
          </w:p>
          <w:p w14:paraId="08FE2049" w14:textId="77777777" w:rsidR="00077D36" w:rsidRPr="007A40F7" w:rsidRDefault="00077D36" w:rsidP="003C3693">
            <w:pPr>
              <w:rPr>
                <w:rFonts w:ascii="Arial Nova Cond Light" w:hAnsi="Arial Nova Cond Light" w:cstheme="majorHAnsi"/>
                <w:b/>
                <w:bCs/>
                <w:noProof/>
              </w:rPr>
            </w:pPr>
          </w:p>
          <w:p w14:paraId="13505D83" w14:textId="77777777" w:rsidR="00132493" w:rsidRDefault="00132493" w:rsidP="003C3693">
            <w:pPr>
              <w:rPr>
                <w:rFonts w:asciiTheme="majorHAnsi" w:hAnsiTheme="majorHAnsi" w:cstheme="majorHAnsi"/>
                <w:noProof/>
              </w:rPr>
            </w:pPr>
            <w:r>
              <w:rPr>
                <w:rFonts w:asciiTheme="majorHAnsi" w:hAnsiTheme="majorHAnsi" w:cstheme="majorHAnsi"/>
                <w:noProof/>
              </w:rPr>
              <w:t>The adjusted-TFR is expresses as follows:</w:t>
            </w:r>
          </w:p>
          <w:p w14:paraId="3C1E5172" w14:textId="77777777" w:rsidR="00132493" w:rsidRPr="003E3020" w:rsidRDefault="00132493" w:rsidP="00132493">
            <w:pPr>
              <w:jc w:val="both"/>
              <w:rPr>
                <w:rFonts w:asciiTheme="majorHAnsi" w:hAnsiTheme="majorHAnsi" w:cstheme="majorHAnsi"/>
                <w:noProof/>
              </w:rPr>
            </w:pPr>
          </w:p>
          <w:p w14:paraId="7227464C" w14:textId="77777777" w:rsidR="00132493" w:rsidRPr="003E3020" w:rsidRDefault="00132493" w:rsidP="00132493">
            <w:pPr>
              <w:jc w:val="both"/>
              <w:rPr>
                <w:rFonts w:asciiTheme="majorHAnsi" w:hAnsiTheme="majorHAnsi" w:cstheme="majorHAnsi"/>
                <w:noProof/>
              </w:rPr>
            </w:pPr>
            <m:oMathPara>
              <m:oMath>
                <m:r>
                  <w:rPr>
                    <w:rFonts w:ascii="Cambria Math" w:hAnsi="Cambria Math" w:cstheme="majorHAnsi"/>
                    <w:noProof/>
                  </w:rPr>
                  <m:t>adjTFR</m:t>
                </m:r>
                <m:d>
                  <m:dPr>
                    <m:ctrlPr>
                      <w:rPr>
                        <w:rFonts w:ascii="Cambria Math" w:hAnsi="Cambria Math" w:cstheme="majorHAnsi"/>
                        <w:noProof/>
                      </w:rPr>
                    </m:ctrlPr>
                  </m:dPr>
                  <m:e>
                    <m:r>
                      <w:rPr>
                        <w:rFonts w:ascii="Cambria Math" w:hAnsi="Cambria Math" w:cstheme="majorHAnsi"/>
                        <w:noProof/>
                      </w:rPr>
                      <m:t>t</m:t>
                    </m:r>
                  </m:e>
                </m:d>
                <m:r>
                  <m:rPr>
                    <m:sty m:val="p"/>
                  </m:rPr>
                  <w:rPr>
                    <w:rFonts w:ascii="Cambria Math" w:hAnsi="Cambria Math" w:cstheme="majorHAnsi"/>
                    <w:noProof/>
                  </w:rPr>
                  <m:t>=</m:t>
                </m:r>
                <m:f>
                  <m:fPr>
                    <m:ctrlPr>
                      <w:rPr>
                        <w:rFonts w:ascii="Cambria Math" w:hAnsi="Cambria Math" w:cstheme="majorHAnsi"/>
                        <w:noProof/>
                      </w:rPr>
                    </m:ctrlPr>
                  </m:fPr>
                  <m:num>
                    <m:r>
                      <w:rPr>
                        <w:rFonts w:ascii="Cambria Math" w:hAnsi="Cambria Math" w:cstheme="majorHAnsi"/>
                        <w:noProof/>
                      </w:rPr>
                      <m:t>TFR</m:t>
                    </m:r>
                  </m:num>
                  <m:den>
                    <m:r>
                      <m:rPr>
                        <m:sty m:val="p"/>
                      </m:rPr>
                      <w:rPr>
                        <w:rFonts w:ascii="Cambria Math" w:hAnsi="Cambria Math" w:cstheme="majorHAnsi"/>
                        <w:noProof/>
                      </w:rPr>
                      <m:t>(1-</m:t>
                    </m:r>
                    <m:r>
                      <w:rPr>
                        <w:rFonts w:ascii="Cambria Math" w:hAnsi="Cambria Math" w:cstheme="majorHAnsi"/>
                        <w:noProof/>
                      </w:rPr>
                      <m:t>r</m:t>
                    </m:r>
                    <m:d>
                      <m:dPr>
                        <m:ctrlPr>
                          <w:rPr>
                            <w:rFonts w:ascii="Cambria Math" w:hAnsi="Cambria Math" w:cstheme="majorHAnsi"/>
                            <w:noProof/>
                          </w:rPr>
                        </m:ctrlPr>
                      </m:dPr>
                      <m:e>
                        <m:r>
                          <w:rPr>
                            <w:rFonts w:ascii="Cambria Math" w:hAnsi="Cambria Math" w:cstheme="majorHAnsi"/>
                            <w:noProof/>
                          </w:rPr>
                          <m:t>t</m:t>
                        </m:r>
                      </m:e>
                    </m:d>
                    <m:r>
                      <m:rPr>
                        <m:sty m:val="p"/>
                      </m:rPr>
                      <w:rPr>
                        <w:rFonts w:ascii="Cambria Math" w:hAnsi="Cambria Math" w:cstheme="majorHAnsi"/>
                        <w:noProof/>
                      </w:rPr>
                      <m:t>)</m:t>
                    </m:r>
                  </m:den>
                </m:f>
              </m:oMath>
            </m:oMathPara>
          </w:p>
          <w:p w14:paraId="67C0C12D" w14:textId="77777777" w:rsidR="00132493" w:rsidRPr="003E3020" w:rsidRDefault="00132493" w:rsidP="00132493">
            <w:pPr>
              <w:jc w:val="both"/>
              <w:rPr>
                <w:rFonts w:asciiTheme="majorHAnsi" w:hAnsiTheme="majorHAnsi" w:cstheme="majorHAnsi"/>
                <w:noProof/>
              </w:rPr>
            </w:pPr>
          </w:p>
          <w:p w14:paraId="68BFC704" w14:textId="77777777" w:rsidR="00132493" w:rsidRPr="003E3020" w:rsidRDefault="00132493" w:rsidP="00132493">
            <w:pPr>
              <w:jc w:val="both"/>
              <w:rPr>
                <w:rFonts w:asciiTheme="majorHAnsi" w:hAnsiTheme="majorHAnsi" w:cstheme="majorHAnsi"/>
                <w:noProof/>
              </w:rPr>
            </w:pPr>
            <w:r w:rsidRPr="003E3020">
              <w:rPr>
                <w:rFonts w:asciiTheme="majorHAnsi" w:hAnsiTheme="majorHAnsi" w:cstheme="majorHAnsi"/>
                <w:noProof/>
              </w:rPr>
              <w:t xml:space="preserve">Where </w:t>
            </w:r>
            <m:oMath>
              <m:r>
                <w:rPr>
                  <w:rFonts w:ascii="Cambria Math" w:hAnsi="Cambria Math" w:cstheme="majorHAnsi"/>
                  <w:noProof/>
                </w:rPr>
                <m:t>r</m:t>
              </m:r>
              <m:d>
                <m:dPr>
                  <m:ctrlPr>
                    <w:rPr>
                      <w:rFonts w:ascii="Cambria Math" w:hAnsi="Cambria Math" w:cstheme="majorHAnsi"/>
                      <w:noProof/>
                    </w:rPr>
                  </m:ctrlPr>
                </m:dPr>
                <m:e>
                  <m:r>
                    <w:rPr>
                      <w:rFonts w:ascii="Cambria Math" w:hAnsi="Cambria Math" w:cstheme="majorHAnsi"/>
                      <w:noProof/>
                    </w:rPr>
                    <m:t>t</m:t>
                  </m:r>
                </m:e>
              </m:d>
              <m:r>
                <m:rPr>
                  <m:sty m:val="p"/>
                </m:rPr>
                <w:rPr>
                  <w:rFonts w:ascii="Cambria Math" w:hAnsi="Cambria Math" w:cstheme="majorHAnsi"/>
                  <w:noProof/>
                </w:rPr>
                <m:t>)</m:t>
              </m:r>
            </m:oMath>
            <w:r w:rsidRPr="003E3020">
              <w:rPr>
                <w:rFonts w:asciiTheme="majorHAnsi" w:hAnsiTheme="majorHAnsi" w:cstheme="majorHAnsi"/>
                <w:noProof/>
              </w:rPr>
              <w:t xml:space="preserve"> is the change in the mean age at childbearing in year </w:t>
            </w:r>
            <m:oMath>
              <m:r>
                <w:rPr>
                  <w:rFonts w:ascii="Cambria Math" w:hAnsi="Cambria Math" w:cstheme="majorHAnsi"/>
                  <w:noProof/>
                </w:rPr>
                <m:t>t</m:t>
              </m:r>
            </m:oMath>
            <w:r w:rsidRPr="003E3020">
              <w:rPr>
                <w:rFonts w:asciiTheme="majorHAnsi" w:hAnsiTheme="majorHAnsi" w:cstheme="majorHAnsi"/>
                <w:noProof/>
              </w:rPr>
              <w:t xml:space="preserve"> which is estimated as follows:</w:t>
            </w:r>
          </w:p>
          <w:p w14:paraId="2042E555" w14:textId="77777777" w:rsidR="00132493" w:rsidRPr="003E3020" w:rsidRDefault="00132493" w:rsidP="00132493">
            <w:pPr>
              <w:jc w:val="both"/>
              <w:rPr>
                <w:rFonts w:asciiTheme="majorHAnsi" w:hAnsiTheme="majorHAnsi" w:cstheme="majorHAnsi"/>
                <w:noProof/>
              </w:rPr>
            </w:pPr>
          </w:p>
          <w:p w14:paraId="4164B18A" w14:textId="77777777" w:rsidR="00132493" w:rsidRPr="003E3020" w:rsidRDefault="00132493" w:rsidP="00132493">
            <w:pPr>
              <w:jc w:val="both"/>
              <w:rPr>
                <w:rFonts w:asciiTheme="majorHAnsi" w:hAnsiTheme="majorHAnsi" w:cstheme="majorHAnsi"/>
                <w:noProof/>
              </w:rPr>
            </w:pPr>
            <m:oMathPara>
              <m:oMath>
                <m:r>
                  <w:rPr>
                    <w:rFonts w:ascii="Cambria Math" w:hAnsi="Cambria Math" w:cstheme="majorHAnsi"/>
                    <w:noProof/>
                  </w:rPr>
                  <m:t>r</m:t>
                </m:r>
                <m:d>
                  <m:dPr>
                    <m:ctrlPr>
                      <w:rPr>
                        <w:rFonts w:ascii="Cambria Math" w:hAnsi="Cambria Math" w:cstheme="majorHAnsi"/>
                        <w:noProof/>
                      </w:rPr>
                    </m:ctrlPr>
                  </m:dPr>
                  <m:e>
                    <m:r>
                      <w:rPr>
                        <w:rFonts w:ascii="Cambria Math" w:hAnsi="Cambria Math" w:cstheme="majorHAnsi"/>
                        <w:noProof/>
                      </w:rPr>
                      <m:t>t</m:t>
                    </m:r>
                  </m:e>
                </m:d>
                <m:r>
                  <m:rPr>
                    <m:sty m:val="p"/>
                  </m:rPr>
                  <w:rPr>
                    <w:rFonts w:ascii="Cambria Math" w:hAnsi="Cambria Math" w:cstheme="majorHAnsi"/>
                    <w:noProof/>
                  </w:rPr>
                  <m:t>=</m:t>
                </m:r>
                <m:f>
                  <m:fPr>
                    <m:ctrlPr>
                      <w:rPr>
                        <w:rFonts w:ascii="Cambria Math" w:hAnsi="Cambria Math" w:cstheme="majorHAnsi"/>
                        <w:noProof/>
                      </w:rPr>
                    </m:ctrlPr>
                  </m:fPr>
                  <m:num>
                    <m:d>
                      <m:dPr>
                        <m:begChr m:val="["/>
                        <m:endChr m:val="]"/>
                        <m:ctrlPr>
                          <w:rPr>
                            <w:rFonts w:ascii="Cambria Math" w:hAnsi="Cambria Math" w:cstheme="majorHAnsi"/>
                            <w:noProof/>
                          </w:rPr>
                        </m:ctrlPr>
                      </m:dPr>
                      <m:e>
                        <m:r>
                          <w:rPr>
                            <w:rFonts w:ascii="Cambria Math" w:hAnsi="Cambria Math" w:cstheme="majorHAnsi"/>
                            <w:noProof/>
                          </w:rPr>
                          <m:t>MAC</m:t>
                        </m:r>
                        <m:d>
                          <m:dPr>
                            <m:ctrlPr>
                              <w:rPr>
                                <w:rFonts w:ascii="Cambria Math" w:hAnsi="Cambria Math" w:cstheme="majorHAnsi"/>
                                <w:noProof/>
                              </w:rPr>
                            </m:ctrlPr>
                          </m:dPr>
                          <m:e>
                            <m:r>
                              <w:rPr>
                                <w:rFonts w:ascii="Cambria Math" w:hAnsi="Cambria Math" w:cstheme="majorHAnsi"/>
                                <w:noProof/>
                              </w:rPr>
                              <m:t>t</m:t>
                            </m:r>
                            <m:r>
                              <m:rPr>
                                <m:sty m:val="p"/>
                              </m:rPr>
                              <w:rPr>
                                <w:rFonts w:ascii="Cambria Math" w:hAnsi="Cambria Math" w:cstheme="majorHAnsi"/>
                                <w:noProof/>
                              </w:rPr>
                              <m:t>+1</m:t>
                            </m:r>
                          </m:e>
                        </m:d>
                        <m:r>
                          <m:rPr>
                            <m:sty m:val="p"/>
                          </m:rPr>
                          <w:rPr>
                            <w:rFonts w:ascii="Cambria Math" w:hAnsi="Cambria Math" w:cstheme="majorHAnsi"/>
                            <w:noProof/>
                          </w:rPr>
                          <m:t>-</m:t>
                        </m:r>
                        <m:r>
                          <w:rPr>
                            <w:rFonts w:ascii="Cambria Math" w:hAnsi="Cambria Math" w:cstheme="majorHAnsi"/>
                            <w:noProof/>
                          </w:rPr>
                          <m:t>MAC</m:t>
                        </m:r>
                        <m:d>
                          <m:dPr>
                            <m:ctrlPr>
                              <w:rPr>
                                <w:rFonts w:ascii="Cambria Math" w:hAnsi="Cambria Math" w:cstheme="majorHAnsi"/>
                                <w:noProof/>
                              </w:rPr>
                            </m:ctrlPr>
                          </m:dPr>
                          <m:e>
                            <m:r>
                              <w:rPr>
                                <w:rFonts w:ascii="Cambria Math" w:hAnsi="Cambria Math" w:cstheme="majorHAnsi"/>
                                <w:noProof/>
                              </w:rPr>
                              <m:t>t</m:t>
                            </m:r>
                            <m:r>
                              <m:rPr>
                                <m:sty m:val="p"/>
                              </m:rPr>
                              <w:rPr>
                                <w:rFonts w:ascii="Cambria Math" w:hAnsi="Cambria Math" w:cstheme="majorHAnsi"/>
                                <w:noProof/>
                              </w:rPr>
                              <m:t>-1</m:t>
                            </m:r>
                          </m:e>
                        </m:d>
                      </m:e>
                    </m:d>
                  </m:num>
                  <m:den>
                    <m:r>
                      <m:rPr>
                        <m:sty m:val="p"/>
                      </m:rPr>
                      <w:rPr>
                        <w:rFonts w:ascii="Cambria Math" w:hAnsi="Cambria Math" w:cstheme="majorHAnsi"/>
                        <w:noProof/>
                      </w:rPr>
                      <m:t>2</m:t>
                    </m:r>
                  </m:den>
                </m:f>
              </m:oMath>
            </m:oMathPara>
          </w:p>
          <w:p w14:paraId="2BEE2790" w14:textId="77777777" w:rsidR="00132493" w:rsidRPr="00BB0074" w:rsidRDefault="00132493" w:rsidP="00132493">
            <w:pPr>
              <w:rPr>
                <w:rFonts w:asciiTheme="majorHAnsi" w:hAnsiTheme="majorHAnsi" w:cstheme="majorHAnsi"/>
                <w:noProof/>
              </w:rPr>
            </w:pPr>
            <w:r w:rsidRPr="003E3020">
              <w:rPr>
                <w:rFonts w:asciiTheme="majorHAnsi" w:hAnsiTheme="majorHAnsi" w:cstheme="majorHAnsi"/>
                <w:noProof/>
              </w:rPr>
              <w:t>Where MAC is the mean age at childbearing.</w:t>
            </w:r>
            <w:r>
              <w:rPr>
                <w:rFonts w:asciiTheme="majorHAnsi" w:hAnsiTheme="majorHAnsi" w:cstheme="majorHAnsi"/>
                <w:noProof/>
              </w:rPr>
              <w:t xml:space="preserve"> This formula provides a solution to eliminate the effects of the timing of fertility, hence it is “adjusted”.</w:t>
            </w:r>
          </w:p>
          <w:p w14:paraId="4EFBD5CC" w14:textId="6A707B67" w:rsidR="00132493" w:rsidRPr="003E3020" w:rsidRDefault="00132493" w:rsidP="00132493">
            <w:pPr>
              <w:jc w:val="both"/>
              <w:rPr>
                <w:rFonts w:asciiTheme="majorHAnsi" w:hAnsiTheme="majorHAnsi" w:cstheme="majorHAnsi"/>
                <w:noProof/>
              </w:rPr>
            </w:pPr>
          </w:p>
          <w:p w14:paraId="2E45C4B5" w14:textId="77777777" w:rsidR="00132493" w:rsidRPr="003E3020" w:rsidRDefault="00132493" w:rsidP="00132493">
            <w:pPr>
              <w:jc w:val="both"/>
              <w:rPr>
                <w:rFonts w:asciiTheme="majorHAnsi" w:hAnsiTheme="majorHAnsi" w:cstheme="majorHAnsi"/>
                <w:noProof/>
              </w:rPr>
            </w:pPr>
          </w:p>
          <w:p w14:paraId="4598262D" w14:textId="1067683E" w:rsidR="00132493" w:rsidRPr="003E3020" w:rsidRDefault="00132493" w:rsidP="00132493">
            <w:pPr>
              <w:jc w:val="both"/>
              <w:rPr>
                <w:rFonts w:asciiTheme="majorHAnsi" w:hAnsiTheme="majorHAnsi" w:cstheme="majorHAnsi"/>
                <w:noProof/>
              </w:rPr>
            </w:pPr>
            <w:r>
              <w:rPr>
                <w:rFonts w:asciiTheme="majorHAnsi" w:hAnsiTheme="majorHAnsi" w:cstheme="majorHAnsi"/>
                <w:noProof/>
              </w:rPr>
              <w:t>Numeric e</w:t>
            </w:r>
            <w:r w:rsidRPr="003E3020">
              <w:rPr>
                <w:rFonts w:asciiTheme="majorHAnsi" w:hAnsiTheme="majorHAnsi" w:cstheme="majorHAnsi"/>
                <w:noProof/>
              </w:rPr>
              <w:t>xample:</w:t>
            </w:r>
          </w:p>
          <w:p w14:paraId="78FD5EB1" w14:textId="77777777" w:rsidR="00132493" w:rsidRPr="003E3020" w:rsidRDefault="00132493" w:rsidP="00132493">
            <w:pPr>
              <w:jc w:val="both"/>
              <w:rPr>
                <w:rFonts w:asciiTheme="majorHAnsi" w:hAnsiTheme="majorHAnsi" w:cstheme="majorHAnsi"/>
                <w:noProof/>
              </w:rPr>
            </w:pPr>
          </w:p>
          <w:p w14:paraId="2B269E0B" w14:textId="72C672A8" w:rsidR="00132493" w:rsidRPr="003E3020" w:rsidRDefault="00132493" w:rsidP="00132493">
            <w:pPr>
              <w:jc w:val="both"/>
              <w:rPr>
                <w:rFonts w:asciiTheme="majorHAnsi" w:hAnsiTheme="majorHAnsi" w:cstheme="majorHAnsi"/>
                <w:noProof/>
              </w:rPr>
            </w:pPr>
            <m:oMath>
              <m:r>
                <w:rPr>
                  <w:rFonts w:ascii="Cambria Math" w:hAnsi="Cambria Math" w:cstheme="majorHAnsi"/>
                  <w:noProof/>
                </w:rPr>
                <m:t>TFR</m:t>
              </m:r>
              <m:d>
                <m:dPr>
                  <m:ctrlPr>
                    <w:rPr>
                      <w:rFonts w:ascii="Cambria Math" w:hAnsi="Cambria Math" w:cstheme="majorHAnsi"/>
                      <w:noProof/>
                    </w:rPr>
                  </m:ctrlPr>
                </m:dPr>
                <m:e>
                  <m:r>
                    <m:rPr>
                      <m:sty m:val="p"/>
                    </m:rPr>
                    <w:rPr>
                      <w:rFonts w:ascii="Cambria Math" w:hAnsi="Cambria Math" w:cstheme="majorHAnsi"/>
                      <w:noProof/>
                    </w:rPr>
                    <m:t>2013</m:t>
                  </m:r>
                </m:e>
              </m:d>
              <m:r>
                <m:rPr>
                  <m:sty m:val="p"/>
                </m:rPr>
                <w:rPr>
                  <w:rFonts w:ascii="Cambria Math" w:hAnsi="Cambria Math" w:cstheme="majorHAnsi"/>
                  <w:noProof/>
                </w:rPr>
                <m:t>=1.89</m:t>
              </m:r>
            </m:oMath>
            <w:r>
              <w:rPr>
                <w:rFonts w:asciiTheme="majorHAnsi" w:eastAsiaTheme="minorEastAsia" w:hAnsiTheme="majorHAnsi" w:cstheme="majorHAnsi"/>
                <w:noProof/>
              </w:rPr>
              <w:t xml:space="preserve"> </w:t>
            </w:r>
          </w:p>
          <w:p w14:paraId="0389DBA6" w14:textId="16682305" w:rsidR="00132493" w:rsidRPr="003E3020" w:rsidRDefault="00132493" w:rsidP="00132493">
            <w:pPr>
              <w:jc w:val="both"/>
              <w:rPr>
                <w:rFonts w:asciiTheme="majorHAnsi" w:hAnsiTheme="majorHAnsi" w:cstheme="majorHAnsi"/>
                <w:noProof/>
              </w:rPr>
            </w:pPr>
            <m:oMath>
              <m:r>
                <w:rPr>
                  <w:rFonts w:ascii="Cambria Math" w:hAnsi="Cambria Math" w:cstheme="majorHAnsi"/>
                  <w:noProof/>
                </w:rPr>
                <m:t>MAC</m:t>
              </m:r>
              <m:d>
                <m:dPr>
                  <m:ctrlPr>
                    <w:rPr>
                      <w:rFonts w:ascii="Cambria Math" w:hAnsi="Cambria Math" w:cstheme="majorHAnsi"/>
                      <w:noProof/>
                    </w:rPr>
                  </m:ctrlPr>
                </m:dPr>
                <m:e>
                  <m:r>
                    <m:rPr>
                      <m:sty m:val="p"/>
                    </m:rPr>
                    <w:rPr>
                      <w:rFonts w:ascii="Cambria Math" w:hAnsi="Cambria Math" w:cstheme="majorHAnsi"/>
                      <w:noProof/>
                    </w:rPr>
                    <m:t>2012</m:t>
                  </m:r>
                </m:e>
              </m:d>
              <m:r>
                <m:rPr>
                  <m:sty m:val="p"/>
                </m:rPr>
                <w:rPr>
                  <w:rFonts w:ascii="Cambria Math" w:hAnsi="Cambria Math" w:cstheme="majorHAnsi"/>
                  <w:noProof/>
                </w:rPr>
                <m:t>=30.55</m:t>
              </m:r>
            </m:oMath>
            <w:r>
              <w:rPr>
                <w:rFonts w:asciiTheme="majorHAnsi" w:eastAsiaTheme="minorEastAsia" w:hAnsiTheme="majorHAnsi" w:cstheme="majorHAnsi"/>
                <w:noProof/>
              </w:rPr>
              <w:t xml:space="preserve"> </w:t>
            </w:r>
          </w:p>
          <w:p w14:paraId="5ABC2600" w14:textId="28672570" w:rsidR="00132493" w:rsidRDefault="00132493" w:rsidP="00132493">
            <w:pPr>
              <w:jc w:val="both"/>
              <w:rPr>
                <w:rFonts w:asciiTheme="majorHAnsi" w:eastAsiaTheme="minorEastAsia" w:hAnsiTheme="majorHAnsi" w:cstheme="majorHAnsi"/>
                <w:noProof/>
              </w:rPr>
            </w:pPr>
            <m:oMath>
              <m:r>
                <w:rPr>
                  <w:rFonts w:ascii="Cambria Math" w:hAnsi="Cambria Math" w:cstheme="majorHAnsi"/>
                  <w:noProof/>
                </w:rPr>
                <m:t>MAC</m:t>
              </m:r>
              <m:d>
                <m:dPr>
                  <m:ctrlPr>
                    <w:rPr>
                      <w:rFonts w:ascii="Cambria Math" w:hAnsi="Cambria Math" w:cstheme="majorHAnsi"/>
                      <w:noProof/>
                    </w:rPr>
                  </m:ctrlPr>
                </m:dPr>
                <m:e>
                  <m:r>
                    <m:rPr>
                      <m:sty m:val="p"/>
                    </m:rPr>
                    <w:rPr>
                      <w:rFonts w:ascii="Cambria Math" w:hAnsi="Cambria Math" w:cstheme="majorHAnsi"/>
                      <w:noProof/>
                    </w:rPr>
                    <m:t>2014</m:t>
                  </m:r>
                </m:e>
              </m:d>
              <m:r>
                <m:rPr>
                  <m:sty m:val="p"/>
                </m:rPr>
                <w:rPr>
                  <w:rFonts w:ascii="Cambria Math" w:hAnsi="Cambria Math" w:cstheme="majorHAnsi"/>
                  <w:noProof/>
                </w:rPr>
                <m:t>=30.76</m:t>
              </m:r>
            </m:oMath>
            <w:r>
              <w:rPr>
                <w:rFonts w:asciiTheme="majorHAnsi" w:eastAsiaTheme="minorEastAsia" w:hAnsiTheme="majorHAnsi" w:cstheme="majorHAnsi"/>
                <w:noProof/>
              </w:rPr>
              <w:t xml:space="preserve"> </w:t>
            </w:r>
          </w:p>
          <w:p w14:paraId="1813F0EA" w14:textId="77777777" w:rsidR="00132493" w:rsidRPr="003E3020" w:rsidRDefault="00132493" w:rsidP="00132493">
            <w:pPr>
              <w:jc w:val="both"/>
              <w:rPr>
                <w:rFonts w:asciiTheme="majorHAnsi" w:hAnsiTheme="majorHAnsi" w:cstheme="majorHAnsi"/>
                <w:noProof/>
              </w:rPr>
            </w:pPr>
          </w:p>
          <w:p w14:paraId="7F0ABEC3" w14:textId="1E33AFC5" w:rsidR="00132493" w:rsidRPr="003E3020" w:rsidRDefault="00132493" w:rsidP="00132493">
            <w:pPr>
              <w:jc w:val="both"/>
              <w:rPr>
                <w:rFonts w:asciiTheme="majorHAnsi" w:hAnsiTheme="majorHAnsi" w:cstheme="majorHAnsi"/>
                <w:noProof/>
              </w:rPr>
            </w:pPr>
            <m:oMath>
              <m:r>
                <w:rPr>
                  <w:rFonts w:ascii="Cambria Math" w:hAnsi="Cambria Math" w:cstheme="majorHAnsi"/>
                  <w:noProof/>
                </w:rPr>
                <m:t>r</m:t>
              </m:r>
              <m:d>
                <m:dPr>
                  <m:ctrlPr>
                    <w:rPr>
                      <w:rFonts w:ascii="Cambria Math" w:hAnsi="Cambria Math" w:cstheme="majorHAnsi"/>
                      <w:noProof/>
                    </w:rPr>
                  </m:ctrlPr>
                </m:dPr>
                <m:e>
                  <m:r>
                    <m:rPr>
                      <m:sty m:val="p"/>
                    </m:rPr>
                    <w:rPr>
                      <w:rFonts w:ascii="Cambria Math" w:hAnsi="Cambria Math" w:cstheme="majorHAnsi"/>
                      <w:noProof/>
                    </w:rPr>
                    <m:t>2013</m:t>
                  </m:r>
                </m:e>
              </m:d>
              <m:r>
                <m:rPr>
                  <m:sty m:val="p"/>
                </m:rPr>
                <w:rPr>
                  <w:rFonts w:ascii="Cambria Math" w:hAnsi="Cambria Math" w:cstheme="majorHAnsi"/>
                  <w:noProof/>
                </w:rPr>
                <m:t>=</m:t>
              </m:r>
              <m:f>
                <m:fPr>
                  <m:ctrlPr>
                    <w:rPr>
                      <w:rFonts w:ascii="Cambria Math" w:hAnsi="Cambria Math" w:cstheme="majorHAnsi"/>
                      <w:noProof/>
                    </w:rPr>
                  </m:ctrlPr>
                </m:fPr>
                <m:num>
                  <m:d>
                    <m:dPr>
                      <m:ctrlPr>
                        <w:rPr>
                          <w:rFonts w:ascii="Cambria Math" w:hAnsi="Cambria Math" w:cstheme="majorHAnsi"/>
                          <w:noProof/>
                        </w:rPr>
                      </m:ctrlPr>
                    </m:dPr>
                    <m:e>
                      <m:r>
                        <m:rPr>
                          <m:sty m:val="p"/>
                        </m:rPr>
                        <w:rPr>
                          <w:rFonts w:ascii="Cambria Math" w:hAnsi="Cambria Math" w:cstheme="majorHAnsi"/>
                          <w:noProof/>
                        </w:rPr>
                        <m:t>30.76-30.55</m:t>
                      </m:r>
                    </m:e>
                  </m:d>
                </m:num>
                <m:den>
                  <m:r>
                    <m:rPr>
                      <m:sty m:val="p"/>
                    </m:rPr>
                    <w:rPr>
                      <w:rFonts w:ascii="Cambria Math" w:hAnsi="Cambria Math" w:cstheme="majorHAnsi"/>
                      <w:noProof/>
                    </w:rPr>
                    <m:t>2</m:t>
                  </m:r>
                </m:den>
              </m:f>
              <m:r>
                <m:rPr>
                  <m:sty m:val="p"/>
                </m:rPr>
                <w:rPr>
                  <w:rFonts w:ascii="Cambria Math" w:hAnsi="Cambria Math" w:cstheme="majorHAnsi"/>
                  <w:noProof/>
                </w:rPr>
                <m:t>= 0.105</m:t>
              </m:r>
            </m:oMath>
            <w:r>
              <w:rPr>
                <w:rFonts w:asciiTheme="majorHAnsi" w:eastAsiaTheme="minorEastAsia" w:hAnsiTheme="majorHAnsi" w:cstheme="majorHAnsi"/>
                <w:noProof/>
              </w:rPr>
              <w:t xml:space="preserve"> </w:t>
            </w:r>
          </w:p>
          <w:p w14:paraId="5A454D34" w14:textId="77777777" w:rsidR="00132493" w:rsidRPr="003E3020" w:rsidRDefault="00132493" w:rsidP="00132493">
            <w:pPr>
              <w:jc w:val="both"/>
              <w:rPr>
                <w:rFonts w:asciiTheme="majorHAnsi" w:hAnsiTheme="majorHAnsi" w:cstheme="majorHAnsi"/>
                <w:noProof/>
              </w:rPr>
            </w:pPr>
          </w:p>
          <w:p w14:paraId="509E69C1" w14:textId="214F29D5" w:rsidR="00077D36" w:rsidRPr="00BB0074" w:rsidRDefault="00132493" w:rsidP="00BB3130">
            <w:pPr>
              <w:jc w:val="both"/>
              <w:rPr>
                <w:rFonts w:asciiTheme="majorHAnsi" w:hAnsiTheme="majorHAnsi" w:cstheme="majorHAnsi"/>
                <w:noProof/>
              </w:rPr>
            </w:pPr>
            <m:oMath>
              <m:r>
                <w:rPr>
                  <w:rFonts w:ascii="Cambria Math" w:hAnsi="Cambria Math" w:cstheme="majorHAnsi"/>
                  <w:noProof/>
                </w:rPr>
                <m:t>adjTFR</m:t>
              </m:r>
              <m:d>
                <m:dPr>
                  <m:ctrlPr>
                    <w:rPr>
                      <w:rFonts w:ascii="Cambria Math" w:hAnsi="Cambria Math" w:cstheme="majorHAnsi"/>
                      <w:noProof/>
                    </w:rPr>
                  </m:ctrlPr>
                </m:dPr>
                <m:e>
                  <m:r>
                    <m:rPr>
                      <m:sty m:val="p"/>
                    </m:rPr>
                    <w:rPr>
                      <w:rFonts w:ascii="Cambria Math" w:hAnsi="Cambria Math" w:cstheme="majorHAnsi"/>
                      <w:noProof/>
                    </w:rPr>
                    <m:t>2013</m:t>
                  </m:r>
                </m:e>
              </m:d>
              <m:r>
                <m:rPr>
                  <m:sty m:val="p"/>
                </m:rPr>
                <w:rPr>
                  <w:rFonts w:ascii="Cambria Math" w:hAnsi="Cambria Math" w:cstheme="majorHAnsi"/>
                  <w:noProof/>
                </w:rPr>
                <m:t>=</m:t>
              </m:r>
              <m:f>
                <m:fPr>
                  <m:ctrlPr>
                    <w:rPr>
                      <w:rFonts w:ascii="Cambria Math" w:hAnsi="Cambria Math" w:cstheme="majorHAnsi"/>
                      <w:noProof/>
                    </w:rPr>
                  </m:ctrlPr>
                </m:fPr>
                <m:num>
                  <m:r>
                    <m:rPr>
                      <m:sty m:val="p"/>
                    </m:rPr>
                    <w:rPr>
                      <w:rFonts w:ascii="Cambria Math" w:hAnsi="Cambria Math" w:cstheme="majorHAnsi"/>
                      <w:noProof/>
                    </w:rPr>
                    <m:t>1.89</m:t>
                  </m:r>
                </m:num>
                <m:den>
                  <m:r>
                    <m:rPr>
                      <m:sty m:val="p"/>
                    </m:rPr>
                    <w:rPr>
                      <w:rFonts w:ascii="Cambria Math" w:hAnsi="Cambria Math" w:cstheme="majorHAnsi"/>
                      <w:noProof/>
                    </w:rPr>
                    <m:t>(1-0.105)</m:t>
                  </m:r>
                </m:den>
              </m:f>
              <m:r>
                <m:rPr>
                  <m:sty m:val="p"/>
                </m:rPr>
                <w:rPr>
                  <w:rFonts w:ascii="Cambria Math" w:hAnsi="Cambria Math" w:cstheme="majorHAnsi"/>
                  <w:noProof/>
                </w:rPr>
                <m:t>=2.11</m:t>
              </m:r>
            </m:oMath>
            <w:r>
              <w:rPr>
                <w:rFonts w:asciiTheme="majorHAnsi" w:eastAsiaTheme="minorEastAsia" w:hAnsiTheme="majorHAnsi" w:cstheme="majorHAnsi"/>
                <w:noProof/>
              </w:rPr>
              <w:t xml:space="preserve"> </w:t>
            </w:r>
          </w:p>
          <w:p w14:paraId="6E8541BE" w14:textId="77777777" w:rsidR="00077D36" w:rsidRPr="007A40F7" w:rsidRDefault="00077D36" w:rsidP="00077D36">
            <w:pPr>
              <w:rPr>
                <w:rFonts w:ascii="Arial Nova Cond Light" w:hAnsi="Arial Nova Cond Light" w:cstheme="majorHAnsi"/>
                <w:b/>
                <w:bCs/>
                <w:noProof/>
              </w:rPr>
            </w:pPr>
          </w:p>
        </w:tc>
      </w:tr>
    </w:tbl>
    <w:p w14:paraId="265EBD67" w14:textId="77777777" w:rsidR="0043335D" w:rsidRPr="00BB3130" w:rsidRDefault="0043335D" w:rsidP="00BC5105">
      <w:pPr>
        <w:spacing w:line="276" w:lineRule="auto"/>
        <w:jc w:val="both"/>
      </w:pPr>
    </w:p>
    <w:p w14:paraId="71CD01C9" w14:textId="22FE8AC5" w:rsidR="006A413D" w:rsidRDefault="006A413D" w:rsidP="00BC5105">
      <w:pPr>
        <w:pStyle w:val="Caption"/>
        <w:keepNext/>
        <w:spacing w:line="276" w:lineRule="auto"/>
      </w:pPr>
      <w:bookmarkStart w:id="22" w:name="_Ref75921207"/>
      <w:r>
        <w:lastRenderedPageBreak/>
        <w:t xml:space="preserve">Figure </w:t>
      </w:r>
      <w:fldSimple w:instr=" SEQ Figure \* ARABIC ">
        <w:r w:rsidR="00115E22">
          <w:rPr>
            <w:noProof/>
          </w:rPr>
          <w:t>6</w:t>
        </w:r>
      </w:fldSimple>
      <w:bookmarkEnd w:id="22"/>
      <w:r>
        <w:t xml:space="preserve"> </w:t>
      </w:r>
      <w:r w:rsidRPr="005E1AED">
        <w:t>Observed and tempo-adjusted total fertility rates, mean age at childbearing and completed cohort fertility, Australia, 1960-2019</w:t>
      </w:r>
    </w:p>
    <w:p w14:paraId="36C65D35" w14:textId="1385E339" w:rsidR="0043335D" w:rsidRPr="003635BF" w:rsidRDefault="0043335D" w:rsidP="00BC5105">
      <w:pPr>
        <w:pStyle w:val="Caption"/>
        <w:keepNext/>
        <w:spacing w:line="276" w:lineRule="auto"/>
        <w:rPr>
          <w:rFonts w:cstheme="minorHAnsi"/>
          <w:i w:val="0"/>
          <w:sz w:val="24"/>
        </w:rPr>
      </w:pPr>
      <w:r w:rsidRPr="003635BF">
        <w:rPr>
          <w:rFonts w:cstheme="minorHAnsi"/>
          <w:noProof/>
          <w:lang w:eastAsia="en-AU"/>
        </w:rPr>
        <w:drawing>
          <wp:inline distT="0" distB="0" distL="0" distR="0" wp14:anchorId="0457D310" wp14:editId="6266DC03">
            <wp:extent cx="5731510" cy="3191510"/>
            <wp:effectExtent l="0" t="0" r="2540" b="8890"/>
            <wp:docPr id="22" name="Chart 2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F298BC" w14:textId="686AC566" w:rsidR="0043335D" w:rsidRPr="003635BF" w:rsidRDefault="0043335D" w:rsidP="00BC5105">
      <w:pPr>
        <w:spacing w:line="276" w:lineRule="auto"/>
        <w:rPr>
          <w:rFonts w:cstheme="minorHAnsi"/>
          <w:sz w:val="18"/>
          <w:lang w:val="en-US"/>
        </w:rPr>
      </w:pPr>
      <w:r w:rsidRPr="003635BF">
        <w:rPr>
          <w:rFonts w:cstheme="minorHAnsi"/>
          <w:sz w:val="18"/>
          <w:lang w:val="en-US"/>
        </w:rPr>
        <w:t xml:space="preserve">Source: </w:t>
      </w:r>
      <w:r>
        <w:rPr>
          <w:rFonts w:cstheme="minorHAnsi"/>
          <w:sz w:val="18"/>
          <w:lang w:val="en-US"/>
        </w:rPr>
        <w:t>Authors’ calculations based on data from</w:t>
      </w:r>
      <w:r w:rsidR="00A70A29">
        <w:rPr>
          <w:rFonts w:cstheme="minorHAnsi"/>
          <w:sz w:val="18"/>
          <w:lang w:val="en-US"/>
        </w:rPr>
        <w:t xml:space="preserve"> the birth registries, multiple years.</w:t>
      </w:r>
    </w:p>
    <w:p w14:paraId="5FDA665F" w14:textId="7AA2FE41" w:rsidR="0043335D" w:rsidRDefault="00A70A29" w:rsidP="00BC5105">
      <w:pPr>
        <w:spacing w:line="276" w:lineRule="auto"/>
        <w:jc w:val="both"/>
        <w:rPr>
          <w:rFonts w:cstheme="minorHAnsi"/>
          <w:lang w:val="en-US"/>
        </w:rPr>
      </w:pPr>
      <w:r>
        <w:rPr>
          <w:rFonts w:cstheme="minorHAnsi"/>
          <w:lang w:val="en-US"/>
        </w:rPr>
        <w:fldChar w:fldCharType="begin"/>
      </w:r>
      <w:r>
        <w:rPr>
          <w:rFonts w:cstheme="minorHAnsi"/>
          <w:lang w:val="en-US"/>
        </w:rPr>
        <w:instrText xml:space="preserve"> REF _Ref75921207 \h </w:instrText>
      </w:r>
      <w:r w:rsidR="00E73589">
        <w:rPr>
          <w:rFonts w:cstheme="minorHAnsi"/>
          <w:lang w:val="en-US"/>
        </w:rPr>
        <w:instrText xml:space="preserve"> \* MERGEFORMAT </w:instrText>
      </w:r>
      <w:r>
        <w:rPr>
          <w:rFonts w:cstheme="minorHAnsi"/>
          <w:lang w:val="en-US"/>
        </w:rPr>
      </w:r>
      <w:r>
        <w:rPr>
          <w:rFonts w:cstheme="minorHAnsi"/>
          <w:lang w:val="en-US"/>
        </w:rPr>
        <w:fldChar w:fldCharType="separate"/>
      </w:r>
      <w:r w:rsidR="00115E22">
        <w:t xml:space="preserve">Figure </w:t>
      </w:r>
      <w:r w:rsidR="00115E22">
        <w:rPr>
          <w:noProof/>
        </w:rPr>
        <w:t>6</w:t>
      </w:r>
      <w:r>
        <w:rPr>
          <w:rFonts w:cstheme="minorHAnsi"/>
          <w:lang w:val="en-US"/>
        </w:rPr>
        <w:fldChar w:fldCharType="end"/>
      </w:r>
      <w:r>
        <w:rPr>
          <w:rFonts w:cstheme="minorHAnsi"/>
          <w:lang w:val="en-US"/>
        </w:rPr>
        <w:t xml:space="preserve"> </w:t>
      </w:r>
      <w:r w:rsidR="0043335D" w:rsidRPr="003635BF">
        <w:rPr>
          <w:rFonts w:cstheme="minorHAnsi"/>
          <w:lang w:val="en-US"/>
        </w:rPr>
        <w:t>shows the observed and tempo-adjusted TFR and the mean age at childbearing (MAC) in Australia in the period 1960-2019. The MAC was almost 31 in 2019, which represents an increase of approximately 4 years compared to the MAC in 1975. The adjusted-TFR was lower than the TFR between 1960 and 1975, when the MAC was declining, while it has remained consistently above the TFR since 1976</w:t>
      </w:r>
      <w:r w:rsidR="0029613E">
        <w:rPr>
          <w:rFonts w:cstheme="minorHAnsi"/>
          <w:lang w:val="en-US"/>
        </w:rPr>
        <w:t>,</w:t>
      </w:r>
      <w:r w:rsidR="0043335D" w:rsidRPr="003635BF">
        <w:rPr>
          <w:rFonts w:cstheme="minorHAnsi"/>
          <w:lang w:val="en-US"/>
        </w:rPr>
        <w:t xml:space="preserve"> </w:t>
      </w:r>
      <w:r w:rsidR="00C0571E">
        <w:rPr>
          <w:rFonts w:cstheme="minorHAnsi"/>
          <w:lang w:val="en-US"/>
        </w:rPr>
        <w:t>due to</w:t>
      </w:r>
      <w:r w:rsidR="0043335D" w:rsidRPr="003635BF">
        <w:rPr>
          <w:rFonts w:cstheme="minorHAnsi"/>
          <w:lang w:val="en-US"/>
        </w:rPr>
        <w:t xml:space="preserve"> the delay in childbearing. In 2018, the adjusted-TFR was 1.81 while the TFR was only 1.74, indicating that in the absence of childbearing postponement the TFR would be higher. </w:t>
      </w:r>
      <w:r w:rsidR="0029613E">
        <w:rPr>
          <w:rFonts w:cstheme="minorHAnsi"/>
          <w:lang w:val="en-US"/>
        </w:rPr>
        <w:t xml:space="preserve">In other words, since the mid-1970s, the increase in the MAC has led to a consistent </w:t>
      </w:r>
      <w:r w:rsidR="003C07EA">
        <w:rPr>
          <w:rFonts w:cstheme="minorHAnsi"/>
          <w:lang w:val="en-US"/>
        </w:rPr>
        <w:t>‘</w:t>
      </w:r>
      <w:r w:rsidR="00983877">
        <w:rPr>
          <w:rFonts w:cstheme="minorHAnsi"/>
          <w:lang w:val="en-US"/>
        </w:rPr>
        <w:t xml:space="preserve">underestimation’ </w:t>
      </w:r>
      <w:r w:rsidR="0029613E">
        <w:rPr>
          <w:rFonts w:cstheme="minorHAnsi"/>
          <w:lang w:val="en-US"/>
        </w:rPr>
        <w:t xml:space="preserve">of the fertility rate. </w:t>
      </w:r>
      <w:r w:rsidR="0043335D" w:rsidRPr="003635BF">
        <w:rPr>
          <w:rFonts w:cstheme="minorHAnsi"/>
          <w:lang w:val="en-US"/>
        </w:rPr>
        <w:t xml:space="preserve">At the same time, a clear decline over time can also be observed in the adjusted-TFR, indicating that an actual decline in the average number of children has also taken place. </w:t>
      </w:r>
    </w:p>
    <w:p w14:paraId="589630F0" w14:textId="2DA66E84" w:rsidR="0043335D" w:rsidRDefault="0043335D" w:rsidP="00BC5105">
      <w:pPr>
        <w:pStyle w:val="Heading3"/>
        <w:spacing w:line="276" w:lineRule="auto"/>
        <w:rPr>
          <w:lang w:val="en-US"/>
        </w:rPr>
      </w:pPr>
      <w:bookmarkStart w:id="23" w:name="_Toc87454597"/>
      <w:r>
        <w:rPr>
          <w:lang w:val="en-US"/>
        </w:rPr>
        <w:t xml:space="preserve">The association between later and </w:t>
      </w:r>
      <w:r w:rsidR="00161F0C">
        <w:rPr>
          <w:lang w:val="en-US"/>
        </w:rPr>
        <w:t>fewer</w:t>
      </w:r>
      <w:r>
        <w:rPr>
          <w:lang w:val="en-US"/>
        </w:rPr>
        <w:t xml:space="preserve"> births</w:t>
      </w:r>
      <w:bookmarkEnd w:id="23"/>
    </w:p>
    <w:p w14:paraId="14E04CA5" w14:textId="75BB9E22" w:rsidR="0043335D" w:rsidRDefault="00E748B6" w:rsidP="00BC5105">
      <w:pPr>
        <w:spacing w:line="276" w:lineRule="auto"/>
        <w:jc w:val="both"/>
        <w:rPr>
          <w:rFonts w:cstheme="minorHAnsi"/>
          <w:lang w:val="en-US"/>
        </w:rPr>
      </w:pPr>
      <w:r>
        <w:rPr>
          <w:rFonts w:cstheme="minorHAnsi"/>
          <w:lang w:val="en-US"/>
        </w:rPr>
        <w:t>S</w:t>
      </w:r>
      <w:r w:rsidRPr="003635BF">
        <w:rPr>
          <w:rFonts w:cstheme="minorHAnsi"/>
          <w:lang w:val="en-US"/>
        </w:rPr>
        <w:t>ince the mid-1970s</w:t>
      </w:r>
      <w:r>
        <w:rPr>
          <w:rFonts w:cstheme="minorHAnsi"/>
          <w:lang w:val="en-US"/>
        </w:rPr>
        <w:t>,</w:t>
      </w:r>
      <w:r w:rsidRPr="003635BF">
        <w:rPr>
          <w:rFonts w:cstheme="minorHAnsi"/>
          <w:lang w:val="en-US"/>
        </w:rPr>
        <w:t xml:space="preserve"> women </w:t>
      </w:r>
      <w:r>
        <w:rPr>
          <w:rFonts w:cstheme="minorHAnsi"/>
          <w:lang w:val="en-US"/>
        </w:rPr>
        <w:t>i</w:t>
      </w:r>
      <w:r w:rsidR="0043335D" w:rsidRPr="003635BF">
        <w:rPr>
          <w:rFonts w:cstheme="minorHAnsi"/>
          <w:lang w:val="en-US"/>
        </w:rPr>
        <w:t xml:space="preserve">n most </w:t>
      </w:r>
      <w:r>
        <w:rPr>
          <w:rFonts w:cstheme="minorHAnsi"/>
          <w:lang w:val="en-US"/>
        </w:rPr>
        <w:t xml:space="preserve">high-income </w:t>
      </w:r>
      <w:r w:rsidR="0043335D" w:rsidRPr="003635BF">
        <w:rPr>
          <w:rFonts w:cstheme="minorHAnsi"/>
          <w:lang w:val="en-US"/>
        </w:rPr>
        <w:t>countries, have increasingly delayed the transition into parenthood</w:t>
      </w:r>
      <w:r>
        <w:rPr>
          <w:rFonts w:cstheme="minorHAnsi"/>
          <w:lang w:val="en-US"/>
        </w:rPr>
        <w:t xml:space="preserve"> (Sobotka, 2017)</w:t>
      </w:r>
      <w:r w:rsidR="0043335D" w:rsidRPr="003635BF">
        <w:rPr>
          <w:rFonts w:cstheme="minorHAnsi"/>
          <w:lang w:val="en-US"/>
        </w:rPr>
        <w:t xml:space="preserve">. Australia </w:t>
      </w:r>
      <w:r w:rsidR="00161F0C">
        <w:rPr>
          <w:rFonts w:cstheme="minorHAnsi"/>
          <w:lang w:val="en-US"/>
        </w:rPr>
        <w:t>is</w:t>
      </w:r>
      <w:r w:rsidR="0043335D" w:rsidRPr="003635BF">
        <w:rPr>
          <w:rFonts w:cstheme="minorHAnsi"/>
          <w:lang w:val="en-US"/>
        </w:rPr>
        <w:t xml:space="preserve"> no exception to this general trend. Indeed, since the mid-1970s there has been a </w:t>
      </w:r>
      <w:r w:rsidR="002124EE">
        <w:rPr>
          <w:rFonts w:cstheme="minorHAnsi"/>
          <w:lang w:val="en-US"/>
        </w:rPr>
        <w:t xml:space="preserve">constant </w:t>
      </w:r>
      <w:r w:rsidR="0043335D" w:rsidRPr="003635BF">
        <w:rPr>
          <w:rFonts w:cstheme="minorHAnsi"/>
          <w:lang w:val="en-US"/>
        </w:rPr>
        <w:t xml:space="preserve">increase in the mean age at childbearing (MAC), from 26.8 in 1975 to 31.5 in 2019. </w:t>
      </w:r>
      <w:r w:rsidR="005B47D6">
        <w:rPr>
          <w:rFonts w:cstheme="minorHAnsi"/>
          <w:lang w:val="en-US"/>
        </w:rPr>
        <w:t>When the ‘</w:t>
      </w:r>
      <w:r w:rsidR="0043335D">
        <w:rPr>
          <w:rFonts w:cstheme="minorHAnsi"/>
          <w:lang w:val="en-US"/>
        </w:rPr>
        <w:t xml:space="preserve">demand’ for children is shifted </w:t>
      </w:r>
      <w:r w:rsidR="00161F0C">
        <w:rPr>
          <w:rFonts w:cstheme="minorHAnsi"/>
          <w:lang w:val="en-US"/>
        </w:rPr>
        <w:t>to</w:t>
      </w:r>
      <w:r w:rsidR="0043335D">
        <w:rPr>
          <w:rFonts w:cstheme="minorHAnsi"/>
          <w:lang w:val="en-US"/>
        </w:rPr>
        <w:t xml:space="preserve"> older ages, there is a higher risk that </w:t>
      </w:r>
      <w:r w:rsidR="00A545D5">
        <w:rPr>
          <w:rFonts w:cstheme="minorHAnsi"/>
          <w:lang w:val="en-US"/>
        </w:rPr>
        <w:t xml:space="preserve">conceiving </w:t>
      </w:r>
      <w:r w:rsidR="0043335D">
        <w:rPr>
          <w:rFonts w:cstheme="minorHAnsi"/>
          <w:lang w:val="en-US"/>
        </w:rPr>
        <w:t xml:space="preserve">will also </w:t>
      </w:r>
      <w:r w:rsidR="00A545D5">
        <w:rPr>
          <w:rFonts w:cstheme="minorHAnsi"/>
          <w:lang w:val="en-US"/>
        </w:rPr>
        <w:t xml:space="preserve">be </w:t>
      </w:r>
      <w:r w:rsidR="0043335D">
        <w:rPr>
          <w:rFonts w:cstheme="minorHAnsi"/>
          <w:lang w:val="en-US"/>
        </w:rPr>
        <w:t xml:space="preserve">reduced. This has an important biological explanation in that the probability of conception declines with age </w:t>
      </w:r>
      <w:r w:rsidR="006347FD">
        <w:rPr>
          <w:rFonts w:cstheme="minorHAnsi"/>
          <w:noProof/>
        </w:rPr>
        <w:t xml:space="preserve">(Schmidt, </w:t>
      </w:r>
      <w:r w:rsidR="006347FD" w:rsidRPr="007E15F6">
        <w:rPr>
          <w:rFonts w:cstheme="minorHAnsi"/>
          <w:i/>
          <w:iCs/>
          <w:noProof/>
        </w:rPr>
        <w:t>et al</w:t>
      </w:r>
      <w:r w:rsidR="006347FD">
        <w:rPr>
          <w:rFonts w:cstheme="minorHAnsi"/>
          <w:noProof/>
        </w:rPr>
        <w:t>. 2012)</w:t>
      </w:r>
      <w:r w:rsidR="0043335D">
        <w:rPr>
          <w:rFonts w:cstheme="minorHAnsi"/>
          <w:lang w:val="en-US"/>
        </w:rPr>
        <w:t xml:space="preserve">. </w:t>
      </w:r>
    </w:p>
    <w:p w14:paraId="7BE9072A" w14:textId="73039A93" w:rsidR="0043335D" w:rsidRDefault="00053EBA" w:rsidP="00BC5105">
      <w:pPr>
        <w:spacing w:line="276" w:lineRule="auto"/>
        <w:jc w:val="both"/>
        <w:rPr>
          <w:rFonts w:cstheme="minorHAnsi"/>
          <w:lang w:val="en-US"/>
        </w:rPr>
      </w:pPr>
      <w:r>
        <w:rPr>
          <w:rFonts w:cstheme="minorHAnsi"/>
          <w:lang w:val="en-US"/>
        </w:rPr>
        <w:fldChar w:fldCharType="begin"/>
      </w:r>
      <w:r>
        <w:rPr>
          <w:rFonts w:cstheme="minorHAnsi"/>
          <w:lang w:val="en-US"/>
        </w:rPr>
        <w:instrText xml:space="preserve"> REF _Ref81565660 \h </w:instrText>
      </w:r>
      <w:r>
        <w:rPr>
          <w:rFonts w:cstheme="minorHAnsi"/>
          <w:lang w:val="en-US"/>
        </w:rPr>
      </w:r>
      <w:r>
        <w:rPr>
          <w:rFonts w:cstheme="minorHAnsi"/>
          <w:lang w:val="en-US"/>
        </w:rPr>
        <w:fldChar w:fldCharType="separate"/>
      </w:r>
      <w:r w:rsidR="00115E22">
        <w:t xml:space="preserve">Figure </w:t>
      </w:r>
      <w:r w:rsidR="00115E22">
        <w:rPr>
          <w:noProof/>
        </w:rPr>
        <w:t>7</w:t>
      </w:r>
      <w:r>
        <w:rPr>
          <w:rFonts w:cstheme="minorHAnsi"/>
          <w:lang w:val="en-US"/>
        </w:rPr>
        <w:fldChar w:fldCharType="end"/>
      </w:r>
      <w:r w:rsidR="0043335D">
        <w:rPr>
          <w:rFonts w:cstheme="minorHAnsi"/>
          <w:lang w:val="en-US"/>
        </w:rPr>
        <w:t xml:space="preserve"> provides an empirical exploration of the link between fertility postponement and completed fertility. Overall, a negative relationship is observed between the mean age at which women enter motherhood and their completed family size, which supports the argument that a later entry into motherhood </w:t>
      </w:r>
      <w:r w:rsidR="00A545D5">
        <w:rPr>
          <w:rFonts w:cstheme="minorHAnsi"/>
          <w:lang w:val="en-US"/>
        </w:rPr>
        <w:t xml:space="preserve">by women of reproductive age </w:t>
      </w:r>
      <w:r w:rsidR="0043335D">
        <w:rPr>
          <w:rFonts w:cstheme="minorHAnsi"/>
          <w:lang w:val="en-US"/>
        </w:rPr>
        <w:t xml:space="preserve">may lead to a reduction in the </w:t>
      </w:r>
      <w:r w:rsidR="00C0571E">
        <w:rPr>
          <w:rFonts w:cstheme="minorHAnsi"/>
          <w:lang w:val="en-US"/>
        </w:rPr>
        <w:t>TFR</w:t>
      </w:r>
      <w:r w:rsidR="0043335D">
        <w:rPr>
          <w:rFonts w:cstheme="minorHAnsi"/>
          <w:lang w:val="en-US"/>
        </w:rPr>
        <w:t xml:space="preserve">. However, fertility trends after the age of 30 can vary substantially and lead to different fertility levels. For instance, </w:t>
      </w:r>
      <w:r w:rsidR="0043335D">
        <w:rPr>
          <w:rFonts w:cstheme="minorHAnsi"/>
          <w:lang w:val="en-US"/>
        </w:rPr>
        <w:lastRenderedPageBreak/>
        <w:t xml:space="preserve">Australian and Japanese women show a similar age of entry into motherhood, but their fertility levels are substantially different, at 1.66 </w:t>
      </w:r>
      <w:r w:rsidR="00A545D5">
        <w:rPr>
          <w:rFonts w:cstheme="minorHAnsi"/>
          <w:lang w:val="en-US"/>
        </w:rPr>
        <w:t xml:space="preserve">and 1.36 </w:t>
      </w:r>
      <w:r w:rsidR="0043335D">
        <w:rPr>
          <w:rFonts w:cstheme="minorHAnsi"/>
          <w:lang w:val="en-US"/>
        </w:rPr>
        <w:t xml:space="preserve">respectively. </w:t>
      </w:r>
    </w:p>
    <w:p w14:paraId="35C4E36C" w14:textId="74167C39" w:rsidR="0043335D" w:rsidRDefault="0043335D" w:rsidP="00BC5105">
      <w:pPr>
        <w:spacing w:line="276" w:lineRule="auto"/>
        <w:jc w:val="both"/>
      </w:pPr>
      <w:r>
        <w:t xml:space="preserve">Thus, low fertility rates are not just the result of biological constraints to reproduction, but rather of the different contexts that make it more or less possible to have children in later adulthood </w:t>
      </w:r>
      <w:r w:rsidR="000B7822">
        <w:rPr>
          <w:noProof/>
        </w:rPr>
        <w:t>(Beaujouan &amp; Toulemon, 2021)</w:t>
      </w:r>
      <w:r>
        <w:t>.</w:t>
      </w:r>
    </w:p>
    <w:p w14:paraId="5053199F" w14:textId="1DF62488" w:rsidR="00992A09" w:rsidRPr="00992A09" w:rsidRDefault="00053EBA" w:rsidP="000B6A72">
      <w:pPr>
        <w:pStyle w:val="Caption"/>
      </w:pPr>
      <w:bookmarkStart w:id="24" w:name="_Ref81565660"/>
      <w:r>
        <w:t xml:space="preserve">Figure </w:t>
      </w:r>
      <w:fldSimple w:instr=" SEQ Figure \* ARABIC ">
        <w:r w:rsidR="00115E22">
          <w:rPr>
            <w:noProof/>
          </w:rPr>
          <w:t>7</w:t>
        </w:r>
      </w:fldSimple>
      <w:bookmarkEnd w:id="24"/>
      <w:r>
        <w:t xml:space="preserve"> </w:t>
      </w:r>
      <w:r w:rsidRPr="00857ED4">
        <w:t>Mean age at first birth and total fertility rate in 2017-2019, selected OECD countries</w:t>
      </w:r>
    </w:p>
    <w:p w14:paraId="35559C9C" w14:textId="7FB576EF" w:rsidR="0043335D" w:rsidRDefault="0043335D" w:rsidP="007E15F6">
      <w:pPr>
        <w:pStyle w:val="Caption"/>
        <w:rPr>
          <w:rFonts w:cstheme="minorHAnsi"/>
          <w:lang w:val="en-US"/>
        </w:rPr>
      </w:pPr>
      <w:r>
        <w:rPr>
          <w:noProof/>
          <w:lang w:eastAsia="en-AU"/>
        </w:rPr>
        <w:drawing>
          <wp:inline distT="0" distB="0" distL="0" distR="0" wp14:anchorId="5B13DC66" wp14:editId="23AF4E1C">
            <wp:extent cx="5731510" cy="4176000"/>
            <wp:effectExtent l="0" t="0" r="0" b="254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65CEFC" w14:textId="02724EF3" w:rsidR="0043335D" w:rsidRPr="003635BF" w:rsidRDefault="0043335D" w:rsidP="00BC5105">
      <w:pPr>
        <w:spacing w:line="276" w:lineRule="auto"/>
        <w:rPr>
          <w:rFonts w:cstheme="minorHAnsi"/>
          <w:sz w:val="18"/>
          <w:lang w:val="en-US"/>
        </w:rPr>
      </w:pPr>
      <w:r w:rsidRPr="003635BF">
        <w:rPr>
          <w:rFonts w:cstheme="minorHAnsi"/>
          <w:sz w:val="18"/>
          <w:lang w:val="en-US"/>
        </w:rPr>
        <w:t xml:space="preserve">Source: </w:t>
      </w:r>
      <w:r>
        <w:rPr>
          <w:rFonts w:cstheme="minorHAnsi"/>
          <w:sz w:val="18"/>
          <w:lang w:val="en-US"/>
        </w:rPr>
        <w:t>OECD Family Database</w:t>
      </w:r>
      <w:r w:rsidR="00164738">
        <w:rPr>
          <w:rFonts w:cstheme="minorHAnsi"/>
          <w:sz w:val="18"/>
          <w:lang w:val="en-US"/>
        </w:rPr>
        <w:t xml:space="preserve"> </w:t>
      </w:r>
      <w:sdt>
        <w:sdtPr>
          <w:rPr>
            <w:rFonts w:cstheme="minorHAnsi"/>
            <w:sz w:val="18"/>
            <w:lang w:val="en-US"/>
          </w:rPr>
          <w:id w:val="-1581594544"/>
          <w:citation/>
        </w:sdtPr>
        <w:sdtEndPr/>
        <w:sdtContent>
          <w:r w:rsidR="00164738">
            <w:rPr>
              <w:rFonts w:cstheme="minorHAnsi"/>
              <w:sz w:val="18"/>
              <w:lang w:val="en-US"/>
            </w:rPr>
            <w:fldChar w:fldCharType="begin"/>
          </w:r>
          <w:r w:rsidR="00164738">
            <w:rPr>
              <w:rFonts w:cstheme="minorHAnsi"/>
              <w:sz w:val="18"/>
            </w:rPr>
            <w:instrText xml:space="preserve">CITATION OEC21 \n  \t  \l 3081 </w:instrText>
          </w:r>
          <w:r w:rsidR="00164738">
            <w:rPr>
              <w:rFonts w:cstheme="minorHAnsi"/>
              <w:sz w:val="18"/>
              <w:lang w:val="en-US"/>
            </w:rPr>
            <w:fldChar w:fldCharType="separate"/>
          </w:r>
          <w:r w:rsidR="00BE2DD4" w:rsidRPr="00BC70D8">
            <w:rPr>
              <w:rFonts w:cstheme="minorHAnsi"/>
              <w:noProof/>
              <w:sz w:val="18"/>
            </w:rPr>
            <w:t>(2021)</w:t>
          </w:r>
          <w:r w:rsidR="00164738">
            <w:rPr>
              <w:rFonts w:cstheme="minorHAnsi"/>
              <w:sz w:val="18"/>
              <w:lang w:val="en-US"/>
            </w:rPr>
            <w:fldChar w:fldCharType="end"/>
          </w:r>
        </w:sdtContent>
      </w:sdt>
      <w:r>
        <w:rPr>
          <w:rFonts w:cstheme="minorHAnsi"/>
          <w:sz w:val="18"/>
          <w:lang w:val="en-US"/>
        </w:rPr>
        <w:t xml:space="preserve"> and </w:t>
      </w:r>
      <w:r w:rsidR="00DE1DE7">
        <w:rPr>
          <w:rFonts w:cstheme="minorHAnsi"/>
          <w:sz w:val="18"/>
          <w:lang w:val="en-US"/>
        </w:rPr>
        <w:t xml:space="preserve">AIHW </w:t>
      </w:r>
      <w:sdt>
        <w:sdtPr>
          <w:rPr>
            <w:rFonts w:cstheme="minorHAnsi"/>
            <w:sz w:val="18"/>
            <w:lang w:val="en-US"/>
          </w:rPr>
          <w:id w:val="-1601478465"/>
          <w:citation/>
        </w:sdtPr>
        <w:sdtEndPr/>
        <w:sdtContent>
          <w:r w:rsidR="00164738">
            <w:rPr>
              <w:rFonts w:cstheme="minorHAnsi"/>
              <w:sz w:val="18"/>
              <w:lang w:val="en-US"/>
            </w:rPr>
            <w:fldChar w:fldCharType="begin"/>
          </w:r>
          <w:r w:rsidR="00DE1DE7">
            <w:rPr>
              <w:rFonts w:cstheme="minorHAnsi"/>
              <w:sz w:val="18"/>
            </w:rPr>
            <w:instrText xml:space="preserve">CITATION Aus20a \n  \t  \l 3081 </w:instrText>
          </w:r>
          <w:r w:rsidR="00164738">
            <w:rPr>
              <w:rFonts w:cstheme="minorHAnsi"/>
              <w:sz w:val="18"/>
              <w:lang w:val="en-US"/>
            </w:rPr>
            <w:fldChar w:fldCharType="separate"/>
          </w:r>
          <w:r w:rsidR="00BE2DD4" w:rsidRPr="00BC70D8">
            <w:rPr>
              <w:rFonts w:cstheme="minorHAnsi"/>
              <w:noProof/>
              <w:sz w:val="18"/>
            </w:rPr>
            <w:t>(2020)</w:t>
          </w:r>
          <w:r w:rsidR="00164738">
            <w:rPr>
              <w:rFonts w:cstheme="minorHAnsi"/>
              <w:sz w:val="18"/>
              <w:lang w:val="en-US"/>
            </w:rPr>
            <w:fldChar w:fldCharType="end"/>
          </w:r>
        </w:sdtContent>
      </w:sdt>
      <w:r>
        <w:rPr>
          <w:rFonts w:cstheme="minorHAnsi"/>
          <w:sz w:val="18"/>
          <w:lang w:val="en-US"/>
        </w:rPr>
        <w:t>.</w:t>
      </w:r>
    </w:p>
    <w:p w14:paraId="59645F0F" w14:textId="77777777" w:rsidR="0043335D" w:rsidRPr="003635BF" w:rsidRDefault="0043335D" w:rsidP="00BC5105">
      <w:pPr>
        <w:pStyle w:val="Heading2"/>
        <w:spacing w:line="276" w:lineRule="auto"/>
      </w:pPr>
      <w:bookmarkStart w:id="25" w:name="_Toc75703352"/>
      <w:bookmarkStart w:id="26" w:name="_Toc87454598"/>
      <w:bookmarkStart w:id="27" w:name="_Toc98404949"/>
      <w:r w:rsidRPr="003635BF">
        <w:t>Fertility in sub-groups</w:t>
      </w:r>
      <w:bookmarkEnd w:id="25"/>
      <w:bookmarkEnd w:id="26"/>
      <w:bookmarkEnd w:id="27"/>
    </w:p>
    <w:p w14:paraId="7A9FB47D" w14:textId="77777777" w:rsidR="0043335D" w:rsidRPr="003635BF" w:rsidRDefault="0043335D" w:rsidP="00BC5105">
      <w:pPr>
        <w:spacing w:line="276" w:lineRule="auto"/>
        <w:jc w:val="both"/>
        <w:rPr>
          <w:rFonts w:cstheme="minorHAnsi"/>
        </w:rPr>
      </w:pPr>
      <w:r w:rsidRPr="003635BF">
        <w:rPr>
          <w:rFonts w:cstheme="minorHAnsi"/>
        </w:rPr>
        <w:t xml:space="preserve">While the national TFR is useful for looking at trends over time, it hides a wide variation in fertility levels across sub-groups of the population. Different socio-demographic characteristics such as the country of birth of parents, geographic location and education level are generally associated with different fertility behaviours. From a policy perspective, it is important to take into account the existence of such differences across populations for planning and forecasting purposes. </w:t>
      </w:r>
    </w:p>
    <w:p w14:paraId="5BDC0AC8" w14:textId="77777777" w:rsidR="0043335D" w:rsidRPr="003635BF" w:rsidRDefault="0043335D" w:rsidP="00BC5105">
      <w:pPr>
        <w:pStyle w:val="Heading3"/>
        <w:spacing w:line="276" w:lineRule="auto"/>
      </w:pPr>
      <w:bookmarkStart w:id="28" w:name="_Toc75703353"/>
      <w:bookmarkStart w:id="29" w:name="_Toc87454599"/>
      <w:r w:rsidRPr="003635BF">
        <w:t>Country of birth</w:t>
      </w:r>
      <w:bookmarkEnd w:id="28"/>
      <w:bookmarkEnd w:id="29"/>
      <w:r w:rsidRPr="003635BF">
        <w:t xml:space="preserve"> </w:t>
      </w:r>
    </w:p>
    <w:p w14:paraId="23967FBD" w14:textId="1124DDB5" w:rsidR="0043335D" w:rsidRPr="003635BF" w:rsidRDefault="0043335D" w:rsidP="00BC5105">
      <w:pPr>
        <w:spacing w:line="276" w:lineRule="auto"/>
        <w:jc w:val="both"/>
        <w:rPr>
          <w:rFonts w:cstheme="minorHAnsi"/>
        </w:rPr>
      </w:pPr>
      <w:r w:rsidRPr="003635BF">
        <w:rPr>
          <w:rFonts w:cstheme="minorHAnsi"/>
        </w:rPr>
        <w:t>There is a wide variation in fertility according to the country of origin. Overall, over one third of the 305,000 births registered in 2019 were to overseas</w:t>
      </w:r>
      <w:r w:rsidR="00C0571E">
        <w:rPr>
          <w:rFonts w:cstheme="minorHAnsi"/>
        </w:rPr>
        <w:t>-</w:t>
      </w:r>
      <w:r w:rsidRPr="003635BF">
        <w:rPr>
          <w:rFonts w:cstheme="minorHAnsi"/>
        </w:rPr>
        <w:t>born women. The TFR of Australian</w:t>
      </w:r>
      <w:r w:rsidR="00C0571E">
        <w:rPr>
          <w:rFonts w:cstheme="minorHAnsi"/>
        </w:rPr>
        <w:t>-</w:t>
      </w:r>
      <w:r w:rsidRPr="003635BF">
        <w:rPr>
          <w:rFonts w:cstheme="minorHAnsi"/>
        </w:rPr>
        <w:t>born women in 20</w:t>
      </w:r>
      <w:r w:rsidR="00F5132D">
        <w:rPr>
          <w:rFonts w:cstheme="minorHAnsi"/>
        </w:rPr>
        <w:t xml:space="preserve">20 </w:t>
      </w:r>
      <w:r w:rsidRPr="003635BF">
        <w:rPr>
          <w:rFonts w:cstheme="minorHAnsi"/>
        </w:rPr>
        <w:t>was 1.</w:t>
      </w:r>
      <w:r w:rsidR="00F5132D">
        <w:rPr>
          <w:rFonts w:cstheme="minorHAnsi"/>
        </w:rPr>
        <w:t>68</w:t>
      </w:r>
      <w:r w:rsidRPr="003635BF">
        <w:rPr>
          <w:rFonts w:cstheme="minorHAnsi"/>
        </w:rPr>
        <w:t>, while the TFR for overseas</w:t>
      </w:r>
      <w:r w:rsidR="00C0571E">
        <w:rPr>
          <w:rFonts w:cstheme="minorHAnsi"/>
        </w:rPr>
        <w:t>-</w:t>
      </w:r>
      <w:r w:rsidRPr="003635BF">
        <w:rPr>
          <w:rFonts w:cstheme="minorHAnsi"/>
        </w:rPr>
        <w:t>born women was 1.5</w:t>
      </w:r>
      <w:r w:rsidR="00F5132D">
        <w:rPr>
          <w:rFonts w:cstheme="minorHAnsi"/>
        </w:rPr>
        <w:t>5</w:t>
      </w:r>
      <w:r w:rsidRPr="003635BF">
        <w:rPr>
          <w:rFonts w:cstheme="minorHAnsi"/>
        </w:rPr>
        <w:t xml:space="preserve"> </w:t>
      </w:r>
      <w:r w:rsidR="00F5132D" w:rsidRPr="0026646C">
        <w:rPr>
          <w:rFonts w:cstheme="minorHAnsi"/>
          <w:noProof/>
        </w:rPr>
        <w:t>(A</w:t>
      </w:r>
      <w:r w:rsidR="00D816B2">
        <w:rPr>
          <w:rFonts w:cstheme="minorHAnsi"/>
          <w:noProof/>
        </w:rPr>
        <w:t>ustralian Bureau of Statistics</w:t>
      </w:r>
      <w:r w:rsidR="00F5132D" w:rsidRPr="0026646C">
        <w:rPr>
          <w:rFonts w:cstheme="minorHAnsi"/>
          <w:noProof/>
        </w:rPr>
        <w:t>, 2021</w:t>
      </w:r>
      <w:r w:rsidR="00F5132D">
        <w:rPr>
          <w:rFonts w:cstheme="minorHAnsi"/>
          <w:noProof/>
        </w:rPr>
        <w:t>a</w:t>
      </w:r>
      <w:r w:rsidR="00F5132D" w:rsidRPr="0026646C">
        <w:rPr>
          <w:rFonts w:cstheme="minorHAnsi"/>
          <w:noProof/>
        </w:rPr>
        <w:t>)</w:t>
      </w:r>
      <w:r w:rsidRPr="003635BF">
        <w:rPr>
          <w:rFonts w:cstheme="minorHAnsi"/>
        </w:rPr>
        <w:t>. More specifically, the TFR was found to be as low as 1.1</w:t>
      </w:r>
      <w:r w:rsidR="00F5132D">
        <w:rPr>
          <w:rFonts w:cstheme="minorHAnsi"/>
        </w:rPr>
        <w:t>2</w:t>
      </w:r>
      <w:r w:rsidRPr="003635BF">
        <w:rPr>
          <w:rFonts w:cstheme="minorHAnsi"/>
        </w:rPr>
        <w:t xml:space="preserve"> for women born in North-East Asia, and as high as 2.</w:t>
      </w:r>
      <w:r w:rsidR="00F5132D">
        <w:rPr>
          <w:rFonts w:cstheme="minorHAnsi"/>
        </w:rPr>
        <w:t>3</w:t>
      </w:r>
      <w:r w:rsidRPr="003635BF">
        <w:rPr>
          <w:rFonts w:cstheme="minorHAnsi"/>
        </w:rPr>
        <w:t xml:space="preserve"> for women born in North Africa and Middle East </w:t>
      </w:r>
      <w:r w:rsidR="00F5132D" w:rsidRPr="0026646C">
        <w:rPr>
          <w:rFonts w:cstheme="minorHAnsi"/>
          <w:noProof/>
        </w:rPr>
        <w:t xml:space="preserve">(Australian Bureau of Statistics, </w:t>
      </w:r>
      <w:r w:rsidR="00F5132D" w:rsidRPr="0026646C">
        <w:rPr>
          <w:rFonts w:cstheme="minorHAnsi"/>
          <w:noProof/>
        </w:rPr>
        <w:lastRenderedPageBreak/>
        <w:t>2021</w:t>
      </w:r>
      <w:r w:rsidR="00F5132D">
        <w:rPr>
          <w:rFonts w:cstheme="minorHAnsi"/>
          <w:noProof/>
        </w:rPr>
        <w:t>a</w:t>
      </w:r>
      <w:r w:rsidR="00F5132D" w:rsidRPr="0026646C">
        <w:rPr>
          <w:rFonts w:cstheme="minorHAnsi"/>
          <w:noProof/>
        </w:rPr>
        <w:t>)</w:t>
      </w:r>
      <w:r w:rsidRPr="003635BF">
        <w:rPr>
          <w:rFonts w:cstheme="minorHAnsi"/>
        </w:rPr>
        <w:t xml:space="preserve">, indicating the existence of large variations depending on the country of birth of parents. Since the mid-1980s, immigration to Australia has become increasingly more skilled </w:t>
      </w:r>
      <w:r w:rsidR="00A545D5">
        <w:rPr>
          <w:rFonts w:cstheme="minorHAnsi"/>
        </w:rPr>
        <w:t>because</w:t>
      </w:r>
      <w:r w:rsidRPr="003635BF">
        <w:rPr>
          <w:rFonts w:cstheme="minorHAnsi"/>
        </w:rPr>
        <w:t xml:space="preserve"> migration policy focused on attracting skilled migrants to meet the labour needs of the economy </w:t>
      </w:r>
      <w:r w:rsidR="000B7822" w:rsidRPr="007E15F6">
        <w:rPr>
          <w:rFonts w:cstheme="minorHAnsi"/>
          <w:noProof/>
        </w:rPr>
        <w:t>(Birrell, 2003)</w:t>
      </w:r>
      <w:r w:rsidRPr="003635BF">
        <w:rPr>
          <w:rFonts w:cstheme="minorHAnsi"/>
        </w:rPr>
        <w:t xml:space="preserve">. Such emphasis on higher levels of education has created a relatively homogeneous group of immigrants in terms of fertility behaviour despite their different educational backgrounds. As a </w:t>
      </w:r>
      <w:r w:rsidR="00A545D5">
        <w:rPr>
          <w:rFonts w:cstheme="minorHAnsi"/>
        </w:rPr>
        <w:t>result</w:t>
      </w:r>
      <w:r w:rsidRPr="003635BF">
        <w:rPr>
          <w:rFonts w:cstheme="minorHAnsi"/>
        </w:rPr>
        <w:t xml:space="preserve">, Australian immigrant fertility has converged over time to represent similar fertility patterns as those observed by the Australia-born population </w:t>
      </w:r>
      <w:r w:rsidR="006347FD">
        <w:rPr>
          <w:rFonts w:cstheme="minorHAnsi"/>
          <w:noProof/>
        </w:rPr>
        <w:t xml:space="preserve">(Baffour, </w:t>
      </w:r>
      <w:r w:rsidR="006347FD" w:rsidRPr="007E15F6">
        <w:rPr>
          <w:rFonts w:cstheme="minorHAnsi"/>
          <w:i/>
          <w:iCs/>
          <w:noProof/>
        </w:rPr>
        <w:t>et al</w:t>
      </w:r>
      <w:r w:rsidR="006347FD">
        <w:rPr>
          <w:rFonts w:cstheme="minorHAnsi"/>
          <w:noProof/>
        </w:rPr>
        <w:t>. 2020)</w:t>
      </w:r>
      <w:r w:rsidRPr="003635BF">
        <w:rPr>
          <w:rFonts w:cstheme="minorHAnsi"/>
        </w:rPr>
        <w:t>.</w:t>
      </w:r>
      <w:r w:rsidR="00902476">
        <w:rPr>
          <w:rFonts w:cstheme="minorHAnsi"/>
        </w:rPr>
        <w:t xml:space="preserve"> </w:t>
      </w:r>
      <w:r w:rsidR="00AC510E">
        <w:rPr>
          <w:rFonts w:cstheme="minorHAnsi"/>
        </w:rPr>
        <w:t xml:space="preserve">An exception </w:t>
      </w:r>
      <w:r w:rsidR="00A545D5">
        <w:rPr>
          <w:rFonts w:cstheme="minorHAnsi"/>
        </w:rPr>
        <w:t>are</w:t>
      </w:r>
      <w:r w:rsidR="00902476" w:rsidRPr="00902476">
        <w:rPr>
          <w:rFonts w:cstheme="minorHAnsi"/>
        </w:rPr>
        <w:t xml:space="preserve"> temporary migrants in their 20s</w:t>
      </w:r>
      <w:r w:rsidR="00AC510E">
        <w:rPr>
          <w:rFonts w:cstheme="minorHAnsi"/>
        </w:rPr>
        <w:t>, with a fertility rate</w:t>
      </w:r>
      <w:r w:rsidR="00902476" w:rsidRPr="00902476">
        <w:rPr>
          <w:rFonts w:cstheme="minorHAnsi"/>
        </w:rPr>
        <w:t xml:space="preserve"> close to zero and</w:t>
      </w:r>
      <w:r w:rsidR="00AC510E">
        <w:rPr>
          <w:rFonts w:cstheme="minorHAnsi"/>
        </w:rPr>
        <w:t xml:space="preserve">, hence, </w:t>
      </w:r>
      <w:r w:rsidR="00902476" w:rsidRPr="00902476">
        <w:rPr>
          <w:rFonts w:cstheme="minorHAnsi"/>
        </w:rPr>
        <w:t>below the fertility rate of Australian women at that age</w:t>
      </w:r>
      <w:r w:rsidR="00AC510E">
        <w:rPr>
          <w:rFonts w:cstheme="minorHAnsi"/>
        </w:rPr>
        <w:t xml:space="preserve"> (McDonald</w:t>
      </w:r>
      <w:r w:rsidR="000B7822">
        <w:rPr>
          <w:rFonts w:cstheme="minorHAnsi"/>
        </w:rPr>
        <w:t>,</w:t>
      </w:r>
      <w:r w:rsidR="00AC510E">
        <w:rPr>
          <w:rFonts w:cstheme="minorHAnsi"/>
        </w:rPr>
        <w:t xml:space="preserve"> 2019)</w:t>
      </w:r>
      <w:r w:rsidR="00902476" w:rsidRPr="00902476">
        <w:rPr>
          <w:rFonts w:cstheme="minorHAnsi"/>
        </w:rPr>
        <w:t xml:space="preserve">. This compositional effect may be partly driving the deep decline in fertility observed at younger ages.   </w:t>
      </w:r>
    </w:p>
    <w:p w14:paraId="5FAF2A68" w14:textId="77777777" w:rsidR="0043335D" w:rsidRPr="003635BF" w:rsidRDefault="0043335D" w:rsidP="00BC5105">
      <w:pPr>
        <w:pStyle w:val="Heading3"/>
        <w:spacing w:line="276" w:lineRule="auto"/>
        <w:rPr>
          <w:rFonts w:asciiTheme="minorHAnsi" w:hAnsiTheme="minorHAnsi" w:cstheme="minorHAnsi"/>
        </w:rPr>
      </w:pPr>
      <w:bookmarkStart w:id="30" w:name="_Toc75703354"/>
      <w:bookmarkStart w:id="31" w:name="_Toc87454600"/>
      <w:r w:rsidRPr="003635BF">
        <w:rPr>
          <w:rFonts w:asciiTheme="minorHAnsi" w:hAnsiTheme="minorHAnsi" w:cstheme="minorHAnsi"/>
        </w:rPr>
        <w:t>Spatial variation</w:t>
      </w:r>
      <w:bookmarkEnd w:id="30"/>
      <w:bookmarkEnd w:id="31"/>
    </w:p>
    <w:p w14:paraId="21AC4C4A" w14:textId="77777777" w:rsidR="00166A92" w:rsidRDefault="0043335D" w:rsidP="00166A92">
      <w:pPr>
        <w:jc w:val="both"/>
      </w:pPr>
      <w:r w:rsidRPr="003635BF">
        <w:rPr>
          <w:rFonts w:cstheme="minorHAnsi"/>
        </w:rPr>
        <w:t>There is clear spatial variation in fertility rates in Australia (</w:t>
      </w:r>
      <w:r>
        <w:rPr>
          <w:rFonts w:cstheme="minorHAnsi"/>
        </w:rPr>
        <w:fldChar w:fldCharType="begin"/>
      </w:r>
      <w:r>
        <w:rPr>
          <w:rFonts w:cstheme="minorHAnsi"/>
        </w:rPr>
        <w:instrText xml:space="preserve"> REF _Ref75522984 \h </w:instrText>
      </w:r>
      <w:r w:rsidR="00E73589">
        <w:rPr>
          <w:rFonts w:cstheme="minorHAnsi"/>
        </w:rPr>
        <w:instrText xml:space="preserve"> \* MERGEFORMAT </w:instrText>
      </w:r>
      <w:r>
        <w:rPr>
          <w:rFonts w:cstheme="minorHAnsi"/>
        </w:rPr>
      </w:r>
      <w:r>
        <w:rPr>
          <w:rFonts w:cstheme="minorHAnsi"/>
        </w:rPr>
        <w:fldChar w:fldCharType="separate"/>
      </w:r>
    </w:p>
    <w:p w14:paraId="5DFAD330" w14:textId="573D99A1" w:rsidR="0043335D" w:rsidRPr="003635BF" w:rsidRDefault="00166A92" w:rsidP="00BC5105">
      <w:pPr>
        <w:spacing w:line="276" w:lineRule="auto"/>
        <w:jc w:val="both"/>
        <w:rPr>
          <w:rFonts w:cstheme="minorHAnsi"/>
        </w:rPr>
      </w:pPr>
      <w:r>
        <w:t>Table</w:t>
      </w:r>
      <w:r>
        <w:rPr>
          <w:noProof/>
        </w:rPr>
        <w:t xml:space="preserve"> 1</w:t>
      </w:r>
      <w:r w:rsidR="0043335D">
        <w:rPr>
          <w:rFonts w:cstheme="minorHAnsi"/>
        </w:rPr>
        <w:fldChar w:fldCharType="end"/>
      </w:r>
      <w:r w:rsidR="0043335D" w:rsidRPr="003635BF">
        <w:rPr>
          <w:rFonts w:cstheme="minorHAnsi"/>
        </w:rPr>
        <w:t xml:space="preserve">). Although there is evidence that the TFRs across States and Territories have been converging over time </w:t>
      </w:r>
      <w:sdt>
        <w:sdtPr>
          <w:rPr>
            <w:rFonts w:cstheme="minorHAnsi"/>
          </w:rPr>
          <w:id w:val="-2109335933"/>
          <w:citation/>
        </w:sdtPr>
        <w:sdtEndPr/>
        <w:sdtContent>
          <w:r w:rsidR="0043335D" w:rsidRPr="003635BF">
            <w:rPr>
              <w:rFonts w:cstheme="minorHAnsi"/>
            </w:rPr>
            <w:fldChar w:fldCharType="begin"/>
          </w:r>
          <w:r w:rsidR="0043335D" w:rsidRPr="003635BF">
            <w:rPr>
              <w:rFonts w:cstheme="minorHAnsi"/>
            </w:rPr>
            <w:instrText xml:space="preserve"> CITATION Eva18 \l 3081 </w:instrText>
          </w:r>
          <w:r w:rsidR="0043335D" w:rsidRPr="003635BF">
            <w:rPr>
              <w:rFonts w:cstheme="minorHAnsi"/>
            </w:rPr>
            <w:fldChar w:fldCharType="separate"/>
          </w:r>
          <w:r w:rsidR="00BE2DD4" w:rsidRPr="001244DA">
            <w:rPr>
              <w:rFonts w:cstheme="minorHAnsi"/>
              <w:noProof/>
            </w:rPr>
            <w:t>(Evans &amp; Gray, 2018)</w:t>
          </w:r>
          <w:r w:rsidR="0043335D" w:rsidRPr="003635BF">
            <w:rPr>
              <w:rFonts w:cstheme="minorHAnsi"/>
            </w:rPr>
            <w:fldChar w:fldCharType="end"/>
          </w:r>
        </w:sdtContent>
      </w:sdt>
      <w:r w:rsidR="0043335D" w:rsidRPr="003635BF">
        <w:rPr>
          <w:rFonts w:cstheme="minorHAnsi"/>
        </w:rPr>
        <w:t xml:space="preserve">, it is evident that the Northern Territory (NT) and Tasmania (TAS) still have a TFR that is substantially higher than the rest of </w:t>
      </w:r>
      <w:r w:rsidR="00126291">
        <w:rPr>
          <w:rFonts w:cstheme="minorHAnsi"/>
        </w:rPr>
        <w:t>the</w:t>
      </w:r>
      <w:r w:rsidR="00126291" w:rsidRPr="003635BF">
        <w:rPr>
          <w:rFonts w:cstheme="minorHAnsi"/>
        </w:rPr>
        <w:t xml:space="preserve"> </w:t>
      </w:r>
      <w:r w:rsidR="0043335D" w:rsidRPr="003635BF">
        <w:rPr>
          <w:rFonts w:cstheme="minorHAnsi"/>
        </w:rPr>
        <w:t>states and territories, corresponding to 1.</w:t>
      </w:r>
      <w:r w:rsidR="00AE2198">
        <w:rPr>
          <w:rFonts w:cstheme="minorHAnsi"/>
        </w:rPr>
        <w:t>86</w:t>
      </w:r>
      <w:r w:rsidR="0043335D" w:rsidRPr="003635BF">
        <w:rPr>
          <w:rFonts w:cstheme="minorHAnsi"/>
        </w:rPr>
        <w:t xml:space="preserve"> and 1.7</w:t>
      </w:r>
      <w:r w:rsidR="00AE2198">
        <w:rPr>
          <w:rFonts w:cstheme="minorHAnsi"/>
        </w:rPr>
        <w:t>7</w:t>
      </w:r>
      <w:r w:rsidR="0043335D" w:rsidRPr="003635BF">
        <w:rPr>
          <w:rFonts w:cstheme="minorHAnsi"/>
        </w:rPr>
        <w:t xml:space="preserve"> in 20</w:t>
      </w:r>
      <w:r w:rsidR="00AE2198">
        <w:rPr>
          <w:rFonts w:cstheme="minorHAnsi"/>
        </w:rPr>
        <w:t>20</w:t>
      </w:r>
      <w:r w:rsidR="0043335D" w:rsidRPr="003635BF">
        <w:rPr>
          <w:rFonts w:cstheme="minorHAnsi"/>
        </w:rPr>
        <w:t>, respectively. This is closely followed by Western Austral</w:t>
      </w:r>
      <w:r w:rsidR="0043335D">
        <w:rPr>
          <w:rFonts w:cstheme="minorHAnsi"/>
        </w:rPr>
        <w:t>ia (WA), with a TFR of 1.7</w:t>
      </w:r>
      <w:r w:rsidR="00AE2198">
        <w:rPr>
          <w:rFonts w:cstheme="minorHAnsi"/>
        </w:rPr>
        <w:t>0</w:t>
      </w:r>
      <w:r w:rsidR="0043335D">
        <w:rPr>
          <w:rFonts w:cstheme="minorHAnsi"/>
        </w:rPr>
        <w:t>.</w:t>
      </w:r>
      <w:r w:rsidR="0043335D" w:rsidRPr="003635BF">
        <w:rPr>
          <w:rFonts w:cstheme="minorHAnsi"/>
        </w:rPr>
        <w:t xml:space="preserve"> The lowest TFRs are observed in Victoria (VIC) and in the Australian Capital Territory (ACT), </w:t>
      </w:r>
      <w:r w:rsidR="00126291">
        <w:rPr>
          <w:rFonts w:cstheme="minorHAnsi"/>
        </w:rPr>
        <w:t xml:space="preserve">with </w:t>
      </w:r>
      <w:r w:rsidR="0043335D">
        <w:rPr>
          <w:rFonts w:cstheme="minorHAnsi"/>
        </w:rPr>
        <w:t>TFRs of</w:t>
      </w:r>
      <w:r w:rsidR="0043335D" w:rsidRPr="003635BF">
        <w:rPr>
          <w:rFonts w:cstheme="minorHAnsi"/>
        </w:rPr>
        <w:t xml:space="preserve"> 1.</w:t>
      </w:r>
      <w:r w:rsidR="00AE2198">
        <w:rPr>
          <w:rFonts w:cstheme="minorHAnsi"/>
        </w:rPr>
        <w:t>4</w:t>
      </w:r>
      <w:r w:rsidR="0043335D" w:rsidRPr="003635BF">
        <w:rPr>
          <w:rFonts w:cstheme="minorHAnsi"/>
        </w:rPr>
        <w:t>3</w:t>
      </w:r>
      <w:r w:rsidR="00126291">
        <w:rPr>
          <w:rFonts w:cstheme="minorHAnsi"/>
        </w:rPr>
        <w:t xml:space="preserve"> and 1.5</w:t>
      </w:r>
      <w:r w:rsidR="00AE2198">
        <w:rPr>
          <w:rFonts w:cstheme="minorHAnsi"/>
        </w:rPr>
        <w:t>8</w:t>
      </w:r>
      <w:r w:rsidR="0043335D" w:rsidRPr="003635BF">
        <w:rPr>
          <w:rFonts w:cstheme="minorHAnsi"/>
        </w:rPr>
        <w:t xml:space="preserve">, respectively. </w:t>
      </w:r>
      <w:r w:rsidR="00902476">
        <w:rPr>
          <w:rFonts w:cstheme="minorHAnsi"/>
        </w:rPr>
        <w:t>The ability of State boundaries to capture changes in fertility</w:t>
      </w:r>
      <w:r w:rsidR="00FB5153">
        <w:rPr>
          <w:rFonts w:cstheme="minorHAnsi"/>
        </w:rPr>
        <w:t xml:space="preserve"> </w:t>
      </w:r>
      <w:r w:rsidR="00902476">
        <w:rPr>
          <w:rFonts w:cstheme="minorHAnsi"/>
        </w:rPr>
        <w:t xml:space="preserve">is limited, as </w:t>
      </w:r>
      <w:r w:rsidR="00705B8B">
        <w:rPr>
          <w:rFonts w:cstheme="minorHAnsi"/>
        </w:rPr>
        <w:t xml:space="preserve">this </w:t>
      </w:r>
      <w:r w:rsidR="00902476">
        <w:rPr>
          <w:rFonts w:cstheme="minorHAnsi"/>
        </w:rPr>
        <w:t xml:space="preserve">tends to be affected by the proportion of people living in rural areas, typically characterized by higher fertility rates. </w:t>
      </w:r>
      <w:r w:rsidR="00705B8B">
        <w:rPr>
          <w:rFonts w:cstheme="minorHAnsi"/>
        </w:rPr>
        <w:t>S</w:t>
      </w:r>
      <w:r w:rsidR="0043335D" w:rsidRPr="003635BF">
        <w:rPr>
          <w:rFonts w:cstheme="minorHAnsi"/>
        </w:rPr>
        <w:t xml:space="preserve">ubstantial differences </w:t>
      </w:r>
      <w:r w:rsidR="00705B8B">
        <w:rPr>
          <w:rFonts w:cstheme="minorHAnsi"/>
        </w:rPr>
        <w:t xml:space="preserve">in </w:t>
      </w:r>
      <w:r w:rsidR="00C0571E">
        <w:rPr>
          <w:rFonts w:cstheme="minorHAnsi"/>
        </w:rPr>
        <w:t>TFR</w:t>
      </w:r>
      <w:r w:rsidR="00705B8B">
        <w:rPr>
          <w:rFonts w:cstheme="minorHAnsi"/>
        </w:rPr>
        <w:t xml:space="preserve"> </w:t>
      </w:r>
      <w:r w:rsidR="00126291">
        <w:rPr>
          <w:rFonts w:cstheme="minorHAnsi"/>
        </w:rPr>
        <w:t>are evident</w:t>
      </w:r>
      <w:r w:rsidR="0043335D" w:rsidRPr="003635BF">
        <w:rPr>
          <w:rFonts w:cstheme="minorHAnsi"/>
        </w:rPr>
        <w:t xml:space="preserve"> across rural and urban areas, with a TFR of 1.</w:t>
      </w:r>
      <w:r w:rsidR="00AE2198">
        <w:rPr>
          <w:rFonts w:cstheme="minorHAnsi"/>
        </w:rPr>
        <w:t>57</w:t>
      </w:r>
      <w:r w:rsidR="0043335D" w:rsidRPr="003635BF">
        <w:rPr>
          <w:rFonts w:cstheme="minorHAnsi"/>
        </w:rPr>
        <w:t xml:space="preserve"> in major cities, 1.9</w:t>
      </w:r>
      <w:r w:rsidR="00AE2198">
        <w:rPr>
          <w:rFonts w:cstheme="minorHAnsi"/>
        </w:rPr>
        <w:t>6</w:t>
      </w:r>
      <w:r w:rsidR="0043335D" w:rsidRPr="003635BF">
        <w:rPr>
          <w:rFonts w:cstheme="minorHAnsi"/>
        </w:rPr>
        <w:t xml:space="preserve"> in inner regional areas, 2.0</w:t>
      </w:r>
      <w:r w:rsidR="00AE2198">
        <w:rPr>
          <w:rFonts w:cstheme="minorHAnsi"/>
        </w:rPr>
        <w:t>2</w:t>
      </w:r>
      <w:r w:rsidR="0043335D" w:rsidRPr="003635BF">
        <w:rPr>
          <w:rFonts w:cstheme="minorHAnsi"/>
        </w:rPr>
        <w:t xml:space="preserve"> in outer regional areas and 2.22 in remote areas. </w:t>
      </w:r>
      <w:r w:rsidR="00705B8B">
        <w:rPr>
          <w:rFonts w:cstheme="minorHAnsi"/>
        </w:rPr>
        <w:t xml:space="preserve">Different states </w:t>
      </w:r>
      <w:r w:rsidR="00126291">
        <w:rPr>
          <w:rFonts w:cstheme="minorHAnsi"/>
        </w:rPr>
        <w:t>also have different proportions</w:t>
      </w:r>
      <w:r w:rsidR="00705B8B">
        <w:rPr>
          <w:rFonts w:cstheme="minorHAnsi"/>
        </w:rPr>
        <w:t xml:space="preserve"> of Aboriginal and Torres Strait Islander </w:t>
      </w:r>
      <w:r w:rsidR="00126291">
        <w:rPr>
          <w:rFonts w:cstheme="minorHAnsi"/>
        </w:rPr>
        <w:t>people</w:t>
      </w:r>
      <w:r w:rsidR="00705B8B">
        <w:rPr>
          <w:rFonts w:cstheme="minorHAnsi"/>
        </w:rPr>
        <w:t xml:space="preserve">, </w:t>
      </w:r>
      <w:r w:rsidR="00126291">
        <w:rPr>
          <w:rFonts w:cstheme="minorHAnsi"/>
        </w:rPr>
        <w:t>who</w:t>
      </w:r>
      <w:r w:rsidR="00303441">
        <w:rPr>
          <w:rFonts w:cstheme="minorHAnsi"/>
        </w:rPr>
        <w:t xml:space="preserve"> historically</w:t>
      </w:r>
      <w:r w:rsidR="00705B8B">
        <w:rPr>
          <w:rFonts w:cstheme="minorHAnsi"/>
        </w:rPr>
        <w:t xml:space="preserve"> tend to have higher fertility</w:t>
      </w:r>
      <w:r w:rsidR="00303441">
        <w:rPr>
          <w:rFonts w:cstheme="minorHAnsi"/>
        </w:rPr>
        <w:t xml:space="preserve"> rates (Carmichael 2019; Gray 1983)</w:t>
      </w:r>
      <w:r w:rsidR="00705B8B">
        <w:rPr>
          <w:rFonts w:cstheme="minorHAnsi"/>
        </w:rPr>
        <w:t>.</w:t>
      </w:r>
      <w:r w:rsidR="00303441">
        <w:rPr>
          <w:rFonts w:cstheme="minorHAnsi"/>
        </w:rPr>
        <w:t xml:space="preserve"> For instance, in 20</w:t>
      </w:r>
      <w:r w:rsidR="000B7B15">
        <w:rPr>
          <w:rFonts w:cstheme="minorHAnsi"/>
        </w:rPr>
        <w:t>20</w:t>
      </w:r>
      <w:r w:rsidR="00303441">
        <w:rPr>
          <w:rFonts w:cstheme="minorHAnsi"/>
        </w:rPr>
        <w:t>, the TFR of Aboriginal and Torres Strait Islander</w:t>
      </w:r>
      <w:r w:rsidR="00705B8B">
        <w:rPr>
          <w:rFonts w:cstheme="minorHAnsi"/>
        </w:rPr>
        <w:t xml:space="preserve"> </w:t>
      </w:r>
      <w:r w:rsidR="00303441">
        <w:rPr>
          <w:rFonts w:cstheme="minorHAnsi"/>
        </w:rPr>
        <w:t>women was 2.</w:t>
      </w:r>
      <w:r w:rsidR="00AE2198">
        <w:rPr>
          <w:rFonts w:cstheme="minorHAnsi"/>
        </w:rPr>
        <w:t>25</w:t>
      </w:r>
      <w:r w:rsidR="00303441">
        <w:rPr>
          <w:rFonts w:cstheme="minorHAnsi"/>
        </w:rPr>
        <w:t>, considerably higher than the TFR for all Australian women of 1.</w:t>
      </w:r>
      <w:r w:rsidR="00AE2198">
        <w:rPr>
          <w:rFonts w:cstheme="minorHAnsi"/>
        </w:rPr>
        <w:t>58</w:t>
      </w:r>
      <w:r w:rsidR="00303441">
        <w:rPr>
          <w:rFonts w:cstheme="minorHAnsi"/>
        </w:rPr>
        <w:t xml:space="preserve">. Aboriginal and Torres Strait Islander women also tend to give birth at younger ages: over 70% of </w:t>
      </w:r>
      <w:r w:rsidR="00126291">
        <w:rPr>
          <w:rFonts w:cstheme="minorHAnsi"/>
        </w:rPr>
        <w:t xml:space="preserve">Indigenous </w:t>
      </w:r>
      <w:r w:rsidR="00303441">
        <w:rPr>
          <w:rFonts w:cstheme="minorHAnsi"/>
        </w:rPr>
        <w:t xml:space="preserve">births are registered among women under the age of 30, compared to only 39% in the total population. </w:t>
      </w:r>
      <w:r w:rsidR="00126291">
        <w:rPr>
          <w:rFonts w:cstheme="minorHAnsi"/>
        </w:rPr>
        <w:t xml:space="preserve">The </w:t>
      </w:r>
      <w:r w:rsidR="00705B8B">
        <w:rPr>
          <w:rFonts w:cstheme="minorHAnsi"/>
        </w:rPr>
        <w:t xml:space="preserve">compositional effect </w:t>
      </w:r>
      <w:r w:rsidR="00126291">
        <w:rPr>
          <w:rFonts w:cstheme="minorHAnsi"/>
        </w:rPr>
        <w:t xml:space="preserve">of larger proportions of Aboriginal and Torres Strait Islander people on fertility </w:t>
      </w:r>
      <w:r w:rsidR="00705B8B">
        <w:rPr>
          <w:rFonts w:cstheme="minorHAnsi"/>
        </w:rPr>
        <w:t xml:space="preserve">is </w:t>
      </w:r>
      <w:r w:rsidR="00126291">
        <w:rPr>
          <w:rFonts w:cstheme="minorHAnsi"/>
        </w:rPr>
        <w:t xml:space="preserve">associated with the higher TFR </w:t>
      </w:r>
      <w:r w:rsidR="00705B8B">
        <w:rPr>
          <w:rFonts w:cstheme="minorHAnsi"/>
        </w:rPr>
        <w:t xml:space="preserve">in the Northern Territory, where over 30% of the total population is </w:t>
      </w:r>
      <w:r w:rsidR="00126291">
        <w:rPr>
          <w:rFonts w:cstheme="minorHAnsi"/>
        </w:rPr>
        <w:t>Indigenous</w:t>
      </w:r>
      <w:r w:rsidR="00705B8B">
        <w:rPr>
          <w:rFonts w:cstheme="minorHAnsi"/>
        </w:rPr>
        <w:t xml:space="preserve"> </w:t>
      </w:r>
      <w:r w:rsidR="0029133E">
        <w:rPr>
          <w:rFonts w:cstheme="minorHAnsi"/>
        </w:rPr>
        <w:t>(ABS 2018).</w:t>
      </w:r>
    </w:p>
    <w:p w14:paraId="2EA4B6A6" w14:textId="4D80A4B0" w:rsidR="0043335D" w:rsidRDefault="0043335D" w:rsidP="00BC5105">
      <w:pPr>
        <w:spacing w:line="276" w:lineRule="auto"/>
        <w:jc w:val="both"/>
        <w:rPr>
          <w:rFonts w:cstheme="minorHAnsi"/>
        </w:rPr>
      </w:pPr>
      <w:r>
        <w:rPr>
          <w:rFonts w:cstheme="minorHAnsi"/>
        </w:rPr>
        <w:t xml:space="preserve">Geographic differences can </w:t>
      </w:r>
      <w:r w:rsidRPr="003635BF">
        <w:rPr>
          <w:rFonts w:cstheme="minorHAnsi"/>
        </w:rPr>
        <w:t xml:space="preserve">partly </w:t>
      </w:r>
      <w:r>
        <w:rPr>
          <w:rFonts w:cstheme="minorHAnsi"/>
        </w:rPr>
        <w:t xml:space="preserve">be </w:t>
      </w:r>
      <w:r w:rsidRPr="003635BF">
        <w:rPr>
          <w:rFonts w:cstheme="minorHAnsi"/>
        </w:rPr>
        <w:t xml:space="preserve">explained by the existence of notable socio-economic disparities across regions in Australia </w:t>
      </w:r>
      <w:r w:rsidR="000B7822" w:rsidRPr="007E15F6">
        <w:rPr>
          <w:rFonts w:cstheme="minorHAnsi"/>
          <w:noProof/>
        </w:rPr>
        <w:t>(Hugo, 2002)</w:t>
      </w:r>
      <w:r w:rsidRPr="003635BF">
        <w:rPr>
          <w:rFonts w:cstheme="minorHAnsi"/>
        </w:rPr>
        <w:t>. People living in urban and rural areas ar</w:t>
      </w:r>
      <w:r w:rsidR="00B616F9">
        <w:rPr>
          <w:rFonts w:cstheme="minorHAnsi"/>
        </w:rPr>
        <w:t>e characteris</w:t>
      </w:r>
      <w:r w:rsidRPr="003635BF">
        <w:rPr>
          <w:rFonts w:cstheme="minorHAnsi"/>
        </w:rPr>
        <w:t>ed by different socio-economic characteristics, which are in turn associated with different fertility behaviours. For example, education is an important predictor of lower completed family size. At the same time, highly</w:t>
      </w:r>
      <w:r w:rsidR="00C0571E">
        <w:rPr>
          <w:rFonts w:cstheme="minorHAnsi"/>
        </w:rPr>
        <w:t>-</w:t>
      </w:r>
      <w:r w:rsidRPr="003635BF">
        <w:rPr>
          <w:rFonts w:cstheme="minorHAnsi"/>
        </w:rPr>
        <w:t xml:space="preserve">educated people are concentrated in urban areas, where they can find more working opportunities that are suitable to their skills. Hence, it is not location </w:t>
      </w:r>
      <w:r w:rsidRPr="003635BF">
        <w:rPr>
          <w:rFonts w:cstheme="minorHAnsi"/>
          <w:i/>
        </w:rPr>
        <w:t>per se</w:t>
      </w:r>
      <w:r w:rsidRPr="003635BF">
        <w:rPr>
          <w:rFonts w:cstheme="minorHAnsi"/>
        </w:rPr>
        <w:t xml:space="preserve"> that has an effect on fertility, but it is the different composition of the population in urban and regional areas that explain their different fertility behaviours. At the same time, regional areas may be considered as providing a more suitable context for raising children, for example, due to the existence of </w:t>
      </w:r>
      <w:r w:rsidR="00356770">
        <w:rPr>
          <w:rFonts w:cstheme="minorHAnsi"/>
        </w:rPr>
        <w:t>different</w:t>
      </w:r>
      <w:r w:rsidRPr="003635BF">
        <w:rPr>
          <w:rFonts w:cstheme="minorHAnsi"/>
        </w:rPr>
        <w:t xml:space="preserve"> </w:t>
      </w:r>
      <w:r w:rsidR="00356770">
        <w:rPr>
          <w:rFonts w:cstheme="minorHAnsi"/>
        </w:rPr>
        <w:t>living</w:t>
      </w:r>
      <w:r w:rsidR="00356770" w:rsidRPr="003635BF">
        <w:rPr>
          <w:rFonts w:cstheme="minorHAnsi"/>
        </w:rPr>
        <w:t xml:space="preserve"> </w:t>
      </w:r>
      <w:r w:rsidR="00356770">
        <w:rPr>
          <w:rFonts w:cstheme="minorHAnsi"/>
        </w:rPr>
        <w:t>conditions</w:t>
      </w:r>
      <w:r w:rsidR="00356770" w:rsidRPr="003635BF">
        <w:rPr>
          <w:rFonts w:cstheme="minorHAnsi"/>
        </w:rPr>
        <w:t xml:space="preserve"> </w:t>
      </w:r>
      <w:r w:rsidRPr="003635BF">
        <w:rPr>
          <w:rFonts w:cstheme="minorHAnsi"/>
        </w:rPr>
        <w:t>(</w:t>
      </w:r>
      <w:r w:rsidR="00356770">
        <w:rPr>
          <w:rFonts w:cstheme="minorHAnsi"/>
        </w:rPr>
        <w:t>for example,</w:t>
      </w:r>
      <w:r w:rsidRPr="003635BF">
        <w:rPr>
          <w:rFonts w:cstheme="minorHAnsi"/>
        </w:rPr>
        <w:t xml:space="preserve"> less pollution</w:t>
      </w:r>
      <w:r w:rsidR="00356770">
        <w:rPr>
          <w:rFonts w:cstheme="minorHAnsi"/>
        </w:rPr>
        <w:t xml:space="preserve"> and</w:t>
      </w:r>
      <w:r w:rsidRPr="003635BF">
        <w:rPr>
          <w:rFonts w:cstheme="minorHAnsi"/>
        </w:rPr>
        <w:t xml:space="preserve"> </w:t>
      </w:r>
      <w:r>
        <w:rPr>
          <w:rFonts w:cstheme="minorHAnsi"/>
        </w:rPr>
        <w:t>more open spaces</w:t>
      </w:r>
      <w:r w:rsidRPr="003635BF">
        <w:rPr>
          <w:rFonts w:cstheme="minorHAnsi"/>
        </w:rPr>
        <w:t>). Hence, the fertility behaviour of couples living in rural areas may be different compared to t</w:t>
      </w:r>
      <w:r w:rsidR="00B616F9">
        <w:rPr>
          <w:rFonts w:cstheme="minorHAnsi"/>
        </w:rPr>
        <w:t>he fertility behaviour of couples</w:t>
      </w:r>
      <w:r w:rsidRPr="003635BF">
        <w:rPr>
          <w:rFonts w:cstheme="minorHAnsi"/>
        </w:rPr>
        <w:t xml:space="preserve"> living in urban areas, despite sharing similar socio-economic characteristics. </w:t>
      </w:r>
    </w:p>
    <w:p w14:paraId="6773AFA5" w14:textId="77777777" w:rsidR="00AE2198" w:rsidRDefault="00AE2198" w:rsidP="00A07454">
      <w:pPr>
        <w:pStyle w:val="Caption"/>
        <w:spacing w:line="276" w:lineRule="auto"/>
      </w:pPr>
      <w:bookmarkStart w:id="32" w:name="_Ref75522984"/>
    </w:p>
    <w:p w14:paraId="354AFA02" w14:textId="48510683" w:rsidR="00A07454" w:rsidRPr="003635BF" w:rsidRDefault="00A07454" w:rsidP="00A07454">
      <w:pPr>
        <w:pStyle w:val="Caption"/>
        <w:spacing w:line="276" w:lineRule="auto"/>
        <w:rPr>
          <w:rFonts w:cstheme="minorHAnsi"/>
          <w:iCs w:val="0"/>
          <w:sz w:val="24"/>
        </w:rPr>
      </w:pPr>
      <w:r>
        <w:t xml:space="preserve">Table </w:t>
      </w:r>
      <w:fldSimple w:instr=" SEQ Table \* ARABIC ">
        <w:r w:rsidR="00115E22">
          <w:rPr>
            <w:noProof/>
          </w:rPr>
          <w:t>1</w:t>
        </w:r>
      </w:fldSimple>
      <w:bookmarkEnd w:id="32"/>
      <w:r>
        <w:t xml:space="preserve"> </w:t>
      </w:r>
      <w:r w:rsidRPr="009159B3">
        <w:t>Total fertility rate by State and Territory</w:t>
      </w:r>
      <w:r>
        <w:t>, Indigenous status</w:t>
      </w:r>
      <w:r w:rsidRPr="009159B3">
        <w:t xml:space="preserve"> and remoteness area, Australia, 2</w:t>
      </w:r>
      <w:r>
        <w:t>0</w:t>
      </w:r>
      <w:r w:rsidR="00692F9F">
        <w:t>20</w:t>
      </w:r>
    </w:p>
    <w:tbl>
      <w:tblPr>
        <w:tblW w:w="6371" w:type="dxa"/>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shd w:val="clear" w:color="auto" w:fill="FFFFFF"/>
        <w:tblCellMar>
          <w:top w:w="15" w:type="dxa"/>
          <w:left w:w="15" w:type="dxa"/>
          <w:bottom w:w="15" w:type="dxa"/>
          <w:right w:w="15" w:type="dxa"/>
        </w:tblCellMar>
        <w:tblLook w:val="04A0" w:firstRow="1" w:lastRow="0" w:firstColumn="1" w:lastColumn="0" w:noHBand="0" w:noVBand="1"/>
      </w:tblPr>
      <w:tblGrid>
        <w:gridCol w:w="2969"/>
        <w:gridCol w:w="1559"/>
        <w:gridCol w:w="1843"/>
      </w:tblGrid>
      <w:tr w:rsidR="00A07454" w:rsidRPr="00A269D4" w14:paraId="00216900" w14:textId="77777777" w:rsidTr="00C45E4A">
        <w:trPr>
          <w:jc w:val="center"/>
        </w:trPr>
        <w:tc>
          <w:tcPr>
            <w:tcW w:w="2969" w:type="dxa"/>
            <w:shd w:val="clear" w:color="auto" w:fill="FBE4D5" w:themeFill="accent2" w:themeFillTint="33"/>
          </w:tcPr>
          <w:p w14:paraId="1865ECBB" w14:textId="77777777" w:rsidR="00A07454" w:rsidRPr="00BB3130" w:rsidRDefault="00A07454" w:rsidP="00C45E4A">
            <w:pPr>
              <w:spacing w:after="0" w:line="276" w:lineRule="auto"/>
              <w:jc w:val="center"/>
              <w:rPr>
                <w:rFonts w:ascii="Tw Cen MT Condensed" w:hAnsi="Tw Cen MT Condensed"/>
                <w:b/>
                <w:color w:val="000000"/>
                <w:sz w:val="24"/>
              </w:rPr>
            </w:pPr>
            <w:r w:rsidRPr="00A269D4">
              <w:rPr>
                <w:rFonts w:ascii="Tw Cen MT Condensed" w:eastAsia="Times New Roman" w:hAnsi="Tw Cen MT Condensed" w:cstheme="minorHAnsi"/>
                <w:b/>
                <w:bCs/>
                <w:color w:val="000000"/>
                <w:sz w:val="24"/>
                <w:szCs w:val="24"/>
                <w:lang w:eastAsia="en-AU"/>
              </w:rPr>
              <w:t>State</w:t>
            </w:r>
          </w:p>
        </w:tc>
        <w:tc>
          <w:tcPr>
            <w:tcW w:w="3402" w:type="dxa"/>
            <w:gridSpan w:val="2"/>
            <w:shd w:val="clear" w:color="auto" w:fill="FBE4D5" w:themeFill="accent2" w:themeFillTint="33"/>
            <w:vAlign w:val="center"/>
          </w:tcPr>
          <w:p w14:paraId="193778C9" w14:textId="77777777" w:rsidR="00A07454" w:rsidRPr="00A269D4" w:rsidDel="00303441" w:rsidRDefault="00A07454" w:rsidP="00C45E4A">
            <w:pPr>
              <w:spacing w:after="0" w:line="276" w:lineRule="auto"/>
              <w:jc w:val="center"/>
              <w:rPr>
                <w:rFonts w:ascii="Tw Cen MT Condensed" w:eastAsia="Times New Roman" w:hAnsi="Tw Cen MT Condensed" w:cstheme="minorHAnsi"/>
                <w:b/>
                <w:bCs/>
                <w:color w:val="000000"/>
                <w:sz w:val="24"/>
                <w:szCs w:val="24"/>
                <w:lang w:eastAsia="en-AU"/>
              </w:rPr>
            </w:pPr>
            <w:r>
              <w:rPr>
                <w:rFonts w:ascii="Tw Cen MT Condensed" w:eastAsia="Times New Roman" w:hAnsi="Tw Cen MT Condensed" w:cstheme="minorHAnsi"/>
                <w:b/>
                <w:bCs/>
                <w:color w:val="000000"/>
                <w:sz w:val="24"/>
                <w:szCs w:val="24"/>
                <w:lang w:eastAsia="en-AU"/>
              </w:rPr>
              <w:t>TFR</w:t>
            </w:r>
          </w:p>
        </w:tc>
      </w:tr>
      <w:tr w:rsidR="00A07454" w:rsidRPr="003635BF" w14:paraId="226C6D2C" w14:textId="77777777" w:rsidTr="00C45E4A">
        <w:trPr>
          <w:jc w:val="center"/>
        </w:trPr>
        <w:tc>
          <w:tcPr>
            <w:tcW w:w="2969" w:type="dxa"/>
            <w:shd w:val="clear" w:color="auto" w:fill="FFFFFF"/>
            <w:vAlign w:val="center"/>
          </w:tcPr>
          <w:p w14:paraId="1CC5DE66"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p>
        </w:tc>
        <w:tc>
          <w:tcPr>
            <w:tcW w:w="1559" w:type="dxa"/>
            <w:shd w:val="clear" w:color="auto" w:fill="FFFFFF"/>
            <w:vAlign w:val="center"/>
          </w:tcPr>
          <w:p w14:paraId="6DF1A7C6" w14:textId="77777777" w:rsidR="00A07454" w:rsidRPr="00BB3130" w:rsidRDefault="00A07454" w:rsidP="00C45E4A">
            <w:pPr>
              <w:spacing w:after="0" w:line="276" w:lineRule="auto"/>
              <w:jc w:val="center"/>
              <w:rPr>
                <w:rFonts w:asciiTheme="majorHAnsi" w:eastAsia="Times New Roman" w:hAnsiTheme="majorHAnsi" w:cstheme="majorHAnsi"/>
                <w:b/>
                <w:bCs/>
                <w:color w:val="000000"/>
                <w:sz w:val="20"/>
                <w:szCs w:val="24"/>
                <w:lang w:eastAsia="en-AU"/>
              </w:rPr>
            </w:pPr>
            <w:r w:rsidRPr="00303441">
              <w:rPr>
                <w:rFonts w:asciiTheme="majorHAnsi" w:eastAsia="Times New Roman" w:hAnsiTheme="majorHAnsi" w:cstheme="majorHAnsi"/>
                <w:b/>
                <w:bCs/>
                <w:color w:val="000000"/>
                <w:sz w:val="20"/>
                <w:szCs w:val="24"/>
                <w:lang w:eastAsia="en-AU"/>
              </w:rPr>
              <w:t>Total population</w:t>
            </w:r>
          </w:p>
        </w:tc>
        <w:tc>
          <w:tcPr>
            <w:tcW w:w="1843" w:type="dxa"/>
            <w:shd w:val="clear" w:color="auto" w:fill="FFFFFF"/>
          </w:tcPr>
          <w:p w14:paraId="6ABE5269" w14:textId="77777777" w:rsidR="00A07454" w:rsidRPr="00BB3130" w:rsidRDefault="00A07454" w:rsidP="00C45E4A">
            <w:pPr>
              <w:spacing w:after="0" w:line="276" w:lineRule="auto"/>
              <w:jc w:val="center"/>
              <w:rPr>
                <w:rFonts w:asciiTheme="majorHAnsi" w:eastAsia="Times New Roman" w:hAnsiTheme="majorHAnsi" w:cstheme="majorHAnsi"/>
                <w:b/>
                <w:bCs/>
                <w:color w:val="000000"/>
                <w:sz w:val="20"/>
                <w:szCs w:val="24"/>
                <w:lang w:eastAsia="en-AU"/>
              </w:rPr>
            </w:pPr>
            <w:r w:rsidRPr="00BB3130">
              <w:rPr>
                <w:rFonts w:asciiTheme="majorHAnsi" w:eastAsia="Times New Roman" w:hAnsiTheme="majorHAnsi" w:cstheme="majorHAnsi"/>
                <w:b/>
                <w:bCs/>
                <w:color w:val="000000"/>
                <w:sz w:val="20"/>
                <w:szCs w:val="24"/>
                <w:lang w:eastAsia="en-AU"/>
              </w:rPr>
              <w:t>Aboriginal and Torres Strait Islander</w:t>
            </w:r>
          </w:p>
        </w:tc>
      </w:tr>
      <w:tr w:rsidR="00A07454" w:rsidRPr="003635BF" w14:paraId="01812061" w14:textId="77777777" w:rsidTr="00C45E4A">
        <w:trPr>
          <w:jc w:val="center"/>
        </w:trPr>
        <w:tc>
          <w:tcPr>
            <w:tcW w:w="2969" w:type="dxa"/>
            <w:shd w:val="clear" w:color="auto" w:fill="FFFFFF"/>
            <w:vAlign w:val="center"/>
            <w:hideMark/>
          </w:tcPr>
          <w:p w14:paraId="34A50175"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NSW</w:t>
            </w:r>
          </w:p>
        </w:tc>
        <w:tc>
          <w:tcPr>
            <w:tcW w:w="1559" w:type="dxa"/>
            <w:shd w:val="clear" w:color="auto" w:fill="FFFFFF"/>
            <w:vAlign w:val="center"/>
            <w:hideMark/>
          </w:tcPr>
          <w:p w14:paraId="3935C27E" w14:textId="2D0CE3E6" w:rsidR="00A07454" w:rsidRPr="00A269D4" w:rsidRDefault="00A07454" w:rsidP="00692F9F">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1.6</w:t>
            </w:r>
            <w:r w:rsidR="00692F9F">
              <w:rPr>
                <w:rFonts w:asciiTheme="majorHAnsi" w:eastAsia="Times New Roman" w:hAnsiTheme="majorHAnsi" w:cstheme="majorHAnsi"/>
                <w:color w:val="000000"/>
                <w:sz w:val="20"/>
                <w:szCs w:val="24"/>
                <w:lang w:eastAsia="en-AU"/>
              </w:rPr>
              <w:t>2</w:t>
            </w:r>
          </w:p>
        </w:tc>
        <w:tc>
          <w:tcPr>
            <w:tcW w:w="1843" w:type="dxa"/>
            <w:shd w:val="clear" w:color="auto" w:fill="FFFFFF"/>
          </w:tcPr>
          <w:p w14:paraId="5E731F35" w14:textId="1D8A3482" w:rsidR="00A07454" w:rsidRDefault="00A07454" w:rsidP="000B7B15">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2.</w:t>
            </w:r>
            <w:r w:rsidR="000B7B15">
              <w:rPr>
                <w:rFonts w:asciiTheme="majorHAnsi" w:eastAsia="Times New Roman" w:hAnsiTheme="majorHAnsi" w:cstheme="majorHAnsi"/>
                <w:color w:val="000000"/>
                <w:sz w:val="20"/>
                <w:szCs w:val="24"/>
                <w:lang w:eastAsia="en-AU"/>
              </w:rPr>
              <w:t>31</w:t>
            </w:r>
          </w:p>
        </w:tc>
      </w:tr>
      <w:tr w:rsidR="00A07454" w:rsidRPr="003635BF" w14:paraId="29618A8B" w14:textId="77777777" w:rsidTr="00C45E4A">
        <w:trPr>
          <w:jc w:val="center"/>
        </w:trPr>
        <w:tc>
          <w:tcPr>
            <w:tcW w:w="2969" w:type="dxa"/>
            <w:shd w:val="clear" w:color="auto" w:fill="auto"/>
            <w:vAlign w:val="center"/>
            <w:hideMark/>
          </w:tcPr>
          <w:p w14:paraId="51C3E0D6"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VIC</w:t>
            </w:r>
          </w:p>
        </w:tc>
        <w:tc>
          <w:tcPr>
            <w:tcW w:w="1559" w:type="dxa"/>
            <w:shd w:val="clear" w:color="auto" w:fill="auto"/>
            <w:vAlign w:val="center"/>
            <w:hideMark/>
          </w:tcPr>
          <w:p w14:paraId="6295430A" w14:textId="576EE4B1" w:rsidR="00A07454" w:rsidRPr="00A269D4" w:rsidRDefault="00692F9F" w:rsidP="00C45E4A">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1.43</w:t>
            </w:r>
          </w:p>
        </w:tc>
        <w:tc>
          <w:tcPr>
            <w:tcW w:w="1843" w:type="dxa"/>
          </w:tcPr>
          <w:p w14:paraId="1339BF03" w14:textId="5F0DB33D" w:rsidR="00A07454" w:rsidRDefault="000B7B15" w:rsidP="00C45E4A">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1.97</w:t>
            </w:r>
          </w:p>
        </w:tc>
      </w:tr>
      <w:tr w:rsidR="00A07454" w:rsidRPr="003635BF" w14:paraId="1019E4E0" w14:textId="77777777" w:rsidTr="00C45E4A">
        <w:trPr>
          <w:jc w:val="center"/>
        </w:trPr>
        <w:tc>
          <w:tcPr>
            <w:tcW w:w="2969" w:type="dxa"/>
            <w:shd w:val="clear" w:color="auto" w:fill="FFFFFF"/>
            <w:vAlign w:val="center"/>
            <w:hideMark/>
          </w:tcPr>
          <w:p w14:paraId="1E0CAFAB"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QLD</w:t>
            </w:r>
          </w:p>
        </w:tc>
        <w:tc>
          <w:tcPr>
            <w:tcW w:w="1559" w:type="dxa"/>
            <w:shd w:val="clear" w:color="auto" w:fill="FFFFFF"/>
            <w:vAlign w:val="center"/>
            <w:hideMark/>
          </w:tcPr>
          <w:p w14:paraId="67BBFD4C" w14:textId="2CD4923A" w:rsidR="00A07454" w:rsidRPr="00A269D4" w:rsidRDefault="00A07454" w:rsidP="00692F9F">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w:t>
            </w:r>
            <w:r w:rsidR="00692F9F">
              <w:rPr>
                <w:rFonts w:asciiTheme="majorHAnsi" w:eastAsia="Times New Roman" w:hAnsiTheme="majorHAnsi" w:cstheme="majorHAnsi"/>
                <w:color w:val="000000"/>
                <w:sz w:val="20"/>
                <w:szCs w:val="24"/>
                <w:lang w:eastAsia="en-AU"/>
              </w:rPr>
              <w:t>64</w:t>
            </w:r>
          </w:p>
        </w:tc>
        <w:tc>
          <w:tcPr>
            <w:tcW w:w="1843" w:type="dxa"/>
            <w:shd w:val="clear" w:color="auto" w:fill="FFFFFF"/>
          </w:tcPr>
          <w:p w14:paraId="31F14612" w14:textId="4A39712B" w:rsidR="00A07454" w:rsidRDefault="00A07454" w:rsidP="000B7B15">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2.</w:t>
            </w:r>
            <w:r w:rsidR="000B7B15">
              <w:rPr>
                <w:rFonts w:asciiTheme="majorHAnsi" w:eastAsia="Times New Roman" w:hAnsiTheme="majorHAnsi" w:cstheme="majorHAnsi"/>
                <w:color w:val="000000"/>
                <w:sz w:val="20"/>
                <w:szCs w:val="24"/>
                <w:lang w:eastAsia="en-AU"/>
              </w:rPr>
              <w:t>34</w:t>
            </w:r>
          </w:p>
        </w:tc>
      </w:tr>
      <w:tr w:rsidR="00A07454" w:rsidRPr="003635BF" w14:paraId="5F954BFC" w14:textId="77777777" w:rsidTr="00C45E4A">
        <w:trPr>
          <w:jc w:val="center"/>
        </w:trPr>
        <w:tc>
          <w:tcPr>
            <w:tcW w:w="2969" w:type="dxa"/>
            <w:shd w:val="clear" w:color="auto" w:fill="auto"/>
            <w:vAlign w:val="center"/>
            <w:hideMark/>
          </w:tcPr>
          <w:p w14:paraId="4C6E3207"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SA</w:t>
            </w:r>
          </w:p>
        </w:tc>
        <w:tc>
          <w:tcPr>
            <w:tcW w:w="1559" w:type="dxa"/>
            <w:shd w:val="clear" w:color="auto" w:fill="auto"/>
            <w:vAlign w:val="center"/>
            <w:hideMark/>
          </w:tcPr>
          <w:p w14:paraId="3A82096A" w14:textId="1BE4BC6B" w:rsidR="00A07454" w:rsidRPr="00A269D4" w:rsidRDefault="00A07454" w:rsidP="00692F9F">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w:t>
            </w:r>
            <w:r w:rsidR="00692F9F">
              <w:rPr>
                <w:rFonts w:asciiTheme="majorHAnsi" w:eastAsia="Times New Roman" w:hAnsiTheme="majorHAnsi" w:cstheme="majorHAnsi"/>
                <w:color w:val="000000"/>
                <w:sz w:val="20"/>
                <w:szCs w:val="24"/>
                <w:lang w:eastAsia="en-AU"/>
              </w:rPr>
              <w:t>59</w:t>
            </w:r>
          </w:p>
        </w:tc>
        <w:tc>
          <w:tcPr>
            <w:tcW w:w="1843" w:type="dxa"/>
          </w:tcPr>
          <w:p w14:paraId="29AFFD4D" w14:textId="6FCC03D8" w:rsidR="00A07454" w:rsidRDefault="000B7B15" w:rsidP="00C45E4A">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1.84</w:t>
            </w:r>
          </w:p>
        </w:tc>
      </w:tr>
      <w:tr w:rsidR="00A07454" w:rsidRPr="003635BF" w14:paraId="743C3331" w14:textId="77777777" w:rsidTr="00C45E4A">
        <w:trPr>
          <w:jc w:val="center"/>
        </w:trPr>
        <w:tc>
          <w:tcPr>
            <w:tcW w:w="2969" w:type="dxa"/>
            <w:shd w:val="clear" w:color="auto" w:fill="FFFFFF"/>
            <w:vAlign w:val="center"/>
            <w:hideMark/>
          </w:tcPr>
          <w:p w14:paraId="7D90FAA7"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WA</w:t>
            </w:r>
          </w:p>
        </w:tc>
        <w:tc>
          <w:tcPr>
            <w:tcW w:w="1559" w:type="dxa"/>
            <w:shd w:val="clear" w:color="auto" w:fill="FFFFFF"/>
            <w:vAlign w:val="center"/>
            <w:hideMark/>
          </w:tcPr>
          <w:p w14:paraId="3DECDF64" w14:textId="46049345" w:rsidR="00A07454" w:rsidRPr="00A269D4" w:rsidRDefault="00A07454" w:rsidP="00692F9F">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1.7</w:t>
            </w:r>
            <w:r w:rsidR="00692F9F">
              <w:rPr>
                <w:rFonts w:asciiTheme="majorHAnsi" w:eastAsia="Times New Roman" w:hAnsiTheme="majorHAnsi" w:cstheme="majorHAnsi"/>
                <w:color w:val="000000"/>
                <w:sz w:val="20"/>
                <w:szCs w:val="24"/>
                <w:lang w:eastAsia="en-AU"/>
              </w:rPr>
              <w:t>0</w:t>
            </w:r>
          </w:p>
        </w:tc>
        <w:tc>
          <w:tcPr>
            <w:tcW w:w="1843" w:type="dxa"/>
            <w:shd w:val="clear" w:color="auto" w:fill="FFFFFF"/>
          </w:tcPr>
          <w:p w14:paraId="4342C995" w14:textId="47F9A46B" w:rsidR="00A07454" w:rsidRDefault="00A07454" w:rsidP="000B7B15">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2.</w:t>
            </w:r>
            <w:r w:rsidR="000B7B15">
              <w:rPr>
                <w:rFonts w:asciiTheme="majorHAnsi" w:eastAsia="Times New Roman" w:hAnsiTheme="majorHAnsi" w:cstheme="majorHAnsi"/>
                <w:color w:val="000000"/>
                <w:sz w:val="20"/>
                <w:szCs w:val="24"/>
                <w:lang w:eastAsia="en-AU"/>
              </w:rPr>
              <w:t>55</w:t>
            </w:r>
          </w:p>
        </w:tc>
      </w:tr>
      <w:tr w:rsidR="00A07454" w:rsidRPr="003635BF" w14:paraId="5B24A32A" w14:textId="77777777" w:rsidTr="00C45E4A">
        <w:trPr>
          <w:jc w:val="center"/>
        </w:trPr>
        <w:tc>
          <w:tcPr>
            <w:tcW w:w="2969" w:type="dxa"/>
            <w:shd w:val="clear" w:color="auto" w:fill="auto"/>
            <w:vAlign w:val="center"/>
            <w:hideMark/>
          </w:tcPr>
          <w:p w14:paraId="4484C561"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TAS</w:t>
            </w:r>
          </w:p>
        </w:tc>
        <w:tc>
          <w:tcPr>
            <w:tcW w:w="1559" w:type="dxa"/>
            <w:shd w:val="clear" w:color="auto" w:fill="auto"/>
            <w:vAlign w:val="center"/>
            <w:hideMark/>
          </w:tcPr>
          <w:p w14:paraId="3494E757" w14:textId="16A3806A" w:rsidR="00A07454" w:rsidRPr="00A269D4" w:rsidRDefault="00A07454" w:rsidP="00692F9F">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1.7</w:t>
            </w:r>
            <w:r w:rsidR="00692F9F">
              <w:rPr>
                <w:rFonts w:asciiTheme="majorHAnsi" w:eastAsia="Times New Roman" w:hAnsiTheme="majorHAnsi" w:cstheme="majorHAnsi"/>
                <w:color w:val="000000"/>
                <w:sz w:val="20"/>
                <w:szCs w:val="24"/>
                <w:lang w:eastAsia="en-AU"/>
              </w:rPr>
              <w:t>7</w:t>
            </w:r>
          </w:p>
        </w:tc>
        <w:tc>
          <w:tcPr>
            <w:tcW w:w="1843" w:type="dxa"/>
          </w:tcPr>
          <w:p w14:paraId="4F7BCAEC" w14:textId="44F68BDE" w:rsidR="00A07454" w:rsidRDefault="000B7B15" w:rsidP="000B7B15">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1.92</w:t>
            </w:r>
          </w:p>
        </w:tc>
      </w:tr>
      <w:tr w:rsidR="00A07454" w:rsidRPr="003635BF" w14:paraId="574B83F1" w14:textId="77777777" w:rsidTr="00C45E4A">
        <w:trPr>
          <w:jc w:val="center"/>
        </w:trPr>
        <w:tc>
          <w:tcPr>
            <w:tcW w:w="2969" w:type="dxa"/>
            <w:shd w:val="clear" w:color="auto" w:fill="FFFFFF"/>
            <w:vAlign w:val="center"/>
            <w:hideMark/>
          </w:tcPr>
          <w:p w14:paraId="27945D86"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NT</w:t>
            </w:r>
          </w:p>
        </w:tc>
        <w:tc>
          <w:tcPr>
            <w:tcW w:w="1559" w:type="dxa"/>
            <w:shd w:val="clear" w:color="auto" w:fill="FFFFFF"/>
            <w:vAlign w:val="center"/>
            <w:hideMark/>
          </w:tcPr>
          <w:p w14:paraId="01D49A4D" w14:textId="176E78F6" w:rsidR="00A07454" w:rsidRPr="00A269D4" w:rsidRDefault="00A07454" w:rsidP="00692F9F">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1.8</w:t>
            </w:r>
            <w:r w:rsidR="00692F9F">
              <w:rPr>
                <w:rFonts w:asciiTheme="majorHAnsi" w:eastAsia="Times New Roman" w:hAnsiTheme="majorHAnsi" w:cstheme="majorHAnsi"/>
                <w:color w:val="000000"/>
                <w:sz w:val="20"/>
                <w:szCs w:val="24"/>
                <w:lang w:eastAsia="en-AU"/>
              </w:rPr>
              <w:t>6</w:t>
            </w:r>
          </w:p>
        </w:tc>
        <w:tc>
          <w:tcPr>
            <w:tcW w:w="1843" w:type="dxa"/>
            <w:shd w:val="clear" w:color="auto" w:fill="FFFFFF"/>
          </w:tcPr>
          <w:p w14:paraId="54302D6D" w14:textId="551BC80D" w:rsidR="00A07454" w:rsidRDefault="000B7B15" w:rsidP="00C45E4A">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2.06</w:t>
            </w:r>
          </w:p>
        </w:tc>
      </w:tr>
      <w:tr w:rsidR="00A07454" w:rsidRPr="003635BF" w14:paraId="75B5763E" w14:textId="77777777" w:rsidTr="00C45E4A">
        <w:trPr>
          <w:jc w:val="center"/>
        </w:trPr>
        <w:tc>
          <w:tcPr>
            <w:tcW w:w="2969" w:type="dxa"/>
            <w:shd w:val="clear" w:color="auto" w:fill="auto"/>
            <w:vAlign w:val="center"/>
            <w:hideMark/>
          </w:tcPr>
          <w:p w14:paraId="0711A120"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ACT</w:t>
            </w:r>
          </w:p>
        </w:tc>
        <w:tc>
          <w:tcPr>
            <w:tcW w:w="1559" w:type="dxa"/>
            <w:shd w:val="clear" w:color="auto" w:fill="auto"/>
            <w:vAlign w:val="center"/>
            <w:hideMark/>
          </w:tcPr>
          <w:p w14:paraId="4A5F03AB" w14:textId="754FC611" w:rsidR="00A07454" w:rsidRPr="00A269D4" w:rsidRDefault="00A07454" w:rsidP="00692F9F">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1.5</w:t>
            </w:r>
            <w:r w:rsidR="00692F9F">
              <w:rPr>
                <w:rFonts w:asciiTheme="majorHAnsi" w:eastAsia="Times New Roman" w:hAnsiTheme="majorHAnsi" w:cstheme="majorHAnsi"/>
                <w:color w:val="000000"/>
                <w:sz w:val="20"/>
                <w:szCs w:val="24"/>
                <w:lang w:eastAsia="en-AU"/>
              </w:rPr>
              <w:t>8</w:t>
            </w:r>
          </w:p>
        </w:tc>
        <w:tc>
          <w:tcPr>
            <w:tcW w:w="1843" w:type="dxa"/>
          </w:tcPr>
          <w:p w14:paraId="3A1C960E" w14:textId="77777777" w:rsidR="00A07454" w:rsidRDefault="00A07454" w:rsidP="00C45E4A">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N.A.</w:t>
            </w:r>
          </w:p>
        </w:tc>
      </w:tr>
      <w:tr w:rsidR="00A07454" w:rsidRPr="00A269D4" w14:paraId="7C75B67E" w14:textId="77777777" w:rsidTr="00C45E4A">
        <w:trPr>
          <w:jc w:val="center"/>
        </w:trPr>
        <w:tc>
          <w:tcPr>
            <w:tcW w:w="2969" w:type="dxa"/>
            <w:shd w:val="clear" w:color="auto" w:fill="FBE4D5" w:themeFill="accent2" w:themeFillTint="33"/>
          </w:tcPr>
          <w:p w14:paraId="4D861C96" w14:textId="77777777" w:rsidR="00A07454" w:rsidRPr="00A269D4" w:rsidRDefault="00A07454" w:rsidP="00C45E4A">
            <w:pPr>
              <w:spacing w:after="0" w:line="276" w:lineRule="auto"/>
              <w:jc w:val="center"/>
              <w:rPr>
                <w:rFonts w:ascii="Tw Cen MT Condensed" w:eastAsia="Times New Roman" w:hAnsi="Tw Cen MT Condensed" w:cstheme="minorHAnsi"/>
                <w:b/>
                <w:bCs/>
                <w:color w:val="000000"/>
                <w:sz w:val="24"/>
                <w:szCs w:val="24"/>
                <w:lang w:eastAsia="en-AU"/>
              </w:rPr>
            </w:pPr>
          </w:p>
        </w:tc>
        <w:tc>
          <w:tcPr>
            <w:tcW w:w="3402" w:type="dxa"/>
            <w:gridSpan w:val="2"/>
            <w:shd w:val="clear" w:color="auto" w:fill="FBE4D5" w:themeFill="accent2" w:themeFillTint="33"/>
            <w:vAlign w:val="center"/>
            <w:hideMark/>
          </w:tcPr>
          <w:p w14:paraId="2D038E45" w14:textId="77777777" w:rsidR="00A07454" w:rsidRPr="00A269D4" w:rsidRDefault="00A07454" w:rsidP="00C45E4A">
            <w:pPr>
              <w:spacing w:after="0" w:line="276" w:lineRule="auto"/>
              <w:jc w:val="center"/>
              <w:rPr>
                <w:rFonts w:ascii="Tw Cen MT Condensed" w:eastAsia="Times New Roman" w:hAnsi="Tw Cen MT Condensed" w:cstheme="minorHAnsi"/>
                <w:color w:val="000000"/>
                <w:sz w:val="24"/>
                <w:szCs w:val="24"/>
                <w:lang w:eastAsia="en-AU"/>
              </w:rPr>
            </w:pPr>
            <w:r w:rsidRPr="00A269D4">
              <w:rPr>
                <w:rFonts w:ascii="Tw Cen MT Condensed" w:eastAsia="Times New Roman" w:hAnsi="Tw Cen MT Condensed" w:cstheme="minorHAnsi"/>
                <w:b/>
                <w:bCs/>
                <w:color w:val="000000"/>
                <w:sz w:val="24"/>
                <w:szCs w:val="24"/>
                <w:lang w:eastAsia="en-AU"/>
              </w:rPr>
              <w:t xml:space="preserve">Remoteness area </w:t>
            </w:r>
          </w:p>
        </w:tc>
      </w:tr>
      <w:tr w:rsidR="00A07454" w:rsidRPr="003635BF" w14:paraId="77586A71" w14:textId="77777777" w:rsidTr="00C45E4A">
        <w:trPr>
          <w:jc w:val="center"/>
        </w:trPr>
        <w:tc>
          <w:tcPr>
            <w:tcW w:w="2969" w:type="dxa"/>
            <w:shd w:val="clear" w:color="auto" w:fill="FFFFFF"/>
            <w:vAlign w:val="center"/>
            <w:hideMark/>
          </w:tcPr>
          <w:p w14:paraId="4AE70046"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Major Cities</w:t>
            </w:r>
          </w:p>
        </w:tc>
        <w:tc>
          <w:tcPr>
            <w:tcW w:w="3402" w:type="dxa"/>
            <w:gridSpan w:val="2"/>
            <w:vMerge w:val="restart"/>
            <w:shd w:val="clear" w:color="auto" w:fill="FFFFFF"/>
            <w:vAlign w:val="center"/>
            <w:hideMark/>
          </w:tcPr>
          <w:p w14:paraId="1B026B0D" w14:textId="4011412F" w:rsidR="00A07454" w:rsidRPr="00A269D4" w:rsidRDefault="00A07454" w:rsidP="00C45E4A">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w:t>
            </w:r>
            <w:r w:rsidR="000B7B15">
              <w:rPr>
                <w:rFonts w:asciiTheme="majorHAnsi" w:eastAsia="Times New Roman" w:hAnsiTheme="majorHAnsi" w:cstheme="majorHAnsi"/>
                <w:color w:val="000000"/>
                <w:sz w:val="20"/>
                <w:szCs w:val="24"/>
                <w:lang w:eastAsia="en-AU"/>
              </w:rPr>
              <w:t>57</w:t>
            </w:r>
          </w:p>
          <w:p w14:paraId="46D1A199" w14:textId="2FE3383C" w:rsidR="00A07454" w:rsidRPr="00A269D4" w:rsidRDefault="00A07454" w:rsidP="00C45E4A">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1.</w:t>
            </w:r>
            <w:r w:rsidR="000B7B15">
              <w:rPr>
                <w:rFonts w:asciiTheme="majorHAnsi" w:eastAsia="Times New Roman" w:hAnsiTheme="majorHAnsi" w:cstheme="majorHAnsi"/>
                <w:color w:val="000000"/>
                <w:sz w:val="20"/>
                <w:szCs w:val="24"/>
                <w:lang w:eastAsia="en-AU"/>
              </w:rPr>
              <w:t>96</w:t>
            </w:r>
          </w:p>
          <w:p w14:paraId="7331362F" w14:textId="7CFD22C9" w:rsidR="00A07454" w:rsidRPr="00A269D4" w:rsidRDefault="000B7B15" w:rsidP="00C45E4A">
            <w:pPr>
              <w:spacing w:after="0" w:line="276" w:lineRule="auto"/>
              <w:jc w:val="center"/>
              <w:rPr>
                <w:rFonts w:asciiTheme="majorHAnsi" w:eastAsia="Times New Roman" w:hAnsiTheme="majorHAnsi" w:cstheme="majorHAnsi"/>
                <w:color w:val="000000"/>
                <w:sz w:val="20"/>
                <w:szCs w:val="24"/>
                <w:lang w:eastAsia="en-AU"/>
              </w:rPr>
            </w:pPr>
            <w:r>
              <w:rPr>
                <w:rFonts w:asciiTheme="majorHAnsi" w:eastAsia="Times New Roman" w:hAnsiTheme="majorHAnsi" w:cstheme="majorHAnsi"/>
                <w:color w:val="000000"/>
                <w:sz w:val="20"/>
                <w:szCs w:val="24"/>
                <w:lang w:eastAsia="en-AU"/>
              </w:rPr>
              <w:t>2.02</w:t>
            </w:r>
          </w:p>
          <w:p w14:paraId="41F88D7A" w14:textId="77777777" w:rsidR="00A07454" w:rsidRPr="00A269D4" w:rsidRDefault="00A07454" w:rsidP="00C45E4A">
            <w:pPr>
              <w:spacing w:after="0" w:line="276" w:lineRule="auto"/>
              <w:jc w:val="center"/>
              <w:rPr>
                <w:rFonts w:asciiTheme="majorHAnsi" w:eastAsia="Times New Roman" w:hAnsiTheme="majorHAnsi" w:cstheme="majorHAnsi"/>
                <w:color w:val="000000"/>
                <w:sz w:val="20"/>
                <w:szCs w:val="24"/>
                <w:lang w:eastAsia="en-AU"/>
              </w:rPr>
            </w:pPr>
            <w:r w:rsidRPr="00A269D4">
              <w:rPr>
                <w:rFonts w:asciiTheme="majorHAnsi" w:eastAsia="Times New Roman" w:hAnsiTheme="majorHAnsi" w:cstheme="majorHAnsi"/>
                <w:color w:val="000000"/>
                <w:sz w:val="20"/>
                <w:szCs w:val="24"/>
                <w:lang w:eastAsia="en-AU"/>
              </w:rPr>
              <w:t>2.22</w:t>
            </w:r>
          </w:p>
        </w:tc>
      </w:tr>
      <w:tr w:rsidR="00A07454" w:rsidRPr="003635BF" w14:paraId="61BFB481" w14:textId="77777777" w:rsidTr="00C45E4A">
        <w:trPr>
          <w:jc w:val="center"/>
        </w:trPr>
        <w:tc>
          <w:tcPr>
            <w:tcW w:w="2969" w:type="dxa"/>
            <w:shd w:val="clear" w:color="auto" w:fill="FFFFFF"/>
            <w:vAlign w:val="center"/>
            <w:hideMark/>
          </w:tcPr>
          <w:p w14:paraId="15F86B30"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Inner Regional</w:t>
            </w:r>
          </w:p>
        </w:tc>
        <w:tc>
          <w:tcPr>
            <w:tcW w:w="3402" w:type="dxa"/>
            <w:gridSpan w:val="2"/>
            <w:vMerge/>
            <w:shd w:val="clear" w:color="auto" w:fill="FFFFFF"/>
            <w:vAlign w:val="center"/>
            <w:hideMark/>
          </w:tcPr>
          <w:p w14:paraId="7634C6E8" w14:textId="77777777" w:rsidR="00A07454" w:rsidRPr="00A269D4" w:rsidRDefault="00A07454" w:rsidP="00C45E4A">
            <w:pPr>
              <w:spacing w:after="0" w:line="276" w:lineRule="auto"/>
              <w:jc w:val="center"/>
              <w:rPr>
                <w:rFonts w:asciiTheme="majorHAnsi" w:eastAsia="Times New Roman" w:hAnsiTheme="majorHAnsi" w:cstheme="majorHAnsi"/>
                <w:color w:val="000000"/>
                <w:sz w:val="20"/>
                <w:szCs w:val="24"/>
                <w:lang w:eastAsia="en-AU"/>
              </w:rPr>
            </w:pPr>
          </w:p>
        </w:tc>
      </w:tr>
      <w:tr w:rsidR="00A07454" w:rsidRPr="003635BF" w14:paraId="2429E148" w14:textId="77777777" w:rsidTr="00C45E4A">
        <w:trPr>
          <w:jc w:val="center"/>
        </w:trPr>
        <w:tc>
          <w:tcPr>
            <w:tcW w:w="2969" w:type="dxa"/>
            <w:shd w:val="clear" w:color="auto" w:fill="FFFFFF"/>
            <w:vAlign w:val="center"/>
            <w:hideMark/>
          </w:tcPr>
          <w:p w14:paraId="127CAD61"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Outer Regional</w:t>
            </w:r>
          </w:p>
        </w:tc>
        <w:tc>
          <w:tcPr>
            <w:tcW w:w="3402" w:type="dxa"/>
            <w:gridSpan w:val="2"/>
            <w:vMerge/>
            <w:shd w:val="clear" w:color="auto" w:fill="FFFFFF"/>
            <w:vAlign w:val="center"/>
            <w:hideMark/>
          </w:tcPr>
          <w:p w14:paraId="54142706" w14:textId="77777777" w:rsidR="00A07454" w:rsidRPr="00A269D4" w:rsidRDefault="00A07454" w:rsidP="00C45E4A">
            <w:pPr>
              <w:spacing w:after="0" w:line="276" w:lineRule="auto"/>
              <w:jc w:val="center"/>
              <w:rPr>
                <w:rFonts w:asciiTheme="majorHAnsi" w:eastAsia="Times New Roman" w:hAnsiTheme="majorHAnsi" w:cstheme="majorHAnsi"/>
                <w:color w:val="000000"/>
                <w:sz w:val="20"/>
                <w:szCs w:val="24"/>
                <w:lang w:eastAsia="en-AU"/>
              </w:rPr>
            </w:pPr>
          </w:p>
        </w:tc>
      </w:tr>
      <w:tr w:rsidR="00A07454" w:rsidRPr="003635BF" w14:paraId="0EF9006B" w14:textId="77777777" w:rsidTr="00C45E4A">
        <w:trPr>
          <w:jc w:val="center"/>
        </w:trPr>
        <w:tc>
          <w:tcPr>
            <w:tcW w:w="2969" w:type="dxa"/>
            <w:shd w:val="clear" w:color="auto" w:fill="FFFFFF"/>
            <w:vAlign w:val="center"/>
            <w:hideMark/>
          </w:tcPr>
          <w:p w14:paraId="75B4414C" w14:textId="77777777" w:rsidR="00A07454" w:rsidRPr="00A269D4" w:rsidRDefault="00A07454" w:rsidP="00C45E4A">
            <w:pPr>
              <w:spacing w:after="0" w:line="276" w:lineRule="auto"/>
              <w:ind w:firstLine="258"/>
              <w:rPr>
                <w:rFonts w:asciiTheme="majorHAnsi" w:eastAsia="Times New Roman" w:hAnsiTheme="majorHAnsi" w:cstheme="majorHAnsi"/>
                <w:bCs/>
                <w:color w:val="000000"/>
                <w:sz w:val="20"/>
                <w:szCs w:val="24"/>
                <w:lang w:eastAsia="en-AU"/>
              </w:rPr>
            </w:pPr>
            <w:r w:rsidRPr="00A269D4">
              <w:rPr>
                <w:rFonts w:asciiTheme="majorHAnsi" w:eastAsia="Times New Roman" w:hAnsiTheme="majorHAnsi" w:cstheme="majorHAnsi"/>
                <w:bCs/>
                <w:color w:val="000000"/>
                <w:sz w:val="20"/>
                <w:szCs w:val="24"/>
                <w:lang w:eastAsia="en-AU"/>
              </w:rPr>
              <w:t>Remote and Very Remote</w:t>
            </w:r>
          </w:p>
        </w:tc>
        <w:tc>
          <w:tcPr>
            <w:tcW w:w="3402" w:type="dxa"/>
            <w:gridSpan w:val="2"/>
            <w:vMerge/>
            <w:shd w:val="clear" w:color="auto" w:fill="FFFFFF"/>
            <w:vAlign w:val="center"/>
            <w:hideMark/>
          </w:tcPr>
          <w:p w14:paraId="1F39FF04" w14:textId="77777777" w:rsidR="00A07454" w:rsidRPr="00A269D4" w:rsidRDefault="00A07454" w:rsidP="00C45E4A">
            <w:pPr>
              <w:spacing w:after="0" w:line="276" w:lineRule="auto"/>
              <w:jc w:val="center"/>
              <w:rPr>
                <w:rFonts w:asciiTheme="majorHAnsi" w:eastAsia="Times New Roman" w:hAnsiTheme="majorHAnsi" w:cstheme="majorHAnsi"/>
                <w:color w:val="000000"/>
                <w:sz w:val="20"/>
                <w:szCs w:val="24"/>
                <w:lang w:eastAsia="en-AU"/>
              </w:rPr>
            </w:pPr>
          </w:p>
        </w:tc>
      </w:tr>
    </w:tbl>
    <w:p w14:paraId="0191B2AF" w14:textId="16F133CD" w:rsidR="00A07454" w:rsidRPr="00F77991" w:rsidRDefault="00A07454" w:rsidP="00A07454">
      <w:pPr>
        <w:spacing w:line="276" w:lineRule="auto"/>
        <w:rPr>
          <w:rFonts w:cstheme="minorHAnsi"/>
          <w:sz w:val="20"/>
          <w:szCs w:val="20"/>
        </w:rPr>
      </w:pPr>
      <w:r w:rsidRPr="00F77991">
        <w:rPr>
          <w:rFonts w:cstheme="minorHAnsi"/>
          <w:sz w:val="20"/>
          <w:szCs w:val="20"/>
        </w:rPr>
        <w:t>Source:</w:t>
      </w:r>
      <w:r>
        <w:rPr>
          <w:rFonts w:cstheme="minorHAnsi"/>
          <w:sz w:val="20"/>
          <w:szCs w:val="20"/>
        </w:rPr>
        <w:t xml:space="preserve"> Australian Bureau of Statistics </w:t>
      </w:r>
      <w:r w:rsidRPr="007E15F6">
        <w:rPr>
          <w:rFonts w:cstheme="minorHAnsi"/>
          <w:noProof/>
          <w:sz w:val="20"/>
          <w:szCs w:val="20"/>
        </w:rPr>
        <w:t>(</w:t>
      </w:r>
      <w:r w:rsidR="00CD6A90">
        <w:rPr>
          <w:rFonts w:cstheme="minorHAnsi"/>
          <w:noProof/>
          <w:sz w:val="20"/>
          <w:szCs w:val="20"/>
        </w:rPr>
        <w:t>2021</w:t>
      </w:r>
      <w:r w:rsidR="00F5132D">
        <w:rPr>
          <w:rFonts w:cstheme="minorHAnsi"/>
          <w:noProof/>
          <w:sz w:val="20"/>
          <w:szCs w:val="20"/>
        </w:rPr>
        <w:t>a</w:t>
      </w:r>
      <w:r w:rsidR="00CD6A90">
        <w:rPr>
          <w:rFonts w:cstheme="minorHAnsi"/>
          <w:noProof/>
          <w:sz w:val="20"/>
          <w:szCs w:val="20"/>
        </w:rPr>
        <w:t>)</w:t>
      </w:r>
    </w:p>
    <w:p w14:paraId="7FFFC795" w14:textId="24B2295A" w:rsidR="0043335D" w:rsidRPr="003635BF" w:rsidRDefault="0043335D" w:rsidP="00BC5105">
      <w:pPr>
        <w:spacing w:line="276" w:lineRule="auto"/>
        <w:jc w:val="both"/>
        <w:rPr>
          <w:rFonts w:cstheme="minorHAnsi"/>
        </w:rPr>
      </w:pPr>
      <w:r w:rsidRPr="003635BF">
        <w:rPr>
          <w:rFonts w:cstheme="minorHAnsi"/>
        </w:rPr>
        <w:t xml:space="preserve">Australian research has found support for this second hypothesis and has shown that geographic variation in fertility levels remain even after taking into account differences in the composition of the population across different locations </w:t>
      </w:r>
      <w:r w:rsidR="000B7822" w:rsidRPr="007E15F6">
        <w:rPr>
          <w:rFonts w:cstheme="minorHAnsi"/>
          <w:noProof/>
        </w:rPr>
        <w:t>(Gray &amp; Evans, 2017)</w:t>
      </w:r>
      <w:r w:rsidRPr="003635BF">
        <w:rPr>
          <w:rFonts w:cstheme="minorHAnsi"/>
        </w:rPr>
        <w:t>. After taking into account differe</w:t>
      </w:r>
      <w:r>
        <w:rPr>
          <w:rFonts w:cstheme="minorHAnsi"/>
        </w:rPr>
        <w:t>nces in age, country of birth, I</w:t>
      </w:r>
      <w:r w:rsidRPr="003635BF">
        <w:rPr>
          <w:rFonts w:cstheme="minorHAnsi"/>
        </w:rPr>
        <w:t>ndigenous status, relationship status, education levels, and economic activity, women living in smaller towns in regional Australia are more likely to have a</w:t>
      </w:r>
      <w:r>
        <w:rPr>
          <w:rFonts w:cstheme="minorHAnsi"/>
        </w:rPr>
        <w:t xml:space="preserve"> first, second, and third birth</w:t>
      </w:r>
      <w:r w:rsidRPr="003635BF">
        <w:rPr>
          <w:rFonts w:cstheme="minorHAnsi"/>
        </w:rPr>
        <w:t>. Further, there is lower propensity to have a first child in inner or middle</w:t>
      </w:r>
      <w:r w:rsidR="00B616F9">
        <w:rPr>
          <w:rFonts w:cstheme="minorHAnsi"/>
        </w:rPr>
        <w:t xml:space="preserve"> city areas that are characteris</w:t>
      </w:r>
      <w:r w:rsidRPr="003635BF">
        <w:rPr>
          <w:rFonts w:cstheme="minorHAnsi"/>
        </w:rPr>
        <w:t xml:space="preserve">ed by smaller and more expensive housing than suburban or regional areas </w:t>
      </w:r>
      <w:sdt>
        <w:sdtPr>
          <w:rPr>
            <w:rFonts w:cstheme="minorHAnsi"/>
          </w:rPr>
          <w:id w:val="1442103254"/>
          <w:citation/>
        </w:sdtPr>
        <w:sdtEndPr/>
        <w:sdtContent>
          <w:r w:rsidRPr="003635BF">
            <w:rPr>
              <w:rFonts w:cstheme="minorHAnsi"/>
            </w:rPr>
            <w:fldChar w:fldCharType="begin"/>
          </w:r>
          <w:r w:rsidRPr="003635BF">
            <w:rPr>
              <w:rFonts w:cstheme="minorHAnsi"/>
            </w:rPr>
            <w:instrText xml:space="preserve">CITATION Gra18 \t  \l 3081 </w:instrText>
          </w:r>
          <w:r w:rsidRPr="003635BF">
            <w:rPr>
              <w:rFonts w:cstheme="minorHAnsi"/>
            </w:rPr>
            <w:fldChar w:fldCharType="separate"/>
          </w:r>
          <w:r w:rsidR="00BE2DD4" w:rsidRPr="001244DA">
            <w:rPr>
              <w:rFonts w:cstheme="minorHAnsi"/>
              <w:noProof/>
            </w:rPr>
            <w:t>(Gray &amp; Evans, 2018)</w:t>
          </w:r>
          <w:r w:rsidRPr="003635BF">
            <w:rPr>
              <w:rFonts w:cstheme="minorHAnsi"/>
            </w:rPr>
            <w:fldChar w:fldCharType="end"/>
          </w:r>
        </w:sdtContent>
      </w:sdt>
      <w:r w:rsidRPr="003635BF">
        <w:rPr>
          <w:rFonts w:cstheme="minorHAnsi"/>
        </w:rPr>
        <w:t xml:space="preserve">. </w:t>
      </w:r>
      <w:r w:rsidR="00356770">
        <w:rPr>
          <w:rFonts w:cstheme="minorHAnsi"/>
        </w:rPr>
        <w:t>It is likely that there are selection factors that contribute to this pattern: people who plan to have children may move to places seen as more compatible with raising children.</w:t>
      </w:r>
    </w:p>
    <w:p w14:paraId="021A292B" w14:textId="29D432F6" w:rsidR="0043335D" w:rsidRPr="001112D6" w:rsidRDefault="0043335D" w:rsidP="00BC5105">
      <w:pPr>
        <w:spacing w:line="276" w:lineRule="auto"/>
        <w:jc w:val="both"/>
        <w:rPr>
          <w:rFonts w:cstheme="minorHAnsi"/>
        </w:rPr>
      </w:pPr>
      <w:r w:rsidRPr="003635BF">
        <w:rPr>
          <w:rFonts w:cstheme="minorHAnsi"/>
        </w:rPr>
        <w:t xml:space="preserve">Geographical awareness is important in the formulation of hypothesis regarding what will happen to future fertility trends and differences in sub-national fertility rates can have important implications for the planning of services </w:t>
      </w:r>
      <w:r w:rsidR="006347FD">
        <w:rPr>
          <w:rFonts w:cstheme="minorHAnsi"/>
          <w:noProof/>
        </w:rPr>
        <w:t xml:space="preserve">(Khawaja, </w:t>
      </w:r>
      <w:r w:rsidR="006347FD" w:rsidRPr="007E15F6">
        <w:rPr>
          <w:rFonts w:cstheme="minorHAnsi"/>
          <w:i/>
          <w:iCs/>
          <w:noProof/>
        </w:rPr>
        <w:t>et al</w:t>
      </w:r>
      <w:r w:rsidR="006347FD">
        <w:rPr>
          <w:rFonts w:cstheme="minorHAnsi"/>
          <w:noProof/>
        </w:rPr>
        <w:t>. 2006)</w:t>
      </w:r>
      <w:r w:rsidR="001112D6">
        <w:rPr>
          <w:rFonts w:cstheme="minorHAnsi"/>
        </w:rPr>
        <w:t xml:space="preserve">. </w:t>
      </w:r>
    </w:p>
    <w:p w14:paraId="40A9FF62" w14:textId="77777777" w:rsidR="0043335D" w:rsidRPr="003635BF" w:rsidRDefault="0043335D" w:rsidP="00BC5105">
      <w:pPr>
        <w:pStyle w:val="Heading3"/>
        <w:spacing w:line="276" w:lineRule="auto"/>
      </w:pPr>
      <w:bookmarkStart w:id="33" w:name="_Toc75703355"/>
      <w:bookmarkStart w:id="34" w:name="_Toc87454601"/>
      <w:r w:rsidRPr="003635BF">
        <w:t>Education level</w:t>
      </w:r>
      <w:bookmarkEnd w:id="33"/>
      <w:bookmarkEnd w:id="34"/>
      <w:r w:rsidRPr="003635BF">
        <w:t xml:space="preserve"> </w:t>
      </w:r>
    </w:p>
    <w:p w14:paraId="54B72540" w14:textId="78CDFCEC" w:rsidR="0043335D" w:rsidRDefault="0043335D" w:rsidP="00BC5105">
      <w:pPr>
        <w:spacing w:line="276" w:lineRule="auto"/>
        <w:jc w:val="both"/>
        <w:rPr>
          <w:rFonts w:cstheme="minorHAnsi"/>
        </w:rPr>
      </w:pPr>
      <w:r w:rsidRPr="003635BF">
        <w:rPr>
          <w:rFonts w:cstheme="minorHAnsi"/>
        </w:rPr>
        <w:t xml:space="preserve">Education emerges as the single most powerful predictor of a wide range of fertility outcomes and behaviours </w:t>
      </w:r>
      <w:r w:rsidR="000B7822" w:rsidRPr="007E15F6">
        <w:rPr>
          <w:rFonts w:cstheme="minorHAnsi"/>
          <w:noProof/>
        </w:rPr>
        <w:t>(Cleland, 2009)</w:t>
      </w:r>
      <w:r w:rsidRPr="003635BF">
        <w:rPr>
          <w:rFonts w:cstheme="minorHAnsi"/>
        </w:rPr>
        <w:t xml:space="preserve">. Typically, higher education is associated with a later start to childbearing because highly-educated women spend </w:t>
      </w:r>
      <w:r>
        <w:rPr>
          <w:rFonts w:cstheme="minorHAnsi"/>
        </w:rPr>
        <w:t>a large</w:t>
      </w:r>
      <w:r w:rsidRPr="003635BF">
        <w:rPr>
          <w:rFonts w:cstheme="minorHAnsi"/>
        </w:rPr>
        <w:t xml:space="preserve"> part of their </w:t>
      </w:r>
      <w:r w:rsidR="00356770">
        <w:rPr>
          <w:rFonts w:cstheme="minorHAnsi"/>
        </w:rPr>
        <w:t>early adulthood</w:t>
      </w:r>
      <w:r w:rsidR="00356770" w:rsidRPr="003635BF">
        <w:rPr>
          <w:rFonts w:cstheme="minorHAnsi"/>
        </w:rPr>
        <w:t xml:space="preserve"> </w:t>
      </w:r>
      <w:r w:rsidRPr="003635BF">
        <w:rPr>
          <w:rFonts w:cstheme="minorHAnsi"/>
        </w:rPr>
        <w:t xml:space="preserve">enrolled in education and building their careers and financial security </w:t>
      </w:r>
      <w:r w:rsidR="000B7822" w:rsidRPr="007E15F6">
        <w:rPr>
          <w:rFonts w:cstheme="minorHAnsi"/>
          <w:noProof/>
        </w:rPr>
        <w:t>(Ni Bhrolchain &amp; Beaujouan, 2012)</w:t>
      </w:r>
      <w:r w:rsidRPr="003635BF">
        <w:rPr>
          <w:rFonts w:cstheme="minorHAnsi"/>
        </w:rPr>
        <w:t xml:space="preserve">. This is also supported by the </w:t>
      </w:r>
      <w:r>
        <w:rPr>
          <w:rFonts w:cstheme="minorHAnsi"/>
        </w:rPr>
        <w:t>societal</w:t>
      </w:r>
      <w:r w:rsidRPr="003635BF">
        <w:rPr>
          <w:rFonts w:cstheme="minorHAnsi"/>
        </w:rPr>
        <w:t xml:space="preserve"> expectation to have children after the completion of education, as women enrolled in school have not yet entered the adulthood status required to become a mother </w:t>
      </w:r>
      <w:r w:rsidR="000B7822" w:rsidRPr="007E15F6">
        <w:rPr>
          <w:rFonts w:cstheme="minorHAnsi"/>
          <w:noProof/>
        </w:rPr>
        <w:t>(Blossfeld &amp; Huinink, 1991)</w:t>
      </w:r>
      <w:r w:rsidRPr="003635BF">
        <w:rPr>
          <w:rFonts w:cstheme="minorHAnsi"/>
        </w:rPr>
        <w:t xml:space="preserve">. Since lower-educated women tend to have shorter enrolment periods and enter the labour market at a younger age than their higher educated counterparts, they are also less likely to postpone </w:t>
      </w:r>
      <w:r w:rsidRPr="003635BF">
        <w:rPr>
          <w:rFonts w:cstheme="minorHAnsi"/>
        </w:rPr>
        <w:lastRenderedPageBreak/>
        <w:t>family formation. The later entry into motherhood can in turn lead to a lower completed family size and to a higher probability of remaining permanently childless, as women have less time to achieve their desired number of children</w:t>
      </w:r>
      <w:r>
        <w:rPr>
          <w:rFonts w:cstheme="minorHAnsi"/>
        </w:rPr>
        <w:t>,</w:t>
      </w:r>
      <w:r w:rsidRPr="003635BF">
        <w:rPr>
          <w:rFonts w:cstheme="minorHAnsi"/>
        </w:rPr>
        <w:t xml:space="preserve"> and reproductive capacity rapidly declines with age</w:t>
      </w:r>
      <w:r>
        <w:rPr>
          <w:rFonts w:cstheme="minorHAnsi"/>
        </w:rPr>
        <w:t xml:space="preserve"> </w:t>
      </w:r>
      <w:r w:rsidR="006347FD">
        <w:rPr>
          <w:rFonts w:cstheme="minorHAnsi"/>
          <w:noProof/>
        </w:rPr>
        <w:t xml:space="preserve">(Schmidt, </w:t>
      </w:r>
      <w:r w:rsidR="006347FD" w:rsidRPr="007E15F6">
        <w:rPr>
          <w:rFonts w:cstheme="minorHAnsi"/>
          <w:i/>
          <w:iCs/>
          <w:noProof/>
        </w:rPr>
        <w:t>et al.</w:t>
      </w:r>
      <w:r w:rsidR="000B7822">
        <w:rPr>
          <w:rFonts w:cstheme="minorHAnsi"/>
          <w:i/>
          <w:iCs/>
          <w:noProof/>
        </w:rPr>
        <w:t>,</w:t>
      </w:r>
      <w:r w:rsidR="006347FD">
        <w:rPr>
          <w:rFonts w:cstheme="minorHAnsi"/>
          <w:noProof/>
        </w:rPr>
        <w:t xml:space="preserve"> 2012)</w:t>
      </w:r>
      <w:r w:rsidRPr="003635BF">
        <w:rPr>
          <w:rFonts w:cstheme="minorHAnsi"/>
        </w:rPr>
        <w:t xml:space="preserve">. Studies examining the timing </w:t>
      </w:r>
      <w:r>
        <w:rPr>
          <w:rFonts w:cstheme="minorHAnsi"/>
        </w:rPr>
        <w:t>of</w:t>
      </w:r>
      <w:r w:rsidRPr="003635BF">
        <w:rPr>
          <w:rFonts w:cstheme="minorHAnsi"/>
        </w:rPr>
        <w:t xml:space="preserve"> childbearing in Australia have confirmed the existence of a later start to childbearing for highly-educated women </w:t>
      </w:r>
      <w:r w:rsidR="006347FD">
        <w:rPr>
          <w:rFonts w:cstheme="minorHAnsi"/>
          <w:noProof/>
        </w:rPr>
        <w:t xml:space="preserve">(Miranti, </w:t>
      </w:r>
      <w:r w:rsidR="006347FD" w:rsidRPr="007E15F6">
        <w:rPr>
          <w:rFonts w:cstheme="minorHAnsi"/>
          <w:i/>
          <w:iCs/>
          <w:noProof/>
        </w:rPr>
        <w:t>et al</w:t>
      </w:r>
      <w:r w:rsidR="006347FD">
        <w:rPr>
          <w:rFonts w:cstheme="minorHAnsi"/>
          <w:noProof/>
        </w:rPr>
        <w:t>.</w:t>
      </w:r>
      <w:r w:rsidR="000B7822">
        <w:rPr>
          <w:rFonts w:cstheme="minorHAnsi"/>
          <w:noProof/>
        </w:rPr>
        <w:t>,</w:t>
      </w:r>
      <w:r w:rsidR="006347FD">
        <w:rPr>
          <w:rFonts w:cstheme="minorHAnsi"/>
          <w:noProof/>
        </w:rPr>
        <w:t xml:space="preserve"> 2009)</w:t>
      </w:r>
      <w:r>
        <w:rPr>
          <w:rFonts w:cstheme="minorHAnsi"/>
        </w:rPr>
        <w:t>.</w:t>
      </w:r>
    </w:p>
    <w:p w14:paraId="111CE025" w14:textId="380FCA54" w:rsidR="0043335D" w:rsidRDefault="0043335D" w:rsidP="00BC5105">
      <w:pPr>
        <w:spacing w:line="276" w:lineRule="auto"/>
        <w:jc w:val="both"/>
        <w:rPr>
          <w:rFonts w:cstheme="minorHAnsi"/>
        </w:rPr>
      </w:pPr>
      <w:r>
        <w:rPr>
          <w:rFonts w:cstheme="minorHAnsi"/>
        </w:rPr>
        <w:t xml:space="preserve">By adopting a cohort perspective, it is possible to observe a clear educational gradient in relation to completed family size and permanent childlessness in Australia. Figure </w:t>
      </w:r>
      <w:r w:rsidR="009D2483">
        <w:rPr>
          <w:rFonts w:cstheme="minorHAnsi"/>
        </w:rPr>
        <w:t>8</w:t>
      </w:r>
      <w:r>
        <w:rPr>
          <w:rFonts w:cstheme="minorHAnsi"/>
        </w:rPr>
        <w:t xml:space="preserve"> shows the CCF of women born between 1940 and 1970 by highest level of educational attainment. The completed family size of women born in 1940 ranges between 2.9 for the low educated and 2.4 for the highly educated. Since then, there has been a gradual decrease in CCF across all educational categories. Women born in 1970 have recently completed their reproductive life with an average of 2.3 children each among low</w:t>
      </w:r>
      <w:r w:rsidR="00356770">
        <w:rPr>
          <w:rFonts w:cstheme="minorHAnsi"/>
        </w:rPr>
        <w:t>-</w:t>
      </w:r>
      <w:r>
        <w:rPr>
          <w:rFonts w:cstheme="minorHAnsi"/>
        </w:rPr>
        <w:t>educated women and 1.8 among highly</w:t>
      </w:r>
      <w:r w:rsidR="00356770">
        <w:rPr>
          <w:rFonts w:cstheme="minorHAnsi"/>
        </w:rPr>
        <w:t>-</w:t>
      </w:r>
      <w:r>
        <w:rPr>
          <w:rFonts w:cstheme="minorHAnsi"/>
        </w:rPr>
        <w:t>educated women. Despite the general downward trend in fertility, there is a persistent gap of approximately 0.4 in the completed fertility of low</w:t>
      </w:r>
      <w:r w:rsidR="003C07EA">
        <w:rPr>
          <w:rFonts w:cstheme="minorHAnsi"/>
        </w:rPr>
        <w:t>-</w:t>
      </w:r>
      <w:r>
        <w:rPr>
          <w:rFonts w:cstheme="minorHAnsi"/>
        </w:rPr>
        <w:t xml:space="preserve"> and hi</w:t>
      </w:r>
      <w:r w:rsidR="003C07EA">
        <w:rPr>
          <w:rFonts w:cstheme="minorHAnsi"/>
        </w:rPr>
        <w:t>ghly-</w:t>
      </w:r>
      <w:r>
        <w:rPr>
          <w:rFonts w:cstheme="minorHAnsi"/>
        </w:rPr>
        <w:t xml:space="preserve">educated women. </w:t>
      </w:r>
      <w:r w:rsidR="00E80D36" w:rsidRPr="00E80D36">
        <w:rPr>
          <w:rFonts w:cstheme="minorHAnsi"/>
        </w:rPr>
        <w:t>While in some countries fertility across educational categories has been converging over time</w:t>
      </w:r>
      <w:r w:rsidR="00356770">
        <w:rPr>
          <w:rFonts w:cstheme="minorHAnsi"/>
        </w:rPr>
        <w:t>,</w:t>
      </w:r>
      <w:r w:rsidR="00E80D36" w:rsidRPr="00E80D36">
        <w:rPr>
          <w:rFonts w:cstheme="minorHAnsi"/>
        </w:rPr>
        <w:t xml:space="preserve"> leading to a reduction in fertility differentials between educational groups </w:t>
      </w:r>
      <w:r w:rsidR="000B7822" w:rsidRPr="007E15F6">
        <w:rPr>
          <w:rFonts w:cstheme="minorHAnsi"/>
          <w:noProof/>
        </w:rPr>
        <w:t xml:space="preserve">(Andersson, </w:t>
      </w:r>
      <w:r w:rsidR="000B7822" w:rsidRPr="007E15F6">
        <w:rPr>
          <w:rFonts w:cstheme="minorHAnsi"/>
          <w:i/>
          <w:iCs/>
          <w:noProof/>
        </w:rPr>
        <w:t>et al.</w:t>
      </w:r>
      <w:r w:rsidR="000B7822" w:rsidRPr="007E15F6">
        <w:rPr>
          <w:rFonts w:cstheme="minorHAnsi"/>
          <w:noProof/>
        </w:rPr>
        <w:t>, 2009; Yoo, 2014)</w:t>
      </w:r>
      <w:r w:rsidR="00E80D36" w:rsidRPr="00E80D36">
        <w:rPr>
          <w:rFonts w:cstheme="minorHAnsi"/>
        </w:rPr>
        <w:t>, in Australia clear differences in fertility behaviour by education persist.</w:t>
      </w:r>
    </w:p>
    <w:p w14:paraId="24094A25" w14:textId="0224275D" w:rsidR="00E26638" w:rsidRPr="003635BF" w:rsidRDefault="00E26638" w:rsidP="00BC5105">
      <w:pPr>
        <w:spacing w:line="276" w:lineRule="auto"/>
        <w:jc w:val="both"/>
        <w:rPr>
          <w:rFonts w:cstheme="minorHAnsi"/>
        </w:rPr>
      </w:pPr>
      <w:r>
        <w:rPr>
          <w:rFonts w:cstheme="minorHAnsi"/>
        </w:rPr>
        <w:t>Similarly, a positive association exists between education and permanent childlessness, with high</w:t>
      </w:r>
      <w:r w:rsidR="006733F5">
        <w:rPr>
          <w:rFonts w:cstheme="minorHAnsi"/>
        </w:rPr>
        <w:t>ly</w:t>
      </w:r>
      <w:r w:rsidR="00356770">
        <w:rPr>
          <w:rFonts w:cstheme="minorHAnsi"/>
        </w:rPr>
        <w:t>-</w:t>
      </w:r>
      <w:r>
        <w:rPr>
          <w:rFonts w:cstheme="minorHAnsi"/>
        </w:rPr>
        <w:t xml:space="preserve">educated women </w:t>
      </w:r>
      <w:r w:rsidR="006733F5">
        <w:rPr>
          <w:rFonts w:cstheme="minorHAnsi"/>
        </w:rPr>
        <w:t xml:space="preserve">most likely to have no children </w:t>
      </w:r>
      <w:r>
        <w:rPr>
          <w:rFonts w:cstheme="minorHAnsi"/>
        </w:rPr>
        <w:t>in all analysed cohorts</w:t>
      </w:r>
      <w:r w:rsidR="009D2483">
        <w:rPr>
          <w:rFonts w:cstheme="minorHAnsi"/>
        </w:rPr>
        <w:t xml:space="preserve"> (Figure 9)</w:t>
      </w:r>
      <w:r>
        <w:rPr>
          <w:rFonts w:cstheme="minorHAnsi"/>
        </w:rPr>
        <w:t xml:space="preserve">. In particular, </w:t>
      </w:r>
      <w:r w:rsidR="00356770">
        <w:rPr>
          <w:rFonts w:cstheme="minorHAnsi"/>
        </w:rPr>
        <w:t xml:space="preserve">for </w:t>
      </w:r>
      <w:r>
        <w:rPr>
          <w:rFonts w:cstheme="minorHAnsi"/>
        </w:rPr>
        <w:t xml:space="preserve">women born </w:t>
      </w:r>
      <w:r w:rsidR="00356770">
        <w:rPr>
          <w:rFonts w:cstheme="minorHAnsi"/>
        </w:rPr>
        <w:t xml:space="preserve">between </w:t>
      </w:r>
      <w:r>
        <w:rPr>
          <w:rFonts w:cstheme="minorHAnsi"/>
        </w:rPr>
        <w:t xml:space="preserve">1940 and 1970, childlessness has increased from 14% to 18% for </w:t>
      </w:r>
      <w:r w:rsidR="00356770">
        <w:rPr>
          <w:rFonts w:cstheme="minorHAnsi"/>
        </w:rPr>
        <w:t xml:space="preserve">those </w:t>
      </w:r>
      <w:r>
        <w:rPr>
          <w:rFonts w:cstheme="minorHAnsi"/>
        </w:rPr>
        <w:t xml:space="preserve">highly educated, from 9% to 14% for </w:t>
      </w:r>
      <w:r w:rsidR="00356770">
        <w:rPr>
          <w:rFonts w:cstheme="minorHAnsi"/>
        </w:rPr>
        <w:t>those with medium levels of education</w:t>
      </w:r>
      <w:r w:rsidR="006733F5">
        <w:rPr>
          <w:rFonts w:cstheme="minorHAnsi"/>
        </w:rPr>
        <w:t>,</w:t>
      </w:r>
      <w:r>
        <w:rPr>
          <w:rFonts w:cstheme="minorHAnsi"/>
        </w:rPr>
        <w:t xml:space="preserve"> and from 6% to 12% for </w:t>
      </w:r>
      <w:r w:rsidR="00356770">
        <w:rPr>
          <w:rFonts w:cstheme="minorHAnsi"/>
        </w:rPr>
        <w:t>those with less education</w:t>
      </w:r>
      <w:r>
        <w:rPr>
          <w:rFonts w:cstheme="minorHAnsi"/>
        </w:rPr>
        <w:t xml:space="preserve">. Despite the continuation of the negative educational gradient in childlessness, the </w:t>
      </w:r>
      <w:r w:rsidR="006733F5">
        <w:rPr>
          <w:rFonts w:cstheme="minorHAnsi"/>
        </w:rPr>
        <w:t>difference</w:t>
      </w:r>
      <w:r>
        <w:rPr>
          <w:rFonts w:cstheme="minorHAnsi"/>
        </w:rPr>
        <w:t xml:space="preserve"> between low</w:t>
      </w:r>
      <w:r w:rsidR="006733F5">
        <w:rPr>
          <w:rFonts w:cstheme="minorHAnsi"/>
        </w:rPr>
        <w:t xml:space="preserve"> and high</w:t>
      </w:r>
      <w:r w:rsidR="00C0571E">
        <w:rPr>
          <w:rFonts w:cstheme="minorHAnsi"/>
        </w:rPr>
        <w:t xml:space="preserve"> </w:t>
      </w:r>
      <w:r w:rsidR="006733F5">
        <w:rPr>
          <w:rFonts w:cstheme="minorHAnsi"/>
        </w:rPr>
        <w:t>levels of education</w:t>
      </w:r>
      <w:r>
        <w:rPr>
          <w:rFonts w:cstheme="minorHAnsi"/>
        </w:rPr>
        <w:t xml:space="preserve"> has consistently decreased over time, from a high of 8% difference among women born in 1940 to less than 6% difference among women born 1970. </w:t>
      </w:r>
    </w:p>
    <w:p w14:paraId="6583DF2F" w14:textId="7C484A16" w:rsidR="00053EBA" w:rsidRDefault="00053EBA" w:rsidP="007E15F6">
      <w:pPr>
        <w:pStyle w:val="Caption"/>
        <w:keepNext/>
        <w:jc w:val="center"/>
      </w:pPr>
      <w:r>
        <w:t xml:space="preserve">Figure </w:t>
      </w:r>
      <w:fldSimple w:instr=" SEQ Figure \* ARABIC ">
        <w:r w:rsidR="00115E22">
          <w:rPr>
            <w:noProof/>
          </w:rPr>
          <w:t>8</w:t>
        </w:r>
      </w:fldSimple>
      <w:r>
        <w:t xml:space="preserve"> </w:t>
      </w:r>
      <w:r w:rsidRPr="00064F85">
        <w:t>Completed cohort fertility of women born between 1940 and 1970 by highest level of educational attainment.</w:t>
      </w:r>
    </w:p>
    <w:p w14:paraId="076F4AC7" w14:textId="77777777" w:rsidR="0043335D" w:rsidRDefault="0043335D" w:rsidP="00BC5105">
      <w:pPr>
        <w:spacing w:line="276" w:lineRule="auto"/>
        <w:jc w:val="center"/>
        <w:rPr>
          <w:rFonts w:cstheme="minorHAnsi"/>
          <w:color w:val="000000" w:themeColor="text1"/>
        </w:rPr>
      </w:pPr>
      <w:r>
        <w:rPr>
          <w:noProof/>
          <w:lang w:eastAsia="en-AU"/>
        </w:rPr>
        <w:drawing>
          <wp:inline distT="0" distB="0" distL="0" distR="0" wp14:anchorId="70D6401A" wp14:editId="39E794E7">
            <wp:extent cx="4514850" cy="2520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9478C7" w14:textId="52A541C8" w:rsidR="0043335D" w:rsidRPr="009D2483" w:rsidRDefault="0043335D" w:rsidP="009D2483">
      <w:pPr>
        <w:rPr>
          <w:rFonts w:asciiTheme="majorHAnsi" w:hAnsiTheme="majorHAnsi" w:cstheme="majorHAnsi"/>
          <w:sz w:val="20"/>
          <w:szCs w:val="20"/>
        </w:rPr>
      </w:pPr>
      <w:r w:rsidRPr="009D2483">
        <w:rPr>
          <w:rFonts w:asciiTheme="majorHAnsi" w:hAnsiTheme="majorHAnsi" w:cstheme="majorHAnsi"/>
          <w:sz w:val="20"/>
          <w:szCs w:val="20"/>
        </w:rPr>
        <w:lastRenderedPageBreak/>
        <w:t xml:space="preserve">Source: Lazzari et al. </w:t>
      </w:r>
      <w:sdt>
        <w:sdtPr>
          <w:rPr>
            <w:rFonts w:asciiTheme="majorHAnsi" w:hAnsiTheme="majorHAnsi" w:cstheme="majorHAnsi"/>
            <w:sz w:val="20"/>
            <w:szCs w:val="20"/>
          </w:rPr>
          <w:id w:val="-1352872991"/>
          <w:citation/>
        </w:sdtPr>
        <w:sdtEndPr/>
        <w:sdtContent>
          <w:r w:rsidRPr="009D2483">
            <w:rPr>
              <w:rFonts w:asciiTheme="majorHAnsi" w:hAnsiTheme="majorHAnsi" w:cstheme="majorHAnsi"/>
              <w:sz w:val="20"/>
              <w:szCs w:val="20"/>
            </w:rPr>
            <w:fldChar w:fldCharType="begin"/>
          </w:r>
          <w:r w:rsidR="00FF0686">
            <w:rPr>
              <w:rFonts w:asciiTheme="majorHAnsi" w:hAnsiTheme="majorHAnsi" w:cstheme="majorHAnsi"/>
              <w:sz w:val="20"/>
              <w:szCs w:val="20"/>
            </w:rPr>
            <w:instrText xml:space="preserve">CITATION Laz21 \n  \t  \l 3081 </w:instrText>
          </w:r>
          <w:r w:rsidRPr="009D2483">
            <w:rPr>
              <w:rFonts w:asciiTheme="majorHAnsi" w:hAnsiTheme="majorHAnsi" w:cstheme="majorHAnsi"/>
              <w:sz w:val="20"/>
              <w:szCs w:val="20"/>
            </w:rPr>
            <w:fldChar w:fldCharType="separate"/>
          </w:r>
          <w:r w:rsidR="00FF0686" w:rsidRPr="00FF0686">
            <w:rPr>
              <w:rFonts w:asciiTheme="majorHAnsi" w:hAnsiTheme="majorHAnsi" w:cstheme="majorHAnsi"/>
              <w:noProof/>
              <w:sz w:val="20"/>
              <w:szCs w:val="20"/>
            </w:rPr>
            <w:t>(2021b)</w:t>
          </w:r>
          <w:r w:rsidRPr="009D2483">
            <w:rPr>
              <w:rFonts w:asciiTheme="majorHAnsi" w:hAnsiTheme="majorHAnsi" w:cstheme="majorHAnsi"/>
              <w:sz w:val="20"/>
              <w:szCs w:val="20"/>
            </w:rPr>
            <w:fldChar w:fldCharType="end"/>
          </w:r>
        </w:sdtContent>
      </w:sdt>
      <w:r w:rsidR="00E26638" w:rsidRPr="009D2483">
        <w:rPr>
          <w:rStyle w:val="FootnoteReference"/>
          <w:rFonts w:asciiTheme="majorHAnsi" w:hAnsiTheme="majorHAnsi" w:cstheme="majorHAnsi"/>
          <w:i/>
          <w:iCs/>
          <w:color w:val="44546A" w:themeColor="text2"/>
          <w:sz w:val="20"/>
          <w:szCs w:val="20"/>
        </w:rPr>
        <w:footnoteReference w:id="2"/>
      </w:r>
      <w:r w:rsidRPr="009D2483">
        <w:rPr>
          <w:rFonts w:asciiTheme="majorHAnsi" w:hAnsiTheme="majorHAnsi" w:cstheme="majorHAnsi"/>
          <w:sz w:val="20"/>
          <w:szCs w:val="20"/>
        </w:rPr>
        <w:t xml:space="preserve">. </w:t>
      </w:r>
    </w:p>
    <w:p w14:paraId="15844C2E" w14:textId="048D5D10" w:rsidR="00053EBA" w:rsidRDefault="00053EBA" w:rsidP="007E15F6">
      <w:pPr>
        <w:pStyle w:val="Caption"/>
        <w:keepNext/>
        <w:jc w:val="center"/>
      </w:pPr>
      <w:r>
        <w:t xml:space="preserve">Figure </w:t>
      </w:r>
      <w:fldSimple w:instr=" SEQ Figure \* ARABIC ">
        <w:r w:rsidR="00115E22">
          <w:rPr>
            <w:noProof/>
          </w:rPr>
          <w:t>9</w:t>
        </w:r>
      </w:fldSimple>
      <w:r>
        <w:t xml:space="preserve"> </w:t>
      </w:r>
      <w:r w:rsidRPr="00F4389F">
        <w:t>Share in permanent childlessness among women born between 1940 and 1970 by highest level of educational attainment.</w:t>
      </w:r>
    </w:p>
    <w:p w14:paraId="45FC594B" w14:textId="44864AC5" w:rsidR="0043335D" w:rsidRDefault="0043335D" w:rsidP="00BC5105">
      <w:pPr>
        <w:spacing w:line="276" w:lineRule="auto"/>
        <w:jc w:val="center"/>
        <w:rPr>
          <w:rFonts w:cstheme="minorHAnsi"/>
          <w:color w:val="000000" w:themeColor="text1"/>
        </w:rPr>
      </w:pPr>
      <w:r>
        <w:rPr>
          <w:noProof/>
          <w:lang w:eastAsia="en-AU"/>
        </w:rPr>
        <w:drawing>
          <wp:inline distT="0" distB="0" distL="0" distR="0" wp14:anchorId="77C4E2CA" wp14:editId="02DCB36A">
            <wp:extent cx="4533900" cy="252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364ED7" w14:textId="351123D6" w:rsidR="009D2483" w:rsidRPr="009D2483" w:rsidRDefault="009D2483" w:rsidP="009D2483">
      <w:pPr>
        <w:rPr>
          <w:rFonts w:asciiTheme="majorHAnsi" w:hAnsiTheme="majorHAnsi" w:cstheme="majorHAnsi"/>
          <w:sz w:val="20"/>
          <w:szCs w:val="20"/>
        </w:rPr>
      </w:pPr>
      <w:r w:rsidRPr="009D2483">
        <w:rPr>
          <w:rFonts w:asciiTheme="majorHAnsi" w:hAnsiTheme="majorHAnsi" w:cstheme="majorHAnsi"/>
          <w:sz w:val="20"/>
          <w:szCs w:val="20"/>
        </w:rPr>
        <w:t xml:space="preserve">Source: Lazzari et al. </w:t>
      </w:r>
      <w:sdt>
        <w:sdtPr>
          <w:rPr>
            <w:rFonts w:asciiTheme="majorHAnsi" w:hAnsiTheme="majorHAnsi" w:cstheme="majorHAnsi"/>
            <w:sz w:val="20"/>
            <w:szCs w:val="20"/>
          </w:rPr>
          <w:id w:val="1666134701"/>
          <w:citation/>
        </w:sdtPr>
        <w:sdtEndPr/>
        <w:sdtContent>
          <w:r w:rsidRPr="009D2483">
            <w:rPr>
              <w:rFonts w:asciiTheme="majorHAnsi" w:hAnsiTheme="majorHAnsi" w:cstheme="majorHAnsi"/>
              <w:sz w:val="20"/>
              <w:szCs w:val="20"/>
            </w:rPr>
            <w:fldChar w:fldCharType="begin"/>
          </w:r>
          <w:r w:rsidR="00FF0686">
            <w:rPr>
              <w:rFonts w:asciiTheme="majorHAnsi" w:hAnsiTheme="majorHAnsi" w:cstheme="majorHAnsi"/>
              <w:sz w:val="20"/>
              <w:szCs w:val="20"/>
            </w:rPr>
            <w:instrText xml:space="preserve">CITATION Laz21 \n  \t  \l 3081 </w:instrText>
          </w:r>
          <w:r w:rsidRPr="009D2483">
            <w:rPr>
              <w:rFonts w:asciiTheme="majorHAnsi" w:hAnsiTheme="majorHAnsi" w:cstheme="majorHAnsi"/>
              <w:sz w:val="20"/>
              <w:szCs w:val="20"/>
            </w:rPr>
            <w:fldChar w:fldCharType="separate"/>
          </w:r>
          <w:r w:rsidR="00FF0686" w:rsidRPr="00FF0686">
            <w:rPr>
              <w:rFonts w:asciiTheme="majorHAnsi" w:hAnsiTheme="majorHAnsi" w:cstheme="majorHAnsi"/>
              <w:noProof/>
              <w:sz w:val="20"/>
              <w:szCs w:val="20"/>
            </w:rPr>
            <w:t>(2021b)</w:t>
          </w:r>
          <w:r w:rsidRPr="009D2483">
            <w:rPr>
              <w:rFonts w:asciiTheme="majorHAnsi" w:hAnsiTheme="majorHAnsi" w:cstheme="majorHAnsi"/>
              <w:sz w:val="20"/>
              <w:szCs w:val="20"/>
            </w:rPr>
            <w:fldChar w:fldCharType="end"/>
          </w:r>
        </w:sdtContent>
      </w:sdt>
      <w:r w:rsidRPr="009D2483">
        <w:rPr>
          <w:rStyle w:val="FootnoteReference"/>
          <w:rFonts w:asciiTheme="majorHAnsi" w:hAnsiTheme="majorHAnsi" w:cstheme="majorHAnsi"/>
          <w:i/>
          <w:iCs/>
          <w:color w:val="44546A" w:themeColor="text2"/>
          <w:sz w:val="20"/>
          <w:szCs w:val="20"/>
        </w:rPr>
        <w:footnoteReference w:id="3"/>
      </w:r>
      <w:r w:rsidRPr="009D2483">
        <w:rPr>
          <w:rFonts w:asciiTheme="majorHAnsi" w:hAnsiTheme="majorHAnsi" w:cstheme="majorHAnsi"/>
          <w:sz w:val="20"/>
          <w:szCs w:val="20"/>
        </w:rPr>
        <w:t xml:space="preserve">. </w:t>
      </w:r>
    </w:p>
    <w:p w14:paraId="7FEA4D1F" w14:textId="77777777" w:rsidR="00E26638" w:rsidRDefault="00E26638" w:rsidP="00BC5105">
      <w:pPr>
        <w:spacing w:line="276" w:lineRule="auto"/>
        <w:rPr>
          <w:rFonts w:asciiTheme="majorHAnsi" w:eastAsiaTheme="majorEastAsia" w:hAnsiTheme="majorHAnsi" w:cstheme="majorBidi"/>
          <w:color w:val="2E74B5" w:themeColor="accent1" w:themeShade="BF"/>
          <w:sz w:val="32"/>
          <w:szCs w:val="32"/>
          <w:lang w:val="en-US"/>
        </w:rPr>
      </w:pPr>
      <w:r>
        <w:br w:type="page"/>
      </w:r>
    </w:p>
    <w:p w14:paraId="576E27C6" w14:textId="77777777" w:rsidR="00D724DE" w:rsidRDefault="00D724DE" w:rsidP="006C6E6D">
      <w:pPr>
        <w:pStyle w:val="Heading1"/>
      </w:pPr>
      <w:bookmarkStart w:id="35" w:name="_Toc87454602"/>
      <w:bookmarkStart w:id="36" w:name="_Toc98404950"/>
      <w:r>
        <w:lastRenderedPageBreak/>
        <w:t>Theories of fertility change</w:t>
      </w:r>
      <w:bookmarkEnd w:id="35"/>
      <w:bookmarkEnd w:id="36"/>
    </w:p>
    <w:p w14:paraId="37F8C8BF" w14:textId="2A380D72" w:rsidR="00D724DE" w:rsidRDefault="00D724DE" w:rsidP="00D724DE">
      <w:pPr>
        <w:tabs>
          <w:tab w:val="left" w:pos="988"/>
        </w:tabs>
        <w:jc w:val="both"/>
        <w:rPr>
          <w:rFonts w:cstheme="minorHAnsi"/>
          <w:lang w:val="en-US"/>
        </w:rPr>
      </w:pPr>
      <w:r>
        <w:rPr>
          <w:rFonts w:cstheme="minorHAnsi"/>
          <w:lang w:val="en-US"/>
        </w:rPr>
        <w:t>The first ‘demographic’ transition is characterized by a decline from high mortality and fertility rates to low mortality rates, and subsequently</w:t>
      </w:r>
      <w:r w:rsidR="00C0571E">
        <w:rPr>
          <w:rFonts w:cstheme="minorHAnsi"/>
          <w:lang w:val="en-US"/>
        </w:rPr>
        <w:t>,</w:t>
      </w:r>
      <w:r>
        <w:rPr>
          <w:rFonts w:cstheme="minorHAnsi"/>
          <w:lang w:val="en-US"/>
        </w:rPr>
        <w:t xml:space="preserve"> fertility rates. Improvements in child mortality meant that children were more likely to survive childhood. Over time, fewer births were needed to secure a surviving child. The </w:t>
      </w:r>
      <w:r w:rsidR="00C0571E">
        <w:rPr>
          <w:rFonts w:cstheme="minorHAnsi"/>
          <w:lang w:val="en-US"/>
        </w:rPr>
        <w:t xml:space="preserve">demographic </w:t>
      </w:r>
      <w:r>
        <w:rPr>
          <w:rFonts w:cstheme="minorHAnsi"/>
          <w:lang w:val="en-US"/>
        </w:rPr>
        <w:t>transition is based on evidence from European countries, and commenced in the 18</w:t>
      </w:r>
      <w:r>
        <w:rPr>
          <w:rFonts w:cstheme="minorHAnsi"/>
          <w:vertAlign w:val="superscript"/>
          <w:lang w:val="en-US"/>
        </w:rPr>
        <w:t>th</w:t>
      </w:r>
      <w:r>
        <w:rPr>
          <w:rFonts w:cstheme="minorHAnsi"/>
          <w:lang w:val="en-US"/>
        </w:rPr>
        <w:t xml:space="preserve"> Century. </w:t>
      </w:r>
      <w:r w:rsidR="00C0571E">
        <w:rPr>
          <w:rFonts w:cstheme="minorHAnsi"/>
          <w:lang w:val="en-US"/>
        </w:rPr>
        <w:t>The f</w:t>
      </w:r>
      <w:r>
        <w:rPr>
          <w:rFonts w:cstheme="minorHAnsi"/>
          <w:lang w:val="en-US"/>
        </w:rPr>
        <w:t>ertility transition started in some Western countries such as France and the United States in the early 19</w:t>
      </w:r>
      <w:r>
        <w:rPr>
          <w:rFonts w:cstheme="minorHAnsi"/>
          <w:vertAlign w:val="superscript"/>
          <w:lang w:val="en-US"/>
        </w:rPr>
        <w:t>th</w:t>
      </w:r>
      <w:r>
        <w:rPr>
          <w:rFonts w:cstheme="minorHAnsi"/>
          <w:lang w:val="en-US"/>
        </w:rPr>
        <w:t xml:space="preserve"> Century, with other European countries starting around the middle of the century. In frontier countries like France, depopulation became a concern, and writers such as Dumont (1890) wrote that industrialization had led to a new economic and social context which offered prospects for social promotion that did not previously exist (Leridon, 2015). As a result, people began to limit their family size to improve their situation or to focus their efforts on a smaller number of children to increase their potential. This theory is also evident in the work of Ariès</w:t>
      </w:r>
      <w:r w:rsidR="00DD2B21">
        <w:rPr>
          <w:rFonts w:cstheme="minorHAnsi"/>
          <w:lang w:val="en-US"/>
        </w:rPr>
        <w:t xml:space="preserve"> (1980)</w:t>
      </w:r>
      <w:r>
        <w:rPr>
          <w:rFonts w:cstheme="minorHAnsi"/>
          <w:lang w:val="en-US"/>
        </w:rPr>
        <w:t xml:space="preserve"> who emphasized the focus on child quality demonstrated through substantial increases in investment in children. The value of children is also evident in the work of Caldwell (1982). His work, based on countries other than Europe, starts with the premise that in tradition</w:t>
      </w:r>
      <w:r w:rsidR="006E0D40">
        <w:rPr>
          <w:rFonts w:cstheme="minorHAnsi"/>
          <w:lang w:val="en-US"/>
        </w:rPr>
        <w:t>al</w:t>
      </w:r>
      <w:r>
        <w:rPr>
          <w:rFonts w:cstheme="minorHAnsi"/>
          <w:lang w:val="en-US"/>
        </w:rPr>
        <w:t xml:space="preserve"> societies children are an advantage, and can provide an important source of income to the family. In comparison, in modern societies, the costs of raising and educating children are considerable, providing one reason to limit the number parents have. </w:t>
      </w:r>
    </w:p>
    <w:p w14:paraId="5E3A1DDA" w14:textId="0F459A6D" w:rsidR="00D724DE" w:rsidRDefault="00D724DE" w:rsidP="00D724DE">
      <w:pPr>
        <w:tabs>
          <w:tab w:val="left" w:pos="988"/>
        </w:tabs>
        <w:jc w:val="both"/>
        <w:rPr>
          <w:rFonts w:cstheme="minorHAnsi"/>
          <w:lang w:val="en-US"/>
        </w:rPr>
      </w:pPr>
      <w:r>
        <w:rPr>
          <w:rFonts w:cstheme="minorHAnsi"/>
          <w:lang w:val="en-US"/>
        </w:rPr>
        <w:t>Dominant in most research on the demographic transition is the concept that the underlying driver of fertility transition is the process of industrialization and its effect on the economic and social structures of society. However, researchers have also emphasized reasons other than economic for the reduction in the number of children had during the fertility transition. These include diffusion theories which argue that the fertility decline is a result of the spread of ideas about attitudes to having children, and the behaviours to limit them. Some scholars of diffusion theory (Bongaarts and Watkins, 1996; Cleland and Wilson 1987) argue that the spread of these attitudes and behaviours is independent of societal change, while others argue that societal change and diffusion are complementary (Retherford, 1985; Montgomery and Casterline, 199</w:t>
      </w:r>
      <w:r w:rsidR="00EB5BA3">
        <w:rPr>
          <w:rFonts w:cstheme="minorHAnsi"/>
          <w:lang w:val="en-US"/>
        </w:rPr>
        <w:t>3</w:t>
      </w:r>
      <w:r>
        <w:rPr>
          <w:rFonts w:cstheme="minorHAnsi"/>
          <w:lang w:val="en-US"/>
        </w:rPr>
        <w:t>; Casterline, 2001).</w:t>
      </w:r>
    </w:p>
    <w:p w14:paraId="7698258F" w14:textId="74F23520" w:rsidR="00D724DE" w:rsidRDefault="00D724DE" w:rsidP="00D724DE">
      <w:pPr>
        <w:tabs>
          <w:tab w:val="left" w:pos="988"/>
        </w:tabs>
        <w:jc w:val="both"/>
        <w:rPr>
          <w:rFonts w:cstheme="minorHAnsi"/>
          <w:lang w:val="en-US"/>
        </w:rPr>
      </w:pPr>
      <w:r>
        <w:rPr>
          <w:rFonts w:cstheme="minorHAnsi"/>
          <w:lang w:val="en-US"/>
        </w:rPr>
        <w:t>The process of fertility transition in Western countries was complete by the early 20</w:t>
      </w:r>
      <w:r>
        <w:rPr>
          <w:rFonts w:cstheme="minorHAnsi"/>
          <w:vertAlign w:val="superscript"/>
          <w:lang w:val="en-US"/>
        </w:rPr>
        <w:t>th</w:t>
      </w:r>
      <w:r>
        <w:rPr>
          <w:rFonts w:cstheme="minorHAnsi"/>
          <w:lang w:val="en-US"/>
        </w:rPr>
        <w:t xml:space="preserve"> Century (Hirschmann, 1994), and brought fertility down to around 2 children per woman (Livi</w:t>
      </w:r>
      <w:r w:rsidR="00E7188F">
        <w:rPr>
          <w:rFonts w:cstheme="minorHAnsi"/>
          <w:lang w:val="en-US"/>
        </w:rPr>
        <w:t xml:space="preserve"> </w:t>
      </w:r>
      <w:r>
        <w:rPr>
          <w:rFonts w:cstheme="minorHAnsi"/>
          <w:lang w:val="en-US"/>
        </w:rPr>
        <w:t>Bacci, 1999). This remained fairly stable only dipping below replacement level fertility during recessions and wars, with small baby ‘booms’ in some countries following WWII. However, a noticeable trend downward followed, with baby ‘busts’ occurring in the 1970s.</w:t>
      </w:r>
    </w:p>
    <w:p w14:paraId="45E5D855" w14:textId="77777777" w:rsidR="00D724DE" w:rsidRDefault="00D724DE" w:rsidP="00D724DE">
      <w:pPr>
        <w:tabs>
          <w:tab w:val="left" w:pos="988"/>
        </w:tabs>
        <w:jc w:val="both"/>
        <w:rPr>
          <w:rFonts w:cstheme="minorHAnsi"/>
          <w:lang w:val="en-US"/>
        </w:rPr>
      </w:pPr>
      <w:r>
        <w:rPr>
          <w:rFonts w:cstheme="minorHAnsi"/>
          <w:lang w:val="en-US"/>
        </w:rPr>
        <w:t xml:space="preserve">The second demographic transition (SDT) theory provides an explanation to this decline in fertility observed during the last half a century (see Lesthaeghe 2014). The second demographic transition was not only concerned with fertility change, but also changes in relationship types and living arrangements, driven largely by cultural and ideational change. With regard to Maslow’s hierarchy of needs and Ingelhart’s concept of post-materialism, it posits that ‘as populations become wealthier and more educated, the attention shifts away from needs associated with survival, security, and solidarity. Instead greater weight is attached to individual self-realization, recognition, grassroots democracy, expressive work, and educational values’ (Lesthaeghe, 2014: p.18113). The SDT therefore recognizes diversity in life courses, and predicts different forms of relationships such as cohabitation, more people living alone, later and lower fertility, and increases in relationship dissolution and subsequent repartnering. </w:t>
      </w:r>
    </w:p>
    <w:p w14:paraId="1DA9189C" w14:textId="593D39FA" w:rsidR="00D724DE" w:rsidRDefault="00D724DE" w:rsidP="00D724DE">
      <w:pPr>
        <w:tabs>
          <w:tab w:val="left" w:pos="988"/>
        </w:tabs>
        <w:jc w:val="both"/>
        <w:rPr>
          <w:rFonts w:cstheme="minorHAnsi"/>
          <w:lang w:val="en-US"/>
        </w:rPr>
      </w:pPr>
      <w:r>
        <w:rPr>
          <w:rFonts w:cstheme="minorHAnsi"/>
          <w:lang w:val="en-US"/>
        </w:rPr>
        <w:lastRenderedPageBreak/>
        <w:t>There has also been a transformation in women’s lives over this period, referred to as the ‘gender revolution theory’. Increasing levels of education and involvement in the labour force are central components of women’s lives. Goldscheider and Waite (1993) argued that with the change in women’s roles societies faced two choices: new families, characterized by sharing of household labour and childrearing, or no families because the cost of doing a double shift of work in the public sphere of paid work and then private sphere would be borne by women (see also Hochschild 1989). More recent assessment finds that while the gender revolution in the home has been slow, ‘the entry of women into the labor force might indeed have stressed family relationships, but as the second half of the gender revolution slowly emerges—with men joining women in the private sphere of the family—we argue that the revolution is actually strengthening families’ (Goldscheider</w:t>
      </w:r>
      <w:r w:rsidR="000B7822">
        <w:rPr>
          <w:rFonts w:cstheme="minorHAnsi"/>
          <w:lang w:val="en-US"/>
        </w:rPr>
        <w:t>,</w:t>
      </w:r>
      <w:r>
        <w:rPr>
          <w:rFonts w:cstheme="minorHAnsi"/>
          <w:lang w:val="en-US"/>
        </w:rPr>
        <w:t xml:space="preserve"> </w:t>
      </w:r>
      <w:r w:rsidRPr="007E15F6">
        <w:rPr>
          <w:rFonts w:cstheme="minorHAnsi"/>
          <w:i/>
          <w:iCs/>
          <w:lang w:val="en-US"/>
        </w:rPr>
        <w:t>et al.</w:t>
      </w:r>
      <w:r w:rsidR="000B7822">
        <w:rPr>
          <w:rFonts w:cstheme="minorHAnsi"/>
          <w:lang w:val="en-US"/>
        </w:rPr>
        <w:t>,</w:t>
      </w:r>
      <w:r>
        <w:rPr>
          <w:rFonts w:cstheme="minorHAnsi"/>
          <w:lang w:val="en-US"/>
        </w:rPr>
        <w:t xml:space="preserve"> 2015: p.208).</w:t>
      </w:r>
    </w:p>
    <w:p w14:paraId="7B21E971" w14:textId="26B58324" w:rsidR="00D724DE" w:rsidRDefault="00D724DE" w:rsidP="00D724DE">
      <w:pPr>
        <w:tabs>
          <w:tab w:val="left" w:pos="988"/>
        </w:tabs>
        <w:jc w:val="both"/>
        <w:rPr>
          <w:rFonts w:cstheme="minorHAnsi"/>
          <w:lang w:val="en-US"/>
        </w:rPr>
      </w:pPr>
      <w:r>
        <w:rPr>
          <w:rFonts w:cstheme="minorHAnsi"/>
          <w:lang w:val="en-US"/>
        </w:rPr>
        <w:t>The role of the state in supporting families to work and raise a family is a dominant theoretical perspective in explaining low fertility. Policies may be explicitly designed to encourage childbearing, or may be designed to provide a policy setting which is supportive of work and childrearing (Thévenon and Gauthier 2011). Esping-Anders</w:t>
      </w:r>
      <w:r w:rsidR="0053343E">
        <w:rPr>
          <w:rFonts w:cstheme="minorHAnsi"/>
          <w:lang w:val="en-US"/>
        </w:rPr>
        <w:t>e</w:t>
      </w:r>
      <w:r>
        <w:rPr>
          <w:rFonts w:cstheme="minorHAnsi"/>
          <w:lang w:val="en-US"/>
        </w:rPr>
        <w:t xml:space="preserve">n (1990) provides a typology for considering how nations divide responsibilities between the market, the family, and the state. McDonald </w:t>
      </w:r>
      <w:r w:rsidR="0053343E">
        <w:rPr>
          <w:rFonts w:cstheme="minorHAnsi"/>
          <w:lang w:val="en-US"/>
        </w:rPr>
        <w:t xml:space="preserve">(2000) </w:t>
      </w:r>
      <w:r>
        <w:rPr>
          <w:rFonts w:cstheme="minorHAnsi"/>
          <w:lang w:val="en-US"/>
        </w:rPr>
        <w:t>has drawn widely on how different welfare contexts support the combination of work and family, noting that different institutional models tended to provide support in different ways. Social democratic institutions tend to provide state services funded by the tax system while liberal institutions tended to be more market-oriented. However, reform to provide support for families to work and raise a family has been slow where there is a cultural expectation that women and men should provide specialized roles (complementarianism). This is striking in some East Asian countries that results in a low, and sometimes, extremely low fertility rate (McDonald 2013). This theory is known as ‘gender-equity theory’.</w:t>
      </w:r>
    </w:p>
    <w:p w14:paraId="5F058CE9" w14:textId="0CE37D82" w:rsidR="00D724DE" w:rsidRDefault="00D724DE" w:rsidP="00D724DE">
      <w:pPr>
        <w:tabs>
          <w:tab w:val="left" w:pos="988"/>
        </w:tabs>
        <w:jc w:val="both"/>
        <w:rPr>
          <w:rFonts w:cstheme="minorHAnsi"/>
          <w:lang w:val="en-US"/>
        </w:rPr>
      </w:pPr>
      <w:r>
        <w:rPr>
          <w:rFonts w:cstheme="minorHAnsi"/>
          <w:lang w:val="en-US"/>
        </w:rPr>
        <w:t>Opportunities to form a partnership and have children are not equal across societies. There is a growing body of literature that points to a ‘demography of disadvantage’, meaning that structural disadvantage can lead to family instability (Perelli-Harris</w:t>
      </w:r>
      <w:r w:rsidR="000B7822">
        <w:rPr>
          <w:rFonts w:cstheme="minorHAnsi"/>
          <w:lang w:val="en-US"/>
        </w:rPr>
        <w:t>,</w:t>
      </w:r>
      <w:r>
        <w:rPr>
          <w:rFonts w:cstheme="minorHAnsi"/>
          <w:lang w:val="en-US"/>
        </w:rPr>
        <w:t xml:space="preserve"> </w:t>
      </w:r>
      <w:r w:rsidRPr="007E15F6">
        <w:rPr>
          <w:rFonts w:cstheme="minorHAnsi"/>
          <w:i/>
          <w:iCs/>
          <w:lang w:val="en-US"/>
        </w:rPr>
        <w:t>et al</w:t>
      </w:r>
      <w:r>
        <w:rPr>
          <w:rFonts w:cstheme="minorHAnsi"/>
          <w:lang w:val="en-US"/>
        </w:rPr>
        <w:t>.</w:t>
      </w:r>
      <w:r w:rsidR="000B7822">
        <w:rPr>
          <w:rFonts w:cstheme="minorHAnsi"/>
          <w:lang w:val="en-US"/>
        </w:rPr>
        <w:t>,</w:t>
      </w:r>
      <w:r>
        <w:rPr>
          <w:rFonts w:cstheme="minorHAnsi"/>
          <w:lang w:val="en-US"/>
        </w:rPr>
        <w:t xml:space="preserve"> 2010). More generalized economic uncertainty can also be associated with fertility outcomes.</w:t>
      </w:r>
      <w:r>
        <w:rPr>
          <w:lang w:val="en-US"/>
        </w:rPr>
        <w:t xml:space="preserve"> </w:t>
      </w:r>
      <w:r w:rsidR="00F309AF">
        <w:rPr>
          <w:rFonts w:cstheme="minorHAnsi"/>
          <w:lang w:val="en-US"/>
        </w:rPr>
        <w:t xml:space="preserve">The general state of the economy and individuals’ labour market situations can impact people’s decisions regarding whether or not to have  children (Kelly, 2021). For instance, in times of economic prosperity people’s confidence to have children increases, while during times of economic uncertainty, people may delay childbearing (Adsera, 2004). An increasing body of research is showing that job insecurity and economic uncertainty are among the drivers of the low fertility rates recorded among current generations in high-income countries (McDonald, 2006; Mills &amp; Blossfeld, 2013; Mitchell &amp; Gray, 2007; Winter &amp; Teitelbaum, 2013).  </w:t>
      </w:r>
      <w:r>
        <w:rPr>
          <w:rFonts w:cstheme="minorHAnsi"/>
          <w:lang w:val="en-US"/>
        </w:rPr>
        <w:t xml:space="preserve"> </w:t>
      </w:r>
    </w:p>
    <w:p w14:paraId="72FBA008" w14:textId="77777777" w:rsidR="00D724DE" w:rsidRDefault="00D724DE" w:rsidP="00D724DE"/>
    <w:p w14:paraId="1BEA8B3C" w14:textId="77777777" w:rsidR="00D724DE" w:rsidRDefault="00D724DE" w:rsidP="007E15F6"/>
    <w:p w14:paraId="0E0442DA" w14:textId="77777777" w:rsidR="00401D59" w:rsidRDefault="00401D59">
      <w:pPr>
        <w:rPr>
          <w:rFonts w:asciiTheme="majorHAnsi" w:eastAsiaTheme="majorEastAsia" w:hAnsiTheme="majorHAnsi" w:cstheme="majorBidi"/>
          <w:color w:val="2E74B5" w:themeColor="accent1" w:themeShade="BF"/>
          <w:sz w:val="32"/>
          <w:szCs w:val="32"/>
          <w:highlight w:val="lightGray"/>
          <w:lang w:val="en-US"/>
        </w:rPr>
      </w:pPr>
      <w:r>
        <w:rPr>
          <w:highlight w:val="lightGray"/>
        </w:rPr>
        <w:br w:type="page"/>
      </w:r>
    </w:p>
    <w:p w14:paraId="7C323C7D" w14:textId="4B04B0ED" w:rsidR="00FD02A0" w:rsidRDefault="00E31125" w:rsidP="006C2718">
      <w:pPr>
        <w:pStyle w:val="Heading1"/>
      </w:pPr>
      <w:bookmarkStart w:id="37" w:name="_Toc87454603"/>
      <w:bookmarkStart w:id="38" w:name="_Toc98404951"/>
      <w:r>
        <w:lastRenderedPageBreak/>
        <w:t>The m</w:t>
      </w:r>
      <w:r w:rsidR="00FD7E0C" w:rsidRPr="003635BF">
        <w:t>ain driving forces of low fertility</w:t>
      </w:r>
      <w:bookmarkEnd w:id="37"/>
      <w:bookmarkEnd w:id="38"/>
    </w:p>
    <w:p w14:paraId="52077806" w14:textId="40925918" w:rsidR="004048E6" w:rsidRDefault="004048E6" w:rsidP="00BC5105">
      <w:pPr>
        <w:spacing w:line="276" w:lineRule="auto"/>
        <w:jc w:val="both"/>
        <w:rPr>
          <w:rFonts w:cstheme="minorHAnsi"/>
          <w:color w:val="000000" w:themeColor="text1"/>
        </w:rPr>
      </w:pPr>
      <w:r>
        <w:rPr>
          <w:rFonts w:cstheme="minorHAnsi"/>
          <w:color w:val="000000" w:themeColor="text1"/>
        </w:rPr>
        <w:t xml:space="preserve">The conceptual framework </w:t>
      </w:r>
      <w:r w:rsidR="003E4630">
        <w:rPr>
          <w:rFonts w:cstheme="minorHAnsi"/>
          <w:color w:val="000000" w:themeColor="text1"/>
        </w:rPr>
        <w:t xml:space="preserve">in Figure </w:t>
      </w:r>
      <w:r w:rsidR="009D2483">
        <w:rPr>
          <w:rFonts w:cstheme="minorHAnsi"/>
          <w:color w:val="000000" w:themeColor="text1"/>
        </w:rPr>
        <w:t>10</w:t>
      </w:r>
      <w:r>
        <w:rPr>
          <w:rFonts w:cstheme="minorHAnsi"/>
          <w:color w:val="000000" w:themeColor="text1"/>
        </w:rPr>
        <w:t xml:space="preserve"> is used to understanding the drivers of fertility. </w:t>
      </w:r>
      <w:r w:rsidR="00E31125">
        <w:rPr>
          <w:rFonts w:cstheme="minorHAnsi"/>
          <w:color w:val="000000" w:themeColor="text1"/>
        </w:rPr>
        <w:t>The framework is based on a number of conceptual models which explain fertility outcomes, including those</w:t>
      </w:r>
      <w:r>
        <w:rPr>
          <w:rFonts w:cstheme="minorHAnsi"/>
          <w:color w:val="000000" w:themeColor="text1"/>
        </w:rPr>
        <w:t xml:space="preserve"> developed by Liefbroer</w:t>
      </w:r>
      <w:r w:rsidR="000E44A2">
        <w:rPr>
          <w:rFonts w:cstheme="minorHAnsi"/>
          <w:color w:val="000000" w:themeColor="text1"/>
        </w:rPr>
        <w:t>,</w:t>
      </w:r>
      <w:r>
        <w:rPr>
          <w:rFonts w:cstheme="minorHAnsi"/>
          <w:color w:val="000000" w:themeColor="text1"/>
        </w:rPr>
        <w:t xml:space="preserve"> </w:t>
      </w:r>
      <w:r w:rsidR="00B95174" w:rsidRPr="00B95174">
        <w:rPr>
          <w:rFonts w:cstheme="minorHAnsi"/>
          <w:i/>
          <w:color w:val="000000" w:themeColor="text1"/>
        </w:rPr>
        <w:t>et al.,</w:t>
      </w:r>
      <w:r>
        <w:rPr>
          <w:rFonts w:cstheme="minorHAnsi"/>
          <w:color w:val="000000" w:themeColor="text1"/>
        </w:rPr>
        <w:t xml:space="preserve"> </w:t>
      </w:r>
      <w:r w:rsidR="000B7822" w:rsidRPr="007E15F6">
        <w:rPr>
          <w:rFonts w:cstheme="minorHAnsi"/>
          <w:noProof/>
          <w:color w:val="000000" w:themeColor="text1"/>
        </w:rPr>
        <w:t>(2015)</w:t>
      </w:r>
      <w:r>
        <w:rPr>
          <w:rFonts w:cstheme="minorHAnsi"/>
          <w:color w:val="000000" w:themeColor="text1"/>
        </w:rPr>
        <w:t xml:space="preserve">, Sleebos </w:t>
      </w:r>
      <w:r w:rsidR="000B7822" w:rsidRPr="007E15F6">
        <w:rPr>
          <w:rFonts w:cstheme="minorHAnsi"/>
          <w:noProof/>
          <w:color w:val="000000" w:themeColor="text1"/>
        </w:rPr>
        <w:t>(2003)</w:t>
      </w:r>
      <w:r w:rsidR="006733F5">
        <w:rPr>
          <w:rFonts w:cstheme="minorHAnsi"/>
          <w:color w:val="000000" w:themeColor="text1"/>
        </w:rPr>
        <w:t xml:space="preserve"> and </w:t>
      </w:r>
      <w:r>
        <w:rPr>
          <w:rFonts w:cstheme="minorHAnsi"/>
          <w:color w:val="000000" w:themeColor="text1"/>
        </w:rPr>
        <w:t xml:space="preserve">Lattimore </w:t>
      </w:r>
      <w:r w:rsidR="000627B7">
        <w:rPr>
          <w:rFonts w:cstheme="minorHAnsi"/>
          <w:color w:val="000000" w:themeColor="text1"/>
        </w:rPr>
        <w:t xml:space="preserve">&amp; </w:t>
      </w:r>
      <w:r>
        <w:rPr>
          <w:rFonts w:cstheme="minorHAnsi"/>
          <w:color w:val="000000" w:themeColor="text1"/>
        </w:rPr>
        <w:t>P</w:t>
      </w:r>
      <w:r w:rsidR="000627B7">
        <w:rPr>
          <w:rFonts w:cstheme="minorHAnsi"/>
          <w:color w:val="000000" w:themeColor="text1"/>
        </w:rPr>
        <w:t xml:space="preserve">obke </w:t>
      </w:r>
      <w:r w:rsidR="000B7822" w:rsidRPr="007E15F6">
        <w:rPr>
          <w:rFonts w:cstheme="minorHAnsi"/>
          <w:noProof/>
          <w:color w:val="000000" w:themeColor="text1"/>
        </w:rPr>
        <w:t>(2008)</w:t>
      </w:r>
      <w:r w:rsidR="0007618E">
        <w:rPr>
          <w:rFonts w:cstheme="minorHAnsi"/>
          <w:color w:val="000000" w:themeColor="text1"/>
        </w:rPr>
        <w:t>,</w:t>
      </w:r>
      <w:r>
        <w:rPr>
          <w:rFonts w:cstheme="minorHAnsi"/>
          <w:color w:val="000000" w:themeColor="text1"/>
        </w:rPr>
        <w:t xml:space="preserve"> as well as the proximate determinants </w:t>
      </w:r>
      <w:r w:rsidR="0007618E">
        <w:rPr>
          <w:rFonts w:cstheme="minorHAnsi"/>
          <w:color w:val="000000" w:themeColor="text1"/>
        </w:rPr>
        <w:t xml:space="preserve">of fertility </w:t>
      </w:r>
      <w:r>
        <w:rPr>
          <w:rFonts w:cstheme="minorHAnsi"/>
          <w:color w:val="000000" w:themeColor="text1"/>
        </w:rPr>
        <w:t xml:space="preserve">framework. </w:t>
      </w:r>
    </w:p>
    <w:p w14:paraId="03945926" w14:textId="274FE110" w:rsidR="004048E6" w:rsidRDefault="006733F5" w:rsidP="00BC5105">
      <w:pPr>
        <w:spacing w:line="276" w:lineRule="auto"/>
        <w:jc w:val="both"/>
        <w:rPr>
          <w:rFonts w:cstheme="minorHAnsi"/>
          <w:color w:val="000000" w:themeColor="text1"/>
        </w:rPr>
      </w:pPr>
      <w:r>
        <w:rPr>
          <w:rFonts w:cstheme="minorHAnsi"/>
          <w:color w:val="000000" w:themeColor="text1"/>
        </w:rPr>
        <w:t>The framework has individuals</w:t>
      </w:r>
      <w:r w:rsidR="004048E6">
        <w:rPr>
          <w:rFonts w:cstheme="minorHAnsi"/>
          <w:color w:val="000000" w:themeColor="text1"/>
        </w:rPr>
        <w:t xml:space="preserve"> at the micro-level, situated under the macro-level</w:t>
      </w:r>
      <w:r>
        <w:rPr>
          <w:rFonts w:cstheme="minorHAnsi"/>
          <w:color w:val="000000" w:themeColor="text1"/>
        </w:rPr>
        <w:t>,</w:t>
      </w:r>
      <w:r w:rsidR="004048E6">
        <w:rPr>
          <w:rFonts w:cstheme="minorHAnsi"/>
          <w:color w:val="000000" w:themeColor="text1"/>
        </w:rPr>
        <w:t xml:space="preserve"> highlighting that both </w:t>
      </w:r>
      <w:r w:rsidR="006E0D40">
        <w:rPr>
          <w:rFonts w:cstheme="minorHAnsi"/>
          <w:color w:val="000000" w:themeColor="text1"/>
        </w:rPr>
        <w:t>levels</w:t>
      </w:r>
      <w:r w:rsidR="004048E6">
        <w:rPr>
          <w:rFonts w:cstheme="minorHAnsi"/>
          <w:color w:val="000000" w:themeColor="text1"/>
        </w:rPr>
        <w:t xml:space="preserve"> are important to understanding fertility.</w:t>
      </w:r>
      <w:r w:rsidR="00301FAA" w:rsidRPr="006C6E6D">
        <w:rPr>
          <w:rFonts w:cstheme="minorHAnsi"/>
          <w:color w:val="000000" w:themeColor="text1"/>
        </w:rPr>
        <w:t xml:space="preserve"> Liefbroer, </w:t>
      </w:r>
      <w:r w:rsidR="00B95174" w:rsidRPr="00B95174">
        <w:rPr>
          <w:rFonts w:cstheme="minorHAnsi"/>
          <w:i/>
          <w:color w:val="000000" w:themeColor="text1"/>
        </w:rPr>
        <w:t>et al.,</w:t>
      </w:r>
      <w:r w:rsidR="00301FAA" w:rsidRPr="006C6E6D">
        <w:rPr>
          <w:rFonts w:cstheme="minorHAnsi"/>
          <w:color w:val="000000" w:themeColor="text1"/>
        </w:rPr>
        <w:t xml:space="preserve"> (2015</w:t>
      </w:r>
      <w:r w:rsidR="00B95174">
        <w:rPr>
          <w:rFonts w:cstheme="minorHAnsi"/>
          <w:color w:val="000000" w:themeColor="text1"/>
        </w:rPr>
        <w:t>, p. 6</w:t>
      </w:r>
      <w:r w:rsidR="00301FAA" w:rsidRPr="006C6E6D">
        <w:rPr>
          <w:rFonts w:cstheme="minorHAnsi"/>
          <w:color w:val="000000" w:themeColor="text1"/>
        </w:rPr>
        <w:t xml:space="preserve">) </w:t>
      </w:r>
      <w:r w:rsidR="006E0D40">
        <w:rPr>
          <w:rFonts w:cstheme="minorHAnsi"/>
          <w:color w:val="000000" w:themeColor="text1"/>
        </w:rPr>
        <w:t>provide</w:t>
      </w:r>
      <w:r w:rsidR="00301FAA" w:rsidRPr="006C6E6D">
        <w:rPr>
          <w:rFonts w:cstheme="minorHAnsi"/>
          <w:color w:val="000000" w:themeColor="text1"/>
        </w:rPr>
        <w:t xml:space="preserve"> two examples </w:t>
      </w:r>
      <w:r w:rsidR="000E44A2">
        <w:rPr>
          <w:rFonts w:cstheme="minorHAnsi"/>
          <w:color w:val="000000" w:themeColor="text1"/>
        </w:rPr>
        <w:t>that</w:t>
      </w:r>
      <w:r w:rsidR="00301FAA" w:rsidRPr="006C6E6D">
        <w:rPr>
          <w:rFonts w:cstheme="minorHAnsi"/>
          <w:color w:val="000000" w:themeColor="text1"/>
        </w:rPr>
        <w:t xml:space="preserve"> help illustrate the </w:t>
      </w:r>
      <w:r w:rsidR="002961E2">
        <w:rPr>
          <w:rFonts w:cstheme="minorHAnsi"/>
          <w:color w:val="000000" w:themeColor="text1"/>
        </w:rPr>
        <w:t>importance of considering both the micro</w:t>
      </w:r>
      <w:r w:rsidR="006E0D40">
        <w:rPr>
          <w:rFonts w:cstheme="minorHAnsi"/>
          <w:color w:val="000000" w:themeColor="text1"/>
        </w:rPr>
        <w:t>-</w:t>
      </w:r>
      <w:r w:rsidR="002961E2">
        <w:rPr>
          <w:rFonts w:cstheme="minorHAnsi"/>
          <w:color w:val="000000" w:themeColor="text1"/>
        </w:rPr>
        <w:t xml:space="preserve"> and macro</w:t>
      </w:r>
      <w:r w:rsidR="006E0D40">
        <w:rPr>
          <w:rFonts w:cstheme="minorHAnsi"/>
          <w:color w:val="000000" w:themeColor="text1"/>
        </w:rPr>
        <w:t>-</w:t>
      </w:r>
      <w:r w:rsidR="002961E2">
        <w:rPr>
          <w:rFonts w:cstheme="minorHAnsi"/>
          <w:color w:val="000000" w:themeColor="text1"/>
        </w:rPr>
        <w:t>level</w:t>
      </w:r>
      <w:r w:rsidR="00301FAA" w:rsidRPr="006C6E6D">
        <w:rPr>
          <w:rFonts w:cstheme="minorHAnsi"/>
          <w:color w:val="000000" w:themeColor="text1"/>
        </w:rPr>
        <w:t xml:space="preserve">. The first is </w:t>
      </w:r>
      <w:r w:rsidR="00B95174">
        <w:rPr>
          <w:rFonts w:cstheme="minorHAnsi"/>
          <w:color w:val="000000" w:themeColor="text1"/>
        </w:rPr>
        <w:t xml:space="preserve">that of the </w:t>
      </w:r>
      <w:r w:rsidR="00301FAA" w:rsidRPr="006C6E6D">
        <w:rPr>
          <w:rFonts w:cstheme="minorHAnsi"/>
          <w:color w:val="000000" w:themeColor="text1"/>
        </w:rPr>
        <w:t xml:space="preserve">positive relationship between GDP and fertility </w:t>
      </w:r>
      <w:r w:rsidR="002961E2">
        <w:rPr>
          <w:rFonts w:cstheme="minorHAnsi"/>
          <w:color w:val="000000" w:themeColor="text1"/>
        </w:rPr>
        <w:t xml:space="preserve">that is found </w:t>
      </w:r>
      <w:r w:rsidR="00301FAA" w:rsidRPr="006C6E6D">
        <w:rPr>
          <w:rFonts w:cstheme="minorHAnsi"/>
          <w:color w:val="000000" w:themeColor="text1"/>
        </w:rPr>
        <w:t>in high</w:t>
      </w:r>
      <w:r w:rsidR="006E0D40">
        <w:rPr>
          <w:rFonts w:cstheme="minorHAnsi"/>
          <w:color w:val="000000" w:themeColor="text1"/>
        </w:rPr>
        <w:t>-</w:t>
      </w:r>
      <w:r w:rsidR="00301FAA" w:rsidRPr="006C6E6D">
        <w:rPr>
          <w:rFonts w:cstheme="minorHAnsi"/>
          <w:color w:val="000000" w:themeColor="text1"/>
        </w:rPr>
        <w:t>income countries. Looking exclusively at the macro-level gives no indication of the potential mechanisms behind this relationship</w:t>
      </w:r>
      <w:r w:rsidR="002961E2">
        <w:rPr>
          <w:rFonts w:cstheme="minorHAnsi"/>
          <w:color w:val="000000" w:themeColor="text1"/>
        </w:rPr>
        <w:t>. Whether it is because r</w:t>
      </w:r>
      <w:r w:rsidR="00301FAA" w:rsidRPr="006C6E6D">
        <w:rPr>
          <w:rFonts w:cstheme="minorHAnsi"/>
          <w:color w:val="000000" w:themeColor="text1"/>
        </w:rPr>
        <w:t>icher countries spend more money on family policies</w:t>
      </w:r>
      <w:r w:rsidR="002961E2">
        <w:rPr>
          <w:rFonts w:cstheme="minorHAnsi"/>
          <w:color w:val="000000" w:themeColor="text1"/>
        </w:rPr>
        <w:t xml:space="preserve">, or because the population has a greater  feeling of security about future economic growth and therefore willing to expand their families, or perhaps </w:t>
      </w:r>
      <w:r w:rsidR="00301FAA" w:rsidRPr="006C6E6D">
        <w:rPr>
          <w:rFonts w:cstheme="minorHAnsi"/>
          <w:color w:val="000000" w:themeColor="text1"/>
        </w:rPr>
        <w:t xml:space="preserve">because there’s a higher proportion of higher-income people and it is this subgroup driving high fertility?  A second example, which </w:t>
      </w:r>
      <w:r w:rsidR="002961E2">
        <w:rPr>
          <w:rFonts w:cstheme="minorHAnsi"/>
          <w:color w:val="000000" w:themeColor="text1"/>
        </w:rPr>
        <w:t>highlights</w:t>
      </w:r>
      <w:r w:rsidR="00301FAA" w:rsidRPr="006C6E6D">
        <w:rPr>
          <w:rFonts w:cstheme="minorHAnsi"/>
          <w:color w:val="000000" w:themeColor="text1"/>
        </w:rPr>
        <w:t xml:space="preserve"> the dangers of ecological fallacy, is a negative relationship between unemployment levels and fertility at the macro-level. At the </w:t>
      </w:r>
      <w:r w:rsidR="002961E2">
        <w:rPr>
          <w:rFonts w:cstheme="minorHAnsi"/>
          <w:color w:val="000000" w:themeColor="text1"/>
        </w:rPr>
        <w:t>macro</w:t>
      </w:r>
      <w:r w:rsidR="006E0D40">
        <w:rPr>
          <w:rFonts w:cstheme="minorHAnsi"/>
          <w:color w:val="000000" w:themeColor="text1"/>
        </w:rPr>
        <w:t>-</w:t>
      </w:r>
      <w:r w:rsidR="002961E2">
        <w:rPr>
          <w:rFonts w:cstheme="minorHAnsi"/>
          <w:color w:val="000000" w:themeColor="text1"/>
        </w:rPr>
        <w:t xml:space="preserve">level </w:t>
      </w:r>
      <w:r w:rsidR="00301FAA" w:rsidRPr="006C6E6D">
        <w:rPr>
          <w:rFonts w:cstheme="minorHAnsi"/>
          <w:color w:val="000000" w:themeColor="text1"/>
        </w:rPr>
        <w:t>there may be a negative relationship (as unemployment rates rise, fertility falls), however this might not hold at the</w:t>
      </w:r>
      <w:r w:rsidR="002961E2">
        <w:rPr>
          <w:rFonts w:cstheme="minorHAnsi"/>
          <w:color w:val="000000" w:themeColor="text1"/>
        </w:rPr>
        <w:t xml:space="preserve"> micro</w:t>
      </w:r>
      <w:r w:rsidR="006E0D40">
        <w:rPr>
          <w:rFonts w:cstheme="minorHAnsi"/>
          <w:color w:val="000000" w:themeColor="text1"/>
        </w:rPr>
        <w:t>-</w:t>
      </w:r>
      <w:r w:rsidR="002961E2">
        <w:rPr>
          <w:rFonts w:cstheme="minorHAnsi"/>
          <w:color w:val="000000" w:themeColor="text1"/>
        </w:rPr>
        <w:t xml:space="preserve"> or</w:t>
      </w:r>
      <w:r w:rsidR="00301FAA" w:rsidRPr="006C6E6D">
        <w:rPr>
          <w:rFonts w:cstheme="minorHAnsi"/>
          <w:color w:val="000000" w:themeColor="text1"/>
        </w:rPr>
        <w:t xml:space="preserve"> individual</w:t>
      </w:r>
      <w:r w:rsidR="006E0D40">
        <w:rPr>
          <w:rFonts w:cstheme="minorHAnsi"/>
          <w:color w:val="000000" w:themeColor="text1"/>
        </w:rPr>
        <w:t>-</w:t>
      </w:r>
      <w:r w:rsidR="00301FAA" w:rsidRPr="006C6E6D">
        <w:rPr>
          <w:rFonts w:cstheme="minorHAnsi"/>
          <w:color w:val="000000" w:themeColor="text1"/>
        </w:rPr>
        <w:t>level. If unemployment is high, those who are unemployed may decide to have children while they are at home, whereas those who are employed may decide to reduce their fertility in order to avoid taking time away from work and jeopardizing their position in the labour market.</w:t>
      </w:r>
    </w:p>
    <w:p w14:paraId="6D2CA78C" w14:textId="64E5A958" w:rsidR="004048E6" w:rsidRDefault="00301FAA" w:rsidP="00BC5105">
      <w:pPr>
        <w:spacing w:line="276" w:lineRule="auto"/>
        <w:jc w:val="both"/>
        <w:rPr>
          <w:rFonts w:cstheme="minorHAnsi"/>
          <w:color w:val="000000" w:themeColor="text1"/>
        </w:rPr>
      </w:pPr>
      <w:r>
        <w:rPr>
          <w:rFonts w:cstheme="minorHAnsi"/>
          <w:color w:val="000000" w:themeColor="text1"/>
        </w:rPr>
        <w:t xml:space="preserve">In countries such as Australia, where contraception is widely available, childbearing can be thought of as a function of deliberate decision making </w:t>
      </w:r>
      <w:r w:rsidR="00675270" w:rsidRPr="007E15F6">
        <w:rPr>
          <w:rFonts w:cstheme="minorHAnsi"/>
          <w:noProof/>
          <w:color w:val="000000" w:themeColor="text1"/>
        </w:rPr>
        <w:t>(Guzzo &amp; Hayford, 2020)</w:t>
      </w:r>
      <w:r>
        <w:rPr>
          <w:rFonts w:cstheme="minorHAnsi"/>
          <w:color w:val="000000" w:themeColor="text1"/>
        </w:rPr>
        <w:t xml:space="preserve">. </w:t>
      </w:r>
      <w:r w:rsidR="004048E6">
        <w:rPr>
          <w:rFonts w:cstheme="minorHAnsi"/>
          <w:color w:val="000000" w:themeColor="text1"/>
        </w:rPr>
        <w:t>Individuals, based on their own socio-economic and demographic characteristics, as well as their own experiences, preferences and attitudes</w:t>
      </w:r>
      <w:r w:rsidR="00187434">
        <w:rPr>
          <w:rFonts w:cstheme="minorHAnsi"/>
          <w:color w:val="000000" w:themeColor="text1"/>
        </w:rPr>
        <w:t>,</w:t>
      </w:r>
      <w:r w:rsidR="004048E6">
        <w:rPr>
          <w:rFonts w:cstheme="minorHAnsi"/>
          <w:color w:val="000000" w:themeColor="text1"/>
        </w:rPr>
        <w:t xml:space="preserve"> make decisions about whether or not to have children.</w:t>
      </w:r>
      <w:r>
        <w:rPr>
          <w:rFonts w:cstheme="minorHAnsi"/>
          <w:color w:val="000000" w:themeColor="text1"/>
        </w:rPr>
        <w:t xml:space="preserve"> As most childbearing occurs within </w:t>
      </w:r>
      <w:r w:rsidR="00B95174">
        <w:rPr>
          <w:rFonts w:cstheme="minorHAnsi"/>
          <w:color w:val="000000" w:themeColor="text1"/>
        </w:rPr>
        <w:t>a couple context</w:t>
      </w:r>
      <w:r>
        <w:rPr>
          <w:rFonts w:cstheme="minorHAnsi"/>
          <w:color w:val="000000" w:themeColor="text1"/>
        </w:rPr>
        <w:t>, it is also important to consider the dyadic nature of decision making as both partner’s decisions are important. Testa and Bolan</w:t>
      </w:r>
      <w:r w:rsidR="002961E2">
        <w:rPr>
          <w:rFonts w:cstheme="minorHAnsi"/>
          <w:color w:val="000000" w:themeColor="text1"/>
        </w:rPr>
        <w:t>o</w:t>
      </w:r>
      <w:r>
        <w:rPr>
          <w:rFonts w:cstheme="minorHAnsi"/>
          <w:color w:val="000000" w:themeColor="text1"/>
        </w:rPr>
        <w:t xml:space="preserve"> (2021), analysing data from the Household, Income and Labour Dynamics in Australia</w:t>
      </w:r>
      <w:r w:rsidR="002961E2">
        <w:rPr>
          <w:rFonts w:cstheme="minorHAnsi"/>
          <w:color w:val="000000" w:themeColor="text1"/>
        </w:rPr>
        <w:t xml:space="preserve"> (HILDA)</w:t>
      </w:r>
      <w:r>
        <w:rPr>
          <w:rFonts w:cstheme="minorHAnsi"/>
          <w:color w:val="000000" w:themeColor="text1"/>
        </w:rPr>
        <w:t xml:space="preserve"> Survey </w:t>
      </w:r>
      <w:r w:rsidR="006E0D40">
        <w:rPr>
          <w:rFonts w:cstheme="minorHAnsi"/>
          <w:color w:val="000000" w:themeColor="text1"/>
        </w:rPr>
        <w:t>found</w:t>
      </w:r>
      <w:r>
        <w:rPr>
          <w:rFonts w:cstheme="minorHAnsi"/>
          <w:color w:val="000000" w:themeColor="text1"/>
        </w:rPr>
        <w:t xml:space="preserve"> </w:t>
      </w:r>
      <w:r w:rsidR="006E0D40">
        <w:rPr>
          <w:rFonts w:cstheme="minorHAnsi"/>
          <w:color w:val="000000" w:themeColor="text1"/>
        </w:rPr>
        <w:t>that</w:t>
      </w:r>
      <w:r>
        <w:rPr>
          <w:rFonts w:cstheme="minorHAnsi"/>
          <w:color w:val="000000" w:themeColor="text1"/>
        </w:rPr>
        <w:t xml:space="preserve"> when a couple disagrees on having a first child</w:t>
      </w:r>
      <w:r w:rsidR="006E0D40">
        <w:rPr>
          <w:rFonts w:cstheme="minorHAnsi"/>
          <w:color w:val="000000" w:themeColor="text1"/>
        </w:rPr>
        <w:t>,</w:t>
      </w:r>
      <w:r>
        <w:rPr>
          <w:rFonts w:cstheme="minorHAnsi"/>
          <w:color w:val="000000" w:themeColor="text1"/>
        </w:rPr>
        <w:t xml:space="preserve"> around half of couples end up having a child, with the woman’s decision prevailing. However for second or higher-order children, disagreement between couples tends to result in no further childbearing.</w:t>
      </w:r>
      <w:r w:rsidR="004048E6">
        <w:rPr>
          <w:rFonts w:cstheme="minorHAnsi"/>
          <w:color w:val="000000" w:themeColor="text1"/>
        </w:rPr>
        <w:t xml:space="preserve"> Having made a definite decision</w:t>
      </w:r>
      <w:r>
        <w:rPr>
          <w:rFonts w:cstheme="minorHAnsi"/>
          <w:color w:val="000000" w:themeColor="text1"/>
        </w:rPr>
        <w:t>, and achieved partner agreement</w:t>
      </w:r>
      <w:r w:rsidR="004048E6">
        <w:rPr>
          <w:rFonts w:cstheme="minorHAnsi"/>
          <w:color w:val="000000" w:themeColor="text1"/>
        </w:rPr>
        <w:t>, there are certain proximate determinants including age-related sterility that will influence if they are able to achieve their desired childbearing outcome. On the right</w:t>
      </w:r>
      <w:r w:rsidR="00885E05">
        <w:rPr>
          <w:rFonts w:cstheme="minorHAnsi"/>
          <w:color w:val="000000" w:themeColor="text1"/>
        </w:rPr>
        <w:t xml:space="preserve"> of the framework</w:t>
      </w:r>
      <w:r w:rsidR="004048E6">
        <w:rPr>
          <w:rFonts w:cstheme="minorHAnsi"/>
          <w:color w:val="000000" w:themeColor="text1"/>
        </w:rPr>
        <w:t>, we see how the national fertility, e.g. Australia’s TFR, is the cumulative aggregation of the myriad of childbearing aspirations and outco</w:t>
      </w:r>
      <w:r w:rsidR="006733F5">
        <w:rPr>
          <w:rFonts w:cstheme="minorHAnsi"/>
          <w:color w:val="000000" w:themeColor="text1"/>
        </w:rPr>
        <w:t>mes made by all the individuals and couples</w:t>
      </w:r>
      <w:r w:rsidR="004048E6">
        <w:rPr>
          <w:rFonts w:cstheme="minorHAnsi"/>
          <w:color w:val="000000" w:themeColor="text1"/>
        </w:rPr>
        <w:t xml:space="preserve"> in the population</w:t>
      </w:r>
      <w:r w:rsidR="000627B7">
        <w:rPr>
          <w:rFonts w:cstheme="minorHAnsi"/>
          <w:color w:val="000000" w:themeColor="text1"/>
        </w:rPr>
        <w:t xml:space="preserve"> (Liefbroer</w:t>
      </w:r>
      <w:r>
        <w:rPr>
          <w:rFonts w:cstheme="minorHAnsi"/>
          <w:color w:val="000000" w:themeColor="text1"/>
        </w:rPr>
        <w:t>,</w:t>
      </w:r>
      <w:r w:rsidR="000627B7">
        <w:rPr>
          <w:rFonts w:cstheme="minorHAnsi"/>
          <w:color w:val="000000" w:themeColor="text1"/>
        </w:rPr>
        <w:t xml:space="preserve"> </w:t>
      </w:r>
      <w:r w:rsidR="00B95174" w:rsidRPr="00B95174">
        <w:rPr>
          <w:rFonts w:cstheme="minorHAnsi"/>
          <w:i/>
          <w:color w:val="000000" w:themeColor="text1"/>
        </w:rPr>
        <w:t>et al.,</w:t>
      </w:r>
      <w:r w:rsidR="000627B7">
        <w:rPr>
          <w:rFonts w:cstheme="minorHAnsi"/>
          <w:color w:val="000000" w:themeColor="text1"/>
        </w:rPr>
        <w:t xml:space="preserve"> 2015).</w:t>
      </w:r>
      <w:r w:rsidR="004048E6">
        <w:rPr>
          <w:rFonts w:cstheme="minorHAnsi"/>
          <w:color w:val="000000" w:themeColor="text1"/>
        </w:rPr>
        <w:t xml:space="preserve"> </w:t>
      </w:r>
      <w:r w:rsidR="00B66F16">
        <w:rPr>
          <w:rFonts w:cstheme="minorHAnsi"/>
          <w:color w:val="000000" w:themeColor="text1"/>
        </w:rPr>
        <w:t xml:space="preserve"> </w:t>
      </w:r>
    </w:p>
    <w:p w14:paraId="67108C13" w14:textId="2646354C" w:rsidR="0097559F" w:rsidRDefault="00B95174">
      <w:pPr>
        <w:spacing w:line="276" w:lineRule="auto"/>
        <w:jc w:val="both"/>
        <w:rPr>
          <w:rFonts w:cstheme="minorHAnsi"/>
          <w:color w:val="000000" w:themeColor="text1"/>
        </w:rPr>
        <w:sectPr w:rsidR="0097559F">
          <w:headerReference w:type="default" r:id="rId21"/>
          <w:pgSz w:w="11906" w:h="16838"/>
          <w:pgMar w:top="1440" w:right="1440" w:bottom="1440" w:left="1440" w:header="708" w:footer="708" w:gutter="0"/>
          <w:cols w:space="708"/>
          <w:docGrid w:linePitch="360"/>
        </w:sectPr>
      </w:pPr>
      <w:r>
        <w:rPr>
          <w:rFonts w:cstheme="minorHAnsi"/>
          <w:color w:val="000000" w:themeColor="text1"/>
        </w:rPr>
        <w:t>I</w:t>
      </w:r>
      <w:r w:rsidR="004048E6">
        <w:rPr>
          <w:rFonts w:cstheme="minorHAnsi"/>
          <w:color w:val="000000" w:themeColor="text1"/>
        </w:rPr>
        <w:t>ndividuals do not make their childbearing decisions in a vac</w:t>
      </w:r>
      <w:r w:rsidR="006733F5">
        <w:rPr>
          <w:rFonts w:cstheme="minorHAnsi"/>
          <w:color w:val="000000" w:themeColor="text1"/>
        </w:rPr>
        <w:t>uum.</w:t>
      </w:r>
      <w:r w:rsidR="004048E6">
        <w:rPr>
          <w:rFonts w:cstheme="minorHAnsi"/>
          <w:color w:val="000000" w:themeColor="text1"/>
        </w:rPr>
        <w:t xml:space="preserve"> </w:t>
      </w:r>
      <w:r w:rsidR="006733F5">
        <w:rPr>
          <w:rFonts w:cstheme="minorHAnsi"/>
          <w:color w:val="000000" w:themeColor="text1"/>
        </w:rPr>
        <w:t>T</w:t>
      </w:r>
      <w:r w:rsidR="004048E6">
        <w:rPr>
          <w:rFonts w:cstheme="minorHAnsi"/>
          <w:color w:val="000000" w:themeColor="text1"/>
        </w:rPr>
        <w:t xml:space="preserve">hey are influenced by the macro-level context in which they live. This includes the economic, cultural and institutional context.  More specific macro-level components which are relevant to fertility include the cost and benefit of children, broad economic factors relating to education, employment, income as well as social norms and lifestyles. It is easy to imagine two women with the exact same age, education and income level, relationship status, number of siblings, religious beliefs and desire for children, but who live in </w:t>
      </w:r>
      <w:r w:rsidR="004048E6">
        <w:rPr>
          <w:rFonts w:cstheme="minorHAnsi"/>
          <w:color w:val="000000" w:themeColor="text1"/>
        </w:rPr>
        <w:lastRenderedPageBreak/>
        <w:t xml:space="preserve">different countries with different economic, cultural and institutional contexts. In one country the costs and benefits </w:t>
      </w:r>
      <w:r w:rsidR="0007618E">
        <w:rPr>
          <w:rFonts w:cstheme="minorHAnsi"/>
          <w:color w:val="000000" w:themeColor="text1"/>
        </w:rPr>
        <w:t xml:space="preserve">of </w:t>
      </w:r>
      <w:r w:rsidR="004048E6">
        <w:rPr>
          <w:rFonts w:cstheme="minorHAnsi"/>
          <w:color w:val="000000" w:themeColor="text1"/>
        </w:rPr>
        <w:t>children, broad economic factors and social nor</w:t>
      </w:r>
      <w:r w:rsidR="00BF4974">
        <w:rPr>
          <w:rFonts w:cstheme="minorHAnsi"/>
          <w:color w:val="000000" w:themeColor="text1"/>
        </w:rPr>
        <w:t>ms and lifestyles may mean that</w:t>
      </w:r>
    </w:p>
    <w:p w14:paraId="3AF358E7" w14:textId="270F6F3C" w:rsidR="00452307" w:rsidRDefault="008E3BE2" w:rsidP="005C2A97">
      <w:pPr>
        <w:tabs>
          <w:tab w:val="right" w:pos="13958"/>
        </w:tabs>
        <w:spacing w:line="276" w:lineRule="auto"/>
        <w:rPr>
          <w:rFonts w:cstheme="minorHAnsi"/>
          <w:color w:val="000000" w:themeColor="text1"/>
        </w:rPr>
        <w:sectPr w:rsidR="00452307" w:rsidSect="006A56FE">
          <w:pgSz w:w="16838" w:h="11906" w:orient="landscape"/>
          <w:pgMar w:top="1440" w:right="1440" w:bottom="1440" w:left="1440" w:header="708" w:footer="708" w:gutter="0"/>
          <w:cols w:space="708"/>
          <w:docGrid w:linePitch="360"/>
        </w:sectPr>
      </w:pPr>
      <w:r>
        <w:rPr>
          <w:rFonts w:cstheme="minorHAnsi"/>
          <w:noProof/>
          <w:color w:val="000000" w:themeColor="text1"/>
          <w:lang w:eastAsia="en-AU"/>
        </w:rPr>
        <w:lastRenderedPageBreak/>
        <mc:AlternateContent>
          <mc:Choice Requires="wpg">
            <w:drawing>
              <wp:anchor distT="0" distB="0" distL="114300" distR="114300" simplePos="0" relativeHeight="251658255" behindDoc="0" locked="0" layoutInCell="1" allowOverlap="1" wp14:anchorId="02AD635D" wp14:editId="33C54AAA">
                <wp:simplePos x="0" y="0"/>
                <wp:positionH relativeFrom="column">
                  <wp:posOffset>-520700</wp:posOffset>
                </wp:positionH>
                <wp:positionV relativeFrom="margin">
                  <wp:posOffset>-469900</wp:posOffset>
                </wp:positionV>
                <wp:extent cx="9900285" cy="6793230"/>
                <wp:effectExtent l="0" t="0" r="43815" b="7620"/>
                <wp:wrapTopAndBottom/>
                <wp:docPr id="242" name="Group 242"/>
                <wp:cNvGraphicFramePr/>
                <a:graphic xmlns:a="http://schemas.openxmlformats.org/drawingml/2006/main">
                  <a:graphicData uri="http://schemas.microsoft.com/office/word/2010/wordprocessingGroup">
                    <wpg:wgp>
                      <wpg:cNvGrpSpPr/>
                      <wpg:grpSpPr>
                        <a:xfrm>
                          <a:off x="0" y="0"/>
                          <a:ext cx="9900285" cy="6793230"/>
                          <a:chOff x="0" y="257176"/>
                          <a:chExt cx="9900285" cy="6793888"/>
                        </a:xfrm>
                      </wpg:grpSpPr>
                      <wps:wsp>
                        <wps:cNvPr id="243" name="Text Box 243"/>
                        <wps:cNvSpPr txBox="1">
                          <a:spLocks noChangeArrowheads="1"/>
                        </wps:cNvSpPr>
                        <wps:spPr bwMode="auto">
                          <a:xfrm>
                            <a:off x="962025" y="742315"/>
                            <a:ext cx="2140585" cy="245745"/>
                          </a:xfrm>
                          <a:prstGeom prst="rect">
                            <a:avLst/>
                          </a:prstGeom>
                          <a:solidFill>
                            <a:srgbClr val="ECECEC"/>
                          </a:solidFill>
                          <a:ln w="25400">
                            <a:solidFill>
                              <a:srgbClr val="7F7F7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053F975" w14:textId="77777777" w:rsidR="00C33FAA" w:rsidRDefault="00C33FAA" w:rsidP="0097559F">
                              <w:pPr>
                                <w:widowControl w:val="0"/>
                                <w:jc w:val="center"/>
                              </w:pPr>
                              <w:r>
                                <w:t>DIRECT POLICIES</w:t>
                              </w:r>
                            </w:p>
                          </w:txbxContent>
                        </wps:txbx>
                        <wps:bodyPr rot="0" vert="horz" wrap="square" lIns="36576" tIns="36576" rIns="36576" bIns="36576" anchor="t" anchorCtr="0" upright="1">
                          <a:noAutofit/>
                        </wps:bodyPr>
                      </wps:wsp>
                      <wps:wsp>
                        <wps:cNvPr id="244" name="Text Box 244"/>
                        <wps:cNvSpPr txBox="1">
                          <a:spLocks noChangeArrowheads="1"/>
                        </wps:cNvSpPr>
                        <wps:spPr bwMode="auto">
                          <a:xfrm>
                            <a:off x="3114675" y="742950"/>
                            <a:ext cx="2145030" cy="244800"/>
                          </a:xfrm>
                          <a:prstGeom prst="rect">
                            <a:avLst/>
                          </a:prstGeom>
                          <a:solidFill>
                            <a:srgbClr val="ECECEC"/>
                          </a:solidFill>
                          <a:ln w="25400">
                            <a:solidFill>
                              <a:srgbClr val="7F7F7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95D53F" w14:textId="77777777" w:rsidR="00C33FAA" w:rsidRDefault="00C33FAA" w:rsidP="0097559F">
                              <w:pPr>
                                <w:widowControl w:val="0"/>
                                <w:jc w:val="center"/>
                              </w:pPr>
                              <w:r>
                                <w:t>INDIRECT POLICIES</w:t>
                              </w:r>
                            </w:p>
                          </w:txbxContent>
                        </wps:txbx>
                        <wps:bodyPr rot="0" vert="horz" wrap="square" lIns="36576" tIns="36576" rIns="36576" bIns="36576" anchor="t" anchorCtr="0" upright="1">
                          <a:noAutofit/>
                        </wps:bodyPr>
                      </wps:wsp>
                      <wps:wsp>
                        <wps:cNvPr id="245" name="Text Box 245"/>
                        <wps:cNvSpPr txBox="1">
                          <a:spLocks noChangeArrowheads="1"/>
                        </wps:cNvSpPr>
                        <wps:spPr bwMode="auto">
                          <a:xfrm>
                            <a:off x="962025" y="987750"/>
                            <a:ext cx="2140585" cy="1299520"/>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F22A043" w14:textId="77777777" w:rsidR="00C33FAA" w:rsidRDefault="00C33FAA" w:rsidP="0097559F">
                              <w:pPr>
                                <w:widowControl w:val="0"/>
                                <w:rPr>
                                  <w:b/>
                                  <w:bCs/>
                                </w:rPr>
                              </w:pPr>
                              <w:r>
                                <w:rPr>
                                  <w:b/>
                                  <w:bCs/>
                                </w:rPr>
                                <w:t xml:space="preserve">Financial incentives </w:t>
                              </w:r>
                            </w:p>
                            <w:p w14:paraId="7E6B0407" w14:textId="77777777" w:rsidR="00C33FAA" w:rsidRPr="006C6E6D" w:rsidRDefault="00C33FAA" w:rsidP="007E15F6">
                              <w:pPr>
                                <w:widowControl w:val="0"/>
                                <w:spacing w:after="0" w:line="360" w:lineRule="auto"/>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Cash transfers (baby bonus)</w:t>
                              </w:r>
                            </w:p>
                            <w:p w14:paraId="6A866AA4" w14:textId="77777777" w:rsidR="00C33FAA" w:rsidRPr="006C6E6D" w:rsidRDefault="00C33FAA" w:rsidP="007E15F6">
                              <w:pPr>
                                <w:widowControl w:val="0"/>
                                <w:spacing w:after="0" w:line="360" w:lineRule="auto"/>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Tax benefits to families with children</w:t>
                              </w:r>
                            </w:p>
                            <w:p w14:paraId="41B5F736" w14:textId="77777777" w:rsidR="00C33FAA" w:rsidRPr="006C6E6D" w:rsidRDefault="00C33FAA" w:rsidP="007E15F6">
                              <w:pPr>
                                <w:widowControl w:val="0"/>
                                <w:spacing w:after="0" w:line="360" w:lineRule="auto"/>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Specific subsidies (e.g. housing)</w:t>
                              </w:r>
                            </w:p>
                            <w:p w14:paraId="7CD9A017" w14:textId="6F3CDF65" w:rsidR="00C33FAA" w:rsidRPr="006C6E6D" w:rsidRDefault="00C33FAA" w:rsidP="00244248">
                              <w:pPr>
                                <w:pStyle w:val="ListParagraph"/>
                                <w:widowControl w:val="0"/>
                                <w:numPr>
                                  <w:ilvl w:val="0"/>
                                  <w:numId w:val="24"/>
                                </w:numPr>
                                <w:spacing w:after="0" w:line="360" w:lineRule="auto"/>
                                <w:ind w:left="142" w:hanging="142"/>
                                <w:rPr>
                                  <w:rFonts w:asciiTheme="majorHAnsi" w:hAnsiTheme="majorHAnsi" w:cstheme="majorHAnsi"/>
                                  <w:sz w:val="20"/>
                                  <w:szCs w:val="20"/>
                                </w:rPr>
                              </w:pPr>
                              <w:r w:rsidRPr="006C6E6D">
                                <w:rPr>
                                  <w:rFonts w:asciiTheme="majorHAnsi" w:hAnsiTheme="majorHAnsi" w:cstheme="majorHAnsi"/>
                                  <w:sz w:val="20"/>
                                  <w:szCs w:val="20"/>
                                </w:rPr>
                                <w:t>Eligibility rules for welfare</w:t>
                              </w:r>
                            </w:p>
                            <w:p w14:paraId="43DF8B84" w14:textId="6EAD02F2" w:rsidR="00C33FAA" w:rsidRDefault="00C33FAA" w:rsidP="00C861DB">
                              <w:pPr>
                                <w:widowControl w:val="0"/>
                                <w:ind w:left="217" w:hanging="217"/>
                              </w:pPr>
                            </w:p>
                          </w:txbxContent>
                        </wps:txbx>
                        <wps:bodyPr rot="0" vert="horz" wrap="square" lIns="36576" tIns="36576" rIns="36576" bIns="36576" anchor="t" anchorCtr="0" upright="1">
                          <a:noAutofit/>
                        </wps:bodyPr>
                      </wps:wsp>
                      <wps:wsp>
                        <wps:cNvPr id="246" name="Text Box 246"/>
                        <wps:cNvSpPr txBox="1">
                          <a:spLocks noChangeArrowheads="1"/>
                        </wps:cNvSpPr>
                        <wps:spPr bwMode="auto">
                          <a:xfrm>
                            <a:off x="3111500" y="984885"/>
                            <a:ext cx="1063625" cy="130238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1F815DA" w14:textId="3B4C27A5" w:rsidR="00C33FAA" w:rsidRDefault="008D52A6" w:rsidP="0097559F">
                              <w:pPr>
                                <w:widowControl w:val="0"/>
                                <w:rPr>
                                  <w:b/>
                                  <w:bCs/>
                                </w:rPr>
                              </w:pPr>
                              <w:r>
                                <w:rPr>
                                  <w:b/>
                                  <w:bCs/>
                                </w:rPr>
                                <w:t>Child care</w:t>
                              </w:r>
                            </w:p>
                            <w:p w14:paraId="556B304C" w14:textId="77777777" w:rsidR="00C33FAA" w:rsidRPr="006C6E6D" w:rsidRDefault="00C33FAA" w:rsidP="0097559F">
                              <w:pPr>
                                <w:widowControl w:val="0"/>
                                <w:ind w:left="217" w:hanging="217"/>
                                <w:rPr>
                                  <w:rFonts w:asciiTheme="majorHAnsi" w:hAnsiTheme="majorHAnsi" w:cstheme="majorHAnsi"/>
                                  <w:sz w:val="20"/>
                                  <w:szCs w:val="20"/>
                                </w:rPr>
                              </w:pPr>
                              <w:r w:rsidRPr="00B25B55">
                                <w:rPr>
                                  <w:rFonts w:asciiTheme="majorHAnsi" w:hAnsiTheme="majorHAnsi" w:cstheme="majorHAnsi"/>
                                  <w:lang w:val="x-none"/>
                                </w:rPr>
                                <w:t>·</w:t>
                              </w:r>
                              <w:r w:rsidRPr="00B25B55">
                                <w:rPr>
                                  <w:rFonts w:asciiTheme="majorHAnsi" w:hAnsiTheme="majorHAnsi" w:cstheme="majorHAnsi"/>
                                </w:rPr>
                                <w:t> </w:t>
                              </w:r>
                              <w:r w:rsidRPr="006C6E6D">
                                <w:rPr>
                                  <w:rFonts w:asciiTheme="majorHAnsi" w:hAnsiTheme="majorHAnsi" w:cstheme="majorHAnsi"/>
                                  <w:sz w:val="20"/>
                                  <w:szCs w:val="20"/>
                                </w:rPr>
                                <w:t>Availability</w:t>
                              </w:r>
                            </w:p>
                            <w:p w14:paraId="0C28C73A" w14:textId="77777777" w:rsidR="00C33FAA" w:rsidRPr="006C6E6D" w:rsidRDefault="00C33FAA" w:rsidP="0097559F">
                              <w:pPr>
                                <w:widowControl w:val="0"/>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Cost</w:t>
                              </w:r>
                            </w:p>
                            <w:p w14:paraId="136FB9F7" w14:textId="77777777" w:rsidR="00C33FAA" w:rsidRPr="006C6E6D" w:rsidRDefault="00C33FAA" w:rsidP="0097559F">
                              <w:pPr>
                                <w:widowControl w:val="0"/>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xml:space="preserve"> Quality </w:t>
                              </w:r>
                            </w:p>
                          </w:txbxContent>
                        </wps:txbx>
                        <wps:bodyPr rot="0" vert="horz" wrap="square" lIns="36576" tIns="36576" rIns="36576" bIns="36576" anchor="t" anchorCtr="0" upright="1">
                          <a:noAutofit/>
                        </wps:bodyPr>
                      </wps:wsp>
                      <wps:wsp>
                        <wps:cNvPr id="247" name="Text Box 247"/>
                        <wps:cNvSpPr txBox="1">
                          <a:spLocks noChangeArrowheads="1"/>
                        </wps:cNvSpPr>
                        <wps:spPr bwMode="auto">
                          <a:xfrm>
                            <a:off x="4175760" y="984885"/>
                            <a:ext cx="1089660" cy="1294765"/>
                          </a:xfrm>
                          <a:prstGeom prst="rect">
                            <a:avLst/>
                          </a:prstGeom>
                          <a:solidFill>
                            <a:srgbClr val="FFFFFF"/>
                          </a:solidFill>
                          <a:ln w="25400">
                            <a:solidFill>
                              <a:srgbClr val="7F7F7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3DED8E" w14:textId="77777777" w:rsidR="00C33FAA" w:rsidRDefault="00C33FAA" w:rsidP="0097559F">
                              <w:pPr>
                                <w:widowControl w:val="0"/>
                                <w:rPr>
                                  <w:b/>
                                  <w:bCs/>
                                </w:rPr>
                              </w:pPr>
                              <w:r>
                                <w:rPr>
                                  <w:b/>
                                  <w:bCs/>
                                </w:rPr>
                                <w:t>Parental leave</w:t>
                              </w:r>
                            </w:p>
                            <w:p w14:paraId="22CF3C9A" w14:textId="77777777" w:rsidR="00C33FAA" w:rsidRPr="006C6E6D" w:rsidRDefault="00C33FAA" w:rsidP="0097559F">
                              <w:pPr>
                                <w:widowControl w:val="0"/>
                                <w:ind w:left="217" w:hanging="217"/>
                                <w:rPr>
                                  <w:rFonts w:asciiTheme="majorHAnsi" w:hAnsiTheme="majorHAnsi" w:cstheme="majorHAnsi"/>
                                  <w:sz w:val="20"/>
                                  <w:szCs w:val="20"/>
                                </w:rPr>
                              </w:pPr>
                              <w:r w:rsidRPr="00B25B55">
                                <w:rPr>
                                  <w:rFonts w:asciiTheme="majorHAnsi" w:hAnsiTheme="majorHAnsi" w:cstheme="majorHAnsi"/>
                                  <w:lang w:val="x-none"/>
                                </w:rPr>
                                <w:t>·</w:t>
                              </w:r>
                              <w:r w:rsidRPr="00B25B55">
                                <w:rPr>
                                  <w:rFonts w:asciiTheme="majorHAnsi" w:hAnsiTheme="majorHAnsi" w:cstheme="majorHAnsi"/>
                                </w:rPr>
                                <w:t> </w:t>
                              </w:r>
                              <w:r w:rsidRPr="006C6E6D">
                                <w:rPr>
                                  <w:rFonts w:asciiTheme="majorHAnsi" w:hAnsiTheme="majorHAnsi" w:cstheme="majorHAnsi"/>
                                  <w:sz w:val="20"/>
                                  <w:szCs w:val="20"/>
                                </w:rPr>
                                <w:t>Duration</w:t>
                              </w:r>
                            </w:p>
                            <w:p w14:paraId="03549586" w14:textId="77777777" w:rsidR="00C33FAA" w:rsidRPr="006C6E6D" w:rsidRDefault="00C33FAA" w:rsidP="006C6E6D">
                              <w:pPr>
                                <w:widowControl w:val="0"/>
                                <w:ind w:left="142" w:hanging="142"/>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Replacement wage</w:t>
                              </w:r>
                            </w:p>
                            <w:p w14:paraId="5EF8E449" w14:textId="77777777" w:rsidR="00C33FAA" w:rsidRDefault="00C33FAA" w:rsidP="0097559F">
                              <w:pPr>
                                <w:widowControl w:val="0"/>
                              </w:pPr>
                              <w:r>
                                <w:t> </w:t>
                              </w:r>
                            </w:p>
                          </w:txbxContent>
                        </wps:txbx>
                        <wps:bodyPr rot="0" vert="horz" wrap="square" lIns="36576" tIns="36576" rIns="36576" bIns="36576" anchor="t" anchorCtr="0" upright="1">
                          <a:noAutofit/>
                        </wps:bodyPr>
                      </wps:wsp>
                      <wps:wsp>
                        <wps:cNvPr id="248" name="Text Box 248"/>
                        <wps:cNvSpPr txBox="1">
                          <a:spLocks noChangeArrowheads="1"/>
                        </wps:cNvSpPr>
                        <wps:spPr bwMode="auto">
                          <a:xfrm rot="16200000">
                            <a:off x="2097405" y="-655320"/>
                            <a:ext cx="304644" cy="2140585"/>
                          </a:xfrm>
                          <a:prstGeom prst="rect">
                            <a:avLst/>
                          </a:prstGeom>
                          <a:solidFill>
                            <a:srgbClr val="ECECEC"/>
                          </a:solidFill>
                          <a:ln w="25400">
                            <a:solidFill>
                              <a:srgbClr val="7F7F7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D5A9D9D" w14:textId="77777777" w:rsidR="00C33FAA" w:rsidRDefault="00C33FAA" w:rsidP="0097559F">
                              <w:pPr>
                                <w:widowControl w:val="0"/>
                                <w:jc w:val="center"/>
                                <w:rPr>
                                  <w:caps/>
                                  <w:sz w:val="24"/>
                                  <w:szCs w:val="24"/>
                                </w:rPr>
                              </w:pPr>
                              <w:r>
                                <w:rPr>
                                  <w:caps/>
                                  <w:sz w:val="24"/>
                                  <w:szCs w:val="24"/>
                                </w:rPr>
                                <w:t>Institutional  context</w:t>
                              </w:r>
                            </w:p>
                          </w:txbxContent>
                        </wps:txbx>
                        <wps:bodyPr rot="0" vert="horz" wrap="square" lIns="36576" tIns="36576" rIns="36576" bIns="36576" anchor="t" anchorCtr="0" upright="1">
                          <a:noAutofit/>
                        </wps:bodyPr>
                      </wps:wsp>
                      <wps:wsp>
                        <wps:cNvPr id="249" name="Text Box 249"/>
                        <wps:cNvSpPr txBox="1">
                          <a:spLocks noChangeArrowheads="1"/>
                        </wps:cNvSpPr>
                        <wps:spPr bwMode="auto">
                          <a:xfrm>
                            <a:off x="962025" y="2592705"/>
                            <a:ext cx="1818640" cy="2026937"/>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85D5963" w14:textId="77777777" w:rsidR="00C33FAA" w:rsidRDefault="00C33FAA" w:rsidP="0097559F">
                              <w:pPr>
                                <w:widowControl w:val="0"/>
                                <w:rPr>
                                  <w:b/>
                                  <w:bCs/>
                                </w:rPr>
                              </w:pPr>
                              <w:r>
                                <w:rPr>
                                  <w:b/>
                                  <w:bCs/>
                                </w:rPr>
                                <w:t>Costs and benefits of children</w:t>
                              </w:r>
                            </w:p>
                            <w:p w14:paraId="603B247F" w14:textId="03F3B64E" w:rsidR="00C33FAA" w:rsidRPr="007E15F6" w:rsidRDefault="00C33FAA" w:rsidP="006C6E6D">
                              <w:pPr>
                                <w:widowControl w:val="0"/>
                                <w:spacing w:after="0"/>
                                <w:ind w:left="142" w:hanging="142"/>
                                <w:rPr>
                                  <w:rFonts w:asciiTheme="majorHAnsi" w:hAnsiTheme="majorHAnsi" w:cstheme="majorHAnsi"/>
                                  <w:sz w:val="18"/>
                                  <w:szCs w:val="18"/>
                                </w:rPr>
                              </w:pPr>
                              <w:r w:rsidRPr="007E15F6">
                                <w:rPr>
                                  <w:b/>
                                  <w:bCs/>
                                  <w:sz w:val="2"/>
                                  <w:szCs w:val="2"/>
                                </w:rPr>
                                <w:t> </w:t>
                              </w:r>
                              <w:r w:rsidRPr="007E15F6">
                                <w:rPr>
                                  <w:rFonts w:asciiTheme="majorHAnsi" w:hAnsiTheme="majorHAnsi" w:cstheme="majorHAnsi"/>
                                  <w:sz w:val="20"/>
                                  <w:szCs w:val="20"/>
                                  <w:lang w:val="x-none"/>
                                </w:rPr>
                                <w:t>·</w:t>
                              </w:r>
                              <w:r w:rsidRPr="007E15F6">
                                <w:rPr>
                                  <w:rFonts w:asciiTheme="majorHAnsi" w:hAnsiTheme="majorHAnsi" w:cstheme="majorHAnsi"/>
                                  <w:sz w:val="20"/>
                                  <w:szCs w:val="20"/>
                                </w:rPr>
                                <w:t> </w:t>
                              </w:r>
                              <w:r w:rsidRPr="007E15F6">
                                <w:rPr>
                                  <w:rFonts w:asciiTheme="majorHAnsi" w:hAnsiTheme="majorHAnsi" w:cstheme="majorHAnsi"/>
                                  <w:sz w:val="18"/>
                                  <w:szCs w:val="18"/>
                                </w:rPr>
                                <w:t>Parental expectations of</w:t>
                              </w:r>
                              <w:r>
                                <w:rPr>
                                  <w:rFonts w:asciiTheme="majorHAnsi" w:hAnsiTheme="majorHAnsi" w:cstheme="majorHAnsi"/>
                                  <w:sz w:val="18"/>
                                  <w:szCs w:val="18"/>
                                </w:rPr>
                                <w:t xml:space="preserve"> </w:t>
                              </w:r>
                              <w:r w:rsidRPr="007E15F6">
                                <w:rPr>
                                  <w:rFonts w:asciiTheme="majorHAnsi" w:hAnsiTheme="majorHAnsi" w:cstheme="majorHAnsi"/>
                                  <w:sz w:val="18"/>
                                  <w:szCs w:val="18"/>
                                </w:rPr>
                                <w:t>support and care by children (in family business or old age)</w:t>
                              </w:r>
                            </w:p>
                            <w:p w14:paraId="57F40DCD" w14:textId="4E05B955" w:rsidR="00C33FAA" w:rsidRPr="007E15F6" w:rsidRDefault="00C33FAA" w:rsidP="006C6E6D">
                              <w:pPr>
                                <w:widowControl w:val="0"/>
                                <w:spacing w:after="0"/>
                                <w:ind w:left="142" w:hanging="142"/>
                                <w:rPr>
                                  <w:rFonts w:asciiTheme="majorHAnsi" w:hAnsiTheme="majorHAnsi" w:cstheme="majorHAnsi"/>
                                  <w:sz w:val="20"/>
                                  <w:szCs w:val="20"/>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Psychological benefits of children</w:t>
                              </w:r>
                            </w:p>
                            <w:p w14:paraId="421423E2" w14:textId="77777777" w:rsidR="00C33FAA" w:rsidRDefault="00C33FAA" w:rsidP="0097559F">
                              <w:pPr>
                                <w:widowControl w:val="0"/>
                                <w:spacing w:after="0"/>
                                <w:rPr>
                                  <w:rFonts w:asciiTheme="majorHAnsi" w:hAnsiTheme="majorHAnsi" w:cstheme="majorHAnsi"/>
                                  <w:sz w:val="18"/>
                                  <w:szCs w:val="18"/>
                                </w:rPr>
                              </w:pPr>
                            </w:p>
                            <w:p w14:paraId="48C2605E" w14:textId="720EEFD8" w:rsidR="00C33FAA" w:rsidRPr="007E15F6" w:rsidRDefault="00C33FAA" w:rsidP="0097559F">
                              <w:pPr>
                                <w:widowControl w:val="0"/>
                                <w:spacing w:after="0"/>
                                <w:rPr>
                                  <w:rFonts w:asciiTheme="majorHAnsi" w:hAnsiTheme="majorHAnsi" w:cstheme="majorHAnsi"/>
                                  <w:sz w:val="16"/>
                                  <w:szCs w:val="16"/>
                                </w:rPr>
                              </w:pPr>
                              <w:r w:rsidRPr="007E15F6">
                                <w:rPr>
                                  <w:rFonts w:asciiTheme="majorHAnsi" w:hAnsiTheme="majorHAnsi" w:cstheme="majorHAnsi"/>
                                  <w:sz w:val="18"/>
                                  <w:szCs w:val="18"/>
                                </w:rPr>
                                <w:t>Costs of rearing children</w:t>
                              </w:r>
                            </w:p>
                            <w:p w14:paraId="63F7C964" w14:textId="6DC2E46A" w:rsidR="00C33FAA" w:rsidRDefault="00C33FAA" w:rsidP="0097559F">
                              <w:pPr>
                                <w:widowControl w:val="0"/>
                                <w:spacing w:after="0"/>
                                <w:ind w:left="496" w:hanging="224"/>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xml:space="preserve"> Direct costs </w:t>
                              </w:r>
                            </w:p>
                            <w:p w14:paraId="68C197C3" w14:textId="2252113C" w:rsidR="00C33FAA" w:rsidRPr="00693478" w:rsidRDefault="00C33FAA" w:rsidP="0097559F">
                              <w:pPr>
                                <w:widowControl w:val="0"/>
                                <w:spacing w:after="0"/>
                                <w:ind w:left="496" w:hanging="224"/>
                                <w:rPr>
                                  <w:rFonts w:asciiTheme="majorHAnsi" w:hAnsiTheme="majorHAnsi" w:cstheme="majorHAnsi"/>
                                  <w:i/>
                                  <w:iCs/>
                                  <w:sz w:val="18"/>
                                  <w:szCs w:val="18"/>
                                </w:rPr>
                              </w:pPr>
                              <w:r w:rsidRPr="00693478">
                                <w:rPr>
                                  <w:rFonts w:asciiTheme="majorHAnsi" w:hAnsiTheme="majorHAnsi" w:cstheme="majorHAnsi"/>
                                  <w:i/>
                                  <w:iCs/>
                                  <w:sz w:val="18"/>
                                  <w:szCs w:val="18"/>
                                </w:rPr>
                                <w:t>Indirect costs</w:t>
                              </w:r>
                            </w:p>
                            <w:p w14:paraId="33F5F9F7" w14:textId="77777777" w:rsidR="00C33FAA" w:rsidRPr="007E15F6" w:rsidRDefault="00C33FAA" w:rsidP="0097559F">
                              <w:pPr>
                                <w:widowControl w:val="0"/>
                                <w:spacing w:after="0"/>
                                <w:ind w:left="496" w:hanging="224"/>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Housing costs</w:t>
                              </w:r>
                            </w:p>
                            <w:p w14:paraId="7E833D23" w14:textId="77777777" w:rsidR="00C33FAA" w:rsidRPr="007E15F6" w:rsidRDefault="00C33FAA" w:rsidP="0097559F">
                              <w:pPr>
                                <w:widowControl w:val="0"/>
                                <w:spacing w:after="0"/>
                                <w:ind w:left="496" w:hanging="224"/>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Opportunity costs</w:t>
                              </w:r>
                            </w:p>
                            <w:p w14:paraId="0BCD61B4" w14:textId="138B3B4E" w:rsidR="00C33FAA" w:rsidRPr="007E15F6" w:rsidRDefault="00C33FAA" w:rsidP="007E15F6">
                              <w:pPr>
                                <w:widowControl w:val="0"/>
                                <w:spacing w:after="0"/>
                                <w:ind w:firstLine="272"/>
                                <w:rPr>
                                  <w:rFonts w:asciiTheme="majorHAnsi" w:hAnsiTheme="majorHAnsi" w:cstheme="majorHAnsi"/>
                                  <w:sz w:val="18"/>
                                  <w:szCs w:val="18"/>
                                </w:rPr>
                              </w:pPr>
                              <w:r w:rsidRPr="007E15F6">
                                <w:rPr>
                                  <w:rFonts w:asciiTheme="majorHAnsi" w:hAnsiTheme="majorHAnsi" w:cstheme="majorHAnsi"/>
                                  <w:sz w:val="18"/>
                                  <w:szCs w:val="18"/>
                                  <w:lang w:val="x-none"/>
                                </w:rPr>
                                <w:t>·</w:t>
                              </w:r>
                              <w:r>
                                <w:rPr>
                                  <w:rFonts w:asciiTheme="majorHAnsi" w:hAnsiTheme="majorHAnsi" w:cstheme="majorHAnsi"/>
                                  <w:sz w:val="18"/>
                                  <w:szCs w:val="18"/>
                                </w:rPr>
                                <w:t xml:space="preserve"> </w:t>
                              </w:r>
                              <w:r w:rsidRPr="007E15F6">
                                <w:rPr>
                                  <w:rFonts w:asciiTheme="majorHAnsi" w:hAnsiTheme="majorHAnsi" w:cstheme="majorHAnsi"/>
                                  <w:sz w:val="18"/>
                                  <w:szCs w:val="18"/>
                                </w:rPr>
                                <w:t>Time costs</w:t>
                              </w:r>
                            </w:p>
                            <w:p w14:paraId="6129DEC6" w14:textId="1EF6A9D6" w:rsidR="00C33FAA" w:rsidRPr="00B25B55" w:rsidRDefault="00C33FAA" w:rsidP="0097559F">
                              <w:pPr>
                                <w:widowControl w:val="0"/>
                                <w:spacing w:after="0"/>
                                <w:ind w:left="224" w:hanging="224"/>
                                <w:rPr>
                                  <w:rFonts w:asciiTheme="majorHAnsi" w:hAnsiTheme="majorHAnsi" w:cstheme="majorHAnsi"/>
                                </w:rPr>
                              </w:pPr>
                            </w:p>
                            <w:p w14:paraId="1E544E76" w14:textId="77777777" w:rsidR="00C33FAA" w:rsidRDefault="00C33FAA" w:rsidP="0097559F"/>
                          </w:txbxContent>
                        </wps:txbx>
                        <wps:bodyPr rot="0" vert="horz" wrap="square" lIns="36576" tIns="36576" rIns="36576" bIns="36576" anchor="t" anchorCtr="0" upright="1">
                          <a:noAutofit/>
                        </wps:bodyPr>
                      </wps:wsp>
                      <wps:wsp>
                        <wps:cNvPr id="250" name="Text Box 250"/>
                        <wps:cNvSpPr txBox="1">
                          <a:spLocks noChangeArrowheads="1"/>
                        </wps:cNvSpPr>
                        <wps:spPr bwMode="auto">
                          <a:xfrm>
                            <a:off x="2897505" y="2592705"/>
                            <a:ext cx="1834515" cy="2026937"/>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352DA5D" w14:textId="77777777" w:rsidR="00C33FAA" w:rsidRDefault="00C33FAA" w:rsidP="007E15F6">
                              <w:pPr>
                                <w:widowControl w:val="0"/>
                                <w:spacing w:after="0"/>
                                <w:rPr>
                                  <w:b/>
                                  <w:bCs/>
                                  <w:sz w:val="6"/>
                                  <w:szCs w:val="6"/>
                                </w:rPr>
                              </w:pPr>
                              <w:r>
                                <w:rPr>
                                  <w:b/>
                                  <w:bCs/>
                                </w:rPr>
                                <w:t xml:space="preserve">Broad economic factors: </w:t>
                              </w:r>
                              <w:r w:rsidRPr="007E15F6">
                                <w:rPr>
                                  <w:b/>
                                  <w:bCs/>
                                  <w:sz w:val="20"/>
                                  <w:szCs w:val="20"/>
                                </w:rPr>
                                <w:t>Education, employment and income</w:t>
                              </w:r>
                            </w:p>
                            <w:p w14:paraId="3C8FDEED" w14:textId="77777777" w:rsidR="00C33FAA" w:rsidRPr="007E15F6" w:rsidRDefault="00C33FAA">
                              <w:pPr>
                                <w:widowControl w:val="0"/>
                                <w:spacing w:after="0"/>
                                <w:ind w:left="163" w:hanging="163"/>
                                <w:rPr>
                                  <w:rFonts w:asciiTheme="majorHAnsi" w:hAnsiTheme="majorHAnsi" w:cstheme="majorHAnsi"/>
                                  <w:sz w:val="18"/>
                                  <w:szCs w:val="18"/>
                                </w:rPr>
                              </w:pPr>
                              <w:r w:rsidRPr="00B25B55">
                                <w:rPr>
                                  <w:rFonts w:asciiTheme="majorHAnsi" w:hAnsiTheme="majorHAnsi" w:cstheme="majorHAnsi"/>
                                </w:rPr>
                                <w:t>· </w:t>
                              </w:r>
                              <w:r w:rsidRPr="007E15F6">
                                <w:rPr>
                                  <w:rFonts w:asciiTheme="majorHAnsi" w:hAnsiTheme="majorHAnsi" w:cstheme="majorHAnsi"/>
                                  <w:sz w:val="18"/>
                                  <w:szCs w:val="18"/>
                                </w:rPr>
                                <w:t>Educational participation</w:t>
                              </w:r>
                            </w:p>
                            <w:p w14:paraId="7B39B8B7" w14:textId="5692A4A3" w:rsidR="00C33FAA" w:rsidRDefault="00C33FAA">
                              <w:pPr>
                                <w:widowControl w:val="0"/>
                                <w:spacing w:after="0"/>
                                <w:ind w:left="163" w:hanging="163"/>
                                <w:rPr>
                                  <w:rFonts w:asciiTheme="majorHAnsi" w:hAnsiTheme="majorHAnsi" w:cstheme="majorHAnsi"/>
                                  <w:sz w:val="18"/>
                                  <w:szCs w:val="18"/>
                                </w:rPr>
                              </w:pPr>
                              <w:r w:rsidRPr="007E15F6">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 xml:space="preserve">Income and career prospects </w:t>
                              </w:r>
                            </w:p>
                            <w:p w14:paraId="76680C53" w14:textId="709F8C9D" w:rsidR="00C33FAA" w:rsidRPr="007E15F6" w:rsidRDefault="00C33FAA" w:rsidP="007E15F6">
                              <w:pPr>
                                <w:widowControl w:val="0"/>
                                <w:spacing w:after="0"/>
                                <w:ind w:left="142" w:hanging="142"/>
                                <w:rPr>
                                  <w:rFonts w:asciiTheme="majorHAnsi" w:hAnsiTheme="majorHAnsi" w:cstheme="majorHAnsi"/>
                                  <w:sz w:val="18"/>
                                  <w:szCs w:val="18"/>
                                </w:rPr>
                              </w:pPr>
                              <w:r w:rsidRPr="003B342F">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Length &amp; difficulty of transitions from school to work</w:t>
                              </w:r>
                            </w:p>
                            <w:p w14:paraId="10ADD161" w14:textId="52C2E731" w:rsidR="00C33FAA" w:rsidRPr="007E15F6" w:rsidRDefault="00C33FAA">
                              <w:pPr>
                                <w:widowControl w:val="0"/>
                                <w:spacing w:after="0"/>
                                <w:ind w:left="163" w:hanging="163"/>
                                <w:rPr>
                                  <w:rFonts w:asciiTheme="majorHAnsi" w:hAnsiTheme="majorHAnsi" w:cstheme="majorHAnsi"/>
                                  <w:sz w:val="18"/>
                                  <w:szCs w:val="18"/>
                                </w:rPr>
                              </w:pPr>
                              <w:r w:rsidRPr="007E15F6">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Uncertainty about future</w:t>
                              </w:r>
                            </w:p>
                            <w:p w14:paraId="77462836" w14:textId="1A2C24CF" w:rsidR="00C33FAA" w:rsidRPr="007E15F6" w:rsidRDefault="00C33FAA" w:rsidP="007E15F6">
                              <w:pPr>
                                <w:widowControl w:val="0"/>
                                <w:spacing w:after="0"/>
                                <w:ind w:left="142" w:hanging="142"/>
                                <w:rPr>
                                  <w:rFonts w:asciiTheme="majorHAnsi" w:hAnsiTheme="majorHAnsi" w:cstheme="majorHAnsi"/>
                                  <w:sz w:val="18"/>
                                  <w:szCs w:val="18"/>
                                </w:rPr>
                              </w:pPr>
                              <w:r w:rsidRPr="007E15F6">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Income relative to past       generations</w:t>
                              </w:r>
                            </w:p>
                            <w:p w14:paraId="5981A5BD" w14:textId="2A8CE328" w:rsidR="00C33FAA" w:rsidRPr="007E15F6" w:rsidRDefault="00C33FAA" w:rsidP="006C6E6D">
                              <w:pPr>
                                <w:widowControl w:val="0"/>
                                <w:spacing w:after="0"/>
                                <w:ind w:left="163" w:hanging="163"/>
                                <w:rPr>
                                  <w:rFonts w:asciiTheme="majorHAnsi" w:hAnsiTheme="majorHAnsi" w:cstheme="majorHAnsi"/>
                                  <w:sz w:val="18"/>
                                  <w:szCs w:val="18"/>
                                </w:rPr>
                              </w:pPr>
                              <w:r w:rsidRPr="007E15F6">
                                <w:rPr>
                                  <w:rFonts w:asciiTheme="majorHAnsi" w:hAnsiTheme="majorHAnsi" w:cstheme="majorHAnsi"/>
                                  <w:sz w:val="18"/>
                                  <w:szCs w:val="18"/>
                                </w:rPr>
                                <w:t>·</w:t>
                              </w:r>
                              <w:r>
                                <w:rPr>
                                  <w:rFonts w:asciiTheme="majorHAnsi" w:hAnsiTheme="majorHAnsi" w:cstheme="majorHAnsi"/>
                                  <w:sz w:val="18"/>
                                  <w:szCs w:val="18"/>
                                </w:rPr>
                                <w:t xml:space="preserve"> </w:t>
                              </w:r>
                              <w:r w:rsidRPr="007E15F6">
                                <w:rPr>
                                  <w:rFonts w:asciiTheme="majorHAnsi" w:hAnsiTheme="majorHAnsi" w:cstheme="majorHAnsi"/>
                                  <w:sz w:val="18"/>
                                  <w:szCs w:val="18"/>
                                </w:rPr>
                                <w:t xml:space="preserve"> Housing affordability</w:t>
                              </w:r>
                            </w:p>
                            <w:p w14:paraId="5DC022E4" w14:textId="77777777" w:rsidR="00C33FAA" w:rsidRPr="007E15F6" w:rsidRDefault="00C33FAA" w:rsidP="0097559F">
                              <w:pPr>
                                <w:widowControl w:val="0"/>
                                <w:spacing w:after="0"/>
                                <w:rPr>
                                  <w:rFonts w:asciiTheme="majorHAnsi" w:hAnsiTheme="majorHAnsi" w:cstheme="majorHAnsi"/>
                                  <w:sz w:val="18"/>
                                  <w:szCs w:val="18"/>
                                </w:rPr>
                              </w:pPr>
                            </w:p>
                          </w:txbxContent>
                        </wps:txbx>
                        <wps:bodyPr rot="0" vert="horz" wrap="square" lIns="36576" tIns="36576" rIns="36576" bIns="36576" anchor="t" anchorCtr="0" upright="1">
                          <a:noAutofit/>
                        </wps:bodyPr>
                      </wps:wsp>
                      <wps:wsp>
                        <wps:cNvPr id="251" name="Text Box 251"/>
                        <wps:cNvSpPr txBox="1">
                          <a:spLocks noChangeArrowheads="1"/>
                        </wps:cNvSpPr>
                        <wps:spPr bwMode="auto">
                          <a:xfrm>
                            <a:off x="4875530" y="2592705"/>
                            <a:ext cx="2014220" cy="2026937"/>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077FDD" w14:textId="77777777" w:rsidR="00C33FAA" w:rsidRDefault="00C33FAA" w:rsidP="0097559F">
                              <w:pPr>
                                <w:widowControl w:val="0"/>
                                <w:rPr>
                                  <w:b/>
                                  <w:bCs/>
                                </w:rPr>
                              </w:pPr>
                              <w:r>
                                <w:rPr>
                                  <w:b/>
                                  <w:bCs/>
                                </w:rPr>
                                <w:t>Social norms and lifestyles</w:t>
                              </w:r>
                            </w:p>
                            <w:p w14:paraId="4DC0FE80" w14:textId="77777777" w:rsidR="00C33FAA" w:rsidRDefault="00C33FAA" w:rsidP="0097559F">
                              <w:pPr>
                                <w:widowControl w:val="0"/>
                                <w:spacing w:after="0"/>
                                <w:rPr>
                                  <w:b/>
                                  <w:bCs/>
                                  <w:sz w:val="4"/>
                                  <w:szCs w:val="4"/>
                                </w:rPr>
                              </w:pPr>
                              <w:r>
                                <w:rPr>
                                  <w:b/>
                                  <w:bCs/>
                                  <w:sz w:val="4"/>
                                  <w:szCs w:val="4"/>
                                </w:rPr>
                                <w:t> </w:t>
                              </w:r>
                            </w:p>
                            <w:p w14:paraId="7FF05DB2" w14:textId="77777777" w:rsidR="00C33FAA" w:rsidRPr="007E15F6" w:rsidRDefault="00C33FAA" w:rsidP="006C6E6D">
                              <w:pPr>
                                <w:widowControl w:val="0"/>
                                <w:spacing w:after="0"/>
                                <w:ind w:left="142" w:hanging="142"/>
                                <w:rPr>
                                  <w:rFonts w:asciiTheme="majorHAnsi" w:hAnsiTheme="majorHAnsi" w:cstheme="majorHAnsi"/>
                                  <w:sz w:val="16"/>
                                  <w:szCs w:val="16"/>
                                </w:rPr>
                              </w:pPr>
                              <w:r w:rsidRPr="00B25B55">
                                <w:rPr>
                                  <w:rFonts w:asciiTheme="majorHAnsi" w:hAnsiTheme="majorHAnsi" w:cstheme="majorHAnsi"/>
                                </w:rPr>
                                <w:t>·</w:t>
                              </w:r>
                              <w:r>
                                <w:t> </w:t>
                              </w:r>
                              <w:r w:rsidRPr="007E15F6">
                                <w:rPr>
                                  <w:rFonts w:asciiTheme="majorHAnsi" w:hAnsiTheme="majorHAnsi" w:cstheme="majorHAnsi"/>
                                  <w:sz w:val="18"/>
                                  <w:szCs w:val="18"/>
                                </w:rPr>
                                <w:t>Social attitudes towards families and women's roles (male breadwinner or gender neutral)</w:t>
                              </w:r>
                            </w:p>
                            <w:p w14:paraId="434776C4" w14:textId="51FAC4AF" w:rsidR="00C33FAA" w:rsidRPr="007E15F6" w:rsidRDefault="00C33FAA" w:rsidP="006C6E6D">
                              <w:pPr>
                                <w:widowControl w:val="0"/>
                                <w:spacing w:after="0"/>
                                <w:ind w:left="142" w:hanging="142"/>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Post materialist values (individual autonomy and self-expression)</w:t>
                              </w:r>
                            </w:p>
                            <w:p w14:paraId="27A415D8" w14:textId="5016AEB3" w:rsidR="00C33FAA" w:rsidRPr="007E15F6" w:rsidRDefault="00C33FAA" w:rsidP="006C6E6D">
                              <w:pPr>
                                <w:widowControl w:val="0"/>
                                <w:spacing w:after="0"/>
                                <w:ind w:left="142" w:hanging="142"/>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 xml:space="preserve">Preferences for forms of      relationships (marriage </w:t>
                              </w:r>
                              <w:r>
                                <w:rPr>
                                  <w:rFonts w:asciiTheme="majorHAnsi" w:hAnsiTheme="majorHAnsi" w:cstheme="majorHAnsi"/>
                                  <w:sz w:val="18"/>
                                  <w:szCs w:val="18"/>
                                </w:rPr>
                                <w:t>or</w:t>
                              </w:r>
                              <w:r w:rsidRPr="007E15F6">
                                <w:rPr>
                                  <w:rFonts w:asciiTheme="majorHAnsi" w:hAnsiTheme="majorHAnsi" w:cstheme="majorHAnsi"/>
                                  <w:sz w:val="18"/>
                                  <w:szCs w:val="18"/>
                                </w:rPr>
                                <w:t xml:space="preserve">    cohabitation) </w:t>
                              </w:r>
                            </w:p>
                            <w:p w14:paraId="5CE6D4BC" w14:textId="7D4CC16C" w:rsidR="00C33FAA" w:rsidRPr="007E15F6" w:rsidRDefault="00C33FAA" w:rsidP="006C6E6D">
                              <w:pPr>
                                <w:widowControl w:val="0"/>
                                <w:spacing w:after="0"/>
                                <w:ind w:left="142" w:hanging="142"/>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Instability in relationship</w:t>
                              </w:r>
                              <w:r>
                                <w:rPr>
                                  <w:rFonts w:asciiTheme="majorHAnsi" w:hAnsiTheme="majorHAnsi" w:cstheme="majorHAnsi"/>
                                  <w:sz w:val="18"/>
                                  <w:szCs w:val="18"/>
                                </w:rPr>
                                <w:t xml:space="preserve"> </w:t>
                              </w:r>
                              <w:r w:rsidRPr="007E15F6">
                                <w:rPr>
                                  <w:rFonts w:asciiTheme="majorHAnsi" w:hAnsiTheme="majorHAnsi" w:cstheme="majorHAnsi"/>
                                  <w:sz w:val="18"/>
                                  <w:szCs w:val="18"/>
                                </w:rPr>
                                <w:t>formation</w:t>
                              </w:r>
                            </w:p>
                            <w:p w14:paraId="1E7C2543" w14:textId="1D19C96D" w:rsidR="00C33FAA" w:rsidRPr="007E15F6" w:rsidRDefault="00C33FAA" w:rsidP="006C6E6D">
                              <w:pPr>
                                <w:widowControl w:val="0"/>
                                <w:spacing w:after="0"/>
                                <w:ind w:left="142" w:hanging="142"/>
                                <w:rPr>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Contraceptive prevalence</w:t>
                              </w:r>
                            </w:p>
                          </w:txbxContent>
                        </wps:txbx>
                        <wps:bodyPr rot="0" vert="horz" wrap="square" lIns="36576" tIns="36576" rIns="36576" bIns="36576" anchor="t" anchorCtr="0" upright="1">
                          <a:noAutofit/>
                        </wps:bodyPr>
                      </wps:wsp>
                      <wps:wsp>
                        <wps:cNvPr id="252" name="Flowchart: Process 252"/>
                        <wps:cNvSpPr>
                          <a:spLocks noChangeArrowheads="1"/>
                        </wps:cNvSpPr>
                        <wps:spPr bwMode="auto">
                          <a:xfrm>
                            <a:off x="7650480" y="5553997"/>
                            <a:ext cx="1835785" cy="365760"/>
                          </a:xfrm>
                          <a:prstGeom prst="flowChartProcess">
                            <a:avLst/>
                          </a:prstGeom>
                          <a:solidFill>
                            <a:srgbClr val="FFFFFF"/>
                          </a:solidFill>
                          <a:ln w="12700">
                            <a:solidFill>
                              <a:schemeClr val="dk1">
                                <a:lumMod val="0"/>
                                <a:lumOff val="0"/>
                              </a:schemeClr>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AE4393" w14:textId="77777777" w:rsidR="00C33FAA" w:rsidRDefault="00C33FAA" w:rsidP="0097559F">
                              <w:pPr>
                                <w:widowControl w:val="0"/>
                                <w:jc w:val="center"/>
                              </w:pPr>
                              <w:r>
                                <w:rPr>
                                  <w:b/>
                                  <w:bCs/>
                                </w:rPr>
                                <w:t>Individual fertility outcomes</w:t>
                              </w:r>
                            </w:p>
                          </w:txbxContent>
                        </wps:txbx>
                        <wps:bodyPr rot="0" vert="horz" wrap="square" lIns="36576" tIns="36576" rIns="36576" bIns="36576" anchor="t" anchorCtr="0" upright="1">
                          <a:noAutofit/>
                        </wps:bodyPr>
                      </wps:wsp>
                      <wps:wsp>
                        <wps:cNvPr id="253" name="Text Box 253"/>
                        <wps:cNvSpPr txBox="1">
                          <a:spLocks noChangeArrowheads="1"/>
                        </wps:cNvSpPr>
                        <wps:spPr bwMode="auto">
                          <a:xfrm>
                            <a:off x="962025" y="4889046"/>
                            <a:ext cx="1644650" cy="1909263"/>
                          </a:xfrm>
                          <a:prstGeom prst="rect">
                            <a:avLst/>
                          </a:prstGeom>
                          <a:solidFill>
                            <a:srgbClr val="FFFFFF"/>
                          </a:solidFill>
                          <a:ln w="12700">
                            <a:solidFill>
                              <a:schemeClr val="dk1">
                                <a:lumMod val="0"/>
                                <a:lumOff val="0"/>
                              </a:schemeClr>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6315C7" w14:textId="77777777" w:rsidR="00C33FAA" w:rsidRDefault="00C33FAA" w:rsidP="007E15F6">
                              <w:pPr>
                                <w:widowControl w:val="0"/>
                                <w:spacing w:after="0"/>
                                <w:rPr>
                                  <w:b/>
                                  <w:bCs/>
                                </w:rPr>
                              </w:pPr>
                              <w:r>
                                <w:rPr>
                                  <w:b/>
                                  <w:bCs/>
                                </w:rPr>
                                <w:t>Individual factors</w:t>
                              </w:r>
                            </w:p>
                            <w:p w14:paraId="7F472FAE"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Age</w:t>
                              </w:r>
                            </w:p>
                            <w:p w14:paraId="68FD35D9" w14:textId="7636A0BF" w:rsidR="00C33FAA"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Relationship status</w:t>
                              </w:r>
                            </w:p>
                            <w:p w14:paraId="28C1C24A" w14:textId="3B248442" w:rsidR="00C33FAA" w:rsidRPr="007E15F6" w:rsidRDefault="00C33FAA" w:rsidP="00C861DB">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Pr>
                                  <w:rFonts w:asciiTheme="majorHAnsi" w:hAnsiTheme="majorHAnsi" w:cstheme="majorHAnsi"/>
                                  <w:sz w:val="18"/>
                                  <w:szCs w:val="18"/>
                                </w:rPr>
                                <w:t>Parity</w:t>
                              </w:r>
                            </w:p>
                            <w:p w14:paraId="5507A79D"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Education &amp; Income</w:t>
                              </w:r>
                            </w:p>
                            <w:p w14:paraId="21B60D73"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Gender role attitudes</w:t>
                              </w:r>
                            </w:p>
                            <w:p w14:paraId="602EBF54"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Geographic location</w:t>
                              </w:r>
                            </w:p>
                            <w:p w14:paraId="7C6EEF73"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Ethnicity</w:t>
                              </w:r>
                            </w:p>
                            <w:p w14:paraId="46E50B3C"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Religiosity</w:t>
                              </w:r>
                            </w:p>
                            <w:p w14:paraId="5BECCB65"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Family size of origin</w:t>
                              </w:r>
                            </w:p>
                            <w:p w14:paraId="2643D04A" w14:textId="77777777" w:rsidR="00C33FAA" w:rsidRPr="00B25B55" w:rsidRDefault="00C33FAA" w:rsidP="0097559F">
                              <w:pPr>
                                <w:widowControl w:val="0"/>
                                <w:rPr>
                                  <w:rFonts w:asciiTheme="majorHAnsi" w:hAnsiTheme="majorHAnsi" w:cstheme="majorHAnsi"/>
                                  <w:sz w:val="20"/>
                                  <w:szCs w:val="20"/>
                                </w:rPr>
                              </w:pPr>
                              <w:r w:rsidRPr="00B25B55">
                                <w:rPr>
                                  <w:rFonts w:asciiTheme="majorHAnsi" w:hAnsiTheme="majorHAnsi" w:cstheme="majorHAnsi"/>
                                </w:rPr>
                                <w:t> </w:t>
                              </w:r>
                            </w:p>
                          </w:txbxContent>
                        </wps:txbx>
                        <wps:bodyPr rot="0" vert="horz" wrap="square" lIns="36576" tIns="36576" rIns="36576" bIns="36576" anchor="t" anchorCtr="0" upright="1">
                          <a:noAutofit/>
                        </wps:bodyPr>
                      </wps:wsp>
                      <wps:wsp>
                        <wps:cNvPr id="254" name="Flowchart: Process 254"/>
                        <wps:cNvSpPr>
                          <a:spLocks noChangeArrowheads="1"/>
                        </wps:cNvSpPr>
                        <wps:spPr bwMode="auto">
                          <a:xfrm>
                            <a:off x="3220085" y="5600164"/>
                            <a:ext cx="1655445" cy="321310"/>
                          </a:xfrm>
                          <a:prstGeom prst="flowChartProcess">
                            <a:avLst/>
                          </a:prstGeom>
                          <a:solidFill>
                            <a:srgbClr val="FFFFFF"/>
                          </a:solidFill>
                          <a:ln w="12700">
                            <a:solidFill>
                              <a:srgbClr val="7F7F7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9A5E42" w14:textId="77777777" w:rsidR="00C33FAA" w:rsidRDefault="00C33FAA" w:rsidP="0097559F">
                              <w:pPr>
                                <w:widowControl w:val="0"/>
                                <w:jc w:val="center"/>
                              </w:pPr>
                              <w:r>
                                <w:rPr>
                                  <w:b/>
                                  <w:bCs/>
                                </w:rPr>
                                <w:t>Decision to have children</w:t>
                              </w:r>
                            </w:p>
                          </w:txbxContent>
                        </wps:txbx>
                        <wps:bodyPr rot="0" vert="horz" wrap="square" lIns="36576" tIns="36576" rIns="36576" bIns="36576" anchor="t" anchorCtr="0" upright="1">
                          <a:noAutofit/>
                        </wps:bodyPr>
                      </wps:wsp>
                      <wps:wsp>
                        <wps:cNvPr id="255" name="Straight Arrow Connector 255"/>
                        <wps:cNvCnPr>
                          <a:cxnSpLocks noChangeShapeType="1"/>
                        </wps:cNvCnPr>
                        <wps:spPr bwMode="auto">
                          <a:xfrm flipV="1">
                            <a:off x="107950" y="4743433"/>
                            <a:ext cx="9792335" cy="31750"/>
                          </a:xfrm>
                          <a:prstGeom prst="straightConnector1">
                            <a:avLst/>
                          </a:prstGeom>
                          <a:noFill/>
                          <a:ln w="28575">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56" name="Straight Arrow Connector 256"/>
                        <wps:cNvCnPr>
                          <a:cxnSpLocks noChangeShapeType="1"/>
                        </wps:cNvCnPr>
                        <wps:spPr bwMode="auto">
                          <a:xfrm flipV="1">
                            <a:off x="4875530" y="5752552"/>
                            <a:ext cx="2725420" cy="254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57" name="Text Box 257"/>
                        <wps:cNvSpPr txBox="1">
                          <a:spLocks noChangeArrowheads="1"/>
                        </wps:cNvSpPr>
                        <wps:spPr bwMode="auto">
                          <a:xfrm>
                            <a:off x="5490845" y="5462270"/>
                            <a:ext cx="1572260" cy="865529"/>
                          </a:xfrm>
                          <a:prstGeom prst="rect">
                            <a:avLst/>
                          </a:prstGeom>
                          <a:solidFill>
                            <a:srgbClr val="FFFFFF"/>
                          </a:solidFill>
                          <a:ln w="12700">
                            <a:solidFill>
                              <a:schemeClr val="dk1">
                                <a:lumMod val="0"/>
                                <a:lumOff val="0"/>
                              </a:schemeClr>
                            </a:solidFill>
                            <a:prstDash val="sysDot"/>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71EC65E" w14:textId="77777777" w:rsidR="00C33FAA" w:rsidRDefault="00C33FAA" w:rsidP="0097559F">
                              <w:pPr>
                                <w:widowControl w:val="0"/>
                                <w:rPr>
                                  <w:b/>
                                  <w:bCs/>
                                </w:rPr>
                              </w:pPr>
                              <w:r>
                                <w:rPr>
                                  <w:b/>
                                  <w:bCs/>
                                </w:rPr>
                                <w:t>Proximate determinants</w:t>
                              </w:r>
                            </w:p>
                            <w:p w14:paraId="02ACED6D" w14:textId="77777777" w:rsidR="00C33FAA" w:rsidRDefault="00C33FAA" w:rsidP="0097559F">
                              <w:pPr>
                                <w:widowControl w:val="0"/>
                                <w:ind w:left="224" w:hanging="224"/>
                                <w:rPr>
                                  <w:sz w:val="18"/>
                                  <w:szCs w:val="18"/>
                                </w:rPr>
                              </w:pPr>
                              <w:r>
                                <w:rPr>
                                  <w:rFonts w:ascii="Symbol" w:hAnsi="Symbol"/>
                                  <w:lang w:val="x-none"/>
                                </w:rPr>
                                <w:t></w:t>
                              </w:r>
                              <w:r>
                                <w:t> </w:t>
                              </w:r>
                              <w:r>
                                <w:rPr>
                                  <w:sz w:val="18"/>
                                  <w:szCs w:val="18"/>
                                </w:rPr>
                                <w:t>Contraceptive use</w:t>
                              </w:r>
                            </w:p>
                            <w:p w14:paraId="3F1D29F1" w14:textId="77777777" w:rsidR="00C33FAA" w:rsidRDefault="00C33FAA" w:rsidP="0097559F">
                              <w:pPr>
                                <w:widowControl w:val="0"/>
                                <w:ind w:left="224" w:hanging="224"/>
                                <w:rPr>
                                  <w:sz w:val="18"/>
                                  <w:szCs w:val="18"/>
                                </w:rPr>
                              </w:pPr>
                              <w:r>
                                <w:rPr>
                                  <w:rFonts w:ascii="Symbol" w:hAnsi="Symbol"/>
                                  <w:lang w:val="x-none"/>
                                </w:rPr>
                                <w:t></w:t>
                              </w:r>
                              <w:r>
                                <w:t> </w:t>
                              </w:r>
                              <w:r>
                                <w:rPr>
                                  <w:sz w:val="18"/>
                                  <w:szCs w:val="18"/>
                                </w:rPr>
                                <w:t>Sterility</w:t>
                              </w:r>
                            </w:p>
                          </w:txbxContent>
                        </wps:txbx>
                        <wps:bodyPr rot="0" vert="horz" wrap="square" lIns="36576" tIns="36576" rIns="36576" bIns="36576" anchor="t" anchorCtr="0" upright="1">
                          <a:noAutofit/>
                        </wps:bodyPr>
                      </wps:wsp>
                      <wps:wsp>
                        <wps:cNvPr id="258" name="Straight Arrow Connector 258"/>
                        <wps:cNvCnPr>
                          <a:cxnSpLocks noChangeShapeType="1"/>
                        </wps:cNvCnPr>
                        <wps:spPr bwMode="auto">
                          <a:xfrm>
                            <a:off x="2617470" y="5752552"/>
                            <a:ext cx="57277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59" name="Text Box 259"/>
                        <wps:cNvSpPr txBox="1">
                          <a:spLocks noChangeArrowheads="1"/>
                        </wps:cNvSpPr>
                        <wps:spPr bwMode="auto">
                          <a:xfrm>
                            <a:off x="85725" y="257176"/>
                            <a:ext cx="642620" cy="4362467"/>
                          </a:xfrm>
                          <a:prstGeom prst="rect">
                            <a:avLst/>
                          </a:prstGeom>
                          <a:solidFill>
                            <a:srgbClr val="F3F3F3"/>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DED6FF" w14:textId="77777777" w:rsidR="00C33FAA" w:rsidRDefault="00C33FAA" w:rsidP="0097559F">
                              <w:pPr>
                                <w:widowControl w:val="0"/>
                                <w:spacing w:after="0"/>
                                <w:jc w:val="center"/>
                                <w:rPr>
                                  <w:b/>
                                  <w:bCs/>
                                </w:rPr>
                              </w:pPr>
                              <w:r>
                                <w:rPr>
                                  <w:b/>
                                  <w:bCs/>
                                </w:rPr>
                                <w:t>MACRO LEVEL</w:t>
                              </w:r>
                            </w:p>
                          </w:txbxContent>
                        </wps:txbx>
                        <wps:bodyPr rot="0" vert="horz" wrap="square" lIns="36576" tIns="36576" rIns="36576" bIns="36576" anchor="t" anchorCtr="0" upright="1">
                          <a:noAutofit/>
                        </wps:bodyPr>
                      </wps:wsp>
                      <wps:wsp>
                        <wps:cNvPr id="260" name="Text Box 260"/>
                        <wps:cNvSpPr txBox="1">
                          <a:spLocks noChangeArrowheads="1"/>
                        </wps:cNvSpPr>
                        <wps:spPr bwMode="auto">
                          <a:xfrm>
                            <a:off x="85725" y="4889046"/>
                            <a:ext cx="642620" cy="1909263"/>
                          </a:xfrm>
                          <a:prstGeom prst="rect">
                            <a:avLst/>
                          </a:prstGeom>
                          <a:solidFill>
                            <a:srgbClr val="F3F3F3"/>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BEADA50" w14:textId="77777777" w:rsidR="00C33FAA" w:rsidRDefault="00C33FAA" w:rsidP="0097559F">
                              <w:pPr>
                                <w:widowControl w:val="0"/>
                                <w:spacing w:after="0"/>
                                <w:jc w:val="center"/>
                                <w:rPr>
                                  <w:b/>
                                  <w:bCs/>
                                </w:rPr>
                              </w:pPr>
                              <w:r>
                                <w:rPr>
                                  <w:b/>
                                  <w:bCs/>
                                </w:rPr>
                                <w:t>MICRO LEVEL</w:t>
                              </w:r>
                            </w:p>
                          </w:txbxContent>
                        </wps:txbx>
                        <wps:bodyPr rot="0" vert="horz" wrap="square" lIns="36576" tIns="36576" rIns="36576" bIns="36576" anchor="t" anchorCtr="0" upright="1">
                          <a:noAutofit/>
                        </wps:bodyPr>
                      </wps:wsp>
                      <wps:wsp>
                        <wps:cNvPr id="261" name="Text Box 261"/>
                        <wps:cNvSpPr txBox="1">
                          <a:spLocks noChangeArrowheads="1"/>
                        </wps:cNvSpPr>
                        <wps:spPr bwMode="auto">
                          <a:xfrm rot="-5400000">
                            <a:off x="4601845" y="-655955"/>
                            <a:ext cx="306070" cy="2140585"/>
                          </a:xfrm>
                          <a:prstGeom prst="rect">
                            <a:avLst/>
                          </a:prstGeom>
                          <a:solidFill>
                            <a:srgbClr val="ECECEC"/>
                          </a:solidFill>
                          <a:ln w="25400">
                            <a:solidFill>
                              <a:srgbClr val="7F7F7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C61B8F" w14:textId="77777777" w:rsidR="00C33FAA" w:rsidRDefault="00C33FAA" w:rsidP="0097559F">
                              <w:pPr>
                                <w:widowControl w:val="0"/>
                                <w:jc w:val="center"/>
                                <w:rPr>
                                  <w:caps/>
                                  <w:sz w:val="24"/>
                                  <w:szCs w:val="24"/>
                                </w:rPr>
                              </w:pPr>
                              <w:r>
                                <w:rPr>
                                  <w:caps/>
                                  <w:sz w:val="24"/>
                                  <w:szCs w:val="24"/>
                                </w:rPr>
                                <w:t>Economic context</w:t>
                              </w:r>
                            </w:p>
                          </w:txbxContent>
                        </wps:txbx>
                        <wps:bodyPr rot="0" vert="horz" wrap="square" lIns="36576" tIns="36576" rIns="36576" bIns="36576" anchor="t" anchorCtr="0" upright="1">
                          <a:noAutofit/>
                        </wps:bodyPr>
                      </wps:wsp>
                      <wps:wsp>
                        <wps:cNvPr id="262" name="Text Box 262"/>
                        <wps:cNvSpPr txBox="1">
                          <a:spLocks noChangeArrowheads="1"/>
                        </wps:cNvSpPr>
                        <wps:spPr bwMode="auto">
                          <a:xfrm rot="-5400000">
                            <a:off x="7021195" y="-655955"/>
                            <a:ext cx="306070" cy="2140585"/>
                          </a:xfrm>
                          <a:prstGeom prst="rect">
                            <a:avLst/>
                          </a:prstGeom>
                          <a:solidFill>
                            <a:srgbClr val="ECECEC"/>
                          </a:solidFill>
                          <a:ln w="25400">
                            <a:solidFill>
                              <a:srgbClr val="7F7F7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A1C1763" w14:textId="77777777" w:rsidR="00C33FAA" w:rsidRDefault="00C33FAA" w:rsidP="0097559F">
                              <w:pPr>
                                <w:widowControl w:val="0"/>
                                <w:jc w:val="center"/>
                                <w:rPr>
                                  <w:caps/>
                                  <w:sz w:val="24"/>
                                  <w:szCs w:val="24"/>
                                </w:rPr>
                              </w:pPr>
                              <w:r>
                                <w:rPr>
                                  <w:caps/>
                                  <w:sz w:val="24"/>
                                  <w:szCs w:val="24"/>
                                </w:rPr>
                                <w:t>Cultural context</w:t>
                              </w:r>
                            </w:p>
                          </w:txbxContent>
                        </wps:txbx>
                        <wps:bodyPr rot="0" vert="horz" wrap="square" lIns="36576" tIns="36576" rIns="36576" bIns="36576" anchor="t" anchorCtr="0" upright="1">
                          <a:noAutofit/>
                        </wps:bodyPr>
                      </wps:wsp>
                      <wps:wsp>
                        <wps:cNvPr id="263" name="Straight Arrow Connector 263"/>
                        <wps:cNvCnPr>
                          <a:cxnSpLocks noChangeShapeType="1"/>
                        </wps:cNvCnPr>
                        <wps:spPr bwMode="auto">
                          <a:xfrm flipH="1">
                            <a:off x="1908810" y="2292985"/>
                            <a:ext cx="635" cy="29019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64" name="Straight Arrow Connector 264"/>
                        <wps:cNvCnPr>
                          <a:cxnSpLocks noChangeShapeType="1"/>
                        </wps:cNvCnPr>
                        <wps:spPr bwMode="auto">
                          <a:xfrm>
                            <a:off x="4163060" y="2299335"/>
                            <a:ext cx="1668780" cy="274320"/>
                          </a:xfrm>
                          <a:prstGeom prst="straightConnector1">
                            <a:avLst/>
                          </a:prstGeom>
                          <a:noFill/>
                          <a:ln w="25400" cap="rnd">
                            <a:solidFill>
                              <a:schemeClr val="dk1">
                                <a:lumMod val="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65" name="Straight Arrow Connector 265"/>
                        <wps:cNvCnPr>
                          <a:cxnSpLocks noChangeShapeType="1"/>
                        </wps:cNvCnPr>
                        <wps:spPr bwMode="auto">
                          <a:xfrm flipH="1">
                            <a:off x="2219960" y="2296795"/>
                            <a:ext cx="1940560" cy="2686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66" name="Straight Arrow Connector 266"/>
                        <wps:cNvCnPr>
                          <a:cxnSpLocks noChangeShapeType="1"/>
                        </wps:cNvCnPr>
                        <wps:spPr bwMode="auto">
                          <a:xfrm flipH="1">
                            <a:off x="4162425" y="2279650"/>
                            <a:ext cx="5080" cy="28384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67" name="Text Box 267"/>
                        <wps:cNvSpPr txBox="1">
                          <a:spLocks noChangeArrowheads="1"/>
                        </wps:cNvSpPr>
                        <wps:spPr bwMode="auto">
                          <a:xfrm>
                            <a:off x="8016240" y="1448435"/>
                            <a:ext cx="1685925" cy="397510"/>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2BA1405" w14:textId="77777777" w:rsidR="00C33FAA" w:rsidRDefault="00C33FAA" w:rsidP="0097559F">
                              <w:pPr>
                                <w:widowControl w:val="0"/>
                                <w:spacing w:after="0"/>
                                <w:jc w:val="center"/>
                                <w:rPr>
                                  <w:b/>
                                  <w:bCs/>
                                </w:rPr>
                              </w:pPr>
                              <w:r>
                                <w:rPr>
                                  <w:b/>
                                  <w:bCs/>
                                </w:rPr>
                                <w:t>National fertility rates</w:t>
                              </w:r>
                            </w:p>
                          </w:txbxContent>
                        </wps:txbx>
                        <wps:bodyPr rot="0" vert="horz" wrap="square" lIns="36576" tIns="36576" rIns="36576" bIns="36576" anchor="t" anchorCtr="0" upright="1">
                          <a:noAutofit/>
                        </wps:bodyPr>
                      </wps:wsp>
                      <wps:wsp>
                        <wps:cNvPr id="268" name="Straight Arrow Connector 268"/>
                        <wps:cNvCnPr>
                          <a:cxnSpLocks noChangeShapeType="1"/>
                        </wps:cNvCnPr>
                        <wps:spPr bwMode="auto">
                          <a:xfrm flipV="1">
                            <a:off x="8961755" y="1874521"/>
                            <a:ext cx="1" cy="364096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69" name="Text Box 269"/>
                        <wps:cNvSpPr txBox="1">
                          <a:spLocks noChangeArrowheads="1"/>
                        </wps:cNvSpPr>
                        <wps:spPr bwMode="auto">
                          <a:xfrm>
                            <a:off x="5265420" y="742315"/>
                            <a:ext cx="276860" cy="1537335"/>
                          </a:xfrm>
                          <a:prstGeom prst="rect">
                            <a:avLst/>
                          </a:prstGeom>
                          <a:solidFill>
                            <a:srgbClr val="ECECEC"/>
                          </a:solidFill>
                          <a:ln w="25400">
                            <a:solidFill>
                              <a:srgbClr val="777777"/>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79EE29A" w14:textId="77777777" w:rsidR="00C33FAA" w:rsidRDefault="00C33FAA" w:rsidP="0097559F">
                              <w:pPr>
                                <w:widowControl w:val="0"/>
                                <w:spacing w:after="0"/>
                                <w:jc w:val="center"/>
                              </w:pPr>
                              <w:r>
                                <w:t>POLICIES</w:t>
                              </w:r>
                            </w:p>
                          </w:txbxContent>
                        </wps:txbx>
                        <wps:bodyPr rot="0" vert="eaVert" wrap="square" lIns="36576" tIns="36576" rIns="36576" bIns="36576" anchor="t" anchorCtr="0" upright="1">
                          <a:noAutofit/>
                        </wps:bodyPr>
                      </wps:wsp>
                      <wps:wsp>
                        <wps:cNvPr id="271" name="Text Box 271"/>
                        <wps:cNvSpPr txBox="1"/>
                        <wps:spPr>
                          <a:xfrm>
                            <a:off x="0" y="6838947"/>
                            <a:ext cx="4619708" cy="212117"/>
                          </a:xfrm>
                          <a:prstGeom prst="rect">
                            <a:avLst/>
                          </a:prstGeom>
                          <a:solidFill>
                            <a:schemeClr val="lt1"/>
                          </a:solidFill>
                          <a:ln w="6350">
                            <a:noFill/>
                          </a:ln>
                        </wps:spPr>
                        <wps:txbx>
                          <w:txbxContent>
                            <w:p w14:paraId="71B4EA90" w14:textId="232938F1" w:rsidR="00C33FAA" w:rsidRPr="00B40879" w:rsidRDefault="00C33FAA" w:rsidP="0097559F">
                              <w:pPr>
                                <w:rPr>
                                  <w:sz w:val="16"/>
                                  <w:szCs w:val="16"/>
                                </w:rPr>
                              </w:pPr>
                              <w:r w:rsidRPr="00B40879">
                                <w:rPr>
                                  <w:sz w:val="16"/>
                                  <w:szCs w:val="16"/>
                                </w:rPr>
                                <w:t>Source</w:t>
                              </w:r>
                              <w:r>
                                <w:rPr>
                                  <w:sz w:val="16"/>
                                  <w:szCs w:val="16"/>
                                </w:rPr>
                                <w:t xml:space="preserve">: Adapted from Sleebos (2003); Lattimore and Poke (2008); </w:t>
                              </w:r>
                              <w:r w:rsidRPr="00C87913">
                                <w:rPr>
                                  <w:sz w:val="16"/>
                                  <w:szCs w:val="16"/>
                                </w:rPr>
                                <w:t xml:space="preserve">Liefbroer, </w:t>
                              </w:r>
                              <w:r w:rsidRPr="00C87913">
                                <w:rPr>
                                  <w:i/>
                                  <w:iCs/>
                                  <w:sz w:val="16"/>
                                  <w:szCs w:val="16"/>
                                </w:rPr>
                                <w:t>et al</w:t>
                              </w:r>
                              <w:r w:rsidRPr="00C87913">
                                <w:rPr>
                                  <w:sz w:val="16"/>
                                  <w:szCs w:val="16"/>
                                </w:rPr>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D635D" id="Group 242" o:spid="_x0000_s1035" style="position:absolute;margin-left:-41pt;margin-top:-37pt;width:779.55pt;height:534.9pt;z-index:251658255;mso-position-vertical-relative:margin;mso-width-relative:margin;mso-height-relative:margin" coordorigin=",2571" coordsize="99002,6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">
                <v:shape id="Text Box 243" o:spid="_x0000_s1036" type="#_x0000_t202" style="position:absolute;left:9620;top:7423;width:2140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" fillcolor="#ececec" strokecolor="#7f7f7f" strokeweight="2pt">
                  <v:shadow color="black [0]"/>
                  <v:textbox inset="2.88pt,2.88pt,2.88pt,2.88pt">
                    <w:txbxContent>
                      <w:p w14:paraId="5053F975" w14:textId="77777777" w:rsidR="00C33FAA" w:rsidRDefault="00C33FAA" w:rsidP="0097559F">
                        <w:pPr>
                          <w:widowControl w:val="0"/>
                          <w:jc w:val="center"/>
                        </w:pPr>
                        <w:r>
                          <w:t>DIRECT POLICIES</w:t>
                        </w:r>
                      </w:p>
                    </w:txbxContent>
                  </v:textbox>
                </v:shape>
                <v:shape id="Text Box 244" o:spid="_x0000_s1037" type="#_x0000_t202" style="position:absolute;left:31146;top:7429;width:21451;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" fillcolor="#ececec" strokecolor="#7f7f7f" strokeweight="2pt">
                  <v:shadow color="black [0]"/>
                  <v:textbox inset="2.88pt,2.88pt,2.88pt,2.88pt">
                    <w:txbxContent>
                      <w:p w14:paraId="4095D53F" w14:textId="77777777" w:rsidR="00C33FAA" w:rsidRDefault="00C33FAA" w:rsidP="0097559F">
                        <w:pPr>
                          <w:widowControl w:val="0"/>
                          <w:jc w:val="center"/>
                        </w:pPr>
                        <w:r>
                          <w:t>INDIRECT POLICIES</w:t>
                        </w:r>
                      </w:p>
                    </w:txbxContent>
                  </v:textbox>
                </v:shape>
                <v:shape id="Text Box 245" o:spid="_x0000_s1038" type="#_x0000_t202" style="position:absolute;left:9620;top:9877;width:21406;height:1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" filled="f" fillcolor="#5b9bd5" strokecolor="#7f7f7f" strokeweight="2pt">
                  <v:shadow color="black [0]"/>
                  <v:textbox inset="2.88pt,2.88pt,2.88pt,2.88pt">
                    <w:txbxContent>
                      <w:p w14:paraId="4F22A043" w14:textId="77777777" w:rsidR="00C33FAA" w:rsidRDefault="00C33FAA" w:rsidP="0097559F">
                        <w:pPr>
                          <w:widowControl w:val="0"/>
                          <w:rPr>
                            <w:b/>
                            <w:bCs/>
                          </w:rPr>
                        </w:pPr>
                        <w:r>
                          <w:rPr>
                            <w:b/>
                            <w:bCs/>
                          </w:rPr>
                          <w:t xml:space="preserve">Financial incentives </w:t>
                        </w:r>
                      </w:p>
                      <w:p w14:paraId="7E6B0407" w14:textId="77777777" w:rsidR="00C33FAA" w:rsidRPr="006C6E6D" w:rsidRDefault="00C33FAA" w:rsidP="007E15F6">
                        <w:pPr>
                          <w:widowControl w:val="0"/>
                          <w:spacing w:after="0" w:line="360" w:lineRule="auto"/>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Cash transfers (baby bonus)</w:t>
                        </w:r>
                      </w:p>
                      <w:p w14:paraId="6A866AA4" w14:textId="77777777" w:rsidR="00C33FAA" w:rsidRPr="006C6E6D" w:rsidRDefault="00C33FAA" w:rsidP="007E15F6">
                        <w:pPr>
                          <w:widowControl w:val="0"/>
                          <w:spacing w:after="0" w:line="360" w:lineRule="auto"/>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Tax benefits to families with children</w:t>
                        </w:r>
                      </w:p>
                      <w:p w14:paraId="41B5F736" w14:textId="77777777" w:rsidR="00C33FAA" w:rsidRPr="006C6E6D" w:rsidRDefault="00C33FAA" w:rsidP="007E15F6">
                        <w:pPr>
                          <w:widowControl w:val="0"/>
                          <w:spacing w:after="0" w:line="360" w:lineRule="auto"/>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Specific subsidies (e.g. housing)</w:t>
                        </w:r>
                      </w:p>
                      <w:p w14:paraId="7CD9A017" w14:textId="6F3CDF65" w:rsidR="00C33FAA" w:rsidRPr="006C6E6D" w:rsidRDefault="00C33FAA" w:rsidP="00244248">
                        <w:pPr>
                          <w:pStyle w:val="ListParagraph"/>
                          <w:widowControl w:val="0"/>
                          <w:numPr>
                            <w:ilvl w:val="0"/>
                            <w:numId w:val="24"/>
                          </w:numPr>
                          <w:spacing w:after="0" w:line="360" w:lineRule="auto"/>
                          <w:ind w:left="142" w:hanging="142"/>
                          <w:rPr>
                            <w:rFonts w:asciiTheme="majorHAnsi" w:hAnsiTheme="majorHAnsi" w:cstheme="majorHAnsi"/>
                            <w:sz w:val="20"/>
                            <w:szCs w:val="20"/>
                          </w:rPr>
                        </w:pPr>
                        <w:r w:rsidRPr="006C6E6D">
                          <w:rPr>
                            <w:rFonts w:asciiTheme="majorHAnsi" w:hAnsiTheme="majorHAnsi" w:cstheme="majorHAnsi"/>
                            <w:sz w:val="20"/>
                            <w:szCs w:val="20"/>
                          </w:rPr>
                          <w:t>Eligibility rules for welfare</w:t>
                        </w:r>
                      </w:p>
                      <w:p w14:paraId="43DF8B84" w14:textId="6EAD02F2" w:rsidR="00C33FAA" w:rsidRDefault="00C33FAA" w:rsidP="00C861DB">
                        <w:pPr>
                          <w:widowControl w:val="0"/>
                          <w:ind w:left="217" w:hanging="217"/>
                        </w:pPr>
                      </w:p>
                    </w:txbxContent>
                  </v:textbox>
                </v:shape>
                <v:shape id="Text Box 246" o:spid="_x0000_s1039" type="#_x0000_t202" style="position:absolute;left:31115;top:9848;width:10636;height:1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" filled="f" fillcolor="#5b9bd5" strokecolor="#7f7f7f" strokeweight="2pt">
                  <v:shadow color="black [0]"/>
                  <v:textbox inset="2.88pt,2.88pt,2.88pt,2.88pt">
                    <w:txbxContent>
                      <w:p w14:paraId="71F815DA" w14:textId="3B4C27A5" w:rsidR="00C33FAA" w:rsidRDefault="008D52A6" w:rsidP="0097559F">
                        <w:pPr>
                          <w:widowControl w:val="0"/>
                          <w:rPr>
                            <w:b/>
                            <w:bCs/>
                          </w:rPr>
                        </w:pPr>
                        <w:r>
                          <w:rPr>
                            <w:b/>
                            <w:bCs/>
                          </w:rPr>
                          <w:t>Child care</w:t>
                        </w:r>
                      </w:p>
                      <w:p w14:paraId="556B304C" w14:textId="77777777" w:rsidR="00C33FAA" w:rsidRPr="006C6E6D" w:rsidRDefault="00C33FAA" w:rsidP="0097559F">
                        <w:pPr>
                          <w:widowControl w:val="0"/>
                          <w:ind w:left="217" w:hanging="217"/>
                          <w:rPr>
                            <w:rFonts w:asciiTheme="majorHAnsi" w:hAnsiTheme="majorHAnsi" w:cstheme="majorHAnsi"/>
                            <w:sz w:val="20"/>
                            <w:szCs w:val="20"/>
                          </w:rPr>
                        </w:pPr>
                        <w:r w:rsidRPr="00B25B55">
                          <w:rPr>
                            <w:rFonts w:asciiTheme="majorHAnsi" w:hAnsiTheme="majorHAnsi" w:cstheme="majorHAnsi"/>
                            <w:lang w:val="x-none"/>
                          </w:rPr>
                          <w:t>·</w:t>
                        </w:r>
                        <w:r w:rsidRPr="00B25B55">
                          <w:rPr>
                            <w:rFonts w:asciiTheme="majorHAnsi" w:hAnsiTheme="majorHAnsi" w:cstheme="majorHAnsi"/>
                          </w:rPr>
                          <w:t> </w:t>
                        </w:r>
                        <w:r w:rsidRPr="006C6E6D">
                          <w:rPr>
                            <w:rFonts w:asciiTheme="majorHAnsi" w:hAnsiTheme="majorHAnsi" w:cstheme="majorHAnsi"/>
                            <w:sz w:val="20"/>
                            <w:szCs w:val="20"/>
                          </w:rPr>
                          <w:t>Availability</w:t>
                        </w:r>
                      </w:p>
                      <w:p w14:paraId="0C28C73A" w14:textId="77777777" w:rsidR="00C33FAA" w:rsidRPr="006C6E6D" w:rsidRDefault="00C33FAA" w:rsidP="0097559F">
                        <w:pPr>
                          <w:widowControl w:val="0"/>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Cost</w:t>
                        </w:r>
                      </w:p>
                      <w:p w14:paraId="136FB9F7" w14:textId="77777777" w:rsidR="00C33FAA" w:rsidRPr="006C6E6D" w:rsidRDefault="00C33FAA" w:rsidP="0097559F">
                        <w:pPr>
                          <w:widowControl w:val="0"/>
                          <w:ind w:left="217" w:hanging="217"/>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xml:space="preserve"> Quality </w:t>
                        </w:r>
                      </w:p>
                    </w:txbxContent>
                  </v:textbox>
                </v:shape>
                <v:shape id="Text Box 247" o:spid="_x0000_s1040" type="#_x0000_t202" style="position:absolute;left:41757;top:9848;width:10897;height:1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" strokecolor="#7f7f7f" strokeweight="2pt">
                  <v:shadow color="black [0]"/>
                  <v:textbox inset="2.88pt,2.88pt,2.88pt,2.88pt">
                    <w:txbxContent>
                      <w:p w14:paraId="403DED8E" w14:textId="77777777" w:rsidR="00C33FAA" w:rsidRDefault="00C33FAA" w:rsidP="0097559F">
                        <w:pPr>
                          <w:widowControl w:val="0"/>
                          <w:rPr>
                            <w:b/>
                            <w:bCs/>
                          </w:rPr>
                        </w:pPr>
                        <w:r>
                          <w:rPr>
                            <w:b/>
                            <w:bCs/>
                          </w:rPr>
                          <w:t>Parental leave</w:t>
                        </w:r>
                      </w:p>
                      <w:p w14:paraId="22CF3C9A" w14:textId="77777777" w:rsidR="00C33FAA" w:rsidRPr="006C6E6D" w:rsidRDefault="00C33FAA" w:rsidP="0097559F">
                        <w:pPr>
                          <w:widowControl w:val="0"/>
                          <w:ind w:left="217" w:hanging="217"/>
                          <w:rPr>
                            <w:rFonts w:asciiTheme="majorHAnsi" w:hAnsiTheme="majorHAnsi" w:cstheme="majorHAnsi"/>
                            <w:sz w:val="20"/>
                            <w:szCs w:val="20"/>
                          </w:rPr>
                        </w:pPr>
                        <w:r w:rsidRPr="00B25B55">
                          <w:rPr>
                            <w:rFonts w:asciiTheme="majorHAnsi" w:hAnsiTheme="majorHAnsi" w:cstheme="majorHAnsi"/>
                            <w:lang w:val="x-none"/>
                          </w:rPr>
                          <w:t>·</w:t>
                        </w:r>
                        <w:r w:rsidRPr="00B25B55">
                          <w:rPr>
                            <w:rFonts w:asciiTheme="majorHAnsi" w:hAnsiTheme="majorHAnsi" w:cstheme="majorHAnsi"/>
                          </w:rPr>
                          <w:t> </w:t>
                        </w:r>
                        <w:r w:rsidRPr="006C6E6D">
                          <w:rPr>
                            <w:rFonts w:asciiTheme="majorHAnsi" w:hAnsiTheme="majorHAnsi" w:cstheme="majorHAnsi"/>
                            <w:sz w:val="20"/>
                            <w:szCs w:val="20"/>
                          </w:rPr>
                          <w:t>Duration</w:t>
                        </w:r>
                      </w:p>
                      <w:p w14:paraId="03549586" w14:textId="77777777" w:rsidR="00C33FAA" w:rsidRPr="006C6E6D" w:rsidRDefault="00C33FAA" w:rsidP="006C6E6D">
                        <w:pPr>
                          <w:widowControl w:val="0"/>
                          <w:ind w:left="142" w:hanging="142"/>
                          <w:rPr>
                            <w:rFonts w:asciiTheme="majorHAnsi" w:hAnsiTheme="majorHAnsi" w:cstheme="majorHAnsi"/>
                            <w:sz w:val="20"/>
                            <w:szCs w:val="20"/>
                          </w:rPr>
                        </w:pPr>
                        <w:r w:rsidRPr="006C6E6D">
                          <w:rPr>
                            <w:rFonts w:asciiTheme="majorHAnsi" w:hAnsiTheme="majorHAnsi" w:cstheme="majorHAnsi"/>
                            <w:sz w:val="20"/>
                            <w:szCs w:val="20"/>
                            <w:lang w:val="x-none"/>
                          </w:rPr>
                          <w:t>·</w:t>
                        </w:r>
                        <w:r w:rsidRPr="006C6E6D">
                          <w:rPr>
                            <w:rFonts w:asciiTheme="majorHAnsi" w:hAnsiTheme="majorHAnsi" w:cstheme="majorHAnsi"/>
                            <w:sz w:val="20"/>
                            <w:szCs w:val="20"/>
                          </w:rPr>
                          <w:t> Replacement wage</w:t>
                        </w:r>
                      </w:p>
                      <w:p w14:paraId="5EF8E449" w14:textId="77777777" w:rsidR="00C33FAA" w:rsidRDefault="00C33FAA" w:rsidP="0097559F">
                        <w:pPr>
                          <w:widowControl w:val="0"/>
                        </w:pPr>
                        <w:r>
                          <w:t> </w:t>
                        </w:r>
                      </w:p>
                    </w:txbxContent>
                  </v:textbox>
                </v:shape>
                <v:shape id="Text Box 248" o:spid="_x0000_s1041" type="#_x0000_t202" style="position:absolute;left:20974;top:-6554;width:3046;height:214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" fillcolor="#ececec" strokecolor="#7f7f7f" strokeweight="2pt">
                  <v:shadow color="black [0]"/>
                  <v:textbox inset="2.88pt,2.88pt,2.88pt,2.88pt">
                    <w:txbxContent>
                      <w:p w14:paraId="0D5A9D9D" w14:textId="77777777" w:rsidR="00C33FAA" w:rsidRDefault="00C33FAA" w:rsidP="0097559F">
                        <w:pPr>
                          <w:widowControl w:val="0"/>
                          <w:jc w:val="center"/>
                          <w:rPr>
                            <w:caps/>
                            <w:sz w:val="24"/>
                            <w:szCs w:val="24"/>
                          </w:rPr>
                        </w:pPr>
                        <w:r>
                          <w:rPr>
                            <w:caps/>
                            <w:sz w:val="24"/>
                            <w:szCs w:val="24"/>
                          </w:rPr>
                          <w:t>Institutional  context</w:t>
                        </w:r>
                      </w:p>
                    </w:txbxContent>
                  </v:textbox>
                </v:shape>
                <v:shape id="Text Box 249" o:spid="_x0000_s1042" type="#_x0000_t202" style="position:absolute;left:9620;top:25927;width:18186;height:2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" filled="f" fillcolor="#5b9bd5" strokecolor="#7f7f7f" strokeweight="2pt">
                  <v:shadow color="black [0]"/>
                  <v:textbox inset="2.88pt,2.88pt,2.88pt,2.88pt">
                    <w:txbxContent>
                      <w:p w14:paraId="685D5963" w14:textId="77777777" w:rsidR="00C33FAA" w:rsidRDefault="00C33FAA" w:rsidP="0097559F">
                        <w:pPr>
                          <w:widowControl w:val="0"/>
                          <w:rPr>
                            <w:b/>
                            <w:bCs/>
                          </w:rPr>
                        </w:pPr>
                        <w:r>
                          <w:rPr>
                            <w:b/>
                            <w:bCs/>
                          </w:rPr>
                          <w:t>Costs and benefits of children</w:t>
                        </w:r>
                      </w:p>
                      <w:p w14:paraId="603B247F" w14:textId="03F3B64E" w:rsidR="00C33FAA" w:rsidRPr="007E15F6" w:rsidRDefault="00C33FAA" w:rsidP="006C6E6D">
                        <w:pPr>
                          <w:widowControl w:val="0"/>
                          <w:spacing w:after="0"/>
                          <w:ind w:left="142" w:hanging="142"/>
                          <w:rPr>
                            <w:rFonts w:asciiTheme="majorHAnsi" w:hAnsiTheme="majorHAnsi" w:cstheme="majorHAnsi"/>
                            <w:sz w:val="18"/>
                            <w:szCs w:val="18"/>
                          </w:rPr>
                        </w:pPr>
                        <w:r w:rsidRPr="007E15F6">
                          <w:rPr>
                            <w:b/>
                            <w:bCs/>
                            <w:sz w:val="2"/>
                            <w:szCs w:val="2"/>
                          </w:rPr>
                          <w:t> </w:t>
                        </w:r>
                        <w:r w:rsidRPr="007E15F6">
                          <w:rPr>
                            <w:rFonts w:asciiTheme="majorHAnsi" w:hAnsiTheme="majorHAnsi" w:cstheme="majorHAnsi"/>
                            <w:sz w:val="20"/>
                            <w:szCs w:val="20"/>
                            <w:lang w:val="x-none"/>
                          </w:rPr>
                          <w:t>·</w:t>
                        </w:r>
                        <w:r w:rsidRPr="007E15F6">
                          <w:rPr>
                            <w:rFonts w:asciiTheme="majorHAnsi" w:hAnsiTheme="majorHAnsi" w:cstheme="majorHAnsi"/>
                            <w:sz w:val="20"/>
                            <w:szCs w:val="20"/>
                          </w:rPr>
                          <w:t> </w:t>
                        </w:r>
                        <w:r w:rsidRPr="007E15F6">
                          <w:rPr>
                            <w:rFonts w:asciiTheme="majorHAnsi" w:hAnsiTheme="majorHAnsi" w:cstheme="majorHAnsi"/>
                            <w:sz w:val="18"/>
                            <w:szCs w:val="18"/>
                          </w:rPr>
                          <w:t>Parental expectations of</w:t>
                        </w:r>
                        <w:r>
                          <w:rPr>
                            <w:rFonts w:asciiTheme="majorHAnsi" w:hAnsiTheme="majorHAnsi" w:cstheme="majorHAnsi"/>
                            <w:sz w:val="18"/>
                            <w:szCs w:val="18"/>
                          </w:rPr>
                          <w:t xml:space="preserve"> </w:t>
                        </w:r>
                        <w:r w:rsidRPr="007E15F6">
                          <w:rPr>
                            <w:rFonts w:asciiTheme="majorHAnsi" w:hAnsiTheme="majorHAnsi" w:cstheme="majorHAnsi"/>
                            <w:sz w:val="18"/>
                            <w:szCs w:val="18"/>
                          </w:rPr>
                          <w:t>support and care by children (in family business or old age)</w:t>
                        </w:r>
                      </w:p>
                      <w:p w14:paraId="57F40DCD" w14:textId="4E05B955" w:rsidR="00C33FAA" w:rsidRPr="007E15F6" w:rsidRDefault="00C33FAA" w:rsidP="006C6E6D">
                        <w:pPr>
                          <w:widowControl w:val="0"/>
                          <w:spacing w:after="0"/>
                          <w:ind w:left="142" w:hanging="142"/>
                          <w:rPr>
                            <w:rFonts w:asciiTheme="majorHAnsi" w:hAnsiTheme="majorHAnsi" w:cstheme="majorHAnsi"/>
                            <w:sz w:val="20"/>
                            <w:szCs w:val="20"/>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Psychological benefits of children</w:t>
                        </w:r>
                      </w:p>
                      <w:p w14:paraId="421423E2" w14:textId="77777777" w:rsidR="00C33FAA" w:rsidRDefault="00C33FAA" w:rsidP="0097559F">
                        <w:pPr>
                          <w:widowControl w:val="0"/>
                          <w:spacing w:after="0"/>
                          <w:rPr>
                            <w:rFonts w:asciiTheme="majorHAnsi" w:hAnsiTheme="majorHAnsi" w:cstheme="majorHAnsi"/>
                            <w:sz w:val="18"/>
                            <w:szCs w:val="18"/>
                          </w:rPr>
                        </w:pPr>
                      </w:p>
                      <w:p w14:paraId="48C2605E" w14:textId="720EEFD8" w:rsidR="00C33FAA" w:rsidRPr="007E15F6" w:rsidRDefault="00C33FAA" w:rsidP="0097559F">
                        <w:pPr>
                          <w:widowControl w:val="0"/>
                          <w:spacing w:after="0"/>
                          <w:rPr>
                            <w:rFonts w:asciiTheme="majorHAnsi" w:hAnsiTheme="majorHAnsi" w:cstheme="majorHAnsi"/>
                            <w:sz w:val="16"/>
                            <w:szCs w:val="16"/>
                          </w:rPr>
                        </w:pPr>
                        <w:r w:rsidRPr="007E15F6">
                          <w:rPr>
                            <w:rFonts w:asciiTheme="majorHAnsi" w:hAnsiTheme="majorHAnsi" w:cstheme="majorHAnsi"/>
                            <w:sz w:val="18"/>
                            <w:szCs w:val="18"/>
                          </w:rPr>
                          <w:t>Costs of rearing children</w:t>
                        </w:r>
                      </w:p>
                      <w:p w14:paraId="63F7C964" w14:textId="6DC2E46A" w:rsidR="00C33FAA" w:rsidRDefault="00C33FAA" w:rsidP="0097559F">
                        <w:pPr>
                          <w:widowControl w:val="0"/>
                          <w:spacing w:after="0"/>
                          <w:ind w:left="496" w:hanging="224"/>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xml:space="preserve"> Direct costs </w:t>
                        </w:r>
                      </w:p>
                      <w:p w14:paraId="68C197C3" w14:textId="2252113C" w:rsidR="00C33FAA" w:rsidRPr="00693478" w:rsidRDefault="00C33FAA" w:rsidP="0097559F">
                        <w:pPr>
                          <w:widowControl w:val="0"/>
                          <w:spacing w:after="0"/>
                          <w:ind w:left="496" w:hanging="224"/>
                          <w:rPr>
                            <w:rFonts w:asciiTheme="majorHAnsi" w:hAnsiTheme="majorHAnsi" w:cstheme="majorHAnsi"/>
                            <w:i/>
                            <w:iCs/>
                            <w:sz w:val="18"/>
                            <w:szCs w:val="18"/>
                          </w:rPr>
                        </w:pPr>
                        <w:r w:rsidRPr="00693478">
                          <w:rPr>
                            <w:rFonts w:asciiTheme="majorHAnsi" w:hAnsiTheme="majorHAnsi" w:cstheme="majorHAnsi"/>
                            <w:i/>
                            <w:iCs/>
                            <w:sz w:val="18"/>
                            <w:szCs w:val="18"/>
                          </w:rPr>
                          <w:t>Indirect costs</w:t>
                        </w:r>
                      </w:p>
                      <w:p w14:paraId="33F5F9F7" w14:textId="77777777" w:rsidR="00C33FAA" w:rsidRPr="007E15F6" w:rsidRDefault="00C33FAA" w:rsidP="0097559F">
                        <w:pPr>
                          <w:widowControl w:val="0"/>
                          <w:spacing w:after="0"/>
                          <w:ind w:left="496" w:hanging="224"/>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Housing costs</w:t>
                        </w:r>
                      </w:p>
                      <w:p w14:paraId="7E833D23" w14:textId="77777777" w:rsidR="00C33FAA" w:rsidRPr="007E15F6" w:rsidRDefault="00C33FAA" w:rsidP="0097559F">
                        <w:pPr>
                          <w:widowControl w:val="0"/>
                          <w:spacing w:after="0"/>
                          <w:ind w:left="496" w:hanging="224"/>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Opportunity costs</w:t>
                        </w:r>
                      </w:p>
                      <w:p w14:paraId="0BCD61B4" w14:textId="138B3B4E" w:rsidR="00C33FAA" w:rsidRPr="007E15F6" w:rsidRDefault="00C33FAA" w:rsidP="007E15F6">
                        <w:pPr>
                          <w:widowControl w:val="0"/>
                          <w:spacing w:after="0"/>
                          <w:ind w:firstLine="272"/>
                          <w:rPr>
                            <w:rFonts w:asciiTheme="majorHAnsi" w:hAnsiTheme="majorHAnsi" w:cstheme="majorHAnsi"/>
                            <w:sz w:val="18"/>
                            <w:szCs w:val="18"/>
                          </w:rPr>
                        </w:pPr>
                        <w:r w:rsidRPr="007E15F6">
                          <w:rPr>
                            <w:rFonts w:asciiTheme="majorHAnsi" w:hAnsiTheme="majorHAnsi" w:cstheme="majorHAnsi"/>
                            <w:sz w:val="18"/>
                            <w:szCs w:val="18"/>
                            <w:lang w:val="x-none"/>
                          </w:rPr>
                          <w:t>·</w:t>
                        </w:r>
                        <w:r>
                          <w:rPr>
                            <w:rFonts w:asciiTheme="majorHAnsi" w:hAnsiTheme="majorHAnsi" w:cstheme="majorHAnsi"/>
                            <w:sz w:val="18"/>
                            <w:szCs w:val="18"/>
                          </w:rPr>
                          <w:t xml:space="preserve"> </w:t>
                        </w:r>
                        <w:r w:rsidRPr="007E15F6">
                          <w:rPr>
                            <w:rFonts w:asciiTheme="majorHAnsi" w:hAnsiTheme="majorHAnsi" w:cstheme="majorHAnsi"/>
                            <w:sz w:val="18"/>
                            <w:szCs w:val="18"/>
                          </w:rPr>
                          <w:t>Time costs</w:t>
                        </w:r>
                      </w:p>
                      <w:p w14:paraId="6129DEC6" w14:textId="1EF6A9D6" w:rsidR="00C33FAA" w:rsidRPr="00B25B55" w:rsidRDefault="00C33FAA" w:rsidP="0097559F">
                        <w:pPr>
                          <w:widowControl w:val="0"/>
                          <w:spacing w:after="0"/>
                          <w:ind w:left="224" w:hanging="224"/>
                          <w:rPr>
                            <w:rFonts w:asciiTheme="majorHAnsi" w:hAnsiTheme="majorHAnsi" w:cstheme="majorHAnsi"/>
                          </w:rPr>
                        </w:pPr>
                      </w:p>
                      <w:p w14:paraId="1E544E76" w14:textId="77777777" w:rsidR="00C33FAA" w:rsidRDefault="00C33FAA" w:rsidP="0097559F"/>
                    </w:txbxContent>
                  </v:textbox>
                </v:shape>
                <v:shape id="Text Box 250" o:spid="_x0000_s1043" type="#_x0000_t202" style="position:absolute;left:28975;top:25927;width:18345;height:2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" filled="f" fillcolor="#5b9bd5" strokecolor="#7f7f7f" strokeweight="2pt">
                  <v:shadow color="black [0]"/>
                  <v:textbox inset="2.88pt,2.88pt,2.88pt,2.88pt">
                    <w:txbxContent>
                      <w:p w14:paraId="2352DA5D" w14:textId="77777777" w:rsidR="00C33FAA" w:rsidRDefault="00C33FAA" w:rsidP="007E15F6">
                        <w:pPr>
                          <w:widowControl w:val="0"/>
                          <w:spacing w:after="0"/>
                          <w:rPr>
                            <w:b/>
                            <w:bCs/>
                            <w:sz w:val="6"/>
                            <w:szCs w:val="6"/>
                          </w:rPr>
                        </w:pPr>
                        <w:r>
                          <w:rPr>
                            <w:b/>
                            <w:bCs/>
                          </w:rPr>
                          <w:t xml:space="preserve">Broad economic factors: </w:t>
                        </w:r>
                        <w:r w:rsidRPr="007E15F6">
                          <w:rPr>
                            <w:b/>
                            <w:bCs/>
                            <w:sz w:val="20"/>
                            <w:szCs w:val="20"/>
                          </w:rPr>
                          <w:t>Education, employment and income</w:t>
                        </w:r>
                      </w:p>
                      <w:p w14:paraId="3C8FDEED" w14:textId="77777777" w:rsidR="00C33FAA" w:rsidRPr="007E15F6" w:rsidRDefault="00C33FAA">
                        <w:pPr>
                          <w:widowControl w:val="0"/>
                          <w:spacing w:after="0"/>
                          <w:ind w:left="163" w:hanging="163"/>
                          <w:rPr>
                            <w:rFonts w:asciiTheme="majorHAnsi" w:hAnsiTheme="majorHAnsi" w:cstheme="majorHAnsi"/>
                            <w:sz w:val="18"/>
                            <w:szCs w:val="18"/>
                          </w:rPr>
                        </w:pPr>
                        <w:r w:rsidRPr="00B25B55">
                          <w:rPr>
                            <w:rFonts w:asciiTheme="majorHAnsi" w:hAnsiTheme="majorHAnsi" w:cstheme="majorHAnsi"/>
                          </w:rPr>
                          <w:t>· </w:t>
                        </w:r>
                        <w:r w:rsidRPr="007E15F6">
                          <w:rPr>
                            <w:rFonts w:asciiTheme="majorHAnsi" w:hAnsiTheme="majorHAnsi" w:cstheme="majorHAnsi"/>
                            <w:sz w:val="18"/>
                            <w:szCs w:val="18"/>
                          </w:rPr>
                          <w:t>Educational participation</w:t>
                        </w:r>
                      </w:p>
                      <w:p w14:paraId="7B39B8B7" w14:textId="5692A4A3" w:rsidR="00C33FAA" w:rsidRDefault="00C33FAA">
                        <w:pPr>
                          <w:widowControl w:val="0"/>
                          <w:spacing w:after="0"/>
                          <w:ind w:left="163" w:hanging="163"/>
                          <w:rPr>
                            <w:rFonts w:asciiTheme="majorHAnsi" w:hAnsiTheme="majorHAnsi" w:cstheme="majorHAnsi"/>
                            <w:sz w:val="18"/>
                            <w:szCs w:val="18"/>
                          </w:rPr>
                        </w:pPr>
                        <w:r w:rsidRPr="007E15F6">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 xml:space="preserve">Income and career prospects </w:t>
                        </w:r>
                      </w:p>
                      <w:p w14:paraId="76680C53" w14:textId="709F8C9D" w:rsidR="00C33FAA" w:rsidRPr="007E15F6" w:rsidRDefault="00C33FAA" w:rsidP="007E15F6">
                        <w:pPr>
                          <w:widowControl w:val="0"/>
                          <w:spacing w:after="0"/>
                          <w:ind w:left="142" w:hanging="142"/>
                          <w:rPr>
                            <w:rFonts w:asciiTheme="majorHAnsi" w:hAnsiTheme="majorHAnsi" w:cstheme="majorHAnsi"/>
                            <w:sz w:val="18"/>
                            <w:szCs w:val="18"/>
                          </w:rPr>
                        </w:pPr>
                        <w:r w:rsidRPr="003B342F">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Length &amp; difficulty of transitions from school to work</w:t>
                        </w:r>
                      </w:p>
                      <w:p w14:paraId="10ADD161" w14:textId="52C2E731" w:rsidR="00C33FAA" w:rsidRPr="007E15F6" w:rsidRDefault="00C33FAA">
                        <w:pPr>
                          <w:widowControl w:val="0"/>
                          <w:spacing w:after="0"/>
                          <w:ind w:left="163" w:hanging="163"/>
                          <w:rPr>
                            <w:rFonts w:asciiTheme="majorHAnsi" w:hAnsiTheme="majorHAnsi" w:cstheme="majorHAnsi"/>
                            <w:sz w:val="18"/>
                            <w:szCs w:val="18"/>
                          </w:rPr>
                        </w:pPr>
                        <w:r w:rsidRPr="007E15F6">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Uncertainty about future</w:t>
                        </w:r>
                      </w:p>
                      <w:p w14:paraId="77462836" w14:textId="1A2C24CF" w:rsidR="00C33FAA" w:rsidRPr="007E15F6" w:rsidRDefault="00C33FAA" w:rsidP="007E15F6">
                        <w:pPr>
                          <w:widowControl w:val="0"/>
                          <w:spacing w:after="0"/>
                          <w:ind w:left="142" w:hanging="142"/>
                          <w:rPr>
                            <w:rFonts w:asciiTheme="majorHAnsi" w:hAnsiTheme="majorHAnsi" w:cstheme="majorHAnsi"/>
                            <w:sz w:val="18"/>
                            <w:szCs w:val="18"/>
                          </w:rPr>
                        </w:pPr>
                        <w:r w:rsidRPr="007E15F6">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Income relative to past       generations</w:t>
                        </w:r>
                      </w:p>
                      <w:p w14:paraId="5981A5BD" w14:textId="2A8CE328" w:rsidR="00C33FAA" w:rsidRPr="007E15F6" w:rsidRDefault="00C33FAA" w:rsidP="006C6E6D">
                        <w:pPr>
                          <w:widowControl w:val="0"/>
                          <w:spacing w:after="0"/>
                          <w:ind w:left="163" w:hanging="163"/>
                          <w:rPr>
                            <w:rFonts w:asciiTheme="majorHAnsi" w:hAnsiTheme="majorHAnsi" w:cstheme="majorHAnsi"/>
                            <w:sz w:val="18"/>
                            <w:szCs w:val="18"/>
                          </w:rPr>
                        </w:pPr>
                        <w:r w:rsidRPr="007E15F6">
                          <w:rPr>
                            <w:rFonts w:asciiTheme="majorHAnsi" w:hAnsiTheme="majorHAnsi" w:cstheme="majorHAnsi"/>
                            <w:sz w:val="18"/>
                            <w:szCs w:val="18"/>
                          </w:rPr>
                          <w:t>·</w:t>
                        </w:r>
                        <w:r>
                          <w:rPr>
                            <w:rFonts w:asciiTheme="majorHAnsi" w:hAnsiTheme="majorHAnsi" w:cstheme="majorHAnsi"/>
                            <w:sz w:val="18"/>
                            <w:szCs w:val="18"/>
                          </w:rPr>
                          <w:t xml:space="preserve"> </w:t>
                        </w:r>
                        <w:r w:rsidRPr="007E15F6">
                          <w:rPr>
                            <w:rFonts w:asciiTheme="majorHAnsi" w:hAnsiTheme="majorHAnsi" w:cstheme="majorHAnsi"/>
                            <w:sz w:val="18"/>
                            <w:szCs w:val="18"/>
                          </w:rPr>
                          <w:t xml:space="preserve"> Housing affordability</w:t>
                        </w:r>
                      </w:p>
                      <w:p w14:paraId="5DC022E4" w14:textId="77777777" w:rsidR="00C33FAA" w:rsidRPr="007E15F6" w:rsidRDefault="00C33FAA" w:rsidP="0097559F">
                        <w:pPr>
                          <w:widowControl w:val="0"/>
                          <w:spacing w:after="0"/>
                          <w:rPr>
                            <w:rFonts w:asciiTheme="majorHAnsi" w:hAnsiTheme="majorHAnsi" w:cstheme="majorHAnsi"/>
                            <w:sz w:val="18"/>
                            <w:szCs w:val="18"/>
                          </w:rPr>
                        </w:pPr>
                      </w:p>
                    </w:txbxContent>
                  </v:textbox>
                </v:shape>
                <v:shape id="Text Box 251" o:spid="_x0000_s1044" type="#_x0000_t202" style="position:absolute;left:48755;top:25927;width:20142;height:2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" filled="f" fillcolor="#5b9bd5" strokecolor="#7f7f7f" strokeweight="2pt">
                  <v:shadow color="black [0]"/>
                  <v:textbox inset="2.88pt,2.88pt,2.88pt,2.88pt">
                    <w:txbxContent>
                      <w:p w14:paraId="2F077FDD" w14:textId="77777777" w:rsidR="00C33FAA" w:rsidRDefault="00C33FAA" w:rsidP="0097559F">
                        <w:pPr>
                          <w:widowControl w:val="0"/>
                          <w:rPr>
                            <w:b/>
                            <w:bCs/>
                          </w:rPr>
                        </w:pPr>
                        <w:r>
                          <w:rPr>
                            <w:b/>
                            <w:bCs/>
                          </w:rPr>
                          <w:t>Social norms and lifestyles</w:t>
                        </w:r>
                      </w:p>
                      <w:p w14:paraId="4DC0FE80" w14:textId="77777777" w:rsidR="00C33FAA" w:rsidRDefault="00C33FAA" w:rsidP="0097559F">
                        <w:pPr>
                          <w:widowControl w:val="0"/>
                          <w:spacing w:after="0"/>
                          <w:rPr>
                            <w:b/>
                            <w:bCs/>
                            <w:sz w:val="4"/>
                            <w:szCs w:val="4"/>
                          </w:rPr>
                        </w:pPr>
                        <w:r>
                          <w:rPr>
                            <w:b/>
                            <w:bCs/>
                            <w:sz w:val="4"/>
                            <w:szCs w:val="4"/>
                          </w:rPr>
                          <w:t> </w:t>
                        </w:r>
                      </w:p>
                      <w:p w14:paraId="7FF05DB2" w14:textId="77777777" w:rsidR="00C33FAA" w:rsidRPr="007E15F6" w:rsidRDefault="00C33FAA" w:rsidP="006C6E6D">
                        <w:pPr>
                          <w:widowControl w:val="0"/>
                          <w:spacing w:after="0"/>
                          <w:ind w:left="142" w:hanging="142"/>
                          <w:rPr>
                            <w:rFonts w:asciiTheme="majorHAnsi" w:hAnsiTheme="majorHAnsi" w:cstheme="majorHAnsi"/>
                            <w:sz w:val="16"/>
                            <w:szCs w:val="16"/>
                          </w:rPr>
                        </w:pPr>
                        <w:r w:rsidRPr="00B25B55">
                          <w:rPr>
                            <w:rFonts w:asciiTheme="majorHAnsi" w:hAnsiTheme="majorHAnsi" w:cstheme="majorHAnsi"/>
                          </w:rPr>
                          <w:t>·</w:t>
                        </w:r>
                        <w:r>
                          <w:t> </w:t>
                        </w:r>
                        <w:r w:rsidRPr="007E15F6">
                          <w:rPr>
                            <w:rFonts w:asciiTheme="majorHAnsi" w:hAnsiTheme="majorHAnsi" w:cstheme="majorHAnsi"/>
                            <w:sz w:val="18"/>
                            <w:szCs w:val="18"/>
                          </w:rPr>
                          <w:t>Social attitudes towards families and women's roles (male breadwinner or gender neutral)</w:t>
                        </w:r>
                      </w:p>
                      <w:p w14:paraId="434776C4" w14:textId="51FAC4AF" w:rsidR="00C33FAA" w:rsidRPr="007E15F6" w:rsidRDefault="00C33FAA" w:rsidP="006C6E6D">
                        <w:pPr>
                          <w:widowControl w:val="0"/>
                          <w:spacing w:after="0"/>
                          <w:ind w:left="142" w:hanging="142"/>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Post materialist values (individual autonomy and self-expression)</w:t>
                        </w:r>
                      </w:p>
                      <w:p w14:paraId="27A415D8" w14:textId="5016AEB3" w:rsidR="00C33FAA" w:rsidRPr="007E15F6" w:rsidRDefault="00C33FAA" w:rsidP="006C6E6D">
                        <w:pPr>
                          <w:widowControl w:val="0"/>
                          <w:spacing w:after="0"/>
                          <w:ind w:left="142" w:hanging="142"/>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w:t>
                        </w:r>
                        <w:r>
                          <w:rPr>
                            <w:rFonts w:asciiTheme="majorHAnsi" w:hAnsiTheme="majorHAnsi" w:cstheme="majorHAnsi"/>
                            <w:sz w:val="18"/>
                            <w:szCs w:val="18"/>
                          </w:rPr>
                          <w:t xml:space="preserve"> </w:t>
                        </w:r>
                        <w:r w:rsidRPr="007E15F6">
                          <w:rPr>
                            <w:rFonts w:asciiTheme="majorHAnsi" w:hAnsiTheme="majorHAnsi" w:cstheme="majorHAnsi"/>
                            <w:sz w:val="18"/>
                            <w:szCs w:val="18"/>
                          </w:rPr>
                          <w:t xml:space="preserve">Preferences for forms of      relationships (marriage </w:t>
                        </w:r>
                        <w:r>
                          <w:rPr>
                            <w:rFonts w:asciiTheme="majorHAnsi" w:hAnsiTheme="majorHAnsi" w:cstheme="majorHAnsi"/>
                            <w:sz w:val="18"/>
                            <w:szCs w:val="18"/>
                          </w:rPr>
                          <w:t>or</w:t>
                        </w:r>
                        <w:r w:rsidRPr="007E15F6">
                          <w:rPr>
                            <w:rFonts w:asciiTheme="majorHAnsi" w:hAnsiTheme="majorHAnsi" w:cstheme="majorHAnsi"/>
                            <w:sz w:val="18"/>
                            <w:szCs w:val="18"/>
                          </w:rPr>
                          <w:t xml:space="preserve">    cohabitation) </w:t>
                        </w:r>
                      </w:p>
                      <w:p w14:paraId="5CE6D4BC" w14:textId="7D4CC16C" w:rsidR="00C33FAA" w:rsidRPr="007E15F6" w:rsidRDefault="00C33FAA" w:rsidP="006C6E6D">
                        <w:pPr>
                          <w:widowControl w:val="0"/>
                          <w:spacing w:after="0"/>
                          <w:ind w:left="142" w:hanging="142"/>
                          <w:rPr>
                            <w:rFonts w:asciiTheme="majorHAnsi" w:hAnsiTheme="majorHAnsi" w:cstheme="majorHAnsi"/>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Instability in relationship</w:t>
                        </w:r>
                        <w:r>
                          <w:rPr>
                            <w:rFonts w:asciiTheme="majorHAnsi" w:hAnsiTheme="majorHAnsi" w:cstheme="majorHAnsi"/>
                            <w:sz w:val="18"/>
                            <w:szCs w:val="18"/>
                          </w:rPr>
                          <w:t xml:space="preserve"> </w:t>
                        </w:r>
                        <w:r w:rsidRPr="007E15F6">
                          <w:rPr>
                            <w:rFonts w:asciiTheme="majorHAnsi" w:hAnsiTheme="majorHAnsi" w:cstheme="majorHAnsi"/>
                            <w:sz w:val="18"/>
                            <w:szCs w:val="18"/>
                          </w:rPr>
                          <w:t>formation</w:t>
                        </w:r>
                      </w:p>
                      <w:p w14:paraId="1E7C2543" w14:textId="1D19C96D" w:rsidR="00C33FAA" w:rsidRPr="007E15F6" w:rsidRDefault="00C33FAA" w:rsidP="006C6E6D">
                        <w:pPr>
                          <w:widowControl w:val="0"/>
                          <w:spacing w:after="0"/>
                          <w:ind w:left="142" w:hanging="142"/>
                          <w:rPr>
                            <w:sz w:val="18"/>
                            <w:szCs w:val="18"/>
                          </w:rPr>
                        </w:pPr>
                        <w:r w:rsidRPr="007E15F6">
                          <w:rPr>
                            <w:rFonts w:asciiTheme="majorHAnsi" w:hAnsiTheme="majorHAnsi" w:cstheme="majorHAnsi"/>
                            <w:sz w:val="18"/>
                            <w:szCs w:val="18"/>
                            <w:lang w:val="x-none"/>
                          </w:rPr>
                          <w:t>·</w:t>
                        </w:r>
                        <w:r w:rsidRPr="007E15F6">
                          <w:rPr>
                            <w:rFonts w:asciiTheme="majorHAnsi" w:hAnsiTheme="majorHAnsi" w:cstheme="majorHAnsi"/>
                            <w:sz w:val="18"/>
                            <w:szCs w:val="18"/>
                          </w:rPr>
                          <w:t> Contraceptive prevalence</w:t>
                        </w:r>
                      </w:p>
                    </w:txbxContent>
                  </v:textbox>
                </v:shape>
                <v:shapetype id="_x0000_t109" coordsize="21600,21600" o:spt="109" path="m,l,21600r21600,l21600,xe">
                  <v:stroke joinstyle="miter"/>
                  <v:path gradientshapeok="t" o:connecttype="rect"/>
                </v:shapetype>
                <v:shape id="Flowchart: Process 252" o:spid="_x0000_s1045" type="#_x0000_t109" style="position:absolute;left:76504;top:55539;width:1835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" strokecolor="black [0]" strokeweight="1pt">
                  <v:stroke dashstyle="1 1"/>
                  <v:shadow color="#868686"/>
                  <v:textbox inset="2.88pt,2.88pt,2.88pt,2.88pt">
                    <w:txbxContent>
                      <w:p w14:paraId="1BAE4393" w14:textId="77777777" w:rsidR="00C33FAA" w:rsidRDefault="00C33FAA" w:rsidP="0097559F">
                        <w:pPr>
                          <w:widowControl w:val="0"/>
                          <w:jc w:val="center"/>
                        </w:pPr>
                        <w:r>
                          <w:rPr>
                            <w:b/>
                            <w:bCs/>
                          </w:rPr>
                          <w:t>Individual fertility outcomes</w:t>
                        </w:r>
                      </w:p>
                    </w:txbxContent>
                  </v:textbox>
                </v:shape>
                <v:shape id="Text Box 253" o:spid="_x0000_s1046" type="#_x0000_t202" style="position:absolute;left:9620;top:48890;width:16446;height:1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" strokecolor="black [0]" strokeweight="1pt">
                  <v:stroke dashstyle="1 1"/>
                  <v:shadow color="#868686"/>
                  <v:textbox inset="2.88pt,2.88pt,2.88pt,2.88pt">
                    <w:txbxContent>
                      <w:p w14:paraId="076315C7" w14:textId="77777777" w:rsidR="00C33FAA" w:rsidRDefault="00C33FAA" w:rsidP="007E15F6">
                        <w:pPr>
                          <w:widowControl w:val="0"/>
                          <w:spacing w:after="0"/>
                          <w:rPr>
                            <w:b/>
                            <w:bCs/>
                          </w:rPr>
                        </w:pPr>
                        <w:r>
                          <w:rPr>
                            <w:b/>
                            <w:bCs/>
                          </w:rPr>
                          <w:t>Individual factors</w:t>
                        </w:r>
                      </w:p>
                      <w:p w14:paraId="7F472FAE"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Age</w:t>
                        </w:r>
                      </w:p>
                      <w:p w14:paraId="68FD35D9" w14:textId="7636A0BF" w:rsidR="00C33FAA"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Relationship status</w:t>
                        </w:r>
                      </w:p>
                      <w:p w14:paraId="28C1C24A" w14:textId="3B248442" w:rsidR="00C33FAA" w:rsidRPr="007E15F6" w:rsidRDefault="00C33FAA" w:rsidP="00C861DB">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Pr>
                            <w:rFonts w:asciiTheme="majorHAnsi" w:hAnsiTheme="majorHAnsi" w:cstheme="majorHAnsi"/>
                            <w:sz w:val="18"/>
                            <w:szCs w:val="18"/>
                          </w:rPr>
                          <w:t>Parity</w:t>
                        </w:r>
                      </w:p>
                      <w:p w14:paraId="5507A79D"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Education &amp; Income</w:t>
                        </w:r>
                      </w:p>
                      <w:p w14:paraId="21B60D73"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Gender role attitudes</w:t>
                        </w:r>
                      </w:p>
                      <w:p w14:paraId="602EBF54"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Geographic location</w:t>
                        </w:r>
                      </w:p>
                      <w:p w14:paraId="7C6EEF73"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Ethnicity</w:t>
                        </w:r>
                      </w:p>
                      <w:p w14:paraId="46E50B3C"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Religiosity</w:t>
                        </w:r>
                      </w:p>
                      <w:p w14:paraId="5BECCB65" w14:textId="77777777" w:rsidR="00C33FAA" w:rsidRPr="00B25B55" w:rsidRDefault="00C33FAA" w:rsidP="0097559F">
                        <w:pPr>
                          <w:widowControl w:val="0"/>
                          <w:spacing w:after="0"/>
                          <w:ind w:left="224" w:hanging="224"/>
                          <w:rPr>
                            <w:rFonts w:asciiTheme="majorHAnsi" w:hAnsiTheme="majorHAnsi" w:cstheme="majorHAnsi"/>
                            <w:sz w:val="18"/>
                            <w:szCs w:val="18"/>
                          </w:rPr>
                        </w:pPr>
                        <w:r w:rsidRPr="00B25B55">
                          <w:rPr>
                            <w:rFonts w:asciiTheme="majorHAnsi" w:hAnsiTheme="majorHAnsi" w:cstheme="majorHAnsi"/>
                            <w:lang w:val="x-none"/>
                          </w:rPr>
                          <w:t>·</w:t>
                        </w:r>
                        <w:r w:rsidRPr="00B25B55">
                          <w:rPr>
                            <w:rFonts w:asciiTheme="majorHAnsi" w:hAnsiTheme="majorHAnsi" w:cstheme="majorHAnsi"/>
                          </w:rPr>
                          <w:t> </w:t>
                        </w:r>
                        <w:r w:rsidRPr="00B25B55">
                          <w:rPr>
                            <w:rFonts w:asciiTheme="majorHAnsi" w:hAnsiTheme="majorHAnsi" w:cstheme="majorHAnsi"/>
                            <w:sz w:val="18"/>
                            <w:szCs w:val="18"/>
                          </w:rPr>
                          <w:t>Family size of origin</w:t>
                        </w:r>
                      </w:p>
                      <w:p w14:paraId="2643D04A" w14:textId="77777777" w:rsidR="00C33FAA" w:rsidRPr="00B25B55" w:rsidRDefault="00C33FAA" w:rsidP="0097559F">
                        <w:pPr>
                          <w:widowControl w:val="0"/>
                          <w:rPr>
                            <w:rFonts w:asciiTheme="majorHAnsi" w:hAnsiTheme="majorHAnsi" w:cstheme="majorHAnsi"/>
                            <w:sz w:val="20"/>
                            <w:szCs w:val="20"/>
                          </w:rPr>
                        </w:pPr>
                        <w:r w:rsidRPr="00B25B55">
                          <w:rPr>
                            <w:rFonts w:asciiTheme="majorHAnsi" w:hAnsiTheme="majorHAnsi" w:cstheme="majorHAnsi"/>
                          </w:rPr>
                          <w:t> </w:t>
                        </w:r>
                      </w:p>
                    </w:txbxContent>
                  </v:textbox>
                </v:shape>
                <v:shape id="Flowchart: Process 254" o:spid="_x0000_s1047" type="#_x0000_t109" style="position:absolute;left:32200;top:56001;width:1655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" strokecolor="#7f7f7f" strokeweight="1pt">
                  <v:stroke dashstyle="1 1"/>
                  <v:shadow color="#868686"/>
                  <v:textbox inset="2.88pt,2.88pt,2.88pt,2.88pt">
                    <w:txbxContent>
                      <w:p w14:paraId="129A5E42" w14:textId="77777777" w:rsidR="00C33FAA" w:rsidRDefault="00C33FAA" w:rsidP="0097559F">
                        <w:pPr>
                          <w:widowControl w:val="0"/>
                          <w:jc w:val="center"/>
                        </w:pPr>
                        <w:r>
                          <w:rPr>
                            <w:b/>
                            <w:bCs/>
                          </w:rPr>
                          <w:t>Decision to have children</w:t>
                        </w:r>
                      </w:p>
                    </w:txbxContent>
                  </v:textbox>
                </v:shape>
                <v:shapetype id="_x0000_t32" coordsize="21600,21600" o:spt="32" o:oned="t" path="m,l21600,21600e" filled="f">
                  <v:path arrowok="t" fillok="f" o:connecttype="none"/>
                  <o:lock v:ext="edit" shapetype="t"/>
                </v:shapetype>
                <v:shape id="Straight Arrow Connector 255" o:spid="_x0000_s1048" type="#_x0000_t32" style="position:absolute;left:1079;top:47434;width:97923;height: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" strokecolor="black [0]" strokeweight="2.25pt">
                  <v:stroke dashstyle="1 1"/>
                  <v:shadow color="black [0]"/>
                </v:shape>
                <v:shape id="Straight Arrow Connector 256" o:spid="_x0000_s1049" type="#_x0000_t32" style="position:absolute;left:48755;top:57525;width:2725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" strokecolor="black [0]" strokeweight="2pt">
                  <v:stroke endarrow="block"/>
                  <v:shadow color="black [0]"/>
                </v:shape>
                <v:shape id="Text Box 257" o:spid="_x0000_s1050" type="#_x0000_t202" style="position:absolute;left:54908;top:54622;width:1572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" strokecolor="black [0]" strokeweight="1pt">
                  <v:stroke dashstyle="1 1"/>
                  <v:shadow color="black [0]"/>
                  <v:textbox inset="2.88pt,2.88pt,2.88pt,2.88pt">
                    <w:txbxContent>
                      <w:p w14:paraId="471EC65E" w14:textId="77777777" w:rsidR="00C33FAA" w:rsidRDefault="00C33FAA" w:rsidP="0097559F">
                        <w:pPr>
                          <w:widowControl w:val="0"/>
                          <w:rPr>
                            <w:b/>
                            <w:bCs/>
                          </w:rPr>
                        </w:pPr>
                        <w:r>
                          <w:rPr>
                            <w:b/>
                            <w:bCs/>
                          </w:rPr>
                          <w:t>Proximate determinants</w:t>
                        </w:r>
                      </w:p>
                      <w:p w14:paraId="02ACED6D" w14:textId="77777777" w:rsidR="00C33FAA" w:rsidRDefault="00C33FAA" w:rsidP="0097559F">
                        <w:pPr>
                          <w:widowControl w:val="0"/>
                          <w:ind w:left="224" w:hanging="224"/>
                          <w:rPr>
                            <w:sz w:val="18"/>
                            <w:szCs w:val="18"/>
                          </w:rPr>
                        </w:pPr>
                        <w:r>
                          <w:rPr>
                            <w:rFonts w:ascii="Symbol" w:hAnsi="Symbol"/>
                            <w:lang w:val="x-none"/>
                          </w:rPr>
                          <w:t></w:t>
                        </w:r>
                        <w:r>
                          <w:t> </w:t>
                        </w:r>
                        <w:r>
                          <w:rPr>
                            <w:sz w:val="18"/>
                            <w:szCs w:val="18"/>
                          </w:rPr>
                          <w:t>Contraceptive use</w:t>
                        </w:r>
                      </w:p>
                      <w:p w14:paraId="3F1D29F1" w14:textId="77777777" w:rsidR="00C33FAA" w:rsidRDefault="00C33FAA" w:rsidP="0097559F">
                        <w:pPr>
                          <w:widowControl w:val="0"/>
                          <w:ind w:left="224" w:hanging="224"/>
                          <w:rPr>
                            <w:sz w:val="18"/>
                            <w:szCs w:val="18"/>
                          </w:rPr>
                        </w:pPr>
                        <w:r>
                          <w:rPr>
                            <w:rFonts w:ascii="Symbol" w:hAnsi="Symbol"/>
                            <w:lang w:val="x-none"/>
                          </w:rPr>
                          <w:t></w:t>
                        </w:r>
                        <w:r>
                          <w:t> </w:t>
                        </w:r>
                        <w:r>
                          <w:rPr>
                            <w:sz w:val="18"/>
                            <w:szCs w:val="18"/>
                          </w:rPr>
                          <w:t>Sterility</w:t>
                        </w:r>
                      </w:p>
                    </w:txbxContent>
                  </v:textbox>
                </v:shape>
                <v:shape id="Straight Arrow Connector 258" o:spid="_x0000_s1051" type="#_x0000_t32" style="position:absolute;left:26174;top:57525;width:5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" strokecolor="black [0]" strokeweight="2pt">
                  <v:stroke endarrow="block"/>
                  <v:shadow color="black [0]"/>
                </v:shape>
                <v:shape id="Text Box 259" o:spid="_x0000_s1052" type="#_x0000_t202" style="position:absolute;left:857;top:2571;width:6426;height:4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" fillcolor="#f3f3f3" strokecolor="black [0]" strokeweight="2pt">
                  <v:shadow color="black [0]"/>
                  <v:textbox inset="2.88pt,2.88pt,2.88pt,2.88pt">
                    <w:txbxContent>
                      <w:p w14:paraId="5CDED6FF" w14:textId="77777777" w:rsidR="00C33FAA" w:rsidRDefault="00C33FAA" w:rsidP="0097559F">
                        <w:pPr>
                          <w:widowControl w:val="0"/>
                          <w:spacing w:after="0"/>
                          <w:jc w:val="center"/>
                          <w:rPr>
                            <w:b/>
                            <w:bCs/>
                          </w:rPr>
                        </w:pPr>
                        <w:r>
                          <w:rPr>
                            <w:b/>
                            <w:bCs/>
                          </w:rPr>
                          <w:t>MACRO LEVEL</w:t>
                        </w:r>
                      </w:p>
                    </w:txbxContent>
                  </v:textbox>
                </v:shape>
                <v:shape id="Text Box 260" o:spid="_x0000_s1053" type="#_x0000_t202" style="position:absolute;left:857;top:48890;width:6426;height:1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" fillcolor="#f3f3f3" strokecolor="black [0]" strokeweight="2pt">
                  <v:shadow color="black [0]"/>
                  <v:textbox inset="2.88pt,2.88pt,2.88pt,2.88pt">
                    <w:txbxContent>
                      <w:p w14:paraId="6BEADA50" w14:textId="77777777" w:rsidR="00C33FAA" w:rsidRDefault="00C33FAA" w:rsidP="0097559F">
                        <w:pPr>
                          <w:widowControl w:val="0"/>
                          <w:spacing w:after="0"/>
                          <w:jc w:val="center"/>
                          <w:rPr>
                            <w:b/>
                            <w:bCs/>
                          </w:rPr>
                        </w:pPr>
                        <w:r>
                          <w:rPr>
                            <w:b/>
                            <w:bCs/>
                          </w:rPr>
                          <w:t>MICRO LEVEL</w:t>
                        </w:r>
                      </w:p>
                    </w:txbxContent>
                  </v:textbox>
                </v:shape>
                <v:shape id="Text Box 261" o:spid="_x0000_s1054" type="#_x0000_t202" style="position:absolute;left:46018;top:-6560;width:3060;height:214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" fillcolor="#ececec" strokecolor="#7f7f7f" strokeweight="2pt">
                  <v:shadow color="black [0]"/>
                  <v:textbox inset="2.88pt,2.88pt,2.88pt,2.88pt">
                    <w:txbxContent>
                      <w:p w14:paraId="2BC61B8F" w14:textId="77777777" w:rsidR="00C33FAA" w:rsidRDefault="00C33FAA" w:rsidP="0097559F">
                        <w:pPr>
                          <w:widowControl w:val="0"/>
                          <w:jc w:val="center"/>
                          <w:rPr>
                            <w:caps/>
                            <w:sz w:val="24"/>
                            <w:szCs w:val="24"/>
                          </w:rPr>
                        </w:pPr>
                        <w:r>
                          <w:rPr>
                            <w:caps/>
                            <w:sz w:val="24"/>
                            <w:szCs w:val="24"/>
                          </w:rPr>
                          <w:t>Economic context</w:t>
                        </w:r>
                      </w:p>
                    </w:txbxContent>
                  </v:textbox>
                </v:shape>
                <v:shape id="Text Box 262" o:spid="_x0000_s1055" type="#_x0000_t202" style="position:absolute;left:70212;top:-6560;width:3060;height:214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" fillcolor="#ececec" strokecolor="#7f7f7f" strokeweight="2pt">
                  <v:shadow color="black [0]"/>
                  <v:textbox inset="2.88pt,2.88pt,2.88pt,2.88pt">
                    <w:txbxContent>
                      <w:p w14:paraId="6A1C1763" w14:textId="77777777" w:rsidR="00C33FAA" w:rsidRDefault="00C33FAA" w:rsidP="0097559F">
                        <w:pPr>
                          <w:widowControl w:val="0"/>
                          <w:jc w:val="center"/>
                          <w:rPr>
                            <w:caps/>
                            <w:sz w:val="24"/>
                            <w:szCs w:val="24"/>
                          </w:rPr>
                        </w:pPr>
                        <w:r>
                          <w:rPr>
                            <w:caps/>
                            <w:sz w:val="24"/>
                            <w:szCs w:val="24"/>
                          </w:rPr>
                          <w:t>Cultural context</w:t>
                        </w:r>
                      </w:p>
                    </w:txbxContent>
                  </v:textbox>
                </v:shape>
                <v:shape id="Straight Arrow Connector 263" o:spid="_x0000_s1056" type="#_x0000_t32" style="position:absolute;left:19088;top:22929;width:6;height:2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" strokecolor="black [0]" strokeweight="2pt">
                  <v:stroke endarrow="block"/>
                  <v:shadow color="black [0]"/>
                </v:shape>
                <v:shape id="Straight Arrow Connector 264" o:spid="_x0000_s1057" type="#_x0000_t32" style="position:absolute;left:41630;top:22993;width:16688;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" strokecolor="black [0]" strokeweight="2pt">
                  <v:stroke dashstyle="1 1" endarrow="block" endcap="round"/>
                  <v:shadow color="black [0]"/>
                </v:shape>
                <v:shape id="Straight Arrow Connector 265" o:spid="_x0000_s1058" type="#_x0000_t32" style="position:absolute;left:22199;top:22967;width:19406;height:26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" strokecolor="black [0]" strokeweight="2pt">
                  <v:stroke endarrow="block"/>
                  <v:shadow color="black [0]"/>
                </v:shape>
                <v:shape id="Straight Arrow Connector 266" o:spid="_x0000_s1059" type="#_x0000_t32" style="position:absolute;left:41624;top:22796;width:51;height:2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" strokecolor="black [0]" strokeweight="2pt">
                  <v:stroke endarrow="block"/>
                  <v:shadow color="black [0]"/>
                </v:shape>
                <v:shape id="Text Box 267" o:spid="_x0000_s1060" type="#_x0000_t202" style="position:absolute;left:80162;top:14484;width:1685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" filled="f" fillcolor="#5b9bd5" strokecolor="#7f7f7f" strokeweight="2pt">
                  <v:shadow color="black [0]"/>
                  <v:textbox inset="2.88pt,2.88pt,2.88pt,2.88pt">
                    <w:txbxContent>
                      <w:p w14:paraId="52BA1405" w14:textId="77777777" w:rsidR="00C33FAA" w:rsidRDefault="00C33FAA" w:rsidP="0097559F">
                        <w:pPr>
                          <w:widowControl w:val="0"/>
                          <w:spacing w:after="0"/>
                          <w:jc w:val="center"/>
                          <w:rPr>
                            <w:b/>
                            <w:bCs/>
                          </w:rPr>
                        </w:pPr>
                        <w:r>
                          <w:rPr>
                            <w:b/>
                            <w:bCs/>
                          </w:rPr>
                          <w:t>National fertility rates</w:t>
                        </w:r>
                      </w:p>
                    </w:txbxContent>
                  </v:textbox>
                </v:shape>
                <v:shape id="Straight Arrow Connector 268" o:spid="_x0000_s1061" type="#_x0000_t32" style="position:absolute;left:89617;top:18745;width:0;height:364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" strokecolor="black [0]" strokeweight="2pt">
                  <v:stroke endarrow="block"/>
                  <v:shadow color="black [0]"/>
                </v:shape>
                <v:shape id="Text Box 269" o:spid="_x0000_s1062" type="#_x0000_t202" style="position:absolute;left:52654;top:7423;width:2768;height:1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" fillcolor="#ececec" strokecolor="#777" strokeweight="2pt">
                  <v:shadow color="black [0]"/>
                  <v:textbox style="layout-flow:vertical-ideographic" inset="2.88pt,2.88pt,2.88pt,2.88pt">
                    <w:txbxContent>
                      <w:p w14:paraId="479EE29A" w14:textId="77777777" w:rsidR="00C33FAA" w:rsidRDefault="00C33FAA" w:rsidP="0097559F">
                        <w:pPr>
                          <w:widowControl w:val="0"/>
                          <w:spacing w:after="0"/>
                          <w:jc w:val="center"/>
                        </w:pPr>
                        <w:r>
                          <w:t>POLICIES</w:t>
                        </w:r>
                      </w:p>
                    </w:txbxContent>
                  </v:textbox>
                </v:shape>
                <v:shape id="Text Box 271" o:spid="_x0000_s1063" type="#_x0000_t202" style="position:absolute;top:68389;width:4619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71B4EA90" w14:textId="232938F1" w:rsidR="00C33FAA" w:rsidRPr="00B40879" w:rsidRDefault="00C33FAA" w:rsidP="0097559F">
                        <w:pPr>
                          <w:rPr>
                            <w:sz w:val="16"/>
                            <w:szCs w:val="16"/>
                          </w:rPr>
                        </w:pPr>
                        <w:r w:rsidRPr="00B40879">
                          <w:rPr>
                            <w:sz w:val="16"/>
                            <w:szCs w:val="16"/>
                          </w:rPr>
                          <w:t>Source</w:t>
                        </w:r>
                        <w:r>
                          <w:rPr>
                            <w:sz w:val="16"/>
                            <w:szCs w:val="16"/>
                          </w:rPr>
                          <w:t xml:space="preserve">: Adapted from Sleebos (2003); Lattimore and Poke (2008); </w:t>
                        </w:r>
                        <w:r w:rsidRPr="00C87913">
                          <w:rPr>
                            <w:sz w:val="16"/>
                            <w:szCs w:val="16"/>
                          </w:rPr>
                          <w:t xml:space="preserve">Liefbroer, </w:t>
                        </w:r>
                        <w:r w:rsidRPr="00C87913">
                          <w:rPr>
                            <w:i/>
                            <w:iCs/>
                            <w:sz w:val="16"/>
                            <w:szCs w:val="16"/>
                          </w:rPr>
                          <w:t>et al</w:t>
                        </w:r>
                        <w:r w:rsidRPr="00C87913">
                          <w:rPr>
                            <w:sz w:val="16"/>
                            <w:szCs w:val="16"/>
                          </w:rPr>
                          <w:t xml:space="preserve"> 2015</w:t>
                        </w:r>
                      </w:p>
                    </w:txbxContent>
                  </v:textbox>
                </v:shape>
                <w10:wrap type="topAndBottom" anchory="margin"/>
              </v:group>
            </w:pict>
          </mc:Fallback>
        </mc:AlternateContent>
      </w:r>
      <w:r>
        <w:rPr>
          <w:noProof/>
          <w:lang w:eastAsia="en-AU"/>
        </w:rPr>
        <mc:AlternateContent>
          <mc:Choice Requires="wps">
            <w:drawing>
              <wp:anchor distT="0" distB="0" distL="114300" distR="114300" simplePos="0" relativeHeight="251658263" behindDoc="0" locked="0" layoutInCell="1" allowOverlap="1" wp14:anchorId="13FEEFD6" wp14:editId="314C140B">
                <wp:simplePos x="0" y="0"/>
                <wp:positionH relativeFrom="column">
                  <wp:posOffset>2699385</wp:posOffset>
                </wp:positionH>
                <wp:positionV relativeFrom="paragraph">
                  <wp:posOffset>5429250</wp:posOffset>
                </wp:positionV>
                <wp:extent cx="1655445" cy="438150"/>
                <wp:effectExtent l="0" t="0" r="20955" b="19050"/>
                <wp:wrapNone/>
                <wp:docPr id="222" name="Flowchart: Process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438150"/>
                        </a:xfrm>
                        <a:prstGeom prst="flowChartProcess">
                          <a:avLst/>
                        </a:prstGeom>
                        <a:solidFill>
                          <a:srgbClr val="FFFFFF"/>
                        </a:solidFill>
                        <a:ln w="12700">
                          <a:solidFill>
                            <a:srgbClr val="7F7F7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F6D215" w14:textId="0C435AB2" w:rsidR="00C33FAA" w:rsidRDefault="00C33FAA" w:rsidP="003F094A">
                            <w:pPr>
                              <w:widowControl w:val="0"/>
                              <w:jc w:val="center"/>
                            </w:pPr>
                            <w:r>
                              <w:rPr>
                                <w:b/>
                                <w:bCs/>
                              </w:rPr>
                              <w:t>Partner’s decision to have children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3FEEFD6" id="Flowchart: Process 222" o:spid="_x0000_s1064" type="#_x0000_t109" style="position:absolute;margin-left:212.55pt;margin-top:427.5pt;width:130.35pt;height:34.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" strokecolor="#7f7f7f" strokeweight="1pt">
                <v:stroke dashstyle="1 1"/>
                <v:shadow color="#868686"/>
                <v:textbox inset="2.88pt,2.88pt,2.88pt,2.88pt">
                  <w:txbxContent>
                    <w:p w14:paraId="02F6D215" w14:textId="0C435AB2" w:rsidR="00C33FAA" w:rsidRDefault="00C33FAA" w:rsidP="003F094A">
                      <w:pPr>
                        <w:widowControl w:val="0"/>
                        <w:jc w:val="center"/>
                      </w:pPr>
                      <w:r>
                        <w:rPr>
                          <w:b/>
                          <w:bCs/>
                        </w:rPr>
                        <w:t>Partner’s decision to have children</w:t>
                      </w:r>
                    </w:p>
                  </w:txbxContent>
                </v:textbox>
              </v:shape>
            </w:pict>
          </mc:Fallback>
        </mc:AlternateContent>
      </w:r>
      <w:r>
        <w:rPr>
          <w:noProof/>
          <w:lang w:eastAsia="en-AU"/>
        </w:rPr>
        <mc:AlternateContent>
          <mc:Choice Requires="wps">
            <w:drawing>
              <wp:anchor distT="0" distB="0" distL="114300" distR="114300" simplePos="0" relativeHeight="251658264" behindDoc="0" locked="0" layoutInCell="1" allowOverlap="1" wp14:anchorId="0E8FF51C" wp14:editId="20DE7856">
                <wp:simplePos x="0" y="0"/>
                <wp:positionH relativeFrom="column">
                  <wp:posOffset>3581400</wp:posOffset>
                </wp:positionH>
                <wp:positionV relativeFrom="paragraph">
                  <wp:posOffset>5188959</wp:posOffset>
                </wp:positionV>
                <wp:extent cx="0" cy="241300"/>
                <wp:effectExtent l="76200" t="38100" r="57150" b="63500"/>
                <wp:wrapNone/>
                <wp:docPr id="223" name="Straight Arrow Connector 223"/>
                <wp:cNvGraphicFramePr/>
                <a:graphic xmlns:a="http://schemas.openxmlformats.org/drawingml/2006/main">
                  <a:graphicData uri="http://schemas.microsoft.com/office/word/2010/wordprocessingShape">
                    <wps:wsp>
                      <wps:cNvCnPr/>
                      <wps:spPr>
                        <a:xfrm>
                          <a:off x="0" y="0"/>
                          <a:ext cx="0" cy="2413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DF3E8" id="Straight Arrow Connector 223" o:spid="_x0000_s1026" type="#_x0000_t32" style="position:absolute;margin-left:282pt;margin-top:408.6pt;width:0;height:1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" strokecolor="black [3200]" strokeweight=".5pt">
                <v:stroke startarrow="block" endarrow="block" joinstyle="miter"/>
              </v:shape>
            </w:pict>
          </mc:Fallback>
        </mc:AlternateContent>
      </w:r>
      <w:r w:rsidR="003F094A">
        <w:rPr>
          <w:noProof/>
          <w:lang w:eastAsia="en-AU"/>
        </w:rPr>
        <mc:AlternateContent>
          <mc:Choice Requires="wps">
            <w:drawing>
              <wp:anchor distT="0" distB="0" distL="114300" distR="114300" simplePos="0" relativeHeight="251658268" behindDoc="0" locked="0" layoutInCell="1" allowOverlap="1" wp14:anchorId="28B6B688" wp14:editId="6827546B">
                <wp:simplePos x="0" y="0"/>
                <wp:positionH relativeFrom="column">
                  <wp:posOffset>5699125</wp:posOffset>
                </wp:positionH>
                <wp:positionV relativeFrom="paragraph">
                  <wp:posOffset>1504950</wp:posOffset>
                </wp:positionV>
                <wp:extent cx="45719" cy="333366"/>
                <wp:effectExtent l="57150" t="0" r="50165" b="48260"/>
                <wp:wrapNone/>
                <wp:docPr id="232" name="Straight Arrow Connector 232"/>
                <wp:cNvGraphicFramePr/>
                <a:graphic xmlns:a="http://schemas.openxmlformats.org/drawingml/2006/main">
                  <a:graphicData uri="http://schemas.microsoft.com/office/word/2010/wordprocessingShape">
                    <wps:wsp>
                      <wps:cNvCnPr/>
                      <wps:spPr>
                        <a:xfrm flipH="1">
                          <a:off x="0" y="0"/>
                          <a:ext cx="45719" cy="33336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33185" id="Straight Arrow Connector 232" o:spid="_x0000_s1026" type="#_x0000_t32" style="position:absolute;margin-left:448.75pt;margin-top:118.5pt;width:3.6pt;height:26.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" strokecolor="#a5a5a5 [3206]" strokeweight=".5pt">
                <v:stroke endarrow="block" joinstyle="miter"/>
              </v:shape>
            </w:pict>
          </mc:Fallback>
        </mc:AlternateContent>
      </w:r>
      <w:r w:rsidR="003F094A">
        <w:rPr>
          <w:noProof/>
          <w:lang w:eastAsia="en-AU"/>
        </w:rPr>
        <mc:AlternateContent>
          <mc:Choice Requires="wps">
            <w:drawing>
              <wp:anchor distT="0" distB="0" distL="114300" distR="114300" simplePos="0" relativeHeight="251658267" behindDoc="0" locked="0" layoutInCell="1" allowOverlap="1" wp14:anchorId="3D7ABE38" wp14:editId="3EC867E2">
                <wp:simplePos x="0" y="0"/>
                <wp:positionH relativeFrom="column">
                  <wp:posOffset>3163888</wp:posOffset>
                </wp:positionH>
                <wp:positionV relativeFrom="paragraph">
                  <wp:posOffset>1504949</wp:posOffset>
                </wp:positionV>
                <wp:extent cx="2582862" cy="331461"/>
                <wp:effectExtent l="38100" t="0" r="27305" b="88265"/>
                <wp:wrapNone/>
                <wp:docPr id="231" name="Straight Arrow Connector 231"/>
                <wp:cNvGraphicFramePr/>
                <a:graphic xmlns:a="http://schemas.openxmlformats.org/drawingml/2006/main">
                  <a:graphicData uri="http://schemas.microsoft.com/office/word/2010/wordprocessingShape">
                    <wps:wsp>
                      <wps:cNvCnPr/>
                      <wps:spPr>
                        <a:xfrm flipH="1">
                          <a:off x="0" y="0"/>
                          <a:ext cx="2582862" cy="331461"/>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C18DC" id="Straight Arrow Connector 231" o:spid="_x0000_s1026" type="#_x0000_t32" style="position:absolute;margin-left:249.15pt;margin-top:118.5pt;width:203.35pt;height:26.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" strokecolor="#a5a5a5 [3206]" strokeweight=".5pt">
                <v:stroke endarrow="block" joinstyle="miter"/>
              </v:shape>
            </w:pict>
          </mc:Fallback>
        </mc:AlternateContent>
      </w:r>
      <w:r w:rsidR="003F094A">
        <w:rPr>
          <w:noProof/>
          <w:lang w:eastAsia="en-AU"/>
        </w:rPr>
        <mc:AlternateContent>
          <mc:Choice Requires="wps">
            <w:drawing>
              <wp:anchor distT="0" distB="0" distL="114300" distR="114300" simplePos="0" relativeHeight="251658266" behindDoc="0" locked="0" layoutInCell="1" allowOverlap="1" wp14:anchorId="09B09B58" wp14:editId="4B500079">
                <wp:simplePos x="0" y="0"/>
                <wp:positionH relativeFrom="column">
                  <wp:posOffset>1460500</wp:posOffset>
                </wp:positionH>
                <wp:positionV relativeFrom="paragraph">
                  <wp:posOffset>1503680</wp:posOffset>
                </wp:positionV>
                <wp:extent cx="4286250" cy="332731"/>
                <wp:effectExtent l="38100" t="0" r="19050" b="86995"/>
                <wp:wrapNone/>
                <wp:docPr id="230" name="Straight Arrow Connector 230"/>
                <wp:cNvGraphicFramePr/>
                <a:graphic xmlns:a="http://schemas.openxmlformats.org/drawingml/2006/main">
                  <a:graphicData uri="http://schemas.microsoft.com/office/word/2010/wordprocessingShape">
                    <wps:wsp>
                      <wps:cNvCnPr/>
                      <wps:spPr>
                        <a:xfrm flipH="1">
                          <a:off x="0" y="0"/>
                          <a:ext cx="4286250" cy="332731"/>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238E5847" id="Straight Arrow Connector 230" o:spid="_x0000_s1026" type="#_x0000_t32" style="position:absolute;margin-left:115pt;margin-top:118.4pt;width:337.5pt;height:26.2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" strokecolor="#a5a5a5 [3206]" strokeweight=".5pt">
                <v:stroke endarrow="block" joinstyle="miter"/>
              </v:shape>
            </w:pict>
          </mc:Fallback>
        </mc:AlternateContent>
      </w:r>
      <w:r w:rsidR="003F094A">
        <w:rPr>
          <w:noProof/>
          <w:lang w:eastAsia="en-AU"/>
        </w:rPr>
        <mc:AlternateContent>
          <mc:Choice Requires="wps">
            <w:drawing>
              <wp:anchor distT="0" distB="0" distL="114300" distR="114300" simplePos="0" relativeHeight="251658265" behindDoc="0" locked="0" layoutInCell="1" allowOverlap="1" wp14:anchorId="770DBEC4" wp14:editId="2B72442B">
                <wp:simplePos x="0" y="0"/>
                <wp:positionH relativeFrom="column">
                  <wp:posOffset>5304473</wp:posOffset>
                </wp:positionH>
                <wp:positionV relativeFrom="paragraph">
                  <wp:posOffset>209550</wp:posOffset>
                </wp:positionV>
                <wp:extent cx="1295400" cy="1294130"/>
                <wp:effectExtent l="0" t="0" r="19050" b="2032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94130"/>
                        </a:xfrm>
                        <a:prstGeom prst="rect">
                          <a:avLst/>
                        </a:prstGeom>
                        <a:noFill/>
                        <a:ln w="25400">
                          <a:solidFill>
                            <a:srgbClr val="7F7F7F"/>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396D98E" w14:textId="7FC1FB6A" w:rsidR="00C33FAA" w:rsidRDefault="00C33FAA" w:rsidP="003F094A">
                            <w:pPr>
                              <w:widowControl w:val="0"/>
                              <w:rPr>
                                <w:b/>
                                <w:bCs/>
                              </w:rPr>
                            </w:pPr>
                            <w:r>
                              <w:rPr>
                                <w:b/>
                                <w:bCs/>
                              </w:rPr>
                              <w:t>Other policies</w:t>
                            </w:r>
                          </w:p>
                          <w:p w14:paraId="2B2376A4" w14:textId="54BDBD31" w:rsidR="00C33FAA" w:rsidRPr="007E15F6" w:rsidRDefault="00C33FAA" w:rsidP="003F094A">
                            <w:pPr>
                              <w:widowControl w:val="0"/>
                              <w:spacing w:line="360" w:lineRule="auto"/>
                              <w:rPr>
                                <w:rFonts w:asciiTheme="majorHAnsi" w:hAnsiTheme="majorHAnsi" w:cstheme="majorHAnsi"/>
                                <w:sz w:val="20"/>
                                <w:szCs w:val="20"/>
                              </w:rPr>
                            </w:pPr>
                            <w:r w:rsidRPr="007E15F6">
                              <w:rPr>
                                <w:rFonts w:asciiTheme="majorHAnsi" w:hAnsiTheme="majorHAnsi" w:cstheme="majorHAnsi"/>
                                <w:sz w:val="20"/>
                                <w:szCs w:val="20"/>
                              </w:rPr>
                              <w:t>Education policies</w:t>
                            </w:r>
                          </w:p>
                          <w:p w14:paraId="508F8EA2" w14:textId="77777777" w:rsidR="00C33FAA" w:rsidRPr="007E15F6" w:rsidRDefault="00C33FAA" w:rsidP="003F094A">
                            <w:pPr>
                              <w:rPr>
                                <w:rFonts w:asciiTheme="majorHAnsi" w:hAnsiTheme="majorHAnsi" w:cstheme="majorHAnsi"/>
                                <w:sz w:val="20"/>
                                <w:szCs w:val="20"/>
                              </w:rPr>
                            </w:pPr>
                            <w:r w:rsidRPr="007E15F6">
                              <w:rPr>
                                <w:rFonts w:asciiTheme="majorHAnsi" w:hAnsiTheme="majorHAnsi" w:cstheme="majorHAnsi"/>
                                <w:sz w:val="20"/>
                                <w:szCs w:val="20"/>
                              </w:rPr>
                              <w:t>Old age policies</w:t>
                            </w:r>
                          </w:p>
                          <w:p w14:paraId="4A85E9C6" w14:textId="035B8295" w:rsidR="00C33FAA" w:rsidRDefault="00C33FAA" w:rsidP="006C6E6D">
                            <w:r w:rsidRPr="007E15F6">
                              <w:rPr>
                                <w:rFonts w:asciiTheme="majorHAnsi" w:hAnsiTheme="majorHAnsi" w:cstheme="majorHAnsi"/>
                                <w:sz w:val="20"/>
                                <w:szCs w:val="20"/>
                              </w:rPr>
                              <w:t xml:space="preserve">Housing policies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70DBEC4" id="Text Box 225" o:spid="_x0000_s1065" type="#_x0000_t202" style="position:absolute;margin-left:417.7pt;margin-top:16.5pt;width:102pt;height:101.9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" filled="f" fillcolor="#5b9bd5" strokecolor="#7f7f7f" strokeweight="2pt">
                <v:stroke dashstyle="1 1"/>
                <v:shadow color="black [0]"/>
                <v:textbox inset="2.88pt,2.88pt,2.88pt,2.88pt">
                  <w:txbxContent>
                    <w:p w14:paraId="0396D98E" w14:textId="7FC1FB6A" w:rsidR="00C33FAA" w:rsidRDefault="00C33FAA" w:rsidP="003F094A">
                      <w:pPr>
                        <w:widowControl w:val="0"/>
                        <w:rPr>
                          <w:b/>
                          <w:bCs/>
                        </w:rPr>
                      </w:pPr>
                      <w:r>
                        <w:rPr>
                          <w:b/>
                          <w:bCs/>
                        </w:rPr>
                        <w:t>Other policies</w:t>
                      </w:r>
                    </w:p>
                    <w:p w14:paraId="2B2376A4" w14:textId="54BDBD31" w:rsidR="00C33FAA" w:rsidRPr="007E15F6" w:rsidRDefault="00C33FAA" w:rsidP="003F094A">
                      <w:pPr>
                        <w:widowControl w:val="0"/>
                        <w:spacing w:line="360" w:lineRule="auto"/>
                        <w:rPr>
                          <w:rFonts w:asciiTheme="majorHAnsi" w:hAnsiTheme="majorHAnsi" w:cstheme="majorHAnsi"/>
                          <w:sz w:val="20"/>
                          <w:szCs w:val="20"/>
                        </w:rPr>
                      </w:pPr>
                      <w:r w:rsidRPr="007E15F6">
                        <w:rPr>
                          <w:rFonts w:asciiTheme="majorHAnsi" w:hAnsiTheme="majorHAnsi" w:cstheme="majorHAnsi"/>
                          <w:sz w:val="20"/>
                          <w:szCs w:val="20"/>
                        </w:rPr>
                        <w:t>Education policies</w:t>
                      </w:r>
                    </w:p>
                    <w:p w14:paraId="508F8EA2" w14:textId="77777777" w:rsidR="00C33FAA" w:rsidRPr="007E15F6" w:rsidRDefault="00C33FAA" w:rsidP="003F094A">
                      <w:pPr>
                        <w:rPr>
                          <w:rFonts w:asciiTheme="majorHAnsi" w:hAnsiTheme="majorHAnsi" w:cstheme="majorHAnsi"/>
                          <w:sz w:val="20"/>
                          <w:szCs w:val="20"/>
                        </w:rPr>
                      </w:pPr>
                      <w:r w:rsidRPr="007E15F6">
                        <w:rPr>
                          <w:rFonts w:asciiTheme="majorHAnsi" w:hAnsiTheme="majorHAnsi" w:cstheme="majorHAnsi"/>
                          <w:sz w:val="20"/>
                          <w:szCs w:val="20"/>
                        </w:rPr>
                        <w:t>Old age policies</w:t>
                      </w:r>
                    </w:p>
                    <w:p w14:paraId="4A85E9C6" w14:textId="035B8295" w:rsidR="00C33FAA" w:rsidRDefault="00C33FAA" w:rsidP="006C6E6D">
                      <w:r w:rsidRPr="007E15F6">
                        <w:rPr>
                          <w:rFonts w:asciiTheme="majorHAnsi" w:hAnsiTheme="majorHAnsi" w:cstheme="majorHAnsi"/>
                          <w:sz w:val="20"/>
                          <w:szCs w:val="20"/>
                        </w:rPr>
                        <w:t xml:space="preserve">Housing policies </w:t>
                      </w:r>
                    </w:p>
                  </w:txbxContent>
                </v:textbox>
              </v:shape>
            </w:pict>
          </mc:Fallback>
        </mc:AlternateContent>
      </w:r>
      <w:r w:rsidR="006A413D">
        <w:rPr>
          <w:noProof/>
          <w:lang w:eastAsia="en-AU"/>
        </w:rPr>
        <mc:AlternateContent>
          <mc:Choice Requires="wps">
            <w:drawing>
              <wp:anchor distT="0" distB="0" distL="114300" distR="114300" simplePos="0" relativeHeight="251658258" behindDoc="0" locked="0" layoutInCell="1" allowOverlap="1" wp14:anchorId="6AC6CAA0" wp14:editId="229C5830">
                <wp:simplePos x="0" y="0"/>
                <wp:positionH relativeFrom="column">
                  <wp:posOffset>520077</wp:posOffset>
                </wp:positionH>
                <wp:positionV relativeFrom="paragraph">
                  <wp:posOffset>-646982</wp:posOffset>
                </wp:positionV>
                <wp:extent cx="1586865" cy="17208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6865" cy="172085"/>
                        </a:xfrm>
                        <a:prstGeom prst="rect">
                          <a:avLst/>
                        </a:prstGeom>
                        <a:solidFill>
                          <a:prstClr val="white"/>
                        </a:solidFill>
                        <a:ln>
                          <a:noFill/>
                        </a:ln>
                      </wps:spPr>
                      <wps:txbx>
                        <w:txbxContent>
                          <w:p w14:paraId="5EDCAA95" w14:textId="1EBC9257" w:rsidR="00C33FAA" w:rsidRPr="00270655" w:rsidRDefault="00C33FAA" w:rsidP="006A413D">
                            <w:pPr>
                              <w:pStyle w:val="Caption"/>
                              <w:rPr>
                                <w:rFonts w:cstheme="minorHAnsi"/>
                                <w:noProof/>
                                <w:color w:val="000000" w:themeColor="text1"/>
                              </w:rPr>
                            </w:pPr>
                            <w:r>
                              <w:t xml:space="preserve">Figure </w:t>
                            </w:r>
                            <w:fldSimple w:instr=" SEQ Figure \* ARABIC ">
                              <w:r w:rsidR="00115E22">
                                <w:rPr>
                                  <w:noProof/>
                                </w:rPr>
                                <w:t>10</w:t>
                              </w:r>
                            </w:fldSimple>
                            <w:r>
                              <w:t xml:space="preserve"> Conceptual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CAA0" id="Text Box 2" o:spid="_x0000_s1066" type="#_x0000_t202" style="position:absolute;margin-left:40.95pt;margin-top:-50.95pt;width:124.95pt;height:13.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" stroked="f">
                <v:textbox inset="0,0,0,0">
                  <w:txbxContent>
                    <w:p w14:paraId="5EDCAA95" w14:textId="1EBC9257" w:rsidR="00C33FAA" w:rsidRPr="00270655" w:rsidRDefault="00C33FAA" w:rsidP="006A413D">
                      <w:pPr>
                        <w:pStyle w:val="Caption"/>
                        <w:rPr>
                          <w:rFonts w:cstheme="minorHAnsi"/>
                          <w:noProof/>
                          <w:color w:val="000000" w:themeColor="text1"/>
                        </w:rPr>
                      </w:pPr>
                      <w:r>
                        <w:t xml:space="preserve">Figure </w:t>
                      </w:r>
                      <w:r w:rsidR="00166A92">
                        <w:fldChar w:fldCharType="begin"/>
                      </w:r>
                      <w:r w:rsidR="00166A92">
                        <w:instrText xml:space="preserve"> SEQ Figure \* ARABIC </w:instrText>
                      </w:r>
                      <w:r w:rsidR="00166A92">
                        <w:fldChar w:fldCharType="separate"/>
                      </w:r>
                      <w:r w:rsidR="00115E22">
                        <w:rPr>
                          <w:noProof/>
                        </w:rPr>
                        <w:t>10</w:t>
                      </w:r>
                      <w:r w:rsidR="00166A92">
                        <w:rPr>
                          <w:noProof/>
                        </w:rPr>
                        <w:fldChar w:fldCharType="end"/>
                      </w:r>
                      <w:r>
                        <w:t xml:space="preserve"> Conceptual Framework</w:t>
                      </w:r>
                    </w:p>
                  </w:txbxContent>
                </v:textbox>
              </v:shape>
            </w:pict>
          </mc:Fallback>
        </mc:AlternateContent>
      </w:r>
    </w:p>
    <w:p w14:paraId="6D445A35" w14:textId="741468EB" w:rsidR="002961E2" w:rsidRDefault="002961E2" w:rsidP="002961E2">
      <w:pPr>
        <w:spacing w:line="276" w:lineRule="auto"/>
        <w:jc w:val="both"/>
        <w:rPr>
          <w:rFonts w:cstheme="minorHAnsi"/>
          <w:color w:val="000000" w:themeColor="text1"/>
        </w:rPr>
      </w:pPr>
      <w:r>
        <w:rPr>
          <w:rFonts w:cstheme="minorHAnsi"/>
          <w:color w:val="000000" w:themeColor="text1"/>
        </w:rPr>
        <w:lastRenderedPageBreak/>
        <w:t xml:space="preserve">the woman decides that it is not feasible to have a child. In another country with a different context the woman </w:t>
      </w:r>
      <w:r w:rsidR="00885E05">
        <w:rPr>
          <w:rFonts w:cstheme="minorHAnsi"/>
          <w:color w:val="000000" w:themeColor="text1"/>
        </w:rPr>
        <w:t>makes an easy decision to have</w:t>
      </w:r>
      <w:r>
        <w:rPr>
          <w:rFonts w:cstheme="minorHAnsi"/>
          <w:color w:val="000000" w:themeColor="text1"/>
        </w:rPr>
        <w:t xml:space="preserve"> her first child and then progress</w:t>
      </w:r>
      <w:r w:rsidR="00885E05">
        <w:rPr>
          <w:rFonts w:cstheme="minorHAnsi"/>
          <w:color w:val="000000" w:themeColor="text1"/>
        </w:rPr>
        <w:t>es</w:t>
      </w:r>
      <w:r>
        <w:rPr>
          <w:rFonts w:cstheme="minorHAnsi"/>
          <w:color w:val="000000" w:themeColor="text1"/>
        </w:rPr>
        <w:t xml:space="preserve"> to expand her family. </w:t>
      </w:r>
    </w:p>
    <w:p w14:paraId="3A7B4815" w14:textId="2A910D74" w:rsidR="002961E2" w:rsidRDefault="002961E2" w:rsidP="002961E2">
      <w:pPr>
        <w:tabs>
          <w:tab w:val="right" w:pos="13958"/>
        </w:tabs>
        <w:spacing w:line="276" w:lineRule="auto"/>
        <w:jc w:val="both"/>
        <w:rPr>
          <w:rFonts w:cstheme="minorHAnsi"/>
          <w:color w:val="000000" w:themeColor="text1"/>
        </w:rPr>
      </w:pPr>
      <w:r>
        <w:rPr>
          <w:rFonts w:cstheme="minorHAnsi"/>
          <w:color w:val="000000" w:themeColor="text1"/>
        </w:rPr>
        <w:t>Conceptualising fertility as a system, where individuals make their reproductive choices within a wider macro</w:t>
      </w:r>
      <w:r w:rsidR="00885E05">
        <w:rPr>
          <w:rFonts w:cstheme="minorHAnsi"/>
          <w:color w:val="000000" w:themeColor="text1"/>
        </w:rPr>
        <w:t>-</w:t>
      </w:r>
      <w:r>
        <w:rPr>
          <w:rFonts w:cstheme="minorHAnsi"/>
          <w:color w:val="000000" w:themeColor="text1"/>
        </w:rPr>
        <w:t>context can help us understand the multiple influences on fertility, how these interact with each other, as well as what roles policies have in shaping factors that are important in fertility decision making. Within this conceptual approach, it is also important to recognise that neither the macro</w:t>
      </w:r>
      <w:r w:rsidR="00885E05">
        <w:rPr>
          <w:rFonts w:cstheme="minorHAnsi"/>
          <w:color w:val="000000" w:themeColor="text1"/>
        </w:rPr>
        <w:t>-</w:t>
      </w:r>
      <w:r>
        <w:rPr>
          <w:rFonts w:cstheme="minorHAnsi"/>
          <w:color w:val="000000" w:themeColor="text1"/>
        </w:rPr>
        <w:t>, nor the micro</w:t>
      </w:r>
      <w:r w:rsidR="00885E05">
        <w:rPr>
          <w:rFonts w:cstheme="minorHAnsi"/>
          <w:color w:val="000000" w:themeColor="text1"/>
        </w:rPr>
        <w:t>-</w:t>
      </w:r>
      <w:r>
        <w:rPr>
          <w:rFonts w:cstheme="minorHAnsi"/>
          <w:color w:val="000000" w:themeColor="text1"/>
        </w:rPr>
        <w:t xml:space="preserve">components of the framework are fixed, and may change as a result of the interactions between them. Next, we examine each of the components and their relationship with each other. </w:t>
      </w:r>
    </w:p>
    <w:p w14:paraId="730D71EB" w14:textId="62E4344B" w:rsidR="00BE2883" w:rsidRPr="007E15F6" w:rsidRDefault="004065EF" w:rsidP="007E15F6">
      <w:pPr>
        <w:spacing w:line="276" w:lineRule="auto"/>
        <w:rPr>
          <w:i/>
          <w:iCs/>
          <w:lang w:val="en-US"/>
        </w:rPr>
      </w:pPr>
      <w:r w:rsidRPr="007E15F6">
        <w:rPr>
          <w:i/>
          <w:iCs/>
          <w:lang w:val="en-US"/>
        </w:rPr>
        <w:t>Individual childbearing desires and outcomes</w:t>
      </w:r>
    </w:p>
    <w:p w14:paraId="4D46DF63" w14:textId="512288F2" w:rsidR="00090C33" w:rsidRDefault="00EA1A9D" w:rsidP="00BC5105">
      <w:pPr>
        <w:tabs>
          <w:tab w:val="left" w:pos="988"/>
        </w:tabs>
        <w:spacing w:line="276" w:lineRule="auto"/>
        <w:jc w:val="both"/>
        <w:rPr>
          <w:rFonts w:cstheme="minorHAnsi"/>
          <w:lang w:val="en-US"/>
        </w:rPr>
      </w:pPr>
      <w:r>
        <w:rPr>
          <w:rFonts w:cstheme="minorHAnsi"/>
          <w:lang w:val="en-US"/>
        </w:rPr>
        <w:t>Individual childbearing desires</w:t>
      </w:r>
      <w:r w:rsidR="00453106">
        <w:rPr>
          <w:rFonts w:cstheme="minorHAnsi"/>
          <w:lang w:val="en-US"/>
        </w:rPr>
        <w:t xml:space="preserve"> (and subsequent outcomes) vary according to </w:t>
      </w:r>
      <w:r w:rsidR="00453106">
        <w:t xml:space="preserve">personality traits, </w:t>
      </w:r>
      <w:r w:rsidR="00453106" w:rsidRPr="0078451D">
        <w:t>general attitudes, beliefs, life values, as well as demographic characteristics such as age, sex, education</w:t>
      </w:r>
      <w:r w:rsidR="00453106" w:rsidRPr="0078451D">
        <w:rPr>
          <w:rFonts w:cstheme="minorHAnsi"/>
          <w:lang w:val="en-US"/>
        </w:rPr>
        <w:t xml:space="preserve"> </w:t>
      </w:r>
      <w:r w:rsidR="00893D45" w:rsidRPr="007E15F6">
        <w:rPr>
          <w:rFonts w:cstheme="minorHAnsi"/>
          <w:noProof/>
        </w:rPr>
        <w:t>(Ajzen &amp; Klobas, 2013)</w:t>
      </w:r>
      <w:r w:rsidRPr="0078451D">
        <w:rPr>
          <w:rFonts w:cstheme="minorHAnsi"/>
          <w:lang w:val="en-US"/>
        </w:rPr>
        <w:t>.</w:t>
      </w:r>
      <w:r w:rsidR="00453106">
        <w:rPr>
          <w:rFonts w:cstheme="minorHAnsi"/>
          <w:lang w:val="en-US"/>
        </w:rPr>
        <w:t xml:space="preserve"> </w:t>
      </w:r>
      <w:r w:rsidR="00EB079C">
        <w:rPr>
          <w:rFonts w:cstheme="minorHAnsi"/>
          <w:lang w:val="en-US"/>
        </w:rPr>
        <w:t>While childbearing desires have declined over time, in Austra</w:t>
      </w:r>
      <w:r w:rsidR="00C47297">
        <w:rPr>
          <w:rFonts w:cstheme="minorHAnsi"/>
          <w:lang w:val="en-US"/>
        </w:rPr>
        <w:t>lia, people want an average of two</w:t>
      </w:r>
      <w:r w:rsidR="00EB079C">
        <w:rPr>
          <w:rFonts w:cstheme="minorHAnsi"/>
          <w:lang w:val="en-US"/>
        </w:rPr>
        <w:t xml:space="preserve"> children </w:t>
      </w:r>
      <w:r w:rsidR="00893D45" w:rsidRPr="007E15F6">
        <w:rPr>
          <w:rFonts w:cstheme="minorHAnsi"/>
          <w:noProof/>
        </w:rPr>
        <w:t>(Arunachalam &amp; Heard, 2015)</w:t>
      </w:r>
      <w:r w:rsidR="00EB079C">
        <w:rPr>
          <w:rFonts w:cstheme="minorHAnsi"/>
          <w:lang w:val="en-US"/>
        </w:rPr>
        <w:t>.</w:t>
      </w:r>
      <w:r w:rsidR="009258C1">
        <w:rPr>
          <w:rFonts w:cstheme="minorHAnsi"/>
          <w:lang w:val="en-US"/>
        </w:rPr>
        <w:t xml:space="preserve"> </w:t>
      </w:r>
      <w:r w:rsidR="00090C33">
        <w:rPr>
          <w:rFonts w:cstheme="minorHAnsi"/>
          <w:lang w:val="en-US"/>
        </w:rPr>
        <w:t xml:space="preserve">When women aged 22-27 participating in the </w:t>
      </w:r>
      <w:r w:rsidR="00090C33" w:rsidRPr="007E15F6">
        <w:rPr>
          <w:rFonts w:cstheme="minorHAnsi"/>
          <w:lang w:val="en-US"/>
        </w:rPr>
        <w:t>Australian Longitudinal Study on Women’s Health </w:t>
      </w:r>
      <w:r w:rsidR="00090C33">
        <w:rPr>
          <w:rFonts w:cstheme="minorHAnsi"/>
          <w:lang w:val="en-US"/>
        </w:rPr>
        <w:t xml:space="preserve">were asked in 2000 how many children they would like to have by the time they are 35, only 8% stated that they wanted no children, 12% stated a preference for 1 child, while 57% wanted 2 children and 24% three or more children (Johnstone, </w:t>
      </w:r>
      <w:r w:rsidR="00B95174" w:rsidRPr="00B95174">
        <w:rPr>
          <w:rFonts w:cstheme="minorHAnsi"/>
          <w:i/>
          <w:lang w:val="en-US"/>
        </w:rPr>
        <w:t>et al.,</w:t>
      </w:r>
      <w:r w:rsidR="00090C33">
        <w:rPr>
          <w:rFonts w:cstheme="minorHAnsi"/>
          <w:lang w:val="en-US"/>
        </w:rPr>
        <w:t xml:space="preserve"> 2020). </w:t>
      </w:r>
      <w:r w:rsidR="009258C1">
        <w:rPr>
          <w:rFonts w:cstheme="minorHAnsi"/>
          <w:lang w:val="en-US"/>
        </w:rPr>
        <w:t>The persistence of a two-child family ideal is also observed in most other developed countries (Sobotka &amp; Beaujouan 2014).</w:t>
      </w:r>
    </w:p>
    <w:p w14:paraId="65D82AA5" w14:textId="2025AD22" w:rsidR="00BE2883" w:rsidRPr="003635BF" w:rsidRDefault="00EB079C" w:rsidP="00BC5105">
      <w:pPr>
        <w:tabs>
          <w:tab w:val="left" w:pos="988"/>
        </w:tabs>
        <w:spacing w:line="276" w:lineRule="auto"/>
        <w:jc w:val="both"/>
        <w:rPr>
          <w:rFonts w:cstheme="minorHAnsi"/>
          <w:lang w:val="en-US"/>
        </w:rPr>
      </w:pPr>
      <w:r>
        <w:rPr>
          <w:rFonts w:cstheme="minorHAnsi"/>
          <w:lang w:val="en-US"/>
        </w:rPr>
        <w:t xml:space="preserve"> </w:t>
      </w:r>
      <w:r w:rsidR="00453106">
        <w:rPr>
          <w:rFonts w:cstheme="minorHAnsi"/>
          <w:lang w:val="en-US"/>
        </w:rPr>
        <w:t>However, childbearing desires are not always translated to actual childbearing</w:t>
      </w:r>
      <w:r w:rsidR="002961E2">
        <w:rPr>
          <w:rFonts w:cstheme="minorHAnsi"/>
          <w:lang w:val="en-US"/>
        </w:rPr>
        <w:t>. I</w:t>
      </w:r>
      <w:r w:rsidR="00453106">
        <w:rPr>
          <w:rFonts w:cstheme="minorHAnsi"/>
          <w:lang w:val="en-US"/>
        </w:rPr>
        <w:t xml:space="preserve">n </w:t>
      </w:r>
      <w:r w:rsidR="00BE2883" w:rsidRPr="003635BF">
        <w:rPr>
          <w:rFonts w:cstheme="minorHAnsi"/>
          <w:lang w:val="en-US"/>
        </w:rPr>
        <w:t xml:space="preserve">Australia, as well as in other countries, people </w:t>
      </w:r>
      <w:r w:rsidR="00453106">
        <w:rPr>
          <w:rFonts w:cstheme="minorHAnsi"/>
          <w:lang w:val="en-US"/>
        </w:rPr>
        <w:t>generally express a wish to have</w:t>
      </w:r>
      <w:r w:rsidR="00453106" w:rsidRPr="003635BF">
        <w:rPr>
          <w:rFonts w:cstheme="minorHAnsi"/>
          <w:lang w:val="en-US"/>
        </w:rPr>
        <w:t xml:space="preserve"> </w:t>
      </w:r>
      <w:r w:rsidR="00BE2883" w:rsidRPr="003635BF">
        <w:rPr>
          <w:rFonts w:cstheme="minorHAnsi"/>
          <w:lang w:val="en-US"/>
        </w:rPr>
        <w:t xml:space="preserve">more children than they end up having. This can be observed in two ways. The first is from studies that have asked people how many children they would ideally want, and how many children they realistically expect to have (including any they already have).  </w:t>
      </w:r>
      <w:r w:rsidR="00796909" w:rsidRPr="003635BF">
        <w:rPr>
          <w:rFonts w:cstheme="minorHAnsi"/>
          <w:lang w:val="en-US"/>
        </w:rPr>
        <w:t>The Australian Institute of Family Studies</w:t>
      </w:r>
      <w:r w:rsidR="00BE2883" w:rsidRPr="003635BF">
        <w:rPr>
          <w:rFonts w:cstheme="minorHAnsi"/>
          <w:lang w:val="en-US"/>
        </w:rPr>
        <w:t xml:space="preserve"> asked people aged 20-39 about their family size aspirations and expectations. On average</w:t>
      </w:r>
      <w:r w:rsidR="002961E2">
        <w:rPr>
          <w:rFonts w:cstheme="minorHAnsi"/>
          <w:lang w:val="en-US"/>
        </w:rPr>
        <w:t>,</w:t>
      </w:r>
      <w:r w:rsidR="00BE2883" w:rsidRPr="003635BF">
        <w:rPr>
          <w:rFonts w:cstheme="minorHAnsi"/>
          <w:lang w:val="en-US"/>
        </w:rPr>
        <w:t xml:space="preserve"> women stated an ideal number of children of 2.5 and men of 2.4</w:t>
      </w:r>
      <w:r w:rsidR="00453106">
        <w:rPr>
          <w:rFonts w:cstheme="minorHAnsi"/>
          <w:lang w:val="en-US"/>
        </w:rPr>
        <w:t>; t</w:t>
      </w:r>
      <w:r w:rsidR="00BE2883" w:rsidRPr="003635BF">
        <w:rPr>
          <w:rFonts w:cstheme="minorHAnsi"/>
          <w:lang w:val="en-US"/>
        </w:rPr>
        <w:t xml:space="preserve">his was significantly above the family size people </w:t>
      </w:r>
      <w:r w:rsidR="00BE2883" w:rsidRPr="003635BF">
        <w:rPr>
          <w:rFonts w:cstheme="minorHAnsi"/>
          <w:i/>
          <w:lang w:val="en-US"/>
        </w:rPr>
        <w:t>expected</w:t>
      </w:r>
      <w:r w:rsidR="00BE2883" w:rsidRPr="003635BF">
        <w:rPr>
          <w:rFonts w:cstheme="minorHAnsi"/>
          <w:lang w:val="en-US"/>
        </w:rPr>
        <w:t xml:space="preserve"> to achieve which was 2.1 for women and 1.8 for men </w:t>
      </w:r>
      <w:r w:rsidR="00B95174" w:rsidRPr="007E15F6">
        <w:rPr>
          <w:rFonts w:cstheme="minorHAnsi"/>
          <w:noProof/>
        </w:rPr>
        <w:t xml:space="preserve">(Weston, </w:t>
      </w:r>
      <w:r w:rsidR="00B95174" w:rsidRPr="007E15F6">
        <w:rPr>
          <w:rFonts w:cstheme="minorHAnsi"/>
          <w:i/>
          <w:iCs/>
          <w:noProof/>
        </w:rPr>
        <w:t>et al.,</w:t>
      </w:r>
      <w:r w:rsidR="00B95174" w:rsidRPr="007E15F6">
        <w:rPr>
          <w:rFonts w:cstheme="minorHAnsi"/>
          <w:noProof/>
        </w:rPr>
        <w:t xml:space="preserve"> 2005)</w:t>
      </w:r>
      <w:r w:rsidR="00BE2883" w:rsidRPr="003635BF">
        <w:rPr>
          <w:rFonts w:cstheme="minorHAnsi"/>
          <w:lang w:val="en-US"/>
        </w:rPr>
        <w:t>. Similar</w:t>
      </w:r>
      <w:r w:rsidR="001C478F">
        <w:rPr>
          <w:rFonts w:cstheme="minorHAnsi"/>
          <w:lang w:val="en-US"/>
        </w:rPr>
        <w:t>ly</w:t>
      </w:r>
      <w:r w:rsidR="00187434">
        <w:rPr>
          <w:rFonts w:cstheme="minorHAnsi"/>
          <w:lang w:val="en-US"/>
        </w:rPr>
        <w:t>,</w:t>
      </w:r>
      <w:r w:rsidR="00BE2883" w:rsidRPr="003635BF">
        <w:rPr>
          <w:rFonts w:cstheme="minorHAnsi"/>
          <w:lang w:val="en-US"/>
        </w:rPr>
        <w:t xml:space="preserve"> </w:t>
      </w:r>
      <w:r w:rsidR="00770500">
        <w:rPr>
          <w:rFonts w:cstheme="minorHAnsi"/>
          <w:lang w:val="en-US"/>
        </w:rPr>
        <w:t xml:space="preserve">in a survey of </w:t>
      </w:r>
      <w:r w:rsidR="00BE2883">
        <w:rPr>
          <w:rFonts w:cstheme="minorHAnsi"/>
          <w:lang w:val="en-US"/>
        </w:rPr>
        <w:t>women in their</w:t>
      </w:r>
      <w:r w:rsidR="00BE2883" w:rsidRPr="003635BF">
        <w:rPr>
          <w:rFonts w:cstheme="minorHAnsi"/>
          <w:lang w:val="en-US"/>
        </w:rPr>
        <w:t xml:space="preserve"> early 30s </w:t>
      </w:r>
      <w:r w:rsidR="00453106">
        <w:rPr>
          <w:rFonts w:cstheme="minorHAnsi"/>
          <w:lang w:val="en-US"/>
        </w:rPr>
        <w:t>in Victoria</w:t>
      </w:r>
      <w:r w:rsidR="00770500">
        <w:rPr>
          <w:rFonts w:cstheme="minorHAnsi"/>
          <w:lang w:val="en-US"/>
        </w:rPr>
        <w:t xml:space="preserve">, 8 out of 10 </w:t>
      </w:r>
      <w:r w:rsidR="00BE2883" w:rsidRPr="003635BF">
        <w:rPr>
          <w:rFonts w:cstheme="minorHAnsi"/>
          <w:lang w:val="en-US"/>
        </w:rPr>
        <w:t xml:space="preserve">had fewer children than they desired, but when asked if they were likely to have more children in the future, more than half said this was unlikely </w:t>
      </w:r>
      <w:r w:rsidR="006347FD">
        <w:rPr>
          <w:rFonts w:cstheme="minorHAnsi"/>
          <w:noProof/>
        </w:rPr>
        <w:t xml:space="preserve">(Holton, </w:t>
      </w:r>
      <w:r w:rsidR="00B95174" w:rsidRPr="00B95174">
        <w:rPr>
          <w:rFonts w:cstheme="minorHAnsi"/>
          <w:i/>
          <w:noProof/>
        </w:rPr>
        <w:t>et al.,</w:t>
      </w:r>
      <w:r w:rsidR="006347FD">
        <w:rPr>
          <w:rFonts w:cstheme="minorHAnsi"/>
          <w:noProof/>
        </w:rPr>
        <w:t xml:space="preserve"> 2011)</w:t>
      </w:r>
      <w:r w:rsidR="00BE2883" w:rsidRPr="003635BF">
        <w:rPr>
          <w:rFonts w:cstheme="minorHAnsi"/>
          <w:lang w:val="en-US"/>
        </w:rPr>
        <w:t xml:space="preserve">. </w:t>
      </w:r>
    </w:p>
    <w:p w14:paraId="30E8F9E6" w14:textId="50C3D55E" w:rsidR="00BE2883" w:rsidRDefault="00BE2883" w:rsidP="00BC5105">
      <w:pPr>
        <w:tabs>
          <w:tab w:val="left" w:pos="988"/>
        </w:tabs>
        <w:spacing w:line="276" w:lineRule="auto"/>
        <w:jc w:val="both"/>
        <w:rPr>
          <w:rFonts w:cstheme="minorHAnsi"/>
          <w:lang w:val="en-US"/>
        </w:rPr>
      </w:pPr>
      <w:r w:rsidRPr="003635BF">
        <w:rPr>
          <w:rFonts w:cstheme="minorHAnsi"/>
          <w:lang w:val="en-US"/>
        </w:rPr>
        <w:t xml:space="preserve">The second way the gap between aspirations and outcomes can be observed is using longitudinal data which tracks people’s lives over time. </w:t>
      </w:r>
      <w:r w:rsidR="00770500">
        <w:rPr>
          <w:rFonts w:cstheme="minorHAnsi"/>
          <w:lang w:val="en-US"/>
        </w:rPr>
        <w:t xml:space="preserve">According to data from </w:t>
      </w:r>
      <w:r w:rsidRPr="003635BF">
        <w:rPr>
          <w:rFonts w:cstheme="minorHAnsi"/>
          <w:lang w:val="en-US"/>
        </w:rPr>
        <w:t>the Household, Income and Labour Dynamics in Australia (HILDA)</w:t>
      </w:r>
      <w:r w:rsidR="00796909">
        <w:rPr>
          <w:rFonts w:cstheme="minorHAnsi"/>
          <w:lang w:val="en-US"/>
        </w:rPr>
        <w:t xml:space="preserve"> </w:t>
      </w:r>
      <w:r w:rsidR="00414063">
        <w:rPr>
          <w:rFonts w:cstheme="minorHAnsi"/>
          <w:lang w:val="en-US"/>
        </w:rPr>
        <w:t xml:space="preserve">survey, </w:t>
      </w:r>
      <w:r w:rsidR="00414063" w:rsidRPr="003635BF">
        <w:rPr>
          <w:rFonts w:cstheme="minorHAnsi"/>
          <w:lang w:val="en-US"/>
        </w:rPr>
        <w:t>of</w:t>
      </w:r>
      <w:r w:rsidRPr="003635BF">
        <w:rPr>
          <w:rFonts w:cstheme="minorHAnsi"/>
          <w:lang w:val="en-US"/>
        </w:rPr>
        <w:t xml:space="preserve"> young people aged 18-25 in 2001 who were childless and indicated a strong desire for at least one child, 1 in 5 (20%) were still childless in 2019 at ages 36-43 when they would be approaching the end of their reproductive lives</w:t>
      </w:r>
      <w:r w:rsidR="00A7718F">
        <w:rPr>
          <w:rStyle w:val="FootnoteReference"/>
          <w:rFonts w:cstheme="minorHAnsi"/>
          <w:lang w:val="en-US"/>
        </w:rPr>
        <w:footnoteReference w:id="4"/>
      </w:r>
      <w:r w:rsidRPr="003635BF">
        <w:rPr>
          <w:rFonts w:cstheme="minorHAnsi"/>
          <w:lang w:val="en-US"/>
        </w:rPr>
        <w:t>.</w:t>
      </w:r>
      <w:r w:rsidR="00770500">
        <w:rPr>
          <w:rFonts w:cstheme="minorHAnsi"/>
          <w:lang w:val="en-US"/>
        </w:rPr>
        <w:t xml:space="preserve"> Of course, over 18 years there can be many unexpected life course events such as relationship breakdowns which cause childbearing desires to be changed or plans to be abandoned</w:t>
      </w:r>
      <w:r w:rsidR="002961E2">
        <w:rPr>
          <w:rFonts w:cstheme="minorHAnsi"/>
          <w:lang w:val="en-US"/>
        </w:rPr>
        <w:t>,</w:t>
      </w:r>
      <w:r w:rsidR="00770500">
        <w:rPr>
          <w:rFonts w:cstheme="minorHAnsi"/>
          <w:lang w:val="en-US"/>
        </w:rPr>
        <w:t xml:space="preserve"> and young people are more likely to revise their intentions </w:t>
      </w:r>
      <w:r w:rsidR="000B7822" w:rsidRPr="007E15F6">
        <w:rPr>
          <w:rFonts w:cstheme="minorHAnsi"/>
          <w:noProof/>
        </w:rPr>
        <w:t>(Spéder &amp; Kapitány, 2015)</w:t>
      </w:r>
      <w:r w:rsidR="00770500">
        <w:rPr>
          <w:rFonts w:cstheme="minorHAnsi"/>
          <w:lang w:val="en-US"/>
        </w:rPr>
        <w:t xml:space="preserve">. </w:t>
      </w:r>
      <w:r w:rsidR="00796909">
        <w:rPr>
          <w:rFonts w:cstheme="minorHAnsi"/>
          <w:lang w:val="en-US"/>
        </w:rPr>
        <w:t xml:space="preserve">When looking at a shorter timeframe, another study using HILDA data and which </w:t>
      </w:r>
      <w:r w:rsidRPr="003635BF">
        <w:rPr>
          <w:rFonts w:cstheme="minorHAnsi"/>
          <w:lang w:val="en-US"/>
        </w:rPr>
        <w:t>focused on those people who indicated a definite pl</w:t>
      </w:r>
      <w:r w:rsidR="00C47297">
        <w:rPr>
          <w:rFonts w:cstheme="minorHAnsi"/>
          <w:lang w:val="en-US"/>
        </w:rPr>
        <w:t>an to have a child in the next four</w:t>
      </w:r>
      <w:r w:rsidRPr="003635BF">
        <w:rPr>
          <w:rFonts w:cstheme="minorHAnsi"/>
          <w:lang w:val="en-US"/>
        </w:rPr>
        <w:t xml:space="preserve"> years, </w:t>
      </w:r>
      <w:r w:rsidR="002961E2" w:rsidRPr="003635BF">
        <w:rPr>
          <w:rFonts w:cstheme="minorHAnsi"/>
          <w:lang w:val="en-US"/>
        </w:rPr>
        <w:t>two</w:t>
      </w:r>
      <w:r w:rsidR="002961E2">
        <w:rPr>
          <w:rFonts w:cstheme="minorHAnsi"/>
          <w:lang w:val="en-US"/>
        </w:rPr>
        <w:t>-</w:t>
      </w:r>
      <w:r w:rsidRPr="003635BF">
        <w:rPr>
          <w:rFonts w:cstheme="minorHAnsi"/>
          <w:lang w:val="en-US"/>
        </w:rPr>
        <w:t>thirds were able to achieve their plan and have a child within that timeframe</w:t>
      </w:r>
      <w:r w:rsidR="006347FD">
        <w:rPr>
          <w:rFonts w:cstheme="minorHAnsi"/>
          <w:noProof/>
        </w:rPr>
        <w:t xml:space="preserve"> (Beaujouan, </w:t>
      </w:r>
      <w:r w:rsidR="00B95174" w:rsidRPr="00B95174">
        <w:rPr>
          <w:rFonts w:cstheme="minorHAnsi"/>
          <w:i/>
          <w:noProof/>
        </w:rPr>
        <w:t>et al.,</w:t>
      </w:r>
      <w:r w:rsidR="006347FD">
        <w:rPr>
          <w:rFonts w:cstheme="minorHAnsi"/>
          <w:noProof/>
        </w:rPr>
        <w:t xml:space="preserve"> 2019)</w:t>
      </w:r>
      <w:r w:rsidRPr="003635BF">
        <w:rPr>
          <w:rFonts w:cstheme="minorHAnsi"/>
          <w:lang w:val="en-US"/>
        </w:rPr>
        <w:t xml:space="preserve">.  </w:t>
      </w:r>
    </w:p>
    <w:p w14:paraId="0EEDC317" w14:textId="6BEACD96" w:rsidR="00F947C0" w:rsidRPr="007E15F6" w:rsidRDefault="00C61131" w:rsidP="00BC5105">
      <w:pPr>
        <w:tabs>
          <w:tab w:val="left" w:pos="988"/>
        </w:tabs>
        <w:spacing w:line="276" w:lineRule="auto"/>
        <w:jc w:val="both"/>
        <w:rPr>
          <w:rFonts w:cstheme="minorHAnsi"/>
          <w:color w:val="000000" w:themeColor="text1"/>
        </w:rPr>
      </w:pPr>
      <w:r w:rsidRPr="003635BF">
        <w:rPr>
          <w:rFonts w:cstheme="minorHAnsi"/>
          <w:lang w:val="en-US"/>
        </w:rPr>
        <w:lastRenderedPageBreak/>
        <w:t>For individuals</w:t>
      </w:r>
      <w:r w:rsidR="00C43B9C">
        <w:rPr>
          <w:rFonts w:cstheme="minorHAnsi"/>
          <w:lang w:val="en-US"/>
        </w:rPr>
        <w:t>,</w:t>
      </w:r>
      <w:r w:rsidRPr="003635BF">
        <w:rPr>
          <w:rFonts w:cstheme="minorHAnsi"/>
          <w:lang w:val="en-US"/>
        </w:rPr>
        <w:t xml:space="preserve"> there is a multitude of </w:t>
      </w:r>
      <w:r w:rsidR="00841C8C">
        <w:rPr>
          <w:rFonts w:cstheme="minorHAnsi"/>
          <w:lang w:val="en-US"/>
        </w:rPr>
        <w:t xml:space="preserve">personal </w:t>
      </w:r>
      <w:r w:rsidRPr="003635BF">
        <w:rPr>
          <w:rFonts w:cstheme="minorHAnsi"/>
          <w:lang w:val="en-US"/>
        </w:rPr>
        <w:t>reasons why their goals may not be achieved</w:t>
      </w:r>
      <w:r>
        <w:rPr>
          <w:rFonts w:cstheme="minorHAnsi"/>
          <w:lang w:val="en-US"/>
        </w:rPr>
        <w:t>,</w:t>
      </w:r>
      <w:r w:rsidRPr="003635BF">
        <w:rPr>
          <w:rFonts w:cstheme="minorHAnsi"/>
          <w:lang w:val="en-US"/>
        </w:rPr>
        <w:t xml:space="preserve"> including health difficulties, relationship breakdowns or difficulties finding a partner, job losses or changes, as well as changes in childbearing desires. </w:t>
      </w:r>
      <w:r w:rsidR="006A56FE">
        <w:rPr>
          <w:rFonts w:cstheme="minorHAnsi"/>
          <w:lang w:val="en-US"/>
        </w:rPr>
        <w:t>W</w:t>
      </w:r>
      <w:r>
        <w:rPr>
          <w:rFonts w:cstheme="minorHAnsi"/>
          <w:lang w:val="en-US"/>
        </w:rPr>
        <w:t xml:space="preserve">hen people anticipate </w:t>
      </w:r>
      <w:r w:rsidR="006A56FE">
        <w:rPr>
          <w:rFonts w:cstheme="minorHAnsi"/>
          <w:lang w:val="en-US"/>
        </w:rPr>
        <w:t xml:space="preserve">that </w:t>
      </w:r>
      <w:r>
        <w:rPr>
          <w:rFonts w:cstheme="minorHAnsi"/>
          <w:lang w:val="en-US"/>
        </w:rPr>
        <w:t xml:space="preserve">they will not achieve their </w:t>
      </w:r>
      <w:r w:rsidR="002961E2">
        <w:rPr>
          <w:rFonts w:cstheme="minorHAnsi"/>
          <w:lang w:val="en-US"/>
        </w:rPr>
        <w:t xml:space="preserve">childbearing </w:t>
      </w:r>
      <w:r>
        <w:rPr>
          <w:rFonts w:cstheme="minorHAnsi"/>
          <w:lang w:val="en-US"/>
        </w:rPr>
        <w:t>goals, they will adjust them</w:t>
      </w:r>
      <w:r w:rsidR="006A56FE">
        <w:rPr>
          <w:rFonts w:cstheme="minorHAnsi"/>
          <w:lang w:val="en-US"/>
        </w:rPr>
        <w:t>. So</w:t>
      </w:r>
      <w:r w:rsidR="00BF4974">
        <w:rPr>
          <w:rFonts w:cstheme="minorHAnsi"/>
          <w:lang w:val="en-US"/>
        </w:rPr>
        <w:t>,</w:t>
      </w:r>
      <w:r w:rsidR="006A56FE">
        <w:rPr>
          <w:rFonts w:cstheme="minorHAnsi"/>
          <w:lang w:val="en-US"/>
        </w:rPr>
        <w:t xml:space="preserve"> a person who </w:t>
      </w:r>
      <w:r>
        <w:rPr>
          <w:rFonts w:cstheme="minorHAnsi"/>
          <w:lang w:val="en-US"/>
        </w:rPr>
        <w:t xml:space="preserve">previously expressed a desire for a child may later indicate </w:t>
      </w:r>
      <w:r w:rsidR="00C47297">
        <w:rPr>
          <w:rFonts w:cstheme="minorHAnsi"/>
          <w:lang w:val="en-US"/>
        </w:rPr>
        <w:t xml:space="preserve">that </w:t>
      </w:r>
      <w:r>
        <w:rPr>
          <w:rFonts w:cstheme="minorHAnsi"/>
          <w:lang w:val="en-US"/>
        </w:rPr>
        <w:t xml:space="preserve">they do not want children </w:t>
      </w:r>
      <w:r w:rsidR="006A56FE">
        <w:rPr>
          <w:rFonts w:cstheme="minorHAnsi"/>
          <w:lang w:val="en-US"/>
        </w:rPr>
        <w:t xml:space="preserve">because </w:t>
      </w:r>
      <w:r>
        <w:rPr>
          <w:rFonts w:cstheme="minorHAnsi"/>
          <w:lang w:val="en-US"/>
        </w:rPr>
        <w:t xml:space="preserve">they </w:t>
      </w:r>
      <w:r w:rsidR="006A56FE">
        <w:rPr>
          <w:rFonts w:cstheme="minorHAnsi"/>
          <w:lang w:val="en-US"/>
        </w:rPr>
        <w:t xml:space="preserve">realise </w:t>
      </w:r>
      <w:r>
        <w:rPr>
          <w:rFonts w:cstheme="minorHAnsi"/>
          <w:lang w:val="en-US"/>
        </w:rPr>
        <w:t xml:space="preserve">that they are unlikely to have </w:t>
      </w:r>
      <w:r w:rsidR="006A56FE">
        <w:rPr>
          <w:rFonts w:cstheme="minorHAnsi"/>
          <w:lang w:val="en-US"/>
        </w:rPr>
        <w:t xml:space="preserve">one </w:t>
      </w:r>
      <w:r w:rsidR="006347FD">
        <w:rPr>
          <w:rFonts w:cstheme="minorHAnsi"/>
          <w:noProof/>
        </w:rPr>
        <w:t xml:space="preserve">(Gray, </w:t>
      </w:r>
      <w:r w:rsidR="00B95174" w:rsidRPr="00B95174">
        <w:rPr>
          <w:rFonts w:cstheme="minorHAnsi"/>
          <w:i/>
          <w:noProof/>
        </w:rPr>
        <w:t>et al.,</w:t>
      </w:r>
      <w:r w:rsidR="006347FD">
        <w:rPr>
          <w:rFonts w:cstheme="minorHAnsi"/>
          <w:noProof/>
        </w:rPr>
        <w:t xml:space="preserve"> 2013)</w:t>
      </w:r>
      <w:r>
        <w:rPr>
          <w:rFonts w:cstheme="minorHAnsi"/>
          <w:lang w:val="en-US"/>
        </w:rPr>
        <w:t xml:space="preserve">. </w:t>
      </w:r>
      <w:r w:rsidR="00BB4253">
        <w:rPr>
          <w:rFonts w:cstheme="minorHAnsi"/>
          <w:lang w:val="en-US"/>
        </w:rPr>
        <w:t>For those tha</w:t>
      </w:r>
      <w:r w:rsidR="00F947C0">
        <w:rPr>
          <w:rFonts w:cstheme="minorHAnsi"/>
          <w:lang w:val="en-US"/>
        </w:rPr>
        <w:t>t</w:t>
      </w:r>
      <w:r w:rsidR="00BB4253">
        <w:rPr>
          <w:rFonts w:cstheme="minorHAnsi"/>
          <w:lang w:val="en-US"/>
        </w:rPr>
        <w:t xml:space="preserve"> maintain positive childbearing desires at advanced reproductive ages, there is a strong age-related decline in the realization of childbearing intentions</w:t>
      </w:r>
      <w:r w:rsidR="00F947C0">
        <w:rPr>
          <w:rFonts w:cstheme="minorHAnsi"/>
          <w:lang w:val="en-US"/>
        </w:rPr>
        <w:t xml:space="preserve"> (Beaujouan</w:t>
      </w:r>
      <w:r w:rsidR="00B95174">
        <w:rPr>
          <w:rFonts w:cstheme="minorHAnsi"/>
          <w:lang w:val="en-US"/>
        </w:rPr>
        <w:t>,</w:t>
      </w:r>
      <w:r w:rsidR="00F947C0">
        <w:rPr>
          <w:rFonts w:cstheme="minorHAnsi"/>
          <w:lang w:val="en-US"/>
        </w:rPr>
        <w:t xml:space="preserve"> </w:t>
      </w:r>
      <w:r w:rsidR="00F947C0" w:rsidRPr="007E15F6">
        <w:rPr>
          <w:rFonts w:cstheme="minorHAnsi"/>
          <w:i/>
          <w:iCs/>
          <w:lang w:val="en-US"/>
        </w:rPr>
        <w:t>et al.</w:t>
      </w:r>
      <w:r w:rsidR="00B95174">
        <w:rPr>
          <w:rFonts w:cstheme="minorHAnsi"/>
          <w:i/>
          <w:iCs/>
          <w:lang w:val="en-US"/>
        </w:rPr>
        <w:t>,</w:t>
      </w:r>
      <w:r w:rsidR="00F947C0">
        <w:rPr>
          <w:rFonts w:cstheme="minorHAnsi"/>
          <w:lang w:val="en-US"/>
        </w:rPr>
        <w:t xml:space="preserve"> 2019)</w:t>
      </w:r>
      <w:r w:rsidR="002961E2">
        <w:rPr>
          <w:rFonts w:cstheme="minorHAnsi"/>
          <w:lang w:val="en-US"/>
        </w:rPr>
        <w:t xml:space="preserve"> due to certain proximate determinants such as declining fecundity</w:t>
      </w:r>
      <w:r w:rsidR="00F947C0">
        <w:rPr>
          <w:rFonts w:cstheme="minorHAnsi"/>
          <w:lang w:val="en-US"/>
        </w:rPr>
        <w:t>.</w:t>
      </w:r>
      <w:r w:rsidR="00BB4253">
        <w:rPr>
          <w:rFonts w:cstheme="minorHAnsi"/>
          <w:lang w:val="en-US"/>
        </w:rPr>
        <w:t xml:space="preserve"> </w:t>
      </w:r>
    </w:p>
    <w:p w14:paraId="08D9AAE6" w14:textId="11B910BD" w:rsidR="00442524" w:rsidRDefault="00841C8C" w:rsidP="00BC5105">
      <w:pPr>
        <w:tabs>
          <w:tab w:val="left" w:pos="988"/>
        </w:tabs>
        <w:spacing w:line="276" w:lineRule="auto"/>
        <w:jc w:val="both"/>
        <w:rPr>
          <w:rFonts w:cstheme="minorHAnsi"/>
          <w:lang w:val="en-US"/>
        </w:rPr>
      </w:pPr>
      <w:r>
        <w:rPr>
          <w:rFonts w:cstheme="minorHAnsi"/>
          <w:lang w:val="en-US"/>
        </w:rPr>
        <w:t>At the aggregate level, t</w:t>
      </w:r>
      <w:r w:rsidR="00C61131">
        <w:rPr>
          <w:rFonts w:cstheme="minorHAnsi"/>
          <w:lang w:val="en-US"/>
        </w:rPr>
        <w:t xml:space="preserve">he </w:t>
      </w:r>
      <w:r>
        <w:rPr>
          <w:rFonts w:cstheme="minorHAnsi"/>
          <w:lang w:val="en-US"/>
        </w:rPr>
        <w:t>‘</w:t>
      </w:r>
      <w:r w:rsidR="00C61131">
        <w:rPr>
          <w:rFonts w:cstheme="minorHAnsi"/>
          <w:lang w:val="en-US"/>
        </w:rPr>
        <w:t>gap</w:t>
      </w:r>
      <w:r>
        <w:rPr>
          <w:rFonts w:cstheme="minorHAnsi"/>
          <w:lang w:val="en-US"/>
        </w:rPr>
        <w:t>’</w:t>
      </w:r>
      <w:r w:rsidR="00C61131">
        <w:rPr>
          <w:rFonts w:cstheme="minorHAnsi"/>
          <w:lang w:val="en-US"/>
        </w:rPr>
        <w:t xml:space="preserve"> between desired and achieved fertility can be found in most countries, but it is </w:t>
      </w:r>
      <w:r w:rsidR="00272163">
        <w:rPr>
          <w:rFonts w:cstheme="minorHAnsi"/>
          <w:lang w:val="en-US"/>
        </w:rPr>
        <w:t xml:space="preserve">more prominent </w:t>
      </w:r>
      <w:r w:rsidR="00C61131">
        <w:rPr>
          <w:rFonts w:cstheme="minorHAnsi"/>
          <w:lang w:val="en-US"/>
        </w:rPr>
        <w:t xml:space="preserve">in some countries than others.  </w:t>
      </w:r>
      <w:r w:rsidR="00C61131" w:rsidRPr="003635BF">
        <w:rPr>
          <w:rFonts w:cstheme="minorHAnsi"/>
          <w:lang w:val="en-US"/>
        </w:rPr>
        <w:t>Comparing intended and achieved fertility across Europe</w:t>
      </w:r>
      <w:r w:rsidR="00442524">
        <w:rPr>
          <w:rFonts w:cstheme="minorHAnsi"/>
          <w:lang w:val="en-US"/>
        </w:rPr>
        <w:t>an countries</w:t>
      </w:r>
      <w:r w:rsidR="00C61131">
        <w:rPr>
          <w:rFonts w:cstheme="minorHAnsi"/>
          <w:lang w:val="en-US"/>
        </w:rPr>
        <w:t>,</w:t>
      </w:r>
      <w:r w:rsidR="00C61131" w:rsidRPr="00822F39">
        <w:rPr>
          <w:rFonts w:cstheme="minorHAnsi"/>
          <w:noProof/>
        </w:rPr>
        <w:t xml:space="preserve"> </w:t>
      </w:r>
      <w:r w:rsidR="00C61131" w:rsidRPr="00A36022">
        <w:rPr>
          <w:rFonts w:cstheme="minorHAnsi"/>
          <w:noProof/>
        </w:rPr>
        <w:t>Beaujouan &amp; Berghammer</w:t>
      </w:r>
      <w:r w:rsidR="00C61131" w:rsidRPr="003635BF">
        <w:rPr>
          <w:rFonts w:cstheme="minorHAnsi"/>
          <w:lang w:val="en-US"/>
        </w:rPr>
        <w:t xml:space="preserve"> </w:t>
      </w:r>
      <w:r w:rsidR="00B95174" w:rsidRPr="007E15F6">
        <w:rPr>
          <w:rFonts w:cstheme="minorHAnsi"/>
          <w:noProof/>
        </w:rPr>
        <w:t>(2019)</w:t>
      </w:r>
      <w:r w:rsidR="00C61131" w:rsidRPr="003635BF">
        <w:rPr>
          <w:rFonts w:cstheme="minorHAnsi"/>
          <w:lang w:val="en-US"/>
        </w:rPr>
        <w:t xml:space="preserve"> found that the </w:t>
      </w:r>
      <w:r w:rsidR="00C61131">
        <w:rPr>
          <w:rFonts w:cstheme="minorHAnsi"/>
          <w:lang w:val="en-US"/>
        </w:rPr>
        <w:t>gap</w:t>
      </w:r>
      <w:r w:rsidR="00C61131" w:rsidRPr="003635BF">
        <w:rPr>
          <w:rFonts w:cstheme="minorHAnsi"/>
          <w:lang w:val="en-US"/>
        </w:rPr>
        <w:t xml:space="preserve"> </w:t>
      </w:r>
      <w:r w:rsidR="00F45204">
        <w:rPr>
          <w:rFonts w:cstheme="minorHAnsi"/>
          <w:lang w:val="en-US"/>
        </w:rPr>
        <w:t xml:space="preserve">varied </w:t>
      </w:r>
      <w:r w:rsidR="00C61131" w:rsidRPr="003635BF">
        <w:rPr>
          <w:rFonts w:cstheme="minorHAnsi"/>
          <w:lang w:val="en-US"/>
        </w:rPr>
        <w:t>according to institutional contexts</w:t>
      </w:r>
      <w:r w:rsidR="00C61131">
        <w:rPr>
          <w:rFonts w:cstheme="minorHAnsi"/>
          <w:lang w:val="en-US"/>
        </w:rPr>
        <w:t>,</w:t>
      </w:r>
      <w:r w:rsidR="00F45204">
        <w:rPr>
          <w:rFonts w:cstheme="minorHAnsi"/>
          <w:lang w:val="en-US"/>
        </w:rPr>
        <w:t xml:space="preserve"> and was largest in countries where work-family reconciliation was the most </w:t>
      </w:r>
      <w:r w:rsidR="00893D45">
        <w:rPr>
          <w:rFonts w:cstheme="minorHAnsi"/>
          <w:lang w:val="en-US"/>
        </w:rPr>
        <w:t>difficult, providing</w:t>
      </w:r>
      <w:r w:rsidR="00C61131">
        <w:rPr>
          <w:rFonts w:cstheme="minorHAnsi"/>
          <w:lang w:val="en-US"/>
        </w:rPr>
        <w:t xml:space="preserve"> </w:t>
      </w:r>
      <w:r w:rsidR="00C61131" w:rsidRPr="003635BF">
        <w:rPr>
          <w:rFonts w:cstheme="minorHAnsi"/>
          <w:lang w:val="en-US"/>
        </w:rPr>
        <w:t xml:space="preserve">one of the most compelling rationales for family policies </w:t>
      </w:r>
      <w:r w:rsidR="000E44A2">
        <w:rPr>
          <w:rFonts w:cstheme="minorHAnsi"/>
          <w:lang w:val="en-US"/>
        </w:rPr>
        <w:t>that</w:t>
      </w:r>
      <w:r w:rsidR="00C61131">
        <w:rPr>
          <w:rFonts w:cstheme="minorHAnsi"/>
          <w:lang w:val="en-US"/>
        </w:rPr>
        <w:t xml:space="preserve"> aim</w:t>
      </w:r>
      <w:r w:rsidR="00C61131" w:rsidRPr="003635BF">
        <w:rPr>
          <w:rFonts w:cstheme="minorHAnsi"/>
          <w:lang w:val="en-US"/>
        </w:rPr>
        <w:t xml:space="preserve"> to address obstacles women and men face in reali</w:t>
      </w:r>
      <w:r w:rsidR="00442524">
        <w:rPr>
          <w:rFonts w:cstheme="minorHAnsi"/>
          <w:lang w:val="en-US"/>
        </w:rPr>
        <w:t>s</w:t>
      </w:r>
      <w:r w:rsidR="00C61131" w:rsidRPr="003635BF">
        <w:rPr>
          <w:rFonts w:cstheme="minorHAnsi"/>
          <w:lang w:val="en-US"/>
        </w:rPr>
        <w:t>ing their family plans</w:t>
      </w:r>
      <w:r w:rsidR="00442524">
        <w:rPr>
          <w:rFonts w:cstheme="minorHAnsi"/>
          <w:lang w:val="en-US"/>
        </w:rPr>
        <w:t xml:space="preserve"> </w:t>
      </w:r>
      <w:r w:rsidR="00B95174" w:rsidRPr="007E15F6">
        <w:rPr>
          <w:rFonts w:cstheme="minorHAnsi"/>
          <w:noProof/>
        </w:rPr>
        <w:t>(Beaujouan &amp; Berghammer, 2019)</w:t>
      </w:r>
      <w:r w:rsidR="00C61131" w:rsidRPr="003635BF">
        <w:rPr>
          <w:rFonts w:cstheme="minorHAnsi"/>
          <w:lang w:val="en-US"/>
        </w:rPr>
        <w:t xml:space="preserve">.  </w:t>
      </w:r>
      <w:r w:rsidR="00442524">
        <w:rPr>
          <w:rFonts w:cstheme="minorHAnsi"/>
          <w:lang w:val="en-US"/>
        </w:rPr>
        <w:t xml:space="preserve">The ‘gap’ between desired and achieved is therefore of interest from a policy perspective because it signals a </w:t>
      </w:r>
      <w:r w:rsidR="009127B1">
        <w:rPr>
          <w:rFonts w:cstheme="minorHAnsi"/>
          <w:lang w:val="en-US"/>
        </w:rPr>
        <w:t>‘</w:t>
      </w:r>
      <w:r w:rsidR="00442524">
        <w:rPr>
          <w:rFonts w:cstheme="minorHAnsi"/>
          <w:lang w:val="en-US"/>
        </w:rPr>
        <w:t>policy window of opportunity</w:t>
      </w:r>
      <w:r w:rsidR="009127B1">
        <w:rPr>
          <w:rFonts w:cstheme="minorHAnsi"/>
          <w:lang w:val="en-US"/>
        </w:rPr>
        <w:t>’</w:t>
      </w:r>
      <w:r w:rsidR="00442524">
        <w:rPr>
          <w:rFonts w:cstheme="minorHAnsi"/>
          <w:lang w:val="en-US"/>
        </w:rPr>
        <w:t xml:space="preserve"> </w:t>
      </w:r>
      <w:r w:rsidR="00B95174" w:rsidRPr="007E15F6">
        <w:rPr>
          <w:rFonts w:cstheme="minorHAnsi"/>
          <w:noProof/>
        </w:rPr>
        <w:t>(Gauthier, 2007)</w:t>
      </w:r>
      <w:r w:rsidR="00442524">
        <w:rPr>
          <w:rFonts w:cstheme="minorHAnsi"/>
          <w:lang w:val="en-US"/>
        </w:rPr>
        <w:t>. If childbearing desires are low, it is difficult to convince people to have children and raise fertility. It is the fact that people want more children than they are having that means there is scope to ease some of the institutional obstacles which they face in achieving their goals.</w:t>
      </w:r>
      <w:r w:rsidR="00B6353E">
        <w:rPr>
          <w:rFonts w:cstheme="minorHAnsi"/>
          <w:lang w:val="en-US"/>
        </w:rPr>
        <w:t xml:space="preserve"> </w:t>
      </w:r>
    </w:p>
    <w:p w14:paraId="5F1E4274" w14:textId="51CF0A16" w:rsidR="00F947C0" w:rsidRDefault="00F947C0" w:rsidP="00BC5105">
      <w:pPr>
        <w:tabs>
          <w:tab w:val="left" w:pos="988"/>
        </w:tabs>
        <w:spacing w:line="276" w:lineRule="auto"/>
        <w:jc w:val="both"/>
        <w:rPr>
          <w:rFonts w:cstheme="minorHAnsi"/>
          <w:lang w:val="en-US"/>
        </w:rPr>
      </w:pPr>
      <w:r>
        <w:rPr>
          <w:rFonts w:cstheme="minorHAnsi"/>
          <w:lang w:val="en-US"/>
        </w:rPr>
        <w:t xml:space="preserve">The components of completed fertility (probabilities of progressing to first, second and higher order births) are key to understand the underachievement of fertility goals. Indeed the reasons preventing individuals from having their first child may be very different to the reasons preventing them from having their second or third. The decline in </w:t>
      </w:r>
      <w:r w:rsidR="00FB6924">
        <w:rPr>
          <w:rFonts w:cstheme="minorHAnsi"/>
          <w:lang w:val="en-US"/>
        </w:rPr>
        <w:t xml:space="preserve">completed </w:t>
      </w:r>
      <w:r>
        <w:rPr>
          <w:rFonts w:cstheme="minorHAnsi"/>
          <w:lang w:val="en-US"/>
        </w:rPr>
        <w:t xml:space="preserve">fertility in Australia </w:t>
      </w:r>
      <w:r w:rsidR="00496FB8">
        <w:rPr>
          <w:rFonts w:cstheme="minorHAnsi"/>
          <w:lang w:val="en-US"/>
        </w:rPr>
        <w:t>has been</w:t>
      </w:r>
      <w:r>
        <w:rPr>
          <w:rFonts w:cstheme="minorHAnsi"/>
          <w:lang w:val="en-US"/>
        </w:rPr>
        <w:t xml:space="preserve"> mainly driven by a decline in the probability to transition to third and higher</w:t>
      </w:r>
      <w:r w:rsidR="002961E2">
        <w:rPr>
          <w:rFonts w:cstheme="minorHAnsi"/>
          <w:lang w:val="en-US"/>
        </w:rPr>
        <w:t>-</w:t>
      </w:r>
      <w:r>
        <w:rPr>
          <w:rFonts w:cstheme="minorHAnsi"/>
          <w:lang w:val="en-US"/>
        </w:rPr>
        <w:t>order births and</w:t>
      </w:r>
      <w:r w:rsidR="00496FB8">
        <w:rPr>
          <w:rFonts w:cstheme="minorHAnsi"/>
          <w:lang w:val="en-US"/>
        </w:rPr>
        <w:t xml:space="preserve">, to a </w:t>
      </w:r>
      <w:r w:rsidR="00885E05">
        <w:rPr>
          <w:rFonts w:cstheme="minorHAnsi"/>
          <w:lang w:val="en-US"/>
        </w:rPr>
        <w:t>lesser</w:t>
      </w:r>
      <w:r w:rsidR="00496FB8">
        <w:rPr>
          <w:rFonts w:cstheme="minorHAnsi"/>
          <w:lang w:val="en-US"/>
        </w:rPr>
        <w:t xml:space="preserve"> </w:t>
      </w:r>
      <w:r w:rsidR="00893D45">
        <w:rPr>
          <w:rFonts w:cstheme="minorHAnsi"/>
          <w:lang w:val="en-US"/>
        </w:rPr>
        <w:t>extent, by</w:t>
      </w:r>
      <w:r>
        <w:rPr>
          <w:rFonts w:cstheme="minorHAnsi"/>
          <w:lang w:val="en-US"/>
        </w:rPr>
        <w:t xml:space="preserve"> an increased probability of remaining permanently childless</w:t>
      </w:r>
      <w:r w:rsidR="00496FB8">
        <w:rPr>
          <w:rFonts w:cstheme="minorHAnsi"/>
          <w:lang w:val="en-US"/>
        </w:rPr>
        <w:t xml:space="preserve"> (Zeman</w:t>
      </w:r>
      <w:r w:rsidR="002961E2">
        <w:rPr>
          <w:rFonts w:cstheme="minorHAnsi"/>
          <w:lang w:val="en-US"/>
        </w:rPr>
        <w:t>,</w:t>
      </w:r>
      <w:r w:rsidR="00496FB8">
        <w:rPr>
          <w:rFonts w:cstheme="minorHAnsi"/>
          <w:lang w:val="en-US"/>
        </w:rPr>
        <w:t xml:space="preserve"> </w:t>
      </w:r>
      <w:r w:rsidR="00B95174" w:rsidRPr="00B95174">
        <w:rPr>
          <w:rFonts w:cstheme="minorHAnsi"/>
          <w:i/>
          <w:lang w:val="en-US"/>
        </w:rPr>
        <w:t>et al.,</w:t>
      </w:r>
      <w:r w:rsidR="00496FB8">
        <w:rPr>
          <w:rFonts w:cstheme="minorHAnsi"/>
          <w:lang w:val="en-US"/>
        </w:rPr>
        <w:t xml:space="preserve"> 2018)</w:t>
      </w:r>
      <w:r>
        <w:rPr>
          <w:rFonts w:cstheme="minorHAnsi"/>
          <w:lang w:val="en-US"/>
        </w:rPr>
        <w:t xml:space="preserve">. </w:t>
      </w:r>
      <w:r w:rsidR="00893D45">
        <w:rPr>
          <w:rFonts w:cstheme="minorHAnsi"/>
          <w:lang w:val="en-US"/>
        </w:rPr>
        <w:t>Among women aged 40-44 who can be considered to have largely completed their fertility, Census data reveals that for women in 1986, 90% of women who had one child progressed to have a second one</w:t>
      </w:r>
      <w:r w:rsidR="00893D45">
        <w:rPr>
          <w:rStyle w:val="FootnoteReference"/>
          <w:rFonts w:cstheme="minorHAnsi"/>
          <w:lang w:val="en-US"/>
        </w:rPr>
        <w:footnoteReference w:id="5"/>
      </w:r>
      <w:r w:rsidR="00893D45">
        <w:rPr>
          <w:rFonts w:cstheme="minorHAnsi"/>
          <w:lang w:val="en-US"/>
        </w:rPr>
        <w:t xml:space="preserve">. By 2016, the percentage with one child progressing to a second had decreased to 82%. Having had a second one, among the cohort aged 40-44 in 1986, 56% progressed to a third one. For the cohort aged 40-44 in this had declined to 43%. </w:t>
      </w:r>
    </w:p>
    <w:p w14:paraId="4F25152B" w14:textId="64A5FAE4" w:rsidR="00B6353E" w:rsidRPr="003635BF" w:rsidRDefault="00B6353E" w:rsidP="00BC5105">
      <w:pPr>
        <w:tabs>
          <w:tab w:val="left" w:pos="988"/>
        </w:tabs>
        <w:spacing w:line="276" w:lineRule="auto"/>
        <w:jc w:val="both"/>
        <w:rPr>
          <w:rFonts w:cstheme="minorHAnsi"/>
          <w:lang w:val="en-US"/>
        </w:rPr>
      </w:pPr>
      <w:r>
        <w:rPr>
          <w:rFonts w:cstheme="minorHAnsi"/>
          <w:lang w:val="en-US"/>
        </w:rPr>
        <w:t xml:space="preserve">As mentioned, individual childbearing decisions are influenced by the macro-social context in which they are made including the costs and benefits of children, broader economic factors and social norms and lifestyles. </w:t>
      </w:r>
    </w:p>
    <w:p w14:paraId="73205BFF" w14:textId="4E50B831" w:rsidR="001001A5" w:rsidRDefault="00BE2883" w:rsidP="00BC5105">
      <w:pPr>
        <w:pStyle w:val="Heading2"/>
        <w:spacing w:line="276" w:lineRule="auto"/>
      </w:pPr>
      <w:bookmarkStart w:id="39" w:name="_Toc87454604"/>
      <w:bookmarkStart w:id="40" w:name="_Toc98404952"/>
      <w:r w:rsidRPr="0009747B">
        <w:t>Costs and benefits of children</w:t>
      </w:r>
      <w:r>
        <w:t>.</w:t>
      </w:r>
      <w:bookmarkEnd w:id="39"/>
      <w:bookmarkEnd w:id="40"/>
    </w:p>
    <w:p w14:paraId="3947EC88" w14:textId="34DCD683" w:rsidR="00BE2883" w:rsidRDefault="00BE2883" w:rsidP="00BC5105">
      <w:pPr>
        <w:spacing w:line="276" w:lineRule="auto"/>
        <w:jc w:val="both"/>
      </w:pPr>
      <w:r>
        <w:t>Th</w:t>
      </w:r>
      <w:r w:rsidR="00B6353E">
        <w:t xml:space="preserve">e costs and benefits of children </w:t>
      </w:r>
      <w:r>
        <w:t>represent all the direct and indirect costs of raising children, as well as the psychological benefits they are perceived to provide.</w:t>
      </w:r>
      <w:r w:rsidR="00E60DE0">
        <w:t xml:space="preserve"> </w:t>
      </w:r>
    </w:p>
    <w:p w14:paraId="6DFC343E" w14:textId="1775BD1E" w:rsidR="00C861DB" w:rsidRDefault="001001A5" w:rsidP="00BC5105">
      <w:pPr>
        <w:spacing w:line="276" w:lineRule="auto"/>
        <w:jc w:val="both"/>
      </w:pPr>
      <w:r>
        <w:t xml:space="preserve">The benefits of children include </w:t>
      </w:r>
      <w:r w:rsidR="0093033E">
        <w:t xml:space="preserve">economic-utilitarian benefits such as </w:t>
      </w:r>
      <w:r>
        <w:t xml:space="preserve">assumed parental expectations of support and care by children, including to work in the family business or to provide support in old </w:t>
      </w:r>
      <w:r>
        <w:lastRenderedPageBreak/>
        <w:t>age</w:t>
      </w:r>
      <w:r w:rsidR="00B6353E">
        <w:t xml:space="preserve"> as well as the </w:t>
      </w:r>
      <w:r>
        <w:t>psychological</w:t>
      </w:r>
      <w:r w:rsidR="0093033E">
        <w:t>-emotional</w:t>
      </w:r>
      <w:r>
        <w:t xml:space="preserve"> benefits people </w:t>
      </w:r>
      <w:r w:rsidR="00CF7626">
        <w:t>receive</w:t>
      </w:r>
      <w:r>
        <w:t xml:space="preserve"> from the feeling of having a family, a future lineage, or having someone to love and care for</w:t>
      </w:r>
      <w:r w:rsidR="002961E2" w:rsidRPr="002961E2">
        <w:t xml:space="preserve"> </w:t>
      </w:r>
      <w:r w:rsidR="00B95174">
        <w:rPr>
          <w:noProof/>
        </w:rPr>
        <w:t>(Sleebos, 2003)</w:t>
      </w:r>
      <w:r>
        <w:t xml:space="preserve">. </w:t>
      </w:r>
      <w:r w:rsidR="00A7718F">
        <w:t xml:space="preserve"> </w:t>
      </w:r>
    </w:p>
    <w:p w14:paraId="2A74C428" w14:textId="687D2830" w:rsidR="0078451D" w:rsidRDefault="0093033E" w:rsidP="00BC5105">
      <w:pPr>
        <w:spacing w:line="276" w:lineRule="auto"/>
        <w:jc w:val="both"/>
      </w:pPr>
      <w:r>
        <w:t>Over time the perceived costs and benefits of children change along with societal changes such as the development of social-security systems</w:t>
      </w:r>
      <w:r w:rsidR="002961E2">
        <w:t>. For example</w:t>
      </w:r>
      <w:r w:rsidR="00CF7626">
        <w:t>,</w:t>
      </w:r>
      <w:r w:rsidR="002961E2">
        <w:t xml:space="preserve"> the development of </w:t>
      </w:r>
      <w:r w:rsidR="00084969">
        <w:t>pensions and aged-care support</w:t>
      </w:r>
      <w:r>
        <w:t xml:space="preserve"> has made the economic-utilitarian value of children less important. </w:t>
      </w:r>
      <w:r w:rsidR="00134E27">
        <w:t>However</w:t>
      </w:r>
      <w:r w:rsidR="002961E2">
        <w:t>,</w:t>
      </w:r>
      <w:r w:rsidR="00134E27">
        <w:t xml:space="preserve"> children are still seen as an important source of informal </w:t>
      </w:r>
      <w:r w:rsidR="00516FB5">
        <w:t xml:space="preserve">and practical </w:t>
      </w:r>
      <w:r w:rsidR="00134E27">
        <w:t>support in old age</w:t>
      </w:r>
      <w:r w:rsidR="00AD2AEC">
        <w:t>, and elderly childless people are more likely to have to rely on formal support (</w:t>
      </w:r>
      <w:r w:rsidR="000A3768" w:rsidRPr="007E15F6">
        <w:t>Křenková, 2018</w:t>
      </w:r>
      <w:r w:rsidR="00AD2AEC">
        <w:t>)</w:t>
      </w:r>
      <w:r w:rsidR="00134E27">
        <w:t xml:space="preserve">. </w:t>
      </w:r>
      <w:r w:rsidR="005D00D7">
        <w:t>An example of how Australian’s perceive the benefits of having children is provided in the 2019 HILDA data. R</w:t>
      </w:r>
      <w:r w:rsidR="00CC1D57">
        <w:t>espondents were asked how important certain considerations were in their childbearing decisions. The percentage who</w:t>
      </w:r>
      <w:r w:rsidR="00C63F74">
        <w:t xml:space="preserve"> indicated a consideration was ‘</w:t>
      </w:r>
      <w:r w:rsidR="00CC1D57">
        <w:t>very important</w:t>
      </w:r>
      <w:r w:rsidR="00C63F74">
        <w:t>’</w:t>
      </w:r>
      <w:r w:rsidR="00CC1D57">
        <w:t xml:space="preserve"> ranged from</w:t>
      </w:r>
      <w:r w:rsidR="0078451D">
        <w:t>:</w:t>
      </w:r>
    </w:p>
    <w:p w14:paraId="69BAC88F" w14:textId="13EFF65D" w:rsidR="00084969" w:rsidRDefault="00084969" w:rsidP="00244248">
      <w:pPr>
        <w:pStyle w:val="ListParagraph"/>
        <w:numPr>
          <w:ilvl w:val="0"/>
          <w:numId w:val="16"/>
        </w:numPr>
        <w:spacing w:line="276" w:lineRule="auto"/>
      </w:pPr>
      <w:r>
        <w:t>38% for ‘</w:t>
      </w:r>
      <w:r w:rsidRPr="0083281C">
        <w:rPr>
          <w:i/>
          <w:iCs/>
        </w:rPr>
        <w:t>having someone to love</w:t>
      </w:r>
      <w:r w:rsidR="002961E2">
        <w:rPr>
          <w:i/>
          <w:iCs/>
        </w:rPr>
        <w:t>.</w:t>
      </w:r>
      <w:r>
        <w:t>’</w:t>
      </w:r>
    </w:p>
    <w:p w14:paraId="77009A80" w14:textId="51C52A2E" w:rsidR="00084969" w:rsidRDefault="00084969" w:rsidP="00244248">
      <w:pPr>
        <w:pStyle w:val="ListParagraph"/>
        <w:numPr>
          <w:ilvl w:val="0"/>
          <w:numId w:val="16"/>
        </w:numPr>
        <w:spacing w:line="276" w:lineRule="auto"/>
      </w:pPr>
      <w:r>
        <w:t>25% for ‘</w:t>
      </w:r>
      <w:r w:rsidRPr="0083281C">
        <w:rPr>
          <w:i/>
          <w:iCs/>
        </w:rPr>
        <w:t>providing more purpose to life</w:t>
      </w:r>
      <w:r w:rsidR="002961E2">
        <w:rPr>
          <w:i/>
          <w:iCs/>
        </w:rPr>
        <w:t>.</w:t>
      </w:r>
      <w:r w:rsidRPr="0083281C">
        <w:rPr>
          <w:i/>
          <w:iCs/>
        </w:rPr>
        <w:t>’</w:t>
      </w:r>
    </w:p>
    <w:p w14:paraId="2848CB21" w14:textId="74A0A41F" w:rsidR="00084969" w:rsidRDefault="00084969" w:rsidP="00244248">
      <w:pPr>
        <w:pStyle w:val="ListParagraph"/>
        <w:numPr>
          <w:ilvl w:val="0"/>
          <w:numId w:val="16"/>
        </w:numPr>
        <w:spacing w:line="276" w:lineRule="auto"/>
      </w:pPr>
      <w:r>
        <w:t>13% for ‘</w:t>
      </w:r>
      <w:r w:rsidRPr="0083281C">
        <w:rPr>
          <w:i/>
          <w:iCs/>
        </w:rPr>
        <w:t>having someone to care for you when you are old</w:t>
      </w:r>
      <w:r w:rsidR="002961E2">
        <w:rPr>
          <w:i/>
          <w:iCs/>
        </w:rPr>
        <w:t>.</w:t>
      </w:r>
      <w:r>
        <w:t>’</w:t>
      </w:r>
    </w:p>
    <w:p w14:paraId="5466F477" w14:textId="23D914F7" w:rsidR="0078451D" w:rsidRDefault="00CC1D57" w:rsidP="00244248">
      <w:pPr>
        <w:pStyle w:val="ListParagraph"/>
        <w:numPr>
          <w:ilvl w:val="0"/>
          <w:numId w:val="16"/>
        </w:numPr>
        <w:spacing w:line="276" w:lineRule="auto"/>
      </w:pPr>
      <w:r>
        <w:t>10%</w:t>
      </w:r>
      <w:r w:rsidR="0078451D">
        <w:rPr>
          <w:rStyle w:val="FootnoteReference"/>
        </w:rPr>
        <w:footnoteReference w:id="6"/>
      </w:r>
      <w:r>
        <w:t xml:space="preserve"> for ‘</w:t>
      </w:r>
      <w:r w:rsidRPr="0083281C">
        <w:rPr>
          <w:i/>
          <w:iCs/>
        </w:rPr>
        <w:t>giving one’s own parents grandchildren</w:t>
      </w:r>
      <w:r>
        <w:t>’</w:t>
      </w:r>
    </w:p>
    <w:p w14:paraId="11935986" w14:textId="13E35C55" w:rsidR="004065EF" w:rsidRDefault="00C861DB" w:rsidP="00BC5105">
      <w:pPr>
        <w:spacing w:line="276" w:lineRule="auto"/>
        <w:jc w:val="both"/>
      </w:pPr>
      <w:r>
        <w:t xml:space="preserve">The benefits of children also vary by parity.  </w:t>
      </w:r>
      <w:r w:rsidR="00D241F1">
        <w:t>For example, the first child</w:t>
      </w:r>
      <w:r w:rsidR="00CF7626">
        <w:t>’s</w:t>
      </w:r>
      <w:r w:rsidR="00D241F1">
        <w:t xml:space="preserve"> value is unique in conferring the status of being a parent, and continuing bloodlines while </w:t>
      </w:r>
      <w:r w:rsidR="002961E2">
        <w:t>s</w:t>
      </w:r>
      <w:r w:rsidR="00D241F1">
        <w:t xml:space="preserve">econd children have an additional value for their role in providing the first child </w:t>
      </w:r>
      <w:r w:rsidR="002961E2">
        <w:t xml:space="preserve">with </w:t>
      </w:r>
      <w:r w:rsidR="00D241F1">
        <w:t>a sibling and companionship (Parr, 2007</w:t>
      </w:r>
      <w:r w:rsidR="00893D45">
        <w:t>; Carmichael 2013</w:t>
      </w:r>
      <w:r w:rsidR="00D241F1">
        <w:t xml:space="preserve">). </w:t>
      </w:r>
      <w:r w:rsidR="00A7718F">
        <w:t>As such</w:t>
      </w:r>
      <w:r w:rsidR="00C43B9C">
        <w:t>,</w:t>
      </w:r>
      <w:r w:rsidR="00A7718F">
        <w:t xml:space="preserve"> </w:t>
      </w:r>
      <w:r w:rsidR="00A7718F" w:rsidRPr="00A7718F">
        <w:rPr>
          <w:rFonts w:cstheme="minorHAnsi"/>
        </w:rPr>
        <w:t>children continue to be valued for their emotional and social benefits</w:t>
      </w:r>
      <w:r w:rsidR="00084969">
        <w:t xml:space="preserve">, while utilitarian considerations </w:t>
      </w:r>
      <w:r w:rsidR="00C43B9C">
        <w:t>have become less</w:t>
      </w:r>
      <w:r w:rsidR="00084969">
        <w:t xml:space="preserve"> important</w:t>
      </w:r>
      <w:r w:rsidR="00A7718F" w:rsidRPr="00A7718F">
        <w:rPr>
          <w:rFonts w:cstheme="minorHAnsi"/>
        </w:rPr>
        <w:t>.</w:t>
      </w:r>
      <w:r w:rsidR="00A7718F">
        <w:t xml:space="preserve"> </w:t>
      </w:r>
      <w:r w:rsidR="0078451D">
        <w:t>Against the benefits of children are the costs, which can be divided into direct and indirect costs</w:t>
      </w:r>
      <w:r w:rsidR="004065EF">
        <w:t xml:space="preserve">. </w:t>
      </w:r>
    </w:p>
    <w:p w14:paraId="6417BE9A" w14:textId="62C59D1F" w:rsidR="001001A5" w:rsidRPr="001001A5" w:rsidRDefault="001001A5" w:rsidP="00BC5105">
      <w:pPr>
        <w:spacing w:line="276" w:lineRule="auto"/>
        <w:rPr>
          <w:i/>
          <w:iCs/>
        </w:rPr>
      </w:pPr>
      <w:r w:rsidRPr="001001A5">
        <w:rPr>
          <w:i/>
          <w:iCs/>
        </w:rPr>
        <w:t>Direct costs</w:t>
      </w:r>
    </w:p>
    <w:p w14:paraId="4250436D" w14:textId="734342D1" w:rsidR="008C1ECC" w:rsidRDefault="00BE2883" w:rsidP="00BC5105">
      <w:pPr>
        <w:spacing w:line="276" w:lineRule="auto"/>
        <w:jc w:val="both"/>
        <w:rPr>
          <w:rFonts w:cstheme="minorHAnsi"/>
          <w:lang w:val="en-US"/>
        </w:rPr>
      </w:pPr>
      <w:r>
        <w:rPr>
          <w:rFonts w:cstheme="minorHAnsi"/>
          <w:lang w:val="en-US"/>
        </w:rPr>
        <w:t xml:space="preserve">The </w:t>
      </w:r>
      <w:r w:rsidR="00F53392">
        <w:rPr>
          <w:rFonts w:cstheme="minorHAnsi"/>
          <w:lang w:val="en-US"/>
        </w:rPr>
        <w:t xml:space="preserve">direct </w:t>
      </w:r>
      <w:r>
        <w:rPr>
          <w:rFonts w:cstheme="minorHAnsi"/>
          <w:lang w:val="en-US"/>
        </w:rPr>
        <w:t xml:space="preserve">cost associated with </w:t>
      </w:r>
      <w:r w:rsidRPr="003635BF">
        <w:rPr>
          <w:rFonts w:cstheme="minorHAnsi"/>
          <w:lang w:val="en-US"/>
        </w:rPr>
        <w:t xml:space="preserve">raising children </w:t>
      </w:r>
      <w:r>
        <w:rPr>
          <w:rFonts w:cstheme="minorHAnsi"/>
          <w:lang w:val="en-US"/>
        </w:rPr>
        <w:t>are</w:t>
      </w:r>
      <w:r w:rsidRPr="003635BF">
        <w:rPr>
          <w:rFonts w:cstheme="minorHAnsi"/>
          <w:lang w:val="en-US"/>
        </w:rPr>
        <w:t xml:space="preserve"> at the forefront of the decision for both childless people considering having a first child as well as parents considering expanding their family</w:t>
      </w:r>
      <w:r>
        <w:rPr>
          <w:rFonts w:cstheme="minorHAnsi"/>
          <w:lang w:val="en-US"/>
        </w:rPr>
        <w:t xml:space="preserve"> size</w:t>
      </w:r>
      <w:r w:rsidRPr="003635BF">
        <w:rPr>
          <w:rFonts w:cstheme="minorHAnsi"/>
          <w:lang w:val="en-US"/>
        </w:rPr>
        <w:t>.</w:t>
      </w:r>
      <w:r>
        <w:rPr>
          <w:rFonts w:cstheme="minorHAnsi"/>
          <w:lang w:val="en-US"/>
        </w:rPr>
        <w:t xml:space="preserve"> </w:t>
      </w:r>
      <w:r w:rsidR="00F53392" w:rsidRPr="003635BF">
        <w:rPr>
          <w:rFonts w:cstheme="minorHAnsi"/>
          <w:lang w:val="en-US"/>
        </w:rPr>
        <w:t>The direct costs include expenditure</w:t>
      </w:r>
      <w:r w:rsidR="002961E2">
        <w:rPr>
          <w:rFonts w:cstheme="minorHAnsi"/>
          <w:lang w:val="en-US"/>
        </w:rPr>
        <w:t>s</w:t>
      </w:r>
      <w:r w:rsidR="00F53392" w:rsidRPr="003635BF">
        <w:rPr>
          <w:rFonts w:cstheme="minorHAnsi"/>
          <w:lang w:val="en-US"/>
        </w:rPr>
        <w:t xml:space="preserve"> needed to raise a child including food, clothing, transportation, </w:t>
      </w:r>
      <w:r w:rsidR="00F53392">
        <w:rPr>
          <w:rFonts w:cstheme="minorHAnsi"/>
          <w:lang w:val="en-US"/>
        </w:rPr>
        <w:t xml:space="preserve">education, </w:t>
      </w:r>
      <w:r w:rsidR="0078451D">
        <w:rPr>
          <w:rFonts w:cstheme="minorHAnsi"/>
          <w:lang w:val="en-US"/>
        </w:rPr>
        <w:t>recreation,</w:t>
      </w:r>
      <w:r w:rsidR="00F53392">
        <w:rPr>
          <w:rFonts w:cstheme="minorHAnsi"/>
          <w:lang w:val="en-US"/>
        </w:rPr>
        <w:t xml:space="preserve"> </w:t>
      </w:r>
      <w:r w:rsidR="00F53392" w:rsidRPr="003635BF">
        <w:rPr>
          <w:rFonts w:cstheme="minorHAnsi"/>
          <w:lang w:val="en-US"/>
        </w:rPr>
        <w:t xml:space="preserve">and housing. These costs are generally thought to increase </w:t>
      </w:r>
      <w:r w:rsidR="00E8720B">
        <w:rPr>
          <w:rFonts w:cstheme="minorHAnsi"/>
          <w:lang w:val="en-US"/>
        </w:rPr>
        <w:t xml:space="preserve">in line </w:t>
      </w:r>
      <w:r w:rsidR="00F53392" w:rsidRPr="003635BF">
        <w:rPr>
          <w:rFonts w:cstheme="minorHAnsi"/>
          <w:lang w:val="en-US"/>
        </w:rPr>
        <w:t xml:space="preserve">with the </w:t>
      </w:r>
      <w:r w:rsidR="00E8720B">
        <w:rPr>
          <w:rFonts w:cstheme="minorHAnsi"/>
          <w:lang w:val="en-US"/>
        </w:rPr>
        <w:t xml:space="preserve">age of the child, </w:t>
      </w:r>
      <w:r w:rsidR="00C47297">
        <w:rPr>
          <w:rFonts w:cstheme="minorHAnsi"/>
          <w:lang w:val="en-US"/>
        </w:rPr>
        <w:t xml:space="preserve">i.e. </w:t>
      </w:r>
      <w:r w:rsidR="00E8720B">
        <w:rPr>
          <w:rFonts w:cstheme="minorHAnsi"/>
          <w:lang w:val="en-US"/>
        </w:rPr>
        <w:t xml:space="preserve">children </w:t>
      </w:r>
      <w:r w:rsidR="00CF7626">
        <w:rPr>
          <w:rFonts w:cstheme="minorHAnsi"/>
          <w:lang w:val="en-US"/>
        </w:rPr>
        <w:t xml:space="preserve">become </w:t>
      </w:r>
      <w:r w:rsidR="00E8720B">
        <w:rPr>
          <w:rFonts w:cstheme="minorHAnsi"/>
          <w:lang w:val="en-US"/>
        </w:rPr>
        <w:t xml:space="preserve">more expensive as they </w:t>
      </w:r>
      <w:r w:rsidR="00C47297">
        <w:rPr>
          <w:rFonts w:cstheme="minorHAnsi"/>
          <w:lang w:val="en-US"/>
        </w:rPr>
        <w:t>age</w:t>
      </w:r>
      <w:r w:rsidR="00F53392">
        <w:rPr>
          <w:rFonts w:cstheme="minorHAnsi"/>
          <w:lang w:val="en-US"/>
        </w:rPr>
        <w:t xml:space="preserve">. </w:t>
      </w:r>
      <w:r w:rsidR="0078451D">
        <w:rPr>
          <w:rFonts w:cstheme="minorHAnsi"/>
          <w:lang w:val="en-US"/>
        </w:rPr>
        <w:t>In addition, d</w:t>
      </w:r>
      <w:r w:rsidR="00F53392">
        <w:rPr>
          <w:rFonts w:cstheme="minorHAnsi"/>
          <w:lang w:val="en-US"/>
        </w:rPr>
        <w:t>ue to the</w:t>
      </w:r>
      <w:r w:rsidR="00F53392" w:rsidRPr="003635BF">
        <w:rPr>
          <w:rFonts w:cstheme="minorHAnsi"/>
          <w:lang w:val="en-US"/>
        </w:rPr>
        <w:t xml:space="preserve"> economies of scale that come with second or subsequent children</w:t>
      </w:r>
      <w:r w:rsidR="00F53392">
        <w:rPr>
          <w:rFonts w:cstheme="minorHAnsi"/>
          <w:lang w:val="en-US"/>
        </w:rPr>
        <w:t xml:space="preserve">, </w:t>
      </w:r>
      <w:r w:rsidR="00F53392" w:rsidRPr="003635BF">
        <w:rPr>
          <w:rFonts w:cstheme="minorHAnsi"/>
          <w:lang w:val="en-US"/>
        </w:rPr>
        <w:t>the first child</w:t>
      </w:r>
      <w:r w:rsidR="00F53392">
        <w:rPr>
          <w:rFonts w:cstheme="minorHAnsi"/>
          <w:lang w:val="en-US"/>
        </w:rPr>
        <w:t xml:space="preserve"> is typically the most </w:t>
      </w:r>
      <w:r w:rsidR="002961E2">
        <w:rPr>
          <w:rFonts w:cstheme="minorHAnsi"/>
          <w:lang w:val="en-US"/>
        </w:rPr>
        <w:t>costly</w:t>
      </w:r>
      <w:r w:rsidR="002961E2" w:rsidRPr="003635BF">
        <w:rPr>
          <w:rFonts w:cstheme="minorHAnsi"/>
          <w:lang w:val="en-US"/>
        </w:rPr>
        <w:t xml:space="preserve"> </w:t>
      </w:r>
      <w:r w:rsidR="00B95174" w:rsidRPr="007E15F6">
        <w:rPr>
          <w:rFonts w:cstheme="minorHAnsi"/>
          <w:noProof/>
        </w:rPr>
        <w:t>(D'Addio &amp; d'Ercole, 2005)</w:t>
      </w:r>
      <w:r w:rsidR="00F53392" w:rsidRPr="003635BF">
        <w:rPr>
          <w:rFonts w:cstheme="minorHAnsi"/>
          <w:lang w:val="en-US"/>
        </w:rPr>
        <w:t>.</w:t>
      </w:r>
      <w:r w:rsidR="0078451D">
        <w:rPr>
          <w:rFonts w:cstheme="minorHAnsi"/>
          <w:lang w:val="en-US"/>
        </w:rPr>
        <w:t xml:space="preserve"> This can also be seen in the HILDA data where 39%</w:t>
      </w:r>
      <w:r w:rsidR="00B95174">
        <w:rPr>
          <w:rFonts w:cstheme="minorHAnsi"/>
          <w:vertAlign w:val="superscript"/>
          <w:lang w:val="en-US"/>
        </w:rPr>
        <w:t>1</w:t>
      </w:r>
      <w:r w:rsidR="00B95174">
        <w:rPr>
          <w:rFonts w:cstheme="minorHAnsi"/>
          <w:lang w:val="en-US"/>
        </w:rPr>
        <w:t xml:space="preserve"> </w:t>
      </w:r>
      <w:r w:rsidR="0078451D">
        <w:rPr>
          <w:rFonts w:cstheme="minorHAnsi"/>
          <w:lang w:val="en-US"/>
        </w:rPr>
        <w:t>of childless people indicated that</w:t>
      </w:r>
      <w:r w:rsidR="00902580">
        <w:rPr>
          <w:rFonts w:cstheme="minorHAnsi"/>
          <w:lang w:val="en-US"/>
        </w:rPr>
        <w:t xml:space="preserve"> the general cost of</w:t>
      </w:r>
      <w:r w:rsidR="0078451D">
        <w:rPr>
          <w:rFonts w:cstheme="minorHAnsi"/>
          <w:lang w:val="en-US"/>
        </w:rPr>
        <w:t xml:space="preserve"> raising children was a ‘very important’ consideration in their childbearing decision making, compared to 30% of parents who already had one child.</w:t>
      </w:r>
      <w:r w:rsidR="00CF7626">
        <w:rPr>
          <w:rFonts w:cstheme="minorHAnsi"/>
          <w:lang w:val="en-US"/>
        </w:rPr>
        <w:t xml:space="preserve"> </w:t>
      </w:r>
      <w:r w:rsidR="00B95174">
        <w:rPr>
          <w:rFonts w:cstheme="minorHAnsi"/>
          <w:lang w:val="en-US"/>
        </w:rPr>
        <w:t>F</w:t>
      </w:r>
      <w:r w:rsidR="00CF7626">
        <w:rPr>
          <w:rFonts w:cstheme="minorHAnsi"/>
          <w:lang w:val="en-US"/>
        </w:rPr>
        <w:t xml:space="preserve">inancial considerations may </w:t>
      </w:r>
      <w:r w:rsidR="00B95174">
        <w:rPr>
          <w:rFonts w:cstheme="minorHAnsi"/>
          <w:lang w:val="en-US"/>
        </w:rPr>
        <w:t xml:space="preserve">also be important </w:t>
      </w:r>
      <w:r w:rsidR="00CF7626">
        <w:rPr>
          <w:rFonts w:cstheme="minorHAnsi"/>
          <w:lang w:val="en-US"/>
        </w:rPr>
        <w:t xml:space="preserve">for those </w:t>
      </w:r>
      <w:r w:rsidR="00B95174">
        <w:rPr>
          <w:rFonts w:cstheme="minorHAnsi"/>
          <w:lang w:val="en-US"/>
        </w:rPr>
        <w:t xml:space="preserve">considering </w:t>
      </w:r>
      <w:r w:rsidR="00CF7626">
        <w:rPr>
          <w:rFonts w:cstheme="minorHAnsi"/>
          <w:lang w:val="en-US"/>
        </w:rPr>
        <w:t xml:space="preserve">increasing their family above the ‘two-child’ norm. </w:t>
      </w:r>
      <w:r w:rsidR="00902580">
        <w:rPr>
          <w:rFonts w:cstheme="minorHAnsi"/>
          <w:lang w:val="en-US"/>
        </w:rPr>
        <w:t>In a qualitati</w:t>
      </w:r>
      <w:r w:rsidR="00902580" w:rsidRPr="003635BF">
        <w:rPr>
          <w:rFonts w:cstheme="minorHAnsi"/>
          <w:lang w:val="en-US"/>
        </w:rPr>
        <w:t>ve study of parents of two children</w:t>
      </w:r>
      <w:r w:rsidR="00B95174">
        <w:rPr>
          <w:rFonts w:cstheme="minorHAnsi"/>
          <w:lang w:val="en-US"/>
        </w:rPr>
        <w:t xml:space="preserve"> in Australia</w:t>
      </w:r>
      <w:r w:rsidR="00902580" w:rsidRPr="003635BF">
        <w:rPr>
          <w:rFonts w:cstheme="minorHAnsi"/>
          <w:lang w:val="en-US"/>
        </w:rPr>
        <w:t xml:space="preserve">, financial constraints and the anticipated costs of another child was </w:t>
      </w:r>
      <w:r w:rsidR="00902580">
        <w:rPr>
          <w:rFonts w:cstheme="minorHAnsi"/>
          <w:lang w:val="en-US"/>
        </w:rPr>
        <w:t xml:space="preserve">found to be </w:t>
      </w:r>
      <w:r w:rsidR="00902580" w:rsidRPr="003635BF">
        <w:rPr>
          <w:rFonts w:cstheme="minorHAnsi"/>
          <w:lang w:val="en-US"/>
        </w:rPr>
        <w:t xml:space="preserve">a major reason for not having a third child </w:t>
      </w:r>
      <w:r w:rsidR="006347FD">
        <w:rPr>
          <w:rFonts w:cstheme="minorHAnsi"/>
          <w:noProof/>
        </w:rPr>
        <w:t xml:space="preserve">(Evans, </w:t>
      </w:r>
      <w:r w:rsidR="006347FD" w:rsidRPr="007E15F6">
        <w:rPr>
          <w:rFonts w:cstheme="minorHAnsi"/>
          <w:i/>
          <w:iCs/>
          <w:noProof/>
        </w:rPr>
        <w:t>et al.</w:t>
      </w:r>
      <w:r w:rsidR="00B95174" w:rsidRPr="007E15F6">
        <w:rPr>
          <w:rFonts w:cstheme="minorHAnsi"/>
          <w:i/>
          <w:iCs/>
          <w:noProof/>
        </w:rPr>
        <w:t>,</w:t>
      </w:r>
      <w:r w:rsidR="006347FD">
        <w:rPr>
          <w:rFonts w:cstheme="minorHAnsi"/>
          <w:noProof/>
        </w:rPr>
        <w:t xml:space="preserve"> 2009)</w:t>
      </w:r>
      <w:r w:rsidR="00902580">
        <w:rPr>
          <w:rFonts w:cstheme="minorHAnsi"/>
          <w:lang w:val="en-US"/>
        </w:rPr>
        <w:t xml:space="preserve">. </w:t>
      </w:r>
    </w:p>
    <w:p w14:paraId="2B144EAC" w14:textId="1D156A1C" w:rsidR="00BE2883" w:rsidRDefault="0078451D" w:rsidP="00BC5105">
      <w:pPr>
        <w:spacing w:line="276" w:lineRule="auto"/>
        <w:jc w:val="both"/>
        <w:rPr>
          <w:rFonts w:cstheme="minorHAnsi"/>
          <w:lang w:val="en-US"/>
        </w:rPr>
      </w:pPr>
      <w:r>
        <w:rPr>
          <w:rFonts w:cstheme="minorHAnsi"/>
          <w:lang w:val="en-US"/>
        </w:rPr>
        <w:t xml:space="preserve">For Australia, </w:t>
      </w:r>
      <w:r w:rsidR="00BE2883">
        <w:rPr>
          <w:rFonts w:cstheme="minorHAnsi"/>
          <w:lang w:val="en-US"/>
        </w:rPr>
        <w:t xml:space="preserve">the weekly cost of children </w:t>
      </w:r>
      <w:r>
        <w:rPr>
          <w:rFonts w:cstheme="minorHAnsi"/>
          <w:lang w:val="en-US"/>
        </w:rPr>
        <w:t>has been estimated as varying</w:t>
      </w:r>
      <w:r w:rsidR="00BE2883">
        <w:rPr>
          <w:rFonts w:cstheme="minorHAnsi"/>
          <w:lang w:val="en-US"/>
        </w:rPr>
        <w:t xml:space="preserve"> between $137 and $203 for families in low-paid work and between $106 and $174 for unemployed families </w:t>
      </w:r>
      <w:sdt>
        <w:sdtPr>
          <w:rPr>
            <w:rFonts w:cstheme="minorHAnsi"/>
            <w:lang w:val="en-US"/>
          </w:rPr>
          <w:id w:val="799041847"/>
          <w:citation/>
        </w:sdtPr>
        <w:sdtEndPr/>
        <w:sdtContent>
          <w:r w:rsidR="00BE2883">
            <w:rPr>
              <w:rFonts w:cstheme="minorHAnsi"/>
              <w:lang w:val="en-US"/>
            </w:rPr>
            <w:fldChar w:fldCharType="begin"/>
          </w:r>
          <w:r w:rsidR="00BE2883">
            <w:rPr>
              <w:rFonts w:cstheme="minorHAnsi"/>
            </w:rPr>
            <w:instrText xml:space="preserve"> CITATION Bed18 \l 3081 </w:instrText>
          </w:r>
          <w:r w:rsidR="00BE2883">
            <w:rPr>
              <w:rFonts w:cstheme="minorHAnsi"/>
              <w:lang w:val="en-US"/>
            </w:rPr>
            <w:fldChar w:fldCharType="separate"/>
          </w:r>
          <w:r w:rsidR="00BE2DD4" w:rsidRPr="001244DA">
            <w:rPr>
              <w:rFonts w:cstheme="minorHAnsi"/>
              <w:noProof/>
            </w:rPr>
            <w:t>(Bedford &amp; Saunders, 2018)</w:t>
          </w:r>
          <w:r w:rsidR="00BE2883">
            <w:rPr>
              <w:rFonts w:cstheme="minorHAnsi"/>
              <w:lang w:val="en-US"/>
            </w:rPr>
            <w:fldChar w:fldCharType="end"/>
          </w:r>
        </w:sdtContent>
      </w:sdt>
      <w:r w:rsidR="00BE2883">
        <w:rPr>
          <w:rFonts w:cstheme="minorHAnsi"/>
          <w:lang w:val="en-US"/>
        </w:rPr>
        <w:t>. These estimates are considerably higher than the estimates of two decades before</w:t>
      </w:r>
      <w:sdt>
        <w:sdtPr>
          <w:rPr>
            <w:rFonts w:cstheme="minorHAnsi"/>
            <w:lang w:val="en-US"/>
          </w:rPr>
          <w:id w:val="2044853363"/>
          <w:citation/>
        </w:sdtPr>
        <w:sdtEndPr/>
        <w:sdtContent>
          <w:r w:rsidR="00BE2883">
            <w:rPr>
              <w:rFonts w:cstheme="minorHAnsi"/>
              <w:lang w:val="en-US"/>
            </w:rPr>
            <w:fldChar w:fldCharType="begin"/>
          </w:r>
          <w:r w:rsidR="00BE2883">
            <w:rPr>
              <w:rFonts w:cstheme="minorHAnsi"/>
            </w:rPr>
            <w:instrText xml:space="preserve">CITATION Sau \l 3081 </w:instrText>
          </w:r>
          <w:r w:rsidR="00BE2883">
            <w:rPr>
              <w:rFonts w:cstheme="minorHAnsi"/>
              <w:lang w:val="en-US"/>
            </w:rPr>
            <w:fldChar w:fldCharType="separate"/>
          </w:r>
          <w:r w:rsidR="00BE2DD4">
            <w:rPr>
              <w:rFonts w:cstheme="minorHAnsi"/>
              <w:noProof/>
            </w:rPr>
            <w:t xml:space="preserve"> </w:t>
          </w:r>
          <w:r w:rsidR="00BE2DD4" w:rsidRPr="001244DA">
            <w:rPr>
              <w:rFonts w:cstheme="minorHAnsi"/>
              <w:noProof/>
            </w:rPr>
            <w:t>(Saunders, 1999)</w:t>
          </w:r>
          <w:r w:rsidR="00BE2883">
            <w:rPr>
              <w:rFonts w:cstheme="minorHAnsi"/>
              <w:lang w:val="en-US"/>
            </w:rPr>
            <w:fldChar w:fldCharType="end"/>
          </w:r>
        </w:sdtContent>
      </w:sdt>
      <w:r w:rsidR="00BE2883">
        <w:rPr>
          <w:rFonts w:cstheme="minorHAnsi"/>
          <w:lang w:val="en-US"/>
        </w:rPr>
        <w:t xml:space="preserve">, even after adjusting for the increase in consumer prices, </w:t>
      </w:r>
      <w:r>
        <w:rPr>
          <w:rFonts w:cstheme="minorHAnsi"/>
          <w:lang w:val="en-US"/>
        </w:rPr>
        <w:t>as</w:t>
      </w:r>
      <w:r w:rsidR="00BE2883">
        <w:rPr>
          <w:rFonts w:cstheme="minorHAnsi"/>
          <w:lang w:val="en-US"/>
        </w:rPr>
        <w:t xml:space="preserve"> views regarding what constitutes a minimally adequate standard of living for Australian children have shifted upwards, consistent with the increase in general living standards. </w:t>
      </w:r>
    </w:p>
    <w:p w14:paraId="29E1E082" w14:textId="7C948B95" w:rsidR="001001A5" w:rsidRPr="001001A5" w:rsidRDefault="001001A5" w:rsidP="00BC5105">
      <w:pPr>
        <w:spacing w:line="276" w:lineRule="auto"/>
        <w:jc w:val="both"/>
        <w:rPr>
          <w:rFonts w:cstheme="minorHAnsi"/>
          <w:i/>
          <w:iCs/>
          <w:lang w:val="en-US"/>
        </w:rPr>
      </w:pPr>
      <w:r w:rsidRPr="001001A5">
        <w:rPr>
          <w:rFonts w:cstheme="minorHAnsi"/>
          <w:i/>
          <w:iCs/>
          <w:lang w:val="en-US"/>
        </w:rPr>
        <w:lastRenderedPageBreak/>
        <w:t>Indirect costs</w:t>
      </w:r>
    </w:p>
    <w:p w14:paraId="451AE829" w14:textId="7784C36B" w:rsidR="00BE2883" w:rsidRPr="003635BF" w:rsidRDefault="00BE2883" w:rsidP="00BC5105">
      <w:pPr>
        <w:spacing w:line="276" w:lineRule="auto"/>
        <w:jc w:val="both"/>
        <w:rPr>
          <w:rFonts w:cstheme="minorHAnsi"/>
          <w:lang w:val="en-US"/>
        </w:rPr>
      </w:pPr>
      <w:r w:rsidRPr="003635BF">
        <w:rPr>
          <w:rFonts w:cstheme="minorHAnsi"/>
          <w:lang w:val="en-US"/>
        </w:rPr>
        <w:t xml:space="preserve">The indirect costs of children have two interrelated components which are </w:t>
      </w:r>
      <w:r w:rsidR="00F53392" w:rsidRPr="003635BF">
        <w:rPr>
          <w:rFonts w:cstheme="minorHAnsi"/>
          <w:lang w:val="en-US"/>
        </w:rPr>
        <w:t>the</w:t>
      </w:r>
      <w:r w:rsidRPr="003635BF">
        <w:rPr>
          <w:rFonts w:cstheme="minorHAnsi"/>
          <w:lang w:val="en-US"/>
        </w:rPr>
        <w:t xml:space="preserve"> result of the parent(s), usually the mother, taking time out of the labour force to raise the child.  The first is the opportunity costs, or lost wages, from not working or from working reduced hours. </w:t>
      </w:r>
      <w:r w:rsidR="001910D9">
        <w:rPr>
          <w:rFonts w:cstheme="minorHAnsi"/>
          <w:lang w:val="en-US"/>
        </w:rPr>
        <w:t xml:space="preserve">The </w:t>
      </w:r>
      <w:r w:rsidRPr="003635BF">
        <w:rPr>
          <w:rFonts w:cstheme="minorHAnsi"/>
          <w:lang w:val="en-US"/>
        </w:rPr>
        <w:t xml:space="preserve">second component is loss of human capital investment as a result of the reduced hours or absence from the workforce. </w:t>
      </w:r>
      <w:r w:rsidR="00257F9E">
        <w:rPr>
          <w:rFonts w:cstheme="minorHAnsi"/>
          <w:lang w:val="en-US"/>
        </w:rPr>
        <w:t>F</w:t>
      </w:r>
      <w:r w:rsidRPr="003635BF">
        <w:rPr>
          <w:rFonts w:cstheme="minorHAnsi"/>
          <w:lang w:val="en-US"/>
        </w:rPr>
        <w:t>or parents whose youngest dependent child was under six, three in five employed mothers worked part-time compared to less t</w:t>
      </w:r>
      <w:r>
        <w:rPr>
          <w:rFonts w:cstheme="minorHAnsi"/>
          <w:lang w:val="en-US"/>
        </w:rPr>
        <w:t>han one in ten employed fathers</w:t>
      </w:r>
      <w:r w:rsidR="00B95174">
        <w:rPr>
          <w:rFonts w:cstheme="minorHAnsi"/>
          <w:noProof/>
        </w:rPr>
        <w:t xml:space="preserve"> </w:t>
      </w:r>
      <w:r w:rsidR="00B95174" w:rsidRPr="007E15F6">
        <w:rPr>
          <w:rFonts w:cstheme="minorHAnsi"/>
          <w:noProof/>
        </w:rPr>
        <w:t>(Australian Bureau of Statistics, 2020</w:t>
      </w:r>
      <w:r w:rsidR="00D816B2">
        <w:rPr>
          <w:rFonts w:cstheme="minorHAnsi"/>
          <w:noProof/>
        </w:rPr>
        <w:t>a</w:t>
      </w:r>
      <w:r w:rsidR="00B95174" w:rsidRPr="007E15F6">
        <w:rPr>
          <w:rFonts w:cstheme="minorHAnsi"/>
          <w:noProof/>
        </w:rPr>
        <w:t>)</w:t>
      </w:r>
      <w:r>
        <w:rPr>
          <w:rFonts w:cstheme="minorHAnsi"/>
          <w:lang w:val="en-US"/>
        </w:rPr>
        <w:t>.</w:t>
      </w:r>
      <w:r w:rsidR="00257F9E">
        <w:rPr>
          <w:rFonts w:cstheme="minorHAnsi"/>
          <w:lang w:val="en-US"/>
        </w:rPr>
        <w:t xml:space="preserve"> As shown in </w:t>
      </w:r>
      <w:r w:rsidR="00257F9E">
        <w:rPr>
          <w:rFonts w:cstheme="minorHAnsi"/>
          <w:lang w:val="en-US"/>
        </w:rPr>
        <w:fldChar w:fldCharType="begin"/>
      </w:r>
      <w:r w:rsidR="00257F9E">
        <w:rPr>
          <w:rFonts w:cstheme="minorHAnsi"/>
          <w:lang w:val="en-US"/>
        </w:rPr>
        <w:instrText xml:space="preserve"> REF _Ref75921347 \h  \* MERGEFORMAT </w:instrText>
      </w:r>
      <w:r w:rsidR="00257F9E">
        <w:rPr>
          <w:rFonts w:cstheme="minorHAnsi"/>
          <w:lang w:val="en-US"/>
        </w:rPr>
      </w:r>
      <w:r w:rsidR="00257F9E">
        <w:rPr>
          <w:rFonts w:cstheme="minorHAnsi"/>
          <w:lang w:val="en-US"/>
        </w:rPr>
        <w:fldChar w:fldCharType="separate"/>
      </w:r>
      <w:r w:rsidR="00115E22">
        <w:t xml:space="preserve">Figure </w:t>
      </w:r>
      <w:r w:rsidR="00115E22">
        <w:rPr>
          <w:noProof/>
        </w:rPr>
        <w:t>11</w:t>
      </w:r>
      <w:r w:rsidR="00257F9E">
        <w:rPr>
          <w:rFonts w:cstheme="minorHAnsi"/>
          <w:lang w:val="en-US"/>
        </w:rPr>
        <w:fldChar w:fldCharType="end"/>
      </w:r>
      <w:r w:rsidR="00257F9E">
        <w:rPr>
          <w:rFonts w:cstheme="minorHAnsi"/>
          <w:lang w:val="en-US"/>
        </w:rPr>
        <w:t>, the employment patterns of mothers are highly dependent on the age of their youngest child</w:t>
      </w:r>
      <w:r w:rsidR="000E44A2">
        <w:rPr>
          <w:rFonts w:cstheme="minorHAnsi"/>
          <w:lang w:val="en-US"/>
        </w:rPr>
        <w:t>,</w:t>
      </w:r>
      <w:r w:rsidR="00257F9E">
        <w:rPr>
          <w:rFonts w:cstheme="minorHAnsi"/>
          <w:lang w:val="en-US"/>
        </w:rPr>
        <w:t xml:space="preserve"> and women increasingly re-enter the labour force as their children age</w:t>
      </w:r>
      <w:r w:rsidR="002C0271">
        <w:rPr>
          <w:rFonts w:cstheme="minorHAnsi"/>
          <w:lang w:val="en-US"/>
        </w:rPr>
        <w:t>, and work full-time rather than part-time</w:t>
      </w:r>
      <w:r w:rsidR="00257F9E">
        <w:rPr>
          <w:rFonts w:cstheme="minorHAnsi"/>
          <w:lang w:val="en-US"/>
        </w:rPr>
        <w:t xml:space="preserve">. The number of children is also important in labour force </w:t>
      </w:r>
      <w:r w:rsidR="000D7FF8">
        <w:rPr>
          <w:rFonts w:cstheme="minorHAnsi"/>
          <w:lang w:val="en-US"/>
        </w:rPr>
        <w:t xml:space="preserve">participation. Parr </w:t>
      </w:r>
      <w:r w:rsidR="00B95174" w:rsidRPr="007E15F6">
        <w:rPr>
          <w:rFonts w:cstheme="minorHAnsi"/>
          <w:noProof/>
        </w:rPr>
        <w:t>(2012)</w:t>
      </w:r>
      <w:r w:rsidR="000D7FF8">
        <w:rPr>
          <w:rFonts w:cstheme="minorHAnsi"/>
          <w:lang w:val="en-US"/>
        </w:rPr>
        <w:t xml:space="preserve">, </w:t>
      </w:r>
      <w:r w:rsidR="000E44A2">
        <w:rPr>
          <w:rFonts w:cstheme="minorHAnsi"/>
          <w:lang w:val="en-US"/>
        </w:rPr>
        <w:t xml:space="preserve">in an analysis of </w:t>
      </w:r>
      <w:r w:rsidR="000D7FF8">
        <w:rPr>
          <w:rFonts w:cstheme="minorHAnsi"/>
          <w:lang w:val="en-US"/>
        </w:rPr>
        <w:t>HILDA data found that for mothers with children aged 0-4, 67% worked if they had one child, 64% if they had two children, but for those with 3 or more children maternal employment dropped to below 50%</w:t>
      </w:r>
      <w:r w:rsidR="00257F9E">
        <w:rPr>
          <w:rFonts w:cstheme="minorHAnsi"/>
          <w:lang w:val="en-US"/>
        </w:rPr>
        <w:t>.</w:t>
      </w:r>
    </w:p>
    <w:p w14:paraId="3B0E449A" w14:textId="067A8B4C" w:rsidR="003E4630" w:rsidRDefault="003E4630" w:rsidP="00BC5105">
      <w:pPr>
        <w:pStyle w:val="Caption"/>
        <w:keepNext/>
        <w:spacing w:line="276" w:lineRule="auto"/>
      </w:pPr>
      <w:bookmarkStart w:id="41" w:name="_Ref75921347"/>
      <w:r>
        <w:t xml:space="preserve">Figure </w:t>
      </w:r>
      <w:fldSimple w:instr=" SEQ Figure \* ARABIC ">
        <w:r w:rsidR="00115E22">
          <w:rPr>
            <w:noProof/>
          </w:rPr>
          <w:t>11</w:t>
        </w:r>
      </w:fldSimple>
      <w:bookmarkEnd w:id="41"/>
      <w:r>
        <w:t xml:space="preserve"> </w:t>
      </w:r>
      <w:r w:rsidRPr="0090378F">
        <w:t xml:space="preserve">Labour force participation </w:t>
      </w:r>
      <w:r w:rsidR="00257F9E">
        <w:t xml:space="preserve">of women in couple relationship by age of youngest dependent </w:t>
      </w:r>
      <w:r w:rsidR="00693478">
        <w:t>child,</w:t>
      </w:r>
      <w:r w:rsidR="00257F9E">
        <w:t xml:space="preserve"> </w:t>
      </w:r>
      <w:r w:rsidR="000A4949">
        <w:t xml:space="preserve">Australia </w:t>
      </w:r>
      <w:r w:rsidR="00257F9E">
        <w:t>2017</w:t>
      </w:r>
    </w:p>
    <w:p w14:paraId="3B36ACE6" w14:textId="3E3D5987" w:rsidR="00BE2883" w:rsidRPr="003635BF" w:rsidRDefault="00257F9E" w:rsidP="00BC5105">
      <w:pPr>
        <w:spacing w:line="276" w:lineRule="auto"/>
        <w:rPr>
          <w:rFonts w:cstheme="minorHAnsi"/>
          <w:lang w:val="en-US"/>
        </w:rPr>
      </w:pPr>
      <w:r>
        <w:rPr>
          <w:noProof/>
          <w:lang w:eastAsia="en-AU"/>
        </w:rPr>
        <w:drawing>
          <wp:inline distT="0" distB="0" distL="0" distR="0" wp14:anchorId="28DB8252" wp14:editId="53F0B477">
            <wp:extent cx="5416550" cy="2743200"/>
            <wp:effectExtent l="0" t="0" r="0" b="0"/>
            <wp:docPr id="221" name="Chart 221">
              <a:extLst xmlns:a="http://schemas.openxmlformats.org/drawingml/2006/main">
                <a:ext uri="{FF2B5EF4-FFF2-40B4-BE49-F238E27FC236}">
                  <a16:creationId xmlns:a16="http://schemas.microsoft.com/office/drawing/2014/main" id="{90671939-9772-4A9D-B481-127E389DC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93CCCB" w14:textId="3D89BA0E" w:rsidR="00BE2883" w:rsidRPr="003635BF" w:rsidRDefault="00BE2883" w:rsidP="00BC5105">
      <w:pPr>
        <w:spacing w:line="276" w:lineRule="auto"/>
        <w:rPr>
          <w:rFonts w:cstheme="minorHAnsi"/>
          <w:lang w:val="en-US"/>
        </w:rPr>
      </w:pPr>
      <w:r w:rsidRPr="000E44A2">
        <w:rPr>
          <w:rFonts w:cstheme="minorHAnsi"/>
          <w:noProof/>
          <w:sz w:val="18"/>
        </w:rPr>
        <w:t xml:space="preserve">Source: </w:t>
      </w:r>
      <w:sdt>
        <w:sdtPr>
          <w:rPr>
            <w:rFonts w:cstheme="minorHAnsi"/>
            <w:noProof/>
            <w:sz w:val="18"/>
          </w:rPr>
          <w:id w:val="-1875076254"/>
          <w:citation/>
        </w:sdtPr>
        <w:sdtEndPr/>
        <w:sdtContent>
          <w:r w:rsidR="000E44A2">
            <w:rPr>
              <w:rFonts w:cstheme="minorHAnsi"/>
              <w:noProof/>
              <w:sz w:val="18"/>
            </w:rPr>
            <w:fldChar w:fldCharType="begin"/>
          </w:r>
          <w:r w:rsidR="000E44A2">
            <w:rPr>
              <w:rFonts w:cstheme="minorHAnsi"/>
              <w:noProof/>
              <w:sz w:val="18"/>
            </w:rPr>
            <w:instrText xml:space="preserve"> CITATION Aus171 \l 3081 </w:instrText>
          </w:r>
          <w:r w:rsidR="000E44A2">
            <w:rPr>
              <w:rFonts w:cstheme="minorHAnsi"/>
              <w:noProof/>
              <w:sz w:val="18"/>
            </w:rPr>
            <w:fldChar w:fldCharType="separate"/>
          </w:r>
          <w:r w:rsidR="00BE2DD4" w:rsidRPr="00BC70D8">
            <w:rPr>
              <w:rFonts w:cstheme="minorHAnsi"/>
              <w:noProof/>
              <w:sz w:val="18"/>
            </w:rPr>
            <w:t>(Australian Bureau of Statistics, 2017)</w:t>
          </w:r>
          <w:r w:rsidR="000E44A2">
            <w:rPr>
              <w:rFonts w:cstheme="minorHAnsi"/>
              <w:noProof/>
              <w:sz w:val="18"/>
            </w:rPr>
            <w:fldChar w:fldCharType="end"/>
          </w:r>
        </w:sdtContent>
      </w:sdt>
    </w:p>
    <w:p w14:paraId="10165CDE" w14:textId="6C7EA5F9" w:rsidR="001910D9" w:rsidRDefault="001910D9" w:rsidP="00BC5105">
      <w:pPr>
        <w:spacing w:line="276" w:lineRule="auto"/>
        <w:jc w:val="both"/>
        <w:rPr>
          <w:rFonts w:cstheme="minorHAnsi"/>
          <w:lang w:val="en-US"/>
        </w:rPr>
      </w:pPr>
      <w:r>
        <w:rPr>
          <w:rFonts w:cstheme="minorHAnsi"/>
          <w:lang w:val="en-US"/>
        </w:rPr>
        <w:t xml:space="preserve">In Australia while higher-educated women forego a greater amount of lifetime earnings in absolute terms, the loss in income is proportionately smaller than it is for less educated women </w:t>
      </w:r>
      <w:sdt>
        <w:sdtPr>
          <w:rPr>
            <w:rFonts w:cstheme="minorHAnsi"/>
            <w:lang w:val="en-US"/>
          </w:rPr>
          <w:id w:val="608696165"/>
          <w:citation/>
        </w:sdtPr>
        <w:sdtEndPr/>
        <w:sdtContent>
          <w:r>
            <w:rPr>
              <w:rFonts w:cstheme="minorHAnsi"/>
              <w:lang w:val="en-US"/>
            </w:rPr>
            <w:fldChar w:fldCharType="begin"/>
          </w:r>
          <w:r>
            <w:rPr>
              <w:rFonts w:cstheme="minorHAnsi"/>
            </w:rPr>
            <w:instrText xml:space="preserve"> CITATION Bre04 \l 3081 </w:instrText>
          </w:r>
          <w:r>
            <w:rPr>
              <w:rFonts w:cstheme="minorHAnsi"/>
              <w:lang w:val="en-US"/>
            </w:rPr>
            <w:fldChar w:fldCharType="separate"/>
          </w:r>
          <w:r w:rsidR="00BE2DD4" w:rsidRPr="00BC70D8">
            <w:rPr>
              <w:rFonts w:cstheme="minorHAnsi"/>
              <w:noProof/>
            </w:rPr>
            <w:t>(Breusch &amp; Gray, 2004)</w:t>
          </w:r>
          <w:r>
            <w:rPr>
              <w:rFonts w:cstheme="minorHAnsi"/>
              <w:lang w:val="en-US"/>
            </w:rPr>
            <w:fldChar w:fldCharType="end"/>
          </w:r>
        </w:sdtContent>
      </w:sdt>
      <w:r>
        <w:rPr>
          <w:rFonts w:cstheme="minorHAnsi"/>
          <w:lang w:val="en-US"/>
        </w:rPr>
        <w:t xml:space="preserve">.  That is partly because higher-educated women are more likely to have the capacity to finance </w:t>
      </w:r>
      <w:r w:rsidR="008D52A6">
        <w:rPr>
          <w:rFonts w:cstheme="minorHAnsi"/>
          <w:lang w:val="en-US"/>
        </w:rPr>
        <w:t>child care</w:t>
      </w:r>
      <w:r>
        <w:rPr>
          <w:rFonts w:cstheme="minorHAnsi"/>
          <w:lang w:val="en-US"/>
        </w:rPr>
        <w:t xml:space="preserve"> and return to work</w:t>
      </w:r>
      <w:r w:rsidR="008F566D">
        <w:rPr>
          <w:rFonts w:cstheme="minorHAnsi"/>
          <w:lang w:val="en-US"/>
        </w:rPr>
        <w:t>, and to do so faster and taking up longer hours</w:t>
      </w:r>
      <w:r>
        <w:rPr>
          <w:rFonts w:cstheme="minorHAnsi"/>
          <w:lang w:val="en-US"/>
        </w:rPr>
        <w:t xml:space="preserve"> compared to women with lower-education who are more likely to give up paid work</w:t>
      </w:r>
      <w:r w:rsidR="008F566D">
        <w:rPr>
          <w:rFonts w:cstheme="minorHAnsi"/>
          <w:lang w:val="en-US"/>
        </w:rPr>
        <w:t xml:space="preserve">. As such in the long run for lower educated mothers their opportunity cost may be higher than for those women with higher education. </w:t>
      </w:r>
    </w:p>
    <w:p w14:paraId="30246E66" w14:textId="7BE67449" w:rsidR="00BE2883" w:rsidRDefault="00BE2883" w:rsidP="00BC5105">
      <w:pPr>
        <w:spacing w:line="276" w:lineRule="auto"/>
        <w:jc w:val="both"/>
        <w:rPr>
          <w:rFonts w:cstheme="minorHAnsi"/>
          <w:lang w:val="en-US"/>
        </w:rPr>
      </w:pPr>
      <w:r w:rsidRPr="003635BF">
        <w:rPr>
          <w:rFonts w:cstheme="minorHAnsi"/>
          <w:lang w:val="en-US"/>
        </w:rPr>
        <w:t xml:space="preserve">The cumulative loss of earnings experienced by women due </w:t>
      </w:r>
      <w:r w:rsidR="00581A91">
        <w:rPr>
          <w:rFonts w:cstheme="minorHAnsi"/>
          <w:lang w:val="en-US"/>
        </w:rPr>
        <w:t xml:space="preserve">to </w:t>
      </w:r>
      <w:r w:rsidRPr="003635BF">
        <w:rPr>
          <w:rFonts w:cstheme="minorHAnsi"/>
          <w:lang w:val="en-US"/>
        </w:rPr>
        <w:t>unpaid caring responsibi</w:t>
      </w:r>
      <w:r>
        <w:rPr>
          <w:rFonts w:cstheme="minorHAnsi"/>
          <w:lang w:val="en-US"/>
        </w:rPr>
        <w:t>lities is usually irreversible</w:t>
      </w:r>
      <w:r w:rsidRPr="003635BF">
        <w:rPr>
          <w:rFonts w:cstheme="minorHAnsi"/>
          <w:lang w:val="en-US"/>
        </w:rPr>
        <w:t xml:space="preserve"> and leads to a lifetime earnings gap between men and women</w:t>
      </w:r>
      <w:r w:rsidR="002C0271" w:rsidRPr="002C0271">
        <w:rPr>
          <w:rFonts w:cstheme="minorHAnsi"/>
          <w:lang w:val="en-US"/>
        </w:rPr>
        <w:t xml:space="preserve"> </w:t>
      </w:r>
      <w:sdt>
        <w:sdtPr>
          <w:rPr>
            <w:rFonts w:cstheme="minorHAnsi"/>
            <w:lang w:val="en-US"/>
          </w:rPr>
          <w:id w:val="1900855453"/>
          <w:citation/>
        </w:sdtPr>
        <w:sdtEndPr/>
        <w:sdtContent>
          <w:r w:rsidR="002C0271" w:rsidRPr="003635BF">
            <w:rPr>
              <w:rFonts w:cstheme="minorHAnsi"/>
              <w:lang w:val="en-US"/>
            </w:rPr>
            <w:fldChar w:fldCharType="begin"/>
          </w:r>
          <w:r w:rsidR="002C0271" w:rsidRPr="003635BF">
            <w:rPr>
              <w:rFonts w:cstheme="minorHAnsi"/>
            </w:rPr>
            <w:instrText xml:space="preserve">CITATION Wor21 \l 3081 </w:instrText>
          </w:r>
          <w:r w:rsidR="002C0271" w:rsidRPr="003635BF">
            <w:rPr>
              <w:rFonts w:cstheme="minorHAnsi"/>
              <w:lang w:val="en-US"/>
            </w:rPr>
            <w:fldChar w:fldCharType="separate"/>
          </w:r>
          <w:r w:rsidR="00BE2DD4" w:rsidRPr="00BC70D8">
            <w:rPr>
              <w:rFonts w:cstheme="minorHAnsi"/>
              <w:noProof/>
            </w:rPr>
            <w:t>(Workplace Gender Equality Agency, 2021)</w:t>
          </w:r>
          <w:r w:rsidR="002C0271" w:rsidRPr="003635BF">
            <w:rPr>
              <w:rFonts w:cstheme="minorHAnsi"/>
              <w:lang w:val="en-US"/>
            </w:rPr>
            <w:fldChar w:fldCharType="end"/>
          </w:r>
        </w:sdtContent>
      </w:sdt>
      <w:r w:rsidRPr="003635BF">
        <w:rPr>
          <w:rFonts w:cstheme="minorHAnsi"/>
          <w:lang w:val="en-US"/>
        </w:rPr>
        <w:t xml:space="preserve">. If current working patterns continue, a 25-year old woman today who has at least one child can expect to earn $2 million less over her lifetime than an average 25-year old man who becomes a father </w:t>
      </w:r>
      <w:r w:rsidR="006347FD">
        <w:rPr>
          <w:rFonts w:cstheme="minorHAnsi"/>
          <w:noProof/>
        </w:rPr>
        <w:t xml:space="preserve">(Wood, </w:t>
      </w:r>
      <w:r w:rsidR="006347FD" w:rsidRPr="007E15F6">
        <w:rPr>
          <w:rFonts w:cstheme="minorHAnsi"/>
          <w:i/>
          <w:iCs/>
          <w:noProof/>
        </w:rPr>
        <w:t>et al.</w:t>
      </w:r>
      <w:r w:rsidR="00B95174" w:rsidRPr="007E15F6">
        <w:rPr>
          <w:rFonts w:cstheme="minorHAnsi"/>
          <w:i/>
          <w:iCs/>
          <w:noProof/>
        </w:rPr>
        <w:t>,</w:t>
      </w:r>
      <w:r w:rsidR="006347FD">
        <w:rPr>
          <w:rFonts w:cstheme="minorHAnsi"/>
          <w:noProof/>
        </w:rPr>
        <w:t xml:space="preserve"> 2020, p. 15)</w:t>
      </w:r>
      <w:r w:rsidRPr="003635BF">
        <w:rPr>
          <w:rFonts w:cstheme="minorHAnsi"/>
          <w:lang w:val="en-US"/>
        </w:rPr>
        <w:t xml:space="preserve">.  </w:t>
      </w:r>
      <w:r w:rsidR="007D2F78">
        <w:rPr>
          <w:rFonts w:cstheme="minorHAnsi"/>
          <w:lang w:val="en-US"/>
        </w:rPr>
        <w:t xml:space="preserve">A survey by the ABS </w:t>
      </w:r>
      <w:r w:rsidR="000D7FF8">
        <w:rPr>
          <w:rFonts w:cstheme="minorHAnsi"/>
          <w:lang w:val="en-US"/>
        </w:rPr>
        <w:t>on</w:t>
      </w:r>
      <w:r w:rsidR="007D2F78">
        <w:rPr>
          <w:rFonts w:cstheme="minorHAnsi"/>
          <w:lang w:val="en-US"/>
        </w:rPr>
        <w:t xml:space="preserve"> the barriers and incentives to labour force participation found that among mothers whose youngest child was aged 0-2, of </w:t>
      </w:r>
      <w:r w:rsidR="00CF7626">
        <w:rPr>
          <w:rFonts w:cstheme="minorHAnsi"/>
          <w:lang w:val="en-US"/>
        </w:rPr>
        <w:t xml:space="preserve">those </w:t>
      </w:r>
      <w:r w:rsidR="00CF7626">
        <w:rPr>
          <w:rFonts w:cstheme="minorHAnsi"/>
          <w:lang w:val="en-US"/>
        </w:rPr>
        <w:lastRenderedPageBreak/>
        <w:t>employed</w:t>
      </w:r>
      <w:r w:rsidR="007D2F78">
        <w:rPr>
          <w:rFonts w:cstheme="minorHAnsi"/>
          <w:lang w:val="en-US"/>
        </w:rPr>
        <w:t xml:space="preserve">, 20% </w:t>
      </w:r>
      <w:r w:rsidR="00CF7626">
        <w:rPr>
          <w:rFonts w:cstheme="minorHAnsi"/>
          <w:lang w:val="en-US"/>
        </w:rPr>
        <w:t>preferred</w:t>
      </w:r>
      <w:r w:rsidR="007D2F78">
        <w:rPr>
          <w:rFonts w:cstheme="minorHAnsi"/>
          <w:lang w:val="en-US"/>
        </w:rPr>
        <w:t xml:space="preserve"> to work more hours, and among those not in the labour force, 24% would like to have a paid job. For women whose youngest child was aged 3-4, the equivalent percentages were 19% and 22% </w:t>
      </w:r>
      <w:r w:rsidR="00B95174" w:rsidRPr="007E15F6">
        <w:rPr>
          <w:rFonts w:cstheme="minorHAnsi"/>
          <w:noProof/>
        </w:rPr>
        <w:t>(Australian Bureau of Statistics, 2020</w:t>
      </w:r>
      <w:r w:rsidR="00D816B2">
        <w:rPr>
          <w:rFonts w:cstheme="minorHAnsi"/>
          <w:noProof/>
        </w:rPr>
        <w:t>b</w:t>
      </w:r>
      <w:r w:rsidR="00B95174" w:rsidRPr="007E15F6">
        <w:rPr>
          <w:rFonts w:cstheme="minorHAnsi"/>
          <w:noProof/>
        </w:rPr>
        <w:t>)</w:t>
      </w:r>
      <w:r w:rsidR="007D2F78">
        <w:rPr>
          <w:rFonts w:cstheme="minorHAnsi"/>
          <w:lang w:val="en-US"/>
        </w:rPr>
        <w:t xml:space="preserve">.  </w:t>
      </w:r>
    </w:p>
    <w:p w14:paraId="5A3D5BAD" w14:textId="411EB480" w:rsidR="001001A5" w:rsidRDefault="001001A5" w:rsidP="00BC5105">
      <w:pPr>
        <w:spacing w:line="276" w:lineRule="auto"/>
        <w:jc w:val="both"/>
        <w:rPr>
          <w:rFonts w:cstheme="minorHAnsi"/>
          <w:i/>
          <w:iCs/>
          <w:lang w:val="en-US"/>
        </w:rPr>
      </w:pPr>
      <w:r w:rsidRPr="001001A5">
        <w:rPr>
          <w:rFonts w:cstheme="minorHAnsi"/>
          <w:i/>
          <w:iCs/>
          <w:lang w:val="en-US"/>
        </w:rPr>
        <w:t>Time costs</w:t>
      </w:r>
    </w:p>
    <w:p w14:paraId="3769014E" w14:textId="553B9230" w:rsidR="00DC2CA4" w:rsidRDefault="009C420A" w:rsidP="00BC5105">
      <w:pPr>
        <w:tabs>
          <w:tab w:val="left" w:pos="988"/>
        </w:tabs>
        <w:spacing w:line="276" w:lineRule="auto"/>
        <w:jc w:val="both"/>
        <w:rPr>
          <w:rFonts w:cstheme="minorHAnsi"/>
          <w:lang w:val="en-US"/>
        </w:rPr>
      </w:pPr>
      <w:r>
        <w:rPr>
          <w:rFonts w:cstheme="minorHAnsi"/>
          <w:lang w:val="en-US"/>
        </w:rPr>
        <w:t>Time-use studies have highlighted that despite women’s increased labour force participation</w:t>
      </w:r>
      <w:r w:rsidR="00E86C96">
        <w:rPr>
          <w:rFonts w:cstheme="minorHAnsi"/>
          <w:lang w:val="en-US"/>
        </w:rPr>
        <w:t>,</w:t>
      </w:r>
      <w:r>
        <w:rPr>
          <w:rFonts w:cstheme="minorHAnsi"/>
          <w:lang w:val="en-US"/>
        </w:rPr>
        <w:t xml:space="preserve"> parents now spend more time with children than </w:t>
      </w:r>
      <w:r w:rsidR="00E86C96">
        <w:rPr>
          <w:rFonts w:cstheme="minorHAnsi"/>
          <w:lang w:val="en-US"/>
        </w:rPr>
        <w:t>previously,</w:t>
      </w:r>
      <w:r>
        <w:rPr>
          <w:rFonts w:cstheme="minorHAnsi"/>
          <w:lang w:val="en-US"/>
        </w:rPr>
        <w:t xml:space="preserve"> as social norms about what it means to be a good parent have changed</w:t>
      </w:r>
      <w:r w:rsidR="001001A5" w:rsidRPr="003635BF">
        <w:rPr>
          <w:rFonts w:cstheme="minorHAnsi"/>
          <w:lang w:val="en-US"/>
        </w:rPr>
        <w:t xml:space="preserve"> </w:t>
      </w:r>
      <w:r w:rsidR="00B95174" w:rsidRPr="007E15F6">
        <w:rPr>
          <w:rFonts w:cstheme="minorHAnsi"/>
          <w:noProof/>
        </w:rPr>
        <w:t>(Gauthier &amp; de Jong, 2021)</w:t>
      </w:r>
      <w:r w:rsidR="001001A5" w:rsidRPr="003635BF">
        <w:rPr>
          <w:rFonts w:cstheme="minorHAnsi"/>
          <w:lang w:val="en-US"/>
        </w:rPr>
        <w:t xml:space="preserve">. </w:t>
      </w:r>
      <w:r>
        <w:rPr>
          <w:rFonts w:cstheme="minorHAnsi"/>
          <w:lang w:val="en-US"/>
        </w:rPr>
        <w:t>The p</w:t>
      </w:r>
      <w:r w:rsidR="001001A5" w:rsidRPr="003635BF">
        <w:rPr>
          <w:rFonts w:cstheme="minorHAnsi"/>
          <w:lang w:val="en-US"/>
        </w:rPr>
        <w:t>ressure on parents to invest more effort in children’s development</w:t>
      </w:r>
      <w:r>
        <w:rPr>
          <w:rFonts w:cstheme="minorHAnsi"/>
          <w:lang w:val="en-US"/>
        </w:rPr>
        <w:t>, and the concept of ‘intensive parenting’ including a child-centred approach with a focus on stimulation activities</w:t>
      </w:r>
      <w:r w:rsidR="00E86C96">
        <w:rPr>
          <w:rFonts w:cstheme="minorHAnsi"/>
          <w:lang w:val="en-US"/>
        </w:rPr>
        <w:t>,</w:t>
      </w:r>
      <w:r w:rsidR="001001A5" w:rsidRPr="003635BF">
        <w:rPr>
          <w:rFonts w:cstheme="minorHAnsi"/>
          <w:lang w:val="en-US"/>
        </w:rPr>
        <w:t xml:space="preserve"> </w:t>
      </w:r>
      <w:r w:rsidR="00230BA5">
        <w:rPr>
          <w:rFonts w:cstheme="minorHAnsi"/>
          <w:lang w:val="en-US"/>
        </w:rPr>
        <w:t xml:space="preserve">have </w:t>
      </w:r>
      <w:r>
        <w:rPr>
          <w:rFonts w:cstheme="minorHAnsi"/>
          <w:lang w:val="en-US"/>
        </w:rPr>
        <w:t>led to an increase in</w:t>
      </w:r>
      <w:r w:rsidR="001001A5" w:rsidRPr="003635BF">
        <w:rPr>
          <w:rFonts w:cstheme="minorHAnsi"/>
          <w:lang w:val="en-US"/>
        </w:rPr>
        <w:t xml:space="preserve"> time-related costs of having children </w:t>
      </w:r>
      <w:r w:rsidR="00B95174" w:rsidRPr="007E15F6">
        <w:rPr>
          <w:rFonts w:cstheme="minorHAnsi"/>
          <w:noProof/>
        </w:rPr>
        <w:t xml:space="preserve">(Kelly, 2021; Gauthier, </w:t>
      </w:r>
      <w:r w:rsidR="00B95174" w:rsidRPr="007E15F6">
        <w:rPr>
          <w:rFonts w:cstheme="minorHAnsi"/>
          <w:i/>
          <w:iCs/>
          <w:noProof/>
        </w:rPr>
        <w:t>et al</w:t>
      </w:r>
      <w:r w:rsidR="00B95174" w:rsidRPr="007E15F6">
        <w:rPr>
          <w:rFonts w:cstheme="minorHAnsi"/>
          <w:noProof/>
        </w:rPr>
        <w:t>., 2021)</w:t>
      </w:r>
      <w:r w:rsidR="00E86C96">
        <w:rPr>
          <w:rFonts w:cstheme="minorHAnsi"/>
          <w:lang w:val="en-US"/>
        </w:rPr>
        <w:t xml:space="preserve">. Highly educated parents have been found to devote more time to </w:t>
      </w:r>
      <w:r w:rsidR="009F7190">
        <w:rPr>
          <w:rFonts w:cstheme="minorHAnsi"/>
          <w:lang w:val="en-US"/>
        </w:rPr>
        <w:t>child care</w:t>
      </w:r>
      <w:r w:rsidR="00E86C96">
        <w:rPr>
          <w:rFonts w:cstheme="minorHAnsi"/>
          <w:lang w:val="en-US"/>
        </w:rPr>
        <w:t>, particularly engaging in interactive and educational activities</w:t>
      </w:r>
      <w:r w:rsidR="00DE681D">
        <w:rPr>
          <w:rFonts w:cstheme="minorHAnsi"/>
          <w:lang w:val="en-US"/>
        </w:rPr>
        <w:t xml:space="preserve">, and this pattern is particularly pronounced for women </w:t>
      </w:r>
      <w:r w:rsidR="00B95174" w:rsidRPr="007E15F6">
        <w:rPr>
          <w:rFonts w:cstheme="minorHAnsi"/>
          <w:noProof/>
        </w:rPr>
        <w:t>(Craig, 2006)</w:t>
      </w:r>
      <w:r w:rsidR="00E86C96">
        <w:rPr>
          <w:rFonts w:cstheme="minorHAnsi"/>
          <w:lang w:val="en-US"/>
        </w:rPr>
        <w:t>.</w:t>
      </w:r>
    </w:p>
    <w:p w14:paraId="17E79895" w14:textId="456D7DC1" w:rsidR="002B0CA7" w:rsidRDefault="002B0CA7" w:rsidP="00BC5105">
      <w:pPr>
        <w:pStyle w:val="Heading2"/>
        <w:spacing w:line="276" w:lineRule="auto"/>
        <w:rPr>
          <w:lang w:val="en-US"/>
        </w:rPr>
      </w:pPr>
      <w:bookmarkStart w:id="42" w:name="_Toc87454605"/>
      <w:bookmarkStart w:id="43" w:name="_Toc98404953"/>
      <w:r>
        <w:rPr>
          <w:lang w:val="en-US"/>
        </w:rPr>
        <w:t>Economic factors</w:t>
      </w:r>
      <w:bookmarkEnd w:id="42"/>
      <w:bookmarkEnd w:id="43"/>
    </w:p>
    <w:p w14:paraId="2D67DEAC" w14:textId="72BB5638" w:rsidR="001001A5" w:rsidRPr="00B3513B" w:rsidRDefault="001001A5" w:rsidP="00BC5105">
      <w:pPr>
        <w:spacing w:line="276" w:lineRule="auto"/>
        <w:rPr>
          <w:i/>
          <w:iCs/>
          <w:lang w:val="en-US"/>
        </w:rPr>
      </w:pPr>
      <w:r w:rsidRPr="00B3513B">
        <w:rPr>
          <w:i/>
          <w:iCs/>
          <w:lang w:val="en-US"/>
        </w:rPr>
        <w:t>Education, employment and income</w:t>
      </w:r>
    </w:p>
    <w:p w14:paraId="164D68BD" w14:textId="59A11440" w:rsidR="00E60DE0" w:rsidRDefault="001001A5" w:rsidP="00BC5105">
      <w:pPr>
        <w:spacing w:line="276" w:lineRule="auto"/>
      </w:pPr>
      <w:r w:rsidRPr="00B3513B">
        <w:t>Education, employment and income</w:t>
      </w:r>
      <w:r w:rsidR="003A1A83">
        <w:t>,</w:t>
      </w:r>
      <w:r w:rsidRPr="00B3513B">
        <w:t xml:space="preserve"> </w:t>
      </w:r>
      <w:r w:rsidR="004065EF">
        <w:t xml:space="preserve">and broader economic factors </w:t>
      </w:r>
      <w:r w:rsidR="00E60DE0">
        <w:t xml:space="preserve">are important influences on fertility and are interrelated with the opportunity costs of children. </w:t>
      </w:r>
    </w:p>
    <w:p w14:paraId="2CA8BCBB" w14:textId="22ADD1F2" w:rsidR="004065EF" w:rsidRPr="0054424C" w:rsidRDefault="001001A5" w:rsidP="00BC5105">
      <w:pPr>
        <w:spacing w:line="276" w:lineRule="auto"/>
        <w:jc w:val="both"/>
      </w:pPr>
      <w:r>
        <w:t xml:space="preserve">Increased education participation, especially by women, leads to longer time spent in education and </w:t>
      </w:r>
      <w:r w:rsidR="003A1A83">
        <w:t xml:space="preserve">greater </w:t>
      </w:r>
      <w:r>
        <w:t>future economic opportunities</w:t>
      </w:r>
      <w:r w:rsidR="0092253A">
        <w:t xml:space="preserve">; both </w:t>
      </w:r>
      <w:r w:rsidR="003A1A83">
        <w:t xml:space="preserve">of </w:t>
      </w:r>
      <w:r w:rsidR="0092253A">
        <w:t xml:space="preserve">which are </w:t>
      </w:r>
      <w:r w:rsidR="006E301C">
        <w:t xml:space="preserve">generally </w:t>
      </w:r>
      <w:r w:rsidR="0092253A">
        <w:t>associated with lower fertility</w:t>
      </w:r>
      <w:r w:rsidR="00E60DE0">
        <w:t>.</w:t>
      </w:r>
      <w:r w:rsidR="00E60DE0" w:rsidRPr="003635BF">
        <w:rPr>
          <w:rFonts w:cstheme="minorHAnsi"/>
        </w:rPr>
        <w:t xml:space="preserve"> </w:t>
      </w:r>
      <w:r w:rsidR="006E301C">
        <w:rPr>
          <w:rFonts w:cstheme="minorHAnsi"/>
        </w:rPr>
        <w:t>The link between education and fertility</w:t>
      </w:r>
      <w:r w:rsidR="008A350F">
        <w:rPr>
          <w:rFonts w:cstheme="minorHAnsi"/>
        </w:rPr>
        <w:t xml:space="preserve"> outcomes</w:t>
      </w:r>
      <w:r w:rsidR="006E301C">
        <w:rPr>
          <w:rFonts w:cstheme="minorHAnsi"/>
        </w:rPr>
        <w:t xml:space="preserve"> is complex and varies across social contexts (Merz &amp; Liefbroer 2017). </w:t>
      </w:r>
      <w:r w:rsidR="00E60DE0">
        <w:rPr>
          <w:rFonts w:cstheme="minorHAnsi"/>
        </w:rPr>
        <w:t>H</w:t>
      </w:r>
      <w:r w:rsidR="00E60DE0" w:rsidRPr="003635BF">
        <w:rPr>
          <w:rFonts w:cstheme="minorHAnsi"/>
        </w:rPr>
        <w:t>igher-educated women face an increased opportunity-cost when having children as a consequence of their higher earnings capacity</w:t>
      </w:r>
      <w:r w:rsidR="00E60DE0" w:rsidRPr="00E60DE0">
        <w:rPr>
          <w:rFonts w:cstheme="minorHAnsi"/>
        </w:rPr>
        <w:t xml:space="preserve"> </w:t>
      </w:r>
      <w:sdt>
        <w:sdtPr>
          <w:rPr>
            <w:rFonts w:cstheme="minorHAnsi"/>
          </w:rPr>
          <w:id w:val="-447541138"/>
          <w:citation/>
        </w:sdtPr>
        <w:sdtEndPr/>
        <w:sdtContent>
          <w:r w:rsidR="00E60DE0">
            <w:rPr>
              <w:rFonts w:cstheme="minorHAnsi"/>
            </w:rPr>
            <w:fldChar w:fldCharType="begin"/>
          </w:r>
          <w:r w:rsidR="00E60DE0">
            <w:rPr>
              <w:rFonts w:cstheme="minorHAnsi"/>
            </w:rPr>
            <w:instrText xml:space="preserve">CITATION Bec81 \t  \l 3081 </w:instrText>
          </w:r>
          <w:r w:rsidR="00E60DE0">
            <w:rPr>
              <w:rFonts w:cstheme="minorHAnsi"/>
            </w:rPr>
            <w:fldChar w:fldCharType="separate"/>
          </w:r>
          <w:r w:rsidR="00BE2DD4" w:rsidRPr="001244DA">
            <w:rPr>
              <w:rFonts w:cstheme="minorHAnsi"/>
              <w:noProof/>
            </w:rPr>
            <w:t>(Becker, 1981)</w:t>
          </w:r>
          <w:r w:rsidR="00E60DE0">
            <w:rPr>
              <w:rFonts w:cstheme="minorHAnsi"/>
            </w:rPr>
            <w:fldChar w:fldCharType="end"/>
          </w:r>
        </w:sdtContent>
      </w:sdt>
      <w:r w:rsidR="00E60DE0" w:rsidRPr="003635BF">
        <w:rPr>
          <w:rFonts w:cstheme="minorHAnsi"/>
        </w:rPr>
        <w:t>. Additionally, highly</w:t>
      </w:r>
      <w:r w:rsidR="003A1A83">
        <w:rPr>
          <w:rFonts w:cstheme="minorHAnsi"/>
        </w:rPr>
        <w:t>-</w:t>
      </w:r>
      <w:r w:rsidR="00E60DE0" w:rsidRPr="003635BF">
        <w:rPr>
          <w:rFonts w:cstheme="minorHAnsi"/>
        </w:rPr>
        <w:t xml:space="preserve">educated women tend to have </w:t>
      </w:r>
      <w:r w:rsidR="00E60DE0">
        <w:rPr>
          <w:rFonts w:cstheme="minorHAnsi"/>
        </w:rPr>
        <w:t>a higher labour force participation</w:t>
      </w:r>
      <w:r w:rsidR="00E60DE0" w:rsidRPr="003635BF">
        <w:rPr>
          <w:rFonts w:cstheme="minorHAnsi"/>
        </w:rPr>
        <w:t xml:space="preserve"> rate and therefore encounter more difficulties in balancing worker and mother roles. </w:t>
      </w:r>
      <w:r w:rsidR="00E60DE0">
        <w:rPr>
          <w:rFonts w:cstheme="minorHAnsi"/>
        </w:rPr>
        <w:t xml:space="preserve"> However, t</w:t>
      </w:r>
      <w:r w:rsidR="004065EF">
        <w:t xml:space="preserve">here are also some theoretical arguments in favour of a positive relationship between education and fertility. For instance, </w:t>
      </w:r>
      <w:r w:rsidR="006368EB">
        <w:t>higher</w:t>
      </w:r>
      <w:r w:rsidR="003A1A83">
        <w:t>-</w:t>
      </w:r>
      <w:r w:rsidR="004065EF">
        <w:t xml:space="preserve">educated women have better-paid jobs and, therefore, can more easily provide for children compared to women with lower education </w:t>
      </w:r>
      <w:sdt>
        <w:sdtPr>
          <w:id w:val="1097130640"/>
          <w:citation/>
        </w:sdtPr>
        <w:sdtEndPr/>
        <w:sdtContent>
          <w:r w:rsidR="004065EF">
            <w:fldChar w:fldCharType="begin"/>
          </w:r>
          <w:r w:rsidR="00E60DE0">
            <w:instrText xml:space="preserve">CITATION Bec811 \t  \l 3081 </w:instrText>
          </w:r>
          <w:r w:rsidR="004065EF">
            <w:fldChar w:fldCharType="separate"/>
          </w:r>
          <w:r w:rsidR="00BE2DD4">
            <w:rPr>
              <w:noProof/>
            </w:rPr>
            <w:t>(Becker, 1981)</w:t>
          </w:r>
          <w:r w:rsidR="004065EF">
            <w:fldChar w:fldCharType="end"/>
          </w:r>
        </w:sdtContent>
      </w:sdt>
      <w:r w:rsidR="004065EF">
        <w:t xml:space="preserve">. </w:t>
      </w:r>
      <w:r w:rsidR="006368EB">
        <w:t>Higher</w:t>
      </w:r>
      <w:r w:rsidR="003A1A83">
        <w:t>-</w:t>
      </w:r>
      <w:r w:rsidR="004065EF">
        <w:t xml:space="preserve">educated women are also more likely to </w:t>
      </w:r>
      <w:r w:rsidR="00581A91">
        <w:t xml:space="preserve">partner with someone with </w:t>
      </w:r>
      <w:r w:rsidR="006368EB">
        <w:t>higher</w:t>
      </w:r>
      <w:r w:rsidR="00581A91">
        <w:t xml:space="preserve"> education</w:t>
      </w:r>
      <w:r w:rsidR="004065EF">
        <w:t xml:space="preserve">, which can in turn increase their overall household income </w:t>
      </w:r>
      <w:sdt>
        <w:sdtPr>
          <w:id w:val="-1927567166"/>
          <w:citation/>
        </w:sdtPr>
        <w:sdtEndPr/>
        <w:sdtContent>
          <w:r w:rsidR="004065EF">
            <w:fldChar w:fldCharType="begin"/>
          </w:r>
          <w:r w:rsidR="004065EF">
            <w:instrText xml:space="preserve"> CITATION Qia16 \l 3081 </w:instrText>
          </w:r>
          <w:r w:rsidR="004065EF">
            <w:fldChar w:fldCharType="separate"/>
          </w:r>
          <w:r w:rsidR="00BE2DD4">
            <w:rPr>
              <w:noProof/>
            </w:rPr>
            <w:t>(Qian, 2016)</w:t>
          </w:r>
          <w:r w:rsidR="004065EF">
            <w:fldChar w:fldCharType="end"/>
          </w:r>
        </w:sdtContent>
      </w:sdt>
      <w:r w:rsidR="004065EF">
        <w:t xml:space="preserve">. While these theoretical arguments are in favour of a positive relationship between education and fertility, empirical evidence suggests that a clear </w:t>
      </w:r>
      <w:r w:rsidR="0092253A">
        <w:t xml:space="preserve">negative </w:t>
      </w:r>
      <w:r w:rsidR="004065EF">
        <w:t xml:space="preserve">educational gradient in fertility exists in </w:t>
      </w:r>
      <w:r w:rsidR="006E301C">
        <w:t>most</w:t>
      </w:r>
      <w:r w:rsidR="004065EF">
        <w:t xml:space="preserve"> </w:t>
      </w:r>
      <w:r w:rsidR="003A1A83">
        <w:t xml:space="preserve">high-income </w:t>
      </w:r>
      <w:r w:rsidR="004065EF">
        <w:t>countries</w:t>
      </w:r>
      <w:r w:rsidR="00945D4B">
        <w:t xml:space="preserve">, </w:t>
      </w:r>
      <w:r w:rsidR="006E301C">
        <w:t xml:space="preserve">although the gradient varies across different countries (Sobotka, </w:t>
      </w:r>
      <w:r w:rsidR="006E301C" w:rsidRPr="006E301C">
        <w:rPr>
          <w:i/>
          <w:iCs/>
        </w:rPr>
        <w:t>et al.</w:t>
      </w:r>
      <w:r w:rsidR="006E301C">
        <w:t>, 2017)</w:t>
      </w:r>
      <w:r w:rsidR="004065EF">
        <w:t>.</w:t>
      </w:r>
    </w:p>
    <w:p w14:paraId="6DD305BA" w14:textId="4D1AC84B" w:rsidR="004065EF" w:rsidRPr="003635BF" w:rsidRDefault="004065EF" w:rsidP="00BC5105">
      <w:pPr>
        <w:spacing w:line="276" w:lineRule="auto"/>
        <w:jc w:val="both"/>
        <w:rPr>
          <w:rFonts w:cstheme="minorHAnsi"/>
        </w:rPr>
      </w:pPr>
      <w:r w:rsidRPr="003635BF">
        <w:rPr>
          <w:rFonts w:cstheme="minorHAnsi"/>
        </w:rPr>
        <w:t>Australian research confirms the salience of education for fertility and family formation processes</w:t>
      </w:r>
      <w:r w:rsidR="005169AA">
        <w:rPr>
          <w:rFonts w:cstheme="minorHAnsi"/>
        </w:rPr>
        <w:t>,</w:t>
      </w:r>
      <w:r w:rsidR="0092253A">
        <w:rPr>
          <w:rFonts w:cstheme="minorHAnsi"/>
        </w:rPr>
        <w:t xml:space="preserve"> with the </w:t>
      </w:r>
      <w:r w:rsidRPr="003635BF">
        <w:rPr>
          <w:rFonts w:cstheme="minorHAnsi"/>
        </w:rPr>
        <w:t xml:space="preserve">widespread increase in educational attainment </w:t>
      </w:r>
      <w:r w:rsidR="0092253A">
        <w:rPr>
          <w:rFonts w:cstheme="minorHAnsi"/>
        </w:rPr>
        <w:t>strongly associated with a</w:t>
      </w:r>
      <w:r w:rsidRPr="003635BF">
        <w:rPr>
          <w:rFonts w:cstheme="minorHAnsi"/>
        </w:rPr>
        <w:t xml:space="preserve"> corresponding decrease in completed fertility </w:t>
      </w:r>
      <w:sdt>
        <w:sdtPr>
          <w:rPr>
            <w:rFonts w:cstheme="minorHAnsi"/>
          </w:rPr>
          <w:id w:val="1972087233"/>
          <w:citation/>
        </w:sdtPr>
        <w:sdtEndPr/>
        <w:sdtContent>
          <w:r>
            <w:rPr>
              <w:rFonts w:cstheme="minorHAnsi"/>
            </w:rPr>
            <w:fldChar w:fldCharType="begin"/>
          </w:r>
          <w:r>
            <w:rPr>
              <w:rFonts w:cstheme="minorHAnsi"/>
            </w:rPr>
            <w:instrText xml:space="preserve">CITATION Gra19 \t  \l 3081 </w:instrText>
          </w:r>
          <w:r>
            <w:rPr>
              <w:rFonts w:cstheme="minorHAnsi"/>
            </w:rPr>
            <w:fldChar w:fldCharType="separate"/>
          </w:r>
          <w:r w:rsidR="00BE2DD4" w:rsidRPr="00BC70D8">
            <w:rPr>
              <w:rFonts w:cstheme="minorHAnsi"/>
              <w:noProof/>
            </w:rPr>
            <w:t>(Gray &amp; Evans, 2019)</w:t>
          </w:r>
          <w:r>
            <w:rPr>
              <w:rFonts w:cstheme="minorHAnsi"/>
            </w:rPr>
            <w:fldChar w:fldCharType="end"/>
          </w:r>
        </w:sdtContent>
      </w:sdt>
      <w:r>
        <w:rPr>
          <w:rFonts w:cstheme="minorHAnsi"/>
        </w:rPr>
        <w:t xml:space="preserve">. </w:t>
      </w:r>
      <w:r w:rsidR="006368EB">
        <w:rPr>
          <w:rFonts w:cstheme="minorHAnsi"/>
        </w:rPr>
        <w:t>F</w:t>
      </w:r>
      <w:r w:rsidRPr="003635BF">
        <w:rPr>
          <w:rFonts w:cstheme="minorHAnsi"/>
        </w:rPr>
        <w:t xml:space="preserve">or </w:t>
      </w:r>
      <w:r w:rsidR="0092253A">
        <w:rPr>
          <w:rFonts w:cstheme="minorHAnsi"/>
        </w:rPr>
        <w:t>women born</w:t>
      </w:r>
      <w:r w:rsidRPr="003635BF">
        <w:rPr>
          <w:rFonts w:cstheme="minorHAnsi"/>
        </w:rPr>
        <w:t xml:space="preserve"> between 1940 and 1965</w:t>
      </w:r>
      <w:r w:rsidR="00187434">
        <w:rPr>
          <w:rFonts w:cstheme="minorHAnsi"/>
        </w:rPr>
        <w:t>,</w:t>
      </w:r>
      <w:r w:rsidRPr="003635BF">
        <w:rPr>
          <w:rFonts w:cstheme="minorHAnsi"/>
        </w:rPr>
        <w:t xml:space="preserve"> the decline in </w:t>
      </w:r>
      <w:r w:rsidR="0092253A">
        <w:rPr>
          <w:rFonts w:cstheme="minorHAnsi"/>
        </w:rPr>
        <w:t xml:space="preserve">their </w:t>
      </w:r>
      <w:r w:rsidRPr="003635BF">
        <w:rPr>
          <w:rFonts w:cstheme="minorHAnsi"/>
        </w:rPr>
        <w:t xml:space="preserve">completed fertility was mainly driven by a general decline in fertility </w:t>
      </w:r>
      <w:r w:rsidR="00C861DB">
        <w:rPr>
          <w:rFonts w:cstheme="minorHAnsi"/>
        </w:rPr>
        <w:t>among women at all educational levels</w:t>
      </w:r>
      <w:r w:rsidR="004D15A8">
        <w:rPr>
          <w:rFonts w:cstheme="minorHAnsi"/>
        </w:rPr>
        <w:t>.</w:t>
      </w:r>
      <w:r w:rsidRPr="003635BF">
        <w:rPr>
          <w:rFonts w:cstheme="minorHAnsi"/>
        </w:rPr>
        <w:t xml:space="preserve"> </w:t>
      </w:r>
      <w:r w:rsidR="00581A91">
        <w:rPr>
          <w:rFonts w:cstheme="minorHAnsi"/>
        </w:rPr>
        <w:t>For</w:t>
      </w:r>
      <w:r w:rsidR="004D15A8">
        <w:rPr>
          <w:rFonts w:cstheme="minorHAnsi"/>
        </w:rPr>
        <w:t xml:space="preserve"> more recent cohorts</w:t>
      </w:r>
      <w:r w:rsidR="00C861DB">
        <w:rPr>
          <w:rFonts w:cstheme="minorHAnsi"/>
        </w:rPr>
        <w:t xml:space="preserve"> however</w:t>
      </w:r>
      <w:r w:rsidRPr="003635BF">
        <w:rPr>
          <w:rFonts w:cstheme="minorHAnsi"/>
        </w:rPr>
        <w:t xml:space="preserve">, further reductions in fertility were </w:t>
      </w:r>
      <w:r w:rsidR="00272163">
        <w:rPr>
          <w:rFonts w:cstheme="minorHAnsi"/>
        </w:rPr>
        <w:t>primari</w:t>
      </w:r>
      <w:r w:rsidR="00272163" w:rsidRPr="003635BF">
        <w:rPr>
          <w:rFonts w:cstheme="minorHAnsi"/>
        </w:rPr>
        <w:t xml:space="preserve">ly </w:t>
      </w:r>
      <w:r w:rsidRPr="003635BF">
        <w:rPr>
          <w:rFonts w:cstheme="minorHAnsi"/>
        </w:rPr>
        <w:t xml:space="preserve">driven by the increasing share </w:t>
      </w:r>
      <w:r w:rsidR="006368EB">
        <w:rPr>
          <w:rFonts w:cstheme="minorHAnsi"/>
        </w:rPr>
        <w:t xml:space="preserve">of </w:t>
      </w:r>
      <w:r w:rsidRPr="003635BF">
        <w:rPr>
          <w:rFonts w:cstheme="minorHAnsi"/>
        </w:rPr>
        <w:t>highly</w:t>
      </w:r>
      <w:r w:rsidR="006368EB">
        <w:rPr>
          <w:rFonts w:cstheme="minorHAnsi"/>
        </w:rPr>
        <w:t xml:space="preserve">-educated </w:t>
      </w:r>
      <w:r w:rsidRPr="003635BF">
        <w:rPr>
          <w:rFonts w:cstheme="minorHAnsi"/>
        </w:rPr>
        <w:t xml:space="preserve">women, </w:t>
      </w:r>
      <w:r w:rsidR="006368EB">
        <w:rPr>
          <w:rFonts w:cstheme="minorHAnsi"/>
        </w:rPr>
        <w:t>who tend to have</w:t>
      </w:r>
      <w:r w:rsidRPr="003635BF">
        <w:rPr>
          <w:rFonts w:cstheme="minorHAnsi"/>
        </w:rPr>
        <w:t xml:space="preserve"> </w:t>
      </w:r>
      <w:r w:rsidR="004D15A8">
        <w:rPr>
          <w:rFonts w:cstheme="minorHAnsi"/>
        </w:rPr>
        <w:t xml:space="preserve">fewer children </w:t>
      </w:r>
      <w:r w:rsidR="006347FD">
        <w:rPr>
          <w:rFonts w:cstheme="minorHAnsi"/>
          <w:noProof/>
        </w:rPr>
        <w:t>(Lazzari, et al. 2021</w:t>
      </w:r>
      <w:r w:rsidR="00FF0686">
        <w:rPr>
          <w:rFonts w:cstheme="minorHAnsi"/>
          <w:noProof/>
        </w:rPr>
        <w:t>b</w:t>
      </w:r>
      <w:r w:rsidR="006347FD">
        <w:rPr>
          <w:rFonts w:cstheme="minorHAnsi"/>
          <w:noProof/>
        </w:rPr>
        <w:t>)</w:t>
      </w:r>
      <w:r>
        <w:rPr>
          <w:rFonts w:cstheme="minorHAnsi"/>
        </w:rPr>
        <w:t>.</w:t>
      </w:r>
      <w:r w:rsidRPr="003635BF">
        <w:rPr>
          <w:rFonts w:cstheme="minorHAnsi"/>
        </w:rPr>
        <w:t xml:space="preserve"> </w:t>
      </w:r>
      <w:r w:rsidR="006368EB">
        <w:rPr>
          <w:rFonts w:cstheme="minorHAnsi"/>
        </w:rPr>
        <w:t>While t</w:t>
      </w:r>
      <w:r w:rsidRPr="003635BF">
        <w:rPr>
          <w:rFonts w:cstheme="minorHAnsi"/>
        </w:rPr>
        <w:t>ertiary-educated women born in the late 1960s and early 1970s are still appreciably more likely to remain childless and to have a lower completed family size than women with lower education, the gap between the two groups has significantly narrowed. In</w:t>
      </w:r>
      <w:r w:rsidR="00FB4E6A">
        <w:rPr>
          <w:rFonts w:cstheme="minorHAnsi"/>
        </w:rPr>
        <w:t>deed, childlessness has stabilis</w:t>
      </w:r>
      <w:r w:rsidRPr="003635BF">
        <w:rPr>
          <w:rFonts w:cstheme="minorHAnsi"/>
        </w:rPr>
        <w:t>ed among tertiary</w:t>
      </w:r>
      <w:r w:rsidR="006368EB">
        <w:rPr>
          <w:rFonts w:cstheme="minorHAnsi"/>
        </w:rPr>
        <w:t>-</w:t>
      </w:r>
      <w:r w:rsidRPr="003635BF">
        <w:rPr>
          <w:rFonts w:cstheme="minorHAnsi"/>
        </w:rPr>
        <w:t xml:space="preserve">educated women, while it </w:t>
      </w:r>
      <w:r w:rsidR="006368EB">
        <w:rPr>
          <w:rFonts w:cstheme="minorHAnsi"/>
        </w:rPr>
        <w:t xml:space="preserve">has </w:t>
      </w:r>
      <w:r w:rsidRPr="003635BF">
        <w:rPr>
          <w:rFonts w:cstheme="minorHAnsi"/>
        </w:rPr>
        <w:t>kept rising at a faster pace among women</w:t>
      </w:r>
      <w:r w:rsidR="00FB4E6A">
        <w:rPr>
          <w:rFonts w:cstheme="minorHAnsi"/>
        </w:rPr>
        <w:t xml:space="preserve"> with </w:t>
      </w:r>
      <w:r w:rsidR="002D54F2">
        <w:rPr>
          <w:rFonts w:cstheme="minorHAnsi"/>
        </w:rPr>
        <w:t xml:space="preserve">very low </w:t>
      </w:r>
      <w:r w:rsidR="00FB4E6A">
        <w:rPr>
          <w:rFonts w:cstheme="minorHAnsi"/>
        </w:rPr>
        <w:t>levels of education</w:t>
      </w:r>
      <w:r w:rsidR="002D54F2">
        <w:rPr>
          <w:rFonts w:cstheme="minorHAnsi"/>
        </w:rPr>
        <w:t xml:space="preserve">. This is partly due to the changing composition of women within education groups. In the past having Year 11 or below education was more common, </w:t>
      </w:r>
      <w:r w:rsidR="002D54F2">
        <w:rPr>
          <w:rFonts w:cstheme="minorHAnsi"/>
        </w:rPr>
        <w:lastRenderedPageBreak/>
        <w:t>whereas now the women with Year 11 or below education have become a more select</w:t>
      </w:r>
      <w:r w:rsidR="003A1A83">
        <w:rPr>
          <w:rFonts w:cstheme="minorHAnsi"/>
        </w:rPr>
        <w:t>, and smaller,</w:t>
      </w:r>
      <w:r w:rsidR="002D54F2">
        <w:rPr>
          <w:rFonts w:cstheme="minorHAnsi"/>
        </w:rPr>
        <w:t xml:space="preserve"> </w:t>
      </w:r>
      <w:r w:rsidR="003A1A83">
        <w:rPr>
          <w:rFonts w:cstheme="minorHAnsi"/>
        </w:rPr>
        <w:t>part</w:t>
      </w:r>
      <w:r w:rsidR="002D54F2">
        <w:rPr>
          <w:rFonts w:cstheme="minorHAnsi"/>
        </w:rPr>
        <w:t xml:space="preserve"> of the population. Similarly while university educated women may have been a select group of women in the past, they have become increasingly common </w:t>
      </w:r>
      <w:r w:rsidR="001244DA" w:rsidRPr="001244DA">
        <w:rPr>
          <w:rFonts w:cstheme="minorHAnsi"/>
          <w:noProof/>
        </w:rPr>
        <w:t>(Gray &amp; Evans, 2019)</w:t>
      </w:r>
      <w:r w:rsidR="002D54F2">
        <w:rPr>
          <w:rFonts w:cstheme="minorHAnsi"/>
        </w:rPr>
        <w:t>.</w:t>
      </w:r>
    </w:p>
    <w:p w14:paraId="538F901A" w14:textId="6D6E7E4E" w:rsidR="004065EF" w:rsidRDefault="004065EF" w:rsidP="00BC5105">
      <w:pPr>
        <w:spacing w:line="276" w:lineRule="auto"/>
        <w:jc w:val="both"/>
        <w:rPr>
          <w:rFonts w:cstheme="minorHAnsi"/>
        </w:rPr>
      </w:pPr>
      <w:r w:rsidRPr="003635BF">
        <w:rPr>
          <w:rFonts w:cstheme="minorHAnsi"/>
        </w:rPr>
        <w:t xml:space="preserve">Educational attainment </w:t>
      </w:r>
      <w:r w:rsidR="0092253A">
        <w:rPr>
          <w:rFonts w:cstheme="minorHAnsi"/>
        </w:rPr>
        <w:t xml:space="preserve">alone </w:t>
      </w:r>
      <w:r w:rsidRPr="003635BF">
        <w:rPr>
          <w:rFonts w:cstheme="minorHAnsi"/>
        </w:rPr>
        <w:t>does not cover the full range of education-related effects. Indeed, the field of education may also serve as an important indicator of completed family size among tertiary educated women</w:t>
      </w:r>
      <w:r>
        <w:rPr>
          <w:rFonts w:cstheme="minorHAnsi"/>
        </w:rPr>
        <w:t xml:space="preserve"> </w:t>
      </w:r>
      <w:r w:rsidR="00675270" w:rsidRPr="007E15F6">
        <w:rPr>
          <w:rFonts w:cstheme="minorHAnsi"/>
          <w:noProof/>
        </w:rPr>
        <w:t xml:space="preserve">(Hoem, </w:t>
      </w:r>
      <w:r w:rsidR="00675270" w:rsidRPr="007E15F6">
        <w:rPr>
          <w:rFonts w:cstheme="minorHAnsi"/>
          <w:i/>
          <w:iCs/>
          <w:noProof/>
        </w:rPr>
        <w:t>et al</w:t>
      </w:r>
      <w:r w:rsidR="00675270">
        <w:rPr>
          <w:rFonts w:cstheme="minorHAnsi"/>
          <w:i/>
          <w:iCs/>
          <w:noProof/>
        </w:rPr>
        <w:t>.</w:t>
      </w:r>
      <w:r w:rsidR="00675270" w:rsidRPr="007E15F6">
        <w:rPr>
          <w:rFonts w:cstheme="minorHAnsi"/>
          <w:noProof/>
        </w:rPr>
        <w:t>, 2006)</w:t>
      </w:r>
      <w:r w:rsidRPr="003635BF">
        <w:rPr>
          <w:rFonts w:cstheme="minorHAnsi"/>
        </w:rPr>
        <w:t>. Research conducted in Europe and in the United States has shown how women educated in teaching and health are less likely to remain childless than women educated in other fields of study, suggesting that specific professions may be more or less conducive to childbearing, regardless of educational attainment</w:t>
      </w:r>
      <w:r>
        <w:rPr>
          <w:rFonts w:cstheme="minorHAnsi"/>
        </w:rPr>
        <w:t xml:space="preserve"> </w:t>
      </w:r>
      <w:r w:rsidR="00675270" w:rsidRPr="007E15F6">
        <w:rPr>
          <w:rFonts w:cstheme="minorHAnsi"/>
          <w:noProof/>
        </w:rPr>
        <w:t>(Bagavos, 2010; Begall &amp; Mills, 2013; Michelmore &amp; Musick, 2014)</w:t>
      </w:r>
      <w:r w:rsidRPr="003635BF">
        <w:rPr>
          <w:rFonts w:cstheme="minorHAnsi"/>
        </w:rPr>
        <w:t xml:space="preserve">. While it is true that women with a stronger preference for having children may choose specific career paths that are more suitable for having a family, the work environment itself may also have a direct influence on the decision to have children, depending on how it affects the work-family </w:t>
      </w:r>
      <w:r>
        <w:rPr>
          <w:rFonts w:cstheme="minorHAnsi"/>
        </w:rPr>
        <w:t>reconciliation</w:t>
      </w:r>
      <w:r w:rsidRPr="003635BF">
        <w:rPr>
          <w:rFonts w:cstheme="minorHAnsi"/>
        </w:rPr>
        <w:t xml:space="preserve">. </w:t>
      </w:r>
    </w:p>
    <w:p w14:paraId="0BB8A7EC" w14:textId="7238F632" w:rsidR="00EA1A9D" w:rsidRPr="00B3513B" w:rsidRDefault="00EA1A9D" w:rsidP="00BC5105">
      <w:pPr>
        <w:spacing w:line="276" w:lineRule="auto"/>
        <w:rPr>
          <w:i/>
          <w:iCs/>
        </w:rPr>
      </w:pPr>
      <w:r w:rsidRPr="00B3513B">
        <w:rPr>
          <w:i/>
          <w:iCs/>
        </w:rPr>
        <w:t>Economic and labour market uncertainty and unaffordable housing</w:t>
      </w:r>
    </w:p>
    <w:p w14:paraId="460EAF9F" w14:textId="73D56711" w:rsidR="00EA1A9D" w:rsidRDefault="00EA1A9D" w:rsidP="00BC5105">
      <w:pPr>
        <w:spacing w:line="276" w:lineRule="auto"/>
        <w:jc w:val="both"/>
        <w:rPr>
          <w:lang w:val="en-US"/>
        </w:rPr>
      </w:pPr>
      <w:r w:rsidRPr="00EA1A9D">
        <w:rPr>
          <w:lang w:val="en-US"/>
        </w:rPr>
        <w:t xml:space="preserve">The general state of the economy and labour market has a </w:t>
      </w:r>
      <w:r w:rsidR="00272163">
        <w:rPr>
          <w:lang w:val="en-US"/>
        </w:rPr>
        <w:t>significant</w:t>
      </w:r>
      <w:r w:rsidRPr="00EA1A9D">
        <w:rPr>
          <w:lang w:val="en-US"/>
        </w:rPr>
        <w:t xml:space="preserve"> impact on people’s decisions around childbearing, with a well-established pro-cyclical relationship (Kelly, 2021). During periods of steady economic growth people’s confidence about the future increases and they feel more certain about having children, and conversely during periods of economic downturn and high unemployment, </w:t>
      </w:r>
      <w:r w:rsidR="000D0B76" w:rsidRPr="00EA1A9D">
        <w:rPr>
          <w:lang w:val="en-US"/>
        </w:rPr>
        <w:t>fertility</w:t>
      </w:r>
      <w:r w:rsidRPr="00EA1A9D">
        <w:rPr>
          <w:lang w:val="en-US"/>
        </w:rPr>
        <w:t xml:space="preserve"> may be depressed as people delay or postpone childbearing due to feelings of insecurity about </w:t>
      </w:r>
      <w:r w:rsidR="000D0B76">
        <w:rPr>
          <w:lang w:val="en-US"/>
        </w:rPr>
        <w:t xml:space="preserve">future </w:t>
      </w:r>
      <w:r w:rsidRPr="00EA1A9D">
        <w:rPr>
          <w:lang w:val="en-US"/>
        </w:rPr>
        <w:t>prospects (Adsera, 2004).</w:t>
      </w:r>
      <w:r w:rsidR="000D0B76">
        <w:rPr>
          <w:lang w:val="en-US"/>
        </w:rPr>
        <w:t xml:space="preserve"> </w:t>
      </w:r>
      <w:r w:rsidR="007A5035">
        <w:rPr>
          <w:lang w:val="en-US"/>
        </w:rPr>
        <w:t xml:space="preserve">The role of </w:t>
      </w:r>
      <w:r w:rsidR="00675270">
        <w:rPr>
          <w:lang w:val="en-US"/>
        </w:rPr>
        <w:t>uncertainty</w:t>
      </w:r>
      <w:r w:rsidR="007A5035">
        <w:rPr>
          <w:lang w:val="en-US"/>
        </w:rPr>
        <w:t xml:space="preserve"> in fertility decisions is becoming increasingly prominent in demographic research. </w:t>
      </w:r>
      <w:r w:rsidR="007A05F4">
        <w:rPr>
          <w:lang w:val="en-US"/>
        </w:rPr>
        <w:t xml:space="preserve">It is now widely agreed that </w:t>
      </w:r>
      <w:r w:rsidR="006F6B14">
        <w:rPr>
          <w:lang w:val="en-US"/>
        </w:rPr>
        <w:t>uncertain times have</w:t>
      </w:r>
      <w:r w:rsidR="007A05F4">
        <w:rPr>
          <w:lang w:val="en-US"/>
        </w:rPr>
        <w:t xml:space="preserve"> a dampening effect on fertility, with i</w:t>
      </w:r>
      <w:r w:rsidR="007A05F4" w:rsidRPr="007A05F4">
        <w:rPr>
          <w:lang w:val="en-US"/>
        </w:rPr>
        <w:t>ncreases in job insecurity and economic uncertainty thought to be major factors behind the fall in fertility in developed countries</w:t>
      </w:r>
      <w:r w:rsidR="006F6B14">
        <w:rPr>
          <w:lang w:val="en-US"/>
        </w:rPr>
        <w:t xml:space="preserve"> in recent times</w:t>
      </w:r>
      <w:r w:rsidR="007A05F4">
        <w:rPr>
          <w:lang w:val="en-US"/>
        </w:rPr>
        <w:t xml:space="preserve"> </w:t>
      </w:r>
      <w:r w:rsidR="006347FD">
        <w:rPr>
          <w:noProof/>
          <w:lang w:val="en-US"/>
        </w:rPr>
        <w:t>(</w:t>
      </w:r>
      <w:r w:rsidR="007A5035">
        <w:rPr>
          <w:noProof/>
          <w:lang w:val="en-US"/>
        </w:rPr>
        <w:t xml:space="preserve">Kreyenfeld, </w:t>
      </w:r>
      <w:r w:rsidR="00B95174" w:rsidRPr="00B95174">
        <w:rPr>
          <w:i/>
          <w:noProof/>
          <w:lang w:val="en-US"/>
        </w:rPr>
        <w:t>et al.,</w:t>
      </w:r>
      <w:r w:rsidR="007A5035">
        <w:rPr>
          <w:noProof/>
          <w:lang w:val="en-US"/>
        </w:rPr>
        <w:t xml:space="preserve"> 2012; </w:t>
      </w:r>
      <w:r w:rsidR="006347FD">
        <w:rPr>
          <w:noProof/>
          <w:lang w:val="en-US"/>
        </w:rPr>
        <w:t>McDonald, 2006; Mills &amp; Blossfeld, 2013; Mitchell &amp; Gray, 2007; Winter &amp; Teitelbaum, 2013)</w:t>
      </w:r>
      <w:r w:rsidR="006F6B14">
        <w:rPr>
          <w:lang w:val="en-US"/>
        </w:rPr>
        <w:t>.</w:t>
      </w:r>
    </w:p>
    <w:p w14:paraId="3FD1761A" w14:textId="3EB222FE" w:rsidR="00152D1D" w:rsidRDefault="00BE3274" w:rsidP="006C6E6D">
      <w:pPr>
        <w:pStyle w:val="chapter-para"/>
        <w:spacing w:before="0" w:beforeAutospacing="0" w:after="0" w:afterAutospacing="0" w:line="276" w:lineRule="auto"/>
        <w:textAlignment w:val="baseline"/>
        <w:rPr>
          <w:rFonts w:asciiTheme="minorHAnsi" w:eastAsiaTheme="minorHAnsi" w:hAnsiTheme="minorHAnsi" w:cstheme="minorBidi"/>
          <w:sz w:val="22"/>
          <w:szCs w:val="22"/>
          <w:lang w:val="en-US" w:eastAsia="en-US"/>
        </w:rPr>
      </w:pPr>
      <w:r w:rsidRPr="00BE3274">
        <w:rPr>
          <w:rFonts w:asciiTheme="minorHAnsi" w:eastAsiaTheme="minorHAnsi" w:hAnsiTheme="minorHAnsi" w:cstheme="minorBidi"/>
          <w:sz w:val="22"/>
          <w:szCs w:val="22"/>
          <w:lang w:val="en-US" w:eastAsia="en-US"/>
        </w:rPr>
        <w:t>Childbearing is</w:t>
      </w:r>
      <w:r w:rsidR="00792F34">
        <w:rPr>
          <w:rFonts w:asciiTheme="minorHAnsi" w:eastAsiaTheme="minorHAnsi" w:hAnsiTheme="minorHAnsi" w:cstheme="minorBidi"/>
          <w:sz w:val="22"/>
          <w:szCs w:val="22"/>
          <w:lang w:val="en-US" w:eastAsia="en-US"/>
        </w:rPr>
        <w:t xml:space="preserve"> a ‘step into an unknown future’ (Vignoli, </w:t>
      </w:r>
      <w:r w:rsidR="00B95174" w:rsidRPr="00B95174">
        <w:rPr>
          <w:rFonts w:asciiTheme="minorHAnsi" w:eastAsiaTheme="minorHAnsi" w:hAnsiTheme="minorHAnsi" w:cstheme="minorBidi"/>
          <w:i/>
          <w:sz w:val="22"/>
          <w:szCs w:val="22"/>
          <w:lang w:val="en-US" w:eastAsia="en-US"/>
        </w:rPr>
        <w:t>et al.,</w:t>
      </w:r>
      <w:r w:rsidR="00792F34">
        <w:rPr>
          <w:rFonts w:asciiTheme="minorHAnsi" w:eastAsiaTheme="minorHAnsi" w:hAnsiTheme="minorHAnsi" w:cstheme="minorBidi"/>
          <w:sz w:val="22"/>
          <w:szCs w:val="22"/>
          <w:lang w:val="en-US" w:eastAsia="en-US"/>
        </w:rPr>
        <w:t xml:space="preserve"> 2020) – it is</w:t>
      </w:r>
      <w:r w:rsidRPr="00BE3274">
        <w:rPr>
          <w:rFonts w:asciiTheme="minorHAnsi" w:eastAsiaTheme="minorHAnsi" w:hAnsiTheme="minorHAnsi" w:cstheme="minorBidi"/>
          <w:sz w:val="22"/>
          <w:szCs w:val="22"/>
          <w:lang w:val="en-US" w:eastAsia="en-US"/>
        </w:rPr>
        <w:t xml:space="preserve"> an irreversible action with long-term consequences for the parent’s resources and well-being; it is the irreversible nature of having a child </w:t>
      </w:r>
      <w:r w:rsidR="00A47FA2">
        <w:rPr>
          <w:rFonts w:asciiTheme="minorHAnsi" w:eastAsiaTheme="minorHAnsi" w:hAnsiTheme="minorHAnsi" w:cstheme="minorBidi"/>
          <w:sz w:val="22"/>
          <w:szCs w:val="22"/>
          <w:lang w:val="en-US" w:eastAsia="en-US"/>
        </w:rPr>
        <w:t>and the</w:t>
      </w:r>
      <w:r w:rsidRPr="00BE3274">
        <w:rPr>
          <w:rFonts w:asciiTheme="minorHAnsi" w:eastAsiaTheme="minorHAnsi" w:hAnsiTheme="minorHAnsi" w:cstheme="minorBidi"/>
          <w:sz w:val="22"/>
          <w:szCs w:val="22"/>
          <w:lang w:val="en-US" w:eastAsia="en-US"/>
        </w:rPr>
        <w:t xml:space="preserve"> </w:t>
      </w:r>
      <w:r w:rsidR="00A47FA2">
        <w:rPr>
          <w:rFonts w:asciiTheme="minorHAnsi" w:eastAsiaTheme="minorHAnsi" w:hAnsiTheme="minorHAnsi" w:cstheme="minorBidi"/>
          <w:sz w:val="22"/>
          <w:szCs w:val="22"/>
          <w:lang w:val="en-US" w:eastAsia="en-US"/>
        </w:rPr>
        <w:t xml:space="preserve">potential </w:t>
      </w:r>
      <w:r w:rsidRPr="00BE3274">
        <w:rPr>
          <w:rFonts w:asciiTheme="minorHAnsi" w:eastAsiaTheme="minorHAnsi" w:hAnsiTheme="minorHAnsi" w:cstheme="minorBidi"/>
          <w:sz w:val="22"/>
          <w:szCs w:val="22"/>
          <w:lang w:val="en-US" w:eastAsia="en-US"/>
        </w:rPr>
        <w:t xml:space="preserve">impact </w:t>
      </w:r>
      <w:r w:rsidR="00A47FA2">
        <w:rPr>
          <w:rFonts w:asciiTheme="minorHAnsi" w:eastAsiaTheme="minorHAnsi" w:hAnsiTheme="minorHAnsi" w:cstheme="minorBidi"/>
          <w:sz w:val="22"/>
          <w:szCs w:val="22"/>
          <w:lang w:val="en-US" w:eastAsia="en-US"/>
        </w:rPr>
        <w:t xml:space="preserve">that </w:t>
      </w:r>
      <w:r w:rsidRPr="00BE3274">
        <w:rPr>
          <w:rFonts w:asciiTheme="minorHAnsi" w:eastAsiaTheme="minorHAnsi" w:hAnsiTheme="minorHAnsi" w:cstheme="minorBidi"/>
          <w:sz w:val="22"/>
          <w:szCs w:val="22"/>
          <w:lang w:val="en-US" w:eastAsia="en-US"/>
        </w:rPr>
        <w:t>it has on resources</w:t>
      </w:r>
      <w:r w:rsidR="00A47FA2">
        <w:rPr>
          <w:rFonts w:asciiTheme="minorHAnsi" w:eastAsiaTheme="minorHAnsi" w:hAnsiTheme="minorHAnsi" w:cstheme="minorBidi"/>
          <w:sz w:val="22"/>
          <w:szCs w:val="22"/>
          <w:lang w:val="en-US" w:eastAsia="en-US"/>
        </w:rPr>
        <w:t>,</w:t>
      </w:r>
      <w:r w:rsidRPr="00BE3274">
        <w:rPr>
          <w:rFonts w:asciiTheme="minorHAnsi" w:eastAsiaTheme="minorHAnsi" w:hAnsiTheme="minorHAnsi" w:cstheme="minorBidi"/>
          <w:sz w:val="22"/>
          <w:szCs w:val="22"/>
          <w:lang w:val="en-US" w:eastAsia="en-US"/>
        </w:rPr>
        <w:t xml:space="preserve"> </w:t>
      </w:r>
      <w:r w:rsidR="00A47FA2">
        <w:rPr>
          <w:rFonts w:asciiTheme="minorHAnsi" w:eastAsiaTheme="minorHAnsi" w:hAnsiTheme="minorHAnsi" w:cstheme="minorBidi"/>
          <w:sz w:val="22"/>
          <w:szCs w:val="22"/>
          <w:lang w:val="en-US" w:eastAsia="en-US"/>
        </w:rPr>
        <w:t>which is considered when there is</w:t>
      </w:r>
      <w:r w:rsidRPr="00BE3274">
        <w:rPr>
          <w:rFonts w:asciiTheme="minorHAnsi" w:eastAsiaTheme="minorHAnsi" w:hAnsiTheme="minorHAnsi" w:cstheme="minorBidi"/>
          <w:sz w:val="22"/>
          <w:szCs w:val="22"/>
          <w:lang w:val="en-US" w:eastAsia="en-US"/>
        </w:rPr>
        <w:t xml:space="preserve"> uncertainty about future prospects</w:t>
      </w:r>
      <w:r w:rsidR="00A47FA2">
        <w:rPr>
          <w:rFonts w:asciiTheme="minorHAnsi" w:eastAsiaTheme="minorHAnsi" w:hAnsiTheme="minorHAnsi" w:cstheme="minorBidi"/>
          <w:sz w:val="22"/>
          <w:szCs w:val="22"/>
          <w:lang w:val="en-US" w:eastAsia="en-US"/>
        </w:rPr>
        <w:t>. In an uncertain environment</w:t>
      </w:r>
      <w:r w:rsidRPr="00BE3274">
        <w:rPr>
          <w:rFonts w:asciiTheme="minorHAnsi" w:eastAsiaTheme="minorHAnsi" w:hAnsiTheme="minorHAnsi" w:cstheme="minorBidi"/>
          <w:sz w:val="22"/>
          <w:szCs w:val="22"/>
          <w:lang w:val="en-US" w:eastAsia="en-US"/>
        </w:rPr>
        <w:t xml:space="preserve"> couples </w:t>
      </w:r>
      <w:r w:rsidR="00A47FA2">
        <w:rPr>
          <w:rFonts w:asciiTheme="minorHAnsi" w:eastAsiaTheme="minorHAnsi" w:hAnsiTheme="minorHAnsi" w:cstheme="minorBidi"/>
          <w:sz w:val="22"/>
          <w:szCs w:val="22"/>
          <w:lang w:val="en-US" w:eastAsia="en-US"/>
        </w:rPr>
        <w:t xml:space="preserve">may </w:t>
      </w:r>
      <w:r w:rsidRPr="00BE3274">
        <w:rPr>
          <w:rFonts w:asciiTheme="minorHAnsi" w:eastAsiaTheme="minorHAnsi" w:hAnsiTheme="minorHAnsi" w:cstheme="minorBidi"/>
          <w:sz w:val="22"/>
          <w:szCs w:val="22"/>
          <w:lang w:val="en-US" w:eastAsia="en-US"/>
        </w:rPr>
        <w:t>postpone</w:t>
      </w:r>
      <w:r w:rsidR="00A47FA2">
        <w:rPr>
          <w:rFonts w:asciiTheme="minorHAnsi" w:eastAsiaTheme="minorHAnsi" w:hAnsiTheme="minorHAnsi" w:cstheme="minorBidi"/>
          <w:sz w:val="22"/>
          <w:szCs w:val="22"/>
          <w:lang w:val="en-US" w:eastAsia="en-US"/>
        </w:rPr>
        <w:t>, or</w:t>
      </w:r>
      <w:r w:rsidRPr="00BE3274">
        <w:rPr>
          <w:rFonts w:asciiTheme="minorHAnsi" w:eastAsiaTheme="minorHAnsi" w:hAnsiTheme="minorHAnsi" w:cstheme="minorBidi"/>
          <w:sz w:val="22"/>
          <w:szCs w:val="22"/>
          <w:lang w:val="en-US" w:eastAsia="en-US"/>
        </w:rPr>
        <w:t xml:space="preserve"> possibly forego childbearing altogether</w:t>
      </w:r>
      <w:r w:rsidRPr="00BE3274">
        <w:rPr>
          <w:rFonts w:asciiTheme="minorHAnsi" w:eastAsiaTheme="minorHAnsi" w:hAnsiTheme="minorHAnsi" w:cstheme="minorBidi"/>
          <w:i/>
          <w:iCs/>
          <w:sz w:val="22"/>
          <w:szCs w:val="22"/>
          <w:lang w:val="en-US" w:eastAsia="en-US"/>
        </w:rPr>
        <w:t xml:space="preserve"> </w:t>
      </w:r>
      <w:r w:rsidRPr="00BE3274">
        <w:rPr>
          <w:rFonts w:asciiTheme="minorHAnsi" w:eastAsiaTheme="minorHAnsi" w:hAnsiTheme="minorHAnsi" w:cstheme="minorBidi"/>
          <w:sz w:val="22"/>
          <w:szCs w:val="22"/>
          <w:lang w:val="en-US" w:eastAsia="en-US"/>
        </w:rPr>
        <w:t xml:space="preserve">(Aasve, </w:t>
      </w:r>
      <w:r w:rsidRPr="007E15F6">
        <w:rPr>
          <w:rFonts w:asciiTheme="minorHAnsi" w:eastAsiaTheme="minorHAnsi" w:hAnsiTheme="minorHAnsi" w:cstheme="minorBidi"/>
          <w:i/>
          <w:iCs/>
          <w:sz w:val="22"/>
          <w:szCs w:val="22"/>
          <w:lang w:val="en-US" w:eastAsia="en-US"/>
        </w:rPr>
        <w:t>et al</w:t>
      </w:r>
      <w:r w:rsidRPr="00BE3274">
        <w:rPr>
          <w:rFonts w:asciiTheme="minorHAnsi" w:eastAsiaTheme="minorHAnsi" w:hAnsiTheme="minorHAnsi" w:cstheme="minorBidi"/>
          <w:sz w:val="22"/>
          <w:szCs w:val="22"/>
          <w:lang w:val="en-US" w:eastAsia="en-US"/>
        </w:rPr>
        <w:t>. 2021, p.19).</w:t>
      </w:r>
      <w:r w:rsidR="00792F34">
        <w:rPr>
          <w:rFonts w:asciiTheme="minorHAnsi" w:eastAsiaTheme="minorHAnsi" w:hAnsiTheme="minorHAnsi" w:cstheme="minorBidi"/>
          <w:sz w:val="22"/>
          <w:szCs w:val="22"/>
          <w:lang w:val="en-US" w:eastAsia="en-US"/>
        </w:rPr>
        <w:t xml:space="preserve"> </w:t>
      </w:r>
      <w:r w:rsidR="00663B9D">
        <w:rPr>
          <w:rFonts w:asciiTheme="minorHAnsi" w:eastAsiaTheme="minorHAnsi" w:hAnsiTheme="minorHAnsi" w:cstheme="minorBidi"/>
          <w:sz w:val="22"/>
          <w:szCs w:val="22"/>
          <w:lang w:val="en-US" w:eastAsia="en-US"/>
        </w:rPr>
        <w:t xml:space="preserve">Bernardi, </w:t>
      </w:r>
      <w:r w:rsidR="00663B9D" w:rsidRPr="007E15F6">
        <w:rPr>
          <w:rFonts w:asciiTheme="minorHAnsi" w:eastAsiaTheme="minorHAnsi" w:hAnsiTheme="minorHAnsi" w:cstheme="minorBidi"/>
          <w:i/>
          <w:iCs/>
          <w:sz w:val="22"/>
          <w:szCs w:val="22"/>
          <w:lang w:val="en-US" w:eastAsia="en-US"/>
        </w:rPr>
        <w:t>et al.</w:t>
      </w:r>
      <w:r w:rsidR="00663B9D">
        <w:rPr>
          <w:rFonts w:asciiTheme="minorHAnsi" w:eastAsiaTheme="minorHAnsi" w:hAnsiTheme="minorHAnsi" w:cstheme="minorBidi"/>
          <w:sz w:val="22"/>
          <w:szCs w:val="22"/>
          <w:lang w:val="en-US" w:eastAsia="en-US"/>
        </w:rPr>
        <w:t xml:space="preserve"> (2019) has describ</w:t>
      </w:r>
      <w:r w:rsidR="00BF4974">
        <w:rPr>
          <w:rFonts w:asciiTheme="minorHAnsi" w:eastAsiaTheme="minorHAnsi" w:hAnsiTheme="minorHAnsi" w:cstheme="minorBidi"/>
          <w:sz w:val="22"/>
          <w:szCs w:val="22"/>
          <w:lang w:val="en-US" w:eastAsia="en-US"/>
        </w:rPr>
        <w:t>ed future uncertainties as the ‘</w:t>
      </w:r>
      <w:r w:rsidR="00663B9D">
        <w:rPr>
          <w:rFonts w:asciiTheme="minorHAnsi" w:eastAsiaTheme="minorHAnsi" w:hAnsiTheme="minorHAnsi" w:cstheme="minorBidi"/>
          <w:sz w:val="22"/>
          <w:szCs w:val="22"/>
          <w:lang w:val="en-US" w:eastAsia="en-US"/>
        </w:rPr>
        <w:t>shadow of the future</w:t>
      </w:r>
      <w:r w:rsidR="00BF4974">
        <w:rPr>
          <w:rFonts w:asciiTheme="minorHAnsi" w:eastAsiaTheme="minorHAnsi" w:hAnsiTheme="minorHAnsi" w:cstheme="minorBidi"/>
          <w:sz w:val="22"/>
          <w:szCs w:val="22"/>
          <w:lang w:val="en-US" w:eastAsia="en-US"/>
        </w:rPr>
        <w:t>’</w:t>
      </w:r>
      <w:r w:rsidR="00663B9D">
        <w:rPr>
          <w:rFonts w:asciiTheme="minorHAnsi" w:eastAsiaTheme="minorHAnsi" w:hAnsiTheme="minorHAnsi" w:cstheme="minorBidi"/>
          <w:sz w:val="22"/>
          <w:szCs w:val="22"/>
          <w:lang w:val="en-US" w:eastAsia="en-US"/>
        </w:rPr>
        <w:t xml:space="preserve">, and the shadow of the future can interact with current conditions. </w:t>
      </w:r>
      <w:r w:rsidR="00792F34" w:rsidRPr="00663B9D">
        <w:rPr>
          <w:rFonts w:asciiTheme="minorHAnsi" w:eastAsiaTheme="minorHAnsi" w:hAnsiTheme="minorHAnsi" w:cstheme="minorBidi"/>
          <w:sz w:val="22"/>
          <w:szCs w:val="22"/>
          <w:lang w:val="en-US" w:eastAsia="en-US"/>
        </w:rPr>
        <w:t>For example,</w:t>
      </w:r>
      <w:r w:rsidR="00663B9D">
        <w:rPr>
          <w:rFonts w:asciiTheme="minorHAnsi" w:eastAsiaTheme="minorHAnsi" w:hAnsiTheme="minorHAnsi" w:cstheme="minorBidi"/>
          <w:sz w:val="22"/>
          <w:szCs w:val="22"/>
          <w:lang w:val="en-US" w:eastAsia="en-US"/>
        </w:rPr>
        <w:t xml:space="preserve"> if strong economic growth is expected in the future, current</w:t>
      </w:r>
      <w:r w:rsidR="00792F34" w:rsidRPr="00663B9D">
        <w:rPr>
          <w:rFonts w:asciiTheme="minorHAnsi" w:eastAsiaTheme="minorHAnsi" w:hAnsiTheme="minorHAnsi" w:cstheme="minorBidi"/>
          <w:sz w:val="22"/>
          <w:szCs w:val="22"/>
          <w:lang w:val="en-US" w:eastAsia="en-US"/>
        </w:rPr>
        <w:t xml:space="preserve"> uncertain labo</w:t>
      </w:r>
      <w:r w:rsidR="00663B9D">
        <w:rPr>
          <w:rFonts w:asciiTheme="minorHAnsi" w:eastAsiaTheme="minorHAnsi" w:hAnsiTheme="minorHAnsi" w:cstheme="minorBidi"/>
          <w:sz w:val="22"/>
          <w:szCs w:val="22"/>
          <w:lang w:val="en-US" w:eastAsia="en-US"/>
        </w:rPr>
        <w:t>u</w:t>
      </w:r>
      <w:r w:rsidR="00792F34" w:rsidRPr="00663B9D">
        <w:rPr>
          <w:rFonts w:asciiTheme="minorHAnsi" w:eastAsiaTheme="minorHAnsi" w:hAnsiTheme="minorHAnsi" w:cstheme="minorBidi"/>
          <w:sz w:val="22"/>
          <w:szCs w:val="22"/>
          <w:lang w:val="en-US" w:eastAsia="en-US"/>
        </w:rPr>
        <w:t>r conditions may not be seen as an obstacle to having a child</w:t>
      </w:r>
      <w:r w:rsidR="00663B9D">
        <w:rPr>
          <w:rFonts w:asciiTheme="minorHAnsi" w:eastAsiaTheme="minorHAnsi" w:hAnsiTheme="minorHAnsi" w:cstheme="minorBidi"/>
          <w:sz w:val="22"/>
          <w:szCs w:val="22"/>
          <w:lang w:val="en-US" w:eastAsia="en-US"/>
        </w:rPr>
        <w:t xml:space="preserve">. However if economic decline is expected then poor current conditions may inhibit fertility (Vignoli, </w:t>
      </w:r>
      <w:r w:rsidR="00663B9D" w:rsidRPr="00BF4974">
        <w:rPr>
          <w:rFonts w:asciiTheme="minorHAnsi" w:eastAsiaTheme="minorHAnsi" w:hAnsiTheme="minorHAnsi" w:cstheme="minorBidi"/>
          <w:i/>
          <w:sz w:val="22"/>
          <w:szCs w:val="22"/>
          <w:lang w:val="en-US" w:eastAsia="en-US"/>
        </w:rPr>
        <w:t>et al.</w:t>
      </w:r>
      <w:r w:rsidR="00663B9D">
        <w:rPr>
          <w:rFonts w:asciiTheme="minorHAnsi" w:eastAsiaTheme="minorHAnsi" w:hAnsiTheme="minorHAnsi" w:cstheme="minorBidi"/>
          <w:sz w:val="22"/>
          <w:szCs w:val="22"/>
          <w:lang w:val="en-US" w:eastAsia="en-US"/>
        </w:rPr>
        <w:t xml:space="preserve"> 2020).</w:t>
      </w:r>
    </w:p>
    <w:p w14:paraId="3C744B04" w14:textId="2A0E7466" w:rsidR="00EA1A9D" w:rsidRPr="00152D1D" w:rsidRDefault="00716A2A" w:rsidP="00152D1D">
      <w:pPr>
        <w:pStyle w:val="chapter-para"/>
        <w:spacing w:before="240" w:beforeAutospacing="0" w:after="0" w:afterAutospacing="0" w:line="276" w:lineRule="auto"/>
        <w:textAlignment w:val="baseline"/>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E</w:t>
      </w:r>
      <w:r w:rsidR="007A5035">
        <w:rPr>
          <w:rFonts w:asciiTheme="minorHAnsi" w:eastAsiaTheme="minorHAnsi" w:hAnsiTheme="minorHAnsi" w:cstheme="minorBidi"/>
          <w:sz w:val="22"/>
          <w:szCs w:val="22"/>
          <w:lang w:val="en-US" w:eastAsia="en-US"/>
        </w:rPr>
        <w:t xml:space="preserve">conomic </w:t>
      </w:r>
      <w:r w:rsidR="00675270">
        <w:rPr>
          <w:rFonts w:asciiTheme="minorHAnsi" w:eastAsiaTheme="minorHAnsi" w:hAnsiTheme="minorHAnsi" w:cstheme="minorBidi"/>
          <w:sz w:val="22"/>
          <w:szCs w:val="22"/>
          <w:lang w:val="en-US" w:eastAsia="en-US"/>
        </w:rPr>
        <w:t>uncertainty</w:t>
      </w:r>
      <w:r w:rsidR="007A5035">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 xml:space="preserve">is thought to have a large </w:t>
      </w:r>
      <w:r w:rsidR="007A5035">
        <w:rPr>
          <w:rFonts w:asciiTheme="minorHAnsi" w:eastAsiaTheme="minorHAnsi" w:hAnsiTheme="minorHAnsi" w:cstheme="minorBidi"/>
          <w:sz w:val="22"/>
          <w:szCs w:val="22"/>
          <w:lang w:val="en-US" w:eastAsia="en-US"/>
        </w:rPr>
        <w:t xml:space="preserve">impact on the probability of having a first child. </w:t>
      </w:r>
      <w:r w:rsidR="00663B9D" w:rsidRPr="006C6E6D">
        <w:rPr>
          <w:rFonts w:asciiTheme="minorHAnsi" w:eastAsiaTheme="minorHAnsi" w:hAnsiTheme="minorHAnsi" w:cstheme="minorBidi"/>
          <w:sz w:val="22"/>
          <w:szCs w:val="22"/>
          <w:lang w:val="en-US" w:eastAsia="en-US"/>
        </w:rPr>
        <w:t xml:space="preserve">For many people, stable employment </w:t>
      </w:r>
      <w:r w:rsidR="005169AA">
        <w:rPr>
          <w:rFonts w:asciiTheme="minorHAnsi" w:eastAsiaTheme="minorHAnsi" w:hAnsiTheme="minorHAnsi" w:cstheme="minorBidi"/>
          <w:sz w:val="22"/>
          <w:szCs w:val="22"/>
          <w:lang w:val="en-US" w:eastAsia="en-US"/>
        </w:rPr>
        <w:t xml:space="preserve">is </w:t>
      </w:r>
      <w:r w:rsidR="00663B9D" w:rsidRPr="006C6E6D">
        <w:rPr>
          <w:rFonts w:asciiTheme="minorHAnsi" w:eastAsiaTheme="minorHAnsi" w:hAnsiTheme="minorHAnsi" w:cstheme="minorBidi"/>
          <w:sz w:val="22"/>
          <w:szCs w:val="22"/>
          <w:lang w:val="en-US" w:eastAsia="en-US"/>
        </w:rPr>
        <w:t xml:space="preserve">considered </w:t>
      </w:r>
      <w:r w:rsidR="005169AA">
        <w:rPr>
          <w:rFonts w:asciiTheme="minorHAnsi" w:eastAsiaTheme="minorHAnsi" w:hAnsiTheme="minorHAnsi" w:cstheme="minorBidi"/>
          <w:sz w:val="22"/>
          <w:szCs w:val="22"/>
          <w:lang w:val="en-US" w:eastAsia="en-US"/>
        </w:rPr>
        <w:t xml:space="preserve">a </w:t>
      </w:r>
      <w:r>
        <w:rPr>
          <w:rFonts w:asciiTheme="minorHAnsi" w:eastAsiaTheme="minorHAnsi" w:hAnsiTheme="minorHAnsi" w:cstheme="minorBidi"/>
          <w:sz w:val="22"/>
          <w:szCs w:val="22"/>
          <w:lang w:val="en-US" w:eastAsia="en-US"/>
        </w:rPr>
        <w:t xml:space="preserve">necessary </w:t>
      </w:r>
      <w:r w:rsidR="00663B9D" w:rsidRPr="006C6E6D">
        <w:rPr>
          <w:rFonts w:asciiTheme="minorHAnsi" w:eastAsiaTheme="minorHAnsi" w:hAnsiTheme="minorHAnsi" w:cstheme="minorBidi"/>
          <w:sz w:val="22"/>
          <w:szCs w:val="22"/>
          <w:lang w:val="en-US" w:eastAsia="en-US"/>
        </w:rPr>
        <w:t>precondition to start a family</w:t>
      </w:r>
      <w:r w:rsidR="005169AA">
        <w:rPr>
          <w:rFonts w:asciiTheme="minorHAnsi" w:eastAsiaTheme="minorHAnsi" w:hAnsiTheme="minorHAnsi" w:cstheme="minorBidi"/>
          <w:sz w:val="22"/>
          <w:szCs w:val="22"/>
          <w:lang w:val="en-US" w:eastAsia="en-US"/>
        </w:rPr>
        <w:t xml:space="preserve"> and</w:t>
      </w:r>
      <w:r>
        <w:rPr>
          <w:rFonts w:asciiTheme="minorHAnsi" w:eastAsiaTheme="minorHAnsi" w:hAnsiTheme="minorHAnsi" w:cstheme="minorBidi"/>
          <w:sz w:val="22"/>
          <w:szCs w:val="22"/>
          <w:lang w:val="en-US" w:eastAsia="en-US"/>
        </w:rPr>
        <w:t xml:space="preserve"> therefore</w:t>
      </w:r>
      <w:r w:rsidR="005169AA">
        <w:rPr>
          <w:rFonts w:asciiTheme="minorHAnsi" w:eastAsiaTheme="minorHAnsi" w:hAnsiTheme="minorHAnsi" w:cstheme="minorBidi"/>
          <w:sz w:val="22"/>
          <w:szCs w:val="22"/>
          <w:lang w:val="en-US" w:eastAsia="en-US"/>
        </w:rPr>
        <w:t xml:space="preserve"> job insecurity has a dampening effect on birth plans </w:t>
      </w:r>
      <w:r w:rsidR="00675270" w:rsidRPr="00675270">
        <w:rPr>
          <w:rFonts w:asciiTheme="minorHAnsi" w:eastAsiaTheme="minorHAnsi" w:hAnsiTheme="minorHAnsi" w:cstheme="minorBidi"/>
          <w:noProof/>
          <w:sz w:val="22"/>
          <w:szCs w:val="22"/>
          <w:lang w:val="en-US" w:eastAsia="en-US"/>
        </w:rPr>
        <w:t>(Fahlén &amp; Oláh, 2018)</w:t>
      </w:r>
      <w:r w:rsidR="00663B9D" w:rsidRPr="006C6E6D">
        <w:rPr>
          <w:rFonts w:asciiTheme="minorHAnsi" w:eastAsiaTheme="minorHAnsi" w:hAnsiTheme="minorHAnsi" w:cstheme="minorBidi"/>
          <w:sz w:val="22"/>
          <w:szCs w:val="22"/>
          <w:lang w:val="en-US" w:eastAsia="en-US"/>
        </w:rPr>
        <w:t xml:space="preserve">.  </w:t>
      </w:r>
      <w:r w:rsidR="004065EF" w:rsidRPr="006C6E6D">
        <w:rPr>
          <w:rFonts w:asciiTheme="minorHAnsi" w:eastAsiaTheme="minorHAnsi" w:hAnsiTheme="minorHAnsi" w:cstheme="minorBidi"/>
          <w:sz w:val="22"/>
          <w:szCs w:val="22"/>
          <w:lang w:val="en-US" w:eastAsia="en-US"/>
        </w:rPr>
        <w:t>In Australia</w:t>
      </w:r>
      <w:r w:rsidR="004D15A8" w:rsidRPr="006C6E6D">
        <w:rPr>
          <w:rFonts w:asciiTheme="minorHAnsi" w:eastAsiaTheme="minorHAnsi" w:hAnsiTheme="minorHAnsi" w:cstheme="minorBidi"/>
          <w:sz w:val="22"/>
          <w:szCs w:val="22"/>
          <w:lang w:val="en-US" w:eastAsia="en-US"/>
        </w:rPr>
        <w:t>,</w:t>
      </w:r>
      <w:r w:rsidR="004065EF" w:rsidRPr="006C6E6D">
        <w:rPr>
          <w:rFonts w:asciiTheme="minorHAnsi" w:eastAsiaTheme="minorHAnsi" w:hAnsiTheme="minorHAnsi" w:cstheme="minorBidi"/>
          <w:sz w:val="22"/>
          <w:szCs w:val="22"/>
          <w:lang w:val="en-US" w:eastAsia="en-US"/>
        </w:rPr>
        <w:t xml:space="preserve"> </w:t>
      </w:r>
      <w:r w:rsidR="004D15A8" w:rsidRPr="006C6E6D">
        <w:rPr>
          <w:rFonts w:asciiTheme="minorHAnsi" w:eastAsiaTheme="minorHAnsi" w:hAnsiTheme="minorHAnsi" w:cstheme="minorBidi"/>
          <w:sz w:val="22"/>
          <w:szCs w:val="22"/>
          <w:lang w:val="en-US" w:eastAsia="en-US"/>
        </w:rPr>
        <w:t>b</w:t>
      </w:r>
      <w:r w:rsidR="00EA1A9D" w:rsidRPr="006C6E6D">
        <w:rPr>
          <w:rFonts w:asciiTheme="minorHAnsi" w:eastAsiaTheme="minorHAnsi" w:hAnsiTheme="minorHAnsi" w:cstheme="minorBidi"/>
          <w:sz w:val="22"/>
          <w:szCs w:val="22"/>
          <w:lang w:val="en-US" w:eastAsia="en-US"/>
        </w:rPr>
        <w:t xml:space="preserve">etween 2008 and 2018, </w:t>
      </w:r>
      <w:r w:rsidR="004D15A8" w:rsidRPr="006C6E6D">
        <w:rPr>
          <w:rFonts w:asciiTheme="minorHAnsi" w:eastAsiaTheme="minorHAnsi" w:hAnsiTheme="minorHAnsi" w:cstheme="minorBidi"/>
          <w:sz w:val="22"/>
          <w:szCs w:val="22"/>
          <w:lang w:val="en-US" w:eastAsia="en-US"/>
        </w:rPr>
        <w:t>the</w:t>
      </w:r>
      <w:r w:rsidR="00EA1A9D" w:rsidRPr="006C6E6D">
        <w:rPr>
          <w:rFonts w:asciiTheme="minorHAnsi" w:eastAsiaTheme="minorHAnsi" w:hAnsiTheme="minorHAnsi" w:cstheme="minorBidi"/>
          <w:sz w:val="22"/>
          <w:szCs w:val="22"/>
          <w:lang w:val="en-US" w:eastAsia="en-US"/>
        </w:rPr>
        <w:t xml:space="preserve"> average incomes </w:t>
      </w:r>
      <w:r w:rsidR="004D15A8" w:rsidRPr="006C6E6D">
        <w:rPr>
          <w:rFonts w:asciiTheme="minorHAnsi" w:eastAsiaTheme="minorHAnsi" w:hAnsiTheme="minorHAnsi" w:cstheme="minorBidi"/>
          <w:sz w:val="22"/>
          <w:szCs w:val="22"/>
          <w:lang w:val="en-US" w:eastAsia="en-US"/>
        </w:rPr>
        <w:t xml:space="preserve">of 18-34 year olds </w:t>
      </w:r>
      <w:r w:rsidR="00EA1A9D" w:rsidRPr="006C6E6D">
        <w:rPr>
          <w:rFonts w:asciiTheme="minorHAnsi" w:eastAsiaTheme="minorHAnsi" w:hAnsiTheme="minorHAnsi" w:cstheme="minorBidi"/>
          <w:sz w:val="22"/>
          <w:szCs w:val="22"/>
          <w:lang w:val="en-US" w:eastAsia="en-US"/>
        </w:rPr>
        <w:t>decline</w:t>
      </w:r>
      <w:r w:rsidR="000D0B76" w:rsidRPr="006C6E6D">
        <w:rPr>
          <w:rFonts w:asciiTheme="minorHAnsi" w:eastAsiaTheme="minorHAnsi" w:hAnsiTheme="minorHAnsi" w:cstheme="minorBidi"/>
          <w:sz w:val="22"/>
          <w:szCs w:val="22"/>
          <w:lang w:val="en-US" w:eastAsia="en-US"/>
        </w:rPr>
        <w:t>d</w:t>
      </w:r>
      <w:r w:rsidR="00EA1A9D" w:rsidRPr="006C6E6D">
        <w:rPr>
          <w:rFonts w:asciiTheme="minorHAnsi" w:eastAsiaTheme="minorHAnsi" w:hAnsiTheme="minorHAnsi" w:cstheme="minorBidi"/>
          <w:sz w:val="22"/>
          <w:szCs w:val="22"/>
          <w:lang w:val="en-US" w:eastAsia="en-US"/>
        </w:rPr>
        <w:t xml:space="preserve"> in real terms, while those aged over 35 </w:t>
      </w:r>
      <w:r>
        <w:rPr>
          <w:rFonts w:asciiTheme="minorHAnsi" w:eastAsiaTheme="minorHAnsi" w:hAnsiTheme="minorHAnsi" w:cstheme="minorBidi"/>
          <w:sz w:val="22"/>
          <w:szCs w:val="22"/>
          <w:lang w:val="en-US" w:eastAsia="en-US"/>
        </w:rPr>
        <w:t xml:space="preserve">have improved </w:t>
      </w:r>
      <w:r w:rsidR="00EA1A9D" w:rsidRPr="006C6E6D">
        <w:rPr>
          <w:rFonts w:asciiTheme="minorHAnsi" w:eastAsiaTheme="minorHAnsi" w:hAnsiTheme="minorHAnsi" w:cstheme="minorBidi"/>
          <w:sz w:val="22"/>
          <w:szCs w:val="22"/>
          <w:lang w:val="en-US" w:eastAsia="en-US"/>
        </w:rPr>
        <w:t xml:space="preserve">wages and occupational status </w:t>
      </w:r>
      <w:r w:rsidR="001244DA" w:rsidRPr="001244DA">
        <w:rPr>
          <w:rFonts w:asciiTheme="minorHAnsi" w:eastAsiaTheme="minorHAnsi" w:hAnsiTheme="minorHAnsi" w:cstheme="minorBidi"/>
          <w:noProof/>
          <w:sz w:val="22"/>
          <w:szCs w:val="22"/>
          <w:lang w:val="en-US" w:eastAsia="en-US"/>
        </w:rPr>
        <w:t>(Productivity Commission, 2020)</w:t>
      </w:r>
      <w:r w:rsidR="00EA1A9D" w:rsidRPr="006C6E6D">
        <w:rPr>
          <w:rFonts w:asciiTheme="minorHAnsi" w:eastAsiaTheme="minorHAnsi" w:hAnsiTheme="minorHAnsi" w:cstheme="minorBidi"/>
          <w:sz w:val="22"/>
          <w:szCs w:val="22"/>
          <w:lang w:val="en-US" w:eastAsia="en-US"/>
        </w:rPr>
        <w:t>. Since the Global Financial Crisis,</w:t>
      </w:r>
      <w:r w:rsidR="00230BA5" w:rsidRPr="006C6E6D">
        <w:rPr>
          <w:rFonts w:asciiTheme="minorHAnsi" w:eastAsiaTheme="minorHAnsi" w:hAnsiTheme="minorHAnsi" w:cstheme="minorBidi"/>
          <w:sz w:val="22"/>
          <w:szCs w:val="22"/>
          <w:lang w:val="en-US" w:eastAsia="en-US"/>
        </w:rPr>
        <w:t xml:space="preserve"> many </w:t>
      </w:r>
      <w:r w:rsidR="00EA1A9D" w:rsidRPr="006C6E6D">
        <w:rPr>
          <w:rFonts w:asciiTheme="minorHAnsi" w:eastAsiaTheme="minorHAnsi" w:hAnsiTheme="minorHAnsi" w:cstheme="minorBidi"/>
          <w:sz w:val="22"/>
          <w:szCs w:val="22"/>
          <w:lang w:val="en-US" w:eastAsia="en-US"/>
        </w:rPr>
        <w:t xml:space="preserve">young </w:t>
      </w:r>
      <w:r w:rsidR="00230BA5" w:rsidRPr="006C6E6D">
        <w:rPr>
          <w:rFonts w:asciiTheme="minorHAnsi" w:eastAsiaTheme="minorHAnsi" w:hAnsiTheme="minorHAnsi" w:cstheme="minorBidi"/>
          <w:sz w:val="22"/>
          <w:szCs w:val="22"/>
          <w:lang w:val="en-US" w:eastAsia="en-US"/>
        </w:rPr>
        <w:t>people have experienced difficulties in finding secure employment leading to the uptake of jobs</w:t>
      </w:r>
      <w:r w:rsidR="0092253A" w:rsidRPr="006C6E6D">
        <w:rPr>
          <w:rFonts w:asciiTheme="minorHAnsi" w:eastAsiaTheme="minorHAnsi" w:hAnsiTheme="minorHAnsi" w:cstheme="minorBidi"/>
          <w:sz w:val="22"/>
          <w:szCs w:val="22"/>
          <w:lang w:val="en-US" w:eastAsia="en-US"/>
        </w:rPr>
        <w:t xml:space="preserve"> t</w:t>
      </w:r>
      <w:r w:rsidR="00EA1A9D" w:rsidRPr="006C6E6D">
        <w:rPr>
          <w:rFonts w:asciiTheme="minorHAnsi" w:eastAsiaTheme="minorHAnsi" w:hAnsiTheme="minorHAnsi" w:cstheme="minorBidi"/>
          <w:sz w:val="22"/>
          <w:szCs w:val="22"/>
          <w:lang w:val="en-US" w:eastAsia="en-US"/>
        </w:rPr>
        <w:t>hat do not fully use their qualifications</w:t>
      </w:r>
      <w:r w:rsidR="004D15A8" w:rsidRPr="006C6E6D">
        <w:rPr>
          <w:rFonts w:asciiTheme="minorHAnsi" w:eastAsiaTheme="minorHAnsi" w:hAnsiTheme="minorHAnsi" w:cstheme="minorBidi"/>
          <w:sz w:val="22"/>
          <w:szCs w:val="22"/>
          <w:lang w:val="en-US" w:eastAsia="en-US"/>
        </w:rPr>
        <w:t>,</w:t>
      </w:r>
      <w:r w:rsidR="00EA1A9D" w:rsidRPr="006C6E6D">
        <w:rPr>
          <w:rFonts w:asciiTheme="minorHAnsi" w:eastAsiaTheme="minorHAnsi" w:hAnsiTheme="minorHAnsi" w:cstheme="minorBidi"/>
          <w:sz w:val="22"/>
          <w:szCs w:val="22"/>
          <w:lang w:val="en-US" w:eastAsia="en-US"/>
        </w:rPr>
        <w:t xml:space="preserve"> or to part-time and casual occupations</w:t>
      </w:r>
      <w:r w:rsidR="00230BA5" w:rsidRPr="006C6E6D">
        <w:rPr>
          <w:rFonts w:asciiTheme="minorHAnsi" w:eastAsiaTheme="minorHAnsi" w:hAnsiTheme="minorHAnsi" w:cstheme="minorBidi"/>
          <w:sz w:val="22"/>
          <w:szCs w:val="22"/>
          <w:lang w:val="en-US" w:eastAsia="en-US"/>
        </w:rPr>
        <w:t xml:space="preserve"> </w:t>
      </w:r>
      <w:r w:rsidR="00EA1A9D" w:rsidRPr="006C6E6D">
        <w:rPr>
          <w:rFonts w:asciiTheme="minorHAnsi" w:eastAsiaTheme="minorHAnsi" w:hAnsiTheme="minorHAnsi" w:cstheme="minorBidi"/>
          <w:sz w:val="22"/>
          <w:szCs w:val="22"/>
          <w:lang w:val="en-US" w:eastAsia="en-US"/>
        </w:rPr>
        <w:t xml:space="preserve">(Kelly, </w:t>
      </w:r>
      <w:r w:rsidR="00127B94" w:rsidRPr="006C6E6D">
        <w:rPr>
          <w:rFonts w:asciiTheme="minorHAnsi" w:eastAsiaTheme="minorHAnsi" w:hAnsiTheme="minorHAnsi" w:cstheme="minorBidi"/>
          <w:sz w:val="22"/>
          <w:szCs w:val="22"/>
          <w:lang w:val="en-US" w:eastAsia="en-US"/>
        </w:rPr>
        <w:t>2021)</w:t>
      </w:r>
      <w:r w:rsidR="004D15A8" w:rsidRPr="006C6E6D">
        <w:rPr>
          <w:rFonts w:asciiTheme="minorHAnsi" w:eastAsiaTheme="minorHAnsi" w:hAnsiTheme="minorHAnsi" w:cstheme="minorBidi"/>
          <w:sz w:val="22"/>
          <w:szCs w:val="22"/>
          <w:lang w:val="en-US" w:eastAsia="en-US"/>
        </w:rPr>
        <w:t>.</w:t>
      </w:r>
      <w:r w:rsidR="0092253A" w:rsidRPr="006C6E6D">
        <w:rPr>
          <w:rFonts w:asciiTheme="minorHAnsi" w:eastAsiaTheme="minorHAnsi" w:hAnsiTheme="minorHAnsi" w:cstheme="minorBidi"/>
          <w:sz w:val="22"/>
          <w:szCs w:val="22"/>
          <w:lang w:val="en-US" w:eastAsia="en-US"/>
        </w:rPr>
        <w:t xml:space="preserve"> </w:t>
      </w:r>
      <w:r w:rsidR="007A5035">
        <w:rPr>
          <w:rFonts w:asciiTheme="minorHAnsi" w:eastAsiaTheme="minorHAnsi" w:hAnsiTheme="minorHAnsi" w:cstheme="minorBidi"/>
          <w:sz w:val="22"/>
          <w:szCs w:val="22"/>
          <w:lang w:val="en-US" w:eastAsia="en-US"/>
        </w:rPr>
        <w:t xml:space="preserve"> </w:t>
      </w:r>
      <w:r w:rsidR="00B316A2">
        <w:rPr>
          <w:rFonts w:asciiTheme="minorHAnsi" w:eastAsiaTheme="minorHAnsi" w:hAnsiTheme="minorHAnsi" w:cstheme="minorBidi"/>
          <w:sz w:val="22"/>
          <w:szCs w:val="22"/>
          <w:lang w:val="en-US" w:eastAsia="en-US"/>
        </w:rPr>
        <w:t>Harknett, et al</w:t>
      </w:r>
      <w:r w:rsidR="007A5035">
        <w:rPr>
          <w:rFonts w:asciiTheme="minorHAnsi" w:eastAsiaTheme="minorHAnsi" w:hAnsiTheme="minorHAnsi" w:cstheme="minorBidi"/>
          <w:sz w:val="22"/>
          <w:szCs w:val="22"/>
          <w:lang w:val="en-US" w:eastAsia="en-US"/>
        </w:rPr>
        <w:t xml:space="preserve">. </w:t>
      </w:r>
      <w:r w:rsidR="00B316A2">
        <w:rPr>
          <w:rFonts w:asciiTheme="minorHAnsi" w:eastAsiaTheme="minorHAnsi" w:hAnsiTheme="minorHAnsi" w:cstheme="minorBidi"/>
          <w:sz w:val="22"/>
          <w:szCs w:val="22"/>
          <w:lang w:val="en-US" w:eastAsia="en-US"/>
        </w:rPr>
        <w:t xml:space="preserve">(2014) highlight that perceptions of job security as well as satisfaction with the economy overall is significantly positively related to fertility </w:t>
      </w:r>
      <w:r w:rsidR="00B316A2">
        <w:rPr>
          <w:rFonts w:asciiTheme="minorHAnsi" w:eastAsiaTheme="minorHAnsi" w:hAnsiTheme="minorHAnsi" w:cstheme="minorBidi"/>
          <w:sz w:val="22"/>
          <w:szCs w:val="22"/>
          <w:lang w:val="en-US" w:eastAsia="en-US"/>
        </w:rPr>
        <w:lastRenderedPageBreak/>
        <w:t>intentions as well as actualized births across 20 European countries.</w:t>
      </w:r>
      <w:r w:rsidR="002B5C21">
        <w:rPr>
          <w:rFonts w:asciiTheme="minorHAnsi" w:eastAsiaTheme="minorHAnsi" w:hAnsiTheme="minorHAnsi" w:cstheme="minorBidi"/>
          <w:sz w:val="22"/>
          <w:szCs w:val="22"/>
          <w:lang w:val="en-US" w:eastAsia="en-US"/>
        </w:rPr>
        <w:t xml:space="preserve"> </w:t>
      </w:r>
      <w:r w:rsidR="00E274C4" w:rsidRPr="006C6E6D">
        <w:rPr>
          <w:rFonts w:asciiTheme="minorHAnsi" w:eastAsiaTheme="minorHAnsi" w:hAnsiTheme="minorHAnsi" w:cstheme="minorBidi"/>
          <w:sz w:val="22"/>
          <w:szCs w:val="22"/>
          <w:lang w:val="en-US" w:eastAsia="en-US"/>
        </w:rPr>
        <w:t xml:space="preserve">In Australia, </w:t>
      </w:r>
      <w:r w:rsidR="002B5C21" w:rsidRPr="006C6E6D">
        <w:rPr>
          <w:rFonts w:asciiTheme="minorHAnsi" w:eastAsiaTheme="minorHAnsi" w:hAnsiTheme="minorHAnsi" w:cstheme="minorBidi"/>
          <w:sz w:val="22"/>
          <w:szCs w:val="22"/>
          <w:lang w:val="en-US" w:eastAsia="en-US"/>
        </w:rPr>
        <w:t xml:space="preserve">one study found that </w:t>
      </w:r>
      <w:r w:rsidR="00E274C4" w:rsidRPr="006C6E6D">
        <w:rPr>
          <w:rFonts w:asciiTheme="minorHAnsi" w:eastAsiaTheme="minorHAnsi" w:hAnsiTheme="minorHAnsi" w:cstheme="minorBidi"/>
          <w:sz w:val="22"/>
          <w:szCs w:val="22"/>
          <w:lang w:val="en-US" w:eastAsia="en-US"/>
        </w:rPr>
        <w:t>the likelihood of childbirth by around age 35 was reduced for every year spent in casual employment, irrespective of socioeconomic status, partner's education and parents' birthplace. The likelihood was reduced by 8, 23 and 35% for 1, 3 and 5 years spent in casual employment, respectively</w:t>
      </w:r>
      <w:r w:rsidR="002B5C21">
        <w:rPr>
          <w:rFonts w:asciiTheme="minorHAnsi" w:eastAsiaTheme="minorHAnsi" w:hAnsiTheme="minorHAnsi" w:cstheme="minorBidi"/>
          <w:sz w:val="22"/>
          <w:szCs w:val="22"/>
          <w:lang w:val="en-US" w:eastAsia="en-US"/>
        </w:rPr>
        <w:t xml:space="preserve"> </w:t>
      </w:r>
      <w:r w:rsidR="00E51C66" w:rsidRPr="006C6E6D">
        <w:rPr>
          <w:rFonts w:asciiTheme="minorHAnsi" w:eastAsiaTheme="minorHAnsi" w:hAnsiTheme="minorHAnsi" w:cstheme="minorBidi"/>
          <w:sz w:val="22"/>
          <w:szCs w:val="22"/>
          <w:lang w:val="en-US" w:eastAsia="en-US"/>
        </w:rPr>
        <w:t xml:space="preserve">(Steele, </w:t>
      </w:r>
      <w:r w:rsidR="00B95174" w:rsidRPr="00B95174">
        <w:rPr>
          <w:rFonts w:asciiTheme="minorHAnsi" w:eastAsiaTheme="minorHAnsi" w:hAnsiTheme="minorHAnsi" w:cstheme="minorBidi"/>
          <w:i/>
          <w:sz w:val="22"/>
          <w:szCs w:val="22"/>
          <w:lang w:val="en-US" w:eastAsia="en-US"/>
        </w:rPr>
        <w:t>et al.,</w:t>
      </w:r>
      <w:r w:rsidR="00E51C66" w:rsidRPr="006C6E6D">
        <w:rPr>
          <w:rFonts w:asciiTheme="minorHAnsi" w:eastAsiaTheme="minorHAnsi" w:hAnsiTheme="minorHAnsi" w:cstheme="minorBidi"/>
          <w:sz w:val="22"/>
          <w:szCs w:val="22"/>
          <w:lang w:val="en-US" w:eastAsia="en-US"/>
        </w:rPr>
        <w:t xml:space="preserve"> 2014)</w:t>
      </w:r>
      <w:r w:rsidR="002B5C21">
        <w:rPr>
          <w:rFonts w:asciiTheme="minorHAnsi" w:eastAsiaTheme="minorHAnsi" w:hAnsiTheme="minorHAnsi" w:cstheme="minorBidi"/>
          <w:sz w:val="22"/>
          <w:szCs w:val="22"/>
          <w:lang w:val="en-US" w:eastAsia="en-US"/>
        </w:rPr>
        <w:t xml:space="preserve">. </w:t>
      </w:r>
    </w:p>
    <w:p w14:paraId="32411866" w14:textId="11440749" w:rsidR="00603864" w:rsidRDefault="00EA1A9D" w:rsidP="00152D1D">
      <w:pPr>
        <w:spacing w:before="240" w:line="276" w:lineRule="auto"/>
        <w:jc w:val="both"/>
        <w:rPr>
          <w:lang w:val="en-US"/>
        </w:rPr>
      </w:pPr>
      <w:r w:rsidRPr="00EA1A9D">
        <w:rPr>
          <w:lang w:val="en-US"/>
        </w:rPr>
        <w:t xml:space="preserve">The housing market is another example of a </w:t>
      </w:r>
      <w:r w:rsidR="00EE3B17">
        <w:rPr>
          <w:lang w:val="en-US"/>
        </w:rPr>
        <w:t>broad economic factor that can impact on childbearing decision making at the individual level</w:t>
      </w:r>
      <w:r w:rsidRPr="00EA1A9D">
        <w:rPr>
          <w:lang w:val="en-US"/>
        </w:rPr>
        <w:t xml:space="preserve">. </w:t>
      </w:r>
      <w:r w:rsidR="00603864">
        <w:rPr>
          <w:lang w:val="en-US"/>
        </w:rPr>
        <w:t>The relationship between housing and childbearing is complex, and d</w:t>
      </w:r>
      <w:r w:rsidR="000D1017">
        <w:rPr>
          <w:lang w:val="en-US"/>
        </w:rPr>
        <w:t xml:space="preserve">ifferent aspects of housing can affect fertility </w:t>
      </w:r>
      <w:r w:rsidR="005169AA">
        <w:rPr>
          <w:lang w:val="en-US"/>
        </w:rPr>
        <w:t>in</w:t>
      </w:r>
      <w:r w:rsidR="000D1017">
        <w:rPr>
          <w:lang w:val="en-US"/>
        </w:rPr>
        <w:t xml:space="preserve"> a variety of ways. </w:t>
      </w:r>
      <w:r w:rsidR="0056424D">
        <w:rPr>
          <w:lang w:val="en-US"/>
        </w:rPr>
        <w:t xml:space="preserve"> </w:t>
      </w:r>
    </w:p>
    <w:p w14:paraId="03251FDA" w14:textId="172A8E11" w:rsidR="00603864" w:rsidRDefault="00603864">
      <w:pPr>
        <w:spacing w:line="276" w:lineRule="auto"/>
        <w:jc w:val="both"/>
      </w:pPr>
      <w:r>
        <w:rPr>
          <w:lang w:val="en-US"/>
        </w:rPr>
        <w:t xml:space="preserve">The first link between housing and fertility is that </w:t>
      </w:r>
      <w:r w:rsidR="005169AA">
        <w:rPr>
          <w:lang w:val="en-US"/>
        </w:rPr>
        <w:t>if</w:t>
      </w:r>
      <w:r>
        <w:rPr>
          <w:lang w:val="en-US"/>
        </w:rPr>
        <w:t xml:space="preserve"> owning a home is seen as an important </w:t>
      </w:r>
      <w:r w:rsidR="00257D94">
        <w:rPr>
          <w:lang w:val="en-US"/>
        </w:rPr>
        <w:t>pre-condition</w:t>
      </w:r>
      <w:r w:rsidR="00F37B04">
        <w:rPr>
          <w:lang w:val="en-US"/>
        </w:rPr>
        <w:t xml:space="preserve"> or milestone to be achieved before s</w:t>
      </w:r>
      <w:r w:rsidR="00257D94">
        <w:rPr>
          <w:lang w:val="en-US"/>
        </w:rPr>
        <w:t>tarting a family</w:t>
      </w:r>
      <w:r w:rsidR="00716A2A">
        <w:rPr>
          <w:lang w:val="en-US"/>
        </w:rPr>
        <w:t>, then</w:t>
      </w:r>
      <w:r>
        <w:rPr>
          <w:lang w:val="en-US"/>
        </w:rPr>
        <w:t xml:space="preserve"> difficulty in achieving home ownership can delay family formation</w:t>
      </w:r>
      <w:r w:rsidR="00257D94">
        <w:t xml:space="preserve">. </w:t>
      </w:r>
      <w:r>
        <w:t>For many young people, t</w:t>
      </w:r>
      <w:r w:rsidR="00F37B04">
        <w:t xml:space="preserve">he growth in house prices in recent decades has made how ownership more difficult to attain </w:t>
      </w:r>
      <w:r w:rsidR="000D1017">
        <w:t>and has contributed to the trend in leaving home</w:t>
      </w:r>
      <w:r w:rsidR="00675270">
        <w:t xml:space="preserve"> at a later age</w:t>
      </w:r>
      <w:r w:rsidRPr="00603864">
        <w:rPr>
          <w:lang w:val="en-US"/>
        </w:rPr>
        <w:t xml:space="preserve"> </w:t>
      </w:r>
      <w:r w:rsidR="00675270">
        <w:rPr>
          <w:noProof/>
        </w:rPr>
        <w:t>(Kelly, 2021; Productivity Commission, 2020)</w:t>
      </w:r>
      <w:r>
        <w:rPr>
          <w:lang w:val="en-US"/>
        </w:rPr>
        <w:t>,</w:t>
      </w:r>
      <w:r w:rsidRPr="00EA1A9D">
        <w:rPr>
          <w:lang w:val="en-US"/>
        </w:rPr>
        <w:t xml:space="preserve"> </w:t>
      </w:r>
      <w:r w:rsidR="000D1017">
        <w:t xml:space="preserve">and indirectly to later family formation </w:t>
      </w:r>
      <w:r w:rsidR="00E02EE1">
        <w:t xml:space="preserve">in high-income countries (Mulder 2006a, Mulder 2006b). </w:t>
      </w:r>
      <w:r w:rsidR="00EB2EAB" w:rsidRPr="00EA1A9D">
        <w:rPr>
          <w:lang w:val="en-US"/>
        </w:rPr>
        <w:t xml:space="preserve">While living at home is expected to delay other life events such as forming relationships and starting families, </w:t>
      </w:r>
      <w:r w:rsidR="00EB2EAB">
        <w:rPr>
          <w:lang w:val="en-US"/>
        </w:rPr>
        <w:t>further</w:t>
      </w:r>
      <w:r w:rsidR="00EB2EAB" w:rsidRPr="00EA1A9D">
        <w:rPr>
          <w:lang w:val="en-US"/>
        </w:rPr>
        <w:t xml:space="preserve"> work still needs to be done to fully understand how declines in fertility rates are related to the increasing propensity of young adults to continue living at home</w:t>
      </w:r>
      <w:r w:rsidR="00EB2EAB">
        <w:rPr>
          <w:lang w:val="en-US"/>
        </w:rPr>
        <w:t xml:space="preserve"> </w:t>
      </w:r>
      <w:r w:rsidR="00675270">
        <w:rPr>
          <w:noProof/>
        </w:rPr>
        <w:t>(Cobb-Clark, 2008)</w:t>
      </w:r>
      <w:r w:rsidR="00EB2EAB" w:rsidRPr="00EA1A9D">
        <w:rPr>
          <w:lang w:val="en-US"/>
        </w:rPr>
        <w:t>.</w:t>
      </w:r>
    </w:p>
    <w:p w14:paraId="41E7A2D8" w14:textId="07291937" w:rsidR="00EE3B17" w:rsidRDefault="00F37B04" w:rsidP="00BC5105">
      <w:pPr>
        <w:spacing w:line="276" w:lineRule="auto"/>
        <w:jc w:val="both"/>
        <w:rPr>
          <w:lang w:val="en-US"/>
        </w:rPr>
      </w:pPr>
      <w:r>
        <w:t>A comparison of home ownership rates at ages 30-34 for different cohorts illustrates this trend</w:t>
      </w:r>
      <w:r w:rsidR="00E02EE1">
        <w:t xml:space="preserve"> for Australia</w:t>
      </w:r>
      <w:r>
        <w:t>. For those born between 1947-1951, 68% were home owners by the time they were aged 30-34. For those born between 1972-1976, 57% were home owners by this age, and for those born in 1987-1991 just 50% were home-owners according to the 2016 Census (Australian Institute of Health and Welfare</w:t>
      </w:r>
      <w:r w:rsidR="00675270">
        <w:t>,</w:t>
      </w:r>
      <w:r>
        <w:t xml:space="preserve"> 2021). </w:t>
      </w:r>
      <w:r w:rsidR="00E2531A">
        <w:t xml:space="preserve">At the same time there has been an increasing trend towards leaving home at a later age. </w:t>
      </w:r>
      <w:r w:rsidR="00EA1A9D" w:rsidRPr="00EA1A9D">
        <w:rPr>
          <w:lang w:val="en-US"/>
        </w:rPr>
        <w:t xml:space="preserve">In Australia, the percentage of men in their late 20s (25-29) living with their parents has increased from 13 % in 1981 to 21% in 2016, and for women it has </w:t>
      </w:r>
      <w:r w:rsidR="00C43B9C">
        <w:rPr>
          <w:lang w:val="en-US"/>
        </w:rPr>
        <w:t>risen</w:t>
      </w:r>
      <w:r w:rsidR="00EA1A9D" w:rsidRPr="00EA1A9D">
        <w:rPr>
          <w:lang w:val="en-US"/>
        </w:rPr>
        <w:t xml:space="preserve"> from 6% to 14% </w:t>
      </w:r>
      <w:r w:rsidR="00675270">
        <w:rPr>
          <w:noProof/>
        </w:rPr>
        <w:t>(Australian Institute of Family Studies, 2021)</w:t>
      </w:r>
      <w:r w:rsidR="00EA1A9D" w:rsidRPr="00EA1A9D">
        <w:rPr>
          <w:lang w:val="en-US"/>
        </w:rPr>
        <w:t xml:space="preserve">. </w:t>
      </w:r>
      <w:r w:rsidR="00EE3B17">
        <w:rPr>
          <w:lang w:val="en-US"/>
        </w:rPr>
        <w:t>These proportions of young people still living in their parental home is</w:t>
      </w:r>
      <w:r w:rsidR="00EA1A9D" w:rsidRPr="00EA1A9D">
        <w:rPr>
          <w:lang w:val="en-US"/>
        </w:rPr>
        <w:t xml:space="preserve"> relatively high compared to that of </w:t>
      </w:r>
      <w:r w:rsidR="002F3C5D">
        <w:rPr>
          <w:lang w:val="en-US"/>
        </w:rPr>
        <w:t>Denmark, where</w:t>
      </w:r>
      <w:r w:rsidR="002F3C5D" w:rsidRPr="00EA1A9D">
        <w:rPr>
          <w:lang w:val="en-US"/>
        </w:rPr>
        <w:t xml:space="preserve"> </w:t>
      </w:r>
      <w:r w:rsidR="00EA1A9D" w:rsidRPr="00EA1A9D">
        <w:rPr>
          <w:lang w:val="en-US"/>
        </w:rPr>
        <w:t>6%</w:t>
      </w:r>
      <w:r w:rsidR="002F3C5D">
        <w:rPr>
          <w:lang w:val="en-US"/>
        </w:rPr>
        <w:t xml:space="preserve"> of men,</w:t>
      </w:r>
      <w:r w:rsidR="00EA1A9D" w:rsidRPr="00EA1A9D">
        <w:rPr>
          <w:lang w:val="en-US"/>
        </w:rPr>
        <w:t xml:space="preserve"> and </w:t>
      </w:r>
      <w:r w:rsidR="002F3C5D">
        <w:rPr>
          <w:lang w:val="en-US"/>
        </w:rPr>
        <w:t xml:space="preserve">4% of </w:t>
      </w:r>
      <w:r w:rsidR="00EA1A9D" w:rsidRPr="00EA1A9D">
        <w:rPr>
          <w:lang w:val="en-US"/>
        </w:rPr>
        <w:t xml:space="preserve">women </w:t>
      </w:r>
      <w:r w:rsidR="002F3C5D">
        <w:rPr>
          <w:lang w:val="en-US"/>
        </w:rPr>
        <w:t>live at home</w:t>
      </w:r>
      <w:r w:rsidR="00EA1A9D" w:rsidRPr="00EA1A9D">
        <w:rPr>
          <w:lang w:val="en-US"/>
        </w:rPr>
        <w:t xml:space="preserve">, </w:t>
      </w:r>
      <w:r w:rsidR="00716A2A">
        <w:rPr>
          <w:lang w:val="en-US"/>
        </w:rPr>
        <w:t xml:space="preserve">but is </w:t>
      </w:r>
      <w:r w:rsidR="00EE3B17">
        <w:rPr>
          <w:lang w:val="en-US"/>
        </w:rPr>
        <w:t xml:space="preserve">considerably lower than other countries such as </w:t>
      </w:r>
      <w:r w:rsidR="00EA1A9D" w:rsidRPr="00EA1A9D">
        <w:rPr>
          <w:lang w:val="en-US"/>
        </w:rPr>
        <w:t xml:space="preserve">Croatia where 87% of men and 53% of </w:t>
      </w:r>
      <w:r w:rsidR="002F3C5D">
        <w:rPr>
          <w:lang w:val="en-US"/>
        </w:rPr>
        <w:t>women</w:t>
      </w:r>
      <w:r w:rsidR="002F3C5D" w:rsidRPr="00EA1A9D">
        <w:rPr>
          <w:lang w:val="en-US"/>
        </w:rPr>
        <w:t xml:space="preserve"> </w:t>
      </w:r>
      <w:r w:rsidR="00EA1A9D" w:rsidRPr="00EA1A9D">
        <w:rPr>
          <w:lang w:val="en-US"/>
        </w:rPr>
        <w:t xml:space="preserve">aged in their late 20s </w:t>
      </w:r>
      <w:r w:rsidR="006F6B14">
        <w:rPr>
          <w:lang w:val="en-US"/>
        </w:rPr>
        <w:t xml:space="preserve">live </w:t>
      </w:r>
      <w:r w:rsidR="00EA1A9D" w:rsidRPr="00EA1A9D">
        <w:rPr>
          <w:lang w:val="en-US"/>
        </w:rPr>
        <w:t xml:space="preserve">with their parents </w:t>
      </w:r>
      <w:r w:rsidR="001244DA">
        <w:rPr>
          <w:noProof/>
        </w:rPr>
        <w:t>(Eurostat, 2021)</w:t>
      </w:r>
      <w:r w:rsidR="00EA1A9D" w:rsidRPr="00EA1A9D">
        <w:rPr>
          <w:lang w:val="en-US"/>
        </w:rPr>
        <w:t xml:space="preserve">. </w:t>
      </w:r>
    </w:p>
    <w:p w14:paraId="3DC7A9D4" w14:textId="628D3112" w:rsidR="000F3E44" w:rsidRDefault="00DE1D5E">
      <w:pPr>
        <w:jc w:val="both"/>
        <w:rPr>
          <w:lang w:val="en-US"/>
        </w:rPr>
      </w:pPr>
      <w:r>
        <w:t>There are, however,</w:t>
      </w:r>
      <w:r w:rsidR="00EE3B17">
        <w:rPr>
          <w:lang w:val="en-US"/>
        </w:rPr>
        <w:t xml:space="preserve"> cultural differences</w:t>
      </w:r>
      <w:r w:rsidR="0056424D">
        <w:rPr>
          <w:lang w:val="en-US"/>
        </w:rPr>
        <w:t xml:space="preserve"> </w:t>
      </w:r>
      <w:r w:rsidR="00675270">
        <w:rPr>
          <w:lang w:val="en-US"/>
        </w:rPr>
        <w:t>in</w:t>
      </w:r>
      <w:r w:rsidR="0056424D">
        <w:rPr>
          <w:lang w:val="en-US"/>
        </w:rPr>
        <w:t xml:space="preserve"> the importance attached to home ownership also depends on the rental market, including the quality of rental homes, the rights of renters and </w:t>
      </w:r>
      <w:r w:rsidR="00603864">
        <w:rPr>
          <w:lang w:val="en-US"/>
        </w:rPr>
        <w:t>the difference in costs between rents and mortgages</w:t>
      </w:r>
      <w:r w:rsidR="00EE3B17">
        <w:rPr>
          <w:lang w:val="en-US"/>
        </w:rPr>
        <w:t>.</w:t>
      </w:r>
      <w:r w:rsidR="000D1017">
        <w:rPr>
          <w:lang w:val="en-US"/>
        </w:rPr>
        <w:t xml:space="preserve"> The importance of home ownership before starting a family is particularly strong in Anglo-Saxon countries such as the United Kingdom and Australia (Mulder &amp; Billari</w:t>
      </w:r>
      <w:r w:rsidR="004F616F">
        <w:rPr>
          <w:lang w:val="en-US"/>
        </w:rPr>
        <w:t>,</w:t>
      </w:r>
      <w:r w:rsidR="000D1017">
        <w:rPr>
          <w:lang w:val="en-US"/>
        </w:rPr>
        <w:t xml:space="preserve"> 2010).</w:t>
      </w:r>
      <w:r w:rsidR="00EE3B17">
        <w:rPr>
          <w:lang w:val="en-US"/>
        </w:rPr>
        <w:t xml:space="preserve"> </w:t>
      </w:r>
      <w:r w:rsidR="00EE3B17" w:rsidRPr="00EA1A9D">
        <w:rPr>
          <w:lang w:val="en-US"/>
        </w:rPr>
        <w:t>In Italy</w:t>
      </w:r>
      <w:r w:rsidR="00EE3B17">
        <w:rPr>
          <w:lang w:val="en-US"/>
        </w:rPr>
        <w:t xml:space="preserve"> housing security, rather than home ownership </w:t>
      </w:r>
      <w:r w:rsidR="00EE3B17" w:rsidRPr="006F6B14">
        <w:rPr>
          <w:i/>
          <w:lang w:val="en-US"/>
        </w:rPr>
        <w:t>per se</w:t>
      </w:r>
      <w:r w:rsidR="00EE3B17">
        <w:rPr>
          <w:lang w:val="en-US"/>
        </w:rPr>
        <w:t xml:space="preserve">, was found to be important.  A </w:t>
      </w:r>
      <w:r w:rsidR="00EE3B17" w:rsidRPr="00EA1A9D">
        <w:rPr>
          <w:lang w:val="en-US"/>
        </w:rPr>
        <w:t xml:space="preserve">clear positive gradient </w:t>
      </w:r>
      <w:r w:rsidR="00EE3B17">
        <w:rPr>
          <w:lang w:val="en-US"/>
        </w:rPr>
        <w:t xml:space="preserve">was found </w:t>
      </w:r>
      <w:r w:rsidR="00EE3B17" w:rsidRPr="00EA1A9D">
        <w:rPr>
          <w:lang w:val="en-US"/>
        </w:rPr>
        <w:t>between the fertility intentions of couples</w:t>
      </w:r>
      <w:r w:rsidR="00EE3B17">
        <w:rPr>
          <w:lang w:val="en-US"/>
        </w:rPr>
        <w:t xml:space="preserve"> and plans to have a first child </w:t>
      </w:r>
      <w:r w:rsidR="00EE3B17" w:rsidRPr="00EA1A9D">
        <w:rPr>
          <w:lang w:val="en-US"/>
        </w:rPr>
        <w:t xml:space="preserve"> and the degree to which they fe</w:t>
      </w:r>
      <w:r w:rsidR="00EE3B17">
        <w:rPr>
          <w:lang w:val="en-US"/>
        </w:rPr>
        <w:t>lt</w:t>
      </w:r>
      <w:r w:rsidR="00EE3B17" w:rsidRPr="00EA1A9D">
        <w:rPr>
          <w:lang w:val="en-US"/>
        </w:rPr>
        <w:t xml:space="preserve"> secure about their housing situation - whether renters or home owners </w:t>
      </w:r>
      <w:r w:rsidR="006347FD">
        <w:rPr>
          <w:noProof/>
        </w:rPr>
        <w:t xml:space="preserve">(Vignoli, </w:t>
      </w:r>
      <w:r w:rsidR="00B95174" w:rsidRPr="00B95174">
        <w:rPr>
          <w:i/>
          <w:noProof/>
        </w:rPr>
        <w:t>et al.</w:t>
      </w:r>
      <w:r w:rsidR="006347FD">
        <w:rPr>
          <w:noProof/>
        </w:rPr>
        <w:t xml:space="preserve"> 2012)</w:t>
      </w:r>
      <w:r w:rsidR="00EE3B17" w:rsidRPr="00EA1A9D">
        <w:rPr>
          <w:lang w:val="en-US"/>
        </w:rPr>
        <w:t xml:space="preserve">. </w:t>
      </w:r>
    </w:p>
    <w:p w14:paraId="38455E0B" w14:textId="3112AF23" w:rsidR="00E2531A" w:rsidRDefault="00E2531A">
      <w:pPr>
        <w:jc w:val="both"/>
        <w:rPr>
          <w:lang w:val="en-US"/>
        </w:rPr>
      </w:pPr>
      <w:r>
        <w:rPr>
          <w:lang w:val="en-US"/>
        </w:rPr>
        <w:t xml:space="preserve">At the same time, housing is an important source of wealth and investment for home-owners, and an increase in the price of housing could lead to higher fertility. In Australia, a recent study by Atalay, </w:t>
      </w:r>
      <w:r w:rsidR="00B95174" w:rsidRPr="00B95174">
        <w:rPr>
          <w:i/>
          <w:lang w:val="en-US"/>
        </w:rPr>
        <w:t>et al.</w:t>
      </w:r>
      <w:r>
        <w:rPr>
          <w:lang w:val="en-US"/>
        </w:rPr>
        <w:t xml:space="preserve"> (2021) highlighted the opposite effects of increase in house prices among home-owners and renters. Using data from HILDA, they found that a </w:t>
      </w:r>
      <w:r w:rsidR="00716A2A">
        <w:rPr>
          <w:lang w:val="en-US"/>
        </w:rPr>
        <w:t>$</w:t>
      </w:r>
      <w:r>
        <w:rPr>
          <w:lang w:val="en-US"/>
        </w:rPr>
        <w:t xml:space="preserve">100,000 increase in housing wealth among home </w:t>
      </w:r>
      <w:r w:rsidR="005169AA">
        <w:rPr>
          <w:lang w:val="en-US"/>
        </w:rPr>
        <w:t>ow</w:t>
      </w:r>
      <w:r>
        <w:rPr>
          <w:lang w:val="en-US"/>
        </w:rPr>
        <w:t xml:space="preserve">ners was associated with an 18% increase in the probability of having a child. At the same time for those who were renting, this was associated with a decreased probability of having a child among renters. </w:t>
      </w:r>
    </w:p>
    <w:p w14:paraId="581DCCF1" w14:textId="66395259" w:rsidR="002F4E7F" w:rsidRDefault="00DE1D5E" w:rsidP="002F4E7F">
      <w:pPr>
        <w:jc w:val="both"/>
      </w:pPr>
      <w:r>
        <w:lastRenderedPageBreak/>
        <w:t xml:space="preserve">In addition to housing tenure, other </w:t>
      </w:r>
      <w:r w:rsidR="000D1017">
        <w:t xml:space="preserve">aspects </w:t>
      </w:r>
      <w:r w:rsidR="00EB2EAB">
        <w:t xml:space="preserve">of </w:t>
      </w:r>
      <w:r>
        <w:t xml:space="preserve">housing may also influence fertility dynamics. For instance, the </w:t>
      </w:r>
      <w:r w:rsidRPr="002D78CE">
        <w:rPr>
          <w:i/>
          <w:iCs/>
        </w:rPr>
        <w:t xml:space="preserve">type </w:t>
      </w:r>
      <w:r w:rsidR="00E2531A" w:rsidRPr="002D78CE">
        <w:rPr>
          <w:i/>
          <w:iCs/>
        </w:rPr>
        <w:t>and size</w:t>
      </w:r>
      <w:r w:rsidR="00E2531A">
        <w:t xml:space="preserve"> </w:t>
      </w:r>
      <w:r>
        <w:t xml:space="preserve">of </w:t>
      </w:r>
      <w:r w:rsidR="00E2531A">
        <w:t xml:space="preserve">the </w:t>
      </w:r>
      <w:r>
        <w:t xml:space="preserve">house where couples live is also associated with how many children they have. </w:t>
      </w:r>
      <w:r w:rsidR="00F971AF">
        <w:t xml:space="preserve">Children require more living space and additional bedrooms, compared to what is required for a childless couple (Flynn, 2017). </w:t>
      </w:r>
      <w:r>
        <w:t>Fertility tends to be higher among couples in single-family houses or in larger dwellings and lower among those living in apartments or multi-family units (Kulu &amp; Vikat</w:t>
      </w:r>
      <w:r w:rsidR="004F616F">
        <w:t>,</w:t>
      </w:r>
      <w:r>
        <w:t xml:space="preserve"> 2007; Curry &amp; Scriven</w:t>
      </w:r>
      <w:r w:rsidR="004F616F">
        <w:t>,</w:t>
      </w:r>
      <w:r>
        <w:t xml:space="preserve"> 1978; Paydarfar</w:t>
      </w:r>
      <w:r w:rsidR="004F616F">
        <w:t>,</w:t>
      </w:r>
      <w:r>
        <w:t xml:space="preserve"> 1995). Most of these fertility differentials across housing types may be due to selective moves, i.e. couples move to a different type of house because they aspire to have children and it is not the house </w:t>
      </w:r>
      <w:r w:rsidRPr="007E15F6">
        <w:rPr>
          <w:i/>
        </w:rPr>
        <w:t>per se</w:t>
      </w:r>
      <w:r>
        <w:t xml:space="preserve"> that affects their childbearing plans. However, the trend sheds light on the link between living arrangements and fertility behaviours. It has also been shown  </w:t>
      </w:r>
      <w:r w:rsidR="00EB2EAB">
        <w:t>that</w:t>
      </w:r>
      <w:r>
        <w:t xml:space="preserve"> couples living in spacious and family-friendly environments for a relatively long time are more likely to have a third child (Kulu &amp; Vikat</w:t>
      </w:r>
      <w:r w:rsidR="004F616F">
        <w:t>,</w:t>
      </w:r>
      <w:r>
        <w:t xml:space="preserve"> 2007), while couples living in crowded apartments with little option of moving elsewhere tend to reduce fertility (Felson and Solaun</w:t>
      </w:r>
      <w:r w:rsidR="004F616F">
        <w:t>,</w:t>
      </w:r>
      <w:r>
        <w:t xml:space="preserve"> 1975). </w:t>
      </w:r>
    </w:p>
    <w:p w14:paraId="0B866037" w14:textId="1A7184F8" w:rsidR="002F4E7F" w:rsidRDefault="002F4E7F" w:rsidP="002F4E7F">
      <w:pPr>
        <w:jc w:val="both"/>
        <w:rPr>
          <w:rStyle w:val="normaltextrun"/>
        </w:rPr>
      </w:pPr>
      <w:r>
        <w:rPr>
          <w:rStyle w:val="normaltextrun"/>
        </w:rPr>
        <w:t>The outbreak of the COVID-19 pandemic in January 2020 has triggered an unprecedented increase in uncertainty that will likely affect the fertility behaviour of couples in the coming years (Aassve</w:t>
      </w:r>
      <w:r w:rsidR="00C74A17">
        <w:rPr>
          <w:rStyle w:val="normaltextrun"/>
        </w:rPr>
        <w:t>,</w:t>
      </w:r>
      <w:r>
        <w:rPr>
          <w:rStyle w:val="normaltextrun"/>
        </w:rPr>
        <w:t xml:space="preserve"> </w:t>
      </w:r>
      <w:r w:rsidRPr="00C74A17">
        <w:rPr>
          <w:rStyle w:val="normaltextrun"/>
          <w:i/>
          <w:iCs/>
        </w:rPr>
        <w:t>et al</w:t>
      </w:r>
      <w:r>
        <w:rPr>
          <w:rStyle w:val="normaltextrun"/>
        </w:rPr>
        <w:t>. 2020)</w:t>
      </w:r>
      <w:r w:rsidRPr="000A2842">
        <w:rPr>
          <w:rStyle w:val="normaltextrun"/>
        </w:rPr>
        <w:t xml:space="preserve">. A number of studies has shown that COVID-19 </w:t>
      </w:r>
      <w:r>
        <w:rPr>
          <w:rStyle w:val="normaltextrun"/>
        </w:rPr>
        <w:t>is reshaping</w:t>
      </w:r>
      <w:r w:rsidRPr="000A2842">
        <w:rPr>
          <w:rStyle w:val="normaltextrun"/>
        </w:rPr>
        <w:t xml:space="preserve"> individuals’ views regarding having </w:t>
      </w:r>
      <w:r>
        <w:rPr>
          <w:rStyle w:val="normaltextrun"/>
        </w:rPr>
        <w:t>a</w:t>
      </w:r>
      <w:r w:rsidRPr="000A2842">
        <w:rPr>
          <w:rStyle w:val="normaltextrun"/>
        </w:rPr>
        <w:t xml:space="preserve"> first or </w:t>
      </w:r>
      <w:r>
        <w:rPr>
          <w:rStyle w:val="normaltextrun"/>
        </w:rPr>
        <w:t>additional child and that the pandemic is likely to lead to further fertility postponement, as couples are reluctant to plan to have children in uncertain times (Lindberg</w:t>
      </w:r>
      <w:r w:rsidR="00C74A17">
        <w:rPr>
          <w:rStyle w:val="normaltextrun"/>
        </w:rPr>
        <w:t>,</w:t>
      </w:r>
      <w:r>
        <w:rPr>
          <w:rStyle w:val="normaltextrun"/>
        </w:rPr>
        <w:t xml:space="preserve"> </w:t>
      </w:r>
      <w:r w:rsidRPr="00C74A17">
        <w:rPr>
          <w:rStyle w:val="normaltextrun"/>
          <w:i/>
          <w:iCs/>
        </w:rPr>
        <w:t>et al</w:t>
      </w:r>
      <w:r>
        <w:rPr>
          <w:rStyle w:val="normaltextrun"/>
        </w:rPr>
        <w:t>. 2020; Malicka</w:t>
      </w:r>
      <w:r w:rsidR="00C74A17">
        <w:rPr>
          <w:rStyle w:val="normaltextrun"/>
        </w:rPr>
        <w:t>,</w:t>
      </w:r>
      <w:r>
        <w:rPr>
          <w:rStyle w:val="normaltextrun"/>
        </w:rPr>
        <w:t xml:space="preserve"> </w:t>
      </w:r>
      <w:r w:rsidRPr="00C74A17">
        <w:rPr>
          <w:rStyle w:val="normaltextrun"/>
          <w:i/>
          <w:iCs/>
        </w:rPr>
        <w:t>et al</w:t>
      </w:r>
      <w:r>
        <w:rPr>
          <w:rStyle w:val="normaltextrun"/>
        </w:rPr>
        <w:t>. 2021)</w:t>
      </w:r>
      <w:r w:rsidRPr="000A2842">
        <w:rPr>
          <w:rStyle w:val="normaltextrun"/>
        </w:rPr>
        <w:t xml:space="preserve">. In Australia, </w:t>
      </w:r>
      <w:r>
        <w:rPr>
          <w:rStyle w:val="normaltextrun"/>
        </w:rPr>
        <w:t xml:space="preserve">almost </w:t>
      </w:r>
      <w:r w:rsidRPr="000A2842">
        <w:rPr>
          <w:rStyle w:val="normaltextrun"/>
        </w:rPr>
        <w:t xml:space="preserve">one-fifth of women </w:t>
      </w:r>
      <w:r>
        <w:rPr>
          <w:rStyle w:val="normaltextrun"/>
        </w:rPr>
        <w:t xml:space="preserve">under 40 </w:t>
      </w:r>
      <w:r w:rsidRPr="000A2842">
        <w:rPr>
          <w:rStyle w:val="normaltextrun"/>
        </w:rPr>
        <w:t>reported that COVID-19 had an impact on their childbearing intentions, with the majority of them indicating that their plans have been either delayed or, to a lower degree, abandoned (Qu</w:t>
      </w:r>
      <w:r w:rsidR="004F616F">
        <w:rPr>
          <w:rStyle w:val="normaltextrun"/>
        </w:rPr>
        <w:t>,</w:t>
      </w:r>
      <w:r w:rsidRPr="000A2842">
        <w:rPr>
          <w:rStyle w:val="normaltextrun"/>
        </w:rPr>
        <w:t xml:space="preserve"> 2021).</w:t>
      </w:r>
      <w:r>
        <w:rPr>
          <w:rStyle w:val="normaltextrun"/>
        </w:rPr>
        <w:t xml:space="preserve"> McDonald (2021) estimated that 70-80% of the births that have been deferred due to COVID will eventually</w:t>
      </w:r>
      <w:r w:rsidR="00E412DC">
        <w:rPr>
          <w:rStyle w:val="normaltextrun"/>
        </w:rPr>
        <w:t xml:space="preserve"> be</w:t>
      </w:r>
      <w:r>
        <w:rPr>
          <w:rStyle w:val="normaltextrun"/>
        </w:rPr>
        <w:t xml:space="preserve"> achieved by 2032.  </w:t>
      </w:r>
    </w:p>
    <w:p w14:paraId="2274F251" w14:textId="77777777" w:rsidR="002F4E7F" w:rsidRPr="009F3FE3" w:rsidRDefault="002F4E7F" w:rsidP="002D78CE">
      <w:pPr>
        <w:jc w:val="both"/>
      </w:pPr>
    </w:p>
    <w:p w14:paraId="7798BFB1" w14:textId="2E296148" w:rsidR="00F204C0" w:rsidRDefault="001001A5" w:rsidP="00BC5105">
      <w:pPr>
        <w:pStyle w:val="Heading2"/>
        <w:spacing w:line="276" w:lineRule="auto"/>
        <w:jc w:val="both"/>
      </w:pPr>
      <w:bookmarkStart w:id="44" w:name="_Toc87454606"/>
      <w:bookmarkStart w:id="45" w:name="_Toc98404954"/>
      <w:r>
        <w:t>Social norms and lifestyles</w:t>
      </w:r>
      <w:bookmarkEnd w:id="44"/>
      <w:bookmarkEnd w:id="45"/>
    </w:p>
    <w:p w14:paraId="6D8B67CB" w14:textId="50C1A3AE" w:rsidR="00E7449A" w:rsidRDefault="00037447" w:rsidP="00BC5105">
      <w:pPr>
        <w:spacing w:line="276" w:lineRule="auto"/>
        <w:jc w:val="both"/>
        <w:rPr>
          <w:rFonts w:cstheme="minorHAnsi"/>
        </w:rPr>
      </w:pPr>
      <w:r>
        <w:rPr>
          <w:rFonts w:cstheme="minorHAnsi"/>
        </w:rPr>
        <w:t xml:space="preserve">Social norms and lifestyles are another </w:t>
      </w:r>
      <w:r w:rsidR="002C0271">
        <w:rPr>
          <w:rFonts w:cstheme="minorHAnsi"/>
        </w:rPr>
        <w:t>vital</w:t>
      </w:r>
      <w:r>
        <w:rPr>
          <w:rFonts w:cstheme="minorHAnsi"/>
        </w:rPr>
        <w:t xml:space="preserve"> dimension which influence reproductive choices. While economists stress the importance of costs and benefits of children and broader economic factors, the sociocultural</w:t>
      </w:r>
      <w:r w:rsidRPr="003635BF">
        <w:rPr>
          <w:rFonts w:cstheme="minorHAnsi"/>
        </w:rPr>
        <w:t xml:space="preserve"> incompatibility between mother and worker roles</w:t>
      </w:r>
      <w:r w:rsidR="00037E41">
        <w:rPr>
          <w:rFonts w:cstheme="minorHAnsi"/>
        </w:rPr>
        <w:t>,</w:t>
      </w:r>
      <w:r w:rsidRPr="003635BF">
        <w:rPr>
          <w:rFonts w:cstheme="minorHAnsi"/>
        </w:rPr>
        <w:t xml:space="preserve"> </w:t>
      </w:r>
      <w:r>
        <w:rPr>
          <w:rFonts w:cstheme="minorHAnsi"/>
        </w:rPr>
        <w:t xml:space="preserve">is seen as equally </w:t>
      </w:r>
      <w:r w:rsidRPr="00EA2EC5">
        <w:rPr>
          <w:rFonts w:cstheme="minorHAnsi"/>
        </w:rPr>
        <w:t>important</w:t>
      </w:r>
      <w:r w:rsidR="003C212B" w:rsidRPr="00EA2EC5">
        <w:rPr>
          <w:rFonts w:cstheme="minorHAnsi"/>
        </w:rPr>
        <w:t>.</w:t>
      </w:r>
      <w:r w:rsidRPr="00EA2EC5">
        <w:rPr>
          <w:rFonts w:cstheme="minorHAnsi"/>
        </w:rPr>
        <w:t xml:space="preserve"> </w:t>
      </w:r>
      <w:r w:rsidR="003C212B" w:rsidRPr="00D85E82">
        <w:rPr>
          <w:rFonts w:cstheme="minorHAnsi"/>
        </w:rPr>
        <w:t xml:space="preserve">In many countries, the increase in </w:t>
      </w:r>
      <w:r w:rsidR="003C212B" w:rsidRPr="006811C9">
        <w:rPr>
          <w:rFonts w:cstheme="minorHAnsi"/>
        </w:rPr>
        <w:t xml:space="preserve">women’s participation in education and employment </w:t>
      </w:r>
      <w:r w:rsidR="003C212B" w:rsidRPr="007915DC">
        <w:rPr>
          <w:rFonts w:cstheme="minorHAnsi"/>
        </w:rPr>
        <w:t>has not been accompanied by an equivalent shift away from social norms prescribing mothers as primary carers</w:t>
      </w:r>
      <w:r w:rsidR="003C212B" w:rsidRPr="00EA2EC5">
        <w:rPr>
          <w:rFonts w:cstheme="minorHAnsi"/>
        </w:rPr>
        <w:t xml:space="preserve"> </w:t>
      </w:r>
      <w:r w:rsidR="00675270" w:rsidRPr="007E15F6">
        <w:rPr>
          <w:rFonts w:cstheme="minorHAnsi"/>
          <w:noProof/>
        </w:rPr>
        <w:t>(Wood &amp; Neels, 2019)</w:t>
      </w:r>
      <w:r w:rsidRPr="00EA2EC5">
        <w:rPr>
          <w:rFonts w:cstheme="minorHAnsi"/>
        </w:rPr>
        <w:t>.</w:t>
      </w:r>
      <w:r w:rsidRPr="00EA2EC5">
        <w:t xml:space="preserve"> </w:t>
      </w:r>
      <w:r w:rsidR="00735314" w:rsidRPr="00EA2EC5">
        <w:rPr>
          <w:rFonts w:cstheme="minorHAnsi"/>
        </w:rPr>
        <w:t>Despite</w:t>
      </w:r>
      <w:r w:rsidRPr="00EA2EC5">
        <w:rPr>
          <w:rFonts w:cstheme="minorHAnsi"/>
        </w:rPr>
        <w:t xml:space="preserve"> the increase in du</w:t>
      </w:r>
      <w:r w:rsidRPr="00D85E82">
        <w:rPr>
          <w:rFonts w:cstheme="minorHAnsi"/>
        </w:rPr>
        <w:t xml:space="preserve">al-earner families, </w:t>
      </w:r>
      <w:r w:rsidR="00037E41" w:rsidRPr="006811C9">
        <w:rPr>
          <w:rFonts w:cstheme="minorHAnsi"/>
        </w:rPr>
        <w:t>household labour is still largely</w:t>
      </w:r>
      <w:r w:rsidR="00037E41">
        <w:rPr>
          <w:rFonts w:cstheme="minorHAnsi"/>
        </w:rPr>
        <w:t xml:space="preserve"> divided</w:t>
      </w:r>
      <w:r w:rsidRPr="003635BF">
        <w:rPr>
          <w:rFonts w:cstheme="minorHAnsi"/>
        </w:rPr>
        <w:t xml:space="preserve"> along traditional lines, with women bearing the majority of it </w:t>
      </w:r>
      <w:r w:rsidR="00675270" w:rsidRPr="007E15F6">
        <w:rPr>
          <w:rFonts w:cstheme="minorHAnsi"/>
          <w:noProof/>
        </w:rPr>
        <w:t>(Geist, 2005; Ruppaner &amp; Huffman, 2013)</w:t>
      </w:r>
      <w:r w:rsidRPr="003635BF">
        <w:rPr>
          <w:rFonts w:cstheme="minorHAnsi"/>
        </w:rPr>
        <w:t xml:space="preserve">. </w:t>
      </w:r>
      <w:r w:rsidR="00735314">
        <w:rPr>
          <w:rFonts w:cstheme="minorHAnsi"/>
        </w:rPr>
        <w:t xml:space="preserve">This </w:t>
      </w:r>
      <w:r w:rsidR="00CA683D">
        <w:rPr>
          <w:rFonts w:cstheme="minorHAnsi"/>
        </w:rPr>
        <w:t>‘</w:t>
      </w:r>
      <w:r w:rsidR="00EB2EAB">
        <w:rPr>
          <w:rFonts w:cstheme="minorHAnsi"/>
        </w:rPr>
        <w:t>second</w:t>
      </w:r>
      <w:r w:rsidR="00CA683D">
        <w:rPr>
          <w:rFonts w:cstheme="minorHAnsi"/>
        </w:rPr>
        <w:t>’</w:t>
      </w:r>
      <w:r w:rsidR="00EB2EAB">
        <w:rPr>
          <w:rFonts w:cstheme="minorHAnsi"/>
        </w:rPr>
        <w:t xml:space="preserve"> or </w:t>
      </w:r>
      <w:r w:rsidR="00CA683D">
        <w:rPr>
          <w:rFonts w:cstheme="minorHAnsi"/>
        </w:rPr>
        <w:t>‘</w:t>
      </w:r>
      <w:r w:rsidR="00735314">
        <w:rPr>
          <w:rFonts w:cstheme="minorHAnsi"/>
        </w:rPr>
        <w:t>double shift</w:t>
      </w:r>
      <w:r w:rsidR="00CA683D">
        <w:rPr>
          <w:rFonts w:cstheme="minorHAnsi"/>
        </w:rPr>
        <w:t>’</w:t>
      </w:r>
      <w:r w:rsidR="00735314">
        <w:rPr>
          <w:rFonts w:cstheme="minorHAnsi"/>
        </w:rPr>
        <w:t xml:space="preserve"> phenomenon </w:t>
      </w:r>
      <w:r w:rsidR="006347FD">
        <w:rPr>
          <w:rFonts w:cstheme="minorHAnsi"/>
          <w:noProof/>
        </w:rPr>
        <w:t>(</w:t>
      </w:r>
      <w:r w:rsidR="00EB2EAB">
        <w:rPr>
          <w:rFonts w:cstheme="minorHAnsi"/>
          <w:noProof/>
        </w:rPr>
        <w:t xml:space="preserve">Hochschild 1989; </w:t>
      </w:r>
      <w:r w:rsidR="006347FD">
        <w:rPr>
          <w:rFonts w:cstheme="minorHAnsi"/>
          <w:noProof/>
        </w:rPr>
        <w:t>Esping-Andersen, 2017)</w:t>
      </w:r>
      <w:r w:rsidRPr="003635BF">
        <w:rPr>
          <w:rFonts w:cstheme="minorHAnsi"/>
        </w:rPr>
        <w:t xml:space="preserve"> has </w:t>
      </w:r>
      <w:r w:rsidR="007915DC">
        <w:rPr>
          <w:rFonts w:cstheme="minorHAnsi"/>
        </w:rPr>
        <w:t xml:space="preserve">also </w:t>
      </w:r>
      <w:r w:rsidRPr="003635BF">
        <w:rPr>
          <w:rFonts w:cstheme="minorHAnsi"/>
        </w:rPr>
        <w:t xml:space="preserve">been observed in the Australian context, where women continue to be more involved in domestic activities </w:t>
      </w:r>
      <w:r>
        <w:rPr>
          <w:rFonts w:cstheme="minorHAnsi"/>
        </w:rPr>
        <w:t xml:space="preserve">than men </w:t>
      </w:r>
      <w:r w:rsidR="00675270" w:rsidRPr="007E15F6">
        <w:rPr>
          <w:rFonts w:cstheme="minorHAnsi"/>
          <w:noProof/>
        </w:rPr>
        <w:t>(Baxter, 2002)</w:t>
      </w:r>
      <w:r w:rsidRPr="003635BF">
        <w:rPr>
          <w:rFonts w:cstheme="minorHAnsi"/>
        </w:rPr>
        <w:t xml:space="preserve">, especially after the birth of a </w:t>
      </w:r>
      <w:r>
        <w:rPr>
          <w:rFonts w:cstheme="minorHAnsi"/>
        </w:rPr>
        <w:t xml:space="preserve">first </w:t>
      </w:r>
      <w:r w:rsidRPr="003635BF">
        <w:rPr>
          <w:rFonts w:cstheme="minorHAnsi"/>
        </w:rPr>
        <w:t xml:space="preserve">child </w:t>
      </w:r>
      <w:r w:rsidR="006347FD">
        <w:rPr>
          <w:rFonts w:cstheme="minorHAnsi"/>
          <w:noProof/>
        </w:rPr>
        <w:t xml:space="preserve">(Baxter, </w:t>
      </w:r>
      <w:r w:rsidR="00B95174" w:rsidRPr="00B95174">
        <w:rPr>
          <w:rFonts w:cstheme="minorHAnsi"/>
          <w:i/>
          <w:noProof/>
        </w:rPr>
        <w:t>et al.,</w:t>
      </w:r>
      <w:r w:rsidR="006347FD">
        <w:rPr>
          <w:rFonts w:cstheme="minorHAnsi"/>
          <w:noProof/>
        </w:rPr>
        <w:t xml:space="preserve"> 2008)</w:t>
      </w:r>
      <w:r w:rsidR="000A4949">
        <w:rPr>
          <w:rFonts w:cstheme="minorHAnsi"/>
        </w:rPr>
        <w:t xml:space="preserve">. </w:t>
      </w:r>
      <w:r w:rsidR="00E7449A">
        <w:rPr>
          <w:rFonts w:cstheme="minorHAnsi"/>
        </w:rPr>
        <w:t xml:space="preserve"> An analysis of ABS time use data from 1997 found that combining hours </w:t>
      </w:r>
      <w:r w:rsidR="005169AA">
        <w:rPr>
          <w:rFonts w:cstheme="minorHAnsi"/>
        </w:rPr>
        <w:t xml:space="preserve">spent </w:t>
      </w:r>
      <w:r w:rsidR="00E7449A">
        <w:rPr>
          <w:rFonts w:cstheme="minorHAnsi"/>
        </w:rPr>
        <w:t xml:space="preserve">on unpaid work (housework and </w:t>
      </w:r>
      <w:r w:rsidR="009F7190">
        <w:rPr>
          <w:rFonts w:cstheme="minorHAnsi"/>
        </w:rPr>
        <w:t>child care</w:t>
      </w:r>
      <w:r w:rsidR="00E7449A">
        <w:rPr>
          <w:rFonts w:cstheme="minorHAnsi"/>
        </w:rPr>
        <w:t xml:space="preserve">) as well as paid employed work, for men and women with no children the average hours spent on all work was 60 hours a week </w:t>
      </w:r>
      <w:r w:rsidR="00675270" w:rsidRPr="007E15F6">
        <w:rPr>
          <w:rFonts w:cstheme="minorHAnsi"/>
          <w:noProof/>
        </w:rPr>
        <w:t>(Wright, 2007)</w:t>
      </w:r>
      <w:r w:rsidR="00E7449A">
        <w:rPr>
          <w:rFonts w:cstheme="minorHAnsi"/>
        </w:rPr>
        <w:t xml:space="preserve">. For those with 1 child, men’s hours increased to 74 hours per week, and women’s to 86 per week. For those with 2 children, men’s hours were on average 82 and women’s 98. </w:t>
      </w:r>
    </w:p>
    <w:p w14:paraId="41663938" w14:textId="04DEA25C" w:rsidR="000A4949" w:rsidRDefault="00867FBA" w:rsidP="00BC5105">
      <w:pPr>
        <w:spacing w:line="276" w:lineRule="auto"/>
        <w:jc w:val="both"/>
        <w:rPr>
          <w:rFonts w:cstheme="minorHAnsi"/>
        </w:rPr>
      </w:pPr>
      <w:r>
        <w:rPr>
          <w:rFonts w:cstheme="minorHAnsi"/>
        </w:rPr>
        <w:t xml:space="preserve">Several studies have found </w:t>
      </w:r>
      <w:r w:rsidR="000A4949">
        <w:rPr>
          <w:rFonts w:cstheme="minorHAnsi"/>
        </w:rPr>
        <w:t xml:space="preserve">a positive relationship between male contributions to housework and fertility intentions as well as realised fertility </w:t>
      </w:r>
      <w:r w:rsidR="001244DA" w:rsidRPr="00BC70D8">
        <w:rPr>
          <w:rFonts w:cstheme="minorHAnsi"/>
          <w:noProof/>
        </w:rPr>
        <w:t>(Harknett, Billari, &amp; Medalia, 2014; Yan &amp; Hertog, 2017)</w:t>
      </w:r>
      <w:r>
        <w:rPr>
          <w:rFonts w:cstheme="minorHAnsi"/>
        </w:rPr>
        <w:t xml:space="preserve">, although there are differences by social context </w:t>
      </w:r>
      <w:r w:rsidR="00675270" w:rsidRPr="007E15F6">
        <w:rPr>
          <w:rFonts w:cstheme="minorHAnsi"/>
          <w:noProof/>
        </w:rPr>
        <w:t>(Osiewalska, 2018)</w:t>
      </w:r>
      <w:r>
        <w:rPr>
          <w:rFonts w:cstheme="minorHAnsi"/>
        </w:rPr>
        <w:t xml:space="preserve">. In Australia, among couples with one child </w:t>
      </w:r>
      <w:r w:rsidR="00DB4DC6">
        <w:rPr>
          <w:rFonts w:cstheme="minorHAnsi"/>
        </w:rPr>
        <w:t xml:space="preserve">a higher </w:t>
      </w:r>
      <w:r>
        <w:rPr>
          <w:rFonts w:cstheme="minorHAnsi"/>
        </w:rPr>
        <w:t xml:space="preserve">domestic workload of mothers was found to be negatively associated with further childbearing, although father’s share of housework was not associated with fertility </w:t>
      </w:r>
      <w:r w:rsidR="00675270" w:rsidRPr="007E15F6">
        <w:rPr>
          <w:rFonts w:cstheme="minorHAnsi"/>
          <w:noProof/>
        </w:rPr>
        <w:t>(Craig &amp; Siminski, 2010)</w:t>
      </w:r>
      <w:r>
        <w:rPr>
          <w:rFonts w:cstheme="minorHAnsi"/>
        </w:rPr>
        <w:t xml:space="preserve">. </w:t>
      </w:r>
    </w:p>
    <w:p w14:paraId="3174E316" w14:textId="44D6BC00" w:rsidR="00CA52C4" w:rsidRDefault="00735314" w:rsidP="00BC5105">
      <w:pPr>
        <w:spacing w:line="276" w:lineRule="auto"/>
        <w:jc w:val="both"/>
      </w:pPr>
      <w:r>
        <w:rPr>
          <w:rFonts w:cstheme="minorHAnsi"/>
          <w:lang w:val="en-US"/>
        </w:rPr>
        <w:lastRenderedPageBreak/>
        <w:t>Social attitudes towards families, and women’s gender roles vary greatly across countries. In Nordic countries</w:t>
      </w:r>
      <w:r w:rsidR="006F6B14">
        <w:rPr>
          <w:rFonts w:cstheme="minorHAnsi"/>
          <w:lang w:val="en-US"/>
        </w:rPr>
        <w:t>,</w:t>
      </w:r>
      <w:r>
        <w:rPr>
          <w:rFonts w:cstheme="minorHAnsi"/>
          <w:lang w:val="en-US"/>
        </w:rPr>
        <w:t xml:space="preserve"> attitudes towards women are more gender neutral, whereas in Southern Europe and East Asia there is a stronger adherence </w:t>
      </w:r>
      <w:r w:rsidR="000A4949">
        <w:rPr>
          <w:rFonts w:cstheme="minorHAnsi"/>
          <w:lang w:val="en-US"/>
        </w:rPr>
        <w:t xml:space="preserve">to </w:t>
      </w:r>
      <w:r>
        <w:rPr>
          <w:rFonts w:cstheme="minorHAnsi"/>
          <w:lang w:val="en-US"/>
        </w:rPr>
        <w:t>the male breadwinner model</w:t>
      </w:r>
      <w:r w:rsidR="001E0F6C">
        <w:rPr>
          <w:rFonts w:cstheme="minorHAnsi"/>
          <w:noProof/>
        </w:rPr>
        <w:t xml:space="preserve"> (Sobokta, e al. 2020)</w:t>
      </w:r>
      <w:r w:rsidR="00037447" w:rsidRPr="003635BF">
        <w:rPr>
          <w:rFonts w:cstheme="minorHAnsi"/>
          <w:lang w:val="en-US"/>
        </w:rPr>
        <w:t xml:space="preserve">. </w:t>
      </w:r>
      <w:r>
        <w:t xml:space="preserve">Comparing Australia and Sweden, we can see the differences in attitudes towards </w:t>
      </w:r>
      <w:r w:rsidR="000A4949">
        <w:t>the male breadwinner model</w:t>
      </w:r>
      <w:r>
        <w:t xml:space="preserve">. According to the International Social Survey Programme, in Australia </w:t>
      </w:r>
      <w:r w:rsidR="007F6412">
        <w:t>62</w:t>
      </w:r>
      <w:r>
        <w:t xml:space="preserve">% of the population </w:t>
      </w:r>
      <w:r w:rsidR="007F6412">
        <w:t>dis</w:t>
      </w:r>
      <w:r>
        <w:t xml:space="preserve">agree or strongly </w:t>
      </w:r>
      <w:r w:rsidR="007F6412">
        <w:t>disagree</w:t>
      </w:r>
      <w:r w:rsidR="00CA683D">
        <w:t xml:space="preserve"> that ‘</w:t>
      </w:r>
      <w:r w:rsidRPr="006811C9">
        <w:rPr>
          <w:i/>
          <w:iCs/>
        </w:rPr>
        <w:t xml:space="preserve">a </w:t>
      </w:r>
      <w:r w:rsidR="009C730A">
        <w:rPr>
          <w:i/>
          <w:iCs/>
        </w:rPr>
        <w:t>wo</w:t>
      </w:r>
      <w:r w:rsidRPr="006811C9">
        <w:rPr>
          <w:i/>
          <w:iCs/>
        </w:rPr>
        <w:t>man’s job is to look after the home and family</w:t>
      </w:r>
      <w:r w:rsidR="00CA683D">
        <w:rPr>
          <w:i/>
          <w:iCs/>
        </w:rPr>
        <w:t>’</w:t>
      </w:r>
      <w:r>
        <w:t xml:space="preserve">. In Sweden, the equivalent percentage </w:t>
      </w:r>
      <w:r w:rsidR="00B47DD2">
        <w:t>is</w:t>
      </w:r>
      <w:r w:rsidR="00675270">
        <w:t xml:space="preserve"> significantly higher at</w:t>
      </w:r>
      <w:r w:rsidR="00B47DD2">
        <w:t xml:space="preserve"> </w:t>
      </w:r>
      <w:r w:rsidR="007F6412">
        <w:t>80%</w:t>
      </w:r>
      <w:r>
        <w:t xml:space="preserve">. </w:t>
      </w:r>
      <w:r w:rsidR="007F6412">
        <w:t xml:space="preserve"> </w:t>
      </w:r>
      <w:r w:rsidR="007F6412">
        <w:fldChar w:fldCharType="begin"/>
      </w:r>
      <w:r w:rsidR="007F6412">
        <w:instrText xml:space="preserve"> REF _Ref81125244 \h </w:instrText>
      </w:r>
      <w:r w:rsidR="007F6412">
        <w:fldChar w:fldCharType="separate"/>
      </w:r>
      <w:r w:rsidR="00115E22">
        <w:t xml:space="preserve">Table </w:t>
      </w:r>
      <w:r w:rsidR="00115E22">
        <w:rPr>
          <w:noProof/>
        </w:rPr>
        <w:t>2</w:t>
      </w:r>
      <w:r w:rsidR="007F6412">
        <w:fldChar w:fldCharType="end"/>
      </w:r>
      <w:r w:rsidR="007F6412">
        <w:t xml:space="preserve"> also shows how gender role attitudes vary by sex and education level. In both countries, women are significantly more likely to disagree or strongly disagree with the statement and to have more egalitarian attitudes. Education level is also an important influence. </w:t>
      </w:r>
      <w:r w:rsidR="000A4949">
        <w:t>In both countries, t</w:t>
      </w:r>
      <w:r w:rsidR="007F6412">
        <w:t xml:space="preserve">hose with </w:t>
      </w:r>
      <w:r w:rsidR="00B47DD2">
        <w:t>tertiary</w:t>
      </w:r>
      <w:r w:rsidR="007F6412">
        <w:t xml:space="preserve"> education tend to be less supportive of the male breadwinner model.</w:t>
      </w:r>
    </w:p>
    <w:p w14:paraId="4611169B" w14:textId="6427AF20" w:rsidR="00DC2CA4" w:rsidRDefault="00DC2CA4" w:rsidP="00BC5105">
      <w:pPr>
        <w:pStyle w:val="Caption"/>
        <w:keepNext/>
        <w:spacing w:line="276" w:lineRule="auto"/>
      </w:pPr>
      <w:bookmarkStart w:id="46" w:name="_Ref81125244"/>
      <w:r>
        <w:t xml:space="preserve">Table </w:t>
      </w:r>
      <w:fldSimple w:instr=" SEQ Table \* ARABIC ">
        <w:r w:rsidR="00115E22">
          <w:rPr>
            <w:noProof/>
          </w:rPr>
          <w:t>2</w:t>
        </w:r>
      </w:fldSimple>
      <w:bookmarkEnd w:id="46"/>
      <w:r>
        <w:t xml:space="preserve"> Percentage of respondents in Australia and Sweden who </w:t>
      </w:r>
      <w:r w:rsidR="007F6412">
        <w:t xml:space="preserve">disagree or strongly disagree with the statement that </w:t>
      </w:r>
      <w:r w:rsidR="00CA683D">
        <w:t>‘</w:t>
      </w:r>
      <w:r w:rsidR="007F6412">
        <w:t>A man’s job is to earn money, a woman’s job is to look after t</w:t>
      </w:r>
      <w:r w:rsidR="00CA683D">
        <w:t>he home and family’</w:t>
      </w:r>
      <w:r w:rsidR="007F6412">
        <w:t xml:space="preserve"> </w:t>
      </w:r>
    </w:p>
    <w:tbl>
      <w:tblPr>
        <w:tblW w:w="563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3964"/>
        <w:gridCol w:w="812"/>
        <w:gridCol w:w="858"/>
      </w:tblGrid>
      <w:tr w:rsidR="007F6412" w:rsidRPr="00ED28FD" w14:paraId="22BF023C" w14:textId="77777777" w:rsidTr="00243674">
        <w:trPr>
          <w:trHeight w:val="300"/>
        </w:trPr>
        <w:tc>
          <w:tcPr>
            <w:tcW w:w="3964" w:type="dxa"/>
            <w:shd w:val="clear" w:color="auto" w:fill="FBE4D5" w:themeFill="accent2" w:themeFillTint="33"/>
            <w:noWrap/>
            <w:vAlign w:val="bottom"/>
          </w:tcPr>
          <w:p w14:paraId="7A0BBEC2" w14:textId="1ACCC942" w:rsidR="007F6412" w:rsidRPr="00ED28FD" w:rsidRDefault="007F6412" w:rsidP="00BC5105">
            <w:pPr>
              <w:spacing w:after="0" w:line="276" w:lineRule="auto"/>
              <w:rPr>
                <w:rFonts w:ascii="Times New Roman" w:eastAsia="Times New Roman" w:hAnsi="Times New Roman" w:cs="Times New Roman"/>
                <w:sz w:val="24"/>
                <w:szCs w:val="24"/>
                <w:lang w:eastAsia="en-AU"/>
              </w:rPr>
            </w:pPr>
            <w:r>
              <w:rPr>
                <w:rFonts w:ascii="Tw Cen MT Condensed" w:eastAsia="Times New Roman" w:hAnsi="Tw Cen MT Condensed" w:cs="Calibri"/>
                <w:color w:val="000000"/>
                <w:sz w:val="24"/>
                <w:szCs w:val="24"/>
                <w:lang w:eastAsia="en-AU"/>
              </w:rPr>
              <w:t>Variables</w:t>
            </w:r>
          </w:p>
        </w:tc>
        <w:tc>
          <w:tcPr>
            <w:tcW w:w="812" w:type="dxa"/>
            <w:shd w:val="clear" w:color="auto" w:fill="FBE4D5" w:themeFill="accent2" w:themeFillTint="33"/>
            <w:noWrap/>
            <w:vAlign w:val="center"/>
            <w:hideMark/>
          </w:tcPr>
          <w:p w14:paraId="01717EAC" w14:textId="77777777" w:rsidR="007F6412" w:rsidRPr="00ED28FD" w:rsidRDefault="007F6412">
            <w:pPr>
              <w:spacing w:after="0" w:line="276" w:lineRule="auto"/>
              <w:jc w:val="center"/>
              <w:rPr>
                <w:rFonts w:ascii="Tw Cen MT Condensed" w:eastAsia="Times New Roman" w:hAnsi="Tw Cen MT Condensed" w:cs="Calibri"/>
                <w:color w:val="000000"/>
                <w:lang w:eastAsia="en-AU"/>
              </w:rPr>
            </w:pPr>
            <w:r w:rsidRPr="00ED28FD">
              <w:rPr>
                <w:rFonts w:ascii="Tw Cen MT Condensed" w:eastAsia="Times New Roman" w:hAnsi="Tw Cen MT Condensed" w:cs="Calibri"/>
                <w:color w:val="000000"/>
                <w:lang w:eastAsia="en-AU"/>
              </w:rPr>
              <w:t>Australia</w:t>
            </w:r>
          </w:p>
          <w:p w14:paraId="1B2F706C" w14:textId="45EA2D0C" w:rsidR="007F6412" w:rsidRPr="00ED28FD" w:rsidRDefault="007F6412" w:rsidP="006C6E6D">
            <w:pPr>
              <w:spacing w:after="0" w:line="276" w:lineRule="auto"/>
              <w:jc w:val="center"/>
              <w:rPr>
                <w:rFonts w:ascii="Tw Cen MT Condensed" w:eastAsia="Times New Roman" w:hAnsi="Tw Cen MT Condensed" w:cs="Calibri"/>
                <w:color w:val="000000"/>
                <w:lang w:eastAsia="en-AU"/>
              </w:rPr>
            </w:pPr>
          </w:p>
        </w:tc>
        <w:tc>
          <w:tcPr>
            <w:tcW w:w="858" w:type="dxa"/>
            <w:shd w:val="clear" w:color="auto" w:fill="FBE4D5" w:themeFill="accent2" w:themeFillTint="33"/>
            <w:vAlign w:val="center"/>
          </w:tcPr>
          <w:p w14:paraId="05F8964F" w14:textId="2BC70D11" w:rsidR="007F6412" w:rsidRPr="00ED28FD" w:rsidRDefault="007F6412" w:rsidP="006C6E6D">
            <w:pPr>
              <w:spacing w:after="0" w:line="276" w:lineRule="auto"/>
              <w:jc w:val="center"/>
              <w:rPr>
                <w:rFonts w:ascii="Tw Cen MT Condensed" w:eastAsia="Times New Roman" w:hAnsi="Tw Cen MT Condensed" w:cs="Calibri"/>
                <w:color w:val="000000"/>
                <w:lang w:eastAsia="en-AU"/>
              </w:rPr>
            </w:pPr>
            <w:r>
              <w:rPr>
                <w:rFonts w:ascii="Tw Cen MT Condensed" w:eastAsia="Times New Roman" w:hAnsi="Tw Cen MT Condensed" w:cs="Calibri"/>
                <w:color w:val="000000"/>
                <w:lang w:eastAsia="en-AU"/>
              </w:rPr>
              <w:t>Sweden</w:t>
            </w:r>
          </w:p>
        </w:tc>
      </w:tr>
      <w:tr w:rsidR="007F6412" w:rsidRPr="00ED28FD" w14:paraId="2C4E33C9" w14:textId="77777777" w:rsidTr="00243674">
        <w:trPr>
          <w:trHeight w:val="20"/>
        </w:trPr>
        <w:tc>
          <w:tcPr>
            <w:tcW w:w="3964" w:type="dxa"/>
            <w:shd w:val="clear" w:color="auto" w:fill="auto"/>
            <w:vAlign w:val="center"/>
          </w:tcPr>
          <w:p w14:paraId="0FCCA2DD" w14:textId="74866884" w:rsidR="007F6412" w:rsidRPr="006C6E6D" w:rsidRDefault="007F6412" w:rsidP="006C6E6D">
            <w:pPr>
              <w:spacing w:after="0" w:line="276" w:lineRule="auto"/>
              <w:rPr>
                <w:rFonts w:ascii="Calibri Light" w:eastAsia="Times New Roman" w:hAnsi="Calibri Light" w:cs="Calibri Light"/>
                <w:b/>
                <w:bCs/>
                <w:color w:val="000000"/>
                <w:sz w:val="20"/>
                <w:szCs w:val="20"/>
                <w:lang w:eastAsia="en-AU"/>
              </w:rPr>
            </w:pPr>
            <w:r w:rsidRPr="006C6E6D">
              <w:rPr>
                <w:rFonts w:ascii="Calibri Light" w:eastAsia="Times New Roman" w:hAnsi="Calibri Light" w:cs="Calibri Light"/>
                <w:b/>
                <w:bCs/>
                <w:color w:val="000000"/>
                <w:sz w:val="20"/>
                <w:szCs w:val="20"/>
                <w:lang w:eastAsia="en-AU"/>
              </w:rPr>
              <w:t>Sex</w:t>
            </w:r>
          </w:p>
        </w:tc>
        <w:tc>
          <w:tcPr>
            <w:tcW w:w="812" w:type="dxa"/>
            <w:shd w:val="clear" w:color="auto" w:fill="auto"/>
            <w:noWrap/>
            <w:vAlign w:val="center"/>
          </w:tcPr>
          <w:p w14:paraId="3890A6AB" w14:textId="03DC6B4D"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p>
        </w:tc>
        <w:tc>
          <w:tcPr>
            <w:tcW w:w="858" w:type="dxa"/>
            <w:shd w:val="clear" w:color="auto" w:fill="auto"/>
            <w:noWrap/>
            <w:vAlign w:val="center"/>
          </w:tcPr>
          <w:p w14:paraId="2056B24F" w14:textId="669B38DB"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p>
        </w:tc>
      </w:tr>
      <w:tr w:rsidR="007F6412" w:rsidRPr="00ED28FD" w14:paraId="244814A5" w14:textId="77777777" w:rsidTr="00243674">
        <w:trPr>
          <w:trHeight w:val="20"/>
        </w:trPr>
        <w:tc>
          <w:tcPr>
            <w:tcW w:w="3964" w:type="dxa"/>
            <w:shd w:val="clear" w:color="auto" w:fill="auto"/>
            <w:vAlign w:val="center"/>
          </w:tcPr>
          <w:p w14:paraId="2947C5BE" w14:textId="24356358" w:rsidR="007F6412" w:rsidRPr="00ED28FD" w:rsidDel="007F6412" w:rsidRDefault="007F6412" w:rsidP="006C6E6D">
            <w:pPr>
              <w:spacing w:after="0" w:line="276" w:lineRule="auto"/>
              <w:ind w:left="599" w:hanging="316"/>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Men</w:t>
            </w:r>
          </w:p>
        </w:tc>
        <w:tc>
          <w:tcPr>
            <w:tcW w:w="812" w:type="dxa"/>
            <w:shd w:val="clear" w:color="auto" w:fill="auto"/>
            <w:noWrap/>
            <w:vAlign w:val="center"/>
          </w:tcPr>
          <w:p w14:paraId="4179D9F9" w14:textId="6D0AFC27"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55%</w:t>
            </w:r>
          </w:p>
        </w:tc>
        <w:tc>
          <w:tcPr>
            <w:tcW w:w="858" w:type="dxa"/>
            <w:shd w:val="clear" w:color="auto" w:fill="auto"/>
            <w:noWrap/>
            <w:vAlign w:val="center"/>
          </w:tcPr>
          <w:p w14:paraId="7AABF806" w14:textId="60C96FEB"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74%</w:t>
            </w:r>
          </w:p>
        </w:tc>
      </w:tr>
      <w:tr w:rsidR="007F6412" w:rsidRPr="00ED28FD" w14:paraId="6520FE7D" w14:textId="77777777" w:rsidTr="00243674">
        <w:trPr>
          <w:trHeight w:val="20"/>
        </w:trPr>
        <w:tc>
          <w:tcPr>
            <w:tcW w:w="3964" w:type="dxa"/>
            <w:shd w:val="clear" w:color="auto" w:fill="auto"/>
            <w:vAlign w:val="center"/>
          </w:tcPr>
          <w:p w14:paraId="6C9FB043" w14:textId="30C45465" w:rsidR="007F6412" w:rsidRPr="00ED28FD" w:rsidDel="007F6412" w:rsidRDefault="007F6412" w:rsidP="006C6E6D">
            <w:pPr>
              <w:spacing w:after="0" w:line="276" w:lineRule="auto"/>
              <w:ind w:left="599" w:hanging="316"/>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Women</w:t>
            </w:r>
          </w:p>
        </w:tc>
        <w:tc>
          <w:tcPr>
            <w:tcW w:w="812" w:type="dxa"/>
            <w:shd w:val="clear" w:color="auto" w:fill="auto"/>
            <w:noWrap/>
            <w:vAlign w:val="center"/>
          </w:tcPr>
          <w:p w14:paraId="4539DFCB" w14:textId="4E8D6561"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67%</w:t>
            </w:r>
          </w:p>
        </w:tc>
        <w:tc>
          <w:tcPr>
            <w:tcW w:w="858" w:type="dxa"/>
            <w:shd w:val="clear" w:color="auto" w:fill="auto"/>
            <w:noWrap/>
            <w:vAlign w:val="center"/>
          </w:tcPr>
          <w:p w14:paraId="584B467C" w14:textId="08F46985"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84%</w:t>
            </w:r>
          </w:p>
        </w:tc>
      </w:tr>
      <w:tr w:rsidR="007F6412" w:rsidRPr="00ED28FD" w14:paraId="4DF0E0B7" w14:textId="77777777" w:rsidTr="00243674">
        <w:trPr>
          <w:trHeight w:val="20"/>
        </w:trPr>
        <w:tc>
          <w:tcPr>
            <w:tcW w:w="3964" w:type="dxa"/>
            <w:shd w:val="clear" w:color="auto" w:fill="auto"/>
            <w:vAlign w:val="center"/>
          </w:tcPr>
          <w:p w14:paraId="06DF1AE3" w14:textId="77777777" w:rsidR="007F6412" w:rsidRPr="00ED28FD" w:rsidDel="007F6412" w:rsidRDefault="007F6412" w:rsidP="006C6E6D">
            <w:pPr>
              <w:spacing w:after="0" w:line="276" w:lineRule="auto"/>
              <w:rPr>
                <w:rFonts w:ascii="Calibri Light" w:eastAsia="Times New Roman" w:hAnsi="Calibri Light" w:cs="Calibri Light"/>
                <w:color w:val="000000"/>
                <w:sz w:val="20"/>
                <w:szCs w:val="20"/>
                <w:lang w:eastAsia="en-AU"/>
              </w:rPr>
            </w:pPr>
          </w:p>
        </w:tc>
        <w:tc>
          <w:tcPr>
            <w:tcW w:w="812" w:type="dxa"/>
            <w:shd w:val="clear" w:color="auto" w:fill="auto"/>
            <w:noWrap/>
            <w:vAlign w:val="center"/>
          </w:tcPr>
          <w:p w14:paraId="38172226" w14:textId="77777777"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p>
        </w:tc>
        <w:tc>
          <w:tcPr>
            <w:tcW w:w="858" w:type="dxa"/>
            <w:shd w:val="clear" w:color="auto" w:fill="auto"/>
            <w:noWrap/>
            <w:vAlign w:val="center"/>
          </w:tcPr>
          <w:p w14:paraId="6A85E1AC" w14:textId="77777777"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p>
        </w:tc>
      </w:tr>
      <w:tr w:rsidR="007F6412" w:rsidRPr="00ED28FD" w14:paraId="77719084" w14:textId="77777777" w:rsidTr="00243674">
        <w:trPr>
          <w:trHeight w:val="20"/>
        </w:trPr>
        <w:tc>
          <w:tcPr>
            <w:tcW w:w="3964" w:type="dxa"/>
            <w:shd w:val="clear" w:color="auto" w:fill="auto"/>
            <w:vAlign w:val="center"/>
          </w:tcPr>
          <w:p w14:paraId="3DB10026" w14:textId="287EAD82" w:rsidR="007F6412" w:rsidRPr="006C6E6D" w:rsidDel="007F6412" w:rsidRDefault="007F6412" w:rsidP="006C6E6D">
            <w:pPr>
              <w:spacing w:after="0" w:line="276" w:lineRule="auto"/>
              <w:rPr>
                <w:rFonts w:ascii="Calibri Light" w:eastAsia="Times New Roman" w:hAnsi="Calibri Light" w:cs="Calibri Light"/>
                <w:b/>
                <w:bCs/>
                <w:color w:val="000000"/>
                <w:sz w:val="20"/>
                <w:szCs w:val="20"/>
                <w:lang w:eastAsia="en-AU"/>
              </w:rPr>
            </w:pPr>
            <w:r w:rsidRPr="006C6E6D">
              <w:rPr>
                <w:rFonts w:ascii="Calibri Light" w:eastAsia="Times New Roman" w:hAnsi="Calibri Light" w:cs="Calibri Light"/>
                <w:b/>
                <w:bCs/>
                <w:color w:val="000000"/>
                <w:sz w:val="20"/>
                <w:szCs w:val="20"/>
                <w:lang w:eastAsia="en-AU"/>
              </w:rPr>
              <w:t>Education level</w:t>
            </w:r>
          </w:p>
        </w:tc>
        <w:tc>
          <w:tcPr>
            <w:tcW w:w="812" w:type="dxa"/>
            <w:shd w:val="clear" w:color="auto" w:fill="auto"/>
            <w:noWrap/>
            <w:vAlign w:val="center"/>
          </w:tcPr>
          <w:p w14:paraId="4A5F95E9" w14:textId="77777777"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p>
        </w:tc>
        <w:tc>
          <w:tcPr>
            <w:tcW w:w="858" w:type="dxa"/>
            <w:shd w:val="clear" w:color="auto" w:fill="auto"/>
            <w:noWrap/>
            <w:vAlign w:val="center"/>
          </w:tcPr>
          <w:p w14:paraId="5006D8E5" w14:textId="77777777" w:rsidR="007F6412" w:rsidRPr="00ED28FD" w:rsidRDefault="007F6412" w:rsidP="00BC5105">
            <w:pPr>
              <w:spacing w:after="0" w:line="276" w:lineRule="auto"/>
              <w:jc w:val="center"/>
              <w:rPr>
                <w:rFonts w:ascii="Calibri Light" w:eastAsia="Times New Roman" w:hAnsi="Calibri Light" w:cs="Calibri Light"/>
                <w:color w:val="000000"/>
                <w:sz w:val="20"/>
                <w:szCs w:val="20"/>
                <w:lang w:eastAsia="en-AU"/>
              </w:rPr>
            </w:pPr>
          </w:p>
        </w:tc>
      </w:tr>
      <w:tr w:rsidR="007F6412" w:rsidRPr="00ED28FD" w14:paraId="3F468EFF" w14:textId="77777777" w:rsidTr="00243674">
        <w:trPr>
          <w:trHeight w:val="20"/>
        </w:trPr>
        <w:tc>
          <w:tcPr>
            <w:tcW w:w="3964" w:type="dxa"/>
            <w:shd w:val="clear" w:color="auto" w:fill="auto"/>
            <w:vAlign w:val="center"/>
          </w:tcPr>
          <w:p w14:paraId="4FEAB954" w14:textId="4BBAADFA" w:rsidR="007F6412" w:rsidRPr="00ED28FD" w:rsidDel="007F6412" w:rsidRDefault="007F6412" w:rsidP="006C6E6D">
            <w:pPr>
              <w:spacing w:after="0" w:line="276" w:lineRule="auto"/>
              <w:ind w:left="316"/>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Low (lower secondary or below)</w:t>
            </w:r>
          </w:p>
        </w:tc>
        <w:tc>
          <w:tcPr>
            <w:tcW w:w="812" w:type="dxa"/>
            <w:shd w:val="clear" w:color="auto" w:fill="auto"/>
            <w:noWrap/>
            <w:vAlign w:val="bottom"/>
          </w:tcPr>
          <w:p w14:paraId="7AD49E02" w14:textId="2EB0632A" w:rsidR="007F6412" w:rsidRPr="00ED28FD" w:rsidRDefault="007F6412" w:rsidP="007F6412">
            <w:pPr>
              <w:spacing w:after="0" w:line="276" w:lineRule="auto"/>
              <w:jc w:val="center"/>
              <w:rPr>
                <w:rFonts w:ascii="Calibri Light" w:eastAsia="Times New Roman" w:hAnsi="Calibri Light" w:cs="Calibri Light"/>
                <w:color w:val="000000"/>
                <w:sz w:val="20"/>
                <w:szCs w:val="20"/>
                <w:lang w:eastAsia="en-AU"/>
              </w:rPr>
            </w:pPr>
            <w:r w:rsidRPr="006C6E6D">
              <w:rPr>
                <w:rFonts w:ascii="Calibri Light" w:eastAsia="Times New Roman" w:hAnsi="Calibri Light" w:cs="Calibri Light"/>
                <w:color w:val="000000"/>
                <w:sz w:val="20"/>
                <w:szCs w:val="20"/>
                <w:lang w:eastAsia="en-AU"/>
              </w:rPr>
              <w:t>68%</w:t>
            </w:r>
          </w:p>
        </w:tc>
        <w:tc>
          <w:tcPr>
            <w:tcW w:w="858" w:type="dxa"/>
            <w:shd w:val="clear" w:color="auto" w:fill="auto"/>
            <w:noWrap/>
            <w:vAlign w:val="bottom"/>
          </w:tcPr>
          <w:p w14:paraId="49BEB267" w14:textId="1C494BF7" w:rsidR="007F6412" w:rsidRPr="00ED28FD" w:rsidRDefault="007F6412" w:rsidP="007F6412">
            <w:pPr>
              <w:spacing w:after="0" w:line="276" w:lineRule="auto"/>
              <w:jc w:val="center"/>
              <w:rPr>
                <w:rFonts w:ascii="Calibri Light" w:eastAsia="Times New Roman" w:hAnsi="Calibri Light" w:cs="Calibri Light"/>
                <w:color w:val="000000"/>
                <w:sz w:val="20"/>
                <w:szCs w:val="20"/>
                <w:lang w:eastAsia="en-AU"/>
              </w:rPr>
            </w:pPr>
            <w:r w:rsidRPr="006C6E6D">
              <w:rPr>
                <w:rFonts w:ascii="Calibri Light" w:eastAsia="Times New Roman" w:hAnsi="Calibri Light" w:cs="Calibri Light"/>
                <w:color w:val="000000"/>
                <w:sz w:val="20"/>
                <w:szCs w:val="20"/>
                <w:lang w:eastAsia="en-AU"/>
              </w:rPr>
              <w:t>69%</w:t>
            </w:r>
          </w:p>
        </w:tc>
      </w:tr>
      <w:tr w:rsidR="007F6412" w:rsidRPr="00ED28FD" w14:paraId="106CE293" w14:textId="77777777" w:rsidTr="00243674">
        <w:trPr>
          <w:trHeight w:val="20"/>
        </w:trPr>
        <w:tc>
          <w:tcPr>
            <w:tcW w:w="3964" w:type="dxa"/>
            <w:shd w:val="clear" w:color="auto" w:fill="auto"/>
            <w:vAlign w:val="center"/>
          </w:tcPr>
          <w:p w14:paraId="0F72A484" w14:textId="70355273" w:rsidR="007F6412" w:rsidRPr="00ED28FD" w:rsidDel="007F6412" w:rsidRDefault="007F6412" w:rsidP="006C6E6D">
            <w:pPr>
              <w:spacing w:after="0" w:line="276" w:lineRule="auto"/>
              <w:ind w:left="316"/>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Medium (upper secondary or non-tertiary)</w:t>
            </w:r>
          </w:p>
        </w:tc>
        <w:tc>
          <w:tcPr>
            <w:tcW w:w="812" w:type="dxa"/>
            <w:shd w:val="clear" w:color="auto" w:fill="auto"/>
            <w:noWrap/>
            <w:vAlign w:val="bottom"/>
          </w:tcPr>
          <w:p w14:paraId="3C1E1B6B" w14:textId="3FD90039" w:rsidR="007F6412" w:rsidRPr="00ED28FD" w:rsidRDefault="007F6412" w:rsidP="007F6412">
            <w:pPr>
              <w:spacing w:after="0" w:line="276" w:lineRule="auto"/>
              <w:jc w:val="center"/>
              <w:rPr>
                <w:rFonts w:ascii="Calibri Light" w:eastAsia="Times New Roman" w:hAnsi="Calibri Light" w:cs="Calibri Light"/>
                <w:color w:val="000000"/>
                <w:sz w:val="20"/>
                <w:szCs w:val="20"/>
                <w:lang w:eastAsia="en-AU"/>
              </w:rPr>
            </w:pPr>
            <w:r w:rsidRPr="006C6E6D">
              <w:rPr>
                <w:rFonts w:ascii="Calibri Light" w:eastAsia="Times New Roman" w:hAnsi="Calibri Light" w:cs="Calibri Light"/>
                <w:color w:val="000000"/>
                <w:sz w:val="20"/>
                <w:szCs w:val="20"/>
                <w:lang w:eastAsia="en-AU"/>
              </w:rPr>
              <w:t>64%</w:t>
            </w:r>
          </w:p>
        </w:tc>
        <w:tc>
          <w:tcPr>
            <w:tcW w:w="858" w:type="dxa"/>
            <w:shd w:val="clear" w:color="auto" w:fill="auto"/>
            <w:noWrap/>
            <w:vAlign w:val="bottom"/>
          </w:tcPr>
          <w:p w14:paraId="6A0EABF0" w14:textId="42F40FAF" w:rsidR="007F6412" w:rsidRPr="00ED28FD" w:rsidRDefault="007F6412" w:rsidP="007F6412">
            <w:pPr>
              <w:spacing w:after="0" w:line="276" w:lineRule="auto"/>
              <w:jc w:val="center"/>
              <w:rPr>
                <w:rFonts w:ascii="Calibri Light" w:eastAsia="Times New Roman" w:hAnsi="Calibri Light" w:cs="Calibri Light"/>
                <w:color w:val="000000"/>
                <w:sz w:val="20"/>
                <w:szCs w:val="20"/>
                <w:lang w:eastAsia="en-AU"/>
              </w:rPr>
            </w:pPr>
            <w:r w:rsidRPr="006C6E6D">
              <w:rPr>
                <w:rFonts w:ascii="Calibri Light" w:eastAsia="Times New Roman" w:hAnsi="Calibri Light" w:cs="Calibri Light"/>
                <w:color w:val="000000"/>
                <w:sz w:val="20"/>
                <w:szCs w:val="20"/>
                <w:lang w:eastAsia="en-AU"/>
              </w:rPr>
              <w:t>81%</w:t>
            </w:r>
          </w:p>
        </w:tc>
      </w:tr>
      <w:tr w:rsidR="007F6412" w:rsidRPr="00ED28FD" w14:paraId="2059BE7D" w14:textId="77777777" w:rsidTr="00243674">
        <w:trPr>
          <w:trHeight w:val="20"/>
        </w:trPr>
        <w:tc>
          <w:tcPr>
            <w:tcW w:w="3964" w:type="dxa"/>
            <w:shd w:val="clear" w:color="auto" w:fill="auto"/>
            <w:vAlign w:val="center"/>
          </w:tcPr>
          <w:p w14:paraId="0A0A807C" w14:textId="4FF1FB14" w:rsidR="007F6412" w:rsidRPr="00ED28FD" w:rsidDel="007F6412" w:rsidRDefault="007F6412" w:rsidP="006C6E6D">
            <w:pPr>
              <w:spacing w:after="0" w:line="276" w:lineRule="auto"/>
              <w:ind w:left="316"/>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High (tertiary)</w:t>
            </w:r>
          </w:p>
        </w:tc>
        <w:tc>
          <w:tcPr>
            <w:tcW w:w="812" w:type="dxa"/>
            <w:shd w:val="clear" w:color="auto" w:fill="auto"/>
            <w:noWrap/>
            <w:vAlign w:val="bottom"/>
          </w:tcPr>
          <w:p w14:paraId="4FEFC90C" w14:textId="02EA6CDE" w:rsidR="007F6412" w:rsidRPr="00ED28FD" w:rsidRDefault="007F6412" w:rsidP="007F6412">
            <w:pPr>
              <w:spacing w:after="0" w:line="276" w:lineRule="auto"/>
              <w:jc w:val="center"/>
              <w:rPr>
                <w:rFonts w:ascii="Calibri Light" w:eastAsia="Times New Roman" w:hAnsi="Calibri Light" w:cs="Calibri Light"/>
                <w:color w:val="000000"/>
                <w:sz w:val="20"/>
                <w:szCs w:val="20"/>
                <w:lang w:eastAsia="en-AU"/>
              </w:rPr>
            </w:pPr>
            <w:r w:rsidRPr="006C6E6D">
              <w:rPr>
                <w:rFonts w:ascii="Calibri Light" w:eastAsia="Times New Roman" w:hAnsi="Calibri Light" w:cs="Calibri Light"/>
                <w:color w:val="000000"/>
                <w:sz w:val="20"/>
                <w:szCs w:val="20"/>
                <w:lang w:eastAsia="en-AU"/>
              </w:rPr>
              <w:t>69%</w:t>
            </w:r>
          </w:p>
        </w:tc>
        <w:tc>
          <w:tcPr>
            <w:tcW w:w="858" w:type="dxa"/>
            <w:shd w:val="clear" w:color="auto" w:fill="auto"/>
            <w:noWrap/>
            <w:vAlign w:val="bottom"/>
          </w:tcPr>
          <w:p w14:paraId="3D00AD72" w14:textId="280A74F5" w:rsidR="007F6412" w:rsidRPr="00ED28FD" w:rsidRDefault="007F6412" w:rsidP="007F6412">
            <w:pPr>
              <w:spacing w:after="0" w:line="276" w:lineRule="auto"/>
              <w:jc w:val="center"/>
              <w:rPr>
                <w:rFonts w:ascii="Calibri Light" w:eastAsia="Times New Roman" w:hAnsi="Calibri Light" w:cs="Calibri Light"/>
                <w:color w:val="000000"/>
                <w:sz w:val="20"/>
                <w:szCs w:val="20"/>
                <w:lang w:eastAsia="en-AU"/>
              </w:rPr>
            </w:pPr>
            <w:r w:rsidRPr="006C6E6D">
              <w:rPr>
                <w:rFonts w:ascii="Calibri Light" w:eastAsia="Times New Roman" w:hAnsi="Calibri Light" w:cs="Calibri Light"/>
                <w:color w:val="000000"/>
                <w:sz w:val="20"/>
                <w:szCs w:val="20"/>
                <w:lang w:eastAsia="en-AU"/>
              </w:rPr>
              <w:t>91%</w:t>
            </w:r>
          </w:p>
        </w:tc>
      </w:tr>
      <w:tr w:rsidR="00523A30" w:rsidRPr="00ED28FD" w14:paraId="09A1DFFE" w14:textId="77777777" w:rsidTr="00243674">
        <w:trPr>
          <w:trHeight w:val="20"/>
        </w:trPr>
        <w:tc>
          <w:tcPr>
            <w:tcW w:w="3964" w:type="dxa"/>
            <w:shd w:val="clear" w:color="auto" w:fill="auto"/>
            <w:vAlign w:val="center"/>
          </w:tcPr>
          <w:p w14:paraId="14FA40A4" w14:textId="79D9EDE4" w:rsidR="00523A30" w:rsidRPr="006C6E6D" w:rsidRDefault="00523A30" w:rsidP="002C0271">
            <w:pPr>
              <w:spacing w:after="0" w:line="276" w:lineRule="auto"/>
              <w:ind w:left="316" w:hanging="284"/>
              <w:rPr>
                <w:rFonts w:ascii="Calibri Light" w:eastAsia="Times New Roman" w:hAnsi="Calibri Light" w:cs="Calibri Light"/>
                <w:b/>
                <w:bCs/>
                <w:color w:val="000000"/>
                <w:sz w:val="20"/>
                <w:szCs w:val="20"/>
                <w:lang w:eastAsia="en-AU"/>
              </w:rPr>
            </w:pPr>
            <w:r w:rsidRPr="006C6E6D">
              <w:rPr>
                <w:rFonts w:ascii="Calibri Light" w:eastAsia="Times New Roman" w:hAnsi="Calibri Light" w:cs="Calibri Light"/>
                <w:b/>
                <w:bCs/>
                <w:color w:val="000000"/>
                <w:sz w:val="20"/>
                <w:szCs w:val="20"/>
                <w:lang w:eastAsia="en-AU"/>
              </w:rPr>
              <w:t>Total</w:t>
            </w:r>
          </w:p>
        </w:tc>
        <w:tc>
          <w:tcPr>
            <w:tcW w:w="812" w:type="dxa"/>
            <w:shd w:val="clear" w:color="auto" w:fill="auto"/>
            <w:noWrap/>
            <w:vAlign w:val="bottom"/>
          </w:tcPr>
          <w:p w14:paraId="5F8E9EF4" w14:textId="6A3A99C6" w:rsidR="00523A30" w:rsidRPr="006534A4" w:rsidRDefault="00523A30" w:rsidP="007F6412">
            <w:pPr>
              <w:spacing w:after="0" w:line="276" w:lineRule="auto"/>
              <w:jc w:val="center"/>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62%</w:t>
            </w:r>
          </w:p>
        </w:tc>
        <w:tc>
          <w:tcPr>
            <w:tcW w:w="858" w:type="dxa"/>
            <w:shd w:val="clear" w:color="auto" w:fill="auto"/>
            <w:noWrap/>
            <w:vAlign w:val="bottom"/>
          </w:tcPr>
          <w:p w14:paraId="7D74EC80" w14:textId="24B6334B" w:rsidR="00523A30" w:rsidRPr="006534A4" w:rsidRDefault="00523A30" w:rsidP="007F6412">
            <w:pPr>
              <w:spacing w:after="0" w:line="276" w:lineRule="auto"/>
              <w:jc w:val="center"/>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80%</w:t>
            </w:r>
          </w:p>
        </w:tc>
      </w:tr>
    </w:tbl>
    <w:p w14:paraId="7EBF5AA1" w14:textId="6F579401" w:rsidR="00CA52C4" w:rsidRPr="00BC5105" w:rsidRDefault="00CA52C4" w:rsidP="00BC5105">
      <w:pPr>
        <w:spacing w:before="240" w:line="276" w:lineRule="auto"/>
        <w:rPr>
          <w:bCs/>
          <w:noProof/>
          <w:sz w:val="18"/>
          <w:szCs w:val="18"/>
        </w:rPr>
      </w:pPr>
      <w:r w:rsidRPr="00BC5105">
        <w:rPr>
          <w:bCs/>
          <w:noProof/>
          <w:sz w:val="18"/>
          <w:szCs w:val="18"/>
        </w:rPr>
        <w:t>Source: International Social Survey Programme (ISSP) 2012, Family and Changing Gender Roles</w:t>
      </w:r>
      <w:r w:rsidR="006534A4">
        <w:rPr>
          <w:bCs/>
          <w:noProof/>
          <w:sz w:val="18"/>
          <w:szCs w:val="18"/>
        </w:rPr>
        <w:t xml:space="preserve"> (weighted data)</w:t>
      </w:r>
    </w:p>
    <w:p w14:paraId="7E629C40" w14:textId="30F5119D" w:rsidR="002923C6" w:rsidRPr="00FA09E1" w:rsidRDefault="002923C6" w:rsidP="00BC5105">
      <w:pPr>
        <w:tabs>
          <w:tab w:val="left" w:pos="988"/>
        </w:tabs>
        <w:spacing w:line="276" w:lineRule="auto"/>
        <w:jc w:val="both"/>
        <w:rPr>
          <w:rFonts w:cstheme="minorHAnsi"/>
        </w:rPr>
      </w:pPr>
      <w:r w:rsidRPr="003635BF">
        <w:rPr>
          <w:rFonts w:cstheme="minorHAnsi"/>
          <w:lang w:val="en-US"/>
        </w:rPr>
        <w:t xml:space="preserve">One response to perceived or actual difficulties in managing work-family balance is to minimise family obligations, </w:t>
      </w:r>
      <w:r>
        <w:rPr>
          <w:rFonts w:cstheme="minorHAnsi"/>
          <w:lang w:val="en-US"/>
        </w:rPr>
        <w:t xml:space="preserve">by postponing or foregoing childbearing </w:t>
      </w:r>
      <w:r w:rsidR="00675270" w:rsidRPr="007E15F6">
        <w:rPr>
          <w:rFonts w:cstheme="minorHAnsi"/>
          <w:noProof/>
        </w:rPr>
        <w:t>(Baxter &amp; Renda, 2015)</w:t>
      </w:r>
      <w:r w:rsidR="001F7FDC">
        <w:rPr>
          <w:rFonts w:cstheme="minorHAnsi"/>
          <w:lang w:val="en-US"/>
        </w:rPr>
        <w:t>.</w:t>
      </w:r>
      <w:r>
        <w:rPr>
          <w:rFonts w:cstheme="minorHAnsi"/>
          <w:lang w:val="en-US"/>
        </w:rPr>
        <w:t xml:space="preserve"> </w:t>
      </w:r>
      <w:r w:rsidR="00735314">
        <w:t xml:space="preserve">As </w:t>
      </w:r>
      <w:r w:rsidR="00735314" w:rsidRPr="003635BF">
        <w:rPr>
          <w:rFonts w:cstheme="minorHAnsi"/>
          <w:lang w:val="en-US"/>
        </w:rPr>
        <w:t xml:space="preserve">McDonald </w:t>
      </w:r>
      <w:r w:rsidR="00675270" w:rsidRPr="007E15F6">
        <w:rPr>
          <w:rFonts w:cstheme="minorHAnsi"/>
          <w:noProof/>
        </w:rPr>
        <w:t>(2002, p. 429)</w:t>
      </w:r>
      <w:r w:rsidR="00735314" w:rsidRPr="003635BF">
        <w:rPr>
          <w:rFonts w:cstheme="minorHAnsi"/>
          <w:lang w:val="en-US"/>
        </w:rPr>
        <w:t xml:space="preserve"> </w:t>
      </w:r>
      <w:r w:rsidR="00735314">
        <w:rPr>
          <w:rFonts w:cstheme="minorHAnsi"/>
          <w:lang w:val="en-US"/>
        </w:rPr>
        <w:t xml:space="preserve"> notes </w:t>
      </w:r>
      <w:r w:rsidR="00FA09E1">
        <w:rPr>
          <w:rFonts w:cstheme="minorHAnsi"/>
          <w:lang w:val="en-US"/>
        </w:rPr>
        <w:t>‘</w:t>
      </w:r>
      <w:r w:rsidR="00735314" w:rsidRPr="006811C9">
        <w:rPr>
          <w:rFonts w:cstheme="minorHAnsi"/>
          <w:i/>
          <w:iCs/>
          <w:lang w:val="en-US"/>
        </w:rPr>
        <w:t>if women are provided with opportunities nearly equivalent to those of men in education and market employment, but these opportunities are severely curta</w:t>
      </w:r>
      <w:r w:rsidR="00F46CED">
        <w:rPr>
          <w:rFonts w:cstheme="minorHAnsi"/>
          <w:i/>
          <w:iCs/>
          <w:lang w:val="en-US"/>
        </w:rPr>
        <w:t>il</w:t>
      </w:r>
      <w:r w:rsidR="00735314" w:rsidRPr="006811C9">
        <w:rPr>
          <w:rFonts w:cstheme="minorHAnsi"/>
          <w:i/>
          <w:iCs/>
          <w:lang w:val="en-US"/>
        </w:rPr>
        <w:t>ed by having children</w:t>
      </w:r>
      <w:r w:rsidR="001F7FDC">
        <w:rPr>
          <w:rFonts w:cstheme="minorHAnsi"/>
          <w:i/>
          <w:iCs/>
          <w:lang w:val="en-US"/>
        </w:rPr>
        <w:t>,</w:t>
      </w:r>
      <w:r w:rsidR="00735314" w:rsidRPr="006811C9">
        <w:rPr>
          <w:rFonts w:cstheme="minorHAnsi"/>
          <w:i/>
          <w:iCs/>
          <w:lang w:val="en-US"/>
        </w:rPr>
        <w:t xml:space="preserve"> then</w:t>
      </w:r>
      <w:r w:rsidR="001F7FDC">
        <w:rPr>
          <w:rFonts w:cstheme="minorHAnsi"/>
          <w:i/>
          <w:iCs/>
          <w:lang w:val="en-US"/>
        </w:rPr>
        <w:t>, on average,</w:t>
      </w:r>
      <w:r w:rsidR="00735314" w:rsidRPr="006811C9">
        <w:rPr>
          <w:rFonts w:cstheme="minorHAnsi"/>
          <w:i/>
          <w:iCs/>
          <w:lang w:val="en-US"/>
        </w:rPr>
        <w:t xml:space="preserve"> women will restrict the number of children that they have</w:t>
      </w:r>
      <w:r w:rsidR="00FA09E1">
        <w:rPr>
          <w:rFonts w:cstheme="minorHAnsi"/>
          <w:lang w:val="en-US"/>
        </w:rPr>
        <w:t xml:space="preserve"> …’</w:t>
      </w:r>
      <w:r w:rsidR="00735314" w:rsidRPr="003635BF">
        <w:rPr>
          <w:rFonts w:cstheme="minorHAnsi"/>
          <w:lang w:val="en-US"/>
        </w:rPr>
        <w:t xml:space="preserve"> </w:t>
      </w:r>
      <w:r w:rsidR="00DC2CA4">
        <w:rPr>
          <w:rFonts w:cstheme="minorHAnsi"/>
          <w:lang w:val="en-US"/>
        </w:rPr>
        <w:t xml:space="preserve"> </w:t>
      </w:r>
      <w:r w:rsidR="00EF019B" w:rsidRPr="00FA09E1">
        <w:rPr>
          <w:rFonts w:cstheme="minorHAnsi"/>
          <w:lang w:val="en-US"/>
        </w:rPr>
        <w:t>Although individual preferences regarding work and family are themselves influenced by sociocultural and economic constraints, when asked explicitly, young Australian women indicate the majority want place high priority on having children but also on work children but also to work (Johnstone &amp; Lee, 2016). However, these priorities change across the life course and are also influenced by women’s personal characteristics including their education level (Johnstone &amp; Lee, 2009; Johnstone and Lucke, 2021).</w:t>
      </w:r>
    </w:p>
    <w:p w14:paraId="19564EF4" w14:textId="5B5E6423" w:rsidR="00523A30" w:rsidRDefault="00735314" w:rsidP="00BC5105">
      <w:pPr>
        <w:spacing w:line="276" w:lineRule="auto"/>
        <w:jc w:val="both"/>
      </w:pPr>
      <w:r>
        <w:t>In addition to social norms regarding women’s roles, p</w:t>
      </w:r>
      <w:r w:rsidR="00037447" w:rsidRPr="001001A5">
        <w:t xml:space="preserve">references for children may decrease with the emergence of </w:t>
      </w:r>
      <w:r w:rsidR="005169AA" w:rsidRPr="001001A5">
        <w:t>post</w:t>
      </w:r>
      <w:r w:rsidR="005169AA">
        <w:t>-</w:t>
      </w:r>
      <w:r w:rsidR="00037447" w:rsidRPr="001001A5">
        <w:t>materialist values for individual self-realisation and quality of life</w:t>
      </w:r>
      <w:r>
        <w:t xml:space="preserve"> </w:t>
      </w:r>
      <w:r w:rsidRPr="001001A5">
        <w:t>(Sleebos, 2003)</w:t>
      </w:r>
      <w:r w:rsidR="00037447" w:rsidRPr="001001A5">
        <w:t xml:space="preserve">. </w:t>
      </w:r>
      <w:r w:rsidRPr="00735314">
        <w:t xml:space="preserve">The fall in fertility rates from the 1960s onwards </w:t>
      </w:r>
      <w:r w:rsidR="00775638">
        <w:t>has been attributed to</w:t>
      </w:r>
      <w:r w:rsidRPr="00735314">
        <w:t xml:space="preserve"> a change in values and orientations</w:t>
      </w:r>
      <w:r w:rsidR="00775638">
        <w:t>,</w:t>
      </w:r>
      <w:r w:rsidRPr="00735314">
        <w:t xml:space="preserve"> fuelled by the rapid increase in female education. This change involves the departure from traditional ideas, values and norms towards a more individualistic lifestyle</w:t>
      </w:r>
      <w:r w:rsidR="00142D17">
        <w:t xml:space="preserve"> and the development of higher-order, non-material needs and expressive values</w:t>
      </w:r>
      <w:r w:rsidR="005169AA">
        <w:t>,</w:t>
      </w:r>
      <w:r w:rsidR="00142D17">
        <w:t xml:space="preserve"> including self-</w:t>
      </w:r>
      <w:r w:rsidR="002823D9">
        <w:t>fulfilment and</w:t>
      </w:r>
      <w:r w:rsidR="00142D17">
        <w:t xml:space="preserve"> autonomy </w:t>
      </w:r>
      <w:r w:rsidR="005169AA">
        <w:rPr>
          <w:noProof/>
        </w:rPr>
        <w:t>(Lesthaeghe, 2010)</w:t>
      </w:r>
      <w:r w:rsidRPr="00735314">
        <w:t xml:space="preserve">. </w:t>
      </w:r>
      <w:r w:rsidR="002823D9">
        <w:t xml:space="preserve"> These ideational changes mean individuals make childbearing decisions with increased autonomy and to satisfy their own personal fulfilment needs </w:t>
      </w:r>
      <w:r w:rsidR="005169AA">
        <w:rPr>
          <w:noProof/>
        </w:rPr>
        <w:t xml:space="preserve">(Mills, </w:t>
      </w:r>
      <w:r w:rsidR="00B95174" w:rsidRPr="00B95174">
        <w:rPr>
          <w:i/>
          <w:noProof/>
        </w:rPr>
        <w:t>et al.,</w:t>
      </w:r>
      <w:r w:rsidR="005169AA">
        <w:rPr>
          <w:noProof/>
        </w:rPr>
        <w:t xml:space="preserve"> 2011)</w:t>
      </w:r>
      <w:r w:rsidR="002823D9">
        <w:t>.</w:t>
      </w:r>
    </w:p>
    <w:p w14:paraId="1AE3DD03" w14:textId="1D4134F5" w:rsidR="00523A30" w:rsidRDefault="00523A30" w:rsidP="00BC5105">
      <w:pPr>
        <w:spacing w:line="276" w:lineRule="auto"/>
        <w:jc w:val="both"/>
      </w:pPr>
      <w:r>
        <w:lastRenderedPageBreak/>
        <w:t xml:space="preserve">A related trend in social norms has been the increase in secularisation. In Australia, </w:t>
      </w:r>
      <w:r w:rsidR="00D257A6">
        <w:t xml:space="preserve">this is reflected by </w:t>
      </w:r>
      <w:r>
        <w:t>the percentage of people who indicated they had no religion</w:t>
      </w:r>
      <w:r w:rsidR="00D257A6">
        <w:t xml:space="preserve"> which</w:t>
      </w:r>
      <w:r>
        <w:t xml:space="preserve"> increased from 0.8% in 1966 to 30% in 2016</w:t>
      </w:r>
      <w:r w:rsidR="00675270">
        <w:rPr>
          <w:noProof/>
        </w:rPr>
        <w:t xml:space="preserve"> (Australian Bureau of Statistics, 2017)</w:t>
      </w:r>
      <w:r w:rsidR="00D257A6">
        <w:t xml:space="preserve">. </w:t>
      </w:r>
      <w:r w:rsidR="00D257A6">
        <w:rPr>
          <w:rFonts w:ascii="Georgia" w:hAnsi="Georgia"/>
          <w:color w:val="000000"/>
          <w:shd w:val="clear" w:color="auto" w:fill="FFFFFF"/>
        </w:rPr>
        <w:t> </w:t>
      </w:r>
      <w:r w:rsidR="00D257A6">
        <w:t xml:space="preserve">Studies at both the individual and macro-level </w:t>
      </w:r>
      <w:r w:rsidR="00675270">
        <w:rPr>
          <w:noProof/>
        </w:rPr>
        <w:t>(Herzer, 2019; Buber-Ennser &amp; Berghammer, 2021)</w:t>
      </w:r>
      <w:r w:rsidR="00D257A6">
        <w:t xml:space="preserve"> </w:t>
      </w:r>
      <w:r w:rsidR="005E3610">
        <w:t>consistently find that religiosity</w:t>
      </w:r>
      <w:r w:rsidR="00D257A6">
        <w:t xml:space="preserve"> tends to be positively associated with fertility</w:t>
      </w:r>
      <w:r w:rsidR="005E3610">
        <w:t>,</w:t>
      </w:r>
      <w:r w:rsidR="00D257A6">
        <w:t xml:space="preserve"> although there are differences</w:t>
      </w:r>
      <w:r w:rsidR="005E3610">
        <w:t xml:space="preserve"> in the strength of this association</w:t>
      </w:r>
      <w:r w:rsidR="00D257A6">
        <w:t xml:space="preserve"> between denominations.</w:t>
      </w:r>
      <w:r w:rsidR="005E3610">
        <w:t xml:space="preserve"> The influence of religiosity on childbearing behaviour is directly through regulation of sexual activity, contraception and abortion</w:t>
      </w:r>
      <w:r w:rsidR="00B47DD2">
        <w:t>,</w:t>
      </w:r>
      <w:r w:rsidR="005E3610">
        <w:t xml:space="preserve"> but also indirectly through the shaping of norms about gender roles, marriage and family </w:t>
      </w:r>
      <w:r w:rsidR="00675270">
        <w:rPr>
          <w:noProof/>
        </w:rPr>
        <w:t>(Herzer, 2019</w:t>
      </w:r>
      <w:r w:rsidR="00EA60CC">
        <w:rPr>
          <w:noProof/>
        </w:rPr>
        <w:t>)</w:t>
      </w:r>
      <w:r w:rsidR="00EA60CC">
        <w:t>.</w:t>
      </w:r>
    </w:p>
    <w:p w14:paraId="6913656E" w14:textId="453F313A" w:rsidR="00037447" w:rsidRDefault="00037447" w:rsidP="00BC5105">
      <w:pPr>
        <w:spacing w:line="276" w:lineRule="auto"/>
        <w:jc w:val="both"/>
      </w:pPr>
      <w:r w:rsidRPr="001001A5">
        <w:t xml:space="preserve">Individual preferences may also affect </w:t>
      </w:r>
      <w:r w:rsidR="00775638">
        <w:t>relationship formation, thereby affecting</w:t>
      </w:r>
      <w:r w:rsidRPr="001001A5">
        <w:t xml:space="preserve"> fertility — for example</w:t>
      </w:r>
      <w:r w:rsidR="00775638">
        <w:t>,</w:t>
      </w:r>
      <w:r w:rsidRPr="001001A5">
        <w:t xml:space="preserve"> </w:t>
      </w:r>
      <w:r w:rsidR="00B47DD2">
        <w:t>increases in</w:t>
      </w:r>
      <w:r w:rsidRPr="001001A5">
        <w:t xml:space="preserve"> the proportion of individuals </w:t>
      </w:r>
      <w:r w:rsidR="00B47DD2">
        <w:t xml:space="preserve">who are single, </w:t>
      </w:r>
      <w:r w:rsidR="00F54758">
        <w:t xml:space="preserve">whether that is because there is an increase in people </w:t>
      </w:r>
      <w:r w:rsidRPr="001001A5">
        <w:t xml:space="preserve">who prefer to stay single, </w:t>
      </w:r>
      <w:r w:rsidR="00F54758">
        <w:t xml:space="preserve">or for other reasons such as </w:t>
      </w:r>
      <w:r w:rsidR="002823D9">
        <w:t>hav</w:t>
      </w:r>
      <w:r w:rsidR="00F54758">
        <w:t>ing</w:t>
      </w:r>
      <w:r w:rsidR="002823D9" w:rsidRPr="001001A5">
        <w:t xml:space="preserve"> </w:t>
      </w:r>
      <w:r w:rsidR="00775638">
        <w:t>difficulties finding</w:t>
      </w:r>
      <w:r w:rsidRPr="001001A5">
        <w:t xml:space="preserve"> a suitable partner.</w:t>
      </w:r>
      <w:r w:rsidR="004F0DA0">
        <w:t xml:space="preserve"> Over time marriage rates have fallen, and while unmarried cohabitation has become increasingly popular</w:t>
      </w:r>
      <w:r w:rsidR="00777FB0">
        <w:t xml:space="preserve"> the </w:t>
      </w:r>
      <w:r w:rsidR="00F54758">
        <w:t>increased</w:t>
      </w:r>
      <w:r w:rsidR="00777FB0">
        <w:t xml:space="preserve"> fragility of relationships </w:t>
      </w:r>
      <w:r w:rsidR="00F54758">
        <w:t xml:space="preserve">through divorce and other relationship breakdown, </w:t>
      </w:r>
      <w:r w:rsidR="00777FB0">
        <w:t xml:space="preserve">means that the proportion of the population who is single at any one point in time has increased </w:t>
      </w:r>
      <w:r w:rsidR="001E0F6C">
        <w:rPr>
          <w:noProof/>
        </w:rPr>
        <w:t>(Weston &amp; Qu, 2013)</w:t>
      </w:r>
      <w:r w:rsidR="00777FB0">
        <w:t>.</w:t>
      </w:r>
      <w:r w:rsidR="004F0DA0">
        <w:t xml:space="preserve"> </w:t>
      </w:r>
      <w:r w:rsidRPr="001001A5">
        <w:t xml:space="preserve"> These factors may lead to births being postponed</w:t>
      </w:r>
      <w:r w:rsidR="00775638">
        <w:t>, or</w:t>
      </w:r>
      <w:r w:rsidRPr="001001A5">
        <w:t xml:space="preserve"> abandoned altogether (Sleebos, 2003)</w:t>
      </w:r>
      <w:r w:rsidR="002823D9">
        <w:t>.</w:t>
      </w:r>
      <w:r>
        <w:t xml:space="preserve"> </w:t>
      </w:r>
    </w:p>
    <w:p w14:paraId="18A2618C" w14:textId="3EC22D9E" w:rsidR="006F6B14" w:rsidRDefault="006F6B14" w:rsidP="00BC5105">
      <w:pPr>
        <w:spacing w:line="276" w:lineRule="auto"/>
        <w:jc w:val="both"/>
      </w:pPr>
      <w:r>
        <w:t xml:space="preserve">Of course, norms and societal attitudes change, and it can be hard to predict </w:t>
      </w:r>
      <w:r w:rsidR="00CF42BE">
        <w:t>how changing values might affect fertility. A contemporary example is that of climate change, where there is considerable speculation on whether fertility intentions are changing as a response to concerns about climate change, particularly in countries that are more directly affected by the impacts of climate change.</w:t>
      </w:r>
    </w:p>
    <w:p w14:paraId="7F8EED3F" w14:textId="38CA4F48" w:rsidR="00F204C0" w:rsidRPr="003635BF" w:rsidRDefault="001001A5" w:rsidP="00BC5105">
      <w:pPr>
        <w:pStyle w:val="Heading2"/>
        <w:spacing w:line="276" w:lineRule="auto"/>
      </w:pPr>
      <w:bookmarkStart w:id="47" w:name="_Toc87454607"/>
      <w:bookmarkStart w:id="48" w:name="_Toc98404955"/>
      <w:r>
        <w:t>Policies</w:t>
      </w:r>
      <w:bookmarkEnd w:id="47"/>
      <w:bookmarkEnd w:id="48"/>
    </w:p>
    <w:p w14:paraId="79F45DF7" w14:textId="385BA27C" w:rsidR="00EA1A9D" w:rsidRDefault="00EA1A9D" w:rsidP="00BC5105">
      <w:pPr>
        <w:spacing w:line="276" w:lineRule="auto"/>
        <w:jc w:val="both"/>
      </w:pPr>
      <w:r>
        <w:t>Public policies shape the context in which individual</w:t>
      </w:r>
      <w:r w:rsidR="00775638">
        <w:t>’</w:t>
      </w:r>
      <w:r>
        <w:t xml:space="preserve">s reproductive decisions take place </w:t>
      </w:r>
      <w:sdt>
        <w:sdtPr>
          <w:id w:val="-1893260875"/>
          <w:citation/>
        </w:sdtPr>
        <w:sdtEndPr/>
        <w:sdtContent>
          <w:r>
            <w:fldChar w:fldCharType="begin"/>
          </w:r>
          <w:r>
            <w:instrText xml:space="preserve"> CITATION Sle03 \l 3081 </w:instrText>
          </w:r>
          <w:r>
            <w:fldChar w:fldCharType="separate"/>
          </w:r>
          <w:r w:rsidR="00BE2DD4">
            <w:rPr>
              <w:noProof/>
            </w:rPr>
            <w:t>(Sleebos, 2003)</w:t>
          </w:r>
          <w:r>
            <w:fldChar w:fldCharType="end"/>
          </w:r>
        </w:sdtContent>
      </w:sdt>
      <w:r>
        <w:t xml:space="preserve">. </w:t>
      </w:r>
      <w:r w:rsidR="004065EF" w:rsidRPr="003635BF">
        <w:rPr>
          <w:rFonts w:cstheme="minorHAnsi"/>
        </w:rPr>
        <w:t>Policies can encourage fertility by lowering either</w:t>
      </w:r>
      <w:r w:rsidR="00775638">
        <w:rPr>
          <w:rFonts w:cstheme="minorHAnsi"/>
        </w:rPr>
        <w:t xml:space="preserve"> the</w:t>
      </w:r>
      <w:r w:rsidR="004065EF" w:rsidRPr="003635BF">
        <w:rPr>
          <w:rFonts w:cstheme="minorHAnsi"/>
        </w:rPr>
        <w:t xml:space="preserve"> direct cost of children through cash transfers, or the indirect costs of </w:t>
      </w:r>
      <w:r w:rsidR="004065EF">
        <w:rPr>
          <w:rFonts w:cstheme="minorHAnsi"/>
        </w:rPr>
        <w:t xml:space="preserve">children </w:t>
      </w:r>
      <w:r w:rsidR="004065EF" w:rsidRPr="003635BF">
        <w:rPr>
          <w:rFonts w:cstheme="minorHAnsi"/>
        </w:rPr>
        <w:t xml:space="preserve">through policies such as parental leave which compensate for lost income, or </w:t>
      </w:r>
      <w:r w:rsidR="009F7190">
        <w:rPr>
          <w:rFonts w:cstheme="minorHAnsi"/>
        </w:rPr>
        <w:t>child care</w:t>
      </w:r>
      <w:r w:rsidR="004065EF" w:rsidRPr="003635BF">
        <w:rPr>
          <w:rFonts w:cstheme="minorHAnsi"/>
        </w:rPr>
        <w:t xml:space="preserve"> provision </w:t>
      </w:r>
      <w:r w:rsidR="00775638">
        <w:rPr>
          <w:rFonts w:cstheme="minorHAnsi"/>
        </w:rPr>
        <w:t>that supports working parents</w:t>
      </w:r>
      <w:r w:rsidR="004065EF" w:rsidRPr="003635BF">
        <w:rPr>
          <w:rFonts w:cstheme="minorHAnsi"/>
        </w:rPr>
        <w:t xml:space="preserve"> </w:t>
      </w:r>
      <w:sdt>
        <w:sdtPr>
          <w:rPr>
            <w:rFonts w:cstheme="minorHAnsi"/>
          </w:rPr>
          <w:id w:val="-1111897029"/>
          <w:citation/>
        </w:sdtPr>
        <w:sdtEndPr/>
        <w:sdtContent>
          <w:r w:rsidR="004065EF" w:rsidRPr="003635BF">
            <w:rPr>
              <w:rFonts w:cstheme="minorHAnsi"/>
            </w:rPr>
            <w:fldChar w:fldCharType="begin"/>
          </w:r>
          <w:r w:rsidR="004065EF" w:rsidRPr="003635BF">
            <w:rPr>
              <w:rFonts w:cstheme="minorHAnsi"/>
            </w:rPr>
            <w:instrText xml:space="preserve"> CITATION DAd05 \l 3081 </w:instrText>
          </w:r>
          <w:r w:rsidR="004065EF" w:rsidRPr="003635BF">
            <w:rPr>
              <w:rFonts w:cstheme="minorHAnsi"/>
            </w:rPr>
            <w:fldChar w:fldCharType="separate"/>
          </w:r>
          <w:r w:rsidR="00BE2DD4" w:rsidRPr="00BC70D8">
            <w:rPr>
              <w:rFonts w:cstheme="minorHAnsi"/>
              <w:noProof/>
            </w:rPr>
            <w:t>(D'Addio &amp; d'Ercole, 2005)</w:t>
          </w:r>
          <w:r w:rsidR="004065EF" w:rsidRPr="003635BF">
            <w:rPr>
              <w:rFonts w:cstheme="minorHAnsi"/>
            </w:rPr>
            <w:fldChar w:fldCharType="end"/>
          </w:r>
        </w:sdtContent>
      </w:sdt>
      <w:r w:rsidR="004065EF">
        <w:rPr>
          <w:rFonts w:cstheme="minorHAnsi"/>
        </w:rPr>
        <w:t>.</w:t>
      </w:r>
      <w:r w:rsidR="00230BA5">
        <w:rPr>
          <w:rFonts w:cstheme="minorHAnsi"/>
        </w:rPr>
        <w:t xml:space="preserve"> </w:t>
      </w:r>
      <w:r w:rsidR="002923C6">
        <w:t>Direct p</w:t>
      </w:r>
      <w:r>
        <w:t>olicies aim to influence fertility directly,</w:t>
      </w:r>
      <w:r w:rsidR="001A1ACB">
        <w:t xml:space="preserve"> for example</w:t>
      </w:r>
      <w:r>
        <w:t xml:space="preserve"> by offering financial incentives </w:t>
      </w:r>
      <w:r w:rsidR="001A1ACB">
        <w:t xml:space="preserve">or subsidised housing </w:t>
      </w:r>
      <w:r>
        <w:t xml:space="preserve">to families and individuals </w:t>
      </w:r>
      <w:r w:rsidR="00775638">
        <w:t xml:space="preserve">to have </w:t>
      </w:r>
      <w:r>
        <w:t xml:space="preserve">children </w:t>
      </w:r>
      <w:sdt>
        <w:sdtPr>
          <w:id w:val="-1345940078"/>
          <w:citation/>
        </w:sdtPr>
        <w:sdtEndPr/>
        <w:sdtContent>
          <w:r>
            <w:fldChar w:fldCharType="begin"/>
          </w:r>
          <w:r>
            <w:instrText xml:space="preserve"> CITATION Sle03 \l 3081 </w:instrText>
          </w:r>
          <w:r>
            <w:fldChar w:fldCharType="separate"/>
          </w:r>
          <w:r w:rsidR="00BE2DD4">
            <w:rPr>
              <w:noProof/>
            </w:rPr>
            <w:t>(Sleebos, 2003)</w:t>
          </w:r>
          <w:r>
            <w:fldChar w:fldCharType="end"/>
          </w:r>
        </w:sdtContent>
      </w:sdt>
      <w:r w:rsidR="002923C6">
        <w:t>.</w:t>
      </w:r>
      <w:r w:rsidR="00C44652">
        <w:t xml:space="preserve"> </w:t>
      </w:r>
      <w:r w:rsidR="005169AA">
        <w:t>Examples of direct pro-natalist policies include Singapore’s baby bonus which offers $8,000 SGDP for 1</w:t>
      </w:r>
      <w:r w:rsidR="005169AA" w:rsidRPr="007E15F6">
        <w:rPr>
          <w:vertAlign w:val="superscript"/>
        </w:rPr>
        <w:t>st</w:t>
      </w:r>
      <w:r w:rsidR="005169AA">
        <w:t xml:space="preserve"> and 2</w:t>
      </w:r>
      <w:r w:rsidR="005169AA" w:rsidRPr="007E15F6">
        <w:rPr>
          <w:vertAlign w:val="superscript"/>
        </w:rPr>
        <w:t>nd</w:t>
      </w:r>
      <w:r w:rsidR="005169AA">
        <w:t xml:space="preserve"> births, and $10,000 for each 3</w:t>
      </w:r>
      <w:r w:rsidR="005169AA" w:rsidRPr="007E15F6">
        <w:rPr>
          <w:vertAlign w:val="superscript"/>
        </w:rPr>
        <w:t>rd</w:t>
      </w:r>
      <w:r w:rsidR="005169AA">
        <w:t xml:space="preserve"> or subsequent child. This policy is directly aimed at increasing Singapore’s fertility rate.</w:t>
      </w:r>
    </w:p>
    <w:p w14:paraId="7B51B6F4" w14:textId="17962E96" w:rsidR="00C44477" w:rsidRDefault="00127B94">
      <w:r>
        <w:t>Indirect p</w:t>
      </w:r>
      <w:r w:rsidR="00EA1A9D">
        <w:t>olicies</w:t>
      </w:r>
      <w:r w:rsidR="002923C6">
        <w:t xml:space="preserve"> on the other hand a</w:t>
      </w:r>
      <w:r>
        <w:t>re ones that</w:t>
      </w:r>
      <w:r w:rsidR="00EA1A9D">
        <w:t xml:space="preserve"> </w:t>
      </w:r>
      <w:r w:rsidR="006A55EB">
        <w:t xml:space="preserve">shape </w:t>
      </w:r>
      <w:r w:rsidR="00EA1A9D">
        <w:t xml:space="preserve">the environment in which </w:t>
      </w:r>
      <w:r>
        <w:t>childbearing decisions are made without having an explicit pronatalist objective</w:t>
      </w:r>
      <w:r w:rsidR="00EA1A9D">
        <w:t>.</w:t>
      </w:r>
      <w:r w:rsidR="00990E55">
        <w:t xml:space="preserve"> </w:t>
      </w:r>
      <w:r>
        <w:t xml:space="preserve">Indirect policies such as those relating to </w:t>
      </w:r>
      <w:r w:rsidR="009F7190">
        <w:t>child care</w:t>
      </w:r>
      <w:r>
        <w:t xml:space="preserve"> provision and parental leave can affect the costs and benefits of children, broader economic factors as well as social norms and lifestyles.</w:t>
      </w:r>
      <w:r w:rsidR="00C44477">
        <w:t xml:space="preserve"> The aim of these policies is often related to objectives around increasing women’s labour force participation and rais</w:t>
      </w:r>
      <w:r w:rsidR="000B0EBF">
        <w:t>ing</w:t>
      </w:r>
      <w:r w:rsidR="00C44477">
        <w:t xml:space="preserve"> productivity.</w:t>
      </w:r>
      <w:r w:rsidR="00990E55" w:rsidRPr="00990E55">
        <w:t xml:space="preserve"> </w:t>
      </w:r>
      <w:r w:rsidR="00990E55">
        <w:t xml:space="preserve">For example in Australia, the purpose </w:t>
      </w:r>
      <w:r w:rsidR="004F616F">
        <w:t xml:space="preserve">of the </w:t>
      </w:r>
      <w:r w:rsidR="0054521C">
        <w:t>Child Care Subsidy</w:t>
      </w:r>
      <w:r w:rsidR="004F616F">
        <w:t xml:space="preserve"> is to ‘</w:t>
      </w:r>
      <w:r w:rsidR="00990E55" w:rsidRPr="007F6D1B">
        <w:rPr>
          <w:i/>
        </w:rPr>
        <w:t>enable parents and carers to participate in the workforce by making early childhood education and care affordable and accessible</w:t>
      </w:r>
      <w:r w:rsidR="004F616F">
        <w:t>’</w:t>
      </w:r>
      <w:r w:rsidR="00990E55">
        <w:t xml:space="preserve"> </w:t>
      </w:r>
      <w:r w:rsidR="002E46D8">
        <w:rPr>
          <w:noProof/>
        </w:rPr>
        <w:t>(Department of Education, Skills and Employment, 2021)</w:t>
      </w:r>
      <w:r w:rsidR="002C0271" w:rsidRPr="002C0271">
        <w:t>.</w:t>
      </w:r>
    </w:p>
    <w:p w14:paraId="667781FC" w14:textId="734D810A" w:rsidR="006A55EB" w:rsidRDefault="006A55EB" w:rsidP="00BC5105">
      <w:pPr>
        <w:tabs>
          <w:tab w:val="left" w:pos="988"/>
        </w:tabs>
        <w:spacing w:line="276" w:lineRule="auto"/>
        <w:jc w:val="both"/>
        <w:rPr>
          <w:rFonts w:cstheme="minorHAnsi"/>
          <w:color w:val="000000"/>
          <w:shd w:val="clear" w:color="auto" w:fill="FFFFFF"/>
        </w:rPr>
      </w:pPr>
      <w:r>
        <w:t xml:space="preserve">Policies that aim to improve </w:t>
      </w:r>
      <w:r w:rsidR="009F7190">
        <w:t>child care</w:t>
      </w:r>
      <w:r w:rsidR="00127B94">
        <w:t xml:space="preserve"> availability, affordability and quality can affect the </w:t>
      </w:r>
      <w:r>
        <w:t xml:space="preserve">direct and indirect costs of rearing children. When there is a lack of </w:t>
      </w:r>
      <w:r w:rsidR="009F7190">
        <w:t>child care</w:t>
      </w:r>
      <w:r>
        <w:t xml:space="preserve">, combining paid employment with childrearing can be impossible and forces </w:t>
      </w:r>
      <w:r w:rsidR="00775638">
        <w:t xml:space="preserve">a parent </w:t>
      </w:r>
      <w:r>
        <w:t>to make a choice about either working or having children.</w:t>
      </w:r>
      <w:r w:rsidR="00775638">
        <w:t xml:space="preserve"> Women are </w:t>
      </w:r>
      <w:r w:rsidR="002C0271">
        <w:t>primari</w:t>
      </w:r>
      <w:r w:rsidR="00775638">
        <w:t xml:space="preserve">ly </w:t>
      </w:r>
      <w:r w:rsidR="00863B00">
        <w:t>a</w:t>
      </w:r>
      <w:r w:rsidR="00775638">
        <w:t>ffected because socially they are seen as the primary caregiver.</w:t>
      </w:r>
      <w:r>
        <w:t xml:space="preserve"> As m</w:t>
      </w:r>
      <w:r w:rsidRPr="00EA1A9D">
        <w:rPr>
          <w:rFonts w:cstheme="minorHAnsi"/>
          <w:color w:val="000000"/>
          <w:shd w:val="clear" w:color="auto" w:fill="FFFFFF"/>
        </w:rPr>
        <w:t xml:space="preserve">ost women value both labour force participation and parental roles, they face a dilemma if they </w:t>
      </w:r>
      <w:r w:rsidRPr="00EA1A9D">
        <w:rPr>
          <w:rFonts w:cstheme="minorHAnsi"/>
          <w:color w:val="000000"/>
          <w:shd w:val="clear" w:color="auto" w:fill="FFFFFF"/>
        </w:rPr>
        <w:lastRenderedPageBreak/>
        <w:t xml:space="preserve">perceive them as mutually incompatible </w:t>
      </w:r>
      <w:r w:rsidRPr="006A55EB">
        <w:rPr>
          <w:rFonts w:cstheme="minorHAnsi"/>
          <w:color w:val="000000"/>
          <w:shd w:val="clear" w:color="auto" w:fill="FFFFFF"/>
        </w:rPr>
        <w:t>(Baizán, 2009</w:t>
      </w:r>
      <w:r>
        <w:rPr>
          <w:rFonts w:cstheme="minorHAnsi"/>
          <w:color w:val="000000"/>
          <w:shd w:val="clear" w:color="auto" w:fill="FFFFFF"/>
        </w:rPr>
        <w:t xml:space="preserve">).  </w:t>
      </w:r>
      <w:r>
        <w:t xml:space="preserve">Similarly, the cost of </w:t>
      </w:r>
      <w:r w:rsidR="009F7190">
        <w:t>child care</w:t>
      </w:r>
      <w:r>
        <w:t xml:space="preserve"> adds to the direct cost of raising children</w:t>
      </w:r>
      <w:r w:rsidR="00230BA5">
        <w:t>.</w:t>
      </w:r>
      <w:r>
        <w:t xml:space="preserve"> </w:t>
      </w:r>
      <w:r w:rsidR="002923C6">
        <w:t>Child</w:t>
      </w:r>
      <w:r w:rsidR="009F7190">
        <w:t xml:space="preserve"> </w:t>
      </w:r>
      <w:r w:rsidR="002923C6">
        <w:t xml:space="preserve">care can also affect social norms, as the de-familialization of caregiving can have a beneficial impact on gender equity within couples </w:t>
      </w:r>
      <w:r w:rsidRPr="00EA1A9D">
        <w:rPr>
          <w:rFonts w:cstheme="minorHAnsi"/>
          <w:color w:val="000000"/>
          <w:shd w:val="clear" w:color="auto" w:fill="FFFFFF"/>
        </w:rPr>
        <w:t>(Baizán, 2009).</w:t>
      </w:r>
    </w:p>
    <w:p w14:paraId="5A889437" w14:textId="50E241AF" w:rsidR="00BB5CCB" w:rsidRPr="006C6E6D" w:rsidRDefault="003857F9" w:rsidP="00BB5CCB">
      <w:pPr>
        <w:spacing w:line="276" w:lineRule="auto"/>
        <w:rPr>
          <w:rFonts w:cstheme="minorHAnsi"/>
          <w:color w:val="000000"/>
          <w:shd w:val="clear" w:color="auto" w:fill="FFFFFF"/>
        </w:rPr>
      </w:pPr>
      <w:r>
        <w:rPr>
          <w:rFonts w:cstheme="minorHAnsi"/>
          <w:color w:val="000000"/>
          <w:shd w:val="clear" w:color="auto" w:fill="FFFFFF"/>
        </w:rPr>
        <w:t xml:space="preserve">Similar to </w:t>
      </w:r>
      <w:r w:rsidR="009F7190">
        <w:rPr>
          <w:rFonts w:cstheme="minorHAnsi"/>
          <w:color w:val="000000"/>
          <w:shd w:val="clear" w:color="auto" w:fill="FFFFFF"/>
        </w:rPr>
        <w:t>child care</w:t>
      </w:r>
      <w:r w:rsidR="00775638">
        <w:rPr>
          <w:rFonts w:cstheme="minorHAnsi"/>
          <w:color w:val="000000"/>
          <w:shd w:val="clear" w:color="auto" w:fill="FFFFFF"/>
        </w:rPr>
        <w:t>,</w:t>
      </w:r>
      <w:r>
        <w:rPr>
          <w:rFonts w:cstheme="minorHAnsi"/>
          <w:color w:val="000000"/>
          <w:shd w:val="clear" w:color="auto" w:fill="FFFFFF"/>
        </w:rPr>
        <w:t xml:space="preserve"> </w:t>
      </w:r>
      <w:r w:rsidR="006E14FF">
        <w:rPr>
          <w:rFonts w:cstheme="minorHAnsi"/>
          <w:color w:val="000000"/>
          <w:shd w:val="clear" w:color="auto" w:fill="FFFFFF"/>
        </w:rPr>
        <w:t>parental leave can help parents maintain their employment after childbirth, and if coupled with a high replacement wage it can help reduce the opportunity cost of taking time out of work.</w:t>
      </w:r>
      <w:r w:rsidR="00BB5CCB">
        <w:rPr>
          <w:rFonts w:cstheme="minorHAnsi"/>
          <w:color w:val="000000"/>
          <w:shd w:val="clear" w:color="auto" w:fill="FFFFFF"/>
        </w:rPr>
        <w:t xml:space="preserve"> The expectation that policies which increase work-family compatibility such as </w:t>
      </w:r>
      <w:r w:rsidR="009F7190">
        <w:rPr>
          <w:rFonts w:cstheme="minorHAnsi"/>
          <w:color w:val="000000"/>
          <w:shd w:val="clear" w:color="auto" w:fill="FFFFFF"/>
        </w:rPr>
        <w:t>child care</w:t>
      </w:r>
      <w:r w:rsidR="00BB5CCB">
        <w:rPr>
          <w:rFonts w:cstheme="minorHAnsi"/>
          <w:color w:val="000000"/>
          <w:shd w:val="clear" w:color="auto" w:fill="FFFFFF"/>
        </w:rPr>
        <w:t xml:space="preserve"> provision and paid parental leave influence fertility, is based on the assumption that having a single-income household is increasingly less feasible and less desirable </w:t>
      </w:r>
      <w:r w:rsidR="000B0EBF">
        <w:rPr>
          <w:rFonts w:cstheme="minorHAnsi"/>
          <w:color w:val="000000"/>
          <w:shd w:val="clear" w:color="auto" w:fill="FFFFFF"/>
        </w:rPr>
        <w:t>from</w:t>
      </w:r>
      <w:r w:rsidR="00BB5CCB">
        <w:rPr>
          <w:rFonts w:cstheme="minorHAnsi"/>
          <w:color w:val="000000"/>
          <w:shd w:val="clear" w:color="auto" w:fill="FFFFFF"/>
        </w:rPr>
        <w:t xml:space="preserve"> a financial perspective and that therefore difficulties experienced by women in achieving their labour force goals would supress childbearing </w:t>
      </w:r>
      <w:r w:rsidR="006E14FF">
        <w:rPr>
          <w:rFonts w:cstheme="minorHAnsi"/>
          <w:color w:val="000000"/>
          <w:shd w:val="clear" w:color="auto" w:fill="FFFFFF"/>
        </w:rPr>
        <w:t xml:space="preserve"> </w:t>
      </w:r>
      <w:r w:rsidR="00675270" w:rsidRPr="007E15F6">
        <w:rPr>
          <w:rFonts w:cstheme="minorHAnsi"/>
          <w:noProof/>
          <w:color w:val="000000"/>
          <w:shd w:val="clear" w:color="auto" w:fill="FFFFFF"/>
        </w:rPr>
        <w:t>(Billingsley &amp; Ferrarini, 2014)</w:t>
      </w:r>
      <w:r w:rsidR="00BB5CCB" w:rsidRPr="006C6E6D">
        <w:rPr>
          <w:rFonts w:cstheme="minorHAnsi"/>
          <w:color w:val="000000"/>
          <w:shd w:val="clear" w:color="auto" w:fill="FFFFFF"/>
        </w:rPr>
        <w:t xml:space="preserve">. </w:t>
      </w:r>
    </w:p>
    <w:p w14:paraId="494DE14F" w14:textId="5C648D31" w:rsidR="00C44477" w:rsidRDefault="00C44477" w:rsidP="00BC5105">
      <w:pPr>
        <w:spacing w:line="276" w:lineRule="auto"/>
        <w:jc w:val="both"/>
        <w:rPr>
          <w:b/>
          <w:noProof/>
        </w:rPr>
      </w:pPr>
      <w:r>
        <w:rPr>
          <w:noProof/>
        </w:rPr>
        <w:t>Policies themselves</w:t>
      </w:r>
      <w:r w:rsidR="00230BA5">
        <w:rPr>
          <w:noProof/>
        </w:rPr>
        <w:t xml:space="preserve"> are influenced by and</w:t>
      </w:r>
      <w:r>
        <w:rPr>
          <w:noProof/>
        </w:rPr>
        <w:t xml:space="preserve"> r</w:t>
      </w:r>
      <w:r w:rsidR="006E14FF">
        <w:rPr>
          <w:noProof/>
        </w:rPr>
        <w:t xml:space="preserve">eflect the </w:t>
      </w:r>
      <w:r>
        <w:rPr>
          <w:noProof/>
        </w:rPr>
        <w:t xml:space="preserve">prevailing </w:t>
      </w:r>
      <w:r w:rsidR="006E14FF">
        <w:rPr>
          <w:noProof/>
        </w:rPr>
        <w:t xml:space="preserve">norms </w:t>
      </w:r>
      <w:r>
        <w:rPr>
          <w:noProof/>
        </w:rPr>
        <w:t>of society</w:t>
      </w:r>
      <w:r w:rsidR="006E14FF">
        <w:rPr>
          <w:noProof/>
        </w:rPr>
        <w:t>,</w:t>
      </w:r>
      <w:r>
        <w:rPr>
          <w:noProof/>
        </w:rPr>
        <w:t xml:space="preserve"> but</w:t>
      </w:r>
      <w:r w:rsidR="00230BA5">
        <w:rPr>
          <w:noProof/>
        </w:rPr>
        <w:t xml:space="preserve"> they</w:t>
      </w:r>
      <w:r>
        <w:rPr>
          <w:noProof/>
        </w:rPr>
        <w:t xml:space="preserve"> also </w:t>
      </w:r>
      <w:r w:rsidR="00230BA5">
        <w:rPr>
          <w:noProof/>
        </w:rPr>
        <w:t xml:space="preserve">help to </w:t>
      </w:r>
      <w:r>
        <w:rPr>
          <w:noProof/>
        </w:rPr>
        <w:t>shape them further</w:t>
      </w:r>
      <w:r w:rsidRPr="00C44477">
        <w:rPr>
          <w:b/>
          <w:noProof/>
        </w:rPr>
        <w:t xml:space="preserve"> </w:t>
      </w:r>
      <w:r w:rsidR="001E0F6C">
        <w:rPr>
          <w:noProof/>
        </w:rPr>
        <w:t>(Sobokta, et al. 2020)</w:t>
      </w:r>
      <w:r>
        <w:rPr>
          <w:b/>
          <w:noProof/>
        </w:rPr>
        <w:t>.</w:t>
      </w:r>
      <w:r w:rsidR="006E14FF">
        <w:rPr>
          <w:noProof/>
        </w:rPr>
        <w:t xml:space="preserve"> </w:t>
      </w:r>
      <w:r w:rsidR="000B0EBF">
        <w:rPr>
          <w:noProof/>
        </w:rPr>
        <w:t>The cases of Australia and Sweden can provide an example of contrasting</w:t>
      </w:r>
      <w:r>
        <w:rPr>
          <w:noProof/>
        </w:rPr>
        <w:t xml:space="preserve"> views about who should provide </w:t>
      </w:r>
      <w:r w:rsidR="009F7190">
        <w:rPr>
          <w:noProof/>
        </w:rPr>
        <w:t>child care</w:t>
      </w:r>
      <w:r>
        <w:rPr>
          <w:noProof/>
        </w:rPr>
        <w:t xml:space="preserve">, and who should cover the costs of </w:t>
      </w:r>
      <w:r w:rsidR="009F7190">
        <w:rPr>
          <w:noProof/>
        </w:rPr>
        <w:t>child care</w:t>
      </w:r>
      <w:r w:rsidR="00CE06A6">
        <w:rPr>
          <w:noProof/>
        </w:rPr>
        <w:t xml:space="preserve"> as seen Table 3</w:t>
      </w:r>
      <w:r>
        <w:rPr>
          <w:noProof/>
        </w:rPr>
        <w:t xml:space="preserve">. In Sweden, where there is a high provision of public </w:t>
      </w:r>
      <w:r w:rsidR="009F7190">
        <w:rPr>
          <w:noProof/>
        </w:rPr>
        <w:t>child care</w:t>
      </w:r>
      <w:r>
        <w:rPr>
          <w:noProof/>
        </w:rPr>
        <w:t xml:space="preserve"> which is subsidised by the governement</w:t>
      </w:r>
      <w:r w:rsidR="00187434">
        <w:rPr>
          <w:noProof/>
        </w:rPr>
        <w:t>,</w:t>
      </w:r>
      <w:r>
        <w:rPr>
          <w:noProof/>
        </w:rPr>
        <w:t xml:space="preserve"> 75% of respondents in the ISSP (2012) survey believed the government should be the main provider of </w:t>
      </w:r>
      <w:r w:rsidR="009F7190">
        <w:rPr>
          <w:noProof/>
        </w:rPr>
        <w:t>child care</w:t>
      </w:r>
      <w:r>
        <w:rPr>
          <w:rStyle w:val="FootnoteReference"/>
          <w:noProof/>
        </w:rPr>
        <w:footnoteReference w:id="7"/>
      </w:r>
      <w:r>
        <w:rPr>
          <w:noProof/>
        </w:rPr>
        <w:t xml:space="preserve">, and 68% believed the </w:t>
      </w:r>
      <w:r w:rsidR="009F7190">
        <w:rPr>
          <w:noProof/>
        </w:rPr>
        <w:t>child care</w:t>
      </w:r>
      <w:r w:rsidR="002037BB">
        <w:rPr>
          <w:noProof/>
        </w:rPr>
        <w:t xml:space="preserve"> costs should also primarily be covered by the government. In contrast, in Australia the corresponding percentages were just 12 and 25%. </w:t>
      </w:r>
    </w:p>
    <w:p w14:paraId="74E64EDB" w14:textId="6ADE2679" w:rsidR="00C44477" w:rsidRDefault="00C44477" w:rsidP="00BC5105">
      <w:pPr>
        <w:pStyle w:val="Caption"/>
        <w:keepNext/>
        <w:spacing w:line="276" w:lineRule="auto"/>
      </w:pPr>
      <w:bookmarkStart w:id="49" w:name="_Ref81067402"/>
      <w:r>
        <w:t xml:space="preserve">Table </w:t>
      </w:r>
      <w:fldSimple w:instr=" SEQ Table \* ARABIC ">
        <w:r w:rsidR="00115E22">
          <w:rPr>
            <w:noProof/>
          </w:rPr>
          <w:t>3</w:t>
        </w:r>
      </w:fldSimple>
      <w:bookmarkEnd w:id="49"/>
      <w:r>
        <w:t xml:space="preserve"> Views on </w:t>
      </w:r>
      <w:r w:rsidR="009F7190">
        <w:t>child care</w:t>
      </w:r>
      <w:r>
        <w:t xml:space="preserve"> provision and funding</w:t>
      </w:r>
    </w:p>
    <w:tbl>
      <w:tblPr>
        <w:tblW w:w="7776"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5098"/>
        <w:gridCol w:w="1418"/>
        <w:gridCol w:w="1260"/>
      </w:tblGrid>
      <w:tr w:rsidR="009D5B98" w:rsidRPr="009D5B98" w14:paraId="33D5EFCC" w14:textId="77777777" w:rsidTr="009D5B98">
        <w:trPr>
          <w:trHeight w:val="300"/>
        </w:trPr>
        <w:tc>
          <w:tcPr>
            <w:tcW w:w="5098" w:type="dxa"/>
            <w:shd w:val="clear" w:color="auto" w:fill="FBE4D5" w:themeFill="accent2" w:themeFillTint="33"/>
            <w:noWrap/>
            <w:vAlign w:val="bottom"/>
            <w:hideMark/>
          </w:tcPr>
          <w:p w14:paraId="260E0080" w14:textId="7AFDF484" w:rsidR="009D5B98" w:rsidRPr="009D5B98" w:rsidRDefault="009D5B98" w:rsidP="00BC5105">
            <w:pPr>
              <w:spacing w:after="0" w:line="276" w:lineRule="auto"/>
              <w:rPr>
                <w:rFonts w:ascii="Tw Cen MT Condensed" w:eastAsia="Times New Roman" w:hAnsi="Tw Cen MT Condensed" w:cs="Times New Roman"/>
                <w:sz w:val="24"/>
                <w:szCs w:val="24"/>
                <w:lang w:eastAsia="en-AU"/>
              </w:rPr>
            </w:pPr>
            <w:r w:rsidRPr="009D5B98">
              <w:rPr>
                <w:rFonts w:ascii="Tw Cen MT Condensed" w:eastAsia="Times New Roman" w:hAnsi="Tw Cen MT Condensed" w:cs="Times New Roman"/>
                <w:sz w:val="24"/>
                <w:szCs w:val="24"/>
                <w:lang w:eastAsia="en-AU"/>
              </w:rPr>
              <w:t>Question</w:t>
            </w:r>
          </w:p>
        </w:tc>
        <w:tc>
          <w:tcPr>
            <w:tcW w:w="1418" w:type="dxa"/>
            <w:shd w:val="clear" w:color="auto" w:fill="FBE4D5" w:themeFill="accent2" w:themeFillTint="33"/>
            <w:noWrap/>
            <w:vAlign w:val="bottom"/>
            <w:hideMark/>
          </w:tcPr>
          <w:p w14:paraId="0235F0BE" w14:textId="77777777" w:rsidR="009D5B98" w:rsidRPr="009D5B98" w:rsidRDefault="009D5B98" w:rsidP="00BC5105">
            <w:pPr>
              <w:spacing w:after="0" w:line="276" w:lineRule="auto"/>
              <w:jc w:val="center"/>
              <w:rPr>
                <w:rFonts w:ascii="Tw Cen MT Condensed" w:eastAsia="Times New Roman" w:hAnsi="Tw Cen MT Condensed" w:cs="Calibri"/>
                <w:color w:val="000000"/>
                <w:lang w:eastAsia="en-AU"/>
              </w:rPr>
            </w:pPr>
            <w:r w:rsidRPr="009D5B98">
              <w:rPr>
                <w:rFonts w:ascii="Tw Cen MT Condensed" w:eastAsia="Times New Roman" w:hAnsi="Tw Cen MT Condensed" w:cs="Calibri"/>
                <w:color w:val="000000"/>
                <w:lang w:eastAsia="en-AU"/>
              </w:rPr>
              <w:t>Australia</w:t>
            </w:r>
          </w:p>
        </w:tc>
        <w:tc>
          <w:tcPr>
            <w:tcW w:w="1260" w:type="dxa"/>
            <w:shd w:val="clear" w:color="auto" w:fill="FBE4D5" w:themeFill="accent2" w:themeFillTint="33"/>
            <w:noWrap/>
            <w:vAlign w:val="bottom"/>
            <w:hideMark/>
          </w:tcPr>
          <w:p w14:paraId="6A615A66" w14:textId="77777777" w:rsidR="009D5B98" w:rsidRPr="009D5B98" w:rsidRDefault="009D5B98" w:rsidP="00BC5105">
            <w:pPr>
              <w:spacing w:after="0" w:line="276" w:lineRule="auto"/>
              <w:jc w:val="center"/>
              <w:rPr>
                <w:rFonts w:ascii="Tw Cen MT Condensed" w:eastAsia="Times New Roman" w:hAnsi="Tw Cen MT Condensed" w:cs="Calibri"/>
                <w:color w:val="000000"/>
                <w:lang w:eastAsia="en-AU"/>
              </w:rPr>
            </w:pPr>
            <w:r w:rsidRPr="009D5B98">
              <w:rPr>
                <w:rFonts w:ascii="Tw Cen MT Condensed" w:eastAsia="Times New Roman" w:hAnsi="Tw Cen MT Condensed" w:cs="Calibri"/>
                <w:color w:val="000000"/>
                <w:lang w:eastAsia="en-AU"/>
              </w:rPr>
              <w:t>Sweden</w:t>
            </w:r>
          </w:p>
        </w:tc>
      </w:tr>
      <w:tr w:rsidR="009D5B98" w:rsidRPr="009D5B98" w14:paraId="49A0C586" w14:textId="77777777" w:rsidTr="009D5B98">
        <w:trPr>
          <w:trHeight w:val="565"/>
        </w:trPr>
        <w:tc>
          <w:tcPr>
            <w:tcW w:w="5098" w:type="dxa"/>
            <w:shd w:val="clear" w:color="auto" w:fill="auto"/>
            <w:vAlign w:val="bottom"/>
            <w:hideMark/>
          </w:tcPr>
          <w:p w14:paraId="49CD4A57" w14:textId="55225218" w:rsidR="009D5B98" w:rsidRPr="009D5B98" w:rsidRDefault="009D5B98" w:rsidP="00BC5105">
            <w:pPr>
              <w:spacing w:after="0" w:line="276" w:lineRule="auto"/>
              <w:rPr>
                <w:rFonts w:asciiTheme="majorHAnsi" w:eastAsia="Times New Roman" w:hAnsiTheme="majorHAnsi" w:cstheme="majorHAnsi"/>
                <w:color w:val="000000"/>
                <w:sz w:val="20"/>
                <w:szCs w:val="20"/>
                <w:lang w:eastAsia="en-AU"/>
              </w:rPr>
            </w:pPr>
            <w:r w:rsidRPr="009D5B98">
              <w:rPr>
                <w:rFonts w:asciiTheme="majorHAnsi" w:eastAsia="Times New Roman" w:hAnsiTheme="majorHAnsi" w:cstheme="majorHAnsi"/>
                <w:color w:val="000000"/>
                <w:sz w:val="20"/>
                <w:szCs w:val="20"/>
                <w:lang w:eastAsia="en-AU"/>
              </w:rPr>
              <w:t xml:space="preserve">Percentage who believe the government should be the main </w:t>
            </w:r>
            <w:r w:rsidRPr="006C6E6D">
              <w:rPr>
                <w:rFonts w:asciiTheme="majorHAnsi" w:eastAsia="Times New Roman" w:hAnsiTheme="majorHAnsi" w:cstheme="majorHAnsi"/>
                <w:i/>
                <w:iCs/>
                <w:color w:val="000000"/>
                <w:sz w:val="20"/>
                <w:szCs w:val="20"/>
                <w:lang w:eastAsia="en-AU"/>
              </w:rPr>
              <w:t>provider</w:t>
            </w:r>
            <w:r w:rsidRPr="009D5B98">
              <w:rPr>
                <w:rFonts w:asciiTheme="majorHAnsi" w:eastAsia="Times New Roman" w:hAnsiTheme="majorHAnsi" w:cstheme="majorHAnsi"/>
                <w:color w:val="000000"/>
                <w:sz w:val="20"/>
                <w:szCs w:val="20"/>
                <w:lang w:eastAsia="en-AU"/>
              </w:rPr>
              <w:t xml:space="preserve"> of </w:t>
            </w:r>
            <w:r w:rsidR="009F7190">
              <w:rPr>
                <w:rFonts w:asciiTheme="majorHAnsi" w:eastAsia="Times New Roman" w:hAnsiTheme="majorHAnsi" w:cstheme="majorHAnsi"/>
                <w:color w:val="000000"/>
                <w:sz w:val="20"/>
                <w:szCs w:val="20"/>
                <w:lang w:eastAsia="en-AU"/>
              </w:rPr>
              <w:t>child care</w:t>
            </w:r>
            <w:r w:rsidRPr="009D5B98">
              <w:rPr>
                <w:rFonts w:asciiTheme="majorHAnsi" w:eastAsia="Times New Roman" w:hAnsiTheme="majorHAnsi" w:cstheme="majorHAnsi"/>
                <w:color w:val="000000"/>
                <w:sz w:val="20"/>
                <w:szCs w:val="20"/>
                <w:lang w:eastAsia="en-AU"/>
              </w:rPr>
              <w:t xml:space="preserve"> for children under school age </w:t>
            </w:r>
          </w:p>
        </w:tc>
        <w:tc>
          <w:tcPr>
            <w:tcW w:w="1418" w:type="dxa"/>
            <w:shd w:val="clear" w:color="auto" w:fill="auto"/>
            <w:noWrap/>
            <w:vAlign w:val="bottom"/>
            <w:hideMark/>
          </w:tcPr>
          <w:p w14:paraId="63A9C6B7" w14:textId="286910F1" w:rsidR="009D5B98" w:rsidRPr="009D5B98" w:rsidRDefault="009D5B98" w:rsidP="00BC5105">
            <w:pPr>
              <w:spacing w:after="0" w:line="276" w:lineRule="auto"/>
              <w:jc w:val="center"/>
              <w:rPr>
                <w:rFonts w:asciiTheme="majorHAnsi" w:eastAsia="Times New Roman" w:hAnsiTheme="majorHAnsi" w:cstheme="majorHAnsi"/>
                <w:color w:val="000000"/>
                <w:sz w:val="20"/>
                <w:szCs w:val="20"/>
                <w:lang w:eastAsia="en-AU"/>
              </w:rPr>
            </w:pPr>
            <w:r w:rsidRPr="009D5B98">
              <w:rPr>
                <w:rFonts w:asciiTheme="majorHAnsi" w:eastAsia="Times New Roman" w:hAnsiTheme="majorHAnsi" w:cstheme="majorHAnsi"/>
                <w:color w:val="000000"/>
                <w:sz w:val="20"/>
                <w:szCs w:val="20"/>
                <w:lang w:eastAsia="en-AU"/>
              </w:rPr>
              <w:t>12%</w:t>
            </w:r>
          </w:p>
        </w:tc>
        <w:tc>
          <w:tcPr>
            <w:tcW w:w="1260" w:type="dxa"/>
            <w:shd w:val="clear" w:color="auto" w:fill="auto"/>
            <w:noWrap/>
            <w:vAlign w:val="bottom"/>
            <w:hideMark/>
          </w:tcPr>
          <w:p w14:paraId="033955E4" w14:textId="16A41952" w:rsidR="009D5B98" w:rsidRPr="009D5B98" w:rsidRDefault="009D5B98" w:rsidP="00BC5105">
            <w:pPr>
              <w:spacing w:after="0" w:line="276" w:lineRule="auto"/>
              <w:jc w:val="center"/>
              <w:rPr>
                <w:rFonts w:asciiTheme="majorHAnsi" w:eastAsia="Times New Roman" w:hAnsiTheme="majorHAnsi" w:cstheme="majorHAnsi"/>
                <w:color w:val="000000"/>
                <w:sz w:val="20"/>
                <w:szCs w:val="20"/>
                <w:lang w:eastAsia="en-AU"/>
              </w:rPr>
            </w:pPr>
            <w:r w:rsidRPr="009D5B98">
              <w:rPr>
                <w:rFonts w:asciiTheme="majorHAnsi" w:eastAsia="Times New Roman" w:hAnsiTheme="majorHAnsi" w:cstheme="majorHAnsi"/>
                <w:color w:val="000000"/>
                <w:sz w:val="20"/>
                <w:szCs w:val="20"/>
                <w:lang w:eastAsia="en-AU"/>
              </w:rPr>
              <w:t>75%</w:t>
            </w:r>
          </w:p>
        </w:tc>
      </w:tr>
      <w:tr w:rsidR="009D5B98" w:rsidRPr="009D5B98" w14:paraId="2EDFAF70" w14:textId="77777777" w:rsidTr="009D5B98">
        <w:trPr>
          <w:trHeight w:val="559"/>
        </w:trPr>
        <w:tc>
          <w:tcPr>
            <w:tcW w:w="5098" w:type="dxa"/>
            <w:shd w:val="clear" w:color="auto" w:fill="auto"/>
            <w:vAlign w:val="bottom"/>
            <w:hideMark/>
          </w:tcPr>
          <w:p w14:paraId="37C67A47" w14:textId="3F081A2A" w:rsidR="009D5B98" w:rsidRPr="009D5B98" w:rsidRDefault="009D5B98" w:rsidP="00BC5105">
            <w:pPr>
              <w:spacing w:after="0" w:line="276" w:lineRule="auto"/>
              <w:rPr>
                <w:rFonts w:asciiTheme="majorHAnsi" w:eastAsia="Times New Roman" w:hAnsiTheme="majorHAnsi" w:cstheme="majorHAnsi"/>
                <w:color w:val="000000"/>
                <w:sz w:val="20"/>
                <w:szCs w:val="20"/>
                <w:lang w:eastAsia="en-AU"/>
              </w:rPr>
            </w:pPr>
            <w:r w:rsidRPr="009D5B98">
              <w:rPr>
                <w:rFonts w:asciiTheme="majorHAnsi" w:eastAsia="Times New Roman" w:hAnsiTheme="majorHAnsi" w:cstheme="majorHAnsi"/>
                <w:color w:val="000000"/>
                <w:sz w:val="20"/>
                <w:szCs w:val="20"/>
                <w:lang w:eastAsia="en-AU"/>
              </w:rPr>
              <w:t xml:space="preserve">Percentage who believe the government should primarily cover </w:t>
            </w:r>
            <w:r w:rsidR="009F7190">
              <w:rPr>
                <w:rFonts w:asciiTheme="majorHAnsi" w:eastAsia="Times New Roman" w:hAnsiTheme="majorHAnsi" w:cstheme="majorHAnsi"/>
                <w:color w:val="000000"/>
                <w:sz w:val="20"/>
                <w:szCs w:val="20"/>
                <w:lang w:eastAsia="en-AU"/>
              </w:rPr>
              <w:t>child care</w:t>
            </w:r>
            <w:r w:rsidRPr="009D5B98">
              <w:rPr>
                <w:rFonts w:asciiTheme="majorHAnsi" w:eastAsia="Times New Roman" w:hAnsiTheme="majorHAnsi" w:cstheme="majorHAnsi"/>
                <w:color w:val="000000"/>
                <w:sz w:val="20"/>
                <w:szCs w:val="20"/>
                <w:lang w:eastAsia="en-AU"/>
              </w:rPr>
              <w:t xml:space="preserve"> </w:t>
            </w:r>
            <w:r w:rsidRPr="006811C9">
              <w:rPr>
                <w:rFonts w:asciiTheme="majorHAnsi" w:eastAsia="Times New Roman" w:hAnsiTheme="majorHAnsi" w:cstheme="majorHAnsi"/>
                <w:i/>
                <w:iCs/>
                <w:color w:val="000000"/>
                <w:sz w:val="20"/>
                <w:szCs w:val="20"/>
                <w:lang w:eastAsia="en-AU"/>
              </w:rPr>
              <w:t>costs</w:t>
            </w:r>
            <w:r w:rsidRPr="009D5B98">
              <w:rPr>
                <w:rFonts w:asciiTheme="majorHAnsi" w:eastAsia="Times New Roman" w:hAnsiTheme="majorHAnsi" w:cstheme="majorHAnsi"/>
                <w:color w:val="000000"/>
                <w:sz w:val="20"/>
                <w:szCs w:val="20"/>
                <w:lang w:eastAsia="en-AU"/>
              </w:rPr>
              <w:t xml:space="preserve"> for children under school age </w:t>
            </w:r>
          </w:p>
        </w:tc>
        <w:tc>
          <w:tcPr>
            <w:tcW w:w="1418" w:type="dxa"/>
            <w:shd w:val="clear" w:color="auto" w:fill="auto"/>
            <w:noWrap/>
            <w:vAlign w:val="bottom"/>
            <w:hideMark/>
          </w:tcPr>
          <w:p w14:paraId="544DC30B" w14:textId="61BBA5E5" w:rsidR="009D5B98" w:rsidRPr="009D5B98" w:rsidRDefault="009D5B98" w:rsidP="00BC5105">
            <w:pPr>
              <w:spacing w:after="0" w:line="276" w:lineRule="auto"/>
              <w:jc w:val="center"/>
              <w:rPr>
                <w:rFonts w:asciiTheme="majorHAnsi" w:eastAsia="Times New Roman" w:hAnsiTheme="majorHAnsi" w:cstheme="majorHAnsi"/>
                <w:color w:val="000000"/>
                <w:sz w:val="20"/>
                <w:szCs w:val="20"/>
                <w:lang w:eastAsia="en-AU"/>
              </w:rPr>
            </w:pPr>
            <w:r w:rsidRPr="009D5B98">
              <w:rPr>
                <w:rFonts w:asciiTheme="majorHAnsi" w:eastAsia="Times New Roman" w:hAnsiTheme="majorHAnsi" w:cstheme="majorHAnsi"/>
                <w:color w:val="000000"/>
                <w:sz w:val="20"/>
                <w:szCs w:val="20"/>
                <w:lang w:eastAsia="en-AU"/>
              </w:rPr>
              <w:t>25%</w:t>
            </w:r>
          </w:p>
        </w:tc>
        <w:tc>
          <w:tcPr>
            <w:tcW w:w="1260" w:type="dxa"/>
            <w:shd w:val="clear" w:color="auto" w:fill="auto"/>
            <w:noWrap/>
            <w:vAlign w:val="bottom"/>
            <w:hideMark/>
          </w:tcPr>
          <w:p w14:paraId="46406140" w14:textId="306C2D9D" w:rsidR="009D5B98" w:rsidRPr="009D5B98" w:rsidRDefault="009D5B98" w:rsidP="00BC5105">
            <w:pPr>
              <w:spacing w:after="0" w:line="276" w:lineRule="auto"/>
              <w:jc w:val="center"/>
              <w:rPr>
                <w:rFonts w:asciiTheme="majorHAnsi" w:eastAsia="Times New Roman" w:hAnsiTheme="majorHAnsi" w:cstheme="majorHAnsi"/>
                <w:color w:val="000000"/>
                <w:sz w:val="20"/>
                <w:szCs w:val="20"/>
                <w:lang w:eastAsia="en-AU"/>
              </w:rPr>
            </w:pPr>
            <w:r w:rsidRPr="009D5B98">
              <w:rPr>
                <w:rFonts w:asciiTheme="majorHAnsi" w:eastAsia="Times New Roman" w:hAnsiTheme="majorHAnsi" w:cstheme="majorHAnsi"/>
                <w:color w:val="000000"/>
                <w:sz w:val="20"/>
                <w:szCs w:val="20"/>
                <w:lang w:eastAsia="en-AU"/>
              </w:rPr>
              <w:t>68%</w:t>
            </w:r>
          </w:p>
        </w:tc>
      </w:tr>
    </w:tbl>
    <w:p w14:paraId="1E8AD06A" w14:textId="02F6660E" w:rsidR="00841369" w:rsidRPr="00BC5105" w:rsidRDefault="009D5B98" w:rsidP="006C2718">
      <w:pPr>
        <w:spacing w:line="276" w:lineRule="auto"/>
        <w:rPr>
          <w:bCs/>
          <w:noProof/>
          <w:sz w:val="18"/>
          <w:szCs w:val="18"/>
        </w:rPr>
      </w:pPr>
      <w:r w:rsidRPr="00BC5105">
        <w:rPr>
          <w:bCs/>
          <w:noProof/>
          <w:sz w:val="18"/>
          <w:szCs w:val="18"/>
        </w:rPr>
        <w:t>Source: International Social Survey Programme (ISSP) 2012, Family and Changing Gender Roles</w:t>
      </w:r>
      <w:r w:rsidR="006534A4">
        <w:rPr>
          <w:bCs/>
          <w:noProof/>
          <w:sz w:val="18"/>
          <w:szCs w:val="18"/>
        </w:rPr>
        <w:t xml:space="preserve"> (weighted data)</w:t>
      </w:r>
    </w:p>
    <w:p w14:paraId="1CFD048C" w14:textId="241D6DC5" w:rsidR="00EA0DDD" w:rsidRDefault="00C94628">
      <w:bookmarkStart w:id="50" w:name="_Toc75941829"/>
      <w:bookmarkStart w:id="51" w:name="_Toc75941830"/>
      <w:bookmarkStart w:id="52" w:name="_Toc75941831"/>
      <w:bookmarkEnd w:id="50"/>
      <w:bookmarkEnd w:id="51"/>
      <w:bookmarkEnd w:id="52"/>
      <w:r>
        <w:t xml:space="preserve">In addition to ‘family’ policies (financial transfers, parental leave and </w:t>
      </w:r>
      <w:r w:rsidR="009F7190">
        <w:t>child care</w:t>
      </w:r>
      <w:r>
        <w:t>) other social policies also impact on fertility in an indirect way. For example</w:t>
      </w:r>
      <w:r w:rsidR="000B0EBF">
        <w:t>,</w:t>
      </w:r>
      <w:r>
        <w:t xml:space="preserve"> </w:t>
      </w:r>
      <w:r w:rsidR="000B0EBF">
        <w:t xml:space="preserve">in countries where </w:t>
      </w:r>
      <w:r w:rsidR="007D7EF4">
        <w:t xml:space="preserve">education policies </w:t>
      </w:r>
      <w:r w:rsidR="000B0EBF">
        <w:t xml:space="preserve">have extended </w:t>
      </w:r>
      <w:r w:rsidR="007D7EF4">
        <w:t xml:space="preserve">the </w:t>
      </w:r>
      <w:r w:rsidR="00EA0DDD">
        <w:t xml:space="preserve">compulsory </w:t>
      </w:r>
      <w:r w:rsidR="000B0EBF">
        <w:t xml:space="preserve">years </w:t>
      </w:r>
      <w:r w:rsidR="00EA0DDD">
        <w:t>of schooling</w:t>
      </w:r>
      <w:r w:rsidR="000B0EBF">
        <w:t>,</w:t>
      </w:r>
      <w:r w:rsidR="00EA0DDD">
        <w:t xml:space="preserve"> have </w:t>
      </w:r>
      <w:r w:rsidR="000B0EBF">
        <w:t>seen an</w:t>
      </w:r>
      <w:r w:rsidR="00EA0DDD">
        <w:t xml:space="preserve"> increase the age at first birth, although the impact on overall completed fertility is mixed (see </w:t>
      </w:r>
      <w:r w:rsidR="001E0F6C">
        <w:rPr>
          <w:noProof/>
        </w:rPr>
        <w:t>Cygan-Rehm &amp; Maeder, 2013)</w:t>
      </w:r>
      <w:r w:rsidR="007D7EF4">
        <w:t xml:space="preserve">. </w:t>
      </w:r>
      <w:r w:rsidR="00EA0DDD">
        <w:t>For example in</w:t>
      </w:r>
      <w:r w:rsidR="006B0AB2">
        <w:t xml:space="preserve"> Norway, Monstad, </w:t>
      </w:r>
      <w:r w:rsidR="006B0AB2" w:rsidRPr="002E46D8">
        <w:rPr>
          <w:i/>
          <w:iCs/>
        </w:rPr>
        <w:t>et al</w:t>
      </w:r>
      <w:r w:rsidR="006B0AB2">
        <w:t xml:space="preserve">. </w:t>
      </w:r>
      <w:r w:rsidR="002E46D8">
        <w:rPr>
          <w:noProof/>
        </w:rPr>
        <w:t>(2008)</w:t>
      </w:r>
      <w:r w:rsidR="006B0AB2">
        <w:t xml:space="preserve"> found that </w:t>
      </w:r>
      <w:r w:rsidR="000B0EBF">
        <w:t>extending the</w:t>
      </w:r>
      <w:r w:rsidR="006B0AB2">
        <w:t xml:space="preserve"> compulsory school leaving age to 16 led to fewer women having births in their 20s but no evidence of a permanent impact on childlessness or completed fertility. </w:t>
      </w:r>
      <w:r w:rsidR="00EA0DDD">
        <w:t xml:space="preserve">In contrast, in West Germany </w:t>
      </w:r>
      <w:r w:rsidR="002E46D8">
        <w:rPr>
          <w:noProof/>
        </w:rPr>
        <w:t>(2013)</w:t>
      </w:r>
      <w:r w:rsidR="00EA0DDD">
        <w:t xml:space="preserve"> found that the extension of compulsory schooling years was associated not only with a postponement of first births from early ages but also no catch-up later in life leading to an overall negative effect on fertility. The authors suggest this could be due to the particularly high opportunity costs of having children in Germany. </w:t>
      </w:r>
      <w:r w:rsidR="000E425B">
        <w:t xml:space="preserve"> To this end, Lutz and Skirbekk </w:t>
      </w:r>
      <w:r w:rsidR="002E46D8">
        <w:rPr>
          <w:noProof/>
        </w:rPr>
        <w:t>(2005)</w:t>
      </w:r>
      <w:r w:rsidR="008279D6">
        <w:t xml:space="preserve"> </w:t>
      </w:r>
      <w:r w:rsidR="000E425B">
        <w:t xml:space="preserve">note that policies that lower the age of leaving school, either by compressing the duration of schooling or lowering the age of entering school could lead to a lower age at first birth, and also higher cohort fertility. </w:t>
      </w:r>
    </w:p>
    <w:p w14:paraId="310E8096" w14:textId="47144F9E" w:rsidR="0049139A" w:rsidRDefault="00EA0DDD">
      <w:r>
        <w:t xml:space="preserve">In Australia, when </w:t>
      </w:r>
      <w:r w:rsidR="00D83166">
        <w:t>the Higher Education Contribution Scheme (</w:t>
      </w:r>
      <w:r>
        <w:t>HECS</w:t>
      </w:r>
      <w:r w:rsidR="00D83166">
        <w:t>)</w:t>
      </w:r>
      <w:r>
        <w:t xml:space="preserve"> was introduced in 1989 there </w:t>
      </w:r>
      <w:r w:rsidR="00D83166">
        <w:t>were</w:t>
      </w:r>
      <w:r>
        <w:t xml:space="preserve"> fears that women would delay childbearing due to the debt incurred. However, Yu, </w:t>
      </w:r>
      <w:r w:rsidRPr="007E15F6">
        <w:rPr>
          <w:i/>
        </w:rPr>
        <w:t>et al</w:t>
      </w:r>
      <w:r w:rsidR="00D83166" w:rsidRPr="007E15F6">
        <w:rPr>
          <w:i/>
        </w:rPr>
        <w:t>.</w:t>
      </w:r>
      <w:r>
        <w:t xml:space="preserve"> </w:t>
      </w:r>
      <w:r w:rsidR="002E46D8">
        <w:rPr>
          <w:noProof/>
        </w:rPr>
        <w:t>(2007)</w:t>
      </w:r>
      <w:r>
        <w:t xml:space="preserve"> found that the introduction of HECS had no impact on fertility rates, or fertility intentions. </w:t>
      </w:r>
      <w:r w:rsidR="006B0AB2">
        <w:t xml:space="preserve">In a more indirect way, </w:t>
      </w:r>
      <w:r w:rsidR="00D83166">
        <w:t xml:space="preserve">in </w:t>
      </w:r>
      <w:r w:rsidR="006B0AB2">
        <w:t xml:space="preserve">many East Asian countries, low fertility </w:t>
      </w:r>
      <w:r w:rsidR="00D83166">
        <w:t>is</w:t>
      </w:r>
      <w:r w:rsidR="006B0AB2">
        <w:t xml:space="preserve"> linked to ‘education fever’ or a highly competitive environment focused on high academic achievement of children. This </w:t>
      </w:r>
      <w:r w:rsidR="006B0AB2">
        <w:lastRenderedPageBreak/>
        <w:t>necessitates high parental investment in education and increased costs including to attend private after-school education centr</w:t>
      </w:r>
      <w:r w:rsidR="00D83166">
        <w:t>e</w:t>
      </w:r>
      <w:r w:rsidR="006B0AB2">
        <w:t xml:space="preserve">s, and </w:t>
      </w:r>
      <w:r w:rsidR="00D83166">
        <w:t>contributes</w:t>
      </w:r>
      <w:r w:rsidR="006B0AB2">
        <w:t xml:space="preserve"> to a trend towards parents having </w:t>
      </w:r>
      <w:r w:rsidR="00D83166">
        <w:t xml:space="preserve">small family sizes of </w:t>
      </w:r>
      <w:r w:rsidR="006B0AB2">
        <w:t xml:space="preserve">one or two children </w:t>
      </w:r>
      <w:r w:rsidR="002E46D8">
        <w:rPr>
          <w:noProof/>
        </w:rPr>
        <w:t>(Anderson &amp; Kohler, 2013; Jones, 2019)</w:t>
      </w:r>
      <w:r w:rsidR="006B0AB2">
        <w:t xml:space="preserve">. </w:t>
      </w:r>
    </w:p>
    <w:p w14:paraId="25F0C578" w14:textId="1FA4E316" w:rsidR="00224973" w:rsidRDefault="00480CAC">
      <w:r>
        <w:t xml:space="preserve">Policies regarding the care and financing for elderly people including residential and community aged care, pensions, and superannuation can also be linked indirectly to fertility by changing the utilitarian value of children. As the elderly have become more economically independent of their children and supported by social security systems, children are no longer the sole providers of care to the elderly.   </w:t>
      </w:r>
    </w:p>
    <w:p w14:paraId="18BAAED8" w14:textId="7E98355E" w:rsidR="00F02D9D" w:rsidRDefault="00CB787B" w:rsidP="00CB787B">
      <w:pPr>
        <w:spacing w:line="276" w:lineRule="auto"/>
        <w:jc w:val="both"/>
      </w:pPr>
      <w:r>
        <w:rPr>
          <w:lang w:val="en-US"/>
        </w:rPr>
        <w:t xml:space="preserve">In addition to the main policies described above, </w:t>
      </w:r>
      <w:r>
        <w:t>housing policies have also been identified as a potential tool to help reduce the gap between desired and achieved fertility, and thus increase fertility rates</w:t>
      </w:r>
      <w:r>
        <w:rPr>
          <w:lang w:val="en-US"/>
        </w:rPr>
        <w:t xml:space="preserve">. </w:t>
      </w:r>
      <w:r>
        <w:t>Housing policies which favour young people being able to access independent housing could allow earlier transitions out of the parental home and the start of family formation. Singapore and South Korea are two examples of countries that use housing to incentivise fertility through various grants and incentives. In Singapore, various grants are available to assist young people to buy their own home. The Parenthood Provisional Housing Scheme</w:t>
      </w:r>
      <w:r>
        <w:rPr>
          <w:rStyle w:val="FootnoteReference"/>
        </w:rPr>
        <w:footnoteReference w:id="8"/>
      </w:r>
      <w:r>
        <w:t xml:space="preserve"> (PPHS) provides subsidised rent to married couples who have bought an uncompleted flat through the Housing and Development Board (HDB) and are waiting for it to be completed before they can move in. The aim is to discourage delays in starting families as much as possible as in Singapore</w:t>
      </w:r>
      <w:r w:rsidR="00F02D9D">
        <w:t>,</w:t>
      </w:r>
      <w:r>
        <w:t xml:space="preserve"> home ownership is </w:t>
      </w:r>
      <w:r w:rsidR="00F02D9D">
        <w:t>viewed</w:t>
      </w:r>
      <w:r>
        <w:t xml:space="preserve"> as a necessary precondition for starting a </w:t>
      </w:r>
      <w:r w:rsidRPr="007636A8">
        <w:t xml:space="preserve">family </w:t>
      </w:r>
      <w:r w:rsidR="00F02D9D">
        <w:t>(</w:t>
      </w:r>
      <w:r w:rsidRPr="007636A8">
        <w:t>Saguin</w:t>
      </w:r>
      <w:r w:rsidR="00F02D9D">
        <w:t>,</w:t>
      </w:r>
      <w:r w:rsidRPr="007636A8">
        <w:t xml:space="preserve"> 2021). Similarly, in South Korea home ownership is also seen as an important milestone</w:t>
      </w:r>
      <w:r>
        <w:t xml:space="preserve"> that needs to be achieved before family formation, and the increasing housing costs are a major consideration in preventing young people from planning marriage and starting a family </w:t>
      </w:r>
      <w:r w:rsidR="002E46D8">
        <w:rPr>
          <w:noProof/>
        </w:rPr>
        <w:t>(Park, 2017)</w:t>
      </w:r>
      <w:r>
        <w:t>.   As such, there is now a pronatalist housing policy focused  around providing opportunities for affordable home ownership by increasing the housing supply to newlyweds</w:t>
      </w:r>
      <w:r w:rsidR="00F02D9D">
        <w:t>,</w:t>
      </w:r>
      <w:r>
        <w:t xml:space="preserve"> including the construction of specialised units for newly married couples, </w:t>
      </w:r>
      <w:r w:rsidR="00F02D9D">
        <w:t xml:space="preserve">and </w:t>
      </w:r>
      <w:r>
        <w:t>provi</w:t>
      </w:r>
      <w:r w:rsidR="00F02D9D">
        <w:t>di</w:t>
      </w:r>
      <w:r>
        <w:t xml:space="preserve">ng support for mortgage loans, deposits and rental fees </w:t>
      </w:r>
      <w:r w:rsidR="002E46D8">
        <w:rPr>
          <w:noProof/>
        </w:rPr>
        <w:t>(Presidential Committee on Ageing Society and Population Policy, 2021)</w:t>
      </w:r>
      <w:r>
        <w:t xml:space="preserve">. </w:t>
      </w:r>
    </w:p>
    <w:p w14:paraId="0C94064F" w14:textId="6982F850" w:rsidR="00243674" w:rsidRDefault="00CB787B" w:rsidP="00CB787B">
      <w:pPr>
        <w:spacing w:line="276" w:lineRule="auto"/>
        <w:jc w:val="both"/>
      </w:pPr>
      <w:r w:rsidRPr="007636A8">
        <w:t>However, Saguin</w:t>
      </w:r>
      <w:r w:rsidRPr="00BC5105">
        <w:t xml:space="preserve"> </w:t>
      </w:r>
      <w:r w:rsidR="002E46D8">
        <w:rPr>
          <w:noProof/>
        </w:rPr>
        <w:t>(2021)</w:t>
      </w:r>
      <w:r w:rsidRPr="007636A8">
        <w:t xml:space="preserve"> suggest</w:t>
      </w:r>
      <w:r>
        <w:t>s</w:t>
      </w:r>
      <w:r w:rsidRPr="007636A8">
        <w:t xml:space="preserve"> that such housing policies may have the effect of further reinforcing the idea that before starting to have </w:t>
      </w:r>
      <w:r>
        <w:t xml:space="preserve">children, couples </w:t>
      </w:r>
      <w:r w:rsidRPr="007636A8">
        <w:t xml:space="preserve">must first own </w:t>
      </w:r>
      <w:r w:rsidR="00F02D9D">
        <w:t>their</w:t>
      </w:r>
      <w:r w:rsidRPr="007636A8">
        <w:t xml:space="preserve"> own home</w:t>
      </w:r>
      <w:r>
        <w:t xml:space="preserve">. Hence, </w:t>
      </w:r>
      <w:r w:rsidRPr="007636A8">
        <w:t xml:space="preserve">in order to influence the tempo of family formation, </w:t>
      </w:r>
      <w:r>
        <w:t xml:space="preserve">he argues that </w:t>
      </w:r>
      <w:r w:rsidRPr="007636A8">
        <w:t xml:space="preserve">policies should be transformed to ‘decouple’ housing and marriage/parenthood. Bernardi </w:t>
      </w:r>
      <w:r w:rsidR="002E46D8">
        <w:rPr>
          <w:noProof/>
        </w:rPr>
        <w:t>(2005)</w:t>
      </w:r>
      <w:r w:rsidRPr="007636A8">
        <w:t xml:space="preserve"> similarly suggests that housing policies for young people should focus on housing affordability and stability and that this could be achieved by promoting </w:t>
      </w:r>
      <w:r>
        <w:t>not only</w:t>
      </w:r>
      <w:r w:rsidRPr="007636A8">
        <w:t xml:space="preserve"> private renting</w:t>
      </w:r>
      <w:r>
        <w:t>, but also social renting</w:t>
      </w:r>
      <w:r w:rsidRPr="007636A8">
        <w:t xml:space="preserve"> sectors</w:t>
      </w:r>
      <w:r>
        <w:t xml:space="preserve">, which are </w:t>
      </w:r>
      <w:r w:rsidRPr="007636A8">
        <w:t>especially targeted at young people</w:t>
      </w:r>
      <w:r>
        <w:t>.</w:t>
      </w:r>
      <w:r w:rsidRPr="007636A8">
        <w:t xml:space="preserve"> </w:t>
      </w:r>
      <w:r>
        <w:t>D</w:t>
      </w:r>
      <w:r w:rsidRPr="007636A8">
        <w:t>irect and indirect financial support for young people who</w:t>
      </w:r>
      <w:r>
        <w:t xml:space="preserve"> are renting privately and more favourable taxation of rents are other policy tools that could increase the proportion of young people able to afford a home.</w:t>
      </w:r>
    </w:p>
    <w:p w14:paraId="607D0F1E" w14:textId="77777777" w:rsidR="00243674" w:rsidRDefault="00243674">
      <w:r>
        <w:br w:type="page"/>
      </w:r>
    </w:p>
    <w:p w14:paraId="47003C96" w14:textId="12983034" w:rsidR="00F204C0" w:rsidRPr="003635BF" w:rsidRDefault="00F204C0" w:rsidP="00BC5105">
      <w:pPr>
        <w:pStyle w:val="Heading1"/>
        <w:spacing w:line="276" w:lineRule="auto"/>
      </w:pPr>
      <w:bookmarkStart w:id="53" w:name="_Toc87454608"/>
      <w:bookmarkStart w:id="54" w:name="_Toc98404956"/>
      <w:r w:rsidRPr="003635BF">
        <w:lastRenderedPageBreak/>
        <w:t>Welfare contexts</w:t>
      </w:r>
      <w:bookmarkEnd w:id="53"/>
      <w:bookmarkEnd w:id="54"/>
    </w:p>
    <w:p w14:paraId="56AF32B9" w14:textId="5818E48C" w:rsidR="001112D6" w:rsidRPr="003635BF" w:rsidRDefault="001112D6" w:rsidP="00BC5105">
      <w:pPr>
        <w:spacing w:line="276" w:lineRule="auto"/>
        <w:jc w:val="both"/>
        <w:rPr>
          <w:rFonts w:cstheme="minorHAnsi"/>
        </w:rPr>
      </w:pPr>
      <w:r w:rsidRPr="003635BF">
        <w:rPr>
          <w:rFonts w:cstheme="minorHAnsi"/>
        </w:rPr>
        <w:t xml:space="preserve">In order to have a clear understanding of the policy responses to low fertility employed by different governments, it is necessary to understand the different approaches that countries adopt regarding social welfare. The three main types of welfare state regimes outlined by Esping-Andersen in his 1990 publication (liberal, social democratic and conservative) represent a useful way to outline how different nations choose to divide welfare responsibilities between the market, the family and the state. For a long time, </w:t>
      </w:r>
      <w:r w:rsidR="00705DA5">
        <w:rPr>
          <w:rFonts w:cstheme="minorHAnsi"/>
        </w:rPr>
        <w:t>Eastern European countries and</w:t>
      </w:r>
      <w:r w:rsidRPr="003635BF">
        <w:rPr>
          <w:rFonts w:cstheme="minorHAnsi"/>
        </w:rPr>
        <w:t xml:space="preserve"> Asian countries have been excluded from the comparative social policy literature. However, more recently, inspired by the Esping-Andersen </w:t>
      </w:r>
      <w:r w:rsidR="002E46D8" w:rsidRPr="007E15F6">
        <w:rPr>
          <w:rFonts w:cstheme="minorHAnsi"/>
          <w:noProof/>
        </w:rPr>
        <w:t>(1990)</w:t>
      </w:r>
      <w:r>
        <w:rPr>
          <w:rFonts w:cstheme="minorHAnsi"/>
        </w:rPr>
        <w:t xml:space="preserve"> </w:t>
      </w:r>
      <w:r w:rsidRPr="003635BF">
        <w:rPr>
          <w:rFonts w:cstheme="minorHAnsi"/>
        </w:rPr>
        <w:t>welfare contexts, new typolog</w:t>
      </w:r>
      <w:r w:rsidR="00705DA5">
        <w:rPr>
          <w:rFonts w:cstheme="minorHAnsi"/>
        </w:rPr>
        <w:t>ies</w:t>
      </w:r>
      <w:r w:rsidRPr="003635BF">
        <w:rPr>
          <w:rFonts w:cstheme="minorHAnsi"/>
        </w:rPr>
        <w:t xml:space="preserve"> </w:t>
      </w:r>
      <w:r w:rsidR="00705DA5">
        <w:rPr>
          <w:rFonts w:cstheme="minorHAnsi"/>
        </w:rPr>
        <w:t>have emerged</w:t>
      </w:r>
      <w:r w:rsidR="00905517">
        <w:rPr>
          <w:rFonts w:cstheme="minorHAnsi"/>
        </w:rPr>
        <w:t xml:space="preserve"> such as </w:t>
      </w:r>
      <w:r w:rsidR="00705DA5">
        <w:rPr>
          <w:rFonts w:cstheme="minorHAnsi"/>
        </w:rPr>
        <w:t xml:space="preserve">the Post-communist European state </w:t>
      </w:r>
      <w:r w:rsidR="002E46D8" w:rsidRPr="007E15F6">
        <w:rPr>
          <w:rFonts w:cstheme="minorHAnsi"/>
          <w:noProof/>
        </w:rPr>
        <w:t>(Fenger, 2007)</w:t>
      </w:r>
      <w:r w:rsidR="00705DA5">
        <w:rPr>
          <w:rFonts w:cstheme="minorHAnsi"/>
        </w:rPr>
        <w:t xml:space="preserve"> and</w:t>
      </w:r>
      <w:r w:rsidRPr="003635BF">
        <w:rPr>
          <w:rFonts w:cstheme="minorHAnsi"/>
        </w:rPr>
        <w:t xml:space="preserve"> the East Asian Welfare state </w:t>
      </w:r>
      <w:r w:rsidR="002E46D8" w:rsidRPr="007E15F6">
        <w:rPr>
          <w:rFonts w:cstheme="minorHAnsi"/>
          <w:noProof/>
        </w:rPr>
        <w:t>(Aspalter, 2006)</w:t>
      </w:r>
      <w:r>
        <w:rPr>
          <w:rFonts w:cstheme="minorHAnsi"/>
        </w:rPr>
        <w:t>.</w:t>
      </w:r>
      <w:r w:rsidR="001B0784">
        <w:rPr>
          <w:rFonts w:cstheme="minorHAnsi"/>
        </w:rPr>
        <w:t xml:space="preserve"> </w:t>
      </w:r>
    </w:p>
    <w:p w14:paraId="1A39BEB2" w14:textId="33125BE8" w:rsidR="001112D6" w:rsidRPr="003635BF" w:rsidRDefault="001112D6" w:rsidP="00BC5105">
      <w:pPr>
        <w:spacing w:line="276" w:lineRule="auto"/>
        <w:jc w:val="both"/>
        <w:rPr>
          <w:rFonts w:cstheme="minorHAnsi"/>
        </w:rPr>
      </w:pPr>
      <w:r w:rsidRPr="003635BF">
        <w:rPr>
          <w:rFonts w:cstheme="minorHAnsi"/>
        </w:rPr>
        <w:t xml:space="preserve">The main difference across these welfare contexts depends on their level of </w:t>
      </w:r>
      <w:r w:rsidRPr="003635BF">
        <w:rPr>
          <w:rFonts w:cstheme="minorHAnsi"/>
          <w:i/>
        </w:rPr>
        <w:t xml:space="preserve">decommodification, </w:t>
      </w:r>
      <w:r w:rsidRPr="003635BF">
        <w:rPr>
          <w:rFonts w:cstheme="minorHAnsi"/>
        </w:rPr>
        <w:t xml:space="preserve">which refers to the degree to which individuals can maintain a socially acceptable standard of living from sources connected to social policy, rather than by relying on the market or the family </w:t>
      </w:r>
      <w:r w:rsidR="002E46D8" w:rsidRPr="007E15F6">
        <w:rPr>
          <w:rFonts w:cstheme="minorHAnsi"/>
          <w:noProof/>
        </w:rPr>
        <w:t>(Esping-Andersen, 1990)</w:t>
      </w:r>
      <w:r>
        <w:rPr>
          <w:rFonts w:cstheme="minorHAnsi"/>
        </w:rPr>
        <w:t xml:space="preserve">. </w:t>
      </w:r>
      <w:r w:rsidRPr="003635BF">
        <w:rPr>
          <w:rFonts w:cstheme="minorHAnsi"/>
        </w:rPr>
        <w:t xml:space="preserve">High levels of decommodification require universalist policies, that are directed to the entire population on the basis of citizenship rather than performance. </w:t>
      </w:r>
    </w:p>
    <w:p w14:paraId="34558430" w14:textId="77777777" w:rsidR="001112D6" w:rsidRPr="003635BF" w:rsidRDefault="001112D6" w:rsidP="00BC5105">
      <w:pPr>
        <w:spacing w:line="276" w:lineRule="auto"/>
        <w:jc w:val="both"/>
        <w:rPr>
          <w:rFonts w:cstheme="minorHAnsi"/>
        </w:rPr>
      </w:pPr>
      <w:r w:rsidRPr="003635BF">
        <w:rPr>
          <w:rFonts w:cstheme="minorHAnsi"/>
        </w:rPr>
        <w:t>The main characteristics of each welfare contexts are summarised below:</w:t>
      </w:r>
    </w:p>
    <w:p w14:paraId="4FBCF0E4" w14:textId="77777777" w:rsidR="001112D6" w:rsidRPr="003635BF" w:rsidRDefault="001112D6" w:rsidP="00244248">
      <w:pPr>
        <w:pStyle w:val="ListParagraph"/>
        <w:numPr>
          <w:ilvl w:val="0"/>
          <w:numId w:val="13"/>
        </w:numPr>
        <w:spacing w:line="276" w:lineRule="auto"/>
        <w:jc w:val="both"/>
        <w:rPr>
          <w:rFonts w:cstheme="minorHAnsi"/>
        </w:rPr>
      </w:pPr>
      <w:r w:rsidRPr="003635BF">
        <w:rPr>
          <w:rFonts w:cstheme="minorHAnsi"/>
          <w:b/>
          <w:u w:val="single"/>
        </w:rPr>
        <w:t>Liberal welfare states</w:t>
      </w:r>
      <w:r w:rsidRPr="003635BF">
        <w:rPr>
          <w:rFonts w:cstheme="minorHAnsi"/>
        </w:rPr>
        <w:t xml:space="preserve"> are characterised by a relatively low level of state-provided social transfers and by a greater reliance on the market and families. The state’s role is largely limited to provide a minimal safety net and mainly concerned to provide assistance to those least well-off and most disadvantaged in society. Countries like: Australia, the United States, the United Kingdom, and Canada typically belong to this cluster.</w:t>
      </w:r>
    </w:p>
    <w:p w14:paraId="1E72314C" w14:textId="77777777" w:rsidR="001112D6" w:rsidRPr="003635BF" w:rsidRDefault="001112D6" w:rsidP="00244248">
      <w:pPr>
        <w:pStyle w:val="ListParagraph"/>
        <w:numPr>
          <w:ilvl w:val="0"/>
          <w:numId w:val="13"/>
        </w:numPr>
        <w:spacing w:line="276" w:lineRule="auto"/>
        <w:jc w:val="both"/>
        <w:rPr>
          <w:rFonts w:cstheme="minorHAnsi"/>
        </w:rPr>
      </w:pPr>
      <w:r w:rsidRPr="003635BF">
        <w:rPr>
          <w:rFonts w:cstheme="minorHAnsi"/>
          <w:b/>
          <w:u w:val="single"/>
        </w:rPr>
        <w:t>Conservative welfare states</w:t>
      </w:r>
      <w:r w:rsidRPr="003635BF">
        <w:rPr>
          <w:rFonts w:cstheme="minorHAnsi"/>
        </w:rPr>
        <w:t xml:space="preserve"> assign key roles to families, while the state’s role is mainly to reinforce the family as the principal provider of care, resulting in a preservation of status differentials and the redistributive impact of the state is negligible. Countries like: Austria, France, Germany, and Italy typically belong to this cluster.</w:t>
      </w:r>
      <w:r w:rsidR="00905517">
        <w:rPr>
          <w:rFonts w:cstheme="minorHAnsi"/>
        </w:rPr>
        <w:t xml:space="preserve"> Post-communist European countries such as Czech Republic, Hungary and Poland, also highly resemble this welfare state type, although levels of social trust are typically lower.</w:t>
      </w:r>
    </w:p>
    <w:p w14:paraId="1DD9FB9D" w14:textId="77777777" w:rsidR="001112D6" w:rsidRPr="003635BF" w:rsidRDefault="001112D6" w:rsidP="00244248">
      <w:pPr>
        <w:pStyle w:val="ListParagraph"/>
        <w:numPr>
          <w:ilvl w:val="0"/>
          <w:numId w:val="13"/>
        </w:numPr>
        <w:spacing w:line="276" w:lineRule="auto"/>
        <w:jc w:val="both"/>
        <w:rPr>
          <w:rFonts w:cstheme="minorHAnsi"/>
        </w:rPr>
      </w:pPr>
      <w:r w:rsidRPr="003635BF">
        <w:rPr>
          <w:rFonts w:cstheme="minorHAnsi"/>
        </w:rPr>
        <w:t xml:space="preserve">In </w:t>
      </w:r>
      <w:r w:rsidRPr="003635BF">
        <w:rPr>
          <w:rFonts w:cstheme="minorHAnsi"/>
          <w:b/>
          <w:u w:val="single"/>
        </w:rPr>
        <w:t>social democratic welfare states</w:t>
      </w:r>
      <w:r w:rsidRPr="003635BF">
        <w:rPr>
          <w:rFonts w:cstheme="minorHAnsi"/>
        </w:rPr>
        <w:t xml:space="preserve"> a key role is played by the public sector, which provides and finances services through taxation. There is a principle of universality with services and benefits provided to everyone and a high degree of assistance to families and a strong emphasis of promotion of gender equity, resulting in relatively low levels of economic inequality. Countries like: Denmark, Finland, Norway, and Sweden typically belong to this cluster.</w:t>
      </w:r>
    </w:p>
    <w:p w14:paraId="4E96890E" w14:textId="77777777" w:rsidR="001112D6" w:rsidRPr="003635BF" w:rsidRDefault="001112D6" w:rsidP="00244248">
      <w:pPr>
        <w:pStyle w:val="ListParagraph"/>
        <w:numPr>
          <w:ilvl w:val="0"/>
          <w:numId w:val="13"/>
        </w:numPr>
        <w:spacing w:line="276" w:lineRule="auto"/>
        <w:jc w:val="both"/>
        <w:rPr>
          <w:rFonts w:cstheme="minorHAnsi"/>
        </w:rPr>
      </w:pPr>
      <w:r w:rsidRPr="003635BF">
        <w:rPr>
          <w:rFonts w:cstheme="minorHAnsi"/>
        </w:rPr>
        <w:t xml:space="preserve">The </w:t>
      </w:r>
      <w:r w:rsidRPr="003635BF">
        <w:rPr>
          <w:rFonts w:cstheme="minorHAnsi"/>
          <w:b/>
          <w:u w:val="single"/>
        </w:rPr>
        <w:t>East Asian welfare state</w:t>
      </w:r>
      <w:r w:rsidRPr="003635BF">
        <w:rPr>
          <w:rFonts w:cstheme="minorHAnsi"/>
        </w:rPr>
        <w:t xml:space="preserve"> is characterized by a moderate commitment of the state to social transfers and by a clear focus on productive investment in social and human capital development. The state facilitates the role of the market and family as main providers of care, while also maintaining its very high regulative role. Countries like: Japan, Singapore, South Korea, and Taiwan typically belong to this cluster.</w:t>
      </w:r>
    </w:p>
    <w:p w14:paraId="0014C1D2" w14:textId="30798E4E" w:rsidR="001112D6" w:rsidRPr="003635BF" w:rsidRDefault="001112D6" w:rsidP="00BC5105">
      <w:pPr>
        <w:spacing w:line="276" w:lineRule="auto"/>
        <w:jc w:val="both"/>
        <w:rPr>
          <w:rFonts w:cstheme="minorHAnsi"/>
        </w:rPr>
      </w:pPr>
      <w:r w:rsidRPr="003635BF">
        <w:rPr>
          <w:rFonts w:cstheme="minorHAnsi"/>
        </w:rPr>
        <w:t>Although this classification is useful to interpret the different policy approaches adopted by high-income countries, it is also important to recognize that governments are usually not totally committed to only one of these typologies, and it is not rare to find elements that are typical of one welfare context in a different one. For example, Australia is typically classified as a liberal welfare state.</w:t>
      </w:r>
      <w:r w:rsidR="00796540">
        <w:rPr>
          <w:rFonts w:cstheme="minorHAnsi"/>
        </w:rPr>
        <w:t xml:space="preserve"> </w:t>
      </w:r>
      <w:r w:rsidR="00796540">
        <w:rPr>
          <w:rFonts w:cstheme="minorHAnsi"/>
        </w:rPr>
        <w:lastRenderedPageBreak/>
        <w:t>However, it has also been not</w:t>
      </w:r>
      <w:r w:rsidRPr="003635BF">
        <w:rPr>
          <w:rFonts w:cstheme="minorHAnsi"/>
        </w:rPr>
        <w:t xml:space="preserve">ed </w:t>
      </w:r>
      <w:r w:rsidR="00796540">
        <w:rPr>
          <w:rFonts w:cstheme="minorHAnsi"/>
        </w:rPr>
        <w:t xml:space="preserve">that </w:t>
      </w:r>
      <w:r w:rsidRPr="003635BF">
        <w:rPr>
          <w:rFonts w:cstheme="minorHAnsi"/>
        </w:rPr>
        <w:t xml:space="preserve">Australia should be separated from the liberal cluster </w:t>
      </w:r>
      <w:r w:rsidR="002E46D8" w:rsidRPr="007E15F6">
        <w:rPr>
          <w:rFonts w:cstheme="minorHAnsi"/>
          <w:noProof/>
        </w:rPr>
        <w:t>(Castles &amp; Mitchell, 1993)</w:t>
      </w:r>
      <w:r w:rsidRPr="003635BF">
        <w:rPr>
          <w:rFonts w:cstheme="minorHAnsi"/>
        </w:rPr>
        <w:t xml:space="preserve">, because it has a “more inclusive approach to social protection than the standard liberal form” </w:t>
      </w:r>
      <w:r w:rsidR="002E46D8" w:rsidRPr="007E15F6">
        <w:rPr>
          <w:rFonts w:cstheme="minorHAnsi"/>
          <w:noProof/>
        </w:rPr>
        <w:t>(Arts &amp; Gelissen, 2002, p. 146)</w:t>
      </w:r>
      <w:r w:rsidRPr="003635BF">
        <w:rPr>
          <w:rFonts w:cstheme="minorHAnsi"/>
        </w:rPr>
        <w:t>. In terms of family policies the country has been historically characterised by relatively low level</w:t>
      </w:r>
      <w:r w:rsidR="00796540">
        <w:rPr>
          <w:rFonts w:cstheme="minorHAnsi"/>
        </w:rPr>
        <w:t>s</w:t>
      </w:r>
      <w:r w:rsidRPr="003635BF">
        <w:rPr>
          <w:rFonts w:cstheme="minorHAnsi"/>
        </w:rPr>
        <w:t xml:space="preserve"> of social spending, </w:t>
      </w:r>
      <w:r w:rsidR="00796540">
        <w:rPr>
          <w:rFonts w:cstheme="minorHAnsi"/>
        </w:rPr>
        <w:t>but</w:t>
      </w:r>
      <w:r w:rsidRPr="003635BF">
        <w:rPr>
          <w:rFonts w:cstheme="minorHAnsi"/>
        </w:rPr>
        <w:t xml:space="preserve"> it </w:t>
      </w:r>
      <w:r>
        <w:rPr>
          <w:rFonts w:cstheme="minorHAnsi"/>
        </w:rPr>
        <w:t>has moved over time toward a more mixed regime</w:t>
      </w:r>
      <w:r w:rsidRPr="003635BF">
        <w:rPr>
          <w:rFonts w:cstheme="minorHAnsi"/>
        </w:rPr>
        <w:t xml:space="preserve">, in which care has been increasingly shared between the state and the private sector. The Australian regime has incorporated elements of social investments that are closer to the Nordic countries than to other liberal countries </w:t>
      </w:r>
      <w:r w:rsidR="002E46D8" w:rsidRPr="007E15F6">
        <w:rPr>
          <w:rFonts w:cstheme="minorHAnsi"/>
          <w:noProof/>
        </w:rPr>
        <w:t xml:space="preserve">(Mahon, </w:t>
      </w:r>
      <w:r w:rsidR="002E46D8" w:rsidRPr="002E46D8">
        <w:rPr>
          <w:rFonts w:cstheme="minorHAnsi"/>
          <w:i/>
          <w:iCs/>
          <w:noProof/>
        </w:rPr>
        <w:t>et al.</w:t>
      </w:r>
      <w:r w:rsidR="002E46D8" w:rsidRPr="007E15F6">
        <w:rPr>
          <w:rFonts w:cstheme="minorHAnsi"/>
          <w:noProof/>
        </w:rPr>
        <w:t xml:space="preserve"> 2012)</w:t>
      </w:r>
      <w:r w:rsidR="000B0900">
        <w:rPr>
          <w:rFonts w:cstheme="minorHAnsi"/>
        </w:rPr>
        <w:t xml:space="preserve">, </w:t>
      </w:r>
      <w:r w:rsidRPr="003635BF">
        <w:rPr>
          <w:rFonts w:cstheme="minorHAnsi"/>
        </w:rPr>
        <w:t>which has placed it between the liberal and social democratic systems.</w:t>
      </w:r>
    </w:p>
    <w:p w14:paraId="7FFA0220" w14:textId="2D042DC4" w:rsidR="00F204C0" w:rsidRPr="003635BF" w:rsidRDefault="001112D6" w:rsidP="00BC5105">
      <w:pPr>
        <w:spacing w:line="276" w:lineRule="auto"/>
        <w:jc w:val="both"/>
        <w:rPr>
          <w:rFonts w:cstheme="minorHAnsi"/>
        </w:rPr>
      </w:pPr>
      <w:r>
        <w:rPr>
          <w:rFonts w:cstheme="minorHAnsi"/>
        </w:rPr>
        <w:fldChar w:fldCharType="begin"/>
      </w:r>
      <w:r>
        <w:rPr>
          <w:rFonts w:cstheme="minorHAnsi"/>
        </w:rPr>
        <w:instrText xml:space="preserve"> REF _Ref75632389 \h </w:instrText>
      </w:r>
      <w:r w:rsidR="00E73589">
        <w:rPr>
          <w:rFonts w:cstheme="minorHAnsi"/>
        </w:rPr>
        <w:instrText xml:space="preserve"> \* MERGEFORMAT </w:instrText>
      </w:r>
      <w:r>
        <w:rPr>
          <w:rFonts w:cstheme="minorHAnsi"/>
        </w:rPr>
      </w:r>
      <w:r>
        <w:rPr>
          <w:rFonts w:cstheme="minorHAnsi"/>
        </w:rPr>
        <w:fldChar w:fldCharType="separate"/>
      </w:r>
      <w:r w:rsidR="00115E22" w:rsidRPr="003635BF">
        <w:rPr>
          <w:rFonts w:cstheme="minorHAnsi"/>
        </w:rPr>
        <w:t xml:space="preserve">Table </w:t>
      </w:r>
      <w:r w:rsidR="00115E22">
        <w:rPr>
          <w:rFonts w:cstheme="minorHAnsi"/>
          <w:noProof/>
        </w:rPr>
        <w:t>4</w:t>
      </w:r>
      <w:r>
        <w:rPr>
          <w:rFonts w:cstheme="minorHAnsi"/>
        </w:rPr>
        <w:fldChar w:fldCharType="end"/>
      </w:r>
      <w:r>
        <w:rPr>
          <w:rFonts w:cstheme="minorHAnsi"/>
        </w:rPr>
        <w:t xml:space="preserve"> </w:t>
      </w:r>
      <w:r w:rsidRPr="003635BF">
        <w:rPr>
          <w:rFonts w:cstheme="minorHAnsi"/>
        </w:rPr>
        <w:t>provides a summary of the main characteristics of each welfare state, their degree of decommodification, and the countries ass</w:t>
      </w:r>
      <w:r>
        <w:rPr>
          <w:rFonts w:cstheme="minorHAnsi"/>
        </w:rPr>
        <w:t xml:space="preserve">ociated with each one of them. </w:t>
      </w:r>
    </w:p>
    <w:p w14:paraId="353078F1" w14:textId="27B701C2" w:rsidR="00F204C0" w:rsidRPr="003635BF" w:rsidRDefault="00F204C0" w:rsidP="00BC5105">
      <w:pPr>
        <w:pStyle w:val="Caption"/>
        <w:keepNext/>
        <w:spacing w:line="276" w:lineRule="auto"/>
        <w:rPr>
          <w:rFonts w:cstheme="minorHAnsi"/>
        </w:rPr>
      </w:pPr>
      <w:bookmarkStart w:id="55" w:name="_Ref75632389"/>
      <w:bookmarkStart w:id="56" w:name="_Ref75632372"/>
      <w:r w:rsidRPr="003635BF">
        <w:rPr>
          <w:rFonts w:cstheme="minorHAnsi"/>
        </w:rPr>
        <w:t xml:space="preserve">Table </w:t>
      </w:r>
      <w:r w:rsidRPr="003635BF">
        <w:rPr>
          <w:rFonts w:cstheme="minorHAnsi"/>
        </w:rPr>
        <w:fldChar w:fldCharType="begin"/>
      </w:r>
      <w:r w:rsidRPr="003635BF">
        <w:rPr>
          <w:rFonts w:cstheme="minorHAnsi"/>
        </w:rPr>
        <w:instrText xml:space="preserve"> SEQ Table \* ARABIC </w:instrText>
      </w:r>
      <w:r w:rsidRPr="003635BF">
        <w:rPr>
          <w:rFonts w:cstheme="minorHAnsi"/>
        </w:rPr>
        <w:fldChar w:fldCharType="separate"/>
      </w:r>
      <w:r w:rsidR="00115E22">
        <w:rPr>
          <w:rFonts w:cstheme="minorHAnsi"/>
          <w:noProof/>
        </w:rPr>
        <w:t>4</w:t>
      </w:r>
      <w:r w:rsidRPr="003635BF">
        <w:rPr>
          <w:rFonts w:cstheme="minorHAnsi"/>
          <w:noProof/>
        </w:rPr>
        <w:fldChar w:fldCharType="end"/>
      </w:r>
      <w:bookmarkEnd w:id="55"/>
      <w:r w:rsidRPr="003635BF">
        <w:rPr>
          <w:rFonts w:cstheme="minorHAnsi"/>
        </w:rPr>
        <w:t>. The four types of welfare state regimes.</w:t>
      </w:r>
      <w:bookmarkEnd w:id="56"/>
    </w:p>
    <w:tbl>
      <w:tblPr>
        <w:tblStyle w:val="GridTable1Light-Accent2"/>
        <w:tblW w:w="9456" w:type="dxa"/>
        <w:tblLayout w:type="fixed"/>
        <w:tblLook w:val="04A0" w:firstRow="1" w:lastRow="0" w:firstColumn="1" w:lastColumn="0" w:noHBand="0" w:noVBand="1"/>
      </w:tblPr>
      <w:tblGrid>
        <w:gridCol w:w="1271"/>
        <w:gridCol w:w="1701"/>
        <w:gridCol w:w="4216"/>
        <w:gridCol w:w="2268"/>
      </w:tblGrid>
      <w:tr w:rsidR="00F204C0" w:rsidRPr="00FE6890" w14:paraId="69936DBB" w14:textId="77777777" w:rsidTr="009C59C4">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271" w:type="dxa"/>
            <w:shd w:val="clear" w:color="auto" w:fill="FBE4D5" w:themeFill="accent2" w:themeFillTint="33"/>
            <w:vAlign w:val="center"/>
          </w:tcPr>
          <w:p w14:paraId="1F9C7E02" w14:textId="77777777" w:rsidR="00F204C0" w:rsidRPr="00FE6890" w:rsidRDefault="00F204C0" w:rsidP="00BC5105">
            <w:pPr>
              <w:spacing w:line="276" w:lineRule="auto"/>
              <w:jc w:val="center"/>
              <w:rPr>
                <w:rFonts w:ascii="Tw Cen MT Condensed" w:hAnsi="Tw Cen MT Condensed" w:cstheme="minorHAnsi"/>
                <w:b w:val="0"/>
                <w:color w:val="0D0D0D" w:themeColor="text1" w:themeTint="F2"/>
                <w:sz w:val="24"/>
                <w:szCs w:val="20"/>
              </w:rPr>
            </w:pPr>
            <w:r w:rsidRPr="00FE6890">
              <w:rPr>
                <w:rFonts w:ascii="Tw Cen MT Condensed" w:hAnsi="Tw Cen MT Condensed" w:cstheme="minorHAnsi"/>
                <w:b w:val="0"/>
                <w:color w:val="0D0D0D" w:themeColor="text1" w:themeTint="F2"/>
                <w:sz w:val="24"/>
                <w:szCs w:val="20"/>
              </w:rPr>
              <w:t>Countries</w:t>
            </w:r>
          </w:p>
        </w:tc>
        <w:tc>
          <w:tcPr>
            <w:tcW w:w="1701" w:type="dxa"/>
            <w:shd w:val="clear" w:color="auto" w:fill="FBE4D5" w:themeFill="accent2" w:themeFillTint="33"/>
            <w:vAlign w:val="center"/>
          </w:tcPr>
          <w:p w14:paraId="519ADF01" w14:textId="77777777" w:rsidR="00F204C0" w:rsidRPr="00FE6890" w:rsidRDefault="00F204C0" w:rsidP="00BC5105">
            <w:pPr>
              <w:spacing w:line="276" w:lineRule="auto"/>
              <w:jc w:val="center"/>
              <w:cnfStyle w:val="100000000000" w:firstRow="1" w:lastRow="0" w:firstColumn="0" w:lastColumn="0" w:oddVBand="0" w:evenVBand="0" w:oddHBand="0" w:evenHBand="0" w:firstRowFirstColumn="0" w:firstRowLastColumn="0" w:lastRowFirstColumn="0" w:lastRowLastColumn="0"/>
              <w:rPr>
                <w:rFonts w:ascii="Tw Cen MT Condensed" w:hAnsi="Tw Cen MT Condensed" w:cstheme="minorHAnsi"/>
                <w:b w:val="0"/>
                <w:color w:val="0D0D0D" w:themeColor="text1" w:themeTint="F2"/>
                <w:sz w:val="24"/>
                <w:szCs w:val="20"/>
              </w:rPr>
            </w:pPr>
            <w:r w:rsidRPr="00FE6890">
              <w:rPr>
                <w:rFonts w:ascii="Tw Cen MT Condensed" w:hAnsi="Tw Cen MT Condensed" w:cstheme="minorHAnsi"/>
                <w:b w:val="0"/>
                <w:color w:val="0D0D0D" w:themeColor="text1" w:themeTint="F2"/>
                <w:sz w:val="24"/>
                <w:szCs w:val="20"/>
              </w:rPr>
              <w:t>Welfare context</w:t>
            </w:r>
          </w:p>
        </w:tc>
        <w:tc>
          <w:tcPr>
            <w:tcW w:w="4216" w:type="dxa"/>
            <w:shd w:val="clear" w:color="auto" w:fill="FBE4D5" w:themeFill="accent2" w:themeFillTint="33"/>
            <w:vAlign w:val="center"/>
          </w:tcPr>
          <w:p w14:paraId="3D69FFC2" w14:textId="77777777" w:rsidR="00F204C0" w:rsidRPr="00FE6890" w:rsidRDefault="00F204C0" w:rsidP="00BC5105">
            <w:pPr>
              <w:spacing w:line="276" w:lineRule="auto"/>
              <w:jc w:val="center"/>
              <w:cnfStyle w:val="100000000000" w:firstRow="1" w:lastRow="0" w:firstColumn="0" w:lastColumn="0" w:oddVBand="0" w:evenVBand="0" w:oddHBand="0" w:evenHBand="0" w:firstRowFirstColumn="0" w:firstRowLastColumn="0" w:lastRowFirstColumn="0" w:lastRowLastColumn="0"/>
              <w:rPr>
                <w:rFonts w:ascii="Tw Cen MT Condensed" w:hAnsi="Tw Cen MT Condensed" w:cstheme="minorHAnsi"/>
                <w:b w:val="0"/>
                <w:color w:val="0D0D0D" w:themeColor="text1" w:themeTint="F2"/>
                <w:sz w:val="24"/>
                <w:szCs w:val="20"/>
              </w:rPr>
            </w:pPr>
            <w:r w:rsidRPr="00FE6890">
              <w:rPr>
                <w:rFonts w:ascii="Tw Cen MT Condensed" w:hAnsi="Tw Cen MT Condensed" w:cstheme="minorHAnsi"/>
                <w:b w:val="0"/>
                <w:color w:val="0D0D0D" w:themeColor="text1" w:themeTint="F2"/>
                <w:sz w:val="24"/>
                <w:szCs w:val="20"/>
              </w:rPr>
              <w:t>Resolution of the work-family conflict</w:t>
            </w:r>
          </w:p>
        </w:tc>
        <w:tc>
          <w:tcPr>
            <w:tcW w:w="2268" w:type="dxa"/>
            <w:shd w:val="clear" w:color="auto" w:fill="FBE4D5" w:themeFill="accent2" w:themeFillTint="33"/>
            <w:vAlign w:val="center"/>
          </w:tcPr>
          <w:p w14:paraId="26857983" w14:textId="77777777" w:rsidR="00F204C0" w:rsidRPr="00FE6890" w:rsidRDefault="00F204C0" w:rsidP="00BC5105">
            <w:pPr>
              <w:spacing w:line="276" w:lineRule="auto"/>
              <w:jc w:val="center"/>
              <w:cnfStyle w:val="100000000000" w:firstRow="1" w:lastRow="0" w:firstColumn="0" w:lastColumn="0" w:oddVBand="0" w:evenVBand="0" w:oddHBand="0" w:evenHBand="0" w:firstRowFirstColumn="0" w:firstRowLastColumn="0" w:lastRowFirstColumn="0" w:lastRowLastColumn="0"/>
              <w:rPr>
                <w:rFonts w:ascii="Tw Cen MT Condensed" w:hAnsi="Tw Cen MT Condensed" w:cstheme="minorHAnsi"/>
                <w:b w:val="0"/>
                <w:color w:val="0D0D0D" w:themeColor="text1" w:themeTint="F2"/>
                <w:sz w:val="24"/>
                <w:szCs w:val="20"/>
              </w:rPr>
            </w:pPr>
            <w:r w:rsidRPr="00FE6890">
              <w:rPr>
                <w:rFonts w:ascii="Tw Cen MT Condensed" w:hAnsi="Tw Cen MT Condensed" w:cstheme="minorHAnsi"/>
                <w:b w:val="0"/>
                <w:color w:val="0D0D0D" w:themeColor="text1" w:themeTint="F2"/>
                <w:sz w:val="24"/>
                <w:szCs w:val="20"/>
              </w:rPr>
              <w:t>Degree of decommodification</w:t>
            </w:r>
          </w:p>
        </w:tc>
      </w:tr>
      <w:tr w:rsidR="00F204C0" w:rsidRPr="003635BF" w14:paraId="08D03D4D" w14:textId="77777777" w:rsidTr="009C59C4">
        <w:tc>
          <w:tcPr>
            <w:cnfStyle w:val="001000000000" w:firstRow="0" w:lastRow="0" w:firstColumn="1" w:lastColumn="0" w:oddVBand="0" w:evenVBand="0" w:oddHBand="0" w:evenHBand="0" w:firstRowFirstColumn="0" w:firstRowLastColumn="0" w:lastRowFirstColumn="0" w:lastRowLastColumn="0"/>
            <w:tcW w:w="1271" w:type="dxa"/>
          </w:tcPr>
          <w:p w14:paraId="57E5824A" w14:textId="77777777" w:rsidR="00F204C0" w:rsidRPr="00B3513B" w:rsidRDefault="00F204C0" w:rsidP="00BC5105">
            <w:pPr>
              <w:spacing w:before="240" w:line="276" w:lineRule="auto"/>
              <w:rPr>
                <w:rFonts w:ascii="Tw Cen MT Condensed" w:hAnsi="Tw Cen MT Condensed" w:cstheme="minorHAnsi"/>
                <w:b w:val="0"/>
                <w:bCs w:val="0"/>
                <w:color w:val="0D0D0D" w:themeColor="text1" w:themeTint="F2"/>
                <w:sz w:val="20"/>
                <w:szCs w:val="20"/>
              </w:rPr>
            </w:pPr>
            <w:r w:rsidRPr="00B3513B">
              <w:rPr>
                <w:rFonts w:ascii="Tw Cen MT Condensed" w:hAnsi="Tw Cen MT Condensed" w:cstheme="minorHAnsi"/>
                <w:b w:val="0"/>
                <w:bCs w:val="0"/>
                <w:color w:val="0D0D0D" w:themeColor="text1" w:themeTint="F2"/>
                <w:sz w:val="20"/>
                <w:szCs w:val="20"/>
              </w:rPr>
              <w:t>AUSTRALIA, US, UK, CANADA</w:t>
            </w:r>
          </w:p>
        </w:tc>
        <w:tc>
          <w:tcPr>
            <w:tcW w:w="1701" w:type="dxa"/>
          </w:tcPr>
          <w:p w14:paraId="1AC4252E" w14:textId="77777777" w:rsidR="00F204C0" w:rsidRPr="00FE6890" w:rsidRDefault="00F204C0" w:rsidP="00BC5105">
            <w:pPr>
              <w:pStyle w:val="NormalWeb"/>
              <w:spacing w:before="240" w:beforeAutospacing="0" w:after="360" w:afterAutospacing="0" w:line="276"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0D0D0D" w:themeColor="text1" w:themeTint="F2"/>
                <w:sz w:val="20"/>
                <w:szCs w:val="20"/>
                <w:lang w:eastAsia="en-US"/>
              </w:rPr>
            </w:pPr>
            <w:r w:rsidRPr="00FE6890">
              <w:rPr>
                <w:rFonts w:asciiTheme="majorHAnsi" w:eastAsiaTheme="minorHAnsi" w:hAnsiTheme="majorHAnsi" w:cstheme="majorHAnsi"/>
                <w:color w:val="0D0D0D" w:themeColor="text1" w:themeTint="F2"/>
                <w:sz w:val="20"/>
                <w:szCs w:val="20"/>
                <w:lang w:eastAsia="en-US"/>
              </w:rPr>
              <w:t>Liberal</w:t>
            </w:r>
          </w:p>
        </w:tc>
        <w:tc>
          <w:tcPr>
            <w:tcW w:w="4216" w:type="dxa"/>
          </w:tcPr>
          <w:p w14:paraId="4A111138" w14:textId="10A1F8A3" w:rsidR="00F204C0" w:rsidRPr="00FE6890" w:rsidRDefault="00F204C0" w:rsidP="008A350F">
            <w:pPr>
              <w:spacing w:before="240" w:after="100" w:afterAutospacing="1"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Work-family balance is viewed a private matter. Very little state intervention, leaving service provision to the market.</w:t>
            </w:r>
          </w:p>
        </w:tc>
        <w:tc>
          <w:tcPr>
            <w:tcW w:w="2268" w:type="dxa"/>
          </w:tcPr>
          <w:p w14:paraId="0BCE6A4A" w14:textId="77777777" w:rsidR="00F204C0" w:rsidRPr="00FE6890" w:rsidRDefault="00F204C0" w:rsidP="00BC5105">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Low</w:t>
            </w:r>
          </w:p>
        </w:tc>
      </w:tr>
      <w:tr w:rsidR="00F204C0" w:rsidRPr="003635BF" w14:paraId="6883ADFB" w14:textId="77777777" w:rsidTr="008A350F">
        <w:trPr>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37CC7117" w14:textId="77777777" w:rsidR="00F204C0" w:rsidRPr="00B3513B" w:rsidRDefault="00F204C0" w:rsidP="00BC5105">
            <w:pPr>
              <w:spacing w:before="240" w:line="276" w:lineRule="auto"/>
              <w:rPr>
                <w:rFonts w:ascii="Tw Cen MT Condensed" w:hAnsi="Tw Cen MT Condensed" w:cstheme="minorHAnsi"/>
                <w:b w:val="0"/>
                <w:bCs w:val="0"/>
                <w:i/>
                <w:color w:val="0D0D0D" w:themeColor="text1" w:themeTint="F2"/>
                <w:sz w:val="20"/>
                <w:szCs w:val="20"/>
              </w:rPr>
            </w:pPr>
            <w:r w:rsidRPr="00B3513B">
              <w:rPr>
                <w:rFonts w:ascii="Tw Cen MT Condensed" w:hAnsi="Tw Cen MT Condensed" w:cstheme="minorHAnsi"/>
                <w:b w:val="0"/>
                <w:bCs w:val="0"/>
                <w:color w:val="0D0D0D" w:themeColor="text1" w:themeTint="F2"/>
                <w:sz w:val="20"/>
                <w:szCs w:val="20"/>
              </w:rPr>
              <w:t>AUSTRIA, FRANCE, GERMANY, ITALY</w:t>
            </w:r>
          </w:p>
        </w:tc>
        <w:tc>
          <w:tcPr>
            <w:tcW w:w="1701" w:type="dxa"/>
          </w:tcPr>
          <w:p w14:paraId="391B4916" w14:textId="77777777" w:rsidR="00F204C0" w:rsidRPr="00FE6890" w:rsidRDefault="00F204C0" w:rsidP="00BC5105">
            <w:pPr>
              <w:pStyle w:val="NormalWeb"/>
              <w:spacing w:before="240" w:beforeAutospacing="0" w:after="360" w:afterAutospacing="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FE6890">
              <w:rPr>
                <w:rFonts w:asciiTheme="majorHAnsi" w:eastAsiaTheme="minorHAnsi" w:hAnsiTheme="majorHAnsi" w:cstheme="majorHAnsi"/>
                <w:color w:val="0D0D0D" w:themeColor="text1" w:themeTint="F2"/>
                <w:sz w:val="20"/>
                <w:szCs w:val="20"/>
                <w:lang w:eastAsia="en-US"/>
              </w:rPr>
              <w:t>Conservative</w:t>
            </w:r>
          </w:p>
        </w:tc>
        <w:tc>
          <w:tcPr>
            <w:tcW w:w="4216" w:type="dxa"/>
          </w:tcPr>
          <w:p w14:paraId="66CFA0A4" w14:textId="77777777" w:rsidR="00F204C0" w:rsidRPr="00FE6890" w:rsidRDefault="00F204C0" w:rsidP="00BC5105">
            <w:pPr>
              <w:shd w:val="clear" w:color="auto" w:fill="FFFFFF"/>
              <w:spacing w:before="240" w:after="15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 xml:space="preserve">Work-family balance falls within the sphere of the family. The work-family conflict is resolved by ceasing or at least reducing participation in the labour market. </w:t>
            </w:r>
          </w:p>
        </w:tc>
        <w:tc>
          <w:tcPr>
            <w:tcW w:w="2268" w:type="dxa"/>
          </w:tcPr>
          <w:p w14:paraId="465290A4" w14:textId="77777777" w:rsidR="00F204C0" w:rsidRPr="00FE6890" w:rsidRDefault="00F204C0" w:rsidP="00244248">
            <w:pPr>
              <w:numPr>
                <w:ilvl w:val="0"/>
                <w:numId w:val="3"/>
              </w:numPr>
              <w:shd w:val="clear" w:color="auto" w:fill="FFFFFF"/>
              <w:spacing w:before="240" w:after="150" w:line="276" w:lineRule="auto"/>
              <w:ind w:left="0" w:hanging="2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Medium</w:t>
            </w:r>
          </w:p>
        </w:tc>
      </w:tr>
      <w:tr w:rsidR="00F204C0" w:rsidRPr="003635BF" w14:paraId="0C7BD7E1" w14:textId="77777777" w:rsidTr="008A350F">
        <w:trPr>
          <w:trHeight w:val="1397"/>
        </w:trPr>
        <w:tc>
          <w:tcPr>
            <w:cnfStyle w:val="001000000000" w:firstRow="0" w:lastRow="0" w:firstColumn="1" w:lastColumn="0" w:oddVBand="0" w:evenVBand="0" w:oddHBand="0" w:evenHBand="0" w:firstRowFirstColumn="0" w:firstRowLastColumn="0" w:lastRowFirstColumn="0" w:lastRowLastColumn="0"/>
            <w:tcW w:w="1271" w:type="dxa"/>
          </w:tcPr>
          <w:p w14:paraId="1EB65E30" w14:textId="77777777" w:rsidR="00F204C0" w:rsidRPr="00B3513B" w:rsidRDefault="00F204C0" w:rsidP="00BC5105">
            <w:pPr>
              <w:spacing w:before="240" w:line="276" w:lineRule="auto"/>
              <w:rPr>
                <w:rFonts w:ascii="Tw Cen MT Condensed" w:hAnsi="Tw Cen MT Condensed" w:cstheme="minorHAnsi"/>
                <w:b w:val="0"/>
                <w:bCs w:val="0"/>
                <w:i/>
                <w:color w:val="0D0D0D" w:themeColor="text1" w:themeTint="F2"/>
                <w:sz w:val="20"/>
                <w:szCs w:val="20"/>
              </w:rPr>
            </w:pPr>
            <w:r w:rsidRPr="00B3513B">
              <w:rPr>
                <w:rFonts w:ascii="Tw Cen MT Condensed" w:hAnsi="Tw Cen MT Condensed" w:cstheme="minorHAnsi"/>
                <w:b w:val="0"/>
                <w:bCs w:val="0"/>
                <w:color w:val="0D0D0D" w:themeColor="text1" w:themeTint="F2"/>
                <w:sz w:val="20"/>
                <w:szCs w:val="20"/>
              </w:rPr>
              <w:t>DENMARK, FINLAND, NORWAY, SWEDEN</w:t>
            </w:r>
          </w:p>
        </w:tc>
        <w:tc>
          <w:tcPr>
            <w:tcW w:w="1701" w:type="dxa"/>
          </w:tcPr>
          <w:p w14:paraId="55480F68" w14:textId="77777777" w:rsidR="00F204C0" w:rsidRPr="00FE6890" w:rsidRDefault="00F204C0" w:rsidP="00BC5105">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Social democratic</w:t>
            </w:r>
          </w:p>
        </w:tc>
        <w:tc>
          <w:tcPr>
            <w:tcW w:w="4216" w:type="dxa"/>
          </w:tcPr>
          <w:p w14:paraId="4883FCEB" w14:textId="77777777" w:rsidR="00F204C0" w:rsidRPr="00FE6890" w:rsidRDefault="00F204C0" w:rsidP="00BC5105">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Work-family balance falls within the sphere of the state. Female participation in the labour force is supported through the provision of generous parental leave policies.</w:t>
            </w:r>
          </w:p>
        </w:tc>
        <w:tc>
          <w:tcPr>
            <w:tcW w:w="2268" w:type="dxa"/>
          </w:tcPr>
          <w:p w14:paraId="0A8AB20B" w14:textId="77777777" w:rsidR="00F204C0" w:rsidRPr="00FE6890" w:rsidRDefault="00F204C0" w:rsidP="00BC5105">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High</w:t>
            </w:r>
          </w:p>
          <w:p w14:paraId="05DD0E57" w14:textId="77777777" w:rsidR="00F204C0" w:rsidRPr="00FE6890" w:rsidRDefault="00F204C0" w:rsidP="00BC5105">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p>
        </w:tc>
      </w:tr>
      <w:tr w:rsidR="00F204C0" w:rsidRPr="003635BF" w14:paraId="41D88575" w14:textId="77777777" w:rsidTr="008A350F">
        <w:trPr>
          <w:trHeight w:val="1261"/>
        </w:trPr>
        <w:tc>
          <w:tcPr>
            <w:cnfStyle w:val="001000000000" w:firstRow="0" w:lastRow="0" w:firstColumn="1" w:lastColumn="0" w:oddVBand="0" w:evenVBand="0" w:oddHBand="0" w:evenHBand="0" w:firstRowFirstColumn="0" w:firstRowLastColumn="0" w:lastRowFirstColumn="0" w:lastRowLastColumn="0"/>
            <w:tcW w:w="1271" w:type="dxa"/>
          </w:tcPr>
          <w:p w14:paraId="06159607" w14:textId="77777777" w:rsidR="00F204C0" w:rsidRPr="00B3513B" w:rsidRDefault="00F204C0" w:rsidP="00BC5105">
            <w:pPr>
              <w:spacing w:before="240" w:line="276" w:lineRule="auto"/>
              <w:rPr>
                <w:rFonts w:ascii="Tw Cen MT Condensed" w:hAnsi="Tw Cen MT Condensed" w:cstheme="minorHAnsi"/>
                <w:b w:val="0"/>
                <w:bCs w:val="0"/>
                <w:color w:val="0D0D0D" w:themeColor="text1" w:themeTint="F2"/>
                <w:sz w:val="20"/>
                <w:szCs w:val="20"/>
              </w:rPr>
            </w:pPr>
            <w:r w:rsidRPr="00B3513B">
              <w:rPr>
                <w:rFonts w:ascii="Tw Cen MT Condensed" w:hAnsi="Tw Cen MT Condensed" w:cstheme="minorHAnsi"/>
                <w:b w:val="0"/>
                <w:bCs w:val="0"/>
                <w:color w:val="0D0D0D" w:themeColor="text1" w:themeTint="F2"/>
                <w:sz w:val="20"/>
                <w:szCs w:val="20"/>
              </w:rPr>
              <w:t>JAPAN, SINGAPORE, SOUTH KOREA, TAIWAN</w:t>
            </w:r>
          </w:p>
        </w:tc>
        <w:tc>
          <w:tcPr>
            <w:tcW w:w="1701" w:type="dxa"/>
          </w:tcPr>
          <w:p w14:paraId="0529425E" w14:textId="77777777" w:rsidR="00F204C0" w:rsidRPr="00FE6890" w:rsidRDefault="00F204C0" w:rsidP="00BC5105">
            <w:pPr>
              <w:shd w:val="clear" w:color="auto" w:fill="FFFFFF"/>
              <w:spacing w:before="240" w:after="15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E6890">
              <w:rPr>
                <w:rFonts w:asciiTheme="majorHAnsi" w:hAnsiTheme="majorHAnsi" w:cstheme="majorHAnsi"/>
                <w:sz w:val="20"/>
                <w:szCs w:val="20"/>
              </w:rPr>
              <w:t>East Asian</w:t>
            </w:r>
          </w:p>
        </w:tc>
        <w:tc>
          <w:tcPr>
            <w:tcW w:w="4216" w:type="dxa"/>
          </w:tcPr>
          <w:p w14:paraId="1AE3CFFD" w14:textId="77777777" w:rsidR="00F204C0" w:rsidRPr="00FE6890" w:rsidRDefault="00F204C0" w:rsidP="00BC5105">
            <w:pPr>
              <w:shd w:val="clear" w:color="auto" w:fill="FFFFFF"/>
              <w:spacing w:before="240" w:after="150" w:line="276" w:lineRule="auto"/>
              <w:ind w:left="-4" w:firstLine="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Work-family balance falls within the sphere of the family. At the same time, the job market is very inflexible and re-entry in the labour force is difficult.</w:t>
            </w:r>
          </w:p>
        </w:tc>
        <w:tc>
          <w:tcPr>
            <w:tcW w:w="2268" w:type="dxa"/>
          </w:tcPr>
          <w:p w14:paraId="30AEED76" w14:textId="77777777" w:rsidR="00F204C0" w:rsidRPr="00FE6890" w:rsidRDefault="00F204C0" w:rsidP="00244248">
            <w:pPr>
              <w:numPr>
                <w:ilvl w:val="0"/>
                <w:numId w:val="3"/>
              </w:numPr>
              <w:shd w:val="clear" w:color="auto" w:fill="FFFFFF"/>
              <w:spacing w:before="240" w:after="150" w:line="276" w:lineRule="auto"/>
              <w:ind w:left="0" w:hanging="2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FE6890">
              <w:rPr>
                <w:rFonts w:asciiTheme="majorHAnsi" w:hAnsiTheme="majorHAnsi" w:cstheme="majorHAnsi"/>
                <w:color w:val="0D0D0D" w:themeColor="text1" w:themeTint="F2"/>
                <w:sz w:val="20"/>
                <w:szCs w:val="20"/>
              </w:rPr>
              <w:t>Medium-Low</w:t>
            </w:r>
          </w:p>
        </w:tc>
      </w:tr>
    </w:tbl>
    <w:p w14:paraId="5BD2A31F" w14:textId="77777777" w:rsidR="00047E97" w:rsidRDefault="00047E97" w:rsidP="00BC5105">
      <w:pPr>
        <w:spacing w:line="276" w:lineRule="auto"/>
        <w:rPr>
          <w:rFonts w:cstheme="minorHAnsi"/>
          <w:i/>
          <w:iCs/>
          <w:lang w:val="en-US"/>
        </w:rPr>
      </w:pPr>
    </w:p>
    <w:p w14:paraId="60BB1AA8" w14:textId="12BF9C0F" w:rsidR="006C2718" w:rsidRDefault="006C2718" w:rsidP="00BC5105">
      <w:pPr>
        <w:spacing w:line="276" w:lineRule="auto"/>
        <w:rPr>
          <w:rFonts w:cstheme="minorHAnsi"/>
          <w:i/>
          <w:iCs/>
          <w:lang w:val="en-US"/>
        </w:rPr>
      </w:pPr>
      <w:r w:rsidRPr="006C2718">
        <w:rPr>
          <w:rFonts w:cstheme="minorHAnsi"/>
          <w:i/>
          <w:iCs/>
          <w:lang w:val="en-US"/>
        </w:rPr>
        <w:t>Gendered welfare states</w:t>
      </w:r>
    </w:p>
    <w:p w14:paraId="1D92D228" w14:textId="6B2D76C1" w:rsidR="006C2718" w:rsidRDefault="006C2718" w:rsidP="00BC5105">
      <w:pPr>
        <w:spacing w:line="276" w:lineRule="auto"/>
        <w:rPr>
          <w:rFonts w:cstheme="minorHAnsi"/>
          <w:lang w:val="en-US"/>
        </w:rPr>
      </w:pPr>
      <w:r w:rsidRPr="006C2718">
        <w:rPr>
          <w:rFonts w:cstheme="minorHAnsi"/>
          <w:lang w:val="en-US"/>
        </w:rPr>
        <w:t>In Esping-Andersen’s model</w:t>
      </w:r>
      <w:r>
        <w:rPr>
          <w:rFonts w:cstheme="minorHAnsi"/>
          <w:lang w:val="en-US"/>
        </w:rPr>
        <w:t>, gender is largely absent and the central players are the family (thought of as one unit), the state and the market. Other researchers</w:t>
      </w:r>
      <w:r w:rsidR="004B360A">
        <w:rPr>
          <w:rFonts w:cstheme="minorHAnsi"/>
          <w:lang w:val="en-US"/>
        </w:rPr>
        <w:t xml:space="preserve"> (Korpi, 2000; Korpi, </w:t>
      </w:r>
      <w:r w:rsidR="00B95174" w:rsidRPr="00B95174">
        <w:rPr>
          <w:rFonts w:cstheme="minorHAnsi"/>
          <w:i/>
          <w:lang w:val="en-US"/>
        </w:rPr>
        <w:t>et al.,</w:t>
      </w:r>
      <w:r w:rsidR="004B360A">
        <w:rPr>
          <w:rFonts w:cstheme="minorHAnsi"/>
          <w:lang w:val="en-US"/>
        </w:rPr>
        <w:t xml:space="preserve"> 2013) </w:t>
      </w:r>
      <w:r>
        <w:rPr>
          <w:rFonts w:cstheme="minorHAnsi"/>
          <w:lang w:val="en-US"/>
        </w:rPr>
        <w:t xml:space="preserve">have expanded on this initial model by bringing in a gender dimension.  </w:t>
      </w:r>
      <w:r w:rsidR="00C754B7" w:rsidRPr="004B360A">
        <w:rPr>
          <w:rFonts w:cstheme="minorHAnsi"/>
          <w:lang w:val="en-US"/>
        </w:rPr>
        <w:t xml:space="preserve">Korpi </w:t>
      </w:r>
      <w:r w:rsidR="00C754B7" w:rsidRPr="002D78CE">
        <w:rPr>
          <w:rFonts w:cstheme="minorHAnsi"/>
          <w:lang w:val="en-US"/>
        </w:rPr>
        <w:t>(</w:t>
      </w:r>
      <w:r w:rsidR="000372F1" w:rsidRPr="002D78CE">
        <w:rPr>
          <w:rFonts w:cstheme="minorHAnsi"/>
          <w:lang w:val="en-US"/>
        </w:rPr>
        <w:t>2000</w:t>
      </w:r>
      <w:r w:rsidR="00C754B7" w:rsidRPr="002D78CE">
        <w:rPr>
          <w:rFonts w:cstheme="minorHAnsi"/>
          <w:lang w:val="en-US"/>
        </w:rPr>
        <w:t>)</w:t>
      </w:r>
      <w:r w:rsidR="00C754B7" w:rsidRPr="004B360A">
        <w:rPr>
          <w:rFonts w:cstheme="minorHAnsi"/>
          <w:lang w:val="en-US"/>
        </w:rPr>
        <w:t xml:space="preserve"> classified</w:t>
      </w:r>
      <w:r w:rsidR="00C754B7">
        <w:rPr>
          <w:rFonts w:cstheme="minorHAnsi"/>
          <w:lang w:val="en-US"/>
        </w:rPr>
        <w:t xml:space="preserve"> policies as either providing general family support (cash child allowances, family tax benefits, and public </w:t>
      </w:r>
      <w:r w:rsidR="009F7190">
        <w:rPr>
          <w:rFonts w:cstheme="minorHAnsi"/>
          <w:lang w:val="en-US"/>
        </w:rPr>
        <w:t>child care</w:t>
      </w:r>
      <w:r w:rsidR="00C754B7">
        <w:rPr>
          <w:rFonts w:cstheme="minorHAnsi"/>
          <w:lang w:val="en-US"/>
        </w:rPr>
        <w:t xml:space="preserve"> for older children), or supporting dual-earners (paid maternity leave, paid paternity leave, public </w:t>
      </w:r>
      <w:r w:rsidR="009F7190">
        <w:rPr>
          <w:rFonts w:cstheme="minorHAnsi"/>
          <w:lang w:val="en-US"/>
        </w:rPr>
        <w:t>child care</w:t>
      </w:r>
      <w:r w:rsidR="00C754B7">
        <w:rPr>
          <w:rFonts w:cstheme="minorHAnsi"/>
          <w:lang w:val="en-US"/>
        </w:rPr>
        <w:t xml:space="preserve"> for young children, and public home help for the elderly). Countries were then ranked on their support for each dimension as shown in </w:t>
      </w:r>
      <w:r w:rsidR="002E46D8">
        <w:rPr>
          <w:rFonts w:cstheme="minorHAnsi"/>
          <w:lang w:val="en-US"/>
        </w:rPr>
        <w:t>Table 5</w:t>
      </w:r>
      <w:r w:rsidR="000372F1">
        <w:rPr>
          <w:rFonts w:cstheme="minorHAnsi"/>
          <w:lang w:val="en-US"/>
        </w:rPr>
        <w:t xml:space="preserve"> </w:t>
      </w:r>
      <w:r w:rsidR="00C754B7">
        <w:rPr>
          <w:rFonts w:cstheme="minorHAnsi"/>
          <w:lang w:val="en-US"/>
        </w:rPr>
        <w:t xml:space="preserve">below.  In this gendered welfare state model, Australia was ranked as having low support for dual-earners and also low general family support. </w:t>
      </w:r>
    </w:p>
    <w:p w14:paraId="49B73E6A" w14:textId="000B85EA" w:rsidR="000372F1" w:rsidRDefault="000372F1" w:rsidP="002D78CE">
      <w:pPr>
        <w:pStyle w:val="Caption"/>
        <w:keepNext/>
      </w:pPr>
      <w:bookmarkStart w:id="57" w:name="_Ref81558663"/>
      <w:r>
        <w:lastRenderedPageBreak/>
        <w:t xml:space="preserve">Table </w:t>
      </w:r>
      <w:fldSimple w:instr=" SEQ Table \* ARABIC ">
        <w:r w:rsidR="00115E22">
          <w:rPr>
            <w:noProof/>
          </w:rPr>
          <w:t>5</w:t>
        </w:r>
      </w:fldSimple>
      <w:bookmarkEnd w:id="57"/>
      <w:r>
        <w:t xml:space="preserve"> Family policy models</w:t>
      </w:r>
    </w:p>
    <w:tbl>
      <w:tblPr>
        <w:tblStyle w:val="TableGrid"/>
        <w:tblW w:w="0" w:type="auto"/>
        <w:tblInd w:w="5" w:type="dxa"/>
        <w:tblLook w:val="04A0" w:firstRow="1" w:lastRow="0" w:firstColumn="1" w:lastColumn="0" w:noHBand="0" w:noVBand="1"/>
      </w:tblPr>
      <w:tblGrid>
        <w:gridCol w:w="1555"/>
        <w:gridCol w:w="779"/>
        <w:gridCol w:w="6"/>
        <w:gridCol w:w="2120"/>
        <w:gridCol w:w="6"/>
        <w:gridCol w:w="2425"/>
        <w:gridCol w:w="6"/>
        <w:gridCol w:w="11"/>
      </w:tblGrid>
      <w:tr w:rsidR="006C2718" w:rsidRPr="00971E24" w14:paraId="483B62E4" w14:textId="77777777" w:rsidTr="00C754B7">
        <w:tc>
          <w:tcPr>
            <w:tcW w:w="2340" w:type="dxa"/>
            <w:gridSpan w:val="3"/>
            <w:tcBorders>
              <w:top w:val="nil"/>
              <w:left w:val="nil"/>
              <w:bottom w:val="nil"/>
            </w:tcBorders>
          </w:tcPr>
          <w:p w14:paraId="1CAF3C86" w14:textId="77777777" w:rsidR="006C2718" w:rsidRPr="00971E24" w:rsidRDefault="006C2718" w:rsidP="00BC5105">
            <w:pPr>
              <w:spacing w:line="276" w:lineRule="auto"/>
              <w:rPr>
                <w:rFonts w:asciiTheme="majorHAnsi" w:hAnsiTheme="majorHAnsi" w:cstheme="majorHAnsi"/>
                <w:lang w:val="en-US"/>
              </w:rPr>
            </w:pPr>
          </w:p>
        </w:tc>
        <w:tc>
          <w:tcPr>
            <w:tcW w:w="4568" w:type="dxa"/>
            <w:gridSpan w:val="5"/>
            <w:shd w:val="clear" w:color="auto" w:fill="FBE4D5" w:themeFill="accent2" w:themeFillTint="33"/>
          </w:tcPr>
          <w:p w14:paraId="7D23247A" w14:textId="760EE425" w:rsidR="006C2718" w:rsidRPr="00971E24" w:rsidRDefault="006C2718" w:rsidP="00C754B7">
            <w:pPr>
              <w:spacing w:line="276" w:lineRule="auto"/>
              <w:jc w:val="center"/>
              <w:rPr>
                <w:rFonts w:ascii="Tw Cen MT Condensed" w:hAnsi="Tw Cen MT Condensed" w:cstheme="majorHAnsi"/>
                <w:lang w:val="en-US"/>
              </w:rPr>
            </w:pPr>
            <w:r w:rsidRPr="00971E24">
              <w:rPr>
                <w:rFonts w:ascii="Tw Cen MT Condensed" w:hAnsi="Tw Cen MT Condensed" w:cstheme="majorHAnsi"/>
                <w:lang w:val="en-US"/>
              </w:rPr>
              <w:t>Dual-earner support</w:t>
            </w:r>
          </w:p>
        </w:tc>
      </w:tr>
      <w:tr w:rsidR="006C2718" w:rsidRPr="00971E24" w14:paraId="53E78D70" w14:textId="77777777" w:rsidTr="00C754B7">
        <w:trPr>
          <w:gridAfter w:val="1"/>
          <w:wAfter w:w="11" w:type="dxa"/>
        </w:trPr>
        <w:tc>
          <w:tcPr>
            <w:tcW w:w="2340" w:type="dxa"/>
            <w:gridSpan w:val="3"/>
            <w:tcBorders>
              <w:top w:val="nil"/>
              <w:left w:val="nil"/>
            </w:tcBorders>
          </w:tcPr>
          <w:p w14:paraId="35768340" w14:textId="77777777" w:rsidR="006C2718" w:rsidRPr="00971E24" w:rsidRDefault="006C2718" w:rsidP="00BC5105">
            <w:pPr>
              <w:spacing w:line="276" w:lineRule="auto"/>
              <w:rPr>
                <w:rFonts w:asciiTheme="majorHAnsi" w:hAnsiTheme="majorHAnsi" w:cstheme="majorHAnsi"/>
                <w:lang w:val="en-US"/>
              </w:rPr>
            </w:pPr>
          </w:p>
        </w:tc>
        <w:tc>
          <w:tcPr>
            <w:tcW w:w="2126" w:type="dxa"/>
            <w:gridSpan w:val="2"/>
            <w:tcBorders>
              <w:bottom w:val="single" w:sz="4" w:space="0" w:color="ED7D31" w:themeColor="accent2"/>
            </w:tcBorders>
          </w:tcPr>
          <w:p w14:paraId="508C3E94" w14:textId="4611D71E" w:rsidR="006C2718" w:rsidRPr="007E15F6" w:rsidRDefault="006C2718" w:rsidP="00C754B7">
            <w:pPr>
              <w:spacing w:line="276" w:lineRule="auto"/>
              <w:jc w:val="center"/>
              <w:rPr>
                <w:rFonts w:asciiTheme="majorHAnsi" w:hAnsiTheme="majorHAnsi" w:cstheme="majorHAnsi"/>
                <w:sz w:val="20"/>
                <w:szCs w:val="20"/>
                <w:lang w:val="en-US"/>
              </w:rPr>
            </w:pPr>
            <w:r w:rsidRPr="007E15F6">
              <w:rPr>
                <w:rFonts w:asciiTheme="majorHAnsi" w:hAnsiTheme="majorHAnsi" w:cstheme="majorHAnsi"/>
                <w:sz w:val="20"/>
                <w:szCs w:val="20"/>
                <w:lang w:val="en-US"/>
              </w:rPr>
              <w:t>Low</w:t>
            </w:r>
          </w:p>
        </w:tc>
        <w:tc>
          <w:tcPr>
            <w:tcW w:w="2431" w:type="dxa"/>
            <w:gridSpan w:val="2"/>
          </w:tcPr>
          <w:p w14:paraId="2F499AB8" w14:textId="175808C1" w:rsidR="006C2718" w:rsidRPr="007E15F6" w:rsidRDefault="006C2718" w:rsidP="00C754B7">
            <w:pPr>
              <w:spacing w:line="276" w:lineRule="auto"/>
              <w:jc w:val="center"/>
              <w:rPr>
                <w:rFonts w:asciiTheme="majorHAnsi" w:hAnsiTheme="majorHAnsi" w:cstheme="majorHAnsi"/>
                <w:sz w:val="20"/>
                <w:szCs w:val="20"/>
                <w:lang w:val="en-US"/>
              </w:rPr>
            </w:pPr>
            <w:r w:rsidRPr="007E15F6">
              <w:rPr>
                <w:rFonts w:asciiTheme="majorHAnsi" w:hAnsiTheme="majorHAnsi" w:cstheme="majorHAnsi"/>
                <w:sz w:val="20"/>
                <w:szCs w:val="20"/>
                <w:lang w:val="en-US"/>
              </w:rPr>
              <w:t>High</w:t>
            </w:r>
          </w:p>
        </w:tc>
      </w:tr>
      <w:tr w:rsidR="006C2718" w:rsidRPr="00971E24" w14:paraId="6EB9FCD8" w14:textId="77777777" w:rsidTr="00243674">
        <w:trPr>
          <w:gridAfter w:val="2"/>
          <w:wAfter w:w="17" w:type="dxa"/>
        </w:trPr>
        <w:tc>
          <w:tcPr>
            <w:tcW w:w="1555" w:type="dxa"/>
            <w:vMerge w:val="restart"/>
            <w:shd w:val="clear" w:color="auto" w:fill="FBE4D5" w:themeFill="accent2" w:themeFillTint="33"/>
            <w:vAlign w:val="center"/>
          </w:tcPr>
          <w:p w14:paraId="3A3F224D" w14:textId="1F01293D" w:rsidR="006C2718" w:rsidRPr="00971E24" w:rsidRDefault="006C2718" w:rsidP="00C754B7">
            <w:pPr>
              <w:spacing w:line="276" w:lineRule="auto"/>
              <w:rPr>
                <w:rFonts w:ascii="Tw Cen MT Condensed" w:hAnsi="Tw Cen MT Condensed" w:cstheme="majorHAnsi"/>
                <w:lang w:val="en-US"/>
              </w:rPr>
            </w:pPr>
            <w:r w:rsidRPr="00971E24">
              <w:rPr>
                <w:rFonts w:ascii="Tw Cen MT Condensed" w:hAnsi="Tw Cen MT Condensed" w:cstheme="majorHAnsi"/>
                <w:lang w:val="en-US"/>
              </w:rPr>
              <w:t>General family support</w:t>
            </w:r>
          </w:p>
        </w:tc>
        <w:tc>
          <w:tcPr>
            <w:tcW w:w="779" w:type="dxa"/>
            <w:vAlign w:val="center"/>
          </w:tcPr>
          <w:p w14:paraId="7CAD0CEE" w14:textId="4BD030C0" w:rsidR="006C2718" w:rsidRPr="007E15F6" w:rsidRDefault="006C2718" w:rsidP="00C754B7">
            <w:pPr>
              <w:spacing w:line="276" w:lineRule="auto"/>
              <w:rPr>
                <w:rFonts w:asciiTheme="majorHAnsi" w:hAnsiTheme="majorHAnsi" w:cstheme="majorHAnsi"/>
                <w:sz w:val="20"/>
                <w:szCs w:val="20"/>
                <w:lang w:val="en-US"/>
              </w:rPr>
            </w:pPr>
            <w:r w:rsidRPr="007E15F6">
              <w:rPr>
                <w:rFonts w:asciiTheme="majorHAnsi" w:hAnsiTheme="majorHAnsi" w:cstheme="majorHAnsi"/>
                <w:sz w:val="20"/>
                <w:szCs w:val="20"/>
                <w:lang w:val="en-US"/>
              </w:rPr>
              <w:t>Low</w:t>
            </w:r>
          </w:p>
        </w:tc>
        <w:tc>
          <w:tcPr>
            <w:tcW w:w="2126" w:type="dxa"/>
            <w:gridSpan w:val="2"/>
          </w:tcPr>
          <w:p w14:paraId="6A939848" w14:textId="7A7B4339" w:rsidR="006C2718" w:rsidRPr="007E15F6" w:rsidRDefault="006C2718" w:rsidP="00C754B7">
            <w:pPr>
              <w:spacing w:before="240" w:line="276" w:lineRule="auto"/>
              <w:rPr>
                <w:rFonts w:asciiTheme="majorHAnsi" w:hAnsiTheme="majorHAnsi" w:cstheme="majorHAnsi"/>
                <w:sz w:val="18"/>
                <w:szCs w:val="18"/>
                <w:lang w:val="en-US"/>
              </w:rPr>
            </w:pPr>
            <w:r w:rsidRPr="007E15F6">
              <w:rPr>
                <w:rFonts w:asciiTheme="majorHAnsi" w:hAnsiTheme="majorHAnsi" w:cstheme="majorHAnsi"/>
                <w:sz w:val="18"/>
                <w:szCs w:val="18"/>
                <w:lang w:val="en-US"/>
              </w:rPr>
              <w:t>Market-oriented family policy model</w:t>
            </w:r>
          </w:p>
          <w:p w14:paraId="65CED7F1" w14:textId="77777777" w:rsidR="00C754B7" w:rsidRPr="007E15F6" w:rsidRDefault="00C754B7" w:rsidP="00BC5105">
            <w:pPr>
              <w:spacing w:line="276" w:lineRule="auto"/>
              <w:rPr>
                <w:rFonts w:asciiTheme="majorHAnsi" w:hAnsiTheme="majorHAnsi" w:cstheme="majorHAnsi"/>
                <w:sz w:val="18"/>
                <w:szCs w:val="18"/>
                <w:lang w:val="en-US"/>
              </w:rPr>
            </w:pPr>
          </w:p>
          <w:p w14:paraId="2313C83B" w14:textId="3052910E" w:rsidR="006C2718" w:rsidRPr="007E15F6" w:rsidRDefault="006C2718" w:rsidP="00BC5105">
            <w:pPr>
              <w:spacing w:line="276" w:lineRule="auto"/>
              <w:rPr>
                <w:rFonts w:asciiTheme="majorHAnsi" w:hAnsiTheme="majorHAnsi" w:cstheme="majorHAnsi"/>
                <w:sz w:val="18"/>
                <w:szCs w:val="18"/>
                <w:lang w:val="en-US"/>
              </w:rPr>
            </w:pPr>
            <w:r w:rsidRPr="007E15F6">
              <w:rPr>
                <w:rFonts w:asciiTheme="majorHAnsi" w:hAnsiTheme="majorHAnsi" w:cstheme="majorHAnsi"/>
                <w:sz w:val="18"/>
                <w:szCs w:val="18"/>
                <w:lang w:val="en-US"/>
              </w:rPr>
              <w:t xml:space="preserve"> e.g. Australia</w:t>
            </w:r>
          </w:p>
        </w:tc>
        <w:tc>
          <w:tcPr>
            <w:tcW w:w="2431" w:type="dxa"/>
            <w:gridSpan w:val="2"/>
            <w:tcBorders>
              <w:top w:val="single" w:sz="4" w:space="0" w:color="ED7D31" w:themeColor="accent2"/>
            </w:tcBorders>
          </w:tcPr>
          <w:p w14:paraId="14AFFA90" w14:textId="487432DA" w:rsidR="006C2718" w:rsidRPr="007E15F6" w:rsidRDefault="006C2718" w:rsidP="00C754B7">
            <w:pPr>
              <w:spacing w:before="240" w:line="276" w:lineRule="auto"/>
              <w:rPr>
                <w:rFonts w:asciiTheme="majorHAnsi" w:hAnsiTheme="majorHAnsi" w:cstheme="majorHAnsi"/>
                <w:sz w:val="18"/>
                <w:szCs w:val="18"/>
                <w:lang w:val="en-US"/>
              </w:rPr>
            </w:pPr>
            <w:r w:rsidRPr="007E15F6">
              <w:rPr>
                <w:rFonts w:asciiTheme="majorHAnsi" w:hAnsiTheme="majorHAnsi" w:cstheme="majorHAnsi"/>
                <w:sz w:val="18"/>
                <w:szCs w:val="18"/>
                <w:lang w:val="en-US"/>
              </w:rPr>
              <w:t>Dual-earner family policy model</w:t>
            </w:r>
          </w:p>
          <w:p w14:paraId="2CCFC12B" w14:textId="77777777" w:rsidR="00C754B7" w:rsidRPr="007E15F6" w:rsidRDefault="00C754B7" w:rsidP="00BC5105">
            <w:pPr>
              <w:spacing w:line="276" w:lineRule="auto"/>
              <w:rPr>
                <w:rFonts w:asciiTheme="majorHAnsi" w:hAnsiTheme="majorHAnsi" w:cstheme="majorHAnsi"/>
                <w:sz w:val="18"/>
                <w:szCs w:val="18"/>
                <w:lang w:val="en-US"/>
              </w:rPr>
            </w:pPr>
          </w:p>
          <w:p w14:paraId="48F53442" w14:textId="4977D194" w:rsidR="006C2718" w:rsidRPr="007E15F6" w:rsidRDefault="006C2718" w:rsidP="00BC5105">
            <w:pPr>
              <w:spacing w:line="276" w:lineRule="auto"/>
              <w:rPr>
                <w:rFonts w:asciiTheme="majorHAnsi" w:hAnsiTheme="majorHAnsi" w:cstheme="majorHAnsi"/>
                <w:sz w:val="18"/>
                <w:szCs w:val="18"/>
                <w:lang w:val="en-US"/>
              </w:rPr>
            </w:pPr>
            <w:r w:rsidRPr="007E15F6">
              <w:rPr>
                <w:rFonts w:asciiTheme="majorHAnsi" w:hAnsiTheme="majorHAnsi" w:cstheme="majorHAnsi"/>
                <w:sz w:val="18"/>
                <w:szCs w:val="18"/>
                <w:lang w:val="en-US"/>
              </w:rPr>
              <w:t>e.g. Sweden</w:t>
            </w:r>
          </w:p>
        </w:tc>
      </w:tr>
      <w:tr w:rsidR="006C2718" w:rsidRPr="00971E24" w14:paraId="73773258" w14:textId="77777777" w:rsidTr="00243674">
        <w:trPr>
          <w:gridAfter w:val="2"/>
          <w:wAfter w:w="17" w:type="dxa"/>
        </w:trPr>
        <w:tc>
          <w:tcPr>
            <w:tcW w:w="1555" w:type="dxa"/>
            <w:vMerge/>
            <w:tcBorders>
              <w:top w:val="single" w:sz="4" w:space="0" w:color="ED7D31" w:themeColor="accent2"/>
            </w:tcBorders>
            <w:shd w:val="clear" w:color="auto" w:fill="FBE4D5" w:themeFill="accent2" w:themeFillTint="33"/>
          </w:tcPr>
          <w:p w14:paraId="7025E5CD" w14:textId="77777777" w:rsidR="006C2718" w:rsidRPr="00971E24" w:rsidRDefault="006C2718" w:rsidP="00BC5105">
            <w:pPr>
              <w:spacing w:line="276" w:lineRule="auto"/>
              <w:rPr>
                <w:rFonts w:asciiTheme="majorHAnsi" w:hAnsiTheme="majorHAnsi" w:cstheme="majorHAnsi"/>
                <w:lang w:val="en-US"/>
              </w:rPr>
            </w:pPr>
          </w:p>
        </w:tc>
        <w:tc>
          <w:tcPr>
            <w:tcW w:w="779" w:type="dxa"/>
            <w:tcBorders>
              <w:top w:val="single" w:sz="4" w:space="0" w:color="ED7D31" w:themeColor="accent2"/>
            </w:tcBorders>
            <w:vAlign w:val="center"/>
          </w:tcPr>
          <w:p w14:paraId="4D4C2AC8" w14:textId="4F4A64D7" w:rsidR="006C2718" w:rsidRPr="007E15F6" w:rsidRDefault="006C2718" w:rsidP="00C754B7">
            <w:pPr>
              <w:spacing w:line="276" w:lineRule="auto"/>
              <w:rPr>
                <w:rFonts w:asciiTheme="majorHAnsi" w:hAnsiTheme="majorHAnsi" w:cstheme="majorHAnsi"/>
                <w:sz w:val="20"/>
                <w:szCs w:val="20"/>
                <w:lang w:val="en-US"/>
              </w:rPr>
            </w:pPr>
            <w:r w:rsidRPr="007E15F6">
              <w:rPr>
                <w:rFonts w:asciiTheme="majorHAnsi" w:hAnsiTheme="majorHAnsi" w:cstheme="majorHAnsi"/>
                <w:sz w:val="20"/>
                <w:szCs w:val="20"/>
                <w:lang w:val="en-US"/>
              </w:rPr>
              <w:t>High</w:t>
            </w:r>
          </w:p>
        </w:tc>
        <w:tc>
          <w:tcPr>
            <w:tcW w:w="2126" w:type="dxa"/>
            <w:gridSpan w:val="2"/>
            <w:tcBorders>
              <w:top w:val="single" w:sz="4" w:space="0" w:color="ED7D31" w:themeColor="accent2"/>
            </w:tcBorders>
          </w:tcPr>
          <w:p w14:paraId="45972936" w14:textId="0F60A98D" w:rsidR="006C2718" w:rsidRPr="007E15F6" w:rsidRDefault="006C2718" w:rsidP="00C754B7">
            <w:pPr>
              <w:spacing w:before="240" w:line="276" w:lineRule="auto"/>
              <w:rPr>
                <w:rFonts w:asciiTheme="majorHAnsi" w:hAnsiTheme="majorHAnsi" w:cstheme="majorHAnsi"/>
                <w:sz w:val="18"/>
                <w:szCs w:val="18"/>
                <w:lang w:val="en-US"/>
              </w:rPr>
            </w:pPr>
            <w:r w:rsidRPr="007E15F6">
              <w:rPr>
                <w:rFonts w:asciiTheme="majorHAnsi" w:hAnsiTheme="majorHAnsi" w:cstheme="majorHAnsi"/>
                <w:sz w:val="18"/>
                <w:szCs w:val="18"/>
                <w:lang w:val="en-US"/>
              </w:rPr>
              <w:t>Single breadwinner family policy model</w:t>
            </w:r>
          </w:p>
          <w:p w14:paraId="0A55349B" w14:textId="77777777" w:rsidR="00C754B7" w:rsidRPr="007E15F6" w:rsidRDefault="00C754B7" w:rsidP="00BC5105">
            <w:pPr>
              <w:spacing w:line="276" w:lineRule="auto"/>
              <w:rPr>
                <w:rFonts w:asciiTheme="majorHAnsi" w:hAnsiTheme="majorHAnsi" w:cstheme="majorHAnsi"/>
                <w:sz w:val="18"/>
                <w:szCs w:val="18"/>
                <w:lang w:val="en-US"/>
              </w:rPr>
            </w:pPr>
          </w:p>
          <w:p w14:paraId="78EDD9A3" w14:textId="4A021A3E" w:rsidR="006C2718" w:rsidRPr="007E15F6" w:rsidRDefault="006C2718" w:rsidP="00BC5105">
            <w:pPr>
              <w:spacing w:line="276" w:lineRule="auto"/>
              <w:rPr>
                <w:rFonts w:asciiTheme="majorHAnsi" w:hAnsiTheme="majorHAnsi" w:cstheme="majorHAnsi"/>
                <w:sz w:val="18"/>
                <w:szCs w:val="18"/>
                <w:lang w:val="en-US"/>
              </w:rPr>
            </w:pPr>
            <w:r w:rsidRPr="007E15F6">
              <w:rPr>
                <w:rFonts w:asciiTheme="majorHAnsi" w:hAnsiTheme="majorHAnsi" w:cstheme="majorHAnsi"/>
                <w:sz w:val="18"/>
                <w:szCs w:val="18"/>
                <w:lang w:val="en-US"/>
              </w:rPr>
              <w:t>e.g. Germany</w:t>
            </w:r>
          </w:p>
        </w:tc>
        <w:tc>
          <w:tcPr>
            <w:tcW w:w="2431" w:type="dxa"/>
            <w:gridSpan w:val="2"/>
            <w:tcBorders>
              <w:top w:val="single" w:sz="4" w:space="0" w:color="ED7D31" w:themeColor="accent2"/>
            </w:tcBorders>
          </w:tcPr>
          <w:p w14:paraId="6BC5A096" w14:textId="77777777" w:rsidR="006C2718" w:rsidRPr="007E15F6" w:rsidRDefault="006C2718" w:rsidP="00C754B7">
            <w:pPr>
              <w:spacing w:before="240" w:line="276" w:lineRule="auto"/>
              <w:rPr>
                <w:rFonts w:asciiTheme="majorHAnsi" w:hAnsiTheme="majorHAnsi" w:cstheme="majorHAnsi"/>
                <w:sz w:val="18"/>
                <w:szCs w:val="18"/>
                <w:lang w:val="en-US"/>
              </w:rPr>
            </w:pPr>
            <w:r w:rsidRPr="007E15F6">
              <w:rPr>
                <w:rFonts w:asciiTheme="majorHAnsi" w:hAnsiTheme="majorHAnsi" w:cstheme="majorHAnsi"/>
                <w:sz w:val="18"/>
                <w:szCs w:val="18"/>
                <w:lang w:val="en-US"/>
              </w:rPr>
              <w:t xml:space="preserve">Pluralistic family policy model </w:t>
            </w:r>
          </w:p>
          <w:p w14:paraId="4629459E" w14:textId="77777777" w:rsidR="006C2718" w:rsidRPr="007E15F6" w:rsidRDefault="006C2718" w:rsidP="00BC5105">
            <w:pPr>
              <w:spacing w:line="276" w:lineRule="auto"/>
              <w:rPr>
                <w:rFonts w:asciiTheme="majorHAnsi" w:hAnsiTheme="majorHAnsi" w:cstheme="majorHAnsi"/>
                <w:sz w:val="18"/>
                <w:szCs w:val="18"/>
                <w:lang w:val="en-US"/>
              </w:rPr>
            </w:pPr>
          </w:p>
          <w:p w14:paraId="57C33F45" w14:textId="01E79997" w:rsidR="006C2718" w:rsidRPr="007E15F6" w:rsidRDefault="006C2718" w:rsidP="00BC5105">
            <w:pPr>
              <w:spacing w:line="276" w:lineRule="auto"/>
              <w:rPr>
                <w:rFonts w:asciiTheme="majorHAnsi" w:hAnsiTheme="majorHAnsi" w:cstheme="majorHAnsi"/>
                <w:sz w:val="18"/>
                <w:szCs w:val="18"/>
                <w:lang w:val="en-US"/>
              </w:rPr>
            </w:pPr>
            <w:r w:rsidRPr="007E15F6">
              <w:rPr>
                <w:rFonts w:asciiTheme="majorHAnsi" w:hAnsiTheme="majorHAnsi" w:cstheme="majorHAnsi"/>
                <w:sz w:val="18"/>
                <w:szCs w:val="18"/>
                <w:lang w:val="en-US"/>
              </w:rPr>
              <w:t>e.g. Finland</w:t>
            </w:r>
          </w:p>
        </w:tc>
      </w:tr>
    </w:tbl>
    <w:p w14:paraId="1D23E5AB" w14:textId="74CB7365" w:rsidR="006C2718" w:rsidRDefault="00C754B7" w:rsidP="00BC5105">
      <w:pPr>
        <w:spacing w:line="276" w:lineRule="auto"/>
        <w:rPr>
          <w:rFonts w:cstheme="minorHAnsi"/>
          <w:sz w:val="18"/>
          <w:szCs w:val="18"/>
          <w:lang w:val="en-US"/>
        </w:rPr>
      </w:pPr>
      <w:r w:rsidRPr="002D78CE">
        <w:rPr>
          <w:rFonts w:cstheme="minorHAnsi"/>
          <w:sz w:val="18"/>
          <w:szCs w:val="18"/>
          <w:lang w:val="en-US"/>
        </w:rPr>
        <w:t xml:space="preserve">Source: </w:t>
      </w:r>
      <w:r w:rsidR="00B3007B" w:rsidRPr="002D78CE">
        <w:rPr>
          <w:rFonts w:cstheme="minorHAnsi"/>
          <w:sz w:val="18"/>
          <w:szCs w:val="18"/>
          <w:lang w:val="en-US"/>
        </w:rPr>
        <w:t>Krapf</w:t>
      </w:r>
      <w:r w:rsidR="000372F1" w:rsidRPr="002D78CE">
        <w:rPr>
          <w:rFonts w:cstheme="minorHAnsi"/>
          <w:sz w:val="18"/>
          <w:szCs w:val="18"/>
          <w:lang w:val="en-US"/>
        </w:rPr>
        <w:t>’s</w:t>
      </w:r>
      <w:r w:rsidR="00B3007B" w:rsidRPr="002D78CE">
        <w:rPr>
          <w:rFonts w:cstheme="minorHAnsi"/>
          <w:sz w:val="18"/>
          <w:szCs w:val="18"/>
          <w:lang w:val="en-US"/>
        </w:rPr>
        <w:t xml:space="preserve"> (2014)</w:t>
      </w:r>
      <w:r w:rsidR="000372F1" w:rsidRPr="002D78CE">
        <w:rPr>
          <w:rFonts w:cstheme="minorHAnsi"/>
          <w:sz w:val="18"/>
          <w:szCs w:val="18"/>
          <w:lang w:val="en-US"/>
        </w:rPr>
        <w:t xml:space="preserve"> adaptation from Korpi (2000) and Ferranini (2006)</w:t>
      </w:r>
    </w:p>
    <w:p w14:paraId="07DC8E54" w14:textId="77777777" w:rsidR="000372F1" w:rsidRPr="002D78CE" w:rsidRDefault="000372F1" w:rsidP="00BC5105">
      <w:pPr>
        <w:spacing w:line="276" w:lineRule="auto"/>
        <w:rPr>
          <w:rFonts w:cstheme="minorHAnsi"/>
          <w:sz w:val="14"/>
          <w:szCs w:val="14"/>
          <w:lang w:val="en-US"/>
        </w:rPr>
      </w:pPr>
    </w:p>
    <w:p w14:paraId="333C3757" w14:textId="5D3767DC" w:rsidR="00746948" w:rsidRPr="00367571" w:rsidRDefault="001112D6" w:rsidP="00367571">
      <w:pPr>
        <w:rPr>
          <w:rFonts w:asciiTheme="majorHAnsi" w:hAnsiTheme="majorHAnsi" w:cstheme="majorHAnsi"/>
          <w:color w:val="5B9BD5" w:themeColor="accent1"/>
          <w:sz w:val="26"/>
          <w:szCs w:val="26"/>
          <w:lang w:val="en-US"/>
        </w:rPr>
      </w:pPr>
      <w:bookmarkStart w:id="58" w:name="_Toc87454609"/>
      <w:r w:rsidRPr="00367571">
        <w:rPr>
          <w:rFonts w:asciiTheme="majorHAnsi" w:hAnsiTheme="majorHAnsi" w:cstheme="majorHAnsi"/>
          <w:color w:val="5B9BD5" w:themeColor="accent1"/>
          <w:sz w:val="26"/>
          <w:szCs w:val="26"/>
          <w:lang w:val="en-US"/>
        </w:rPr>
        <w:t>Fertility rates by welfare contexts</w:t>
      </w:r>
      <w:bookmarkEnd w:id="58"/>
    </w:p>
    <w:p w14:paraId="4A72D63C" w14:textId="46955204" w:rsidR="00B43717" w:rsidRDefault="00796540" w:rsidP="00B43717">
      <w:pPr>
        <w:spacing w:line="276" w:lineRule="auto"/>
        <w:jc w:val="both"/>
        <w:rPr>
          <w:rFonts w:cstheme="minorHAnsi"/>
          <w:lang w:val="en-US"/>
        </w:rPr>
      </w:pPr>
      <w:r>
        <w:rPr>
          <w:rFonts w:cstheme="minorHAnsi"/>
          <w:lang w:val="en-US"/>
        </w:rPr>
        <w:t>D</w:t>
      </w:r>
      <w:r w:rsidR="00746948" w:rsidRPr="003635BF">
        <w:rPr>
          <w:rFonts w:cstheme="minorHAnsi"/>
          <w:lang w:val="en-US"/>
        </w:rPr>
        <w:t>espite being geographically distant, English-speaking countries show relatively similar and higher fertility rates than most European countries</w:t>
      </w:r>
      <w:r w:rsidR="001965DB">
        <w:rPr>
          <w:rFonts w:cstheme="minorHAnsi"/>
          <w:lang w:val="en-US"/>
        </w:rPr>
        <w:t xml:space="preserve"> (</w:t>
      </w:r>
      <w:r w:rsidR="002E46D8">
        <w:rPr>
          <w:rFonts w:cstheme="minorHAnsi"/>
          <w:lang w:val="en-US"/>
        </w:rPr>
        <w:t>Figure 12</w:t>
      </w:r>
      <w:r w:rsidR="001965DB">
        <w:rPr>
          <w:rFonts w:cstheme="minorHAnsi"/>
          <w:lang w:val="en-US"/>
        </w:rPr>
        <w:t>)</w:t>
      </w:r>
      <w:r w:rsidR="00746948" w:rsidRPr="003635BF">
        <w:rPr>
          <w:rFonts w:cstheme="minorHAnsi"/>
          <w:lang w:val="en-US"/>
        </w:rPr>
        <w:t xml:space="preserve">. Additionally, within the English-speaking cluster, the fertility rate of countries in Oceania and the United States tend to be higher than that of Canada and the United Kingdom. Canada is particularly noticeable for its relatively low fertility rate, which has oscillated between 1.5 and 1.7 </w:t>
      </w:r>
      <w:r w:rsidR="00746948">
        <w:rPr>
          <w:rFonts w:cstheme="minorHAnsi"/>
          <w:lang w:val="en-US"/>
        </w:rPr>
        <w:t>since the 1980s</w:t>
      </w:r>
      <w:r w:rsidR="00746948" w:rsidRPr="003635BF">
        <w:rPr>
          <w:rFonts w:cstheme="minorHAnsi"/>
          <w:lang w:val="en-US"/>
        </w:rPr>
        <w:t xml:space="preserve">, and it is today very close </w:t>
      </w:r>
      <w:r>
        <w:rPr>
          <w:rFonts w:cstheme="minorHAnsi"/>
          <w:lang w:val="en-US"/>
        </w:rPr>
        <w:t xml:space="preserve">to the European Union average. </w:t>
      </w:r>
      <w:r w:rsidR="00B43717">
        <w:rPr>
          <w:rFonts w:cstheme="minorHAnsi"/>
          <w:lang w:val="en-US"/>
        </w:rPr>
        <w:t xml:space="preserve"> Overall, this relatively higher fertility rate is to some extent surprising, since </w:t>
      </w:r>
      <w:r w:rsidR="00B43717" w:rsidRPr="003635BF">
        <w:rPr>
          <w:rFonts w:cstheme="minorHAnsi"/>
          <w:lang w:val="en-US"/>
        </w:rPr>
        <w:t xml:space="preserve">English-speaking countries </w:t>
      </w:r>
      <w:r w:rsidR="00B43717">
        <w:rPr>
          <w:rFonts w:cstheme="minorHAnsi"/>
          <w:lang w:val="en-US"/>
        </w:rPr>
        <w:t>belong to the liberal welfare context,</w:t>
      </w:r>
      <w:r w:rsidR="00B43717" w:rsidRPr="003635BF">
        <w:rPr>
          <w:rFonts w:cstheme="minorHAnsi"/>
          <w:lang w:val="en-US"/>
        </w:rPr>
        <w:t xml:space="preserve"> </w:t>
      </w:r>
      <w:r w:rsidR="00B43717">
        <w:rPr>
          <w:rFonts w:cstheme="minorHAnsi"/>
          <w:lang w:val="en-US"/>
        </w:rPr>
        <w:t>characteris</w:t>
      </w:r>
      <w:r w:rsidR="00B43717" w:rsidRPr="003635BF">
        <w:rPr>
          <w:rFonts w:cstheme="minorHAnsi"/>
          <w:lang w:val="en-US"/>
        </w:rPr>
        <w:t>ed by low provision of services that can facilitate the combination of work and family.</w:t>
      </w:r>
      <w:r w:rsidR="00B43717">
        <w:rPr>
          <w:rFonts w:cstheme="minorHAnsi"/>
          <w:lang w:val="en-US"/>
        </w:rPr>
        <w:t xml:space="preserve"> This apparent contradiction may be partly explained by the fact that</w:t>
      </w:r>
      <w:r w:rsidR="00B43717" w:rsidRPr="003635BF">
        <w:rPr>
          <w:rFonts w:cstheme="minorHAnsi"/>
          <w:lang w:val="en-US"/>
        </w:rPr>
        <w:t xml:space="preserve"> they share a </w:t>
      </w:r>
      <w:r w:rsidR="004F616F">
        <w:rPr>
          <w:rFonts w:cstheme="minorHAnsi"/>
          <w:lang w:val="en-US"/>
        </w:rPr>
        <w:t>‘</w:t>
      </w:r>
      <w:r w:rsidR="00B43717" w:rsidRPr="003635BF">
        <w:rPr>
          <w:rFonts w:cstheme="minorHAnsi"/>
          <w:lang w:val="en-US"/>
        </w:rPr>
        <w:t>fundamental value orientation in favo</w:t>
      </w:r>
      <w:r w:rsidR="00B43717">
        <w:rPr>
          <w:rFonts w:cstheme="minorHAnsi"/>
          <w:lang w:val="en-US"/>
        </w:rPr>
        <w:t>u</w:t>
      </w:r>
      <w:r w:rsidR="00B43717" w:rsidRPr="003635BF">
        <w:rPr>
          <w:rFonts w:cstheme="minorHAnsi"/>
          <w:lang w:val="en-US"/>
        </w:rPr>
        <w:t>r of a balanced combination of work and family</w:t>
      </w:r>
      <w:r w:rsidR="004F616F">
        <w:rPr>
          <w:rFonts w:cstheme="minorHAnsi"/>
          <w:lang w:val="en-US"/>
        </w:rPr>
        <w:t>’</w:t>
      </w:r>
      <w:r w:rsidR="00B43717" w:rsidRPr="003635BF">
        <w:rPr>
          <w:rFonts w:cstheme="minorHAnsi"/>
          <w:lang w:val="en-US"/>
        </w:rPr>
        <w:t xml:space="preserve"> </w:t>
      </w:r>
      <w:r w:rsidR="002E46D8" w:rsidRPr="008D28BC">
        <w:rPr>
          <w:rFonts w:cstheme="minorHAnsi"/>
          <w:noProof/>
        </w:rPr>
        <w:t>(McDonald &amp; Moyle, 2011)</w:t>
      </w:r>
      <w:r w:rsidR="00B43717">
        <w:rPr>
          <w:rFonts w:cstheme="minorHAnsi"/>
          <w:lang w:val="en-US"/>
        </w:rPr>
        <w:t xml:space="preserve">. </w:t>
      </w:r>
    </w:p>
    <w:p w14:paraId="32918CCC" w14:textId="77777777" w:rsidR="00B43717" w:rsidRDefault="00B43717" w:rsidP="00B43717">
      <w:pPr>
        <w:spacing w:line="276" w:lineRule="auto"/>
        <w:jc w:val="both"/>
        <w:rPr>
          <w:rFonts w:cstheme="minorHAnsi"/>
          <w:lang w:val="en-US"/>
        </w:rPr>
      </w:pPr>
      <w:r>
        <w:rPr>
          <w:rFonts w:cstheme="minorHAnsi"/>
          <w:lang w:val="en-US"/>
        </w:rPr>
        <w:t xml:space="preserve">There is a strong similarity in the fertility rates of some East-Asian and South-European countries, which belong to the least two favorable welfare contexts for the resolution of the work-family conflict. As seen in Figure 12, the TFRs in Italy, Spain, Greece, Japan and South Korea has substantially declined between the 1970 and the early 1990s and are currently among the lowest in the world, below 1.5. North-European countries exhibit relatively high TFRs at around two children per woman. These trends can be partly attributed to the welfare contexts of these countries, which strongly promote the work-family reconciliation. </w:t>
      </w:r>
    </w:p>
    <w:p w14:paraId="770A47BD" w14:textId="396CB5A7" w:rsidR="00746948" w:rsidRPr="007E15F6" w:rsidRDefault="00746948" w:rsidP="007E15F6">
      <w:pPr>
        <w:rPr>
          <w:sz w:val="16"/>
          <w:szCs w:val="16"/>
          <w:lang w:val="en-US"/>
        </w:rPr>
      </w:pPr>
    </w:p>
    <w:p w14:paraId="7BFA5906" w14:textId="0564D78F" w:rsidR="003E4630" w:rsidRDefault="003E4630" w:rsidP="00BC5105">
      <w:pPr>
        <w:pStyle w:val="Caption"/>
        <w:keepNext/>
        <w:spacing w:line="276" w:lineRule="auto"/>
        <w:jc w:val="center"/>
      </w:pPr>
      <w:bookmarkStart w:id="59" w:name="_Ref75947473"/>
      <w:r>
        <w:lastRenderedPageBreak/>
        <w:t xml:space="preserve">Figure </w:t>
      </w:r>
      <w:fldSimple w:instr=" SEQ Figure \* ARABIC ">
        <w:r w:rsidR="00115E22">
          <w:rPr>
            <w:noProof/>
          </w:rPr>
          <w:t>12</w:t>
        </w:r>
      </w:fldSimple>
      <w:bookmarkEnd w:id="59"/>
      <w:r>
        <w:t xml:space="preserve"> </w:t>
      </w:r>
      <w:r w:rsidRPr="009F06C6">
        <w:t>TFR in a selected group of countries: English-speaking,</w:t>
      </w:r>
      <w:r w:rsidR="00787D0B">
        <w:t>”</w:t>
      </w:r>
      <w:r w:rsidRPr="009F06C6">
        <w:t xml:space="preserve"> very-low</w:t>
      </w:r>
      <w:r w:rsidR="00787D0B">
        <w:t>”</w:t>
      </w:r>
      <w:r w:rsidRPr="009F06C6">
        <w:t xml:space="preserve"> fertility, and “</w:t>
      </w:r>
      <w:r w:rsidR="00787D0B">
        <w:t>h</w:t>
      </w:r>
      <w:r w:rsidRPr="009F06C6">
        <w:t xml:space="preserve">igh” fertility </w:t>
      </w:r>
    </w:p>
    <w:p w14:paraId="2E85E0DF" w14:textId="7C0610D1" w:rsidR="008E412A" w:rsidRPr="008E412A" w:rsidRDefault="008E412A" w:rsidP="00BC5105">
      <w:pPr>
        <w:spacing w:line="276" w:lineRule="auto"/>
        <w:jc w:val="center"/>
        <w:rPr>
          <w:lang w:val="en-US"/>
        </w:rPr>
      </w:pPr>
      <w:r>
        <w:rPr>
          <w:noProof/>
          <w:lang w:eastAsia="en-AU"/>
        </w:rPr>
        <w:drawing>
          <wp:inline distT="0" distB="0" distL="0" distR="0" wp14:anchorId="0FC02B7F" wp14:editId="5BE9C9DB">
            <wp:extent cx="5745193" cy="2519680"/>
            <wp:effectExtent l="0" t="0" r="8255"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B2E9EA" w14:textId="7615EABA" w:rsidR="001112D6" w:rsidRDefault="00097D0C" w:rsidP="00BC5105">
      <w:pPr>
        <w:spacing w:line="276" w:lineRule="auto"/>
        <w:jc w:val="center"/>
        <w:rPr>
          <w:lang w:val="en-US"/>
        </w:rPr>
      </w:pPr>
      <w:r>
        <w:rPr>
          <w:noProof/>
          <w:lang w:eastAsia="en-AU"/>
        </w:rPr>
        <w:drawing>
          <wp:inline distT="0" distB="0" distL="0" distR="0" wp14:anchorId="41DAE48C" wp14:editId="0FE44ED7">
            <wp:extent cx="5771072" cy="2519680"/>
            <wp:effectExtent l="0" t="0" r="127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274B32" w14:textId="7854800A" w:rsidR="008E412A" w:rsidRDefault="00097D0C" w:rsidP="00BC5105">
      <w:pPr>
        <w:spacing w:line="276" w:lineRule="auto"/>
        <w:jc w:val="center"/>
        <w:rPr>
          <w:lang w:val="en-US"/>
        </w:rPr>
      </w:pPr>
      <w:r>
        <w:rPr>
          <w:noProof/>
          <w:lang w:eastAsia="en-AU"/>
        </w:rPr>
        <w:drawing>
          <wp:inline distT="0" distB="0" distL="0" distR="0" wp14:anchorId="5CC0F0FF" wp14:editId="1F135448">
            <wp:extent cx="5753819" cy="2743200"/>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066DB5" w14:textId="5CAA477D" w:rsidR="006C2718" w:rsidRDefault="008E412A" w:rsidP="00786C71">
      <w:pPr>
        <w:spacing w:line="276" w:lineRule="auto"/>
        <w:rPr>
          <w:rFonts w:asciiTheme="majorHAnsi" w:eastAsiaTheme="majorEastAsia" w:hAnsiTheme="majorHAnsi" w:cstheme="majorBidi"/>
          <w:color w:val="2E74B5" w:themeColor="accent1" w:themeShade="BF"/>
          <w:sz w:val="32"/>
          <w:szCs w:val="32"/>
          <w:lang w:val="en-US"/>
        </w:rPr>
      </w:pPr>
      <w:r w:rsidRPr="00BC5105">
        <w:rPr>
          <w:rFonts w:cstheme="minorHAnsi"/>
          <w:sz w:val="18"/>
          <w:szCs w:val="18"/>
        </w:rPr>
        <w:t>Source</w:t>
      </w:r>
      <w:r w:rsidR="00951CE8" w:rsidRPr="00BC5105">
        <w:rPr>
          <w:rFonts w:cstheme="minorHAnsi"/>
          <w:sz w:val="18"/>
          <w:szCs w:val="18"/>
        </w:rPr>
        <w:t>:</w:t>
      </w:r>
      <w:r w:rsidR="00951CE8">
        <w:rPr>
          <w:rFonts w:cstheme="minorHAnsi"/>
          <w:sz w:val="18"/>
          <w:szCs w:val="18"/>
        </w:rPr>
        <w:t xml:space="preserve"> OECD</w:t>
      </w:r>
      <w:r w:rsidR="00951CE8" w:rsidRPr="00BC5105">
        <w:rPr>
          <w:rFonts w:cstheme="minorHAnsi"/>
          <w:sz w:val="18"/>
          <w:szCs w:val="18"/>
        </w:rPr>
        <w:t xml:space="preserve"> </w:t>
      </w:r>
      <w:r w:rsidR="00B43717" w:rsidRPr="007E15F6">
        <w:rPr>
          <w:rFonts w:cstheme="minorHAnsi"/>
          <w:noProof/>
          <w:sz w:val="18"/>
          <w:szCs w:val="18"/>
        </w:rPr>
        <w:t>(2020a)</w:t>
      </w:r>
      <w:r w:rsidR="006C2718">
        <w:br w:type="page"/>
      </w:r>
    </w:p>
    <w:p w14:paraId="18A8BDBC" w14:textId="3A147309" w:rsidR="00A435D3" w:rsidRDefault="00A435D3" w:rsidP="00BC5105">
      <w:pPr>
        <w:pStyle w:val="Heading1"/>
        <w:spacing w:line="276" w:lineRule="auto"/>
      </w:pPr>
      <w:bookmarkStart w:id="60" w:name="_Toc87454610"/>
      <w:bookmarkStart w:id="61" w:name="_Toc98404957"/>
      <w:r>
        <w:lastRenderedPageBreak/>
        <w:t>Measuring the effect of policies</w:t>
      </w:r>
      <w:bookmarkEnd w:id="60"/>
      <w:bookmarkEnd w:id="61"/>
    </w:p>
    <w:p w14:paraId="3D8DEFEB" w14:textId="2E16DA34" w:rsidR="00EE670A" w:rsidRPr="007E15F6" w:rsidRDefault="00EE670A" w:rsidP="00EE670A">
      <w:pPr>
        <w:rPr>
          <w:sz w:val="8"/>
          <w:szCs w:val="8"/>
          <w:lang w:val="en-US"/>
        </w:rPr>
      </w:pPr>
    </w:p>
    <w:p w14:paraId="47FB2A22" w14:textId="77777777" w:rsidR="00605EFB" w:rsidRPr="00EE670A" w:rsidRDefault="00605EFB" w:rsidP="00605EFB">
      <w:pPr>
        <w:rPr>
          <w:b/>
          <w:bCs/>
          <w:lang w:val="en-US"/>
        </w:rPr>
      </w:pPr>
      <w:r w:rsidRPr="00EE670A">
        <w:rPr>
          <w:b/>
          <w:bCs/>
          <w:lang w:val="en-US"/>
        </w:rPr>
        <w:t>Key points</w:t>
      </w:r>
    </w:p>
    <w:p w14:paraId="42D159CA" w14:textId="77777777" w:rsidR="00DD27B2" w:rsidRDefault="00DD27B2" w:rsidP="00244248">
      <w:pPr>
        <w:pStyle w:val="ListParagraph"/>
        <w:numPr>
          <w:ilvl w:val="0"/>
          <w:numId w:val="28"/>
        </w:numPr>
        <w:rPr>
          <w:lang w:val="en-US"/>
        </w:rPr>
      </w:pPr>
      <w:r>
        <w:rPr>
          <w:lang w:val="en-US"/>
        </w:rPr>
        <w:t>The two methods to measure the effect of policies on fertility are to examine a specific policy introduced in one country, or cross-national comparative analysis of fertility and family policies across countries.</w:t>
      </w:r>
    </w:p>
    <w:p w14:paraId="098C39AA" w14:textId="14E9C041" w:rsidR="00605EFB" w:rsidRDefault="00605EFB" w:rsidP="00244248">
      <w:pPr>
        <w:pStyle w:val="ListParagraph"/>
        <w:numPr>
          <w:ilvl w:val="0"/>
          <w:numId w:val="28"/>
        </w:numPr>
        <w:rPr>
          <w:lang w:val="en-US"/>
        </w:rPr>
      </w:pPr>
      <w:r>
        <w:rPr>
          <w:lang w:val="en-US"/>
        </w:rPr>
        <w:t xml:space="preserve">Measuring the effect of a policy on fertility </w:t>
      </w:r>
      <w:r w:rsidR="00DD27B2">
        <w:rPr>
          <w:lang w:val="en-US"/>
        </w:rPr>
        <w:t xml:space="preserve">in one country </w:t>
      </w:r>
      <w:r>
        <w:rPr>
          <w:lang w:val="en-US"/>
        </w:rPr>
        <w:t>is difficult as it is not usually possible to have a counter-factual of what would have happened to fertility had the policy not been introduced.</w:t>
      </w:r>
    </w:p>
    <w:p w14:paraId="638CE408" w14:textId="77777777" w:rsidR="00605EFB" w:rsidRDefault="00605EFB" w:rsidP="00244248">
      <w:pPr>
        <w:pStyle w:val="ListParagraph"/>
        <w:numPr>
          <w:ilvl w:val="0"/>
          <w:numId w:val="28"/>
        </w:numPr>
        <w:rPr>
          <w:lang w:val="en-US"/>
        </w:rPr>
      </w:pPr>
      <w:r>
        <w:rPr>
          <w:lang w:val="en-US"/>
        </w:rPr>
        <w:t>Endogeneity issues makes it hard to identify causal relationship between policies and fertility outcomes.</w:t>
      </w:r>
    </w:p>
    <w:p w14:paraId="2F14E65E" w14:textId="77777777" w:rsidR="00605EFB" w:rsidRDefault="00605EFB" w:rsidP="00244248">
      <w:pPr>
        <w:pStyle w:val="ListParagraph"/>
        <w:numPr>
          <w:ilvl w:val="0"/>
          <w:numId w:val="28"/>
        </w:numPr>
        <w:rPr>
          <w:lang w:val="en-US"/>
        </w:rPr>
      </w:pPr>
      <w:r>
        <w:rPr>
          <w:lang w:val="en-US"/>
        </w:rPr>
        <w:t xml:space="preserve">Quasi-experimental methods such as difference-in-difference and regression discontinuity are commonly used to mitigate these issues. </w:t>
      </w:r>
    </w:p>
    <w:p w14:paraId="4FD6675C" w14:textId="77777777" w:rsidR="00605EFB" w:rsidRPr="00EE670A" w:rsidRDefault="00605EFB" w:rsidP="00244248">
      <w:pPr>
        <w:pStyle w:val="ListParagraph"/>
        <w:numPr>
          <w:ilvl w:val="0"/>
          <w:numId w:val="28"/>
        </w:numPr>
        <w:rPr>
          <w:lang w:val="en-US"/>
        </w:rPr>
      </w:pPr>
      <w:r>
        <w:rPr>
          <w:lang w:val="en-US"/>
        </w:rPr>
        <w:t>Most studies on the effect of policies are only able to focus on short-term effects on fertility</w:t>
      </w:r>
    </w:p>
    <w:p w14:paraId="1220332F" w14:textId="6F62A2D4" w:rsidR="00DD27B2" w:rsidRDefault="00D370DD" w:rsidP="00605EFB">
      <w:pPr>
        <w:spacing w:line="276" w:lineRule="auto"/>
        <w:jc w:val="both"/>
      </w:pPr>
      <w:r>
        <w:t>T</w:t>
      </w:r>
      <w:r w:rsidRPr="00D370DD">
        <w:t xml:space="preserve">here are two methods available for drawing inferences about the relationship between policy and fertility: </w:t>
      </w:r>
      <w:r w:rsidR="00DD27B2">
        <w:t>the first is to examine a specific policy intervention in o</w:t>
      </w:r>
      <w:r w:rsidRPr="00D370DD">
        <w:t>ne country or region, with some before and after assessment of their impact;</w:t>
      </w:r>
      <w:r w:rsidR="00DD27B2">
        <w:t xml:space="preserve"> the second is a</w:t>
      </w:r>
      <w:r w:rsidRPr="00D370DD">
        <w:t xml:space="preserve"> comparative analysis of fertility and social policy between countries or regions</w:t>
      </w:r>
      <w:r w:rsidR="00DD27B2">
        <w:t xml:space="preserve"> (Bradshaw and Attar-Schwartz, 2010)</w:t>
      </w:r>
      <w:r w:rsidRPr="00D370DD">
        <w:t xml:space="preserve">. </w:t>
      </w:r>
      <w:r w:rsidR="00DD27B2">
        <w:t>Both methods have their own advantages and disadvantages but in both cases m</w:t>
      </w:r>
      <w:r w:rsidR="00605EFB">
        <w:t xml:space="preserve">easuring the effect of policies on fertility is extremely difficult. As an example, Wood &amp; Neels (2019) and Rindfuss, </w:t>
      </w:r>
      <w:r w:rsidR="00605EFB" w:rsidRPr="007E15F6">
        <w:rPr>
          <w:i/>
          <w:iCs/>
        </w:rPr>
        <w:t>et al.</w:t>
      </w:r>
      <w:r w:rsidR="00605EFB">
        <w:t xml:space="preserve"> (2010) illustrate the methodological issues that can arise when looking at the relationship between </w:t>
      </w:r>
      <w:r w:rsidR="009F7190">
        <w:t>child care</w:t>
      </w:r>
      <w:r w:rsidR="00605EFB">
        <w:t xml:space="preserve"> availability and fertility. These include endogeneity, reverse causation, and selective migration.</w:t>
      </w:r>
    </w:p>
    <w:p w14:paraId="6F480BA3" w14:textId="320A8F09" w:rsidR="00605EFB" w:rsidRDefault="00605EFB" w:rsidP="00605EFB">
      <w:pPr>
        <w:spacing w:line="276" w:lineRule="auto"/>
        <w:jc w:val="both"/>
      </w:pPr>
      <w:r>
        <w:t xml:space="preserve">Endogeneity and spurious associations occur when there is an unobserved factor which could influence both fertility and </w:t>
      </w:r>
      <w:r w:rsidR="009F7190">
        <w:t>child care</w:t>
      </w:r>
      <w:r>
        <w:t xml:space="preserve"> availability. For example, the d</w:t>
      </w:r>
      <w:r>
        <w:rPr>
          <w:color w:val="000000"/>
        </w:rPr>
        <w:t xml:space="preserve">emand for </w:t>
      </w:r>
      <w:r w:rsidR="009F7190">
        <w:rPr>
          <w:color w:val="000000"/>
        </w:rPr>
        <w:t>child care</w:t>
      </w:r>
      <w:r>
        <w:rPr>
          <w:color w:val="000000"/>
        </w:rPr>
        <w:t xml:space="preserve"> services, and their emergence, would likely be greatest where work/family conflict was most strongly felt. This same conflict would likely produce low levels of fertility. Thus, simple comparisons can show the counterintuitive finding that greater </w:t>
      </w:r>
      <w:r w:rsidR="009F7190">
        <w:rPr>
          <w:color w:val="000000"/>
        </w:rPr>
        <w:t>child care</w:t>
      </w:r>
      <w:r>
        <w:rPr>
          <w:color w:val="000000"/>
        </w:rPr>
        <w:t xml:space="preserve"> availability is associated with </w:t>
      </w:r>
      <w:r>
        <w:rPr>
          <w:rStyle w:val="Emphasis"/>
          <w:color w:val="000000"/>
        </w:rPr>
        <w:t>lower</w:t>
      </w:r>
      <w:r>
        <w:rPr>
          <w:color w:val="000000"/>
        </w:rPr>
        <w:t> fertility, in a similar way that family planning clinics in developed countries might be found in locations where fertility is highest</w:t>
      </w:r>
      <w:r w:rsidRPr="000A22FC">
        <w:rPr>
          <w:color w:val="000000"/>
        </w:rPr>
        <w:t xml:space="preserve"> </w:t>
      </w:r>
      <w:r>
        <w:rPr>
          <w:noProof/>
          <w:color w:val="000000"/>
        </w:rPr>
        <w:t xml:space="preserve">(Rindfuss, </w:t>
      </w:r>
      <w:r w:rsidRPr="007E15F6">
        <w:rPr>
          <w:i/>
          <w:iCs/>
          <w:noProof/>
          <w:color w:val="000000"/>
        </w:rPr>
        <w:t>et al</w:t>
      </w:r>
      <w:r>
        <w:rPr>
          <w:noProof/>
          <w:color w:val="000000"/>
        </w:rPr>
        <w:t>. 2010)</w:t>
      </w:r>
      <w:r>
        <w:rPr>
          <w:color w:val="000000"/>
        </w:rPr>
        <w:t xml:space="preserve">. </w:t>
      </w:r>
      <w:r>
        <w:t xml:space="preserve">Similarly, if childbearing levels in one region are high, this could lead to higher </w:t>
      </w:r>
      <w:r w:rsidR="009F7190">
        <w:t>child care</w:t>
      </w:r>
      <w:r>
        <w:t xml:space="preserve"> supply levels due to</w:t>
      </w:r>
      <w:r w:rsidRPr="00C901D8">
        <w:t xml:space="preserve"> demand-driven </w:t>
      </w:r>
      <w:r w:rsidR="009F7190">
        <w:t>child care</w:t>
      </w:r>
      <w:r w:rsidRPr="00C901D8">
        <w:t xml:space="preserve"> allocation</w:t>
      </w:r>
      <w:r>
        <w:t xml:space="preserve">. This could be mistaken as increased </w:t>
      </w:r>
      <w:r w:rsidR="009F7190">
        <w:t>child care</w:t>
      </w:r>
      <w:r>
        <w:t xml:space="preserve"> provision causing an increase in fertility</w:t>
      </w:r>
      <w:r>
        <w:rPr>
          <w:rStyle w:val="FootnoteReference"/>
        </w:rPr>
        <w:footnoteReference w:id="9"/>
      </w:r>
      <w:r>
        <w:rPr>
          <w:noProof/>
        </w:rPr>
        <w:t xml:space="preserve"> (Wood &amp; Neels, 2019)</w:t>
      </w:r>
      <w:r>
        <w:t>.</w:t>
      </w:r>
      <w:r w:rsidRPr="00C901D8">
        <w:t xml:space="preserve"> </w:t>
      </w:r>
      <w:r>
        <w:t>Finally</w:t>
      </w:r>
      <w:r w:rsidRPr="00C901D8">
        <w:t>,</w:t>
      </w:r>
      <w:r w:rsidR="00DD27B2">
        <w:t xml:space="preserve"> for single country studies</w:t>
      </w:r>
      <w:r w:rsidRPr="00C901D8">
        <w:t xml:space="preserve"> selective migration may also impact the relation</w:t>
      </w:r>
      <w:r>
        <w:t>ship</w:t>
      </w:r>
      <w:r w:rsidRPr="00C901D8">
        <w:t xml:space="preserve"> between local </w:t>
      </w:r>
      <w:r w:rsidR="009F7190">
        <w:t>child care</w:t>
      </w:r>
      <w:r w:rsidRPr="00C901D8">
        <w:t xml:space="preserve"> availability and fertility (Rindfuss</w:t>
      </w:r>
      <w:r>
        <w:t>,</w:t>
      </w:r>
      <w:r w:rsidRPr="00C901D8">
        <w:t xml:space="preserve"> </w:t>
      </w:r>
      <w:r w:rsidRPr="007E15F6">
        <w:rPr>
          <w:i/>
          <w:iCs/>
        </w:rPr>
        <w:t>et al.</w:t>
      </w:r>
      <w:r w:rsidRPr="00C901D8">
        <w:t xml:space="preserve"> 2007).</w:t>
      </w:r>
      <w:r>
        <w:t xml:space="preserve"> If areas have better provision of </w:t>
      </w:r>
      <w:r w:rsidR="009F7190">
        <w:t>child care</w:t>
      </w:r>
      <w:r>
        <w:t xml:space="preserve">, families or potential parents might purposefully move to those areas. </w:t>
      </w:r>
    </w:p>
    <w:p w14:paraId="39F3568A" w14:textId="1744AB11" w:rsidR="00605EFB" w:rsidRDefault="00605EFB" w:rsidP="00605EFB">
      <w:pPr>
        <w:spacing w:line="276" w:lineRule="auto"/>
        <w:jc w:val="both"/>
      </w:pPr>
      <w:r>
        <w:t xml:space="preserve">Ideally, to understand what effect a particular policy has on childbearing a counterfactual is needed </w:t>
      </w:r>
      <w:r>
        <w:rPr>
          <w:noProof/>
        </w:rPr>
        <w:t xml:space="preserve">(Hoem, 2008; Bergsvik, </w:t>
      </w:r>
      <w:r w:rsidRPr="007E15F6">
        <w:rPr>
          <w:i/>
          <w:iCs/>
          <w:noProof/>
        </w:rPr>
        <w:t>et al.</w:t>
      </w:r>
      <w:r>
        <w:rPr>
          <w:noProof/>
        </w:rPr>
        <w:t xml:space="preserve"> 2020)</w:t>
      </w:r>
      <w:r>
        <w:t>. That is, asking ‘how would fertility have looked had a particular policy not been introdu</w:t>
      </w:r>
      <w:r w:rsidR="004F616F">
        <w:t>ced or formulated differently?’</w:t>
      </w:r>
      <w:r>
        <w:t xml:space="preserve"> Without a counterfactual, a policy that halts declining fertility may be judged as ineffective w</w:t>
      </w:r>
      <w:r w:rsidR="004F616F">
        <w:t>hen in it</w:t>
      </w:r>
      <w:r>
        <w:t xml:space="preserve">s absence fertility would have continued to decline and therefore should be counted as a success </w:t>
      </w:r>
      <w:r>
        <w:rPr>
          <w:noProof/>
        </w:rPr>
        <w:t>(Hoem, 2008)</w:t>
      </w:r>
      <w:r>
        <w:t xml:space="preserve">. If policies were introduced </w:t>
      </w:r>
      <w:r>
        <w:lastRenderedPageBreak/>
        <w:t xml:space="preserve">randomly to certain populations, we could compare the effect on fertility of the ‘treatment’ population with those who did not experience the policy, who would then act as the control group. Then these groups could be compared to evaluate how their fertility changed as a result of the policy introduction.  For social and ethical reasons, pure randomised trials of social policies are not possible. Instead, studies have used a variety of quasi-experimental </w:t>
      </w:r>
      <w:r>
        <w:rPr>
          <w:lang w:val="en-US"/>
        </w:rPr>
        <w:t>methods to try and ascertain if a policy has influenced fertility including difference-in-difference, and regression discontinuity models.</w:t>
      </w:r>
    </w:p>
    <w:p w14:paraId="474BBC62" w14:textId="547879B9" w:rsidR="00605EFB" w:rsidRDefault="00605EFB" w:rsidP="00605EFB">
      <w:pPr>
        <w:spacing w:line="276" w:lineRule="auto"/>
        <w:jc w:val="both"/>
        <w:rPr>
          <w:lang w:val="en-US"/>
        </w:rPr>
      </w:pPr>
      <w:r>
        <w:rPr>
          <w:lang w:val="en-US"/>
        </w:rPr>
        <w:t>Differences-in-differences model (DiD) rely on having a ‘treatment’ group and a ‘control’ group and comparing the fertility outcomes before and after a policy is introduced. A DiD model is particularly useful when there is spatial variation in policy changes that affect the population in a specific geographic region. The population living in the location where the policy is implemented is the ‘treatment’ group, and the population elsewhere can be thought of as the control group. Within group fertility changes over time are compared between the groups to see if the trends developed substantially differently among those affected by the policy</w:t>
      </w:r>
      <w:r>
        <w:rPr>
          <w:noProof/>
        </w:rPr>
        <w:t xml:space="preserve"> (Lopoo &amp; Raissian, 2018)</w:t>
      </w:r>
      <w:r>
        <w:rPr>
          <w:lang w:val="en-US"/>
        </w:rPr>
        <w:t xml:space="preserve">. An example is the study by Ang (2015) on a baby bonus payment introduced in the province of Quebec in 1988. This payment was only available in Quebec and not in Canada, so women living in Quebec served as the ‘treatment’ group and women in the rest of Canada served as the ‘control’ group. Their fertility was then examined before and after the introduction of the baby bonus payment. Similarly, Baschenuster, et al., (2016) examined the effect of several reforms in the 2000s which led to a large scale expansion of </w:t>
      </w:r>
      <w:r w:rsidR="009F7190">
        <w:rPr>
          <w:lang w:val="en-US"/>
        </w:rPr>
        <w:t>child care</w:t>
      </w:r>
      <w:r>
        <w:rPr>
          <w:lang w:val="en-US"/>
        </w:rPr>
        <w:t xml:space="preserve"> in West Germany. The expansion happened in a staggered manner across the 325 counties. Exploiting the spatial variation, the authors divided the</w:t>
      </w:r>
      <w:r>
        <w:t xml:space="preserve"> counties with an above-median increase in child care (treatment group) and a below-median increase in child care (control group) and compared the fertility of women before and after the </w:t>
      </w:r>
      <w:r w:rsidR="009F7190">
        <w:t>child care</w:t>
      </w:r>
      <w:r>
        <w:t xml:space="preserve"> expansion.  The also conducted a generalised form of DiD which is a two-way fixed effects model, where they exploited the full variation in local child care coverage across all counties and used fixed effects for time and county.  </w:t>
      </w:r>
    </w:p>
    <w:p w14:paraId="3F86C3AF" w14:textId="77777777" w:rsidR="00605EFB" w:rsidRDefault="00605EFB" w:rsidP="00605EFB">
      <w:pPr>
        <w:spacing w:line="276" w:lineRule="auto"/>
        <w:jc w:val="both"/>
        <w:rPr>
          <w:lang w:val="en-US"/>
        </w:rPr>
      </w:pPr>
      <w:r>
        <w:rPr>
          <w:lang w:val="en-US"/>
        </w:rPr>
        <w:t xml:space="preserve">Regression discontinuity designs (RD) use naturally occurring random variation in treatment eligibility. They are suitable when arbitrary cut-offs, such as “all children born after October 2021” define who is affected by a policy change. If the cut off is arbitrary and it is not possible for parents to select into treatment status (e.g. to time delivery or conception) those being just ineligible should be similar to those being just eligible and therefore constitute a good comparison group </w:t>
      </w:r>
      <w:r>
        <w:rPr>
          <w:noProof/>
        </w:rPr>
        <w:t xml:space="preserve">(Bergsvik, et al. 2020). For example </w:t>
      </w:r>
      <w:r w:rsidRPr="00AA6198">
        <w:rPr>
          <w:noProof/>
        </w:rPr>
        <w:t>Farré</w:t>
      </w:r>
      <w:r>
        <w:rPr>
          <w:noProof/>
        </w:rPr>
        <w:t xml:space="preserve"> and Gonzales (2019) used an RD model to examine the effect of a reform introducing 13 weeks of fully compenstated paternity leave in Spain. The paternity leave reform came into effect on March 24, 2007. Families who had a child born on this date or later were eligible, whereas families who had a child born before this date were not eligible. The authors compared the subsequent fertiltiy of families with children born just before and just after the reform. This type of modelling can work well when there is a sharp cut-off date, however even then if a policy took a long time to implement and received media coverage before it was introduced then public awareness regarding the upcoming introduction could also lead people to alter their fertiltiy behaviour in anticipation (Kreyenfeld, 2021).</w:t>
      </w:r>
    </w:p>
    <w:p w14:paraId="300DE060" w14:textId="09F18161" w:rsidR="00605EFB" w:rsidRDefault="00605EFB" w:rsidP="00605EFB">
      <w:pPr>
        <w:spacing w:line="276" w:lineRule="auto"/>
        <w:jc w:val="both"/>
        <w:rPr>
          <w:lang w:val="en-US"/>
        </w:rPr>
      </w:pPr>
      <w:r>
        <w:rPr>
          <w:lang w:val="en-US"/>
        </w:rPr>
        <w:t xml:space="preserve">An additional complicating factor is that policies do not exist in a social vacuum, their effect will depend on the social context in which they are implemented </w:t>
      </w:r>
      <w:r>
        <w:rPr>
          <w:noProof/>
        </w:rPr>
        <w:t>(Hoem, 2008, p. 255)</w:t>
      </w:r>
      <w:r>
        <w:rPr>
          <w:lang w:val="en-US"/>
        </w:rPr>
        <w:t xml:space="preserve">. For example, a policy to introduce parental leave for fathers is likely to have a very different effect in a country with high levels of gender equality and social norms supporting fathers taking leave and having more involvement in </w:t>
      </w:r>
      <w:r w:rsidR="009F7190">
        <w:rPr>
          <w:lang w:val="en-US"/>
        </w:rPr>
        <w:t>child care</w:t>
      </w:r>
      <w:r>
        <w:rPr>
          <w:lang w:val="en-US"/>
        </w:rPr>
        <w:t xml:space="preserve">, compared to a country with more traditional gender role norms and more support for the male breadwinner model. </w:t>
      </w:r>
    </w:p>
    <w:p w14:paraId="38E4DD5A" w14:textId="77777777" w:rsidR="00DD27B2" w:rsidRDefault="00605EFB" w:rsidP="00605EFB">
      <w:pPr>
        <w:spacing w:line="276" w:lineRule="auto"/>
        <w:jc w:val="both"/>
        <w:rPr>
          <w:lang w:val="en-US"/>
        </w:rPr>
      </w:pPr>
      <w:r>
        <w:rPr>
          <w:lang w:val="en-US"/>
        </w:rPr>
        <w:lastRenderedPageBreak/>
        <w:t>While many of the issues above are difficulties encountered in any policy analysis, there are also some unique features of fertility which add additional complications for measuring the impact of policies on fertility.  The first is that long time taken for the outcome to be observed. The aim of pronatalist policies is to increase the total number of children, and not just to move the timing of childbearing forward. However it takes roughly 35 years from the age of 15 to 50 for a woman to complete her reproductive life and for the total number of children to be observed. Thus, while policies aim to increase overall fertility, to measure the effect of a pronatalist policy on the total demand for children would mean waiting a long period of time.  Even if completed fertility can be observed it would be nearly impossible to link changes in completed fertility to a particular factor, or policy, because it covers such a long interval during which many other social and economic changes are likely to have occurred</w:t>
      </w:r>
      <w:r w:rsidR="00DD27B2">
        <w:rPr>
          <w:noProof/>
        </w:rPr>
        <w:t xml:space="preserve"> (Lopoo &amp; Raissian, 2018)</w:t>
      </w:r>
      <w:r>
        <w:rPr>
          <w:lang w:val="en-US"/>
        </w:rPr>
        <w:t>.</w:t>
      </w:r>
    </w:p>
    <w:p w14:paraId="1F658783" w14:textId="6ACB0495" w:rsidR="00605EFB" w:rsidRDefault="00605EFB" w:rsidP="00605EFB">
      <w:pPr>
        <w:spacing w:line="276" w:lineRule="auto"/>
        <w:jc w:val="both"/>
        <w:rPr>
          <w:lang w:val="en-US"/>
        </w:rPr>
      </w:pPr>
      <w:r>
        <w:rPr>
          <w:lang w:val="en-US"/>
        </w:rPr>
        <w:t xml:space="preserve">Due to the difficulty of observing completed fertility, most studies tend to focus on whether a policy change might effect the timing, or “tempo”, of fertility.  In addition, there may be a delay of several years between when a policy is introduced and any observed effect on fertility. This delay is because it takes at least nine months from conception for the birth to be observed, and in addition a certain amount of time is needed to form the definite decision to have a child and for both partners to agree </w:t>
      </w:r>
      <w:r w:rsidR="00DD27B2">
        <w:rPr>
          <w:noProof/>
        </w:rPr>
        <w:t>(Thévenon &amp; Gauthier, 2011)</w:t>
      </w:r>
      <w:r>
        <w:rPr>
          <w:lang w:val="en-US"/>
        </w:rPr>
        <w:t>.</w:t>
      </w:r>
    </w:p>
    <w:p w14:paraId="150C6EC1" w14:textId="3CB2C37B" w:rsidR="00605EFB" w:rsidRDefault="00605EFB" w:rsidP="00605EFB">
      <w:pPr>
        <w:spacing w:line="276" w:lineRule="auto"/>
        <w:jc w:val="both"/>
        <w:rPr>
          <w:rFonts w:ascii="Tw Cen MT Condensed" w:hAnsi="Tw Cen MT Condensed"/>
        </w:rPr>
      </w:pPr>
      <w:r>
        <w:t>Besides these methodological and data issues, quantitative policy research also suffers from the problem that studies that find that policies have no effect are seldom published, even if the data and the modelling are outstanding. This ‘publication bias’ greatly limits our understanding of how welfare states, family policies, and family behaviour are interlinked from both a research and policy-making perspective</w:t>
      </w:r>
      <w:r>
        <w:rPr>
          <w:noProof/>
        </w:rPr>
        <w:t xml:space="preserve"> (Neyer, 2021)</w:t>
      </w:r>
      <w:r>
        <w:t>.</w:t>
      </w:r>
    </w:p>
    <w:p w14:paraId="728E2D7E" w14:textId="50D3DCD0" w:rsidR="00A435D3" w:rsidRDefault="000A22FC" w:rsidP="00BC5105">
      <w:pPr>
        <w:spacing w:line="276" w:lineRule="auto"/>
        <w:jc w:val="both"/>
        <w:rPr>
          <w:rFonts w:ascii="Tw Cen MT Condensed" w:eastAsiaTheme="majorEastAsia" w:hAnsi="Tw Cen MT Condensed"/>
        </w:rPr>
      </w:pPr>
      <w:r>
        <w:t>To get a clearer idea of the effect of policies on fertility, the review of</w:t>
      </w:r>
      <w:r w:rsidR="00B27EA8">
        <w:t xml:space="preserve"> policies in the next sections focus</w:t>
      </w:r>
      <w:r>
        <w:t>es</w:t>
      </w:r>
      <w:r w:rsidR="00B27EA8">
        <w:t xml:space="preserve"> primarily on studies that have empl</w:t>
      </w:r>
      <w:r w:rsidR="003E19DB">
        <w:t>oyed quasi-experimental method</w:t>
      </w:r>
      <w:r>
        <w:t>s and are better able to deal with the issues of endogeneity and reverse causality.</w:t>
      </w:r>
      <w:r w:rsidR="00A435D3">
        <w:t xml:space="preserve"> </w:t>
      </w:r>
      <w:r w:rsidR="00DD27B2">
        <w:t xml:space="preserve">These studies cover specific reforms in individual countries. In addition, studies which take a cross-national comparative approach are also examined. </w:t>
      </w:r>
    </w:p>
    <w:p w14:paraId="4A57CBE7" w14:textId="2A3BD443" w:rsidR="00F31FC5" w:rsidRDefault="00A435D3" w:rsidP="006C6E6D">
      <w:pPr>
        <w:spacing w:line="276" w:lineRule="auto"/>
        <w:jc w:val="both"/>
        <w:rPr>
          <w:rFonts w:ascii="Tw Cen MT Condensed" w:eastAsiaTheme="majorEastAsia" w:hAnsi="Tw Cen MT Condensed"/>
        </w:rPr>
      </w:pPr>
      <w:r>
        <w:rPr>
          <w:rFonts w:ascii="Tw Cen MT Condensed" w:hAnsi="Tw Cen MT Condensed"/>
          <w:highlight w:val="lightGray"/>
        </w:rPr>
        <w:br w:type="page"/>
      </w:r>
    </w:p>
    <w:p w14:paraId="25364AC4" w14:textId="62496415" w:rsidR="00F31FC5" w:rsidRDefault="00F31FC5" w:rsidP="00BC5105">
      <w:pPr>
        <w:pStyle w:val="Heading1"/>
        <w:spacing w:line="276" w:lineRule="auto"/>
      </w:pPr>
      <w:bookmarkStart w:id="62" w:name="_Toc87454611"/>
      <w:bookmarkStart w:id="63" w:name="_Toc98404958"/>
      <w:r w:rsidRPr="00B6667C">
        <w:lastRenderedPageBreak/>
        <w:t>Financial transfers</w:t>
      </w:r>
      <w:bookmarkEnd w:id="62"/>
      <w:bookmarkEnd w:id="63"/>
    </w:p>
    <w:p w14:paraId="349161EE" w14:textId="1820CCBF" w:rsidR="00EE670A" w:rsidRDefault="00EE670A" w:rsidP="00EE670A">
      <w:pPr>
        <w:rPr>
          <w:lang w:val="en-US"/>
        </w:rPr>
      </w:pPr>
    </w:p>
    <w:p w14:paraId="3D5B79A7" w14:textId="03EA35BB" w:rsidR="00EE670A" w:rsidRPr="00EE670A" w:rsidRDefault="00EE670A" w:rsidP="00EE670A">
      <w:pPr>
        <w:rPr>
          <w:b/>
          <w:bCs/>
          <w:lang w:val="en-US"/>
        </w:rPr>
      </w:pPr>
      <w:r w:rsidRPr="00EE670A">
        <w:rPr>
          <w:b/>
          <w:bCs/>
          <w:lang w:val="en-US"/>
        </w:rPr>
        <w:t>Key points</w:t>
      </w:r>
    </w:p>
    <w:p w14:paraId="4B1C0580" w14:textId="5916789B" w:rsidR="00EE670A" w:rsidRDefault="00EE670A" w:rsidP="00244248">
      <w:pPr>
        <w:pStyle w:val="ListParagraph"/>
        <w:numPr>
          <w:ilvl w:val="0"/>
          <w:numId w:val="29"/>
        </w:numPr>
        <w:rPr>
          <w:lang w:val="en-US"/>
        </w:rPr>
      </w:pPr>
      <w:r>
        <w:rPr>
          <w:lang w:val="en-US"/>
        </w:rPr>
        <w:t>Financial transfers</w:t>
      </w:r>
      <w:r w:rsidR="00707130">
        <w:rPr>
          <w:lang w:val="en-US"/>
        </w:rPr>
        <w:t xml:space="preserve"> to parents</w:t>
      </w:r>
      <w:r>
        <w:rPr>
          <w:lang w:val="en-US"/>
        </w:rPr>
        <w:t xml:space="preserve"> can help reduce the direct costs of children</w:t>
      </w:r>
    </w:p>
    <w:p w14:paraId="29418020" w14:textId="5415CDB4" w:rsidR="00EE670A" w:rsidRDefault="00707130" w:rsidP="00244248">
      <w:pPr>
        <w:pStyle w:val="ListParagraph"/>
        <w:numPr>
          <w:ilvl w:val="0"/>
          <w:numId w:val="29"/>
        </w:numPr>
        <w:rPr>
          <w:lang w:val="en-US"/>
        </w:rPr>
      </w:pPr>
      <w:r>
        <w:rPr>
          <w:lang w:val="en-US"/>
        </w:rPr>
        <w:t>Financial transfers can</w:t>
      </w:r>
      <w:r w:rsidR="00EE670A">
        <w:rPr>
          <w:lang w:val="en-US"/>
        </w:rPr>
        <w:t xml:space="preserve"> take the form of long-term transfers for the duration that the child is </w:t>
      </w:r>
      <w:r w:rsidR="003D7C82">
        <w:rPr>
          <w:lang w:val="en-US"/>
        </w:rPr>
        <w:t>considered dependent on its parents (e.g. age 18), or be short-term in the form of baby bonus or birth grants</w:t>
      </w:r>
    </w:p>
    <w:p w14:paraId="04436C02" w14:textId="37DA0C13" w:rsidR="00707130" w:rsidRDefault="00707130" w:rsidP="00244248">
      <w:pPr>
        <w:pStyle w:val="ListParagraph"/>
        <w:numPr>
          <w:ilvl w:val="0"/>
          <w:numId w:val="29"/>
        </w:numPr>
        <w:rPr>
          <w:lang w:val="en-US"/>
        </w:rPr>
      </w:pPr>
      <w:r>
        <w:rPr>
          <w:lang w:val="en-US"/>
        </w:rPr>
        <w:t>Transfers can be universal or means-tested, and be targeted at all children or specifically at higher parities</w:t>
      </w:r>
    </w:p>
    <w:p w14:paraId="43711E7E" w14:textId="20DA36EB" w:rsidR="003D7C82" w:rsidRDefault="003D7C82" w:rsidP="00244248">
      <w:pPr>
        <w:pStyle w:val="ListParagraph"/>
        <w:numPr>
          <w:ilvl w:val="0"/>
          <w:numId w:val="29"/>
        </w:numPr>
        <w:rPr>
          <w:lang w:val="en-US"/>
        </w:rPr>
      </w:pPr>
      <w:r>
        <w:rPr>
          <w:lang w:val="en-US"/>
        </w:rPr>
        <w:t>Australia has relatively generous, means-tested financial transfers in the form of Family Tax Benefit A and B</w:t>
      </w:r>
    </w:p>
    <w:p w14:paraId="34D49B46" w14:textId="6381548B" w:rsidR="003D7C82" w:rsidRDefault="003D7C82" w:rsidP="00244248">
      <w:pPr>
        <w:pStyle w:val="ListParagraph"/>
        <w:numPr>
          <w:ilvl w:val="0"/>
          <w:numId w:val="29"/>
        </w:numPr>
        <w:rPr>
          <w:lang w:val="en-US"/>
        </w:rPr>
      </w:pPr>
      <w:r>
        <w:rPr>
          <w:lang w:val="en-US"/>
        </w:rPr>
        <w:t xml:space="preserve">Evidence from other countries suggests that financial transfers overall have </w:t>
      </w:r>
      <w:r w:rsidR="00707130">
        <w:rPr>
          <w:lang w:val="en-US"/>
        </w:rPr>
        <w:t>a</w:t>
      </w:r>
      <w:r>
        <w:rPr>
          <w:lang w:val="en-US"/>
        </w:rPr>
        <w:t xml:space="preserve"> positive effect on fertility</w:t>
      </w:r>
    </w:p>
    <w:p w14:paraId="3FDBDE40" w14:textId="7EF887B2" w:rsidR="00707130" w:rsidRPr="003D7C82" w:rsidRDefault="00B83618" w:rsidP="00244248">
      <w:pPr>
        <w:pStyle w:val="ListParagraph"/>
        <w:numPr>
          <w:ilvl w:val="0"/>
          <w:numId w:val="29"/>
        </w:numPr>
        <w:rPr>
          <w:lang w:val="en-US"/>
        </w:rPr>
      </w:pPr>
      <w:r>
        <w:rPr>
          <w:lang w:val="en-US"/>
        </w:rPr>
        <w:t>However,</w:t>
      </w:r>
      <w:r w:rsidR="00707130">
        <w:rPr>
          <w:lang w:val="en-US"/>
        </w:rPr>
        <w:t xml:space="preserve"> the effect on fertility is usually small because the transfers only represent a </w:t>
      </w:r>
      <w:r w:rsidR="006429B2">
        <w:rPr>
          <w:lang w:val="en-US"/>
        </w:rPr>
        <w:t>minor</w:t>
      </w:r>
      <w:r w:rsidR="00707130">
        <w:rPr>
          <w:lang w:val="en-US"/>
        </w:rPr>
        <w:t xml:space="preserve"> amount compared to the large direct costs of children</w:t>
      </w:r>
    </w:p>
    <w:p w14:paraId="2EDEFF9F" w14:textId="77777777" w:rsidR="00F31FC5" w:rsidRPr="00B6667C" w:rsidRDefault="00F31FC5" w:rsidP="00BC5105">
      <w:pPr>
        <w:pStyle w:val="Heading2"/>
        <w:spacing w:line="276" w:lineRule="auto"/>
      </w:pPr>
      <w:bookmarkStart w:id="64" w:name="_Toc81572930"/>
      <w:bookmarkStart w:id="65" w:name="_Toc87454612"/>
      <w:bookmarkStart w:id="66" w:name="_Toc98404959"/>
      <w:bookmarkEnd w:id="64"/>
      <w:r w:rsidRPr="00B6667C">
        <w:t>Theoretical link between financial transfers and fertility</w:t>
      </w:r>
      <w:bookmarkEnd w:id="65"/>
      <w:bookmarkEnd w:id="66"/>
      <w:r w:rsidRPr="00B6667C">
        <w:t xml:space="preserve"> </w:t>
      </w:r>
    </w:p>
    <w:p w14:paraId="3C013600" w14:textId="7A4517E3" w:rsidR="00F31FC5" w:rsidRDefault="00F31FC5" w:rsidP="00BC5105">
      <w:pPr>
        <w:spacing w:line="276" w:lineRule="auto"/>
        <w:jc w:val="both"/>
      </w:pPr>
      <w:r>
        <w:rPr>
          <w:lang w:val="en-US"/>
        </w:rPr>
        <w:t xml:space="preserve">Most developed countries, including Australia, have at least one type of child benefit available for parents. </w:t>
      </w:r>
      <w:r w:rsidR="00F9320F">
        <w:rPr>
          <w:lang w:val="en-US"/>
        </w:rPr>
        <w:t>With the exception of specific ‘</w:t>
      </w:r>
      <w:r>
        <w:rPr>
          <w:lang w:val="en-US"/>
        </w:rPr>
        <w:t>baby bonus</w:t>
      </w:r>
      <w:r w:rsidR="00F9320F">
        <w:rPr>
          <w:lang w:val="en-US"/>
        </w:rPr>
        <w:t>’</w:t>
      </w:r>
      <w:r>
        <w:rPr>
          <w:lang w:val="en-US"/>
        </w:rPr>
        <w:t xml:space="preserve"> or </w:t>
      </w:r>
      <w:r w:rsidR="00F9320F">
        <w:rPr>
          <w:lang w:val="en-US"/>
        </w:rPr>
        <w:t>‘</w:t>
      </w:r>
      <w:r>
        <w:rPr>
          <w:lang w:val="en-US"/>
        </w:rPr>
        <w:t>birth grants</w:t>
      </w:r>
      <w:r w:rsidR="00F9320F">
        <w:rPr>
          <w:lang w:val="en-US"/>
        </w:rPr>
        <w:t>’</w:t>
      </w:r>
      <w:r>
        <w:rPr>
          <w:lang w:val="en-US"/>
        </w:rPr>
        <w:t>, their objective is not usually explicitly related to fertility</w:t>
      </w:r>
      <w:r w:rsidR="00272163">
        <w:rPr>
          <w:lang w:val="en-US"/>
        </w:rPr>
        <w:t>. Instead, they may have various social welfare goals, including reducing child poverty or improving</w:t>
      </w:r>
      <w:r>
        <w:rPr>
          <w:lang w:val="en-US"/>
        </w:rPr>
        <w:t xml:space="preserve"> the standard of living of families with children. However, by supporting families with the direct cost of raising children they can </w:t>
      </w:r>
      <w:r w:rsidR="001B3DC7">
        <w:rPr>
          <w:lang w:val="en-US"/>
        </w:rPr>
        <w:t xml:space="preserve">potentially </w:t>
      </w:r>
      <w:r>
        <w:rPr>
          <w:lang w:val="en-US"/>
        </w:rPr>
        <w:t xml:space="preserve">influence fertility </w:t>
      </w:r>
      <w:r w:rsidR="001E0F6C">
        <w:rPr>
          <w:noProof/>
        </w:rPr>
        <w:t xml:space="preserve">(Thévenon &amp; Gauthier, 2011; Sobokta, </w:t>
      </w:r>
      <w:r w:rsidR="001E0F6C" w:rsidRPr="007E15F6">
        <w:rPr>
          <w:i/>
          <w:iCs/>
          <w:noProof/>
        </w:rPr>
        <w:t>et al.</w:t>
      </w:r>
      <w:r w:rsidR="001E0F6C">
        <w:rPr>
          <w:noProof/>
        </w:rPr>
        <w:t xml:space="preserve"> 2020)</w:t>
      </w:r>
      <w:r>
        <w:rPr>
          <w:lang w:val="en-US"/>
        </w:rPr>
        <w:t xml:space="preserve">. </w:t>
      </w:r>
      <w:r>
        <w:t xml:space="preserve">If children are thought of as a normal good </w:t>
      </w:r>
      <w:r w:rsidR="001E0F6C">
        <w:rPr>
          <w:noProof/>
        </w:rPr>
        <w:t xml:space="preserve">(Black, </w:t>
      </w:r>
      <w:r w:rsidR="001E0F6C" w:rsidRPr="002E46D8">
        <w:rPr>
          <w:i/>
          <w:iCs/>
          <w:noProof/>
        </w:rPr>
        <w:t>et al</w:t>
      </w:r>
      <w:r w:rsidR="001E0F6C">
        <w:rPr>
          <w:noProof/>
        </w:rPr>
        <w:t>. 2013)</w:t>
      </w:r>
      <w:r>
        <w:t xml:space="preserve">, a given financial transfer that increases the income for families with children should increase ‘demand’ for children through the positive income effect. </w:t>
      </w:r>
      <w:r w:rsidRPr="009501D2">
        <w:t>The same positive</w:t>
      </w:r>
      <w:r>
        <w:t xml:space="preserve"> fertility effect would be obtained if a </w:t>
      </w:r>
      <w:r w:rsidRPr="009501D2">
        <w:t xml:space="preserve">benefit </w:t>
      </w:r>
      <w:r>
        <w:t>r</w:t>
      </w:r>
      <w:r w:rsidRPr="009501D2">
        <w:t>educ</w:t>
      </w:r>
      <w:r>
        <w:t xml:space="preserve">es the ‘price’ of a child </w:t>
      </w:r>
      <w:r w:rsidR="00B43717">
        <w:rPr>
          <w:noProof/>
        </w:rPr>
        <w:t>(Riphahn &amp; Wiynck, 2017)</w:t>
      </w:r>
      <w:r>
        <w:t xml:space="preserve">. </w:t>
      </w:r>
    </w:p>
    <w:p w14:paraId="15818388" w14:textId="77777777" w:rsidR="00F31FC5" w:rsidRPr="00B6667C" w:rsidRDefault="00F31FC5" w:rsidP="00BC5105">
      <w:pPr>
        <w:pStyle w:val="Heading2"/>
        <w:spacing w:line="276" w:lineRule="auto"/>
      </w:pPr>
      <w:bookmarkStart w:id="67" w:name="_Toc87454613"/>
      <w:bookmarkStart w:id="68" w:name="_Toc98404960"/>
      <w:r w:rsidRPr="00B6667C">
        <w:t>Financial transfers across OECD countries</w:t>
      </w:r>
      <w:bookmarkEnd w:id="67"/>
      <w:bookmarkEnd w:id="68"/>
    </w:p>
    <w:p w14:paraId="249FB09B" w14:textId="3F4D0F98" w:rsidR="00F31FC5" w:rsidRDefault="00F31FC5" w:rsidP="00BC5105">
      <w:pPr>
        <w:spacing w:line="276" w:lineRule="auto"/>
        <w:jc w:val="both"/>
        <w:rPr>
          <w:lang w:val="en-US"/>
        </w:rPr>
      </w:pPr>
      <w:r>
        <w:rPr>
          <w:lang w:val="en-US"/>
        </w:rPr>
        <w:t xml:space="preserve">Benefits are usually dependent on the number of children in the family and their ages. In some countries such as Canada and Korea, family benefits are more generous for younger children, whereas in other countries including Australia, </w:t>
      </w:r>
      <w:r w:rsidR="007863A3">
        <w:rPr>
          <w:lang w:val="en-US"/>
        </w:rPr>
        <w:t>Belgium,</w:t>
      </w:r>
      <w:r>
        <w:rPr>
          <w:lang w:val="en-US"/>
        </w:rPr>
        <w:t xml:space="preserve"> and France their value is higher for older children </w:t>
      </w:r>
      <w:r w:rsidR="00B43717">
        <w:rPr>
          <w:noProof/>
        </w:rPr>
        <w:t>(OECD, 2021)</w:t>
      </w:r>
      <w:r>
        <w:rPr>
          <w:lang w:val="en-US"/>
        </w:rPr>
        <w:t xml:space="preserve">. </w:t>
      </w:r>
    </w:p>
    <w:p w14:paraId="1D46E6A1" w14:textId="2A0D02CE" w:rsidR="00F31FC5" w:rsidRDefault="00F31FC5" w:rsidP="00BC5105">
      <w:pPr>
        <w:spacing w:line="276" w:lineRule="auto"/>
        <w:jc w:val="both"/>
      </w:pPr>
      <w:r>
        <w:rPr>
          <w:lang w:val="en-US"/>
        </w:rPr>
        <w:t xml:space="preserve">Ferrarini, </w:t>
      </w:r>
      <w:r w:rsidRPr="007E15F6">
        <w:rPr>
          <w:i/>
          <w:iCs/>
          <w:lang w:val="en-US"/>
        </w:rPr>
        <w:t>et al.</w:t>
      </w:r>
      <w:r>
        <w:rPr>
          <w:lang w:val="en-US"/>
        </w:rPr>
        <w:t xml:space="preserve"> </w:t>
      </w:r>
      <w:r w:rsidR="00B43717">
        <w:rPr>
          <w:noProof/>
        </w:rPr>
        <w:t>(2013)</w:t>
      </w:r>
      <w:r>
        <w:rPr>
          <w:lang w:val="en-US"/>
        </w:rPr>
        <w:t xml:space="preserve"> </w:t>
      </w:r>
      <w:r>
        <w:t xml:space="preserve">distinguish between six different types of child benefits, based on their policy branch and main eligibility criteria. </w:t>
      </w:r>
    </w:p>
    <w:p w14:paraId="440A6A6E" w14:textId="0A5EEC00" w:rsidR="00F31FC5" w:rsidRDefault="00F31FC5" w:rsidP="007E15F6">
      <w:pPr>
        <w:pStyle w:val="Caption"/>
        <w:keepNext/>
        <w:spacing w:after="0" w:line="276" w:lineRule="auto"/>
      </w:pPr>
      <w:r>
        <w:t xml:space="preserve">Table </w:t>
      </w:r>
      <w:fldSimple w:instr=" SEQ Table \* ARABIC ">
        <w:r w:rsidR="00115E22">
          <w:rPr>
            <w:noProof/>
          </w:rPr>
          <w:t>6</w:t>
        </w:r>
      </w:fldSimple>
      <w:r>
        <w:t xml:space="preserve"> Types of child benefits</w:t>
      </w:r>
    </w:p>
    <w:tbl>
      <w:tblPr>
        <w:tblStyle w:val="TableGrid"/>
        <w:tblW w:w="949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3397"/>
        <w:gridCol w:w="1952"/>
        <w:gridCol w:w="4144"/>
      </w:tblGrid>
      <w:tr w:rsidR="00F31FC5" w:rsidRPr="00996ED1" w14:paraId="2997BB0C" w14:textId="77777777" w:rsidTr="007F50D8">
        <w:trPr>
          <w:trHeight w:val="391"/>
        </w:trPr>
        <w:tc>
          <w:tcPr>
            <w:tcW w:w="3397" w:type="dxa"/>
            <w:shd w:val="clear" w:color="auto" w:fill="FBE4D5" w:themeFill="accent2" w:themeFillTint="33"/>
            <w:vAlign w:val="center"/>
          </w:tcPr>
          <w:p w14:paraId="5EA1E3C9" w14:textId="77777777" w:rsidR="00F31FC5" w:rsidRPr="00996ED1" w:rsidRDefault="00F31FC5" w:rsidP="00BC5105">
            <w:pPr>
              <w:spacing w:line="276" w:lineRule="auto"/>
              <w:rPr>
                <w:rFonts w:ascii="Tw Cen MT Condensed" w:hAnsi="Tw Cen MT Condensed"/>
                <w:lang w:val="en-US"/>
              </w:rPr>
            </w:pPr>
            <w:r w:rsidRPr="00996ED1">
              <w:rPr>
                <w:rFonts w:ascii="Tw Cen MT Condensed" w:hAnsi="Tw Cen MT Condensed"/>
                <w:lang w:val="en-US"/>
              </w:rPr>
              <w:t>Child benefit</w:t>
            </w:r>
          </w:p>
        </w:tc>
        <w:tc>
          <w:tcPr>
            <w:tcW w:w="1952" w:type="dxa"/>
            <w:shd w:val="clear" w:color="auto" w:fill="FBE4D5" w:themeFill="accent2" w:themeFillTint="33"/>
            <w:vAlign w:val="center"/>
          </w:tcPr>
          <w:p w14:paraId="03AC9075" w14:textId="77777777" w:rsidR="00F31FC5" w:rsidRPr="00996ED1" w:rsidRDefault="00F31FC5" w:rsidP="00BC5105">
            <w:pPr>
              <w:spacing w:line="276" w:lineRule="auto"/>
              <w:rPr>
                <w:rFonts w:ascii="Tw Cen MT Condensed" w:hAnsi="Tw Cen MT Condensed"/>
                <w:lang w:val="en-US"/>
              </w:rPr>
            </w:pPr>
            <w:r w:rsidRPr="00996ED1">
              <w:rPr>
                <w:rFonts w:ascii="Tw Cen MT Condensed" w:hAnsi="Tw Cen MT Condensed"/>
                <w:lang w:val="en-US"/>
              </w:rPr>
              <w:t>Policy branch</w:t>
            </w:r>
          </w:p>
        </w:tc>
        <w:tc>
          <w:tcPr>
            <w:tcW w:w="4144" w:type="dxa"/>
            <w:shd w:val="clear" w:color="auto" w:fill="FBE4D5" w:themeFill="accent2" w:themeFillTint="33"/>
            <w:vAlign w:val="center"/>
          </w:tcPr>
          <w:p w14:paraId="0E2E8457" w14:textId="77777777" w:rsidR="00F31FC5" w:rsidRPr="00996ED1" w:rsidRDefault="00F31FC5" w:rsidP="00BC5105">
            <w:pPr>
              <w:spacing w:line="276" w:lineRule="auto"/>
              <w:rPr>
                <w:rFonts w:ascii="Tw Cen MT Condensed" w:hAnsi="Tw Cen MT Condensed"/>
                <w:lang w:val="en-US"/>
              </w:rPr>
            </w:pPr>
            <w:r w:rsidRPr="00996ED1">
              <w:rPr>
                <w:rFonts w:ascii="Tw Cen MT Condensed" w:hAnsi="Tw Cen MT Condensed"/>
                <w:lang w:val="en-US"/>
              </w:rPr>
              <w:t>Main eligibility criteria</w:t>
            </w:r>
          </w:p>
        </w:tc>
      </w:tr>
      <w:tr w:rsidR="00F31FC5" w:rsidRPr="00996ED1" w14:paraId="341B37EB" w14:textId="77777777" w:rsidTr="007F50D8">
        <w:tc>
          <w:tcPr>
            <w:tcW w:w="3397" w:type="dxa"/>
            <w:vAlign w:val="center"/>
          </w:tcPr>
          <w:p w14:paraId="3CEF931A"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Universal child benefit (UCB)</w:t>
            </w:r>
          </w:p>
        </w:tc>
        <w:tc>
          <w:tcPr>
            <w:tcW w:w="1952" w:type="dxa"/>
            <w:vAlign w:val="center"/>
          </w:tcPr>
          <w:p w14:paraId="4DEB1AD2"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Social policy</w:t>
            </w:r>
          </w:p>
        </w:tc>
        <w:tc>
          <w:tcPr>
            <w:tcW w:w="4144" w:type="dxa"/>
            <w:vAlign w:val="center"/>
          </w:tcPr>
          <w:p w14:paraId="4F70C3FA"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Citizenship or residence</w:t>
            </w:r>
          </w:p>
        </w:tc>
      </w:tr>
      <w:tr w:rsidR="00F31FC5" w:rsidRPr="00996ED1" w14:paraId="576B3DBE" w14:textId="77777777" w:rsidTr="007F50D8">
        <w:tc>
          <w:tcPr>
            <w:tcW w:w="3397" w:type="dxa"/>
            <w:vAlign w:val="center"/>
          </w:tcPr>
          <w:p w14:paraId="133D1401"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Employment-based child benefit</w:t>
            </w:r>
          </w:p>
        </w:tc>
        <w:tc>
          <w:tcPr>
            <w:tcW w:w="1952" w:type="dxa"/>
            <w:vAlign w:val="center"/>
          </w:tcPr>
          <w:p w14:paraId="293537D7"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Social policy</w:t>
            </w:r>
          </w:p>
        </w:tc>
        <w:tc>
          <w:tcPr>
            <w:tcW w:w="4144" w:type="dxa"/>
            <w:vAlign w:val="center"/>
          </w:tcPr>
          <w:p w14:paraId="79AC05E6"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Gainful employment</w:t>
            </w:r>
          </w:p>
        </w:tc>
      </w:tr>
      <w:tr w:rsidR="00F31FC5" w:rsidRPr="00996ED1" w14:paraId="041517EB" w14:textId="77777777" w:rsidTr="007F50D8">
        <w:tc>
          <w:tcPr>
            <w:tcW w:w="3397" w:type="dxa"/>
            <w:vAlign w:val="center"/>
          </w:tcPr>
          <w:p w14:paraId="482C7F29"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Income-tested child benefit</w:t>
            </w:r>
          </w:p>
        </w:tc>
        <w:tc>
          <w:tcPr>
            <w:tcW w:w="1952" w:type="dxa"/>
            <w:vAlign w:val="center"/>
          </w:tcPr>
          <w:p w14:paraId="6E171944"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Social policy</w:t>
            </w:r>
          </w:p>
        </w:tc>
        <w:tc>
          <w:tcPr>
            <w:tcW w:w="4144" w:type="dxa"/>
            <w:vAlign w:val="center"/>
          </w:tcPr>
          <w:p w14:paraId="07312996"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Income-or-means testing</w:t>
            </w:r>
          </w:p>
        </w:tc>
      </w:tr>
      <w:tr w:rsidR="00F31FC5" w:rsidRPr="00996ED1" w14:paraId="40A21985" w14:textId="77777777" w:rsidTr="007F50D8">
        <w:tc>
          <w:tcPr>
            <w:tcW w:w="3397" w:type="dxa"/>
            <w:vAlign w:val="center"/>
          </w:tcPr>
          <w:p w14:paraId="38433D3B"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Child tax allowance</w:t>
            </w:r>
          </w:p>
        </w:tc>
        <w:tc>
          <w:tcPr>
            <w:tcW w:w="1952" w:type="dxa"/>
            <w:vAlign w:val="center"/>
          </w:tcPr>
          <w:p w14:paraId="0690D661"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Fiscal policy</w:t>
            </w:r>
          </w:p>
        </w:tc>
        <w:tc>
          <w:tcPr>
            <w:tcW w:w="4144" w:type="dxa"/>
            <w:vAlign w:val="center"/>
          </w:tcPr>
          <w:p w14:paraId="7D7D07D3"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Taxable income</w:t>
            </w:r>
          </w:p>
        </w:tc>
      </w:tr>
      <w:tr w:rsidR="00F31FC5" w:rsidRPr="00996ED1" w14:paraId="32C48141" w14:textId="77777777" w:rsidTr="007F50D8">
        <w:tc>
          <w:tcPr>
            <w:tcW w:w="3397" w:type="dxa"/>
            <w:vAlign w:val="center"/>
          </w:tcPr>
          <w:p w14:paraId="25B9E480"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Child tax credit</w:t>
            </w:r>
          </w:p>
        </w:tc>
        <w:tc>
          <w:tcPr>
            <w:tcW w:w="1952" w:type="dxa"/>
            <w:vAlign w:val="center"/>
          </w:tcPr>
          <w:p w14:paraId="677FCC87"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Fiscal policy</w:t>
            </w:r>
          </w:p>
        </w:tc>
        <w:tc>
          <w:tcPr>
            <w:tcW w:w="4144" w:type="dxa"/>
            <w:vAlign w:val="center"/>
          </w:tcPr>
          <w:p w14:paraId="2CD64291"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Tax liability (in case of wasteable</w:t>
            </w:r>
            <w:r>
              <w:rPr>
                <w:rFonts w:asciiTheme="majorHAnsi" w:hAnsiTheme="majorHAnsi" w:cstheme="majorHAnsi"/>
                <w:lang w:val="en-US"/>
              </w:rPr>
              <w:t xml:space="preserve"> tax credits</w:t>
            </w:r>
            <w:r w:rsidRPr="00996ED1">
              <w:rPr>
                <w:rFonts w:asciiTheme="majorHAnsi" w:hAnsiTheme="majorHAnsi" w:cstheme="majorHAnsi"/>
                <w:lang w:val="en-US"/>
              </w:rPr>
              <w:t>)</w:t>
            </w:r>
          </w:p>
        </w:tc>
      </w:tr>
      <w:tr w:rsidR="00F31FC5" w:rsidRPr="00996ED1" w14:paraId="056EDC3B" w14:textId="77777777" w:rsidTr="007F50D8">
        <w:tc>
          <w:tcPr>
            <w:tcW w:w="3397" w:type="dxa"/>
            <w:vAlign w:val="center"/>
          </w:tcPr>
          <w:p w14:paraId="379F6684"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Child tax rebate</w:t>
            </w:r>
          </w:p>
        </w:tc>
        <w:tc>
          <w:tcPr>
            <w:tcW w:w="1952" w:type="dxa"/>
            <w:vAlign w:val="center"/>
          </w:tcPr>
          <w:p w14:paraId="792CAFDD"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Fiscal policy</w:t>
            </w:r>
          </w:p>
        </w:tc>
        <w:tc>
          <w:tcPr>
            <w:tcW w:w="4144" w:type="dxa"/>
            <w:vAlign w:val="center"/>
          </w:tcPr>
          <w:p w14:paraId="4263B04A" w14:textId="77777777" w:rsidR="00F31FC5" w:rsidRPr="00996ED1" w:rsidRDefault="00F31FC5">
            <w:pPr>
              <w:spacing w:line="276" w:lineRule="auto"/>
              <w:rPr>
                <w:rFonts w:asciiTheme="majorHAnsi" w:hAnsiTheme="majorHAnsi" w:cstheme="majorHAnsi"/>
                <w:lang w:val="en-US"/>
              </w:rPr>
            </w:pPr>
            <w:r w:rsidRPr="00996ED1">
              <w:rPr>
                <w:rFonts w:asciiTheme="majorHAnsi" w:hAnsiTheme="majorHAnsi" w:cstheme="majorHAnsi"/>
                <w:lang w:val="en-US"/>
              </w:rPr>
              <w:t>Social security contributions liability</w:t>
            </w:r>
          </w:p>
        </w:tc>
      </w:tr>
    </w:tbl>
    <w:p w14:paraId="090372A4" w14:textId="777EE6B9" w:rsidR="00F31FC5" w:rsidRPr="00922AF3" w:rsidRDefault="00F31FC5" w:rsidP="00BC5105">
      <w:pPr>
        <w:spacing w:line="276" w:lineRule="auto"/>
        <w:rPr>
          <w:sz w:val="16"/>
          <w:lang w:val="en-US"/>
        </w:rPr>
      </w:pPr>
      <w:r w:rsidRPr="00922AF3">
        <w:rPr>
          <w:sz w:val="16"/>
          <w:lang w:val="en-US"/>
        </w:rPr>
        <w:t xml:space="preserve">Source: </w:t>
      </w:r>
      <w:r w:rsidR="00605EFB" w:rsidRPr="007E15F6">
        <w:rPr>
          <w:noProof/>
          <w:sz w:val="16"/>
        </w:rPr>
        <w:t xml:space="preserve">(Ferrarini, </w:t>
      </w:r>
      <w:r w:rsidR="00605EFB" w:rsidRPr="007E15F6">
        <w:rPr>
          <w:i/>
          <w:iCs/>
          <w:noProof/>
          <w:sz w:val="16"/>
        </w:rPr>
        <w:t>et al.</w:t>
      </w:r>
      <w:r w:rsidR="00605EFB" w:rsidRPr="007E15F6">
        <w:rPr>
          <w:noProof/>
          <w:sz w:val="16"/>
        </w:rPr>
        <w:t>, 2013)</w:t>
      </w:r>
    </w:p>
    <w:p w14:paraId="2F805B0C" w14:textId="3074C020" w:rsidR="00F31FC5" w:rsidRDefault="00F31FC5" w:rsidP="00BC5105">
      <w:pPr>
        <w:spacing w:line="276" w:lineRule="auto"/>
        <w:jc w:val="both"/>
      </w:pPr>
      <w:r>
        <w:lastRenderedPageBreak/>
        <w:t>Universal child benefits (UCB) are made on a regular basis to</w:t>
      </w:r>
      <w:r w:rsidR="00822F39">
        <w:t xml:space="preserve"> assist parents with raising </w:t>
      </w:r>
      <w:r>
        <w:t>children, independently of the socioeconomic or other characteristics of the parents. While UCB eligibility requirements may vary depending on precise age restrictions and residence or citizenship restrictions, the basic common properties of a UCB is that it is a cash transfer,</w:t>
      </w:r>
      <w:r w:rsidR="008265EE">
        <w:t xml:space="preserve"> universal to the population of</w:t>
      </w:r>
      <w:r w:rsidR="00822F39">
        <w:t xml:space="preserve"> parents</w:t>
      </w:r>
      <w:r>
        <w:t xml:space="preserve">, unconditional and paid </w:t>
      </w:r>
      <w:r w:rsidR="00272163">
        <w:t>regularly</w:t>
      </w:r>
      <w:r>
        <w:t xml:space="preserve"> </w:t>
      </w:r>
      <w:r w:rsidR="00E1038F">
        <w:rPr>
          <w:noProof/>
        </w:rPr>
        <w:t>(UNICEF, 2020)</w:t>
      </w:r>
      <w:r>
        <w:t xml:space="preserve">. Countries with UCBs include Sweden, Finland, Estonia, and Ireland. Other countries such as Denmark, Canada and the United Kingdom have quasi-UCBs with some income thresholds above which payment tapers off or ceases. Some examples are shown in </w:t>
      </w:r>
      <w:r w:rsidR="00E1038F">
        <w:t>Table 7.</w:t>
      </w:r>
      <w:r>
        <w:t xml:space="preserve"> </w:t>
      </w:r>
    </w:p>
    <w:p w14:paraId="6A31BA97" w14:textId="1E2A6C96" w:rsidR="00F31FC5" w:rsidRDefault="00F31FC5" w:rsidP="00BC5105">
      <w:pPr>
        <w:spacing w:line="276" w:lineRule="auto"/>
        <w:jc w:val="both"/>
      </w:pPr>
      <w:r>
        <w:rPr>
          <w:lang w:val="en-US"/>
        </w:rPr>
        <w:t xml:space="preserve">Over time across OECD countries there has been a general trend away from universal cash transfers </w:t>
      </w:r>
      <w:r w:rsidR="002C1FCD">
        <w:rPr>
          <w:lang w:val="en-US"/>
        </w:rPr>
        <w:t>in favour of</w:t>
      </w:r>
      <w:r>
        <w:rPr>
          <w:lang w:val="en-US"/>
        </w:rPr>
        <w:t xml:space="preserve"> tax-based child-income support </w:t>
      </w:r>
      <w:r w:rsidR="00E1038F">
        <w:rPr>
          <w:noProof/>
        </w:rPr>
        <w:t>(Daly &amp; Ferragina, 2018)</w:t>
      </w:r>
      <w:r>
        <w:rPr>
          <w:lang w:val="en-US"/>
        </w:rPr>
        <w:t>, as has been the case in Australia. However</w:t>
      </w:r>
      <w:r w:rsidR="00994DE8">
        <w:rPr>
          <w:lang w:val="en-US"/>
        </w:rPr>
        <w:t>,</w:t>
      </w:r>
      <w:r>
        <w:rPr>
          <w:lang w:val="en-US"/>
        </w:rPr>
        <w:t xml:space="preserve"> </w:t>
      </w:r>
      <w:r w:rsidR="00994DE8">
        <w:rPr>
          <w:lang w:val="en-US"/>
        </w:rPr>
        <w:t>there have been some recent notable exceptions, with s</w:t>
      </w:r>
      <w:r>
        <w:rPr>
          <w:lang w:val="en-US"/>
        </w:rPr>
        <w:t>ome countries recently introduc</w:t>
      </w:r>
      <w:r w:rsidR="00994DE8">
        <w:rPr>
          <w:lang w:val="en-US"/>
        </w:rPr>
        <w:t>ing</w:t>
      </w:r>
      <w:r>
        <w:rPr>
          <w:lang w:val="en-US"/>
        </w:rPr>
        <w:t xml:space="preserve"> universal child benefits in an effort raise fertility.  An example is Poland</w:t>
      </w:r>
      <w:r w:rsidR="00994DE8">
        <w:rPr>
          <w:lang w:val="en-US"/>
        </w:rPr>
        <w:t>,</w:t>
      </w:r>
      <w:r>
        <w:rPr>
          <w:lang w:val="en-US"/>
        </w:rPr>
        <w:t xml:space="preserve"> which </w:t>
      </w:r>
      <w:r w:rsidR="00994DE8">
        <w:rPr>
          <w:lang w:val="en-US"/>
        </w:rPr>
        <w:t xml:space="preserve">introduced the </w:t>
      </w:r>
      <w:r w:rsidR="00994DE8">
        <w:t xml:space="preserve">Family 500 Plus Programme </w:t>
      </w:r>
      <w:r>
        <w:rPr>
          <w:lang w:val="en-US"/>
        </w:rPr>
        <w:t>in 2016</w:t>
      </w:r>
      <w:r w:rsidR="00994DE8">
        <w:rPr>
          <w:lang w:val="en-US"/>
        </w:rPr>
        <w:t xml:space="preserve"> in an aim to increase fertility</w:t>
      </w:r>
      <w:r>
        <w:rPr>
          <w:lang w:val="en-US"/>
        </w:rPr>
        <w:t xml:space="preserve"> </w:t>
      </w:r>
      <w:r>
        <w:t>(</w:t>
      </w:r>
      <w:r w:rsidRPr="00876652">
        <w:rPr>
          <w:i/>
        </w:rPr>
        <w:t>Program Rodzina 500 Plus, świadczenie wychowawcze</w:t>
      </w:r>
      <w:r>
        <w:t>)</w:t>
      </w:r>
      <w:r w:rsidR="00994DE8">
        <w:t>. The program provides</w:t>
      </w:r>
      <w:r>
        <w:rPr>
          <w:lang w:val="en-US"/>
        </w:rPr>
        <w:t xml:space="preserve"> a non-means tested benefit of 176 AUD (</w:t>
      </w:r>
      <w:r>
        <w:t>PLN 500) per child</w:t>
      </w:r>
      <w:r w:rsidR="00994DE8">
        <w:t>,</w:t>
      </w:r>
      <w:r>
        <w:t xml:space="preserve"> per month </w:t>
      </w:r>
      <w:r w:rsidR="00ED00D8">
        <w:rPr>
          <w:noProof/>
        </w:rPr>
        <w:t>(OECD, 2020c)</w:t>
      </w:r>
      <w:r>
        <w:t>.</w:t>
      </w:r>
    </w:p>
    <w:p w14:paraId="1D7D410C" w14:textId="7B0DFE2E" w:rsidR="00F31FC5" w:rsidRDefault="00F31FC5" w:rsidP="007E15F6">
      <w:pPr>
        <w:pStyle w:val="Caption"/>
        <w:keepNext/>
        <w:spacing w:after="0" w:line="276" w:lineRule="auto"/>
      </w:pPr>
      <w:bookmarkStart w:id="69" w:name="_Ref75161967"/>
      <w:r>
        <w:t xml:space="preserve">Table </w:t>
      </w:r>
      <w:fldSimple w:instr=" SEQ Table \* ARABIC ">
        <w:r w:rsidR="00115E22">
          <w:rPr>
            <w:noProof/>
          </w:rPr>
          <w:t>7</w:t>
        </w:r>
      </w:fldSimple>
      <w:bookmarkEnd w:id="69"/>
      <w:r>
        <w:t xml:space="preserve"> Examples of </w:t>
      </w:r>
      <w:r w:rsidRPr="004959F0">
        <w:t>universal child benefits</w:t>
      </w:r>
      <w:r>
        <w:t xml:space="preserve"> and quasi-universal child benefits</w:t>
      </w:r>
    </w:p>
    <w:tbl>
      <w:tblPr>
        <w:tblStyle w:val="GridTable1Light-Accent2"/>
        <w:tblW w:w="9955" w:type="dxa"/>
        <w:tblLayout w:type="fixed"/>
        <w:tblCellMar>
          <w:top w:w="57" w:type="dxa"/>
        </w:tblCellMar>
        <w:tblLook w:val="04A0" w:firstRow="1" w:lastRow="0" w:firstColumn="1" w:lastColumn="0" w:noHBand="0" w:noVBand="1"/>
      </w:tblPr>
      <w:tblGrid>
        <w:gridCol w:w="1555"/>
        <w:gridCol w:w="1276"/>
        <w:gridCol w:w="3544"/>
        <w:gridCol w:w="1312"/>
        <w:gridCol w:w="2268"/>
      </w:tblGrid>
      <w:tr w:rsidR="00F31FC5" w:rsidRPr="00BC3BF9" w14:paraId="2E0C62F2" w14:textId="77777777" w:rsidTr="007F50D8">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555" w:type="dxa"/>
            <w:shd w:val="clear" w:color="auto" w:fill="FBE4D5" w:themeFill="accent2" w:themeFillTint="33"/>
            <w:vAlign w:val="center"/>
          </w:tcPr>
          <w:p w14:paraId="69352C31" w14:textId="77777777" w:rsidR="00F31FC5" w:rsidRPr="00BC3BF9" w:rsidRDefault="00F31FC5" w:rsidP="002D4711">
            <w:pPr>
              <w:jc w:val="center"/>
              <w:rPr>
                <w:rFonts w:ascii="Tw Cen MT Condensed" w:hAnsi="Tw Cen MT Condensed" w:cstheme="majorHAnsi"/>
                <w:b w:val="0"/>
                <w:color w:val="0D0D0D" w:themeColor="text1" w:themeTint="F2"/>
                <w:sz w:val="24"/>
                <w:szCs w:val="20"/>
              </w:rPr>
            </w:pPr>
            <w:r w:rsidRPr="00BC3BF9">
              <w:rPr>
                <w:rFonts w:ascii="Tw Cen MT Condensed" w:hAnsi="Tw Cen MT Condensed" w:cstheme="majorHAnsi"/>
                <w:b w:val="0"/>
                <w:color w:val="0D0D0D" w:themeColor="text1" w:themeTint="F2"/>
                <w:sz w:val="24"/>
                <w:szCs w:val="20"/>
              </w:rPr>
              <w:t>Country</w:t>
            </w:r>
          </w:p>
        </w:tc>
        <w:tc>
          <w:tcPr>
            <w:tcW w:w="1276" w:type="dxa"/>
            <w:shd w:val="clear" w:color="auto" w:fill="FBE4D5" w:themeFill="accent2" w:themeFillTint="33"/>
            <w:vAlign w:val="center"/>
          </w:tcPr>
          <w:p w14:paraId="37ED54E7" w14:textId="77777777" w:rsidR="00F31FC5" w:rsidRPr="00BC3BF9" w:rsidRDefault="00F31FC5" w:rsidP="002D4711">
            <w:pPr>
              <w:jc w:val="center"/>
              <w:cnfStyle w:val="100000000000" w:firstRow="1" w:lastRow="0" w:firstColumn="0" w:lastColumn="0" w:oddVBand="0" w:evenVBand="0" w:oddHBand="0" w:evenHBand="0" w:firstRowFirstColumn="0" w:firstRowLastColumn="0" w:lastRowFirstColumn="0" w:lastRowLastColumn="0"/>
              <w:rPr>
                <w:rFonts w:ascii="Tw Cen MT Condensed" w:hAnsi="Tw Cen MT Condensed" w:cstheme="majorHAnsi"/>
                <w:b w:val="0"/>
                <w:color w:val="0D0D0D" w:themeColor="text1" w:themeTint="F2"/>
                <w:sz w:val="24"/>
                <w:szCs w:val="20"/>
              </w:rPr>
            </w:pPr>
            <w:r>
              <w:rPr>
                <w:rFonts w:ascii="Tw Cen MT Condensed" w:hAnsi="Tw Cen MT Condensed" w:cstheme="majorHAnsi"/>
                <w:b w:val="0"/>
                <w:color w:val="0D0D0D" w:themeColor="text1" w:themeTint="F2"/>
                <w:sz w:val="24"/>
                <w:szCs w:val="20"/>
              </w:rPr>
              <w:t>Maximum m</w:t>
            </w:r>
            <w:r w:rsidRPr="00BC3BF9">
              <w:rPr>
                <w:rFonts w:ascii="Tw Cen MT Condensed" w:hAnsi="Tw Cen MT Condensed" w:cstheme="majorHAnsi"/>
                <w:b w:val="0"/>
                <w:color w:val="0D0D0D" w:themeColor="text1" w:themeTint="F2"/>
                <w:sz w:val="24"/>
                <w:szCs w:val="20"/>
              </w:rPr>
              <w:t>onthly amount for 2 children</w:t>
            </w:r>
            <w:r>
              <w:rPr>
                <w:rFonts w:ascii="Tw Cen MT Condensed" w:hAnsi="Tw Cen MT Condensed" w:cstheme="majorHAnsi"/>
                <w:b w:val="0"/>
                <w:color w:val="0D0D0D" w:themeColor="text1" w:themeTint="F2"/>
                <w:sz w:val="24"/>
                <w:szCs w:val="20"/>
              </w:rPr>
              <w:t xml:space="preserve"> aged 3 and 7</w:t>
            </w:r>
            <w:r w:rsidRPr="00BC3BF9">
              <w:rPr>
                <w:rFonts w:ascii="Tw Cen MT Condensed" w:hAnsi="Tw Cen MT Condensed" w:cstheme="majorHAnsi"/>
                <w:b w:val="0"/>
                <w:color w:val="0D0D0D" w:themeColor="text1" w:themeTint="F2"/>
                <w:sz w:val="24"/>
                <w:szCs w:val="20"/>
              </w:rPr>
              <w:t xml:space="preserve"> </w:t>
            </w:r>
            <w:r>
              <w:rPr>
                <w:rFonts w:ascii="Tw Cen MT Condensed" w:hAnsi="Tw Cen MT Condensed" w:cstheme="majorHAnsi"/>
                <w:b w:val="0"/>
                <w:color w:val="0D0D0D" w:themeColor="text1" w:themeTint="F2"/>
                <w:sz w:val="24"/>
                <w:szCs w:val="20"/>
              </w:rPr>
              <w:t>in AUD</w:t>
            </w:r>
          </w:p>
        </w:tc>
        <w:tc>
          <w:tcPr>
            <w:tcW w:w="3544" w:type="dxa"/>
            <w:shd w:val="clear" w:color="auto" w:fill="FBE4D5" w:themeFill="accent2" w:themeFillTint="33"/>
            <w:vAlign w:val="center"/>
          </w:tcPr>
          <w:p w14:paraId="26DEFA7C" w14:textId="77777777" w:rsidR="00F31FC5" w:rsidRPr="00BC3BF9" w:rsidRDefault="00F31FC5" w:rsidP="002D4711">
            <w:pPr>
              <w:jc w:val="center"/>
              <w:cnfStyle w:val="100000000000" w:firstRow="1" w:lastRow="0" w:firstColumn="0" w:lastColumn="0" w:oddVBand="0" w:evenVBand="0" w:oddHBand="0" w:evenHBand="0" w:firstRowFirstColumn="0" w:firstRowLastColumn="0" w:lastRowFirstColumn="0" w:lastRowLastColumn="0"/>
              <w:rPr>
                <w:rFonts w:ascii="Tw Cen MT Condensed" w:hAnsi="Tw Cen MT Condensed" w:cstheme="majorHAnsi"/>
                <w:b w:val="0"/>
                <w:color w:val="0D0D0D" w:themeColor="text1" w:themeTint="F2"/>
                <w:sz w:val="24"/>
                <w:szCs w:val="20"/>
              </w:rPr>
            </w:pPr>
            <w:r>
              <w:rPr>
                <w:rFonts w:ascii="Tw Cen MT Condensed" w:hAnsi="Tw Cen MT Condensed" w:cstheme="majorHAnsi"/>
                <w:b w:val="0"/>
                <w:color w:val="0D0D0D" w:themeColor="text1" w:themeTint="F2"/>
                <w:sz w:val="24"/>
                <w:szCs w:val="20"/>
              </w:rPr>
              <w:t xml:space="preserve">Details </w:t>
            </w:r>
          </w:p>
        </w:tc>
        <w:tc>
          <w:tcPr>
            <w:tcW w:w="1312" w:type="dxa"/>
            <w:shd w:val="clear" w:color="auto" w:fill="FBE4D5" w:themeFill="accent2" w:themeFillTint="33"/>
            <w:vAlign w:val="center"/>
          </w:tcPr>
          <w:p w14:paraId="533C3559" w14:textId="77777777" w:rsidR="00F31FC5" w:rsidRPr="00BC3BF9" w:rsidRDefault="00F31FC5" w:rsidP="002D4711">
            <w:pPr>
              <w:jc w:val="center"/>
              <w:cnfStyle w:val="100000000000" w:firstRow="1" w:lastRow="0" w:firstColumn="0" w:lastColumn="0" w:oddVBand="0" w:evenVBand="0" w:oddHBand="0" w:evenHBand="0" w:firstRowFirstColumn="0" w:firstRowLastColumn="0" w:lastRowFirstColumn="0" w:lastRowLastColumn="0"/>
              <w:rPr>
                <w:rFonts w:ascii="Tw Cen MT Condensed" w:hAnsi="Tw Cen MT Condensed" w:cstheme="majorHAnsi"/>
                <w:b w:val="0"/>
                <w:color w:val="0D0D0D" w:themeColor="text1" w:themeTint="F2"/>
                <w:sz w:val="24"/>
                <w:szCs w:val="20"/>
              </w:rPr>
            </w:pPr>
            <w:r w:rsidRPr="00BC3BF9">
              <w:rPr>
                <w:rFonts w:ascii="Tw Cen MT Condensed" w:hAnsi="Tw Cen MT Condensed" w:cstheme="majorHAnsi"/>
                <w:b w:val="0"/>
                <w:color w:val="0D0D0D" w:themeColor="text1" w:themeTint="F2"/>
                <w:sz w:val="24"/>
                <w:szCs w:val="20"/>
              </w:rPr>
              <w:t>Age of children</w:t>
            </w:r>
          </w:p>
        </w:tc>
        <w:tc>
          <w:tcPr>
            <w:tcW w:w="2268" w:type="dxa"/>
            <w:shd w:val="clear" w:color="auto" w:fill="FBE4D5" w:themeFill="accent2" w:themeFillTint="33"/>
            <w:vAlign w:val="center"/>
          </w:tcPr>
          <w:p w14:paraId="47D76A0D" w14:textId="77777777" w:rsidR="00F31FC5" w:rsidRPr="00BC3BF9" w:rsidRDefault="00F31FC5" w:rsidP="002D4711">
            <w:pPr>
              <w:jc w:val="center"/>
              <w:cnfStyle w:val="100000000000" w:firstRow="1" w:lastRow="0" w:firstColumn="0" w:lastColumn="0" w:oddVBand="0" w:evenVBand="0" w:oddHBand="0" w:evenHBand="0" w:firstRowFirstColumn="0" w:firstRowLastColumn="0" w:lastRowFirstColumn="0" w:lastRowLastColumn="0"/>
              <w:rPr>
                <w:rFonts w:ascii="Tw Cen MT Condensed" w:hAnsi="Tw Cen MT Condensed" w:cstheme="majorHAnsi"/>
                <w:color w:val="0D0D0D" w:themeColor="text1" w:themeTint="F2"/>
                <w:sz w:val="24"/>
                <w:szCs w:val="20"/>
              </w:rPr>
            </w:pPr>
            <w:r w:rsidRPr="00FF7018">
              <w:rPr>
                <w:rFonts w:ascii="Tw Cen MT Condensed" w:hAnsi="Tw Cen MT Condensed" w:cstheme="majorHAnsi"/>
                <w:b w:val="0"/>
                <w:color w:val="0D0D0D" w:themeColor="text1" w:themeTint="F2"/>
                <w:sz w:val="24"/>
                <w:szCs w:val="20"/>
              </w:rPr>
              <w:t>Income tested?</w:t>
            </w:r>
          </w:p>
        </w:tc>
      </w:tr>
      <w:tr w:rsidR="00F31FC5" w:rsidRPr="00934C95" w14:paraId="5CC5F32F" w14:textId="77777777" w:rsidTr="007E15F6">
        <w:trPr>
          <w:trHeight w:val="1175"/>
        </w:trPr>
        <w:tc>
          <w:tcPr>
            <w:cnfStyle w:val="001000000000" w:firstRow="0" w:lastRow="0" w:firstColumn="1" w:lastColumn="0" w:oddVBand="0" w:evenVBand="0" w:oddHBand="0" w:evenHBand="0" w:firstRowFirstColumn="0" w:firstRowLastColumn="0" w:lastRowFirstColumn="0" w:lastRowLastColumn="0"/>
            <w:tcW w:w="0" w:type="dxa"/>
          </w:tcPr>
          <w:p w14:paraId="2C3C98CF" w14:textId="77777777" w:rsidR="00F31FC5" w:rsidRPr="007E15F6" w:rsidRDefault="00F31FC5">
            <w:pPr>
              <w:rPr>
                <w:rFonts w:ascii="Tw Cen MT Condensed" w:hAnsi="Tw Cen MT Condensed" w:cstheme="majorHAnsi"/>
                <w:b w:val="0"/>
                <w:bCs w:val="0"/>
                <w:color w:val="0D0D0D" w:themeColor="text1" w:themeTint="F2"/>
              </w:rPr>
            </w:pPr>
            <w:r w:rsidRPr="007E15F6">
              <w:rPr>
                <w:rFonts w:ascii="Tw Cen MT Condensed" w:hAnsi="Tw Cen MT Condensed" w:cstheme="majorHAnsi"/>
                <w:color w:val="0D0D0D" w:themeColor="text1" w:themeTint="F2"/>
              </w:rPr>
              <w:t>SWEDEN</w:t>
            </w:r>
          </w:p>
          <w:p w14:paraId="2BBF0E33" w14:textId="77777777" w:rsidR="00F31FC5" w:rsidRPr="007E15F6" w:rsidRDefault="00F31FC5">
            <w:pPr>
              <w:rPr>
                <w:rFonts w:ascii="Tw Cen MT Condensed" w:hAnsi="Tw Cen MT Condensed" w:cstheme="majorHAnsi"/>
                <w:b w:val="0"/>
                <w:bCs w:val="0"/>
                <w:i/>
                <w:color w:val="0D0D0D" w:themeColor="text1" w:themeTint="F2"/>
              </w:rPr>
            </w:pPr>
            <w:r w:rsidRPr="007E15F6">
              <w:rPr>
                <w:rFonts w:ascii="Tw Cen MT Condensed" w:hAnsi="Tw Cen MT Condensed" w:cstheme="majorHAnsi"/>
                <w:i/>
                <w:color w:val="0D0D0D" w:themeColor="text1" w:themeTint="F2"/>
              </w:rPr>
              <w:t>barnbidrag</w:t>
            </w:r>
          </w:p>
        </w:tc>
        <w:tc>
          <w:tcPr>
            <w:tcW w:w="0" w:type="dxa"/>
          </w:tcPr>
          <w:p w14:paraId="5B907B90" w14:textId="77777777" w:rsidR="00F31FC5" w:rsidRPr="007E15F6" w:rsidRDefault="00F31FC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411 AUD</w:t>
            </w:r>
          </w:p>
        </w:tc>
        <w:tc>
          <w:tcPr>
            <w:tcW w:w="0" w:type="dxa"/>
          </w:tcPr>
          <w:p w14:paraId="50E136A0" w14:textId="77777777" w:rsidR="00F31FC5" w:rsidRPr="007E15F6" w:rsidRDefault="00F31FC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195 AUD (SEK 1,250) per month per child. Families with 2+ children,  automatically receive a large-family supplement (</w:t>
            </w:r>
            <w:r w:rsidRPr="007E15F6">
              <w:rPr>
                <w:rFonts w:asciiTheme="majorHAnsi" w:hAnsiTheme="majorHAnsi" w:cstheme="majorHAnsi"/>
                <w:i/>
                <w:color w:val="0D0D0D" w:themeColor="text1" w:themeTint="F2"/>
                <w:sz w:val="18"/>
                <w:szCs w:val="18"/>
              </w:rPr>
              <w:t>Flerbarnstillägg</w:t>
            </w:r>
            <w:r w:rsidRPr="007E15F6">
              <w:rPr>
                <w:rFonts w:asciiTheme="majorHAnsi" w:hAnsiTheme="majorHAnsi" w:cstheme="majorHAnsi"/>
                <w:color w:val="0D0D0D" w:themeColor="text1" w:themeTint="F2"/>
                <w:sz w:val="18"/>
                <w:szCs w:val="18"/>
              </w:rPr>
              <w:t>).</w:t>
            </w:r>
          </w:p>
          <w:p w14:paraId="6AF986DE" w14:textId="77777777" w:rsidR="00F31FC5" w:rsidRPr="007E15F6" w:rsidRDefault="00F31FC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 xml:space="preserve">Tax free and paid directly into account.   </w:t>
            </w:r>
          </w:p>
        </w:tc>
        <w:tc>
          <w:tcPr>
            <w:tcW w:w="0" w:type="dxa"/>
          </w:tcPr>
          <w:p w14:paraId="01B7DE53" w14:textId="77777777" w:rsidR="00F31FC5" w:rsidRPr="007E15F6" w:rsidRDefault="00F31FC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0-16</w:t>
            </w:r>
          </w:p>
          <w:p w14:paraId="05D8CA62" w14:textId="77777777" w:rsidR="00F31FC5" w:rsidRPr="007E15F6" w:rsidRDefault="00F31FC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p>
        </w:tc>
        <w:tc>
          <w:tcPr>
            <w:tcW w:w="0" w:type="dxa"/>
          </w:tcPr>
          <w:p w14:paraId="68D8B5DE" w14:textId="77777777" w:rsidR="00F31FC5" w:rsidRPr="007E15F6" w:rsidRDefault="00F31FC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No</w:t>
            </w:r>
          </w:p>
        </w:tc>
      </w:tr>
      <w:tr w:rsidR="00F31FC5" w:rsidRPr="00934C95" w14:paraId="267AC240" w14:textId="77777777" w:rsidTr="007F50D8">
        <w:tc>
          <w:tcPr>
            <w:cnfStyle w:val="001000000000" w:firstRow="0" w:lastRow="0" w:firstColumn="1" w:lastColumn="0" w:oddVBand="0" w:evenVBand="0" w:oddHBand="0" w:evenHBand="0" w:firstRowFirstColumn="0" w:firstRowLastColumn="0" w:lastRowFirstColumn="0" w:lastRowLastColumn="0"/>
            <w:tcW w:w="1555" w:type="dxa"/>
          </w:tcPr>
          <w:p w14:paraId="310F320F" w14:textId="77777777" w:rsidR="00F31FC5" w:rsidRPr="007E15F6" w:rsidRDefault="00F31FC5">
            <w:pPr>
              <w:rPr>
                <w:rFonts w:ascii="Tw Cen MT Condensed" w:hAnsi="Tw Cen MT Condensed" w:cstheme="majorHAnsi"/>
                <w:b w:val="0"/>
                <w:bCs w:val="0"/>
                <w:color w:val="0D0D0D" w:themeColor="text1" w:themeTint="F2"/>
              </w:rPr>
            </w:pPr>
            <w:r w:rsidRPr="007E15F6">
              <w:rPr>
                <w:rFonts w:ascii="Tw Cen MT Condensed" w:hAnsi="Tw Cen MT Condensed" w:cstheme="majorHAnsi"/>
                <w:color w:val="0D0D0D" w:themeColor="text1" w:themeTint="F2"/>
              </w:rPr>
              <w:t>FINLAND</w:t>
            </w:r>
          </w:p>
          <w:p w14:paraId="2F003714" w14:textId="77777777" w:rsidR="00F31FC5" w:rsidRPr="007E15F6" w:rsidRDefault="00F31FC5">
            <w:pPr>
              <w:rPr>
                <w:rFonts w:ascii="Tw Cen MT Condensed" w:hAnsi="Tw Cen MT Condensed" w:cstheme="majorHAnsi"/>
                <w:b w:val="0"/>
                <w:bCs w:val="0"/>
                <w:i/>
                <w:color w:val="0D0D0D" w:themeColor="text1" w:themeTint="F2"/>
              </w:rPr>
            </w:pPr>
            <w:r w:rsidRPr="007E15F6">
              <w:rPr>
                <w:rFonts w:ascii="Tw Cen MT Condensed" w:hAnsi="Tw Cen MT Condensed" w:cstheme="majorHAnsi"/>
                <w:i/>
                <w:color w:val="0D0D0D" w:themeColor="text1" w:themeTint="F2"/>
              </w:rPr>
              <w:t>lapsilisä</w:t>
            </w:r>
          </w:p>
        </w:tc>
        <w:tc>
          <w:tcPr>
            <w:tcW w:w="1276" w:type="dxa"/>
          </w:tcPr>
          <w:p w14:paraId="364DB4A3" w14:textId="77777777" w:rsidR="00F31FC5" w:rsidRPr="007E15F6" w:rsidRDefault="00F31FC5">
            <w:pPr>
              <w:shd w:val="clear" w:color="auto" w:fill="FFFFFF"/>
              <w:spacing w:after="15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E15F6">
              <w:rPr>
                <w:rFonts w:asciiTheme="majorHAnsi" w:hAnsiTheme="majorHAnsi" w:cstheme="majorHAnsi"/>
                <w:sz w:val="18"/>
                <w:szCs w:val="18"/>
              </w:rPr>
              <w:t>314 AUD</w:t>
            </w:r>
          </w:p>
        </w:tc>
        <w:tc>
          <w:tcPr>
            <w:tcW w:w="3544" w:type="dxa"/>
          </w:tcPr>
          <w:p w14:paraId="5E1797CC" w14:textId="77777777" w:rsidR="00F31FC5" w:rsidRPr="007E15F6" w:rsidRDefault="00F31FC5" w:rsidP="00244248">
            <w:pPr>
              <w:pStyle w:val="ListParagraph"/>
              <w:numPr>
                <w:ilvl w:val="0"/>
                <w:numId w:val="7"/>
              </w:numPr>
              <w:shd w:val="clear" w:color="auto" w:fill="FFFFFF"/>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149 AUD (€ 94.88) for the 1</w:t>
            </w:r>
            <w:r w:rsidRPr="007E15F6">
              <w:rPr>
                <w:rFonts w:asciiTheme="majorHAnsi" w:hAnsiTheme="majorHAnsi" w:cstheme="majorHAnsi"/>
                <w:color w:val="0D0D0D" w:themeColor="text1" w:themeTint="F2"/>
                <w:sz w:val="18"/>
                <w:szCs w:val="18"/>
                <w:vertAlign w:val="superscript"/>
              </w:rPr>
              <w:t>st</w:t>
            </w:r>
            <w:r w:rsidRPr="007E15F6">
              <w:rPr>
                <w:rFonts w:asciiTheme="majorHAnsi" w:hAnsiTheme="majorHAnsi" w:cstheme="majorHAnsi"/>
                <w:color w:val="0D0D0D" w:themeColor="text1" w:themeTint="F2"/>
                <w:sz w:val="18"/>
                <w:szCs w:val="18"/>
              </w:rPr>
              <w:t xml:space="preserve">  child</w:t>
            </w:r>
          </w:p>
          <w:p w14:paraId="4A274AFF" w14:textId="77777777" w:rsidR="00F31FC5" w:rsidRPr="007E15F6" w:rsidRDefault="00F31FC5" w:rsidP="00244248">
            <w:pPr>
              <w:pStyle w:val="ListParagraph"/>
              <w:numPr>
                <w:ilvl w:val="0"/>
                <w:numId w:val="7"/>
              </w:numPr>
              <w:shd w:val="clear" w:color="auto" w:fill="FFFFFF"/>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165 AUD (€104.84) for the 2</w:t>
            </w:r>
            <w:r w:rsidRPr="007E15F6">
              <w:rPr>
                <w:rFonts w:asciiTheme="majorHAnsi" w:hAnsiTheme="majorHAnsi" w:cstheme="majorHAnsi"/>
                <w:color w:val="0D0D0D" w:themeColor="text1" w:themeTint="F2"/>
                <w:sz w:val="18"/>
                <w:szCs w:val="18"/>
                <w:vertAlign w:val="superscript"/>
              </w:rPr>
              <w:t>nd</w:t>
            </w:r>
            <w:r w:rsidRPr="007E15F6">
              <w:rPr>
                <w:rFonts w:asciiTheme="majorHAnsi" w:hAnsiTheme="majorHAnsi" w:cstheme="majorHAnsi"/>
                <w:color w:val="0D0D0D" w:themeColor="text1" w:themeTint="F2"/>
                <w:sz w:val="18"/>
                <w:szCs w:val="18"/>
              </w:rPr>
              <w:t xml:space="preserve">  child </w:t>
            </w:r>
          </w:p>
          <w:p w14:paraId="6074E2F7" w14:textId="77777777" w:rsidR="00F31FC5" w:rsidRPr="007E15F6" w:rsidRDefault="00F31FC5" w:rsidP="00244248">
            <w:pPr>
              <w:pStyle w:val="ListParagraph"/>
              <w:numPr>
                <w:ilvl w:val="0"/>
                <w:numId w:val="7"/>
              </w:numPr>
              <w:shd w:val="clear" w:color="auto" w:fill="FFFFFF"/>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210 AUD (€ 133.79) for the 3</w:t>
            </w:r>
            <w:r w:rsidRPr="007E15F6">
              <w:rPr>
                <w:rFonts w:asciiTheme="majorHAnsi" w:hAnsiTheme="majorHAnsi" w:cstheme="majorHAnsi"/>
                <w:color w:val="0D0D0D" w:themeColor="text1" w:themeTint="F2"/>
                <w:sz w:val="18"/>
                <w:szCs w:val="18"/>
                <w:vertAlign w:val="superscript"/>
              </w:rPr>
              <w:t>rd</w:t>
            </w:r>
            <w:r w:rsidRPr="007E15F6">
              <w:rPr>
                <w:rFonts w:asciiTheme="majorHAnsi" w:hAnsiTheme="majorHAnsi" w:cstheme="majorHAnsi"/>
                <w:color w:val="0D0D0D" w:themeColor="text1" w:themeTint="F2"/>
                <w:sz w:val="18"/>
                <w:szCs w:val="18"/>
              </w:rPr>
              <w:t xml:space="preserve">  child</w:t>
            </w:r>
          </w:p>
          <w:p w14:paraId="7F33FEC2" w14:textId="77777777" w:rsidR="00F31FC5" w:rsidRPr="007E15F6" w:rsidRDefault="00F31FC5" w:rsidP="00244248">
            <w:pPr>
              <w:pStyle w:val="ListParagraph"/>
              <w:numPr>
                <w:ilvl w:val="0"/>
                <w:numId w:val="7"/>
              </w:numPr>
              <w:shd w:val="clear" w:color="auto" w:fill="FFFFFF"/>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241 AUD (€153.24) for the 4</w:t>
            </w:r>
            <w:r w:rsidRPr="007E15F6">
              <w:rPr>
                <w:rFonts w:asciiTheme="majorHAnsi" w:hAnsiTheme="majorHAnsi" w:cstheme="majorHAnsi"/>
                <w:color w:val="0D0D0D" w:themeColor="text1" w:themeTint="F2"/>
                <w:sz w:val="18"/>
                <w:szCs w:val="18"/>
                <w:vertAlign w:val="superscript"/>
              </w:rPr>
              <w:t>th</w:t>
            </w:r>
            <w:r w:rsidRPr="007E15F6">
              <w:rPr>
                <w:rFonts w:asciiTheme="majorHAnsi" w:hAnsiTheme="majorHAnsi" w:cstheme="majorHAnsi"/>
                <w:color w:val="0D0D0D" w:themeColor="text1" w:themeTint="F2"/>
                <w:sz w:val="18"/>
                <w:szCs w:val="18"/>
              </w:rPr>
              <w:t xml:space="preserve">  child  </w:t>
            </w:r>
          </w:p>
          <w:p w14:paraId="08C1614D" w14:textId="77777777" w:rsidR="00F31FC5" w:rsidRPr="007E15F6" w:rsidRDefault="00F31FC5" w:rsidP="00244248">
            <w:pPr>
              <w:pStyle w:val="ListParagraph"/>
              <w:numPr>
                <w:ilvl w:val="0"/>
                <w:numId w:val="7"/>
              </w:numPr>
              <w:shd w:val="clear" w:color="auto" w:fill="FFFFFF"/>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 xml:space="preserve"> 271 AUD (€172.69) for the 5</w:t>
            </w:r>
            <w:r w:rsidRPr="007E15F6">
              <w:rPr>
                <w:rFonts w:asciiTheme="majorHAnsi" w:hAnsiTheme="majorHAnsi" w:cstheme="majorHAnsi"/>
                <w:color w:val="0D0D0D" w:themeColor="text1" w:themeTint="F2"/>
                <w:sz w:val="18"/>
                <w:szCs w:val="18"/>
                <w:vertAlign w:val="superscript"/>
              </w:rPr>
              <w:t>th</w:t>
            </w:r>
            <w:r w:rsidRPr="007E15F6">
              <w:rPr>
                <w:rFonts w:asciiTheme="majorHAnsi" w:hAnsiTheme="majorHAnsi" w:cstheme="majorHAnsi"/>
                <w:color w:val="0D0D0D" w:themeColor="text1" w:themeTint="F2"/>
                <w:sz w:val="18"/>
                <w:szCs w:val="18"/>
              </w:rPr>
              <w:t xml:space="preserve"> + child </w:t>
            </w:r>
          </w:p>
        </w:tc>
        <w:tc>
          <w:tcPr>
            <w:tcW w:w="1312" w:type="dxa"/>
          </w:tcPr>
          <w:p w14:paraId="7DBE6E28" w14:textId="77777777" w:rsidR="00F31FC5" w:rsidRPr="007E15F6" w:rsidRDefault="00F31FC5" w:rsidP="00244248">
            <w:pPr>
              <w:numPr>
                <w:ilvl w:val="0"/>
                <w:numId w:val="3"/>
              </w:numPr>
              <w:shd w:val="clear" w:color="auto" w:fill="FFFFFF"/>
              <w:spacing w:after="150"/>
              <w:ind w:left="0" w:hanging="2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0-16</w:t>
            </w:r>
          </w:p>
        </w:tc>
        <w:tc>
          <w:tcPr>
            <w:tcW w:w="2268" w:type="dxa"/>
          </w:tcPr>
          <w:p w14:paraId="0D94F4A9" w14:textId="77777777" w:rsidR="00F31FC5" w:rsidRPr="007E15F6" w:rsidRDefault="00F31FC5">
            <w:pPr>
              <w:shd w:val="clear" w:color="auto" w:fill="FFFFFF"/>
              <w:spacing w:after="150"/>
              <w:ind w:left="-2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No</w:t>
            </w:r>
          </w:p>
        </w:tc>
      </w:tr>
      <w:tr w:rsidR="00F31FC5" w:rsidRPr="00934C95" w14:paraId="39246717" w14:textId="77777777" w:rsidTr="007F50D8">
        <w:tc>
          <w:tcPr>
            <w:cnfStyle w:val="001000000000" w:firstRow="0" w:lastRow="0" w:firstColumn="1" w:lastColumn="0" w:oddVBand="0" w:evenVBand="0" w:oddHBand="0" w:evenHBand="0" w:firstRowFirstColumn="0" w:firstRowLastColumn="0" w:lastRowFirstColumn="0" w:lastRowLastColumn="0"/>
            <w:tcW w:w="1555" w:type="dxa"/>
          </w:tcPr>
          <w:p w14:paraId="4E7AD655" w14:textId="77777777" w:rsidR="00F31FC5" w:rsidRPr="007E15F6" w:rsidRDefault="00F31FC5">
            <w:pPr>
              <w:rPr>
                <w:rFonts w:ascii="Tw Cen MT Condensed" w:hAnsi="Tw Cen MT Condensed" w:cstheme="majorHAnsi"/>
                <w:b w:val="0"/>
                <w:bCs w:val="0"/>
                <w:color w:val="0D0D0D" w:themeColor="text1" w:themeTint="F2"/>
              </w:rPr>
            </w:pPr>
            <w:r w:rsidRPr="007E15F6">
              <w:rPr>
                <w:rFonts w:ascii="Tw Cen MT Condensed" w:hAnsi="Tw Cen MT Condensed" w:cstheme="majorHAnsi"/>
                <w:color w:val="0D0D0D" w:themeColor="text1" w:themeTint="F2"/>
              </w:rPr>
              <w:t>LUXEMBOURG</w:t>
            </w:r>
          </w:p>
          <w:p w14:paraId="597D66D9" w14:textId="77777777" w:rsidR="00F31FC5" w:rsidRPr="007E15F6" w:rsidRDefault="00F31FC5">
            <w:pPr>
              <w:rPr>
                <w:rFonts w:ascii="Tw Cen MT Condensed" w:hAnsi="Tw Cen MT Condensed" w:cstheme="majorHAnsi"/>
                <w:b w:val="0"/>
                <w:bCs w:val="0"/>
                <w:i/>
              </w:rPr>
            </w:pPr>
            <w:r w:rsidRPr="007E15F6">
              <w:rPr>
                <w:rFonts w:ascii="Tw Cen MT Condensed" w:hAnsi="Tw Cen MT Condensed" w:cstheme="majorHAnsi"/>
                <w:i/>
              </w:rPr>
              <w:t>Allocation pour l’avenir des enfant</w:t>
            </w:r>
          </w:p>
        </w:tc>
        <w:tc>
          <w:tcPr>
            <w:tcW w:w="1276" w:type="dxa"/>
          </w:tcPr>
          <w:p w14:paraId="3ADF8938" w14:textId="77777777" w:rsidR="00F31FC5" w:rsidRPr="007E15F6" w:rsidRDefault="00F31FC5">
            <w:pPr>
              <w:shd w:val="clear" w:color="auto" w:fill="FFFFFF"/>
              <w:spacing w:after="15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E15F6">
              <w:rPr>
                <w:rFonts w:asciiTheme="majorHAnsi" w:hAnsiTheme="majorHAnsi" w:cstheme="majorHAnsi"/>
                <w:sz w:val="18"/>
                <w:szCs w:val="18"/>
              </w:rPr>
              <w:t>448 AUD</w:t>
            </w:r>
          </w:p>
        </w:tc>
        <w:tc>
          <w:tcPr>
            <w:tcW w:w="3544" w:type="dxa"/>
          </w:tcPr>
          <w:p w14:paraId="2CA002E2" w14:textId="77777777" w:rsidR="00F31FC5" w:rsidRPr="007E15F6" w:rsidRDefault="00F31FC5">
            <w:pPr>
              <w:shd w:val="clear" w:color="auto" w:fill="FFFFFF"/>
              <w:ind w:left="-4" w:firstLine="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416 AUD (€ 265) per child</w:t>
            </w:r>
          </w:p>
          <w:p w14:paraId="119B7444" w14:textId="77777777" w:rsidR="00F31FC5" w:rsidRPr="007E15F6" w:rsidRDefault="00F31FC5" w:rsidP="00244248">
            <w:pPr>
              <w:pStyle w:val="ListParagraph"/>
              <w:numPr>
                <w:ilvl w:val="0"/>
                <w:numId w:val="4"/>
              </w:numPr>
              <w:shd w:val="clear" w:color="auto" w:fill="FFFFFF"/>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 xml:space="preserve">Children aged 6 years+ additional supplement of 31 AUD (€20) </w:t>
            </w:r>
          </w:p>
          <w:p w14:paraId="13C81837" w14:textId="77777777" w:rsidR="00F31FC5" w:rsidRPr="007E15F6" w:rsidRDefault="00F31FC5" w:rsidP="00244248">
            <w:pPr>
              <w:pStyle w:val="ListParagraph"/>
              <w:numPr>
                <w:ilvl w:val="0"/>
                <w:numId w:val="4"/>
              </w:numPr>
              <w:shd w:val="clear" w:color="auto" w:fill="FFFFFF"/>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Children aged 12+ additional supplement of 79 AUD (€50)</w:t>
            </w:r>
          </w:p>
        </w:tc>
        <w:tc>
          <w:tcPr>
            <w:tcW w:w="1312" w:type="dxa"/>
          </w:tcPr>
          <w:p w14:paraId="7E55C2B4" w14:textId="77777777" w:rsidR="00F31FC5" w:rsidRPr="007E15F6" w:rsidRDefault="00F31FC5" w:rsidP="00244248">
            <w:pPr>
              <w:numPr>
                <w:ilvl w:val="0"/>
                <w:numId w:val="3"/>
              </w:numPr>
              <w:shd w:val="clear" w:color="auto" w:fill="FFFFFF"/>
              <w:spacing w:after="150"/>
              <w:ind w:left="0" w:hanging="2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0-18</w:t>
            </w:r>
          </w:p>
          <w:p w14:paraId="3B1B7398" w14:textId="77777777" w:rsidR="00F31FC5" w:rsidRPr="007E15F6" w:rsidRDefault="00F31FC5" w:rsidP="00244248">
            <w:pPr>
              <w:numPr>
                <w:ilvl w:val="0"/>
                <w:numId w:val="3"/>
              </w:numPr>
              <w:shd w:val="clear" w:color="auto" w:fill="FFFFFF"/>
              <w:spacing w:after="150"/>
              <w:ind w:left="0" w:hanging="2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 xml:space="preserve"> (or 25 if still studying)</w:t>
            </w:r>
          </w:p>
        </w:tc>
        <w:tc>
          <w:tcPr>
            <w:tcW w:w="2268" w:type="dxa"/>
          </w:tcPr>
          <w:p w14:paraId="272E5FF8" w14:textId="77777777" w:rsidR="00F31FC5" w:rsidRPr="007E15F6" w:rsidRDefault="00F31FC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No</w:t>
            </w:r>
          </w:p>
        </w:tc>
      </w:tr>
      <w:tr w:rsidR="00F31FC5" w:rsidRPr="00934C95" w14:paraId="42B7C39A" w14:textId="77777777" w:rsidTr="007E15F6">
        <w:trPr>
          <w:trHeight w:val="1597"/>
        </w:trPr>
        <w:tc>
          <w:tcPr>
            <w:cnfStyle w:val="001000000000" w:firstRow="0" w:lastRow="0" w:firstColumn="1" w:lastColumn="0" w:oddVBand="0" w:evenVBand="0" w:oddHBand="0" w:evenHBand="0" w:firstRowFirstColumn="0" w:firstRowLastColumn="0" w:lastRowFirstColumn="0" w:lastRowLastColumn="0"/>
            <w:tcW w:w="0" w:type="dxa"/>
          </w:tcPr>
          <w:p w14:paraId="4493A776" w14:textId="77777777" w:rsidR="00F31FC5" w:rsidRPr="007E15F6" w:rsidRDefault="00F31FC5">
            <w:pPr>
              <w:rPr>
                <w:rFonts w:ascii="Tw Cen MT Condensed" w:hAnsi="Tw Cen MT Condensed" w:cstheme="majorHAnsi"/>
                <w:b w:val="0"/>
                <w:bCs w:val="0"/>
                <w:color w:val="0D0D0D" w:themeColor="text1" w:themeTint="F2"/>
              </w:rPr>
            </w:pPr>
            <w:r w:rsidRPr="007E15F6">
              <w:rPr>
                <w:rFonts w:ascii="Tw Cen MT Condensed" w:hAnsi="Tw Cen MT Condensed" w:cstheme="majorHAnsi"/>
                <w:color w:val="0D0D0D" w:themeColor="text1" w:themeTint="F2"/>
              </w:rPr>
              <w:t>UK</w:t>
            </w:r>
          </w:p>
          <w:p w14:paraId="6F8C25FE" w14:textId="77777777" w:rsidR="00F31FC5" w:rsidRPr="007E15F6" w:rsidRDefault="00F31FC5">
            <w:pPr>
              <w:rPr>
                <w:rFonts w:ascii="Tw Cen MT Condensed" w:hAnsi="Tw Cen MT Condensed" w:cstheme="majorHAnsi"/>
                <w:b w:val="0"/>
                <w:bCs w:val="0"/>
                <w:color w:val="0D0D0D" w:themeColor="text1" w:themeTint="F2"/>
              </w:rPr>
            </w:pPr>
            <w:r w:rsidRPr="007E15F6">
              <w:rPr>
                <w:rFonts w:ascii="Tw Cen MT Condensed" w:hAnsi="Tw Cen MT Condensed" w:cstheme="majorHAnsi"/>
                <w:i/>
              </w:rPr>
              <w:t>Child Benefit</w:t>
            </w:r>
          </w:p>
        </w:tc>
        <w:tc>
          <w:tcPr>
            <w:tcW w:w="0" w:type="dxa"/>
          </w:tcPr>
          <w:p w14:paraId="6E9A7017" w14:textId="77777777" w:rsidR="00F31FC5" w:rsidRPr="007E15F6" w:rsidRDefault="00F31FC5">
            <w:pPr>
              <w:shd w:val="clear" w:color="auto" w:fill="FFFFFF"/>
              <w:spacing w:after="15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7E15F6">
              <w:rPr>
                <w:rFonts w:asciiTheme="majorHAnsi" w:hAnsiTheme="majorHAnsi" w:cstheme="majorHAnsi"/>
                <w:sz w:val="18"/>
                <w:szCs w:val="18"/>
              </w:rPr>
              <w:t>257 AUD</w:t>
            </w:r>
          </w:p>
        </w:tc>
        <w:tc>
          <w:tcPr>
            <w:tcW w:w="0" w:type="dxa"/>
          </w:tcPr>
          <w:p w14:paraId="35CB1512" w14:textId="77777777" w:rsidR="00F31FC5" w:rsidRPr="007E15F6" w:rsidRDefault="00F31FC5" w:rsidP="0024424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155 AUD (£84.60) for the eldest or only child</w:t>
            </w:r>
          </w:p>
          <w:p w14:paraId="4AF430F9" w14:textId="77777777" w:rsidR="00F31FC5" w:rsidRPr="007E15F6" w:rsidRDefault="00F31FC5" w:rsidP="0024424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102 AUD (£56) for any additional children</w:t>
            </w:r>
          </w:p>
        </w:tc>
        <w:tc>
          <w:tcPr>
            <w:tcW w:w="0" w:type="dxa"/>
          </w:tcPr>
          <w:p w14:paraId="1507ADB5" w14:textId="77777777" w:rsidR="00F31FC5" w:rsidRPr="007E15F6" w:rsidRDefault="00F31FC5" w:rsidP="00244248">
            <w:pPr>
              <w:numPr>
                <w:ilvl w:val="0"/>
                <w:numId w:val="3"/>
              </w:numPr>
              <w:shd w:val="clear" w:color="auto" w:fill="FFFFFF"/>
              <w:spacing w:after="150"/>
              <w:ind w:left="0" w:hanging="2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0-16</w:t>
            </w:r>
          </w:p>
          <w:p w14:paraId="629FA5C9" w14:textId="77777777" w:rsidR="00F31FC5" w:rsidRPr="007E15F6" w:rsidRDefault="00F31FC5" w:rsidP="00244248">
            <w:pPr>
              <w:numPr>
                <w:ilvl w:val="0"/>
                <w:numId w:val="3"/>
              </w:numPr>
              <w:shd w:val="clear" w:color="auto" w:fill="FFFFFF"/>
              <w:spacing w:after="150"/>
              <w:ind w:left="0" w:hanging="2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(or up to 20 if the child is undergoing education or training)</w:t>
            </w:r>
          </w:p>
        </w:tc>
        <w:tc>
          <w:tcPr>
            <w:tcW w:w="0" w:type="dxa"/>
          </w:tcPr>
          <w:p w14:paraId="21A7F03B" w14:textId="77777777" w:rsidR="00F31FC5" w:rsidRPr="007E15F6" w:rsidRDefault="00F31FC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Yes. A tax charge, known as the ‘High Income Child Benefit Charge’, applies for individuals with an annual income over 91,478 AUD (£50,000).</w:t>
            </w:r>
          </w:p>
        </w:tc>
      </w:tr>
      <w:tr w:rsidR="00F31FC5" w:rsidRPr="00934C95" w14:paraId="302A9798" w14:textId="77777777" w:rsidTr="007F50D8">
        <w:tc>
          <w:tcPr>
            <w:cnfStyle w:val="001000000000" w:firstRow="0" w:lastRow="0" w:firstColumn="1" w:lastColumn="0" w:oddVBand="0" w:evenVBand="0" w:oddHBand="0" w:evenHBand="0" w:firstRowFirstColumn="0" w:firstRowLastColumn="0" w:lastRowFirstColumn="0" w:lastRowLastColumn="0"/>
            <w:tcW w:w="1555" w:type="dxa"/>
          </w:tcPr>
          <w:p w14:paraId="1ED7BF51" w14:textId="77777777" w:rsidR="00F31FC5" w:rsidRPr="007E15F6" w:rsidRDefault="00F31FC5">
            <w:pPr>
              <w:rPr>
                <w:rFonts w:ascii="Tw Cen MT Condensed" w:hAnsi="Tw Cen MT Condensed" w:cstheme="majorHAnsi"/>
                <w:b w:val="0"/>
                <w:bCs w:val="0"/>
                <w:color w:val="0D0D0D" w:themeColor="text1" w:themeTint="F2"/>
              </w:rPr>
            </w:pPr>
          </w:p>
          <w:p w14:paraId="55D34E22" w14:textId="77777777" w:rsidR="00F31FC5" w:rsidRPr="007E15F6" w:rsidRDefault="00F31FC5">
            <w:pPr>
              <w:rPr>
                <w:rFonts w:ascii="Tw Cen MT Condensed" w:hAnsi="Tw Cen MT Condensed" w:cstheme="majorHAnsi"/>
                <w:b w:val="0"/>
                <w:bCs w:val="0"/>
                <w:color w:val="0D0D0D" w:themeColor="text1" w:themeTint="F2"/>
              </w:rPr>
            </w:pPr>
            <w:r w:rsidRPr="007E15F6">
              <w:rPr>
                <w:rFonts w:ascii="Tw Cen MT Condensed" w:hAnsi="Tw Cen MT Condensed" w:cstheme="majorHAnsi"/>
                <w:color w:val="0D0D0D" w:themeColor="text1" w:themeTint="F2"/>
              </w:rPr>
              <w:t>CANADA</w:t>
            </w:r>
          </w:p>
          <w:p w14:paraId="266941AC" w14:textId="77777777" w:rsidR="00F31FC5" w:rsidRPr="007E15F6" w:rsidRDefault="00F31FC5">
            <w:pPr>
              <w:rPr>
                <w:rFonts w:ascii="Tw Cen MT Condensed" w:hAnsi="Tw Cen MT Condensed" w:cstheme="majorHAnsi"/>
                <w:b w:val="0"/>
                <w:bCs w:val="0"/>
                <w:i/>
                <w:color w:val="0D0D0D" w:themeColor="text1" w:themeTint="F2"/>
              </w:rPr>
            </w:pPr>
            <w:r w:rsidRPr="007E15F6">
              <w:rPr>
                <w:rFonts w:ascii="Tw Cen MT Condensed" w:hAnsi="Tw Cen MT Condensed" w:cstheme="majorHAnsi"/>
                <w:i/>
              </w:rPr>
              <w:t>Child Benefit</w:t>
            </w:r>
          </w:p>
        </w:tc>
        <w:tc>
          <w:tcPr>
            <w:tcW w:w="1276" w:type="dxa"/>
          </w:tcPr>
          <w:p w14:paraId="2F093CBA" w14:textId="77777777" w:rsidR="00F31FC5" w:rsidRPr="007E15F6" w:rsidRDefault="00F31FC5">
            <w:pPr>
              <w:spacing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1,132 AUD</w:t>
            </w:r>
          </w:p>
        </w:tc>
        <w:tc>
          <w:tcPr>
            <w:tcW w:w="3544" w:type="dxa"/>
          </w:tcPr>
          <w:p w14:paraId="106B6BDD" w14:textId="77777777" w:rsidR="00F31FC5" w:rsidRPr="007E15F6" w:rsidRDefault="00F31FC5" w:rsidP="00244248">
            <w:pPr>
              <w:pStyle w:val="ListParagraph"/>
              <w:numPr>
                <w:ilvl w:val="0"/>
                <w:numId w:val="9"/>
              </w:numPr>
              <w:spacing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609 AUD (569 CAD) for each child under the age of 6</w:t>
            </w:r>
          </w:p>
          <w:p w14:paraId="0415AAEC" w14:textId="77777777" w:rsidR="00F31FC5" w:rsidRPr="007E15F6" w:rsidRDefault="00F31FC5" w:rsidP="00244248">
            <w:pPr>
              <w:pStyle w:val="ListParagraph"/>
              <w:numPr>
                <w:ilvl w:val="0"/>
                <w:numId w:val="9"/>
              </w:numPr>
              <w:spacing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523 AUD (480 CAD) for each child aged 6–17 years</w:t>
            </w:r>
          </w:p>
        </w:tc>
        <w:tc>
          <w:tcPr>
            <w:tcW w:w="1312" w:type="dxa"/>
          </w:tcPr>
          <w:p w14:paraId="4E4AC499" w14:textId="77777777" w:rsidR="00F31FC5" w:rsidRPr="007E15F6" w:rsidRDefault="00F31FC5">
            <w:pPr>
              <w:shd w:val="clear" w:color="auto" w:fill="FFFFFF"/>
              <w:spacing w:after="15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18"/>
                <w:szCs w:val="18"/>
              </w:rPr>
            </w:pPr>
            <w:r w:rsidRPr="007E15F6">
              <w:rPr>
                <w:rFonts w:asciiTheme="majorHAnsi" w:hAnsiTheme="majorHAnsi" w:cstheme="majorHAnsi"/>
                <w:color w:val="0D0D0D" w:themeColor="text1" w:themeTint="F2"/>
                <w:sz w:val="18"/>
                <w:szCs w:val="18"/>
              </w:rPr>
              <w:t>0-17</w:t>
            </w:r>
          </w:p>
        </w:tc>
        <w:tc>
          <w:tcPr>
            <w:tcW w:w="2268" w:type="dxa"/>
          </w:tcPr>
          <w:p w14:paraId="25650982" w14:textId="77777777" w:rsidR="00F31FC5" w:rsidRPr="007E15F6" w:rsidRDefault="00F31FC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D0D0D" w:themeColor="text1" w:themeTint="F2"/>
                <w:sz w:val="18"/>
                <w:szCs w:val="18"/>
              </w:rPr>
            </w:pPr>
            <w:r w:rsidRPr="007E15F6">
              <w:rPr>
                <w:rFonts w:asciiTheme="majorHAnsi" w:hAnsiTheme="majorHAnsi" w:cstheme="majorHAnsi"/>
                <w:color w:val="0D0D0D" w:themeColor="text1" w:themeTint="F2"/>
                <w:sz w:val="18"/>
                <w:szCs w:val="18"/>
              </w:rPr>
              <w:t>Yes. The benefit is reduced for families with a combined income above $34,287.</w:t>
            </w:r>
          </w:p>
        </w:tc>
      </w:tr>
    </w:tbl>
    <w:p w14:paraId="6D06741D" w14:textId="1C8FC8AB" w:rsidR="00F31FC5" w:rsidRPr="00BC5105" w:rsidRDefault="00F31FC5" w:rsidP="00BC5105">
      <w:pPr>
        <w:spacing w:before="240" w:line="276" w:lineRule="auto"/>
        <w:rPr>
          <w:sz w:val="18"/>
          <w:szCs w:val="18"/>
          <w:lang w:val="en-US"/>
        </w:rPr>
      </w:pPr>
      <w:r w:rsidRPr="00BC5105">
        <w:rPr>
          <w:sz w:val="18"/>
          <w:szCs w:val="18"/>
          <w:lang w:val="en-US"/>
        </w:rPr>
        <w:t>Source:</w:t>
      </w:r>
      <w:r w:rsidR="009953C8" w:rsidRPr="00BC5105">
        <w:rPr>
          <w:sz w:val="18"/>
          <w:szCs w:val="18"/>
          <w:lang w:val="en-US"/>
        </w:rPr>
        <w:t xml:space="preserve"> </w:t>
      </w:r>
      <w:r w:rsidR="008F360D">
        <w:rPr>
          <w:noProof/>
          <w:sz w:val="18"/>
          <w:szCs w:val="18"/>
        </w:rPr>
        <w:t>Luxembourg Government, 2021; UK Government, 2021; Government of Canada, 2021; Social Insurance Institution of Finland (Kela), 2019; Swedish Social Insurance Agency (Försäkringskassan), 2021</w:t>
      </w:r>
    </w:p>
    <w:p w14:paraId="2BA16AD5" w14:textId="5C361A42" w:rsidR="00F31FC5" w:rsidRDefault="00F31FC5" w:rsidP="00BC5105">
      <w:pPr>
        <w:spacing w:line="276" w:lineRule="auto"/>
        <w:jc w:val="both"/>
      </w:pPr>
      <w:r>
        <w:rPr>
          <w:lang w:val="en-US"/>
        </w:rPr>
        <w:lastRenderedPageBreak/>
        <w:t xml:space="preserve">The large variations in types of benefits across countries can make it difficult to compare their generosity. Comparisons are therefore usually made on the basis of a hypothetical model family. </w:t>
      </w:r>
      <w:r>
        <w:rPr>
          <w:rFonts w:ascii="Georgia" w:hAnsi="Georgia"/>
          <w:color w:val="333333"/>
          <w:sz w:val="18"/>
          <w:szCs w:val="18"/>
          <w:shd w:val="clear" w:color="auto" w:fill="FFFFFF"/>
        </w:rPr>
        <w:t> </w:t>
      </w:r>
      <w:r w:rsidRPr="006006CF">
        <w:rPr>
          <w:lang w:val="en-US"/>
        </w:rPr>
        <w:t xml:space="preserve">The Social Policy Indicator (SPIN) database </w:t>
      </w:r>
      <w:r w:rsidR="001E0F6C">
        <w:rPr>
          <w:noProof/>
        </w:rPr>
        <w:t xml:space="preserve">(Nelson, </w:t>
      </w:r>
      <w:r w:rsidR="001E0F6C" w:rsidRPr="007E15F6">
        <w:rPr>
          <w:i/>
          <w:iCs/>
          <w:noProof/>
        </w:rPr>
        <w:t>et al</w:t>
      </w:r>
      <w:r w:rsidR="001E0F6C">
        <w:rPr>
          <w:noProof/>
        </w:rPr>
        <w:t>, 2020)</w:t>
      </w:r>
      <w:r>
        <w:rPr>
          <w:lang w:val="en-US"/>
        </w:rPr>
        <w:t>, calculates benefit</w:t>
      </w:r>
      <w:r>
        <w:t xml:space="preserve"> levels for a two-parent model family with two children aged 2 and 7.  One parent is assumed to work full time, and to be earning an average production worker</w:t>
      </w:r>
      <w:r w:rsidR="00994DE8">
        <w:t>’</w:t>
      </w:r>
      <w:r>
        <w:t xml:space="preserve">s wage. The other </w:t>
      </w:r>
      <w:r w:rsidR="00707130">
        <w:t xml:space="preserve">parent </w:t>
      </w:r>
      <w:r>
        <w:t xml:space="preserve">is defined as being out of the labour force. The benefit level is expressed as a percentage of the net income of the model family. </w:t>
      </w:r>
      <w:r w:rsidR="002E46D8">
        <w:t>Figure 1</w:t>
      </w:r>
      <w:r w:rsidR="009D2483">
        <w:t>3</w:t>
      </w:r>
      <w:r w:rsidR="002E46D8">
        <w:t xml:space="preserve"> </w:t>
      </w:r>
      <w:r>
        <w:t>shows the level of benefits as well as their types across selected countries in 2015</w:t>
      </w:r>
      <w:r>
        <w:rPr>
          <w:rStyle w:val="FootnoteReference"/>
        </w:rPr>
        <w:footnoteReference w:id="10"/>
      </w:r>
      <w:r>
        <w:t xml:space="preserve">. </w:t>
      </w:r>
    </w:p>
    <w:p w14:paraId="6A8C2F3D" w14:textId="3461871E" w:rsidR="00F31FC5" w:rsidRDefault="00F31FC5" w:rsidP="007E15F6">
      <w:pPr>
        <w:pStyle w:val="Caption"/>
        <w:keepNext/>
        <w:spacing w:after="0" w:line="276" w:lineRule="auto"/>
      </w:pPr>
      <w:bookmarkStart w:id="70" w:name="_Ref75161880"/>
      <w:r>
        <w:t xml:space="preserve">Figure </w:t>
      </w:r>
      <w:fldSimple w:instr=" SEQ Figure \* ARABIC ">
        <w:r w:rsidR="00115E22">
          <w:rPr>
            <w:noProof/>
          </w:rPr>
          <w:t>13</w:t>
        </w:r>
      </w:fldSimple>
      <w:bookmarkEnd w:id="70"/>
      <w:r>
        <w:t xml:space="preserve"> Benefit type and level as a percentage of average income, 2015</w:t>
      </w:r>
    </w:p>
    <w:p w14:paraId="1EFD2A67" w14:textId="726E8CAC" w:rsidR="00F31FC5" w:rsidRDefault="00403524" w:rsidP="00BC5105">
      <w:pPr>
        <w:spacing w:line="276" w:lineRule="auto"/>
      </w:pPr>
      <w:r>
        <w:rPr>
          <w:noProof/>
          <w:lang w:eastAsia="en-AU"/>
        </w:rPr>
        <w:drawing>
          <wp:inline distT="0" distB="0" distL="0" distR="0" wp14:anchorId="161798A6" wp14:editId="45582A98">
            <wp:extent cx="5731510" cy="6055360"/>
            <wp:effectExtent l="0" t="0" r="2540" b="25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5072D4" w14:textId="5E0BD8B2" w:rsidR="00F31FC5" w:rsidRDefault="00F31FC5" w:rsidP="00BC5105">
      <w:pPr>
        <w:spacing w:line="276" w:lineRule="auto"/>
        <w:rPr>
          <w:sz w:val="18"/>
        </w:rPr>
      </w:pPr>
      <w:r w:rsidRPr="00553188">
        <w:rPr>
          <w:sz w:val="18"/>
        </w:rPr>
        <w:t>Source: SPIN database</w:t>
      </w:r>
      <w:r w:rsidR="00A2405A">
        <w:rPr>
          <w:sz w:val="18"/>
        </w:rPr>
        <w:t xml:space="preserve"> </w:t>
      </w:r>
      <w:r w:rsidR="0074429E" w:rsidRPr="007E15F6">
        <w:rPr>
          <w:noProof/>
          <w:sz w:val="18"/>
        </w:rPr>
        <w:t xml:space="preserve">(Nelson, </w:t>
      </w:r>
      <w:r w:rsidR="0074429E" w:rsidRPr="007E15F6">
        <w:rPr>
          <w:i/>
          <w:iCs/>
          <w:noProof/>
          <w:sz w:val="18"/>
        </w:rPr>
        <w:t>et al</w:t>
      </w:r>
      <w:r w:rsidR="0074429E" w:rsidRPr="007E15F6">
        <w:rPr>
          <w:noProof/>
          <w:sz w:val="18"/>
        </w:rPr>
        <w:t>, 2020)</w:t>
      </w:r>
      <w:r w:rsidR="00331346">
        <w:rPr>
          <w:sz w:val="18"/>
        </w:rPr>
        <w:t xml:space="preserve"> </w:t>
      </w:r>
    </w:p>
    <w:p w14:paraId="0774C557" w14:textId="75D039A2" w:rsidR="00F31FC5" w:rsidRDefault="001A4417" w:rsidP="00BC5105">
      <w:pPr>
        <w:spacing w:line="276" w:lineRule="auto"/>
        <w:jc w:val="both"/>
      </w:pPr>
      <w:r>
        <w:lastRenderedPageBreak/>
        <w:t xml:space="preserve">Along with the other liberal welfare states, such as the United Kingdom and the United States, </w:t>
      </w:r>
      <w:r w:rsidR="00F31FC5">
        <w:t>Australia has relatively generous child benefits</w:t>
      </w:r>
      <w:r>
        <w:t xml:space="preserve">. </w:t>
      </w:r>
      <w:r w:rsidR="00707130">
        <w:t>In contrast, t</w:t>
      </w:r>
      <w:r w:rsidR="00F31FC5">
        <w:t xml:space="preserve">he Nordic countries have lower levels of child benefits, with most provided as universal child benefits. </w:t>
      </w:r>
    </w:p>
    <w:p w14:paraId="21D4259C" w14:textId="77777777" w:rsidR="00F31FC5" w:rsidRPr="00035703" w:rsidRDefault="00F31FC5" w:rsidP="00BC5105">
      <w:pPr>
        <w:pStyle w:val="Heading2"/>
        <w:spacing w:line="276" w:lineRule="auto"/>
      </w:pPr>
      <w:bookmarkStart w:id="71" w:name="_Toc87454614"/>
      <w:bookmarkStart w:id="72" w:name="_Toc98404961"/>
      <w:r w:rsidRPr="00035703">
        <w:t>Financial transfers in Australia</w:t>
      </w:r>
      <w:bookmarkEnd w:id="71"/>
      <w:bookmarkEnd w:id="72"/>
    </w:p>
    <w:p w14:paraId="62B38F56" w14:textId="4D235EE2" w:rsidR="00F31FC5" w:rsidRDefault="00F31FC5" w:rsidP="00BC5105">
      <w:pPr>
        <w:shd w:val="clear" w:color="auto" w:fill="FFFFFF"/>
        <w:spacing w:after="300" w:line="276" w:lineRule="auto"/>
      </w:pPr>
      <w:r>
        <w:t>In Australia, t</w:t>
      </w:r>
      <w:r w:rsidRPr="00275FC7">
        <w:t xml:space="preserve">he move away from universalism in </w:t>
      </w:r>
      <w:r>
        <w:t xml:space="preserve">the family payment system began in the 1980s </w:t>
      </w:r>
      <w:r w:rsidRPr="00275FC7">
        <w:t>with the means-testing of Family Allowance – the forerunner to FTB Part A</w:t>
      </w:r>
      <w:r>
        <w:t xml:space="preserve"> </w:t>
      </w:r>
      <w:r w:rsidR="002E46D8">
        <w:rPr>
          <w:noProof/>
        </w:rPr>
        <w:t>(Taylor, 2021)</w:t>
      </w:r>
      <w:r w:rsidRPr="00275FC7">
        <w:t xml:space="preserve">. </w:t>
      </w:r>
      <w:r>
        <w:t>The principle of horizontal equity, or of recognising that people with children require a higher income th</w:t>
      </w:r>
      <w:r w:rsidR="004F616F">
        <w:t>an those without children, was ‘</w:t>
      </w:r>
      <w:r>
        <w:t>deligitimised as being in conflict with t</w:t>
      </w:r>
      <w:r w:rsidR="004F616F">
        <w:t>he principle of vertical equity’</w:t>
      </w:r>
      <w:r>
        <w:t xml:space="preserve"> </w:t>
      </w:r>
      <w:r w:rsidR="002E46D8">
        <w:rPr>
          <w:noProof/>
        </w:rPr>
        <w:t>(Cass &amp; Brennan, 2003)</w:t>
      </w:r>
      <w:r>
        <w:t xml:space="preserve"> and there was a general move towards increased targeting and redistribution towards low income families </w:t>
      </w:r>
      <w:r w:rsidR="001E0F6C">
        <w:rPr>
          <w:noProof/>
        </w:rPr>
        <w:t>(McDonald, 2003)</w:t>
      </w:r>
      <w:r>
        <w:t xml:space="preserve">. </w:t>
      </w:r>
    </w:p>
    <w:p w14:paraId="1D8EC2E4" w14:textId="33B0F76F" w:rsidR="00F31FC5" w:rsidRDefault="008265EE" w:rsidP="00BC5105">
      <w:pPr>
        <w:shd w:val="clear" w:color="auto" w:fill="FFFFFF"/>
        <w:spacing w:after="300" w:line="276" w:lineRule="auto"/>
      </w:pPr>
      <w:r>
        <w:t xml:space="preserve">Since 2000, </w:t>
      </w:r>
      <w:r w:rsidR="00CC3363">
        <w:t xml:space="preserve">when several separate payments were simplified into two, the two </w:t>
      </w:r>
      <w:r w:rsidR="00AA3061">
        <w:t xml:space="preserve">main </w:t>
      </w:r>
      <w:r w:rsidR="00CC3363">
        <w:t xml:space="preserve">child </w:t>
      </w:r>
      <w:r w:rsidR="00AA3061">
        <w:t xml:space="preserve">benefits to parents </w:t>
      </w:r>
      <w:r w:rsidR="00CC3363">
        <w:t>are</w:t>
      </w:r>
      <w:r w:rsidR="00AA3061">
        <w:t xml:space="preserve"> Family Tax Benefit Part A, and Family Tax Benefit Part B. </w:t>
      </w:r>
    </w:p>
    <w:p w14:paraId="08D766D8" w14:textId="77768F22" w:rsidR="00F31FC5" w:rsidRPr="006C6E6D" w:rsidRDefault="000B6E36" w:rsidP="006C6E6D">
      <w:pPr>
        <w:pStyle w:val="Caption"/>
      </w:pPr>
      <w:r w:rsidRPr="006C6E6D">
        <w:rPr>
          <w:noProof/>
          <w:lang w:eastAsia="en-AU"/>
        </w:rPr>
        <mc:AlternateContent>
          <mc:Choice Requires="wps">
            <w:drawing>
              <wp:anchor distT="0" distB="0" distL="114300" distR="114300" simplePos="0" relativeHeight="251658250" behindDoc="0" locked="0" layoutInCell="1" allowOverlap="1" wp14:anchorId="7E2614C3" wp14:editId="0891331B">
                <wp:simplePos x="0" y="0"/>
                <wp:positionH relativeFrom="column">
                  <wp:posOffset>3770351</wp:posOffset>
                </wp:positionH>
                <wp:positionV relativeFrom="paragraph">
                  <wp:posOffset>194766</wp:posOffset>
                </wp:positionV>
                <wp:extent cx="1496663" cy="268318"/>
                <wp:effectExtent l="0" t="0" r="8890" b="0"/>
                <wp:wrapNone/>
                <wp:docPr id="207" name="Text Box 207"/>
                <wp:cNvGraphicFramePr/>
                <a:graphic xmlns:a="http://schemas.openxmlformats.org/drawingml/2006/main">
                  <a:graphicData uri="http://schemas.microsoft.com/office/word/2010/wordprocessingShape">
                    <wps:wsp>
                      <wps:cNvSpPr txBox="1"/>
                      <wps:spPr>
                        <a:xfrm>
                          <a:off x="0" y="0"/>
                          <a:ext cx="1496663" cy="268318"/>
                        </a:xfrm>
                        <a:prstGeom prst="rect">
                          <a:avLst/>
                        </a:prstGeom>
                        <a:solidFill>
                          <a:schemeClr val="lt1"/>
                        </a:solidFill>
                        <a:ln w="6350">
                          <a:noFill/>
                        </a:ln>
                      </wps:spPr>
                      <wps:txbx>
                        <w:txbxContent>
                          <w:p w14:paraId="35FBFBC5" w14:textId="7D485948" w:rsidR="00C33FAA" w:rsidRPr="00E02B6A" w:rsidRDefault="00C33FAA" w:rsidP="00E02B6A">
                            <w:pPr>
                              <w:jc w:val="center"/>
                              <w:rPr>
                                <w:i/>
                                <w:iCs/>
                              </w:rPr>
                            </w:pPr>
                            <w:r w:rsidRPr="00E02B6A">
                              <w:rPr>
                                <w:i/>
                                <w:iCs/>
                              </w:rPr>
                              <w:t>Taxation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614C3" id="Text Box 207" o:spid="_x0000_s1067" type="#_x0000_t202" style="position:absolute;margin-left:296.9pt;margin-top:15.35pt;width:117.85pt;height:21.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" fillcolor="white [3201]" stroked="f" strokeweight=".5pt">
                <v:textbox>
                  <w:txbxContent>
                    <w:p w14:paraId="35FBFBC5" w14:textId="7D485948" w:rsidR="00C33FAA" w:rsidRPr="00E02B6A" w:rsidRDefault="00C33FAA" w:rsidP="00E02B6A">
                      <w:pPr>
                        <w:jc w:val="center"/>
                        <w:rPr>
                          <w:i/>
                          <w:iCs/>
                        </w:rPr>
                      </w:pPr>
                      <w:r w:rsidRPr="00E02B6A">
                        <w:rPr>
                          <w:i/>
                          <w:iCs/>
                        </w:rPr>
                        <w:t>Taxation Programs</w:t>
                      </w:r>
                    </w:p>
                  </w:txbxContent>
                </v:textbox>
              </v:shape>
            </w:pict>
          </mc:Fallback>
        </mc:AlternateContent>
      </w:r>
      <w:r w:rsidRPr="006C6E6D">
        <w:rPr>
          <w:noProof/>
          <w:lang w:eastAsia="en-AU"/>
        </w:rPr>
        <mc:AlternateContent>
          <mc:Choice Requires="wps">
            <w:drawing>
              <wp:anchor distT="0" distB="0" distL="114300" distR="114300" simplePos="0" relativeHeight="251658249" behindDoc="0" locked="0" layoutInCell="1" allowOverlap="1" wp14:anchorId="7FE9AA60" wp14:editId="45623BB8">
                <wp:simplePos x="0" y="0"/>
                <wp:positionH relativeFrom="column">
                  <wp:posOffset>363642</wp:posOffset>
                </wp:positionH>
                <wp:positionV relativeFrom="paragraph">
                  <wp:posOffset>170618</wp:posOffset>
                </wp:positionV>
                <wp:extent cx="1496060" cy="271849"/>
                <wp:effectExtent l="0" t="0" r="8890" b="0"/>
                <wp:wrapNone/>
                <wp:docPr id="206" name="Text Box 206"/>
                <wp:cNvGraphicFramePr/>
                <a:graphic xmlns:a="http://schemas.openxmlformats.org/drawingml/2006/main">
                  <a:graphicData uri="http://schemas.microsoft.com/office/word/2010/wordprocessingShape">
                    <wps:wsp>
                      <wps:cNvSpPr txBox="1"/>
                      <wps:spPr>
                        <a:xfrm>
                          <a:off x="0" y="0"/>
                          <a:ext cx="1496060" cy="271849"/>
                        </a:xfrm>
                        <a:prstGeom prst="rect">
                          <a:avLst/>
                        </a:prstGeom>
                        <a:solidFill>
                          <a:schemeClr val="lt1"/>
                        </a:solidFill>
                        <a:ln w="6350">
                          <a:noFill/>
                        </a:ln>
                      </wps:spPr>
                      <wps:txbx>
                        <w:txbxContent>
                          <w:p w14:paraId="040D4BD8" w14:textId="6C679F32" w:rsidR="00C33FAA" w:rsidRPr="00E02B6A" w:rsidRDefault="00C33FAA">
                            <w:pPr>
                              <w:rPr>
                                <w:i/>
                                <w:iCs/>
                              </w:rPr>
                            </w:pPr>
                            <w:r w:rsidRPr="00E02B6A">
                              <w:rPr>
                                <w:i/>
                                <w:iCs/>
                              </w:rPr>
                              <w:t>Outlay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AA60" id="Text Box 206" o:spid="_x0000_s1068" type="#_x0000_t202" style="position:absolute;margin-left:28.65pt;margin-top:13.45pt;width:117.8pt;height:2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" fillcolor="white [3201]" stroked="f" strokeweight=".5pt">
                <v:textbox>
                  <w:txbxContent>
                    <w:p w14:paraId="040D4BD8" w14:textId="6C679F32" w:rsidR="00C33FAA" w:rsidRPr="00E02B6A" w:rsidRDefault="00C33FAA">
                      <w:pPr>
                        <w:rPr>
                          <w:i/>
                          <w:iCs/>
                        </w:rPr>
                      </w:pPr>
                      <w:r w:rsidRPr="00E02B6A">
                        <w:rPr>
                          <w:i/>
                          <w:iCs/>
                        </w:rPr>
                        <w:t>Outlay programs</w:t>
                      </w:r>
                    </w:p>
                  </w:txbxContent>
                </v:textbox>
              </v:shape>
            </w:pict>
          </mc:Fallback>
        </mc:AlternateContent>
      </w:r>
      <w:r w:rsidR="00F31FC5" w:rsidRPr="006C6E6D">
        <w:t xml:space="preserve">Figure </w:t>
      </w:r>
      <w:fldSimple w:instr=" SEQ Figure \* ARABIC ">
        <w:r w:rsidR="00115E22">
          <w:rPr>
            <w:noProof/>
          </w:rPr>
          <w:t>14</w:t>
        </w:r>
      </w:fldSimple>
      <w:r w:rsidR="00F31FC5" w:rsidRPr="006C6E6D">
        <w:t xml:space="preserve"> Simplification of payments to families, July 2000</w:t>
      </w:r>
    </w:p>
    <w:p w14:paraId="62F3AE89" w14:textId="40691E2F" w:rsidR="000767E4" w:rsidRDefault="000B6E36" w:rsidP="00BC5105">
      <w:pPr>
        <w:spacing w:line="276" w:lineRule="auto"/>
      </w:pPr>
      <w:r>
        <w:rPr>
          <w:noProof/>
          <w:lang w:eastAsia="en-AU"/>
        </w:rPr>
        <mc:AlternateContent>
          <mc:Choice Requires="wps">
            <w:drawing>
              <wp:anchor distT="0" distB="0" distL="114300" distR="114300" simplePos="0" relativeHeight="251658243" behindDoc="0" locked="0" layoutInCell="1" allowOverlap="1" wp14:anchorId="7C105A71" wp14:editId="6499E26D">
                <wp:simplePos x="0" y="0"/>
                <wp:positionH relativeFrom="column">
                  <wp:posOffset>229743</wp:posOffset>
                </wp:positionH>
                <wp:positionV relativeFrom="paragraph">
                  <wp:posOffset>210185</wp:posOffset>
                </wp:positionV>
                <wp:extent cx="1807535" cy="1022400"/>
                <wp:effectExtent l="0" t="0" r="21590" b="25400"/>
                <wp:wrapNone/>
                <wp:docPr id="200" name="Text Box 200"/>
                <wp:cNvGraphicFramePr/>
                <a:graphic xmlns:a="http://schemas.openxmlformats.org/drawingml/2006/main">
                  <a:graphicData uri="http://schemas.microsoft.com/office/word/2010/wordprocessingShape">
                    <wps:wsp>
                      <wps:cNvSpPr txBox="1"/>
                      <wps:spPr>
                        <a:xfrm>
                          <a:off x="0" y="0"/>
                          <a:ext cx="1807535" cy="1022400"/>
                        </a:xfrm>
                        <a:prstGeom prst="rect">
                          <a:avLst/>
                        </a:prstGeom>
                        <a:solidFill>
                          <a:schemeClr val="lt1"/>
                        </a:solidFill>
                        <a:ln w="6350">
                          <a:solidFill>
                            <a:schemeClr val="accent2"/>
                          </a:solidFill>
                        </a:ln>
                      </wps:spPr>
                      <wps:txbx>
                        <w:txbxContent>
                          <w:p w14:paraId="573F1A02" w14:textId="138044B4" w:rsidR="00C33FAA" w:rsidRPr="007E15F6" w:rsidRDefault="00C33FAA" w:rsidP="000767E4">
                            <w:pPr>
                              <w:jc w:val="right"/>
                              <w:rPr>
                                <w:rFonts w:asciiTheme="majorHAnsi" w:hAnsiTheme="majorHAnsi" w:cstheme="majorHAnsi"/>
                                <w:sz w:val="20"/>
                                <w:szCs w:val="20"/>
                              </w:rPr>
                            </w:pPr>
                            <w:r w:rsidRPr="007E15F6">
                              <w:rPr>
                                <w:rFonts w:asciiTheme="majorHAnsi" w:hAnsiTheme="majorHAnsi" w:cstheme="majorHAnsi"/>
                                <w:sz w:val="20"/>
                                <w:szCs w:val="20"/>
                              </w:rPr>
                              <w:t>Minimum Family Allowance</w:t>
                            </w:r>
                          </w:p>
                          <w:p w14:paraId="3AD870C0" w14:textId="3FFFD14C" w:rsidR="00C33FAA" w:rsidRPr="007E15F6" w:rsidRDefault="00C33FAA" w:rsidP="000767E4">
                            <w:pPr>
                              <w:jc w:val="right"/>
                              <w:rPr>
                                <w:rFonts w:asciiTheme="majorHAnsi" w:hAnsiTheme="majorHAnsi" w:cstheme="majorHAnsi"/>
                                <w:sz w:val="20"/>
                                <w:szCs w:val="20"/>
                              </w:rPr>
                            </w:pPr>
                            <w:r w:rsidRPr="007E15F6">
                              <w:rPr>
                                <w:rFonts w:asciiTheme="majorHAnsi" w:hAnsiTheme="majorHAnsi" w:cstheme="majorHAnsi"/>
                                <w:sz w:val="20"/>
                                <w:szCs w:val="20"/>
                              </w:rPr>
                              <w:t>Family  Allowance</w:t>
                            </w:r>
                          </w:p>
                          <w:p w14:paraId="540D28F3" w14:textId="1845A827" w:rsidR="00C33FAA" w:rsidRPr="007E15F6" w:rsidRDefault="00C33FAA" w:rsidP="000767E4">
                            <w:pPr>
                              <w:jc w:val="right"/>
                              <w:rPr>
                                <w:rFonts w:asciiTheme="majorHAnsi" w:hAnsiTheme="majorHAnsi" w:cstheme="majorHAnsi"/>
                                <w:sz w:val="20"/>
                                <w:szCs w:val="20"/>
                              </w:rPr>
                            </w:pPr>
                            <w:r w:rsidRPr="007E15F6">
                              <w:rPr>
                                <w:rFonts w:asciiTheme="majorHAnsi" w:hAnsiTheme="majorHAnsi" w:cstheme="majorHAnsi"/>
                                <w:sz w:val="20"/>
                                <w:szCs w:val="20"/>
                              </w:rPr>
                              <w:t>Family Tax Payment Part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05A71" id="Text Box 200" o:spid="_x0000_s1069" type="#_x0000_t202" style="position:absolute;margin-left:18.1pt;margin-top:16.55pt;width:142.35pt;height:8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" fillcolor="white [3201]" strokecolor="#ed7d31 [3205]" strokeweight=".5pt">
                <v:textbox>
                  <w:txbxContent>
                    <w:p w14:paraId="573F1A02" w14:textId="138044B4" w:rsidR="00C33FAA" w:rsidRPr="007E15F6" w:rsidRDefault="00C33FAA" w:rsidP="000767E4">
                      <w:pPr>
                        <w:jc w:val="right"/>
                        <w:rPr>
                          <w:rFonts w:asciiTheme="majorHAnsi" w:hAnsiTheme="majorHAnsi" w:cstheme="majorHAnsi"/>
                          <w:sz w:val="20"/>
                          <w:szCs w:val="20"/>
                        </w:rPr>
                      </w:pPr>
                      <w:r w:rsidRPr="007E15F6">
                        <w:rPr>
                          <w:rFonts w:asciiTheme="majorHAnsi" w:hAnsiTheme="majorHAnsi" w:cstheme="majorHAnsi"/>
                          <w:sz w:val="20"/>
                          <w:szCs w:val="20"/>
                        </w:rPr>
                        <w:t>Minimum Family Allowance</w:t>
                      </w:r>
                    </w:p>
                    <w:p w14:paraId="3AD870C0" w14:textId="3FFFD14C" w:rsidR="00C33FAA" w:rsidRPr="007E15F6" w:rsidRDefault="00C33FAA" w:rsidP="000767E4">
                      <w:pPr>
                        <w:jc w:val="right"/>
                        <w:rPr>
                          <w:rFonts w:asciiTheme="majorHAnsi" w:hAnsiTheme="majorHAnsi" w:cstheme="majorHAnsi"/>
                          <w:sz w:val="20"/>
                          <w:szCs w:val="20"/>
                        </w:rPr>
                      </w:pPr>
                      <w:r w:rsidRPr="007E15F6">
                        <w:rPr>
                          <w:rFonts w:asciiTheme="majorHAnsi" w:hAnsiTheme="majorHAnsi" w:cstheme="majorHAnsi"/>
                          <w:sz w:val="20"/>
                          <w:szCs w:val="20"/>
                        </w:rPr>
                        <w:t>Family  Allowance</w:t>
                      </w:r>
                    </w:p>
                    <w:p w14:paraId="540D28F3" w14:textId="1845A827" w:rsidR="00C33FAA" w:rsidRPr="007E15F6" w:rsidRDefault="00C33FAA" w:rsidP="000767E4">
                      <w:pPr>
                        <w:jc w:val="right"/>
                        <w:rPr>
                          <w:rFonts w:asciiTheme="majorHAnsi" w:hAnsiTheme="majorHAnsi" w:cstheme="majorHAnsi"/>
                          <w:sz w:val="20"/>
                          <w:szCs w:val="20"/>
                        </w:rPr>
                      </w:pPr>
                      <w:r w:rsidRPr="007E15F6">
                        <w:rPr>
                          <w:rFonts w:asciiTheme="majorHAnsi" w:hAnsiTheme="majorHAnsi" w:cstheme="majorHAnsi"/>
                          <w:sz w:val="20"/>
                          <w:szCs w:val="20"/>
                        </w:rPr>
                        <w:t>Family Tax Payment Part A</w:t>
                      </w:r>
                    </w:p>
                  </w:txbxContent>
                </v:textbox>
              </v:shape>
            </w:pict>
          </mc:Fallback>
        </mc:AlternateContent>
      </w:r>
      <w:r>
        <w:rPr>
          <w:noProof/>
          <w:lang w:eastAsia="en-AU"/>
        </w:rPr>
        <mc:AlternateContent>
          <mc:Choice Requires="wps">
            <w:drawing>
              <wp:anchor distT="0" distB="0" distL="114300" distR="114300" simplePos="0" relativeHeight="251658245" behindDoc="0" locked="0" layoutInCell="1" allowOverlap="1" wp14:anchorId="54A576BD" wp14:editId="7E904E9A">
                <wp:simplePos x="0" y="0"/>
                <wp:positionH relativeFrom="margin">
                  <wp:posOffset>2232025</wp:posOffset>
                </wp:positionH>
                <wp:positionV relativeFrom="paragraph">
                  <wp:posOffset>217297</wp:posOffset>
                </wp:positionV>
                <wp:extent cx="1224000" cy="1022400"/>
                <wp:effectExtent l="0" t="0" r="14605" b="25400"/>
                <wp:wrapNone/>
                <wp:docPr id="202" name="Text Box 202"/>
                <wp:cNvGraphicFramePr/>
                <a:graphic xmlns:a="http://schemas.openxmlformats.org/drawingml/2006/main">
                  <a:graphicData uri="http://schemas.microsoft.com/office/word/2010/wordprocessingShape">
                    <wps:wsp>
                      <wps:cNvSpPr txBox="1"/>
                      <wps:spPr>
                        <a:xfrm>
                          <a:off x="0" y="0"/>
                          <a:ext cx="1224000" cy="1022400"/>
                        </a:xfrm>
                        <a:prstGeom prst="rect">
                          <a:avLst/>
                        </a:prstGeom>
                        <a:solidFill>
                          <a:schemeClr val="accent2">
                            <a:lumMod val="20000"/>
                            <a:lumOff val="80000"/>
                          </a:schemeClr>
                        </a:solidFill>
                        <a:ln w="6350">
                          <a:solidFill>
                            <a:prstClr val="black"/>
                          </a:solidFill>
                        </a:ln>
                      </wps:spPr>
                      <wps:txbx>
                        <w:txbxContent>
                          <w:p w14:paraId="35FC9D8D" w14:textId="77777777" w:rsidR="00C33FAA" w:rsidRDefault="00C33FAA" w:rsidP="000B6E36">
                            <w:pPr>
                              <w:jc w:val="center"/>
                            </w:pPr>
                          </w:p>
                          <w:p w14:paraId="117A9388" w14:textId="6B73010F" w:rsidR="00C33FAA" w:rsidRPr="007E15F6" w:rsidRDefault="00C33FAA" w:rsidP="000B6E36">
                            <w:pPr>
                              <w:jc w:val="center"/>
                              <w:rPr>
                                <w:rFonts w:asciiTheme="majorHAnsi" w:hAnsiTheme="majorHAnsi" w:cstheme="majorHAnsi"/>
                                <w:b/>
                                <w:bCs/>
                                <w:sz w:val="20"/>
                                <w:szCs w:val="20"/>
                              </w:rPr>
                            </w:pPr>
                            <w:r w:rsidRPr="007E15F6">
                              <w:rPr>
                                <w:rFonts w:asciiTheme="majorHAnsi" w:hAnsiTheme="majorHAnsi" w:cstheme="majorHAnsi"/>
                                <w:b/>
                                <w:bCs/>
                                <w:sz w:val="20"/>
                                <w:szCs w:val="20"/>
                              </w:rPr>
                              <w:t>Family Tax Benefit Part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576BD" id="Text Box 202" o:spid="_x0000_s1070" type="#_x0000_t202" style="position:absolute;margin-left:175.75pt;margin-top:17.1pt;width:96.4pt;height:8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" fillcolor="#fbe4d5 [661]" strokeweight=".5pt">
                <v:textbox>
                  <w:txbxContent>
                    <w:p w14:paraId="35FC9D8D" w14:textId="77777777" w:rsidR="00C33FAA" w:rsidRDefault="00C33FAA" w:rsidP="000B6E36">
                      <w:pPr>
                        <w:jc w:val="center"/>
                      </w:pPr>
                    </w:p>
                    <w:p w14:paraId="117A9388" w14:textId="6B73010F" w:rsidR="00C33FAA" w:rsidRPr="007E15F6" w:rsidRDefault="00C33FAA" w:rsidP="000B6E36">
                      <w:pPr>
                        <w:jc w:val="center"/>
                        <w:rPr>
                          <w:rFonts w:asciiTheme="majorHAnsi" w:hAnsiTheme="majorHAnsi" w:cstheme="majorHAnsi"/>
                          <w:b/>
                          <w:bCs/>
                          <w:sz w:val="20"/>
                          <w:szCs w:val="20"/>
                        </w:rPr>
                      </w:pPr>
                      <w:r w:rsidRPr="007E15F6">
                        <w:rPr>
                          <w:rFonts w:asciiTheme="majorHAnsi" w:hAnsiTheme="majorHAnsi" w:cstheme="majorHAnsi"/>
                          <w:b/>
                          <w:bCs/>
                          <w:sz w:val="20"/>
                          <w:szCs w:val="20"/>
                        </w:rPr>
                        <w:t>Family Tax Benefit Part A</w:t>
                      </w:r>
                    </w:p>
                  </w:txbxContent>
                </v:textbox>
                <w10:wrap anchorx="margin"/>
              </v:shape>
            </w:pict>
          </mc:Fallback>
        </mc:AlternateContent>
      </w:r>
      <w:r>
        <w:rPr>
          <w:noProof/>
          <w:lang w:eastAsia="en-AU"/>
        </w:rPr>
        <mc:AlternateContent>
          <mc:Choice Requires="wps">
            <w:drawing>
              <wp:anchor distT="0" distB="0" distL="114300" distR="114300" simplePos="0" relativeHeight="251658247" behindDoc="0" locked="0" layoutInCell="1" allowOverlap="1" wp14:anchorId="1EFE1CC5" wp14:editId="01247671">
                <wp:simplePos x="0" y="0"/>
                <wp:positionH relativeFrom="column">
                  <wp:posOffset>3632200</wp:posOffset>
                </wp:positionH>
                <wp:positionV relativeFrom="paragraph">
                  <wp:posOffset>234315</wp:posOffset>
                </wp:positionV>
                <wp:extent cx="1807535" cy="1022400"/>
                <wp:effectExtent l="0" t="0" r="21590" b="25400"/>
                <wp:wrapNone/>
                <wp:docPr id="204" name="Text Box 204"/>
                <wp:cNvGraphicFramePr/>
                <a:graphic xmlns:a="http://schemas.openxmlformats.org/drawingml/2006/main">
                  <a:graphicData uri="http://schemas.microsoft.com/office/word/2010/wordprocessingShape">
                    <wps:wsp>
                      <wps:cNvSpPr txBox="1"/>
                      <wps:spPr>
                        <a:xfrm>
                          <a:off x="0" y="0"/>
                          <a:ext cx="1807535" cy="1022400"/>
                        </a:xfrm>
                        <a:prstGeom prst="rect">
                          <a:avLst/>
                        </a:prstGeom>
                        <a:solidFill>
                          <a:schemeClr val="lt1"/>
                        </a:solidFill>
                        <a:ln w="6350">
                          <a:solidFill>
                            <a:schemeClr val="accent2"/>
                          </a:solidFill>
                        </a:ln>
                      </wps:spPr>
                      <wps:txbx>
                        <w:txbxContent>
                          <w:p w14:paraId="5968B436" w14:textId="20323C6A" w:rsidR="00C33FAA" w:rsidRPr="007E15F6" w:rsidRDefault="00C33FAA" w:rsidP="000B6E36">
                            <w:pPr>
                              <w:jc w:val="right"/>
                              <w:rPr>
                                <w:rFonts w:asciiTheme="majorHAnsi" w:hAnsiTheme="majorHAnsi" w:cstheme="majorHAnsi"/>
                                <w:sz w:val="20"/>
                                <w:szCs w:val="20"/>
                              </w:rPr>
                            </w:pPr>
                            <w:r w:rsidRPr="007E15F6">
                              <w:rPr>
                                <w:rFonts w:asciiTheme="majorHAnsi" w:hAnsiTheme="majorHAnsi" w:cstheme="majorHAnsi"/>
                                <w:sz w:val="20"/>
                                <w:szCs w:val="20"/>
                              </w:rPr>
                              <w:t>Family Tax Assistance Part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E1CC5" id="Text Box 204" o:spid="_x0000_s1071" type="#_x0000_t202" style="position:absolute;margin-left:286pt;margin-top:18.45pt;width:142.35pt;height:8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" fillcolor="white [3201]" strokecolor="#ed7d31 [3205]" strokeweight=".5pt">
                <v:textbox>
                  <w:txbxContent>
                    <w:p w14:paraId="5968B436" w14:textId="20323C6A" w:rsidR="00C33FAA" w:rsidRPr="007E15F6" w:rsidRDefault="00C33FAA" w:rsidP="000B6E36">
                      <w:pPr>
                        <w:jc w:val="right"/>
                        <w:rPr>
                          <w:rFonts w:asciiTheme="majorHAnsi" w:hAnsiTheme="majorHAnsi" w:cstheme="majorHAnsi"/>
                          <w:sz w:val="20"/>
                          <w:szCs w:val="20"/>
                        </w:rPr>
                      </w:pPr>
                      <w:r w:rsidRPr="007E15F6">
                        <w:rPr>
                          <w:rFonts w:asciiTheme="majorHAnsi" w:hAnsiTheme="majorHAnsi" w:cstheme="majorHAnsi"/>
                          <w:sz w:val="20"/>
                          <w:szCs w:val="20"/>
                        </w:rPr>
                        <w:t>Family Tax Assistance Part A</w:t>
                      </w:r>
                    </w:p>
                  </w:txbxContent>
                </v:textbox>
              </v:shape>
            </w:pict>
          </mc:Fallback>
        </mc:AlternateContent>
      </w:r>
    </w:p>
    <w:p w14:paraId="5A620B92" w14:textId="15B345CD" w:rsidR="000767E4" w:rsidRDefault="000767E4" w:rsidP="00BC5105">
      <w:pPr>
        <w:spacing w:line="276" w:lineRule="auto"/>
      </w:pPr>
    </w:p>
    <w:p w14:paraId="24FF5213" w14:textId="68375256" w:rsidR="000767E4" w:rsidRDefault="000B6E36" w:rsidP="00BC5105">
      <w:pPr>
        <w:spacing w:line="276" w:lineRule="auto"/>
      </w:pPr>
      <w:r>
        <w:rPr>
          <w:noProof/>
          <w:lang w:eastAsia="en-AU"/>
        </w:rPr>
        <mc:AlternateContent>
          <mc:Choice Requires="wps">
            <w:drawing>
              <wp:anchor distT="0" distB="0" distL="114300" distR="114300" simplePos="0" relativeHeight="251658253" behindDoc="0" locked="0" layoutInCell="1" allowOverlap="1" wp14:anchorId="50965555" wp14:editId="6EE07057">
                <wp:simplePos x="0" y="0"/>
                <wp:positionH relativeFrom="column">
                  <wp:posOffset>3466987</wp:posOffset>
                </wp:positionH>
                <wp:positionV relativeFrom="paragraph">
                  <wp:posOffset>143220</wp:posOffset>
                </wp:positionV>
                <wp:extent cx="182144" cy="0"/>
                <wp:effectExtent l="38100" t="76200" r="0" b="95250"/>
                <wp:wrapNone/>
                <wp:docPr id="211" name="Straight Arrow Connector 211"/>
                <wp:cNvGraphicFramePr/>
                <a:graphic xmlns:a="http://schemas.openxmlformats.org/drawingml/2006/main">
                  <a:graphicData uri="http://schemas.microsoft.com/office/word/2010/wordprocessingShape">
                    <wps:wsp>
                      <wps:cNvCnPr/>
                      <wps:spPr>
                        <a:xfrm flipH="1">
                          <a:off x="0" y="0"/>
                          <a:ext cx="182144"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509D1" id="Straight Arrow Connector 211" o:spid="_x0000_s1026" type="#_x0000_t32" style="position:absolute;margin-left:273pt;margin-top:11.3pt;width:14.35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" strokecolor="#ed7d31 [3205]" strokeweight=".5pt">
                <v:stroke endarrow="block" joinstyle="miter"/>
              </v:shape>
            </w:pict>
          </mc:Fallback>
        </mc:AlternateContent>
      </w:r>
      <w:r>
        <w:rPr>
          <w:noProof/>
          <w:lang w:eastAsia="en-AU"/>
        </w:rPr>
        <mc:AlternateContent>
          <mc:Choice Requires="wps">
            <w:drawing>
              <wp:anchor distT="0" distB="0" distL="114300" distR="114300" simplePos="0" relativeHeight="251658251" behindDoc="0" locked="0" layoutInCell="1" allowOverlap="1" wp14:anchorId="692761F1" wp14:editId="3342A8A7">
                <wp:simplePos x="0" y="0"/>
                <wp:positionH relativeFrom="column">
                  <wp:posOffset>2033981</wp:posOffset>
                </wp:positionH>
                <wp:positionV relativeFrom="paragraph">
                  <wp:posOffset>113309</wp:posOffset>
                </wp:positionV>
                <wp:extent cx="167894" cy="0"/>
                <wp:effectExtent l="0" t="76200" r="22860" b="95250"/>
                <wp:wrapNone/>
                <wp:docPr id="208" name="Straight Arrow Connector 208"/>
                <wp:cNvGraphicFramePr/>
                <a:graphic xmlns:a="http://schemas.openxmlformats.org/drawingml/2006/main">
                  <a:graphicData uri="http://schemas.microsoft.com/office/word/2010/wordprocessingShape">
                    <wps:wsp>
                      <wps:cNvCnPr/>
                      <wps:spPr>
                        <a:xfrm>
                          <a:off x="0" y="0"/>
                          <a:ext cx="167894"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BF8B171" id="Straight Arrow Connector 208" o:spid="_x0000_s1026" type="#_x0000_t32" style="position:absolute;margin-left:160.15pt;margin-top:8.9pt;width:13.2pt;height:0;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" strokecolor="#ed7d31 [3205]" strokeweight=".5pt">
                <v:stroke endarrow="block" joinstyle="miter"/>
              </v:shape>
            </w:pict>
          </mc:Fallback>
        </mc:AlternateContent>
      </w:r>
    </w:p>
    <w:p w14:paraId="7A4544FE" w14:textId="4E5ACCCE" w:rsidR="000767E4" w:rsidRDefault="000767E4" w:rsidP="00BC5105">
      <w:pPr>
        <w:spacing w:line="276" w:lineRule="auto"/>
      </w:pPr>
    </w:p>
    <w:p w14:paraId="6D71F2CB" w14:textId="087D6432" w:rsidR="000767E4" w:rsidRDefault="000B6E36" w:rsidP="00BC5105">
      <w:pPr>
        <w:spacing w:line="276" w:lineRule="auto"/>
      </w:pPr>
      <w:r>
        <w:rPr>
          <w:noProof/>
          <w:lang w:eastAsia="en-AU"/>
        </w:rPr>
        <mc:AlternateContent>
          <mc:Choice Requires="wps">
            <w:drawing>
              <wp:anchor distT="0" distB="0" distL="114300" distR="114300" simplePos="0" relativeHeight="251658246" behindDoc="0" locked="0" layoutInCell="1" allowOverlap="1" wp14:anchorId="4A26519F" wp14:editId="1F4CD507">
                <wp:simplePos x="0" y="0"/>
                <wp:positionH relativeFrom="margin">
                  <wp:posOffset>2232025</wp:posOffset>
                </wp:positionH>
                <wp:positionV relativeFrom="paragraph">
                  <wp:posOffset>180340</wp:posOffset>
                </wp:positionV>
                <wp:extent cx="1224000" cy="1022400"/>
                <wp:effectExtent l="0" t="0" r="14605" b="25400"/>
                <wp:wrapNone/>
                <wp:docPr id="203" name="Text Box 203"/>
                <wp:cNvGraphicFramePr/>
                <a:graphic xmlns:a="http://schemas.openxmlformats.org/drawingml/2006/main">
                  <a:graphicData uri="http://schemas.microsoft.com/office/word/2010/wordprocessingShape">
                    <wps:wsp>
                      <wps:cNvSpPr txBox="1"/>
                      <wps:spPr>
                        <a:xfrm>
                          <a:off x="0" y="0"/>
                          <a:ext cx="1224000" cy="1022400"/>
                        </a:xfrm>
                        <a:prstGeom prst="rect">
                          <a:avLst/>
                        </a:prstGeom>
                        <a:solidFill>
                          <a:schemeClr val="accent2">
                            <a:lumMod val="20000"/>
                            <a:lumOff val="80000"/>
                          </a:schemeClr>
                        </a:solidFill>
                        <a:ln w="6350">
                          <a:solidFill>
                            <a:prstClr val="black"/>
                          </a:solidFill>
                        </a:ln>
                      </wps:spPr>
                      <wps:txbx>
                        <w:txbxContent>
                          <w:p w14:paraId="359175B9" w14:textId="77777777" w:rsidR="00C33FAA" w:rsidRDefault="00C33FAA" w:rsidP="000B6E36">
                            <w:pPr>
                              <w:jc w:val="center"/>
                            </w:pPr>
                          </w:p>
                          <w:p w14:paraId="285E08E2" w14:textId="60F6B538" w:rsidR="00C33FAA" w:rsidRPr="007E15F6" w:rsidRDefault="00C33FAA" w:rsidP="000B6E36">
                            <w:pPr>
                              <w:jc w:val="center"/>
                              <w:rPr>
                                <w:rFonts w:asciiTheme="majorHAnsi" w:hAnsiTheme="majorHAnsi" w:cstheme="majorHAnsi"/>
                                <w:b/>
                                <w:bCs/>
                                <w:sz w:val="20"/>
                                <w:szCs w:val="20"/>
                              </w:rPr>
                            </w:pPr>
                            <w:r w:rsidRPr="007E15F6">
                              <w:rPr>
                                <w:rFonts w:asciiTheme="majorHAnsi" w:hAnsiTheme="majorHAnsi" w:cstheme="majorHAnsi"/>
                                <w:b/>
                                <w:bCs/>
                                <w:sz w:val="20"/>
                                <w:szCs w:val="20"/>
                              </w:rPr>
                              <w:t>Family Tax Benefit Part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519F" id="Text Box 203" o:spid="_x0000_s1072" type="#_x0000_t202" style="position:absolute;margin-left:175.75pt;margin-top:14.2pt;width:96.4pt;height:80.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" fillcolor="#fbe4d5 [661]" strokeweight=".5pt">
                <v:textbox>
                  <w:txbxContent>
                    <w:p w14:paraId="359175B9" w14:textId="77777777" w:rsidR="00C33FAA" w:rsidRDefault="00C33FAA" w:rsidP="000B6E36">
                      <w:pPr>
                        <w:jc w:val="center"/>
                      </w:pPr>
                    </w:p>
                    <w:p w14:paraId="285E08E2" w14:textId="60F6B538" w:rsidR="00C33FAA" w:rsidRPr="007E15F6" w:rsidRDefault="00C33FAA" w:rsidP="000B6E36">
                      <w:pPr>
                        <w:jc w:val="center"/>
                        <w:rPr>
                          <w:rFonts w:asciiTheme="majorHAnsi" w:hAnsiTheme="majorHAnsi" w:cstheme="majorHAnsi"/>
                          <w:b/>
                          <w:bCs/>
                          <w:sz w:val="20"/>
                          <w:szCs w:val="20"/>
                        </w:rPr>
                      </w:pPr>
                      <w:r w:rsidRPr="007E15F6">
                        <w:rPr>
                          <w:rFonts w:asciiTheme="majorHAnsi" w:hAnsiTheme="majorHAnsi" w:cstheme="majorHAnsi"/>
                          <w:b/>
                          <w:bCs/>
                          <w:sz w:val="20"/>
                          <w:szCs w:val="20"/>
                        </w:rPr>
                        <w:t>Family Tax Benefit Part B</w:t>
                      </w:r>
                    </w:p>
                  </w:txbxContent>
                </v:textbox>
                <w10:wrap anchorx="margin"/>
              </v:shape>
            </w:pict>
          </mc:Fallback>
        </mc:AlternateContent>
      </w:r>
      <w:r>
        <w:rPr>
          <w:noProof/>
          <w:lang w:eastAsia="en-AU"/>
        </w:rPr>
        <mc:AlternateContent>
          <mc:Choice Requires="wps">
            <w:drawing>
              <wp:anchor distT="0" distB="0" distL="114300" distR="114300" simplePos="0" relativeHeight="251658244" behindDoc="0" locked="0" layoutInCell="1" allowOverlap="1" wp14:anchorId="23DF5CF0" wp14:editId="61953685">
                <wp:simplePos x="0" y="0"/>
                <wp:positionH relativeFrom="column">
                  <wp:posOffset>229063</wp:posOffset>
                </wp:positionH>
                <wp:positionV relativeFrom="paragraph">
                  <wp:posOffset>172009</wp:posOffset>
                </wp:positionV>
                <wp:extent cx="1807535" cy="1022400"/>
                <wp:effectExtent l="0" t="0" r="21590" b="25400"/>
                <wp:wrapNone/>
                <wp:docPr id="201" name="Text Box 201"/>
                <wp:cNvGraphicFramePr/>
                <a:graphic xmlns:a="http://schemas.openxmlformats.org/drawingml/2006/main">
                  <a:graphicData uri="http://schemas.microsoft.com/office/word/2010/wordprocessingShape">
                    <wps:wsp>
                      <wps:cNvSpPr txBox="1"/>
                      <wps:spPr>
                        <a:xfrm>
                          <a:off x="0" y="0"/>
                          <a:ext cx="1807535" cy="1022400"/>
                        </a:xfrm>
                        <a:prstGeom prst="rect">
                          <a:avLst/>
                        </a:prstGeom>
                        <a:solidFill>
                          <a:schemeClr val="lt1"/>
                        </a:solidFill>
                        <a:ln w="6350">
                          <a:solidFill>
                            <a:schemeClr val="accent2"/>
                          </a:solidFill>
                        </a:ln>
                      </wps:spPr>
                      <wps:txbx>
                        <w:txbxContent>
                          <w:p w14:paraId="2199D356" w14:textId="4761C938" w:rsidR="00C33FAA" w:rsidRPr="007E15F6" w:rsidRDefault="00C33FAA" w:rsidP="000B6E36">
                            <w:pPr>
                              <w:spacing w:line="276" w:lineRule="auto"/>
                              <w:jc w:val="right"/>
                              <w:rPr>
                                <w:rFonts w:asciiTheme="majorHAnsi" w:hAnsiTheme="majorHAnsi" w:cstheme="majorHAnsi"/>
                                <w:sz w:val="20"/>
                                <w:szCs w:val="20"/>
                              </w:rPr>
                            </w:pPr>
                            <w:r w:rsidRPr="007E15F6">
                              <w:rPr>
                                <w:rFonts w:asciiTheme="majorHAnsi" w:hAnsiTheme="majorHAnsi" w:cstheme="majorHAnsi"/>
                                <w:sz w:val="20"/>
                                <w:szCs w:val="20"/>
                              </w:rPr>
                              <w:t>Basic Parenting Payment</w:t>
                            </w:r>
                          </w:p>
                          <w:p w14:paraId="254D46DC" w14:textId="7297A0CB" w:rsidR="00C33FAA" w:rsidRPr="007E15F6" w:rsidRDefault="00C33FAA" w:rsidP="000B6E36">
                            <w:pPr>
                              <w:spacing w:line="276" w:lineRule="auto"/>
                              <w:jc w:val="right"/>
                              <w:rPr>
                                <w:rFonts w:asciiTheme="majorHAnsi" w:hAnsiTheme="majorHAnsi" w:cstheme="majorHAnsi"/>
                                <w:sz w:val="20"/>
                                <w:szCs w:val="20"/>
                              </w:rPr>
                            </w:pPr>
                            <w:r w:rsidRPr="007E15F6">
                              <w:rPr>
                                <w:rFonts w:asciiTheme="majorHAnsi" w:hAnsiTheme="majorHAnsi" w:cstheme="majorHAnsi"/>
                                <w:sz w:val="20"/>
                                <w:szCs w:val="20"/>
                              </w:rPr>
                              <w:t>Guardian Allowance</w:t>
                            </w:r>
                          </w:p>
                          <w:p w14:paraId="20A43DBD" w14:textId="33063D7B" w:rsidR="00C33FAA" w:rsidRPr="000B6E36" w:rsidRDefault="00C33FAA" w:rsidP="000B6E36">
                            <w:pPr>
                              <w:spacing w:line="276" w:lineRule="auto"/>
                              <w:jc w:val="right"/>
                              <w:rPr>
                                <w:rFonts w:asciiTheme="majorHAnsi" w:hAnsiTheme="majorHAnsi" w:cstheme="majorHAnsi"/>
                              </w:rPr>
                            </w:pPr>
                            <w:r w:rsidRPr="007E15F6">
                              <w:rPr>
                                <w:rFonts w:asciiTheme="majorHAnsi" w:hAnsiTheme="majorHAnsi" w:cstheme="majorHAnsi"/>
                                <w:sz w:val="20"/>
                                <w:szCs w:val="20"/>
                              </w:rPr>
                              <w:t>Family Tax Payment Part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5CF0" id="Text Box 201" o:spid="_x0000_s1073" type="#_x0000_t202" style="position:absolute;margin-left:18.05pt;margin-top:13.55pt;width:142.35pt;height:8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" fillcolor="white [3201]" strokecolor="#ed7d31 [3205]" strokeweight=".5pt">
                <v:textbox>
                  <w:txbxContent>
                    <w:p w14:paraId="2199D356" w14:textId="4761C938" w:rsidR="00C33FAA" w:rsidRPr="007E15F6" w:rsidRDefault="00C33FAA" w:rsidP="000B6E36">
                      <w:pPr>
                        <w:spacing w:line="276" w:lineRule="auto"/>
                        <w:jc w:val="right"/>
                        <w:rPr>
                          <w:rFonts w:asciiTheme="majorHAnsi" w:hAnsiTheme="majorHAnsi" w:cstheme="majorHAnsi"/>
                          <w:sz w:val="20"/>
                          <w:szCs w:val="20"/>
                        </w:rPr>
                      </w:pPr>
                      <w:r w:rsidRPr="007E15F6">
                        <w:rPr>
                          <w:rFonts w:asciiTheme="majorHAnsi" w:hAnsiTheme="majorHAnsi" w:cstheme="majorHAnsi"/>
                          <w:sz w:val="20"/>
                          <w:szCs w:val="20"/>
                        </w:rPr>
                        <w:t>Basic Parenting Payment</w:t>
                      </w:r>
                    </w:p>
                    <w:p w14:paraId="254D46DC" w14:textId="7297A0CB" w:rsidR="00C33FAA" w:rsidRPr="007E15F6" w:rsidRDefault="00C33FAA" w:rsidP="000B6E36">
                      <w:pPr>
                        <w:spacing w:line="276" w:lineRule="auto"/>
                        <w:jc w:val="right"/>
                        <w:rPr>
                          <w:rFonts w:asciiTheme="majorHAnsi" w:hAnsiTheme="majorHAnsi" w:cstheme="majorHAnsi"/>
                          <w:sz w:val="20"/>
                          <w:szCs w:val="20"/>
                        </w:rPr>
                      </w:pPr>
                      <w:r w:rsidRPr="007E15F6">
                        <w:rPr>
                          <w:rFonts w:asciiTheme="majorHAnsi" w:hAnsiTheme="majorHAnsi" w:cstheme="majorHAnsi"/>
                          <w:sz w:val="20"/>
                          <w:szCs w:val="20"/>
                        </w:rPr>
                        <w:t>Guardian Allowance</w:t>
                      </w:r>
                    </w:p>
                    <w:p w14:paraId="20A43DBD" w14:textId="33063D7B" w:rsidR="00C33FAA" w:rsidRPr="000B6E36" w:rsidRDefault="00C33FAA" w:rsidP="000B6E36">
                      <w:pPr>
                        <w:spacing w:line="276" w:lineRule="auto"/>
                        <w:jc w:val="right"/>
                        <w:rPr>
                          <w:rFonts w:asciiTheme="majorHAnsi" w:hAnsiTheme="majorHAnsi" w:cstheme="majorHAnsi"/>
                        </w:rPr>
                      </w:pPr>
                      <w:r w:rsidRPr="007E15F6">
                        <w:rPr>
                          <w:rFonts w:asciiTheme="majorHAnsi" w:hAnsiTheme="majorHAnsi" w:cstheme="majorHAnsi"/>
                          <w:sz w:val="20"/>
                          <w:szCs w:val="20"/>
                        </w:rPr>
                        <w:t>Family Tax Payment Part B</w:t>
                      </w:r>
                    </w:p>
                  </w:txbxContent>
                </v:textbox>
              </v:shape>
            </w:pict>
          </mc:Fallback>
        </mc:AlternateContent>
      </w:r>
      <w:r>
        <w:rPr>
          <w:noProof/>
          <w:lang w:eastAsia="en-AU"/>
        </w:rPr>
        <mc:AlternateContent>
          <mc:Choice Requires="wps">
            <w:drawing>
              <wp:anchor distT="0" distB="0" distL="114300" distR="114300" simplePos="0" relativeHeight="251658248" behindDoc="0" locked="0" layoutInCell="1" allowOverlap="1" wp14:anchorId="596130D7" wp14:editId="3459895F">
                <wp:simplePos x="0" y="0"/>
                <wp:positionH relativeFrom="column">
                  <wp:posOffset>3646805</wp:posOffset>
                </wp:positionH>
                <wp:positionV relativeFrom="paragraph">
                  <wp:posOffset>179857</wp:posOffset>
                </wp:positionV>
                <wp:extent cx="1807210" cy="1023846"/>
                <wp:effectExtent l="0" t="0" r="21590" b="24130"/>
                <wp:wrapNone/>
                <wp:docPr id="205" name="Text Box 205"/>
                <wp:cNvGraphicFramePr/>
                <a:graphic xmlns:a="http://schemas.openxmlformats.org/drawingml/2006/main">
                  <a:graphicData uri="http://schemas.microsoft.com/office/word/2010/wordprocessingShape">
                    <wps:wsp>
                      <wps:cNvSpPr txBox="1"/>
                      <wps:spPr>
                        <a:xfrm>
                          <a:off x="0" y="0"/>
                          <a:ext cx="1807210" cy="1023846"/>
                        </a:xfrm>
                        <a:prstGeom prst="rect">
                          <a:avLst/>
                        </a:prstGeom>
                        <a:solidFill>
                          <a:schemeClr val="lt1"/>
                        </a:solidFill>
                        <a:ln w="6350">
                          <a:solidFill>
                            <a:schemeClr val="accent2"/>
                          </a:solidFill>
                        </a:ln>
                      </wps:spPr>
                      <wps:txbx>
                        <w:txbxContent>
                          <w:p w14:paraId="0736E802" w14:textId="749AC996" w:rsidR="00C33FAA" w:rsidRPr="007E15F6" w:rsidRDefault="00C33FAA" w:rsidP="000B6E36">
                            <w:pPr>
                              <w:spacing w:line="240" w:lineRule="auto"/>
                              <w:jc w:val="right"/>
                              <w:rPr>
                                <w:rFonts w:asciiTheme="majorHAnsi" w:hAnsiTheme="majorHAnsi" w:cstheme="majorHAnsi"/>
                                <w:sz w:val="20"/>
                                <w:szCs w:val="20"/>
                              </w:rPr>
                            </w:pPr>
                            <w:r w:rsidRPr="007E15F6">
                              <w:rPr>
                                <w:rFonts w:asciiTheme="majorHAnsi" w:hAnsiTheme="majorHAnsi" w:cstheme="majorHAnsi"/>
                                <w:sz w:val="20"/>
                                <w:szCs w:val="20"/>
                              </w:rPr>
                              <w:t>Dependent Spouse Rebate (with children)</w:t>
                            </w:r>
                          </w:p>
                          <w:p w14:paraId="71346C96" w14:textId="3ADA80BE" w:rsidR="00C33FAA" w:rsidRPr="007E15F6" w:rsidRDefault="00C33FAA" w:rsidP="000B6E36">
                            <w:pPr>
                              <w:spacing w:line="240" w:lineRule="auto"/>
                              <w:jc w:val="right"/>
                              <w:rPr>
                                <w:rFonts w:asciiTheme="majorHAnsi" w:hAnsiTheme="majorHAnsi" w:cstheme="majorHAnsi"/>
                                <w:sz w:val="20"/>
                                <w:szCs w:val="20"/>
                              </w:rPr>
                            </w:pPr>
                            <w:r w:rsidRPr="007E15F6">
                              <w:rPr>
                                <w:rFonts w:asciiTheme="majorHAnsi" w:hAnsiTheme="majorHAnsi" w:cstheme="majorHAnsi"/>
                                <w:sz w:val="20"/>
                                <w:szCs w:val="20"/>
                              </w:rPr>
                              <w:t>Sole Parent Rebate</w:t>
                            </w:r>
                          </w:p>
                          <w:p w14:paraId="6B89C765" w14:textId="1BC54B9D" w:rsidR="00C33FAA" w:rsidRPr="007E15F6" w:rsidRDefault="00C33FAA" w:rsidP="000B6E36">
                            <w:pPr>
                              <w:spacing w:line="240" w:lineRule="auto"/>
                              <w:jc w:val="right"/>
                              <w:rPr>
                                <w:rFonts w:asciiTheme="majorHAnsi" w:hAnsiTheme="majorHAnsi" w:cstheme="majorHAnsi"/>
                                <w:sz w:val="20"/>
                                <w:szCs w:val="20"/>
                              </w:rPr>
                            </w:pPr>
                            <w:r w:rsidRPr="007E15F6">
                              <w:rPr>
                                <w:rFonts w:asciiTheme="majorHAnsi" w:hAnsiTheme="majorHAnsi" w:cstheme="majorHAnsi"/>
                                <w:sz w:val="20"/>
                                <w:szCs w:val="20"/>
                              </w:rPr>
                              <w:t>Family Tax Assistance Part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30D7" id="Text Box 205" o:spid="_x0000_s1074" type="#_x0000_t202" style="position:absolute;margin-left:287.15pt;margin-top:14.15pt;width:142.3pt;height:80.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" fillcolor="white [3201]" strokecolor="#ed7d31 [3205]" strokeweight=".5pt">
                <v:textbox>
                  <w:txbxContent>
                    <w:p w14:paraId="0736E802" w14:textId="749AC996" w:rsidR="00C33FAA" w:rsidRPr="007E15F6" w:rsidRDefault="00C33FAA" w:rsidP="000B6E36">
                      <w:pPr>
                        <w:spacing w:line="240" w:lineRule="auto"/>
                        <w:jc w:val="right"/>
                        <w:rPr>
                          <w:rFonts w:asciiTheme="majorHAnsi" w:hAnsiTheme="majorHAnsi" w:cstheme="majorHAnsi"/>
                          <w:sz w:val="20"/>
                          <w:szCs w:val="20"/>
                        </w:rPr>
                      </w:pPr>
                      <w:r w:rsidRPr="007E15F6">
                        <w:rPr>
                          <w:rFonts w:asciiTheme="majorHAnsi" w:hAnsiTheme="majorHAnsi" w:cstheme="majorHAnsi"/>
                          <w:sz w:val="20"/>
                          <w:szCs w:val="20"/>
                        </w:rPr>
                        <w:t>Dependent Spouse Rebate (with children)</w:t>
                      </w:r>
                    </w:p>
                    <w:p w14:paraId="71346C96" w14:textId="3ADA80BE" w:rsidR="00C33FAA" w:rsidRPr="007E15F6" w:rsidRDefault="00C33FAA" w:rsidP="000B6E36">
                      <w:pPr>
                        <w:spacing w:line="240" w:lineRule="auto"/>
                        <w:jc w:val="right"/>
                        <w:rPr>
                          <w:rFonts w:asciiTheme="majorHAnsi" w:hAnsiTheme="majorHAnsi" w:cstheme="majorHAnsi"/>
                          <w:sz w:val="20"/>
                          <w:szCs w:val="20"/>
                        </w:rPr>
                      </w:pPr>
                      <w:r w:rsidRPr="007E15F6">
                        <w:rPr>
                          <w:rFonts w:asciiTheme="majorHAnsi" w:hAnsiTheme="majorHAnsi" w:cstheme="majorHAnsi"/>
                          <w:sz w:val="20"/>
                          <w:szCs w:val="20"/>
                        </w:rPr>
                        <w:t>Sole Parent Rebate</w:t>
                      </w:r>
                    </w:p>
                    <w:p w14:paraId="6B89C765" w14:textId="1BC54B9D" w:rsidR="00C33FAA" w:rsidRPr="007E15F6" w:rsidRDefault="00C33FAA" w:rsidP="000B6E36">
                      <w:pPr>
                        <w:spacing w:line="240" w:lineRule="auto"/>
                        <w:jc w:val="right"/>
                        <w:rPr>
                          <w:rFonts w:asciiTheme="majorHAnsi" w:hAnsiTheme="majorHAnsi" w:cstheme="majorHAnsi"/>
                          <w:sz w:val="20"/>
                          <w:szCs w:val="20"/>
                        </w:rPr>
                      </w:pPr>
                      <w:r w:rsidRPr="007E15F6">
                        <w:rPr>
                          <w:rFonts w:asciiTheme="majorHAnsi" w:hAnsiTheme="majorHAnsi" w:cstheme="majorHAnsi"/>
                          <w:sz w:val="20"/>
                          <w:szCs w:val="20"/>
                        </w:rPr>
                        <w:t>Family Tax Assistance Part B</w:t>
                      </w:r>
                    </w:p>
                  </w:txbxContent>
                </v:textbox>
              </v:shape>
            </w:pict>
          </mc:Fallback>
        </mc:AlternateContent>
      </w:r>
    </w:p>
    <w:p w14:paraId="061FD271" w14:textId="3D315278" w:rsidR="000767E4" w:rsidRDefault="000767E4" w:rsidP="00BC5105">
      <w:pPr>
        <w:spacing w:line="276" w:lineRule="auto"/>
      </w:pPr>
    </w:p>
    <w:p w14:paraId="5666E3AC" w14:textId="7E256EF9" w:rsidR="000767E4" w:rsidRDefault="000B6E36" w:rsidP="00BC5105">
      <w:pPr>
        <w:spacing w:line="276" w:lineRule="auto"/>
      </w:pPr>
      <w:r>
        <w:rPr>
          <w:noProof/>
          <w:lang w:eastAsia="en-AU"/>
        </w:rPr>
        <mc:AlternateContent>
          <mc:Choice Requires="wps">
            <w:drawing>
              <wp:anchor distT="0" distB="0" distL="114300" distR="114300" simplePos="0" relativeHeight="251658254" behindDoc="0" locked="0" layoutInCell="1" allowOverlap="1" wp14:anchorId="21EF720C" wp14:editId="69F7E16B">
                <wp:simplePos x="0" y="0"/>
                <wp:positionH relativeFrom="column">
                  <wp:posOffset>3466363</wp:posOffset>
                </wp:positionH>
                <wp:positionV relativeFrom="paragraph">
                  <wp:posOffset>51003</wp:posOffset>
                </wp:positionV>
                <wp:extent cx="182144" cy="0"/>
                <wp:effectExtent l="38100" t="76200" r="0" b="95250"/>
                <wp:wrapNone/>
                <wp:docPr id="212" name="Straight Arrow Connector 212"/>
                <wp:cNvGraphicFramePr/>
                <a:graphic xmlns:a="http://schemas.openxmlformats.org/drawingml/2006/main">
                  <a:graphicData uri="http://schemas.microsoft.com/office/word/2010/wordprocessingShape">
                    <wps:wsp>
                      <wps:cNvCnPr/>
                      <wps:spPr>
                        <a:xfrm flipH="1">
                          <a:off x="0" y="0"/>
                          <a:ext cx="182144"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70E5985" id="Straight Arrow Connector 212" o:spid="_x0000_s1026" type="#_x0000_t32" style="position:absolute;margin-left:272.95pt;margin-top:4pt;width:14.35pt;height:0;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" strokecolor="#ed7d31 [3205]" strokeweight=".5pt">
                <v:stroke endarrow="block" joinstyle="miter"/>
              </v:shape>
            </w:pict>
          </mc:Fallback>
        </mc:AlternateContent>
      </w:r>
      <w:r>
        <w:rPr>
          <w:noProof/>
          <w:lang w:eastAsia="en-AU"/>
        </w:rPr>
        <mc:AlternateContent>
          <mc:Choice Requires="wps">
            <w:drawing>
              <wp:anchor distT="0" distB="0" distL="114300" distR="114300" simplePos="0" relativeHeight="251658252" behindDoc="0" locked="0" layoutInCell="1" allowOverlap="1" wp14:anchorId="32A25EDA" wp14:editId="658FB2E4">
                <wp:simplePos x="0" y="0"/>
                <wp:positionH relativeFrom="column">
                  <wp:posOffset>2032051</wp:posOffset>
                </wp:positionH>
                <wp:positionV relativeFrom="paragraph">
                  <wp:posOffset>47955</wp:posOffset>
                </wp:positionV>
                <wp:extent cx="167894" cy="0"/>
                <wp:effectExtent l="0" t="76200" r="22860" b="95250"/>
                <wp:wrapNone/>
                <wp:docPr id="209" name="Straight Arrow Connector 209"/>
                <wp:cNvGraphicFramePr/>
                <a:graphic xmlns:a="http://schemas.openxmlformats.org/drawingml/2006/main">
                  <a:graphicData uri="http://schemas.microsoft.com/office/word/2010/wordprocessingShape">
                    <wps:wsp>
                      <wps:cNvCnPr/>
                      <wps:spPr>
                        <a:xfrm>
                          <a:off x="0" y="0"/>
                          <a:ext cx="167894"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621E5" id="Straight Arrow Connector 209" o:spid="_x0000_s1026" type="#_x0000_t32" style="position:absolute;margin-left:160pt;margin-top:3.8pt;width:13.2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" strokecolor="#ed7d31 [3205]" strokeweight=".5pt">
                <v:stroke endarrow="block" joinstyle="miter"/>
              </v:shape>
            </w:pict>
          </mc:Fallback>
        </mc:AlternateContent>
      </w:r>
    </w:p>
    <w:p w14:paraId="5C188A25" w14:textId="77777777" w:rsidR="000767E4" w:rsidRPr="000767E4" w:rsidRDefault="000767E4" w:rsidP="00BC5105">
      <w:pPr>
        <w:spacing w:line="276" w:lineRule="auto"/>
      </w:pPr>
    </w:p>
    <w:p w14:paraId="4A9120EB" w14:textId="1BB7BC01" w:rsidR="00F31FC5" w:rsidRDefault="00F31FC5" w:rsidP="00BC5105">
      <w:pPr>
        <w:shd w:val="clear" w:color="auto" w:fill="FFFFFF"/>
        <w:spacing w:after="300" w:line="276" w:lineRule="auto"/>
      </w:pPr>
    </w:p>
    <w:p w14:paraId="3CA8B6E8" w14:textId="40115EB2" w:rsidR="00F31FC5" w:rsidRPr="00BC5105" w:rsidRDefault="00F31FC5" w:rsidP="00BC5105">
      <w:pPr>
        <w:shd w:val="clear" w:color="auto" w:fill="FFFFFF"/>
        <w:spacing w:after="300" w:line="276" w:lineRule="auto"/>
        <w:rPr>
          <w:sz w:val="18"/>
          <w:szCs w:val="18"/>
        </w:rPr>
      </w:pPr>
      <w:r w:rsidRPr="00BC5105">
        <w:rPr>
          <w:sz w:val="18"/>
          <w:szCs w:val="18"/>
        </w:rPr>
        <w:t xml:space="preserve">Source: </w:t>
      </w:r>
      <w:sdt>
        <w:sdtPr>
          <w:rPr>
            <w:sz w:val="18"/>
            <w:szCs w:val="18"/>
          </w:rPr>
          <w:id w:val="-227622574"/>
          <w:citation/>
        </w:sdtPr>
        <w:sdtEndPr/>
        <w:sdtContent>
          <w:r w:rsidRPr="00BC5105">
            <w:rPr>
              <w:sz w:val="18"/>
              <w:szCs w:val="18"/>
            </w:rPr>
            <w:fldChar w:fldCharType="begin"/>
          </w:r>
          <w:r w:rsidRPr="00BC5105">
            <w:rPr>
              <w:sz w:val="18"/>
              <w:szCs w:val="18"/>
            </w:rPr>
            <w:instrText xml:space="preserve"> CITATION Whi01 \l 3081 </w:instrText>
          </w:r>
          <w:r w:rsidRPr="00BC5105">
            <w:rPr>
              <w:sz w:val="18"/>
              <w:szCs w:val="18"/>
            </w:rPr>
            <w:fldChar w:fldCharType="separate"/>
          </w:r>
          <w:r w:rsidR="00BE2DD4" w:rsidRPr="00BC70D8">
            <w:rPr>
              <w:noProof/>
              <w:sz w:val="18"/>
              <w:szCs w:val="18"/>
            </w:rPr>
            <w:t>(Whiteford &amp; Angenent, 2001)</w:t>
          </w:r>
          <w:r w:rsidRPr="00BC5105">
            <w:rPr>
              <w:sz w:val="18"/>
              <w:szCs w:val="18"/>
            </w:rPr>
            <w:fldChar w:fldCharType="end"/>
          </w:r>
        </w:sdtContent>
      </w:sdt>
      <w:r w:rsidRPr="00BC5105">
        <w:rPr>
          <w:sz w:val="18"/>
          <w:szCs w:val="18"/>
        </w:rPr>
        <w:t xml:space="preserve"> </w:t>
      </w:r>
    </w:p>
    <w:p w14:paraId="2F7DAC76" w14:textId="0D249E4F" w:rsidR="00F31FC5" w:rsidRDefault="00F31FC5" w:rsidP="00BC5105">
      <w:pPr>
        <w:shd w:val="clear" w:color="auto" w:fill="FFFFFF"/>
        <w:spacing w:before="100" w:beforeAutospacing="1" w:after="100" w:afterAutospacing="1" w:line="276" w:lineRule="auto"/>
        <w:jc w:val="both"/>
      </w:pPr>
      <w:r w:rsidRPr="00403A40">
        <w:t xml:space="preserve">Family Tax Benefit Part A is a payment made per eligible </w:t>
      </w:r>
      <w:r w:rsidRPr="00403A40">
        <w:rPr>
          <w:i/>
        </w:rPr>
        <w:t>child</w:t>
      </w:r>
      <w:r w:rsidRPr="00403A40">
        <w:t xml:space="preserve">, depending on the combined income of the family. </w:t>
      </w:r>
      <w:hyperlink r:id="rId27" w:history="1">
        <w:r w:rsidRPr="00403A40">
          <w:t>Family</w:t>
        </w:r>
      </w:hyperlink>
      <w:r w:rsidRPr="00403A40">
        <w:t xml:space="preserve"> Tax Benefit Part B is a payment made per </w:t>
      </w:r>
      <w:r w:rsidRPr="00403A40">
        <w:rPr>
          <w:i/>
        </w:rPr>
        <w:t>family</w:t>
      </w:r>
      <w:r w:rsidRPr="00403A40">
        <w:t xml:space="preserve"> for single parent families or couple families with one main income earner. </w:t>
      </w:r>
      <w:r>
        <w:t xml:space="preserve">Part A and B </w:t>
      </w:r>
      <w:r w:rsidRPr="00FC3795">
        <w:t xml:space="preserve">have been established as </w:t>
      </w:r>
      <w:r w:rsidR="007730F0">
        <w:t>‘tax benefits’</w:t>
      </w:r>
      <w:r w:rsidR="000144B1">
        <w:t>,</w:t>
      </w:r>
      <w:r w:rsidRPr="00FC3795">
        <w:t xml:space="preserve"> </w:t>
      </w:r>
      <w:r w:rsidR="00A1335B">
        <w:t xml:space="preserve">in the </w:t>
      </w:r>
      <w:r w:rsidR="007730F0">
        <w:t>form of becoming</w:t>
      </w:r>
      <w:r w:rsidR="005E6513">
        <w:t xml:space="preserve"> </w:t>
      </w:r>
      <w:r w:rsidRPr="00FC3795">
        <w:t>a credit against any tax liability incurred, with any excess credit paid as a refund</w:t>
      </w:r>
      <w:r w:rsidR="001A4417">
        <w:t xml:space="preserve"> </w:t>
      </w:r>
      <w:r w:rsidR="0074429E">
        <w:rPr>
          <w:noProof/>
        </w:rPr>
        <w:t>(Commonwealth Ombudsman, 2003, p. 5)</w:t>
      </w:r>
      <w:r w:rsidR="001A4417">
        <w:t>.</w:t>
      </w:r>
      <w:r w:rsidRPr="00FC3795">
        <w:t xml:space="preserve"> </w:t>
      </w:r>
      <w:r>
        <w:t xml:space="preserve"> The </w:t>
      </w:r>
      <w:r w:rsidRPr="00FC3795">
        <w:t>credit may be accessed during the tax year in the form of instalments paid by Centrelink</w:t>
      </w:r>
      <w:r>
        <w:t xml:space="preserve">, with </w:t>
      </w:r>
      <w:r w:rsidRPr="00FC3795">
        <w:t>Centrelink calculat</w:t>
      </w:r>
      <w:r>
        <w:t>ing</w:t>
      </w:r>
      <w:r w:rsidRPr="00FC3795">
        <w:t xml:space="preserve"> the rate at which instalments are paid based on a forecast of taxable income provid</w:t>
      </w:r>
      <w:r>
        <w:t xml:space="preserve">ed by the person. </w:t>
      </w:r>
    </w:p>
    <w:p w14:paraId="034DFDF7" w14:textId="0AC1FB90" w:rsidR="00F31FC5" w:rsidRPr="00FE6890" w:rsidRDefault="00F31FC5" w:rsidP="00BC5105">
      <w:pPr>
        <w:shd w:val="clear" w:color="auto" w:fill="FFFFFF"/>
        <w:spacing w:after="0" w:line="276" w:lineRule="auto"/>
        <w:rPr>
          <w:bCs/>
          <w:i/>
          <w:iCs/>
        </w:rPr>
      </w:pPr>
      <w:r w:rsidRPr="00FE6890">
        <w:rPr>
          <w:bCs/>
          <w:i/>
          <w:iCs/>
        </w:rPr>
        <w:t>Part A</w:t>
      </w:r>
    </w:p>
    <w:p w14:paraId="6214B110" w14:textId="77777777" w:rsidR="00F31FC5" w:rsidRDefault="00F31FC5" w:rsidP="004F616F">
      <w:pPr>
        <w:shd w:val="clear" w:color="auto" w:fill="FFFFFF"/>
        <w:spacing w:after="120" w:line="276" w:lineRule="auto"/>
        <w:jc w:val="both"/>
      </w:pPr>
      <w:r w:rsidRPr="00755DF4">
        <w:t>Families with a</w:t>
      </w:r>
      <w:r>
        <w:t xml:space="preserve"> combined </w:t>
      </w:r>
      <w:r w:rsidRPr="00755DF4">
        <w:t xml:space="preserve">annual adjustable tax income of less than $55,626 receive </w:t>
      </w:r>
      <w:r>
        <w:t>the</w:t>
      </w:r>
      <w:r w:rsidRPr="00755DF4">
        <w:t xml:space="preserve"> maximum </w:t>
      </w:r>
      <w:r>
        <w:t>payment amount which is, per fortnight</w:t>
      </w:r>
      <w:r>
        <w:rPr>
          <w:rStyle w:val="FootnoteReference"/>
        </w:rPr>
        <w:footnoteReference w:id="11"/>
      </w:r>
      <w:r>
        <w:t xml:space="preserve">: </w:t>
      </w:r>
    </w:p>
    <w:p w14:paraId="4ED9A5D4" w14:textId="77777777" w:rsidR="00F31FC5" w:rsidRDefault="00F31FC5" w:rsidP="00244248">
      <w:pPr>
        <w:pStyle w:val="ListParagraph"/>
        <w:numPr>
          <w:ilvl w:val="0"/>
          <w:numId w:val="10"/>
        </w:numPr>
        <w:shd w:val="clear" w:color="auto" w:fill="FFFFFF"/>
        <w:spacing w:after="0" w:line="276" w:lineRule="auto"/>
        <w:ind w:left="714" w:hanging="357"/>
        <w:jc w:val="both"/>
      </w:pPr>
      <w:r>
        <w:lastRenderedPageBreak/>
        <w:t>$189.56 for a child 0 to 12 years old</w:t>
      </w:r>
    </w:p>
    <w:p w14:paraId="0EBB9FE5" w14:textId="77777777" w:rsidR="00F31FC5" w:rsidRDefault="00F31FC5" w:rsidP="00244248">
      <w:pPr>
        <w:pStyle w:val="ListParagraph"/>
        <w:numPr>
          <w:ilvl w:val="0"/>
          <w:numId w:val="10"/>
        </w:numPr>
        <w:shd w:val="clear" w:color="auto" w:fill="FFFFFF"/>
        <w:spacing w:before="100" w:beforeAutospacing="1" w:after="0" w:line="276" w:lineRule="auto"/>
        <w:jc w:val="both"/>
      </w:pPr>
      <w:r>
        <w:t>$246.54 for a child 13 to 15 years old</w:t>
      </w:r>
    </w:p>
    <w:p w14:paraId="4EF1BA8E" w14:textId="77777777" w:rsidR="00F31FC5" w:rsidRDefault="00F31FC5" w:rsidP="00244248">
      <w:pPr>
        <w:pStyle w:val="ListParagraph"/>
        <w:numPr>
          <w:ilvl w:val="0"/>
          <w:numId w:val="10"/>
        </w:numPr>
        <w:shd w:val="clear" w:color="auto" w:fill="FFFFFF"/>
        <w:spacing w:before="100" w:beforeAutospacing="1" w:after="0" w:line="276" w:lineRule="auto"/>
        <w:jc w:val="both"/>
      </w:pPr>
      <w:r>
        <w:t>$246.54 for a child 16 to 19 years old who meets the study requirements</w:t>
      </w:r>
    </w:p>
    <w:p w14:paraId="3CC3A8E6" w14:textId="127B8984" w:rsidR="00F31FC5" w:rsidRDefault="00F31FC5" w:rsidP="00BC5105">
      <w:pPr>
        <w:spacing w:after="0" w:line="276" w:lineRule="auto"/>
        <w:jc w:val="both"/>
      </w:pPr>
      <w:r w:rsidRPr="00755DF4">
        <w:t xml:space="preserve">When the family income is </w:t>
      </w:r>
      <w:r>
        <w:t>above</w:t>
      </w:r>
      <w:r w:rsidRPr="00755DF4">
        <w:t xml:space="preserve"> $55,626 </w:t>
      </w:r>
      <w:r>
        <w:t xml:space="preserve">the payment is </w:t>
      </w:r>
      <w:r w:rsidRPr="00755DF4">
        <w:t>reduced by 20 cents for each dollar of income over $55,626. At family incomes above $98,988 the FTB Part A is</w:t>
      </w:r>
      <w:r>
        <w:t xml:space="preserve"> </w:t>
      </w:r>
      <w:r w:rsidRPr="00755DF4">
        <w:t xml:space="preserve">reduced by 30 cents for each dollar of income over </w:t>
      </w:r>
      <w:r>
        <w:t>$</w:t>
      </w:r>
      <w:r w:rsidRPr="00755DF4">
        <w:t xml:space="preserve">98,988. In </w:t>
      </w:r>
      <w:r w:rsidR="00A1335B" w:rsidRPr="00755DF4">
        <w:t>addition,</w:t>
      </w:r>
      <w:r w:rsidRPr="00755DF4">
        <w:t xml:space="preserve"> there </w:t>
      </w:r>
      <w:r>
        <w:t>are</w:t>
      </w:r>
      <w:r w:rsidRPr="00755DF4">
        <w:t xml:space="preserve"> income thresholds above which </w:t>
      </w:r>
      <w:r>
        <w:t xml:space="preserve">only the base rate </w:t>
      </w:r>
      <w:r w:rsidRPr="00755DF4">
        <w:t>(currently $60.90 per fortnight)</w:t>
      </w:r>
      <w:r>
        <w:t xml:space="preserve"> is received, and income thresholds above which no payment is received. </w:t>
      </w:r>
      <w:r w:rsidRPr="00755DF4">
        <w:t xml:space="preserve">These thresholds depend on the number of children in the family and their combination of ages. FTB Part A is also influenced by any child support received. For </w:t>
      </w:r>
      <w:r w:rsidR="00A1335B" w:rsidRPr="00755DF4">
        <w:t>low-income</w:t>
      </w:r>
      <w:r w:rsidRPr="00755DF4">
        <w:t xml:space="preserve"> families with an adjustable tax income of $80,000 or less there is an additional FTB Part A supplement available at the end of the year paid as a lump sum. The maximum is $781.10 for each eligible child, with the amount depending on the number of children in care and income. </w:t>
      </w:r>
    </w:p>
    <w:p w14:paraId="36E2EB84" w14:textId="77777777" w:rsidR="0074429E" w:rsidRPr="00755DF4" w:rsidRDefault="0074429E" w:rsidP="00BC5105">
      <w:pPr>
        <w:spacing w:after="0" w:line="276" w:lineRule="auto"/>
        <w:jc w:val="both"/>
      </w:pPr>
    </w:p>
    <w:p w14:paraId="02DC82FC" w14:textId="77777777" w:rsidR="00F31FC5" w:rsidRPr="00802EEC" w:rsidRDefault="00F31FC5" w:rsidP="00BC5105">
      <w:pPr>
        <w:spacing w:line="276" w:lineRule="auto"/>
        <w:rPr>
          <w:i/>
          <w:iCs/>
        </w:rPr>
      </w:pPr>
      <w:r w:rsidRPr="00802EEC">
        <w:rPr>
          <w:i/>
          <w:iCs/>
        </w:rPr>
        <w:t>Part B</w:t>
      </w:r>
    </w:p>
    <w:p w14:paraId="0370E1A0" w14:textId="4A864E4A" w:rsidR="00F31FC5" w:rsidRDefault="00F31FC5" w:rsidP="00BC5105">
      <w:pPr>
        <w:spacing w:line="276" w:lineRule="auto"/>
        <w:jc w:val="both"/>
      </w:pPr>
      <w:r w:rsidRPr="00755DF4">
        <w:t xml:space="preserve">FTB Part B provides extra assistance to families with one main income earner who earns $100,000 per year or less. The maximum payment rate depends on the age of the youngest child. FTB Part B supplement is an additional lump sum payment available </w:t>
      </w:r>
      <w:r>
        <w:t>to</w:t>
      </w:r>
      <w:r w:rsidRPr="00755DF4">
        <w:t xml:space="preserve"> families who receive Family Tax Benefit Part </w:t>
      </w:r>
      <w:r w:rsidR="00EB652E">
        <w:t>B</w:t>
      </w:r>
      <w:r w:rsidR="000144B1" w:rsidRPr="00755DF4">
        <w:t xml:space="preserve"> </w:t>
      </w:r>
      <w:r w:rsidRPr="00755DF4">
        <w:t>with the amount depending on the family’s income. In 2020-21 the maximum payment per family is $379.60</w:t>
      </w:r>
    </w:p>
    <w:p w14:paraId="5152AE15" w14:textId="77777777" w:rsidR="00F31FC5" w:rsidRPr="00B6667C" w:rsidRDefault="00F31FC5" w:rsidP="00BC5105">
      <w:pPr>
        <w:pStyle w:val="Heading2"/>
        <w:spacing w:line="276" w:lineRule="auto"/>
      </w:pPr>
      <w:bookmarkStart w:id="73" w:name="_Toc87454615"/>
      <w:bookmarkStart w:id="74" w:name="_Toc98404962"/>
      <w:r w:rsidRPr="00B6667C">
        <w:t>Do financial transfers affect fertility?</w:t>
      </w:r>
      <w:bookmarkEnd w:id="73"/>
      <w:bookmarkEnd w:id="74"/>
    </w:p>
    <w:p w14:paraId="32B13C20" w14:textId="730C7C33" w:rsidR="00F31FC5" w:rsidRDefault="00F31FC5" w:rsidP="00BC5105">
      <w:pPr>
        <w:spacing w:line="276" w:lineRule="auto"/>
        <w:jc w:val="both"/>
      </w:pPr>
      <w:r>
        <w:t>There has been no research on the effect of financial transfers on fertility in Australia, apart from those studies that have focused on the Baby Bonus (discussed later).  From the perspective of incorporating Family Tax Benefit A &amp; B into economic decision making regarding further childbearing, the complexity of the payment calculations</w:t>
      </w:r>
      <w:r w:rsidR="008265EE">
        <w:t>,</w:t>
      </w:r>
      <w:r>
        <w:t xml:space="preserve"> and their variable nature</w:t>
      </w:r>
      <w:r w:rsidR="008265EE">
        <w:t>,</w:t>
      </w:r>
      <w:r>
        <w:t xml:space="preserve"> mean that it is not simple for parents (or potential parents) to predict or understand how much FTB will assist</w:t>
      </w:r>
      <w:r w:rsidR="008265EE">
        <w:t xml:space="preserve"> with their childrearing costs </w:t>
      </w:r>
      <w:r w:rsidR="001E0F6C">
        <w:rPr>
          <w:noProof/>
          <w:lang w:val="en-US"/>
        </w:rPr>
        <w:t>(McDonald, 2003; Lattimore &amp; Pobke, 2008)</w:t>
      </w:r>
      <w:r w:rsidR="008265EE">
        <w:t>.</w:t>
      </w:r>
      <w:r>
        <w:t xml:space="preserve"> As such they are unlikel</w:t>
      </w:r>
      <w:r w:rsidR="006110F1">
        <w:t>y to be a major consideration for</w:t>
      </w:r>
      <w:r>
        <w:t xml:space="preserve"> parents </w:t>
      </w:r>
      <w:r w:rsidR="006110F1">
        <w:t xml:space="preserve">estimating </w:t>
      </w:r>
      <w:r>
        <w:t xml:space="preserve">the financial cost of children in their fertility decision making. </w:t>
      </w:r>
    </w:p>
    <w:p w14:paraId="78A7DD57" w14:textId="1A7E2AB7" w:rsidR="00F31FC5" w:rsidRDefault="00F31FC5" w:rsidP="00BC5105">
      <w:pPr>
        <w:spacing w:line="276" w:lineRule="auto"/>
        <w:jc w:val="both"/>
      </w:pPr>
      <w:r>
        <w:t>Several studies</w:t>
      </w:r>
      <w:r w:rsidR="00447E9C">
        <w:t xml:space="preserve"> </w:t>
      </w:r>
      <w:r w:rsidR="00EC5CC8">
        <w:t>h</w:t>
      </w:r>
      <w:r>
        <w:t xml:space="preserve">ave taken advantage of large-scale reforms in </w:t>
      </w:r>
      <w:r w:rsidR="00EC5CC8">
        <w:t>other countries</w:t>
      </w:r>
      <w:r>
        <w:t xml:space="preserve"> to conduct quasi-experimental analysis of the effect financial transfers have on fertility. These are summarized in </w:t>
      </w:r>
      <w:r w:rsidR="0074429E">
        <w:t>Table 8.</w:t>
      </w:r>
      <w:r>
        <w:t xml:space="preserve">  The policies studied range widely from universal child benefits targeted to large families with four or more children in Israel, to the introduction of a universal basic income in Alaska. Overall, reforms which increased benefits to families, appear to have had small but significant effects on fertility. In most studies it is unclear if the effect is only on the tempo of fertility, or also the quantum </w:t>
      </w:r>
      <w:r w:rsidR="0074429E">
        <w:rPr>
          <w:noProof/>
        </w:rPr>
        <w:t>(Thévenon &amp; Gauthier, 2011)</w:t>
      </w:r>
      <w:r>
        <w:t xml:space="preserve">, </w:t>
      </w:r>
      <w:r w:rsidR="000144B1">
        <w:t>because in most cases the policies have been only recently introduced</w:t>
      </w:r>
      <w:r>
        <w:t>.</w:t>
      </w:r>
    </w:p>
    <w:p w14:paraId="5AE34C4A" w14:textId="357F2D14" w:rsidR="00F31FC5" w:rsidRDefault="00F31FC5" w:rsidP="00BC5105">
      <w:pPr>
        <w:spacing w:line="276" w:lineRule="auto"/>
        <w:jc w:val="both"/>
      </w:pPr>
      <w:r>
        <w:t>Cyprus and Israel both introduced generous payments to families with m</w:t>
      </w:r>
      <w:r w:rsidR="00CF2415">
        <w:t>ultiple</w:t>
      </w:r>
      <w:r>
        <w:t xml:space="preserve"> children. In Cyprus, a small monthly payment was introduced for families with four or more dependent children. The payment underwent several steep increases in generosity and by 2002, the annual payment per child for families with four or more children was equivalent to 376.2 CYP (~ 1,130 AUD). Lyssiotou </w:t>
      </w:r>
      <w:sdt>
        <w:sdtPr>
          <w:id w:val="-356575837"/>
          <w:citation/>
        </w:sdtPr>
        <w:sdtEndPr/>
        <w:sdtContent>
          <w:r>
            <w:fldChar w:fldCharType="begin"/>
          </w:r>
          <w:r>
            <w:instrText xml:space="preserve">CITATION Lys21 \n  \t  \l 3081 </w:instrText>
          </w:r>
          <w:r>
            <w:fldChar w:fldCharType="separate"/>
          </w:r>
          <w:r w:rsidR="00BE2DD4">
            <w:rPr>
              <w:noProof/>
            </w:rPr>
            <w:t>(2021)</w:t>
          </w:r>
          <w:r>
            <w:fldChar w:fldCharType="end"/>
          </w:r>
        </w:sdtContent>
      </w:sdt>
      <w:r>
        <w:t xml:space="preserve"> finds robust evidence that the reform increased the probability of having a fourth child by about 5% but there </w:t>
      </w:r>
      <w:r w:rsidR="00CF2415">
        <w:t>were</w:t>
      </w:r>
      <w:r>
        <w:t xml:space="preserve"> no significant increases in having five or more children. Similarly, Cohen, </w:t>
      </w:r>
      <w:r w:rsidR="002E46D8" w:rsidRPr="002E46D8">
        <w:rPr>
          <w:i/>
          <w:iCs/>
        </w:rPr>
        <w:t>et al</w:t>
      </w:r>
      <w:r w:rsidR="002E46D8">
        <w:t>.</w:t>
      </w:r>
      <w:r>
        <w:t xml:space="preserve"> </w:t>
      </w:r>
      <w:r w:rsidR="0074429E">
        <w:rPr>
          <w:noProof/>
        </w:rPr>
        <w:t>(2013)</w:t>
      </w:r>
      <w:r>
        <w:t xml:space="preserve"> find </w:t>
      </w:r>
      <w:r w:rsidR="000144B1">
        <w:t xml:space="preserve">a </w:t>
      </w:r>
      <w:r>
        <w:t xml:space="preserve">positive relationship between child subsidy </w:t>
      </w:r>
      <w:r w:rsidR="00EC5CC8">
        <w:t xml:space="preserve">aimed at large families </w:t>
      </w:r>
      <w:r>
        <w:t>and the probability of having a third or higher order child in Israel</w:t>
      </w:r>
      <w:r w:rsidR="00A2399E">
        <w:t xml:space="preserve">, with the mean benefit leading to a 7.8% increase in fertility for women, with the effect being largest for lower income families. </w:t>
      </w:r>
      <w:r>
        <w:t xml:space="preserve"> </w:t>
      </w:r>
    </w:p>
    <w:p w14:paraId="51B67517" w14:textId="6CE07AC9" w:rsidR="00363C31" w:rsidRDefault="00F31FC5" w:rsidP="00BC5105">
      <w:pPr>
        <w:spacing w:line="276" w:lineRule="auto"/>
        <w:jc w:val="both"/>
      </w:pPr>
      <w:r>
        <w:lastRenderedPageBreak/>
        <w:t>In Germany, a 1996 reform significantly increased the generosity of child benefits.</w:t>
      </w:r>
      <w:r w:rsidR="00CF2415">
        <w:t xml:space="preserve"> The reform was quite complex </w:t>
      </w:r>
      <w:r w:rsidR="001776E3">
        <w:t>as</w:t>
      </w:r>
      <w:r w:rsidR="00CF2415">
        <w:t xml:space="preserve"> it had slightly different effects by parity and household income. First births </w:t>
      </w:r>
      <w:r w:rsidR="001776E3">
        <w:t xml:space="preserve">were </w:t>
      </w:r>
      <w:r w:rsidR="006110F1">
        <w:t>better subsidis</w:t>
      </w:r>
      <w:r w:rsidR="00CF2415">
        <w:t>ed for lower earning couples, while se</w:t>
      </w:r>
      <w:r w:rsidR="006110F1">
        <w:t>cond births were better subsidis</w:t>
      </w:r>
      <w:r w:rsidR="00CF2415">
        <w:t xml:space="preserve">ed for higher </w:t>
      </w:r>
      <w:r w:rsidR="0030628D">
        <w:t>earning</w:t>
      </w:r>
      <w:r w:rsidR="002C0271">
        <w:t xml:space="preserve"> </w:t>
      </w:r>
      <w:r w:rsidR="00CF2415">
        <w:t>couples</w:t>
      </w:r>
      <w:r w:rsidR="00CF2415" w:rsidRPr="00CF2415">
        <w:t xml:space="preserve"> </w:t>
      </w:r>
      <w:r w:rsidR="001E0F6C">
        <w:rPr>
          <w:noProof/>
        </w:rPr>
        <w:t xml:space="preserve">(Bergsvik, </w:t>
      </w:r>
      <w:r w:rsidR="001E0F6C" w:rsidRPr="007E15F6">
        <w:rPr>
          <w:i/>
          <w:iCs/>
          <w:noProof/>
        </w:rPr>
        <w:t>et al.</w:t>
      </w:r>
      <w:r w:rsidR="001E0F6C">
        <w:rPr>
          <w:noProof/>
        </w:rPr>
        <w:t xml:space="preserve"> 2020)</w:t>
      </w:r>
      <w:r w:rsidR="00CF2415">
        <w:t xml:space="preserve">. </w:t>
      </w:r>
      <w:r>
        <w:t xml:space="preserve">Riphahn &amp; Wiynck  </w:t>
      </w:r>
      <w:r w:rsidR="0074429E">
        <w:rPr>
          <w:noProof/>
        </w:rPr>
        <w:t>(2017)</w:t>
      </w:r>
      <w:r>
        <w:t xml:space="preserve"> find no general fertility incentive provided by child benefit payments for low-income households, although there w</w:t>
      </w:r>
      <w:r w:rsidR="006110F1">
        <w:t>as a positive effect for higher-</w:t>
      </w:r>
      <w:r>
        <w:t xml:space="preserve">income couples </w:t>
      </w:r>
      <w:r w:rsidR="00CF2415">
        <w:t>with an increased second birth probability of between 10% to 23%</w:t>
      </w:r>
      <w:r>
        <w:t xml:space="preserve">. They conclude </w:t>
      </w:r>
      <w:r w:rsidR="00EC5CC8">
        <w:t>that this particular</w:t>
      </w:r>
      <w:r>
        <w:t xml:space="preserve"> reform was not effective in incentivising first </w:t>
      </w:r>
      <w:r w:rsidR="00CF2415">
        <w:t>births and</w:t>
      </w:r>
      <w:r>
        <w:t xml:space="preserve"> was particularly ineffective for low</w:t>
      </w:r>
      <w:r w:rsidR="00CF2415">
        <w:t>-</w:t>
      </w:r>
      <w:r>
        <w:t>income couples</w:t>
      </w:r>
      <w:r w:rsidR="00CF2415">
        <w:t>, although it did have a small positive effect for second births among higher-income couples</w:t>
      </w:r>
      <w:r>
        <w:t xml:space="preserve">. </w:t>
      </w:r>
      <w:r w:rsidR="00363C31">
        <w:t xml:space="preserve"> </w:t>
      </w:r>
    </w:p>
    <w:p w14:paraId="5CF28C1F" w14:textId="1F5B713F" w:rsidR="00F31FC5" w:rsidRDefault="00F31FC5" w:rsidP="00BC5105">
      <w:pPr>
        <w:spacing w:line="276" w:lineRule="auto"/>
        <w:jc w:val="both"/>
      </w:pPr>
      <w:r>
        <w:t>In contrast to the German study, for Norway a 1989-1990 reform which increased the universal child allowance in the northern regions</w:t>
      </w:r>
      <w:r w:rsidR="00EC5CC8">
        <w:t xml:space="preserve"> of the country</w:t>
      </w:r>
      <w:r>
        <w:t xml:space="preserve"> was found to increase the probability of a first birth, and particularly among young unmarried women in their 20s </w:t>
      </w:r>
      <w:r w:rsidR="0074429E">
        <w:rPr>
          <w:noProof/>
        </w:rPr>
        <w:t>(Galloway &amp; Hart, 2015)</w:t>
      </w:r>
      <w:r>
        <w:t xml:space="preserve">. The reform also increased the third birth probability among women in their early 30s. </w:t>
      </w:r>
    </w:p>
    <w:p w14:paraId="40027AD0" w14:textId="359CAD2E" w:rsidR="00B3551B" w:rsidRDefault="00B3551B" w:rsidP="00BC5105">
      <w:pPr>
        <w:spacing w:line="276" w:lineRule="auto"/>
        <w:jc w:val="both"/>
      </w:pPr>
      <w:r>
        <w:t xml:space="preserve">Parent &amp; Wang (2005) examined the impact of the new Family Allowance Act introduced in Canada in 1974, with Quebec setting its own payment structure.  For families with two children, the benefit was similar in Quebec as in other provinces of Canada. </w:t>
      </w:r>
      <w:r w:rsidR="00E75473">
        <w:t>However,</w:t>
      </w:r>
      <w:r>
        <w:t xml:space="preserve"> for families with </w:t>
      </w:r>
      <w:r w:rsidR="000F6E51">
        <w:t xml:space="preserve">three </w:t>
      </w:r>
      <w:r>
        <w:t xml:space="preserve">children the benefit </w:t>
      </w:r>
      <w:r w:rsidR="000F6E51">
        <w:t xml:space="preserve">for the third child </w:t>
      </w:r>
      <w:r>
        <w:t xml:space="preserve">was almost double in Quebec compared to other places (CAD $460.32 annually for a third child, compared </w:t>
      </w:r>
      <w:r w:rsidR="000F6E51">
        <w:t>to $240 elsewhere in Canada)</w:t>
      </w:r>
      <w:r>
        <w:t xml:space="preserve">.  </w:t>
      </w:r>
      <w:r w:rsidR="000F6E51">
        <w:t>Exploiting this difference in the benefits for third or higher order children, Parent &amp; Wang (2005) examined the fertility trends in Quebec compared to the rest of Canada both for the short and long-term. They found clear evidence of an increase in fertility as a result of the child</w:t>
      </w:r>
      <w:r w:rsidR="00707130">
        <w:t xml:space="preserve"> </w:t>
      </w:r>
      <w:r w:rsidR="000F6E51">
        <w:t xml:space="preserve">benefit but this reflected a ‘tempo’ effect and there was no evidence of a long term impact on completed family size. </w:t>
      </w:r>
    </w:p>
    <w:p w14:paraId="4886FDA2" w14:textId="1D3F96E4" w:rsidR="006B278E" w:rsidRDefault="002B7AC2" w:rsidP="00BC5105">
      <w:pPr>
        <w:spacing w:line="276" w:lineRule="auto"/>
        <w:jc w:val="both"/>
      </w:pPr>
      <w:r w:rsidRPr="002D78CE">
        <w:t xml:space="preserve">Spéder, </w:t>
      </w:r>
      <w:r w:rsidR="004F616F">
        <w:rPr>
          <w:i/>
        </w:rPr>
        <w:t>et al.</w:t>
      </w:r>
      <w:r w:rsidRPr="002D78CE">
        <w:t xml:space="preserve"> </w:t>
      </w:r>
      <w:r w:rsidR="00D12F72">
        <w:t>(</w:t>
      </w:r>
      <w:r w:rsidRPr="002D78CE">
        <w:t>2020</w:t>
      </w:r>
      <w:r w:rsidR="00D12F72">
        <w:t>) investigated two Hungarian policies that were intended to support large families and encourage third births. In 1993, a generous monthly child benefit allowance was introduced to families with three or more children, and in 1999 a tax relief system came into effect which was most advantageous to families with three or more children and a taxable income.</w:t>
      </w:r>
      <w:r w:rsidR="005C4C0B">
        <w:t xml:space="preserve"> The first policy was primarily aimed at reducing poverty among low-income families, whereas the tax-relief package had an explicitly pro-natalist aim.</w:t>
      </w:r>
      <w:r w:rsidR="00D12F72">
        <w:t xml:space="preserve"> The two policies both increased third birth probabilities, but for different sections of society. The child benefit allowance increase</w:t>
      </w:r>
      <w:r w:rsidR="000144B1">
        <w:t>d</w:t>
      </w:r>
      <w:r w:rsidR="00D12F72">
        <w:t xml:space="preserve"> third births for families with lower education and income, whereas the tax relief increased births for women with higher education and a higher taxable income. </w:t>
      </w:r>
    </w:p>
    <w:p w14:paraId="1E2D51B7" w14:textId="3D4AE924" w:rsidR="00E83624" w:rsidRDefault="00F31FC5" w:rsidP="00BC5105">
      <w:pPr>
        <w:spacing w:line="276" w:lineRule="auto"/>
        <w:jc w:val="both"/>
      </w:pPr>
      <w:r>
        <w:t xml:space="preserve">The Working-Families-Tax-Credit (WFTC) introduced in the UK in 1999 </w:t>
      </w:r>
      <w:r w:rsidR="00FD452E">
        <w:t xml:space="preserve">and </w:t>
      </w:r>
      <w:r w:rsidR="00E83624">
        <w:t xml:space="preserve">a Spanish tax credit introduced in 2003 for women who were working and had a child aged under 3 </w:t>
      </w:r>
      <w:r>
        <w:t>highlight the potential counterbalancing effects of</w:t>
      </w:r>
      <w:r w:rsidR="009E6589">
        <w:t xml:space="preserve"> child</w:t>
      </w:r>
      <w:r>
        <w:t xml:space="preserve"> benefits</w:t>
      </w:r>
      <w:r w:rsidR="00E83624">
        <w:t xml:space="preserve"> or tax credits</w:t>
      </w:r>
      <w:r>
        <w:t xml:space="preserve"> </w:t>
      </w:r>
      <w:r w:rsidR="009E6589">
        <w:t xml:space="preserve">which are conditional on </w:t>
      </w:r>
      <w:r>
        <w:t xml:space="preserve">labour market participation. </w:t>
      </w:r>
      <w:r w:rsidR="00E83624">
        <w:t xml:space="preserve">Generous benefits </w:t>
      </w:r>
      <w:r w:rsidR="00E75473">
        <w:t>that</w:t>
      </w:r>
      <w:r w:rsidR="00E83624">
        <w:t xml:space="preserve"> are </w:t>
      </w:r>
      <w:r w:rsidR="003A654D">
        <w:t>conditional on both em</w:t>
      </w:r>
      <w:r w:rsidR="00E83624">
        <w:t xml:space="preserve">ployment </w:t>
      </w:r>
      <w:r w:rsidR="003A654D">
        <w:t>and</w:t>
      </w:r>
      <w:r w:rsidR="00E83624">
        <w:t xml:space="preserve"> on having children could potentially increase fertility if individuals purposefully have children to be eligible for the benefits. On the other </w:t>
      </w:r>
      <w:r w:rsidR="00E75473">
        <w:t>hand,</w:t>
      </w:r>
      <w:r w:rsidR="00E83624">
        <w:t xml:space="preserve"> the condition of labour force participation could reduce fertility if it increases women’s labour force participation and if women face work-family incompatibility. </w:t>
      </w:r>
    </w:p>
    <w:p w14:paraId="32F30198" w14:textId="1D7798D0" w:rsidR="00F31FC5" w:rsidRDefault="00F31FC5" w:rsidP="00BC5105">
      <w:pPr>
        <w:spacing w:line="276" w:lineRule="auto"/>
        <w:jc w:val="both"/>
      </w:pPr>
      <w:r>
        <w:t>The WFTC was specifically introduced for families with children</w:t>
      </w:r>
      <w:r w:rsidR="001776E3">
        <w:t>.</w:t>
      </w:r>
      <w:r>
        <w:t xml:space="preserve"> </w:t>
      </w:r>
      <w:r w:rsidR="001776E3">
        <w:t xml:space="preserve">To </w:t>
      </w:r>
      <w:r>
        <w:t>be eligible</w:t>
      </w:r>
      <w:r w:rsidR="001776E3">
        <w:t>,</w:t>
      </w:r>
      <w:r>
        <w:t xml:space="preserve"> r</w:t>
      </w:r>
      <w:r w:rsidRPr="001E7BD2">
        <w:t xml:space="preserve">ecipients </w:t>
      </w:r>
      <w:r>
        <w:t xml:space="preserve">had to have children and </w:t>
      </w:r>
      <w:r w:rsidR="00EC5CC8">
        <w:t xml:space="preserve">at least one parent had </w:t>
      </w:r>
      <w:r>
        <w:t xml:space="preserve">to be working </w:t>
      </w:r>
      <w:r w:rsidRPr="001E7BD2">
        <w:t xml:space="preserve">for </w:t>
      </w:r>
      <w:r w:rsidR="00EC5CC8">
        <w:t>a minimum of</w:t>
      </w:r>
      <w:r w:rsidR="006110F1">
        <w:t xml:space="preserve"> </w:t>
      </w:r>
      <w:r w:rsidRPr="001E7BD2">
        <w:t>16 h</w:t>
      </w:r>
      <w:r w:rsidR="00EC5CC8">
        <w:t>ours a we</w:t>
      </w:r>
      <w:r w:rsidRPr="001E7BD2">
        <w:t>ek</w:t>
      </w:r>
      <w:r w:rsidR="001776E3">
        <w:t>. This was</w:t>
      </w:r>
      <w:r w:rsidRPr="001E7BD2">
        <w:t xml:space="preserve"> tapered </w:t>
      </w:r>
      <w:r w:rsidR="001776E3">
        <w:t xml:space="preserve">by </w:t>
      </w:r>
      <w:r w:rsidRPr="001E7BD2">
        <w:t>household earnings (plus some other forms of income) above a threshold</w:t>
      </w:r>
      <w:r w:rsidR="0074429E">
        <w:rPr>
          <w:noProof/>
        </w:rPr>
        <w:t xml:space="preserve"> (Brewer, </w:t>
      </w:r>
      <w:r w:rsidR="0074429E" w:rsidRPr="007E15F6">
        <w:rPr>
          <w:i/>
          <w:iCs/>
          <w:noProof/>
        </w:rPr>
        <w:t>et al.,</w:t>
      </w:r>
      <w:r w:rsidR="0074429E">
        <w:rPr>
          <w:noProof/>
        </w:rPr>
        <w:t xml:space="preserve"> 2012)</w:t>
      </w:r>
      <w:r w:rsidRPr="00A2399E">
        <w:t>.</w:t>
      </w:r>
      <w:r w:rsidR="00A2399E" w:rsidRPr="00A2399E">
        <w:t xml:space="preserve"> </w:t>
      </w:r>
      <w:r w:rsidRPr="00A2399E">
        <w:t>The</w:t>
      </w:r>
      <w:r>
        <w:t xml:space="preserve"> W</w:t>
      </w:r>
      <w:r w:rsidR="00EC408A">
        <w:t>F</w:t>
      </w:r>
      <w:r>
        <w:t xml:space="preserve">TC could </w:t>
      </w:r>
      <w:r w:rsidR="001776E3">
        <w:t xml:space="preserve">potentially </w:t>
      </w:r>
      <w:r>
        <w:t xml:space="preserve">increase the demand for children to fulfil the eligibility condition for WFTC </w:t>
      </w:r>
      <w:r>
        <w:lastRenderedPageBreak/>
        <w:t xml:space="preserve">by having </w:t>
      </w:r>
      <w:r w:rsidR="001776E3">
        <w:t xml:space="preserve">a </w:t>
      </w:r>
      <w:r>
        <w:t xml:space="preserve">first child or to claim a higher amount by </w:t>
      </w:r>
      <w:r w:rsidR="001776E3">
        <w:t xml:space="preserve">having </w:t>
      </w:r>
      <w:r>
        <w:t>subsequent births.</w:t>
      </w:r>
      <w:r w:rsidR="009E6589">
        <w:t xml:space="preserve"> On the other hand, f</w:t>
      </w:r>
      <w:r>
        <w:t xml:space="preserve">or women previously working less than 16 hours a week, it may have induced them to increase their work hours </w:t>
      </w:r>
      <w:r w:rsidR="00EC408A">
        <w:t xml:space="preserve">which would </w:t>
      </w:r>
      <w:r>
        <w:t xml:space="preserve">increase the opportunity cost of childbearing. </w:t>
      </w:r>
      <w:r w:rsidR="00E75473">
        <w:t>F</w:t>
      </w:r>
      <w:r w:rsidR="00EC408A">
        <w:t xml:space="preserve">or </w:t>
      </w:r>
      <w:r w:rsidRPr="003D4676">
        <w:t>women who are the secondary earner</w:t>
      </w:r>
      <w:r>
        <w:t xml:space="preserve">, </w:t>
      </w:r>
      <w:r w:rsidRPr="003D4676">
        <w:t xml:space="preserve">WFTC may actually reduce </w:t>
      </w:r>
      <w:r>
        <w:t xml:space="preserve">their </w:t>
      </w:r>
      <w:r w:rsidR="009E6589">
        <w:t xml:space="preserve">labour force </w:t>
      </w:r>
      <w:r>
        <w:t xml:space="preserve">participation as her family will </w:t>
      </w:r>
      <w:r w:rsidRPr="003D4676">
        <w:t>continue to be eligible for WFTC on the basis of her partner’s participation</w:t>
      </w:r>
      <w:r w:rsidRPr="00090681">
        <w:t xml:space="preserve"> </w:t>
      </w:r>
      <w:r>
        <w:t>although higher wage rates after WFTC are likely to have induced individuals to work longer hours through the substitution effect</w:t>
      </w:r>
      <w:r w:rsidR="001E0F6C">
        <w:t xml:space="preserve"> (Ohinata, 2011; Brewer, </w:t>
      </w:r>
      <w:r w:rsidR="001E0F6C" w:rsidRPr="00F80704">
        <w:rPr>
          <w:i/>
          <w:iCs/>
        </w:rPr>
        <w:t>et al.</w:t>
      </w:r>
      <w:r w:rsidR="001E0F6C">
        <w:t xml:space="preserve"> 2012)</w:t>
      </w:r>
      <w:r w:rsidRPr="003D4676">
        <w:t>.</w:t>
      </w:r>
      <w:r>
        <w:t xml:space="preserve"> </w:t>
      </w:r>
      <w:r w:rsidR="00EC408A">
        <w:t>T</w:t>
      </w:r>
      <w:r w:rsidR="00D26761">
        <w:t xml:space="preserve">he overall effect on fertility appeared </w:t>
      </w:r>
      <w:r w:rsidR="00EC408A">
        <w:t>stronger for couples</w:t>
      </w:r>
      <w:r w:rsidR="00D26761">
        <w:t xml:space="preserve">. </w:t>
      </w:r>
      <w:r>
        <w:t xml:space="preserve">Brewer, </w:t>
      </w:r>
      <w:r w:rsidR="0074429E" w:rsidRPr="00FD452E">
        <w:rPr>
          <w:i/>
          <w:iCs/>
        </w:rPr>
        <w:t>et al.</w:t>
      </w:r>
      <w:r>
        <w:t xml:space="preserve"> (2012) f</w:t>
      </w:r>
      <w:r w:rsidR="00D12F72">
        <w:t>ound</w:t>
      </w:r>
      <w:r>
        <w:t xml:space="preserve"> an increase in births among all women </w:t>
      </w:r>
      <w:r w:rsidR="00EC408A">
        <w:t>of</w:t>
      </w:r>
      <w:r w:rsidR="00D26761">
        <w:t xml:space="preserve"> about 15%</w:t>
      </w:r>
      <w:r w:rsidR="00EC408A">
        <w:t xml:space="preserve"> following the reform</w:t>
      </w:r>
      <w:r>
        <w:t xml:space="preserve">, with a stronger effect for women in couples. Ohinata (2011) </w:t>
      </w:r>
      <w:r w:rsidR="00D12F72">
        <w:t>foun</w:t>
      </w:r>
      <w:r w:rsidR="00EC408A">
        <w:t>d</w:t>
      </w:r>
      <w:r w:rsidR="00D12F72">
        <w:t xml:space="preserve"> </w:t>
      </w:r>
      <w:r>
        <w:t xml:space="preserve">that women who already had children and a working partner were more likely to have shortened the timing to the next child. </w:t>
      </w:r>
      <w:r w:rsidR="00722F28">
        <w:t xml:space="preserve">In contrast for lone mothers, </w:t>
      </w:r>
      <w:r w:rsidR="00722F28" w:rsidRPr="00722F28">
        <w:t>Francesconi and Van der Klaauw (2007) found evidence that lone mothers increased their labour force participation,</w:t>
      </w:r>
      <w:r w:rsidR="00FD452E">
        <w:t xml:space="preserve"> </w:t>
      </w:r>
      <w:r w:rsidR="00722F28" w:rsidRPr="00722F28">
        <w:t xml:space="preserve">and were less likely to form cohabiting or married relationships and also had reduced fertility following the reform. </w:t>
      </w:r>
    </w:p>
    <w:p w14:paraId="665F1737" w14:textId="019D6CE8" w:rsidR="00E83624" w:rsidRDefault="00E83624" w:rsidP="00BC5105">
      <w:pPr>
        <w:spacing w:line="276" w:lineRule="auto"/>
        <w:jc w:val="both"/>
      </w:pPr>
      <w:r>
        <w:t xml:space="preserve">The Spanish reform in 2003, was introduced to tackle the twin goals of increasing fertility and increasing female labour force participation. The reform substantially raised tax deductions for households with children (and deductions increased with the number of children) and it increased yearly child allowances for children aged under 3 from 300 to 1,200 euros as well as introducing a tax credit of 1,200 euros per year for mothers with children under aged 3 conditional on the mothers being in employment </w:t>
      </w:r>
      <w:r w:rsidRPr="00E83624">
        <w:t>(Azmat &amp; González</w:t>
      </w:r>
      <w:r>
        <w:t>,</w:t>
      </w:r>
      <w:r w:rsidRPr="00E83624">
        <w:t xml:space="preserve"> 2010)</w:t>
      </w:r>
      <w:r>
        <w:t xml:space="preserve">. As the authors note the simultaneity of the two reform objectives and components (increasing labour force participation and fertility) would have ambiguous on both fertility and labour force participation. </w:t>
      </w:r>
      <w:r w:rsidR="00E75473">
        <w:t xml:space="preserve">They found that the reform increased fertility significantly, by 7.5 births per 1,000 women or by approximately 11%. The increase was larger for women who were initially childless and those with lower levels of education. For women who were already mothers, there was no significant effect which the authors suggest signals that it could have had a dampening effect by having increased their labour force attachment although the extent of the dampening effect on fertility was not as great as it would have been had it not been counterbalanced by the increased child deductions.   </w:t>
      </w:r>
    </w:p>
    <w:p w14:paraId="7665EFDF" w14:textId="1BDEBF51" w:rsidR="00AD6E5D" w:rsidRDefault="00F31FC5" w:rsidP="00BC5105">
      <w:pPr>
        <w:spacing w:line="276" w:lineRule="auto"/>
        <w:jc w:val="both"/>
        <w:sectPr w:rsidR="00AD6E5D" w:rsidSect="00AD6E5D">
          <w:headerReference w:type="default" r:id="rId28"/>
          <w:footerReference w:type="default" r:id="rId29"/>
          <w:pgSz w:w="11906" w:h="16838"/>
          <w:pgMar w:top="1440" w:right="1440" w:bottom="1440" w:left="1440" w:header="708" w:footer="708" w:gutter="0"/>
          <w:cols w:space="708"/>
          <w:docGrid w:linePitch="360"/>
        </w:sectPr>
      </w:pPr>
      <w:r>
        <w:t xml:space="preserve">The Alaskan Permanent Fund Dividend </w:t>
      </w:r>
      <w:r w:rsidR="009E6589">
        <w:t xml:space="preserve">(APFD) provides an unusual example of the how the income and price effect can potentially impact on fertility. The APFD is </w:t>
      </w:r>
      <w:r>
        <w:t xml:space="preserve">a dividend paid out annually to all residents (including children) of Alaska from earnings </w:t>
      </w:r>
      <w:r w:rsidR="00EC408A">
        <w:t xml:space="preserve">generated </w:t>
      </w:r>
      <w:r>
        <w:t xml:space="preserve">from oil production, with the amount changing yearly. Since it is not means-tested it can be considered a form of Universal Basic Income.  </w:t>
      </w:r>
      <w:r w:rsidR="009E6589">
        <w:t>Although it is not specifically a child benefit, i</w:t>
      </w:r>
      <w:r>
        <w:t xml:space="preserve">n addition to an income effect (increasing the household income) it decreases the cost of a marginal child as children are also eligible for the payment. Gray Collins </w:t>
      </w:r>
      <w:r w:rsidR="0074429E">
        <w:rPr>
          <w:noProof/>
        </w:rPr>
        <w:t>(2016)</w:t>
      </w:r>
      <w:r>
        <w:t xml:space="preserve"> and Yonzan, </w:t>
      </w:r>
      <w:r w:rsidRPr="007E15F6">
        <w:rPr>
          <w:i/>
          <w:iCs/>
        </w:rPr>
        <w:t>et al</w:t>
      </w:r>
      <w:r>
        <w:t xml:space="preserve"> (2020) found a positive effect between financial transfers through the Alaskan Permanent Fund Dividend and fertility, particularly for younger women. </w:t>
      </w:r>
    </w:p>
    <w:p w14:paraId="3CEF8AD2" w14:textId="3988FED1" w:rsidR="00F31FC5" w:rsidRDefault="00F31FC5" w:rsidP="00BC5105">
      <w:pPr>
        <w:pStyle w:val="Caption"/>
        <w:keepNext/>
        <w:spacing w:line="276" w:lineRule="auto"/>
      </w:pPr>
      <w:bookmarkStart w:id="75" w:name="_Ref74567500"/>
      <w:r>
        <w:lastRenderedPageBreak/>
        <w:t xml:space="preserve">Table </w:t>
      </w:r>
      <w:fldSimple w:instr=" SEQ Table \* ARABIC ">
        <w:r w:rsidR="00115E22">
          <w:rPr>
            <w:noProof/>
          </w:rPr>
          <w:t>8</w:t>
        </w:r>
      </w:fldSimple>
      <w:bookmarkEnd w:id="75"/>
      <w:r>
        <w:t xml:space="preserve"> Single country studies on fertility effect of financial transfers</w:t>
      </w:r>
    </w:p>
    <w:tbl>
      <w:tblPr>
        <w:tblStyle w:val="TableGrid"/>
        <w:tblW w:w="1459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028"/>
        <w:gridCol w:w="1661"/>
        <w:gridCol w:w="708"/>
        <w:gridCol w:w="2835"/>
        <w:gridCol w:w="1276"/>
        <w:gridCol w:w="5103"/>
        <w:gridCol w:w="1984"/>
      </w:tblGrid>
      <w:tr w:rsidR="00F31FC5" w:rsidRPr="004A2BA2" w14:paraId="09F3C534" w14:textId="77777777" w:rsidTr="007E15F6">
        <w:tc>
          <w:tcPr>
            <w:tcW w:w="1028" w:type="dxa"/>
            <w:shd w:val="clear" w:color="auto" w:fill="FBE4D5" w:themeFill="accent2" w:themeFillTint="33"/>
            <w:vAlign w:val="center"/>
          </w:tcPr>
          <w:p w14:paraId="4CAD619F" w14:textId="77777777" w:rsidR="00F31FC5" w:rsidRPr="004A2BA2" w:rsidRDefault="00F31FC5">
            <w:pPr>
              <w:jc w:val="center"/>
              <w:rPr>
                <w:rFonts w:ascii="Tw Cen MT Condensed" w:hAnsi="Tw Cen MT Condensed"/>
                <w:b/>
                <w:sz w:val="18"/>
                <w:szCs w:val="18"/>
              </w:rPr>
            </w:pPr>
            <w:r w:rsidRPr="004A2BA2">
              <w:rPr>
                <w:rFonts w:ascii="Tw Cen MT Condensed" w:hAnsi="Tw Cen MT Condensed"/>
                <w:b/>
                <w:sz w:val="18"/>
                <w:szCs w:val="18"/>
              </w:rPr>
              <w:t>Country</w:t>
            </w:r>
          </w:p>
        </w:tc>
        <w:tc>
          <w:tcPr>
            <w:tcW w:w="1661" w:type="dxa"/>
            <w:shd w:val="clear" w:color="auto" w:fill="FBE4D5" w:themeFill="accent2" w:themeFillTint="33"/>
            <w:vAlign w:val="center"/>
          </w:tcPr>
          <w:p w14:paraId="3286E79B" w14:textId="77777777" w:rsidR="00F31FC5" w:rsidRPr="004A2BA2" w:rsidRDefault="00F31FC5">
            <w:pPr>
              <w:jc w:val="center"/>
              <w:rPr>
                <w:rFonts w:ascii="Tw Cen MT Condensed" w:hAnsi="Tw Cen MT Condensed"/>
                <w:b/>
                <w:sz w:val="18"/>
                <w:szCs w:val="18"/>
              </w:rPr>
            </w:pPr>
            <w:r w:rsidRPr="004A2BA2">
              <w:rPr>
                <w:rFonts w:ascii="Tw Cen MT Condensed" w:hAnsi="Tw Cen MT Condensed"/>
                <w:b/>
                <w:sz w:val="18"/>
                <w:szCs w:val="18"/>
              </w:rPr>
              <w:t>Payment</w:t>
            </w:r>
          </w:p>
        </w:tc>
        <w:tc>
          <w:tcPr>
            <w:tcW w:w="708" w:type="dxa"/>
            <w:shd w:val="clear" w:color="auto" w:fill="FBE4D5" w:themeFill="accent2" w:themeFillTint="33"/>
            <w:vAlign w:val="center"/>
          </w:tcPr>
          <w:p w14:paraId="7C6FECC9" w14:textId="77777777" w:rsidR="00F31FC5" w:rsidRPr="004A2BA2" w:rsidRDefault="00F31FC5">
            <w:pPr>
              <w:jc w:val="center"/>
              <w:rPr>
                <w:rFonts w:ascii="Tw Cen MT Condensed" w:hAnsi="Tw Cen MT Condensed"/>
                <w:b/>
                <w:sz w:val="18"/>
                <w:szCs w:val="18"/>
              </w:rPr>
            </w:pPr>
            <w:r>
              <w:rPr>
                <w:rFonts w:ascii="Tw Cen MT Condensed" w:hAnsi="Tw Cen MT Condensed"/>
                <w:b/>
                <w:sz w:val="18"/>
                <w:szCs w:val="18"/>
              </w:rPr>
              <w:t>Year of policy change</w:t>
            </w:r>
          </w:p>
        </w:tc>
        <w:tc>
          <w:tcPr>
            <w:tcW w:w="2835" w:type="dxa"/>
            <w:shd w:val="clear" w:color="auto" w:fill="FBE4D5" w:themeFill="accent2" w:themeFillTint="33"/>
            <w:vAlign w:val="center"/>
          </w:tcPr>
          <w:p w14:paraId="6CDBE629" w14:textId="77777777" w:rsidR="00F31FC5" w:rsidRPr="004A2BA2" w:rsidRDefault="00F31FC5">
            <w:pPr>
              <w:jc w:val="center"/>
              <w:rPr>
                <w:rFonts w:ascii="Tw Cen MT Condensed" w:hAnsi="Tw Cen MT Condensed"/>
                <w:b/>
                <w:sz w:val="18"/>
                <w:szCs w:val="18"/>
              </w:rPr>
            </w:pPr>
            <w:r>
              <w:rPr>
                <w:rFonts w:ascii="Tw Cen MT Condensed" w:hAnsi="Tw Cen MT Condensed"/>
                <w:b/>
                <w:sz w:val="18"/>
                <w:szCs w:val="18"/>
              </w:rPr>
              <w:t>Policy change</w:t>
            </w:r>
          </w:p>
        </w:tc>
        <w:tc>
          <w:tcPr>
            <w:tcW w:w="1276" w:type="dxa"/>
            <w:shd w:val="clear" w:color="auto" w:fill="FBE4D5" w:themeFill="accent2" w:themeFillTint="33"/>
            <w:vAlign w:val="center"/>
          </w:tcPr>
          <w:p w14:paraId="4B199892" w14:textId="77777777" w:rsidR="00F31FC5" w:rsidRPr="004A2BA2" w:rsidRDefault="00F31FC5">
            <w:pPr>
              <w:jc w:val="center"/>
              <w:rPr>
                <w:rFonts w:ascii="Tw Cen MT Condensed" w:hAnsi="Tw Cen MT Condensed"/>
                <w:b/>
                <w:sz w:val="18"/>
                <w:szCs w:val="18"/>
              </w:rPr>
            </w:pPr>
            <w:r w:rsidRPr="004A2BA2">
              <w:rPr>
                <w:rFonts w:ascii="Tw Cen MT Condensed" w:hAnsi="Tw Cen MT Condensed"/>
                <w:b/>
                <w:sz w:val="18"/>
                <w:szCs w:val="18"/>
              </w:rPr>
              <w:t>Target</w:t>
            </w:r>
          </w:p>
        </w:tc>
        <w:tc>
          <w:tcPr>
            <w:tcW w:w="5103" w:type="dxa"/>
            <w:shd w:val="clear" w:color="auto" w:fill="FBE4D5" w:themeFill="accent2" w:themeFillTint="33"/>
            <w:vAlign w:val="center"/>
          </w:tcPr>
          <w:p w14:paraId="2FFF059D" w14:textId="77777777" w:rsidR="00F31FC5" w:rsidRPr="004A2BA2" w:rsidRDefault="00F31FC5">
            <w:pPr>
              <w:jc w:val="center"/>
              <w:rPr>
                <w:rFonts w:ascii="Tw Cen MT Condensed" w:hAnsi="Tw Cen MT Condensed"/>
                <w:b/>
                <w:sz w:val="18"/>
                <w:szCs w:val="18"/>
              </w:rPr>
            </w:pPr>
            <w:r w:rsidRPr="004A2BA2">
              <w:rPr>
                <w:rFonts w:ascii="Tw Cen MT Condensed" w:hAnsi="Tw Cen MT Condensed"/>
                <w:b/>
                <w:sz w:val="18"/>
                <w:szCs w:val="18"/>
              </w:rPr>
              <w:t>Impact on fertility</w:t>
            </w:r>
          </w:p>
        </w:tc>
        <w:tc>
          <w:tcPr>
            <w:tcW w:w="1984" w:type="dxa"/>
            <w:shd w:val="clear" w:color="auto" w:fill="FBE4D5" w:themeFill="accent2" w:themeFillTint="33"/>
            <w:vAlign w:val="center"/>
          </w:tcPr>
          <w:p w14:paraId="65871314" w14:textId="77777777" w:rsidR="00F31FC5" w:rsidRPr="004A2BA2" w:rsidRDefault="00F31FC5">
            <w:pPr>
              <w:jc w:val="center"/>
              <w:rPr>
                <w:rFonts w:ascii="Tw Cen MT Condensed" w:hAnsi="Tw Cen MT Condensed"/>
                <w:b/>
                <w:sz w:val="18"/>
                <w:szCs w:val="18"/>
              </w:rPr>
            </w:pPr>
            <w:r w:rsidRPr="004A2BA2">
              <w:rPr>
                <w:rFonts w:ascii="Tw Cen MT Condensed" w:hAnsi="Tw Cen MT Condensed"/>
                <w:b/>
                <w:sz w:val="18"/>
                <w:szCs w:val="18"/>
              </w:rPr>
              <w:t>Author</w:t>
            </w:r>
          </w:p>
        </w:tc>
      </w:tr>
      <w:tr w:rsidR="00F31FC5" w:rsidRPr="004A2BA2" w14:paraId="64C9B7DC" w14:textId="77777777" w:rsidTr="007E15F6">
        <w:tc>
          <w:tcPr>
            <w:tcW w:w="1028" w:type="dxa"/>
            <w:vAlign w:val="center"/>
          </w:tcPr>
          <w:p w14:paraId="67E114AF" w14:textId="77777777" w:rsidR="00F31FC5" w:rsidRPr="00363C31" w:rsidRDefault="00F31FC5">
            <w:pPr>
              <w:rPr>
                <w:rFonts w:ascii="Tw Cen MT Condensed" w:hAnsi="Tw Cen MT Condensed" w:cstheme="majorHAnsi"/>
                <w:caps/>
                <w:sz w:val="18"/>
                <w:szCs w:val="18"/>
              </w:rPr>
            </w:pPr>
            <w:r w:rsidRPr="00363C31">
              <w:rPr>
                <w:rFonts w:ascii="Tw Cen MT Condensed" w:hAnsi="Tw Cen MT Condensed" w:cstheme="majorHAnsi"/>
                <w:caps/>
                <w:sz w:val="18"/>
                <w:szCs w:val="18"/>
              </w:rPr>
              <w:t>Cyprus</w:t>
            </w:r>
          </w:p>
        </w:tc>
        <w:tc>
          <w:tcPr>
            <w:tcW w:w="1661" w:type="dxa"/>
            <w:vAlign w:val="center"/>
          </w:tcPr>
          <w:p w14:paraId="40E371A3" w14:textId="77777777" w:rsidR="00F31FC5" w:rsidRPr="004A2BA2" w:rsidRDefault="00F31FC5">
            <w:pPr>
              <w:rPr>
                <w:rFonts w:asciiTheme="majorHAnsi" w:hAnsiTheme="majorHAnsi" w:cstheme="majorHAnsi"/>
                <w:sz w:val="18"/>
                <w:szCs w:val="18"/>
              </w:rPr>
            </w:pPr>
            <w:r w:rsidRPr="004A2BA2">
              <w:rPr>
                <w:rFonts w:asciiTheme="majorHAnsi" w:hAnsiTheme="majorHAnsi" w:cstheme="majorHAnsi"/>
                <w:sz w:val="18"/>
                <w:szCs w:val="18"/>
              </w:rPr>
              <w:t xml:space="preserve">Universal child benefit </w:t>
            </w:r>
          </w:p>
        </w:tc>
        <w:tc>
          <w:tcPr>
            <w:tcW w:w="708" w:type="dxa"/>
            <w:vAlign w:val="center"/>
          </w:tcPr>
          <w:p w14:paraId="708B61EA"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1988-1997</w:t>
            </w:r>
          </w:p>
        </w:tc>
        <w:tc>
          <w:tcPr>
            <w:tcW w:w="2835" w:type="dxa"/>
            <w:vAlign w:val="center"/>
          </w:tcPr>
          <w:p w14:paraId="2E3836D5" w14:textId="77777777" w:rsidR="00F31FC5" w:rsidRPr="004A2BA2" w:rsidRDefault="00F31FC5">
            <w:pPr>
              <w:rPr>
                <w:rFonts w:asciiTheme="majorHAnsi" w:hAnsiTheme="majorHAnsi" w:cstheme="majorHAnsi"/>
                <w:sz w:val="18"/>
                <w:szCs w:val="18"/>
              </w:rPr>
            </w:pPr>
            <w:r w:rsidRPr="004A2BA2">
              <w:rPr>
                <w:rFonts w:asciiTheme="majorHAnsi" w:hAnsiTheme="majorHAnsi" w:cstheme="majorHAnsi"/>
                <w:sz w:val="18"/>
                <w:szCs w:val="18"/>
              </w:rPr>
              <w:t>Introduction</w:t>
            </w:r>
            <w:r>
              <w:rPr>
                <w:rFonts w:asciiTheme="majorHAnsi" w:hAnsiTheme="majorHAnsi" w:cstheme="majorHAnsi"/>
                <w:sz w:val="18"/>
                <w:szCs w:val="18"/>
              </w:rPr>
              <w:t xml:space="preserve"> in 1988, and subsequent increases in generosity throughout 1990s</w:t>
            </w:r>
            <w:r w:rsidRPr="004A2BA2">
              <w:rPr>
                <w:rFonts w:asciiTheme="majorHAnsi" w:hAnsiTheme="majorHAnsi" w:cstheme="majorHAnsi"/>
                <w:sz w:val="18"/>
                <w:szCs w:val="18"/>
              </w:rPr>
              <w:t xml:space="preserve"> </w:t>
            </w:r>
            <w:r>
              <w:rPr>
                <w:rFonts w:asciiTheme="majorHAnsi" w:hAnsiTheme="majorHAnsi" w:cstheme="majorHAnsi"/>
                <w:sz w:val="18"/>
                <w:szCs w:val="18"/>
              </w:rPr>
              <w:t xml:space="preserve">of </w:t>
            </w:r>
            <w:r w:rsidRPr="004A2BA2">
              <w:rPr>
                <w:rFonts w:asciiTheme="majorHAnsi" w:hAnsiTheme="majorHAnsi" w:cstheme="majorHAnsi"/>
                <w:sz w:val="18"/>
                <w:szCs w:val="18"/>
              </w:rPr>
              <w:t>a universal monthly child benefit to families with at least four children</w:t>
            </w:r>
          </w:p>
        </w:tc>
        <w:tc>
          <w:tcPr>
            <w:tcW w:w="1276" w:type="dxa"/>
            <w:vAlign w:val="center"/>
          </w:tcPr>
          <w:p w14:paraId="3D9C67B7" w14:textId="77777777" w:rsidR="00F31FC5" w:rsidRPr="004A2BA2" w:rsidRDefault="00F31FC5">
            <w:pPr>
              <w:rPr>
                <w:rFonts w:asciiTheme="majorHAnsi" w:hAnsiTheme="majorHAnsi" w:cstheme="majorHAnsi"/>
                <w:sz w:val="18"/>
                <w:szCs w:val="18"/>
              </w:rPr>
            </w:pPr>
            <w:r w:rsidRPr="004A2BA2">
              <w:rPr>
                <w:rFonts w:asciiTheme="majorHAnsi" w:hAnsiTheme="majorHAnsi" w:cstheme="majorHAnsi"/>
                <w:sz w:val="18"/>
                <w:szCs w:val="18"/>
              </w:rPr>
              <w:t>4</w:t>
            </w:r>
            <w:r>
              <w:rPr>
                <w:rFonts w:asciiTheme="majorHAnsi" w:hAnsiTheme="majorHAnsi" w:cstheme="majorHAnsi"/>
                <w:sz w:val="18"/>
                <w:szCs w:val="18"/>
              </w:rPr>
              <w:t xml:space="preserve">+ </w:t>
            </w:r>
            <w:r w:rsidRPr="004A2BA2">
              <w:rPr>
                <w:rFonts w:asciiTheme="majorHAnsi" w:hAnsiTheme="majorHAnsi" w:cstheme="majorHAnsi"/>
                <w:sz w:val="18"/>
                <w:szCs w:val="18"/>
              </w:rPr>
              <w:t>parity</w:t>
            </w:r>
          </w:p>
        </w:tc>
        <w:tc>
          <w:tcPr>
            <w:tcW w:w="5103" w:type="dxa"/>
            <w:vAlign w:val="center"/>
          </w:tcPr>
          <w:p w14:paraId="3443A542"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Probability of having a 4th</w:t>
            </w:r>
            <w:r w:rsidRPr="004A2BA2">
              <w:rPr>
                <w:rFonts w:asciiTheme="majorHAnsi" w:hAnsiTheme="majorHAnsi" w:cstheme="majorHAnsi"/>
                <w:sz w:val="18"/>
                <w:szCs w:val="18"/>
              </w:rPr>
              <w:t xml:space="preserve"> child increased by 5%.</w:t>
            </w:r>
            <w:r>
              <w:rPr>
                <w:rFonts w:asciiTheme="majorHAnsi" w:hAnsiTheme="majorHAnsi" w:cstheme="majorHAnsi"/>
                <w:sz w:val="18"/>
                <w:szCs w:val="18"/>
              </w:rPr>
              <w:t xml:space="preserve"> No change in</w:t>
            </w:r>
            <w:r w:rsidRPr="004A2BA2">
              <w:rPr>
                <w:rFonts w:asciiTheme="majorHAnsi" w:hAnsiTheme="majorHAnsi" w:cstheme="majorHAnsi"/>
                <w:sz w:val="18"/>
                <w:szCs w:val="18"/>
              </w:rPr>
              <w:t xml:space="preserve"> probability of</w:t>
            </w:r>
            <w:r>
              <w:rPr>
                <w:rFonts w:asciiTheme="majorHAnsi" w:hAnsiTheme="majorHAnsi" w:cstheme="majorHAnsi"/>
                <w:sz w:val="18"/>
                <w:szCs w:val="18"/>
              </w:rPr>
              <w:t xml:space="preserve"> having a </w:t>
            </w:r>
            <w:r w:rsidRPr="004A2BA2">
              <w:rPr>
                <w:rFonts w:asciiTheme="majorHAnsi" w:hAnsiTheme="majorHAnsi" w:cstheme="majorHAnsi"/>
                <w:sz w:val="18"/>
                <w:szCs w:val="18"/>
              </w:rPr>
              <w:t>5th</w:t>
            </w:r>
            <w:r>
              <w:rPr>
                <w:rFonts w:asciiTheme="majorHAnsi" w:hAnsiTheme="majorHAnsi" w:cstheme="majorHAnsi"/>
                <w:sz w:val="18"/>
                <w:szCs w:val="18"/>
              </w:rPr>
              <w:t xml:space="preserve"> or higher order child.</w:t>
            </w:r>
            <w:r w:rsidRPr="004A2BA2">
              <w:rPr>
                <w:rFonts w:asciiTheme="majorHAnsi" w:hAnsiTheme="majorHAnsi" w:cstheme="majorHAnsi"/>
                <w:sz w:val="18"/>
                <w:szCs w:val="18"/>
              </w:rPr>
              <w:t xml:space="preserve"> </w:t>
            </w:r>
          </w:p>
        </w:tc>
        <w:tc>
          <w:tcPr>
            <w:tcW w:w="1984" w:type="dxa"/>
            <w:vAlign w:val="center"/>
          </w:tcPr>
          <w:p w14:paraId="22279D49" w14:textId="5EF3938C" w:rsidR="00F31FC5" w:rsidRPr="004A2BA2" w:rsidRDefault="00DA7092">
            <w:pPr>
              <w:rPr>
                <w:rFonts w:asciiTheme="majorHAnsi" w:hAnsiTheme="majorHAnsi" w:cstheme="majorHAnsi"/>
                <w:sz w:val="18"/>
                <w:szCs w:val="18"/>
              </w:rPr>
            </w:pPr>
            <w:r w:rsidRPr="007E15F6">
              <w:rPr>
                <w:rFonts w:asciiTheme="majorHAnsi" w:hAnsiTheme="majorHAnsi" w:cstheme="majorHAnsi"/>
                <w:noProof/>
                <w:sz w:val="18"/>
                <w:szCs w:val="18"/>
              </w:rPr>
              <w:t>(Lyssiotou, 2021)</w:t>
            </w:r>
          </w:p>
        </w:tc>
      </w:tr>
      <w:tr w:rsidR="00F31FC5" w:rsidRPr="004A2BA2" w14:paraId="6803061F" w14:textId="77777777" w:rsidTr="007E15F6">
        <w:tc>
          <w:tcPr>
            <w:tcW w:w="1028" w:type="dxa"/>
            <w:vAlign w:val="center"/>
          </w:tcPr>
          <w:p w14:paraId="299F518F" w14:textId="77777777" w:rsidR="00F31FC5" w:rsidRPr="00363C31" w:rsidRDefault="00F31FC5">
            <w:pPr>
              <w:rPr>
                <w:rFonts w:ascii="Tw Cen MT Condensed" w:hAnsi="Tw Cen MT Condensed" w:cstheme="majorHAnsi"/>
                <w:caps/>
                <w:sz w:val="18"/>
                <w:szCs w:val="18"/>
              </w:rPr>
            </w:pPr>
            <w:r w:rsidRPr="00363C31">
              <w:rPr>
                <w:rFonts w:ascii="Tw Cen MT Condensed" w:hAnsi="Tw Cen MT Condensed" w:cstheme="majorHAnsi"/>
                <w:caps/>
                <w:sz w:val="18"/>
                <w:szCs w:val="18"/>
              </w:rPr>
              <w:t>Israel</w:t>
            </w:r>
          </w:p>
        </w:tc>
        <w:tc>
          <w:tcPr>
            <w:tcW w:w="1661" w:type="dxa"/>
            <w:vAlign w:val="center"/>
          </w:tcPr>
          <w:p w14:paraId="60089E3C" w14:textId="77777777" w:rsidR="00F31FC5" w:rsidRPr="004A2BA2" w:rsidRDefault="00F31FC5">
            <w:pPr>
              <w:rPr>
                <w:rFonts w:asciiTheme="majorHAnsi" w:hAnsiTheme="majorHAnsi" w:cstheme="majorHAnsi"/>
                <w:sz w:val="18"/>
                <w:szCs w:val="18"/>
              </w:rPr>
            </w:pPr>
            <w:r w:rsidRPr="004A2BA2">
              <w:rPr>
                <w:rFonts w:asciiTheme="majorHAnsi" w:hAnsiTheme="majorHAnsi" w:cstheme="majorHAnsi"/>
                <w:sz w:val="18"/>
                <w:szCs w:val="18"/>
              </w:rPr>
              <w:t>Universal child benefit</w:t>
            </w:r>
          </w:p>
        </w:tc>
        <w:tc>
          <w:tcPr>
            <w:tcW w:w="708" w:type="dxa"/>
            <w:vAlign w:val="center"/>
          </w:tcPr>
          <w:p w14:paraId="45AB41FB"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1999-2005</w:t>
            </w:r>
          </w:p>
        </w:tc>
        <w:tc>
          <w:tcPr>
            <w:tcW w:w="2835" w:type="dxa"/>
            <w:vAlign w:val="center"/>
          </w:tcPr>
          <w:p w14:paraId="560F2062"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Several changes to child subsidies for 3+ children, both increases and decreases</w:t>
            </w:r>
          </w:p>
        </w:tc>
        <w:tc>
          <w:tcPr>
            <w:tcW w:w="1276" w:type="dxa"/>
            <w:vAlign w:val="center"/>
          </w:tcPr>
          <w:p w14:paraId="1D5A4684"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 xml:space="preserve">3+ parity </w:t>
            </w:r>
          </w:p>
        </w:tc>
        <w:tc>
          <w:tcPr>
            <w:tcW w:w="5103" w:type="dxa"/>
            <w:vAlign w:val="center"/>
          </w:tcPr>
          <w:p w14:paraId="2B4FF38C" w14:textId="77777777" w:rsidR="00F31FC5" w:rsidRPr="00C52FDD" w:rsidRDefault="00F31FC5">
            <w:pPr>
              <w:rPr>
                <w:rFonts w:asciiTheme="majorHAnsi" w:hAnsiTheme="majorHAnsi" w:cstheme="majorHAnsi"/>
                <w:sz w:val="18"/>
                <w:szCs w:val="18"/>
              </w:rPr>
            </w:pPr>
            <w:r>
              <w:rPr>
                <w:rFonts w:asciiTheme="majorHAnsi" w:hAnsiTheme="majorHAnsi" w:cstheme="majorHAnsi"/>
                <w:sz w:val="18"/>
                <w:szCs w:val="18"/>
              </w:rPr>
              <w:t>Positive effect on fertility of child subsidies, except for at highest income level.  M</w:t>
            </w:r>
            <w:r w:rsidRPr="00C52FDD">
              <w:rPr>
                <w:rFonts w:asciiTheme="majorHAnsi" w:hAnsiTheme="majorHAnsi" w:cstheme="majorHAnsi"/>
                <w:sz w:val="18"/>
                <w:szCs w:val="18"/>
              </w:rPr>
              <w:t>ean level of marginal child</w:t>
            </w:r>
          </w:p>
          <w:p w14:paraId="353F012D" w14:textId="77777777" w:rsidR="00F31FC5" w:rsidRPr="004A2BA2" w:rsidRDefault="00F31FC5">
            <w:pPr>
              <w:rPr>
                <w:rFonts w:asciiTheme="majorHAnsi" w:hAnsiTheme="majorHAnsi" w:cstheme="majorHAnsi"/>
                <w:sz w:val="18"/>
                <w:szCs w:val="18"/>
              </w:rPr>
            </w:pPr>
            <w:r w:rsidRPr="00C52FDD">
              <w:rPr>
                <w:rFonts w:asciiTheme="majorHAnsi" w:hAnsiTheme="majorHAnsi" w:cstheme="majorHAnsi"/>
                <w:sz w:val="18"/>
                <w:szCs w:val="18"/>
              </w:rPr>
              <w:t>subsidy produces a 7.8 percent increase in fertility</w:t>
            </w:r>
          </w:p>
        </w:tc>
        <w:tc>
          <w:tcPr>
            <w:tcW w:w="1984" w:type="dxa"/>
            <w:vAlign w:val="center"/>
          </w:tcPr>
          <w:p w14:paraId="4D1CE17B" w14:textId="699905D1" w:rsidR="00F31FC5" w:rsidRPr="004A2BA2" w:rsidRDefault="001E0F6C">
            <w:pPr>
              <w:rPr>
                <w:rFonts w:asciiTheme="majorHAnsi" w:hAnsiTheme="majorHAnsi" w:cstheme="majorHAnsi"/>
                <w:sz w:val="18"/>
                <w:szCs w:val="18"/>
              </w:rPr>
            </w:pPr>
            <w:r>
              <w:rPr>
                <w:rFonts w:asciiTheme="majorHAnsi" w:hAnsiTheme="majorHAnsi" w:cstheme="majorHAnsi"/>
                <w:noProof/>
                <w:sz w:val="18"/>
                <w:szCs w:val="18"/>
              </w:rPr>
              <w:t xml:space="preserve">(Cohen, </w:t>
            </w:r>
            <w:r w:rsidR="00B95174" w:rsidRPr="00B95174">
              <w:rPr>
                <w:rFonts w:asciiTheme="majorHAnsi" w:hAnsiTheme="majorHAnsi" w:cstheme="majorHAnsi"/>
                <w:i/>
                <w:noProof/>
                <w:sz w:val="18"/>
                <w:szCs w:val="18"/>
              </w:rPr>
              <w:t>et al.,</w:t>
            </w:r>
            <w:r>
              <w:rPr>
                <w:rFonts w:asciiTheme="majorHAnsi" w:hAnsiTheme="majorHAnsi" w:cstheme="majorHAnsi"/>
                <w:noProof/>
                <w:sz w:val="18"/>
                <w:szCs w:val="18"/>
              </w:rPr>
              <w:t xml:space="preserve"> 2013)</w:t>
            </w:r>
          </w:p>
        </w:tc>
      </w:tr>
      <w:tr w:rsidR="00F31FC5" w:rsidRPr="004A2BA2" w14:paraId="29A44FDD" w14:textId="77777777" w:rsidTr="007E15F6">
        <w:tc>
          <w:tcPr>
            <w:tcW w:w="1028" w:type="dxa"/>
            <w:vAlign w:val="center"/>
          </w:tcPr>
          <w:p w14:paraId="570EB651" w14:textId="77777777" w:rsidR="00F31FC5" w:rsidRPr="00363C31" w:rsidRDefault="00F31FC5">
            <w:pPr>
              <w:rPr>
                <w:rFonts w:ascii="Tw Cen MT Condensed" w:hAnsi="Tw Cen MT Condensed" w:cstheme="majorHAnsi"/>
                <w:caps/>
                <w:sz w:val="18"/>
                <w:szCs w:val="18"/>
              </w:rPr>
            </w:pPr>
            <w:r w:rsidRPr="00363C31">
              <w:rPr>
                <w:rFonts w:ascii="Tw Cen MT Condensed" w:hAnsi="Tw Cen MT Condensed" w:cstheme="majorHAnsi"/>
                <w:caps/>
                <w:sz w:val="18"/>
                <w:szCs w:val="18"/>
              </w:rPr>
              <w:t>Switzerland</w:t>
            </w:r>
          </w:p>
        </w:tc>
        <w:tc>
          <w:tcPr>
            <w:tcW w:w="1661" w:type="dxa"/>
            <w:vAlign w:val="center"/>
          </w:tcPr>
          <w:p w14:paraId="6A752035"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Universal child benefit</w:t>
            </w:r>
          </w:p>
        </w:tc>
        <w:tc>
          <w:tcPr>
            <w:tcW w:w="708" w:type="dxa"/>
            <w:vAlign w:val="center"/>
          </w:tcPr>
          <w:p w14:paraId="2A6188D7" w14:textId="77777777" w:rsidR="00F31FC5" w:rsidRDefault="00F31FC5">
            <w:pPr>
              <w:rPr>
                <w:rFonts w:asciiTheme="majorHAnsi" w:hAnsiTheme="majorHAnsi" w:cstheme="majorHAnsi"/>
                <w:sz w:val="18"/>
                <w:szCs w:val="18"/>
              </w:rPr>
            </w:pPr>
            <w:r>
              <w:rPr>
                <w:rFonts w:asciiTheme="majorHAnsi" w:hAnsiTheme="majorHAnsi" w:cstheme="majorHAnsi"/>
                <w:sz w:val="18"/>
                <w:szCs w:val="18"/>
              </w:rPr>
              <w:t>2009</w:t>
            </w:r>
          </w:p>
        </w:tc>
        <w:tc>
          <w:tcPr>
            <w:tcW w:w="2835" w:type="dxa"/>
            <w:vAlign w:val="center"/>
          </w:tcPr>
          <w:p w14:paraId="7ACB760C" w14:textId="77777777" w:rsidR="00F31FC5" w:rsidRDefault="00F31FC5">
            <w:pPr>
              <w:rPr>
                <w:rFonts w:asciiTheme="majorHAnsi" w:hAnsiTheme="majorHAnsi" w:cstheme="majorHAnsi"/>
                <w:sz w:val="18"/>
                <w:szCs w:val="18"/>
              </w:rPr>
            </w:pPr>
            <w:r w:rsidRPr="00106766">
              <w:rPr>
                <w:rFonts w:asciiTheme="majorHAnsi" w:hAnsiTheme="majorHAnsi" w:cstheme="majorHAnsi"/>
                <w:sz w:val="18"/>
                <w:szCs w:val="18"/>
              </w:rPr>
              <w:t>Swiss Family Allowance Law (Familienzulagengesetz)</w:t>
            </w:r>
            <w:r>
              <w:rPr>
                <w:rFonts w:asciiTheme="majorHAnsi" w:hAnsiTheme="majorHAnsi" w:cstheme="majorHAnsi"/>
                <w:sz w:val="18"/>
                <w:szCs w:val="18"/>
              </w:rPr>
              <w:t xml:space="preserve"> entitled all families, regardless of the canton, a legal minimum of child benefits per month</w:t>
            </w:r>
          </w:p>
        </w:tc>
        <w:tc>
          <w:tcPr>
            <w:tcW w:w="1276" w:type="dxa"/>
            <w:vAlign w:val="center"/>
          </w:tcPr>
          <w:p w14:paraId="6A7C914F" w14:textId="77777777" w:rsidR="00F31FC5" w:rsidRDefault="00F31FC5">
            <w:pPr>
              <w:rPr>
                <w:rFonts w:asciiTheme="majorHAnsi" w:hAnsiTheme="majorHAnsi" w:cstheme="majorHAnsi"/>
                <w:sz w:val="18"/>
                <w:szCs w:val="18"/>
              </w:rPr>
            </w:pPr>
            <w:r>
              <w:rPr>
                <w:rFonts w:asciiTheme="majorHAnsi" w:hAnsiTheme="majorHAnsi" w:cstheme="majorHAnsi"/>
                <w:sz w:val="18"/>
                <w:szCs w:val="18"/>
              </w:rPr>
              <w:t>All parities</w:t>
            </w:r>
          </w:p>
        </w:tc>
        <w:tc>
          <w:tcPr>
            <w:tcW w:w="5103" w:type="dxa"/>
            <w:vAlign w:val="center"/>
          </w:tcPr>
          <w:p w14:paraId="47DF73B8" w14:textId="77777777" w:rsidR="00F31FC5" w:rsidRDefault="00F31FC5">
            <w:pPr>
              <w:rPr>
                <w:rFonts w:asciiTheme="majorHAnsi" w:hAnsiTheme="majorHAnsi" w:cstheme="majorHAnsi"/>
                <w:sz w:val="18"/>
                <w:szCs w:val="18"/>
              </w:rPr>
            </w:pPr>
            <w:r>
              <w:rPr>
                <w:rFonts w:asciiTheme="majorHAnsi" w:hAnsiTheme="majorHAnsi" w:cstheme="majorHAnsi"/>
                <w:sz w:val="18"/>
                <w:szCs w:val="18"/>
              </w:rPr>
              <w:t xml:space="preserve">A 10% increase in the family transfers increases the likelihood of having another child by 0.1%. Introduction of the minimum amount increased likelihood of having another child by 4.3% in effected cantons. </w:t>
            </w:r>
          </w:p>
        </w:tc>
        <w:tc>
          <w:tcPr>
            <w:tcW w:w="1984" w:type="dxa"/>
            <w:vAlign w:val="center"/>
          </w:tcPr>
          <w:p w14:paraId="62672286" w14:textId="2CF91DCD" w:rsidR="00F31FC5" w:rsidRDefault="00DA7092">
            <w:pPr>
              <w:rPr>
                <w:rFonts w:asciiTheme="majorHAnsi" w:hAnsiTheme="majorHAnsi" w:cstheme="majorHAnsi"/>
                <w:sz w:val="18"/>
                <w:szCs w:val="18"/>
              </w:rPr>
            </w:pPr>
            <w:r w:rsidRPr="007E15F6">
              <w:rPr>
                <w:rFonts w:asciiTheme="majorHAnsi" w:hAnsiTheme="majorHAnsi" w:cstheme="majorHAnsi"/>
                <w:noProof/>
                <w:sz w:val="18"/>
                <w:szCs w:val="18"/>
              </w:rPr>
              <w:t>(Milonavska-Farrington, 2019)</w:t>
            </w:r>
          </w:p>
        </w:tc>
      </w:tr>
      <w:tr w:rsidR="00F31FC5" w:rsidRPr="004A2BA2" w14:paraId="60599067" w14:textId="77777777" w:rsidTr="007E15F6">
        <w:tc>
          <w:tcPr>
            <w:tcW w:w="1028" w:type="dxa"/>
            <w:vAlign w:val="center"/>
          </w:tcPr>
          <w:p w14:paraId="1F989B51" w14:textId="77777777" w:rsidR="00F31FC5" w:rsidRPr="00363C31" w:rsidRDefault="00F31FC5">
            <w:pPr>
              <w:rPr>
                <w:rFonts w:ascii="Tw Cen MT Condensed" w:hAnsi="Tw Cen MT Condensed" w:cstheme="majorHAnsi"/>
                <w:caps/>
                <w:sz w:val="18"/>
                <w:szCs w:val="18"/>
              </w:rPr>
            </w:pPr>
            <w:r w:rsidRPr="00363C31">
              <w:rPr>
                <w:rFonts w:ascii="Tw Cen MT Condensed" w:hAnsi="Tw Cen MT Condensed" w:cstheme="majorHAnsi"/>
                <w:caps/>
                <w:sz w:val="18"/>
                <w:szCs w:val="18"/>
              </w:rPr>
              <w:t>Germany</w:t>
            </w:r>
          </w:p>
        </w:tc>
        <w:tc>
          <w:tcPr>
            <w:tcW w:w="1661" w:type="dxa"/>
            <w:vAlign w:val="center"/>
          </w:tcPr>
          <w:p w14:paraId="3C8B3796" w14:textId="77777777" w:rsidR="00F31FC5" w:rsidRPr="004A2BA2" w:rsidRDefault="00F31FC5">
            <w:pPr>
              <w:rPr>
                <w:rFonts w:asciiTheme="majorHAnsi" w:hAnsiTheme="majorHAnsi" w:cstheme="majorHAnsi"/>
                <w:sz w:val="18"/>
                <w:szCs w:val="18"/>
              </w:rPr>
            </w:pPr>
            <w:r w:rsidRPr="004A2BA2">
              <w:rPr>
                <w:rFonts w:asciiTheme="majorHAnsi" w:hAnsiTheme="majorHAnsi" w:cstheme="majorHAnsi"/>
                <w:sz w:val="18"/>
                <w:szCs w:val="18"/>
              </w:rPr>
              <w:t>Universal child benefit</w:t>
            </w:r>
          </w:p>
        </w:tc>
        <w:tc>
          <w:tcPr>
            <w:tcW w:w="708" w:type="dxa"/>
            <w:vAlign w:val="center"/>
          </w:tcPr>
          <w:p w14:paraId="43E04212"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1996</w:t>
            </w:r>
          </w:p>
        </w:tc>
        <w:tc>
          <w:tcPr>
            <w:tcW w:w="2835" w:type="dxa"/>
            <w:vAlign w:val="center"/>
          </w:tcPr>
          <w:p w14:paraId="0D537872"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 xml:space="preserve">Significant increase in </w:t>
            </w:r>
            <w:r w:rsidRPr="004A2BA2">
              <w:rPr>
                <w:rFonts w:asciiTheme="majorHAnsi" w:hAnsiTheme="majorHAnsi" w:cstheme="majorHAnsi"/>
                <w:sz w:val="18"/>
                <w:szCs w:val="18"/>
              </w:rPr>
              <w:t>child benefits, and</w:t>
            </w:r>
            <w:r>
              <w:rPr>
                <w:rFonts w:asciiTheme="majorHAnsi" w:hAnsiTheme="majorHAnsi" w:cstheme="majorHAnsi"/>
                <w:sz w:val="18"/>
                <w:szCs w:val="18"/>
              </w:rPr>
              <w:t xml:space="preserve"> </w:t>
            </w:r>
            <w:r w:rsidRPr="004A2BA2">
              <w:rPr>
                <w:rFonts w:asciiTheme="majorHAnsi" w:hAnsiTheme="majorHAnsi" w:cstheme="majorHAnsi"/>
                <w:sz w:val="18"/>
                <w:szCs w:val="18"/>
              </w:rPr>
              <w:t>households</w:t>
            </w:r>
            <w:r>
              <w:rPr>
                <w:rFonts w:asciiTheme="majorHAnsi" w:hAnsiTheme="majorHAnsi" w:cstheme="majorHAnsi"/>
                <w:sz w:val="18"/>
                <w:szCs w:val="18"/>
              </w:rPr>
              <w:t xml:space="preserve"> forced</w:t>
            </w:r>
            <w:r w:rsidRPr="004A2BA2">
              <w:rPr>
                <w:rFonts w:asciiTheme="majorHAnsi" w:hAnsiTheme="majorHAnsi" w:cstheme="majorHAnsi"/>
                <w:sz w:val="18"/>
                <w:szCs w:val="18"/>
              </w:rPr>
              <w:t xml:space="preserve"> to choose whether they received child benefits or tax allowances. </w:t>
            </w:r>
          </w:p>
        </w:tc>
        <w:tc>
          <w:tcPr>
            <w:tcW w:w="1276" w:type="dxa"/>
            <w:vAlign w:val="center"/>
          </w:tcPr>
          <w:p w14:paraId="564060F7"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All parities</w:t>
            </w:r>
          </w:p>
        </w:tc>
        <w:tc>
          <w:tcPr>
            <w:tcW w:w="5103" w:type="dxa"/>
            <w:vAlign w:val="center"/>
          </w:tcPr>
          <w:p w14:paraId="7ED4BC5E"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 xml:space="preserve">No effect for first or second birth among low-income couples. </w:t>
            </w:r>
            <w:r w:rsidRPr="004A2BA2">
              <w:rPr>
                <w:rFonts w:asciiTheme="majorHAnsi" w:hAnsiTheme="majorHAnsi" w:cstheme="majorHAnsi"/>
                <w:sz w:val="18"/>
                <w:szCs w:val="18"/>
              </w:rPr>
              <w:t>A positive fertility effect for higher</w:t>
            </w:r>
            <w:r>
              <w:rPr>
                <w:rFonts w:asciiTheme="majorHAnsi" w:hAnsiTheme="majorHAnsi" w:cstheme="majorHAnsi"/>
                <w:sz w:val="18"/>
                <w:szCs w:val="18"/>
              </w:rPr>
              <w:t>-</w:t>
            </w:r>
            <w:r w:rsidRPr="004A2BA2">
              <w:rPr>
                <w:rFonts w:asciiTheme="majorHAnsi" w:hAnsiTheme="majorHAnsi" w:cstheme="majorHAnsi"/>
                <w:sz w:val="18"/>
                <w:szCs w:val="18"/>
              </w:rPr>
              <w:t>income couples deciding on a second child of between 10</w:t>
            </w:r>
            <w:r>
              <w:rPr>
                <w:rFonts w:asciiTheme="majorHAnsi" w:hAnsiTheme="majorHAnsi" w:cstheme="majorHAnsi"/>
                <w:sz w:val="18"/>
                <w:szCs w:val="18"/>
              </w:rPr>
              <w:t>%</w:t>
            </w:r>
            <w:r w:rsidRPr="004A2BA2">
              <w:rPr>
                <w:rFonts w:asciiTheme="majorHAnsi" w:hAnsiTheme="majorHAnsi" w:cstheme="majorHAnsi"/>
                <w:sz w:val="18"/>
                <w:szCs w:val="18"/>
              </w:rPr>
              <w:t xml:space="preserve"> and 23%.</w:t>
            </w:r>
          </w:p>
        </w:tc>
        <w:tc>
          <w:tcPr>
            <w:tcW w:w="1984" w:type="dxa"/>
            <w:vAlign w:val="center"/>
          </w:tcPr>
          <w:p w14:paraId="424B5DC8" w14:textId="5BF6EA7A" w:rsidR="00F31FC5" w:rsidRPr="004A2BA2" w:rsidRDefault="00DA7092">
            <w:pPr>
              <w:rPr>
                <w:rFonts w:asciiTheme="majorHAnsi" w:hAnsiTheme="majorHAnsi" w:cstheme="majorHAnsi"/>
                <w:sz w:val="18"/>
                <w:szCs w:val="18"/>
              </w:rPr>
            </w:pPr>
            <w:r w:rsidRPr="007E15F6">
              <w:rPr>
                <w:rFonts w:asciiTheme="majorHAnsi" w:hAnsiTheme="majorHAnsi" w:cstheme="majorHAnsi"/>
                <w:noProof/>
                <w:sz w:val="18"/>
                <w:szCs w:val="18"/>
              </w:rPr>
              <w:t>(Riphahn &amp; Wiynck, 2017)</w:t>
            </w:r>
          </w:p>
        </w:tc>
      </w:tr>
      <w:tr w:rsidR="00F31FC5" w:rsidRPr="004A2BA2" w14:paraId="7F5CED28" w14:textId="77777777" w:rsidTr="007E15F6">
        <w:tc>
          <w:tcPr>
            <w:tcW w:w="1028" w:type="dxa"/>
            <w:vAlign w:val="center"/>
          </w:tcPr>
          <w:p w14:paraId="6705BBF2" w14:textId="77777777" w:rsidR="00F31FC5" w:rsidRPr="00363C31" w:rsidRDefault="00F31FC5">
            <w:pPr>
              <w:rPr>
                <w:rFonts w:ascii="Tw Cen MT Condensed" w:hAnsi="Tw Cen MT Condensed" w:cstheme="majorHAnsi"/>
                <w:caps/>
                <w:sz w:val="18"/>
                <w:szCs w:val="18"/>
              </w:rPr>
            </w:pPr>
            <w:r w:rsidRPr="00363C31">
              <w:rPr>
                <w:rFonts w:ascii="Tw Cen MT Condensed" w:hAnsi="Tw Cen MT Condensed" w:cstheme="majorHAnsi"/>
                <w:caps/>
                <w:sz w:val="18"/>
                <w:szCs w:val="18"/>
              </w:rPr>
              <w:t>Norway</w:t>
            </w:r>
          </w:p>
        </w:tc>
        <w:tc>
          <w:tcPr>
            <w:tcW w:w="1661" w:type="dxa"/>
            <w:vAlign w:val="center"/>
          </w:tcPr>
          <w:p w14:paraId="62082EC5" w14:textId="77777777" w:rsidR="00F31FC5" w:rsidRPr="004A2BA2" w:rsidRDefault="00F31FC5">
            <w:pPr>
              <w:rPr>
                <w:rFonts w:asciiTheme="majorHAnsi" w:hAnsiTheme="majorHAnsi" w:cstheme="majorHAnsi"/>
                <w:sz w:val="18"/>
                <w:szCs w:val="18"/>
              </w:rPr>
            </w:pPr>
            <w:r w:rsidRPr="004A2BA2">
              <w:rPr>
                <w:rFonts w:asciiTheme="majorHAnsi" w:hAnsiTheme="majorHAnsi" w:cstheme="majorHAnsi"/>
                <w:sz w:val="18"/>
                <w:szCs w:val="18"/>
              </w:rPr>
              <w:t>Universal child benefit</w:t>
            </w:r>
          </w:p>
        </w:tc>
        <w:tc>
          <w:tcPr>
            <w:tcW w:w="708" w:type="dxa"/>
            <w:vAlign w:val="center"/>
          </w:tcPr>
          <w:p w14:paraId="6EF71F12"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1998-1999</w:t>
            </w:r>
          </w:p>
        </w:tc>
        <w:tc>
          <w:tcPr>
            <w:tcW w:w="2835" w:type="dxa"/>
            <w:vAlign w:val="center"/>
          </w:tcPr>
          <w:p w14:paraId="196FD7C6"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 xml:space="preserve">Regional reform in Northern Norway that increased </w:t>
            </w:r>
            <w:r w:rsidRPr="004A2BA2">
              <w:rPr>
                <w:rFonts w:asciiTheme="majorHAnsi" w:hAnsiTheme="majorHAnsi" w:cstheme="majorHAnsi"/>
                <w:sz w:val="18"/>
                <w:szCs w:val="18"/>
              </w:rPr>
              <w:t>UCB generosity</w:t>
            </w:r>
          </w:p>
        </w:tc>
        <w:tc>
          <w:tcPr>
            <w:tcW w:w="1276" w:type="dxa"/>
            <w:vAlign w:val="center"/>
          </w:tcPr>
          <w:p w14:paraId="72B57F7F"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All parities</w:t>
            </w:r>
          </w:p>
        </w:tc>
        <w:tc>
          <w:tcPr>
            <w:tcW w:w="5103" w:type="dxa"/>
            <w:vAlign w:val="center"/>
          </w:tcPr>
          <w:p w14:paraId="37E930A9"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 xml:space="preserve">Fertility increased among unmarried women in their early 20s. Strongest effect are found for transition to parenthood. </w:t>
            </w:r>
          </w:p>
        </w:tc>
        <w:tc>
          <w:tcPr>
            <w:tcW w:w="1984" w:type="dxa"/>
            <w:vAlign w:val="center"/>
          </w:tcPr>
          <w:p w14:paraId="07FC9140" w14:textId="7188447F" w:rsidR="00F31FC5" w:rsidRPr="004A2BA2" w:rsidRDefault="001910D9">
            <w:pPr>
              <w:rPr>
                <w:rFonts w:asciiTheme="majorHAnsi" w:hAnsiTheme="majorHAnsi" w:cstheme="majorHAnsi"/>
                <w:sz w:val="18"/>
                <w:szCs w:val="18"/>
              </w:rPr>
            </w:pPr>
            <w:r w:rsidRPr="007E15F6">
              <w:rPr>
                <w:rFonts w:asciiTheme="majorHAnsi" w:hAnsiTheme="majorHAnsi" w:cstheme="majorHAnsi"/>
                <w:noProof/>
                <w:sz w:val="18"/>
                <w:szCs w:val="18"/>
              </w:rPr>
              <w:t>(Galloway &amp; Hart, 2015)</w:t>
            </w:r>
          </w:p>
        </w:tc>
      </w:tr>
      <w:tr w:rsidR="00F31FC5" w:rsidRPr="004A2BA2" w14:paraId="2E1BAF10" w14:textId="77777777" w:rsidTr="007E15F6">
        <w:tc>
          <w:tcPr>
            <w:tcW w:w="1028" w:type="dxa"/>
            <w:vAlign w:val="center"/>
          </w:tcPr>
          <w:p w14:paraId="2B031E7B" w14:textId="77777777" w:rsidR="00F31FC5" w:rsidRPr="00363C31" w:rsidRDefault="00F31FC5">
            <w:pPr>
              <w:rPr>
                <w:rFonts w:ascii="Tw Cen MT Condensed" w:hAnsi="Tw Cen MT Condensed" w:cstheme="majorHAnsi"/>
                <w:caps/>
                <w:sz w:val="18"/>
                <w:szCs w:val="18"/>
              </w:rPr>
            </w:pPr>
            <w:r w:rsidRPr="00363C31">
              <w:rPr>
                <w:rFonts w:ascii="Tw Cen MT Condensed" w:hAnsi="Tw Cen MT Condensed" w:cstheme="majorHAnsi"/>
                <w:caps/>
                <w:sz w:val="18"/>
                <w:szCs w:val="18"/>
              </w:rPr>
              <w:t>Canada</w:t>
            </w:r>
          </w:p>
        </w:tc>
        <w:tc>
          <w:tcPr>
            <w:tcW w:w="1661" w:type="dxa"/>
            <w:vAlign w:val="center"/>
          </w:tcPr>
          <w:p w14:paraId="31B50D68" w14:textId="77777777" w:rsidR="00F31FC5" w:rsidRDefault="00F31FC5">
            <w:pPr>
              <w:rPr>
                <w:rFonts w:asciiTheme="majorHAnsi" w:hAnsiTheme="majorHAnsi" w:cstheme="majorHAnsi"/>
                <w:sz w:val="18"/>
                <w:szCs w:val="18"/>
              </w:rPr>
            </w:pPr>
            <w:r>
              <w:rPr>
                <w:rFonts w:asciiTheme="majorHAnsi" w:hAnsiTheme="majorHAnsi" w:cstheme="majorHAnsi"/>
                <w:sz w:val="18"/>
                <w:szCs w:val="18"/>
              </w:rPr>
              <w:t>Child allowance</w:t>
            </w:r>
          </w:p>
        </w:tc>
        <w:tc>
          <w:tcPr>
            <w:tcW w:w="708" w:type="dxa"/>
            <w:vAlign w:val="center"/>
          </w:tcPr>
          <w:p w14:paraId="09D01584"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1974</w:t>
            </w:r>
          </w:p>
        </w:tc>
        <w:tc>
          <w:tcPr>
            <w:tcW w:w="2835" w:type="dxa"/>
            <w:vAlign w:val="center"/>
          </w:tcPr>
          <w:p w14:paraId="0ED62E6A"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 xml:space="preserve">Increase in generosity of Family Allowance Program with Quebec setting its own payment levels. </w:t>
            </w:r>
          </w:p>
        </w:tc>
        <w:tc>
          <w:tcPr>
            <w:tcW w:w="1276" w:type="dxa"/>
            <w:vAlign w:val="center"/>
          </w:tcPr>
          <w:p w14:paraId="49BF5A98" w14:textId="77777777" w:rsidR="00F31FC5" w:rsidRPr="004A2BA2" w:rsidRDefault="00F31FC5">
            <w:pPr>
              <w:rPr>
                <w:rFonts w:asciiTheme="majorHAnsi" w:hAnsiTheme="majorHAnsi" w:cstheme="majorHAnsi"/>
                <w:sz w:val="18"/>
                <w:szCs w:val="18"/>
              </w:rPr>
            </w:pPr>
            <w:r>
              <w:rPr>
                <w:rFonts w:asciiTheme="majorHAnsi" w:hAnsiTheme="majorHAnsi" w:cstheme="majorHAnsi"/>
                <w:sz w:val="18"/>
                <w:szCs w:val="18"/>
              </w:rPr>
              <w:t>All parities</w:t>
            </w:r>
          </w:p>
        </w:tc>
        <w:tc>
          <w:tcPr>
            <w:tcW w:w="5103" w:type="dxa"/>
            <w:vAlign w:val="center"/>
          </w:tcPr>
          <w:p w14:paraId="4D035B00" w14:textId="789A83C3" w:rsidR="00F31FC5" w:rsidRDefault="00F31FC5">
            <w:pPr>
              <w:rPr>
                <w:rFonts w:asciiTheme="majorHAnsi" w:hAnsiTheme="majorHAnsi" w:cstheme="majorHAnsi"/>
                <w:sz w:val="18"/>
                <w:szCs w:val="18"/>
              </w:rPr>
            </w:pPr>
            <w:r>
              <w:rPr>
                <w:rFonts w:asciiTheme="majorHAnsi" w:hAnsiTheme="majorHAnsi" w:cstheme="majorHAnsi"/>
                <w:sz w:val="18"/>
                <w:szCs w:val="18"/>
              </w:rPr>
              <w:t xml:space="preserve">Increased fertility shortly after introduction. </w:t>
            </w:r>
            <w:r w:rsidR="00B3551B">
              <w:rPr>
                <w:rFonts w:asciiTheme="majorHAnsi" w:hAnsiTheme="majorHAnsi" w:cstheme="majorHAnsi"/>
                <w:sz w:val="18"/>
                <w:szCs w:val="18"/>
              </w:rPr>
              <w:t>No long term impact.</w:t>
            </w:r>
          </w:p>
        </w:tc>
        <w:tc>
          <w:tcPr>
            <w:tcW w:w="1984" w:type="dxa"/>
            <w:vAlign w:val="center"/>
          </w:tcPr>
          <w:p w14:paraId="14C6EA6A" w14:textId="1CB73F0C" w:rsidR="00F31FC5" w:rsidRPr="004A2BA2" w:rsidRDefault="00DA7092">
            <w:pPr>
              <w:rPr>
                <w:rFonts w:asciiTheme="majorHAnsi" w:hAnsiTheme="majorHAnsi" w:cstheme="majorHAnsi"/>
                <w:sz w:val="18"/>
                <w:szCs w:val="18"/>
              </w:rPr>
            </w:pPr>
            <w:r w:rsidRPr="007E15F6">
              <w:rPr>
                <w:rFonts w:asciiTheme="majorHAnsi" w:hAnsiTheme="majorHAnsi" w:cstheme="majorHAnsi"/>
                <w:noProof/>
                <w:sz w:val="18"/>
                <w:szCs w:val="18"/>
              </w:rPr>
              <w:t>(Parent &amp; Wang, 2007)</w:t>
            </w:r>
          </w:p>
        </w:tc>
      </w:tr>
      <w:tr w:rsidR="006B278E" w:rsidRPr="004A2BA2" w14:paraId="07332824" w14:textId="77777777" w:rsidTr="000F6E51">
        <w:tc>
          <w:tcPr>
            <w:tcW w:w="1028" w:type="dxa"/>
            <w:vMerge w:val="restart"/>
            <w:vAlign w:val="center"/>
          </w:tcPr>
          <w:p w14:paraId="29DCA528" w14:textId="38F6DC45" w:rsidR="006B278E" w:rsidRDefault="006B278E" w:rsidP="006B278E">
            <w:pPr>
              <w:rPr>
                <w:rFonts w:ascii="Tw Cen MT Condensed" w:hAnsi="Tw Cen MT Condensed" w:cstheme="majorHAnsi"/>
                <w:caps/>
                <w:sz w:val="18"/>
                <w:szCs w:val="18"/>
              </w:rPr>
            </w:pPr>
            <w:r>
              <w:rPr>
                <w:rFonts w:ascii="Tw Cen MT Condensed" w:hAnsi="Tw Cen MT Condensed" w:cstheme="majorHAnsi"/>
                <w:caps/>
                <w:sz w:val="18"/>
                <w:szCs w:val="18"/>
              </w:rPr>
              <w:t xml:space="preserve">Hungary </w:t>
            </w:r>
          </w:p>
        </w:tc>
        <w:tc>
          <w:tcPr>
            <w:tcW w:w="1661" w:type="dxa"/>
            <w:vAlign w:val="center"/>
          </w:tcPr>
          <w:p w14:paraId="10B8AD0D" w14:textId="127C1D70" w:rsidR="006B278E" w:rsidRDefault="006B278E" w:rsidP="006B278E">
            <w:pPr>
              <w:rPr>
                <w:rFonts w:asciiTheme="majorHAnsi" w:hAnsiTheme="majorHAnsi" w:cstheme="majorHAnsi"/>
                <w:sz w:val="18"/>
                <w:szCs w:val="18"/>
              </w:rPr>
            </w:pPr>
            <w:r>
              <w:rPr>
                <w:rFonts w:asciiTheme="majorHAnsi" w:hAnsiTheme="majorHAnsi" w:cstheme="majorHAnsi"/>
                <w:sz w:val="18"/>
                <w:szCs w:val="18"/>
              </w:rPr>
              <w:t>Child allowance</w:t>
            </w:r>
          </w:p>
        </w:tc>
        <w:tc>
          <w:tcPr>
            <w:tcW w:w="708" w:type="dxa"/>
            <w:vAlign w:val="center"/>
          </w:tcPr>
          <w:p w14:paraId="17D38412" w14:textId="3389F32C" w:rsidR="006B278E" w:rsidRDefault="006B278E" w:rsidP="006B278E">
            <w:pPr>
              <w:rPr>
                <w:rFonts w:asciiTheme="majorHAnsi" w:hAnsiTheme="majorHAnsi" w:cstheme="majorHAnsi"/>
                <w:sz w:val="18"/>
                <w:szCs w:val="18"/>
              </w:rPr>
            </w:pPr>
            <w:r>
              <w:rPr>
                <w:rFonts w:asciiTheme="majorHAnsi" w:hAnsiTheme="majorHAnsi" w:cstheme="majorHAnsi"/>
                <w:sz w:val="18"/>
                <w:szCs w:val="18"/>
              </w:rPr>
              <w:t>1993</w:t>
            </w:r>
          </w:p>
        </w:tc>
        <w:tc>
          <w:tcPr>
            <w:tcW w:w="2835" w:type="dxa"/>
            <w:vAlign w:val="center"/>
          </w:tcPr>
          <w:p w14:paraId="287E70CB" w14:textId="6BBFF600" w:rsidR="006B278E" w:rsidRDefault="006B278E" w:rsidP="006B278E">
            <w:pPr>
              <w:rPr>
                <w:rFonts w:asciiTheme="majorHAnsi" w:hAnsiTheme="majorHAnsi" w:cstheme="majorHAnsi"/>
                <w:sz w:val="18"/>
                <w:szCs w:val="18"/>
              </w:rPr>
            </w:pPr>
            <w:r>
              <w:rPr>
                <w:rFonts w:asciiTheme="majorHAnsi" w:hAnsiTheme="majorHAnsi" w:cstheme="majorHAnsi"/>
                <w:sz w:val="18"/>
                <w:szCs w:val="18"/>
              </w:rPr>
              <w:t>Introduction of a generous child-rearing support allowance (known as GYET), paid from child’s 3</w:t>
            </w:r>
            <w:r w:rsidRPr="007E15F6">
              <w:rPr>
                <w:rFonts w:asciiTheme="majorHAnsi" w:hAnsiTheme="majorHAnsi" w:cstheme="majorHAnsi"/>
                <w:sz w:val="18"/>
                <w:szCs w:val="18"/>
                <w:vertAlign w:val="superscript"/>
              </w:rPr>
              <w:t>rd</w:t>
            </w:r>
            <w:r>
              <w:rPr>
                <w:rFonts w:asciiTheme="majorHAnsi" w:hAnsiTheme="majorHAnsi" w:cstheme="majorHAnsi"/>
                <w:sz w:val="18"/>
                <w:szCs w:val="18"/>
              </w:rPr>
              <w:t xml:space="preserve"> to 8</w:t>
            </w:r>
            <w:r w:rsidRPr="007E15F6">
              <w:rPr>
                <w:rFonts w:asciiTheme="majorHAnsi" w:hAnsiTheme="majorHAnsi" w:cstheme="majorHAnsi"/>
                <w:sz w:val="18"/>
                <w:szCs w:val="18"/>
                <w:vertAlign w:val="superscript"/>
              </w:rPr>
              <w:t>th</w:t>
            </w:r>
            <w:r>
              <w:rPr>
                <w:rFonts w:asciiTheme="majorHAnsi" w:hAnsiTheme="majorHAnsi" w:cstheme="majorHAnsi"/>
                <w:sz w:val="18"/>
                <w:szCs w:val="18"/>
              </w:rPr>
              <w:t xml:space="preserve"> birthday. </w:t>
            </w:r>
          </w:p>
        </w:tc>
        <w:tc>
          <w:tcPr>
            <w:tcW w:w="1276" w:type="dxa"/>
            <w:vAlign w:val="center"/>
          </w:tcPr>
          <w:p w14:paraId="15B9F5D0" w14:textId="38109E10" w:rsidR="006B278E" w:rsidRDefault="006B278E" w:rsidP="006B278E">
            <w:pPr>
              <w:rPr>
                <w:rFonts w:asciiTheme="majorHAnsi" w:hAnsiTheme="majorHAnsi" w:cstheme="majorHAnsi"/>
                <w:sz w:val="18"/>
                <w:szCs w:val="18"/>
              </w:rPr>
            </w:pPr>
            <w:r>
              <w:rPr>
                <w:rFonts w:asciiTheme="majorHAnsi" w:hAnsiTheme="majorHAnsi" w:cstheme="majorHAnsi"/>
                <w:sz w:val="18"/>
                <w:szCs w:val="18"/>
              </w:rPr>
              <w:t>3+ parity</w:t>
            </w:r>
          </w:p>
        </w:tc>
        <w:tc>
          <w:tcPr>
            <w:tcW w:w="5103" w:type="dxa"/>
            <w:vAlign w:val="center"/>
          </w:tcPr>
          <w:p w14:paraId="1A17ECC7" w14:textId="28FD6726" w:rsidR="006B278E" w:rsidRDefault="006B278E" w:rsidP="006B278E">
            <w:pPr>
              <w:rPr>
                <w:rFonts w:asciiTheme="majorHAnsi" w:hAnsiTheme="majorHAnsi" w:cstheme="majorHAnsi"/>
                <w:sz w:val="18"/>
                <w:szCs w:val="18"/>
              </w:rPr>
            </w:pPr>
            <w:r>
              <w:rPr>
                <w:rFonts w:asciiTheme="majorHAnsi" w:hAnsiTheme="majorHAnsi" w:cstheme="majorHAnsi"/>
                <w:sz w:val="18"/>
                <w:szCs w:val="18"/>
              </w:rPr>
              <w:t>Increased third birth risks among those with lower levels of education.</w:t>
            </w:r>
          </w:p>
        </w:tc>
        <w:tc>
          <w:tcPr>
            <w:tcW w:w="1984" w:type="dxa"/>
            <w:vAlign w:val="center"/>
          </w:tcPr>
          <w:p w14:paraId="22E35B52" w14:textId="32954416" w:rsidR="006B278E" w:rsidRDefault="006B278E" w:rsidP="006B278E">
            <w:pPr>
              <w:rPr>
                <w:rFonts w:asciiTheme="majorHAnsi" w:hAnsiTheme="majorHAnsi" w:cstheme="majorHAnsi"/>
                <w:noProof/>
                <w:sz w:val="18"/>
                <w:szCs w:val="18"/>
              </w:rPr>
            </w:pPr>
            <w:r>
              <w:rPr>
                <w:rFonts w:asciiTheme="majorHAnsi" w:hAnsiTheme="majorHAnsi" w:cstheme="majorHAnsi"/>
                <w:noProof/>
                <w:sz w:val="18"/>
                <w:szCs w:val="18"/>
              </w:rPr>
              <w:t>(</w:t>
            </w:r>
            <w:r w:rsidRPr="003B342F">
              <w:rPr>
                <w:rFonts w:asciiTheme="majorHAnsi" w:hAnsiTheme="majorHAnsi" w:cstheme="majorHAnsi"/>
                <w:noProof/>
                <w:sz w:val="18"/>
                <w:szCs w:val="18"/>
              </w:rPr>
              <w:t>Spéder</w:t>
            </w:r>
            <w:r>
              <w:rPr>
                <w:rFonts w:asciiTheme="majorHAnsi" w:hAnsiTheme="majorHAnsi" w:cstheme="majorHAnsi"/>
                <w:noProof/>
                <w:sz w:val="18"/>
                <w:szCs w:val="18"/>
              </w:rPr>
              <w:t xml:space="preserve">, </w:t>
            </w:r>
            <w:r w:rsidR="00B95174" w:rsidRPr="00B95174">
              <w:rPr>
                <w:rFonts w:asciiTheme="majorHAnsi" w:hAnsiTheme="majorHAnsi" w:cstheme="majorHAnsi"/>
                <w:i/>
                <w:noProof/>
                <w:sz w:val="18"/>
                <w:szCs w:val="18"/>
              </w:rPr>
              <w:t>et al.,</w:t>
            </w:r>
            <w:r>
              <w:rPr>
                <w:rFonts w:asciiTheme="majorHAnsi" w:hAnsiTheme="majorHAnsi" w:cstheme="majorHAnsi"/>
                <w:noProof/>
                <w:sz w:val="18"/>
                <w:szCs w:val="18"/>
              </w:rPr>
              <w:t xml:space="preserve"> 2020)</w:t>
            </w:r>
          </w:p>
        </w:tc>
      </w:tr>
      <w:tr w:rsidR="006B278E" w:rsidRPr="004A2BA2" w14:paraId="5969DD99" w14:textId="77777777" w:rsidTr="000F6E51">
        <w:tc>
          <w:tcPr>
            <w:tcW w:w="1028" w:type="dxa"/>
            <w:vMerge/>
            <w:vAlign w:val="center"/>
          </w:tcPr>
          <w:p w14:paraId="229E52EA" w14:textId="43449437" w:rsidR="006B278E" w:rsidRPr="00363C31" w:rsidRDefault="006B278E" w:rsidP="006B278E">
            <w:pPr>
              <w:rPr>
                <w:rFonts w:ascii="Tw Cen MT Condensed" w:hAnsi="Tw Cen MT Condensed" w:cstheme="majorHAnsi"/>
                <w:caps/>
                <w:sz w:val="18"/>
                <w:szCs w:val="18"/>
              </w:rPr>
            </w:pPr>
          </w:p>
        </w:tc>
        <w:tc>
          <w:tcPr>
            <w:tcW w:w="1661" w:type="dxa"/>
            <w:vAlign w:val="center"/>
          </w:tcPr>
          <w:p w14:paraId="2EDFB30D" w14:textId="6AFAE733" w:rsidR="006B278E" w:rsidRPr="004A2BA2" w:rsidRDefault="006B278E" w:rsidP="006B278E">
            <w:pPr>
              <w:rPr>
                <w:rFonts w:asciiTheme="majorHAnsi" w:hAnsiTheme="majorHAnsi" w:cstheme="majorHAnsi"/>
                <w:sz w:val="18"/>
                <w:szCs w:val="18"/>
              </w:rPr>
            </w:pPr>
            <w:r>
              <w:rPr>
                <w:rFonts w:asciiTheme="majorHAnsi" w:hAnsiTheme="majorHAnsi" w:cstheme="majorHAnsi"/>
                <w:sz w:val="18"/>
                <w:szCs w:val="18"/>
              </w:rPr>
              <w:t>Tax relief</w:t>
            </w:r>
          </w:p>
        </w:tc>
        <w:tc>
          <w:tcPr>
            <w:tcW w:w="708" w:type="dxa"/>
            <w:vAlign w:val="center"/>
          </w:tcPr>
          <w:p w14:paraId="56E4BD9B" w14:textId="33D929F9" w:rsidR="006B278E" w:rsidRDefault="006B278E" w:rsidP="006B278E">
            <w:pPr>
              <w:rPr>
                <w:rFonts w:asciiTheme="majorHAnsi" w:hAnsiTheme="majorHAnsi" w:cstheme="majorHAnsi"/>
                <w:sz w:val="18"/>
                <w:szCs w:val="18"/>
              </w:rPr>
            </w:pPr>
            <w:r>
              <w:rPr>
                <w:rFonts w:asciiTheme="majorHAnsi" w:hAnsiTheme="majorHAnsi" w:cstheme="majorHAnsi"/>
                <w:sz w:val="18"/>
                <w:szCs w:val="18"/>
              </w:rPr>
              <w:t>1999</w:t>
            </w:r>
          </w:p>
        </w:tc>
        <w:tc>
          <w:tcPr>
            <w:tcW w:w="2835" w:type="dxa"/>
            <w:vAlign w:val="center"/>
          </w:tcPr>
          <w:p w14:paraId="204AD2E1" w14:textId="2264A7FB" w:rsidR="006B278E" w:rsidRDefault="006B278E" w:rsidP="006B278E">
            <w:pPr>
              <w:rPr>
                <w:rFonts w:asciiTheme="majorHAnsi" w:hAnsiTheme="majorHAnsi" w:cstheme="majorHAnsi"/>
                <w:sz w:val="18"/>
                <w:szCs w:val="18"/>
              </w:rPr>
            </w:pPr>
            <w:r>
              <w:rPr>
                <w:rFonts w:asciiTheme="majorHAnsi" w:hAnsiTheme="majorHAnsi" w:cstheme="majorHAnsi"/>
                <w:sz w:val="18"/>
                <w:szCs w:val="18"/>
              </w:rPr>
              <w:t>Introduction and subsequent increase in tax relief for families with three or more children</w:t>
            </w:r>
          </w:p>
        </w:tc>
        <w:tc>
          <w:tcPr>
            <w:tcW w:w="1276" w:type="dxa"/>
            <w:vAlign w:val="center"/>
          </w:tcPr>
          <w:p w14:paraId="7188C6F8" w14:textId="1E203264" w:rsidR="006B278E" w:rsidRPr="004A2BA2" w:rsidRDefault="006B278E" w:rsidP="006B278E">
            <w:pPr>
              <w:rPr>
                <w:rFonts w:asciiTheme="majorHAnsi" w:hAnsiTheme="majorHAnsi" w:cstheme="majorHAnsi"/>
                <w:sz w:val="18"/>
                <w:szCs w:val="18"/>
              </w:rPr>
            </w:pPr>
            <w:r>
              <w:rPr>
                <w:rFonts w:asciiTheme="majorHAnsi" w:hAnsiTheme="majorHAnsi" w:cstheme="majorHAnsi"/>
                <w:sz w:val="18"/>
                <w:szCs w:val="18"/>
              </w:rPr>
              <w:t>All parities (but higher benefit for those with more children)</w:t>
            </w:r>
          </w:p>
        </w:tc>
        <w:tc>
          <w:tcPr>
            <w:tcW w:w="5103" w:type="dxa"/>
            <w:vAlign w:val="center"/>
          </w:tcPr>
          <w:p w14:paraId="27461201" w14:textId="1C6AEC3B" w:rsidR="006B278E" w:rsidRDefault="006B278E" w:rsidP="006B278E">
            <w:pPr>
              <w:rPr>
                <w:rFonts w:asciiTheme="majorHAnsi" w:hAnsiTheme="majorHAnsi" w:cstheme="majorHAnsi"/>
                <w:sz w:val="18"/>
                <w:szCs w:val="18"/>
              </w:rPr>
            </w:pPr>
            <w:r>
              <w:rPr>
                <w:rFonts w:asciiTheme="majorHAnsi" w:hAnsiTheme="majorHAnsi" w:cstheme="majorHAnsi"/>
                <w:sz w:val="18"/>
                <w:szCs w:val="18"/>
              </w:rPr>
              <w:t xml:space="preserve">Increased third birth risks among those with higher levels of education. </w:t>
            </w:r>
          </w:p>
        </w:tc>
        <w:tc>
          <w:tcPr>
            <w:tcW w:w="1984" w:type="dxa"/>
            <w:vAlign w:val="center"/>
          </w:tcPr>
          <w:p w14:paraId="462D7838" w14:textId="7A8D01F4" w:rsidR="006B278E" w:rsidRDefault="006B278E" w:rsidP="006B278E">
            <w:pPr>
              <w:rPr>
                <w:rFonts w:asciiTheme="majorHAnsi" w:hAnsiTheme="majorHAnsi" w:cstheme="majorHAnsi"/>
                <w:noProof/>
                <w:sz w:val="18"/>
                <w:szCs w:val="18"/>
              </w:rPr>
            </w:pPr>
            <w:r>
              <w:rPr>
                <w:rFonts w:asciiTheme="majorHAnsi" w:hAnsiTheme="majorHAnsi" w:cstheme="majorHAnsi"/>
                <w:noProof/>
                <w:sz w:val="18"/>
                <w:szCs w:val="18"/>
              </w:rPr>
              <w:t>(</w:t>
            </w:r>
            <w:r w:rsidRPr="007E15F6">
              <w:rPr>
                <w:rFonts w:asciiTheme="majorHAnsi" w:hAnsiTheme="majorHAnsi" w:cstheme="majorHAnsi"/>
                <w:noProof/>
                <w:sz w:val="18"/>
                <w:szCs w:val="18"/>
              </w:rPr>
              <w:t>Spéder</w:t>
            </w:r>
            <w:r>
              <w:rPr>
                <w:rFonts w:asciiTheme="majorHAnsi" w:hAnsiTheme="majorHAnsi" w:cstheme="majorHAnsi"/>
                <w:noProof/>
                <w:sz w:val="18"/>
                <w:szCs w:val="18"/>
              </w:rPr>
              <w:t xml:space="preserve">, </w:t>
            </w:r>
            <w:r w:rsidR="00B95174" w:rsidRPr="00B95174">
              <w:rPr>
                <w:rFonts w:asciiTheme="majorHAnsi" w:hAnsiTheme="majorHAnsi" w:cstheme="majorHAnsi"/>
                <w:i/>
                <w:noProof/>
                <w:sz w:val="18"/>
                <w:szCs w:val="18"/>
              </w:rPr>
              <w:t>et al.,</w:t>
            </w:r>
            <w:r>
              <w:rPr>
                <w:rFonts w:asciiTheme="majorHAnsi" w:hAnsiTheme="majorHAnsi" w:cstheme="majorHAnsi"/>
                <w:noProof/>
                <w:sz w:val="18"/>
                <w:szCs w:val="18"/>
              </w:rPr>
              <w:t xml:space="preserve"> 2020)</w:t>
            </w:r>
          </w:p>
        </w:tc>
      </w:tr>
    </w:tbl>
    <w:p w14:paraId="701F5E8D" w14:textId="77777777" w:rsidR="00CE1ED7" w:rsidRDefault="00CE1ED7"/>
    <w:tbl>
      <w:tblPr>
        <w:tblStyle w:val="TableGrid"/>
        <w:tblpPr w:leftFromText="180" w:rightFromText="180" w:tblpY="844"/>
        <w:tblW w:w="14312"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028"/>
        <w:gridCol w:w="1377"/>
        <w:gridCol w:w="708"/>
        <w:gridCol w:w="2836"/>
        <w:gridCol w:w="1276"/>
        <w:gridCol w:w="5103"/>
        <w:gridCol w:w="1984"/>
      </w:tblGrid>
      <w:tr w:rsidR="00CE1ED7" w:rsidRPr="004A2BA2" w14:paraId="0449D43B" w14:textId="77777777" w:rsidTr="00B83618">
        <w:tc>
          <w:tcPr>
            <w:tcW w:w="1028" w:type="dxa"/>
            <w:shd w:val="clear" w:color="auto" w:fill="FBE4D5" w:themeFill="accent2" w:themeFillTint="33"/>
            <w:vAlign w:val="center"/>
          </w:tcPr>
          <w:p w14:paraId="6C413605" w14:textId="77777777" w:rsidR="00CE1ED7" w:rsidRPr="004A2BA2" w:rsidRDefault="00CE1ED7" w:rsidP="00B83618">
            <w:pPr>
              <w:jc w:val="center"/>
              <w:rPr>
                <w:rFonts w:ascii="Tw Cen MT Condensed" w:hAnsi="Tw Cen MT Condensed"/>
                <w:b/>
                <w:sz w:val="18"/>
                <w:szCs w:val="18"/>
              </w:rPr>
            </w:pPr>
            <w:r w:rsidRPr="004A2BA2">
              <w:rPr>
                <w:rFonts w:ascii="Tw Cen MT Condensed" w:hAnsi="Tw Cen MT Condensed"/>
                <w:b/>
                <w:sz w:val="18"/>
                <w:szCs w:val="18"/>
              </w:rPr>
              <w:lastRenderedPageBreak/>
              <w:t>Country</w:t>
            </w:r>
          </w:p>
        </w:tc>
        <w:tc>
          <w:tcPr>
            <w:tcW w:w="1377" w:type="dxa"/>
            <w:shd w:val="clear" w:color="auto" w:fill="FBE4D5" w:themeFill="accent2" w:themeFillTint="33"/>
            <w:vAlign w:val="center"/>
          </w:tcPr>
          <w:p w14:paraId="1CC24585" w14:textId="77777777" w:rsidR="00CE1ED7" w:rsidRPr="004A2BA2" w:rsidRDefault="00CE1ED7" w:rsidP="00B83618">
            <w:pPr>
              <w:jc w:val="center"/>
              <w:rPr>
                <w:rFonts w:ascii="Tw Cen MT Condensed" w:hAnsi="Tw Cen MT Condensed"/>
                <w:b/>
                <w:sz w:val="18"/>
                <w:szCs w:val="18"/>
              </w:rPr>
            </w:pPr>
            <w:r w:rsidRPr="004A2BA2">
              <w:rPr>
                <w:rFonts w:ascii="Tw Cen MT Condensed" w:hAnsi="Tw Cen MT Condensed"/>
                <w:b/>
                <w:sz w:val="18"/>
                <w:szCs w:val="18"/>
              </w:rPr>
              <w:t>Payment</w:t>
            </w:r>
          </w:p>
        </w:tc>
        <w:tc>
          <w:tcPr>
            <w:tcW w:w="708" w:type="dxa"/>
            <w:shd w:val="clear" w:color="auto" w:fill="FBE4D5" w:themeFill="accent2" w:themeFillTint="33"/>
            <w:vAlign w:val="center"/>
          </w:tcPr>
          <w:p w14:paraId="63F1C1C7" w14:textId="77777777" w:rsidR="00CE1ED7" w:rsidRPr="004A2BA2" w:rsidRDefault="00CE1ED7" w:rsidP="00B83618">
            <w:pPr>
              <w:jc w:val="center"/>
              <w:rPr>
                <w:rFonts w:ascii="Tw Cen MT Condensed" w:hAnsi="Tw Cen MT Condensed"/>
                <w:b/>
                <w:sz w:val="18"/>
                <w:szCs w:val="18"/>
              </w:rPr>
            </w:pPr>
            <w:r>
              <w:rPr>
                <w:rFonts w:ascii="Tw Cen MT Condensed" w:hAnsi="Tw Cen MT Condensed"/>
                <w:b/>
                <w:sz w:val="18"/>
                <w:szCs w:val="18"/>
              </w:rPr>
              <w:t>Year of policy change</w:t>
            </w:r>
          </w:p>
        </w:tc>
        <w:tc>
          <w:tcPr>
            <w:tcW w:w="2836" w:type="dxa"/>
            <w:shd w:val="clear" w:color="auto" w:fill="FBE4D5" w:themeFill="accent2" w:themeFillTint="33"/>
            <w:vAlign w:val="center"/>
          </w:tcPr>
          <w:p w14:paraId="4CA3CD8D" w14:textId="77777777" w:rsidR="00CE1ED7" w:rsidRPr="004A2BA2" w:rsidRDefault="00CE1ED7" w:rsidP="00B83618">
            <w:pPr>
              <w:jc w:val="center"/>
              <w:rPr>
                <w:rFonts w:ascii="Tw Cen MT Condensed" w:hAnsi="Tw Cen MT Condensed"/>
                <w:b/>
                <w:sz w:val="18"/>
                <w:szCs w:val="18"/>
              </w:rPr>
            </w:pPr>
            <w:r>
              <w:rPr>
                <w:rFonts w:ascii="Tw Cen MT Condensed" w:hAnsi="Tw Cen MT Condensed"/>
                <w:b/>
                <w:sz w:val="18"/>
                <w:szCs w:val="18"/>
              </w:rPr>
              <w:t>Policy change</w:t>
            </w:r>
          </w:p>
        </w:tc>
        <w:tc>
          <w:tcPr>
            <w:tcW w:w="1276" w:type="dxa"/>
            <w:shd w:val="clear" w:color="auto" w:fill="FBE4D5" w:themeFill="accent2" w:themeFillTint="33"/>
            <w:vAlign w:val="center"/>
          </w:tcPr>
          <w:p w14:paraId="43118765" w14:textId="77777777" w:rsidR="00CE1ED7" w:rsidRPr="004A2BA2" w:rsidRDefault="00CE1ED7" w:rsidP="00B83618">
            <w:pPr>
              <w:jc w:val="center"/>
              <w:rPr>
                <w:rFonts w:ascii="Tw Cen MT Condensed" w:hAnsi="Tw Cen MT Condensed"/>
                <w:b/>
                <w:sz w:val="18"/>
                <w:szCs w:val="18"/>
              </w:rPr>
            </w:pPr>
            <w:r w:rsidRPr="004A2BA2">
              <w:rPr>
                <w:rFonts w:ascii="Tw Cen MT Condensed" w:hAnsi="Tw Cen MT Condensed"/>
                <w:b/>
                <w:sz w:val="18"/>
                <w:szCs w:val="18"/>
              </w:rPr>
              <w:t>Target</w:t>
            </w:r>
          </w:p>
        </w:tc>
        <w:tc>
          <w:tcPr>
            <w:tcW w:w="5103" w:type="dxa"/>
            <w:shd w:val="clear" w:color="auto" w:fill="FBE4D5" w:themeFill="accent2" w:themeFillTint="33"/>
            <w:vAlign w:val="center"/>
          </w:tcPr>
          <w:p w14:paraId="1283FA1F" w14:textId="77777777" w:rsidR="00CE1ED7" w:rsidRPr="004A2BA2" w:rsidRDefault="00CE1ED7" w:rsidP="00B83618">
            <w:pPr>
              <w:jc w:val="center"/>
              <w:rPr>
                <w:rFonts w:ascii="Tw Cen MT Condensed" w:hAnsi="Tw Cen MT Condensed"/>
                <w:b/>
                <w:sz w:val="18"/>
                <w:szCs w:val="18"/>
              </w:rPr>
            </w:pPr>
            <w:r w:rsidRPr="004A2BA2">
              <w:rPr>
                <w:rFonts w:ascii="Tw Cen MT Condensed" w:hAnsi="Tw Cen MT Condensed"/>
                <w:b/>
                <w:sz w:val="18"/>
                <w:szCs w:val="18"/>
              </w:rPr>
              <w:t>Impact on fertility</w:t>
            </w:r>
          </w:p>
        </w:tc>
        <w:tc>
          <w:tcPr>
            <w:tcW w:w="1984" w:type="dxa"/>
            <w:shd w:val="clear" w:color="auto" w:fill="FBE4D5" w:themeFill="accent2" w:themeFillTint="33"/>
            <w:vAlign w:val="center"/>
          </w:tcPr>
          <w:p w14:paraId="6C1F353A" w14:textId="77777777" w:rsidR="00CE1ED7" w:rsidRPr="004A2BA2" w:rsidRDefault="00CE1ED7" w:rsidP="00B83618">
            <w:pPr>
              <w:jc w:val="center"/>
              <w:rPr>
                <w:rFonts w:ascii="Tw Cen MT Condensed" w:hAnsi="Tw Cen MT Condensed"/>
                <w:b/>
                <w:sz w:val="18"/>
                <w:szCs w:val="18"/>
              </w:rPr>
            </w:pPr>
            <w:r w:rsidRPr="004A2BA2">
              <w:rPr>
                <w:rFonts w:ascii="Tw Cen MT Condensed" w:hAnsi="Tw Cen MT Condensed"/>
                <w:b/>
                <w:sz w:val="18"/>
                <w:szCs w:val="18"/>
              </w:rPr>
              <w:t>Author</w:t>
            </w:r>
          </w:p>
        </w:tc>
      </w:tr>
      <w:tr w:rsidR="006B278E" w:rsidRPr="004A2BA2" w14:paraId="5781FD3F" w14:textId="77777777" w:rsidTr="00B83618">
        <w:trPr>
          <w:trHeight w:val="676"/>
        </w:trPr>
        <w:tc>
          <w:tcPr>
            <w:tcW w:w="1028" w:type="dxa"/>
            <w:vMerge w:val="restart"/>
            <w:vAlign w:val="center"/>
          </w:tcPr>
          <w:p w14:paraId="7717C862" w14:textId="77777777" w:rsidR="006B278E" w:rsidRPr="00363C31" w:rsidRDefault="006B278E" w:rsidP="00B83618">
            <w:pPr>
              <w:rPr>
                <w:rFonts w:ascii="Tw Cen MT Condensed" w:hAnsi="Tw Cen MT Condensed" w:cstheme="majorHAnsi"/>
                <w:caps/>
                <w:sz w:val="18"/>
                <w:szCs w:val="18"/>
              </w:rPr>
            </w:pPr>
            <w:r w:rsidRPr="00363C31">
              <w:rPr>
                <w:rFonts w:ascii="Tw Cen MT Condensed" w:hAnsi="Tw Cen MT Condensed" w:cstheme="majorHAnsi"/>
                <w:caps/>
                <w:sz w:val="18"/>
                <w:szCs w:val="18"/>
              </w:rPr>
              <w:t>United Kingdom</w:t>
            </w:r>
          </w:p>
        </w:tc>
        <w:tc>
          <w:tcPr>
            <w:tcW w:w="1377" w:type="dxa"/>
            <w:vMerge w:val="restart"/>
            <w:vAlign w:val="center"/>
          </w:tcPr>
          <w:p w14:paraId="666F540E" w14:textId="77777777" w:rsidR="006B278E" w:rsidRPr="004A2BA2" w:rsidRDefault="006B278E" w:rsidP="00B83618">
            <w:pPr>
              <w:rPr>
                <w:rFonts w:asciiTheme="majorHAnsi" w:hAnsiTheme="majorHAnsi" w:cstheme="majorHAnsi"/>
                <w:sz w:val="18"/>
                <w:szCs w:val="18"/>
              </w:rPr>
            </w:pPr>
            <w:r w:rsidRPr="004A2BA2">
              <w:rPr>
                <w:rFonts w:asciiTheme="majorHAnsi" w:hAnsiTheme="majorHAnsi" w:cstheme="majorHAnsi"/>
                <w:sz w:val="18"/>
                <w:szCs w:val="18"/>
              </w:rPr>
              <w:t>Tax credit</w:t>
            </w:r>
          </w:p>
        </w:tc>
        <w:tc>
          <w:tcPr>
            <w:tcW w:w="708" w:type="dxa"/>
            <w:vMerge w:val="restart"/>
            <w:vAlign w:val="center"/>
          </w:tcPr>
          <w:p w14:paraId="57F8920C" w14:textId="77777777" w:rsidR="006B278E" w:rsidRPr="004A2BA2" w:rsidRDefault="006B278E" w:rsidP="00B83618">
            <w:pPr>
              <w:rPr>
                <w:rFonts w:asciiTheme="majorHAnsi" w:hAnsiTheme="majorHAnsi" w:cstheme="majorHAnsi"/>
                <w:sz w:val="18"/>
                <w:szCs w:val="18"/>
              </w:rPr>
            </w:pPr>
            <w:r>
              <w:rPr>
                <w:rFonts w:asciiTheme="majorHAnsi" w:hAnsiTheme="majorHAnsi" w:cstheme="majorHAnsi"/>
                <w:sz w:val="18"/>
                <w:szCs w:val="18"/>
              </w:rPr>
              <w:t>1999</w:t>
            </w:r>
          </w:p>
        </w:tc>
        <w:tc>
          <w:tcPr>
            <w:tcW w:w="2836" w:type="dxa"/>
            <w:vMerge w:val="restart"/>
            <w:vAlign w:val="center"/>
          </w:tcPr>
          <w:p w14:paraId="7607C4F3" w14:textId="77777777" w:rsidR="006B278E" w:rsidRPr="004A2BA2" w:rsidRDefault="006B278E" w:rsidP="00B83618">
            <w:pPr>
              <w:rPr>
                <w:rFonts w:asciiTheme="majorHAnsi" w:hAnsiTheme="majorHAnsi" w:cstheme="majorHAnsi"/>
                <w:sz w:val="18"/>
                <w:szCs w:val="18"/>
              </w:rPr>
            </w:pPr>
            <w:r>
              <w:rPr>
                <w:rFonts w:asciiTheme="majorHAnsi" w:hAnsiTheme="majorHAnsi" w:cstheme="majorHAnsi"/>
                <w:sz w:val="18"/>
                <w:szCs w:val="18"/>
              </w:rPr>
              <w:t xml:space="preserve">Introduction of </w:t>
            </w:r>
            <w:r w:rsidRPr="004A2BA2">
              <w:rPr>
                <w:rFonts w:asciiTheme="majorHAnsi" w:hAnsiTheme="majorHAnsi" w:cstheme="majorHAnsi"/>
                <w:sz w:val="18"/>
                <w:szCs w:val="18"/>
              </w:rPr>
              <w:t>Working Families Tax Credit (WFTC)</w:t>
            </w:r>
          </w:p>
          <w:p w14:paraId="231BA261" w14:textId="77777777" w:rsidR="006B278E" w:rsidRPr="004A2BA2" w:rsidRDefault="006B278E" w:rsidP="00B83618">
            <w:pPr>
              <w:rPr>
                <w:rFonts w:asciiTheme="majorHAnsi" w:hAnsiTheme="majorHAnsi" w:cstheme="majorHAnsi"/>
                <w:sz w:val="18"/>
                <w:szCs w:val="18"/>
              </w:rPr>
            </w:pPr>
          </w:p>
        </w:tc>
        <w:tc>
          <w:tcPr>
            <w:tcW w:w="1276" w:type="dxa"/>
            <w:vMerge w:val="restart"/>
            <w:vAlign w:val="center"/>
          </w:tcPr>
          <w:p w14:paraId="76311FB4" w14:textId="77777777" w:rsidR="006B278E" w:rsidRPr="004A2BA2" w:rsidRDefault="006B278E" w:rsidP="00B83618">
            <w:pPr>
              <w:rPr>
                <w:rFonts w:asciiTheme="majorHAnsi" w:hAnsiTheme="majorHAnsi" w:cstheme="majorHAnsi"/>
                <w:sz w:val="18"/>
                <w:szCs w:val="18"/>
              </w:rPr>
            </w:pPr>
            <w:r w:rsidRPr="004A2BA2">
              <w:rPr>
                <w:rFonts w:asciiTheme="majorHAnsi" w:hAnsiTheme="majorHAnsi" w:cstheme="majorHAnsi"/>
                <w:sz w:val="18"/>
                <w:szCs w:val="18"/>
              </w:rPr>
              <w:t>All parities- lower incomes</w:t>
            </w:r>
          </w:p>
        </w:tc>
        <w:tc>
          <w:tcPr>
            <w:tcW w:w="5103" w:type="dxa"/>
            <w:vAlign w:val="center"/>
          </w:tcPr>
          <w:p w14:paraId="559A2CA2" w14:textId="77777777" w:rsidR="006B278E" w:rsidRPr="004A2BA2" w:rsidRDefault="006B278E" w:rsidP="00B83618">
            <w:pPr>
              <w:rPr>
                <w:rFonts w:asciiTheme="majorHAnsi" w:hAnsiTheme="majorHAnsi" w:cstheme="majorHAnsi"/>
                <w:sz w:val="18"/>
                <w:szCs w:val="18"/>
              </w:rPr>
            </w:pPr>
            <w:r>
              <w:rPr>
                <w:rFonts w:asciiTheme="majorHAnsi" w:hAnsiTheme="majorHAnsi" w:cstheme="majorHAnsi"/>
                <w:sz w:val="18"/>
                <w:szCs w:val="18"/>
              </w:rPr>
              <w:t>Increase in</w:t>
            </w:r>
            <w:r w:rsidRPr="00A25F3B">
              <w:rPr>
                <w:rFonts w:asciiTheme="majorHAnsi" w:hAnsiTheme="majorHAnsi" w:cstheme="majorHAnsi"/>
                <w:sz w:val="18"/>
                <w:szCs w:val="18"/>
              </w:rPr>
              <w:t xml:space="preserve"> probability of all birth </w:t>
            </w:r>
            <w:r>
              <w:rPr>
                <w:rFonts w:asciiTheme="majorHAnsi" w:hAnsiTheme="majorHAnsi" w:cstheme="majorHAnsi"/>
                <w:sz w:val="18"/>
                <w:szCs w:val="18"/>
              </w:rPr>
              <w:t xml:space="preserve">parities by </w:t>
            </w:r>
            <w:r w:rsidRPr="00A25F3B">
              <w:rPr>
                <w:rFonts w:asciiTheme="majorHAnsi" w:hAnsiTheme="majorHAnsi" w:cstheme="majorHAnsi"/>
                <w:sz w:val="18"/>
                <w:szCs w:val="18"/>
              </w:rPr>
              <w:t>15%.</w:t>
            </w:r>
            <w:r>
              <w:rPr>
                <w:rFonts w:asciiTheme="majorHAnsi" w:hAnsiTheme="majorHAnsi" w:cstheme="majorHAnsi"/>
                <w:sz w:val="18"/>
                <w:szCs w:val="18"/>
              </w:rPr>
              <w:t xml:space="preserve"> A</w:t>
            </w:r>
            <w:r w:rsidRPr="00A25F3B">
              <w:rPr>
                <w:rFonts w:asciiTheme="majorHAnsi" w:hAnsiTheme="majorHAnsi" w:cstheme="majorHAnsi"/>
                <w:sz w:val="18"/>
                <w:szCs w:val="18"/>
              </w:rPr>
              <w:t xml:space="preserve"> significantly positive impact on the probability of first and third birth. </w:t>
            </w:r>
          </w:p>
        </w:tc>
        <w:tc>
          <w:tcPr>
            <w:tcW w:w="1984" w:type="dxa"/>
            <w:vAlign w:val="center"/>
          </w:tcPr>
          <w:p w14:paraId="16AF2097" w14:textId="2E0BFE95" w:rsidR="006B278E" w:rsidRPr="004A2BA2" w:rsidRDefault="006B278E" w:rsidP="00B83618">
            <w:pPr>
              <w:rPr>
                <w:rFonts w:asciiTheme="majorHAnsi" w:hAnsiTheme="majorHAnsi" w:cstheme="majorHAnsi"/>
                <w:sz w:val="18"/>
                <w:szCs w:val="18"/>
              </w:rPr>
            </w:pPr>
            <w:r>
              <w:rPr>
                <w:rFonts w:asciiTheme="majorHAnsi" w:hAnsiTheme="majorHAnsi" w:cstheme="majorHAnsi"/>
                <w:noProof/>
                <w:sz w:val="18"/>
                <w:szCs w:val="18"/>
              </w:rPr>
              <w:t xml:space="preserve">(Brewer, </w:t>
            </w:r>
            <w:r w:rsidRPr="00DA7092">
              <w:rPr>
                <w:rFonts w:asciiTheme="majorHAnsi" w:hAnsiTheme="majorHAnsi" w:cstheme="majorHAnsi"/>
                <w:i/>
                <w:iCs/>
                <w:noProof/>
                <w:sz w:val="18"/>
                <w:szCs w:val="18"/>
              </w:rPr>
              <w:t>et al</w:t>
            </w:r>
            <w:r>
              <w:rPr>
                <w:rFonts w:asciiTheme="majorHAnsi" w:hAnsiTheme="majorHAnsi" w:cstheme="majorHAnsi"/>
                <w:noProof/>
                <w:sz w:val="18"/>
                <w:szCs w:val="18"/>
              </w:rPr>
              <w:t>. 2012)</w:t>
            </w:r>
          </w:p>
        </w:tc>
      </w:tr>
      <w:tr w:rsidR="00722F28" w:rsidRPr="004A2BA2" w14:paraId="78248BD6" w14:textId="77777777" w:rsidTr="00B83618">
        <w:trPr>
          <w:trHeight w:val="512"/>
        </w:trPr>
        <w:tc>
          <w:tcPr>
            <w:tcW w:w="1028" w:type="dxa"/>
            <w:vMerge/>
            <w:vAlign w:val="center"/>
          </w:tcPr>
          <w:p w14:paraId="110A6661" w14:textId="77777777" w:rsidR="00722F28" w:rsidRPr="00363C31" w:rsidRDefault="00722F28" w:rsidP="00B83618">
            <w:pPr>
              <w:rPr>
                <w:rFonts w:ascii="Tw Cen MT Condensed" w:hAnsi="Tw Cen MT Condensed" w:cstheme="majorHAnsi"/>
                <w:caps/>
                <w:sz w:val="18"/>
                <w:szCs w:val="18"/>
              </w:rPr>
            </w:pPr>
          </w:p>
        </w:tc>
        <w:tc>
          <w:tcPr>
            <w:tcW w:w="1377" w:type="dxa"/>
            <w:vMerge/>
            <w:vAlign w:val="center"/>
          </w:tcPr>
          <w:p w14:paraId="57065E0B" w14:textId="77777777" w:rsidR="00722F28" w:rsidRPr="004A2BA2" w:rsidRDefault="00722F28" w:rsidP="00B83618">
            <w:pPr>
              <w:rPr>
                <w:rFonts w:asciiTheme="majorHAnsi" w:hAnsiTheme="majorHAnsi" w:cstheme="majorHAnsi"/>
                <w:sz w:val="18"/>
                <w:szCs w:val="18"/>
              </w:rPr>
            </w:pPr>
          </w:p>
        </w:tc>
        <w:tc>
          <w:tcPr>
            <w:tcW w:w="708" w:type="dxa"/>
            <w:vMerge/>
            <w:vAlign w:val="center"/>
          </w:tcPr>
          <w:p w14:paraId="2A52BECA" w14:textId="77777777" w:rsidR="00722F28" w:rsidRPr="004A2BA2" w:rsidRDefault="00722F28" w:rsidP="00B83618">
            <w:pPr>
              <w:rPr>
                <w:rFonts w:asciiTheme="majorHAnsi" w:hAnsiTheme="majorHAnsi" w:cstheme="majorHAnsi"/>
                <w:sz w:val="18"/>
                <w:szCs w:val="18"/>
              </w:rPr>
            </w:pPr>
          </w:p>
        </w:tc>
        <w:tc>
          <w:tcPr>
            <w:tcW w:w="2836" w:type="dxa"/>
            <w:vMerge/>
            <w:vAlign w:val="center"/>
          </w:tcPr>
          <w:p w14:paraId="436E0959" w14:textId="77777777" w:rsidR="00722F28" w:rsidRPr="004A2BA2" w:rsidRDefault="00722F28" w:rsidP="00B83618">
            <w:pPr>
              <w:rPr>
                <w:rFonts w:asciiTheme="majorHAnsi" w:hAnsiTheme="majorHAnsi" w:cstheme="majorHAnsi"/>
                <w:sz w:val="18"/>
                <w:szCs w:val="18"/>
              </w:rPr>
            </w:pPr>
          </w:p>
        </w:tc>
        <w:tc>
          <w:tcPr>
            <w:tcW w:w="1276" w:type="dxa"/>
            <w:vMerge/>
            <w:vAlign w:val="center"/>
          </w:tcPr>
          <w:p w14:paraId="6F697D7C" w14:textId="77777777" w:rsidR="00722F28" w:rsidRPr="004A2BA2" w:rsidRDefault="00722F28" w:rsidP="00B83618">
            <w:pPr>
              <w:rPr>
                <w:rFonts w:asciiTheme="majorHAnsi" w:hAnsiTheme="majorHAnsi" w:cstheme="majorHAnsi"/>
                <w:sz w:val="18"/>
                <w:szCs w:val="18"/>
              </w:rPr>
            </w:pPr>
          </w:p>
        </w:tc>
        <w:tc>
          <w:tcPr>
            <w:tcW w:w="5103" w:type="dxa"/>
            <w:vAlign w:val="center"/>
          </w:tcPr>
          <w:p w14:paraId="3CFFFC4D" w14:textId="22B94DF6" w:rsidR="00722F28" w:rsidRDefault="00722F28" w:rsidP="00B83618">
            <w:pPr>
              <w:rPr>
                <w:rFonts w:asciiTheme="majorHAnsi" w:hAnsiTheme="majorHAnsi" w:cstheme="majorHAnsi"/>
                <w:sz w:val="18"/>
                <w:szCs w:val="18"/>
              </w:rPr>
            </w:pPr>
            <w:r>
              <w:rPr>
                <w:rFonts w:asciiTheme="majorHAnsi" w:hAnsiTheme="majorHAnsi" w:cstheme="majorHAnsi"/>
                <w:sz w:val="18"/>
                <w:szCs w:val="18"/>
              </w:rPr>
              <w:t xml:space="preserve">For lone mothers, a small reduction in fertility </w:t>
            </w:r>
          </w:p>
        </w:tc>
        <w:tc>
          <w:tcPr>
            <w:tcW w:w="1984" w:type="dxa"/>
            <w:vAlign w:val="center"/>
          </w:tcPr>
          <w:p w14:paraId="437EF25C" w14:textId="4E480E54" w:rsidR="00722F28" w:rsidRDefault="00722F28" w:rsidP="00B83618">
            <w:pPr>
              <w:rPr>
                <w:rFonts w:asciiTheme="majorHAnsi" w:hAnsiTheme="majorHAnsi" w:cstheme="majorHAnsi"/>
                <w:sz w:val="18"/>
                <w:szCs w:val="18"/>
              </w:rPr>
            </w:pPr>
            <w:r>
              <w:rPr>
                <w:rFonts w:asciiTheme="majorHAnsi" w:hAnsiTheme="majorHAnsi" w:cstheme="majorHAnsi"/>
                <w:sz w:val="18"/>
                <w:szCs w:val="18"/>
              </w:rPr>
              <w:t>(Francesconi &amp; Van der Klaauw, 2007).</w:t>
            </w:r>
          </w:p>
        </w:tc>
      </w:tr>
      <w:tr w:rsidR="006B278E" w:rsidRPr="004A2BA2" w14:paraId="3341983B" w14:textId="77777777" w:rsidTr="00B83618">
        <w:trPr>
          <w:trHeight w:val="512"/>
        </w:trPr>
        <w:tc>
          <w:tcPr>
            <w:tcW w:w="1028" w:type="dxa"/>
            <w:vMerge/>
            <w:vAlign w:val="center"/>
          </w:tcPr>
          <w:p w14:paraId="30DD432A" w14:textId="77777777" w:rsidR="006B278E" w:rsidRPr="00363C31" w:rsidRDefault="006B278E" w:rsidP="00B83618">
            <w:pPr>
              <w:rPr>
                <w:rFonts w:ascii="Tw Cen MT Condensed" w:hAnsi="Tw Cen MT Condensed" w:cstheme="majorHAnsi"/>
                <w:caps/>
                <w:sz w:val="18"/>
                <w:szCs w:val="18"/>
              </w:rPr>
            </w:pPr>
          </w:p>
        </w:tc>
        <w:tc>
          <w:tcPr>
            <w:tcW w:w="1377" w:type="dxa"/>
            <w:vMerge/>
            <w:vAlign w:val="center"/>
          </w:tcPr>
          <w:p w14:paraId="33665D9A" w14:textId="77777777" w:rsidR="006B278E" w:rsidRPr="004A2BA2" w:rsidRDefault="006B278E" w:rsidP="00B83618">
            <w:pPr>
              <w:rPr>
                <w:rFonts w:asciiTheme="majorHAnsi" w:hAnsiTheme="majorHAnsi" w:cstheme="majorHAnsi"/>
                <w:sz w:val="18"/>
                <w:szCs w:val="18"/>
              </w:rPr>
            </w:pPr>
          </w:p>
        </w:tc>
        <w:tc>
          <w:tcPr>
            <w:tcW w:w="708" w:type="dxa"/>
            <w:vMerge/>
            <w:vAlign w:val="center"/>
          </w:tcPr>
          <w:p w14:paraId="7921B163" w14:textId="77777777" w:rsidR="006B278E" w:rsidRPr="004A2BA2" w:rsidRDefault="006B278E" w:rsidP="00B83618">
            <w:pPr>
              <w:rPr>
                <w:rFonts w:asciiTheme="majorHAnsi" w:hAnsiTheme="majorHAnsi" w:cstheme="majorHAnsi"/>
                <w:sz w:val="18"/>
                <w:szCs w:val="18"/>
              </w:rPr>
            </w:pPr>
          </w:p>
        </w:tc>
        <w:tc>
          <w:tcPr>
            <w:tcW w:w="2836" w:type="dxa"/>
            <w:vMerge/>
            <w:vAlign w:val="center"/>
          </w:tcPr>
          <w:p w14:paraId="1C9F1801" w14:textId="77777777" w:rsidR="006B278E" w:rsidRPr="004A2BA2" w:rsidRDefault="006B278E" w:rsidP="00B83618">
            <w:pPr>
              <w:rPr>
                <w:rFonts w:asciiTheme="majorHAnsi" w:hAnsiTheme="majorHAnsi" w:cstheme="majorHAnsi"/>
                <w:sz w:val="18"/>
                <w:szCs w:val="18"/>
              </w:rPr>
            </w:pPr>
          </w:p>
        </w:tc>
        <w:tc>
          <w:tcPr>
            <w:tcW w:w="1276" w:type="dxa"/>
            <w:vMerge/>
            <w:vAlign w:val="center"/>
          </w:tcPr>
          <w:p w14:paraId="1E68ADB7" w14:textId="77777777" w:rsidR="006B278E" w:rsidRPr="004A2BA2" w:rsidRDefault="006B278E" w:rsidP="00B83618">
            <w:pPr>
              <w:rPr>
                <w:rFonts w:asciiTheme="majorHAnsi" w:hAnsiTheme="majorHAnsi" w:cstheme="majorHAnsi"/>
                <w:sz w:val="18"/>
                <w:szCs w:val="18"/>
              </w:rPr>
            </w:pPr>
          </w:p>
        </w:tc>
        <w:tc>
          <w:tcPr>
            <w:tcW w:w="5103" w:type="dxa"/>
            <w:vAlign w:val="center"/>
          </w:tcPr>
          <w:p w14:paraId="30DD06AB" w14:textId="77777777" w:rsidR="006B278E" w:rsidRPr="004A2BA2" w:rsidRDefault="006B278E" w:rsidP="00B83618">
            <w:pPr>
              <w:rPr>
                <w:rFonts w:asciiTheme="majorHAnsi" w:hAnsiTheme="majorHAnsi" w:cstheme="majorHAnsi"/>
                <w:sz w:val="18"/>
                <w:szCs w:val="18"/>
              </w:rPr>
            </w:pPr>
            <w:r>
              <w:rPr>
                <w:rFonts w:asciiTheme="majorHAnsi" w:hAnsiTheme="majorHAnsi" w:cstheme="majorHAnsi"/>
                <w:sz w:val="18"/>
                <w:szCs w:val="18"/>
              </w:rPr>
              <w:t xml:space="preserve">Only effected timing of first birth significantly. </w:t>
            </w:r>
          </w:p>
        </w:tc>
        <w:tc>
          <w:tcPr>
            <w:tcW w:w="1984" w:type="dxa"/>
            <w:vAlign w:val="center"/>
          </w:tcPr>
          <w:p w14:paraId="2A55A903" w14:textId="53267993" w:rsidR="006B278E" w:rsidRPr="004A2BA2" w:rsidRDefault="00F80704" w:rsidP="00B83618">
            <w:pPr>
              <w:rPr>
                <w:rFonts w:asciiTheme="majorHAnsi" w:hAnsiTheme="majorHAnsi" w:cstheme="majorHAnsi"/>
                <w:sz w:val="18"/>
                <w:szCs w:val="18"/>
              </w:rPr>
            </w:pPr>
            <w:r w:rsidRPr="007E15F6">
              <w:rPr>
                <w:rFonts w:asciiTheme="majorHAnsi" w:hAnsiTheme="majorHAnsi" w:cstheme="majorHAnsi"/>
                <w:noProof/>
                <w:sz w:val="18"/>
                <w:szCs w:val="18"/>
              </w:rPr>
              <w:t>(Ohinata, 2011)</w:t>
            </w:r>
          </w:p>
        </w:tc>
      </w:tr>
      <w:tr w:rsidR="00F80704" w:rsidRPr="004A2BA2" w14:paraId="77666AA2" w14:textId="77777777" w:rsidTr="00B83618">
        <w:trPr>
          <w:trHeight w:val="385"/>
        </w:trPr>
        <w:tc>
          <w:tcPr>
            <w:tcW w:w="1028" w:type="dxa"/>
            <w:vAlign w:val="center"/>
          </w:tcPr>
          <w:p w14:paraId="75C8027D" w14:textId="43CCB698" w:rsidR="00F80704" w:rsidRPr="00363C31" w:rsidRDefault="00F80704" w:rsidP="00B83618">
            <w:pPr>
              <w:rPr>
                <w:rFonts w:ascii="Tw Cen MT Condensed" w:hAnsi="Tw Cen MT Condensed" w:cstheme="majorHAnsi"/>
                <w:caps/>
                <w:sz w:val="18"/>
                <w:szCs w:val="18"/>
              </w:rPr>
            </w:pPr>
            <w:r>
              <w:rPr>
                <w:rFonts w:ascii="Tw Cen MT Condensed" w:hAnsi="Tw Cen MT Condensed" w:cstheme="majorHAnsi"/>
                <w:caps/>
                <w:sz w:val="18"/>
                <w:szCs w:val="18"/>
              </w:rPr>
              <w:t>spain</w:t>
            </w:r>
          </w:p>
        </w:tc>
        <w:tc>
          <w:tcPr>
            <w:tcW w:w="1377" w:type="dxa"/>
            <w:vAlign w:val="center"/>
          </w:tcPr>
          <w:p w14:paraId="15147EE8" w14:textId="17DC2A94" w:rsidR="00F80704" w:rsidRDefault="00F80704" w:rsidP="00B83618">
            <w:pPr>
              <w:rPr>
                <w:rFonts w:asciiTheme="majorHAnsi" w:hAnsiTheme="majorHAnsi" w:cstheme="majorHAnsi"/>
                <w:sz w:val="18"/>
                <w:szCs w:val="18"/>
              </w:rPr>
            </w:pPr>
            <w:r>
              <w:rPr>
                <w:rFonts w:asciiTheme="majorHAnsi" w:hAnsiTheme="majorHAnsi" w:cstheme="majorHAnsi"/>
                <w:sz w:val="18"/>
                <w:szCs w:val="18"/>
              </w:rPr>
              <w:t xml:space="preserve">Tax credit </w:t>
            </w:r>
          </w:p>
        </w:tc>
        <w:tc>
          <w:tcPr>
            <w:tcW w:w="708" w:type="dxa"/>
            <w:vAlign w:val="center"/>
          </w:tcPr>
          <w:p w14:paraId="4E5549BF" w14:textId="22FAE595" w:rsidR="00F80704" w:rsidRDefault="00F80704" w:rsidP="00B83618">
            <w:pPr>
              <w:rPr>
                <w:rFonts w:asciiTheme="majorHAnsi" w:hAnsiTheme="majorHAnsi" w:cstheme="majorHAnsi"/>
                <w:sz w:val="18"/>
                <w:szCs w:val="18"/>
              </w:rPr>
            </w:pPr>
            <w:r>
              <w:rPr>
                <w:rFonts w:asciiTheme="majorHAnsi" w:hAnsiTheme="majorHAnsi" w:cstheme="majorHAnsi"/>
                <w:sz w:val="18"/>
                <w:szCs w:val="18"/>
              </w:rPr>
              <w:t>2003</w:t>
            </w:r>
          </w:p>
        </w:tc>
        <w:tc>
          <w:tcPr>
            <w:tcW w:w="2836" w:type="dxa"/>
            <w:vAlign w:val="center"/>
          </w:tcPr>
          <w:p w14:paraId="38FAF875" w14:textId="4AFDC372" w:rsidR="00F80704" w:rsidRDefault="00F80704" w:rsidP="00B83618">
            <w:pPr>
              <w:rPr>
                <w:rFonts w:asciiTheme="majorHAnsi" w:hAnsiTheme="majorHAnsi" w:cstheme="majorHAnsi"/>
                <w:sz w:val="18"/>
                <w:szCs w:val="18"/>
              </w:rPr>
            </w:pPr>
            <w:r>
              <w:rPr>
                <w:rFonts w:asciiTheme="majorHAnsi" w:hAnsiTheme="majorHAnsi" w:cstheme="majorHAnsi"/>
                <w:sz w:val="18"/>
                <w:szCs w:val="18"/>
              </w:rPr>
              <w:t xml:space="preserve">Introduction of a </w:t>
            </w:r>
            <w:r w:rsidRPr="00F80704">
              <w:rPr>
                <w:rFonts w:asciiTheme="majorHAnsi" w:hAnsiTheme="majorHAnsi" w:cstheme="majorHAnsi"/>
                <w:sz w:val="18"/>
                <w:szCs w:val="18"/>
              </w:rPr>
              <w:t xml:space="preserve">tax credit for working mothers with children under the age of three, </w:t>
            </w:r>
            <w:r>
              <w:rPr>
                <w:rFonts w:asciiTheme="majorHAnsi" w:hAnsiTheme="majorHAnsi" w:cstheme="majorHAnsi"/>
                <w:sz w:val="18"/>
                <w:szCs w:val="18"/>
              </w:rPr>
              <w:t xml:space="preserve">and an increase in </w:t>
            </w:r>
            <w:r w:rsidRPr="00F80704">
              <w:rPr>
                <w:rFonts w:asciiTheme="majorHAnsi" w:hAnsiTheme="majorHAnsi" w:cstheme="majorHAnsi"/>
                <w:sz w:val="18"/>
                <w:szCs w:val="18"/>
              </w:rPr>
              <w:t>deductions for all households with children</w:t>
            </w:r>
            <w:r>
              <w:rPr>
                <w:rFonts w:asciiTheme="majorHAnsi" w:hAnsiTheme="majorHAnsi" w:cstheme="majorHAnsi"/>
                <w:sz w:val="18"/>
                <w:szCs w:val="18"/>
              </w:rPr>
              <w:t>.</w:t>
            </w:r>
          </w:p>
        </w:tc>
        <w:tc>
          <w:tcPr>
            <w:tcW w:w="1276" w:type="dxa"/>
            <w:vAlign w:val="center"/>
          </w:tcPr>
          <w:p w14:paraId="0F1A72B4" w14:textId="3D4A9ED4" w:rsidR="00F80704" w:rsidRDefault="00F80704" w:rsidP="00B83618">
            <w:pPr>
              <w:rPr>
                <w:rFonts w:asciiTheme="majorHAnsi" w:hAnsiTheme="majorHAnsi" w:cstheme="majorHAnsi"/>
                <w:sz w:val="18"/>
                <w:szCs w:val="18"/>
              </w:rPr>
            </w:pPr>
            <w:r>
              <w:rPr>
                <w:rFonts w:asciiTheme="majorHAnsi" w:hAnsiTheme="majorHAnsi" w:cstheme="majorHAnsi"/>
                <w:sz w:val="18"/>
                <w:szCs w:val="18"/>
              </w:rPr>
              <w:t>All parities</w:t>
            </w:r>
          </w:p>
        </w:tc>
        <w:tc>
          <w:tcPr>
            <w:tcW w:w="5103" w:type="dxa"/>
            <w:vAlign w:val="center"/>
          </w:tcPr>
          <w:p w14:paraId="04AF20D6" w14:textId="55470143" w:rsidR="00F80704" w:rsidRDefault="00F80704" w:rsidP="00B83618">
            <w:pPr>
              <w:rPr>
                <w:rFonts w:asciiTheme="majorHAnsi" w:hAnsiTheme="majorHAnsi" w:cstheme="majorHAnsi"/>
                <w:sz w:val="18"/>
                <w:szCs w:val="18"/>
              </w:rPr>
            </w:pPr>
            <w:r>
              <w:rPr>
                <w:rFonts w:asciiTheme="majorHAnsi" w:hAnsiTheme="majorHAnsi" w:cstheme="majorHAnsi"/>
                <w:sz w:val="18"/>
                <w:szCs w:val="18"/>
              </w:rPr>
              <w:t xml:space="preserve">Increased fertility by 5%. Effect more pronounced for women with lower education. </w:t>
            </w:r>
          </w:p>
        </w:tc>
        <w:tc>
          <w:tcPr>
            <w:tcW w:w="1984" w:type="dxa"/>
            <w:vAlign w:val="center"/>
          </w:tcPr>
          <w:p w14:paraId="4D8B631F" w14:textId="79ED19CA" w:rsidR="00F80704" w:rsidRDefault="00F80704" w:rsidP="00B83618">
            <w:pPr>
              <w:rPr>
                <w:rFonts w:asciiTheme="majorHAnsi" w:hAnsiTheme="majorHAnsi" w:cstheme="majorHAnsi"/>
                <w:noProof/>
                <w:sz w:val="18"/>
                <w:szCs w:val="18"/>
              </w:rPr>
            </w:pPr>
            <w:r>
              <w:rPr>
                <w:rFonts w:asciiTheme="majorHAnsi" w:hAnsiTheme="majorHAnsi" w:cstheme="majorHAnsi"/>
                <w:noProof/>
                <w:sz w:val="18"/>
                <w:szCs w:val="18"/>
              </w:rPr>
              <w:t>(</w:t>
            </w:r>
            <w:r w:rsidRPr="00F80704">
              <w:rPr>
                <w:rFonts w:asciiTheme="majorHAnsi" w:hAnsiTheme="majorHAnsi" w:cstheme="majorHAnsi"/>
                <w:noProof/>
                <w:sz w:val="18"/>
                <w:szCs w:val="18"/>
              </w:rPr>
              <w:t>Azmat &amp; González 2010)</w:t>
            </w:r>
          </w:p>
        </w:tc>
      </w:tr>
      <w:tr w:rsidR="006B278E" w:rsidRPr="004A2BA2" w14:paraId="373C0F21" w14:textId="77777777" w:rsidTr="00B83618">
        <w:trPr>
          <w:trHeight w:val="385"/>
        </w:trPr>
        <w:tc>
          <w:tcPr>
            <w:tcW w:w="1028" w:type="dxa"/>
            <w:vMerge w:val="restart"/>
            <w:vAlign w:val="center"/>
          </w:tcPr>
          <w:p w14:paraId="7679D57D" w14:textId="77777777" w:rsidR="006B278E" w:rsidRPr="00363C31" w:rsidRDefault="006B278E" w:rsidP="00B83618">
            <w:pPr>
              <w:rPr>
                <w:rFonts w:ascii="Tw Cen MT Condensed" w:hAnsi="Tw Cen MT Condensed" w:cstheme="majorHAnsi"/>
                <w:caps/>
                <w:sz w:val="18"/>
                <w:szCs w:val="18"/>
              </w:rPr>
            </w:pPr>
            <w:r w:rsidRPr="00363C31">
              <w:rPr>
                <w:rFonts w:ascii="Tw Cen MT Condensed" w:hAnsi="Tw Cen MT Condensed" w:cstheme="majorHAnsi"/>
                <w:caps/>
                <w:sz w:val="18"/>
                <w:szCs w:val="18"/>
              </w:rPr>
              <w:t>Alaska</w:t>
            </w:r>
          </w:p>
        </w:tc>
        <w:tc>
          <w:tcPr>
            <w:tcW w:w="1377" w:type="dxa"/>
            <w:vMerge w:val="restart"/>
            <w:vAlign w:val="center"/>
          </w:tcPr>
          <w:p w14:paraId="3B00163F" w14:textId="77777777" w:rsidR="006B278E" w:rsidRDefault="006B278E" w:rsidP="00B83618">
            <w:pPr>
              <w:rPr>
                <w:rFonts w:asciiTheme="majorHAnsi" w:hAnsiTheme="majorHAnsi" w:cstheme="majorHAnsi"/>
                <w:sz w:val="18"/>
                <w:szCs w:val="18"/>
              </w:rPr>
            </w:pPr>
            <w:r>
              <w:rPr>
                <w:rFonts w:asciiTheme="majorHAnsi" w:hAnsiTheme="majorHAnsi" w:cstheme="majorHAnsi"/>
                <w:sz w:val="18"/>
                <w:szCs w:val="18"/>
              </w:rPr>
              <w:t>Universal Basic Income</w:t>
            </w:r>
          </w:p>
        </w:tc>
        <w:tc>
          <w:tcPr>
            <w:tcW w:w="708" w:type="dxa"/>
            <w:vMerge w:val="restart"/>
            <w:vAlign w:val="center"/>
          </w:tcPr>
          <w:p w14:paraId="0D622FDA" w14:textId="77777777" w:rsidR="006B278E" w:rsidRDefault="006B278E" w:rsidP="00B83618">
            <w:pPr>
              <w:rPr>
                <w:rFonts w:asciiTheme="majorHAnsi" w:hAnsiTheme="majorHAnsi" w:cstheme="majorHAnsi"/>
                <w:sz w:val="18"/>
                <w:szCs w:val="18"/>
              </w:rPr>
            </w:pPr>
            <w:r>
              <w:rPr>
                <w:rFonts w:asciiTheme="majorHAnsi" w:hAnsiTheme="majorHAnsi" w:cstheme="majorHAnsi"/>
                <w:sz w:val="18"/>
                <w:szCs w:val="18"/>
              </w:rPr>
              <w:t>1982</w:t>
            </w:r>
          </w:p>
        </w:tc>
        <w:tc>
          <w:tcPr>
            <w:tcW w:w="2836" w:type="dxa"/>
            <w:vMerge w:val="restart"/>
            <w:vAlign w:val="center"/>
          </w:tcPr>
          <w:p w14:paraId="0AD2842F" w14:textId="77777777" w:rsidR="006B278E" w:rsidRPr="004A2BA2" w:rsidRDefault="006B278E" w:rsidP="00B83618">
            <w:pPr>
              <w:rPr>
                <w:rFonts w:asciiTheme="majorHAnsi" w:hAnsiTheme="majorHAnsi" w:cstheme="majorHAnsi"/>
                <w:sz w:val="18"/>
                <w:szCs w:val="18"/>
              </w:rPr>
            </w:pPr>
            <w:r>
              <w:rPr>
                <w:rFonts w:asciiTheme="majorHAnsi" w:hAnsiTheme="majorHAnsi" w:cstheme="majorHAnsi"/>
                <w:sz w:val="18"/>
                <w:szCs w:val="18"/>
              </w:rPr>
              <w:t xml:space="preserve">Introduction of Alaskan Permanent Fund Dividend (a form of universal basic income) </w:t>
            </w:r>
          </w:p>
        </w:tc>
        <w:tc>
          <w:tcPr>
            <w:tcW w:w="1276" w:type="dxa"/>
            <w:vMerge w:val="restart"/>
            <w:vAlign w:val="center"/>
          </w:tcPr>
          <w:p w14:paraId="4925A536" w14:textId="77777777" w:rsidR="006B278E" w:rsidRPr="004A2BA2" w:rsidRDefault="006B278E" w:rsidP="00B83618">
            <w:pPr>
              <w:rPr>
                <w:rFonts w:asciiTheme="majorHAnsi" w:hAnsiTheme="majorHAnsi" w:cstheme="majorHAnsi"/>
                <w:sz w:val="18"/>
                <w:szCs w:val="18"/>
              </w:rPr>
            </w:pPr>
            <w:r>
              <w:rPr>
                <w:rFonts w:asciiTheme="majorHAnsi" w:hAnsiTheme="majorHAnsi" w:cstheme="majorHAnsi"/>
                <w:sz w:val="18"/>
                <w:szCs w:val="18"/>
              </w:rPr>
              <w:t>All parities</w:t>
            </w:r>
          </w:p>
          <w:p w14:paraId="443FF3EA" w14:textId="77777777" w:rsidR="006B278E" w:rsidRPr="004A2BA2" w:rsidRDefault="006B278E" w:rsidP="00B83618">
            <w:pPr>
              <w:rPr>
                <w:rFonts w:asciiTheme="majorHAnsi" w:hAnsiTheme="majorHAnsi" w:cstheme="majorHAnsi"/>
                <w:sz w:val="18"/>
                <w:szCs w:val="18"/>
              </w:rPr>
            </w:pPr>
          </w:p>
        </w:tc>
        <w:tc>
          <w:tcPr>
            <w:tcW w:w="5103" w:type="dxa"/>
            <w:vAlign w:val="center"/>
          </w:tcPr>
          <w:p w14:paraId="647D360A" w14:textId="67F50992" w:rsidR="006B278E" w:rsidRDefault="006B278E" w:rsidP="00B83618">
            <w:pPr>
              <w:rPr>
                <w:rFonts w:asciiTheme="majorHAnsi" w:hAnsiTheme="majorHAnsi" w:cstheme="majorHAnsi"/>
                <w:sz w:val="18"/>
                <w:szCs w:val="18"/>
              </w:rPr>
            </w:pPr>
            <w:r>
              <w:rPr>
                <w:rFonts w:asciiTheme="majorHAnsi" w:hAnsiTheme="majorHAnsi" w:cstheme="majorHAnsi"/>
                <w:sz w:val="18"/>
                <w:szCs w:val="18"/>
              </w:rPr>
              <w:t xml:space="preserve">Fertility increased by 11.3 births per 1,000 females. </w:t>
            </w:r>
          </w:p>
        </w:tc>
        <w:tc>
          <w:tcPr>
            <w:tcW w:w="1984" w:type="dxa"/>
            <w:vAlign w:val="center"/>
          </w:tcPr>
          <w:p w14:paraId="328F1C43" w14:textId="3FFC86A0" w:rsidR="006B278E" w:rsidRPr="004A2BA2" w:rsidRDefault="006B278E" w:rsidP="00B83618">
            <w:pPr>
              <w:rPr>
                <w:rFonts w:asciiTheme="majorHAnsi" w:hAnsiTheme="majorHAnsi" w:cstheme="majorHAnsi"/>
                <w:sz w:val="18"/>
                <w:szCs w:val="18"/>
              </w:rPr>
            </w:pPr>
            <w:r>
              <w:rPr>
                <w:rFonts w:asciiTheme="majorHAnsi" w:hAnsiTheme="majorHAnsi" w:cstheme="majorHAnsi"/>
                <w:noProof/>
                <w:sz w:val="18"/>
                <w:szCs w:val="18"/>
              </w:rPr>
              <w:t xml:space="preserve">(Yonzan, </w:t>
            </w:r>
            <w:r w:rsidRPr="001910D9">
              <w:rPr>
                <w:rFonts w:asciiTheme="majorHAnsi" w:hAnsiTheme="majorHAnsi" w:cstheme="majorHAnsi"/>
                <w:i/>
                <w:iCs/>
                <w:noProof/>
                <w:sz w:val="18"/>
                <w:szCs w:val="18"/>
              </w:rPr>
              <w:t>et al</w:t>
            </w:r>
            <w:r>
              <w:rPr>
                <w:rFonts w:asciiTheme="majorHAnsi" w:hAnsiTheme="majorHAnsi" w:cstheme="majorHAnsi"/>
                <w:noProof/>
                <w:sz w:val="18"/>
                <w:szCs w:val="18"/>
              </w:rPr>
              <w:t>. 2020)</w:t>
            </w:r>
          </w:p>
        </w:tc>
      </w:tr>
      <w:tr w:rsidR="006B278E" w:rsidRPr="004A2BA2" w14:paraId="1F2FB2B5" w14:textId="77777777" w:rsidTr="00B83618">
        <w:trPr>
          <w:trHeight w:val="1757"/>
        </w:trPr>
        <w:tc>
          <w:tcPr>
            <w:tcW w:w="1028" w:type="dxa"/>
            <w:vMerge/>
          </w:tcPr>
          <w:p w14:paraId="161D4832" w14:textId="77777777" w:rsidR="006B278E" w:rsidRDefault="006B278E" w:rsidP="00B83618">
            <w:pPr>
              <w:rPr>
                <w:rFonts w:asciiTheme="majorHAnsi" w:hAnsiTheme="majorHAnsi" w:cstheme="majorHAnsi"/>
                <w:sz w:val="18"/>
                <w:szCs w:val="18"/>
              </w:rPr>
            </w:pPr>
          </w:p>
        </w:tc>
        <w:tc>
          <w:tcPr>
            <w:tcW w:w="1377" w:type="dxa"/>
            <w:vMerge/>
          </w:tcPr>
          <w:p w14:paraId="7C676C85" w14:textId="77777777" w:rsidR="006B278E" w:rsidRDefault="006B278E" w:rsidP="00B83618">
            <w:pPr>
              <w:rPr>
                <w:rFonts w:asciiTheme="majorHAnsi" w:hAnsiTheme="majorHAnsi" w:cstheme="majorHAnsi"/>
                <w:sz w:val="18"/>
                <w:szCs w:val="18"/>
              </w:rPr>
            </w:pPr>
          </w:p>
        </w:tc>
        <w:tc>
          <w:tcPr>
            <w:tcW w:w="708" w:type="dxa"/>
            <w:vMerge/>
          </w:tcPr>
          <w:p w14:paraId="26BB19A9" w14:textId="77777777" w:rsidR="006B278E" w:rsidRDefault="006B278E" w:rsidP="00B83618">
            <w:pPr>
              <w:rPr>
                <w:rFonts w:asciiTheme="majorHAnsi" w:hAnsiTheme="majorHAnsi" w:cstheme="majorHAnsi"/>
                <w:sz w:val="18"/>
                <w:szCs w:val="18"/>
              </w:rPr>
            </w:pPr>
          </w:p>
        </w:tc>
        <w:tc>
          <w:tcPr>
            <w:tcW w:w="2836" w:type="dxa"/>
            <w:vMerge/>
            <w:vAlign w:val="center"/>
          </w:tcPr>
          <w:p w14:paraId="72D43F3C" w14:textId="77777777" w:rsidR="006B278E" w:rsidRDefault="006B278E" w:rsidP="00B83618">
            <w:pPr>
              <w:rPr>
                <w:rFonts w:asciiTheme="majorHAnsi" w:hAnsiTheme="majorHAnsi" w:cstheme="majorHAnsi"/>
                <w:sz w:val="18"/>
                <w:szCs w:val="18"/>
              </w:rPr>
            </w:pPr>
          </w:p>
        </w:tc>
        <w:tc>
          <w:tcPr>
            <w:tcW w:w="1276" w:type="dxa"/>
            <w:vMerge/>
            <w:vAlign w:val="center"/>
          </w:tcPr>
          <w:p w14:paraId="538ACEA4" w14:textId="77777777" w:rsidR="006B278E" w:rsidRDefault="006B278E" w:rsidP="00B83618">
            <w:pPr>
              <w:rPr>
                <w:rFonts w:asciiTheme="majorHAnsi" w:hAnsiTheme="majorHAnsi" w:cstheme="majorHAnsi"/>
                <w:sz w:val="18"/>
                <w:szCs w:val="18"/>
              </w:rPr>
            </w:pPr>
          </w:p>
        </w:tc>
        <w:tc>
          <w:tcPr>
            <w:tcW w:w="5103" w:type="dxa"/>
            <w:vAlign w:val="center"/>
          </w:tcPr>
          <w:p w14:paraId="0F264E83" w14:textId="77777777" w:rsidR="006B278E" w:rsidRDefault="006B278E" w:rsidP="00B83618">
            <w:pPr>
              <w:rPr>
                <w:rFonts w:asciiTheme="majorHAnsi" w:hAnsiTheme="majorHAnsi" w:cstheme="majorHAnsi"/>
                <w:sz w:val="18"/>
                <w:szCs w:val="18"/>
              </w:rPr>
            </w:pPr>
            <w:r>
              <w:rPr>
                <w:rFonts w:asciiTheme="majorHAnsi" w:hAnsiTheme="majorHAnsi" w:cstheme="majorHAnsi"/>
                <w:sz w:val="18"/>
                <w:szCs w:val="18"/>
              </w:rPr>
              <w:t>Increased the</w:t>
            </w:r>
            <w:r w:rsidRPr="008568E5">
              <w:rPr>
                <w:rFonts w:asciiTheme="majorHAnsi" w:hAnsiTheme="majorHAnsi" w:cstheme="majorHAnsi"/>
                <w:sz w:val="18"/>
                <w:szCs w:val="18"/>
              </w:rPr>
              <w:t xml:space="preserve"> total fertility rate by 0.59 children on average between 1982 and 1995, representing a 25 </w:t>
            </w:r>
            <w:r>
              <w:rPr>
                <w:rFonts w:asciiTheme="majorHAnsi" w:hAnsiTheme="majorHAnsi" w:cstheme="majorHAnsi"/>
                <w:sz w:val="18"/>
                <w:szCs w:val="18"/>
              </w:rPr>
              <w:t>%</w:t>
            </w:r>
            <w:r w:rsidRPr="008568E5">
              <w:rPr>
                <w:rFonts w:asciiTheme="majorHAnsi" w:hAnsiTheme="majorHAnsi" w:cstheme="majorHAnsi"/>
                <w:sz w:val="18"/>
                <w:szCs w:val="18"/>
              </w:rPr>
              <w:t xml:space="preserve"> increase in total fertility. The effects are concentrated among second and higher-order births and young adult mothers, aged 20 to 29. The APFD could plausibly have increased completed fertility over that period, but data constraints limit the conclusions around completed childbearing</w:t>
            </w:r>
            <w:r>
              <w:rPr>
                <w:rFonts w:asciiTheme="majorHAnsi" w:hAnsiTheme="majorHAnsi" w:cstheme="majorHAnsi"/>
                <w:sz w:val="18"/>
                <w:szCs w:val="18"/>
              </w:rPr>
              <w:t>.</w:t>
            </w:r>
          </w:p>
        </w:tc>
        <w:tc>
          <w:tcPr>
            <w:tcW w:w="1984" w:type="dxa"/>
            <w:vAlign w:val="center"/>
          </w:tcPr>
          <w:p w14:paraId="4B9E9E67" w14:textId="73312DD5" w:rsidR="006B278E" w:rsidRDefault="00DA7092" w:rsidP="00B83618">
            <w:pPr>
              <w:rPr>
                <w:rFonts w:asciiTheme="majorHAnsi" w:hAnsiTheme="majorHAnsi" w:cstheme="majorHAnsi"/>
                <w:sz w:val="18"/>
                <w:szCs w:val="18"/>
              </w:rPr>
            </w:pPr>
            <w:r w:rsidRPr="007E15F6">
              <w:rPr>
                <w:rFonts w:asciiTheme="majorHAnsi" w:hAnsiTheme="majorHAnsi" w:cstheme="majorHAnsi"/>
                <w:noProof/>
                <w:sz w:val="18"/>
                <w:szCs w:val="18"/>
              </w:rPr>
              <w:t>(Gray Collins, 2016)</w:t>
            </w:r>
          </w:p>
        </w:tc>
      </w:tr>
    </w:tbl>
    <w:p w14:paraId="5BFEE2F6" w14:textId="048003CB" w:rsidR="00CE1ED7" w:rsidRDefault="00DE280D" w:rsidP="00CE1ED7">
      <w:pPr>
        <w:pStyle w:val="Caption"/>
        <w:keepNext/>
        <w:spacing w:line="276" w:lineRule="auto"/>
      </w:pPr>
      <w:sdt>
        <w:sdtPr>
          <w:id w:val="1659034798"/>
          <w:citation/>
        </w:sdtPr>
        <w:sdtEndPr/>
        <w:sdtContent/>
      </w:sdt>
      <w:sdt>
        <w:sdtPr>
          <w:id w:val="1997997308"/>
          <w:citation/>
        </w:sdtPr>
        <w:sdtEndPr/>
        <w:sdtContent/>
      </w:sdt>
      <w:sdt>
        <w:sdtPr>
          <w:id w:val="2117711673"/>
          <w:citation/>
        </w:sdtPr>
        <w:sdtEndPr/>
        <w:sdtContent/>
      </w:sdt>
      <w:sdt>
        <w:sdtPr>
          <w:id w:val="1582186724"/>
          <w:citation/>
        </w:sdtPr>
        <w:sdtEndPr/>
        <w:sdtContent/>
      </w:sdt>
      <w:r w:rsidR="00CE1ED7">
        <w:t xml:space="preserve">Table </w:t>
      </w:r>
      <w:fldSimple w:instr=" SEQ Table \* ARABIC ">
        <w:r w:rsidR="00115E22">
          <w:rPr>
            <w:noProof/>
          </w:rPr>
          <w:t>9</w:t>
        </w:r>
      </w:fldSimple>
      <w:r w:rsidR="00CE1ED7">
        <w:t xml:space="preserve"> Single country studies on fertility effect of financial transfers (continued)</w:t>
      </w:r>
    </w:p>
    <w:p w14:paraId="03E782B4" w14:textId="5C55EBA8" w:rsidR="00F31FC5" w:rsidRPr="0017445E" w:rsidRDefault="00CE1ED7" w:rsidP="00BC5105">
      <w:pPr>
        <w:tabs>
          <w:tab w:val="left" w:pos="2296"/>
        </w:tabs>
        <w:spacing w:line="276" w:lineRule="auto"/>
        <w:sectPr w:rsidR="00F31FC5" w:rsidRPr="0017445E" w:rsidSect="00AD6E5D">
          <w:pgSz w:w="16838" w:h="11906" w:orient="landscape"/>
          <w:pgMar w:top="1440" w:right="1440" w:bottom="1440" w:left="1440" w:header="708" w:footer="708" w:gutter="0"/>
          <w:cols w:space="708"/>
          <w:docGrid w:linePitch="360"/>
        </w:sectPr>
      </w:pPr>
      <w:r>
        <w:t xml:space="preserve"> </w:t>
      </w:r>
    </w:p>
    <w:p w14:paraId="638DE8AA" w14:textId="77777777" w:rsidR="00F31FC5" w:rsidRPr="00B6667C" w:rsidRDefault="00F31FC5" w:rsidP="00BC5105">
      <w:pPr>
        <w:pStyle w:val="Heading2"/>
        <w:spacing w:line="276" w:lineRule="auto"/>
      </w:pPr>
      <w:bookmarkStart w:id="76" w:name="_Toc72755342"/>
      <w:bookmarkStart w:id="77" w:name="_Toc87454616"/>
      <w:bookmarkStart w:id="78" w:name="_Toc98404963"/>
      <w:r w:rsidRPr="00B6667C">
        <w:lastRenderedPageBreak/>
        <w:t>Baby bonus or birth grants</w:t>
      </w:r>
      <w:bookmarkEnd w:id="76"/>
      <w:bookmarkEnd w:id="77"/>
      <w:bookmarkEnd w:id="78"/>
    </w:p>
    <w:p w14:paraId="5623A137" w14:textId="166BA0EA" w:rsidR="00F31FC5" w:rsidRDefault="00F31FC5" w:rsidP="00BC5105">
      <w:pPr>
        <w:spacing w:line="276" w:lineRule="auto"/>
        <w:jc w:val="both"/>
        <w:rPr>
          <w:lang w:val="en-US"/>
        </w:rPr>
      </w:pPr>
      <w:r>
        <w:rPr>
          <w:lang w:val="en-US"/>
        </w:rPr>
        <w:t xml:space="preserve">In contrast to general financial transfers to families discussed above, a ‘baby bonus’ or ‘birth grant’ is a special type of financial transfer that is usually </w:t>
      </w:r>
      <w:r w:rsidR="001776E3">
        <w:rPr>
          <w:lang w:val="en-US"/>
        </w:rPr>
        <w:t xml:space="preserve">used </w:t>
      </w:r>
      <w:r w:rsidR="00707130">
        <w:rPr>
          <w:lang w:val="en-US"/>
        </w:rPr>
        <w:t xml:space="preserve">by countries </w:t>
      </w:r>
      <w:r>
        <w:rPr>
          <w:lang w:val="en-US"/>
        </w:rPr>
        <w:t xml:space="preserve">explicitly </w:t>
      </w:r>
      <w:r w:rsidR="001776E3">
        <w:rPr>
          <w:lang w:val="en-US"/>
        </w:rPr>
        <w:t xml:space="preserve">in </w:t>
      </w:r>
      <w:r>
        <w:rPr>
          <w:lang w:val="en-US"/>
        </w:rPr>
        <w:t xml:space="preserve">an attempt to boost fertility rates. </w:t>
      </w:r>
    </w:p>
    <w:p w14:paraId="2FECA48E" w14:textId="50310122" w:rsidR="00F31FC5" w:rsidRPr="009B48F3" w:rsidRDefault="00F31FC5" w:rsidP="00BC5105">
      <w:pPr>
        <w:spacing w:line="276" w:lineRule="auto"/>
        <w:jc w:val="both"/>
        <w:rPr>
          <w:lang w:val="en-US"/>
        </w:rPr>
      </w:pPr>
      <w:r>
        <w:rPr>
          <w:lang w:val="en-US"/>
        </w:rPr>
        <w:t>Several countries including Lithuania, Luxembourg, and Singapore have such Baby Bonuses which are universal and not means-tested. In Singapore, the amount is $8,000 for a first or second child, $10,000 for a 3</w:t>
      </w:r>
      <w:r w:rsidRPr="00B9366A">
        <w:rPr>
          <w:vertAlign w:val="superscript"/>
          <w:lang w:val="en-US"/>
        </w:rPr>
        <w:t>rd</w:t>
      </w:r>
      <w:r>
        <w:rPr>
          <w:lang w:val="en-US"/>
        </w:rPr>
        <w:t xml:space="preserve">+ child </w:t>
      </w:r>
      <w:r w:rsidR="0074429E">
        <w:rPr>
          <w:noProof/>
        </w:rPr>
        <w:t>(Ministry of Social and Family Development, 2021)</w:t>
      </w:r>
      <w:r>
        <w:rPr>
          <w:lang w:val="en-US"/>
        </w:rPr>
        <w:t xml:space="preserve">. The Baby Bonus is paid in five installments over 18 months. It is not means-tested and </w:t>
      </w:r>
      <w:r w:rsidR="00D26761">
        <w:rPr>
          <w:lang w:val="en-US"/>
        </w:rPr>
        <w:t>all married couples are eligible</w:t>
      </w:r>
      <w:r>
        <w:rPr>
          <w:lang w:val="en-US"/>
        </w:rPr>
        <w:t>.</w:t>
      </w:r>
    </w:p>
    <w:p w14:paraId="2471B2CE" w14:textId="77777777" w:rsidR="00F31FC5" w:rsidRDefault="00F31FC5" w:rsidP="00BC5105">
      <w:pPr>
        <w:spacing w:line="276" w:lineRule="auto"/>
        <w:jc w:val="both"/>
        <w:rPr>
          <w:b/>
        </w:rPr>
      </w:pPr>
      <w:r w:rsidRPr="009B48F3">
        <w:rPr>
          <w:b/>
        </w:rPr>
        <w:t>Australia’s Baby Bonus</w:t>
      </w:r>
    </w:p>
    <w:p w14:paraId="38E54CCC" w14:textId="5A3B0713" w:rsidR="00F31FC5" w:rsidRPr="00B71956" w:rsidRDefault="00F31FC5" w:rsidP="00BC5105">
      <w:pPr>
        <w:spacing w:line="276" w:lineRule="auto"/>
        <w:jc w:val="both"/>
        <w:rPr>
          <w:bCs/>
        </w:rPr>
      </w:pPr>
      <w:r>
        <w:rPr>
          <w:bCs/>
        </w:rPr>
        <w:t xml:space="preserve">Australia introduced a Baby Bonus in 2004 which </w:t>
      </w:r>
      <w:r w:rsidR="001776E3">
        <w:rPr>
          <w:bCs/>
        </w:rPr>
        <w:t>went</w:t>
      </w:r>
      <w:r>
        <w:rPr>
          <w:bCs/>
        </w:rPr>
        <w:t xml:space="preserve"> through a number of changes as show</w:t>
      </w:r>
      <w:r w:rsidR="00187434">
        <w:rPr>
          <w:bCs/>
        </w:rPr>
        <w:t>n</w:t>
      </w:r>
      <w:r>
        <w:rPr>
          <w:bCs/>
        </w:rPr>
        <w:t xml:space="preserve"> in </w:t>
      </w:r>
      <w:r>
        <w:rPr>
          <w:bCs/>
        </w:rPr>
        <w:fldChar w:fldCharType="begin"/>
      </w:r>
      <w:r>
        <w:rPr>
          <w:bCs/>
        </w:rPr>
        <w:instrText xml:space="preserve"> REF _Ref75164220 \h </w:instrText>
      </w:r>
      <w:r w:rsidR="00BF0C90">
        <w:rPr>
          <w:bCs/>
        </w:rPr>
        <w:instrText xml:space="preserve"> \* MERGEFORMAT </w:instrText>
      </w:r>
      <w:r>
        <w:rPr>
          <w:bCs/>
        </w:rPr>
      </w:r>
      <w:r>
        <w:rPr>
          <w:bCs/>
        </w:rPr>
        <w:fldChar w:fldCharType="separate"/>
      </w:r>
      <w:r w:rsidR="00115E22">
        <w:t xml:space="preserve">Table </w:t>
      </w:r>
      <w:r w:rsidR="00115E22">
        <w:rPr>
          <w:noProof/>
        </w:rPr>
        <w:t>10</w:t>
      </w:r>
      <w:r>
        <w:rPr>
          <w:bCs/>
        </w:rPr>
        <w:fldChar w:fldCharType="end"/>
      </w:r>
      <w:r>
        <w:rPr>
          <w:bCs/>
        </w:rPr>
        <w:t>.</w:t>
      </w:r>
      <w:r w:rsidR="00BA7A9F">
        <w:rPr>
          <w:bCs/>
        </w:rPr>
        <w:t xml:space="preserve"> It was abolished ten years later in 2014.</w:t>
      </w:r>
    </w:p>
    <w:p w14:paraId="4FBFFE48" w14:textId="6698398D" w:rsidR="00F31FC5" w:rsidRDefault="00F31FC5" w:rsidP="00BC5105">
      <w:pPr>
        <w:pStyle w:val="Caption"/>
        <w:keepNext/>
        <w:spacing w:line="276" w:lineRule="auto"/>
      </w:pPr>
      <w:bookmarkStart w:id="79" w:name="_Ref75164220"/>
      <w:r>
        <w:t xml:space="preserve">Table </w:t>
      </w:r>
      <w:fldSimple w:instr=" SEQ Table \* ARABIC ">
        <w:r w:rsidR="00115E22">
          <w:rPr>
            <w:noProof/>
          </w:rPr>
          <w:t>10</w:t>
        </w:r>
      </w:fldSimple>
      <w:bookmarkEnd w:id="79"/>
      <w:r>
        <w:t xml:space="preserve"> Timeline of Australia's Baby Bonus</w:t>
      </w:r>
    </w:p>
    <w:tbl>
      <w:tblPr>
        <w:tblStyle w:val="PlainTable2"/>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271"/>
        <w:gridCol w:w="7745"/>
      </w:tblGrid>
      <w:tr w:rsidR="00F31FC5" w:rsidRPr="008D2B35" w14:paraId="32F7D131" w14:textId="77777777" w:rsidTr="007F50D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shd w:val="clear" w:color="auto" w:fill="FBE4D5" w:themeFill="accent2" w:themeFillTint="33"/>
            <w:vAlign w:val="center"/>
          </w:tcPr>
          <w:p w14:paraId="138AF7A3" w14:textId="77777777" w:rsidR="00F31FC5" w:rsidRPr="007E15F6" w:rsidRDefault="00F31FC5" w:rsidP="00BC5105">
            <w:pPr>
              <w:spacing w:line="276" w:lineRule="auto"/>
              <w:jc w:val="center"/>
              <w:rPr>
                <w:rFonts w:ascii="Tw Cen MT Condensed" w:hAnsi="Tw Cen MT Condensed" w:cstheme="majorHAnsi"/>
                <w:b w:val="0"/>
                <w:color w:val="0D0D0D" w:themeColor="text1" w:themeTint="F2"/>
                <w:szCs w:val="16"/>
              </w:rPr>
            </w:pPr>
            <w:r w:rsidRPr="007E15F6">
              <w:rPr>
                <w:rFonts w:ascii="Tw Cen MT Condensed" w:hAnsi="Tw Cen MT Condensed" w:cstheme="majorHAnsi"/>
                <w:color w:val="0D0D0D" w:themeColor="text1" w:themeTint="F2"/>
                <w:szCs w:val="16"/>
              </w:rPr>
              <w:t>Date</w:t>
            </w:r>
          </w:p>
        </w:tc>
        <w:tc>
          <w:tcPr>
            <w:tcW w:w="7745" w:type="dxa"/>
            <w:tcBorders>
              <w:bottom w:val="none" w:sz="0" w:space="0" w:color="auto"/>
            </w:tcBorders>
            <w:shd w:val="clear" w:color="auto" w:fill="FBE4D5" w:themeFill="accent2" w:themeFillTint="33"/>
            <w:vAlign w:val="center"/>
          </w:tcPr>
          <w:p w14:paraId="554AD5C5" w14:textId="77777777" w:rsidR="00F31FC5" w:rsidRPr="007E15F6" w:rsidRDefault="00F31FC5" w:rsidP="00BC5105">
            <w:pPr>
              <w:spacing w:line="276" w:lineRule="auto"/>
              <w:jc w:val="center"/>
              <w:cnfStyle w:val="100000000000" w:firstRow="1" w:lastRow="0" w:firstColumn="0" w:lastColumn="0" w:oddVBand="0" w:evenVBand="0" w:oddHBand="0" w:evenHBand="0" w:firstRowFirstColumn="0" w:firstRowLastColumn="0" w:lastRowFirstColumn="0" w:lastRowLastColumn="0"/>
              <w:rPr>
                <w:rFonts w:ascii="Tw Cen MT Condensed" w:hAnsi="Tw Cen MT Condensed" w:cstheme="majorHAnsi"/>
                <w:b w:val="0"/>
                <w:color w:val="0D0D0D" w:themeColor="text1" w:themeTint="F2"/>
                <w:szCs w:val="16"/>
              </w:rPr>
            </w:pPr>
            <w:r w:rsidRPr="007E15F6">
              <w:rPr>
                <w:rFonts w:ascii="Tw Cen MT Condensed" w:hAnsi="Tw Cen MT Condensed" w:cstheme="majorHAnsi"/>
                <w:color w:val="0D0D0D" w:themeColor="text1" w:themeTint="F2"/>
                <w:szCs w:val="16"/>
              </w:rPr>
              <w:t>Changes</w:t>
            </w:r>
          </w:p>
        </w:tc>
      </w:tr>
      <w:tr w:rsidR="00F31FC5" w:rsidRPr="00D34E3E" w14:paraId="3BD36B0D" w14:textId="77777777" w:rsidTr="007F50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tcBorders>
            <w:vAlign w:val="center"/>
          </w:tcPr>
          <w:p w14:paraId="68210A7B" w14:textId="77777777" w:rsidR="00F31FC5" w:rsidRPr="00D44E9D" w:rsidRDefault="00F31FC5" w:rsidP="00BC5105">
            <w:pPr>
              <w:spacing w:line="276" w:lineRule="auto"/>
              <w:jc w:val="center"/>
              <w:rPr>
                <w:rFonts w:ascii="Tw Cen MT Condensed" w:hAnsi="Tw Cen MT Condensed"/>
                <w:b w:val="0"/>
              </w:rPr>
            </w:pPr>
            <w:r w:rsidRPr="00D44E9D">
              <w:rPr>
                <w:rFonts w:ascii="Tw Cen MT Condensed" w:hAnsi="Tw Cen MT Condensed"/>
                <w:b w:val="0"/>
              </w:rPr>
              <w:t>2004</w:t>
            </w:r>
          </w:p>
        </w:tc>
        <w:tc>
          <w:tcPr>
            <w:tcW w:w="7745" w:type="dxa"/>
            <w:tcBorders>
              <w:top w:val="none" w:sz="0" w:space="0" w:color="auto"/>
              <w:bottom w:val="none" w:sz="0" w:space="0" w:color="auto"/>
            </w:tcBorders>
            <w:vAlign w:val="center"/>
          </w:tcPr>
          <w:p w14:paraId="569C0E0A" w14:textId="77777777" w:rsidR="00F31FC5" w:rsidRPr="00D34E3E" w:rsidRDefault="00F31FC5" w:rsidP="00BC51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D0D0D" w:themeColor="text1" w:themeTint="F2"/>
                <w:sz w:val="20"/>
                <w:szCs w:val="20"/>
              </w:rPr>
            </w:pPr>
            <w:r w:rsidRPr="00D34E3E">
              <w:rPr>
                <w:rFonts w:asciiTheme="majorHAnsi" w:hAnsiTheme="majorHAnsi" w:cstheme="majorHAnsi"/>
                <w:color w:val="0D0D0D" w:themeColor="text1" w:themeTint="F2"/>
                <w:sz w:val="20"/>
                <w:szCs w:val="20"/>
              </w:rPr>
              <w:t>First Child Tax refund replaced by introduction of a $3,000 tax-free payment following the birth or adoption of a child. Originally titled Maternity Payment and renamed Baby Bonus in 2007.  Lump-sum payment, not means tested</w:t>
            </w:r>
          </w:p>
        </w:tc>
      </w:tr>
      <w:tr w:rsidR="00F31FC5" w:rsidRPr="00D34E3E" w14:paraId="7A8974FF" w14:textId="77777777" w:rsidTr="007F50D8">
        <w:trPr>
          <w:trHeight w:val="56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8BEAE43" w14:textId="77777777" w:rsidR="00F31FC5" w:rsidRPr="00D44E9D" w:rsidRDefault="00F31FC5" w:rsidP="00BC5105">
            <w:pPr>
              <w:spacing w:line="276" w:lineRule="auto"/>
              <w:jc w:val="center"/>
              <w:rPr>
                <w:rFonts w:ascii="Tw Cen MT Condensed" w:hAnsi="Tw Cen MT Condensed"/>
                <w:b w:val="0"/>
              </w:rPr>
            </w:pPr>
            <w:r w:rsidRPr="00D44E9D">
              <w:rPr>
                <w:rFonts w:ascii="Tw Cen MT Condensed" w:hAnsi="Tw Cen MT Condensed"/>
                <w:b w:val="0"/>
              </w:rPr>
              <w:t>2006</w:t>
            </w:r>
          </w:p>
        </w:tc>
        <w:tc>
          <w:tcPr>
            <w:tcW w:w="7745" w:type="dxa"/>
            <w:vAlign w:val="center"/>
          </w:tcPr>
          <w:p w14:paraId="06300055" w14:textId="77777777" w:rsidR="00F31FC5" w:rsidRPr="00D34E3E" w:rsidRDefault="00F31FC5" w:rsidP="00BC51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D34E3E">
              <w:rPr>
                <w:rFonts w:asciiTheme="majorHAnsi" w:hAnsiTheme="majorHAnsi" w:cstheme="majorHAnsi"/>
                <w:color w:val="0D0D0D" w:themeColor="text1" w:themeTint="F2"/>
                <w:sz w:val="20"/>
                <w:szCs w:val="20"/>
              </w:rPr>
              <w:t>Baby Bonus increased to $4,000</w:t>
            </w:r>
          </w:p>
        </w:tc>
      </w:tr>
      <w:tr w:rsidR="00F31FC5" w:rsidRPr="00D34E3E" w14:paraId="461FF1F3" w14:textId="77777777" w:rsidTr="007F50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tcBorders>
            <w:vAlign w:val="center"/>
          </w:tcPr>
          <w:p w14:paraId="065A5CB7" w14:textId="77777777" w:rsidR="00F31FC5" w:rsidRPr="00D44E9D" w:rsidRDefault="00F31FC5" w:rsidP="00BC5105">
            <w:pPr>
              <w:spacing w:line="276" w:lineRule="auto"/>
              <w:jc w:val="center"/>
              <w:rPr>
                <w:rFonts w:ascii="Tw Cen MT Condensed" w:hAnsi="Tw Cen MT Condensed"/>
                <w:b w:val="0"/>
              </w:rPr>
            </w:pPr>
            <w:r w:rsidRPr="00D44E9D">
              <w:rPr>
                <w:rFonts w:ascii="Tw Cen MT Condensed" w:hAnsi="Tw Cen MT Condensed"/>
                <w:b w:val="0"/>
              </w:rPr>
              <w:t>2007</w:t>
            </w:r>
          </w:p>
        </w:tc>
        <w:tc>
          <w:tcPr>
            <w:tcW w:w="7745" w:type="dxa"/>
            <w:tcBorders>
              <w:top w:val="none" w:sz="0" w:space="0" w:color="auto"/>
              <w:bottom w:val="none" w:sz="0" w:space="0" w:color="auto"/>
            </w:tcBorders>
            <w:vAlign w:val="center"/>
          </w:tcPr>
          <w:p w14:paraId="53A3988B" w14:textId="77777777" w:rsidR="00F31FC5" w:rsidRPr="00D34E3E" w:rsidRDefault="00F31FC5" w:rsidP="00BC51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D0D0D" w:themeColor="text1" w:themeTint="F2"/>
                <w:sz w:val="20"/>
                <w:szCs w:val="20"/>
              </w:rPr>
            </w:pPr>
            <w:r w:rsidRPr="00D34E3E">
              <w:rPr>
                <w:rFonts w:asciiTheme="majorHAnsi" w:hAnsiTheme="majorHAnsi" w:cstheme="majorHAnsi"/>
                <w:color w:val="0D0D0D" w:themeColor="text1" w:themeTint="F2"/>
                <w:sz w:val="20"/>
                <w:szCs w:val="20"/>
              </w:rPr>
              <w:t>Mothers aged under 18 began receiving payments in 13 fortnightly payments.</w:t>
            </w:r>
          </w:p>
        </w:tc>
      </w:tr>
      <w:tr w:rsidR="00F31FC5" w:rsidRPr="00D34E3E" w14:paraId="00D67AB6" w14:textId="77777777" w:rsidTr="007F50D8">
        <w:trPr>
          <w:trHeight w:val="56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291CEDE" w14:textId="77777777" w:rsidR="00F31FC5" w:rsidRPr="00D44E9D" w:rsidRDefault="00F31FC5" w:rsidP="00BC5105">
            <w:pPr>
              <w:spacing w:line="276" w:lineRule="auto"/>
              <w:jc w:val="center"/>
              <w:rPr>
                <w:rFonts w:ascii="Tw Cen MT Condensed" w:hAnsi="Tw Cen MT Condensed"/>
                <w:b w:val="0"/>
              </w:rPr>
            </w:pPr>
            <w:r w:rsidRPr="00D44E9D">
              <w:rPr>
                <w:rFonts w:ascii="Tw Cen MT Condensed" w:hAnsi="Tw Cen MT Condensed"/>
                <w:b w:val="0"/>
              </w:rPr>
              <w:t>2008</w:t>
            </w:r>
          </w:p>
        </w:tc>
        <w:tc>
          <w:tcPr>
            <w:tcW w:w="7745" w:type="dxa"/>
            <w:vAlign w:val="center"/>
          </w:tcPr>
          <w:p w14:paraId="3EBA0173" w14:textId="77777777" w:rsidR="00F31FC5" w:rsidRPr="00D34E3E" w:rsidRDefault="00F31FC5" w:rsidP="00BC51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D34E3E">
              <w:rPr>
                <w:rFonts w:asciiTheme="majorHAnsi" w:hAnsiTheme="majorHAnsi" w:cstheme="majorHAnsi"/>
                <w:color w:val="0D0D0D" w:themeColor="text1" w:themeTint="F2"/>
                <w:sz w:val="20"/>
                <w:szCs w:val="20"/>
              </w:rPr>
              <w:t>Baby Bonus increased to $5,000</w:t>
            </w:r>
          </w:p>
        </w:tc>
      </w:tr>
      <w:tr w:rsidR="00F31FC5" w:rsidRPr="00D34E3E" w14:paraId="2854CA0D" w14:textId="77777777" w:rsidTr="007F50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tcBorders>
            <w:vAlign w:val="center"/>
          </w:tcPr>
          <w:p w14:paraId="3F2E5B1A" w14:textId="77777777" w:rsidR="00F31FC5" w:rsidRPr="00D44E9D" w:rsidRDefault="00F31FC5" w:rsidP="00BC5105">
            <w:pPr>
              <w:spacing w:line="276" w:lineRule="auto"/>
              <w:jc w:val="center"/>
              <w:rPr>
                <w:rFonts w:ascii="Tw Cen MT Condensed" w:hAnsi="Tw Cen MT Condensed"/>
                <w:b w:val="0"/>
              </w:rPr>
            </w:pPr>
            <w:r w:rsidRPr="00D44E9D">
              <w:rPr>
                <w:rFonts w:ascii="Tw Cen MT Condensed" w:hAnsi="Tw Cen MT Condensed"/>
                <w:b w:val="0"/>
              </w:rPr>
              <w:t>2009</w:t>
            </w:r>
          </w:p>
        </w:tc>
        <w:tc>
          <w:tcPr>
            <w:tcW w:w="7745" w:type="dxa"/>
            <w:tcBorders>
              <w:top w:val="none" w:sz="0" w:space="0" w:color="auto"/>
              <w:bottom w:val="none" w:sz="0" w:space="0" w:color="auto"/>
            </w:tcBorders>
            <w:vAlign w:val="center"/>
          </w:tcPr>
          <w:p w14:paraId="7069DD1E" w14:textId="77777777" w:rsidR="00F31FC5" w:rsidRPr="00D34E3E" w:rsidRDefault="00F31FC5" w:rsidP="00BC51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D0D0D" w:themeColor="text1" w:themeTint="F2"/>
                <w:sz w:val="20"/>
                <w:szCs w:val="20"/>
              </w:rPr>
            </w:pPr>
            <w:r w:rsidRPr="00D34E3E">
              <w:rPr>
                <w:rFonts w:asciiTheme="majorHAnsi" w:hAnsiTheme="majorHAnsi" w:cstheme="majorHAnsi"/>
                <w:color w:val="0D0D0D" w:themeColor="text1" w:themeTint="F2"/>
                <w:sz w:val="20"/>
                <w:szCs w:val="20"/>
              </w:rPr>
              <w:t>Baby Bonus became means tested ($75,000 income limit) and paid in 13 fortnightly payments to all parents.</w:t>
            </w:r>
          </w:p>
        </w:tc>
      </w:tr>
      <w:tr w:rsidR="00F31FC5" w:rsidRPr="00D34E3E" w14:paraId="459E0345" w14:textId="77777777" w:rsidTr="007F50D8">
        <w:trPr>
          <w:trHeight w:val="56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7D81BD4" w14:textId="77777777" w:rsidR="00F31FC5" w:rsidRPr="00D44E9D" w:rsidRDefault="00F31FC5" w:rsidP="00BC5105">
            <w:pPr>
              <w:spacing w:line="276" w:lineRule="auto"/>
              <w:jc w:val="center"/>
              <w:rPr>
                <w:rFonts w:ascii="Tw Cen MT Condensed" w:hAnsi="Tw Cen MT Condensed"/>
                <w:b w:val="0"/>
              </w:rPr>
            </w:pPr>
            <w:r w:rsidRPr="00D44E9D">
              <w:rPr>
                <w:rFonts w:ascii="Tw Cen MT Condensed" w:hAnsi="Tw Cen MT Condensed"/>
                <w:b w:val="0"/>
              </w:rPr>
              <w:t>2011</w:t>
            </w:r>
          </w:p>
        </w:tc>
        <w:tc>
          <w:tcPr>
            <w:tcW w:w="7745" w:type="dxa"/>
            <w:vAlign w:val="center"/>
          </w:tcPr>
          <w:p w14:paraId="18B07C52" w14:textId="0114C2D9" w:rsidR="00F31FC5" w:rsidRPr="00D34E3E" w:rsidRDefault="00F31FC5" w:rsidP="00BC51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sidRPr="00D34E3E">
              <w:rPr>
                <w:rFonts w:asciiTheme="majorHAnsi" w:hAnsiTheme="majorHAnsi" w:cstheme="majorHAnsi"/>
                <w:color w:val="0D0D0D" w:themeColor="text1" w:themeTint="F2"/>
                <w:sz w:val="20"/>
                <w:szCs w:val="20"/>
              </w:rPr>
              <w:t xml:space="preserve">Paid Parental Leave was introduced, </w:t>
            </w:r>
            <w:r w:rsidR="00D26761">
              <w:rPr>
                <w:rFonts w:asciiTheme="majorHAnsi" w:hAnsiTheme="majorHAnsi" w:cstheme="majorHAnsi"/>
                <w:color w:val="0D0D0D" w:themeColor="text1" w:themeTint="F2"/>
                <w:sz w:val="20"/>
                <w:szCs w:val="20"/>
              </w:rPr>
              <w:t xml:space="preserve">and </w:t>
            </w:r>
            <w:r w:rsidRPr="00D34E3E">
              <w:rPr>
                <w:rFonts w:asciiTheme="majorHAnsi" w:hAnsiTheme="majorHAnsi" w:cstheme="majorHAnsi"/>
                <w:color w:val="0D0D0D" w:themeColor="text1" w:themeTint="F2"/>
                <w:sz w:val="20"/>
                <w:szCs w:val="20"/>
              </w:rPr>
              <w:t>eligible women could choose to receive either Paid Parental Leave or the Baby Bonus</w:t>
            </w:r>
            <w:r w:rsidR="00D62960">
              <w:rPr>
                <w:rFonts w:asciiTheme="majorHAnsi" w:hAnsiTheme="majorHAnsi" w:cstheme="majorHAnsi"/>
                <w:color w:val="0D0D0D" w:themeColor="text1" w:themeTint="F2"/>
                <w:sz w:val="20"/>
                <w:szCs w:val="20"/>
              </w:rPr>
              <w:t>. Payment increased through annual indexation to $5,437 per child.</w:t>
            </w:r>
          </w:p>
        </w:tc>
      </w:tr>
      <w:tr w:rsidR="00D62960" w:rsidRPr="00D34E3E" w14:paraId="3750CE9B" w14:textId="77777777" w:rsidTr="00A105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D7D31" w:themeColor="accent2"/>
              <w:bottom w:val="single" w:sz="4" w:space="0" w:color="ED7D31" w:themeColor="accent2"/>
            </w:tcBorders>
            <w:vAlign w:val="center"/>
          </w:tcPr>
          <w:p w14:paraId="49ED7A6F" w14:textId="63634126" w:rsidR="00D62960" w:rsidRPr="00A2399E" w:rsidRDefault="00D62960" w:rsidP="00BC5105">
            <w:pPr>
              <w:spacing w:line="276" w:lineRule="auto"/>
              <w:jc w:val="center"/>
              <w:rPr>
                <w:rFonts w:ascii="Tw Cen MT Condensed" w:hAnsi="Tw Cen MT Condensed"/>
                <w:b w:val="0"/>
                <w:bCs w:val="0"/>
              </w:rPr>
            </w:pPr>
            <w:r w:rsidRPr="00A2399E">
              <w:rPr>
                <w:rFonts w:ascii="Tw Cen MT Condensed" w:hAnsi="Tw Cen MT Condensed"/>
                <w:b w:val="0"/>
                <w:bCs w:val="0"/>
              </w:rPr>
              <w:t>2012</w:t>
            </w:r>
          </w:p>
        </w:tc>
        <w:tc>
          <w:tcPr>
            <w:tcW w:w="7745" w:type="dxa"/>
            <w:tcBorders>
              <w:top w:val="single" w:sz="4" w:space="0" w:color="ED7D31" w:themeColor="accent2"/>
              <w:bottom w:val="single" w:sz="4" w:space="0" w:color="ED7D31" w:themeColor="accent2"/>
            </w:tcBorders>
            <w:vAlign w:val="center"/>
          </w:tcPr>
          <w:p w14:paraId="367EBE21" w14:textId="2B8199C9" w:rsidR="00D62960" w:rsidRPr="00D34E3E" w:rsidRDefault="00D62960" w:rsidP="00D6296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D0D0D" w:themeColor="text1" w:themeTint="F2"/>
                <w:sz w:val="20"/>
                <w:szCs w:val="20"/>
              </w:rPr>
            </w:pPr>
            <w:r>
              <w:rPr>
                <w:rFonts w:asciiTheme="majorHAnsi" w:hAnsiTheme="majorHAnsi" w:cstheme="majorHAnsi"/>
                <w:color w:val="0D0D0D" w:themeColor="text1" w:themeTint="F2"/>
                <w:sz w:val="20"/>
                <w:szCs w:val="20"/>
              </w:rPr>
              <w:t>Rate reset to $5,000 per child.</w:t>
            </w:r>
          </w:p>
        </w:tc>
      </w:tr>
      <w:tr w:rsidR="00F31FC5" w:rsidRPr="00D34E3E" w14:paraId="74B379B4" w14:textId="77777777" w:rsidTr="007F50D8">
        <w:trPr>
          <w:trHeight w:val="56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9F051B8" w14:textId="77777777" w:rsidR="00F31FC5" w:rsidRPr="00D44E9D" w:rsidRDefault="00F31FC5" w:rsidP="00BC5105">
            <w:pPr>
              <w:spacing w:line="276" w:lineRule="auto"/>
              <w:jc w:val="center"/>
              <w:rPr>
                <w:rFonts w:ascii="Tw Cen MT Condensed" w:hAnsi="Tw Cen MT Condensed"/>
                <w:b w:val="0"/>
              </w:rPr>
            </w:pPr>
            <w:r w:rsidRPr="00D44E9D">
              <w:rPr>
                <w:rFonts w:ascii="Tw Cen MT Condensed" w:hAnsi="Tw Cen MT Condensed"/>
                <w:b w:val="0"/>
              </w:rPr>
              <w:t>2013</w:t>
            </w:r>
          </w:p>
        </w:tc>
        <w:tc>
          <w:tcPr>
            <w:tcW w:w="7745" w:type="dxa"/>
            <w:vAlign w:val="center"/>
          </w:tcPr>
          <w:p w14:paraId="737BF002" w14:textId="7A67AABD" w:rsidR="00F31FC5" w:rsidRPr="00D34E3E" w:rsidRDefault="00D62960" w:rsidP="00BC510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D0D0D" w:themeColor="text1" w:themeTint="F2"/>
                <w:sz w:val="20"/>
                <w:szCs w:val="20"/>
              </w:rPr>
            </w:pPr>
            <w:r>
              <w:rPr>
                <w:rFonts w:asciiTheme="majorHAnsi" w:hAnsiTheme="majorHAnsi" w:cstheme="majorHAnsi"/>
                <w:color w:val="0D0D0D" w:themeColor="text1" w:themeTint="F2"/>
                <w:sz w:val="20"/>
                <w:szCs w:val="20"/>
              </w:rPr>
              <w:t>Rate stayed at $5,000 for first children and all children in multiple births, but for</w:t>
            </w:r>
            <w:r w:rsidR="00F31FC5" w:rsidRPr="00D34E3E">
              <w:rPr>
                <w:rFonts w:asciiTheme="majorHAnsi" w:hAnsiTheme="majorHAnsi" w:cstheme="majorHAnsi"/>
                <w:color w:val="0D0D0D" w:themeColor="text1" w:themeTint="F2"/>
                <w:sz w:val="20"/>
                <w:szCs w:val="20"/>
              </w:rPr>
              <w:t xml:space="preserve"> second and subsequent children born or adopted on or after 1 July, Baby Bonus was </w:t>
            </w:r>
            <w:r>
              <w:rPr>
                <w:rFonts w:asciiTheme="majorHAnsi" w:hAnsiTheme="majorHAnsi" w:cstheme="majorHAnsi"/>
                <w:color w:val="0D0D0D" w:themeColor="text1" w:themeTint="F2"/>
                <w:sz w:val="20"/>
                <w:szCs w:val="20"/>
              </w:rPr>
              <w:t>reduced</w:t>
            </w:r>
            <w:r w:rsidR="00F31FC5" w:rsidRPr="00D34E3E">
              <w:rPr>
                <w:rFonts w:asciiTheme="majorHAnsi" w:hAnsiTheme="majorHAnsi" w:cstheme="majorHAnsi"/>
                <w:color w:val="0D0D0D" w:themeColor="text1" w:themeTint="F2"/>
                <w:sz w:val="20"/>
                <w:szCs w:val="20"/>
              </w:rPr>
              <w:t xml:space="preserve"> to $3,000</w:t>
            </w:r>
          </w:p>
        </w:tc>
      </w:tr>
      <w:tr w:rsidR="00F31FC5" w:rsidRPr="00D34E3E" w14:paraId="69A40366" w14:textId="77777777" w:rsidTr="00A105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D7D31" w:themeColor="accent2"/>
              <w:bottom w:val="single" w:sz="4" w:space="0" w:color="ED7D31" w:themeColor="accent2"/>
            </w:tcBorders>
            <w:vAlign w:val="center"/>
          </w:tcPr>
          <w:p w14:paraId="2450EDB2" w14:textId="77777777" w:rsidR="00F31FC5" w:rsidRPr="00D44E9D" w:rsidRDefault="00F31FC5" w:rsidP="00BC5105">
            <w:pPr>
              <w:spacing w:line="276" w:lineRule="auto"/>
              <w:jc w:val="center"/>
              <w:rPr>
                <w:rFonts w:ascii="Tw Cen MT Condensed" w:hAnsi="Tw Cen MT Condensed"/>
                <w:b w:val="0"/>
              </w:rPr>
            </w:pPr>
            <w:r w:rsidRPr="00D44E9D">
              <w:rPr>
                <w:rFonts w:ascii="Tw Cen MT Condensed" w:hAnsi="Tw Cen MT Condensed"/>
                <w:b w:val="0"/>
              </w:rPr>
              <w:t>2014</w:t>
            </w:r>
          </w:p>
        </w:tc>
        <w:tc>
          <w:tcPr>
            <w:tcW w:w="7745" w:type="dxa"/>
            <w:tcBorders>
              <w:top w:val="single" w:sz="4" w:space="0" w:color="ED7D31" w:themeColor="accent2"/>
              <w:bottom w:val="single" w:sz="4" w:space="0" w:color="ED7D31" w:themeColor="accent2"/>
            </w:tcBorders>
            <w:vAlign w:val="center"/>
          </w:tcPr>
          <w:p w14:paraId="4FBB9084" w14:textId="77777777" w:rsidR="00F31FC5" w:rsidRPr="00D34E3E" w:rsidRDefault="00F31FC5" w:rsidP="00BC510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D0D0D" w:themeColor="text1" w:themeTint="F2"/>
                <w:sz w:val="20"/>
                <w:szCs w:val="20"/>
              </w:rPr>
            </w:pPr>
            <w:r w:rsidRPr="00D34E3E">
              <w:rPr>
                <w:rFonts w:asciiTheme="majorHAnsi" w:hAnsiTheme="majorHAnsi" w:cstheme="majorHAnsi"/>
                <w:color w:val="0D0D0D" w:themeColor="text1" w:themeTint="F2"/>
                <w:sz w:val="20"/>
                <w:szCs w:val="20"/>
              </w:rPr>
              <w:t xml:space="preserve">Baby Bonus abolished </w:t>
            </w:r>
          </w:p>
        </w:tc>
      </w:tr>
    </w:tbl>
    <w:p w14:paraId="54234C07" w14:textId="5653F3D6" w:rsidR="00F31FC5" w:rsidRPr="006C6E6D" w:rsidRDefault="00D62960" w:rsidP="00BC5105">
      <w:pPr>
        <w:spacing w:line="276" w:lineRule="auto"/>
        <w:rPr>
          <w:bCs/>
          <w:lang w:val="en-US"/>
        </w:rPr>
      </w:pPr>
      <w:r w:rsidRPr="006C6E6D">
        <w:rPr>
          <w:bCs/>
          <w:lang w:val="en-US"/>
        </w:rPr>
        <w:t xml:space="preserve">Source: </w:t>
      </w:r>
      <w:sdt>
        <w:sdtPr>
          <w:rPr>
            <w:bCs/>
            <w:lang w:val="en-US"/>
          </w:rPr>
          <w:id w:val="-113064661"/>
          <w:citation/>
        </w:sdtPr>
        <w:sdtEndPr/>
        <w:sdtContent>
          <w:r w:rsidRPr="006C6E6D">
            <w:rPr>
              <w:bCs/>
              <w:lang w:val="en-US"/>
            </w:rPr>
            <w:fldChar w:fldCharType="begin"/>
          </w:r>
          <w:r w:rsidRPr="006C6E6D">
            <w:rPr>
              <w:bCs/>
            </w:rPr>
            <w:instrText xml:space="preserve"> CITATION Dep14 \l 3081 </w:instrText>
          </w:r>
          <w:r w:rsidRPr="006C6E6D">
            <w:rPr>
              <w:bCs/>
              <w:lang w:val="en-US"/>
            </w:rPr>
            <w:fldChar w:fldCharType="separate"/>
          </w:r>
          <w:r w:rsidR="00BE2DD4">
            <w:rPr>
              <w:noProof/>
            </w:rPr>
            <w:t>(Department of Social Services, 2014)</w:t>
          </w:r>
          <w:r w:rsidRPr="006C6E6D">
            <w:rPr>
              <w:bCs/>
              <w:lang w:val="en-US"/>
            </w:rPr>
            <w:fldChar w:fldCharType="end"/>
          </w:r>
        </w:sdtContent>
      </w:sdt>
    </w:p>
    <w:p w14:paraId="7F12B848" w14:textId="77777777" w:rsidR="003D5C49" w:rsidRDefault="003D5C49" w:rsidP="00BC5105">
      <w:pPr>
        <w:spacing w:line="276" w:lineRule="auto"/>
        <w:rPr>
          <w:i/>
          <w:iCs/>
        </w:rPr>
      </w:pPr>
    </w:p>
    <w:p w14:paraId="69287890" w14:textId="23EE1119" w:rsidR="00F31FC5" w:rsidRPr="00B54270" w:rsidRDefault="00F31FC5" w:rsidP="00BC5105">
      <w:pPr>
        <w:spacing w:line="276" w:lineRule="auto"/>
        <w:rPr>
          <w:i/>
          <w:iCs/>
        </w:rPr>
      </w:pPr>
      <w:r w:rsidRPr="00B54270">
        <w:rPr>
          <w:i/>
          <w:iCs/>
        </w:rPr>
        <w:t>Did Australia’s Baby Bonus increase fertility?</w:t>
      </w:r>
    </w:p>
    <w:p w14:paraId="50A62C37" w14:textId="6F58E4AB" w:rsidR="00F31FC5" w:rsidRDefault="00F31FC5" w:rsidP="00BC5105">
      <w:pPr>
        <w:spacing w:line="276" w:lineRule="auto"/>
        <w:jc w:val="both"/>
        <w:rPr>
          <w:lang w:val="en-US"/>
        </w:rPr>
      </w:pPr>
      <w:r>
        <w:rPr>
          <w:lang w:val="en-US"/>
        </w:rPr>
        <w:t>Numerous studies have attempted to answer the question of what impact, if any, the Baby Bonus had on fertility in Australia. These studies</w:t>
      </w:r>
      <w:r w:rsidR="00BA7A9F">
        <w:rPr>
          <w:lang w:val="en-US"/>
        </w:rPr>
        <w:t>,</w:t>
      </w:r>
      <w:r>
        <w:rPr>
          <w:lang w:val="en-US"/>
        </w:rPr>
        <w:t xml:space="preserve"> which have used different measures of fertility</w:t>
      </w:r>
      <w:r w:rsidR="00BA7A9F">
        <w:rPr>
          <w:lang w:val="en-US"/>
        </w:rPr>
        <w:t>,</w:t>
      </w:r>
      <w:r>
        <w:rPr>
          <w:lang w:val="en-US"/>
        </w:rPr>
        <w:t xml:space="preserve"> and different sources of data</w:t>
      </w:r>
      <w:r w:rsidR="00BA7A9F">
        <w:rPr>
          <w:lang w:val="en-US"/>
        </w:rPr>
        <w:t>,</w:t>
      </w:r>
      <w:r w:rsidR="006110F1">
        <w:rPr>
          <w:lang w:val="en-US"/>
        </w:rPr>
        <w:t xml:space="preserve"> are summaris</w:t>
      </w:r>
      <w:r>
        <w:rPr>
          <w:lang w:val="en-US"/>
        </w:rPr>
        <w:t xml:space="preserve">ed in </w:t>
      </w:r>
      <w:r w:rsidR="0074429E">
        <w:rPr>
          <w:lang w:val="en-US"/>
        </w:rPr>
        <w:t>Table 11</w:t>
      </w:r>
      <w:r>
        <w:rPr>
          <w:lang w:val="en-US"/>
        </w:rPr>
        <w:t xml:space="preserve">.  </w:t>
      </w:r>
    </w:p>
    <w:p w14:paraId="11FB1625" w14:textId="3E353E97" w:rsidR="00F31FC5" w:rsidRDefault="00F31FC5" w:rsidP="00BC5105">
      <w:pPr>
        <w:spacing w:line="276" w:lineRule="auto"/>
        <w:jc w:val="both"/>
        <w:rPr>
          <w:b/>
        </w:rPr>
      </w:pPr>
      <w:r>
        <w:rPr>
          <w:lang w:val="en-US"/>
        </w:rPr>
        <w:t xml:space="preserve">Some studies conclude that the program had a positive effect on fertility intentions </w:t>
      </w:r>
      <w:r w:rsidR="001E0F6C">
        <w:rPr>
          <w:noProof/>
        </w:rPr>
        <w:t>(Drago, et al. 2011)</w:t>
      </w:r>
      <w:r>
        <w:rPr>
          <w:lang w:val="en-US"/>
        </w:rPr>
        <w:t xml:space="preserve"> and subsequent fertility, with one estimate suggesting that </w:t>
      </w:r>
      <w:r>
        <w:t xml:space="preserve">about 108,000 births could be attributed </w:t>
      </w:r>
      <w:r>
        <w:lastRenderedPageBreak/>
        <w:t xml:space="preserve">to the Baby Bonus </w:t>
      </w:r>
      <w:r w:rsidR="001E0F6C">
        <w:rPr>
          <w:noProof/>
        </w:rPr>
        <w:t xml:space="preserve">(Sinclair, </w:t>
      </w:r>
      <w:r w:rsidR="001E0F6C" w:rsidRPr="00DA7092">
        <w:rPr>
          <w:i/>
          <w:iCs/>
          <w:noProof/>
        </w:rPr>
        <w:t>et al</w:t>
      </w:r>
      <w:r w:rsidR="001E0F6C">
        <w:rPr>
          <w:noProof/>
        </w:rPr>
        <w:t>. 2012)</w:t>
      </w:r>
      <w:r>
        <w:t>.</w:t>
      </w:r>
      <w:r w:rsidRPr="00A34D35">
        <w:rPr>
          <w:lang w:val="en-US"/>
        </w:rPr>
        <w:t xml:space="preserve"> In Western Australia, </w:t>
      </w:r>
      <w:r w:rsidR="0074429E">
        <w:rPr>
          <w:noProof/>
        </w:rPr>
        <w:t xml:space="preserve">(Einarsdóttir, </w:t>
      </w:r>
      <w:r w:rsidR="0074429E" w:rsidRPr="007E15F6">
        <w:rPr>
          <w:i/>
          <w:iCs/>
          <w:noProof/>
        </w:rPr>
        <w:t>et al</w:t>
      </w:r>
      <w:r w:rsidR="0074429E">
        <w:rPr>
          <w:noProof/>
        </w:rPr>
        <w:t>., 2012)</w:t>
      </w:r>
      <w:r>
        <w:t xml:space="preserve"> found that birth rates increased by 13% as a result of the Baby Bonus with the greatest increase observed among women in their early 20s and those having a third or fourth child. Lain, </w:t>
      </w:r>
      <w:r w:rsidRPr="007E15F6">
        <w:rPr>
          <w:i/>
        </w:rPr>
        <w:t>et al</w:t>
      </w:r>
      <w:r w:rsidR="00F00356" w:rsidRPr="007E15F6">
        <w:rPr>
          <w:i/>
        </w:rPr>
        <w:t>.</w:t>
      </w:r>
      <w:r>
        <w:t xml:space="preserve"> </w:t>
      </w:r>
      <w:r w:rsidR="0074429E">
        <w:rPr>
          <w:noProof/>
        </w:rPr>
        <w:t>(2009)</w:t>
      </w:r>
      <w:r w:rsidRPr="00F95570">
        <w:t xml:space="preserve"> </w:t>
      </w:r>
      <w:r>
        <w:t xml:space="preserve">found a similar result of third and higher parity births being affected, but no impact on first births, in </w:t>
      </w:r>
      <w:r w:rsidRPr="00F95570">
        <w:t xml:space="preserve">New South </w:t>
      </w:r>
      <w:r w:rsidRPr="009B69BE">
        <w:t>Wales.</w:t>
      </w:r>
      <w:r>
        <w:rPr>
          <w:b/>
        </w:rPr>
        <w:t xml:space="preserve"> </w:t>
      </w:r>
    </w:p>
    <w:p w14:paraId="74D09440" w14:textId="3DBBC24A" w:rsidR="00BA7A9F" w:rsidRDefault="00F31FC5" w:rsidP="00BC5105">
      <w:pPr>
        <w:spacing w:line="276" w:lineRule="auto"/>
        <w:jc w:val="both"/>
        <w:rPr>
          <w:lang w:val="en-US"/>
        </w:rPr>
      </w:pPr>
      <w:r>
        <w:rPr>
          <w:lang w:val="en-US"/>
        </w:rPr>
        <w:t>While fertility in Australia did increase during the time of the Baby Bonus, as most of the authors of these studies concede</w:t>
      </w:r>
      <w:r w:rsidR="00BA7A9F">
        <w:rPr>
          <w:lang w:val="en-US"/>
        </w:rPr>
        <w:t>,</w:t>
      </w:r>
      <w:r>
        <w:rPr>
          <w:lang w:val="en-US"/>
        </w:rPr>
        <w:t xml:space="preserve"> it is not possible to directly measure to what extent this was due to the </w:t>
      </w:r>
      <w:r w:rsidR="00BA7A9F">
        <w:rPr>
          <w:lang w:val="en-US"/>
        </w:rPr>
        <w:t xml:space="preserve">payment, or to other factors.  Since the Baby Bonus was a universal payment available to everyone having a child, there was no comparison or ‘control’ group which were not eligible for the payment.  </w:t>
      </w:r>
    </w:p>
    <w:p w14:paraId="006B12B8" w14:textId="38200C28" w:rsidR="00F31FC5" w:rsidRDefault="00BA7A9F" w:rsidP="00BC5105">
      <w:pPr>
        <w:spacing w:line="276" w:lineRule="auto"/>
        <w:jc w:val="both"/>
        <w:rPr>
          <w:lang w:val="en-US"/>
        </w:rPr>
      </w:pPr>
      <w:r>
        <w:rPr>
          <w:lang w:val="en-US"/>
        </w:rPr>
        <w:t xml:space="preserve">Other factors </w:t>
      </w:r>
      <w:r w:rsidR="00104CCA">
        <w:rPr>
          <w:lang w:val="en-US"/>
        </w:rPr>
        <w:t>can also explain</w:t>
      </w:r>
      <w:r>
        <w:rPr>
          <w:lang w:val="en-US"/>
        </w:rPr>
        <w:t xml:space="preserve"> the increase of fertility during this time. </w:t>
      </w:r>
      <w:r w:rsidR="00104CCA">
        <w:rPr>
          <w:lang w:val="en-US"/>
        </w:rPr>
        <w:t>Prior to the introduction of the payment, there had been substantial declines in period fertility (TFR). This decline was largely a result of</w:t>
      </w:r>
      <w:r w:rsidR="00977B25">
        <w:rPr>
          <w:lang w:val="en-US"/>
        </w:rPr>
        <w:t xml:space="preserve"> delay in the timing of births, </w:t>
      </w:r>
      <w:r w:rsidR="00104CCA">
        <w:rPr>
          <w:lang w:val="en-US"/>
        </w:rPr>
        <w:t xml:space="preserve">that is, having children at later ages. </w:t>
      </w:r>
      <w:r w:rsidR="00F00356">
        <w:rPr>
          <w:lang w:val="en-US"/>
        </w:rPr>
        <w:t>During</w:t>
      </w:r>
      <w:r>
        <w:rPr>
          <w:lang w:val="en-US"/>
        </w:rPr>
        <w:t xml:space="preserve"> </w:t>
      </w:r>
      <w:r w:rsidR="00C24CBC">
        <w:rPr>
          <w:lang w:val="en-US"/>
        </w:rPr>
        <w:t xml:space="preserve">the </w:t>
      </w:r>
      <w:r>
        <w:rPr>
          <w:lang w:val="en-US"/>
        </w:rPr>
        <w:t>postponement of births</w:t>
      </w:r>
      <w:r w:rsidR="00F00356">
        <w:rPr>
          <w:lang w:val="en-US"/>
        </w:rPr>
        <w:t>,</w:t>
      </w:r>
      <w:r>
        <w:rPr>
          <w:lang w:val="en-US"/>
        </w:rPr>
        <w:t xml:space="preserve"> there was an increasing proportion of women who were childless and in their later childbearing years, and therefore one component of the increase in fertility was the tempo effect of increased births which followed previous delays and postponement </w:t>
      </w:r>
      <w:r w:rsidR="0074429E">
        <w:rPr>
          <w:noProof/>
        </w:rPr>
        <w:t>(Parr &amp; Guest, 2011)</w:t>
      </w:r>
      <w:r>
        <w:rPr>
          <w:lang w:val="en-US"/>
        </w:rPr>
        <w:t xml:space="preserve">. In addition, the period was one of general economic boom with high growth, and low unemployment rates, prior to the Global Financial Crisis of 2008-09. While several papers such as </w:t>
      </w:r>
      <w:r w:rsidR="0074429E">
        <w:rPr>
          <w:noProof/>
        </w:rPr>
        <w:t>(Parr &amp; Guest, 2011)</w:t>
      </w:r>
      <w:r w:rsidR="00F00356">
        <w:rPr>
          <w:lang w:val="en-US"/>
        </w:rPr>
        <w:t xml:space="preserve">; </w:t>
      </w:r>
      <w:r w:rsidR="001E0F6C">
        <w:rPr>
          <w:noProof/>
        </w:rPr>
        <w:t xml:space="preserve">Sinclair, </w:t>
      </w:r>
      <w:r w:rsidR="001E0F6C" w:rsidRPr="007E15F6">
        <w:rPr>
          <w:i/>
          <w:noProof/>
        </w:rPr>
        <w:t>et al.</w:t>
      </w:r>
      <w:r w:rsidR="001E0F6C">
        <w:rPr>
          <w:noProof/>
        </w:rPr>
        <w:t xml:space="preserve"> 2012)</w:t>
      </w:r>
      <w:r>
        <w:rPr>
          <w:lang w:val="en-US"/>
        </w:rPr>
        <w:t xml:space="preserve"> did include controls for economic indicators, as the period was one of relatively stable growth it would not be possible to capture this effect fully in any study.  </w:t>
      </w:r>
    </w:p>
    <w:p w14:paraId="720C8704" w14:textId="2AE021BE" w:rsidR="00D26761" w:rsidRDefault="00D26761" w:rsidP="00BC5105">
      <w:pPr>
        <w:spacing w:line="276" w:lineRule="auto"/>
        <w:jc w:val="both"/>
      </w:pPr>
      <w:r>
        <w:t xml:space="preserve">Other countries, which did not have a Baby Bonus, including New Zealand, experienced a similar fertility trend during this time as seen in </w:t>
      </w:r>
      <w:r w:rsidR="0074429E">
        <w:t>Figure 15</w:t>
      </w:r>
      <w:r>
        <w:t xml:space="preserve">. This was the case even for fertility at ages 15-19 which several authors indicate increased during the period of the Baby Bonus. </w:t>
      </w:r>
    </w:p>
    <w:p w14:paraId="65A49990" w14:textId="41FA2E81" w:rsidR="00D26761" w:rsidRDefault="00D26761" w:rsidP="00BC5105">
      <w:pPr>
        <w:spacing w:line="276" w:lineRule="auto"/>
        <w:jc w:val="both"/>
      </w:pPr>
      <w:r>
        <w:t xml:space="preserve">While the effects of the Baby Bonus can never be directly measured, it is likely that at least in large part the observed increase in fertility was likely a general reflection of socio-economic and demographic trends similar to those experienced by other countries </w:t>
      </w:r>
      <w:r w:rsidR="0074429E">
        <w:rPr>
          <w:noProof/>
        </w:rPr>
        <w:t>(Parr &amp; Guest, 2011)</w:t>
      </w:r>
      <w:r>
        <w:t>.</w:t>
      </w:r>
    </w:p>
    <w:p w14:paraId="124F84D6" w14:textId="14C1B40C" w:rsidR="00D26761" w:rsidRDefault="00D26761" w:rsidP="00BC5105">
      <w:pPr>
        <w:pStyle w:val="Caption"/>
        <w:keepNext/>
        <w:spacing w:line="276" w:lineRule="auto"/>
      </w:pPr>
      <w:bookmarkStart w:id="80" w:name="_Ref75945454"/>
      <w:r>
        <w:t xml:space="preserve">Figure </w:t>
      </w:r>
      <w:fldSimple w:instr=" SEQ Figure \* ARABIC ">
        <w:r w:rsidR="00115E22">
          <w:rPr>
            <w:noProof/>
          </w:rPr>
          <w:t>15</w:t>
        </w:r>
      </w:fldSimple>
      <w:bookmarkEnd w:id="80"/>
      <w:r>
        <w:t xml:space="preserve"> </w:t>
      </w:r>
      <w:r w:rsidRPr="006848C3">
        <w:t>Total Fertility Rate, New Zealand and Australia (2001-2018).</w:t>
      </w:r>
    </w:p>
    <w:p w14:paraId="0FA7BEEA" w14:textId="77777777" w:rsidR="00D26761" w:rsidRDefault="00D26761" w:rsidP="00BC5105">
      <w:pPr>
        <w:spacing w:line="276" w:lineRule="auto"/>
      </w:pPr>
      <w:r>
        <w:rPr>
          <w:noProof/>
          <w:lang w:eastAsia="en-AU"/>
        </w:rPr>
        <w:drawing>
          <wp:inline distT="0" distB="0" distL="0" distR="0" wp14:anchorId="79F2C188" wp14:editId="54482607">
            <wp:extent cx="5613400" cy="2855344"/>
            <wp:effectExtent l="0" t="0" r="6350" b="25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8B9F73" w14:textId="2CC0AFF5" w:rsidR="00412FFB" w:rsidRPr="00BC5105" w:rsidRDefault="00D26761" w:rsidP="00BC5105">
      <w:pPr>
        <w:spacing w:line="276" w:lineRule="auto"/>
        <w:rPr>
          <w:sz w:val="18"/>
          <w:szCs w:val="18"/>
          <w:lang w:val="en-US"/>
        </w:rPr>
        <w:sectPr w:rsidR="00412FFB" w:rsidRPr="00BC5105" w:rsidSect="006D6C00">
          <w:pgSz w:w="11906" w:h="16838"/>
          <w:pgMar w:top="1440" w:right="1440" w:bottom="1440" w:left="1440" w:header="708" w:footer="708" w:gutter="0"/>
          <w:cols w:space="708"/>
          <w:docGrid w:linePitch="360"/>
        </w:sectPr>
      </w:pPr>
      <w:r w:rsidRPr="00BC5105">
        <w:rPr>
          <w:sz w:val="18"/>
          <w:szCs w:val="18"/>
          <w:lang w:val="en-US"/>
        </w:rPr>
        <w:t>Source:</w:t>
      </w:r>
      <w:r w:rsidR="00A2405A">
        <w:rPr>
          <w:sz w:val="18"/>
          <w:szCs w:val="18"/>
          <w:lang w:val="en-US"/>
        </w:rPr>
        <w:t xml:space="preserve"> A</w:t>
      </w:r>
      <w:r w:rsidR="005D4C52">
        <w:rPr>
          <w:sz w:val="18"/>
          <w:szCs w:val="18"/>
          <w:lang w:val="en-US"/>
        </w:rPr>
        <w:t xml:space="preserve">ustralian Bureau of Statistics </w:t>
      </w:r>
      <w:sdt>
        <w:sdtPr>
          <w:rPr>
            <w:sz w:val="18"/>
            <w:szCs w:val="18"/>
            <w:lang w:val="en-US"/>
          </w:rPr>
          <w:id w:val="-111215393"/>
          <w:citation/>
        </w:sdtPr>
        <w:sdtEndPr/>
        <w:sdtContent>
          <w:r w:rsidR="00A2405A" w:rsidRPr="00EB079C">
            <w:rPr>
              <w:sz w:val="18"/>
              <w:szCs w:val="18"/>
              <w:lang w:val="en-US"/>
            </w:rPr>
            <w:fldChar w:fldCharType="begin"/>
          </w:r>
          <w:r w:rsidR="005D4C52">
            <w:rPr>
              <w:sz w:val="18"/>
              <w:szCs w:val="18"/>
            </w:rPr>
            <w:instrText xml:space="preserve">CITATION Aus20 \n  \t  \l 3081 </w:instrText>
          </w:r>
          <w:r w:rsidR="00A2405A" w:rsidRPr="00EB079C">
            <w:rPr>
              <w:sz w:val="18"/>
              <w:szCs w:val="18"/>
              <w:lang w:val="en-US"/>
            </w:rPr>
            <w:fldChar w:fldCharType="separate"/>
          </w:r>
          <w:r w:rsidR="005D4C52" w:rsidRPr="005D4C52">
            <w:rPr>
              <w:noProof/>
              <w:sz w:val="18"/>
              <w:szCs w:val="18"/>
            </w:rPr>
            <w:t>(2021a)</w:t>
          </w:r>
          <w:r w:rsidR="00A2405A" w:rsidRPr="00EB079C">
            <w:rPr>
              <w:sz w:val="18"/>
              <w:szCs w:val="18"/>
              <w:lang w:val="en-US"/>
            </w:rPr>
            <w:fldChar w:fldCharType="end"/>
          </w:r>
        </w:sdtContent>
      </w:sdt>
      <w:r w:rsidR="00A2405A" w:rsidRPr="00A2405A">
        <w:rPr>
          <w:sz w:val="18"/>
          <w:szCs w:val="18"/>
          <w:lang w:val="en-US"/>
        </w:rPr>
        <w:t xml:space="preserve">  &amp; Stats NZ </w:t>
      </w:r>
      <w:sdt>
        <w:sdtPr>
          <w:rPr>
            <w:sz w:val="18"/>
            <w:szCs w:val="18"/>
          </w:rPr>
          <w:id w:val="-910233161"/>
          <w:citation/>
        </w:sdtPr>
        <w:sdtEndPr/>
        <w:sdtContent>
          <w:r w:rsidR="00A2405A" w:rsidRPr="00BC5105">
            <w:rPr>
              <w:sz w:val="18"/>
              <w:szCs w:val="18"/>
            </w:rPr>
            <w:fldChar w:fldCharType="begin"/>
          </w:r>
          <w:r w:rsidR="00A2405A" w:rsidRPr="00BC5105">
            <w:rPr>
              <w:sz w:val="18"/>
              <w:szCs w:val="18"/>
            </w:rPr>
            <w:instrText xml:space="preserve">CITATION Sta19 \n  \t  \l 3081 </w:instrText>
          </w:r>
          <w:r w:rsidR="00A2405A" w:rsidRPr="00BC5105">
            <w:rPr>
              <w:sz w:val="18"/>
              <w:szCs w:val="18"/>
            </w:rPr>
            <w:fldChar w:fldCharType="separate"/>
          </w:r>
          <w:r w:rsidR="00BE2DD4" w:rsidRPr="00BC70D8">
            <w:rPr>
              <w:noProof/>
              <w:sz w:val="18"/>
              <w:szCs w:val="18"/>
            </w:rPr>
            <w:t>(2019)</w:t>
          </w:r>
          <w:r w:rsidR="00A2405A" w:rsidRPr="00BC5105">
            <w:rPr>
              <w:sz w:val="18"/>
              <w:szCs w:val="18"/>
            </w:rPr>
            <w:fldChar w:fldCharType="end"/>
          </w:r>
        </w:sdtContent>
      </w:sdt>
    </w:p>
    <w:p w14:paraId="4470D758" w14:textId="77777777" w:rsidR="00F31FC5" w:rsidRDefault="00F31FC5" w:rsidP="00BC5105">
      <w:pPr>
        <w:spacing w:line="276" w:lineRule="auto"/>
        <w:rPr>
          <w:b/>
          <w:lang w:val="en-US"/>
        </w:rPr>
      </w:pPr>
    </w:p>
    <w:p w14:paraId="38021945" w14:textId="3034EFCC" w:rsidR="00F31FC5" w:rsidRDefault="00F31FC5" w:rsidP="00BC5105">
      <w:pPr>
        <w:pStyle w:val="Caption"/>
        <w:keepNext/>
        <w:spacing w:line="276" w:lineRule="auto"/>
      </w:pPr>
      <w:bookmarkStart w:id="81" w:name="_Ref74567651"/>
      <w:r>
        <w:t xml:space="preserve">Table </w:t>
      </w:r>
      <w:fldSimple w:instr=" SEQ Table \* ARABIC ">
        <w:r w:rsidR="00115E22">
          <w:rPr>
            <w:noProof/>
          </w:rPr>
          <w:t>11</w:t>
        </w:r>
      </w:fldSimple>
      <w:bookmarkEnd w:id="81"/>
      <w:r>
        <w:t xml:space="preserve"> Summary of studies looking at the impact of the Baby Bonus in Australia</w:t>
      </w:r>
    </w:p>
    <w:tbl>
      <w:tblPr>
        <w:tblStyle w:val="TableGrid"/>
        <w:tblW w:w="13636"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271"/>
        <w:gridCol w:w="2126"/>
        <w:gridCol w:w="2024"/>
        <w:gridCol w:w="1662"/>
        <w:gridCol w:w="1699"/>
        <w:gridCol w:w="2019"/>
        <w:gridCol w:w="2835"/>
      </w:tblGrid>
      <w:tr w:rsidR="00F31FC5" w:rsidRPr="00B210BE" w14:paraId="2B8755E5" w14:textId="77777777" w:rsidTr="007F50D8">
        <w:tc>
          <w:tcPr>
            <w:tcW w:w="1271" w:type="dxa"/>
            <w:shd w:val="clear" w:color="auto" w:fill="FBE4D5" w:themeFill="accent2" w:themeFillTint="33"/>
          </w:tcPr>
          <w:p w14:paraId="43903ECA" w14:textId="77777777" w:rsidR="00F31FC5" w:rsidRPr="00B210BE" w:rsidRDefault="00F31FC5">
            <w:pPr>
              <w:rPr>
                <w:rFonts w:ascii="Tw Cen MT Condensed" w:hAnsi="Tw Cen MT Condensed"/>
                <w:b/>
                <w:sz w:val="20"/>
                <w:szCs w:val="20"/>
                <w:lang w:val="en-US"/>
              </w:rPr>
            </w:pPr>
            <w:r w:rsidRPr="00B210BE">
              <w:rPr>
                <w:rFonts w:ascii="Tw Cen MT Condensed" w:hAnsi="Tw Cen MT Condensed"/>
                <w:b/>
                <w:sz w:val="20"/>
                <w:szCs w:val="20"/>
                <w:lang w:val="en-US"/>
              </w:rPr>
              <w:t>Geographic coverage</w:t>
            </w:r>
          </w:p>
        </w:tc>
        <w:tc>
          <w:tcPr>
            <w:tcW w:w="2126" w:type="dxa"/>
            <w:shd w:val="clear" w:color="auto" w:fill="FBE4D5" w:themeFill="accent2" w:themeFillTint="33"/>
          </w:tcPr>
          <w:p w14:paraId="0FC5933E" w14:textId="77777777" w:rsidR="00F31FC5" w:rsidRPr="00B210BE" w:rsidRDefault="00F31FC5">
            <w:pPr>
              <w:rPr>
                <w:rFonts w:ascii="Tw Cen MT Condensed" w:hAnsi="Tw Cen MT Condensed"/>
                <w:b/>
                <w:sz w:val="20"/>
                <w:szCs w:val="20"/>
                <w:lang w:val="en-US"/>
              </w:rPr>
            </w:pPr>
            <w:r w:rsidRPr="00B210BE">
              <w:rPr>
                <w:rFonts w:ascii="Tw Cen MT Condensed" w:hAnsi="Tw Cen MT Condensed"/>
                <w:b/>
                <w:sz w:val="20"/>
                <w:szCs w:val="20"/>
                <w:lang w:val="en-US"/>
              </w:rPr>
              <w:t>Fertility measure</w:t>
            </w:r>
          </w:p>
        </w:tc>
        <w:tc>
          <w:tcPr>
            <w:tcW w:w="2024" w:type="dxa"/>
            <w:shd w:val="clear" w:color="auto" w:fill="FBE4D5" w:themeFill="accent2" w:themeFillTint="33"/>
          </w:tcPr>
          <w:p w14:paraId="29AE6C6B" w14:textId="77777777" w:rsidR="00F31FC5" w:rsidRPr="00B210BE" w:rsidRDefault="00F31FC5">
            <w:pPr>
              <w:rPr>
                <w:rFonts w:ascii="Tw Cen MT Condensed" w:hAnsi="Tw Cen MT Condensed"/>
                <w:b/>
                <w:sz w:val="20"/>
                <w:szCs w:val="20"/>
                <w:lang w:val="en-US"/>
              </w:rPr>
            </w:pPr>
            <w:r w:rsidRPr="00B210BE">
              <w:rPr>
                <w:rFonts w:ascii="Tw Cen MT Condensed" w:hAnsi="Tw Cen MT Condensed"/>
                <w:b/>
                <w:sz w:val="20"/>
                <w:szCs w:val="20"/>
                <w:lang w:val="en-US"/>
              </w:rPr>
              <w:t>Impact on fertility  measure</w:t>
            </w:r>
          </w:p>
        </w:tc>
        <w:tc>
          <w:tcPr>
            <w:tcW w:w="1662" w:type="dxa"/>
            <w:shd w:val="clear" w:color="auto" w:fill="FBE4D5" w:themeFill="accent2" w:themeFillTint="33"/>
          </w:tcPr>
          <w:p w14:paraId="238215DF" w14:textId="77777777" w:rsidR="00F31FC5" w:rsidRPr="00B210BE" w:rsidRDefault="00F31FC5">
            <w:pPr>
              <w:rPr>
                <w:rFonts w:ascii="Tw Cen MT Condensed" w:hAnsi="Tw Cen MT Condensed"/>
                <w:b/>
                <w:sz w:val="20"/>
                <w:szCs w:val="20"/>
                <w:lang w:val="en-US"/>
              </w:rPr>
            </w:pPr>
            <w:r w:rsidRPr="00B210BE">
              <w:rPr>
                <w:rFonts w:ascii="Tw Cen MT Condensed" w:hAnsi="Tw Cen MT Condensed"/>
                <w:b/>
                <w:sz w:val="20"/>
                <w:szCs w:val="20"/>
                <w:lang w:val="en-US"/>
              </w:rPr>
              <w:t>Difference by age</w:t>
            </w:r>
          </w:p>
        </w:tc>
        <w:tc>
          <w:tcPr>
            <w:tcW w:w="1699" w:type="dxa"/>
            <w:shd w:val="clear" w:color="auto" w:fill="FBE4D5" w:themeFill="accent2" w:themeFillTint="33"/>
          </w:tcPr>
          <w:p w14:paraId="508DCD0C" w14:textId="77777777" w:rsidR="00F31FC5" w:rsidRPr="00B210BE" w:rsidRDefault="00F31FC5">
            <w:pPr>
              <w:rPr>
                <w:rFonts w:ascii="Tw Cen MT Condensed" w:hAnsi="Tw Cen MT Condensed"/>
                <w:b/>
                <w:sz w:val="20"/>
                <w:szCs w:val="20"/>
                <w:lang w:val="en-US"/>
              </w:rPr>
            </w:pPr>
            <w:r w:rsidRPr="00B210BE">
              <w:rPr>
                <w:rFonts w:ascii="Tw Cen MT Condensed" w:hAnsi="Tw Cen MT Condensed"/>
                <w:b/>
                <w:sz w:val="20"/>
                <w:szCs w:val="20"/>
                <w:lang w:val="en-US"/>
              </w:rPr>
              <w:t>Difference by parity</w:t>
            </w:r>
          </w:p>
        </w:tc>
        <w:tc>
          <w:tcPr>
            <w:tcW w:w="2019" w:type="dxa"/>
            <w:shd w:val="clear" w:color="auto" w:fill="FBE4D5" w:themeFill="accent2" w:themeFillTint="33"/>
          </w:tcPr>
          <w:p w14:paraId="6B0038AC" w14:textId="77777777" w:rsidR="00F31FC5" w:rsidRPr="00B210BE" w:rsidRDefault="00F31FC5">
            <w:pPr>
              <w:rPr>
                <w:rFonts w:ascii="Tw Cen MT Condensed" w:hAnsi="Tw Cen MT Condensed"/>
                <w:b/>
                <w:sz w:val="20"/>
                <w:szCs w:val="20"/>
                <w:lang w:val="en-US"/>
              </w:rPr>
            </w:pPr>
            <w:r w:rsidRPr="00B210BE">
              <w:rPr>
                <w:rFonts w:ascii="Tw Cen MT Condensed" w:hAnsi="Tw Cen MT Condensed"/>
                <w:b/>
                <w:sz w:val="20"/>
                <w:szCs w:val="20"/>
                <w:lang w:val="en-US"/>
              </w:rPr>
              <w:t>Difference by socio-economic group</w:t>
            </w:r>
          </w:p>
        </w:tc>
        <w:tc>
          <w:tcPr>
            <w:tcW w:w="2835" w:type="dxa"/>
            <w:shd w:val="clear" w:color="auto" w:fill="FBE4D5" w:themeFill="accent2" w:themeFillTint="33"/>
          </w:tcPr>
          <w:p w14:paraId="028B0D3C" w14:textId="77777777" w:rsidR="00F31FC5" w:rsidRPr="00B210BE" w:rsidRDefault="00F31FC5">
            <w:pPr>
              <w:rPr>
                <w:rFonts w:ascii="Tw Cen MT Condensed" w:hAnsi="Tw Cen MT Condensed"/>
                <w:b/>
                <w:sz w:val="20"/>
                <w:szCs w:val="20"/>
                <w:lang w:val="en-US"/>
              </w:rPr>
            </w:pPr>
            <w:r w:rsidRPr="00B210BE">
              <w:rPr>
                <w:rFonts w:ascii="Tw Cen MT Condensed" w:hAnsi="Tw Cen MT Condensed"/>
                <w:b/>
                <w:sz w:val="20"/>
                <w:szCs w:val="20"/>
                <w:lang w:val="en-US"/>
              </w:rPr>
              <w:t>Authors</w:t>
            </w:r>
          </w:p>
        </w:tc>
      </w:tr>
      <w:tr w:rsidR="00F31FC5" w:rsidRPr="003B7ED7" w14:paraId="26463724" w14:textId="77777777" w:rsidTr="007F50D8">
        <w:tc>
          <w:tcPr>
            <w:tcW w:w="1271" w:type="dxa"/>
          </w:tcPr>
          <w:p w14:paraId="01F6F449"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National</w:t>
            </w:r>
          </w:p>
        </w:tc>
        <w:tc>
          <w:tcPr>
            <w:tcW w:w="2126" w:type="dxa"/>
          </w:tcPr>
          <w:p w14:paraId="7A064093" w14:textId="77777777" w:rsidR="00F31FC5" w:rsidRPr="003B7ED7" w:rsidRDefault="00F31FC5">
            <w:pPr>
              <w:rPr>
                <w:rFonts w:asciiTheme="majorHAnsi" w:hAnsiTheme="majorHAnsi" w:cs="Arial"/>
                <w:color w:val="1C1D1E"/>
                <w:sz w:val="20"/>
                <w:szCs w:val="20"/>
                <w:shd w:val="clear" w:color="auto" w:fill="FFFFFF"/>
              </w:rPr>
            </w:pPr>
            <w:r w:rsidRPr="003B7ED7">
              <w:rPr>
                <w:rFonts w:asciiTheme="majorHAnsi" w:hAnsiTheme="majorHAnsi" w:cs="Arial"/>
                <w:color w:val="1C1D1E"/>
                <w:sz w:val="20"/>
                <w:szCs w:val="20"/>
                <w:shd w:val="clear" w:color="auto" w:fill="FFFFFF"/>
              </w:rPr>
              <w:t>General fertility rate</w:t>
            </w:r>
          </w:p>
        </w:tc>
        <w:tc>
          <w:tcPr>
            <w:tcW w:w="2024" w:type="dxa"/>
          </w:tcPr>
          <w:p w14:paraId="5CE8401D" w14:textId="77777777" w:rsidR="00F31FC5" w:rsidRPr="003B7ED7" w:rsidRDefault="00F31FC5">
            <w:pPr>
              <w:rPr>
                <w:rFonts w:asciiTheme="majorHAnsi" w:hAnsiTheme="majorHAnsi"/>
                <w:sz w:val="20"/>
                <w:szCs w:val="20"/>
                <w:lang w:val="en-US"/>
              </w:rPr>
            </w:pPr>
            <w:r>
              <w:rPr>
                <w:rFonts w:asciiTheme="majorHAnsi" w:hAnsiTheme="majorHAnsi" w:cs="Arial"/>
                <w:color w:val="1C1D1E"/>
                <w:sz w:val="20"/>
                <w:szCs w:val="20"/>
                <w:shd w:val="clear" w:color="auto" w:fill="FFFFFF"/>
              </w:rPr>
              <w:t xml:space="preserve">Increase </w:t>
            </w:r>
          </w:p>
        </w:tc>
        <w:tc>
          <w:tcPr>
            <w:tcW w:w="1662" w:type="dxa"/>
          </w:tcPr>
          <w:p w14:paraId="54F07AEA"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w:t>
            </w:r>
          </w:p>
        </w:tc>
        <w:tc>
          <w:tcPr>
            <w:tcW w:w="1699" w:type="dxa"/>
          </w:tcPr>
          <w:p w14:paraId="28A84FCE"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w:t>
            </w:r>
          </w:p>
        </w:tc>
        <w:tc>
          <w:tcPr>
            <w:tcW w:w="2019" w:type="dxa"/>
          </w:tcPr>
          <w:p w14:paraId="5C0A61C8"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w:t>
            </w:r>
          </w:p>
        </w:tc>
        <w:tc>
          <w:tcPr>
            <w:tcW w:w="2835" w:type="dxa"/>
          </w:tcPr>
          <w:p w14:paraId="15562E98" w14:textId="5DC36348" w:rsidR="00F31FC5" w:rsidRPr="003B7ED7" w:rsidRDefault="001E0F6C">
            <w:pPr>
              <w:rPr>
                <w:rFonts w:asciiTheme="majorHAnsi" w:hAnsiTheme="majorHAnsi"/>
                <w:sz w:val="20"/>
                <w:szCs w:val="20"/>
                <w:lang w:val="en-US"/>
              </w:rPr>
            </w:pPr>
            <w:r>
              <w:rPr>
                <w:rFonts w:asciiTheme="majorHAnsi" w:hAnsiTheme="majorHAnsi"/>
                <w:noProof/>
                <w:sz w:val="20"/>
                <w:szCs w:val="20"/>
              </w:rPr>
              <w:t xml:space="preserve">(Sinclair, </w:t>
            </w:r>
            <w:r w:rsidRPr="00DA7092">
              <w:rPr>
                <w:rFonts w:asciiTheme="majorHAnsi" w:hAnsiTheme="majorHAnsi"/>
                <w:i/>
                <w:iCs/>
                <w:noProof/>
                <w:sz w:val="20"/>
                <w:szCs w:val="20"/>
              </w:rPr>
              <w:t>et al</w:t>
            </w:r>
            <w:r>
              <w:rPr>
                <w:rFonts w:asciiTheme="majorHAnsi" w:hAnsiTheme="majorHAnsi"/>
                <w:noProof/>
                <w:sz w:val="20"/>
                <w:szCs w:val="20"/>
              </w:rPr>
              <w:t>. 2012)</w:t>
            </w:r>
          </w:p>
        </w:tc>
      </w:tr>
      <w:tr w:rsidR="00F31FC5" w:rsidRPr="003B7ED7" w14:paraId="6B340678" w14:textId="77777777" w:rsidTr="007F50D8">
        <w:tc>
          <w:tcPr>
            <w:tcW w:w="1271" w:type="dxa"/>
          </w:tcPr>
          <w:p w14:paraId="6EBE2336"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National</w:t>
            </w:r>
          </w:p>
        </w:tc>
        <w:tc>
          <w:tcPr>
            <w:tcW w:w="2126" w:type="dxa"/>
          </w:tcPr>
          <w:p w14:paraId="0F59C53B" w14:textId="77777777" w:rsidR="00F31FC5" w:rsidRPr="003B7ED7" w:rsidRDefault="00F31FC5">
            <w:pPr>
              <w:rPr>
                <w:rFonts w:asciiTheme="majorHAnsi" w:hAnsiTheme="majorHAnsi" w:cs="Arial"/>
                <w:color w:val="1C1D1E"/>
                <w:sz w:val="20"/>
                <w:szCs w:val="20"/>
                <w:shd w:val="clear" w:color="auto" w:fill="FFFFFF"/>
              </w:rPr>
            </w:pPr>
            <w:r>
              <w:rPr>
                <w:rFonts w:asciiTheme="majorHAnsi" w:hAnsiTheme="majorHAnsi" w:cs="Arial"/>
                <w:color w:val="1C1D1E"/>
                <w:sz w:val="20"/>
                <w:szCs w:val="20"/>
                <w:shd w:val="clear" w:color="auto" w:fill="FFFFFF"/>
              </w:rPr>
              <w:t xml:space="preserve">Age-specific fertility rates </w:t>
            </w:r>
          </w:p>
        </w:tc>
        <w:tc>
          <w:tcPr>
            <w:tcW w:w="2024" w:type="dxa"/>
          </w:tcPr>
          <w:p w14:paraId="01F03098" w14:textId="77777777" w:rsidR="00F31FC5" w:rsidRPr="003B7ED7" w:rsidRDefault="00F31FC5">
            <w:pPr>
              <w:rPr>
                <w:rFonts w:asciiTheme="majorHAnsi" w:hAnsiTheme="majorHAnsi" w:cs="Arial"/>
                <w:color w:val="1C1D1E"/>
                <w:sz w:val="20"/>
                <w:szCs w:val="20"/>
                <w:shd w:val="clear" w:color="auto" w:fill="FFFFFF"/>
              </w:rPr>
            </w:pPr>
            <w:r w:rsidRPr="003B7ED7">
              <w:rPr>
                <w:rFonts w:asciiTheme="majorHAnsi" w:hAnsiTheme="majorHAnsi" w:cs="Arial"/>
                <w:color w:val="1C1D1E"/>
                <w:sz w:val="20"/>
                <w:szCs w:val="20"/>
                <w:shd w:val="clear" w:color="auto" w:fill="FFFFFF"/>
              </w:rPr>
              <w:t>Increase</w:t>
            </w:r>
            <w:r>
              <w:rPr>
                <w:rFonts w:asciiTheme="majorHAnsi" w:hAnsiTheme="majorHAnsi" w:cs="Arial"/>
                <w:color w:val="1C1D1E"/>
                <w:sz w:val="20"/>
                <w:szCs w:val="20"/>
                <w:shd w:val="clear" w:color="auto" w:fill="FFFFFF"/>
              </w:rPr>
              <w:t xml:space="preserve"> </w:t>
            </w:r>
          </w:p>
        </w:tc>
        <w:tc>
          <w:tcPr>
            <w:tcW w:w="1662" w:type="dxa"/>
          </w:tcPr>
          <w:p w14:paraId="7684E79F"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w:t>
            </w:r>
          </w:p>
        </w:tc>
        <w:tc>
          <w:tcPr>
            <w:tcW w:w="1699" w:type="dxa"/>
          </w:tcPr>
          <w:p w14:paraId="63B6A5A4"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w:t>
            </w:r>
          </w:p>
        </w:tc>
        <w:tc>
          <w:tcPr>
            <w:tcW w:w="2019" w:type="dxa"/>
          </w:tcPr>
          <w:p w14:paraId="70FD5E1D"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Age-specific fertility under</w:t>
            </w:r>
            <w:r>
              <w:rPr>
                <w:rFonts w:asciiTheme="majorHAnsi" w:hAnsiTheme="majorHAnsi"/>
                <w:sz w:val="20"/>
                <w:szCs w:val="20"/>
                <w:lang w:val="en-US"/>
              </w:rPr>
              <w:t xml:space="preserve"> age 30 was most responsive in lowest</w:t>
            </w:r>
            <w:r w:rsidRPr="003B7ED7">
              <w:rPr>
                <w:rFonts w:asciiTheme="majorHAnsi" w:hAnsiTheme="majorHAnsi"/>
                <w:sz w:val="20"/>
                <w:szCs w:val="20"/>
                <w:lang w:val="en-US"/>
              </w:rPr>
              <w:t xml:space="preserve"> socio-economic groups. </w:t>
            </w:r>
          </w:p>
        </w:tc>
        <w:tc>
          <w:tcPr>
            <w:tcW w:w="2835" w:type="dxa"/>
          </w:tcPr>
          <w:p w14:paraId="4310810F" w14:textId="59E8968C" w:rsidR="00F31FC5" w:rsidRPr="003B7ED7" w:rsidRDefault="001E0F6C">
            <w:pPr>
              <w:rPr>
                <w:rFonts w:asciiTheme="majorHAnsi" w:hAnsiTheme="majorHAnsi"/>
                <w:sz w:val="20"/>
                <w:szCs w:val="20"/>
                <w:lang w:val="en-US"/>
              </w:rPr>
            </w:pPr>
            <w:r>
              <w:rPr>
                <w:rFonts w:asciiTheme="majorHAnsi" w:hAnsiTheme="majorHAnsi"/>
                <w:noProof/>
                <w:sz w:val="20"/>
                <w:szCs w:val="20"/>
              </w:rPr>
              <w:t xml:space="preserve">(Rawlings, </w:t>
            </w:r>
            <w:r w:rsidRPr="00DA7092">
              <w:rPr>
                <w:rFonts w:asciiTheme="majorHAnsi" w:hAnsiTheme="majorHAnsi"/>
                <w:i/>
                <w:iCs/>
                <w:noProof/>
                <w:sz w:val="20"/>
                <w:szCs w:val="20"/>
              </w:rPr>
              <w:t>et al.</w:t>
            </w:r>
            <w:r>
              <w:rPr>
                <w:rFonts w:asciiTheme="majorHAnsi" w:hAnsiTheme="majorHAnsi"/>
                <w:noProof/>
                <w:sz w:val="20"/>
                <w:szCs w:val="20"/>
              </w:rPr>
              <w:t xml:space="preserve"> 2016)</w:t>
            </w:r>
          </w:p>
        </w:tc>
      </w:tr>
      <w:tr w:rsidR="00F31FC5" w:rsidRPr="003B7ED7" w14:paraId="4BCC7D9A" w14:textId="77777777" w:rsidTr="007F50D8">
        <w:tc>
          <w:tcPr>
            <w:tcW w:w="1271" w:type="dxa"/>
          </w:tcPr>
          <w:p w14:paraId="45E92A9F"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National</w:t>
            </w:r>
          </w:p>
        </w:tc>
        <w:tc>
          <w:tcPr>
            <w:tcW w:w="2126" w:type="dxa"/>
          </w:tcPr>
          <w:p w14:paraId="1D14E783"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 xml:space="preserve">Probability of birth </w:t>
            </w:r>
          </w:p>
        </w:tc>
        <w:tc>
          <w:tcPr>
            <w:tcW w:w="2024" w:type="dxa"/>
          </w:tcPr>
          <w:p w14:paraId="46024696"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No significant impact</w:t>
            </w:r>
          </w:p>
        </w:tc>
        <w:tc>
          <w:tcPr>
            <w:tcW w:w="1662" w:type="dxa"/>
          </w:tcPr>
          <w:p w14:paraId="605AB298"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n.a</w:t>
            </w:r>
          </w:p>
        </w:tc>
        <w:tc>
          <w:tcPr>
            <w:tcW w:w="1699" w:type="dxa"/>
          </w:tcPr>
          <w:p w14:paraId="128263B6"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n.a</w:t>
            </w:r>
          </w:p>
        </w:tc>
        <w:tc>
          <w:tcPr>
            <w:tcW w:w="2019" w:type="dxa"/>
          </w:tcPr>
          <w:p w14:paraId="2F380593"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n.a</w:t>
            </w:r>
          </w:p>
        </w:tc>
        <w:tc>
          <w:tcPr>
            <w:tcW w:w="2835" w:type="dxa"/>
          </w:tcPr>
          <w:p w14:paraId="133AA4AF" w14:textId="43822B80" w:rsidR="00F31FC5" w:rsidRPr="003B7ED7" w:rsidRDefault="00DA7092">
            <w:pPr>
              <w:rPr>
                <w:rFonts w:asciiTheme="majorHAnsi" w:hAnsiTheme="majorHAnsi"/>
                <w:sz w:val="20"/>
                <w:szCs w:val="20"/>
                <w:lang w:val="en-US"/>
              </w:rPr>
            </w:pPr>
            <w:r w:rsidRPr="007E15F6">
              <w:rPr>
                <w:rFonts w:asciiTheme="majorHAnsi" w:hAnsiTheme="majorHAnsi"/>
                <w:noProof/>
                <w:sz w:val="20"/>
                <w:szCs w:val="20"/>
              </w:rPr>
              <w:t>(Parr &amp; Guest, 2011)</w:t>
            </w:r>
          </w:p>
        </w:tc>
      </w:tr>
      <w:tr w:rsidR="00F31FC5" w:rsidRPr="003B7ED7" w14:paraId="73A3E81A" w14:textId="77777777" w:rsidTr="007F50D8">
        <w:tc>
          <w:tcPr>
            <w:tcW w:w="1271" w:type="dxa"/>
          </w:tcPr>
          <w:p w14:paraId="7EFB6757"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National</w:t>
            </w:r>
          </w:p>
        </w:tc>
        <w:tc>
          <w:tcPr>
            <w:tcW w:w="2126" w:type="dxa"/>
          </w:tcPr>
          <w:p w14:paraId="0DB8721D"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Fertility intentions</w:t>
            </w:r>
            <w:r>
              <w:rPr>
                <w:rFonts w:asciiTheme="majorHAnsi" w:hAnsiTheme="majorHAnsi"/>
                <w:sz w:val="20"/>
                <w:szCs w:val="20"/>
                <w:lang w:val="en-US"/>
              </w:rPr>
              <w:t xml:space="preserve"> and probability of birth</w:t>
            </w:r>
          </w:p>
        </w:tc>
        <w:tc>
          <w:tcPr>
            <w:tcW w:w="2024" w:type="dxa"/>
          </w:tcPr>
          <w:p w14:paraId="77FE7F99"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 xml:space="preserve">Increase </w:t>
            </w:r>
          </w:p>
        </w:tc>
        <w:tc>
          <w:tcPr>
            <w:tcW w:w="1662" w:type="dxa"/>
          </w:tcPr>
          <w:p w14:paraId="79721234"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n.a</w:t>
            </w:r>
          </w:p>
        </w:tc>
        <w:tc>
          <w:tcPr>
            <w:tcW w:w="1699" w:type="dxa"/>
          </w:tcPr>
          <w:p w14:paraId="28315E63"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Highest effect for second births</w:t>
            </w:r>
          </w:p>
        </w:tc>
        <w:tc>
          <w:tcPr>
            <w:tcW w:w="2019" w:type="dxa"/>
          </w:tcPr>
          <w:p w14:paraId="08FEBB6F"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Lower-income households more responsive.</w:t>
            </w:r>
          </w:p>
        </w:tc>
        <w:tc>
          <w:tcPr>
            <w:tcW w:w="2835" w:type="dxa"/>
          </w:tcPr>
          <w:p w14:paraId="2F693F08" w14:textId="5A820B7D" w:rsidR="00F31FC5" w:rsidRPr="003B7ED7" w:rsidRDefault="001E0F6C">
            <w:pPr>
              <w:rPr>
                <w:rFonts w:asciiTheme="majorHAnsi" w:hAnsiTheme="majorHAnsi"/>
                <w:sz w:val="20"/>
                <w:szCs w:val="20"/>
                <w:lang w:val="en-US"/>
              </w:rPr>
            </w:pPr>
            <w:r>
              <w:rPr>
                <w:rFonts w:asciiTheme="majorHAnsi" w:hAnsiTheme="majorHAnsi"/>
                <w:noProof/>
                <w:sz w:val="20"/>
                <w:szCs w:val="20"/>
              </w:rPr>
              <w:t xml:space="preserve">(Drago, </w:t>
            </w:r>
            <w:r w:rsidR="00B95174" w:rsidRPr="00B95174">
              <w:rPr>
                <w:rFonts w:asciiTheme="majorHAnsi" w:hAnsiTheme="majorHAnsi"/>
                <w:i/>
                <w:noProof/>
                <w:sz w:val="20"/>
                <w:szCs w:val="20"/>
              </w:rPr>
              <w:t>et al.,</w:t>
            </w:r>
            <w:r>
              <w:rPr>
                <w:rFonts w:asciiTheme="majorHAnsi" w:hAnsiTheme="majorHAnsi"/>
                <w:noProof/>
                <w:sz w:val="20"/>
                <w:szCs w:val="20"/>
              </w:rPr>
              <w:t xml:space="preserve"> 2011)</w:t>
            </w:r>
          </w:p>
        </w:tc>
      </w:tr>
      <w:tr w:rsidR="00F31FC5" w:rsidRPr="003B7ED7" w14:paraId="08376714" w14:textId="77777777" w:rsidTr="007F50D8">
        <w:tc>
          <w:tcPr>
            <w:tcW w:w="1271" w:type="dxa"/>
          </w:tcPr>
          <w:p w14:paraId="720C113F"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National</w:t>
            </w:r>
          </w:p>
        </w:tc>
        <w:tc>
          <w:tcPr>
            <w:tcW w:w="2126" w:type="dxa"/>
          </w:tcPr>
          <w:p w14:paraId="53FE9BFD"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 xml:space="preserve">Probability of birth </w:t>
            </w:r>
          </w:p>
        </w:tc>
        <w:tc>
          <w:tcPr>
            <w:tcW w:w="2024" w:type="dxa"/>
          </w:tcPr>
          <w:p w14:paraId="69B32DB9"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Increase for certain subgroups</w:t>
            </w:r>
          </w:p>
        </w:tc>
        <w:tc>
          <w:tcPr>
            <w:tcW w:w="1662" w:type="dxa"/>
          </w:tcPr>
          <w:p w14:paraId="19EDF2DE"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Higher impact for younger women</w:t>
            </w:r>
          </w:p>
        </w:tc>
        <w:tc>
          <w:tcPr>
            <w:tcW w:w="1699" w:type="dxa"/>
          </w:tcPr>
          <w:p w14:paraId="588AEE43"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n.a</w:t>
            </w:r>
          </w:p>
        </w:tc>
        <w:tc>
          <w:tcPr>
            <w:tcW w:w="2019" w:type="dxa"/>
          </w:tcPr>
          <w:p w14:paraId="64E36258"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Increase in fertility for women with low levels of education (particularly among immigrant women)</w:t>
            </w:r>
          </w:p>
        </w:tc>
        <w:tc>
          <w:tcPr>
            <w:tcW w:w="2835" w:type="dxa"/>
          </w:tcPr>
          <w:p w14:paraId="0240BA4A" w14:textId="6C038150" w:rsidR="00F31FC5" w:rsidRPr="003B7ED7" w:rsidRDefault="00DA7092">
            <w:pPr>
              <w:rPr>
                <w:rFonts w:asciiTheme="majorHAnsi" w:hAnsiTheme="majorHAnsi"/>
                <w:sz w:val="20"/>
                <w:szCs w:val="20"/>
                <w:lang w:val="en-US"/>
              </w:rPr>
            </w:pPr>
            <w:r w:rsidRPr="007E15F6">
              <w:rPr>
                <w:rFonts w:asciiTheme="majorHAnsi" w:hAnsiTheme="majorHAnsi"/>
                <w:noProof/>
                <w:sz w:val="20"/>
                <w:szCs w:val="20"/>
              </w:rPr>
              <w:t>(Bonner &amp; Sarkar, 2020)</w:t>
            </w:r>
          </w:p>
        </w:tc>
      </w:tr>
      <w:tr w:rsidR="00F31FC5" w:rsidRPr="003B7ED7" w14:paraId="0745046D" w14:textId="77777777" w:rsidTr="007F50D8">
        <w:tc>
          <w:tcPr>
            <w:tcW w:w="1271" w:type="dxa"/>
          </w:tcPr>
          <w:p w14:paraId="507A149A"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Western Australia</w:t>
            </w:r>
          </w:p>
        </w:tc>
        <w:tc>
          <w:tcPr>
            <w:tcW w:w="2126" w:type="dxa"/>
          </w:tcPr>
          <w:p w14:paraId="76753A77"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Quarterly birth rates</w:t>
            </w:r>
          </w:p>
        </w:tc>
        <w:tc>
          <w:tcPr>
            <w:tcW w:w="2024" w:type="dxa"/>
          </w:tcPr>
          <w:p w14:paraId="0A50D2AE"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Increase</w:t>
            </w:r>
          </w:p>
        </w:tc>
        <w:tc>
          <w:tcPr>
            <w:tcW w:w="1662" w:type="dxa"/>
          </w:tcPr>
          <w:p w14:paraId="59AF22F8"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Highest increase in 20-24 age group</w:t>
            </w:r>
          </w:p>
        </w:tc>
        <w:tc>
          <w:tcPr>
            <w:tcW w:w="1699" w:type="dxa"/>
          </w:tcPr>
          <w:p w14:paraId="2EDD620E"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Highest effect for 3+ parity</w:t>
            </w:r>
          </w:p>
        </w:tc>
        <w:tc>
          <w:tcPr>
            <w:tcW w:w="2019" w:type="dxa"/>
          </w:tcPr>
          <w:p w14:paraId="7E078461"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n.a</w:t>
            </w:r>
          </w:p>
        </w:tc>
        <w:tc>
          <w:tcPr>
            <w:tcW w:w="2835" w:type="dxa"/>
          </w:tcPr>
          <w:p w14:paraId="016E8084" w14:textId="2A686AA2" w:rsidR="00F31FC5" w:rsidRPr="003B7ED7" w:rsidRDefault="00DA7092">
            <w:pPr>
              <w:rPr>
                <w:rFonts w:asciiTheme="majorHAnsi" w:hAnsiTheme="majorHAnsi"/>
                <w:sz w:val="20"/>
                <w:szCs w:val="20"/>
                <w:lang w:val="en-US"/>
              </w:rPr>
            </w:pPr>
            <w:r w:rsidRPr="007E15F6">
              <w:rPr>
                <w:rFonts w:asciiTheme="majorHAnsi" w:hAnsiTheme="majorHAnsi"/>
                <w:noProof/>
                <w:sz w:val="20"/>
                <w:szCs w:val="20"/>
              </w:rPr>
              <w:t xml:space="preserve">(Einarsdóttir, </w:t>
            </w:r>
            <w:r w:rsidRPr="00DA7092">
              <w:rPr>
                <w:rFonts w:asciiTheme="majorHAnsi" w:hAnsiTheme="majorHAnsi"/>
                <w:i/>
                <w:iCs/>
                <w:noProof/>
                <w:sz w:val="20"/>
                <w:szCs w:val="20"/>
              </w:rPr>
              <w:t>et al</w:t>
            </w:r>
            <w:r w:rsidRPr="007E15F6">
              <w:rPr>
                <w:rFonts w:asciiTheme="majorHAnsi" w:hAnsiTheme="majorHAnsi"/>
                <w:noProof/>
                <w:sz w:val="20"/>
                <w:szCs w:val="20"/>
              </w:rPr>
              <w:t>., 2012)</w:t>
            </w:r>
          </w:p>
        </w:tc>
      </w:tr>
      <w:tr w:rsidR="00F31FC5" w:rsidRPr="003B7ED7" w14:paraId="170DEF96" w14:textId="77777777" w:rsidTr="007F50D8">
        <w:tc>
          <w:tcPr>
            <w:tcW w:w="1271" w:type="dxa"/>
          </w:tcPr>
          <w:p w14:paraId="7DC76D1D"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Western Australia</w:t>
            </w:r>
          </w:p>
        </w:tc>
        <w:tc>
          <w:tcPr>
            <w:tcW w:w="2126" w:type="dxa"/>
          </w:tcPr>
          <w:p w14:paraId="66B1DA9F"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General fertility rate &amp; age specific fertility rates</w:t>
            </w:r>
          </w:p>
        </w:tc>
        <w:tc>
          <w:tcPr>
            <w:tcW w:w="2024" w:type="dxa"/>
          </w:tcPr>
          <w:p w14:paraId="501CE957"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 xml:space="preserve">Increase </w:t>
            </w:r>
          </w:p>
        </w:tc>
        <w:tc>
          <w:tcPr>
            <w:tcW w:w="1662" w:type="dxa"/>
          </w:tcPr>
          <w:p w14:paraId="003097CF"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No</w:t>
            </w:r>
          </w:p>
        </w:tc>
        <w:tc>
          <w:tcPr>
            <w:tcW w:w="1699" w:type="dxa"/>
          </w:tcPr>
          <w:p w14:paraId="633C9493"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n.a</w:t>
            </w:r>
          </w:p>
        </w:tc>
        <w:tc>
          <w:tcPr>
            <w:tcW w:w="2019" w:type="dxa"/>
          </w:tcPr>
          <w:p w14:paraId="261CA3F9" w14:textId="77777777" w:rsidR="00F31FC5" w:rsidRPr="003B7ED7" w:rsidRDefault="00F31FC5">
            <w:pPr>
              <w:rPr>
                <w:rFonts w:asciiTheme="majorHAnsi" w:hAnsiTheme="majorHAnsi"/>
                <w:sz w:val="20"/>
                <w:szCs w:val="20"/>
                <w:lang w:val="en-US"/>
              </w:rPr>
            </w:pPr>
            <w:r w:rsidRPr="003B7ED7">
              <w:rPr>
                <w:rFonts w:asciiTheme="majorHAnsi" w:hAnsiTheme="majorHAnsi"/>
                <w:sz w:val="20"/>
                <w:szCs w:val="20"/>
                <w:lang w:val="en-US"/>
              </w:rPr>
              <w:t>No</w:t>
            </w:r>
          </w:p>
        </w:tc>
        <w:tc>
          <w:tcPr>
            <w:tcW w:w="2835" w:type="dxa"/>
          </w:tcPr>
          <w:p w14:paraId="33CB3DC8" w14:textId="111FA5B5" w:rsidR="00F31FC5" w:rsidRPr="003B7ED7" w:rsidRDefault="001E0F6C">
            <w:pPr>
              <w:rPr>
                <w:rFonts w:asciiTheme="majorHAnsi" w:hAnsiTheme="majorHAnsi"/>
                <w:sz w:val="20"/>
                <w:szCs w:val="20"/>
                <w:lang w:val="en-US"/>
              </w:rPr>
            </w:pPr>
            <w:r>
              <w:rPr>
                <w:rFonts w:asciiTheme="majorHAnsi" w:hAnsiTheme="majorHAnsi"/>
                <w:noProof/>
                <w:sz w:val="20"/>
                <w:szCs w:val="20"/>
              </w:rPr>
              <w:t xml:space="preserve">(Langridge, </w:t>
            </w:r>
            <w:r w:rsidR="00B95174" w:rsidRPr="00B95174">
              <w:rPr>
                <w:rFonts w:asciiTheme="majorHAnsi" w:hAnsiTheme="majorHAnsi"/>
                <w:i/>
                <w:noProof/>
                <w:sz w:val="20"/>
                <w:szCs w:val="20"/>
              </w:rPr>
              <w:t>et al.,</w:t>
            </w:r>
            <w:r>
              <w:rPr>
                <w:rFonts w:asciiTheme="majorHAnsi" w:hAnsiTheme="majorHAnsi"/>
                <w:noProof/>
                <w:sz w:val="20"/>
                <w:szCs w:val="20"/>
              </w:rPr>
              <w:t xml:space="preserve"> 2012)</w:t>
            </w:r>
          </w:p>
        </w:tc>
      </w:tr>
      <w:tr w:rsidR="00F31FC5" w:rsidRPr="003B7ED7" w14:paraId="687D5D70" w14:textId="77777777" w:rsidTr="007F50D8">
        <w:tc>
          <w:tcPr>
            <w:tcW w:w="1271" w:type="dxa"/>
          </w:tcPr>
          <w:p w14:paraId="0CACFD60"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National</w:t>
            </w:r>
          </w:p>
        </w:tc>
        <w:tc>
          <w:tcPr>
            <w:tcW w:w="2126" w:type="dxa"/>
          </w:tcPr>
          <w:p w14:paraId="638101F9"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Fertility intentions</w:t>
            </w:r>
          </w:p>
        </w:tc>
        <w:tc>
          <w:tcPr>
            <w:tcW w:w="2024" w:type="dxa"/>
          </w:tcPr>
          <w:p w14:paraId="67358CD7"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 xml:space="preserve">Increase </w:t>
            </w:r>
          </w:p>
        </w:tc>
        <w:tc>
          <w:tcPr>
            <w:tcW w:w="1662" w:type="dxa"/>
          </w:tcPr>
          <w:p w14:paraId="0C68F6B7"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Highest increase at age 25-34</w:t>
            </w:r>
          </w:p>
        </w:tc>
        <w:tc>
          <w:tcPr>
            <w:tcW w:w="1699" w:type="dxa"/>
          </w:tcPr>
          <w:p w14:paraId="31CD7F75"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No</w:t>
            </w:r>
          </w:p>
        </w:tc>
        <w:tc>
          <w:tcPr>
            <w:tcW w:w="2019" w:type="dxa"/>
          </w:tcPr>
          <w:p w14:paraId="339F6F17"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Lower-income households more responsive.</w:t>
            </w:r>
          </w:p>
        </w:tc>
        <w:tc>
          <w:tcPr>
            <w:tcW w:w="2835" w:type="dxa"/>
          </w:tcPr>
          <w:p w14:paraId="0675990E" w14:textId="3E7D6DC3" w:rsidR="00F31FC5" w:rsidRDefault="00EA60CC">
            <w:pPr>
              <w:rPr>
                <w:rFonts w:asciiTheme="majorHAnsi" w:hAnsiTheme="majorHAnsi"/>
                <w:sz w:val="20"/>
                <w:szCs w:val="20"/>
                <w:lang w:val="en-US"/>
              </w:rPr>
            </w:pPr>
            <w:r w:rsidRPr="007E15F6">
              <w:rPr>
                <w:rFonts w:asciiTheme="majorHAnsi" w:hAnsiTheme="majorHAnsi"/>
                <w:noProof/>
                <w:sz w:val="20"/>
                <w:szCs w:val="20"/>
              </w:rPr>
              <w:t>(Risse, 2010)</w:t>
            </w:r>
          </w:p>
        </w:tc>
      </w:tr>
      <w:tr w:rsidR="00F31FC5" w:rsidRPr="003B7ED7" w14:paraId="7C9A8ADD" w14:textId="77777777" w:rsidTr="007F50D8">
        <w:tc>
          <w:tcPr>
            <w:tcW w:w="1271" w:type="dxa"/>
          </w:tcPr>
          <w:p w14:paraId="2C768A19"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New South Wales</w:t>
            </w:r>
          </w:p>
        </w:tc>
        <w:tc>
          <w:tcPr>
            <w:tcW w:w="2126" w:type="dxa"/>
          </w:tcPr>
          <w:p w14:paraId="5A9CB6F3"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Age-specific fertility rates and age-parity-specific fertility rates</w:t>
            </w:r>
          </w:p>
        </w:tc>
        <w:tc>
          <w:tcPr>
            <w:tcW w:w="2024" w:type="dxa"/>
          </w:tcPr>
          <w:p w14:paraId="49236843" w14:textId="77777777" w:rsidR="00F31FC5" w:rsidRDefault="00F31FC5">
            <w:pPr>
              <w:rPr>
                <w:rFonts w:asciiTheme="majorHAnsi" w:hAnsiTheme="majorHAnsi"/>
                <w:sz w:val="20"/>
                <w:szCs w:val="20"/>
                <w:lang w:val="en-US"/>
              </w:rPr>
            </w:pPr>
            <w:r>
              <w:rPr>
                <w:rFonts w:asciiTheme="majorHAnsi" w:hAnsiTheme="majorHAnsi"/>
                <w:sz w:val="20"/>
                <w:szCs w:val="20"/>
                <w:lang w:val="en-US"/>
              </w:rPr>
              <w:t>Increase</w:t>
            </w:r>
          </w:p>
        </w:tc>
        <w:tc>
          <w:tcPr>
            <w:tcW w:w="1662" w:type="dxa"/>
          </w:tcPr>
          <w:p w14:paraId="6E639FF7"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Highest increase among women aged 15-19</w:t>
            </w:r>
          </w:p>
        </w:tc>
        <w:tc>
          <w:tcPr>
            <w:tcW w:w="1699" w:type="dxa"/>
          </w:tcPr>
          <w:p w14:paraId="7EFCA776" w14:textId="77777777" w:rsidR="00F31FC5" w:rsidRPr="003B7ED7" w:rsidRDefault="00F31FC5">
            <w:pPr>
              <w:rPr>
                <w:rFonts w:asciiTheme="majorHAnsi" w:hAnsiTheme="majorHAnsi"/>
                <w:sz w:val="20"/>
                <w:szCs w:val="20"/>
                <w:lang w:val="en-US"/>
              </w:rPr>
            </w:pPr>
            <w:r>
              <w:rPr>
                <w:rFonts w:asciiTheme="majorHAnsi" w:hAnsiTheme="majorHAnsi"/>
                <w:sz w:val="20"/>
                <w:szCs w:val="20"/>
                <w:lang w:val="en-US"/>
              </w:rPr>
              <w:t>Highest effect for second and 3+  parity</w:t>
            </w:r>
          </w:p>
        </w:tc>
        <w:tc>
          <w:tcPr>
            <w:tcW w:w="2019" w:type="dxa"/>
          </w:tcPr>
          <w:p w14:paraId="3DB146E3" w14:textId="77777777" w:rsidR="00F31FC5" w:rsidRDefault="00F31FC5">
            <w:pPr>
              <w:rPr>
                <w:rFonts w:asciiTheme="majorHAnsi" w:hAnsiTheme="majorHAnsi"/>
                <w:sz w:val="20"/>
                <w:szCs w:val="20"/>
                <w:lang w:val="en-US"/>
              </w:rPr>
            </w:pPr>
            <w:r>
              <w:rPr>
                <w:rFonts w:asciiTheme="majorHAnsi" w:hAnsiTheme="majorHAnsi"/>
                <w:sz w:val="20"/>
                <w:szCs w:val="20"/>
                <w:lang w:val="en-US"/>
              </w:rPr>
              <w:t xml:space="preserve">Variable across age and parity. </w:t>
            </w:r>
          </w:p>
        </w:tc>
        <w:tc>
          <w:tcPr>
            <w:tcW w:w="2835" w:type="dxa"/>
          </w:tcPr>
          <w:p w14:paraId="54F95764" w14:textId="73131154" w:rsidR="00F31FC5" w:rsidRDefault="00DA7092">
            <w:pPr>
              <w:rPr>
                <w:rFonts w:asciiTheme="majorHAnsi" w:hAnsiTheme="majorHAnsi"/>
                <w:sz w:val="20"/>
                <w:szCs w:val="20"/>
                <w:lang w:val="en-US"/>
              </w:rPr>
            </w:pPr>
            <w:r w:rsidRPr="007E15F6">
              <w:rPr>
                <w:rFonts w:asciiTheme="majorHAnsi" w:hAnsiTheme="majorHAnsi"/>
                <w:noProof/>
                <w:sz w:val="20"/>
                <w:szCs w:val="20"/>
              </w:rPr>
              <w:t xml:space="preserve">(Lain, </w:t>
            </w:r>
            <w:r w:rsidRPr="00DA7092">
              <w:rPr>
                <w:rFonts w:asciiTheme="majorHAnsi" w:hAnsiTheme="majorHAnsi"/>
                <w:i/>
                <w:iCs/>
                <w:noProof/>
                <w:sz w:val="20"/>
                <w:szCs w:val="20"/>
              </w:rPr>
              <w:t>et al</w:t>
            </w:r>
            <w:r w:rsidRPr="007E15F6">
              <w:rPr>
                <w:rFonts w:asciiTheme="majorHAnsi" w:hAnsiTheme="majorHAnsi"/>
                <w:noProof/>
                <w:sz w:val="20"/>
                <w:szCs w:val="20"/>
              </w:rPr>
              <w:t>. 2009)</w:t>
            </w:r>
          </w:p>
        </w:tc>
      </w:tr>
    </w:tbl>
    <w:p w14:paraId="4FCE43EF" w14:textId="77777777" w:rsidR="00F31FC5" w:rsidRDefault="00F31FC5" w:rsidP="00BC5105">
      <w:pPr>
        <w:spacing w:line="276" w:lineRule="auto"/>
        <w:rPr>
          <w:b/>
          <w:lang w:val="en-US"/>
        </w:rPr>
        <w:sectPr w:rsidR="00F31FC5" w:rsidSect="006D6C00">
          <w:pgSz w:w="16838" w:h="11906" w:orient="landscape"/>
          <w:pgMar w:top="1440" w:right="1440" w:bottom="1440" w:left="1440" w:header="708" w:footer="708" w:gutter="0"/>
          <w:cols w:space="708"/>
          <w:docGrid w:linePitch="360"/>
        </w:sectPr>
      </w:pPr>
    </w:p>
    <w:p w14:paraId="57673734" w14:textId="77777777" w:rsidR="009E6589" w:rsidRDefault="009E6589" w:rsidP="00BB3130">
      <w:pPr>
        <w:pStyle w:val="NoSpacing"/>
      </w:pPr>
    </w:p>
    <w:p w14:paraId="37110735" w14:textId="1564CF09" w:rsidR="00F31FC5" w:rsidRPr="00B54270" w:rsidRDefault="00F31FC5" w:rsidP="00BC5105">
      <w:pPr>
        <w:spacing w:line="276" w:lineRule="auto"/>
        <w:rPr>
          <w:i/>
          <w:iCs/>
        </w:rPr>
      </w:pPr>
      <w:r w:rsidRPr="00B54270">
        <w:rPr>
          <w:i/>
          <w:iCs/>
        </w:rPr>
        <w:t>Evidence from other countries</w:t>
      </w:r>
    </w:p>
    <w:p w14:paraId="234E5EDD" w14:textId="61A80E83" w:rsidR="00F31FC5" w:rsidRDefault="00F31FC5" w:rsidP="00BC5105">
      <w:pPr>
        <w:spacing w:line="276" w:lineRule="auto"/>
        <w:jc w:val="both"/>
      </w:pPr>
      <w:r>
        <w:t xml:space="preserve">While there have been a handful of studies that have looked at the fertility effect of the introduction of Baby Bonus type payments in other countries (e.g. for Spain </w:t>
      </w:r>
      <w:r w:rsidRPr="00797D7B">
        <w:rPr>
          <w:rFonts w:cstheme="minorHAnsi"/>
        </w:rPr>
        <w:t xml:space="preserve">see </w:t>
      </w:r>
      <w:r w:rsidR="00707130">
        <w:rPr>
          <w:rFonts w:cstheme="minorHAnsi"/>
          <w:noProof/>
        </w:rPr>
        <w:t>González &amp; Trommlerová, 2021)</w:t>
      </w:r>
      <w:r>
        <w:rPr>
          <w:rFonts w:asciiTheme="majorHAnsi" w:hAnsiTheme="majorHAnsi" w:cstheme="majorHAnsi"/>
          <w:sz w:val="18"/>
          <w:szCs w:val="18"/>
        </w:rPr>
        <w:t xml:space="preserve"> </w:t>
      </w:r>
      <w:r w:rsidRPr="00106B24">
        <w:t>t</w:t>
      </w:r>
      <w:r>
        <w:t xml:space="preserve">he best evidence for the potential impact of Baby Bonus style payments comes from a scheme that operated in the Quebec province of Canada between May 1988 and September 1997. </w:t>
      </w:r>
    </w:p>
    <w:p w14:paraId="4E44F880" w14:textId="258284E2" w:rsidR="00F16E98" w:rsidRDefault="00F31FC5" w:rsidP="00F16E98">
      <w:pPr>
        <w:shd w:val="clear" w:color="auto" w:fill="FFFFFF"/>
        <w:spacing w:line="276" w:lineRule="auto"/>
        <w:jc w:val="both"/>
      </w:pPr>
      <w:r>
        <w:t xml:space="preserve">The </w:t>
      </w:r>
      <w:r w:rsidRPr="00451310">
        <w:t>Allowance for Newborn Children (ANC) was a generous,</w:t>
      </w:r>
      <w:r w:rsidR="00B26336">
        <w:t xml:space="preserve"> non-taxable,</w:t>
      </w:r>
      <w:r w:rsidRPr="00451310">
        <w:t xml:space="preserve"> universal and non-means</w:t>
      </w:r>
      <w:r w:rsidR="00F00356">
        <w:t>-</w:t>
      </w:r>
      <w:r w:rsidRPr="00451310">
        <w:t xml:space="preserve">tested payment. </w:t>
      </w:r>
      <w:r>
        <w:t xml:space="preserve">Over its years of </w:t>
      </w:r>
      <w:r w:rsidR="009E6589">
        <w:t>operation,</w:t>
      </w:r>
      <w:r>
        <w:t xml:space="preserve"> the payment increased, and b</w:t>
      </w:r>
      <w:r w:rsidRPr="00451310">
        <w:t>etween 1992-19</w:t>
      </w:r>
      <w:r>
        <w:t>9</w:t>
      </w:r>
      <w:r w:rsidRPr="00451310">
        <w:t xml:space="preserve">7 the payment was C$500 </w:t>
      </w:r>
      <w:r>
        <w:t xml:space="preserve">at birth </w:t>
      </w:r>
      <w:r w:rsidRPr="00451310">
        <w:t>for the first child, C$1</w:t>
      </w:r>
      <w:r>
        <w:t>,</w:t>
      </w:r>
      <w:r w:rsidRPr="00451310">
        <w:t>000 for the second</w:t>
      </w:r>
      <w:r>
        <w:t xml:space="preserve"> ($500 at birth and $500 on the child’s 1</w:t>
      </w:r>
      <w:r w:rsidRPr="00A7004C">
        <w:rPr>
          <w:vertAlign w:val="superscript"/>
        </w:rPr>
        <w:t>st</w:t>
      </w:r>
      <w:r>
        <w:t xml:space="preserve"> birthday),</w:t>
      </w:r>
      <w:r w:rsidRPr="00451310">
        <w:t xml:space="preserve"> and C$8</w:t>
      </w:r>
      <w:r>
        <w:t>,</w:t>
      </w:r>
      <w:r w:rsidRPr="00451310">
        <w:t>000 for the third child or higher</w:t>
      </w:r>
      <w:r>
        <w:t xml:space="preserve"> birth (paid in 20 quarterly payments of C$400).</w:t>
      </w:r>
      <w:r w:rsidR="00B26336">
        <w:t xml:space="preserve"> </w:t>
      </w:r>
      <w:r w:rsidR="00091259">
        <w:t>The ‘cost’</w:t>
      </w:r>
      <w:r w:rsidR="00EB652E">
        <w:t xml:space="preserve"> to the government</w:t>
      </w:r>
      <w:r w:rsidR="00091259">
        <w:t xml:space="preserve"> of each child born as a result of the ANC program</w:t>
      </w:r>
      <w:r w:rsidR="00091259">
        <w:rPr>
          <w:rStyle w:val="FootnoteReference"/>
        </w:rPr>
        <w:footnoteReference w:id="12"/>
      </w:r>
      <w:r w:rsidR="00091259">
        <w:t xml:space="preserve"> has been calculated as $15,472 CAD </w:t>
      </w:r>
      <w:r w:rsidR="00F16E98">
        <w:t>(</w:t>
      </w:r>
      <w:r w:rsidR="00091259">
        <w:t>Milligan</w:t>
      </w:r>
      <w:r w:rsidR="008D2B35">
        <w:t>,</w:t>
      </w:r>
      <w:r w:rsidR="00091259">
        <w:t xml:space="preserve"> </w:t>
      </w:r>
      <w:r w:rsidR="00F16E98">
        <w:t>2002)</w:t>
      </w:r>
      <w:r w:rsidR="00091259">
        <w:t xml:space="preserve"> to $19,298 CAD (Kim, 2008)</w:t>
      </w:r>
      <w:r w:rsidR="00F16E98">
        <w:t xml:space="preserve">. </w:t>
      </w:r>
      <w:r w:rsidR="00F16E98">
        <w:rPr>
          <w:rFonts w:ascii="Roboto" w:hAnsi="Roboto"/>
          <w:color w:val="555555"/>
          <w:sz w:val="21"/>
          <w:szCs w:val="21"/>
          <w:shd w:val="clear" w:color="auto" w:fill="FFFFFF"/>
        </w:rPr>
        <w:t> </w:t>
      </w:r>
    </w:p>
    <w:p w14:paraId="3077A262" w14:textId="53BF61BA" w:rsidR="00D26761" w:rsidRDefault="00F31FC5" w:rsidP="00BC5105">
      <w:pPr>
        <w:spacing w:line="276" w:lineRule="auto"/>
        <w:jc w:val="both"/>
      </w:pPr>
      <w:r>
        <w:t>The key feature of the ANC which makes it a good subject for study is that it was only implemented in Quebec, and therefore</w:t>
      </w:r>
      <w:r w:rsidR="00D26761">
        <w:t xml:space="preserve"> Quebec’s </w:t>
      </w:r>
      <w:r>
        <w:t>fertility rates can be compared to the rest of Canada</w:t>
      </w:r>
      <w:r w:rsidRPr="00331A15">
        <w:t xml:space="preserve"> </w:t>
      </w:r>
      <w:r w:rsidR="008D2B35">
        <w:rPr>
          <w:noProof/>
        </w:rPr>
        <w:t>(Milligan, 2005)</w:t>
      </w:r>
      <w:r>
        <w:t>, or other provinces such as Ontario</w:t>
      </w:r>
      <w:r w:rsidR="00D26761">
        <w:t>,</w:t>
      </w:r>
      <w:r>
        <w:t xml:space="preserve"> for the same period using difference-in-difference estimators.  In </w:t>
      </w:r>
      <w:r w:rsidR="007863A3">
        <w:t>addition,</w:t>
      </w:r>
      <w:r>
        <w:t xml:space="preserve"> given the time since the policy ended it is possible to </w:t>
      </w:r>
      <w:r w:rsidR="00D26761">
        <w:t xml:space="preserve">some degree, to </w:t>
      </w:r>
      <w:r>
        <w:t>compare completed fertility level</w:t>
      </w:r>
      <w:r w:rsidR="00610E35">
        <w:t>s</w:t>
      </w:r>
      <w:r>
        <w:t xml:space="preserve"> of women in Quebec and the rest of Canada to see whether the policy had a permanent effect rather than a transitory one. </w:t>
      </w:r>
      <w:r w:rsidR="000A22FC">
        <w:t>Unfortunately,</w:t>
      </w:r>
      <w:r w:rsidR="00D26761">
        <w:t xml:space="preserve"> one complicating factor is that there were many region-specific policy changes in Quebec during this time and this makes the identification of a precise effect of the ANC</w:t>
      </w:r>
      <w:r w:rsidR="00C6164F">
        <w:t xml:space="preserve"> more difficult</w:t>
      </w:r>
      <w:r w:rsidR="00D26761">
        <w:t xml:space="preserve"> </w:t>
      </w:r>
      <w:r w:rsidR="008D2B35">
        <w:rPr>
          <w:noProof/>
        </w:rPr>
        <w:t xml:space="preserve">(Bergsvik, </w:t>
      </w:r>
      <w:r w:rsidR="008D2B35" w:rsidRPr="007E15F6">
        <w:rPr>
          <w:i/>
          <w:iCs/>
          <w:noProof/>
        </w:rPr>
        <w:t>et al.</w:t>
      </w:r>
      <w:r w:rsidR="008D2B35">
        <w:rPr>
          <w:noProof/>
        </w:rPr>
        <w:t>, 2020)</w:t>
      </w:r>
      <w:r w:rsidR="00D26761">
        <w:t xml:space="preserve">. </w:t>
      </w:r>
    </w:p>
    <w:p w14:paraId="5D04435D" w14:textId="0043BFB3" w:rsidR="00B066CB" w:rsidRDefault="00707130" w:rsidP="00BC5105">
      <w:pPr>
        <w:spacing w:line="276" w:lineRule="auto"/>
        <w:jc w:val="both"/>
      </w:pPr>
      <w:r>
        <w:t>Overall, t</w:t>
      </w:r>
      <w:r w:rsidR="00B066CB">
        <w:t>here</w:t>
      </w:r>
      <w:r>
        <w:t xml:space="preserve"> is</w:t>
      </w:r>
      <w:r w:rsidR="00B066CB">
        <w:t xml:space="preserve"> clear evidence that Quebec’s ‘baby bonus’ increased fertility. Malak, </w:t>
      </w:r>
      <w:r w:rsidR="00B95174" w:rsidRPr="00B95174">
        <w:rPr>
          <w:i/>
        </w:rPr>
        <w:t>et al.,</w:t>
      </w:r>
      <w:r w:rsidR="00B066CB">
        <w:t xml:space="preserve"> (2019)</w:t>
      </w:r>
      <w:r w:rsidR="000A22FC" w:rsidRPr="00971E24">
        <w:t xml:space="preserve"> suggests that the introduction </w:t>
      </w:r>
      <w:r w:rsidR="00B066CB">
        <w:t>increased the probability of having a child by 10</w:t>
      </w:r>
      <w:r w:rsidR="000A22FC" w:rsidRPr="00971E24">
        <w:t xml:space="preserve">% </w:t>
      </w:r>
      <w:r w:rsidR="00B066CB">
        <w:t xml:space="preserve">for first children, 3% for second children and 23% for third children. </w:t>
      </w:r>
      <w:r w:rsidR="00B26336">
        <w:t xml:space="preserve">Milligan (2005) finds a similar effect for third children. </w:t>
      </w:r>
      <w:r w:rsidR="00B066CB">
        <w:t xml:space="preserve">This pattern can be explained by the fact that most parents with one child will go on to have a second child regardless whereas the cash incentive was more of an encouragement for first-time parents or parents of two children to try for a third (Malak, </w:t>
      </w:r>
      <w:r w:rsidR="00B95174" w:rsidRPr="00B95174">
        <w:rPr>
          <w:i/>
        </w:rPr>
        <w:t>et al.,</w:t>
      </w:r>
      <w:r w:rsidR="00B066CB">
        <w:t xml:space="preserve"> 2019). </w:t>
      </w:r>
      <w:r w:rsidR="00A2399E">
        <w:t xml:space="preserve"> </w:t>
      </w:r>
    </w:p>
    <w:p w14:paraId="51A051CB" w14:textId="3879F132" w:rsidR="00F31FC5" w:rsidRDefault="00F31FC5" w:rsidP="00BC5105">
      <w:pPr>
        <w:spacing w:line="276" w:lineRule="auto"/>
        <w:jc w:val="both"/>
      </w:pPr>
      <w:r>
        <w:t>Kim</w:t>
      </w:r>
      <w:r w:rsidR="008D2B35">
        <w:rPr>
          <w:noProof/>
        </w:rPr>
        <w:t xml:space="preserve"> (2014)</w:t>
      </w:r>
      <w:r w:rsidR="00D816B2">
        <w:t xml:space="preserve"> </w:t>
      </w:r>
      <w:r w:rsidR="00B066CB">
        <w:t xml:space="preserve">and Malak, </w:t>
      </w:r>
      <w:r w:rsidR="00B95174" w:rsidRPr="00B95174">
        <w:rPr>
          <w:i/>
        </w:rPr>
        <w:t>et al.,</w:t>
      </w:r>
      <w:r w:rsidR="00B066CB">
        <w:t xml:space="preserve"> (2019) both tried to answer the question of whether the policy had a permanent effect on completed fertility rather than just a tempo effect, with varying results. Kim (2014) </w:t>
      </w:r>
      <w:r>
        <w:t xml:space="preserve">compared the fertility of Quebec with the rest of Canada using a public-use census file. Comparing the completed fertility of cohorts of women up to the 1962 birth cohort they conclude that the ANC led to a shift in the timing of childbearing, but it had no lasting effect on completed fertility.  In contrast using a richer dataset with vital </w:t>
      </w:r>
      <w:r w:rsidR="007863A3">
        <w:t>statistics data and</w:t>
      </w:r>
      <w:r>
        <w:t xml:space="preserve"> comparing the completed fertility in Quebec and Ontario at age 39 for cohorts born 1935-1973 </w:t>
      </w:r>
      <w:r w:rsidR="001E0F6C">
        <w:rPr>
          <w:noProof/>
        </w:rPr>
        <w:t xml:space="preserve">(Malak, </w:t>
      </w:r>
      <w:r w:rsidR="001E0F6C" w:rsidRPr="00722F28">
        <w:rPr>
          <w:i/>
          <w:iCs/>
          <w:noProof/>
        </w:rPr>
        <w:t>et al.</w:t>
      </w:r>
      <w:r w:rsidR="001E0F6C">
        <w:rPr>
          <w:noProof/>
        </w:rPr>
        <w:t xml:space="preserve"> 2019)</w:t>
      </w:r>
      <w:r>
        <w:t xml:space="preserve"> find that for the cohorts most affected by the ANC, </w:t>
      </w:r>
      <w:r w:rsidR="00C6164F">
        <w:t xml:space="preserve">i.e. for the women that were exposed to the program for the longest time during their key reproductive years, </w:t>
      </w:r>
      <w:r>
        <w:t xml:space="preserve">the completed fertility rate started climbing and suggests there was a permanent effect on fertility. They also find a hump-shaped pattern with income and fertility suggesting that those with middle-incomes were the most responsive. </w:t>
      </w:r>
      <w:r w:rsidR="00322C5F">
        <w:t xml:space="preserve"> </w:t>
      </w:r>
    </w:p>
    <w:p w14:paraId="472ABD26" w14:textId="12BD9916" w:rsidR="00F31FC5" w:rsidRPr="007A652A" w:rsidRDefault="00924610" w:rsidP="00BC5105">
      <w:pPr>
        <w:pStyle w:val="Heading2"/>
        <w:spacing w:line="276" w:lineRule="auto"/>
      </w:pPr>
      <w:bookmarkStart w:id="82" w:name="_Toc87454617"/>
      <w:bookmarkStart w:id="83" w:name="_Toc98404964"/>
      <w:r>
        <w:lastRenderedPageBreak/>
        <w:t>Conclusion</w:t>
      </w:r>
      <w:bookmarkEnd w:id="82"/>
      <w:bookmarkEnd w:id="83"/>
    </w:p>
    <w:p w14:paraId="4DA72C8D" w14:textId="35034A76" w:rsidR="00F31FC5" w:rsidRDefault="00924610" w:rsidP="00BC5105">
      <w:pPr>
        <w:spacing w:line="276" w:lineRule="auto"/>
        <w:jc w:val="both"/>
      </w:pPr>
      <w:r>
        <w:t xml:space="preserve">Most OECD countries have at least one type of financial transfer for parents, although these transfers vary widely in terms of their generosity and eligibility. Along with other liberal welfare states, Australia has relatively generous mean-tested transfers to parents in the form of the Family Tax Benefit A and B. </w:t>
      </w:r>
      <w:r w:rsidR="00610E35">
        <w:t>Plausibly</w:t>
      </w:r>
      <w:r>
        <w:t>, b</w:t>
      </w:r>
      <w:r w:rsidR="00F31FC5">
        <w:t xml:space="preserve">y assisting with the direct costs of raising children, </w:t>
      </w:r>
      <w:r w:rsidR="00F31FC5" w:rsidRPr="009B48F3">
        <w:t>financial transfers may support individuals in their childbearing decisions</w:t>
      </w:r>
      <w:r>
        <w:t xml:space="preserve"> and have a positive impact on fertility</w:t>
      </w:r>
      <w:r w:rsidR="00F31FC5">
        <w:t>.</w:t>
      </w:r>
      <w:r>
        <w:t xml:space="preserve"> </w:t>
      </w:r>
      <w:r w:rsidR="00F31FC5">
        <w:t>However, children are expensive  and financial transfers only cover a small proportion of the costs of children</w:t>
      </w:r>
      <w:r w:rsidR="0030628D">
        <w:t xml:space="preserve"> </w:t>
      </w:r>
      <w:r w:rsidR="0030628D">
        <w:rPr>
          <w:noProof/>
        </w:rPr>
        <w:t>(Kim, 2014)</w:t>
      </w:r>
      <w:r w:rsidR="00F31FC5">
        <w:t>. As such</w:t>
      </w:r>
      <w:r w:rsidR="00BA7A9F">
        <w:t>,</w:t>
      </w:r>
      <w:r w:rsidR="00F31FC5">
        <w:t xml:space="preserve"> most studies </w:t>
      </w:r>
      <w:r>
        <w:t xml:space="preserve">based on reforms in other countries </w:t>
      </w:r>
      <w:r w:rsidR="009E7EBB">
        <w:t>find</w:t>
      </w:r>
      <w:r w:rsidR="00F31FC5">
        <w:t xml:space="preserve"> only modest positive results on fertility. </w:t>
      </w:r>
      <w:r w:rsidR="00CB32DA">
        <w:t xml:space="preserve"> More generous benefits, including </w:t>
      </w:r>
      <w:r w:rsidR="00F31FC5">
        <w:t xml:space="preserve">universal </w:t>
      </w:r>
      <w:r w:rsidR="00CB32DA">
        <w:t>transfers</w:t>
      </w:r>
      <w:r>
        <w:t xml:space="preserve"> and baby bonus style payments such as the one implemented in Quebec</w:t>
      </w:r>
      <w:r w:rsidR="00F31FC5" w:rsidRPr="009B48F3">
        <w:t xml:space="preserve">, </w:t>
      </w:r>
      <w:r>
        <w:t>appear to have a greater impact on fertility</w:t>
      </w:r>
      <w:r w:rsidR="00C6164F">
        <w:t xml:space="preserve"> </w:t>
      </w:r>
      <w:r w:rsidR="001E0F6C">
        <w:rPr>
          <w:noProof/>
        </w:rPr>
        <w:t xml:space="preserve">(Sobokta, </w:t>
      </w:r>
      <w:r w:rsidR="004F616F">
        <w:rPr>
          <w:i/>
          <w:noProof/>
        </w:rPr>
        <w:t>et al</w:t>
      </w:r>
      <w:r w:rsidR="00B95174" w:rsidRPr="00B95174">
        <w:rPr>
          <w:i/>
          <w:noProof/>
        </w:rPr>
        <w:t>,</w:t>
      </w:r>
      <w:r w:rsidR="001E0F6C">
        <w:rPr>
          <w:noProof/>
        </w:rPr>
        <w:t xml:space="preserve"> 2020; Thévenon &amp; Gauthier, 2011)</w:t>
      </w:r>
      <w:r w:rsidR="009E7EBB">
        <w:t>.</w:t>
      </w:r>
      <w:r w:rsidR="00F31FC5">
        <w:t xml:space="preserve"> </w:t>
      </w:r>
    </w:p>
    <w:p w14:paraId="2164FD95" w14:textId="120F88B9" w:rsidR="00F31FC5" w:rsidRDefault="00F31FC5" w:rsidP="00BC5105">
      <w:pPr>
        <w:spacing w:line="276" w:lineRule="auto"/>
        <w:jc w:val="both"/>
      </w:pPr>
      <w:r w:rsidRPr="00403A40">
        <w:t xml:space="preserve">It is also possible that financial transfers have an indirect effect by changing social norms concerning childbearing. If a transparent payment, such as a Baby Bonus, is introduced and accompanied by an explicit and repeated message from both government and the media that emphasises the importance of having children, this may foster a more favourable community attitude to family formation </w:t>
      </w:r>
      <w:r w:rsidR="008D2B35">
        <w:rPr>
          <w:noProof/>
        </w:rPr>
        <w:t>(Lattimore &amp; Pobke, 2008)</w:t>
      </w:r>
      <w:r w:rsidRPr="00403A40">
        <w:t>.</w:t>
      </w:r>
      <w:r w:rsidR="00724C80">
        <w:t xml:space="preserve"> In their review of the effects of birth grants and child allowances in South Korea, Son </w:t>
      </w:r>
      <w:r w:rsidR="008D2B35">
        <w:rPr>
          <w:noProof/>
        </w:rPr>
        <w:t>(2018)</w:t>
      </w:r>
      <w:sdt>
        <w:sdtPr>
          <w:id w:val="-1484767857"/>
          <w:showingPlcHdr/>
          <w:citation/>
        </w:sdtPr>
        <w:sdtEndPr/>
        <w:sdtContent>
          <w:r w:rsidR="0011465C">
            <w:t xml:space="preserve">     </w:t>
          </w:r>
        </w:sdtContent>
      </w:sdt>
      <w:r w:rsidR="0076763B">
        <w:t xml:space="preserve"> </w:t>
      </w:r>
      <w:r w:rsidR="00724C80">
        <w:t>also suggest that part of the effect is a sym</w:t>
      </w:r>
      <w:r w:rsidR="004F616F">
        <w:t>bolic one, in which the policy ‘</w:t>
      </w:r>
      <w:r w:rsidR="00724C80">
        <w:t>makes parents feel that they are supported by the government in</w:t>
      </w:r>
      <w:r w:rsidR="004F616F">
        <w:t xml:space="preserve"> their decision to have a child’</w:t>
      </w:r>
      <w:r w:rsidR="00724C80">
        <w:t xml:space="preserve">. </w:t>
      </w:r>
      <w:r>
        <w:t xml:space="preserve">This </w:t>
      </w:r>
      <w:r w:rsidR="00C6164F">
        <w:t xml:space="preserve">was also </w:t>
      </w:r>
      <w:r>
        <w:t xml:space="preserve">highlighted in a qualitative study of </w:t>
      </w:r>
      <w:r w:rsidR="00C6164F">
        <w:t>young female recip</w:t>
      </w:r>
      <w:r>
        <w:t xml:space="preserve">ients of the Baby Bonus </w:t>
      </w:r>
      <w:r w:rsidR="00C6164F">
        <w:t xml:space="preserve">in Australia </w:t>
      </w:r>
      <w:r>
        <w:t xml:space="preserve">who felt the payment had a social symbolic value that reflected the value </w:t>
      </w:r>
      <w:r w:rsidR="00610E35">
        <w:t xml:space="preserve">that the </w:t>
      </w:r>
      <w:r>
        <w:t xml:space="preserve">government attributed to them as mothers </w:t>
      </w:r>
      <w:r w:rsidR="001E0F6C">
        <w:rPr>
          <w:noProof/>
        </w:rPr>
        <w:t xml:space="preserve">(Garret, </w:t>
      </w:r>
      <w:r w:rsidR="00B95174" w:rsidRPr="00B95174">
        <w:rPr>
          <w:i/>
          <w:noProof/>
        </w:rPr>
        <w:t>et al.</w:t>
      </w:r>
      <w:r w:rsidR="001E0F6C">
        <w:rPr>
          <w:noProof/>
        </w:rPr>
        <w:t xml:space="preserve"> 2017)</w:t>
      </w:r>
      <w:r>
        <w:t>.</w:t>
      </w:r>
    </w:p>
    <w:p w14:paraId="3A61073C" w14:textId="0FACBE0F" w:rsidR="00F31FC5" w:rsidRDefault="00F31FC5" w:rsidP="00BC5105">
      <w:pPr>
        <w:spacing w:line="276" w:lineRule="auto"/>
        <w:jc w:val="both"/>
      </w:pPr>
      <w:r>
        <w:t xml:space="preserve">For any payment to </w:t>
      </w:r>
      <w:r w:rsidR="009E6589">
        <w:t>influence</w:t>
      </w:r>
      <w:r>
        <w:t xml:space="preserve"> fertility </w:t>
      </w:r>
      <w:r w:rsidR="009E6589">
        <w:t xml:space="preserve">it likely needs to be </w:t>
      </w:r>
      <w:r>
        <w:t xml:space="preserve">simple so that parents, and potential parents, understand the value of payments received </w:t>
      </w:r>
      <w:r w:rsidR="00A360FB">
        <w:t xml:space="preserve">to enable them to </w:t>
      </w:r>
      <w:r>
        <w:t xml:space="preserve">incorporate this into their childbearing decision making. In Australia, although the family tax benefit system was simplified in 2000, many families still find the system complex and confusing making it difficult for them to make informed decisions about workforce participation and financial planning, and the decision to have a child or additional children </w:t>
      </w:r>
      <w:r w:rsidR="008D2B35">
        <w:rPr>
          <w:noProof/>
        </w:rPr>
        <w:t>(Human Rights and Equal Opportunity Commission, 2007; Jha, 2014)</w:t>
      </w:r>
      <w:r w:rsidR="00724C80">
        <w:t>.</w:t>
      </w:r>
    </w:p>
    <w:p w14:paraId="12B018F5" w14:textId="77777777" w:rsidR="00C6164F" w:rsidRDefault="00C6164F" w:rsidP="00BC5105">
      <w:pPr>
        <w:pStyle w:val="Heading1"/>
        <w:spacing w:line="276" w:lineRule="auto"/>
        <w:sectPr w:rsidR="00C6164F">
          <w:pgSz w:w="11906" w:h="16838"/>
          <w:pgMar w:top="1440" w:right="1440" w:bottom="1440" w:left="1440" w:header="708" w:footer="708" w:gutter="0"/>
          <w:cols w:space="708"/>
          <w:docGrid w:linePitch="360"/>
        </w:sectPr>
      </w:pPr>
      <w:bookmarkStart w:id="84" w:name="_Toc81572939"/>
      <w:bookmarkEnd w:id="84"/>
    </w:p>
    <w:p w14:paraId="04E52BAE" w14:textId="1D17435E" w:rsidR="00F31FC5" w:rsidRDefault="00F31FC5" w:rsidP="00BC5105">
      <w:pPr>
        <w:pStyle w:val="Heading1"/>
        <w:spacing w:line="276" w:lineRule="auto"/>
      </w:pPr>
      <w:bookmarkStart w:id="85" w:name="_Toc87454618"/>
      <w:bookmarkStart w:id="86" w:name="_Toc98404965"/>
      <w:r w:rsidRPr="00B6667C">
        <w:lastRenderedPageBreak/>
        <w:t>Parental leave</w:t>
      </w:r>
      <w:bookmarkEnd w:id="85"/>
      <w:bookmarkEnd w:id="86"/>
    </w:p>
    <w:p w14:paraId="20803DA0" w14:textId="72C8D9BF" w:rsidR="00B7053A" w:rsidRDefault="00B7053A" w:rsidP="00B7053A">
      <w:pPr>
        <w:rPr>
          <w:lang w:val="en-US"/>
        </w:rPr>
      </w:pPr>
    </w:p>
    <w:p w14:paraId="1E565E30" w14:textId="041949C9" w:rsidR="00B7053A" w:rsidRPr="006C6E6D" w:rsidRDefault="00B7053A" w:rsidP="00B7053A">
      <w:pPr>
        <w:rPr>
          <w:b/>
          <w:bCs/>
          <w:lang w:val="en-US"/>
        </w:rPr>
      </w:pPr>
      <w:r w:rsidRPr="006C6E6D">
        <w:rPr>
          <w:b/>
          <w:bCs/>
          <w:lang w:val="en-US"/>
        </w:rPr>
        <w:t>Key points</w:t>
      </w:r>
    </w:p>
    <w:p w14:paraId="09DE36A8" w14:textId="53E97B1F" w:rsidR="00B7053A" w:rsidRDefault="00B7053A" w:rsidP="00244248">
      <w:pPr>
        <w:pStyle w:val="ListParagraph"/>
        <w:numPr>
          <w:ilvl w:val="0"/>
          <w:numId w:val="22"/>
        </w:numPr>
        <w:rPr>
          <w:lang w:val="en-US"/>
        </w:rPr>
      </w:pPr>
      <w:r>
        <w:rPr>
          <w:lang w:val="en-US"/>
        </w:rPr>
        <w:t>Paid parental leave policies decrease the opportunity cost of childbearing for women by allowing for career</w:t>
      </w:r>
      <w:r w:rsidR="00A360FB">
        <w:rPr>
          <w:lang w:val="en-US"/>
        </w:rPr>
        <w:t xml:space="preserve"> </w:t>
      </w:r>
      <w:r>
        <w:rPr>
          <w:lang w:val="en-US"/>
        </w:rPr>
        <w:t xml:space="preserve">continuity, and compensating for lost income due to time taken away from the workforce </w:t>
      </w:r>
    </w:p>
    <w:p w14:paraId="59304955" w14:textId="3F253658" w:rsidR="00B7053A" w:rsidRDefault="00B7053A" w:rsidP="00244248">
      <w:pPr>
        <w:pStyle w:val="ListParagraph"/>
        <w:numPr>
          <w:ilvl w:val="0"/>
          <w:numId w:val="22"/>
        </w:numPr>
        <w:rPr>
          <w:lang w:val="en-US"/>
        </w:rPr>
      </w:pPr>
      <w:r>
        <w:rPr>
          <w:lang w:val="en-US"/>
        </w:rPr>
        <w:t>Across OECD countries there is substantial diversity in the design and format of maternity and paternity leave, in terms of duration, replacement rate, and eligibility</w:t>
      </w:r>
    </w:p>
    <w:p w14:paraId="2BC16521" w14:textId="11A29EE5" w:rsidR="00B7053A" w:rsidRDefault="00B7053A" w:rsidP="00244248">
      <w:pPr>
        <w:pStyle w:val="ListParagraph"/>
        <w:numPr>
          <w:ilvl w:val="0"/>
          <w:numId w:val="22"/>
        </w:numPr>
        <w:rPr>
          <w:lang w:val="en-US"/>
        </w:rPr>
      </w:pPr>
      <w:r>
        <w:rPr>
          <w:lang w:val="en-US"/>
        </w:rPr>
        <w:t>Australia has had paid parental leave since 2011, and paid paternity leave since 2013, but uptake by fathers has been low</w:t>
      </w:r>
    </w:p>
    <w:p w14:paraId="0F955F1D" w14:textId="26B67143" w:rsidR="00B7053A" w:rsidRDefault="00B7053A" w:rsidP="00244248">
      <w:pPr>
        <w:pStyle w:val="ListParagraph"/>
        <w:numPr>
          <w:ilvl w:val="0"/>
          <w:numId w:val="22"/>
        </w:numPr>
        <w:rPr>
          <w:lang w:val="en-US"/>
        </w:rPr>
      </w:pPr>
      <w:r>
        <w:rPr>
          <w:lang w:val="en-US"/>
        </w:rPr>
        <w:t xml:space="preserve">Evidence from reforms introduced in other countries suggests that </w:t>
      </w:r>
      <w:r w:rsidR="008D2B35">
        <w:rPr>
          <w:lang w:val="en-US"/>
        </w:rPr>
        <w:t>well-</w:t>
      </w:r>
      <w:r>
        <w:rPr>
          <w:lang w:val="en-US"/>
        </w:rPr>
        <w:t>paid maternity leave has a positive effect on fertility, at least in the short term</w:t>
      </w:r>
    </w:p>
    <w:p w14:paraId="3B069AEB" w14:textId="4023E86A" w:rsidR="00B7053A" w:rsidRPr="00B7053A" w:rsidRDefault="00B7053A" w:rsidP="00244248">
      <w:pPr>
        <w:pStyle w:val="ListParagraph"/>
        <w:numPr>
          <w:ilvl w:val="0"/>
          <w:numId w:val="22"/>
        </w:numPr>
        <w:rPr>
          <w:lang w:val="en-US"/>
        </w:rPr>
      </w:pPr>
      <w:r>
        <w:rPr>
          <w:lang w:val="en-US"/>
        </w:rPr>
        <w:t>Evidence from the introduction of father quotas is more mixed and dependent on the social context</w:t>
      </w:r>
    </w:p>
    <w:p w14:paraId="765C7362" w14:textId="77777777" w:rsidR="00B7053A" w:rsidRPr="00A1335B" w:rsidRDefault="00B7053A" w:rsidP="006C6E6D"/>
    <w:p w14:paraId="66C9763E" w14:textId="77777777" w:rsidR="00F31FC5" w:rsidRPr="00B6667C" w:rsidRDefault="00F31FC5" w:rsidP="00BC5105">
      <w:pPr>
        <w:pStyle w:val="Heading2"/>
        <w:spacing w:line="276" w:lineRule="auto"/>
      </w:pPr>
      <w:bookmarkStart w:id="87" w:name="_Toc87454619"/>
      <w:bookmarkStart w:id="88" w:name="_Toc98404966"/>
      <w:r w:rsidRPr="00B6667C">
        <w:t>Theoretical link between parental leave and fertility</w:t>
      </w:r>
      <w:bookmarkEnd w:id="87"/>
      <w:bookmarkEnd w:id="88"/>
      <w:r w:rsidRPr="00B6667C">
        <w:t xml:space="preserve"> </w:t>
      </w:r>
    </w:p>
    <w:p w14:paraId="0F148590" w14:textId="6ABB1876" w:rsidR="003422B5" w:rsidRDefault="006A2135" w:rsidP="00BB3130">
      <w:pPr>
        <w:pStyle w:val="NormalWeb"/>
        <w:spacing w:before="0" w:beforeAutospacing="0" w:after="0" w:afterAutospacing="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Most parents work before and after the birth of a child. In Australia, of women aged 15 and over who had a child under aged 2, 73% had a job at some stage during their pregnancy </w:t>
      </w:r>
      <w:r w:rsidR="008D2B35" w:rsidRPr="007E15F6">
        <w:rPr>
          <w:rFonts w:asciiTheme="minorHAnsi" w:eastAsiaTheme="minorHAnsi" w:hAnsiTheme="minorHAnsi" w:cstheme="minorBidi"/>
          <w:noProof/>
          <w:sz w:val="22"/>
          <w:szCs w:val="22"/>
          <w:lang w:eastAsia="en-US"/>
        </w:rPr>
        <w:t>(Australian Bureau of Statistics, 2018)</w:t>
      </w:r>
      <w:r>
        <w:rPr>
          <w:rFonts w:asciiTheme="minorHAnsi" w:eastAsiaTheme="minorHAnsi" w:hAnsiTheme="minorHAnsi" w:cstheme="minorBidi"/>
          <w:sz w:val="22"/>
          <w:szCs w:val="22"/>
          <w:lang w:eastAsia="en-US"/>
        </w:rPr>
        <w:t xml:space="preserve">. </w:t>
      </w:r>
      <w:r w:rsidR="007C5D4D">
        <w:rPr>
          <w:rFonts w:asciiTheme="minorHAnsi" w:eastAsiaTheme="minorHAnsi" w:hAnsiTheme="minorHAnsi" w:cstheme="minorBidi"/>
          <w:sz w:val="22"/>
          <w:szCs w:val="22"/>
          <w:lang w:eastAsia="en-US"/>
        </w:rPr>
        <w:t xml:space="preserve"> For mothers, employment before and after the birth of the child is higher if it</w:t>
      </w:r>
      <w:r w:rsidR="00A360FB">
        <w:rPr>
          <w:rFonts w:asciiTheme="minorHAnsi" w:eastAsiaTheme="minorHAnsi" w:hAnsiTheme="minorHAnsi" w:cstheme="minorBidi"/>
          <w:sz w:val="22"/>
          <w:szCs w:val="22"/>
          <w:lang w:eastAsia="en-US"/>
        </w:rPr>
        <w:t xml:space="preserve"> i</w:t>
      </w:r>
      <w:r w:rsidR="007C5D4D">
        <w:rPr>
          <w:rFonts w:asciiTheme="minorHAnsi" w:eastAsiaTheme="minorHAnsi" w:hAnsiTheme="minorHAnsi" w:cstheme="minorBidi"/>
          <w:sz w:val="22"/>
          <w:szCs w:val="22"/>
          <w:lang w:eastAsia="en-US"/>
        </w:rPr>
        <w:t xml:space="preserve">s </w:t>
      </w:r>
      <w:r w:rsidR="003422B5">
        <w:rPr>
          <w:rFonts w:asciiTheme="minorHAnsi" w:eastAsiaTheme="minorHAnsi" w:hAnsiTheme="minorHAnsi" w:cstheme="minorBidi"/>
          <w:sz w:val="22"/>
          <w:szCs w:val="22"/>
          <w:lang w:eastAsia="en-US"/>
        </w:rPr>
        <w:t>their</w:t>
      </w:r>
      <w:r w:rsidR="007C5D4D">
        <w:rPr>
          <w:rFonts w:asciiTheme="minorHAnsi" w:eastAsiaTheme="minorHAnsi" w:hAnsiTheme="minorHAnsi" w:cstheme="minorBidi"/>
          <w:sz w:val="22"/>
          <w:szCs w:val="22"/>
          <w:lang w:eastAsia="en-US"/>
        </w:rPr>
        <w:t xml:space="preserve"> first child and declines as the number of children in the family increases. </w:t>
      </w:r>
      <w:r w:rsidR="002D0A08">
        <w:rPr>
          <w:rFonts w:asciiTheme="minorHAnsi" w:eastAsiaTheme="minorHAnsi" w:hAnsiTheme="minorHAnsi" w:cstheme="minorBidi"/>
          <w:sz w:val="22"/>
          <w:szCs w:val="22"/>
          <w:lang w:eastAsia="en-US"/>
        </w:rPr>
        <w:t xml:space="preserve">Mothers with higher education levels are more likely to be employed pre-birth and post-birth, and to return to the labour market </w:t>
      </w:r>
      <w:r w:rsidR="00A360FB">
        <w:rPr>
          <w:rFonts w:asciiTheme="minorHAnsi" w:eastAsiaTheme="minorHAnsi" w:hAnsiTheme="minorHAnsi" w:cstheme="minorBidi"/>
          <w:sz w:val="22"/>
          <w:szCs w:val="22"/>
          <w:lang w:eastAsia="en-US"/>
        </w:rPr>
        <w:t>faster after having a birth</w:t>
      </w:r>
      <w:r w:rsidR="002D0A08">
        <w:rPr>
          <w:rFonts w:asciiTheme="minorHAnsi" w:eastAsiaTheme="minorHAnsi" w:hAnsiTheme="minorHAnsi" w:cstheme="minorBidi"/>
          <w:sz w:val="22"/>
          <w:szCs w:val="22"/>
          <w:lang w:eastAsia="en-US"/>
        </w:rPr>
        <w:t xml:space="preserve"> </w:t>
      </w:r>
      <w:r w:rsidR="00B23788">
        <w:rPr>
          <w:rFonts w:asciiTheme="minorHAnsi" w:eastAsiaTheme="minorHAnsi" w:hAnsiTheme="minorHAnsi" w:cstheme="minorBidi"/>
          <w:noProof/>
          <w:sz w:val="22"/>
          <w:szCs w:val="22"/>
          <w:lang w:eastAsia="en-US"/>
        </w:rPr>
        <w:t>(Baxter, 2013; Ulker &amp; Guven, 2011)</w:t>
      </w:r>
      <w:r w:rsidR="002D0A08">
        <w:rPr>
          <w:rFonts w:asciiTheme="minorHAnsi" w:eastAsiaTheme="minorHAnsi" w:hAnsiTheme="minorHAnsi" w:cstheme="minorBidi"/>
          <w:sz w:val="22"/>
          <w:szCs w:val="22"/>
          <w:lang w:eastAsia="en-US"/>
        </w:rPr>
        <w:t xml:space="preserve">.  </w:t>
      </w:r>
    </w:p>
    <w:p w14:paraId="4911058A" w14:textId="77777777" w:rsidR="003422B5" w:rsidRDefault="003422B5" w:rsidP="00BB3130">
      <w:pPr>
        <w:pStyle w:val="NormalWeb"/>
        <w:spacing w:before="0" w:beforeAutospacing="0" w:after="0" w:afterAutospacing="0" w:line="276" w:lineRule="auto"/>
        <w:rPr>
          <w:rFonts w:asciiTheme="minorHAnsi" w:eastAsiaTheme="minorHAnsi" w:hAnsiTheme="minorHAnsi" w:cstheme="minorBidi"/>
          <w:sz w:val="22"/>
          <w:szCs w:val="22"/>
          <w:lang w:eastAsia="en-US"/>
        </w:rPr>
      </w:pPr>
    </w:p>
    <w:p w14:paraId="1EFDD2EA" w14:textId="22825D31" w:rsidR="00331B98" w:rsidRDefault="002D0A08" w:rsidP="00C7426C">
      <w:pPr>
        <w:pStyle w:val="NormalWeb"/>
        <w:spacing w:before="0" w:beforeAutospacing="0" w:after="0" w:afterAutospacing="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aim of parental leave policies is</w:t>
      </w:r>
      <w:r w:rsidR="003422B5">
        <w:rPr>
          <w:rFonts w:asciiTheme="minorHAnsi" w:eastAsiaTheme="minorHAnsi" w:hAnsiTheme="minorHAnsi" w:cstheme="minorBidi"/>
          <w:sz w:val="22"/>
          <w:szCs w:val="22"/>
          <w:lang w:eastAsia="en-US"/>
        </w:rPr>
        <w:t xml:space="preserve"> not to increase fertility but</w:t>
      </w:r>
      <w:r>
        <w:rPr>
          <w:rFonts w:asciiTheme="minorHAnsi" w:eastAsiaTheme="minorHAnsi" w:hAnsiTheme="minorHAnsi" w:cstheme="minorBidi"/>
          <w:sz w:val="22"/>
          <w:szCs w:val="22"/>
          <w:lang w:eastAsia="en-US"/>
        </w:rPr>
        <w:t xml:space="preserve"> to </w:t>
      </w:r>
      <w:r w:rsidR="00F31FC5" w:rsidRPr="00BB3130">
        <w:rPr>
          <w:rFonts w:asciiTheme="minorHAnsi" w:hAnsiTheme="minorHAnsi"/>
          <w:sz w:val="22"/>
        </w:rPr>
        <w:t>improve family wellbeing and promote career continuity by helping employees balance competing job and family responsibilities</w:t>
      </w:r>
      <w:r w:rsidR="008D2B35">
        <w:rPr>
          <w:rFonts w:asciiTheme="minorHAnsi" w:hAnsiTheme="minorHAnsi" w:cstheme="minorHAnsi"/>
          <w:noProof/>
          <w:sz w:val="22"/>
          <w:szCs w:val="22"/>
        </w:rPr>
        <w:t xml:space="preserve"> </w:t>
      </w:r>
      <w:r w:rsidR="008D2B35" w:rsidRPr="007E15F6">
        <w:rPr>
          <w:rFonts w:asciiTheme="minorHAnsi" w:hAnsiTheme="minorHAnsi" w:cstheme="minorHAnsi"/>
          <w:noProof/>
          <w:sz w:val="22"/>
          <w:szCs w:val="22"/>
        </w:rPr>
        <w:t>(Rossin-Slater, 2018)</w:t>
      </w:r>
      <w:r w:rsidR="008D2B35" w:rsidRPr="00A1335B">
        <w:rPr>
          <w:rFonts w:asciiTheme="minorHAnsi" w:eastAsiaTheme="minorHAnsi" w:hAnsiTheme="minorHAnsi" w:cstheme="minorHAnsi"/>
          <w:sz w:val="22"/>
          <w:szCs w:val="22"/>
          <w:lang w:eastAsia="en-US"/>
        </w:rPr>
        <w:t xml:space="preserve">. This can be seen </w:t>
      </w:r>
      <w:r w:rsidR="008D2B35" w:rsidRPr="00423954">
        <w:rPr>
          <w:rFonts w:asciiTheme="minorHAnsi" w:eastAsiaTheme="minorHAnsi" w:hAnsiTheme="minorHAnsi" w:cstheme="minorHAnsi"/>
          <w:sz w:val="22"/>
          <w:szCs w:val="22"/>
          <w:lang w:eastAsia="en-US"/>
        </w:rPr>
        <w:t>in the stated objectives of Australia’s Paid Parental Leave</w:t>
      </w:r>
      <w:r w:rsidR="008D2B35" w:rsidRPr="00331B98">
        <w:rPr>
          <w:rFonts w:asciiTheme="minorHAnsi" w:eastAsiaTheme="minorHAnsi" w:hAnsiTheme="minorHAnsi" w:cstheme="minorBidi"/>
          <w:sz w:val="22"/>
          <w:szCs w:val="22"/>
          <w:lang w:eastAsia="en-US"/>
        </w:rPr>
        <w:t xml:space="preserve"> scheme are </w:t>
      </w:r>
      <w:r w:rsidR="00DA7092" w:rsidRPr="00331B98">
        <w:rPr>
          <w:rFonts w:asciiTheme="minorHAnsi" w:eastAsiaTheme="minorHAnsi" w:hAnsiTheme="minorHAnsi" w:cstheme="minorBidi"/>
          <w:sz w:val="22"/>
          <w:szCs w:val="22"/>
          <w:lang w:eastAsia="en-US"/>
        </w:rPr>
        <w:t xml:space="preserve">to </w:t>
      </w:r>
      <w:r w:rsidR="00DA7092">
        <w:rPr>
          <w:rFonts w:asciiTheme="minorHAnsi" w:eastAsiaTheme="minorHAnsi" w:hAnsiTheme="minorHAnsi" w:cstheme="minorBidi"/>
          <w:noProof/>
          <w:sz w:val="22"/>
          <w:szCs w:val="22"/>
          <w:lang w:eastAsia="en-US"/>
        </w:rPr>
        <w:t>(</w:t>
      </w:r>
      <w:r w:rsidR="008D2B35" w:rsidRPr="007E15F6">
        <w:rPr>
          <w:rFonts w:asciiTheme="minorHAnsi" w:eastAsiaTheme="minorHAnsi" w:hAnsiTheme="minorHAnsi" w:cstheme="minorBidi"/>
          <w:noProof/>
          <w:sz w:val="22"/>
          <w:szCs w:val="22"/>
          <w:lang w:eastAsia="en-US"/>
        </w:rPr>
        <w:t>Department of Social Services , 2021)</w:t>
      </w:r>
      <w:r w:rsidR="008D2B35" w:rsidRPr="00331B98">
        <w:rPr>
          <w:rFonts w:asciiTheme="minorHAnsi" w:eastAsiaTheme="minorHAnsi" w:hAnsiTheme="minorHAnsi" w:cstheme="minorBidi"/>
          <w:sz w:val="22"/>
          <w:szCs w:val="22"/>
          <w:lang w:eastAsia="en-US"/>
        </w:rPr>
        <w:t>:</w:t>
      </w:r>
    </w:p>
    <w:p w14:paraId="1571175F" w14:textId="77777777" w:rsidR="00C7426C" w:rsidRDefault="00C7426C" w:rsidP="00BB3130">
      <w:pPr>
        <w:pStyle w:val="NormalWeb"/>
        <w:spacing w:before="0" w:beforeAutospacing="0" w:after="0" w:afterAutospacing="0" w:line="276" w:lineRule="auto"/>
        <w:rPr>
          <w:rFonts w:asciiTheme="minorHAnsi" w:eastAsiaTheme="minorHAnsi" w:hAnsiTheme="minorHAnsi" w:cstheme="minorBidi"/>
          <w:sz w:val="22"/>
          <w:szCs w:val="22"/>
          <w:lang w:eastAsia="en-US"/>
        </w:rPr>
      </w:pPr>
    </w:p>
    <w:p w14:paraId="0A9121F8" w14:textId="28A41E26" w:rsidR="00331B98" w:rsidRPr="00331B98" w:rsidRDefault="00AB1A34" w:rsidP="00244248">
      <w:pPr>
        <w:numPr>
          <w:ilvl w:val="0"/>
          <w:numId w:val="17"/>
        </w:numPr>
        <w:spacing w:after="0" w:line="276" w:lineRule="auto"/>
      </w:pPr>
      <w:r>
        <w:t>S</w:t>
      </w:r>
      <w:r w:rsidR="00331B98" w:rsidRPr="00331B98">
        <w:t>ignal that taking time out of the paid workforce to care for a child is part of the usual course of life and work for both parents, and</w:t>
      </w:r>
    </w:p>
    <w:p w14:paraId="7CD0DB17" w14:textId="3B255373" w:rsidR="00331B98" w:rsidRPr="00331B98" w:rsidRDefault="00AB1A34" w:rsidP="00244248">
      <w:pPr>
        <w:numPr>
          <w:ilvl w:val="0"/>
          <w:numId w:val="17"/>
        </w:numPr>
        <w:spacing w:after="0" w:line="276" w:lineRule="auto"/>
      </w:pPr>
      <w:r>
        <w:t>P</w:t>
      </w:r>
      <w:r w:rsidR="00331B98" w:rsidRPr="00331B98">
        <w:t>romote equality between men and women and balance between work and family life.</w:t>
      </w:r>
    </w:p>
    <w:p w14:paraId="25FC9E0A" w14:textId="77777777" w:rsidR="00331B98" w:rsidRDefault="00331B98">
      <w:pPr>
        <w:spacing w:line="276" w:lineRule="auto"/>
        <w:jc w:val="both"/>
      </w:pPr>
    </w:p>
    <w:p w14:paraId="787082A5" w14:textId="24A1EF33" w:rsidR="00F473C8" w:rsidRDefault="004C0E77" w:rsidP="00F473C8">
      <w:pPr>
        <w:spacing w:line="276" w:lineRule="auto"/>
        <w:jc w:val="both"/>
      </w:pPr>
      <w:r>
        <w:t>Potentially</w:t>
      </w:r>
      <w:r w:rsidR="00F31FC5" w:rsidRPr="00CB59F4">
        <w:t>, parental leave entitlements should</w:t>
      </w:r>
      <w:r w:rsidR="00F31FC5">
        <w:t xml:space="preserve"> also</w:t>
      </w:r>
      <w:r w:rsidR="00F31FC5" w:rsidRPr="00CB59F4">
        <w:t xml:space="preserve"> be positively related to fertility </w:t>
      </w:r>
      <w:r w:rsidR="00F31FC5">
        <w:t>a</w:t>
      </w:r>
      <w:r w:rsidR="00F31FC5" w:rsidRPr="00CB59F4">
        <w:t xml:space="preserve">s they allow parents </w:t>
      </w:r>
      <w:r w:rsidR="003422B5">
        <w:t>time</w:t>
      </w:r>
      <w:r w:rsidR="00F31FC5" w:rsidRPr="00CB59F4">
        <w:t xml:space="preserve"> to care for their </w:t>
      </w:r>
      <w:r w:rsidR="00F31FC5">
        <w:t>young children</w:t>
      </w:r>
      <w:r w:rsidR="00F31FC5" w:rsidRPr="00CB59F4">
        <w:t xml:space="preserve"> without losing their jobs, </w:t>
      </w:r>
      <w:r>
        <w:t xml:space="preserve">reducing future </w:t>
      </w:r>
      <w:r w:rsidR="00F31FC5" w:rsidRPr="00CB59F4">
        <w:t xml:space="preserve">uncertainty (Sobokta, </w:t>
      </w:r>
      <w:r w:rsidR="00B95174" w:rsidRPr="00B95174">
        <w:rPr>
          <w:i/>
        </w:rPr>
        <w:t>et al.,</w:t>
      </w:r>
      <w:r w:rsidR="00F31FC5" w:rsidRPr="00CB59F4">
        <w:t xml:space="preserve"> 2020)</w:t>
      </w:r>
      <w:r w:rsidR="00F31FC5">
        <w:t>.</w:t>
      </w:r>
      <w:r w:rsidR="00F31FC5" w:rsidRPr="00CB59F4">
        <w:t xml:space="preserve"> </w:t>
      </w:r>
      <w:r w:rsidR="00F31FC5">
        <w:t xml:space="preserve">When parental leave is paid, this financial transfer also </w:t>
      </w:r>
      <w:r w:rsidR="00F31FC5" w:rsidRPr="00CB59F4">
        <w:t>compensat</w:t>
      </w:r>
      <w:r w:rsidR="00F31FC5">
        <w:t>es</w:t>
      </w:r>
      <w:r w:rsidR="00F31FC5" w:rsidRPr="00CB59F4">
        <w:t xml:space="preserve"> for the income lost during the </w:t>
      </w:r>
      <w:r w:rsidR="00F31FC5">
        <w:t>time out of work, reducing the opportunity cost of childbearing</w:t>
      </w:r>
      <w:r w:rsidR="00F31FC5" w:rsidRPr="00CB59F4">
        <w:t>.</w:t>
      </w:r>
      <w:r w:rsidR="00F31FC5">
        <w:t xml:space="preserve"> </w:t>
      </w:r>
      <w:r w:rsidR="00A360FB">
        <w:t xml:space="preserve">However, </w:t>
      </w:r>
      <w:r w:rsidR="00F473C8">
        <w:rPr>
          <w:noProof/>
        </w:rPr>
        <w:t>Thévenon and Gauthier (2011)</w:t>
      </w:r>
      <w:r w:rsidR="00F473C8">
        <w:t xml:space="preserve"> </w:t>
      </w:r>
      <w:r w:rsidR="00A360FB">
        <w:t>emphasise caution: when policies are</w:t>
      </w:r>
      <w:r w:rsidR="00F473C8">
        <w:t xml:space="preserve"> related to employment, as </w:t>
      </w:r>
      <w:r w:rsidR="00A360FB">
        <w:t xml:space="preserve">is the case for </w:t>
      </w:r>
      <w:r w:rsidR="00F473C8">
        <w:t xml:space="preserve">parental leave, </w:t>
      </w:r>
      <w:r w:rsidR="00A360FB">
        <w:t xml:space="preserve">this </w:t>
      </w:r>
      <w:r w:rsidR="00F473C8">
        <w:t>makes fertility behaviour more dependent on employment</w:t>
      </w:r>
      <w:r w:rsidR="00A360FB">
        <w:t xml:space="preserve">. The </w:t>
      </w:r>
      <w:r w:rsidR="00F473C8">
        <w:t xml:space="preserve">possible consequence </w:t>
      </w:r>
      <w:r w:rsidR="00A360FB">
        <w:t xml:space="preserve">is </w:t>
      </w:r>
      <w:r w:rsidR="00F473C8">
        <w:t>that finding a stable job increasingly becomes a prerequisite to start childbearing</w:t>
      </w:r>
      <w:r w:rsidR="00A360FB">
        <w:t>. Further, as childbearing is linked to job stability,</w:t>
      </w:r>
      <w:r w:rsidR="00F473C8">
        <w:t xml:space="preserve"> </w:t>
      </w:r>
      <w:r w:rsidR="00A360FB">
        <w:t xml:space="preserve">this results in </w:t>
      </w:r>
      <w:r w:rsidR="00F473C8">
        <w:t xml:space="preserve">fertility </w:t>
      </w:r>
      <w:r w:rsidR="00A360FB">
        <w:t xml:space="preserve">being </w:t>
      </w:r>
      <w:r w:rsidR="00F473C8">
        <w:t xml:space="preserve">sensitive to economic cycles and labour market conditions. </w:t>
      </w:r>
    </w:p>
    <w:p w14:paraId="2D61271F" w14:textId="0B93DA53" w:rsidR="00C35E45" w:rsidRDefault="00C35E45" w:rsidP="00BC5105">
      <w:pPr>
        <w:spacing w:line="276" w:lineRule="auto"/>
        <w:jc w:val="both"/>
      </w:pPr>
    </w:p>
    <w:p w14:paraId="187EF4DA" w14:textId="798620BE" w:rsidR="00F31FC5" w:rsidRDefault="003422B5" w:rsidP="00BC5105">
      <w:pPr>
        <w:spacing w:line="276" w:lineRule="auto"/>
        <w:jc w:val="both"/>
      </w:pPr>
      <w:r>
        <w:t>When fathers take parental leave, the impact on fertility is theoretically ambiguous. Paternity leave</w:t>
      </w:r>
      <w:r w:rsidR="00F31FC5">
        <w:t xml:space="preserve"> has the potential to </w:t>
      </w:r>
      <w:r w:rsidR="009D2AA2">
        <w:t>increase</w:t>
      </w:r>
      <w:r w:rsidR="00F31FC5">
        <w:t xml:space="preserve"> fertility by promoting a more equitable division of paid and unpaid work.  If father’s domestic skills and </w:t>
      </w:r>
      <w:r w:rsidR="009F7190">
        <w:t>child care</w:t>
      </w:r>
      <w:r w:rsidR="00F31FC5">
        <w:t xml:space="preserve"> involvement are influenced in a long-lasting way after the paternity leave has ended, this could reduce the mother’s ‘double burden</w:t>
      </w:r>
      <w:r w:rsidR="007863A3">
        <w:t xml:space="preserve">’ </w:t>
      </w:r>
      <w:r w:rsidR="00A360FB">
        <w:t xml:space="preserve">in dual-income families, </w:t>
      </w:r>
      <w:r w:rsidR="007863A3">
        <w:t>and</w:t>
      </w:r>
      <w:r w:rsidR="00F31FC5">
        <w:t xml:space="preserve"> </w:t>
      </w:r>
      <w:r w:rsidR="00A360FB">
        <w:t>support</w:t>
      </w:r>
      <w:r w:rsidR="00F31FC5">
        <w:t xml:space="preserve"> intentions to have additional children. </w:t>
      </w:r>
      <w:r w:rsidR="00C138DC">
        <w:t xml:space="preserve"> Father’s parental leave also implies more </w:t>
      </w:r>
      <w:r w:rsidR="009F7190">
        <w:t>child care</w:t>
      </w:r>
      <w:r w:rsidR="00C138DC">
        <w:t xml:space="preserve"> responsibility by fathers in the child’s infancy and may stimulate men’s interest in or orientation towards children </w:t>
      </w:r>
      <w:r w:rsidR="001E0F6C">
        <w:rPr>
          <w:noProof/>
        </w:rPr>
        <w:t xml:space="preserve">(Duvander, </w:t>
      </w:r>
      <w:r w:rsidR="001E0F6C" w:rsidRPr="007E15F6">
        <w:rPr>
          <w:i/>
          <w:iCs/>
          <w:noProof/>
        </w:rPr>
        <w:t>et al</w:t>
      </w:r>
      <w:r w:rsidR="001E0F6C">
        <w:rPr>
          <w:noProof/>
        </w:rPr>
        <w:t>. 2020)</w:t>
      </w:r>
      <w:r w:rsidR="00C138DC">
        <w:t>.</w:t>
      </w:r>
      <w:r w:rsidR="001632DD">
        <w:t xml:space="preserve"> </w:t>
      </w:r>
      <w:r w:rsidR="00F31FC5">
        <w:t xml:space="preserve">However, increased father involvement can also lower fertility, if his increased opportunity cost reduces demand for children </w:t>
      </w:r>
      <w:r w:rsidR="00C138DC">
        <w:t xml:space="preserve">or if caring for children is negative experience </w:t>
      </w:r>
      <w:r w:rsidR="001E0F6C">
        <w:rPr>
          <w:noProof/>
        </w:rPr>
        <w:t xml:space="preserve">(Hart, </w:t>
      </w:r>
      <w:r w:rsidR="00B95174" w:rsidRPr="00B95174">
        <w:rPr>
          <w:i/>
          <w:noProof/>
        </w:rPr>
        <w:t>et al.,</w:t>
      </w:r>
      <w:r w:rsidR="001E0F6C">
        <w:rPr>
          <w:noProof/>
        </w:rPr>
        <w:t xml:space="preserve"> 2019; Duvander, </w:t>
      </w:r>
      <w:r w:rsidR="001E0F6C" w:rsidRPr="007E15F6">
        <w:rPr>
          <w:i/>
          <w:iCs/>
          <w:noProof/>
        </w:rPr>
        <w:t>et al</w:t>
      </w:r>
      <w:r w:rsidR="001E0F6C">
        <w:rPr>
          <w:noProof/>
        </w:rPr>
        <w:t>. 2020)</w:t>
      </w:r>
      <w:r w:rsidR="00C138DC">
        <w:t>.</w:t>
      </w:r>
    </w:p>
    <w:p w14:paraId="59840FEF" w14:textId="77777777" w:rsidR="00F31FC5" w:rsidRPr="00722F28" w:rsidRDefault="00F31FC5" w:rsidP="00722F28">
      <w:pPr>
        <w:pStyle w:val="Heading2"/>
        <w:rPr>
          <w:rStyle w:val="SubtleEmphasis"/>
          <w:i w:val="0"/>
          <w:iCs w:val="0"/>
          <w:color w:val="2E74B5" w:themeColor="accent1" w:themeShade="BF"/>
        </w:rPr>
      </w:pPr>
      <w:bookmarkStart w:id="89" w:name="_Toc87454620"/>
      <w:bookmarkStart w:id="90" w:name="_Toc98404967"/>
      <w:r w:rsidRPr="00722F28">
        <w:rPr>
          <w:rStyle w:val="SubtleEmphasis"/>
          <w:i w:val="0"/>
          <w:iCs w:val="0"/>
          <w:color w:val="2E74B5" w:themeColor="accent1" w:themeShade="BF"/>
        </w:rPr>
        <w:t>Parental leave across OECD countries</w:t>
      </w:r>
      <w:bookmarkEnd w:id="89"/>
      <w:bookmarkEnd w:id="90"/>
    </w:p>
    <w:p w14:paraId="3A641B44" w14:textId="77777777" w:rsidR="00F31FC5" w:rsidRDefault="00F31FC5" w:rsidP="00BC5105">
      <w:pPr>
        <w:spacing w:line="276" w:lineRule="auto"/>
        <w:jc w:val="both"/>
      </w:pPr>
      <w:r>
        <w:t>There are three main types of leave found in OECD countries.</w:t>
      </w:r>
    </w:p>
    <w:p w14:paraId="2D76D892" w14:textId="77777777" w:rsidR="00F31FC5" w:rsidRDefault="00F31FC5" w:rsidP="00244248">
      <w:pPr>
        <w:pStyle w:val="ListParagraph"/>
        <w:numPr>
          <w:ilvl w:val="0"/>
          <w:numId w:val="6"/>
        </w:numPr>
        <w:spacing w:line="276" w:lineRule="auto"/>
        <w:jc w:val="both"/>
      </w:pPr>
      <w:r w:rsidRPr="001738AC">
        <w:rPr>
          <w:b/>
        </w:rPr>
        <w:t>Maternity leave</w:t>
      </w:r>
      <w:r>
        <w:t xml:space="preserve"> (for mothers)</w:t>
      </w:r>
    </w:p>
    <w:p w14:paraId="435F1CD9" w14:textId="77777777" w:rsidR="00F31FC5" w:rsidRDefault="00F31FC5" w:rsidP="00244248">
      <w:pPr>
        <w:pStyle w:val="ListParagraph"/>
        <w:numPr>
          <w:ilvl w:val="0"/>
          <w:numId w:val="6"/>
        </w:numPr>
        <w:spacing w:line="276" w:lineRule="auto"/>
        <w:jc w:val="both"/>
      </w:pPr>
      <w:r w:rsidRPr="001738AC">
        <w:rPr>
          <w:b/>
        </w:rPr>
        <w:t>Paternity leave</w:t>
      </w:r>
      <w:r>
        <w:t xml:space="preserve"> (for fathers)</w:t>
      </w:r>
    </w:p>
    <w:p w14:paraId="32E2996F" w14:textId="77777777" w:rsidR="00F31FC5" w:rsidRDefault="00F31FC5" w:rsidP="00244248">
      <w:pPr>
        <w:pStyle w:val="ListParagraph"/>
        <w:numPr>
          <w:ilvl w:val="0"/>
          <w:numId w:val="6"/>
        </w:numPr>
        <w:spacing w:line="276" w:lineRule="auto"/>
        <w:jc w:val="both"/>
      </w:pPr>
      <w:r w:rsidRPr="001738AC">
        <w:rPr>
          <w:b/>
        </w:rPr>
        <w:t>Parental leave</w:t>
      </w:r>
      <w:r>
        <w:t xml:space="preserve"> (offered to both parents) available equally to mothers and fathers, either as: </w:t>
      </w:r>
    </w:p>
    <w:p w14:paraId="3A2500AE" w14:textId="77777777" w:rsidR="00F31FC5" w:rsidRDefault="00F31FC5" w:rsidP="00244248">
      <w:pPr>
        <w:pStyle w:val="ListParagraph"/>
        <w:numPr>
          <w:ilvl w:val="0"/>
          <w:numId w:val="11"/>
        </w:numPr>
        <w:spacing w:line="276" w:lineRule="auto"/>
        <w:jc w:val="both"/>
      </w:pPr>
      <w:r>
        <w:t xml:space="preserve">a non-transferable individual right (i.e. both parents have an entitlement to an equal amount of leave); or </w:t>
      </w:r>
    </w:p>
    <w:p w14:paraId="3897E662" w14:textId="77777777" w:rsidR="00F31FC5" w:rsidRDefault="00F31FC5" w:rsidP="00244248">
      <w:pPr>
        <w:pStyle w:val="ListParagraph"/>
        <w:numPr>
          <w:ilvl w:val="0"/>
          <w:numId w:val="11"/>
        </w:numPr>
        <w:spacing w:line="276" w:lineRule="auto"/>
        <w:jc w:val="both"/>
      </w:pPr>
      <w:r>
        <w:t xml:space="preserve">an individual right that can be transferred to the other parent; or </w:t>
      </w:r>
    </w:p>
    <w:p w14:paraId="366E08E8" w14:textId="77777777" w:rsidR="00F31FC5" w:rsidRDefault="00F31FC5" w:rsidP="00244248">
      <w:pPr>
        <w:pStyle w:val="ListParagraph"/>
        <w:numPr>
          <w:ilvl w:val="0"/>
          <w:numId w:val="11"/>
        </w:numPr>
        <w:spacing w:line="276" w:lineRule="auto"/>
        <w:jc w:val="both"/>
      </w:pPr>
      <w:r>
        <w:t>a family right that parents can divide between themselves as they choose.</w:t>
      </w:r>
    </w:p>
    <w:p w14:paraId="365874D0" w14:textId="20E566E7" w:rsidR="00F31FC5" w:rsidRDefault="00F31FC5" w:rsidP="00BC5105">
      <w:pPr>
        <w:spacing w:line="276" w:lineRule="auto"/>
        <w:jc w:val="both"/>
      </w:pPr>
      <w:r>
        <w:t>In some countries such as Sweden there is only a single period of</w:t>
      </w:r>
      <w:r w:rsidR="00EB652E">
        <w:t xml:space="preserve"> parental</w:t>
      </w:r>
      <w:r>
        <w:t xml:space="preserve"> leave</w:t>
      </w:r>
      <w:r w:rsidR="00EB652E">
        <w:t>,</w:t>
      </w:r>
      <w:r>
        <w:t xml:space="preserve"> however, one part of this generic postnatal leave can only be taken by mothers and another part only by fathers. In Australia, while there is no specific Maternity Leave, the Parental Leave is for the primary carer of the child which in the vast majority of cases is the mother, so in international comparisons it is often counted as ‘maternity leave’. </w:t>
      </w:r>
    </w:p>
    <w:p w14:paraId="06F23179" w14:textId="461237E0" w:rsidR="00F31FC5" w:rsidRDefault="00F31FC5" w:rsidP="00BC5105">
      <w:pPr>
        <w:spacing w:line="276" w:lineRule="auto"/>
        <w:jc w:val="both"/>
      </w:pPr>
      <w:r>
        <w:t xml:space="preserve">Across OECD countries there is </w:t>
      </w:r>
      <w:r w:rsidR="001632DD">
        <w:t xml:space="preserve">substantial </w:t>
      </w:r>
      <w:r>
        <w:t>variation in policies relating to parental leave</w:t>
      </w:r>
      <w:r w:rsidR="001632DD">
        <w:t>. These variations include differences</w:t>
      </w:r>
      <w:r>
        <w:t xml:space="preserve"> in eligibility requirements, duration of leave, remuneration level as well as flexibility (Baxter and Renda 2015). The ILO standard for maternity leave is 14 weeks, with the recommendation that the cash benefits to women during maternity leave should amount to at least two-thirds of their previous earnings </w:t>
      </w:r>
      <w:r w:rsidR="00DA7092">
        <w:rPr>
          <w:noProof/>
        </w:rPr>
        <w:t>(Rossin-Slater, 2018)</w:t>
      </w:r>
      <w:r>
        <w:t>.</w:t>
      </w:r>
      <w:r w:rsidR="00C44652">
        <w:t xml:space="preserve"> </w:t>
      </w:r>
      <w:r>
        <w:t xml:space="preserve">Unlike </w:t>
      </w:r>
      <w:r w:rsidR="007863A3">
        <w:t>most</w:t>
      </w:r>
      <w:r>
        <w:t xml:space="preserve"> </w:t>
      </w:r>
      <w:r w:rsidR="007863A3">
        <w:t xml:space="preserve">OECD </w:t>
      </w:r>
      <w:r>
        <w:t xml:space="preserve">countries, Australia’s publicly funded parental leave pay is a flat rate based on National Minimum Wage rather than a percentage replacement wage.  As shown in </w:t>
      </w:r>
      <w:r w:rsidR="008D2B35">
        <w:t>Figure 1</w:t>
      </w:r>
      <w:r w:rsidR="00DA7092">
        <w:t>6</w:t>
      </w:r>
      <w:r w:rsidR="008D2B35">
        <w:t xml:space="preserve"> &amp; Figure 1</w:t>
      </w:r>
      <w:r w:rsidR="00DA7092">
        <w:t>7</w:t>
      </w:r>
      <w:r w:rsidR="008D2B35">
        <w:t xml:space="preserve"> </w:t>
      </w:r>
      <w:r>
        <w:t xml:space="preserve">for both </w:t>
      </w:r>
      <w:r w:rsidR="001632DD">
        <w:t xml:space="preserve">parental </w:t>
      </w:r>
      <w:r>
        <w:t xml:space="preserve">and paternity leave Australia’s average </w:t>
      </w:r>
      <w:r w:rsidR="0025110C">
        <w:t xml:space="preserve">public </w:t>
      </w:r>
      <w:r>
        <w:t>payment rate</w:t>
      </w:r>
      <w:r>
        <w:rPr>
          <w:rStyle w:val="FootnoteReference"/>
        </w:rPr>
        <w:footnoteReference w:id="13"/>
      </w:r>
      <w:r>
        <w:t xml:space="preserve"> is approximately 43%, making it one of the one of the lowest among the OECD countries (OECD 2020</w:t>
      </w:r>
      <w:r w:rsidR="00ED00D8">
        <w:t>a</w:t>
      </w:r>
      <w:r>
        <w:t xml:space="preserve">).  </w:t>
      </w:r>
      <w:r w:rsidR="001632DD">
        <w:t xml:space="preserve">Further, the duration of Australia’s parental and paternity leave are short in comparison to other OECD countries. </w:t>
      </w:r>
    </w:p>
    <w:p w14:paraId="1460B385" w14:textId="20ECE449" w:rsidR="00F31FC5" w:rsidRDefault="00F31FC5" w:rsidP="00BC5105">
      <w:pPr>
        <w:pStyle w:val="Caption"/>
        <w:keepNext/>
        <w:spacing w:after="0" w:line="276" w:lineRule="auto"/>
      </w:pPr>
      <w:bookmarkStart w:id="91" w:name="_Ref75165076"/>
      <w:r>
        <w:lastRenderedPageBreak/>
        <w:t xml:space="preserve">Figure </w:t>
      </w:r>
      <w:fldSimple w:instr=" SEQ Figure \* ARABIC ">
        <w:r w:rsidR="00115E22">
          <w:rPr>
            <w:noProof/>
          </w:rPr>
          <w:t>16</w:t>
        </w:r>
      </w:fldSimple>
      <w:bookmarkEnd w:id="91"/>
      <w:r>
        <w:t xml:space="preserve"> Total </w:t>
      </w:r>
      <w:r w:rsidR="0025110C">
        <w:t xml:space="preserve">public </w:t>
      </w:r>
      <w:r>
        <w:t>paid leave available to mothers: duration and average payment rate, selected OECD countries 2018</w:t>
      </w:r>
    </w:p>
    <w:p w14:paraId="5CD3B082" w14:textId="77777777" w:rsidR="00F31FC5" w:rsidRDefault="00F31FC5" w:rsidP="00BC5105">
      <w:pPr>
        <w:keepNext/>
        <w:spacing w:line="276" w:lineRule="auto"/>
      </w:pPr>
      <w:r>
        <w:rPr>
          <w:noProof/>
          <w:lang w:eastAsia="en-AU"/>
        </w:rPr>
        <w:drawing>
          <wp:inline distT="0" distB="0" distL="0" distR="0" wp14:anchorId="56F28517" wp14:editId="1CBCEE67">
            <wp:extent cx="4862514" cy="3786189"/>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6B8E00" w14:textId="181B4C4F" w:rsidR="00F31FC5" w:rsidRDefault="00F31FC5" w:rsidP="00BC5105">
      <w:pPr>
        <w:pStyle w:val="Caption"/>
        <w:keepNext/>
        <w:spacing w:after="0" w:line="276" w:lineRule="auto"/>
      </w:pPr>
      <w:bookmarkStart w:id="92" w:name="_Ref75261689"/>
      <w:r>
        <w:t xml:space="preserve">Figure </w:t>
      </w:r>
      <w:fldSimple w:instr=" SEQ Figure \* ARABIC ">
        <w:r w:rsidR="00115E22">
          <w:rPr>
            <w:noProof/>
          </w:rPr>
          <w:t>17</w:t>
        </w:r>
      </w:fldSimple>
      <w:bookmarkEnd w:id="92"/>
      <w:r>
        <w:t xml:space="preserve"> </w:t>
      </w:r>
      <w:r w:rsidRPr="00C95773">
        <w:t xml:space="preserve"> Total </w:t>
      </w:r>
      <w:r w:rsidR="0025110C">
        <w:t xml:space="preserve">public </w:t>
      </w:r>
      <w:r w:rsidRPr="00C95773">
        <w:t>paid leave available to</w:t>
      </w:r>
      <w:r>
        <w:t xml:space="preserve"> fa</w:t>
      </w:r>
      <w:r w:rsidRPr="00C95773">
        <w:t>thers: duration and average payment rate, selected OECD countries</w:t>
      </w:r>
      <w:r>
        <w:t xml:space="preserve"> 2018</w:t>
      </w:r>
    </w:p>
    <w:p w14:paraId="79336472" w14:textId="41610877" w:rsidR="00F31FC5" w:rsidRDefault="000C6922" w:rsidP="00BC5105">
      <w:pPr>
        <w:keepNext/>
        <w:spacing w:line="276" w:lineRule="auto"/>
      </w:pPr>
      <w:r>
        <w:rPr>
          <w:noProof/>
          <w:lang w:eastAsia="en-AU"/>
        </w:rPr>
        <w:drawing>
          <wp:inline distT="0" distB="0" distL="0" distR="0" wp14:anchorId="428EA6E1" wp14:editId="5EA16B3D">
            <wp:extent cx="5000625" cy="4035425"/>
            <wp:effectExtent l="0" t="0" r="0" b="3175"/>
            <wp:docPr id="38" name="Chart 38">
              <a:extLst xmlns:a="http://schemas.openxmlformats.org/drawingml/2006/main">
                <a:ext uri="{FF2B5EF4-FFF2-40B4-BE49-F238E27FC236}">
                  <a16:creationId xmlns:a16="http://schemas.microsoft.com/office/drawing/2014/main" id="{7A72D670-8430-4D05-B757-A8C14E52E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12D69F" w14:textId="77777777" w:rsidR="008D2B35" w:rsidRPr="00BC5105" w:rsidRDefault="008D2B35" w:rsidP="008D2B35">
      <w:pPr>
        <w:pStyle w:val="Caption"/>
        <w:spacing w:line="276" w:lineRule="auto"/>
        <w:rPr>
          <w:i w:val="0"/>
          <w:iCs w:val="0"/>
          <w:color w:val="auto"/>
        </w:rPr>
      </w:pPr>
      <w:r>
        <w:rPr>
          <w:i w:val="0"/>
          <w:iCs w:val="0"/>
          <w:color w:val="auto"/>
        </w:rPr>
        <w:t>S</w:t>
      </w:r>
      <w:r w:rsidRPr="00BC5105">
        <w:rPr>
          <w:i w:val="0"/>
          <w:iCs w:val="0"/>
          <w:color w:val="auto"/>
        </w:rPr>
        <w:t>ource:  OECD (2020) Table PF2.1A</w:t>
      </w:r>
    </w:p>
    <w:p w14:paraId="23633874" w14:textId="77777777" w:rsidR="00F31FC5" w:rsidRDefault="00F31FC5" w:rsidP="00BC5105">
      <w:pPr>
        <w:spacing w:line="276" w:lineRule="auto"/>
        <w:jc w:val="both"/>
      </w:pPr>
      <w:r>
        <w:lastRenderedPageBreak/>
        <w:t>Parental leave schemes across OECD countries increasingly aim to encourage fathers/carers to take time out of the workforce and fully care for their children. Several countries have introduced specific incentives to increase the use of parental leave by fathers. This includes making paternity leave mandatory, or on a use-it-or-lose it basis.</w:t>
      </w:r>
    </w:p>
    <w:p w14:paraId="307983B9" w14:textId="05A3681E" w:rsidR="00F31FC5" w:rsidRDefault="00F31FC5" w:rsidP="00BC5105">
      <w:pPr>
        <w:spacing w:line="276" w:lineRule="auto"/>
        <w:jc w:val="both"/>
      </w:pPr>
      <w:r>
        <w:t xml:space="preserve">In Portugal, parental leave is for 120 days at 100% of earnings, or 150 days at 80% earnings. Mothers must take leave in the first six weeks following birth. Since 2019 fathers must take at least 20 working days of leave. The remaining period may be divided by the parents, but since 2009 there is an extra 30 days ‘sharing bonus’ if both parents </w:t>
      </w:r>
      <w:r w:rsidR="00A60882">
        <w:t>take some of the</w:t>
      </w:r>
      <w:r>
        <w:t xml:space="preserve"> leave. The sharing bonus comes into effect if each parent takes at least 30 consecutive days of leave or two periods of 15 consecutive days once the other parent returns to work </w:t>
      </w:r>
      <w:r w:rsidR="001E0F6C">
        <w:rPr>
          <w:noProof/>
        </w:rPr>
        <w:t xml:space="preserve">(Wall, </w:t>
      </w:r>
      <w:r w:rsidR="001E0F6C" w:rsidRPr="007E15F6">
        <w:rPr>
          <w:i/>
          <w:noProof/>
        </w:rPr>
        <w:t>et al.</w:t>
      </w:r>
      <w:r w:rsidR="001E0F6C">
        <w:rPr>
          <w:noProof/>
        </w:rPr>
        <w:t xml:space="preserve"> 2020)</w:t>
      </w:r>
      <w:r>
        <w:t xml:space="preserve">. </w:t>
      </w:r>
    </w:p>
    <w:p w14:paraId="40BF11EB" w14:textId="33FE4EFF" w:rsidR="00F31FC5" w:rsidRDefault="00F31FC5" w:rsidP="00BC5105">
      <w:pPr>
        <w:spacing w:line="276" w:lineRule="auto"/>
        <w:jc w:val="both"/>
      </w:pPr>
      <w:r>
        <w:t>In Sweden, parents with joint custody are eligible for 240 days paid leave each. 195 days of the 240 leave days are income based, paid at 77.6% of earnings up to an earnings ceiling of SEK 348,750 (AUD 54,335) per year, and the remaining days are paid at a low flat rate. Of the income</w:t>
      </w:r>
      <w:r w:rsidR="00A60882">
        <w:t>-</w:t>
      </w:r>
      <w:r>
        <w:t xml:space="preserve">based days, 90 of these days are ring-fenced or reserved for each parent and </w:t>
      </w:r>
      <w:r w:rsidR="00A60882">
        <w:t xml:space="preserve">cannot </w:t>
      </w:r>
      <w:r>
        <w:t>be transferred. These are known as the ‘mother’s quota’ and the ‘father’s quota’. The remaining 105 income-based days for each parent can be transferred to the other</w:t>
      </w:r>
      <w:r w:rsidR="008D2B35">
        <w:rPr>
          <w:noProof/>
        </w:rPr>
        <w:t xml:space="preserve"> (Duvander &amp; Löfgren, 2020)</w:t>
      </w:r>
      <w:r>
        <w:t>.</w:t>
      </w:r>
    </w:p>
    <w:p w14:paraId="7D1F49AC" w14:textId="3A02B8E7" w:rsidR="00F31FC5" w:rsidRDefault="00F31FC5" w:rsidP="00BC5105">
      <w:pPr>
        <w:spacing w:line="276" w:lineRule="auto"/>
        <w:jc w:val="both"/>
      </w:pPr>
      <w:r>
        <w:t xml:space="preserve">These policies have led to high uptake rates of leave by fathers in these countries as seen in </w:t>
      </w:r>
      <w:r>
        <w:fldChar w:fldCharType="begin"/>
      </w:r>
      <w:r>
        <w:instrText xml:space="preserve"> REF _Ref75263658 \h </w:instrText>
      </w:r>
      <w:r w:rsidR="00BF0C90">
        <w:instrText xml:space="preserve"> \* MERGEFORMAT </w:instrText>
      </w:r>
      <w:r>
        <w:fldChar w:fldCharType="separate"/>
      </w:r>
      <w:r w:rsidR="00115E22">
        <w:t xml:space="preserve">Figure </w:t>
      </w:r>
      <w:r w:rsidR="00115E22">
        <w:rPr>
          <w:noProof/>
        </w:rPr>
        <w:t>18</w:t>
      </w:r>
      <w:r>
        <w:fldChar w:fldCharType="end"/>
      </w:r>
      <w:r w:rsidR="00640E97">
        <w:t>.</w:t>
      </w:r>
    </w:p>
    <w:p w14:paraId="04A98C9F" w14:textId="2D3BC534" w:rsidR="00F31FC5" w:rsidRDefault="00F31FC5" w:rsidP="00BC5105">
      <w:pPr>
        <w:pStyle w:val="Caption"/>
        <w:keepNext/>
        <w:spacing w:line="276" w:lineRule="auto"/>
      </w:pPr>
      <w:bookmarkStart w:id="93" w:name="_Ref75263658"/>
      <w:r>
        <w:t xml:space="preserve">Figure </w:t>
      </w:r>
      <w:fldSimple w:instr=" SEQ Figure \* ARABIC ">
        <w:r w:rsidR="00115E22">
          <w:rPr>
            <w:noProof/>
          </w:rPr>
          <w:t>18</w:t>
        </w:r>
      </w:fldSimple>
      <w:bookmarkEnd w:id="93"/>
      <w:r>
        <w:t xml:space="preserve"> Gender distribution of recipient/users of publicly administered leave benefits</w:t>
      </w:r>
      <w:r w:rsidR="0014388E" w:rsidRPr="00BB3130">
        <w:rPr>
          <w:vertAlign w:val="superscript"/>
        </w:rPr>
        <w:t>a</w:t>
      </w:r>
      <w:r>
        <w:t>, selected countries 2016</w:t>
      </w:r>
    </w:p>
    <w:p w14:paraId="7784718C" w14:textId="77777777" w:rsidR="00F31FC5" w:rsidRDefault="00F31FC5" w:rsidP="00BC5105">
      <w:pPr>
        <w:spacing w:line="276" w:lineRule="auto"/>
        <w:rPr>
          <w:rFonts w:ascii="Tw Cen MT Condensed" w:hAnsi="Tw Cen MT Condensed"/>
          <w:sz w:val="28"/>
        </w:rPr>
      </w:pPr>
      <w:r>
        <w:rPr>
          <w:noProof/>
          <w:lang w:eastAsia="en-AU"/>
        </w:rPr>
        <w:drawing>
          <wp:inline distT="0" distB="0" distL="0" distR="0" wp14:anchorId="3801B119" wp14:editId="34918996">
            <wp:extent cx="5551805" cy="3156668"/>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04F422" w14:textId="35D60DC1" w:rsidR="00F31FC5" w:rsidRPr="00304CA0" w:rsidRDefault="00F31FC5" w:rsidP="00BC5105">
      <w:pPr>
        <w:spacing w:line="276" w:lineRule="auto"/>
        <w:rPr>
          <w:sz w:val="18"/>
        </w:rPr>
      </w:pPr>
      <w:r w:rsidRPr="00304CA0">
        <w:rPr>
          <w:sz w:val="18"/>
        </w:rPr>
        <w:t>Source:</w:t>
      </w:r>
      <w:r w:rsidR="00976F29">
        <w:rPr>
          <w:sz w:val="18"/>
        </w:rPr>
        <w:t xml:space="preserve"> OECD</w:t>
      </w:r>
      <w:r w:rsidRPr="00304CA0">
        <w:rPr>
          <w:sz w:val="18"/>
        </w:rPr>
        <w:t xml:space="preserve"> </w:t>
      </w:r>
      <w:r w:rsidR="00DA7092" w:rsidRPr="007E15F6">
        <w:rPr>
          <w:noProof/>
          <w:sz w:val="18"/>
        </w:rPr>
        <w:t>(2021)</w:t>
      </w:r>
      <w:r w:rsidR="0014388E">
        <w:rPr>
          <w:sz w:val="18"/>
        </w:rPr>
        <w:t>, PF2.2</w:t>
      </w:r>
    </w:p>
    <w:p w14:paraId="30FD5D23" w14:textId="70B56A15" w:rsidR="0014388E" w:rsidRPr="00BB3130" w:rsidRDefault="0014388E" w:rsidP="00BC5105">
      <w:pPr>
        <w:spacing w:line="276" w:lineRule="auto"/>
        <w:rPr>
          <w:sz w:val="12"/>
          <w:szCs w:val="16"/>
        </w:rPr>
      </w:pPr>
      <w:r>
        <w:rPr>
          <w:sz w:val="18"/>
          <w:vertAlign w:val="superscript"/>
        </w:rPr>
        <w:t>a</w:t>
      </w:r>
      <w:r>
        <w:rPr>
          <w:sz w:val="18"/>
        </w:rPr>
        <w:t xml:space="preserve"> </w:t>
      </w:r>
      <w:r w:rsidRPr="00BB3130">
        <w:rPr>
          <w:sz w:val="16"/>
          <w:szCs w:val="16"/>
        </w:rPr>
        <w:t>Data refer to recipients/users of publicly administered parental leave benefits or publicly administered paid parental leave, and do not include users of maternity or paternity leave unless the country in question does not make a distinction between the different leaves (e.g. Iceland, Portugal). For Australia, data refer to recipients of 'Parental Leave Pay' only. For Austria, data refer to recipients of 'Kinderbetreuungsgeld' (</w:t>
      </w:r>
      <w:r w:rsidR="009F7190">
        <w:rPr>
          <w:sz w:val="16"/>
          <w:szCs w:val="16"/>
        </w:rPr>
        <w:t>child care</w:t>
      </w:r>
      <w:r w:rsidRPr="00BB3130">
        <w:rPr>
          <w:sz w:val="16"/>
          <w:szCs w:val="16"/>
        </w:rPr>
        <w:t xml:space="preserve"> allowance). For Canada, data refer to new employment insurance parental benefit claims established in the given year. Data do not cover parents in Québec, which since 2006 has administered its own parental benefits under the Québec Parental Insurance Plan. For Denmark, data refer to recipients of benefits for the 32-week 'common leave' period only. For Finland, data refer to recipients of the sharable parental allowance plus the paternity allowance after the parental allowance period. For France, data refer to recipients of CLCA or PreParE. For Germany, data refer to recipients of 'Elterngeld' (parental allowance) with children born in the given year. For Iceland, data refer to recipients of any benefits in relation to maternity/paternity (i.e. benefits paid during either the </w:t>
      </w:r>
      <w:r w:rsidRPr="00BB3130">
        <w:rPr>
          <w:sz w:val="16"/>
          <w:szCs w:val="16"/>
        </w:rPr>
        <w:lastRenderedPageBreak/>
        <w:t>mother- or father-quota or during the sharable period of parental leave). For Lithuania, data refer to recipients of both the parental benefit for children under one year of age and the parental allowance for children aged between one and two. For Korea, data refer to recipients of employment insurance parental leave benefits and cover private sector employees only. For New Zealand, data refer to recipients of 'Primary Carer Leave' benefits. For Portugal, data refer to recipients of benefits for 'Initial Parental Leave' only. In all cases, data refer only to those using statutory schemes and do not include individual's using only employer-provided parental leave or parental leave pay. Data for Germany refer to 2015.</w:t>
      </w:r>
    </w:p>
    <w:p w14:paraId="36848A64" w14:textId="796338D6" w:rsidR="00F31FC5" w:rsidRPr="00B6667C" w:rsidRDefault="00360ABE" w:rsidP="00BC5105">
      <w:pPr>
        <w:pStyle w:val="Heading2"/>
        <w:spacing w:line="276" w:lineRule="auto"/>
      </w:pPr>
      <w:bookmarkStart w:id="94" w:name="_Toc87454621"/>
      <w:bookmarkStart w:id="95" w:name="_Toc98404968"/>
      <w:r>
        <w:t>Parental leave in Australia</w:t>
      </w:r>
      <w:bookmarkEnd w:id="94"/>
      <w:bookmarkEnd w:id="95"/>
    </w:p>
    <w:p w14:paraId="5DB5FA84" w14:textId="672657FA" w:rsidR="00360ABE" w:rsidRDefault="00360ABE" w:rsidP="00BC5105">
      <w:pPr>
        <w:spacing w:line="276" w:lineRule="auto"/>
        <w:jc w:val="both"/>
      </w:pPr>
      <w:r>
        <w:t xml:space="preserve">Australia’s parental leave policy has undergone </w:t>
      </w:r>
      <w:r w:rsidR="0014388E">
        <w:t>several</w:t>
      </w:r>
      <w:r>
        <w:t xml:space="preserve"> significant reforms as shown in </w:t>
      </w:r>
      <w:r>
        <w:fldChar w:fldCharType="begin"/>
      </w:r>
      <w:r>
        <w:instrText xml:space="preserve"> REF _Ref79494752 \h </w:instrText>
      </w:r>
      <w:r>
        <w:fldChar w:fldCharType="separate"/>
      </w:r>
      <w:r w:rsidR="00115E22">
        <w:t xml:space="preserve">Table </w:t>
      </w:r>
      <w:r w:rsidR="00115E22">
        <w:rPr>
          <w:noProof/>
        </w:rPr>
        <w:t>12</w:t>
      </w:r>
      <w:r>
        <w:fldChar w:fldCharType="end"/>
      </w:r>
      <w:r>
        <w:t xml:space="preserve">.  Starting in </w:t>
      </w:r>
      <w:r w:rsidR="0079794A">
        <w:t>1973</w:t>
      </w:r>
      <w:r w:rsidR="00A60882">
        <w:t>,</w:t>
      </w:r>
      <w:r w:rsidR="0079794A">
        <w:t xml:space="preserve"> </w:t>
      </w:r>
      <w:r w:rsidR="00F31FC5" w:rsidRPr="00AE4641">
        <w:t>12 week</w:t>
      </w:r>
      <w:r w:rsidR="00A60882">
        <w:t>s</w:t>
      </w:r>
      <w:r w:rsidR="00F31FC5" w:rsidRPr="00AE4641">
        <w:t xml:space="preserve"> paid maternity leave </w:t>
      </w:r>
      <w:r w:rsidR="00F31FC5">
        <w:t xml:space="preserve">for federal public servants (Brennan, 2009). </w:t>
      </w:r>
      <w:r>
        <w:t>Following this, i</w:t>
      </w:r>
      <w:r w:rsidR="00F31FC5">
        <w:t xml:space="preserve">n 1979 unpaid maternity leave for eligible </w:t>
      </w:r>
      <w:r>
        <w:t xml:space="preserve">permanent </w:t>
      </w:r>
      <w:r w:rsidR="00F31FC5">
        <w:t>workers was introduced.  More recently, in 2010, the main labour law (The Fair Work Act, 2009) was changed to allow both men and women to each have access to 52 weeks of unpaid parental leave</w:t>
      </w:r>
      <w:r>
        <w:t xml:space="preserve">. For eligible employed couples this would </w:t>
      </w:r>
      <w:r w:rsidR="00F31FC5">
        <w:t xml:space="preserve">total 104 weeks. If one partner does not use their allocation, the other has the right to request an extension to their unpaid leave by the amount not used by the other partner.  </w:t>
      </w:r>
    </w:p>
    <w:p w14:paraId="401410CF" w14:textId="505DE3AD" w:rsidR="00360ABE" w:rsidRDefault="00360ABE" w:rsidP="00360ABE">
      <w:pPr>
        <w:pStyle w:val="Caption"/>
        <w:keepNext/>
        <w:spacing w:line="276" w:lineRule="auto"/>
      </w:pPr>
      <w:bookmarkStart w:id="96" w:name="_Ref79494752"/>
      <w:r>
        <w:t xml:space="preserve">Table </w:t>
      </w:r>
      <w:fldSimple w:instr=" SEQ Table \* ARABIC ">
        <w:r w:rsidR="00115E22">
          <w:rPr>
            <w:noProof/>
          </w:rPr>
          <w:t>12</w:t>
        </w:r>
      </w:fldSimple>
      <w:bookmarkEnd w:id="96"/>
      <w:r>
        <w:t xml:space="preserve"> Timeline of parental leave policies in Australia</w:t>
      </w:r>
    </w:p>
    <w:tbl>
      <w:tblPr>
        <w:tblStyle w:val="TableGrid"/>
        <w:tblW w:w="0" w:type="auto"/>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129"/>
        <w:gridCol w:w="6237"/>
      </w:tblGrid>
      <w:tr w:rsidR="00360ABE" w:rsidRPr="008D2B35" w14:paraId="4CBAB88F" w14:textId="77777777" w:rsidTr="00905517">
        <w:trPr>
          <w:jc w:val="center"/>
        </w:trPr>
        <w:tc>
          <w:tcPr>
            <w:tcW w:w="1129" w:type="dxa"/>
            <w:shd w:val="clear" w:color="auto" w:fill="FBE4D5" w:themeFill="accent2" w:themeFillTint="33"/>
          </w:tcPr>
          <w:p w14:paraId="5CD599E8" w14:textId="77777777" w:rsidR="00360ABE" w:rsidRPr="007E15F6" w:rsidRDefault="00360ABE" w:rsidP="00905517">
            <w:pPr>
              <w:spacing w:line="276" w:lineRule="auto"/>
              <w:rPr>
                <w:rFonts w:ascii="Tw Cen MT Condensed" w:hAnsi="Tw Cen MT Condensed"/>
                <w:b/>
              </w:rPr>
            </w:pPr>
            <w:r w:rsidRPr="007E15F6">
              <w:rPr>
                <w:rFonts w:ascii="Tw Cen MT Condensed" w:hAnsi="Tw Cen MT Condensed"/>
                <w:b/>
              </w:rPr>
              <w:t>Year</w:t>
            </w:r>
          </w:p>
        </w:tc>
        <w:tc>
          <w:tcPr>
            <w:tcW w:w="6237" w:type="dxa"/>
            <w:shd w:val="clear" w:color="auto" w:fill="FBE4D5" w:themeFill="accent2" w:themeFillTint="33"/>
          </w:tcPr>
          <w:p w14:paraId="097E48C7" w14:textId="77777777" w:rsidR="00360ABE" w:rsidRPr="007E15F6" w:rsidRDefault="00360ABE" w:rsidP="00905517">
            <w:pPr>
              <w:spacing w:line="276" w:lineRule="auto"/>
              <w:rPr>
                <w:rFonts w:ascii="Tw Cen MT Condensed" w:hAnsi="Tw Cen MT Condensed"/>
                <w:b/>
              </w:rPr>
            </w:pPr>
            <w:r w:rsidRPr="007E15F6">
              <w:rPr>
                <w:rFonts w:ascii="Tw Cen MT Condensed" w:hAnsi="Tw Cen MT Condensed"/>
                <w:b/>
              </w:rPr>
              <w:t>Policy</w:t>
            </w:r>
          </w:p>
        </w:tc>
      </w:tr>
      <w:tr w:rsidR="00360ABE" w14:paraId="2E3F94AB" w14:textId="77777777" w:rsidTr="00905517">
        <w:trPr>
          <w:jc w:val="center"/>
        </w:trPr>
        <w:tc>
          <w:tcPr>
            <w:tcW w:w="1129" w:type="dxa"/>
          </w:tcPr>
          <w:p w14:paraId="32471D9E" w14:textId="77777777" w:rsidR="00360ABE" w:rsidRPr="007E15F6" w:rsidRDefault="00360ABE" w:rsidP="00905517">
            <w:pPr>
              <w:spacing w:line="276" w:lineRule="auto"/>
              <w:rPr>
                <w:rFonts w:ascii="Tw Cen MT Condensed" w:hAnsi="Tw Cen MT Condensed" w:cstheme="majorHAnsi"/>
                <w:sz w:val="20"/>
                <w:szCs w:val="20"/>
              </w:rPr>
            </w:pPr>
            <w:r w:rsidRPr="007E15F6">
              <w:rPr>
                <w:rFonts w:ascii="Tw Cen MT Condensed" w:hAnsi="Tw Cen MT Condensed" w:cstheme="majorHAnsi"/>
                <w:sz w:val="20"/>
                <w:szCs w:val="20"/>
              </w:rPr>
              <w:t>1973</w:t>
            </w:r>
          </w:p>
        </w:tc>
        <w:tc>
          <w:tcPr>
            <w:tcW w:w="6237" w:type="dxa"/>
          </w:tcPr>
          <w:p w14:paraId="6D47FDCD" w14:textId="77777777" w:rsidR="00360ABE" w:rsidRPr="00BB3130" w:rsidRDefault="00360ABE" w:rsidP="00905517">
            <w:pPr>
              <w:spacing w:line="276" w:lineRule="auto"/>
              <w:rPr>
                <w:rFonts w:asciiTheme="majorHAnsi" w:hAnsiTheme="majorHAnsi" w:cstheme="majorHAnsi"/>
                <w:i/>
                <w:sz w:val="20"/>
                <w:szCs w:val="20"/>
              </w:rPr>
            </w:pPr>
            <w:r w:rsidRPr="00BB3130">
              <w:rPr>
                <w:rFonts w:asciiTheme="majorHAnsi" w:hAnsiTheme="majorHAnsi" w:cstheme="majorHAnsi"/>
                <w:i/>
                <w:sz w:val="20"/>
                <w:szCs w:val="20"/>
              </w:rPr>
              <w:t>Australian Public Service Maternity Leave (Australian Government Employees) Act, 1973</w:t>
            </w:r>
          </w:p>
          <w:p w14:paraId="7DE0A5A5" w14:textId="5334C4A9" w:rsidR="00360ABE" w:rsidRPr="00BB3130" w:rsidRDefault="00360ABE" w:rsidP="00905517">
            <w:pPr>
              <w:spacing w:line="276" w:lineRule="auto"/>
              <w:rPr>
                <w:rFonts w:asciiTheme="majorHAnsi" w:hAnsiTheme="majorHAnsi" w:cstheme="majorHAnsi"/>
                <w:sz w:val="20"/>
                <w:szCs w:val="20"/>
              </w:rPr>
            </w:pPr>
            <w:r w:rsidRPr="00BB3130">
              <w:rPr>
                <w:rFonts w:asciiTheme="majorHAnsi" w:hAnsiTheme="majorHAnsi" w:cstheme="majorHAnsi"/>
                <w:i/>
                <w:sz w:val="20"/>
                <w:szCs w:val="20"/>
              </w:rPr>
              <w:t xml:space="preserve"> </w:t>
            </w:r>
            <w:r w:rsidRPr="00BB3130">
              <w:rPr>
                <w:rFonts w:asciiTheme="majorHAnsi" w:hAnsiTheme="majorHAnsi" w:cstheme="majorHAnsi"/>
                <w:sz w:val="20"/>
                <w:szCs w:val="20"/>
              </w:rPr>
              <w:t xml:space="preserve">12 weeks paid maternity leave, and 40 weeks unpaid maternity leave for federal public servants </w:t>
            </w:r>
          </w:p>
        </w:tc>
      </w:tr>
      <w:tr w:rsidR="00360ABE" w14:paraId="5777E862" w14:textId="77777777" w:rsidTr="00905517">
        <w:trPr>
          <w:trHeight w:val="340"/>
          <w:jc w:val="center"/>
        </w:trPr>
        <w:tc>
          <w:tcPr>
            <w:tcW w:w="1129" w:type="dxa"/>
          </w:tcPr>
          <w:p w14:paraId="583722FC" w14:textId="77777777" w:rsidR="00360ABE" w:rsidRPr="007E15F6" w:rsidRDefault="00360ABE" w:rsidP="00905517">
            <w:pPr>
              <w:spacing w:line="276" w:lineRule="auto"/>
              <w:rPr>
                <w:rFonts w:ascii="Tw Cen MT Condensed" w:hAnsi="Tw Cen MT Condensed" w:cstheme="majorHAnsi"/>
                <w:sz w:val="20"/>
                <w:szCs w:val="20"/>
              </w:rPr>
            </w:pPr>
            <w:r w:rsidRPr="007E15F6">
              <w:rPr>
                <w:rFonts w:ascii="Tw Cen MT Condensed" w:hAnsi="Tw Cen MT Condensed" w:cstheme="majorHAnsi"/>
                <w:sz w:val="20"/>
                <w:szCs w:val="20"/>
              </w:rPr>
              <w:t>1979</w:t>
            </w:r>
          </w:p>
        </w:tc>
        <w:tc>
          <w:tcPr>
            <w:tcW w:w="6237" w:type="dxa"/>
          </w:tcPr>
          <w:p w14:paraId="56460698" w14:textId="10A08181" w:rsidR="00360ABE" w:rsidRPr="00BB3130" w:rsidRDefault="00360ABE" w:rsidP="00331B98">
            <w:pPr>
              <w:spacing w:line="276" w:lineRule="auto"/>
              <w:rPr>
                <w:rFonts w:asciiTheme="majorHAnsi" w:hAnsiTheme="majorHAnsi" w:cstheme="majorHAnsi"/>
                <w:sz w:val="20"/>
                <w:szCs w:val="20"/>
              </w:rPr>
            </w:pPr>
            <w:r w:rsidRPr="00BB3130">
              <w:rPr>
                <w:rFonts w:asciiTheme="majorHAnsi" w:hAnsiTheme="majorHAnsi" w:cstheme="majorHAnsi"/>
                <w:sz w:val="20"/>
                <w:szCs w:val="20"/>
              </w:rPr>
              <w:t>Unpaid maternity leave – 52 weeks</w:t>
            </w:r>
          </w:p>
        </w:tc>
      </w:tr>
      <w:tr w:rsidR="00360ABE" w14:paraId="5D66E36D" w14:textId="77777777" w:rsidTr="00905517">
        <w:trPr>
          <w:trHeight w:val="340"/>
          <w:jc w:val="center"/>
        </w:trPr>
        <w:tc>
          <w:tcPr>
            <w:tcW w:w="1129" w:type="dxa"/>
          </w:tcPr>
          <w:p w14:paraId="2E1AD869" w14:textId="77777777" w:rsidR="00360ABE" w:rsidRPr="007E15F6" w:rsidRDefault="00360ABE" w:rsidP="00905517">
            <w:pPr>
              <w:spacing w:line="276" w:lineRule="auto"/>
              <w:rPr>
                <w:rFonts w:ascii="Tw Cen MT Condensed" w:hAnsi="Tw Cen MT Condensed" w:cstheme="majorHAnsi"/>
                <w:sz w:val="20"/>
                <w:szCs w:val="20"/>
              </w:rPr>
            </w:pPr>
            <w:r w:rsidRPr="007E15F6">
              <w:rPr>
                <w:rFonts w:ascii="Tw Cen MT Condensed" w:hAnsi="Tw Cen MT Condensed" w:cstheme="majorHAnsi"/>
                <w:sz w:val="20"/>
                <w:szCs w:val="20"/>
              </w:rPr>
              <w:t>1990</w:t>
            </w:r>
          </w:p>
        </w:tc>
        <w:tc>
          <w:tcPr>
            <w:tcW w:w="6237" w:type="dxa"/>
          </w:tcPr>
          <w:p w14:paraId="56ED01B2" w14:textId="76EE116C" w:rsidR="00360ABE" w:rsidRPr="00BB3130" w:rsidRDefault="00360ABE" w:rsidP="00331B98">
            <w:pPr>
              <w:spacing w:line="276" w:lineRule="auto"/>
              <w:rPr>
                <w:rFonts w:asciiTheme="majorHAnsi" w:hAnsiTheme="majorHAnsi" w:cstheme="majorHAnsi"/>
                <w:sz w:val="20"/>
                <w:szCs w:val="20"/>
              </w:rPr>
            </w:pPr>
            <w:r w:rsidRPr="00BB3130">
              <w:rPr>
                <w:rFonts w:asciiTheme="majorHAnsi" w:hAnsiTheme="majorHAnsi" w:cstheme="majorHAnsi"/>
                <w:sz w:val="20"/>
                <w:szCs w:val="20"/>
              </w:rPr>
              <w:t>Unpaid maternity leave could be shared with fathers</w:t>
            </w:r>
          </w:p>
        </w:tc>
      </w:tr>
      <w:tr w:rsidR="00360ABE" w14:paraId="16F324EB" w14:textId="77777777" w:rsidTr="00905517">
        <w:trPr>
          <w:trHeight w:val="340"/>
          <w:jc w:val="center"/>
        </w:trPr>
        <w:tc>
          <w:tcPr>
            <w:tcW w:w="1129" w:type="dxa"/>
          </w:tcPr>
          <w:p w14:paraId="4F2FBDAA" w14:textId="261F5B17" w:rsidR="00360ABE" w:rsidRPr="007E15F6" w:rsidRDefault="00360ABE" w:rsidP="00331B98">
            <w:pPr>
              <w:spacing w:line="276" w:lineRule="auto"/>
              <w:rPr>
                <w:rFonts w:ascii="Tw Cen MT Condensed" w:hAnsi="Tw Cen MT Condensed" w:cstheme="majorHAnsi"/>
                <w:sz w:val="20"/>
                <w:szCs w:val="20"/>
              </w:rPr>
            </w:pPr>
            <w:r w:rsidRPr="007E15F6">
              <w:rPr>
                <w:rFonts w:ascii="Tw Cen MT Condensed" w:hAnsi="Tw Cen MT Condensed" w:cstheme="majorHAnsi"/>
                <w:sz w:val="20"/>
                <w:szCs w:val="20"/>
              </w:rPr>
              <w:t>2006</w:t>
            </w:r>
          </w:p>
        </w:tc>
        <w:tc>
          <w:tcPr>
            <w:tcW w:w="6237" w:type="dxa"/>
          </w:tcPr>
          <w:p w14:paraId="758C0044" w14:textId="77777777" w:rsidR="00360ABE" w:rsidRPr="00BB3130" w:rsidRDefault="00360ABE" w:rsidP="00905517">
            <w:pPr>
              <w:spacing w:line="276" w:lineRule="auto"/>
              <w:rPr>
                <w:rFonts w:asciiTheme="majorHAnsi" w:hAnsiTheme="majorHAnsi" w:cstheme="majorHAnsi"/>
                <w:sz w:val="20"/>
                <w:szCs w:val="20"/>
              </w:rPr>
            </w:pPr>
            <w:r w:rsidRPr="00BB3130">
              <w:rPr>
                <w:rFonts w:asciiTheme="majorHAnsi" w:hAnsiTheme="majorHAnsi" w:cstheme="majorHAnsi"/>
                <w:sz w:val="20"/>
                <w:szCs w:val="20"/>
              </w:rPr>
              <w:t>Unpaid parental leave extended to casual employees</w:t>
            </w:r>
          </w:p>
        </w:tc>
      </w:tr>
      <w:tr w:rsidR="00360ABE" w14:paraId="54EEB994" w14:textId="77777777" w:rsidTr="00905517">
        <w:trPr>
          <w:trHeight w:val="340"/>
          <w:jc w:val="center"/>
        </w:trPr>
        <w:tc>
          <w:tcPr>
            <w:tcW w:w="1129" w:type="dxa"/>
          </w:tcPr>
          <w:p w14:paraId="08DC1AB9" w14:textId="77777777" w:rsidR="00360ABE" w:rsidRPr="007E15F6" w:rsidRDefault="00360ABE" w:rsidP="00905517">
            <w:pPr>
              <w:spacing w:line="276" w:lineRule="auto"/>
              <w:rPr>
                <w:rFonts w:ascii="Tw Cen MT Condensed" w:hAnsi="Tw Cen MT Condensed" w:cstheme="majorHAnsi"/>
                <w:sz w:val="20"/>
                <w:szCs w:val="20"/>
              </w:rPr>
            </w:pPr>
            <w:r w:rsidRPr="007E15F6">
              <w:rPr>
                <w:rFonts w:ascii="Tw Cen MT Condensed" w:hAnsi="Tw Cen MT Condensed" w:cstheme="majorHAnsi"/>
                <w:sz w:val="20"/>
                <w:szCs w:val="20"/>
              </w:rPr>
              <w:t>2010</w:t>
            </w:r>
          </w:p>
        </w:tc>
        <w:tc>
          <w:tcPr>
            <w:tcW w:w="6237" w:type="dxa"/>
          </w:tcPr>
          <w:p w14:paraId="7EF9EC64" w14:textId="6171F5C4" w:rsidR="00360ABE" w:rsidRPr="00BB3130" w:rsidRDefault="00360ABE" w:rsidP="00905517">
            <w:pPr>
              <w:spacing w:line="276" w:lineRule="auto"/>
              <w:rPr>
                <w:rFonts w:asciiTheme="majorHAnsi" w:hAnsiTheme="majorHAnsi" w:cstheme="majorHAnsi"/>
                <w:sz w:val="20"/>
                <w:szCs w:val="20"/>
              </w:rPr>
            </w:pPr>
            <w:r w:rsidRPr="00BB3130">
              <w:rPr>
                <w:rFonts w:asciiTheme="majorHAnsi" w:hAnsiTheme="majorHAnsi" w:cstheme="majorHAnsi"/>
                <w:sz w:val="20"/>
                <w:szCs w:val="20"/>
              </w:rPr>
              <w:t>Unpaid parental leave for both men and women – each parent entitled to 52 weeks</w:t>
            </w:r>
          </w:p>
        </w:tc>
      </w:tr>
      <w:tr w:rsidR="00360ABE" w14:paraId="138BE2FD" w14:textId="77777777" w:rsidTr="00905517">
        <w:trPr>
          <w:trHeight w:val="340"/>
          <w:jc w:val="center"/>
        </w:trPr>
        <w:tc>
          <w:tcPr>
            <w:tcW w:w="1129" w:type="dxa"/>
          </w:tcPr>
          <w:p w14:paraId="65524957" w14:textId="77777777" w:rsidR="00360ABE" w:rsidRPr="007E15F6" w:rsidRDefault="00360ABE" w:rsidP="00905517">
            <w:pPr>
              <w:spacing w:line="276" w:lineRule="auto"/>
              <w:rPr>
                <w:rFonts w:ascii="Tw Cen MT Condensed" w:hAnsi="Tw Cen MT Condensed" w:cstheme="majorHAnsi"/>
                <w:sz w:val="20"/>
                <w:szCs w:val="20"/>
              </w:rPr>
            </w:pPr>
            <w:r w:rsidRPr="007E15F6">
              <w:rPr>
                <w:rFonts w:ascii="Tw Cen MT Condensed" w:hAnsi="Tw Cen MT Condensed" w:cstheme="majorHAnsi"/>
                <w:sz w:val="20"/>
                <w:szCs w:val="20"/>
              </w:rPr>
              <w:t>2011</w:t>
            </w:r>
          </w:p>
        </w:tc>
        <w:tc>
          <w:tcPr>
            <w:tcW w:w="6237" w:type="dxa"/>
          </w:tcPr>
          <w:p w14:paraId="20D481FF" w14:textId="52523EA6" w:rsidR="00360ABE" w:rsidRPr="00BB3130" w:rsidRDefault="00360ABE" w:rsidP="00E92CE7">
            <w:pPr>
              <w:spacing w:line="276" w:lineRule="auto"/>
              <w:rPr>
                <w:rFonts w:asciiTheme="majorHAnsi" w:hAnsiTheme="majorHAnsi" w:cstheme="majorHAnsi"/>
                <w:sz w:val="20"/>
                <w:szCs w:val="20"/>
              </w:rPr>
            </w:pPr>
            <w:r w:rsidRPr="00BB3130">
              <w:rPr>
                <w:rFonts w:asciiTheme="majorHAnsi" w:hAnsiTheme="majorHAnsi" w:cstheme="majorHAnsi"/>
                <w:sz w:val="20"/>
                <w:szCs w:val="20"/>
              </w:rPr>
              <w:t xml:space="preserve">18 weeks </w:t>
            </w:r>
            <w:r w:rsidR="00E92CE7">
              <w:rPr>
                <w:rFonts w:asciiTheme="majorHAnsi" w:hAnsiTheme="majorHAnsi" w:cstheme="majorHAnsi"/>
                <w:sz w:val="20"/>
                <w:szCs w:val="20"/>
              </w:rPr>
              <w:t>Parental Leave Pay</w:t>
            </w:r>
            <w:r w:rsidRPr="00BB3130">
              <w:rPr>
                <w:rFonts w:asciiTheme="majorHAnsi" w:hAnsiTheme="majorHAnsi" w:cstheme="majorHAnsi"/>
                <w:sz w:val="20"/>
                <w:szCs w:val="20"/>
              </w:rPr>
              <w:t xml:space="preserve"> (PL</w:t>
            </w:r>
            <w:r w:rsidR="00E92CE7">
              <w:rPr>
                <w:rFonts w:asciiTheme="majorHAnsi" w:hAnsiTheme="majorHAnsi" w:cstheme="majorHAnsi"/>
                <w:sz w:val="20"/>
                <w:szCs w:val="20"/>
              </w:rPr>
              <w:t>P</w:t>
            </w:r>
            <w:r w:rsidRPr="00BB3130">
              <w:rPr>
                <w:rFonts w:asciiTheme="majorHAnsi" w:hAnsiTheme="majorHAnsi" w:cstheme="majorHAnsi"/>
                <w:sz w:val="20"/>
                <w:szCs w:val="20"/>
              </w:rPr>
              <w:t>)</w:t>
            </w:r>
          </w:p>
        </w:tc>
      </w:tr>
      <w:tr w:rsidR="00360ABE" w14:paraId="2F4252AC" w14:textId="77777777" w:rsidTr="00905517">
        <w:trPr>
          <w:trHeight w:val="340"/>
          <w:jc w:val="center"/>
        </w:trPr>
        <w:tc>
          <w:tcPr>
            <w:tcW w:w="1129" w:type="dxa"/>
          </w:tcPr>
          <w:p w14:paraId="788FC518" w14:textId="77777777" w:rsidR="00360ABE" w:rsidRPr="007E15F6" w:rsidRDefault="00360ABE" w:rsidP="00905517">
            <w:pPr>
              <w:spacing w:line="276" w:lineRule="auto"/>
              <w:rPr>
                <w:rFonts w:ascii="Tw Cen MT Condensed" w:hAnsi="Tw Cen MT Condensed" w:cstheme="majorHAnsi"/>
                <w:sz w:val="20"/>
                <w:szCs w:val="20"/>
              </w:rPr>
            </w:pPr>
            <w:r w:rsidRPr="007E15F6">
              <w:rPr>
                <w:rFonts w:ascii="Tw Cen MT Condensed" w:hAnsi="Tw Cen MT Condensed" w:cstheme="majorHAnsi"/>
                <w:sz w:val="20"/>
                <w:szCs w:val="20"/>
              </w:rPr>
              <w:t>2013</w:t>
            </w:r>
          </w:p>
        </w:tc>
        <w:tc>
          <w:tcPr>
            <w:tcW w:w="6237" w:type="dxa"/>
          </w:tcPr>
          <w:p w14:paraId="3E892AF8" w14:textId="77777777" w:rsidR="00360ABE" w:rsidRPr="00BB3130" w:rsidRDefault="00360ABE" w:rsidP="00905517">
            <w:pPr>
              <w:spacing w:line="276" w:lineRule="auto"/>
              <w:rPr>
                <w:rFonts w:asciiTheme="majorHAnsi" w:hAnsiTheme="majorHAnsi" w:cstheme="majorHAnsi"/>
                <w:sz w:val="20"/>
                <w:szCs w:val="20"/>
              </w:rPr>
            </w:pPr>
            <w:r w:rsidRPr="00BB3130">
              <w:rPr>
                <w:rFonts w:asciiTheme="majorHAnsi" w:hAnsiTheme="majorHAnsi" w:cstheme="majorHAnsi"/>
                <w:sz w:val="20"/>
                <w:szCs w:val="20"/>
              </w:rPr>
              <w:t>2 week Dad and Partner Pay (DaPP) introduced</w:t>
            </w:r>
          </w:p>
        </w:tc>
      </w:tr>
    </w:tbl>
    <w:p w14:paraId="2DF75A40" w14:textId="41DD2B14" w:rsidR="00360ABE" w:rsidRPr="00BB3130" w:rsidRDefault="00360ABE" w:rsidP="00BC5105">
      <w:pPr>
        <w:spacing w:line="276" w:lineRule="auto"/>
        <w:jc w:val="both"/>
        <w:rPr>
          <w:sz w:val="20"/>
          <w:szCs w:val="20"/>
        </w:rPr>
      </w:pPr>
      <w:r w:rsidRPr="00BB3130">
        <w:rPr>
          <w:sz w:val="20"/>
          <w:szCs w:val="20"/>
        </w:rPr>
        <w:t xml:space="preserve">Source: </w:t>
      </w:r>
      <w:sdt>
        <w:sdtPr>
          <w:rPr>
            <w:sz w:val="20"/>
            <w:szCs w:val="20"/>
          </w:rPr>
          <w:id w:val="1264028868"/>
          <w:citation/>
        </w:sdtPr>
        <w:sdtEndPr/>
        <w:sdtContent>
          <w:r w:rsidRPr="00BB3130">
            <w:rPr>
              <w:sz w:val="20"/>
              <w:szCs w:val="20"/>
            </w:rPr>
            <w:fldChar w:fldCharType="begin"/>
          </w:r>
          <w:r w:rsidR="002D3C9D" w:rsidRPr="002D3C9D">
            <w:rPr>
              <w:sz w:val="20"/>
              <w:szCs w:val="20"/>
            </w:rPr>
            <w:instrText xml:space="preserve">CITATION OEC21 \t  \l 3081 </w:instrText>
          </w:r>
          <w:r w:rsidRPr="00BB3130">
            <w:rPr>
              <w:sz w:val="20"/>
              <w:szCs w:val="20"/>
            </w:rPr>
            <w:fldChar w:fldCharType="separate"/>
          </w:r>
          <w:r w:rsidR="00BE2DD4" w:rsidRPr="00BC70D8">
            <w:rPr>
              <w:noProof/>
              <w:sz w:val="20"/>
              <w:szCs w:val="20"/>
            </w:rPr>
            <w:t>(OECD, 2021)</w:t>
          </w:r>
          <w:r w:rsidRPr="00BB3130">
            <w:rPr>
              <w:sz w:val="20"/>
              <w:szCs w:val="20"/>
            </w:rPr>
            <w:fldChar w:fldCharType="end"/>
          </w:r>
        </w:sdtContent>
      </w:sdt>
      <w:r w:rsidRPr="00BB3130">
        <w:rPr>
          <w:sz w:val="20"/>
          <w:szCs w:val="20"/>
        </w:rPr>
        <w:t>, PF 2.5 Annex</w:t>
      </w:r>
    </w:p>
    <w:p w14:paraId="3F7568EE" w14:textId="005E1858" w:rsidR="0008045B" w:rsidRDefault="00A60882" w:rsidP="00750FBE">
      <w:pPr>
        <w:spacing w:line="276" w:lineRule="auto"/>
        <w:jc w:val="both"/>
      </w:pPr>
      <w:r>
        <w:t>The Commonwealth Government</w:t>
      </w:r>
      <w:r w:rsidR="00F31FC5">
        <w:t xml:space="preserve"> first introduced a </w:t>
      </w:r>
      <w:r w:rsidR="00E92CE7">
        <w:t>Parental Leave Pay</w:t>
      </w:r>
      <w:r w:rsidR="00F31FC5">
        <w:t xml:space="preserve"> (PL</w:t>
      </w:r>
      <w:r w:rsidR="00E92CE7">
        <w:t>P</w:t>
      </w:r>
      <w:r w:rsidR="00F31FC5">
        <w:t xml:space="preserve">) scheme in 2011, providing </w:t>
      </w:r>
      <w:r w:rsidR="0073228B">
        <w:t xml:space="preserve">parental leave pay for </w:t>
      </w:r>
      <w:r w:rsidR="00F31FC5">
        <w:t>18 weeks (90 payable days) to a newborn’s primary carer paid at the minimum wage.</w:t>
      </w:r>
      <w:r w:rsidR="00F31FC5" w:rsidRPr="00B86F14">
        <w:t xml:space="preserve"> </w:t>
      </w:r>
      <w:r w:rsidR="00A46D48">
        <w:t xml:space="preserve">As the payment is not pro-rated, for women who worked less than full-time prior to birth, their wage replacement can be higher than their pre-birth wage income </w:t>
      </w:r>
      <w:r w:rsidR="008D2B35">
        <w:rPr>
          <w:noProof/>
        </w:rPr>
        <w:t>(Baird &amp; O'Brien, 2015)</w:t>
      </w:r>
      <w:r w:rsidR="00A46D48">
        <w:t xml:space="preserve">. </w:t>
      </w:r>
      <w:r w:rsidR="00750FBE">
        <w:t>In 2013, two weeks of Dad and Partner Pay (DaPP) was introduced with the s</w:t>
      </w:r>
      <w:r w:rsidR="00750FBE" w:rsidRPr="00512C33">
        <w:t>ame work requirements and maximum income test as PLP.</w:t>
      </w:r>
      <w:r w:rsidR="0008045B">
        <w:t xml:space="preserve"> </w:t>
      </w:r>
      <w:r w:rsidR="007C257E">
        <w:t xml:space="preserve">More details about PLP and DaPP are shown in </w:t>
      </w:r>
      <w:r w:rsidR="00DA7092">
        <w:t>Table 13</w:t>
      </w:r>
      <w:r w:rsidR="007C257E">
        <w:t>.</w:t>
      </w:r>
    </w:p>
    <w:p w14:paraId="7EC4DFAC" w14:textId="095C6D5C" w:rsidR="007C257E" w:rsidRDefault="007C257E" w:rsidP="007C257E">
      <w:pPr>
        <w:spacing w:line="276" w:lineRule="auto"/>
        <w:jc w:val="both"/>
      </w:pPr>
      <w:r>
        <w:t xml:space="preserve">Many employers also provide paid parental leave, often regulated through industrial agreements. The proportion of employers who offer paid parental leave varies according to industry, for example in 2015-16, </w:t>
      </w:r>
      <w:r w:rsidR="00A60882">
        <w:t xml:space="preserve">around 20% of </w:t>
      </w:r>
      <w:r>
        <w:t>retail trade employers provided paid parental leave</w:t>
      </w:r>
      <w:r w:rsidR="00A60882">
        <w:t>,</w:t>
      </w:r>
      <w:r>
        <w:t xml:space="preserve"> compared to 84% of employers in Education and Training </w:t>
      </w:r>
      <w:r w:rsidR="008D2B35">
        <w:rPr>
          <w:noProof/>
        </w:rPr>
        <w:t>(Workplace Gender Equality Agency, 2017)</w:t>
      </w:r>
      <w:r>
        <w:t xml:space="preserve">. Some employers top up the </w:t>
      </w:r>
      <w:r w:rsidR="00E92CE7">
        <w:t>PLP</w:t>
      </w:r>
      <w:r>
        <w:t xml:space="preserve"> to employee’s full wage, whereas others pay the full wage on top of the PLP</w:t>
      </w:r>
      <w:r w:rsidR="008D2B35">
        <w:t>.</w:t>
      </w:r>
      <w:r>
        <w:t xml:space="preserve"> Australia therefore has a </w:t>
      </w:r>
      <w:r w:rsidRPr="00B86F14">
        <w:t>hybrid</w:t>
      </w:r>
      <w:r w:rsidRPr="00CA7F38">
        <w:rPr>
          <w:b/>
        </w:rPr>
        <w:t xml:space="preserve"> </w:t>
      </w:r>
      <w:r>
        <w:t>system of unpaid leave available through labour law, a government-funded scheme, plus employer provided paid parental leave achieved either through bargaining or company policy</w:t>
      </w:r>
      <w:r w:rsidRPr="00BF31BB">
        <w:t xml:space="preserve"> </w:t>
      </w:r>
      <w:r w:rsidR="001E0F6C">
        <w:rPr>
          <w:noProof/>
        </w:rPr>
        <w:t xml:space="preserve">(Baird, </w:t>
      </w:r>
      <w:r w:rsidR="001E0F6C" w:rsidRPr="007E15F6">
        <w:rPr>
          <w:i/>
          <w:iCs/>
          <w:noProof/>
        </w:rPr>
        <w:t>et al</w:t>
      </w:r>
      <w:r w:rsidR="001E0F6C">
        <w:rPr>
          <w:noProof/>
        </w:rPr>
        <w:t>. 2021)</w:t>
      </w:r>
      <w:r>
        <w:t xml:space="preserve">. </w:t>
      </w:r>
    </w:p>
    <w:p w14:paraId="0D7C57C8" w14:textId="77777777" w:rsidR="008D2B35" w:rsidRDefault="008D2B35" w:rsidP="007C257E">
      <w:pPr>
        <w:spacing w:line="276" w:lineRule="auto"/>
        <w:jc w:val="both"/>
      </w:pPr>
    </w:p>
    <w:p w14:paraId="2B17DA30" w14:textId="1FB520CF" w:rsidR="00750FBE" w:rsidRDefault="00750FBE" w:rsidP="00750FBE">
      <w:pPr>
        <w:pStyle w:val="Caption"/>
        <w:keepNext/>
        <w:spacing w:line="276" w:lineRule="auto"/>
      </w:pPr>
      <w:bookmarkStart w:id="97" w:name="_Ref79568807"/>
      <w:r>
        <w:lastRenderedPageBreak/>
        <w:t xml:space="preserve">Table </w:t>
      </w:r>
      <w:fldSimple w:instr=" SEQ Table \* ARABIC ">
        <w:r w:rsidR="00115E22">
          <w:rPr>
            <w:noProof/>
          </w:rPr>
          <w:t>13</w:t>
        </w:r>
      </w:fldSimple>
      <w:bookmarkEnd w:id="97"/>
      <w:r>
        <w:t xml:space="preserve"> Summary of Australia's current Parental Leave policies</w:t>
      </w:r>
    </w:p>
    <w:tbl>
      <w:tblPr>
        <w:tblStyle w:val="TableGrid"/>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9016"/>
      </w:tblGrid>
      <w:tr w:rsidR="00750FBE" w:rsidRPr="00B12C7E" w14:paraId="5E2D8B63" w14:textId="77777777" w:rsidTr="00905517">
        <w:tc>
          <w:tcPr>
            <w:tcW w:w="9016" w:type="dxa"/>
            <w:shd w:val="clear" w:color="auto" w:fill="FBE4D5" w:themeFill="accent2" w:themeFillTint="33"/>
          </w:tcPr>
          <w:p w14:paraId="7F1B8796" w14:textId="662DE4B2" w:rsidR="00750FBE" w:rsidRPr="00BB3130" w:rsidRDefault="00750FBE">
            <w:pPr>
              <w:rPr>
                <w:rFonts w:ascii="Tw Cen MT Condensed" w:hAnsi="Tw Cen MT Condensed"/>
                <w:sz w:val="20"/>
                <w:szCs w:val="20"/>
              </w:rPr>
            </w:pPr>
            <w:r w:rsidRPr="00BB3130">
              <w:rPr>
                <w:rFonts w:ascii="Tw Cen MT Condensed" w:hAnsi="Tw Cen MT Condensed"/>
                <w:b/>
              </w:rPr>
              <w:t>Unpaid leave</w:t>
            </w:r>
            <w:r w:rsidR="0073228B">
              <w:rPr>
                <w:rFonts w:ascii="Tw Cen MT Condensed" w:hAnsi="Tw Cen MT Condensed"/>
                <w:b/>
              </w:rPr>
              <w:t xml:space="preserve"> - </w:t>
            </w:r>
            <w:r w:rsidRPr="00BB3130">
              <w:rPr>
                <w:rFonts w:ascii="Tw Cen MT Condensed" w:hAnsi="Tw Cen MT Condensed"/>
              </w:rPr>
              <w:t xml:space="preserve"> 52 weeks </w:t>
            </w:r>
          </w:p>
        </w:tc>
      </w:tr>
      <w:tr w:rsidR="00750FBE" w:rsidRPr="00B12C7E" w14:paraId="20FFEF01" w14:textId="77777777" w:rsidTr="00905517">
        <w:tc>
          <w:tcPr>
            <w:tcW w:w="9016" w:type="dxa"/>
          </w:tcPr>
          <w:p w14:paraId="14494596" w14:textId="77777777" w:rsidR="00750FBE" w:rsidRPr="00BB3130" w:rsidRDefault="00750FBE" w:rsidP="00905517">
            <w:pPr>
              <w:ind w:left="63"/>
              <w:rPr>
                <w:sz w:val="4"/>
                <w:szCs w:val="4"/>
              </w:rPr>
            </w:pPr>
          </w:p>
          <w:p w14:paraId="59FF3F31" w14:textId="77777777" w:rsidR="00750FBE" w:rsidRPr="00BB3130" w:rsidRDefault="00750FBE" w:rsidP="00905517">
            <w:pPr>
              <w:ind w:left="63"/>
              <w:rPr>
                <w:rFonts w:ascii="Calibri Light" w:hAnsi="Calibri Light" w:cs="Calibri Light"/>
                <w:sz w:val="20"/>
                <w:szCs w:val="20"/>
              </w:rPr>
            </w:pPr>
            <w:r w:rsidRPr="00BB3130">
              <w:rPr>
                <w:rFonts w:ascii="Calibri Light" w:hAnsi="Calibri Light" w:cs="Calibri Light"/>
                <w:sz w:val="20"/>
                <w:szCs w:val="20"/>
              </w:rPr>
              <w:t>All employees are eligible if they have completed at least 12 months of continuous service with their employer.</w:t>
            </w:r>
          </w:p>
          <w:p w14:paraId="30282161" w14:textId="77777777" w:rsidR="00750FBE" w:rsidRPr="00BB3130" w:rsidRDefault="00750FBE" w:rsidP="00905517">
            <w:pPr>
              <w:ind w:left="63"/>
              <w:rPr>
                <w:rFonts w:ascii="Calibri Light" w:hAnsi="Calibri Light" w:cs="Calibri Light"/>
                <w:sz w:val="12"/>
                <w:szCs w:val="12"/>
              </w:rPr>
            </w:pPr>
          </w:p>
          <w:p w14:paraId="0E955345" w14:textId="12DD7D70" w:rsidR="00750FBE" w:rsidRPr="00BB3130" w:rsidRDefault="00750FBE" w:rsidP="00905517">
            <w:pPr>
              <w:ind w:left="63"/>
              <w:rPr>
                <w:rFonts w:ascii="Calibri Light" w:hAnsi="Calibri Light" w:cs="Calibri Light"/>
                <w:sz w:val="20"/>
                <w:szCs w:val="20"/>
              </w:rPr>
            </w:pPr>
            <w:r w:rsidRPr="00BB3130">
              <w:rPr>
                <w:rFonts w:ascii="Calibri Light" w:hAnsi="Calibri Light" w:cs="Calibri Light"/>
                <w:sz w:val="20"/>
                <w:szCs w:val="20"/>
              </w:rPr>
              <w:t xml:space="preserve">Casual employees are eligible </w:t>
            </w:r>
            <w:r w:rsidR="00B12C7E">
              <w:rPr>
                <w:rFonts w:ascii="Calibri Light" w:hAnsi="Calibri Light" w:cs="Calibri Light"/>
                <w:sz w:val="20"/>
                <w:szCs w:val="20"/>
              </w:rPr>
              <w:t>if</w:t>
            </w:r>
            <w:r w:rsidRPr="00BB3130">
              <w:rPr>
                <w:rFonts w:ascii="Calibri Light" w:hAnsi="Calibri Light" w:cs="Calibri Light"/>
                <w:sz w:val="20"/>
                <w:szCs w:val="20"/>
              </w:rPr>
              <w:t xml:space="preserve"> employed by the employer on a regular and systematic basis for a sequence of periods over at least 12 months and would reasonably have expected to continue working for their employer on a regular and systematic basis, had it not been for the </w:t>
            </w:r>
            <w:r w:rsidR="0073228B" w:rsidRPr="00BB3130">
              <w:rPr>
                <w:rFonts w:ascii="Calibri Light" w:hAnsi="Calibri Light" w:cs="Calibri Light"/>
                <w:sz w:val="20"/>
                <w:szCs w:val="20"/>
              </w:rPr>
              <w:t>birth or</w:t>
            </w:r>
            <w:r w:rsidRPr="00BB3130">
              <w:rPr>
                <w:rFonts w:ascii="Calibri Light" w:hAnsi="Calibri Light" w:cs="Calibri Light"/>
                <w:sz w:val="20"/>
                <w:szCs w:val="20"/>
              </w:rPr>
              <w:t xml:space="preserve"> adoption of a child.</w:t>
            </w:r>
          </w:p>
          <w:p w14:paraId="11A8270E" w14:textId="77777777" w:rsidR="00750FBE" w:rsidRPr="00BB3130" w:rsidRDefault="00750FBE" w:rsidP="00905517">
            <w:pPr>
              <w:ind w:left="63"/>
              <w:rPr>
                <w:rFonts w:ascii="Calibri Light" w:hAnsi="Calibri Light" w:cs="Calibri Light"/>
                <w:sz w:val="20"/>
                <w:szCs w:val="20"/>
              </w:rPr>
            </w:pPr>
          </w:p>
          <w:p w14:paraId="7AEF0545" w14:textId="77777777" w:rsidR="00750FBE" w:rsidRPr="00BB3130" w:rsidRDefault="00750FBE" w:rsidP="00905517">
            <w:pPr>
              <w:ind w:left="63"/>
              <w:rPr>
                <w:rFonts w:ascii="Calibri Light" w:hAnsi="Calibri Light" w:cs="Calibri Light"/>
                <w:sz w:val="20"/>
                <w:szCs w:val="20"/>
              </w:rPr>
            </w:pPr>
            <w:r w:rsidRPr="00BB3130">
              <w:rPr>
                <w:rFonts w:ascii="Calibri Light" w:hAnsi="Calibri Light" w:cs="Calibri Light"/>
                <w:sz w:val="20"/>
                <w:szCs w:val="20"/>
              </w:rPr>
              <w:t>If only the primary caregiver decides to take leave, they may request additional leave (up to 12 months) from their employer.</w:t>
            </w:r>
          </w:p>
          <w:p w14:paraId="3EAA2951" w14:textId="77777777" w:rsidR="00750FBE" w:rsidRPr="00BB3130" w:rsidRDefault="00750FBE" w:rsidP="00905517">
            <w:pPr>
              <w:ind w:left="63"/>
              <w:rPr>
                <w:sz w:val="20"/>
                <w:szCs w:val="20"/>
              </w:rPr>
            </w:pPr>
          </w:p>
        </w:tc>
      </w:tr>
      <w:tr w:rsidR="00750FBE" w:rsidRPr="00B12C7E" w14:paraId="42AB0966" w14:textId="77777777" w:rsidTr="00905517">
        <w:trPr>
          <w:trHeight w:val="345"/>
        </w:trPr>
        <w:tc>
          <w:tcPr>
            <w:tcW w:w="9016" w:type="dxa"/>
            <w:shd w:val="clear" w:color="auto" w:fill="FBE4D5" w:themeFill="accent2" w:themeFillTint="33"/>
          </w:tcPr>
          <w:p w14:paraId="0847B9AE" w14:textId="5621E131" w:rsidR="00750FBE" w:rsidRPr="00BB3130" w:rsidRDefault="00750FBE">
            <w:pPr>
              <w:rPr>
                <w:rFonts w:ascii="Tw Cen MT Condensed" w:hAnsi="Tw Cen MT Condensed"/>
              </w:rPr>
            </w:pPr>
            <w:r w:rsidRPr="00BB3130">
              <w:rPr>
                <w:rFonts w:ascii="Tw Cen MT Condensed" w:hAnsi="Tw Cen MT Condensed"/>
                <w:b/>
              </w:rPr>
              <w:t>Parental Leave Pay (PLP)</w:t>
            </w:r>
            <w:r w:rsidR="0073228B">
              <w:rPr>
                <w:rFonts w:ascii="Tw Cen MT Condensed" w:hAnsi="Tw Cen MT Condensed"/>
                <w:b/>
              </w:rPr>
              <w:t xml:space="preserve"> - </w:t>
            </w:r>
            <w:r w:rsidRPr="00BB3130">
              <w:rPr>
                <w:rFonts w:ascii="Tw Cen MT Condensed" w:hAnsi="Tw Cen MT Condensed"/>
              </w:rPr>
              <w:t xml:space="preserve"> 18 weeks (90 payment days) at National Minimum Wage</w:t>
            </w:r>
          </w:p>
        </w:tc>
      </w:tr>
      <w:tr w:rsidR="00750FBE" w:rsidRPr="00B12C7E" w14:paraId="47DD3E8F" w14:textId="77777777" w:rsidTr="00905517">
        <w:tc>
          <w:tcPr>
            <w:tcW w:w="9016" w:type="dxa"/>
          </w:tcPr>
          <w:p w14:paraId="6EE2B5E1" w14:textId="2AD08EEB" w:rsidR="0073228B" w:rsidRPr="00BB3130" w:rsidRDefault="0073228B" w:rsidP="00BB3130">
            <w:pPr>
              <w:spacing w:before="240"/>
              <w:rPr>
                <w:rFonts w:asciiTheme="majorHAnsi" w:hAnsiTheme="majorHAnsi" w:cstheme="majorHAnsi"/>
                <w:sz w:val="20"/>
                <w:szCs w:val="20"/>
              </w:rPr>
            </w:pPr>
            <w:r w:rsidRPr="00BB3130">
              <w:rPr>
                <w:rFonts w:asciiTheme="majorHAnsi" w:hAnsiTheme="majorHAnsi" w:cstheme="majorHAnsi"/>
                <w:b/>
                <w:bCs/>
                <w:sz w:val="20"/>
                <w:szCs w:val="20"/>
              </w:rPr>
              <w:t>Objectives</w:t>
            </w:r>
            <w:r w:rsidRPr="00BB3130">
              <w:rPr>
                <w:rFonts w:asciiTheme="majorHAnsi" w:hAnsiTheme="majorHAnsi" w:cstheme="majorHAnsi"/>
                <w:sz w:val="20"/>
                <w:szCs w:val="20"/>
              </w:rPr>
              <w:t>:</w:t>
            </w:r>
          </w:p>
          <w:p w14:paraId="1E0797A1" w14:textId="6CC8F4C8" w:rsidR="0073228B" w:rsidRPr="00BB3130" w:rsidRDefault="00B12C7E" w:rsidP="00BB3130">
            <w:pPr>
              <w:rPr>
                <w:rFonts w:asciiTheme="majorHAnsi" w:hAnsiTheme="majorHAnsi" w:cstheme="majorHAnsi"/>
                <w:sz w:val="20"/>
                <w:szCs w:val="20"/>
              </w:rPr>
            </w:pPr>
            <w:r>
              <w:rPr>
                <w:rFonts w:asciiTheme="majorHAnsi" w:hAnsiTheme="majorHAnsi" w:cstheme="majorHAnsi"/>
                <w:sz w:val="20"/>
                <w:szCs w:val="20"/>
              </w:rPr>
              <w:t>T</w:t>
            </w:r>
            <w:r w:rsidR="0073228B" w:rsidRPr="00BB3130">
              <w:rPr>
                <w:rFonts w:asciiTheme="majorHAnsi" w:hAnsiTheme="majorHAnsi" w:cstheme="majorHAnsi"/>
                <w:sz w:val="20"/>
                <w:szCs w:val="20"/>
              </w:rPr>
              <w:t>o provide financial support to primary carers (mainly birth mothers) of children, in order to:</w:t>
            </w:r>
          </w:p>
          <w:p w14:paraId="39F39F8C" w14:textId="77777777" w:rsidR="0073228B" w:rsidRPr="00BB3130" w:rsidRDefault="0073228B" w:rsidP="00244248">
            <w:pPr>
              <w:pStyle w:val="ListParagraph"/>
              <w:numPr>
                <w:ilvl w:val="0"/>
                <w:numId w:val="5"/>
              </w:numPr>
              <w:rPr>
                <w:rFonts w:asciiTheme="majorHAnsi" w:hAnsiTheme="majorHAnsi" w:cstheme="majorHAnsi"/>
                <w:sz w:val="20"/>
                <w:szCs w:val="20"/>
              </w:rPr>
            </w:pPr>
            <w:r w:rsidRPr="00BB3130">
              <w:rPr>
                <w:rFonts w:asciiTheme="majorHAnsi" w:hAnsiTheme="majorHAnsi" w:cstheme="majorHAnsi"/>
                <w:sz w:val="20"/>
                <w:szCs w:val="20"/>
              </w:rPr>
              <w:t>allow those carers to take time off work to care for the child in the 2 years following the child's birth or adoption</w:t>
            </w:r>
          </w:p>
          <w:p w14:paraId="523C9048" w14:textId="77777777" w:rsidR="0073228B" w:rsidRPr="00BB3130" w:rsidRDefault="0073228B" w:rsidP="00244248">
            <w:pPr>
              <w:pStyle w:val="ListParagraph"/>
              <w:numPr>
                <w:ilvl w:val="0"/>
                <w:numId w:val="5"/>
              </w:numPr>
              <w:rPr>
                <w:rFonts w:asciiTheme="majorHAnsi" w:hAnsiTheme="majorHAnsi" w:cstheme="majorHAnsi"/>
                <w:sz w:val="20"/>
                <w:szCs w:val="20"/>
              </w:rPr>
            </w:pPr>
            <w:r w:rsidRPr="00BB3130">
              <w:rPr>
                <w:rFonts w:asciiTheme="majorHAnsi" w:hAnsiTheme="majorHAnsi" w:cstheme="majorHAnsi"/>
                <w:sz w:val="20"/>
                <w:szCs w:val="20"/>
              </w:rPr>
              <w:t>enhance the health and development of birth mothers and children</w:t>
            </w:r>
          </w:p>
          <w:p w14:paraId="7877EC80" w14:textId="77777777" w:rsidR="0073228B" w:rsidRPr="00BB3130" w:rsidRDefault="0073228B" w:rsidP="00244248">
            <w:pPr>
              <w:pStyle w:val="ListParagraph"/>
              <w:numPr>
                <w:ilvl w:val="0"/>
                <w:numId w:val="5"/>
              </w:numPr>
              <w:rPr>
                <w:rFonts w:asciiTheme="majorHAnsi" w:hAnsiTheme="majorHAnsi" w:cstheme="majorHAnsi"/>
                <w:sz w:val="20"/>
                <w:szCs w:val="20"/>
              </w:rPr>
            </w:pPr>
            <w:r w:rsidRPr="00BB3130">
              <w:rPr>
                <w:rFonts w:asciiTheme="majorHAnsi" w:hAnsiTheme="majorHAnsi" w:cstheme="majorHAnsi"/>
                <w:sz w:val="20"/>
                <w:szCs w:val="20"/>
              </w:rPr>
              <w:t>encourage women to continue to participate in the workforce</w:t>
            </w:r>
          </w:p>
          <w:p w14:paraId="2BB8DC3E" w14:textId="77777777" w:rsidR="0073228B" w:rsidRPr="00BB3130" w:rsidRDefault="0073228B" w:rsidP="00244248">
            <w:pPr>
              <w:pStyle w:val="ListParagraph"/>
              <w:numPr>
                <w:ilvl w:val="0"/>
                <w:numId w:val="5"/>
              </w:numPr>
              <w:rPr>
                <w:rFonts w:asciiTheme="majorHAnsi" w:hAnsiTheme="majorHAnsi" w:cstheme="majorHAnsi"/>
                <w:sz w:val="20"/>
                <w:szCs w:val="20"/>
              </w:rPr>
            </w:pPr>
            <w:r w:rsidRPr="00BB3130">
              <w:rPr>
                <w:rFonts w:asciiTheme="majorHAnsi" w:hAnsiTheme="majorHAnsi" w:cstheme="majorHAnsi"/>
                <w:sz w:val="20"/>
                <w:szCs w:val="20"/>
              </w:rPr>
              <w:t>promote equality between men and women, and the balance between work and family life, and</w:t>
            </w:r>
          </w:p>
          <w:p w14:paraId="6DE6062B" w14:textId="31126637" w:rsidR="0073228B" w:rsidRPr="00BB3130" w:rsidRDefault="0073228B" w:rsidP="00244248">
            <w:pPr>
              <w:pStyle w:val="ListParagraph"/>
              <w:numPr>
                <w:ilvl w:val="0"/>
                <w:numId w:val="5"/>
              </w:numPr>
              <w:rPr>
                <w:rFonts w:asciiTheme="majorHAnsi" w:hAnsiTheme="majorHAnsi" w:cstheme="majorHAnsi"/>
                <w:sz w:val="20"/>
                <w:szCs w:val="20"/>
              </w:rPr>
            </w:pPr>
            <w:r w:rsidRPr="00BB3130">
              <w:rPr>
                <w:rFonts w:asciiTheme="majorHAnsi" w:hAnsiTheme="majorHAnsi" w:cstheme="majorHAnsi"/>
                <w:sz w:val="20"/>
                <w:szCs w:val="20"/>
              </w:rPr>
              <w:t xml:space="preserve">provide those carers with greater flexibility to balance work and family life </w:t>
            </w:r>
            <w:sdt>
              <w:sdtPr>
                <w:rPr>
                  <w:rFonts w:asciiTheme="majorHAnsi" w:hAnsiTheme="majorHAnsi" w:cstheme="majorHAnsi"/>
                  <w:sz w:val="20"/>
                  <w:szCs w:val="20"/>
                </w:rPr>
                <w:id w:val="49044625"/>
                <w:citation/>
              </w:sdtPr>
              <w:sdtEndPr/>
              <w:sdtContent>
                <w:r w:rsidRPr="00BB3130">
                  <w:rPr>
                    <w:rFonts w:asciiTheme="majorHAnsi" w:hAnsiTheme="majorHAnsi" w:cstheme="majorHAnsi"/>
                    <w:sz w:val="20"/>
                    <w:szCs w:val="20"/>
                  </w:rPr>
                  <w:fldChar w:fldCharType="begin"/>
                </w:r>
                <w:r w:rsidR="0023687F">
                  <w:rPr>
                    <w:rFonts w:asciiTheme="majorHAnsi" w:hAnsiTheme="majorHAnsi" w:cstheme="majorHAnsi"/>
                    <w:sz w:val="20"/>
                    <w:szCs w:val="20"/>
                  </w:rPr>
                  <w:instrText xml:space="preserve">CITATION Aus212 \l 3081 </w:instrText>
                </w:r>
                <w:r w:rsidRPr="00BB3130">
                  <w:rPr>
                    <w:rFonts w:asciiTheme="majorHAnsi" w:hAnsiTheme="majorHAnsi" w:cstheme="majorHAnsi"/>
                    <w:sz w:val="20"/>
                    <w:szCs w:val="20"/>
                  </w:rPr>
                  <w:fldChar w:fldCharType="separate"/>
                </w:r>
                <w:r w:rsidR="0023687F" w:rsidRPr="0023687F">
                  <w:rPr>
                    <w:rFonts w:asciiTheme="majorHAnsi" w:hAnsiTheme="majorHAnsi" w:cstheme="majorHAnsi"/>
                    <w:noProof/>
                    <w:sz w:val="20"/>
                    <w:szCs w:val="20"/>
                  </w:rPr>
                  <w:t>(Department of Social Services, 2021)</w:t>
                </w:r>
                <w:r w:rsidRPr="00BB3130">
                  <w:rPr>
                    <w:rFonts w:asciiTheme="majorHAnsi" w:hAnsiTheme="majorHAnsi" w:cstheme="majorHAnsi"/>
                    <w:sz w:val="20"/>
                    <w:szCs w:val="20"/>
                  </w:rPr>
                  <w:fldChar w:fldCharType="end"/>
                </w:r>
              </w:sdtContent>
            </w:sdt>
            <w:r w:rsidRPr="00BB3130">
              <w:rPr>
                <w:rFonts w:asciiTheme="majorHAnsi" w:hAnsiTheme="majorHAnsi" w:cstheme="majorHAnsi"/>
                <w:sz w:val="20"/>
                <w:szCs w:val="20"/>
              </w:rPr>
              <w:t>.</w:t>
            </w:r>
          </w:p>
          <w:p w14:paraId="1E40E08F" w14:textId="77777777" w:rsidR="0073228B" w:rsidRPr="00BB3130" w:rsidRDefault="0073228B" w:rsidP="00905517">
            <w:pPr>
              <w:ind w:left="63"/>
              <w:rPr>
                <w:rFonts w:asciiTheme="majorHAnsi" w:hAnsiTheme="majorHAnsi" w:cstheme="majorHAnsi"/>
                <w:sz w:val="12"/>
                <w:szCs w:val="12"/>
              </w:rPr>
            </w:pPr>
          </w:p>
          <w:p w14:paraId="369468F2" w14:textId="0A68732D" w:rsidR="00750FBE" w:rsidRPr="00BB3130" w:rsidRDefault="00750FBE" w:rsidP="00905517">
            <w:pPr>
              <w:ind w:left="63"/>
              <w:rPr>
                <w:rFonts w:asciiTheme="majorHAnsi" w:hAnsiTheme="majorHAnsi" w:cstheme="majorHAnsi"/>
                <w:b/>
                <w:bCs/>
                <w:sz w:val="20"/>
                <w:szCs w:val="20"/>
              </w:rPr>
            </w:pPr>
            <w:r w:rsidRPr="00BB3130">
              <w:rPr>
                <w:rFonts w:asciiTheme="majorHAnsi" w:hAnsiTheme="majorHAnsi" w:cstheme="majorHAnsi"/>
                <w:b/>
                <w:bCs/>
                <w:sz w:val="20"/>
                <w:szCs w:val="20"/>
              </w:rPr>
              <w:t>Eligibility</w:t>
            </w:r>
          </w:p>
          <w:p w14:paraId="768ACC0D" w14:textId="675B5BAA" w:rsidR="00750FBE" w:rsidRPr="00BB3130" w:rsidRDefault="0073228B" w:rsidP="00244248">
            <w:pPr>
              <w:pStyle w:val="ListParagraph"/>
              <w:numPr>
                <w:ilvl w:val="0"/>
                <w:numId w:val="5"/>
              </w:numPr>
              <w:rPr>
                <w:rFonts w:asciiTheme="majorHAnsi" w:hAnsiTheme="majorHAnsi" w:cstheme="majorHAnsi"/>
                <w:sz w:val="20"/>
                <w:szCs w:val="20"/>
              </w:rPr>
            </w:pPr>
            <w:r>
              <w:rPr>
                <w:rFonts w:asciiTheme="majorHAnsi" w:hAnsiTheme="majorHAnsi" w:cstheme="majorHAnsi"/>
                <w:sz w:val="20"/>
                <w:szCs w:val="20"/>
              </w:rPr>
              <w:t>W</w:t>
            </w:r>
            <w:r w:rsidR="00750FBE" w:rsidRPr="00BB3130">
              <w:rPr>
                <w:rFonts w:asciiTheme="majorHAnsi" w:hAnsiTheme="majorHAnsi" w:cstheme="majorHAnsi"/>
                <w:sz w:val="20"/>
                <w:szCs w:val="20"/>
              </w:rPr>
              <w:t xml:space="preserve">orked for 10 out of 13 months before the birth or adoption of the child. </w:t>
            </w:r>
          </w:p>
          <w:p w14:paraId="45C2FB25" w14:textId="36D86945" w:rsidR="00750FBE" w:rsidRPr="00BB3130" w:rsidRDefault="0073228B" w:rsidP="00244248">
            <w:pPr>
              <w:pStyle w:val="ListParagraph"/>
              <w:numPr>
                <w:ilvl w:val="0"/>
                <w:numId w:val="5"/>
              </w:numPr>
              <w:rPr>
                <w:rFonts w:asciiTheme="majorHAnsi" w:hAnsiTheme="majorHAnsi" w:cstheme="majorHAnsi"/>
                <w:sz w:val="20"/>
                <w:szCs w:val="20"/>
              </w:rPr>
            </w:pPr>
            <w:r>
              <w:rPr>
                <w:rFonts w:asciiTheme="majorHAnsi" w:hAnsiTheme="majorHAnsi" w:cstheme="majorHAnsi"/>
                <w:sz w:val="20"/>
                <w:szCs w:val="20"/>
              </w:rPr>
              <w:t>W</w:t>
            </w:r>
            <w:r w:rsidR="00750FBE" w:rsidRPr="00BB3130">
              <w:rPr>
                <w:rFonts w:asciiTheme="majorHAnsi" w:hAnsiTheme="majorHAnsi" w:cstheme="majorHAnsi"/>
                <w:sz w:val="20"/>
                <w:szCs w:val="20"/>
              </w:rPr>
              <w:t xml:space="preserve">orked a minimum of 330 hours, around 1 day a week, in that 10 month period without a gap of more than 12 weeks between each working day of that 10 month period. </w:t>
            </w:r>
          </w:p>
          <w:p w14:paraId="64298DFC" w14:textId="274B44C0" w:rsidR="00750FBE" w:rsidRPr="00BB3130" w:rsidRDefault="0073228B" w:rsidP="00244248">
            <w:pPr>
              <w:pStyle w:val="ListParagraph"/>
              <w:numPr>
                <w:ilvl w:val="0"/>
                <w:numId w:val="5"/>
              </w:numPr>
              <w:rPr>
                <w:rFonts w:asciiTheme="majorHAnsi" w:hAnsiTheme="majorHAnsi" w:cstheme="majorHAnsi"/>
                <w:sz w:val="20"/>
                <w:szCs w:val="20"/>
              </w:rPr>
            </w:pPr>
            <w:r>
              <w:rPr>
                <w:rFonts w:asciiTheme="majorHAnsi" w:hAnsiTheme="majorHAnsi" w:cstheme="majorHAnsi"/>
                <w:sz w:val="20"/>
                <w:szCs w:val="20"/>
              </w:rPr>
              <w:t>A</w:t>
            </w:r>
            <w:r w:rsidR="00750FBE" w:rsidRPr="00BB3130">
              <w:rPr>
                <w:rFonts w:asciiTheme="majorHAnsi" w:hAnsiTheme="majorHAnsi" w:cstheme="majorHAnsi"/>
                <w:sz w:val="20"/>
                <w:szCs w:val="20"/>
              </w:rPr>
              <w:t>n individual adjusted taxable income of $150,000 or less.</w:t>
            </w:r>
          </w:p>
          <w:p w14:paraId="2938EAB1" w14:textId="30B76AB3" w:rsidR="00750FBE" w:rsidRPr="00BB3130" w:rsidRDefault="00750FBE" w:rsidP="00244248">
            <w:pPr>
              <w:pStyle w:val="ListParagraph"/>
              <w:numPr>
                <w:ilvl w:val="0"/>
                <w:numId w:val="5"/>
              </w:numPr>
              <w:rPr>
                <w:rFonts w:asciiTheme="majorHAnsi" w:hAnsiTheme="majorHAnsi" w:cstheme="majorHAnsi"/>
                <w:sz w:val="20"/>
                <w:szCs w:val="20"/>
              </w:rPr>
            </w:pPr>
            <w:r w:rsidRPr="00BB3130">
              <w:rPr>
                <w:rFonts w:asciiTheme="majorHAnsi" w:hAnsiTheme="majorHAnsi" w:cstheme="majorHAnsi"/>
                <w:sz w:val="20"/>
                <w:szCs w:val="20"/>
              </w:rPr>
              <w:t>Self-employed workers</w:t>
            </w:r>
            <w:r w:rsidR="00B12C7E">
              <w:rPr>
                <w:rFonts w:asciiTheme="majorHAnsi" w:hAnsiTheme="majorHAnsi" w:cstheme="majorHAnsi"/>
                <w:sz w:val="20"/>
                <w:szCs w:val="20"/>
              </w:rPr>
              <w:t xml:space="preserve"> can access PLP</w:t>
            </w:r>
            <w:r w:rsidRPr="00BB3130">
              <w:rPr>
                <w:rFonts w:asciiTheme="majorHAnsi" w:hAnsiTheme="majorHAnsi" w:cstheme="majorHAnsi"/>
                <w:sz w:val="20"/>
                <w:szCs w:val="20"/>
              </w:rPr>
              <w:t xml:space="preserve"> if they meet residential and work-test requirements </w:t>
            </w:r>
          </w:p>
          <w:p w14:paraId="07906298" w14:textId="77777777" w:rsidR="00750FBE" w:rsidRPr="00BB3130" w:rsidRDefault="00750FBE" w:rsidP="00905517">
            <w:pPr>
              <w:rPr>
                <w:rFonts w:asciiTheme="majorHAnsi" w:hAnsiTheme="majorHAnsi" w:cstheme="majorHAnsi"/>
                <w:sz w:val="20"/>
                <w:szCs w:val="20"/>
              </w:rPr>
            </w:pPr>
          </w:p>
          <w:p w14:paraId="49230FF9" w14:textId="0785219C" w:rsidR="00750FBE" w:rsidRDefault="00750FBE" w:rsidP="00905517">
            <w:pPr>
              <w:rPr>
                <w:rFonts w:asciiTheme="majorHAnsi" w:hAnsiTheme="majorHAnsi" w:cstheme="majorHAnsi"/>
                <w:sz w:val="20"/>
                <w:szCs w:val="20"/>
              </w:rPr>
            </w:pPr>
            <w:r w:rsidRPr="00BB3130">
              <w:rPr>
                <w:rFonts w:asciiTheme="majorHAnsi" w:hAnsiTheme="majorHAnsi" w:cstheme="majorHAnsi"/>
                <w:sz w:val="20"/>
                <w:szCs w:val="20"/>
              </w:rPr>
              <w:t>PLP can be received during unpaid or paid leave, and be transferred from one parent to the other where the primary carer for the child changes. PLP must be completed by 12 months after the birth.</w:t>
            </w:r>
          </w:p>
          <w:p w14:paraId="5AB4F502" w14:textId="77777777" w:rsidR="00B12C7E" w:rsidRPr="00BB3130" w:rsidRDefault="00B12C7E" w:rsidP="00905517">
            <w:pPr>
              <w:rPr>
                <w:rFonts w:asciiTheme="majorHAnsi" w:hAnsiTheme="majorHAnsi" w:cstheme="majorHAnsi"/>
                <w:sz w:val="8"/>
                <w:szCs w:val="8"/>
              </w:rPr>
            </w:pPr>
          </w:p>
          <w:p w14:paraId="6128AA7B" w14:textId="77777777" w:rsidR="00750FBE" w:rsidRPr="00BB3130" w:rsidRDefault="00750FBE" w:rsidP="00905517">
            <w:pPr>
              <w:pStyle w:val="ListParagraph"/>
              <w:rPr>
                <w:rFonts w:asciiTheme="majorHAnsi" w:hAnsiTheme="majorHAnsi" w:cstheme="majorHAnsi"/>
                <w:sz w:val="2"/>
                <w:szCs w:val="2"/>
              </w:rPr>
            </w:pPr>
          </w:p>
          <w:p w14:paraId="70212784" w14:textId="77777777" w:rsidR="00750FBE" w:rsidRPr="00BB3130" w:rsidRDefault="00750FBE" w:rsidP="00BB3130">
            <w:pPr>
              <w:rPr>
                <w:rFonts w:asciiTheme="majorHAnsi" w:hAnsiTheme="majorHAnsi" w:cstheme="majorHAnsi"/>
                <w:sz w:val="20"/>
                <w:szCs w:val="20"/>
              </w:rPr>
            </w:pPr>
            <w:r w:rsidRPr="00BB3130">
              <w:rPr>
                <w:rFonts w:asciiTheme="majorHAnsi" w:hAnsiTheme="majorHAnsi" w:cstheme="majorHAnsi"/>
                <w:sz w:val="20"/>
                <w:szCs w:val="20"/>
              </w:rPr>
              <w:t xml:space="preserve">From 1 July 2020, the PLP can be split into one fixed period of 12 weeks and one flexible period of 4 weeks. The fixed 12 weeks are taken continuously and within the first 12 months of the birth, but the flexible part can be taken in blocks after the 12 months, but within 24 months of the birth or adoption of the child and can be taken as negotiated by the employee with their employer. </w:t>
            </w:r>
          </w:p>
          <w:p w14:paraId="42F5F64D" w14:textId="77777777" w:rsidR="00750FBE" w:rsidRPr="00BB3130" w:rsidRDefault="00750FBE" w:rsidP="00905517">
            <w:pPr>
              <w:ind w:left="63"/>
              <w:rPr>
                <w:rFonts w:asciiTheme="majorHAnsi" w:hAnsiTheme="majorHAnsi" w:cstheme="majorHAnsi"/>
                <w:sz w:val="6"/>
                <w:szCs w:val="6"/>
              </w:rPr>
            </w:pPr>
          </w:p>
          <w:p w14:paraId="0131B871" w14:textId="77777777" w:rsidR="00B12C7E" w:rsidRPr="00BB3130" w:rsidRDefault="00B12C7E" w:rsidP="00B12C7E">
            <w:pPr>
              <w:rPr>
                <w:rFonts w:asciiTheme="majorHAnsi" w:hAnsiTheme="majorHAnsi" w:cstheme="majorHAnsi"/>
                <w:sz w:val="12"/>
                <w:szCs w:val="12"/>
              </w:rPr>
            </w:pPr>
          </w:p>
          <w:p w14:paraId="7FE71DD9" w14:textId="6B283979" w:rsidR="00750FBE" w:rsidRPr="00BB3130" w:rsidRDefault="00750FBE" w:rsidP="00BB3130">
            <w:pPr>
              <w:rPr>
                <w:rFonts w:asciiTheme="majorHAnsi" w:hAnsiTheme="majorHAnsi" w:cstheme="majorHAnsi"/>
                <w:sz w:val="20"/>
                <w:szCs w:val="20"/>
              </w:rPr>
            </w:pPr>
            <w:r w:rsidRPr="00BB3130">
              <w:rPr>
                <w:rFonts w:asciiTheme="majorHAnsi" w:hAnsiTheme="majorHAnsi" w:cstheme="majorHAnsi"/>
                <w:sz w:val="20"/>
                <w:szCs w:val="20"/>
              </w:rPr>
              <w:t>Taxable payment.</w:t>
            </w:r>
          </w:p>
          <w:p w14:paraId="70F6D1D8" w14:textId="0C0853F9" w:rsidR="0073228B" w:rsidRPr="00BB3130" w:rsidRDefault="0073228B" w:rsidP="00BB3130">
            <w:pPr>
              <w:rPr>
                <w:rFonts w:asciiTheme="majorHAnsi" w:hAnsiTheme="majorHAnsi" w:cstheme="majorHAnsi"/>
                <w:sz w:val="20"/>
                <w:szCs w:val="20"/>
              </w:rPr>
            </w:pPr>
          </w:p>
        </w:tc>
      </w:tr>
      <w:tr w:rsidR="00750FBE" w:rsidRPr="00B12C7E" w14:paraId="38FE108C" w14:textId="77777777" w:rsidTr="00BB3130">
        <w:trPr>
          <w:trHeight w:val="340"/>
        </w:trPr>
        <w:tc>
          <w:tcPr>
            <w:tcW w:w="9016" w:type="dxa"/>
            <w:shd w:val="clear" w:color="auto" w:fill="FBE4D5" w:themeFill="accent2" w:themeFillTint="33"/>
          </w:tcPr>
          <w:p w14:paraId="4E37427A" w14:textId="19670337" w:rsidR="00750FBE" w:rsidRPr="00BB3130" w:rsidRDefault="00750FBE">
            <w:pPr>
              <w:rPr>
                <w:rFonts w:ascii="Tw Cen MT Condensed" w:hAnsi="Tw Cen MT Condensed"/>
                <w:sz w:val="20"/>
                <w:szCs w:val="20"/>
              </w:rPr>
            </w:pPr>
            <w:r w:rsidRPr="00BB3130">
              <w:rPr>
                <w:rFonts w:ascii="Tw Cen MT Condensed" w:hAnsi="Tw Cen MT Condensed"/>
                <w:b/>
              </w:rPr>
              <w:t>Dad and Partner Pay (DaPP)</w:t>
            </w:r>
            <w:r w:rsidR="0073228B">
              <w:rPr>
                <w:rFonts w:ascii="Tw Cen MT Condensed" w:hAnsi="Tw Cen MT Condensed"/>
                <w:b/>
              </w:rPr>
              <w:t xml:space="preserve"> -  </w:t>
            </w:r>
            <w:r w:rsidRPr="00BB3130">
              <w:rPr>
                <w:rFonts w:ascii="Tw Cen MT Condensed" w:hAnsi="Tw Cen MT Condensed"/>
              </w:rPr>
              <w:t>2 weeks (10 payable days) at National Minimum Wage</w:t>
            </w:r>
          </w:p>
        </w:tc>
      </w:tr>
      <w:tr w:rsidR="00750FBE" w:rsidRPr="00B12C7E" w14:paraId="7B41C04E" w14:textId="77777777" w:rsidTr="00905517">
        <w:tc>
          <w:tcPr>
            <w:tcW w:w="9016" w:type="dxa"/>
          </w:tcPr>
          <w:p w14:paraId="5193A804" w14:textId="7BD717A6" w:rsidR="0073228B" w:rsidRPr="00BB3130" w:rsidRDefault="0073228B" w:rsidP="00BB3130">
            <w:pPr>
              <w:spacing w:before="120"/>
              <w:ind w:left="62"/>
              <w:rPr>
                <w:rFonts w:asciiTheme="majorHAnsi" w:hAnsiTheme="majorHAnsi" w:cstheme="majorHAnsi"/>
                <w:b/>
                <w:bCs/>
                <w:sz w:val="20"/>
                <w:szCs w:val="20"/>
              </w:rPr>
            </w:pPr>
            <w:r w:rsidRPr="00BB3130">
              <w:rPr>
                <w:rFonts w:asciiTheme="majorHAnsi" w:hAnsiTheme="majorHAnsi" w:cstheme="majorHAnsi"/>
                <w:b/>
                <w:bCs/>
                <w:sz w:val="20"/>
                <w:szCs w:val="20"/>
              </w:rPr>
              <w:t>Objectives</w:t>
            </w:r>
          </w:p>
          <w:p w14:paraId="05B33A9D" w14:textId="2FCBB8A4" w:rsidR="0073228B" w:rsidRPr="00BB3130" w:rsidRDefault="00B12C7E" w:rsidP="00BB3130">
            <w:pPr>
              <w:rPr>
                <w:rFonts w:asciiTheme="majorHAnsi" w:hAnsiTheme="majorHAnsi" w:cstheme="majorHAnsi"/>
                <w:b/>
                <w:bCs/>
                <w:sz w:val="19"/>
                <w:szCs w:val="19"/>
              </w:rPr>
            </w:pPr>
            <w:r w:rsidRPr="00BB3130">
              <w:rPr>
                <w:rFonts w:asciiTheme="majorHAnsi" w:hAnsiTheme="majorHAnsi" w:cstheme="majorHAnsi"/>
                <w:color w:val="111111"/>
                <w:sz w:val="19"/>
                <w:szCs w:val="19"/>
              </w:rPr>
              <w:t>To</w:t>
            </w:r>
            <w:r w:rsidR="0073228B" w:rsidRPr="00BB3130">
              <w:rPr>
                <w:rFonts w:asciiTheme="majorHAnsi" w:hAnsiTheme="majorHAnsi" w:cstheme="majorHAnsi"/>
                <w:color w:val="111111"/>
                <w:sz w:val="19"/>
                <w:szCs w:val="19"/>
              </w:rPr>
              <w:t xml:space="preserve"> provide financial support to fathers and partners caring for newborn or newly adopted children, in order to:</w:t>
            </w:r>
          </w:p>
          <w:p w14:paraId="216071E9" w14:textId="77777777" w:rsidR="0073228B" w:rsidRPr="00BB3130" w:rsidRDefault="0073228B" w:rsidP="00244248">
            <w:pPr>
              <w:numPr>
                <w:ilvl w:val="0"/>
                <w:numId w:val="18"/>
              </w:numPr>
              <w:spacing w:line="276" w:lineRule="auto"/>
              <w:ind w:left="741" w:hanging="284"/>
              <w:rPr>
                <w:rFonts w:asciiTheme="majorHAnsi" w:eastAsia="Times New Roman" w:hAnsiTheme="majorHAnsi" w:cstheme="majorHAnsi"/>
                <w:color w:val="111111"/>
                <w:sz w:val="20"/>
                <w:szCs w:val="20"/>
                <w:lang w:eastAsia="en-AU"/>
              </w:rPr>
            </w:pPr>
            <w:r w:rsidRPr="00BB3130">
              <w:rPr>
                <w:rFonts w:asciiTheme="majorHAnsi" w:eastAsia="Times New Roman" w:hAnsiTheme="majorHAnsi" w:cstheme="majorHAnsi"/>
                <w:color w:val="111111"/>
                <w:sz w:val="20"/>
                <w:szCs w:val="20"/>
                <w:lang w:eastAsia="en-AU"/>
              </w:rPr>
              <w:t>increase the time that fathers and partners take off work around the time of birth or adoption, and</w:t>
            </w:r>
          </w:p>
          <w:p w14:paraId="0BFEAA73" w14:textId="77777777" w:rsidR="0073228B" w:rsidRPr="00BB3130" w:rsidRDefault="0073228B" w:rsidP="00244248">
            <w:pPr>
              <w:numPr>
                <w:ilvl w:val="0"/>
                <w:numId w:val="18"/>
              </w:numPr>
              <w:spacing w:line="276" w:lineRule="auto"/>
              <w:ind w:left="741" w:hanging="284"/>
              <w:rPr>
                <w:rFonts w:asciiTheme="majorHAnsi" w:eastAsia="Times New Roman" w:hAnsiTheme="majorHAnsi" w:cstheme="majorHAnsi"/>
                <w:color w:val="111111"/>
                <w:sz w:val="20"/>
                <w:szCs w:val="20"/>
                <w:lang w:eastAsia="en-AU"/>
              </w:rPr>
            </w:pPr>
            <w:r w:rsidRPr="00BB3130">
              <w:rPr>
                <w:rFonts w:asciiTheme="majorHAnsi" w:eastAsia="Times New Roman" w:hAnsiTheme="majorHAnsi" w:cstheme="majorHAnsi"/>
                <w:color w:val="111111"/>
                <w:sz w:val="20"/>
                <w:szCs w:val="20"/>
                <w:lang w:eastAsia="en-AU"/>
              </w:rPr>
              <w:t>create further opportunities for fathers and partners to bond with the child, and</w:t>
            </w:r>
          </w:p>
          <w:p w14:paraId="43DDB719" w14:textId="5CD374E4" w:rsidR="0073228B" w:rsidRPr="00BB3130" w:rsidRDefault="0073228B" w:rsidP="00244248">
            <w:pPr>
              <w:numPr>
                <w:ilvl w:val="0"/>
                <w:numId w:val="18"/>
              </w:numPr>
              <w:spacing w:line="276" w:lineRule="auto"/>
              <w:ind w:left="741" w:hanging="284"/>
              <w:rPr>
                <w:rFonts w:asciiTheme="majorHAnsi" w:eastAsia="Times New Roman" w:hAnsiTheme="majorHAnsi" w:cstheme="majorHAnsi"/>
                <w:color w:val="111111"/>
                <w:sz w:val="20"/>
                <w:szCs w:val="20"/>
                <w:lang w:eastAsia="en-AU"/>
              </w:rPr>
            </w:pPr>
            <w:r w:rsidRPr="00BB3130">
              <w:rPr>
                <w:rFonts w:asciiTheme="majorHAnsi" w:eastAsia="Times New Roman" w:hAnsiTheme="majorHAnsi" w:cstheme="majorHAnsi"/>
                <w:color w:val="111111"/>
                <w:sz w:val="20"/>
                <w:szCs w:val="20"/>
                <w:lang w:eastAsia="en-AU"/>
              </w:rPr>
              <w:t>allow fathers and partners to take a greater share of caring responsibilities and to support mothers and partners from the beginning</w:t>
            </w:r>
            <w:sdt>
              <w:sdtPr>
                <w:rPr>
                  <w:rFonts w:asciiTheme="majorHAnsi" w:eastAsia="Times New Roman" w:hAnsiTheme="majorHAnsi" w:cstheme="majorHAnsi"/>
                  <w:color w:val="111111"/>
                  <w:sz w:val="20"/>
                  <w:szCs w:val="20"/>
                  <w:lang w:eastAsia="en-AU"/>
                </w:rPr>
                <w:id w:val="2090647855"/>
                <w:citation/>
              </w:sdtPr>
              <w:sdtEndPr/>
              <w:sdtContent>
                <w:r w:rsidRPr="00BB3130">
                  <w:rPr>
                    <w:rFonts w:asciiTheme="majorHAnsi" w:eastAsia="Times New Roman" w:hAnsiTheme="majorHAnsi" w:cstheme="majorHAnsi"/>
                    <w:color w:val="111111"/>
                    <w:sz w:val="20"/>
                    <w:szCs w:val="20"/>
                    <w:lang w:eastAsia="en-AU"/>
                  </w:rPr>
                  <w:fldChar w:fldCharType="begin"/>
                </w:r>
                <w:r w:rsidR="0023687F">
                  <w:rPr>
                    <w:rFonts w:asciiTheme="majorHAnsi" w:eastAsia="Times New Roman" w:hAnsiTheme="majorHAnsi" w:cstheme="majorHAnsi"/>
                    <w:color w:val="111111"/>
                    <w:sz w:val="20"/>
                    <w:szCs w:val="20"/>
                    <w:lang w:eastAsia="en-AU"/>
                  </w:rPr>
                  <w:instrText xml:space="preserve">CITATION Aus212 \l 3081 </w:instrText>
                </w:r>
                <w:r w:rsidRPr="00BB3130">
                  <w:rPr>
                    <w:rFonts w:asciiTheme="majorHAnsi" w:eastAsia="Times New Roman" w:hAnsiTheme="majorHAnsi" w:cstheme="majorHAnsi"/>
                    <w:color w:val="111111"/>
                    <w:sz w:val="20"/>
                    <w:szCs w:val="20"/>
                    <w:lang w:eastAsia="en-AU"/>
                  </w:rPr>
                  <w:fldChar w:fldCharType="separate"/>
                </w:r>
                <w:r w:rsidR="0023687F">
                  <w:rPr>
                    <w:rFonts w:asciiTheme="majorHAnsi" w:eastAsia="Times New Roman" w:hAnsiTheme="majorHAnsi" w:cstheme="majorHAnsi"/>
                    <w:noProof/>
                    <w:color w:val="111111"/>
                    <w:sz w:val="20"/>
                    <w:szCs w:val="20"/>
                    <w:lang w:eastAsia="en-AU"/>
                  </w:rPr>
                  <w:t xml:space="preserve"> </w:t>
                </w:r>
                <w:r w:rsidR="0023687F" w:rsidRPr="0023687F">
                  <w:rPr>
                    <w:rFonts w:asciiTheme="majorHAnsi" w:eastAsia="Times New Roman" w:hAnsiTheme="majorHAnsi" w:cstheme="majorHAnsi"/>
                    <w:noProof/>
                    <w:color w:val="111111"/>
                    <w:sz w:val="20"/>
                    <w:szCs w:val="20"/>
                    <w:lang w:eastAsia="en-AU"/>
                  </w:rPr>
                  <w:t>(Department of Social Services, 2021)</w:t>
                </w:r>
                <w:r w:rsidRPr="00BB3130">
                  <w:rPr>
                    <w:rFonts w:asciiTheme="majorHAnsi" w:eastAsia="Times New Roman" w:hAnsiTheme="majorHAnsi" w:cstheme="majorHAnsi"/>
                    <w:color w:val="111111"/>
                    <w:sz w:val="20"/>
                    <w:szCs w:val="20"/>
                    <w:lang w:eastAsia="en-AU"/>
                  </w:rPr>
                  <w:fldChar w:fldCharType="end"/>
                </w:r>
              </w:sdtContent>
            </w:sdt>
            <w:r w:rsidRPr="00BB3130">
              <w:rPr>
                <w:rFonts w:asciiTheme="majorHAnsi" w:eastAsia="Times New Roman" w:hAnsiTheme="majorHAnsi" w:cstheme="majorHAnsi"/>
                <w:color w:val="111111"/>
                <w:sz w:val="20"/>
                <w:szCs w:val="20"/>
                <w:lang w:eastAsia="en-AU"/>
              </w:rPr>
              <w:t>.</w:t>
            </w:r>
          </w:p>
          <w:p w14:paraId="12273403" w14:textId="77777777" w:rsidR="0073228B" w:rsidRPr="00BB3130" w:rsidRDefault="0073228B" w:rsidP="00905517">
            <w:pPr>
              <w:ind w:left="63"/>
              <w:rPr>
                <w:rFonts w:asciiTheme="majorHAnsi" w:hAnsiTheme="majorHAnsi" w:cstheme="majorHAnsi"/>
                <w:sz w:val="10"/>
                <w:szCs w:val="10"/>
              </w:rPr>
            </w:pPr>
          </w:p>
          <w:p w14:paraId="4217FE1B" w14:textId="77777777" w:rsidR="0073228B" w:rsidRPr="00BB3130" w:rsidRDefault="0073228B" w:rsidP="00905517">
            <w:pPr>
              <w:ind w:left="63"/>
              <w:rPr>
                <w:rFonts w:asciiTheme="majorHAnsi" w:hAnsiTheme="majorHAnsi" w:cstheme="majorHAnsi"/>
                <w:b/>
                <w:bCs/>
                <w:sz w:val="20"/>
                <w:szCs w:val="20"/>
              </w:rPr>
            </w:pPr>
            <w:r w:rsidRPr="00BB3130">
              <w:rPr>
                <w:rFonts w:asciiTheme="majorHAnsi" w:hAnsiTheme="majorHAnsi" w:cstheme="majorHAnsi"/>
                <w:b/>
                <w:bCs/>
                <w:sz w:val="20"/>
                <w:szCs w:val="20"/>
              </w:rPr>
              <w:t>Eligibility</w:t>
            </w:r>
          </w:p>
          <w:p w14:paraId="05CD969E" w14:textId="254ACFF0" w:rsidR="00750FBE" w:rsidRPr="00BB3130" w:rsidRDefault="00750FBE" w:rsidP="00905517">
            <w:pPr>
              <w:ind w:left="63"/>
              <w:rPr>
                <w:rFonts w:asciiTheme="majorHAnsi" w:hAnsiTheme="majorHAnsi" w:cstheme="majorHAnsi"/>
                <w:sz w:val="20"/>
                <w:szCs w:val="20"/>
              </w:rPr>
            </w:pPr>
            <w:r w:rsidRPr="00BB3130">
              <w:rPr>
                <w:rFonts w:asciiTheme="majorHAnsi" w:hAnsiTheme="majorHAnsi" w:cstheme="majorHAnsi"/>
                <w:sz w:val="20"/>
                <w:szCs w:val="20"/>
              </w:rPr>
              <w:t xml:space="preserve">Same work requirements and maximum income test as PLP. </w:t>
            </w:r>
          </w:p>
          <w:p w14:paraId="3B17D103" w14:textId="77777777" w:rsidR="00750FBE" w:rsidRPr="00BB3130" w:rsidRDefault="00750FBE" w:rsidP="00905517">
            <w:pPr>
              <w:ind w:left="63"/>
              <w:rPr>
                <w:rFonts w:asciiTheme="majorHAnsi" w:hAnsiTheme="majorHAnsi" w:cstheme="majorHAnsi"/>
                <w:sz w:val="14"/>
                <w:szCs w:val="14"/>
              </w:rPr>
            </w:pPr>
          </w:p>
          <w:p w14:paraId="1BBA40FA" w14:textId="5EC38705" w:rsidR="00750FBE" w:rsidRDefault="00750FBE" w:rsidP="00905517">
            <w:pPr>
              <w:ind w:left="63"/>
              <w:rPr>
                <w:rFonts w:asciiTheme="majorHAnsi" w:hAnsiTheme="majorHAnsi" w:cstheme="majorHAnsi"/>
                <w:sz w:val="20"/>
                <w:szCs w:val="20"/>
              </w:rPr>
            </w:pPr>
            <w:r w:rsidRPr="00BB3130">
              <w:rPr>
                <w:rFonts w:asciiTheme="majorHAnsi" w:hAnsiTheme="majorHAnsi" w:cstheme="majorHAnsi"/>
                <w:sz w:val="20"/>
                <w:szCs w:val="20"/>
              </w:rPr>
              <w:t xml:space="preserve">Must be taken while on unpaid </w:t>
            </w:r>
            <w:r w:rsidR="0073228B" w:rsidRPr="00B12C7E">
              <w:rPr>
                <w:rFonts w:asciiTheme="majorHAnsi" w:hAnsiTheme="majorHAnsi" w:cstheme="majorHAnsi"/>
                <w:sz w:val="20"/>
                <w:szCs w:val="20"/>
              </w:rPr>
              <w:t>leave</w:t>
            </w:r>
            <w:r w:rsidR="00B12C7E">
              <w:rPr>
                <w:rFonts w:asciiTheme="majorHAnsi" w:hAnsiTheme="majorHAnsi" w:cstheme="majorHAnsi"/>
                <w:sz w:val="20"/>
                <w:szCs w:val="20"/>
              </w:rPr>
              <w:t>. C</w:t>
            </w:r>
            <w:r w:rsidRPr="00BB3130">
              <w:rPr>
                <w:rFonts w:asciiTheme="majorHAnsi" w:hAnsiTheme="majorHAnsi" w:cstheme="majorHAnsi"/>
                <w:sz w:val="20"/>
                <w:szCs w:val="20"/>
              </w:rPr>
              <w:t xml:space="preserve">an be accessed at any time in the first 12 months after the child’s birth or adoption. </w:t>
            </w:r>
          </w:p>
          <w:p w14:paraId="6A2C8CC3" w14:textId="77777777" w:rsidR="007C257E" w:rsidRPr="00BB3130" w:rsidRDefault="007C257E" w:rsidP="00905517">
            <w:pPr>
              <w:ind w:left="63"/>
              <w:rPr>
                <w:rFonts w:asciiTheme="majorHAnsi" w:hAnsiTheme="majorHAnsi" w:cstheme="majorHAnsi"/>
                <w:sz w:val="12"/>
                <w:szCs w:val="12"/>
              </w:rPr>
            </w:pPr>
          </w:p>
          <w:p w14:paraId="743DA076" w14:textId="77777777" w:rsidR="00750FBE" w:rsidRPr="00BB3130" w:rsidRDefault="00750FBE" w:rsidP="00905517">
            <w:pPr>
              <w:ind w:left="63"/>
              <w:rPr>
                <w:sz w:val="20"/>
                <w:szCs w:val="20"/>
              </w:rPr>
            </w:pPr>
            <w:r w:rsidRPr="00BB3130">
              <w:rPr>
                <w:rFonts w:asciiTheme="majorHAnsi" w:hAnsiTheme="majorHAnsi" w:cstheme="majorHAnsi"/>
                <w:sz w:val="20"/>
                <w:szCs w:val="20"/>
              </w:rPr>
              <w:t>Taxable payment.</w:t>
            </w:r>
          </w:p>
        </w:tc>
      </w:tr>
    </w:tbl>
    <w:p w14:paraId="055477AC" w14:textId="58F2183E" w:rsidR="00D62960" w:rsidRDefault="00F31FC5" w:rsidP="00331B98">
      <w:pPr>
        <w:spacing w:line="276" w:lineRule="auto"/>
        <w:jc w:val="both"/>
      </w:pPr>
      <w:r w:rsidRPr="00B86F14">
        <w:lastRenderedPageBreak/>
        <w:t>Although officially called ‘</w:t>
      </w:r>
      <w:r>
        <w:t>Parental Leave</w:t>
      </w:r>
      <w:r w:rsidR="0014388E">
        <w:t xml:space="preserve"> Pay</w:t>
      </w:r>
      <w:r w:rsidRPr="00B86F14">
        <w:t>’,</w:t>
      </w:r>
      <w:r w:rsidR="00360ABE">
        <w:t xml:space="preserve"> it is designed to be claimed by the primary carer who must be the mother</w:t>
      </w:r>
      <w:r w:rsidR="00360ABE">
        <w:rPr>
          <w:rStyle w:val="FootnoteReference"/>
        </w:rPr>
        <w:footnoteReference w:id="14"/>
      </w:r>
      <w:r w:rsidR="00360ABE">
        <w:t>. If the primary and secondary carer are both eligible, the primary carer (mother) can transfer some or all of her PL</w:t>
      </w:r>
      <w:r w:rsidR="00E92CE7">
        <w:t>P</w:t>
      </w:r>
      <w:r w:rsidR="00360ABE">
        <w:t xml:space="preserve"> to the secondary carer. The transfer must occur </w:t>
      </w:r>
      <w:r w:rsidR="00E92CE7">
        <w:t>consecutively</w:t>
      </w:r>
      <w:r w:rsidR="00360ABE">
        <w:t xml:space="preserve"> so that the P</w:t>
      </w:r>
      <w:r w:rsidR="0014388E">
        <w:t>LP</w:t>
      </w:r>
      <w:r w:rsidR="00360ABE">
        <w:t xml:space="preserve"> is taken in a continuous block.  Such transfers to fathers or partners are rare. For example, in 2016-17 a total of 170,925 mothers claimed P</w:t>
      </w:r>
      <w:r w:rsidR="0014388E">
        <w:t>LP</w:t>
      </w:r>
      <w:r w:rsidR="00360ABE">
        <w:t xml:space="preserve">, and just 738 (0.4%) transferred some or </w:t>
      </w:r>
      <w:r w:rsidR="000A06DB">
        <w:t>all</w:t>
      </w:r>
      <w:r w:rsidR="00360ABE">
        <w:t xml:space="preserve"> the benefits to fathers/partners </w:t>
      </w:r>
      <w:r w:rsidR="008D2B35">
        <w:rPr>
          <w:noProof/>
        </w:rPr>
        <w:t>(Widiss, 2021)</w:t>
      </w:r>
      <w:r w:rsidR="00360ABE">
        <w:t>. As a result of the low transfer rate s</w:t>
      </w:r>
      <w:r w:rsidRPr="00B86F14">
        <w:t>ince it started in 2011, 99.5 % of P</w:t>
      </w:r>
      <w:r w:rsidR="0014388E">
        <w:t>LP</w:t>
      </w:r>
      <w:r w:rsidRPr="00B86F14">
        <w:t xml:space="preserve"> recipients have been mothers (Wood, </w:t>
      </w:r>
      <w:r w:rsidR="001E0F6C" w:rsidRPr="006131D9">
        <w:rPr>
          <w:i/>
          <w:iCs/>
        </w:rPr>
        <w:t>et al</w:t>
      </w:r>
      <w:r w:rsidR="001E0F6C">
        <w:t>.</w:t>
      </w:r>
      <w:r w:rsidRPr="00B86F14">
        <w:t xml:space="preserve"> 2020).</w:t>
      </w:r>
      <w:r>
        <w:t xml:space="preserve"> </w:t>
      </w:r>
    </w:p>
    <w:p w14:paraId="4F5E42ED" w14:textId="23E38C12" w:rsidR="0014388E" w:rsidRDefault="00360ABE" w:rsidP="00360ABE">
      <w:pPr>
        <w:spacing w:line="276" w:lineRule="auto"/>
        <w:jc w:val="both"/>
      </w:pPr>
      <w:r>
        <w:t xml:space="preserve">Fathers are more likely to use the Dad and Partner Pay, although uptake </w:t>
      </w:r>
      <w:r w:rsidR="00E92CE7">
        <w:t>is</w:t>
      </w:r>
      <w:r>
        <w:t xml:space="preserve"> relatively low. </w:t>
      </w:r>
      <w:r w:rsidR="00F31FC5">
        <w:t xml:space="preserve">Despite being designed on a use-it-or-lose-it </w:t>
      </w:r>
      <w:r w:rsidR="00D62960">
        <w:t>basis</w:t>
      </w:r>
      <w:r w:rsidR="00F31FC5">
        <w:t xml:space="preserve">, </w:t>
      </w:r>
      <w:r>
        <w:t>it has been</w:t>
      </w:r>
      <w:r w:rsidR="00D62960">
        <w:t xml:space="preserve"> </w:t>
      </w:r>
      <w:r w:rsidR="00F31FC5">
        <w:t xml:space="preserve">estimated to be used by approximately 25% of eligible fathers (Baird, </w:t>
      </w:r>
      <w:r w:rsidR="00E407D5">
        <w:rPr>
          <w:i/>
        </w:rPr>
        <w:t>et al.</w:t>
      </w:r>
      <w:r w:rsidR="00F31FC5">
        <w:t xml:space="preserve"> 2021). </w:t>
      </w:r>
      <w:r w:rsidR="00D62960">
        <w:t xml:space="preserve">A </w:t>
      </w:r>
      <w:r>
        <w:t xml:space="preserve">higher </w:t>
      </w:r>
      <w:r w:rsidR="00750FBE">
        <w:t>upt</w:t>
      </w:r>
      <w:r w:rsidR="00B513EC">
        <w:t>ake</w:t>
      </w:r>
      <w:r>
        <w:t xml:space="preserve"> figure was suggested by a </w:t>
      </w:r>
      <w:r w:rsidR="00D62960">
        <w:t>survey conducted by the University of Queensland of fathers whose partners gave birth in April 2013</w:t>
      </w:r>
      <w:r>
        <w:t xml:space="preserve">. This survey found </w:t>
      </w:r>
      <w:r w:rsidR="00F31FC5">
        <w:t xml:space="preserve">that </w:t>
      </w:r>
      <w:r w:rsidR="00D62960">
        <w:t xml:space="preserve">36% of eligible fathers chose to take DaPP, with higher rates among those who were casually employed or self-employed </w:t>
      </w:r>
      <w:r w:rsidR="00F33068">
        <w:rPr>
          <w:noProof/>
        </w:rPr>
        <w:t>(Institute for Social Science Research, 2014)</w:t>
      </w:r>
      <w:r w:rsidR="00D62960">
        <w:t>.</w:t>
      </w:r>
      <w:r w:rsidR="00B513EC">
        <w:t xml:space="preserve"> </w:t>
      </w:r>
      <w:r w:rsidR="0014388E">
        <w:t xml:space="preserve">As a guide, </w:t>
      </w:r>
      <w:r w:rsidR="00F33068">
        <w:t>Table 14</w:t>
      </w:r>
      <w:r w:rsidR="0014388E">
        <w:t xml:space="preserve"> shows the number of individuals assisted with PLP and DaPP in recent financial years, as well as the number of births by financial year. If all fathers were eligible for DaPP, then </w:t>
      </w:r>
      <w:r w:rsidR="000335A0">
        <w:t xml:space="preserve">uptake would have been </w:t>
      </w:r>
      <w:r w:rsidR="0014388E">
        <w:t xml:space="preserve">around </w:t>
      </w:r>
      <w:r w:rsidR="000335A0">
        <w:t>30% in the 2019-20 financial year. Given not all fathers would me</w:t>
      </w:r>
      <w:r w:rsidR="009B6DA2">
        <w:t>e</w:t>
      </w:r>
      <w:r w:rsidR="000335A0">
        <w:t xml:space="preserve">t the income and work hours test, or be a carer for the child, then uptake of eligible fathers is likely slightly higher. </w:t>
      </w:r>
    </w:p>
    <w:p w14:paraId="139E4CC9" w14:textId="29F115AA" w:rsidR="0014388E" w:rsidRDefault="0014388E" w:rsidP="00BB3130">
      <w:pPr>
        <w:pStyle w:val="Caption"/>
        <w:keepNext/>
      </w:pPr>
      <w:bookmarkStart w:id="98" w:name="_Ref79566863"/>
      <w:r>
        <w:t xml:space="preserve">Table </w:t>
      </w:r>
      <w:fldSimple w:instr=" SEQ Table \* ARABIC ">
        <w:r w:rsidR="00115E22">
          <w:rPr>
            <w:noProof/>
          </w:rPr>
          <w:t>14</w:t>
        </w:r>
      </w:fldSimple>
      <w:bookmarkEnd w:id="98"/>
      <w:r>
        <w:t xml:space="preserve"> Number of individuals assisted with PLP and DaPP, and estimated number of births, by financial year</w:t>
      </w:r>
    </w:p>
    <w:tbl>
      <w:tblPr>
        <w:tblStyle w:val="GridTable1Light-Accent2"/>
        <w:tblW w:w="9507" w:type="dxa"/>
        <w:tblLook w:val="04A0" w:firstRow="1" w:lastRow="0" w:firstColumn="1" w:lastColumn="0" w:noHBand="0" w:noVBand="1"/>
      </w:tblPr>
      <w:tblGrid>
        <w:gridCol w:w="3256"/>
        <w:gridCol w:w="2309"/>
        <w:gridCol w:w="1971"/>
        <w:gridCol w:w="1971"/>
      </w:tblGrid>
      <w:tr w:rsidR="00D62960" w:rsidRPr="009F2B80" w14:paraId="41D39B55" w14:textId="77777777" w:rsidTr="00BB313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56" w:type="dxa"/>
            <w:shd w:val="clear" w:color="auto" w:fill="FBE4D5" w:themeFill="accent2" w:themeFillTint="33"/>
            <w:noWrap/>
            <w:hideMark/>
          </w:tcPr>
          <w:p w14:paraId="039345B5" w14:textId="77777777" w:rsidR="00D62960" w:rsidRPr="00BB3130" w:rsidRDefault="00D62960" w:rsidP="00BB3130">
            <w:pPr>
              <w:jc w:val="center"/>
              <w:rPr>
                <w:rFonts w:ascii="Tw Cen MT Condensed" w:eastAsia="Times New Roman" w:hAnsi="Tw Cen MT Condensed" w:cs="Times New Roman"/>
                <w:sz w:val="20"/>
                <w:szCs w:val="20"/>
                <w:lang w:eastAsia="en-AU"/>
              </w:rPr>
            </w:pPr>
          </w:p>
        </w:tc>
        <w:tc>
          <w:tcPr>
            <w:tcW w:w="2309" w:type="dxa"/>
            <w:shd w:val="clear" w:color="auto" w:fill="FBE4D5" w:themeFill="accent2" w:themeFillTint="33"/>
            <w:noWrap/>
            <w:hideMark/>
          </w:tcPr>
          <w:p w14:paraId="43E5D372" w14:textId="77777777" w:rsidR="00D62960" w:rsidRPr="007E15F6" w:rsidRDefault="00D62960" w:rsidP="00BB3130">
            <w:pPr>
              <w:jc w:val="center"/>
              <w:cnfStyle w:val="100000000000" w:firstRow="1" w:lastRow="0" w:firstColumn="0" w:lastColumn="0" w:oddVBand="0" w:evenVBand="0" w:oddHBand="0" w:evenHBand="0" w:firstRowFirstColumn="0" w:firstRowLastColumn="0" w:lastRowFirstColumn="0" w:lastRowLastColumn="0"/>
              <w:rPr>
                <w:rFonts w:ascii="Tw Cen MT Condensed" w:eastAsia="Times New Roman" w:hAnsi="Tw Cen MT Condensed" w:cs="Arial"/>
                <w:color w:val="000000"/>
                <w:sz w:val="20"/>
                <w:szCs w:val="20"/>
                <w:lang w:eastAsia="en-AU"/>
              </w:rPr>
            </w:pPr>
            <w:r w:rsidRPr="007E15F6">
              <w:rPr>
                <w:rFonts w:ascii="Tw Cen MT Condensed" w:eastAsia="Times New Roman" w:hAnsi="Tw Cen MT Condensed" w:cs="Arial"/>
                <w:color w:val="000000"/>
                <w:sz w:val="20"/>
                <w:szCs w:val="20"/>
                <w:lang w:eastAsia="en-AU"/>
              </w:rPr>
              <w:t>2019-20</w:t>
            </w:r>
          </w:p>
        </w:tc>
        <w:tc>
          <w:tcPr>
            <w:tcW w:w="1971" w:type="dxa"/>
            <w:shd w:val="clear" w:color="auto" w:fill="FBE4D5" w:themeFill="accent2" w:themeFillTint="33"/>
            <w:noWrap/>
            <w:hideMark/>
          </w:tcPr>
          <w:p w14:paraId="62ED9A13" w14:textId="77777777" w:rsidR="00D62960" w:rsidRPr="007E15F6" w:rsidRDefault="00D62960" w:rsidP="00BB3130">
            <w:pPr>
              <w:jc w:val="center"/>
              <w:cnfStyle w:val="100000000000" w:firstRow="1" w:lastRow="0" w:firstColumn="0" w:lastColumn="0" w:oddVBand="0" w:evenVBand="0" w:oddHBand="0" w:evenHBand="0" w:firstRowFirstColumn="0" w:firstRowLastColumn="0" w:lastRowFirstColumn="0" w:lastRowLastColumn="0"/>
              <w:rPr>
                <w:rFonts w:ascii="Tw Cen MT Condensed" w:eastAsia="Times New Roman" w:hAnsi="Tw Cen MT Condensed" w:cs="Arial"/>
                <w:color w:val="000000"/>
                <w:sz w:val="20"/>
                <w:szCs w:val="20"/>
                <w:lang w:eastAsia="en-AU"/>
              </w:rPr>
            </w:pPr>
            <w:r w:rsidRPr="007E15F6">
              <w:rPr>
                <w:rFonts w:ascii="Tw Cen MT Condensed" w:eastAsia="Times New Roman" w:hAnsi="Tw Cen MT Condensed" w:cs="Arial"/>
                <w:color w:val="000000"/>
                <w:sz w:val="20"/>
                <w:szCs w:val="20"/>
                <w:lang w:eastAsia="en-AU"/>
              </w:rPr>
              <w:t>2018-19</w:t>
            </w:r>
          </w:p>
        </w:tc>
        <w:tc>
          <w:tcPr>
            <w:tcW w:w="1971" w:type="dxa"/>
            <w:shd w:val="clear" w:color="auto" w:fill="FBE4D5" w:themeFill="accent2" w:themeFillTint="33"/>
            <w:noWrap/>
            <w:hideMark/>
          </w:tcPr>
          <w:p w14:paraId="503CA6B0" w14:textId="77777777" w:rsidR="00D62960" w:rsidRPr="007E15F6" w:rsidRDefault="00D62960" w:rsidP="00BB3130">
            <w:pPr>
              <w:jc w:val="center"/>
              <w:cnfStyle w:val="100000000000" w:firstRow="1" w:lastRow="0" w:firstColumn="0" w:lastColumn="0" w:oddVBand="0" w:evenVBand="0" w:oddHBand="0" w:evenHBand="0" w:firstRowFirstColumn="0" w:firstRowLastColumn="0" w:lastRowFirstColumn="0" w:lastRowLastColumn="0"/>
              <w:rPr>
                <w:rFonts w:ascii="Tw Cen MT Condensed" w:eastAsia="Times New Roman" w:hAnsi="Tw Cen MT Condensed" w:cs="Arial"/>
                <w:color w:val="000000"/>
                <w:sz w:val="20"/>
                <w:szCs w:val="20"/>
                <w:lang w:eastAsia="en-AU"/>
              </w:rPr>
            </w:pPr>
            <w:r w:rsidRPr="007E15F6">
              <w:rPr>
                <w:rFonts w:ascii="Tw Cen MT Condensed" w:eastAsia="Times New Roman" w:hAnsi="Tw Cen MT Condensed" w:cs="Arial"/>
                <w:color w:val="000000"/>
                <w:sz w:val="20"/>
                <w:szCs w:val="20"/>
                <w:lang w:eastAsia="en-AU"/>
              </w:rPr>
              <w:t>2017-18</w:t>
            </w:r>
          </w:p>
        </w:tc>
      </w:tr>
      <w:tr w:rsidR="00D62960" w:rsidRPr="00D62960" w14:paraId="22F7D6C0" w14:textId="77777777" w:rsidTr="00BB313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DFAED35" w14:textId="0968CC3D" w:rsidR="00D62960" w:rsidRPr="007E15F6" w:rsidRDefault="00D62960" w:rsidP="00D62960">
            <w:pPr>
              <w:rPr>
                <w:rFonts w:ascii="Tw Cen MT Condensed" w:eastAsia="Times New Roman" w:hAnsi="Tw Cen MT Condensed" w:cstheme="majorHAnsi"/>
                <w:b w:val="0"/>
                <w:bCs w:val="0"/>
                <w:color w:val="000000"/>
                <w:sz w:val="20"/>
                <w:szCs w:val="20"/>
                <w:lang w:eastAsia="en-AU"/>
              </w:rPr>
            </w:pPr>
            <w:r w:rsidRPr="007E15F6">
              <w:rPr>
                <w:rFonts w:ascii="Tw Cen MT Condensed" w:eastAsia="Times New Roman" w:hAnsi="Tw Cen MT Condensed" w:cstheme="majorHAnsi"/>
                <w:color w:val="000000"/>
                <w:sz w:val="20"/>
                <w:szCs w:val="20"/>
                <w:lang w:eastAsia="en-AU"/>
              </w:rPr>
              <w:t>Number of individuals assisted with Parental Leave Pay</w:t>
            </w:r>
            <w:r w:rsidR="00C7426C" w:rsidRPr="007E15F6">
              <w:rPr>
                <w:rFonts w:ascii="Tw Cen MT Condensed" w:hAnsi="Tw Cen MT Condensed"/>
                <w:vertAlign w:val="superscript"/>
              </w:rPr>
              <w:t>a</w:t>
            </w:r>
          </w:p>
        </w:tc>
        <w:tc>
          <w:tcPr>
            <w:tcW w:w="2309" w:type="dxa"/>
            <w:noWrap/>
            <w:hideMark/>
          </w:tcPr>
          <w:p w14:paraId="4E6B0895" w14:textId="23B7D2FD"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171</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712</w:t>
            </w:r>
          </w:p>
        </w:tc>
        <w:tc>
          <w:tcPr>
            <w:tcW w:w="1971" w:type="dxa"/>
            <w:noWrap/>
            <w:hideMark/>
          </w:tcPr>
          <w:p w14:paraId="7B351F8E" w14:textId="5E25E9EF"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178</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758</w:t>
            </w:r>
          </w:p>
        </w:tc>
        <w:tc>
          <w:tcPr>
            <w:tcW w:w="1971" w:type="dxa"/>
            <w:noWrap/>
            <w:hideMark/>
          </w:tcPr>
          <w:p w14:paraId="40088C36" w14:textId="6F8C59BD"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159</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372</w:t>
            </w:r>
          </w:p>
        </w:tc>
      </w:tr>
      <w:tr w:rsidR="00D62960" w:rsidRPr="00D62960" w14:paraId="23B57EB9" w14:textId="77777777" w:rsidTr="00BB3130">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8F64324" w14:textId="146FE747" w:rsidR="00D62960" w:rsidRPr="007E15F6" w:rsidRDefault="00D62960" w:rsidP="00D62960">
            <w:pPr>
              <w:rPr>
                <w:rFonts w:ascii="Tw Cen MT Condensed" w:eastAsia="Times New Roman" w:hAnsi="Tw Cen MT Condensed" w:cstheme="majorHAnsi"/>
                <w:b w:val="0"/>
                <w:bCs w:val="0"/>
                <w:color w:val="000000"/>
                <w:sz w:val="20"/>
                <w:szCs w:val="20"/>
                <w:lang w:eastAsia="en-AU"/>
              </w:rPr>
            </w:pPr>
            <w:r w:rsidRPr="007E15F6">
              <w:rPr>
                <w:rFonts w:ascii="Tw Cen MT Condensed" w:eastAsia="Times New Roman" w:hAnsi="Tw Cen MT Condensed" w:cstheme="majorHAnsi"/>
                <w:color w:val="000000"/>
                <w:sz w:val="20"/>
                <w:szCs w:val="20"/>
                <w:lang w:eastAsia="en-AU"/>
              </w:rPr>
              <w:t>Number of individuals assisted with Dad and Partner Pay</w:t>
            </w:r>
            <w:r w:rsidR="00C7426C" w:rsidRPr="007E15F6">
              <w:rPr>
                <w:rFonts w:ascii="Tw Cen MT Condensed" w:eastAsia="Times New Roman" w:hAnsi="Tw Cen MT Condensed" w:cstheme="majorHAnsi"/>
                <w:color w:val="000000"/>
                <w:sz w:val="20"/>
                <w:szCs w:val="20"/>
                <w:vertAlign w:val="superscript"/>
                <w:lang w:eastAsia="en-AU"/>
              </w:rPr>
              <w:t>b</w:t>
            </w:r>
          </w:p>
        </w:tc>
        <w:tc>
          <w:tcPr>
            <w:tcW w:w="2309" w:type="dxa"/>
            <w:noWrap/>
            <w:hideMark/>
          </w:tcPr>
          <w:p w14:paraId="3A7A892E" w14:textId="07C04811"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92</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343</w:t>
            </w:r>
          </w:p>
        </w:tc>
        <w:tc>
          <w:tcPr>
            <w:tcW w:w="1971" w:type="dxa"/>
            <w:noWrap/>
            <w:hideMark/>
          </w:tcPr>
          <w:p w14:paraId="09ED8008" w14:textId="33A2CDDC"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91</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762</w:t>
            </w:r>
          </w:p>
        </w:tc>
        <w:tc>
          <w:tcPr>
            <w:tcW w:w="1971" w:type="dxa"/>
            <w:noWrap/>
            <w:hideMark/>
          </w:tcPr>
          <w:p w14:paraId="77556FF8" w14:textId="765B9CFF"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81</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882</w:t>
            </w:r>
          </w:p>
        </w:tc>
      </w:tr>
      <w:tr w:rsidR="00D62960" w:rsidRPr="00D62960" w14:paraId="16E56A54" w14:textId="77777777" w:rsidTr="00BB3130">
        <w:trPr>
          <w:trHeight w:val="22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4CB3BFA" w14:textId="0A660B93" w:rsidR="00D62960" w:rsidRPr="007E15F6" w:rsidRDefault="00D62960" w:rsidP="00D62960">
            <w:pPr>
              <w:rPr>
                <w:rFonts w:ascii="Tw Cen MT Condensed" w:eastAsia="Times New Roman" w:hAnsi="Tw Cen MT Condensed" w:cstheme="majorHAnsi"/>
                <w:b w:val="0"/>
                <w:bCs w:val="0"/>
                <w:color w:val="000000"/>
                <w:sz w:val="20"/>
                <w:szCs w:val="20"/>
                <w:lang w:eastAsia="en-AU"/>
              </w:rPr>
            </w:pPr>
            <w:r w:rsidRPr="007E15F6">
              <w:rPr>
                <w:rFonts w:ascii="Tw Cen MT Condensed" w:eastAsia="Times New Roman" w:hAnsi="Tw Cen MT Condensed" w:cstheme="majorHAnsi"/>
                <w:color w:val="000000"/>
                <w:sz w:val="20"/>
                <w:szCs w:val="20"/>
                <w:lang w:eastAsia="en-AU"/>
              </w:rPr>
              <w:t>Number of births</w:t>
            </w:r>
          </w:p>
        </w:tc>
        <w:tc>
          <w:tcPr>
            <w:tcW w:w="2309" w:type="dxa"/>
            <w:noWrap/>
            <w:hideMark/>
          </w:tcPr>
          <w:p w14:paraId="03C8A537" w14:textId="7699712A"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304</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100.0</w:t>
            </w:r>
          </w:p>
        </w:tc>
        <w:tc>
          <w:tcPr>
            <w:tcW w:w="1971" w:type="dxa"/>
            <w:noWrap/>
            <w:hideMark/>
          </w:tcPr>
          <w:p w14:paraId="4376D5B8" w14:textId="779752EA"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304</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700</w:t>
            </w:r>
          </w:p>
        </w:tc>
        <w:tc>
          <w:tcPr>
            <w:tcW w:w="1971" w:type="dxa"/>
            <w:noWrap/>
            <w:hideMark/>
          </w:tcPr>
          <w:p w14:paraId="40F1CA29" w14:textId="0354C230"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304</w:t>
            </w:r>
            <w:r w:rsidR="0014388E" w:rsidRPr="007E15F6">
              <w:rPr>
                <w:rFonts w:asciiTheme="majorHAnsi" w:eastAsia="Times New Roman" w:hAnsiTheme="majorHAnsi" w:cstheme="majorHAnsi"/>
                <w:color w:val="000000"/>
                <w:sz w:val="18"/>
                <w:szCs w:val="18"/>
                <w:lang w:eastAsia="en-AU"/>
              </w:rPr>
              <w:t>,</w:t>
            </w:r>
            <w:r w:rsidRPr="007E15F6">
              <w:rPr>
                <w:rFonts w:asciiTheme="majorHAnsi" w:eastAsia="Times New Roman" w:hAnsiTheme="majorHAnsi" w:cstheme="majorHAnsi"/>
                <w:color w:val="000000"/>
                <w:sz w:val="18"/>
                <w:szCs w:val="18"/>
                <w:lang w:eastAsia="en-AU"/>
              </w:rPr>
              <w:t>600</w:t>
            </w:r>
          </w:p>
        </w:tc>
      </w:tr>
      <w:tr w:rsidR="00D62960" w:rsidRPr="00D62960" w14:paraId="1FF070F8" w14:textId="77777777" w:rsidTr="00BB3130">
        <w:trPr>
          <w:trHeight w:val="22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A2CCD69" w14:textId="77777777" w:rsidR="00D62960" w:rsidRPr="007E15F6" w:rsidRDefault="00D62960" w:rsidP="00D62960">
            <w:pPr>
              <w:jc w:val="right"/>
              <w:rPr>
                <w:rFonts w:ascii="Tw Cen MT Condensed" w:eastAsia="Times New Roman" w:hAnsi="Tw Cen MT Condensed" w:cstheme="majorHAnsi"/>
                <w:b w:val="0"/>
                <w:bCs w:val="0"/>
                <w:color w:val="000000"/>
                <w:sz w:val="20"/>
                <w:szCs w:val="20"/>
                <w:lang w:eastAsia="en-AU"/>
              </w:rPr>
            </w:pPr>
          </w:p>
        </w:tc>
        <w:tc>
          <w:tcPr>
            <w:tcW w:w="2309" w:type="dxa"/>
            <w:noWrap/>
            <w:hideMark/>
          </w:tcPr>
          <w:p w14:paraId="23D13E7D" w14:textId="77777777"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AU"/>
              </w:rPr>
            </w:pPr>
          </w:p>
        </w:tc>
        <w:tc>
          <w:tcPr>
            <w:tcW w:w="1971" w:type="dxa"/>
            <w:noWrap/>
            <w:hideMark/>
          </w:tcPr>
          <w:p w14:paraId="2D57194D" w14:textId="77777777"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AU"/>
              </w:rPr>
            </w:pPr>
          </w:p>
        </w:tc>
        <w:tc>
          <w:tcPr>
            <w:tcW w:w="1971" w:type="dxa"/>
            <w:noWrap/>
            <w:hideMark/>
          </w:tcPr>
          <w:p w14:paraId="01727B4A" w14:textId="77777777"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AU"/>
              </w:rPr>
            </w:pPr>
          </w:p>
        </w:tc>
      </w:tr>
      <w:tr w:rsidR="00D62960" w:rsidRPr="00D62960" w14:paraId="254BE5BA" w14:textId="77777777" w:rsidTr="00BB3130">
        <w:trPr>
          <w:trHeight w:val="22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62A9E94" w14:textId="77777777" w:rsidR="00D62960" w:rsidRPr="007E15F6" w:rsidRDefault="00D62960" w:rsidP="00D62960">
            <w:pPr>
              <w:rPr>
                <w:rFonts w:ascii="Tw Cen MT Condensed" w:eastAsia="Times New Roman" w:hAnsi="Tw Cen MT Condensed" w:cstheme="majorHAnsi"/>
                <w:b w:val="0"/>
                <w:bCs w:val="0"/>
                <w:color w:val="000000"/>
                <w:sz w:val="20"/>
                <w:szCs w:val="20"/>
                <w:lang w:eastAsia="en-AU"/>
              </w:rPr>
            </w:pPr>
            <w:r w:rsidRPr="007E15F6">
              <w:rPr>
                <w:rFonts w:ascii="Tw Cen MT Condensed" w:eastAsia="Times New Roman" w:hAnsi="Tw Cen MT Condensed" w:cstheme="majorHAnsi"/>
                <w:color w:val="000000"/>
                <w:sz w:val="20"/>
                <w:szCs w:val="20"/>
                <w:lang w:eastAsia="en-AU"/>
              </w:rPr>
              <w:t>% of all mothers</w:t>
            </w:r>
          </w:p>
        </w:tc>
        <w:tc>
          <w:tcPr>
            <w:tcW w:w="2309" w:type="dxa"/>
            <w:noWrap/>
            <w:hideMark/>
          </w:tcPr>
          <w:p w14:paraId="0C1279DC" w14:textId="07D6AD25" w:rsidR="00D62960" w:rsidRPr="007E15F6" w:rsidRDefault="00D6296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56</w:t>
            </w:r>
          </w:p>
        </w:tc>
        <w:tc>
          <w:tcPr>
            <w:tcW w:w="1971" w:type="dxa"/>
            <w:noWrap/>
            <w:hideMark/>
          </w:tcPr>
          <w:p w14:paraId="3BD99FE0" w14:textId="51BD1465" w:rsidR="00D62960" w:rsidRPr="007E15F6" w:rsidRDefault="009F2B8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59</w:t>
            </w:r>
          </w:p>
        </w:tc>
        <w:tc>
          <w:tcPr>
            <w:tcW w:w="1971" w:type="dxa"/>
            <w:noWrap/>
            <w:hideMark/>
          </w:tcPr>
          <w:p w14:paraId="26D71BA2" w14:textId="5DC44A1F" w:rsidR="00D62960" w:rsidRPr="007E15F6" w:rsidRDefault="009F2B8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52</w:t>
            </w:r>
          </w:p>
        </w:tc>
      </w:tr>
      <w:tr w:rsidR="00D62960" w:rsidRPr="00D62960" w14:paraId="66DC154F" w14:textId="77777777" w:rsidTr="00BB3130">
        <w:trPr>
          <w:trHeight w:val="22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BB8DC2C" w14:textId="77777777" w:rsidR="00D62960" w:rsidRPr="007E15F6" w:rsidRDefault="00D62960" w:rsidP="00D62960">
            <w:pPr>
              <w:rPr>
                <w:rFonts w:ascii="Tw Cen MT Condensed" w:eastAsia="Times New Roman" w:hAnsi="Tw Cen MT Condensed" w:cstheme="majorHAnsi"/>
                <w:b w:val="0"/>
                <w:bCs w:val="0"/>
                <w:color w:val="000000"/>
                <w:sz w:val="20"/>
                <w:szCs w:val="20"/>
                <w:lang w:eastAsia="en-AU"/>
              </w:rPr>
            </w:pPr>
            <w:r w:rsidRPr="007E15F6">
              <w:rPr>
                <w:rFonts w:ascii="Tw Cen MT Condensed" w:eastAsia="Times New Roman" w:hAnsi="Tw Cen MT Condensed" w:cstheme="majorHAnsi"/>
                <w:color w:val="000000"/>
                <w:sz w:val="20"/>
                <w:szCs w:val="20"/>
                <w:lang w:eastAsia="en-AU"/>
              </w:rPr>
              <w:t>% of all fathers</w:t>
            </w:r>
          </w:p>
        </w:tc>
        <w:tc>
          <w:tcPr>
            <w:tcW w:w="2309" w:type="dxa"/>
            <w:noWrap/>
            <w:hideMark/>
          </w:tcPr>
          <w:p w14:paraId="2DE36864" w14:textId="4E5C6286" w:rsidR="00D62960" w:rsidRPr="007E15F6" w:rsidRDefault="009F2B8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30</w:t>
            </w:r>
          </w:p>
        </w:tc>
        <w:tc>
          <w:tcPr>
            <w:tcW w:w="1971" w:type="dxa"/>
            <w:noWrap/>
            <w:hideMark/>
          </w:tcPr>
          <w:p w14:paraId="08288718" w14:textId="493C91A9" w:rsidR="00D62960" w:rsidRPr="007E15F6" w:rsidRDefault="009F2B8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30</w:t>
            </w:r>
          </w:p>
        </w:tc>
        <w:tc>
          <w:tcPr>
            <w:tcW w:w="1971" w:type="dxa"/>
            <w:noWrap/>
            <w:hideMark/>
          </w:tcPr>
          <w:p w14:paraId="15D35121" w14:textId="33ACD836" w:rsidR="00D62960" w:rsidRPr="007E15F6" w:rsidRDefault="009F2B80" w:rsidP="00BB313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7E15F6">
              <w:rPr>
                <w:rFonts w:asciiTheme="majorHAnsi" w:eastAsia="Times New Roman" w:hAnsiTheme="majorHAnsi" w:cstheme="majorHAnsi"/>
                <w:color w:val="000000"/>
                <w:sz w:val="18"/>
                <w:szCs w:val="18"/>
                <w:lang w:eastAsia="en-AU"/>
              </w:rPr>
              <w:t>27</w:t>
            </w:r>
          </w:p>
        </w:tc>
      </w:tr>
    </w:tbl>
    <w:p w14:paraId="1CBA286D" w14:textId="0AA8CA70" w:rsidR="00D62960" w:rsidRDefault="000335A0">
      <w:pPr>
        <w:spacing w:line="276" w:lineRule="auto"/>
        <w:rPr>
          <w:sz w:val="18"/>
          <w:szCs w:val="18"/>
        </w:rPr>
      </w:pPr>
      <w:r w:rsidRPr="00BB3130">
        <w:rPr>
          <w:sz w:val="18"/>
          <w:szCs w:val="18"/>
        </w:rPr>
        <w:t xml:space="preserve">Source: </w:t>
      </w:r>
      <w:r w:rsidR="007E103D" w:rsidRPr="007E15F6">
        <w:rPr>
          <w:noProof/>
          <w:sz w:val="18"/>
          <w:szCs w:val="18"/>
        </w:rPr>
        <w:t>(Department of Social Services , 2020; Australian Bureau of Statistics, 2021</w:t>
      </w:r>
      <w:r w:rsidR="00031258">
        <w:rPr>
          <w:noProof/>
          <w:sz w:val="18"/>
          <w:szCs w:val="18"/>
        </w:rPr>
        <w:t>b</w:t>
      </w:r>
      <w:r w:rsidR="007E103D" w:rsidRPr="007E15F6">
        <w:rPr>
          <w:noProof/>
          <w:sz w:val="18"/>
          <w:szCs w:val="18"/>
        </w:rPr>
        <w:t>)</w:t>
      </w:r>
    </w:p>
    <w:p w14:paraId="5B8412C5" w14:textId="24083B3A" w:rsidR="00C7426C" w:rsidRPr="00BB3130" w:rsidRDefault="00C7426C" w:rsidP="00BB3130">
      <w:pPr>
        <w:spacing w:line="276" w:lineRule="auto"/>
        <w:rPr>
          <w:sz w:val="18"/>
          <w:szCs w:val="18"/>
        </w:rPr>
      </w:pPr>
      <w:r w:rsidRPr="00BB3130">
        <w:rPr>
          <w:sz w:val="18"/>
          <w:szCs w:val="18"/>
          <w:vertAlign w:val="superscript"/>
        </w:rPr>
        <w:t xml:space="preserve">a </w:t>
      </w:r>
      <w:r w:rsidRPr="00BB3130">
        <w:rPr>
          <w:sz w:val="18"/>
          <w:szCs w:val="18"/>
        </w:rPr>
        <w:t xml:space="preserve">For Parental Leave Pay this is the number of individuals and families who started receiving payment in the financial year. </w:t>
      </w:r>
      <w:r w:rsidRPr="00BB3130">
        <w:rPr>
          <w:sz w:val="18"/>
          <w:szCs w:val="18"/>
          <w:vertAlign w:val="superscript"/>
        </w:rPr>
        <w:t>b</w:t>
      </w:r>
      <w:r w:rsidRPr="00BB3130">
        <w:rPr>
          <w:sz w:val="18"/>
          <w:szCs w:val="18"/>
        </w:rPr>
        <w:t>For Dad and Partner Pay this is the number of individuals and families who received payment in the financial year</w:t>
      </w:r>
    </w:p>
    <w:p w14:paraId="6565F5CB" w14:textId="118A63AF" w:rsidR="00E75504" w:rsidRDefault="00E75504" w:rsidP="00E75504">
      <w:pPr>
        <w:spacing w:line="276" w:lineRule="auto"/>
        <w:jc w:val="both"/>
      </w:pPr>
      <w:r>
        <w:t>Social and economic considerations have been put forward to explain the low uptake by fathers of DaPP as well as PLP. The low level of payment means that taking leave would in many cases represent a substantial loss of income for the family</w:t>
      </w:r>
      <w:r w:rsidR="006131D9">
        <w:rPr>
          <w:noProof/>
        </w:rPr>
        <w:t xml:space="preserve"> (KPMG, 2020; Wood, </w:t>
      </w:r>
      <w:r w:rsidR="006131D9" w:rsidRPr="006131D9">
        <w:rPr>
          <w:i/>
          <w:iCs/>
          <w:noProof/>
        </w:rPr>
        <w:t>et al.</w:t>
      </w:r>
      <w:r w:rsidR="006131D9">
        <w:rPr>
          <w:noProof/>
        </w:rPr>
        <w:t xml:space="preserve"> 2021)</w:t>
      </w:r>
      <w:r>
        <w:t xml:space="preserve">. </w:t>
      </w:r>
      <w:r w:rsidR="000A06DB">
        <w:t xml:space="preserve">For PLP, it has </w:t>
      </w:r>
      <w:r w:rsidR="00FF5C8C">
        <w:t>also been suggested that</w:t>
      </w:r>
      <w:r w:rsidR="000A06DB">
        <w:t xml:space="preserve"> fathers may be unaware of their parental leave entitlements and the application process is complex making it difficult to access leave </w:t>
      </w:r>
      <w:r w:rsidR="00F33068">
        <w:rPr>
          <w:noProof/>
        </w:rPr>
        <w:t>(Strazdins &amp; Townsend, 2019)</w:t>
      </w:r>
      <w:r w:rsidR="00FF5C8C">
        <w:t xml:space="preserve">. </w:t>
      </w:r>
      <w:r>
        <w:t xml:space="preserve">For DaPP </w:t>
      </w:r>
      <w:r w:rsidR="00F31FC5">
        <w:t xml:space="preserve">some fathers may </w:t>
      </w:r>
      <w:r>
        <w:t>also</w:t>
      </w:r>
      <w:r w:rsidR="00F31FC5">
        <w:t xml:space="preserve"> view the administrative burden to</w:t>
      </w:r>
      <w:r w:rsidR="004F11F4">
        <w:t>o</w:t>
      </w:r>
      <w:r w:rsidR="00F31FC5">
        <w:t xml:space="preserve"> high given the reasonably small payment</w:t>
      </w:r>
      <w:r>
        <w:t xml:space="preserve"> (Baird, </w:t>
      </w:r>
      <w:r w:rsidR="006131D9" w:rsidRPr="006131D9">
        <w:rPr>
          <w:i/>
          <w:iCs/>
        </w:rPr>
        <w:t>et al.</w:t>
      </w:r>
      <w:r>
        <w:t>, 2021). In addition, entrenched social views regarding gender roles</w:t>
      </w:r>
      <w:r w:rsidR="00FF5C8C">
        <w:t xml:space="preserve"> and the stereotype of the male-breadwinner</w:t>
      </w:r>
      <w:r>
        <w:t xml:space="preserve"> mean that many men feel a stigma around taking leave and this is reinforced by </w:t>
      </w:r>
      <w:r w:rsidR="00765E38">
        <w:t xml:space="preserve">a </w:t>
      </w:r>
      <w:r>
        <w:t xml:space="preserve">lack of organisational and colleague support </w:t>
      </w:r>
      <w:r w:rsidR="00F33068">
        <w:rPr>
          <w:noProof/>
        </w:rPr>
        <w:t>(Walsh, 2018; KPMG, 2021)</w:t>
      </w:r>
      <w:r>
        <w:t xml:space="preserve">. </w:t>
      </w:r>
      <w:r w:rsidR="00FF5C8C">
        <w:t xml:space="preserve">These social barriers which </w:t>
      </w:r>
      <w:r w:rsidR="00FF5C8C">
        <w:lastRenderedPageBreak/>
        <w:t>make men ashamed to take leave or worry about the impacts on their careers pose a barrier for greater uptake of PLP and DaPP</w:t>
      </w:r>
      <w:r w:rsidR="007E103D">
        <w:rPr>
          <w:noProof/>
        </w:rPr>
        <w:t xml:space="preserve"> (Strazdins &amp; Townsend, 2019)</w:t>
      </w:r>
      <w:r w:rsidR="00FF5C8C">
        <w:t>.</w:t>
      </w:r>
      <w:r w:rsidR="00E3602D">
        <w:t xml:space="preserve"> </w:t>
      </w:r>
    </w:p>
    <w:p w14:paraId="6AC6B3D2" w14:textId="0AC40984" w:rsidR="00D62960" w:rsidRDefault="00E3602D" w:rsidP="00BC5105">
      <w:pPr>
        <w:spacing w:line="276" w:lineRule="auto"/>
        <w:jc w:val="both"/>
      </w:pPr>
      <w:r>
        <w:t>The low update of PL</w:t>
      </w:r>
      <w:r w:rsidR="00765E38">
        <w:t>P</w:t>
      </w:r>
      <w:r>
        <w:t xml:space="preserve"> and DaPP by Australian fathers is similar to what has been found in the United Kingdom. In the UK, qualitative studies suggest that barriers to </w:t>
      </w:r>
      <w:r w:rsidR="00BF7A5E">
        <w:t>uptake</w:t>
      </w:r>
      <w:r>
        <w:t xml:space="preserve"> include poor policy communication and perceived policy complexity</w:t>
      </w:r>
      <w:r w:rsidR="00BF7A5E">
        <w:t>, low payment making it not financially feasible, and perceptions of low support by workplaces,</w:t>
      </w:r>
      <w:r w:rsidR="00765E38">
        <w:t xml:space="preserve"> </w:t>
      </w:r>
      <w:r>
        <w:t xml:space="preserve">as well as societal expectations around </w:t>
      </w:r>
      <w:r w:rsidR="00BF7A5E">
        <w:t xml:space="preserve">gender roles </w:t>
      </w:r>
      <w:r w:rsidR="007E103D">
        <w:rPr>
          <w:noProof/>
        </w:rPr>
        <w:t>(Birkett &amp; Forbes, 2019; Kaufman, 2018)</w:t>
      </w:r>
      <w:r w:rsidR="00BF7A5E">
        <w:t xml:space="preserve">. </w:t>
      </w:r>
      <w:r w:rsidR="001A6360">
        <w:t>However,</w:t>
      </w:r>
      <w:r w:rsidR="00E75504">
        <w:t xml:space="preserve"> a</w:t>
      </w:r>
      <w:r w:rsidR="00B513EC">
        <w:t xml:space="preserve">n evaluation of </w:t>
      </w:r>
      <w:r w:rsidR="00765E38">
        <w:t>PLP</w:t>
      </w:r>
      <w:r w:rsidR="00B513EC">
        <w:t xml:space="preserve"> and DaPP </w:t>
      </w:r>
      <w:r w:rsidR="007E103D">
        <w:t xml:space="preserve">a year after DaPP was introduced </w:t>
      </w:r>
      <w:r w:rsidR="00B513EC">
        <w:t xml:space="preserve">found evidence that DaPP is starting to create some </w:t>
      </w:r>
      <w:r w:rsidR="00B513EC" w:rsidRPr="00D62960">
        <w:t>cultural and</w:t>
      </w:r>
      <w:r w:rsidR="00D62960" w:rsidRPr="00D62960">
        <w:t xml:space="preserve"> attitudinal change</w:t>
      </w:r>
      <w:r w:rsidR="00B513EC">
        <w:t>. Interviews with fathers highlighted that for some fathers, the very</w:t>
      </w:r>
      <w:r w:rsidR="00D62960" w:rsidRPr="00D62960">
        <w:t xml:space="preserve"> introduction of D</w:t>
      </w:r>
      <w:r w:rsidR="00B513EC">
        <w:t>a</w:t>
      </w:r>
      <w:r w:rsidR="00D62960" w:rsidRPr="00D62960">
        <w:t>PP represented a clear message that they should be supported</w:t>
      </w:r>
      <w:r w:rsidR="00B513EC">
        <w:t xml:space="preserve"> and promoted</w:t>
      </w:r>
      <w:r w:rsidR="00D62960" w:rsidRPr="00D62960">
        <w:t xml:space="preserve"> to prioritise spending time with their newborn, and taking time away from work to do so. </w:t>
      </w:r>
      <w:r w:rsidR="00B513EC">
        <w:t xml:space="preserve">The existence of DaPP </w:t>
      </w:r>
      <w:r w:rsidR="00E75504">
        <w:t>increased their confidence to</w:t>
      </w:r>
      <w:r w:rsidR="00D62960" w:rsidRPr="00D62960">
        <w:t xml:space="preserve"> insist on their right to take leave after a birth, even in the face </w:t>
      </w:r>
      <w:r w:rsidR="00765E38" w:rsidRPr="00D62960">
        <w:t>of resistance</w:t>
      </w:r>
      <w:r w:rsidR="00D62960" w:rsidRPr="00D62960">
        <w:t xml:space="preserve"> from managers, workmates or employers (Institute for Social Science Research, 2014).  </w:t>
      </w:r>
    </w:p>
    <w:p w14:paraId="6160193F" w14:textId="77777777" w:rsidR="00F31FC5" w:rsidRPr="00B6667C" w:rsidRDefault="00F31FC5" w:rsidP="00BC5105">
      <w:pPr>
        <w:pStyle w:val="Heading2"/>
        <w:spacing w:line="276" w:lineRule="auto"/>
      </w:pPr>
      <w:bookmarkStart w:id="99" w:name="_Toc81572974"/>
      <w:bookmarkStart w:id="100" w:name="_Toc87454622"/>
      <w:bookmarkStart w:id="101" w:name="_Toc98404969"/>
      <w:bookmarkEnd w:id="99"/>
      <w:r w:rsidRPr="00B6667C">
        <w:t>Does parental leave increase fertility?</w:t>
      </w:r>
      <w:bookmarkEnd w:id="100"/>
      <w:bookmarkEnd w:id="101"/>
    </w:p>
    <w:p w14:paraId="51793979" w14:textId="3AAAB1C1" w:rsidR="00F31FC5" w:rsidRPr="0028005C" w:rsidRDefault="0028005C" w:rsidP="00BC5105">
      <w:pPr>
        <w:spacing w:before="120" w:line="276" w:lineRule="auto"/>
        <w:rPr>
          <w:bCs/>
          <w:i/>
          <w:iCs/>
        </w:rPr>
      </w:pPr>
      <w:r>
        <w:rPr>
          <w:bCs/>
          <w:i/>
          <w:iCs/>
        </w:rPr>
        <w:t>E</w:t>
      </w:r>
      <w:r w:rsidR="00F31FC5" w:rsidRPr="0028005C">
        <w:rPr>
          <w:bCs/>
          <w:i/>
          <w:iCs/>
        </w:rPr>
        <w:t>vidence from Australia</w:t>
      </w:r>
    </w:p>
    <w:p w14:paraId="329EA748" w14:textId="7B75B4B8" w:rsidR="00F31FC5" w:rsidRDefault="00F31FC5" w:rsidP="00BC5105">
      <w:pPr>
        <w:spacing w:line="276" w:lineRule="auto"/>
        <w:jc w:val="both"/>
      </w:pPr>
      <w:r>
        <w:t xml:space="preserve">Only one study has examined the effect of the </w:t>
      </w:r>
      <w:r w:rsidR="00D30BF5">
        <w:t xml:space="preserve">PLP </w:t>
      </w:r>
      <w:r>
        <w:t xml:space="preserve">introduction on fertility (intentions) in Australia. Using HILDA data, and exploiting the fact that the </w:t>
      </w:r>
      <w:r w:rsidR="00D30BF5">
        <w:t xml:space="preserve">PLP </w:t>
      </w:r>
      <w:r w:rsidR="004F11F4">
        <w:t xml:space="preserve">has </w:t>
      </w:r>
      <w:r>
        <w:t>comparatively little effect on public sector workers, and a larger impact on private sector workers</w:t>
      </w:r>
      <w:r w:rsidR="00D30BF5">
        <w:t>,</w:t>
      </w:r>
      <w:r>
        <w:t xml:space="preserve"> Bassford &amp; Fisher </w:t>
      </w:r>
      <w:r w:rsidR="00D30BF5">
        <w:t>(</w:t>
      </w:r>
      <w:r>
        <w:t xml:space="preserve">2020) </w:t>
      </w:r>
      <w:r w:rsidR="00D30BF5">
        <w:t xml:space="preserve">found </w:t>
      </w:r>
      <w:r>
        <w:t xml:space="preserve">that conditional on expecting to have at least one more child, access to paid leave increased the number of intended children by 0.34 (16% increase) particularly among those with higher education. They conclude that despite it not being intended as a pro-natalist policy that it may lead </w:t>
      </w:r>
      <w:r w:rsidR="00C378A3">
        <w:t>to a</w:t>
      </w:r>
      <w:r>
        <w:t xml:space="preserve"> positive impact on fertility (Bassford &amp; Fisher, 2020).</w:t>
      </w:r>
    </w:p>
    <w:p w14:paraId="0B844436" w14:textId="10D70C9A" w:rsidR="00F31FC5" w:rsidRPr="0028005C" w:rsidRDefault="0028005C" w:rsidP="00BC5105">
      <w:pPr>
        <w:spacing w:line="276" w:lineRule="auto"/>
        <w:jc w:val="both"/>
        <w:rPr>
          <w:bCs/>
          <w:i/>
          <w:iCs/>
        </w:rPr>
      </w:pPr>
      <w:r>
        <w:rPr>
          <w:bCs/>
          <w:i/>
          <w:iCs/>
        </w:rPr>
        <w:t>E</w:t>
      </w:r>
      <w:r w:rsidR="00F31FC5" w:rsidRPr="0028005C">
        <w:rPr>
          <w:bCs/>
          <w:i/>
          <w:iCs/>
        </w:rPr>
        <w:t>vidence from other countries</w:t>
      </w:r>
    </w:p>
    <w:p w14:paraId="6C3970EE" w14:textId="50FB1D36" w:rsidR="00F31FC5" w:rsidRPr="00CE2A2F" w:rsidRDefault="00F31FC5" w:rsidP="00BC5105">
      <w:pPr>
        <w:spacing w:line="276" w:lineRule="auto"/>
        <w:jc w:val="both"/>
      </w:pPr>
      <w:r>
        <w:t>Studies of major reforms</w:t>
      </w:r>
      <w:r w:rsidR="0079794A">
        <w:t xml:space="preserve"> in other countries are summaris</w:t>
      </w:r>
      <w:r>
        <w:t>ed in</w:t>
      </w:r>
      <w:r w:rsidR="009B6DA2">
        <w:t xml:space="preserve"> </w:t>
      </w:r>
      <w:r w:rsidR="007E103D">
        <w:t>Table 15</w:t>
      </w:r>
      <w:r>
        <w:t xml:space="preserve">. Similar to Bassford &amp; Fisher’s (2020) study of fertility intentions in Australia, the introduction in 2005 of 14 weeks paid maternity leave in Switzerland also increased fertility intentions </w:t>
      </w:r>
      <w:r w:rsidR="007E103D">
        <w:rPr>
          <w:noProof/>
        </w:rPr>
        <w:t>(Barbos &amp; Milovanska-Farrington, 2019)</w:t>
      </w:r>
      <w:r>
        <w:t xml:space="preserve">. </w:t>
      </w:r>
    </w:p>
    <w:p w14:paraId="500B20B1" w14:textId="2D1BD7F3" w:rsidR="00F31FC5" w:rsidRDefault="00FF5C8C" w:rsidP="00BC5105">
      <w:pPr>
        <w:spacing w:line="276" w:lineRule="auto"/>
        <w:jc w:val="both"/>
      </w:pPr>
      <w:r>
        <w:t>Several studies have looked at the effect of changes in generosity of parental leave pay. In Quebec, a</w:t>
      </w:r>
      <w:r w:rsidR="00F31FC5">
        <w:t xml:space="preserve"> substantial increase in generosity of maternity pay in 2006</w:t>
      </w:r>
      <w:r>
        <w:t xml:space="preserve"> from </w:t>
      </w:r>
      <w:r w:rsidRPr="006C6E6D">
        <w:t>a replacement of 55% to 70% , for 30 out of 55 weeks of the parental leave period</w:t>
      </w:r>
      <w:r w:rsidR="00F31FC5">
        <w:t>, lead to an increase in birth rates by 23.5% in Quebec compared to other provinces</w:t>
      </w:r>
      <w:r>
        <w:t xml:space="preserve"> who did not have this reform</w:t>
      </w:r>
      <w:r w:rsidR="00F31FC5">
        <w:t xml:space="preserve"> </w:t>
      </w:r>
      <w:r w:rsidR="007E103D">
        <w:rPr>
          <w:noProof/>
        </w:rPr>
        <w:t>(Ang, 2015)</w:t>
      </w:r>
      <w:r w:rsidR="00F31FC5">
        <w:t>.</w:t>
      </w:r>
      <w:r>
        <w:t xml:space="preserve"> In Germany, a </w:t>
      </w:r>
      <w:r w:rsidR="00F31FC5">
        <w:t>2007 reform moving from a flat rate to replacement wage of 67% for maternity pay had heterogeneous effects</w:t>
      </w:r>
      <w:r w:rsidR="00D30BF5">
        <w:t>:</w:t>
      </w:r>
      <w:r>
        <w:t xml:space="preserve"> for some women this reform was advantageous whereas for lower income women the replacement rate was less generous compared to the flat rate</w:t>
      </w:r>
      <w:r w:rsidR="00F31FC5">
        <w:t xml:space="preserve">. Raute (2019) suggest that tertiary-educated </w:t>
      </w:r>
      <w:r w:rsidR="00946E54">
        <w:t>women</w:t>
      </w:r>
      <w:r w:rsidR="00F31FC5">
        <w:t xml:space="preserve"> experienced an increase in fertility </w:t>
      </w:r>
      <w:r>
        <w:t>because of</w:t>
      </w:r>
      <w:r w:rsidR="00F31FC5">
        <w:t xml:space="preserve"> this reform, whereas Cygan-Rehm (2016) suggests that higher income women were only weakly </w:t>
      </w:r>
      <w:r w:rsidR="00946E54">
        <w:t>incentivised,</w:t>
      </w:r>
      <w:r w:rsidR="00F31FC5">
        <w:t xml:space="preserve"> and the overall effect was to lead to fertility postponement and possible overall fertility reduction as lower income women were negatively affected by the reform and adjusted their childbearing downwards accordingly. </w:t>
      </w:r>
    </w:p>
    <w:p w14:paraId="023CC5D4" w14:textId="2C5E7322" w:rsidR="00AD6E5D" w:rsidRDefault="00FF5C8C" w:rsidP="00AD6E5D">
      <w:pPr>
        <w:spacing w:line="276" w:lineRule="auto"/>
        <w:jc w:val="both"/>
      </w:pPr>
      <w:r>
        <w:t xml:space="preserve">Changes in the </w:t>
      </w:r>
      <w:r w:rsidRPr="00EB588E">
        <w:t>duration</w:t>
      </w:r>
      <w:r>
        <w:t xml:space="preserve"> of parental payment can also introduce a ‘speed effect’ where couples shorten the timing between the 2</w:t>
      </w:r>
      <w:r w:rsidRPr="00EB588E">
        <w:t>nd</w:t>
      </w:r>
      <w:r>
        <w:t xml:space="preserve"> and 3</w:t>
      </w:r>
      <w:r w:rsidRPr="00EB588E">
        <w:t>rd</w:t>
      </w:r>
      <w:r>
        <w:t xml:space="preserve"> birth.  This speed effect has been observed in reforms introduced in </w:t>
      </w:r>
      <w:r w:rsidR="00434E9A">
        <w:t xml:space="preserve">Czechia, Austria, and </w:t>
      </w:r>
      <w:r>
        <w:t>Sweden.</w:t>
      </w:r>
      <w:r w:rsidR="00E759A9">
        <w:t xml:space="preserve"> In Czechia a reform was introduced to make parental leave more generous</w:t>
      </w:r>
      <w:r w:rsidR="00D30BF5">
        <w:t>,</w:t>
      </w:r>
      <w:r w:rsidR="00E759A9">
        <w:t xml:space="preserve"> but also more flexible</w:t>
      </w:r>
      <w:r w:rsidR="00D30BF5">
        <w:t>,</w:t>
      </w:r>
      <w:r w:rsidR="00E759A9">
        <w:t xml:space="preserve"> with families able to choose to have a higher replacement </w:t>
      </w:r>
      <w:r w:rsidR="00E759A9">
        <w:lastRenderedPageBreak/>
        <w:t>rate if the leave is taken for a shorter period of time (e.g. two years) compared to three years.</w:t>
      </w:r>
      <w:r w:rsidR="00AD6E5D" w:rsidRPr="00AD6E5D">
        <w:t xml:space="preserve"> </w:t>
      </w:r>
      <w:r w:rsidR="00AD6E5D">
        <w:t>This introduced a ‘speed bonus’ that encouraged families to continue childbearing while on parental leave and chose the shorter and better paid parental leave period. The result was not only families shortening the interval between first and second children, but also being more likely to have a second birth at all. In Austria the introduction of a similar ‘speed bonus’ in 1990 when parental payment was extended from 1 to 2 years lead to increased fertility. In one study, s</w:t>
      </w:r>
      <w:r w:rsidR="00746083">
        <w:t>hort-</w:t>
      </w:r>
      <w:r w:rsidR="00AD6E5D" w:rsidRPr="006C6E6D">
        <w:t>term fertility (within 3 years) increased by about 36% relative to the baseline</w:t>
      </w:r>
      <w:r w:rsidR="007E103D">
        <w:rPr>
          <w:noProof/>
        </w:rPr>
        <w:t xml:space="preserve"> (Lalive &amp; Zweimüller, 2009)</w:t>
      </w:r>
      <w:r w:rsidR="00AD6E5D" w:rsidRPr="006C6E6D">
        <w:t>.</w:t>
      </w:r>
      <w:r w:rsidR="00AD6E5D">
        <w:t xml:space="preserve"> However there is mixed evidence if long term fertility also increased, with one study finding a possible positive long term impact </w:t>
      </w:r>
      <w:r w:rsidR="007E103D">
        <w:rPr>
          <w:noProof/>
        </w:rPr>
        <w:t>(Lalive &amp; Zweimüller, 2009)</w:t>
      </w:r>
      <w:r w:rsidR="00AD6E5D">
        <w:t xml:space="preserve">, while others find no lasting increase in the progression rate to second and third children </w:t>
      </w:r>
      <w:r w:rsidR="008A7DE7">
        <w:t xml:space="preserve">(Prskawetz, </w:t>
      </w:r>
      <w:r w:rsidR="00B95174" w:rsidRPr="00B95174">
        <w:rPr>
          <w:i/>
        </w:rPr>
        <w:t>et al.,</w:t>
      </w:r>
      <w:r w:rsidR="008A7DE7">
        <w:t xml:space="preserve"> 2008; Št'astná &amp; Sobotka, 2009)</w:t>
      </w:r>
      <w:r w:rsidR="00AD6E5D">
        <w:t xml:space="preserve">. </w:t>
      </w:r>
    </w:p>
    <w:p w14:paraId="707E1720" w14:textId="3E113302" w:rsidR="00AD6E5D" w:rsidRDefault="00AD6E5D" w:rsidP="00AD6E5D">
      <w:pPr>
        <w:spacing w:line="276" w:lineRule="auto"/>
        <w:jc w:val="both"/>
      </w:pPr>
      <w:r>
        <w:t xml:space="preserve">In Sweden, in 1980 a reform was introduced which meant that if parents spaced their births within 24 months, they would be guaranteed </w:t>
      </w:r>
      <w:r w:rsidR="00D30BF5">
        <w:t>the</w:t>
      </w:r>
      <w:r>
        <w:t xml:space="preserve"> replacement rate of their pre-birth salary which applied to the preceding birth if the earlier benefit level was above what the parents would otherwise gain a right to during the inter-birth interval. This was an incentive for w</w:t>
      </w:r>
      <w:r w:rsidR="00E407D5">
        <w:t xml:space="preserve">omen who might otherwise have </w:t>
      </w:r>
      <w:r>
        <w:t>had a lower income due to going part-time after the birth of a first child. In 1986, it was extended to thirty months. The effect was to shorten the time interval between 1</w:t>
      </w:r>
      <w:r w:rsidRPr="00EB588E">
        <w:t>st</w:t>
      </w:r>
      <w:r>
        <w:t xml:space="preserve"> and 2</w:t>
      </w:r>
      <w:r w:rsidRPr="00EB588E">
        <w:t>nd</w:t>
      </w:r>
      <w:r>
        <w:t xml:space="preserve"> children, and 2</w:t>
      </w:r>
      <w:r w:rsidRPr="00EB588E">
        <w:t>nd</w:t>
      </w:r>
      <w:r>
        <w:t xml:space="preserve"> to 3</w:t>
      </w:r>
      <w:r w:rsidRPr="00EB588E">
        <w:t>rd</w:t>
      </w:r>
      <w:r>
        <w:t xml:space="preserve"> children (Andersson, 2002), and this behaviour has been evident across all education levels (Andersson, </w:t>
      </w:r>
      <w:r w:rsidRPr="007E15F6">
        <w:rPr>
          <w:i/>
          <w:iCs/>
        </w:rPr>
        <w:t>et al.</w:t>
      </w:r>
      <w:r>
        <w:t xml:space="preserve"> 2006)</w:t>
      </w:r>
    </w:p>
    <w:p w14:paraId="304A20E9" w14:textId="0E8CF78E" w:rsidR="00AD6E5D" w:rsidRDefault="00AD6E5D" w:rsidP="00AD6E5D">
      <w:pPr>
        <w:spacing w:line="276" w:lineRule="auto"/>
        <w:jc w:val="both"/>
      </w:pPr>
      <w:r>
        <w:t xml:space="preserve">While the studies above looked at paid parental leave, evidence from the United States suggests that even the introduction of unpaid maternity leave had a positive effect on fertility. In 1993, the United States introduced </w:t>
      </w:r>
      <w:r w:rsidRPr="006C6E6D">
        <w:t>12 weeks of unpaid job-protected leave (Family and Medical Leave Act). Can</w:t>
      </w:r>
      <w:r w:rsidR="007E103D">
        <w:t>n</w:t>
      </w:r>
      <w:r w:rsidRPr="006C6E6D">
        <w:t>onier (2014) found an increase in the probability of both first and second births for eligible women</w:t>
      </w:r>
      <w:r>
        <w:t xml:space="preserve"> by</w:t>
      </w:r>
      <w:r w:rsidRPr="006C6E6D">
        <w:t xml:space="preserve"> 5 percentage points for a first birth and 3 percentage points for a second birth.</w:t>
      </w:r>
    </w:p>
    <w:p w14:paraId="26DD65FC" w14:textId="77777777" w:rsidR="00AD6E5D" w:rsidRDefault="00AD6E5D" w:rsidP="00AD6E5D">
      <w:pPr>
        <w:spacing w:line="276" w:lineRule="auto"/>
        <w:jc w:val="both"/>
      </w:pPr>
    </w:p>
    <w:p w14:paraId="02FBAFBA" w14:textId="169E3823" w:rsidR="00EB588E" w:rsidRDefault="00E759A9" w:rsidP="00EB588E">
      <w:pPr>
        <w:spacing w:line="276" w:lineRule="auto"/>
        <w:rPr>
          <w:b/>
        </w:rPr>
      </w:pPr>
      <w:r>
        <w:t xml:space="preserve"> </w:t>
      </w:r>
      <w:r w:rsidR="00434E9A">
        <w:t xml:space="preserve">              </w:t>
      </w:r>
    </w:p>
    <w:p w14:paraId="0C9119C3" w14:textId="77777777" w:rsidR="00EB588E" w:rsidRDefault="00EB588E" w:rsidP="00EB588E">
      <w:pPr>
        <w:spacing w:line="276" w:lineRule="auto"/>
        <w:rPr>
          <w:b/>
        </w:rPr>
        <w:sectPr w:rsidR="00EB588E" w:rsidSect="00BB3130">
          <w:pgSz w:w="11906" w:h="16838"/>
          <w:pgMar w:top="1440" w:right="1440" w:bottom="1440" w:left="1440" w:header="708" w:footer="708" w:gutter="0"/>
          <w:cols w:space="708"/>
          <w:docGrid w:linePitch="360"/>
        </w:sectPr>
      </w:pPr>
    </w:p>
    <w:p w14:paraId="3596013E" w14:textId="695A2C64" w:rsidR="00EB588E" w:rsidRDefault="00EB588E" w:rsidP="00EB588E">
      <w:pPr>
        <w:pStyle w:val="Caption"/>
        <w:keepNext/>
        <w:spacing w:line="276" w:lineRule="auto"/>
      </w:pPr>
      <w:bookmarkStart w:id="102" w:name="_Ref81227926"/>
      <w:bookmarkStart w:id="103" w:name="_Ref81209185"/>
      <w:r>
        <w:lastRenderedPageBreak/>
        <w:t xml:space="preserve">Table </w:t>
      </w:r>
      <w:fldSimple w:instr=" SEQ Table \* ARABIC ">
        <w:r w:rsidR="00115E22">
          <w:rPr>
            <w:noProof/>
          </w:rPr>
          <w:t>15</w:t>
        </w:r>
      </w:fldSimple>
      <w:bookmarkEnd w:id="102"/>
      <w:r>
        <w:t xml:space="preserve"> Studies on parental leave reforms and fertility</w:t>
      </w:r>
      <w:bookmarkEnd w:id="103"/>
    </w:p>
    <w:tbl>
      <w:tblPr>
        <w:tblStyle w:val="TableGrid"/>
        <w:tblW w:w="14595" w:type="dxa"/>
        <w:tblLook w:val="04A0" w:firstRow="1" w:lastRow="0" w:firstColumn="1" w:lastColumn="0" w:noHBand="0" w:noVBand="1"/>
      </w:tblPr>
      <w:tblGrid>
        <w:gridCol w:w="1553"/>
        <w:gridCol w:w="5672"/>
        <w:gridCol w:w="2409"/>
        <w:gridCol w:w="3260"/>
        <w:gridCol w:w="1701"/>
      </w:tblGrid>
      <w:tr w:rsidR="00EB588E" w:rsidRPr="00040112" w14:paraId="0FA45C28" w14:textId="77777777" w:rsidTr="003C3693">
        <w:tc>
          <w:tcPr>
            <w:tcW w:w="1553" w:type="dxa"/>
            <w:tcBorders>
              <w:top w:val="single" w:sz="4" w:space="0" w:color="ED7D31" w:themeColor="accent2"/>
              <w:left w:val="single" w:sz="4" w:space="0" w:color="ED7D31" w:themeColor="accent2"/>
              <w:bottom w:val="single" w:sz="6" w:space="0" w:color="ED7D31" w:themeColor="accent2"/>
              <w:right w:val="single" w:sz="6" w:space="0" w:color="ED7D31" w:themeColor="accent2"/>
            </w:tcBorders>
            <w:shd w:val="clear" w:color="auto" w:fill="FBE4D5" w:themeFill="accent2" w:themeFillTint="33"/>
          </w:tcPr>
          <w:p w14:paraId="56BA8938"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Country</w:t>
            </w:r>
          </w:p>
        </w:tc>
        <w:tc>
          <w:tcPr>
            <w:tcW w:w="5672"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4D2F14DE"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Policy change</w:t>
            </w:r>
          </w:p>
        </w:tc>
        <w:tc>
          <w:tcPr>
            <w:tcW w:w="2409"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2240553A"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Fertility outcome</w:t>
            </w:r>
          </w:p>
        </w:tc>
        <w:tc>
          <w:tcPr>
            <w:tcW w:w="3260"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19125DFA"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 xml:space="preserve">Impact on fertility </w:t>
            </w:r>
          </w:p>
        </w:tc>
        <w:tc>
          <w:tcPr>
            <w:tcW w:w="1701" w:type="dxa"/>
            <w:tcBorders>
              <w:top w:val="single" w:sz="4" w:space="0" w:color="ED7D31" w:themeColor="accent2"/>
              <w:left w:val="single" w:sz="6" w:space="0" w:color="ED7D31" w:themeColor="accent2"/>
              <w:bottom w:val="single" w:sz="6" w:space="0" w:color="ED7D31" w:themeColor="accent2"/>
              <w:right w:val="single" w:sz="4" w:space="0" w:color="ED7D31" w:themeColor="accent2"/>
            </w:tcBorders>
            <w:shd w:val="clear" w:color="auto" w:fill="FBE4D5" w:themeFill="accent2" w:themeFillTint="33"/>
          </w:tcPr>
          <w:p w14:paraId="70ABF35E"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Study</w:t>
            </w:r>
          </w:p>
        </w:tc>
      </w:tr>
      <w:tr w:rsidR="00EB588E" w:rsidRPr="00040112" w14:paraId="7BDED03A" w14:textId="77777777" w:rsidTr="003C3693">
        <w:tc>
          <w:tcPr>
            <w:tcW w:w="1553" w:type="dxa"/>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2F701983" w14:textId="77777777" w:rsidR="00EB588E" w:rsidRPr="00040112" w:rsidRDefault="00EB588E" w:rsidP="003C3693">
            <w:pPr>
              <w:rPr>
                <w:rFonts w:ascii="Tw Cen MT Condensed" w:hAnsi="Tw Cen MT Condensed" w:cstheme="majorHAnsi"/>
                <w:caps/>
                <w:sz w:val="20"/>
              </w:rPr>
            </w:pPr>
            <w:r w:rsidRPr="00040112">
              <w:rPr>
                <w:rFonts w:ascii="Tw Cen MT Condensed" w:hAnsi="Tw Cen MT Condensed" w:cstheme="majorHAnsi"/>
                <w:caps/>
                <w:sz w:val="20"/>
              </w:rPr>
              <w:t>Australia</w:t>
            </w:r>
          </w:p>
        </w:tc>
        <w:tc>
          <w:tcPr>
            <w:tcW w:w="5672"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vAlign w:val="center"/>
          </w:tcPr>
          <w:p w14:paraId="7A8F8C28"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2011 introduction of paid parental </w:t>
            </w:r>
            <w:r>
              <w:rPr>
                <w:rFonts w:asciiTheme="majorHAnsi" w:hAnsiTheme="majorHAnsi" w:cstheme="majorHAnsi"/>
                <w:sz w:val="20"/>
              </w:rPr>
              <w:t>l</w:t>
            </w:r>
            <w:r w:rsidRPr="00040112">
              <w:rPr>
                <w:rFonts w:asciiTheme="majorHAnsi" w:hAnsiTheme="majorHAnsi" w:cstheme="majorHAnsi"/>
                <w:sz w:val="20"/>
              </w:rPr>
              <w:t xml:space="preserve">eave </w:t>
            </w:r>
            <w:r>
              <w:rPr>
                <w:rFonts w:asciiTheme="majorHAnsi" w:hAnsiTheme="majorHAnsi" w:cstheme="majorHAnsi"/>
                <w:sz w:val="20"/>
              </w:rPr>
              <w:t>for 18 weeks- flat rate</w:t>
            </w: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7000C500"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Intended number of children</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6892958C"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Increase, particularly for women with higher education </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5A800223" w14:textId="5914D5A6" w:rsidR="00EB588E" w:rsidRPr="00040112" w:rsidRDefault="00F33068" w:rsidP="003C3693">
            <w:pPr>
              <w:rPr>
                <w:rFonts w:asciiTheme="majorHAnsi" w:hAnsiTheme="majorHAnsi" w:cstheme="majorHAnsi"/>
                <w:sz w:val="20"/>
              </w:rPr>
            </w:pPr>
            <w:r w:rsidRPr="007E15F6">
              <w:rPr>
                <w:rFonts w:asciiTheme="majorHAnsi" w:hAnsiTheme="majorHAnsi" w:cstheme="majorHAnsi"/>
                <w:noProof/>
                <w:sz w:val="20"/>
              </w:rPr>
              <w:t>(Bassford &amp; Fisher, 2020)</w:t>
            </w:r>
          </w:p>
        </w:tc>
      </w:tr>
      <w:tr w:rsidR="00EB588E" w:rsidRPr="00040112" w14:paraId="7A8C8AB1" w14:textId="77777777" w:rsidTr="003C3693">
        <w:tc>
          <w:tcPr>
            <w:tcW w:w="1553" w:type="dxa"/>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2DE74745" w14:textId="77777777" w:rsidR="00EB588E" w:rsidRPr="00040112" w:rsidRDefault="00EB588E" w:rsidP="003C3693">
            <w:pPr>
              <w:rPr>
                <w:rFonts w:ascii="Tw Cen MT Condensed" w:hAnsi="Tw Cen MT Condensed" w:cstheme="majorHAnsi"/>
                <w:caps/>
                <w:sz w:val="20"/>
              </w:rPr>
            </w:pPr>
            <w:r w:rsidRPr="00040112">
              <w:rPr>
                <w:rFonts w:ascii="Tw Cen MT Condensed" w:hAnsi="Tw Cen MT Condensed" w:cstheme="majorHAnsi"/>
                <w:caps/>
                <w:sz w:val="20"/>
              </w:rPr>
              <w:t>Switzerland</w:t>
            </w:r>
          </w:p>
        </w:tc>
        <w:tc>
          <w:tcPr>
            <w:tcW w:w="5672"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vAlign w:val="center"/>
          </w:tcPr>
          <w:p w14:paraId="1CA5E1D5"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2005 expansion of maternity leave from 8 weeks unpaid to 14 weeks paid. </w:t>
            </w: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22D571F6"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Fertility intentions (plan to have a child in next 3 years) </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7181AC14"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Increase in fertility intentions</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16B36092" w14:textId="7046ED57" w:rsidR="00EB588E" w:rsidRPr="00040112" w:rsidRDefault="001E0F6C" w:rsidP="003C3693">
            <w:pPr>
              <w:rPr>
                <w:rFonts w:asciiTheme="majorHAnsi" w:hAnsiTheme="majorHAnsi" w:cstheme="majorHAnsi"/>
                <w:sz w:val="20"/>
              </w:rPr>
            </w:pPr>
            <w:r>
              <w:rPr>
                <w:rFonts w:asciiTheme="majorHAnsi" w:hAnsiTheme="majorHAnsi" w:cstheme="majorHAnsi"/>
                <w:noProof/>
                <w:sz w:val="20"/>
              </w:rPr>
              <w:t>(Barbos &amp; Milovanska-Farrington, 2019)</w:t>
            </w:r>
          </w:p>
        </w:tc>
      </w:tr>
      <w:tr w:rsidR="00EB588E" w:rsidRPr="00040112" w14:paraId="5B5B9589" w14:textId="77777777" w:rsidTr="003C3693">
        <w:tc>
          <w:tcPr>
            <w:tcW w:w="1553" w:type="dxa"/>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7CB19757" w14:textId="77777777" w:rsidR="00EB588E" w:rsidRPr="00040112" w:rsidRDefault="00EB588E" w:rsidP="003C3693">
            <w:pPr>
              <w:rPr>
                <w:rFonts w:ascii="Tw Cen MT Condensed" w:hAnsi="Tw Cen MT Condensed" w:cstheme="majorHAnsi"/>
                <w:caps/>
                <w:sz w:val="20"/>
              </w:rPr>
            </w:pPr>
            <w:r w:rsidRPr="00040112">
              <w:rPr>
                <w:rFonts w:ascii="Tw Cen MT Condensed" w:hAnsi="Tw Cen MT Condensed" w:cstheme="majorHAnsi"/>
                <w:caps/>
                <w:sz w:val="20"/>
              </w:rPr>
              <w:t>Canada (Quebec)</w:t>
            </w:r>
          </w:p>
        </w:tc>
        <w:tc>
          <w:tcPr>
            <w:tcW w:w="5672"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vAlign w:val="center"/>
          </w:tcPr>
          <w:p w14:paraId="4407EC4D"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2006 increase in wage replacement from 55 to 70% , for 30 out of 55 weeks of the parental leave period</w:t>
            </w: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7F011E03"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Probability of having a child </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68E94356"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Increase in birth rates by 23.5% compared to other Canadian provinces. Possible positive effect on quantum, not just tempo. </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57C929F6" w14:textId="7241F1B2" w:rsidR="00EB588E" w:rsidRPr="00040112" w:rsidRDefault="00F33068" w:rsidP="003C3693">
            <w:pPr>
              <w:rPr>
                <w:rFonts w:asciiTheme="majorHAnsi" w:hAnsiTheme="majorHAnsi" w:cstheme="majorHAnsi"/>
                <w:sz w:val="20"/>
              </w:rPr>
            </w:pPr>
            <w:r w:rsidRPr="007E15F6">
              <w:rPr>
                <w:rFonts w:asciiTheme="majorHAnsi" w:hAnsiTheme="majorHAnsi" w:cstheme="majorHAnsi"/>
                <w:noProof/>
                <w:sz w:val="20"/>
              </w:rPr>
              <w:t>(Ang, 2015)</w:t>
            </w:r>
          </w:p>
        </w:tc>
      </w:tr>
      <w:tr w:rsidR="00EB588E" w:rsidRPr="00040112" w14:paraId="0E48F592" w14:textId="77777777" w:rsidTr="00EB588E">
        <w:tc>
          <w:tcPr>
            <w:tcW w:w="1553" w:type="dxa"/>
            <w:vMerge w:val="restart"/>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63849A6F" w14:textId="77777777" w:rsidR="00EB588E" w:rsidRPr="00040112" w:rsidRDefault="00EB588E" w:rsidP="003C3693">
            <w:pPr>
              <w:rPr>
                <w:rFonts w:ascii="Tw Cen MT Condensed" w:hAnsi="Tw Cen MT Condensed" w:cstheme="majorHAnsi"/>
                <w:caps/>
                <w:sz w:val="20"/>
              </w:rPr>
            </w:pPr>
            <w:r w:rsidRPr="00040112">
              <w:rPr>
                <w:rFonts w:ascii="Tw Cen MT Condensed" w:hAnsi="Tw Cen MT Condensed" w:cstheme="majorHAnsi"/>
                <w:caps/>
                <w:sz w:val="20"/>
              </w:rPr>
              <w:t>Germany</w:t>
            </w:r>
          </w:p>
        </w:tc>
        <w:tc>
          <w:tcPr>
            <w:tcW w:w="5672" w:type="dxa"/>
            <w:vMerge w:val="restart"/>
            <w:tcBorders>
              <w:top w:val="single" w:sz="6" w:space="0" w:color="ED7D31" w:themeColor="accent2"/>
              <w:left w:val="single" w:sz="6" w:space="0" w:color="ED7D31" w:themeColor="accent2"/>
              <w:bottom w:val="single" w:sz="6" w:space="0" w:color="ED7D31" w:themeColor="accent2"/>
              <w:right w:val="single" w:sz="6" w:space="0" w:color="ED7D31" w:themeColor="accent2"/>
            </w:tcBorders>
            <w:vAlign w:val="center"/>
          </w:tcPr>
          <w:p w14:paraId="71258337"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2007 reform from flat rate to replacement wage of 67% </w:t>
            </w: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4727CE97"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Birth probability </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5D2D4933"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23% increase in fertility of tertiary-educated women (within 5 years).  </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2D5E1B45" w14:textId="3CACA182" w:rsidR="00EB588E" w:rsidRPr="00040112" w:rsidRDefault="00F33068" w:rsidP="003C3693">
            <w:pPr>
              <w:rPr>
                <w:rFonts w:asciiTheme="majorHAnsi" w:hAnsiTheme="majorHAnsi" w:cstheme="majorHAnsi"/>
                <w:sz w:val="20"/>
              </w:rPr>
            </w:pPr>
            <w:r w:rsidRPr="007E15F6">
              <w:rPr>
                <w:rFonts w:asciiTheme="majorHAnsi" w:hAnsiTheme="majorHAnsi" w:cstheme="majorHAnsi"/>
                <w:noProof/>
                <w:sz w:val="20"/>
              </w:rPr>
              <w:t>(Raute, 2019)</w:t>
            </w:r>
          </w:p>
        </w:tc>
      </w:tr>
      <w:tr w:rsidR="00EB588E" w:rsidRPr="00040112" w14:paraId="37C5C45E" w14:textId="77777777" w:rsidTr="00EB588E">
        <w:tc>
          <w:tcPr>
            <w:tcW w:w="1553" w:type="dxa"/>
            <w:vMerge/>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20018ACD" w14:textId="77777777" w:rsidR="00EB588E" w:rsidRPr="00040112" w:rsidRDefault="00EB588E" w:rsidP="003C3693">
            <w:pPr>
              <w:rPr>
                <w:rFonts w:ascii="Tw Cen MT Condensed" w:hAnsi="Tw Cen MT Condensed" w:cstheme="majorHAnsi"/>
                <w:caps/>
                <w:sz w:val="20"/>
              </w:rPr>
            </w:pPr>
          </w:p>
        </w:tc>
        <w:tc>
          <w:tcPr>
            <w:tcW w:w="5672" w:type="dxa"/>
            <w:vMerge/>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7636AD1E" w14:textId="77777777" w:rsidR="00EB588E" w:rsidRPr="00040112" w:rsidRDefault="00EB588E" w:rsidP="003C3693">
            <w:pPr>
              <w:rPr>
                <w:rFonts w:asciiTheme="majorHAnsi" w:hAnsiTheme="majorHAnsi" w:cstheme="majorHAnsi"/>
                <w:sz w:val="20"/>
              </w:rPr>
            </w:pP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2A9C3F27"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Birth probability </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472F7A55"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Lower-income women who were negatively affected by the reform lowered their higher-order fertility. Higher income women were only weakly incentivised. Overall effect was fertility postponement and possible overall reduction. </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0374ED71" w14:textId="1AAD97E8" w:rsidR="00EB588E" w:rsidRPr="00EA36B2" w:rsidRDefault="00F33068" w:rsidP="003C3693">
            <w:pPr>
              <w:rPr>
                <w:rFonts w:asciiTheme="majorHAnsi" w:hAnsiTheme="majorHAnsi" w:cstheme="majorHAnsi"/>
                <w:sz w:val="20"/>
                <w:highlight w:val="yellow"/>
              </w:rPr>
            </w:pPr>
            <w:r w:rsidRPr="007E15F6">
              <w:rPr>
                <w:rFonts w:asciiTheme="majorHAnsi" w:hAnsiTheme="majorHAnsi" w:cstheme="majorHAnsi"/>
                <w:noProof/>
                <w:sz w:val="20"/>
              </w:rPr>
              <w:t>(Cygan-Rehm, 2016)</w:t>
            </w:r>
          </w:p>
        </w:tc>
      </w:tr>
      <w:tr w:rsidR="00EB588E" w:rsidRPr="00040112" w14:paraId="022D3340" w14:textId="77777777" w:rsidTr="00EB588E">
        <w:tc>
          <w:tcPr>
            <w:tcW w:w="1553" w:type="dxa"/>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6A53C82D" w14:textId="69DCED9C" w:rsidR="00EB588E" w:rsidRPr="00040112" w:rsidRDefault="00EB588E" w:rsidP="003C3693">
            <w:pPr>
              <w:rPr>
                <w:rFonts w:ascii="Tw Cen MT Condensed" w:hAnsi="Tw Cen MT Condensed" w:cstheme="majorHAnsi"/>
                <w:caps/>
                <w:sz w:val="20"/>
              </w:rPr>
            </w:pPr>
            <w:r>
              <w:rPr>
                <w:rFonts w:ascii="Tw Cen MT Condensed" w:hAnsi="Tw Cen MT Condensed" w:cstheme="majorHAnsi"/>
                <w:caps/>
                <w:sz w:val="20"/>
              </w:rPr>
              <w:t>Czechia</w:t>
            </w:r>
          </w:p>
        </w:tc>
        <w:tc>
          <w:tcPr>
            <w:tcW w:w="5672"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2A7E8077" w14:textId="77777777" w:rsidR="00EB588E" w:rsidRPr="00487C2A" w:rsidRDefault="00EB588E" w:rsidP="00EB588E">
            <w:pPr>
              <w:rPr>
                <w:rFonts w:asciiTheme="majorHAnsi" w:hAnsiTheme="majorHAnsi" w:cstheme="majorHAnsi"/>
                <w:sz w:val="20"/>
              </w:rPr>
            </w:pPr>
            <w:r>
              <w:rPr>
                <w:rFonts w:asciiTheme="majorHAnsi" w:hAnsiTheme="majorHAnsi" w:cstheme="majorHAnsi"/>
                <w:sz w:val="20"/>
              </w:rPr>
              <w:t>Several</w:t>
            </w:r>
            <w:r w:rsidRPr="00487C2A">
              <w:rPr>
                <w:rFonts w:asciiTheme="majorHAnsi" w:hAnsiTheme="majorHAnsi" w:cstheme="majorHAnsi"/>
                <w:sz w:val="20"/>
              </w:rPr>
              <w:t xml:space="preserve"> policy changes</w:t>
            </w:r>
            <w:r>
              <w:rPr>
                <w:rFonts w:asciiTheme="majorHAnsi" w:hAnsiTheme="majorHAnsi" w:cstheme="majorHAnsi"/>
                <w:sz w:val="20"/>
              </w:rPr>
              <w:t xml:space="preserve"> including</w:t>
            </w:r>
            <w:r w:rsidRPr="00487C2A">
              <w:rPr>
                <w:rFonts w:asciiTheme="majorHAnsi" w:hAnsiTheme="majorHAnsi" w:cstheme="majorHAnsi"/>
                <w:sz w:val="20"/>
              </w:rPr>
              <w:t xml:space="preserve"> introduction</w:t>
            </w:r>
            <w:r w:rsidRPr="00040112">
              <w:rPr>
                <w:rFonts w:asciiTheme="majorHAnsi" w:hAnsiTheme="majorHAnsi" w:cstheme="majorHAnsi"/>
                <w:sz w:val="20"/>
              </w:rPr>
              <w:t xml:space="preserve"> of </w:t>
            </w:r>
            <w:r w:rsidRPr="00487C2A">
              <w:rPr>
                <w:rFonts w:asciiTheme="majorHAnsi" w:hAnsiTheme="majorHAnsi" w:cstheme="majorHAnsi"/>
                <w:sz w:val="20"/>
              </w:rPr>
              <w:t>a speed premium in 2008 and added flexibility in 2012</w:t>
            </w:r>
            <w:r>
              <w:rPr>
                <w:rFonts w:asciiTheme="majorHAnsi" w:hAnsiTheme="majorHAnsi" w:cstheme="majorHAnsi"/>
                <w:sz w:val="20"/>
              </w:rPr>
              <w:t>.</w:t>
            </w:r>
          </w:p>
          <w:p w14:paraId="33AC8C99" w14:textId="77777777" w:rsidR="00EB588E" w:rsidRDefault="00EB588E" w:rsidP="00EB588E">
            <w:pPr>
              <w:rPr>
                <w:rFonts w:asciiTheme="majorHAnsi" w:hAnsiTheme="majorHAnsi" w:cstheme="majorHAnsi"/>
                <w:sz w:val="20"/>
              </w:rPr>
            </w:pPr>
            <w:r w:rsidRPr="00487C2A">
              <w:rPr>
                <w:rFonts w:asciiTheme="majorHAnsi" w:hAnsiTheme="majorHAnsi" w:cstheme="majorHAnsi"/>
                <w:sz w:val="20"/>
              </w:rPr>
              <w:t>2008: Three “speeds”</w:t>
            </w:r>
            <w:r w:rsidRPr="00040112">
              <w:rPr>
                <w:rFonts w:asciiTheme="majorHAnsi" w:hAnsiTheme="majorHAnsi" w:cstheme="majorHAnsi"/>
                <w:sz w:val="20"/>
              </w:rPr>
              <w:t xml:space="preserve"> of </w:t>
            </w:r>
            <w:r>
              <w:rPr>
                <w:rFonts w:asciiTheme="majorHAnsi" w:hAnsiTheme="majorHAnsi" w:cstheme="majorHAnsi"/>
                <w:sz w:val="20"/>
              </w:rPr>
              <w:t>parental leave pay</w:t>
            </w:r>
            <w:r w:rsidRPr="00487C2A">
              <w:rPr>
                <w:rFonts w:asciiTheme="majorHAnsi" w:hAnsiTheme="majorHAnsi" w:cstheme="majorHAnsi"/>
                <w:sz w:val="20"/>
              </w:rPr>
              <w:t>—amounts set at fixed monthly rates according to the duration of drawing</w:t>
            </w:r>
            <w:r>
              <w:rPr>
                <w:rFonts w:asciiTheme="majorHAnsi" w:hAnsiTheme="majorHAnsi" w:cstheme="majorHAnsi"/>
                <w:sz w:val="20"/>
              </w:rPr>
              <w:t>:</w:t>
            </w:r>
          </w:p>
          <w:p w14:paraId="7D9AA691" w14:textId="77777777" w:rsidR="00EB588E" w:rsidRDefault="00EB588E" w:rsidP="00244248">
            <w:pPr>
              <w:pStyle w:val="ListParagraph"/>
              <w:numPr>
                <w:ilvl w:val="0"/>
                <w:numId w:val="21"/>
              </w:numPr>
              <w:rPr>
                <w:rFonts w:asciiTheme="majorHAnsi" w:hAnsiTheme="majorHAnsi" w:cstheme="majorHAnsi"/>
                <w:sz w:val="20"/>
              </w:rPr>
            </w:pPr>
            <w:r w:rsidRPr="00446969">
              <w:rPr>
                <w:rFonts w:asciiTheme="majorHAnsi" w:hAnsiTheme="majorHAnsi" w:cstheme="majorHAnsi"/>
                <w:sz w:val="20"/>
              </w:rPr>
              <w:t>up to the second birthday (50% of the average wage)</w:t>
            </w:r>
          </w:p>
          <w:p w14:paraId="30F4F27A" w14:textId="77777777" w:rsidR="00EB588E" w:rsidRDefault="00EB588E" w:rsidP="00244248">
            <w:pPr>
              <w:pStyle w:val="ListParagraph"/>
              <w:numPr>
                <w:ilvl w:val="0"/>
                <w:numId w:val="21"/>
              </w:numPr>
              <w:rPr>
                <w:rFonts w:asciiTheme="majorHAnsi" w:hAnsiTheme="majorHAnsi" w:cstheme="majorHAnsi"/>
                <w:sz w:val="20"/>
              </w:rPr>
            </w:pPr>
            <w:r w:rsidRPr="00446969">
              <w:rPr>
                <w:rFonts w:asciiTheme="majorHAnsi" w:hAnsiTheme="majorHAnsi" w:cstheme="majorHAnsi"/>
                <w:sz w:val="20"/>
              </w:rPr>
              <w:t xml:space="preserve">up to the third birthday (33% of the average wage) or </w:t>
            </w:r>
          </w:p>
          <w:p w14:paraId="4006F814" w14:textId="77777777" w:rsidR="00EB588E" w:rsidRPr="00446969" w:rsidRDefault="00EB588E" w:rsidP="00244248">
            <w:pPr>
              <w:pStyle w:val="ListParagraph"/>
              <w:numPr>
                <w:ilvl w:val="0"/>
                <w:numId w:val="21"/>
              </w:numPr>
              <w:rPr>
                <w:rFonts w:asciiTheme="majorHAnsi" w:hAnsiTheme="majorHAnsi" w:cstheme="majorHAnsi"/>
                <w:sz w:val="20"/>
              </w:rPr>
            </w:pPr>
            <w:r w:rsidRPr="00446969">
              <w:rPr>
                <w:rFonts w:asciiTheme="majorHAnsi" w:hAnsiTheme="majorHAnsi" w:cstheme="majorHAnsi"/>
                <w:sz w:val="20"/>
              </w:rPr>
              <w:t>up to the fourth birthday (33% of the average wage up to the 21st month and 17% from the 22nd month)</w:t>
            </w:r>
          </w:p>
          <w:p w14:paraId="472340D6" w14:textId="77777777" w:rsidR="00EB588E" w:rsidRDefault="00EB588E" w:rsidP="00EB588E">
            <w:pPr>
              <w:rPr>
                <w:rFonts w:asciiTheme="majorHAnsi" w:hAnsiTheme="majorHAnsi" w:cstheme="majorHAnsi"/>
                <w:sz w:val="20"/>
              </w:rPr>
            </w:pPr>
            <w:r w:rsidRPr="00487C2A">
              <w:rPr>
                <w:rFonts w:asciiTheme="majorHAnsi" w:hAnsiTheme="majorHAnsi" w:cstheme="majorHAnsi"/>
                <w:sz w:val="20"/>
              </w:rPr>
              <w:t>2012: Free choice on the monthly amount up to a fixed total sum of CZK 220,000 (</w:t>
            </w:r>
            <w:r>
              <w:rPr>
                <w:rFonts w:asciiTheme="majorHAnsi" w:hAnsiTheme="majorHAnsi" w:cstheme="majorHAnsi"/>
                <w:sz w:val="20"/>
              </w:rPr>
              <w:t>~</w:t>
            </w:r>
            <w:r w:rsidRPr="00487C2A">
              <w:rPr>
                <w:rFonts w:asciiTheme="majorHAnsi" w:hAnsiTheme="majorHAnsi" w:cstheme="majorHAnsi"/>
                <w:sz w:val="20"/>
              </w:rPr>
              <w:t>AUD 11,000) with a maximum benefit of CZK 11,500 (</w:t>
            </w:r>
            <w:r>
              <w:rPr>
                <w:rFonts w:asciiTheme="majorHAnsi" w:hAnsiTheme="majorHAnsi" w:cstheme="majorHAnsi"/>
                <w:sz w:val="20"/>
              </w:rPr>
              <w:t>~</w:t>
            </w:r>
            <w:r w:rsidRPr="00487C2A">
              <w:rPr>
                <w:rFonts w:asciiTheme="majorHAnsi" w:hAnsiTheme="majorHAnsi" w:cstheme="majorHAnsi"/>
                <w:sz w:val="20"/>
              </w:rPr>
              <w:t>AUD 575) per month (45% of the average wage) up to the second birthday</w:t>
            </w:r>
            <w:r>
              <w:rPr>
                <w:rFonts w:asciiTheme="majorHAnsi" w:hAnsiTheme="majorHAnsi" w:cstheme="majorHAnsi"/>
                <w:sz w:val="20"/>
              </w:rPr>
              <w:t>.</w:t>
            </w:r>
          </w:p>
          <w:p w14:paraId="2B334CDA" w14:textId="77777777" w:rsidR="00EB588E" w:rsidRPr="00040112" w:rsidRDefault="00EB588E" w:rsidP="003C3693">
            <w:pPr>
              <w:rPr>
                <w:rFonts w:asciiTheme="majorHAnsi" w:hAnsiTheme="majorHAnsi" w:cstheme="majorHAnsi"/>
                <w:sz w:val="20"/>
              </w:rPr>
            </w:pP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1DA89097" w14:textId="5949F675" w:rsidR="00EB588E" w:rsidRDefault="00EB588E" w:rsidP="00EB588E">
            <w:pPr>
              <w:rPr>
                <w:rFonts w:asciiTheme="majorHAnsi" w:hAnsiTheme="majorHAnsi" w:cstheme="majorHAnsi"/>
                <w:sz w:val="20"/>
              </w:rPr>
            </w:pPr>
            <w:r>
              <w:rPr>
                <w:rFonts w:asciiTheme="majorHAnsi" w:hAnsiTheme="majorHAnsi" w:cstheme="majorHAnsi"/>
                <w:sz w:val="20"/>
              </w:rPr>
              <w:t xml:space="preserve">Timing to second birth </w:t>
            </w:r>
          </w:p>
          <w:p w14:paraId="0580D03B" w14:textId="39C12639" w:rsidR="00EB588E" w:rsidRDefault="00EB588E" w:rsidP="00EB588E">
            <w:pPr>
              <w:rPr>
                <w:rFonts w:asciiTheme="majorHAnsi" w:hAnsiTheme="majorHAnsi" w:cstheme="majorHAnsi"/>
                <w:sz w:val="20"/>
              </w:rPr>
            </w:pPr>
            <w:r>
              <w:rPr>
                <w:rFonts w:asciiTheme="majorHAnsi" w:hAnsiTheme="majorHAnsi" w:cstheme="majorHAnsi"/>
                <w:sz w:val="20"/>
              </w:rPr>
              <w:t>Progression rate to second birth up to 10 year after first birth.</w:t>
            </w:r>
          </w:p>
          <w:p w14:paraId="6A180D40" w14:textId="77777777" w:rsidR="00EB588E" w:rsidRPr="00040112" w:rsidRDefault="00EB588E" w:rsidP="003C3693">
            <w:pPr>
              <w:rPr>
                <w:rFonts w:asciiTheme="majorHAnsi" w:hAnsiTheme="majorHAnsi" w:cstheme="majorHAnsi"/>
                <w:sz w:val="20"/>
              </w:rPr>
            </w:pP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1EF71C49" w14:textId="77777777" w:rsidR="00EB588E" w:rsidRDefault="00EB588E" w:rsidP="00EB588E">
            <w:pPr>
              <w:rPr>
                <w:rFonts w:asciiTheme="majorHAnsi" w:hAnsiTheme="majorHAnsi" w:cstheme="majorHAnsi"/>
                <w:sz w:val="20"/>
              </w:rPr>
            </w:pPr>
            <w:r>
              <w:rPr>
                <w:rFonts w:asciiTheme="majorHAnsi" w:hAnsiTheme="majorHAnsi" w:cstheme="majorHAnsi"/>
                <w:sz w:val="20"/>
              </w:rPr>
              <w:t>Shortening of duration between first and second birth</w:t>
            </w:r>
          </w:p>
          <w:p w14:paraId="37C14A16" w14:textId="3D30BF9A" w:rsidR="00EB588E" w:rsidRPr="00040112" w:rsidRDefault="00EB588E" w:rsidP="003C3693">
            <w:pPr>
              <w:rPr>
                <w:rFonts w:asciiTheme="majorHAnsi" w:hAnsiTheme="majorHAnsi" w:cstheme="majorHAnsi"/>
                <w:sz w:val="20"/>
              </w:rPr>
            </w:pPr>
            <w:r>
              <w:rPr>
                <w:rFonts w:asciiTheme="majorHAnsi" w:hAnsiTheme="majorHAnsi" w:cstheme="majorHAnsi"/>
                <w:sz w:val="20"/>
              </w:rPr>
              <w:t>Evidence of long term effect on positive progression rate to second birth</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0D43EECF" w14:textId="133118BF" w:rsidR="00EB588E" w:rsidRPr="008725F7" w:rsidRDefault="001E0F6C" w:rsidP="003C3693">
            <w:pPr>
              <w:rPr>
                <w:rFonts w:asciiTheme="majorHAnsi" w:hAnsiTheme="majorHAnsi" w:cstheme="majorHAnsi"/>
                <w:sz w:val="20"/>
              </w:rPr>
            </w:pPr>
            <w:r>
              <w:rPr>
                <w:rFonts w:asciiTheme="majorHAnsi" w:hAnsiTheme="majorHAnsi" w:cstheme="majorHAnsi"/>
                <w:noProof/>
                <w:sz w:val="20"/>
              </w:rPr>
              <w:t xml:space="preserve"> </w:t>
            </w:r>
            <w:r w:rsidRPr="00446969">
              <w:rPr>
                <w:rFonts w:asciiTheme="majorHAnsi" w:hAnsiTheme="majorHAnsi" w:cstheme="majorHAnsi"/>
                <w:noProof/>
                <w:sz w:val="20"/>
              </w:rPr>
              <w:t xml:space="preserve">( Šťastná, </w:t>
            </w:r>
            <w:r>
              <w:rPr>
                <w:rFonts w:asciiTheme="majorHAnsi" w:hAnsiTheme="majorHAnsi" w:cstheme="majorHAnsi"/>
                <w:noProof/>
                <w:sz w:val="20"/>
              </w:rPr>
              <w:t>et al.</w:t>
            </w:r>
            <w:r w:rsidRPr="00446969">
              <w:rPr>
                <w:rFonts w:asciiTheme="majorHAnsi" w:hAnsiTheme="majorHAnsi" w:cstheme="majorHAnsi"/>
                <w:noProof/>
                <w:sz w:val="20"/>
              </w:rPr>
              <w:t xml:space="preserve"> 2020)</w:t>
            </w:r>
          </w:p>
        </w:tc>
      </w:tr>
    </w:tbl>
    <w:p w14:paraId="7CB543F7" w14:textId="77777777" w:rsidR="00EB588E" w:rsidRPr="00487C2A" w:rsidRDefault="00EB588E" w:rsidP="00EB588E">
      <w:pPr>
        <w:rPr>
          <w:rFonts w:asciiTheme="majorHAnsi" w:hAnsiTheme="majorHAnsi" w:cstheme="majorHAnsi"/>
          <w:sz w:val="20"/>
        </w:rPr>
      </w:pPr>
    </w:p>
    <w:p w14:paraId="74598DCF" w14:textId="77777777" w:rsidR="00EB588E" w:rsidRPr="00487C2A" w:rsidRDefault="00EB588E" w:rsidP="00EB588E">
      <w:pPr>
        <w:rPr>
          <w:rFonts w:asciiTheme="majorHAnsi" w:hAnsiTheme="majorHAnsi" w:cstheme="majorHAnsi"/>
          <w:sz w:val="20"/>
        </w:rPr>
      </w:pPr>
    </w:p>
    <w:p w14:paraId="6CAD1EB5" w14:textId="10282CEE" w:rsidR="00EB588E" w:rsidRPr="006C6E6D" w:rsidRDefault="00DE280D" w:rsidP="00982033">
      <w:pPr>
        <w:pStyle w:val="Caption"/>
      </w:pPr>
      <w:sdt>
        <w:sdtPr>
          <w:rPr>
            <w:rFonts w:asciiTheme="majorHAnsi" w:hAnsiTheme="majorHAnsi" w:cstheme="majorHAnsi"/>
            <w:sz w:val="20"/>
          </w:rPr>
          <w:id w:val="-368847226"/>
          <w:citation/>
        </w:sdtPr>
        <w:sdtEndPr/>
        <w:sdtContent/>
      </w:sdt>
      <w:r w:rsidR="00982033">
        <w:fldChar w:fldCharType="begin"/>
      </w:r>
      <w:r w:rsidR="00982033">
        <w:rPr>
          <w:rFonts w:asciiTheme="majorHAnsi" w:hAnsiTheme="majorHAnsi" w:cstheme="majorHAnsi"/>
          <w:sz w:val="20"/>
        </w:rPr>
        <w:instrText xml:space="preserve"> REF _Ref81209185 \h </w:instrText>
      </w:r>
      <w:r w:rsidR="00982033">
        <w:instrText xml:space="preserve"> \* MERGEFORMAT </w:instrText>
      </w:r>
      <w:r w:rsidR="00982033">
        <w:fldChar w:fldCharType="separate"/>
      </w:r>
      <w:r w:rsidR="00115E22">
        <w:t xml:space="preserve">Table </w:t>
      </w:r>
      <w:r w:rsidR="00115E22">
        <w:rPr>
          <w:noProof/>
        </w:rPr>
        <w:t>15</w:t>
      </w:r>
      <w:r w:rsidR="00115E22">
        <w:t xml:space="preserve"> Studies on parental leave reforms and fertility</w:t>
      </w:r>
      <w:r w:rsidR="00982033">
        <w:fldChar w:fldCharType="end"/>
      </w:r>
      <w:r w:rsidR="00982033">
        <w:t xml:space="preserve"> </w:t>
      </w:r>
      <w:r w:rsidR="00EB588E" w:rsidRPr="006C6E6D">
        <w:t xml:space="preserve"> (continued)</w:t>
      </w:r>
    </w:p>
    <w:tbl>
      <w:tblPr>
        <w:tblStyle w:val="TableGrid"/>
        <w:tblW w:w="14595" w:type="dxa"/>
        <w:tblLook w:val="04A0" w:firstRow="1" w:lastRow="0" w:firstColumn="1" w:lastColumn="0" w:noHBand="0" w:noVBand="1"/>
      </w:tblPr>
      <w:tblGrid>
        <w:gridCol w:w="1553"/>
        <w:gridCol w:w="5672"/>
        <w:gridCol w:w="2409"/>
        <w:gridCol w:w="3260"/>
        <w:gridCol w:w="1701"/>
      </w:tblGrid>
      <w:tr w:rsidR="00EB588E" w:rsidRPr="00040112" w14:paraId="3B354A2D" w14:textId="77777777" w:rsidTr="003C3693">
        <w:tc>
          <w:tcPr>
            <w:tcW w:w="1553" w:type="dxa"/>
            <w:tcBorders>
              <w:top w:val="single" w:sz="4" w:space="0" w:color="ED7D31" w:themeColor="accent2"/>
              <w:left w:val="single" w:sz="4" w:space="0" w:color="ED7D31" w:themeColor="accent2"/>
              <w:bottom w:val="single" w:sz="6" w:space="0" w:color="ED7D31" w:themeColor="accent2"/>
              <w:right w:val="single" w:sz="6" w:space="0" w:color="ED7D31" w:themeColor="accent2"/>
            </w:tcBorders>
            <w:shd w:val="clear" w:color="auto" w:fill="FBE4D5" w:themeFill="accent2" w:themeFillTint="33"/>
          </w:tcPr>
          <w:p w14:paraId="48800462"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Country</w:t>
            </w:r>
          </w:p>
        </w:tc>
        <w:tc>
          <w:tcPr>
            <w:tcW w:w="5672"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7234FC8A"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Policy change</w:t>
            </w:r>
          </w:p>
        </w:tc>
        <w:tc>
          <w:tcPr>
            <w:tcW w:w="2409"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75C92B46"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Fertility outcome</w:t>
            </w:r>
          </w:p>
        </w:tc>
        <w:tc>
          <w:tcPr>
            <w:tcW w:w="3260"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418E010F"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 xml:space="preserve">Impact on fertility </w:t>
            </w:r>
          </w:p>
        </w:tc>
        <w:tc>
          <w:tcPr>
            <w:tcW w:w="1701" w:type="dxa"/>
            <w:tcBorders>
              <w:top w:val="single" w:sz="4" w:space="0" w:color="ED7D31" w:themeColor="accent2"/>
              <w:left w:val="single" w:sz="6" w:space="0" w:color="ED7D31" w:themeColor="accent2"/>
              <w:bottom w:val="single" w:sz="6" w:space="0" w:color="ED7D31" w:themeColor="accent2"/>
              <w:right w:val="single" w:sz="4" w:space="0" w:color="ED7D31" w:themeColor="accent2"/>
            </w:tcBorders>
            <w:shd w:val="clear" w:color="auto" w:fill="FBE4D5" w:themeFill="accent2" w:themeFillTint="33"/>
          </w:tcPr>
          <w:p w14:paraId="7FCB7430" w14:textId="77777777" w:rsidR="00EB588E" w:rsidRPr="00040112" w:rsidRDefault="00EB588E" w:rsidP="003C3693">
            <w:pPr>
              <w:rPr>
                <w:rFonts w:ascii="Tw Cen MT Condensed" w:hAnsi="Tw Cen MT Condensed"/>
                <w:sz w:val="20"/>
              </w:rPr>
            </w:pPr>
            <w:r w:rsidRPr="00040112">
              <w:rPr>
                <w:rFonts w:ascii="Tw Cen MT Condensed" w:hAnsi="Tw Cen MT Condensed"/>
                <w:sz w:val="20"/>
              </w:rPr>
              <w:t>Study</w:t>
            </w:r>
          </w:p>
        </w:tc>
      </w:tr>
      <w:tr w:rsidR="00EB588E" w:rsidRPr="00040112" w14:paraId="79375370" w14:textId="77777777" w:rsidTr="003C3693">
        <w:tc>
          <w:tcPr>
            <w:tcW w:w="1553" w:type="dxa"/>
            <w:vMerge w:val="restart"/>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066B7A31" w14:textId="77777777" w:rsidR="00EB588E" w:rsidRPr="00040112" w:rsidRDefault="00EB588E" w:rsidP="003C3693">
            <w:pPr>
              <w:rPr>
                <w:rFonts w:ascii="Tw Cen MT Condensed" w:hAnsi="Tw Cen MT Condensed" w:cstheme="majorHAnsi"/>
                <w:caps/>
                <w:sz w:val="20"/>
              </w:rPr>
            </w:pPr>
            <w:r w:rsidRPr="00040112">
              <w:rPr>
                <w:rFonts w:ascii="Tw Cen MT Condensed" w:hAnsi="Tw Cen MT Condensed" w:cstheme="majorHAnsi"/>
                <w:caps/>
                <w:sz w:val="20"/>
              </w:rPr>
              <w:t>Austria</w:t>
            </w:r>
          </w:p>
        </w:tc>
        <w:tc>
          <w:tcPr>
            <w:tcW w:w="5672" w:type="dxa"/>
            <w:vMerge w:val="restart"/>
            <w:tcBorders>
              <w:top w:val="single" w:sz="6" w:space="0" w:color="ED7D31" w:themeColor="accent2"/>
              <w:left w:val="single" w:sz="6" w:space="0" w:color="ED7D31" w:themeColor="accent2"/>
              <w:bottom w:val="single" w:sz="6" w:space="0" w:color="ED7D31" w:themeColor="accent2"/>
              <w:right w:val="single" w:sz="6" w:space="0" w:color="ED7D31" w:themeColor="accent2"/>
            </w:tcBorders>
            <w:vAlign w:val="center"/>
          </w:tcPr>
          <w:p w14:paraId="643B551C"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1990 extension of a flat-rate parental payment (40 per cent of women's net income) from one to two years. </w:t>
            </w: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533CEC8F"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Higher order births, 3 years and 10 years after a first birth </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634C1E89" w14:textId="77777777" w:rsidR="00EB588E" w:rsidRPr="00040112" w:rsidRDefault="00EB588E" w:rsidP="003C3693">
            <w:pPr>
              <w:rPr>
                <w:rFonts w:asciiTheme="majorHAnsi" w:hAnsiTheme="majorHAnsi" w:cstheme="majorHAnsi"/>
                <w:sz w:val="20"/>
              </w:rPr>
            </w:pPr>
            <w:r>
              <w:rPr>
                <w:rFonts w:asciiTheme="majorHAnsi" w:hAnsiTheme="majorHAnsi" w:cstheme="majorHAnsi"/>
                <w:sz w:val="20"/>
              </w:rPr>
              <w:t>S</w:t>
            </w:r>
            <w:r w:rsidRPr="00040112">
              <w:rPr>
                <w:rFonts w:asciiTheme="majorHAnsi" w:hAnsiTheme="majorHAnsi" w:cstheme="majorHAnsi"/>
                <w:sz w:val="20"/>
              </w:rPr>
              <w:t>hort term fertility (within 3 years) increased by about 36% relative to the baseline, while longer term fertility also increased</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7A3C5FE2" w14:textId="1B39898D" w:rsidR="00EB588E" w:rsidRPr="00040112" w:rsidRDefault="00C83033" w:rsidP="003C3693">
            <w:pPr>
              <w:rPr>
                <w:rFonts w:asciiTheme="majorHAnsi" w:hAnsiTheme="majorHAnsi" w:cstheme="majorHAnsi"/>
                <w:sz w:val="20"/>
              </w:rPr>
            </w:pPr>
            <w:r w:rsidRPr="007E15F6">
              <w:rPr>
                <w:rFonts w:asciiTheme="majorHAnsi" w:hAnsiTheme="majorHAnsi" w:cstheme="majorHAnsi"/>
                <w:noProof/>
                <w:sz w:val="20"/>
              </w:rPr>
              <w:t>(Lalive &amp; Zweimüller, 2009)</w:t>
            </w:r>
          </w:p>
        </w:tc>
      </w:tr>
      <w:tr w:rsidR="00EB588E" w:rsidRPr="00040112" w14:paraId="5C3F6978" w14:textId="77777777" w:rsidTr="003C3693">
        <w:tc>
          <w:tcPr>
            <w:tcW w:w="1553" w:type="dxa"/>
            <w:vMerge/>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5A88F715" w14:textId="77777777" w:rsidR="00EB588E" w:rsidRPr="00040112" w:rsidRDefault="00EB588E" w:rsidP="003C3693">
            <w:pPr>
              <w:rPr>
                <w:rFonts w:ascii="Tw Cen MT Condensed" w:hAnsi="Tw Cen MT Condensed" w:cstheme="majorHAnsi"/>
                <w:caps/>
                <w:sz w:val="20"/>
              </w:rPr>
            </w:pPr>
          </w:p>
        </w:tc>
        <w:tc>
          <w:tcPr>
            <w:tcW w:w="5672" w:type="dxa"/>
            <w:vMerge/>
            <w:tcBorders>
              <w:top w:val="single" w:sz="6" w:space="0" w:color="ED7D31" w:themeColor="accent2"/>
              <w:left w:val="single" w:sz="6" w:space="0" w:color="ED7D31" w:themeColor="accent2"/>
              <w:bottom w:val="single" w:sz="6" w:space="0" w:color="ED7D31" w:themeColor="accent2"/>
              <w:right w:val="single" w:sz="6" w:space="0" w:color="ED7D31" w:themeColor="accent2"/>
            </w:tcBorders>
            <w:vAlign w:val="center"/>
          </w:tcPr>
          <w:p w14:paraId="537BC329" w14:textId="77777777" w:rsidR="00EB588E" w:rsidRPr="00040112" w:rsidRDefault="00EB588E" w:rsidP="003C3693">
            <w:pPr>
              <w:rPr>
                <w:rFonts w:asciiTheme="majorHAnsi" w:hAnsiTheme="majorHAnsi" w:cstheme="majorHAnsi"/>
                <w:sz w:val="20"/>
              </w:rPr>
            </w:pP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4DFAD043"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Duration-specific second and third birth probabilities and progression rates</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2A148869"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Increase in second and third-birth rates at intervals 21-26 months after the previous birth. No lasting effect on overall progression rates. </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70C1F776" w14:textId="6E49B108" w:rsidR="00EB588E" w:rsidRPr="00040112" w:rsidRDefault="00EB652E" w:rsidP="003C3693">
            <w:pPr>
              <w:rPr>
                <w:rFonts w:asciiTheme="majorHAnsi" w:hAnsiTheme="majorHAnsi" w:cstheme="majorHAnsi"/>
                <w:sz w:val="20"/>
              </w:rPr>
            </w:pPr>
            <w:r w:rsidRPr="007E15F6">
              <w:rPr>
                <w:rFonts w:asciiTheme="majorHAnsi" w:hAnsiTheme="majorHAnsi" w:cstheme="majorHAnsi"/>
                <w:noProof/>
                <w:sz w:val="20"/>
              </w:rPr>
              <w:t>(Št'astná &amp; Sobotka, 2009)</w:t>
            </w:r>
          </w:p>
        </w:tc>
      </w:tr>
      <w:tr w:rsidR="00EB588E" w:rsidRPr="00040112" w14:paraId="174D45AD" w14:textId="77777777" w:rsidTr="003C3693">
        <w:tc>
          <w:tcPr>
            <w:tcW w:w="1553" w:type="dxa"/>
            <w:vMerge/>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07BE0753" w14:textId="77777777" w:rsidR="00EB588E" w:rsidRPr="00040112" w:rsidRDefault="00EB588E" w:rsidP="003C3693">
            <w:pPr>
              <w:rPr>
                <w:rFonts w:ascii="Tw Cen MT Condensed" w:hAnsi="Tw Cen MT Condensed" w:cstheme="majorHAnsi"/>
                <w:caps/>
                <w:sz w:val="20"/>
              </w:rPr>
            </w:pPr>
          </w:p>
        </w:tc>
        <w:tc>
          <w:tcPr>
            <w:tcW w:w="5672" w:type="dxa"/>
            <w:vMerge/>
            <w:tcBorders>
              <w:top w:val="single" w:sz="6" w:space="0" w:color="ED7D31" w:themeColor="accent2"/>
              <w:left w:val="single" w:sz="6" w:space="0" w:color="ED7D31" w:themeColor="accent2"/>
              <w:bottom w:val="single" w:sz="6" w:space="0" w:color="ED7D31" w:themeColor="accent2"/>
              <w:right w:val="single" w:sz="6" w:space="0" w:color="ED7D31" w:themeColor="accent2"/>
            </w:tcBorders>
            <w:vAlign w:val="center"/>
          </w:tcPr>
          <w:p w14:paraId="202BAFC1" w14:textId="77777777" w:rsidR="00EB588E" w:rsidRPr="00040112" w:rsidRDefault="00EB588E" w:rsidP="003C3693">
            <w:pPr>
              <w:rPr>
                <w:rFonts w:asciiTheme="majorHAnsi" w:hAnsiTheme="majorHAnsi" w:cstheme="majorHAnsi"/>
                <w:sz w:val="20"/>
              </w:rPr>
            </w:pP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47024638"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Second and third birth probabilities and progression rates</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3D4CBAA5"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 xml:space="preserve">No lasting increase in progression rate to second and third child. </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43A11FC9" w14:textId="6426ACF7" w:rsidR="00EB588E" w:rsidRPr="00040112" w:rsidRDefault="00EB652E" w:rsidP="003C3693">
            <w:pPr>
              <w:rPr>
                <w:rFonts w:asciiTheme="majorHAnsi" w:hAnsiTheme="majorHAnsi" w:cstheme="majorHAnsi"/>
                <w:sz w:val="20"/>
              </w:rPr>
            </w:pPr>
            <w:r>
              <w:rPr>
                <w:rFonts w:asciiTheme="majorHAnsi" w:hAnsiTheme="majorHAnsi" w:cstheme="majorHAnsi"/>
                <w:noProof/>
                <w:sz w:val="20"/>
              </w:rPr>
              <w:t>(</w:t>
            </w:r>
            <w:r w:rsidR="00EB588E">
              <w:rPr>
                <w:rFonts w:asciiTheme="majorHAnsi" w:hAnsiTheme="majorHAnsi" w:cstheme="majorHAnsi"/>
                <w:noProof/>
                <w:sz w:val="20"/>
              </w:rPr>
              <w:t xml:space="preserve">Prskawetz, </w:t>
            </w:r>
            <w:r w:rsidR="00EB588E" w:rsidRPr="00C83033">
              <w:rPr>
                <w:rFonts w:asciiTheme="majorHAnsi" w:hAnsiTheme="majorHAnsi" w:cstheme="majorHAnsi"/>
                <w:i/>
                <w:iCs/>
                <w:noProof/>
                <w:sz w:val="20"/>
              </w:rPr>
              <w:t>et al</w:t>
            </w:r>
            <w:r w:rsidR="00EB588E">
              <w:rPr>
                <w:rFonts w:asciiTheme="majorHAnsi" w:hAnsiTheme="majorHAnsi" w:cstheme="majorHAnsi"/>
                <w:noProof/>
                <w:sz w:val="20"/>
              </w:rPr>
              <w:t>. 2008)</w:t>
            </w:r>
          </w:p>
        </w:tc>
      </w:tr>
      <w:tr w:rsidR="00EB588E" w:rsidRPr="00040112" w14:paraId="08514B2A" w14:textId="77777777" w:rsidTr="003C3693">
        <w:tc>
          <w:tcPr>
            <w:tcW w:w="1553" w:type="dxa"/>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0A76C7A8" w14:textId="77777777" w:rsidR="00EB588E" w:rsidRPr="00040112" w:rsidRDefault="00EB588E" w:rsidP="003C3693">
            <w:pPr>
              <w:rPr>
                <w:rFonts w:ascii="Tw Cen MT Condensed" w:hAnsi="Tw Cen MT Condensed"/>
                <w:caps/>
                <w:sz w:val="20"/>
              </w:rPr>
            </w:pPr>
            <w:r>
              <w:rPr>
                <w:rFonts w:ascii="Tw Cen MT Condensed" w:hAnsi="Tw Cen MT Condensed"/>
                <w:caps/>
                <w:sz w:val="20"/>
              </w:rPr>
              <w:t>SWEDEN</w:t>
            </w:r>
          </w:p>
        </w:tc>
        <w:tc>
          <w:tcPr>
            <w:tcW w:w="5672"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09D6284A" w14:textId="77777777" w:rsidR="00EB588E" w:rsidRPr="00446969" w:rsidRDefault="00EB588E" w:rsidP="003C3693">
            <w:pPr>
              <w:rPr>
                <w:rFonts w:asciiTheme="majorHAnsi" w:hAnsiTheme="majorHAnsi" w:cstheme="majorHAnsi"/>
                <w:sz w:val="20"/>
              </w:rPr>
            </w:pPr>
            <w:r w:rsidRPr="00446969">
              <w:rPr>
                <w:rFonts w:asciiTheme="majorHAnsi" w:hAnsiTheme="majorHAnsi" w:cstheme="majorHAnsi"/>
                <w:sz w:val="20"/>
              </w:rPr>
              <w:t xml:space="preserve">1980 reform allowing parents to keep an earlier (and often higher) level of income compensation during leave if a next child arrives within 24 months. </w:t>
            </w:r>
          </w:p>
          <w:p w14:paraId="77D45175" w14:textId="77777777" w:rsidR="00EB588E" w:rsidRPr="00040112" w:rsidRDefault="00EB588E" w:rsidP="003C3693">
            <w:pPr>
              <w:rPr>
                <w:rFonts w:asciiTheme="majorHAnsi" w:hAnsiTheme="majorHAnsi" w:cstheme="majorHAnsi"/>
                <w:sz w:val="20"/>
              </w:rPr>
            </w:pPr>
            <w:r w:rsidRPr="00446969">
              <w:rPr>
                <w:rFonts w:asciiTheme="majorHAnsi" w:hAnsiTheme="majorHAnsi" w:cstheme="majorHAnsi"/>
                <w:sz w:val="20"/>
              </w:rPr>
              <w:t xml:space="preserve">In 1986 the period was extended to 30 months </w:t>
            </w: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2745E6A6" w14:textId="77777777" w:rsidR="00EB588E" w:rsidRPr="00040112" w:rsidRDefault="00EB588E" w:rsidP="003C3693">
            <w:pPr>
              <w:rPr>
                <w:rFonts w:asciiTheme="majorHAnsi" w:hAnsiTheme="majorHAnsi" w:cstheme="majorHAnsi"/>
                <w:sz w:val="20"/>
              </w:rPr>
            </w:pPr>
            <w:r>
              <w:rPr>
                <w:rFonts w:asciiTheme="majorHAnsi" w:hAnsiTheme="majorHAnsi" w:cstheme="majorHAnsi"/>
                <w:sz w:val="20"/>
              </w:rPr>
              <w:t>Second and third birth probabilities</w:t>
            </w:r>
          </w:p>
        </w:tc>
        <w:tc>
          <w:tcPr>
            <w:tcW w:w="326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3FAE2C92" w14:textId="77777777" w:rsidR="00EB588E" w:rsidRPr="00040112" w:rsidRDefault="00EB588E" w:rsidP="003C3693">
            <w:pPr>
              <w:rPr>
                <w:rFonts w:asciiTheme="majorHAnsi" w:hAnsiTheme="majorHAnsi" w:cstheme="majorHAnsi"/>
                <w:sz w:val="20"/>
              </w:rPr>
            </w:pPr>
            <w:r>
              <w:rPr>
                <w:rFonts w:asciiTheme="majorHAnsi" w:hAnsiTheme="majorHAnsi" w:cstheme="majorHAnsi"/>
                <w:sz w:val="20"/>
              </w:rPr>
              <w:t>Increase in tempo of second and third births</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17F0B4B5" w14:textId="71A98715" w:rsidR="00EB588E" w:rsidRDefault="00EB652E" w:rsidP="003C3693">
            <w:pPr>
              <w:rPr>
                <w:rFonts w:asciiTheme="majorHAnsi" w:hAnsiTheme="majorHAnsi"/>
                <w:sz w:val="20"/>
              </w:rPr>
            </w:pPr>
            <w:r>
              <w:rPr>
                <w:rFonts w:asciiTheme="majorHAnsi" w:hAnsiTheme="majorHAnsi"/>
                <w:sz w:val="20"/>
              </w:rPr>
              <w:t>(</w:t>
            </w:r>
            <w:r w:rsidR="00EB588E">
              <w:rPr>
                <w:rFonts w:asciiTheme="majorHAnsi" w:hAnsiTheme="majorHAnsi"/>
                <w:sz w:val="20"/>
              </w:rPr>
              <w:t>Andersson 2002)</w:t>
            </w:r>
          </w:p>
        </w:tc>
      </w:tr>
      <w:tr w:rsidR="00EB588E" w:rsidRPr="00040112" w14:paraId="58C4EE9F" w14:textId="77777777" w:rsidTr="003C3693">
        <w:trPr>
          <w:trHeight w:val="1118"/>
        </w:trPr>
        <w:tc>
          <w:tcPr>
            <w:tcW w:w="1553" w:type="dxa"/>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31BD41B5" w14:textId="77777777" w:rsidR="00EB588E" w:rsidRPr="00040112" w:rsidRDefault="00EB588E" w:rsidP="003C3693">
            <w:pPr>
              <w:rPr>
                <w:rFonts w:ascii="Tw Cen MT Condensed" w:hAnsi="Tw Cen MT Condensed"/>
                <w:caps/>
                <w:sz w:val="20"/>
              </w:rPr>
            </w:pPr>
            <w:r w:rsidRPr="00040112">
              <w:rPr>
                <w:rFonts w:ascii="Tw Cen MT Condensed" w:hAnsi="Tw Cen MT Condensed"/>
                <w:caps/>
                <w:sz w:val="20"/>
              </w:rPr>
              <w:t>United States</w:t>
            </w:r>
          </w:p>
        </w:tc>
        <w:tc>
          <w:tcPr>
            <w:tcW w:w="5672"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448E801D" w14:textId="77777777" w:rsidR="00EB588E" w:rsidRPr="00040112" w:rsidRDefault="00EB588E" w:rsidP="003C3693">
            <w:pPr>
              <w:rPr>
                <w:rFonts w:asciiTheme="majorHAnsi" w:hAnsiTheme="majorHAnsi" w:cstheme="majorHAnsi"/>
                <w:sz w:val="20"/>
              </w:rPr>
            </w:pPr>
            <w:r w:rsidRPr="00040112">
              <w:rPr>
                <w:rFonts w:asciiTheme="majorHAnsi" w:hAnsiTheme="majorHAnsi" w:cstheme="majorHAnsi"/>
                <w:sz w:val="20"/>
              </w:rPr>
              <w:t>1993 introduction of 12 week unpaid job-protected leave (Family and Medical Leave Act)</w:t>
            </w:r>
          </w:p>
        </w:tc>
        <w:tc>
          <w:tcPr>
            <w:tcW w:w="2409" w:type="dxa"/>
            <w:tcBorders>
              <w:top w:val="single" w:sz="6" w:space="0" w:color="ED7D31" w:themeColor="accent2"/>
              <w:left w:val="single" w:sz="6" w:space="0" w:color="ED7D31" w:themeColor="accent2"/>
              <w:bottom w:val="single" w:sz="4" w:space="0" w:color="ED7D31" w:themeColor="accent2"/>
              <w:right w:val="single" w:sz="6" w:space="0" w:color="ED7D31" w:themeColor="accent2"/>
            </w:tcBorders>
          </w:tcPr>
          <w:p w14:paraId="29D5BDB1" w14:textId="77777777" w:rsidR="00EB588E" w:rsidRPr="00040112" w:rsidRDefault="00EB588E" w:rsidP="003C3693">
            <w:pPr>
              <w:rPr>
                <w:rFonts w:asciiTheme="majorHAnsi" w:hAnsiTheme="majorHAnsi" w:cstheme="majorHAnsi"/>
                <w:sz w:val="20"/>
              </w:rPr>
            </w:pPr>
          </w:p>
          <w:p w14:paraId="07DAEB06" w14:textId="77777777" w:rsidR="00EB588E" w:rsidRPr="00040112" w:rsidRDefault="00EB588E" w:rsidP="003C3693">
            <w:pPr>
              <w:rPr>
                <w:rFonts w:asciiTheme="majorHAnsi" w:hAnsiTheme="majorHAnsi" w:cstheme="majorHAnsi"/>
                <w:sz w:val="20"/>
              </w:rPr>
            </w:pPr>
            <w:r w:rsidRPr="00BB3130">
              <w:rPr>
                <w:rFonts w:asciiTheme="majorHAnsi" w:hAnsiTheme="majorHAnsi" w:cstheme="majorHAnsi"/>
                <w:sz w:val="20"/>
              </w:rPr>
              <w:t xml:space="preserve">Probability of </w:t>
            </w:r>
            <w:r>
              <w:rPr>
                <w:rFonts w:asciiTheme="majorHAnsi" w:hAnsiTheme="majorHAnsi" w:cstheme="majorHAnsi"/>
                <w:sz w:val="20"/>
              </w:rPr>
              <w:t>first and second birth</w:t>
            </w:r>
          </w:p>
        </w:tc>
        <w:tc>
          <w:tcPr>
            <w:tcW w:w="3260" w:type="dxa"/>
            <w:tcBorders>
              <w:top w:val="single" w:sz="6" w:space="0" w:color="ED7D31" w:themeColor="accent2"/>
              <w:left w:val="single" w:sz="6" w:space="0" w:color="ED7D31" w:themeColor="accent2"/>
              <w:bottom w:val="single" w:sz="4" w:space="0" w:color="ED7D31" w:themeColor="accent2"/>
              <w:right w:val="single" w:sz="6" w:space="0" w:color="ED7D31" w:themeColor="accent2"/>
            </w:tcBorders>
          </w:tcPr>
          <w:p w14:paraId="7476EFBC" w14:textId="77777777" w:rsidR="00EB588E" w:rsidRPr="00040112" w:rsidRDefault="00EB588E" w:rsidP="003C3693">
            <w:pPr>
              <w:rPr>
                <w:rFonts w:asciiTheme="majorHAnsi" w:hAnsiTheme="majorHAnsi" w:cstheme="majorHAnsi"/>
                <w:sz w:val="20"/>
              </w:rPr>
            </w:pPr>
            <w:r w:rsidRPr="00BB3130">
              <w:rPr>
                <w:rFonts w:asciiTheme="majorHAnsi" w:hAnsiTheme="majorHAnsi" w:cstheme="majorHAnsi"/>
                <w:sz w:val="20"/>
              </w:rPr>
              <w:t>Increase in probability of first and second birth</w:t>
            </w:r>
            <w:r>
              <w:rPr>
                <w:rFonts w:asciiTheme="majorHAnsi" w:hAnsiTheme="majorHAnsi" w:cstheme="majorHAnsi"/>
                <w:sz w:val="20"/>
              </w:rPr>
              <w:t>- larger effect for first birth</w:t>
            </w:r>
            <w:r w:rsidRPr="00BB3130">
              <w:rPr>
                <w:rFonts w:asciiTheme="majorHAnsi" w:hAnsiTheme="majorHAnsi" w:cstheme="majorHAnsi"/>
                <w:sz w:val="20"/>
              </w:rPr>
              <w:t>. Positive effect on completed fertility, particularly for college-educated women.</w:t>
            </w:r>
            <w:r w:rsidRPr="00D74908">
              <w:t xml:space="preserve"> </w:t>
            </w:r>
          </w:p>
        </w:tc>
        <w:tc>
          <w:tcPr>
            <w:tcW w:w="1701" w:type="dxa"/>
            <w:tcBorders>
              <w:top w:val="single" w:sz="6" w:space="0" w:color="ED7D31" w:themeColor="accent2"/>
              <w:left w:val="single" w:sz="6" w:space="0" w:color="ED7D31" w:themeColor="accent2"/>
              <w:bottom w:val="single" w:sz="4" w:space="0" w:color="ED7D31" w:themeColor="accent2"/>
              <w:right w:val="single" w:sz="4" w:space="0" w:color="ED7D31" w:themeColor="accent2"/>
            </w:tcBorders>
          </w:tcPr>
          <w:p w14:paraId="11D80619" w14:textId="77777777" w:rsidR="00EB588E" w:rsidRPr="00BC5105" w:rsidRDefault="00EB588E" w:rsidP="003C3693">
            <w:pPr>
              <w:rPr>
                <w:rFonts w:asciiTheme="majorHAnsi" w:hAnsiTheme="majorHAnsi"/>
                <w:sz w:val="20"/>
              </w:rPr>
            </w:pPr>
          </w:p>
          <w:p w14:paraId="276E97DE" w14:textId="750DF091" w:rsidR="00EB588E" w:rsidRPr="00BC5105" w:rsidRDefault="00C83033" w:rsidP="003C3693">
            <w:pPr>
              <w:rPr>
                <w:rFonts w:asciiTheme="majorHAnsi" w:hAnsiTheme="majorHAnsi"/>
                <w:sz w:val="20"/>
              </w:rPr>
            </w:pPr>
            <w:r w:rsidRPr="007E15F6">
              <w:rPr>
                <w:rFonts w:asciiTheme="majorHAnsi" w:hAnsiTheme="majorHAnsi"/>
                <w:noProof/>
                <w:sz w:val="20"/>
              </w:rPr>
              <w:t>(Cannonier, 2014)</w:t>
            </w:r>
          </w:p>
        </w:tc>
      </w:tr>
    </w:tbl>
    <w:p w14:paraId="160334D6" w14:textId="77777777" w:rsidR="00EB588E" w:rsidRDefault="00EB588E" w:rsidP="00EB588E">
      <w:pPr>
        <w:pStyle w:val="Caption"/>
        <w:keepNext/>
        <w:spacing w:before="240" w:line="276" w:lineRule="auto"/>
      </w:pPr>
    </w:p>
    <w:p w14:paraId="140EBEE0" w14:textId="77777777" w:rsidR="00EB588E" w:rsidRDefault="00EB588E" w:rsidP="00EB588E"/>
    <w:p w14:paraId="14BD55A5" w14:textId="77777777" w:rsidR="00EB588E" w:rsidRDefault="00EB588E" w:rsidP="00EB588E"/>
    <w:p w14:paraId="3E8B4C3F" w14:textId="77777777" w:rsidR="00EB588E" w:rsidRDefault="00EB588E" w:rsidP="00EB588E"/>
    <w:p w14:paraId="00F8D44C" w14:textId="77777777" w:rsidR="00EB588E" w:rsidRDefault="00EB588E" w:rsidP="00EB588E"/>
    <w:p w14:paraId="64F51F0E" w14:textId="77777777" w:rsidR="00EB588E" w:rsidRPr="00446969" w:rsidRDefault="00EB588E" w:rsidP="00EB588E"/>
    <w:p w14:paraId="2AB545D0" w14:textId="77777777" w:rsidR="00EB588E" w:rsidRDefault="00EB588E" w:rsidP="00EB588E">
      <w:pPr>
        <w:spacing w:line="276" w:lineRule="auto"/>
        <w:sectPr w:rsidR="00EB588E" w:rsidSect="003C3693">
          <w:pgSz w:w="16838" w:h="11906" w:orient="landscape"/>
          <w:pgMar w:top="1440" w:right="1440" w:bottom="1440" w:left="1440" w:header="708" w:footer="708" w:gutter="0"/>
          <w:cols w:space="708"/>
          <w:docGrid w:linePitch="360"/>
        </w:sectPr>
      </w:pPr>
    </w:p>
    <w:p w14:paraId="3AC9FEDA" w14:textId="178A4C3F" w:rsidR="00F31FC5" w:rsidRPr="006C6E6D" w:rsidRDefault="00C35E45" w:rsidP="006C6E6D">
      <w:pPr>
        <w:spacing w:line="276" w:lineRule="auto"/>
        <w:jc w:val="both"/>
        <w:rPr>
          <w:bCs/>
          <w:i/>
          <w:iCs/>
        </w:rPr>
      </w:pPr>
      <w:r w:rsidRPr="006C6E6D">
        <w:rPr>
          <w:bCs/>
          <w:i/>
          <w:iCs/>
        </w:rPr>
        <w:lastRenderedPageBreak/>
        <w:t>Paternity leave</w:t>
      </w:r>
    </w:p>
    <w:p w14:paraId="2F9BDC50" w14:textId="27188586" w:rsidR="00C35E45" w:rsidRDefault="00C35E45" w:rsidP="00BC5105">
      <w:pPr>
        <w:spacing w:line="276" w:lineRule="auto"/>
      </w:pPr>
      <w:r>
        <w:t>Numerous studies from Sweden and Norway</w:t>
      </w:r>
      <w:r w:rsidR="003E5B77">
        <w:t xml:space="preserve"> and Iceland</w:t>
      </w:r>
      <w:r>
        <w:t xml:space="preserve"> show couples where the father took parental leave with the first child are mor</w:t>
      </w:r>
      <w:r w:rsidR="00E407D5">
        <w:t>e likely to have a second child</w:t>
      </w:r>
      <w:r w:rsidR="007E103D">
        <w:rPr>
          <w:noProof/>
        </w:rPr>
        <w:t xml:space="preserve"> (Olah, 2003; Duvander &amp; Andersson, 2006; Lappeg</w:t>
      </w:r>
      <w:r w:rsidR="007E103D">
        <w:rPr>
          <w:rFonts w:cstheme="minorHAnsi"/>
          <w:noProof/>
        </w:rPr>
        <w:t>å</w:t>
      </w:r>
      <w:r w:rsidR="007E103D">
        <w:rPr>
          <w:noProof/>
        </w:rPr>
        <w:t xml:space="preserve">rd, 2010; Duvander, </w:t>
      </w:r>
      <w:r w:rsidR="007E103D" w:rsidRPr="007E15F6">
        <w:rPr>
          <w:i/>
          <w:iCs/>
          <w:noProof/>
        </w:rPr>
        <w:t>et al</w:t>
      </w:r>
      <w:r w:rsidR="007E103D">
        <w:rPr>
          <w:noProof/>
        </w:rPr>
        <w:t>., 2019)</w:t>
      </w:r>
      <w:r w:rsidR="00EE7B83">
        <w:t>.</w:t>
      </w:r>
      <w:r w:rsidR="001E797C">
        <w:t xml:space="preserve"> These studies provide support for the idea that father’s leave taking encourages fertility. However, they do not take into account selection effects and therefore are not able to establish a causal relationship. It is possible that fathers who are more family-oriented and more likely to be inclined to have more children are also those more likely to take parental leave </w:t>
      </w:r>
      <w:r w:rsidR="007E103D">
        <w:rPr>
          <w:noProof/>
        </w:rPr>
        <w:t>(Duvander &amp; Andersson, 2006)</w:t>
      </w:r>
      <w:r w:rsidR="001E797C">
        <w:t xml:space="preserve">. </w:t>
      </w:r>
    </w:p>
    <w:p w14:paraId="36A99D10" w14:textId="139B79CB" w:rsidR="002C58E8" w:rsidRDefault="007339BA" w:rsidP="00C07C0C">
      <w:pPr>
        <w:spacing w:line="276" w:lineRule="auto"/>
        <w:jc w:val="both"/>
      </w:pPr>
      <w:r>
        <w:t>Only</w:t>
      </w:r>
      <w:r w:rsidR="0055384E">
        <w:t xml:space="preserve"> a</w:t>
      </w:r>
      <w:r>
        <w:t xml:space="preserve"> few s</w:t>
      </w:r>
      <w:r w:rsidR="00C07C0C">
        <w:t xml:space="preserve">tudies </w:t>
      </w:r>
      <w:r>
        <w:t xml:space="preserve">have dealt with these </w:t>
      </w:r>
      <w:r w:rsidR="00EE7B83">
        <w:t>endogeneity</w:t>
      </w:r>
      <w:r>
        <w:t xml:space="preserve"> issues by looking at the effect of specific reforms</w:t>
      </w:r>
      <w:r w:rsidR="00434E9A">
        <w:t>, as outline</w:t>
      </w:r>
      <w:r w:rsidR="0055384E">
        <w:t>d</w:t>
      </w:r>
      <w:r w:rsidR="00434E9A">
        <w:t xml:space="preserve"> in</w:t>
      </w:r>
      <w:r w:rsidR="0055384E">
        <w:t xml:space="preserve"> Table</w:t>
      </w:r>
      <w:r w:rsidR="007E103D">
        <w:t xml:space="preserve"> 16</w:t>
      </w:r>
      <w:r w:rsidR="00434E9A">
        <w:t>.</w:t>
      </w:r>
      <w:r w:rsidR="00EE7B83">
        <w:t xml:space="preserve"> The study by Duvander, </w:t>
      </w:r>
      <w:r w:rsidR="00EE7B83" w:rsidRPr="007E15F6">
        <w:rPr>
          <w:i/>
          <w:iCs/>
        </w:rPr>
        <w:t>et al</w:t>
      </w:r>
      <w:r w:rsidR="001E0F6C">
        <w:t>.</w:t>
      </w:r>
      <w:r w:rsidR="00EE7B83">
        <w:t xml:space="preserve"> (2020) examined what, if any, effect the introduction of </w:t>
      </w:r>
      <w:r w:rsidR="00F662F8">
        <w:t>4 week ‘</w:t>
      </w:r>
      <w:r w:rsidR="00EE7B83">
        <w:t>father quotas</w:t>
      </w:r>
      <w:r w:rsidR="00F662F8">
        <w:t>’</w:t>
      </w:r>
      <w:r w:rsidR="00EE7B83">
        <w:t xml:space="preserve"> had on the probability of couples having a second child </w:t>
      </w:r>
      <w:r w:rsidR="00F662F8">
        <w:t xml:space="preserve">and third child </w:t>
      </w:r>
      <w:r w:rsidR="00EE7B83">
        <w:t xml:space="preserve">in Norway and Sweden. Crucially while both Sweden and Norway introduced these quotas in the early 1990s, the authors note that at the time of their introduction </w:t>
      </w:r>
      <w:r w:rsidR="00F662F8">
        <w:t xml:space="preserve">in Sweden almost half of fathers had already been using some parental leave and therefore the reform was not radical. </w:t>
      </w:r>
      <w:r w:rsidR="00B11957">
        <w:t>Instead,</w:t>
      </w:r>
      <w:r w:rsidR="00F662F8">
        <w:t xml:space="preserve"> it seemed to have the effect of inducing fathers with lower education and lower income who had previously not been using parental leave to take it up. In </w:t>
      </w:r>
      <w:r w:rsidR="00B11957">
        <w:t>contrast</w:t>
      </w:r>
      <w:r w:rsidR="00F662F8">
        <w:t xml:space="preserve">, in Norway the reform was more radical from a social perspective as Norwegian fathers at the time had low uptake of parental leave. </w:t>
      </w:r>
      <w:r w:rsidR="00B11957">
        <w:t>Thus,</w:t>
      </w:r>
      <w:r w:rsidR="00F662F8">
        <w:t xml:space="preserve"> in Norway, after the reform, it was the ‘forerunners’ who started using the leave. This points to the importance of understanding the social setting at the introduction of a reform, as a similar reform can have different effects in different social settings. They found that the reform did not influence fertility in Norway, which is substantiated by another study of the same reform in Norway by Cools, </w:t>
      </w:r>
      <w:r w:rsidR="00B95174" w:rsidRPr="00B95174">
        <w:rPr>
          <w:i/>
        </w:rPr>
        <w:t>et al.,</w:t>
      </w:r>
      <w:r w:rsidR="00F662F8">
        <w:t xml:space="preserve"> (2015). However, in Sweden the introduction of a father quota led to a temporary rise in third birth risks among lower income couples in Sweden. </w:t>
      </w:r>
    </w:p>
    <w:p w14:paraId="2F242827" w14:textId="5504788C" w:rsidR="00C07C0C" w:rsidRDefault="00F662F8" w:rsidP="00C07C0C">
      <w:pPr>
        <w:spacing w:line="276" w:lineRule="auto"/>
        <w:jc w:val="both"/>
      </w:pPr>
      <w:r>
        <w:t xml:space="preserve">In Norway, a further extension of the father quota in </w:t>
      </w:r>
      <w:r w:rsidR="00C07C0C">
        <w:t xml:space="preserve">2009 </w:t>
      </w:r>
      <w:r>
        <w:t xml:space="preserve">from </w:t>
      </w:r>
      <w:r w:rsidR="00C07C0C">
        <w:t xml:space="preserve">6 to 10 weeks also had no effect on subsequent fertility in the next 5 years </w:t>
      </w:r>
      <w:r w:rsidR="001E0F6C">
        <w:rPr>
          <w:noProof/>
        </w:rPr>
        <w:t xml:space="preserve">(Hart, </w:t>
      </w:r>
      <w:r w:rsidR="001E0F6C" w:rsidRPr="007E15F6">
        <w:rPr>
          <w:i/>
          <w:iCs/>
          <w:noProof/>
        </w:rPr>
        <w:t>et al</w:t>
      </w:r>
      <w:r w:rsidR="001E0F6C">
        <w:rPr>
          <w:noProof/>
        </w:rPr>
        <w:t>. 2019)</w:t>
      </w:r>
      <w:r w:rsidR="00C07C0C">
        <w:t xml:space="preserve">. In contrast, in Spain the 2007 introduction of paid paternity leave led to a delay in subsequent fertility with eligible couples less likely to have a child within the next six years. The authors suggest that possible reasons could be that fathers' increasing involvement in </w:t>
      </w:r>
      <w:r w:rsidR="009F7190">
        <w:t>child care</w:t>
      </w:r>
      <w:r w:rsidR="00C07C0C">
        <w:t xml:space="preserve"> led to higher labour force attachment among mothers which may have raised the opportunity cost of an additional child. In addition, men reported lower desired fertility after the reform, possibly due to their increased awareness of the costs of childrearing, or to a shift in preferences to invest more in each existing child </w:t>
      </w:r>
      <w:r w:rsidR="007E103D">
        <w:rPr>
          <w:noProof/>
        </w:rPr>
        <w:t>(Farré &amp; González, 2019)</w:t>
      </w:r>
      <w:r w:rsidR="00C07C0C">
        <w:t>.</w:t>
      </w:r>
    </w:p>
    <w:p w14:paraId="2270FF8B" w14:textId="77777777" w:rsidR="00B23788" w:rsidRDefault="00B23788">
      <w:pPr>
        <w:rPr>
          <w:i/>
          <w:iCs/>
          <w:color w:val="44546A" w:themeColor="text2"/>
          <w:sz w:val="18"/>
          <w:szCs w:val="18"/>
        </w:rPr>
      </w:pPr>
      <w:r>
        <w:br w:type="page"/>
      </w:r>
    </w:p>
    <w:p w14:paraId="144C7325" w14:textId="7A1339C8" w:rsidR="00434E9A" w:rsidRDefault="00434E9A" w:rsidP="00434E9A">
      <w:pPr>
        <w:pStyle w:val="Caption"/>
        <w:keepNext/>
        <w:spacing w:before="240" w:line="276" w:lineRule="auto"/>
      </w:pPr>
      <w:r>
        <w:lastRenderedPageBreak/>
        <w:t xml:space="preserve">Table </w:t>
      </w:r>
      <w:bookmarkStart w:id="104" w:name="_Ref81052339"/>
      <w:r>
        <w:fldChar w:fldCharType="begin"/>
      </w:r>
      <w:r>
        <w:instrText xml:space="preserve"> SEQ Table \* ARABIC </w:instrText>
      </w:r>
      <w:r>
        <w:fldChar w:fldCharType="separate"/>
      </w:r>
      <w:r w:rsidR="00115E22">
        <w:rPr>
          <w:noProof/>
        </w:rPr>
        <w:t>16</w:t>
      </w:r>
      <w:r>
        <w:rPr>
          <w:noProof/>
        </w:rPr>
        <w:fldChar w:fldCharType="end"/>
      </w:r>
      <w:bookmarkEnd w:id="104"/>
      <w:r>
        <w:t xml:space="preserve"> Studies on paternity</w:t>
      </w:r>
      <w:bookmarkStart w:id="105" w:name="_Ref81052287"/>
      <w:r>
        <w:t xml:space="preserve"> leave reforms and fertility</w:t>
      </w:r>
      <w:bookmarkEnd w:id="105"/>
    </w:p>
    <w:tbl>
      <w:tblPr>
        <w:tblStyle w:val="TableGrid"/>
        <w:tblW w:w="9350" w:type="dxa"/>
        <w:tblLook w:val="04A0" w:firstRow="1" w:lastRow="0" w:firstColumn="1" w:lastColumn="0" w:noHBand="0" w:noVBand="1"/>
      </w:tblPr>
      <w:tblGrid>
        <w:gridCol w:w="1229"/>
        <w:gridCol w:w="2310"/>
        <w:gridCol w:w="2409"/>
        <w:gridCol w:w="1701"/>
        <w:gridCol w:w="1701"/>
      </w:tblGrid>
      <w:tr w:rsidR="00434E9A" w:rsidRPr="00040112" w14:paraId="7B24BFF4" w14:textId="77777777" w:rsidTr="006C6E6D">
        <w:tc>
          <w:tcPr>
            <w:tcW w:w="1229" w:type="dxa"/>
            <w:tcBorders>
              <w:top w:val="single" w:sz="4" w:space="0" w:color="ED7D31" w:themeColor="accent2"/>
              <w:left w:val="single" w:sz="4" w:space="0" w:color="ED7D31" w:themeColor="accent2"/>
              <w:bottom w:val="single" w:sz="6" w:space="0" w:color="ED7D31" w:themeColor="accent2"/>
              <w:right w:val="single" w:sz="6" w:space="0" w:color="ED7D31" w:themeColor="accent2"/>
            </w:tcBorders>
            <w:shd w:val="clear" w:color="auto" w:fill="FBE4D5" w:themeFill="accent2" w:themeFillTint="33"/>
          </w:tcPr>
          <w:p w14:paraId="53EA199F" w14:textId="77777777" w:rsidR="00434E9A" w:rsidRPr="00040112" w:rsidRDefault="00434E9A" w:rsidP="003C3693">
            <w:pPr>
              <w:rPr>
                <w:rFonts w:ascii="Tw Cen MT Condensed" w:hAnsi="Tw Cen MT Condensed"/>
                <w:sz w:val="20"/>
              </w:rPr>
            </w:pPr>
            <w:r w:rsidRPr="00040112">
              <w:rPr>
                <w:rFonts w:ascii="Tw Cen MT Condensed" w:hAnsi="Tw Cen MT Condensed"/>
                <w:sz w:val="20"/>
              </w:rPr>
              <w:t>Country</w:t>
            </w:r>
          </w:p>
        </w:tc>
        <w:tc>
          <w:tcPr>
            <w:tcW w:w="2310"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56E5D807" w14:textId="77777777" w:rsidR="00434E9A" w:rsidRPr="00040112" w:rsidRDefault="00434E9A" w:rsidP="003C3693">
            <w:pPr>
              <w:rPr>
                <w:rFonts w:ascii="Tw Cen MT Condensed" w:hAnsi="Tw Cen MT Condensed"/>
                <w:sz w:val="20"/>
              </w:rPr>
            </w:pPr>
            <w:r w:rsidRPr="00040112">
              <w:rPr>
                <w:rFonts w:ascii="Tw Cen MT Condensed" w:hAnsi="Tw Cen MT Condensed"/>
                <w:sz w:val="20"/>
              </w:rPr>
              <w:t>Policy change</w:t>
            </w:r>
          </w:p>
        </w:tc>
        <w:tc>
          <w:tcPr>
            <w:tcW w:w="2409"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4A9D7AA1" w14:textId="77777777" w:rsidR="00434E9A" w:rsidRPr="00040112" w:rsidRDefault="00434E9A" w:rsidP="003C3693">
            <w:pPr>
              <w:rPr>
                <w:rFonts w:ascii="Tw Cen MT Condensed" w:hAnsi="Tw Cen MT Condensed"/>
                <w:sz w:val="20"/>
              </w:rPr>
            </w:pPr>
            <w:r w:rsidRPr="00040112">
              <w:rPr>
                <w:rFonts w:ascii="Tw Cen MT Condensed" w:hAnsi="Tw Cen MT Condensed"/>
                <w:sz w:val="20"/>
              </w:rPr>
              <w:t>Fertility outcome</w:t>
            </w:r>
          </w:p>
        </w:tc>
        <w:tc>
          <w:tcPr>
            <w:tcW w:w="1701" w:type="dxa"/>
            <w:tcBorders>
              <w:top w:val="single" w:sz="4" w:space="0" w:color="ED7D31" w:themeColor="accent2"/>
              <w:left w:val="single" w:sz="6" w:space="0" w:color="ED7D31" w:themeColor="accent2"/>
              <w:bottom w:val="single" w:sz="6" w:space="0" w:color="ED7D31" w:themeColor="accent2"/>
              <w:right w:val="single" w:sz="6" w:space="0" w:color="ED7D31" w:themeColor="accent2"/>
            </w:tcBorders>
            <w:shd w:val="clear" w:color="auto" w:fill="FBE4D5" w:themeFill="accent2" w:themeFillTint="33"/>
          </w:tcPr>
          <w:p w14:paraId="16765685" w14:textId="77777777" w:rsidR="00434E9A" w:rsidRPr="00040112" w:rsidRDefault="00434E9A" w:rsidP="003C3693">
            <w:pPr>
              <w:rPr>
                <w:rFonts w:ascii="Tw Cen MT Condensed" w:hAnsi="Tw Cen MT Condensed"/>
                <w:sz w:val="20"/>
              </w:rPr>
            </w:pPr>
            <w:r w:rsidRPr="00040112">
              <w:rPr>
                <w:rFonts w:ascii="Tw Cen MT Condensed" w:hAnsi="Tw Cen MT Condensed"/>
                <w:sz w:val="20"/>
              </w:rPr>
              <w:t xml:space="preserve">Impact on fertility </w:t>
            </w:r>
          </w:p>
        </w:tc>
        <w:tc>
          <w:tcPr>
            <w:tcW w:w="1701" w:type="dxa"/>
            <w:tcBorders>
              <w:top w:val="single" w:sz="4" w:space="0" w:color="ED7D31" w:themeColor="accent2"/>
              <w:left w:val="single" w:sz="6" w:space="0" w:color="ED7D31" w:themeColor="accent2"/>
              <w:bottom w:val="single" w:sz="6" w:space="0" w:color="ED7D31" w:themeColor="accent2"/>
              <w:right w:val="single" w:sz="4" w:space="0" w:color="ED7D31" w:themeColor="accent2"/>
            </w:tcBorders>
            <w:shd w:val="clear" w:color="auto" w:fill="FBE4D5" w:themeFill="accent2" w:themeFillTint="33"/>
          </w:tcPr>
          <w:p w14:paraId="54E1F299" w14:textId="77777777" w:rsidR="00434E9A" w:rsidRPr="00040112" w:rsidRDefault="00434E9A" w:rsidP="003C3693">
            <w:pPr>
              <w:rPr>
                <w:rFonts w:ascii="Tw Cen MT Condensed" w:hAnsi="Tw Cen MT Condensed"/>
                <w:sz w:val="20"/>
              </w:rPr>
            </w:pPr>
            <w:r w:rsidRPr="00040112">
              <w:rPr>
                <w:rFonts w:ascii="Tw Cen MT Condensed" w:hAnsi="Tw Cen MT Condensed"/>
                <w:sz w:val="20"/>
              </w:rPr>
              <w:t>Study</w:t>
            </w:r>
          </w:p>
        </w:tc>
      </w:tr>
      <w:tr w:rsidR="00434E9A" w:rsidRPr="00040112" w14:paraId="0565B9C3" w14:textId="77777777" w:rsidTr="006C6E6D">
        <w:tc>
          <w:tcPr>
            <w:tcW w:w="1229" w:type="dxa"/>
            <w:tcBorders>
              <w:top w:val="single" w:sz="6" w:space="0" w:color="ED7D31" w:themeColor="accent2"/>
              <w:left w:val="single" w:sz="4" w:space="0" w:color="ED7D31" w:themeColor="accent2"/>
              <w:bottom w:val="single" w:sz="6" w:space="0" w:color="ED7D31" w:themeColor="accent2"/>
              <w:right w:val="single" w:sz="6" w:space="0" w:color="ED7D31" w:themeColor="accent2"/>
            </w:tcBorders>
            <w:vAlign w:val="center"/>
          </w:tcPr>
          <w:p w14:paraId="4BE4F4D1" w14:textId="77777777" w:rsidR="00434E9A" w:rsidRPr="00040112" w:rsidRDefault="00434E9A" w:rsidP="003C3693">
            <w:pPr>
              <w:rPr>
                <w:rFonts w:ascii="Tw Cen MT Condensed" w:hAnsi="Tw Cen MT Condensed" w:cstheme="majorHAnsi"/>
                <w:caps/>
                <w:sz w:val="20"/>
              </w:rPr>
            </w:pPr>
            <w:r w:rsidRPr="00040112">
              <w:rPr>
                <w:rFonts w:ascii="Tw Cen MT Condensed" w:hAnsi="Tw Cen MT Condensed" w:cstheme="majorHAnsi"/>
                <w:caps/>
                <w:sz w:val="20"/>
              </w:rPr>
              <w:t>Spain</w:t>
            </w:r>
          </w:p>
        </w:tc>
        <w:tc>
          <w:tcPr>
            <w:tcW w:w="2310"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vAlign w:val="center"/>
          </w:tcPr>
          <w:p w14:paraId="2990D576"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 xml:space="preserve">2007 introduction of paid paternity leave </w:t>
            </w:r>
          </w:p>
        </w:tc>
        <w:tc>
          <w:tcPr>
            <w:tcW w:w="2409"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3459DA0C"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Timing to next child</w:t>
            </w:r>
          </w:p>
        </w:tc>
        <w:tc>
          <w:tcPr>
            <w:tcW w:w="1701" w:type="dxa"/>
            <w:tcBorders>
              <w:top w:val="single" w:sz="6" w:space="0" w:color="ED7D31" w:themeColor="accent2"/>
              <w:left w:val="single" w:sz="6" w:space="0" w:color="ED7D31" w:themeColor="accent2"/>
              <w:bottom w:val="single" w:sz="6" w:space="0" w:color="ED7D31" w:themeColor="accent2"/>
              <w:right w:val="single" w:sz="6" w:space="0" w:color="ED7D31" w:themeColor="accent2"/>
            </w:tcBorders>
          </w:tcPr>
          <w:p w14:paraId="760ED174"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 xml:space="preserve">Delay in subsequent fertility </w:t>
            </w:r>
          </w:p>
        </w:tc>
        <w:tc>
          <w:tcPr>
            <w:tcW w:w="1701" w:type="dxa"/>
            <w:tcBorders>
              <w:top w:val="single" w:sz="6" w:space="0" w:color="ED7D31" w:themeColor="accent2"/>
              <w:left w:val="single" w:sz="6" w:space="0" w:color="ED7D31" w:themeColor="accent2"/>
              <w:bottom w:val="single" w:sz="6" w:space="0" w:color="ED7D31" w:themeColor="accent2"/>
              <w:right w:val="single" w:sz="4" w:space="0" w:color="ED7D31" w:themeColor="accent2"/>
            </w:tcBorders>
          </w:tcPr>
          <w:p w14:paraId="318639D7" w14:textId="307C294C" w:rsidR="00434E9A" w:rsidRPr="00040112" w:rsidRDefault="00C83033" w:rsidP="003C3693">
            <w:pPr>
              <w:rPr>
                <w:rFonts w:asciiTheme="majorHAnsi" w:hAnsiTheme="majorHAnsi" w:cstheme="majorHAnsi"/>
                <w:sz w:val="20"/>
              </w:rPr>
            </w:pPr>
            <w:r w:rsidRPr="007E15F6">
              <w:rPr>
                <w:rFonts w:asciiTheme="majorHAnsi" w:hAnsiTheme="majorHAnsi" w:cstheme="majorHAnsi"/>
                <w:noProof/>
                <w:sz w:val="20"/>
              </w:rPr>
              <w:t>(Farré &amp; González, 2019)</w:t>
            </w:r>
          </w:p>
        </w:tc>
      </w:tr>
      <w:tr w:rsidR="00B11957" w:rsidRPr="00040112" w14:paraId="79DE063B" w14:textId="77777777" w:rsidTr="00B11957">
        <w:tc>
          <w:tcPr>
            <w:tcW w:w="1229" w:type="dxa"/>
            <w:vMerge w:val="restart"/>
            <w:tcBorders>
              <w:top w:val="single" w:sz="6" w:space="0" w:color="ED7D31" w:themeColor="accent2"/>
              <w:left w:val="single" w:sz="4" w:space="0" w:color="ED7D31" w:themeColor="accent2"/>
              <w:bottom w:val="single" w:sz="4" w:space="0" w:color="ED7D31" w:themeColor="accent2"/>
              <w:right w:val="single" w:sz="4" w:space="0" w:color="ED7D31" w:themeColor="accent2"/>
            </w:tcBorders>
            <w:vAlign w:val="center"/>
          </w:tcPr>
          <w:p w14:paraId="2A941A59" w14:textId="77777777" w:rsidR="00434E9A" w:rsidRPr="00040112" w:rsidRDefault="00434E9A" w:rsidP="003C3693">
            <w:pPr>
              <w:rPr>
                <w:rFonts w:ascii="Tw Cen MT Condensed" w:hAnsi="Tw Cen MT Condensed" w:cstheme="majorHAnsi"/>
                <w:caps/>
                <w:sz w:val="20"/>
              </w:rPr>
            </w:pPr>
            <w:r w:rsidRPr="00040112">
              <w:rPr>
                <w:rFonts w:ascii="Tw Cen MT Condensed" w:hAnsi="Tw Cen MT Condensed" w:cstheme="majorHAnsi"/>
                <w:caps/>
                <w:sz w:val="20"/>
              </w:rPr>
              <w:t>Norway</w:t>
            </w:r>
          </w:p>
        </w:tc>
        <w:tc>
          <w:tcPr>
            <w:tcW w:w="2310" w:type="dxa"/>
            <w:vMerge w:val="restart"/>
            <w:tcBorders>
              <w:top w:val="single" w:sz="6" w:space="0" w:color="ED7D31" w:themeColor="accent2"/>
              <w:left w:val="single" w:sz="4" w:space="0" w:color="ED7D31" w:themeColor="accent2"/>
              <w:bottom w:val="single" w:sz="4" w:space="0" w:color="ED7D31" w:themeColor="accent2"/>
              <w:right w:val="single" w:sz="4" w:space="0" w:color="ED7D31" w:themeColor="accent2"/>
            </w:tcBorders>
          </w:tcPr>
          <w:p w14:paraId="0EC39E21"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1993 introduction of 4 week ‘father quota’ in the parental leave scheme</w:t>
            </w:r>
          </w:p>
        </w:tc>
        <w:tc>
          <w:tcPr>
            <w:tcW w:w="2409" w:type="dxa"/>
            <w:tcBorders>
              <w:top w:val="single" w:sz="6" w:space="0" w:color="ED7D31" w:themeColor="accent2"/>
              <w:left w:val="single" w:sz="4" w:space="0" w:color="ED7D31" w:themeColor="accent2"/>
              <w:bottom w:val="single" w:sz="4" w:space="0" w:color="ED7D31" w:themeColor="accent2"/>
              <w:right w:val="single" w:sz="6" w:space="0" w:color="ED7D31" w:themeColor="accent2"/>
            </w:tcBorders>
          </w:tcPr>
          <w:p w14:paraId="01960AA5"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 xml:space="preserve">Probability of subsequent children and completed fertility </w:t>
            </w:r>
          </w:p>
        </w:tc>
        <w:tc>
          <w:tcPr>
            <w:tcW w:w="1701" w:type="dxa"/>
            <w:tcBorders>
              <w:top w:val="single" w:sz="6" w:space="0" w:color="ED7D31" w:themeColor="accent2"/>
              <w:left w:val="single" w:sz="6" w:space="0" w:color="ED7D31" w:themeColor="accent2"/>
              <w:bottom w:val="single" w:sz="4" w:space="0" w:color="ED7D31" w:themeColor="accent2"/>
              <w:right w:val="single" w:sz="6" w:space="0" w:color="ED7D31" w:themeColor="accent2"/>
            </w:tcBorders>
          </w:tcPr>
          <w:p w14:paraId="74230752"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No effect</w:t>
            </w:r>
          </w:p>
        </w:tc>
        <w:tc>
          <w:tcPr>
            <w:tcW w:w="1701" w:type="dxa"/>
            <w:tcBorders>
              <w:top w:val="single" w:sz="6" w:space="0" w:color="ED7D31" w:themeColor="accent2"/>
              <w:left w:val="single" w:sz="6" w:space="0" w:color="ED7D31" w:themeColor="accent2"/>
              <w:bottom w:val="single" w:sz="4" w:space="0" w:color="ED7D31" w:themeColor="accent2"/>
              <w:right w:val="single" w:sz="4" w:space="0" w:color="ED7D31" w:themeColor="accent2"/>
            </w:tcBorders>
          </w:tcPr>
          <w:p w14:paraId="7EDCDB82" w14:textId="68BC1565" w:rsidR="00434E9A" w:rsidRPr="005223E9" w:rsidRDefault="00EB652E" w:rsidP="003C3693">
            <w:pPr>
              <w:ind w:right="20"/>
              <w:rPr>
                <w:rFonts w:asciiTheme="majorHAnsi" w:hAnsiTheme="majorHAnsi" w:cstheme="majorHAnsi"/>
                <w:sz w:val="20"/>
              </w:rPr>
            </w:pPr>
            <w:r w:rsidRPr="007E15F6">
              <w:rPr>
                <w:rFonts w:asciiTheme="majorHAnsi" w:hAnsiTheme="majorHAnsi" w:cstheme="majorHAnsi"/>
                <w:noProof/>
                <w:sz w:val="20"/>
              </w:rPr>
              <w:t xml:space="preserve">(Cools, </w:t>
            </w:r>
            <w:r w:rsidRPr="008D688B">
              <w:rPr>
                <w:rFonts w:asciiTheme="majorHAnsi" w:hAnsiTheme="majorHAnsi" w:cstheme="majorHAnsi"/>
                <w:i/>
                <w:iCs/>
                <w:noProof/>
                <w:sz w:val="20"/>
              </w:rPr>
              <w:t>et al.,</w:t>
            </w:r>
            <w:r w:rsidRPr="007E15F6">
              <w:rPr>
                <w:rFonts w:asciiTheme="majorHAnsi" w:hAnsiTheme="majorHAnsi" w:cstheme="majorHAnsi"/>
                <w:noProof/>
                <w:sz w:val="20"/>
              </w:rPr>
              <w:t xml:space="preserve"> 2015)</w:t>
            </w:r>
          </w:p>
        </w:tc>
      </w:tr>
      <w:tr w:rsidR="00B11957" w:rsidRPr="00040112" w14:paraId="709E7E9C" w14:textId="77777777" w:rsidTr="00EB652E">
        <w:trPr>
          <w:trHeight w:val="567"/>
        </w:trPr>
        <w:tc>
          <w:tcPr>
            <w:tcW w:w="1229" w:type="dxa"/>
            <w:vMerge/>
            <w:tcBorders>
              <w:top w:val="single" w:sz="4" w:space="0" w:color="ED7D31" w:themeColor="accent2"/>
              <w:left w:val="single" w:sz="4" w:space="0" w:color="ED7D31" w:themeColor="accent2"/>
              <w:right w:val="single" w:sz="4" w:space="0" w:color="ED7D31" w:themeColor="accent2"/>
            </w:tcBorders>
            <w:vAlign w:val="center"/>
          </w:tcPr>
          <w:p w14:paraId="55A1F6F3" w14:textId="77777777" w:rsidR="00434E9A" w:rsidRPr="00040112" w:rsidRDefault="00434E9A" w:rsidP="003C3693">
            <w:pPr>
              <w:rPr>
                <w:rFonts w:ascii="Tw Cen MT Condensed" w:hAnsi="Tw Cen MT Condensed" w:cstheme="majorHAnsi"/>
                <w:caps/>
                <w:sz w:val="20"/>
              </w:rPr>
            </w:pPr>
          </w:p>
        </w:tc>
        <w:tc>
          <w:tcPr>
            <w:tcW w:w="2310"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18BA94F" w14:textId="77777777" w:rsidR="00434E9A" w:rsidRPr="00040112" w:rsidRDefault="00434E9A" w:rsidP="003C3693">
            <w:pPr>
              <w:rPr>
                <w:rFonts w:asciiTheme="majorHAnsi" w:hAnsiTheme="majorHAnsi" w:cstheme="majorHAnsi"/>
                <w:sz w:val="20"/>
              </w:rPr>
            </w:pP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5EB1E28" w14:textId="77777777" w:rsidR="00434E9A" w:rsidRPr="00040112" w:rsidRDefault="00434E9A" w:rsidP="003C3693">
            <w:pPr>
              <w:rPr>
                <w:rFonts w:asciiTheme="majorHAnsi" w:hAnsiTheme="majorHAnsi" w:cstheme="majorHAnsi"/>
                <w:sz w:val="20"/>
              </w:rPr>
            </w:pPr>
            <w:r>
              <w:rPr>
                <w:rFonts w:asciiTheme="majorHAnsi" w:hAnsiTheme="majorHAnsi" w:cstheme="majorHAnsi"/>
                <w:sz w:val="20"/>
              </w:rPr>
              <w:t>Probability of second and third births</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7F0B1EF" w14:textId="77777777" w:rsidR="00434E9A" w:rsidRPr="00040112" w:rsidRDefault="00434E9A" w:rsidP="003C3693">
            <w:pPr>
              <w:rPr>
                <w:rFonts w:asciiTheme="majorHAnsi" w:hAnsiTheme="majorHAnsi" w:cstheme="majorHAnsi"/>
                <w:sz w:val="20"/>
              </w:rPr>
            </w:pPr>
            <w:r>
              <w:rPr>
                <w:rFonts w:asciiTheme="majorHAnsi" w:hAnsiTheme="majorHAnsi" w:cstheme="majorHAnsi"/>
                <w:sz w:val="20"/>
              </w:rPr>
              <w:t xml:space="preserve">No effect </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7E6E9A6" w14:textId="5EF4BE80" w:rsidR="00434E9A" w:rsidRDefault="00EB652E" w:rsidP="003C3693">
            <w:pPr>
              <w:rPr>
                <w:rFonts w:asciiTheme="majorHAnsi" w:hAnsiTheme="majorHAnsi" w:cstheme="majorHAnsi"/>
                <w:sz w:val="20"/>
              </w:rPr>
            </w:pPr>
            <w:r w:rsidRPr="007E15F6">
              <w:rPr>
                <w:rFonts w:asciiTheme="majorHAnsi" w:hAnsiTheme="majorHAnsi" w:cstheme="majorHAnsi"/>
                <w:noProof/>
                <w:sz w:val="20"/>
              </w:rPr>
              <w:t xml:space="preserve">(Duvander, </w:t>
            </w:r>
            <w:r w:rsidRPr="008D688B">
              <w:rPr>
                <w:rFonts w:asciiTheme="majorHAnsi" w:hAnsiTheme="majorHAnsi" w:cstheme="majorHAnsi"/>
                <w:i/>
                <w:iCs/>
                <w:noProof/>
                <w:sz w:val="20"/>
              </w:rPr>
              <w:t>et al</w:t>
            </w:r>
            <w:r>
              <w:rPr>
                <w:rFonts w:asciiTheme="majorHAnsi" w:hAnsiTheme="majorHAnsi" w:cstheme="majorHAnsi"/>
                <w:noProof/>
                <w:sz w:val="20"/>
              </w:rPr>
              <w:t>.</w:t>
            </w:r>
            <w:r w:rsidRPr="007E15F6">
              <w:rPr>
                <w:rFonts w:asciiTheme="majorHAnsi" w:hAnsiTheme="majorHAnsi" w:cstheme="majorHAnsi"/>
                <w:noProof/>
                <w:sz w:val="20"/>
              </w:rPr>
              <w:t xml:space="preserve"> 2020)</w:t>
            </w:r>
          </w:p>
        </w:tc>
      </w:tr>
      <w:tr w:rsidR="00B11957" w:rsidRPr="00040112" w14:paraId="7FE3BE01" w14:textId="77777777" w:rsidTr="00EB652E">
        <w:tc>
          <w:tcPr>
            <w:tcW w:w="1229" w:type="dxa"/>
            <w:vMerge/>
            <w:tcBorders>
              <w:left w:val="single" w:sz="4" w:space="0" w:color="ED7D31" w:themeColor="accent2"/>
              <w:bottom w:val="single" w:sz="4" w:space="0" w:color="ED7D31" w:themeColor="accent2"/>
              <w:right w:val="single" w:sz="4" w:space="0" w:color="ED7D31" w:themeColor="accent2"/>
            </w:tcBorders>
            <w:vAlign w:val="center"/>
          </w:tcPr>
          <w:p w14:paraId="0B6C29E0" w14:textId="77777777" w:rsidR="00434E9A" w:rsidRPr="00040112" w:rsidRDefault="00434E9A" w:rsidP="003C3693">
            <w:pPr>
              <w:rPr>
                <w:rFonts w:ascii="Tw Cen MT Condensed" w:hAnsi="Tw Cen MT Condensed" w:cstheme="majorHAnsi"/>
                <w:caps/>
                <w:sz w:val="20"/>
              </w:rPr>
            </w:pPr>
          </w:p>
        </w:tc>
        <w:tc>
          <w:tcPr>
            <w:tcW w:w="231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F8F2BF3"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2009 extension of ‘father quota’ from 6 to 10 weeks</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295DE3F"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Probability of subsequent children</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A7BEFFB"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No effect within 5 years</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FB22289" w14:textId="06E40351" w:rsidR="00434E9A" w:rsidRPr="00040112" w:rsidRDefault="00EB652E" w:rsidP="003C3693">
            <w:pPr>
              <w:rPr>
                <w:rFonts w:asciiTheme="majorHAnsi" w:hAnsiTheme="majorHAnsi" w:cstheme="majorHAnsi"/>
                <w:sz w:val="20"/>
              </w:rPr>
            </w:pPr>
            <w:r w:rsidRPr="007E15F6">
              <w:rPr>
                <w:rFonts w:asciiTheme="majorHAnsi" w:hAnsiTheme="majorHAnsi" w:cstheme="majorHAnsi"/>
                <w:noProof/>
                <w:sz w:val="20"/>
              </w:rPr>
              <w:t xml:space="preserve">(Hart, </w:t>
            </w:r>
            <w:r w:rsidRPr="008D688B">
              <w:rPr>
                <w:rFonts w:asciiTheme="majorHAnsi" w:hAnsiTheme="majorHAnsi" w:cstheme="majorHAnsi"/>
                <w:i/>
                <w:iCs/>
                <w:noProof/>
                <w:sz w:val="20"/>
              </w:rPr>
              <w:t>et al.</w:t>
            </w:r>
            <w:r w:rsidRPr="007E15F6">
              <w:rPr>
                <w:rFonts w:asciiTheme="majorHAnsi" w:hAnsiTheme="majorHAnsi" w:cstheme="majorHAnsi"/>
                <w:noProof/>
                <w:sz w:val="20"/>
              </w:rPr>
              <w:t xml:space="preserve"> 2019)</w:t>
            </w:r>
          </w:p>
        </w:tc>
      </w:tr>
      <w:tr w:rsidR="00B11957" w:rsidRPr="00040112" w14:paraId="6964CE29" w14:textId="77777777" w:rsidTr="00B11957">
        <w:tc>
          <w:tcPr>
            <w:tcW w:w="122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EFD1D34" w14:textId="77777777" w:rsidR="00434E9A" w:rsidRPr="00BB3130" w:rsidRDefault="00434E9A" w:rsidP="003C3693">
            <w:pPr>
              <w:rPr>
                <w:sz w:val="20"/>
              </w:rPr>
            </w:pPr>
            <w:r>
              <w:rPr>
                <w:rFonts w:ascii="Tw Cen MT Condensed" w:hAnsi="Tw Cen MT Condensed" w:cstheme="majorHAnsi"/>
                <w:caps/>
                <w:sz w:val="20"/>
              </w:rPr>
              <w:t>SWEDEN</w:t>
            </w:r>
          </w:p>
        </w:tc>
        <w:tc>
          <w:tcPr>
            <w:tcW w:w="231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F564303" w14:textId="77777777" w:rsidR="00434E9A" w:rsidRPr="00040112" w:rsidRDefault="00434E9A" w:rsidP="003C3693">
            <w:pPr>
              <w:rPr>
                <w:rFonts w:asciiTheme="majorHAnsi" w:hAnsiTheme="majorHAnsi" w:cstheme="majorHAnsi"/>
                <w:sz w:val="20"/>
              </w:rPr>
            </w:pPr>
            <w:r>
              <w:rPr>
                <w:rFonts w:asciiTheme="majorHAnsi" w:hAnsiTheme="majorHAnsi" w:cstheme="majorHAnsi"/>
                <w:sz w:val="20"/>
              </w:rPr>
              <w:t>1995</w:t>
            </w:r>
            <w:r w:rsidRPr="00040112">
              <w:rPr>
                <w:rFonts w:asciiTheme="majorHAnsi" w:hAnsiTheme="majorHAnsi" w:cstheme="majorHAnsi"/>
                <w:sz w:val="20"/>
              </w:rPr>
              <w:t xml:space="preserve"> introduction of </w:t>
            </w:r>
            <w:r>
              <w:rPr>
                <w:rFonts w:asciiTheme="majorHAnsi" w:hAnsiTheme="majorHAnsi" w:cstheme="majorHAnsi"/>
                <w:sz w:val="20"/>
              </w:rPr>
              <w:t>4</w:t>
            </w:r>
            <w:r w:rsidRPr="00040112">
              <w:rPr>
                <w:rFonts w:asciiTheme="majorHAnsi" w:hAnsiTheme="majorHAnsi" w:cstheme="majorHAnsi"/>
                <w:sz w:val="20"/>
              </w:rPr>
              <w:t xml:space="preserve"> week </w:t>
            </w:r>
            <w:r>
              <w:rPr>
                <w:rFonts w:asciiTheme="majorHAnsi" w:hAnsiTheme="majorHAnsi" w:cstheme="majorHAnsi"/>
                <w:sz w:val="20"/>
              </w:rPr>
              <w:t>‘father quota’ in the parental</w:t>
            </w:r>
            <w:r w:rsidRPr="00040112">
              <w:rPr>
                <w:rFonts w:asciiTheme="majorHAnsi" w:hAnsiTheme="majorHAnsi" w:cstheme="majorHAnsi"/>
                <w:sz w:val="20"/>
              </w:rPr>
              <w:t xml:space="preserve"> leave </w:t>
            </w:r>
            <w:r>
              <w:rPr>
                <w:rFonts w:asciiTheme="majorHAnsi" w:hAnsiTheme="majorHAnsi" w:cstheme="majorHAnsi"/>
                <w:sz w:val="20"/>
              </w:rPr>
              <w:t>scheme</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B558BE1" w14:textId="77777777" w:rsidR="00434E9A" w:rsidRPr="00040112" w:rsidRDefault="00434E9A" w:rsidP="003C3693">
            <w:pPr>
              <w:rPr>
                <w:rFonts w:asciiTheme="majorHAnsi" w:hAnsiTheme="majorHAnsi" w:cstheme="majorHAnsi"/>
                <w:sz w:val="20"/>
              </w:rPr>
            </w:pPr>
            <w:r w:rsidRPr="00040112">
              <w:rPr>
                <w:rFonts w:asciiTheme="majorHAnsi" w:hAnsiTheme="majorHAnsi" w:cstheme="majorHAnsi"/>
                <w:sz w:val="20"/>
              </w:rPr>
              <w:t xml:space="preserve">Probability of </w:t>
            </w:r>
            <w:r>
              <w:rPr>
                <w:rFonts w:asciiTheme="majorHAnsi" w:hAnsiTheme="majorHAnsi" w:cstheme="majorHAnsi"/>
                <w:sz w:val="20"/>
              </w:rPr>
              <w:t>second and third births</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BE3FCA6" w14:textId="77777777" w:rsidR="00434E9A" w:rsidRPr="00040112" w:rsidRDefault="00434E9A" w:rsidP="003C3693">
            <w:pPr>
              <w:rPr>
                <w:rFonts w:asciiTheme="majorHAnsi" w:hAnsiTheme="majorHAnsi" w:cstheme="majorHAnsi"/>
                <w:sz w:val="20"/>
              </w:rPr>
            </w:pPr>
            <w:r>
              <w:rPr>
                <w:rFonts w:asciiTheme="majorHAnsi" w:hAnsiTheme="majorHAnsi" w:cstheme="majorHAnsi"/>
                <w:sz w:val="20"/>
              </w:rPr>
              <w:t>Temporary increase</w:t>
            </w:r>
            <w:r w:rsidRPr="00040112">
              <w:rPr>
                <w:rFonts w:asciiTheme="majorHAnsi" w:hAnsiTheme="majorHAnsi" w:cstheme="majorHAnsi"/>
                <w:sz w:val="20"/>
              </w:rPr>
              <w:t xml:space="preserve"> in probability of </w:t>
            </w:r>
            <w:r>
              <w:rPr>
                <w:rFonts w:asciiTheme="majorHAnsi" w:hAnsiTheme="majorHAnsi" w:cstheme="majorHAnsi"/>
                <w:sz w:val="20"/>
              </w:rPr>
              <w:t>third-births among lower income couples.</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46031D7" w14:textId="6E53F58F" w:rsidR="00434E9A" w:rsidRPr="00BC5105" w:rsidRDefault="00EB652E" w:rsidP="003C3693">
            <w:pPr>
              <w:rPr>
                <w:rFonts w:asciiTheme="majorHAnsi" w:hAnsiTheme="majorHAnsi"/>
                <w:sz w:val="20"/>
              </w:rPr>
            </w:pPr>
            <w:r w:rsidRPr="007E15F6">
              <w:rPr>
                <w:rFonts w:asciiTheme="majorHAnsi" w:hAnsiTheme="majorHAnsi"/>
                <w:noProof/>
                <w:sz w:val="20"/>
              </w:rPr>
              <w:t>(Duvander,</w:t>
            </w:r>
            <w:r>
              <w:rPr>
                <w:rFonts w:asciiTheme="majorHAnsi" w:hAnsiTheme="majorHAnsi"/>
                <w:noProof/>
                <w:sz w:val="20"/>
              </w:rPr>
              <w:t xml:space="preserve"> </w:t>
            </w:r>
            <w:r w:rsidRPr="008D688B">
              <w:rPr>
                <w:rFonts w:asciiTheme="majorHAnsi" w:hAnsiTheme="majorHAnsi"/>
                <w:i/>
                <w:iCs/>
                <w:noProof/>
                <w:sz w:val="20"/>
              </w:rPr>
              <w:t>et al.</w:t>
            </w:r>
            <w:r w:rsidRPr="007E15F6">
              <w:rPr>
                <w:rFonts w:asciiTheme="majorHAnsi" w:hAnsiTheme="majorHAnsi"/>
                <w:noProof/>
                <w:sz w:val="20"/>
              </w:rPr>
              <w:t xml:space="preserve"> 2020)</w:t>
            </w:r>
          </w:p>
        </w:tc>
      </w:tr>
    </w:tbl>
    <w:p w14:paraId="1748A1E9" w14:textId="77777777" w:rsidR="00434E9A" w:rsidRDefault="00434E9A" w:rsidP="00C07C0C">
      <w:pPr>
        <w:spacing w:line="276" w:lineRule="auto"/>
        <w:jc w:val="both"/>
      </w:pPr>
    </w:p>
    <w:p w14:paraId="040CEBBF" w14:textId="1521F3E6" w:rsidR="00F31FC5" w:rsidRPr="005A09E5" w:rsidRDefault="00924610" w:rsidP="00BC5105">
      <w:pPr>
        <w:pStyle w:val="Heading2"/>
        <w:spacing w:line="276" w:lineRule="auto"/>
      </w:pPr>
      <w:bookmarkStart w:id="106" w:name="_Toc75941847"/>
      <w:bookmarkStart w:id="107" w:name="_Toc75941848"/>
      <w:bookmarkStart w:id="108" w:name="_Toc75941849"/>
      <w:bookmarkStart w:id="109" w:name="_Toc87454623"/>
      <w:bookmarkStart w:id="110" w:name="_Toc98404970"/>
      <w:bookmarkEnd w:id="106"/>
      <w:bookmarkEnd w:id="107"/>
      <w:bookmarkEnd w:id="108"/>
      <w:r>
        <w:t>Conclusion</w:t>
      </w:r>
      <w:bookmarkEnd w:id="109"/>
      <w:bookmarkEnd w:id="110"/>
    </w:p>
    <w:p w14:paraId="7D9400D4" w14:textId="12964E99" w:rsidR="004048E6" w:rsidRDefault="00AC5F84" w:rsidP="00BC5105">
      <w:pPr>
        <w:spacing w:line="276" w:lineRule="auto"/>
        <w:jc w:val="both"/>
      </w:pPr>
      <w:r>
        <w:t xml:space="preserve">The high care needs of infants necessitate one or both parents taking some time out of work to care for the newborn. In countries, such as Australia, where the majority of couples work before the birth of the child having paid parental leave allows parents to have the security of </w:t>
      </w:r>
      <w:r w:rsidR="0055384E">
        <w:t>keeping</w:t>
      </w:r>
      <w:r>
        <w:t xml:space="preserve"> their job while they care for their newborn, and also partially compensates for lost income. For mothers, paid maternity leave is expected to have a positive effect on fertility as it allows women to have a child </w:t>
      </w:r>
      <w:r w:rsidR="00670FC0">
        <w:t xml:space="preserve">while mitigating lost income. For paternity leave, the effect on fertility is more theoretically ambiguous. If fathers become more involved in </w:t>
      </w:r>
      <w:r w:rsidR="009F7190">
        <w:t>child care</w:t>
      </w:r>
      <w:r w:rsidR="00670FC0">
        <w:t xml:space="preserve">, this could relieve some pressure on women and may also make fathers themselves more child-oriented and more likely to want children if they find it is a positive experience. On the other hand, the increased opportunity cost to fathers may instead reduce their fertility intentions. </w:t>
      </w:r>
      <w:r>
        <w:t xml:space="preserve">Australia introduced paid parental leave in 2011, and paid paternity leave in 2013 which is relatively late compared to other OECD countries. </w:t>
      </w:r>
      <w:r w:rsidR="00670FC0">
        <w:t>Uptake</w:t>
      </w:r>
      <w:r>
        <w:t xml:space="preserve"> of paid paternity leave</w:t>
      </w:r>
      <w:r w:rsidR="00670FC0">
        <w:t xml:space="preserve"> has been low, in part due to cultural barriers including stereotypes regarding men’s role as breadwinners. I</w:t>
      </w:r>
      <w:r w:rsidR="004048E6">
        <w:t xml:space="preserve">n line with the diversity and complexity of parental leave policies, the corresponding fertility effects </w:t>
      </w:r>
      <w:r w:rsidR="00D76C06">
        <w:t xml:space="preserve">found in the studies </w:t>
      </w:r>
      <w:r w:rsidR="00670FC0">
        <w:t xml:space="preserve">of reforms </w:t>
      </w:r>
      <w:r w:rsidR="004048E6">
        <w:t>are highly dependent on the population under scrutiny</w:t>
      </w:r>
      <w:r w:rsidR="00D76C06">
        <w:t xml:space="preserve"> </w:t>
      </w:r>
      <w:r w:rsidR="001E0F6C">
        <w:rPr>
          <w:noProof/>
        </w:rPr>
        <w:t xml:space="preserve">(Bergsvik, </w:t>
      </w:r>
      <w:r w:rsidR="001E0F6C" w:rsidRPr="007E15F6">
        <w:rPr>
          <w:i/>
          <w:iCs/>
          <w:noProof/>
        </w:rPr>
        <w:t>et al</w:t>
      </w:r>
      <w:r w:rsidR="001E0F6C">
        <w:rPr>
          <w:noProof/>
        </w:rPr>
        <w:t>. 2020)</w:t>
      </w:r>
      <w:r w:rsidR="004048E6">
        <w:t xml:space="preserve">. </w:t>
      </w:r>
      <w:r w:rsidR="00670FC0">
        <w:t xml:space="preserve">Overall reforms which have increased the generosity of parental leave have been accompanied by increased birth probabilities. Reforms which have increased the duration of leave, including with stipulations that the leave would continue at the birth of next child, appear to induce a ‘speed bonus’ leading to a shortening of intervals between births. </w:t>
      </w:r>
    </w:p>
    <w:p w14:paraId="4E21C794" w14:textId="70273949" w:rsidR="004048E6" w:rsidRDefault="00670FC0" w:rsidP="00BC5105">
      <w:pPr>
        <w:spacing w:line="276" w:lineRule="auto"/>
        <w:jc w:val="both"/>
      </w:pPr>
      <w:r>
        <w:t xml:space="preserve">Relatively few studies have specifically looked at paternity leave reforms, and the results from these are inconclusive and appear largely dependent on the social context in which they are introduced and the existing gender roles. </w:t>
      </w:r>
    </w:p>
    <w:p w14:paraId="00F259BA" w14:textId="77777777" w:rsidR="004048E6" w:rsidRDefault="004048E6" w:rsidP="00BC5105">
      <w:pPr>
        <w:spacing w:line="276" w:lineRule="auto"/>
      </w:pPr>
    </w:p>
    <w:p w14:paraId="300E9084" w14:textId="77777777" w:rsidR="001E6B32" w:rsidRDefault="001E6B32" w:rsidP="00BC5105">
      <w:pPr>
        <w:spacing w:line="276" w:lineRule="auto"/>
        <w:rPr>
          <w:rFonts w:asciiTheme="majorHAnsi" w:eastAsiaTheme="majorEastAsia" w:hAnsiTheme="majorHAnsi" w:cstheme="majorBidi"/>
          <w:color w:val="2E74B5" w:themeColor="accent1" w:themeShade="BF"/>
          <w:sz w:val="32"/>
          <w:szCs w:val="32"/>
          <w:lang w:val="en-US"/>
        </w:rPr>
      </w:pPr>
      <w:r>
        <w:br w:type="page"/>
      </w:r>
    </w:p>
    <w:p w14:paraId="45A60F47" w14:textId="02350F7D" w:rsidR="00F31FC5" w:rsidRDefault="009F7190" w:rsidP="00BC5105">
      <w:pPr>
        <w:pStyle w:val="Heading1"/>
        <w:spacing w:before="120" w:line="276" w:lineRule="auto"/>
        <w:ind w:left="431" w:hanging="431"/>
      </w:pPr>
      <w:bookmarkStart w:id="111" w:name="_Toc98404971"/>
      <w:r>
        <w:lastRenderedPageBreak/>
        <w:t>Child care</w:t>
      </w:r>
      <w:bookmarkEnd w:id="111"/>
    </w:p>
    <w:p w14:paraId="3F960CF4" w14:textId="5C109C48" w:rsidR="00A1335B" w:rsidRPr="006C6E6D" w:rsidRDefault="00A1335B" w:rsidP="005630F0">
      <w:pPr>
        <w:rPr>
          <w:b/>
          <w:bCs/>
          <w:lang w:val="en-US"/>
        </w:rPr>
      </w:pPr>
      <w:r w:rsidRPr="006C6E6D">
        <w:rPr>
          <w:b/>
          <w:bCs/>
          <w:lang w:val="en-US"/>
        </w:rPr>
        <w:t>Key points</w:t>
      </w:r>
    </w:p>
    <w:p w14:paraId="044864FB" w14:textId="3767A1A0" w:rsidR="00A1335B" w:rsidRDefault="009F7190" w:rsidP="00244248">
      <w:pPr>
        <w:pStyle w:val="ListParagraph"/>
        <w:numPr>
          <w:ilvl w:val="0"/>
          <w:numId w:val="23"/>
        </w:numPr>
        <w:rPr>
          <w:lang w:val="en-US"/>
        </w:rPr>
      </w:pPr>
      <w:r>
        <w:rPr>
          <w:lang w:val="en-US"/>
        </w:rPr>
        <w:t>Child care</w:t>
      </w:r>
      <w:r w:rsidR="00A1335B">
        <w:rPr>
          <w:lang w:val="en-US"/>
        </w:rPr>
        <w:t xml:space="preserve"> can theoretically have a positive effect on childbearing by increasing work-family compatibility</w:t>
      </w:r>
      <w:r w:rsidR="00760DC1">
        <w:rPr>
          <w:lang w:val="en-US"/>
        </w:rPr>
        <w:t>.</w:t>
      </w:r>
    </w:p>
    <w:p w14:paraId="46CF2DC3" w14:textId="7653B0E2" w:rsidR="00A1335B" w:rsidRDefault="00A1335B" w:rsidP="00244248">
      <w:pPr>
        <w:pStyle w:val="ListParagraph"/>
        <w:numPr>
          <w:ilvl w:val="0"/>
          <w:numId w:val="23"/>
        </w:numPr>
        <w:rPr>
          <w:lang w:val="en-US"/>
        </w:rPr>
      </w:pPr>
      <w:r>
        <w:rPr>
          <w:lang w:val="en-US"/>
        </w:rPr>
        <w:t xml:space="preserve">OECD countries vary widely in the provision of </w:t>
      </w:r>
      <w:r w:rsidR="009F7190">
        <w:rPr>
          <w:lang w:val="en-US"/>
        </w:rPr>
        <w:t>child care</w:t>
      </w:r>
      <w:r>
        <w:rPr>
          <w:lang w:val="en-US"/>
        </w:rPr>
        <w:t xml:space="preserve">, including whether </w:t>
      </w:r>
      <w:r w:rsidR="009F7190">
        <w:rPr>
          <w:lang w:val="en-US"/>
        </w:rPr>
        <w:t>child care</w:t>
      </w:r>
      <w:r>
        <w:rPr>
          <w:lang w:val="en-US"/>
        </w:rPr>
        <w:t xml:space="preserve"> is </w:t>
      </w:r>
      <w:r w:rsidR="00760DC1">
        <w:rPr>
          <w:lang w:val="en-US"/>
        </w:rPr>
        <w:t>publicly provided or market</w:t>
      </w:r>
      <w:r w:rsidR="009B6DA2">
        <w:rPr>
          <w:lang w:val="en-US"/>
        </w:rPr>
        <w:t>-</w:t>
      </w:r>
      <w:r w:rsidR="00760DC1">
        <w:rPr>
          <w:lang w:val="en-US"/>
        </w:rPr>
        <w:t>based, net costs to parents, enrolment rates, and whether it is designed as a separate or unitary model.</w:t>
      </w:r>
    </w:p>
    <w:p w14:paraId="780A8BB4" w14:textId="6E0956EA" w:rsidR="00760DC1" w:rsidRDefault="00760DC1" w:rsidP="00244248">
      <w:pPr>
        <w:pStyle w:val="ListParagraph"/>
        <w:numPr>
          <w:ilvl w:val="0"/>
          <w:numId w:val="23"/>
        </w:numPr>
        <w:rPr>
          <w:lang w:val="en-US"/>
        </w:rPr>
      </w:pPr>
      <w:r>
        <w:rPr>
          <w:lang w:val="en-US"/>
        </w:rPr>
        <w:t xml:space="preserve">In Australia, </w:t>
      </w:r>
      <w:r w:rsidR="009F7190">
        <w:rPr>
          <w:lang w:val="en-US"/>
        </w:rPr>
        <w:t>child care</w:t>
      </w:r>
      <w:r>
        <w:rPr>
          <w:lang w:val="en-US"/>
        </w:rPr>
        <w:t xml:space="preserve"> is primarily market based, and subsidized by the government through the </w:t>
      </w:r>
      <w:r w:rsidR="0054521C">
        <w:rPr>
          <w:lang w:val="en-US"/>
        </w:rPr>
        <w:t>Child Care Subsidy</w:t>
      </w:r>
      <w:r>
        <w:rPr>
          <w:lang w:val="en-US"/>
        </w:rPr>
        <w:t>.</w:t>
      </w:r>
    </w:p>
    <w:p w14:paraId="49BB062B" w14:textId="0FF252D1" w:rsidR="00760DC1" w:rsidRDefault="00760DC1" w:rsidP="00244248">
      <w:pPr>
        <w:pStyle w:val="ListParagraph"/>
        <w:numPr>
          <w:ilvl w:val="0"/>
          <w:numId w:val="23"/>
        </w:numPr>
        <w:rPr>
          <w:lang w:val="en-US"/>
        </w:rPr>
      </w:pPr>
      <w:r>
        <w:rPr>
          <w:lang w:val="en-US"/>
        </w:rPr>
        <w:t xml:space="preserve">However </w:t>
      </w:r>
      <w:r w:rsidR="009F7190">
        <w:rPr>
          <w:lang w:val="en-US"/>
        </w:rPr>
        <w:t>child care</w:t>
      </w:r>
      <w:r>
        <w:rPr>
          <w:lang w:val="en-US"/>
        </w:rPr>
        <w:t xml:space="preserve"> costs remain high for many parents, and are a disincentive to female labour force participation and possibly to childbearing.</w:t>
      </w:r>
    </w:p>
    <w:p w14:paraId="3D079194" w14:textId="1C48783B" w:rsidR="00760DC1" w:rsidRPr="004C71DD" w:rsidRDefault="00760DC1" w:rsidP="00244248">
      <w:pPr>
        <w:pStyle w:val="ListParagraph"/>
        <w:numPr>
          <w:ilvl w:val="0"/>
          <w:numId w:val="23"/>
        </w:numPr>
      </w:pPr>
      <w:r>
        <w:rPr>
          <w:lang w:val="en-US"/>
        </w:rPr>
        <w:t xml:space="preserve">Evidence from overseas suggests that increased </w:t>
      </w:r>
      <w:r w:rsidR="009F7190">
        <w:rPr>
          <w:lang w:val="en-US"/>
        </w:rPr>
        <w:t>child care</w:t>
      </w:r>
      <w:r>
        <w:rPr>
          <w:lang w:val="en-US"/>
        </w:rPr>
        <w:t xml:space="preserve"> provision has a positive effect on fertility, particularly for first births but also for higher order births.</w:t>
      </w:r>
    </w:p>
    <w:p w14:paraId="0EA4DECD" w14:textId="77777777" w:rsidR="00F31FC5" w:rsidRPr="00DC37CD" w:rsidRDefault="00F31FC5" w:rsidP="00BC5105">
      <w:pPr>
        <w:spacing w:after="0" w:line="276" w:lineRule="auto"/>
        <w:rPr>
          <w:sz w:val="16"/>
        </w:rPr>
      </w:pPr>
    </w:p>
    <w:p w14:paraId="6604274D" w14:textId="646FBA1F" w:rsidR="00F31FC5" w:rsidRPr="00283853" w:rsidRDefault="00F31FC5" w:rsidP="00BC5105">
      <w:pPr>
        <w:pStyle w:val="Heading2"/>
        <w:spacing w:before="0" w:line="276" w:lineRule="auto"/>
        <w:ind w:left="578" w:hanging="578"/>
      </w:pPr>
      <w:bookmarkStart w:id="112" w:name="_Toc87454625"/>
      <w:bookmarkStart w:id="113" w:name="_Toc98404972"/>
      <w:r w:rsidRPr="00283853">
        <w:t xml:space="preserve">Theoretical link between </w:t>
      </w:r>
      <w:r w:rsidR="009F7190">
        <w:t>child care</w:t>
      </w:r>
      <w:r w:rsidRPr="00283853">
        <w:t xml:space="preserve"> and fertility</w:t>
      </w:r>
      <w:bookmarkEnd w:id="112"/>
      <w:bookmarkEnd w:id="113"/>
      <w:r w:rsidRPr="00283853">
        <w:t xml:space="preserve"> </w:t>
      </w:r>
    </w:p>
    <w:p w14:paraId="5D85B722" w14:textId="79575C50" w:rsidR="00F31FC5" w:rsidRDefault="009F7190" w:rsidP="00BC5105">
      <w:pPr>
        <w:spacing w:after="140" w:line="276" w:lineRule="auto"/>
        <w:jc w:val="both"/>
      </w:pPr>
      <w:r>
        <w:t>Child care</w:t>
      </w:r>
      <w:r w:rsidR="00F31FC5">
        <w:t xml:space="preserve"> provision increases the compatibility of paid work and parenthood by reducing the high opportunity cost of parenting, including for</w:t>
      </w:r>
      <w:r w:rsidR="009B6DA2">
        <w:t>e</w:t>
      </w:r>
      <w:r w:rsidR="00F31FC5">
        <w:t xml:space="preserve">gone wages from being out of the labour force, as well as loss of skill development that could reduce wages upon re-entry </w:t>
      </w:r>
      <w:r w:rsidR="007E103D" w:rsidRPr="007E15F6">
        <w:rPr>
          <w:noProof/>
          <w:color w:val="000000"/>
          <w:shd w:val="clear" w:color="auto" w:fill="FFFFFF"/>
        </w:rPr>
        <w:t>(Rindfuss</w:t>
      </w:r>
      <w:r w:rsidR="007E103D">
        <w:rPr>
          <w:noProof/>
          <w:color w:val="000000"/>
          <w:shd w:val="clear" w:color="auto" w:fill="FFFFFF"/>
        </w:rPr>
        <w:t xml:space="preserve">, </w:t>
      </w:r>
      <w:r w:rsidR="007E103D" w:rsidRPr="007E15F6">
        <w:rPr>
          <w:i/>
          <w:iCs/>
          <w:noProof/>
          <w:color w:val="000000"/>
          <w:shd w:val="clear" w:color="auto" w:fill="FFFFFF"/>
        </w:rPr>
        <w:t>et al.,</w:t>
      </w:r>
      <w:r w:rsidR="007E103D" w:rsidRPr="007E15F6">
        <w:rPr>
          <w:noProof/>
          <w:color w:val="000000"/>
          <w:shd w:val="clear" w:color="auto" w:fill="FFFFFF"/>
        </w:rPr>
        <w:t xml:space="preserve"> 2010)</w:t>
      </w:r>
      <w:r w:rsidR="00F31FC5">
        <w:t xml:space="preserve">. </w:t>
      </w:r>
      <w:r w:rsidR="00D76C06">
        <w:t xml:space="preserve"> While it</w:t>
      </w:r>
      <w:r w:rsidR="00F31FC5">
        <w:t xml:space="preserve"> is possible that </w:t>
      </w:r>
      <w:r>
        <w:t>child care</w:t>
      </w:r>
      <w:r w:rsidR="00F31FC5">
        <w:t xml:space="preserve"> availability may induce some women to enter (or remain) in the labour market; and being in the labour market could lead to a reduction of their fertility</w:t>
      </w:r>
      <w:r w:rsidR="00D76C06">
        <w:t>;</w:t>
      </w:r>
      <w:r w:rsidR="00F31FC5">
        <w:t xml:space="preserve"> in countries where most women are already in the labour market, and where two incomes are seen as necessary for a good standard of living the overall effect on fertility should be to </w:t>
      </w:r>
      <w:r w:rsidR="00D76C06">
        <w:t>positive</w:t>
      </w:r>
      <w:r w:rsidR="00F31FC5">
        <w:t xml:space="preserve"> </w:t>
      </w:r>
      <w:r w:rsidR="007E103D">
        <w:rPr>
          <w:noProof/>
        </w:rPr>
        <w:t>(Baizán, 2009)</w:t>
      </w:r>
      <w:r w:rsidR="00F31FC5">
        <w:t xml:space="preserve">. </w:t>
      </w:r>
    </w:p>
    <w:p w14:paraId="4C51834E" w14:textId="103F32D5" w:rsidR="00F31FC5" w:rsidRPr="00283853" w:rsidRDefault="009F7190" w:rsidP="00BC5105">
      <w:pPr>
        <w:pStyle w:val="Heading2"/>
        <w:spacing w:line="276" w:lineRule="auto"/>
      </w:pPr>
      <w:bookmarkStart w:id="114" w:name="_Toc81572979"/>
      <w:bookmarkStart w:id="115" w:name="_Toc87454626"/>
      <w:bookmarkStart w:id="116" w:name="_Toc98404973"/>
      <w:bookmarkEnd w:id="114"/>
      <w:r>
        <w:t>Child care</w:t>
      </w:r>
      <w:r w:rsidR="00F31FC5" w:rsidRPr="00283853">
        <w:t xml:space="preserve"> across OECD countries</w:t>
      </w:r>
      <w:bookmarkEnd w:id="115"/>
      <w:bookmarkEnd w:id="116"/>
    </w:p>
    <w:p w14:paraId="5460BD90" w14:textId="54F441F9" w:rsidR="00F73AB4" w:rsidRDefault="006C0DB1" w:rsidP="00BC5105">
      <w:pPr>
        <w:spacing w:after="120" w:line="276" w:lineRule="auto"/>
        <w:jc w:val="both"/>
      </w:pPr>
      <w:r>
        <w:t xml:space="preserve">One of the main differences in </w:t>
      </w:r>
      <w:r w:rsidR="009F7190">
        <w:t>child care</w:t>
      </w:r>
      <w:r>
        <w:t xml:space="preserve"> provision across OECD countries is whether they rely primarily on public or </w:t>
      </w:r>
      <w:r w:rsidR="00F73AB4">
        <w:t xml:space="preserve">market operation. </w:t>
      </w:r>
      <w:r w:rsidR="008701B2">
        <w:t>Consistent with the social-democratic welfare state approach, most</w:t>
      </w:r>
      <w:r w:rsidR="00F31FC5">
        <w:t xml:space="preserve"> Nordic countries provide </w:t>
      </w:r>
      <w:r w:rsidR="00767377">
        <w:t>Early Childhood Education and Care (</w:t>
      </w:r>
      <w:r w:rsidR="00F31FC5">
        <w:t>ECEC</w:t>
      </w:r>
      <w:r w:rsidR="00767377">
        <w:t>)</w:t>
      </w:r>
      <w:r w:rsidR="00F31FC5">
        <w:t xml:space="preserve"> through large-scale publicly operated and/or publicly subsidised ECEC systems. Direct public provision of ECEC services provides authorities with discretion over the fees charged, but it can be expensive and the supply of places is dependent on the level and efficiency of public funding. France, for example, provides children with either free or low-cost public services, depending on age; however, in practice, there are frequently shortages in the supply of public places, especially in public crèche facilities for children under age three </w:t>
      </w:r>
      <w:r w:rsidR="007E103D">
        <w:rPr>
          <w:noProof/>
        </w:rPr>
        <w:t>(OECD, 2020a)</w:t>
      </w:r>
      <w:r w:rsidR="00F31FC5">
        <w:t xml:space="preserve">. </w:t>
      </w:r>
    </w:p>
    <w:p w14:paraId="5881C740" w14:textId="7E671B0D" w:rsidR="00F73AB4" w:rsidRDefault="00F73AB4" w:rsidP="00BC5105">
      <w:pPr>
        <w:spacing w:line="276" w:lineRule="auto"/>
        <w:jc w:val="both"/>
      </w:pPr>
      <w:r>
        <w:t>Other OECD countries, including Australia, Ireland, the United Kingdom and United States</w:t>
      </w:r>
      <w:r w:rsidR="00E95FC8">
        <w:t>, consist</w:t>
      </w:r>
      <w:r w:rsidR="008701B2">
        <w:t>ent</w:t>
      </w:r>
      <w:r w:rsidR="00E95FC8">
        <w:t xml:space="preserve"> with the liberal welfare state approach</w:t>
      </w:r>
      <w:r>
        <w:t xml:space="preserve">, rely much more on market based ECEC systems, with services provided mostly by a mix of for-profit and not-for-profit private facilities. Public </w:t>
      </w:r>
      <w:r w:rsidR="009F7190">
        <w:t>child care</w:t>
      </w:r>
      <w:r>
        <w:t xml:space="preserve"> support in these countries mostly consists of cash benefits or tax concessions for parents with children in non-parental care, often on an income-tested basis. Public provision or government subsidies to ECEC providers may coexist with a market-based provision but are typically restricted to services aimed at the most disadvantaged families only. Market-based ECEC systems are advantageous in that they can generally </w:t>
      </w:r>
      <w:r w:rsidR="00E95FC8">
        <w:t xml:space="preserve">react </w:t>
      </w:r>
      <w:r>
        <w:t xml:space="preserve">to increased demand </w:t>
      </w:r>
      <w:r w:rsidR="00E95FC8">
        <w:t>faster</w:t>
      </w:r>
      <w:r>
        <w:t>. However, the lack of government control of fees means that costs to parents tend to be higher.</w:t>
      </w:r>
      <w:r w:rsidR="00E95FC8">
        <w:t xml:space="preserve"> </w:t>
      </w:r>
      <w:r>
        <w:t xml:space="preserve">Without fee regulation by government and/or well-designed public benefits for </w:t>
      </w:r>
      <w:r w:rsidR="009F7190">
        <w:t>child care</w:t>
      </w:r>
      <w:r>
        <w:t xml:space="preserve"> users, net costs</w:t>
      </w:r>
      <w:r w:rsidR="0076582B">
        <w:t xml:space="preserve"> to parents</w:t>
      </w:r>
      <w:r>
        <w:t xml:space="preserve"> can be very high and there may be insufficient coverage in poorer, less profitable areas.</w:t>
      </w:r>
      <w:r w:rsidR="007E103D">
        <w:rPr>
          <w:noProof/>
        </w:rPr>
        <w:t xml:space="preserve"> (OECD, 2020a)</w:t>
      </w:r>
      <w:r w:rsidR="0076582B">
        <w:t>.</w:t>
      </w:r>
    </w:p>
    <w:p w14:paraId="4E0CBCFD" w14:textId="2B228AC6" w:rsidR="0076582B" w:rsidRDefault="0076582B" w:rsidP="00BC5105">
      <w:pPr>
        <w:spacing w:after="120" w:line="276" w:lineRule="auto"/>
        <w:jc w:val="both"/>
      </w:pPr>
      <w:r>
        <w:lastRenderedPageBreak/>
        <w:t xml:space="preserve">As seen in </w:t>
      </w:r>
      <w:r w:rsidR="00C83033">
        <w:t>Figure 19</w:t>
      </w:r>
      <w:r w:rsidR="00E06A28" w:rsidRPr="00261CC2">
        <w:t>,</w:t>
      </w:r>
      <w:r w:rsidR="00E06A28">
        <w:t xml:space="preserve"> </w:t>
      </w:r>
      <w:r>
        <w:t xml:space="preserve"> countries which rely on publicly operated/funded ECEC spend a large percentage of their GDP on ECEC compared to other countries. </w:t>
      </w:r>
      <w:r w:rsidR="00E06A28">
        <w:t>In 2015, the average public expenditure across OECD countries for child-care and pre-primary as a percentage of their GDP was 0.7</w:t>
      </w:r>
      <w:r w:rsidR="005630F0">
        <w:t>4</w:t>
      </w:r>
      <w:r w:rsidR="00E06A28">
        <w:t xml:space="preserve">%. The Nordic countries such as Iceland, Sweden, </w:t>
      </w:r>
      <w:r w:rsidR="005630F0">
        <w:t>Norway, Denmark and Finland spend over 1% of their GDP on ECEC. Spending is also relatively high in New Zealand, with most of it focused on pre-primary education or ‘early childhood education’ from ages 3 and above. In Australia, spending is slightly below the OECD average at 0.66% of GDP</w:t>
      </w:r>
      <w:r w:rsidR="005630F0">
        <w:rPr>
          <w:rStyle w:val="FootnoteReference"/>
        </w:rPr>
        <w:footnoteReference w:id="15"/>
      </w:r>
      <w:r w:rsidR="005630F0">
        <w:t xml:space="preserve"> , with a greater focus on </w:t>
      </w:r>
      <w:r w:rsidR="009F7190">
        <w:t>child care</w:t>
      </w:r>
      <w:r w:rsidR="005630F0">
        <w:t xml:space="preserve">. </w:t>
      </w:r>
    </w:p>
    <w:p w14:paraId="78376138" w14:textId="1AF6BDCA" w:rsidR="0076582B" w:rsidRPr="00261CC2" w:rsidRDefault="0076582B" w:rsidP="00BC5105">
      <w:pPr>
        <w:pStyle w:val="Caption"/>
        <w:keepNext/>
        <w:widowControl w:val="0"/>
        <w:spacing w:before="120" w:after="0" w:line="276" w:lineRule="auto"/>
      </w:pPr>
      <w:bookmarkStart w:id="117" w:name="_Ref81121975"/>
      <w:r w:rsidRPr="00261CC2">
        <w:t xml:space="preserve">Figure </w:t>
      </w:r>
      <w:fldSimple w:instr=" SEQ Figure \* ARABIC ">
        <w:r w:rsidR="00115E22">
          <w:rPr>
            <w:noProof/>
          </w:rPr>
          <w:t>19</w:t>
        </w:r>
      </w:fldSimple>
      <w:bookmarkEnd w:id="117"/>
      <w:r w:rsidRPr="00261CC2">
        <w:t xml:space="preserve"> </w:t>
      </w:r>
      <w:r w:rsidR="00501EB3" w:rsidRPr="00261CC2">
        <w:t xml:space="preserve">Public spending on </w:t>
      </w:r>
      <w:r w:rsidR="009F7190">
        <w:t>child care</w:t>
      </w:r>
      <w:r w:rsidR="00501EB3" w:rsidRPr="00261CC2">
        <w:t xml:space="preserve"> and pre-primary education, as p</w:t>
      </w:r>
      <w:r w:rsidRPr="00261CC2">
        <w:t>ercentage of GDP spent, selected OECD countries 2015</w:t>
      </w:r>
    </w:p>
    <w:p w14:paraId="366FABB2" w14:textId="77777777" w:rsidR="00E75473" w:rsidRDefault="00F46CED" w:rsidP="00BC5105">
      <w:pPr>
        <w:spacing w:after="120" w:line="276" w:lineRule="auto"/>
        <w:rPr>
          <w:sz w:val="18"/>
          <w:szCs w:val="18"/>
        </w:rPr>
      </w:pPr>
      <w:r w:rsidRPr="00F46CED">
        <w:rPr>
          <w:noProof/>
        </w:rPr>
        <w:t xml:space="preserve"> </w:t>
      </w:r>
      <w:r>
        <w:rPr>
          <w:noProof/>
          <w:lang w:eastAsia="en-AU"/>
        </w:rPr>
        <w:drawing>
          <wp:inline distT="0" distB="0" distL="0" distR="0" wp14:anchorId="1434149D" wp14:editId="33539369">
            <wp:extent cx="4724401" cy="2738438"/>
            <wp:effectExtent l="0" t="0" r="0" b="5080"/>
            <wp:docPr id="3" name="Chart 3">
              <a:extLst xmlns:a="http://schemas.openxmlformats.org/drawingml/2006/main">
                <a:ext uri="{FF2B5EF4-FFF2-40B4-BE49-F238E27FC236}">
                  <a16:creationId xmlns:a16="http://schemas.microsoft.com/office/drawing/2014/main" id="{1AF57E51-B325-4D3C-8ACA-7E53CD111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F73AB4">
        <w:rPr>
          <w:sz w:val="18"/>
          <w:szCs w:val="18"/>
        </w:rPr>
        <w:t xml:space="preserve"> </w:t>
      </w:r>
    </w:p>
    <w:p w14:paraId="05C53DB0" w14:textId="714A6AF8" w:rsidR="0076582B" w:rsidRDefault="0076582B" w:rsidP="00BC5105">
      <w:pPr>
        <w:spacing w:after="120" w:line="276" w:lineRule="auto"/>
      </w:pPr>
      <w:r w:rsidRPr="00F73AB4">
        <w:rPr>
          <w:sz w:val="18"/>
          <w:szCs w:val="18"/>
        </w:rPr>
        <w:t xml:space="preserve">Source: </w:t>
      </w:r>
      <w:r w:rsidR="00EB652E" w:rsidRPr="007E15F6">
        <w:rPr>
          <w:noProof/>
          <w:sz w:val="18"/>
          <w:szCs w:val="18"/>
        </w:rPr>
        <w:t>OECD</w:t>
      </w:r>
      <w:r w:rsidR="00E75473">
        <w:rPr>
          <w:noProof/>
          <w:sz w:val="18"/>
          <w:szCs w:val="18"/>
        </w:rPr>
        <w:t xml:space="preserve"> Family Database</w:t>
      </w:r>
      <w:r w:rsidR="00EB652E" w:rsidRPr="007E15F6">
        <w:rPr>
          <w:noProof/>
          <w:sz w:val="18"/>
          <w:szCs w:val="18"/>
        </w:rPr>
        <w:t>, 2021</w:t>
      </w:r>
      <w:r w:rsidR="00E06A28">
        <w:rPr>
          <w:sz w:val="18"/>
          <w:szCs w:val="18"/>
        </w:rPr>
        <w:t>, PF3.1.A</w:t>
      </w:r>
    </w:p>
    <w:p w14:paraId="35F30095" w14:textId="77777777" w:rsidR="005630F0" w:rsidRDefault="005630F0" w:rsidP="00BC5105">
      <w:pPr>
        <w:spacing w:line="276" w:lineRule="auto"/>
        <w:rPr>
          <w:bCs/>
          <w:i/>
        </w:rPr>
      </w:pPr>
    </w:p>
    <w:p w14:paraId="2E7913D7" w14:textId="2867ECC5" w:rsidR="00F31FC5" w:rsidRPr="007C1C69" w:rsidRDefault="00F31FC5" w:rsidP="00BC5105">
      <w:pPr>
        <w:spacing w:line="276" w:lineRule="auto"/>
        <w:rPr>
          <w:bCs/>
          <w:i/>
        </w:rPr>
      </w:pPr>
      <w:r w:rsidRPr="007C1C69">
        <w:rPr>
          <w:bCs/>
          <w:i/>
        </w:rPr>
        <w:t xml:space="preserve">Separate or unitary model </w:t>
      </w:r>
    </w:p>
    <w:p w14:paraId="75FAF246" w14:textId="228FD61A" w:rsidR="00F31FC5" w:rsidRDefault="00F31FC5" w:rsidP="00BC5105">
      <w:pPr>
        <w:spacing w:line="276" w:lineRule="auto"/>
        <w:jc w:val="both"/>
      </w:pPr>
      <w:r>
        <w:t xml:space="preserve">Another dimension on which countries vary is whether they have a unitary or split system for care and early childhood education. Prior to primary education, ECEC has two aspects with different objectives:  </w:t>
      </w:r>
    </w:p>
    <w:p w14:paraId="372D5919" w14:textId="1BF0DD58" w:rsidR="00F31FC5" w:rsidRDefault="00F31FC5" w:rsidP="00BC5105">
      <w:pPr>
        <w:spacing w:line="276" w:lineRule="auto"/>
        <w:jc w:val="both"/>
      </w:pPr>
      <w:r w:rsidRPr="00F73AB4">
        <w:rPr>
          <w:i/>
          <w:iCs/>
        </w:rPr>
        <w:t>Care</w:t>
      </w:r>
      <w:r>
        <w:t xml:space="preserve">: Mainly intended to enable parents to work while the child's safety and care </w:t>
      </w:r>
      <w:r w:rsidR="001F30A2">
        <w:t>are</w:t>
      </w:r>
      <w:r>
        <w:t xml:space="preserve"> ensured</w:t>
      </w:r>
      <w:r w:rsidR="00E95FC8">
        <w:t>.</w:t>
      </w:r>
    </w:p>
    <w:p w14:paraId="61BFDCB0" w14:textId="77777777" w:rsidR="00F31FC5" w:rsidRDefault="00F31FC5" w:rsidP="00BC5105">
      <w:pPr>
        <w:spacing w:line="276" w:lineRule="auto"/>
        <w:jc w:val="both"/>
      </w:pPr>
      <w:r w:rsidRPr="00F73AB4">
        <w:rPr>
          <w:i/>
          <w:iCs/>
        </w:rPr>
        <w:t>Early childhood education</w:t>
      </w:r>
      <w:r>
        <w:t xml:space="preserve">: services with an intentional educational component to support child development and prepare for primary education. </w:t>
      </w:r>
    </w:p>
    <w:p w14:paraId="18822627" w14:textId="321CAF42" w:rsidR="00F31FC5" w:rsidRDefault="00A1335B" w:rsidP="00BC5105">
      <w:pPr>
        <w:spacing w:line="276" w:lineRule="auto"/>
        <w:jc w:val="both"/>
      </w:pPr>
      <w:r w:rsidRPr="00760EE4">
        <w:t xml:space="preserve">In split systems, the services for 0–3-year-old (day care) and 3–6-year-old (pre-school) children are delivered and managed in a different way, by different authorities. On the other hand, unitary systems harmonise the services and resources for both age groups and are managed by a single authority. </w:t>
      </w:r>
      <w:r w:rsidR="00C83033">
        <w:rPr>
          <w:noProof/>
        </w:rPr>
        <w:t>(European Commission, 2019)</w:t>
      </w:r>
      <w:r>
        <w:t xml:space="preserve">. </w:t>
      </w:r>
      <w:r w:rsidR="00F31FC5">
        <w:t xml:space="preserve">Historically, </w:t>
      </w:r>
      <w:r w:rsidR="009F7190">
        <w:t>child care</w:t>
      </w:r>
      <w:r w:rsidR="00F31FC5">
        <w:t xml:space="preserve"> was the focus for younger children whereas early childhood education was the approach for older children in the years preceding primary education. Currently, a unitary or integrated 'early childhood education and care' approach is </w:t>
      </w:r>
      <w:r w:rsidR="00F31FC5">
        <w:lastRenderedPageBreak/>
        <w:t xml:space="preserve">becoming more prominent with countries increasingly integrating their ECEC policies and regulations </w:t>
      </w:r>
      <w:sdt>
        <w:sdtPr>
          <w:id w:val="504862274"/>
          <w:citation/>
        </w:sdtPr>
        <w:sdtEndPr/>
        <w:sdtContent>
          <w:r w:rsidR="00F31FC5">
            <w:fldChar w:fldCharType="begin"/>
          </w:r>
          <w:r w:rsidR="00F31FC5">
            <w:instrText xml:space="preserve"> CITATION Eur19 \l 3081 </w:instrText>
          </w:r>
          <w:r w:rsidR="00F31FC5">
            <w:fldChar w:fldCharType="separate"/>
          </w:r>
          <w:r w:rsidR="00BE2DD4">
            <w:rPr>
              <w:noProof/>
            </w:rPr>
            <w:t>(European Commission, 2019)</w:t>
          </w:r>
          <w:r w:rsidR="00F31FC5">
            <w:fldChar w:fldCharType="end"/>
          </w:r>
        </w:sdtContent>
      </w:sdt>
      <w:r w:rsidR="00B350D7">
        <w:t xml:space="preserve">. </w:t>
      </w:r>
    </w:p>
    <w:p w14:paraId="41B946A3" w14:textId="77777777" w:rsidR="008A350F" w:rsidRDefault="008A350F" w:rsidP="00BC5105">
      <w:pPr>
        <w:spacing w:line="276" w:lineRule="auto"/>
        <w:jc w:val="both"/>
      </w:pPr>
    </w:p>
    <w:p w14:paraId="09474EE1" w14:textId="4171E50D" w:rsidR="008A350F" w:rsidRDefault="008A350F" w:rsidP="008A350F">
      <w:pPr>
        <w:pStyle w:val="Caption"/>
        <w:keepNext/>
      </w:pPr>
      <w:r>
        <w:t xml:space="preserve">Figure </w:t>
      </w:r>
      <w:fldSimple w:instr=" SEQ Figure \* ARABIC ">
        <w:r w:rsidR="00115E22">
          <w:rPr>
            <w:noProof/>
          </w:rPr>
          <w:t>20</w:t>
        </w:r>
      </w:fldSimple>
      <w:r>
        <w:t xml:space="preserve"> Illustration of separate and unitary ECEC systems</w:t>
      </w:r>
    </w:p>
    <w:p w14:paraId="12553533" w14:textId="603ADBC2" w:rsidR="0076582B" w:rsidRDefault="008A350F" w:rsidP="00BC5105">
      <w:pPr>
        <w:spacing w:line="276" w:lineRule="auto"/>
      </w:pPr>
      <w:r>
        <w:rPr>
          <w:noProof/>
          <w:lang w:eastAsia="en-AU"/>
        </w:rPr>
        <mc:AlternateContent>
          <mc:Choice Requires="wps">
            <w:drawing>
              <wp:anchor distT="0" distB="0" distL="114300" distR="114300" simplePos="0" relativeHeight="251658262" behindDoc="0" locked="0" layoutInCell="1" allowOverlap="1" wp14:anchorId="69E68E5C" wp14:editId="1CFC1464">
                <wp:simplePos x="0" y="0"/>
                <wp:positionH relativeFrom="column">
                  <wp:posOffset>4570730</wp:posOffset>
                </wp:positionH>
                <wp:positionV relativeFrom="paragraph">
                  <wp:posOffset>217805</wp:posOffset>
                </wp:positionV>
                <wp:extent cx="1442852" cy="599704"/>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1442852" cy="599704"/>
                        </a:xfrm>
                        <a:prstGeom prst="rect">
                          <a:avLst/>
                        </a:prstGeom>
                        <a:solidFill>
                          <a:schemeClr val="lt1"/>
                        </a:solidFill>
                        <a:ln w="6350">
                          <a:noFill/>
                        </a:ln>
                      </wps:spPr>
                      <wps:txbx>
                        <w:txbxContent>
                          <w:p w14:paraId="050D5FE8" w14:textId="77777777" w:rsidR="00C33FAA" w:rsidRPr="00CE33DA" w:rsidRDefault="00C33FAA" w:rsidP="0076582B">
                            <w:pPr>
                              <w:rPr>
                                <w:rFonts w:ascii="Tw Cen MT" w:hAnsi="Tw Cen MT"/>
                                <w:sz w:val="18"/>
                                <w:szCs w:val="18"/>
                              </w:rPr>
                            </w:pPr>
                            <w:r>
                              <w:rPr>
                                <w:rFonts w:ascii="Tw Cen MT" w:hAnsi="Tw Cen MT"/>
                                <w:sz w:val="18"/>
                                <w:szCs w:val="18"/>
                              </w:rPr>
                              <w:t xml:space="preserve">Australia, </w:t>
                            </w:r>
                            <w:r w:rsidRPr="00CE33DA">
                              <w:rPr>
                                <w:rFonts w:ascii="Tw Cen MT" w:hAnsi="Tw Cen MT"/>
                                <w:sz w:val="18"/>
                                <w:szCs w:val="18"/>
                              </w:rPr>
                              <w:t>France, Italy, Greece, Portugal, Netherlands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8E5C" id="Text Box 34" o:spid="_x0000_s1075" type="#_x0000_t202" style="position:absolute;margin-left:359.9pt;margin-top:17.15pt;width:113.6pt;height:47.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" fillcolor="white [3201]" stroked="f" strokeweight=".5pt">
                <v:textbox>
                  <w:txbxContent>
                    <w:p w14:paraId="050D5FE8" w14:textId="77777777" w:rsidR="00C33FAA" w:rsidRPr="00CE33DA" w:rsidRDefault="00C33FAA" w:rsidP="0076582B">
                      <w:pPr>
                        <w:rPr>
                          <w:rFonts w:ascii="Tw Cen MT" w:hAnsi="Tw Cen MT"/>
                          <w:sz w:val="18"/>
                          <w:szCs w:val="18"/>
                        </w:rPr>
                      </w:pPr>
                      <w:r>
                        <w:rPr>
                          <w:rFonts w:ascii="Tw Cen MT" w:hAnsi="Tw Cen MT"/>
                          <w:sz w:val="18"/>
                          <w:szCs w:val="18"/>
                        </w:rPr>
                        <w:t xml:space="preserve">Australia, </w:t>
                      </w:r>
                      <w:r w:rsidRPr="00CE33DA">
                        <w:rPr>
                          <w:rFonts w:ascii="Tw Cen MT" w:hAnsi="Tw Cen MT"/>
                          <w:sz w:val="18"/>
                          <w:szCs w:val="18"/>
                        </w:rPr>
                        <w:t>France, Italy, Greece, Portugal, Netherlands</w:t>
                      </w:r>
                    </w:p>
                  </w:txbxContent>
                </v:textbox>
              </v:shape>
            </w:pict>
          </mc:Fallback>
        </mc:AlternateContent>
      </w:r>
      <w:r>
        <w:rPr>
          <w:noProof/>
          <w:lang w:eastAsia="en-AU"/>
        </w:rPr>
        <mc:AlternateContent>
          <mc:Choice Requires="wps">
            <w:drawing>
              <wp:anchor distT="0" distB="0" distL="114300" distR="114300" simplePos="0" relativeHeight="251658261" behindDoc="0" locked="0" layoutInCell="1" allowOverlap="1" wp14:anchorId="3C88AF2F" wp14:editId="7F76AF96">
                <wp:simplePos x="0" y="0"/>
                <wp:positionH relativeFrom="column">
                  <wp:posOffset>4488815</wp:posOffset>
                </wp:positionH>
                <wp:positionV relativeFrom="paragraph">
                  <wp:posOffset>1006475</wp:posOffset>
                </wp:positionV>
                <wp:extent cx="1442852" cy="599704"/>
                <wp:effectExtent l="0" t="0" r="5080" b="0"/>
                <wp:wrapNone/>
                <wp:docPr id="39" name="Text Box 39"/>
                <wp:cNvGraphicFramePr/>
                <a:graphic xmlns:a="http://schemas.openxmlformats.org/drawingml/2006/main">
                  <a:graphicData uri="http://schemas.microsoft.com/office/word/2010/wordprocessingShape">
                    <wps:wsp>
                      <wps:cNvSpPr txBox="1"/>
                      <wps:spPr>
                        <a:xfrm>
                          <a:off x="0" y="0"/>
                          <a:ext cx="1442852" cy="599704"/>
                        </a:xfrm>
                        <a:prstGeom prst="rect">
                          <a:avLst/>
                        </a:prstGeom>
                        <a:solidFill>
                          <a:schemeClr val="lt1"/>
                        </a:solidFill>
                        <a:ln w="6350">
                          <a:noFill/>
                        </a:ln>
                      </wps:spPr>
                      <wps:txbx>
                        <w:txbxContent>
                          <w:p w14:paraId="3D2AE7DE" w14:textId="77777777" w:rsidR="00C33FAA" w:rsidRPr="00CE33DA" w:rsidRDefault="00C33FAA" w:rsidP="0076582B">
                            <w:pPr>
                              <w:rPr>
                                <w:rFonts w:ascii="Tw Cen MT" w:hAnsi="Tw Cen MT"/>
                                <w:sz w:val="18"/>
                                <w:szCs w:val="18"/>
                              </w:rPr>
                            </w:pPr>
                            <w:r w:rsidRPr="00CE33DA">
                              <w:rPr>
                                <w:rFonts w:ascii="Tw Cen MT" w:hAnsi="Tw Cen MT"/>
                                <w:sz w:val="18"/>
                                <w:szCs w:val="18"/>
                              </w:rPr>
                              <w:t>Sweden, Norway, Iceland, Finland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AF2F" id="Text Box 39" o:spid="_x0000_s1076" type="#_x0000_t202" style="position:absolute;margin-left:353.45pt;margin-top:79.25pt;width:113.6pt;height:47.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" fillcolor="white [3201]" stroked="f" strokeweight=".5pt">
                <v:textbox>
                  <w:txbxContent>
                    <w:p w14:paraId="3D2AE7DE" w14:textId="77777777" w:rsidR="00C33FAA" w:rsidRPr="00CE33DA" w:rsidRDefault="00C33FAA" w:rsidP="0076582B">
                      <w:pPr>
                        <w:rPr>
                          <w:rFonts w:ascii="Tw Cen MT" w:hAnsi="Tw Cen MT"/>
                          <w:sz w:val="18"/>
                          <w:szCs w:val="18"/>
                        </w:rPr>
                      </w:pPr>
                      <w:r w:rsidRPr="00CE33DA">
                        <w:rPr>
                          <w:rFonts w:ascii="Tw Cen MT" w:hAnsi="Tw Cen MT"/>
                          <w:sz w:val="18"/>
                          <w:szCs w:val="18"/>
                        </w:rPr>
                        <w:t>Sweden, Norway, Iceland, Finland</w:t>
                      </w:r>
                    </w:p>
                  </w:txbxContent>
                </v:textbox>
              </v:shape>
            </w:pict>
          </mc:Fallback>
        </mc:AlternateContent>
      </w:r>
      <w:r>
        <w:rPr>
          <w:noProof/>
          <w:lang w:eastAsia="en-AU"/>
        </w:rPr>
        <mc:AlternateContent>
          <mc:Choice Requires="wps">
            <w:drawing>
              <wp:anchor distT="45720" distB="45720" distL="114300" distR="114300" simplePos="0" relativeHeight="251658260" behindDoc="0" locked="0" layoutInCell="1" allowOverlap="1" wp14:anchorId="688F291D" wp14:editId="46E33938">
                <wp:simplePos x="0" y="0"/>
                <wp:positionH relativeFrom="column">
                  <wp:posOffset>2793365</wp:posOffset>
                </wp:positionH>
                <wp:positionV relativeFrom="paragraph">
                  <wp:posOffset>335280</wp:posOffset>
                </wp:positionV>
                <wp:extent cx="1270660" cy="308759"/>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60" cy="308759"/>
                        </a:xfrm>
                        <a:prstGeom prst="rect">
                          <a:avLst/>
                        </a:prstGeom>
                        <a:noFill/>
                        <a:ln w="9525">
                          <a:noFill/>
                          <a:miter lim="800000"/>
                          <a:headEnd/>
                          <a:tailEnd/>
                        </a:ln>
                      </wps:spPr>
                      <wps:txbx>
                        <w:txbxContent>
                          <w:p w14:paraId="5DDFA57B" w14:textId="77777777" w:rsidR="00C33FAA" w:rsidRPr="00CE33DA" w:rsidRDefault="00C33FAA" w:rsidP="0076582B">
                            <w:pPr>
                              <w:rPr>
                                <w:rFonts w:ascii="Tw Cen MT" w:hAnsi="Tw Cen MT"/>
                                <w:color w:val="000000" w:themeColor="text1"/>
                                <w:sz w:val="18"/>
                                <w:szCs w:val="18"/>
                              </w:rPr>
                            </w:pPr>
                            <w:r>
                              <w:rPr>
                                <w:rFonts w:ascii="Tw Cen MT" w:hAnsi="Tw Cen MT"/>
                                <w:color w:val="000000" w:themeColor="text1"/>
                                <w:sz w:val="18"/>
                                <w:szCs w:val="18"/>
                              </w:rPr>
                              <w:t>Education-type</w:t>
                            </w:r>
                            <w:r w:rsidRPr="00CE33DA">
                              <w:rPr>
                                <w:rFonts w:ascii="Tw Cen MT" w:hAnsi="Tw Cen MT"/>
                                <w:color w:val="000000" w:themeColor="text1"/>
                                <w:sz w:val="18"/>
                                <w:szCs w:val="18"/>
                              </w:rPr>
                              <w:t xml:space="preserve"> setting</w:t>
                            </w:r>
                          </w:p>
                          <w:p w14:paraId="67DC3D6B" w14:textId="77777777" w:rsidR="00C33FAA" w:rsidRPr="00CE33DA" w:rsidRDefault="00C33FAA" w:rsidP="0076582B">
                            <w:pPr>
                              <w:rPr>
                                <w:rFonts w:ascii="Tw Cen MT" w:hAnsi="Tw Cen MT"/>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91D" id="_x0000_s1077" type="#_x0000_t202" style="position:absolute;margin-left:219.95pt;margin-top:26.4pt;width:100.05pt;height:24.3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" filled="f" stroked="f">
                <v:textbox>
                  <w:txbxContent>
                    <w:p w14:paraId="5DDFA57B" w14:textId="77777777" w:rsidR="00C33FAA" w:rsidRPr="00CE33DA" w:rsidRDefault="00C33FAA" w:rsidP="0076582B">
                      <w:pPr>
                        <w:rPr>
                          <w:rFonts w:ascii="Tw Cen MT" w:hAnsi="Tw Cen MT"/>
                          <w:color w:val="000000" w:themeColor="text1"/>
                          <w:sz w:val="18"/>
                          <w:szCs w:val="18"/>
                        </w:rPr>
                      </w:pPr>
                      <w:r>
                        <w:rPr>
                          <w:rFonts w:ascii="Tw Cen MT" w:hAnsi="Tw Cen MT"/>
                          <w:color w:val="000000" w:themeColor="text1"/>
                          <w:sz w:val="18"/>
                          <w:szCs w:val="18"/>
                        </w:rPr>
                        <w:t>Education-type</w:t>
                      </w:r>
                      <w:r w:rsidRPr="00CE33DA">
                        <w:rPr>
                          <w:rFonts w:ascii="Tw Cen MT" w:hAnsi="Tw Cen MT"/>
                          <w:color w:val="000000" w:themeColor="text1"/>
                          <w:sz w:val="18"/>
                          <w:szCs w:val="18"/>
                        </w:rPr>
                        <w:t xml:space="preserve"> setting</w:t>
                      </w:r>
                    </w:p>
                    <w:p w14:paraId="67DC3D6B" w14:textId="77777777" w:rsidR="00C33FAA" w:rsidRPr="00CE33DA" w:rsidRDefault="00C33FAA" w:rsidP="0076582B">
                      <w:pPr>
                        <w:rPr>
                          <w:rFonts w:ascii="Tw Cen MT" w:hAnsi="Tw Cen MT"/>
                          <w:color w:val="000000" w:themeColor="text1"/>
                          <w:sz w:val="18"/>
                          <w:szCs w:val="18"/>
                        </w:rPr>
                      </w:pPr>
                    </w:p>
                  </w:txbxContent>
                </v:textbox>
              </v:shape>
            </w:pict>
          </mc:Fallback>
        </mc:AlternateContent>
      </w:r>
      <w:r>
        <w:rPr>
          <w:noProof/>
          <w:lang w:eastAsia="en-AU"/>
        </w:rPr>
        <mc:AlternateContent>
          <mc:Choice Requires="wps">
            <w:drawing>
              <wp:anchor distT="45720" distB="45720" distL="114300" distR="114300" simplePos="0" relativeHeight="251658259" behindDoc="0" locked="0" layoutInCell="1" allowOverlap="1" wp14:anchorId="63AB3369" wp14:editId="2584A799">
                <wp:simplePos x="0" y="0"/>
                <wp:positionH relativeFrom="column">
                  <wp:posOffset>1240155</wp:posOffset>
                </wp:positionH>
                <wp:positionV relativeFrom="paragraph">
                  <wp:posOffset>337820</wp:posOffset>
                </wp:positionV>
                <wp:extent cx="1270660" cy="308759"/>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60" cy="308759"/>
                        </a:xfrm>
                        <a:prstGeom prst="rect">
                          <a:avLst/>
                        </a:prstGeom>
                        <a:noFill/>
                        <a:ln w="9525">
                          <a:noFill/>
                          <a:miter lim="800000"/>
                          <a:headEnd/>
                          <a:tailEnd/>
                        </a:ln>
                      </wps:spPr>
                      <wps:txbx>
                        <w:txbxContent>
                          <w:p w14:paraId="677D2766" w14:textId="6E131AFD" w:rsidR="00C33FAA" w:rsidRPr="00CE33DA" w:rsidRDefault="008D52A6" w:rsidP="0076582B">
                            <w:pPr>
                              <w:rPr>
                                <w:rFonts w:ascii="Tw Cen MT" w:hAnsi="Tw Cen MT"/>
                                <w:color w:val="000000" w:themeColor="text1"/>
                                <w:sz w:val="18"/>
                                <w:szCs w:val="18"/>
                              </w:rPr>
                            </w:pPr>
                            <w:r>
                              <w:rPr>
                                <w:rFonts w:ascii="Tw Cen MT" w:hAnsi="Tw Cen MT"/>
                                <w:color w:val="000000" w:themeColor="text1"/>
                                <w:sz w:val="18"/>
                                <w:szCs w:val="18"/>
                              </w:rPr>
                              <w:t>Child care</w:t>
                            </w:r>
                            <w:r w:rsidR="00C33FAA">
                              <w:rPr>
                                <w:rFonts w:ascii="Tw Cen MT" w:hAnsi="Tw Cen MT"/>
                                <w:color w:val="000000" w:themeColor="text1"/>
                                <w:sz w:val="18"/>
                                <w:szCs w:val="18"/>
                              </w:rPr>
                              <w:t>-</w:t>
                            </w:r>
                            <w:r w:rsidR="00C33FAA" w:rsidRPr="00CE33DA">
                              <w:rPr>
                                <w:rFonts w:ascii="Tw Cen MT" w:hAnsi="Tw Cen MT"/>
                                <w:color w:val="000000" w:themeColor="text1"/>
                                <w:sz w:val="18"/>
                                <w:szCs w:val="18"/>
                              </w:rPr>
                              <w:t>type setting</w:t>
                            </w:r>
                          </w:p>
                          <w:p w14:paraId="475D55C3" w14:textId="77777777" w:rsidR="00C33FAA" w:rsidRPr="00CE33DA" w:rsidRDefault="00C33FAA" w:rsidP="0076582B">
                            <w:pPr>
                              <w:rPr>
                                <w:rFonts w:ascii="Tw Cen MT" w:hAnsi="Tw Cen MT"/>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B3369" id="_x0000_s1078" type="#_x0000_t202" style="position:absolute;margin-left:97.65pt;margin-top:26.6pt;width:100.05pt;height:24.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" filled="f" stroked="f">
                <v:textbox>
                  <w:txbxContent>
                    <w:p w14:paraId="677D2766" w14:textId="6E131AFD" w:rsidR="00C33FAA" w:rsidRPr="00CE33DA" w:rsidRDefault="008D52A6" w:rsidP="0076582B">
                      <w:pPr>
                        <w:rPr>
                          <w:rFonts w:ascii="Tw Cen MT" w:hAnsi="Tw Cen MT"/>
                          <w:color w:val="000000" w:themeColor="text1"/>
                          <w:sz w:val="18"/>
                          <w:szCs w:val="18"/>
                        </w:rPr>
                      </w:pPr>
                      <w:r>
                        <w:rPr>
                          <w:rFonts w:ascii="Tw Cen MT" w:hAnsi="Tw Cen MT"/>
                          <w:color w:val="000000" w:themeColor="text1"/>
                          <w:sz w:val="18"/>
                          <w:szCs w:val="18"/>
                        </w:rPr>
                        <w:t>Child care</w:t>
                      </w:r>
                      <w:r w:rsidR="00C33FAA">
                        <w:rPr>
                          <w:rFonts w:ascii="Tw Cen MT" w:hAnsi="Tw Cen MT"/>
                          <w:color w:val="000000" w:themeColor="text1"/>
                          <w:sz w:val="18"/>
                          <w:szCs w:val="18"/>
                        </w:rPr>
                        <w:t>-</w:t>
                      </w:r>
                      <w:r w:rsidR="00C33FAA" w:rsidRPr="00CE33DA">
                        <w:rPr>
                          <w:rFonts w:ascii="Tw Cen MT" w:hAnsi="Tw Cen MT"/>
                          <w:color w:val="000000" w:themeColor="text1"/>
                          <w:sz w:val="18"/>
                          <w:szCs w:val="18"/>
                        </w:rPr>
                        <w:t>type setting</w:t>
                      </w:r>
                    </w:p>
                    <w:p w14:paraId="475D55C3" w14:textId="77777777" w:rsidR="00C33FAA" w:rsidRPr="00CE33DA" w:rsidRDefault="00C33FAA" w:rsidP="0076582B">
                      <w:pPr>
                        <w:rPr>
                          <w:rFonts w:ascii="Tw Cen MT" w:hAnsi="Tw Cen MT"/>
                          <w:color w:val="000000" w:themeColor="text1"/>
                          <w:sz w:val="18"/>
                          <w:szCs w:val="18"/>
                        </w:rPr>
                      </w:pPr>
                    </w:p>
                  </w:txbxContent>
                </v:textbox>
              </v:shape>
            </w:pict>
          </mc:Fallback>
        </mc:AlternateContent>
      </w:r>
      <w:r w:rsidR="0076582B">
        <w:rPr>
          <w:noProof/>
          <w:lang w:eastAsia="en-AU"/>
        </w:rPr>
        <w:drawing>
          <wp:inline distT="0" distB="0" distL="0" distR="0" wp14:anchorId="65FB5EC2" wp14:editId="284AE90E">
            <wp:extent cx="4572000" cy="1805049"/>
            <wp:effectExtent l="0" t="0" r="0" b="5080"/>
            <wp:docPr id="43" name="Chart 43">
              <a:extLst xmlns:a="http://schemas.openxmlformats.org/drawingml/2006/main">
                <a:ext uri="{FF2B5EF4-FFF2-40B4-BE49-F238E27FC236}">
                  <a16:creationId xmlns:a16="http://schemas.microsoft.com/office/drawing/2014/main" id="{E15339F9-1F56-4D1D-BBA4-0016FEDCB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D860C5" w14:textId="6A46474F" w:rsidR="00F31FC5" w:rsidRDefault="00F31FC5">
      <w:pPr>
        <w:spacing w:line="276" w:lineRule="auto"/>
        <w:jc w:val="both"/>
      </w:pPr>
      <w:r>
        <w:t>In Australia, education and care is increasingly becoming integrated</w:t>
      </w:r>
      <w:r w:rsidR="00D76C06">
        <w:t xml:space="preserve"> </w:t>
      </w:r>
      <w:r w:rsidR="00767377">
        <w:t>in practise,</w:t>
      </w:r>
      <w:r w:rsidR="00D76C06">
        <w:t xml:space="preserve"> but fun</w:t>
      </w:r>
      <w:r>
        <w:t xml:space="preserve">ding mechanisms remain largely </w:t>
      </w:r>
      <w:r w:rsidR="00D76C06">
        <w:t xml:space="preserve">divided </w:t>
      </w:r>
      <w:r>
        <w:t>in line with historic classifications</w:t>
      </w:r>
      <w:r w:rsidR="00D76C06">
        <w:t xml:space="preserve"> with preschool funding and delivery involving a</w:t>
      </w:r>
      <w:r>
        <w:t>ll levels of government (including local government),</w:t>
      </w:r>
      <w:r w:rsidR="00D76C06">
        <w:t xml:space="preserve"> while </w:t>
      </w:r>
      <w:r w:rsidR="009F7190">
        <w:t>child care</w:t>
      </w:r>
      <w:r>
        <w:t xml:space="preserve"> subsidies </w:t>
      </w:r>
      <w:r w:rsidR="00D76C06">
        <w:t>have</w:t>
      </w:r>
      <w:r>
        <w:t xml:space="preserve"> largely been the purview of the Australian Government</w:t>
      </w:r>
      <w:r w:rsidR="001E0F6C">
        <w:rPr>
          <w:noProof/>
        </w:rPr>
        <w:t xml:space="preserve"> (Hurley, </w:t>
      </w:r>
      <w:r w:rsidR="00B95174" w:rsidRPr="00B95174">
        <w:rPr>
          <w:i/>
          <w:noProof/>
        </w:rPr>
        <w:t>et al.,</w:t>
      </w:r>
      <w:r w:rsidR="001E0F6C">
        <w:rPr>
          <w:noProof/>
        </w:rPr>
        <w:t xml:space="preserve"> 2020)</w:t>
      </w:r>
      <w:r>
        <w:t xml:space="preserve">. </w:t>
      </w:r>
    </w:p>
    <w:p w14:paraId="40141059" w14:textId="6E52DAF1" w:rsidR="00F31FC5" w:rsidRPr="00283853" w:rsidRDefault="009F7190" w:rsidP="00BC5105">
      <w:pPr>
        <w:spacing w:before="100" w:beforeAutospacing="1" w:after="100" w:afterAutospacing="1" w:line="276" w:lineRule="auto"/>
        <w:jc w:val="both"/>
        <w:rPr>
          <w:i/>
        </w:rPr>
      </w:pPr>
      <w:r>
        <w:rPr>
          <w:i/>
        </w:rPr>
        <w:t>Child care</w:t>
      </w:r>
      <w:r w:rsidR="00F31FC5" w:rsidRPr="00283853">
        <w:rPr>
          <w:i/>
        </w:rPr>
        <w:t xml:space="preserve"> Cost </w:t>
      </w:r>
    </w:p>
    <w:p w14:paraId="394F781D" w14:textId="277FA4EA" w:rsidR="007F2AD8" w:rsidRDefault="001E6B32" w:rsidP="007E15F6">
      <w:pPr>
        <w:spacing w:line="276" w:lineRule="auto"/>
        <w:jc w:val="both"/>
      </w:pPr>
      <w:r>
        <w:t xml:space="preserve">Countries also differ in how affordable </w:t>
      </w:r>
      <w:r w:rsidR="009F7190">
        <w:t>child care</w:t>
      </w:r>
      <w:r>
        <w:t xml:space="preserve"> is for parents. In many countries, including Australia, t</w:t>
      </w:r>
      <w:r w:rsidR="00F31FC5">
        <w:t xml:space="preserve">he cost of </w:t>
      </w:r>
      <w:r w:rsidR="009F7190">
        <w:t>child care</w:t>
      </w:r>
      <w:r w:rsidR="00F31FC5">
        <w:t xml:space="preserve"> can be a significant deterrent </w:t>
      </w:r>
      <w:r>
        <w:t xml:space="preserve">preventing increased use as increased working hours result in </w:t>
      </w:r>
      <w:r w:rsidR="00F31FC5">
        <w:t>little or no immediate financial gain</w:t>
      </w:r>
      <w:r w:rsidR="00F31FC5" w:rsidRPr="001D3B56">
        <w:t xml:space="preserve"> </w:t>
      </w:r>
      <w:r w:rsidR="00C83033">
        <w:rPr>
          <w:noProof/>
        </w:rPr>
        <w:t>(Baxter &amp; Renda, 2015)</w:t>
      </w:r>
      <w:r w:rsidR="00F31FC5">
        <w:t xml:space="preserve">. </w:t>
      </w:r>
      <w:r w:rsidR="007E103D">
        <w:t xml:space="preserve"> Figure 2</w:t>
      </w:r>
      <w:r w:rsidR="008A350F">
        <w:t>1</w:t>
      </w:r>
      <w:r w:rsidR="007E103D">
        <w:t xml:space="preserve"> </w:t>
      </w:r>
      <w:r w:rsidR="00F31FC5">
        <w:t xml:space="preserve">shows the net </w:t>
      </w:r>
      <w:r w:rsidR="009F7190">
        <w:t>child care</w:t>
      </w:r>
      <w:r w:rsidR="00F31FC5">
        <w:t xml:space="preserve"> costs</w:t>
      </w:r>
      <w:r w:rsidR="00F31FC5">
        <w:rPr>
          <w:rStyle w:val="FootnoteReference"/>
        </w:rPr>
        <w:footnoteReference w:id="16"/>
      </w:r>
      <w:r w:rsidR="00F31FC5">
        <w:t xml:space="preserve"> across a range of OECD countries for</w:t>
      </w:r>
      <w:r w:rsidR="00F31FC5" w:rsidRPr="00653590">
        <w:t xml:space="preserve"> full-time care in a typical </w:t>
      </w:r>
      <w:r w:rsidR="009F7190">
        <w:t>child care</w:t>
      </w:r>
      <w:r w:rsidR="00F31FC5" w:rsidRPr="00653590">
        <w:t xml:space="preserve"> centre for a two-child family, where both parents are in full-time employment and the children are aged 2 and 3.</w:t>
      </w:r>
      <w:r w:rsidR="00F31FC5">
        <w:t xml:space="preserve"> The children are assumed to attend for at least 40 hours per week, and the parents earn the median earnings of the full-time gender specific earnings distribution. </w:t>
      </w:r>
      <w:r w:rsidR="007F2AD8">
        <w:t xml:space="preserve">It is important to note that the figure provides a broad overview of costs for one scenario, but in different countries for parents in other situations, for example with very low-income the net costs would be different. </w:t>
      </w:r>
    </w:p>
    <w:p w14:paraId="45777707" w14:textId="32DF650A" w:rsidR="00C514D8" w:rsidRDefault="007E103D" w:rsidP="00BC5105">
      <w:pPr>
        <w:spacing w:before="100" w:beforeAutospacing="1" w:after="100" w:afterAutospacing="1" w:line="276" w:lineRule="auto"/>
        <w:jc w:val="both"/>
      </w:pPr>
      <w:r>
        <w:t>Generally,</w:t>
      </w:r>
      <w:r w:rsidR="007F2AD8">
        <w:t xml:space="preserve"> t</w:t>
      </w:r>
      <w:r w:rsidR="00C514D8">
        <w:t>he Anglo-Saxon countries</w:t>
      </w:r>
      <w:r w:rsidR="007F2AD8">
        <w:t xml:space="preserve"> including the United Kingdom, New Zealand, Ireland, United States, Canada and Australia, </w:t>
      </w:r>
      <w:r w:rsidR="00C514D8">
        <w:t xml:space="preserve">which rely more heavily on market provision and where providers have autonomy in setting the price, the costs to parents are </w:t>
      </w:r>
      <w:r w:rsidR="007F2AD8">
        <w:t xml:space="preserve">relatively high </w:t>
      </w:r>
      <w:r w:rsidR="00C514D8">
        <w:t xml:space="preserve">even </w:t>
      </w:r>
      <w:r w:rsidR="00767377">
        <w:t>after accounting for</w:t>
      </w:r>
      <w:r w:rsidR="00C514D8">
        <w:t xml:space="preserve"> government funded subsidies.</w:t>
      </w:r>
      <w:r w:rsidR="000A5A0B">
        <w:t xml:space="preserve"> For example in New Zealand, </w:t>
      </w:r>
      <w:r w:rsidR="007F2AD8">
        <w:t xml:space="preserve">although the government provides a </w:t>
      </w:r>
      <w:r w:rsidR="0054521C">
        <w:t>Child Care Subsidy</w:t>
      </w:r>
      <w:r w:rsidR="007F2AD8">
        <w:t xml:space="preserve"> for fees (similar to Australia), the net costs to parents in this scenario is nearly 40% of the average earnings.  Countries which rely more on public provision such as Iceland and Sweden and which also have various fee caps or free hours of </w:t>
      </w:r>
      <w:r w:rsidR="009F7190">
        <w:t>child care</w:t>
      </w:r>
      <w:r w:rsidR="007F2AD8">
        <w:t xml:space="preserve"> tend to translate to a lower net cost for parents.</w:t>
      </w:r>
    </w:p>
    <w:p w14:paraId="554FD561" w14:textId="4AF59075" w:rsidR="00F31FC5" w:rsidRDefault="00F31FC5" w:rsidP="00BC5105">
      <w:pPr>
        <w:pStyle w:val="Caption"/>
        <w:keepNext/>
        <w:spacing w:line="276" w:lineRule="auto"/>
      </w:pPr>
      <w:bookmarkStart w:id="118" w:name="_Ref75079627"/>
      <w:r>
        <w:lastRenderedPageBreak/>
        <w:t xml:space="preserve">Figure </w:t>
      </w:r>
      <w:fldSimple w:instr=" SEQ Figure \* ARABIC ">
        <w:r w:rsidR="00115E22">
          <w:rPr>
            <w:noProof/>
          </w:rPr>
          <w:t>21</w:t>
        </w:r>
      </w:fldSimple>
      <w:bookmarkEnd w:id="118"/>
      <w:r>
        <w:t xml:space="preserve"> </w:t>
      </w:r>
      <w:r w:rsidR="00A62868" w:rsidRPr="00A62868">
        <w:t xml:space="preserve">Net </w:t>
      </w:r>
      <w:r w:rsidR="009F7190">
        <w:t>child care</w:t>
      </w:r>
      <w:r w:rsidR="00A62868" w:rsidRPr="00A62868">
        <w:t xml:space="preserve"> costs for a two-earner two-child (aged 2 and 3) couple family with full-time earnings at 100+67% of average earnings, as a % of average earnings (AW), 2015</w:t>
      </w:r>
    </w:p>
    <w:p w14:paraId="72B9C4E6" w14:textId="6915B581" w:rsidR="00F31FC5" w:rsidRDefault="00A62868" w:rsidP="00BC5105">
      <w:pPr>
        <w:spacing w:before="100" w:beforeAutospacing="1" w:after="100" w:afterAutospacing="1" w:line="276" w:lineRule="auto"/>
      </w:pPr>
      <w:r>
        <w:rPr>
          <w:noProof/>
          <w:lang w:eastAsia="en-AU"/>
        </w:rPr>
        <w:drawing>
          <wp:inline distT="0" distB="0" distL="0" distR="0" wp14:anchorId="084F1F49" wp14:editId="1BB1B697">
            <wp:extent cx="5731510" cy="2647950"/>
            <wp:effectExtent l="0" t="0" r="2540" b="0"/>
            <wp:docPr id="216" name="Chart 216">
              <a:extLst xmlns:a="http://schemas.openxmlformats.org/drawingml/2006/main">
                <a:ext uri="{FF2B5EF4-FFF2-40B4-BE49-F238E27FC236}">
                  <a16:creationId xmlns:a16="http://schemas.microsoft.com/office/drawing/2014/main" id="{C4353396-54FF-4628-85B4-817FB55FF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3D4382" w14:textId="5DD0EC12" w:rsidR="00A62868" w:rsidRDefault="00F31FC5" w:rsidP="00BC5105">
      <w:pPr>
        <w:spacing w:before="100" w:beforeAutospacing="1" w:after="100" w:afterAutospacing="1" w:line="276" w:lineRule="auto"/>
        <w:rPr>
          <w:sz w:val="18"/>
          <w:szCs w:val="18"/>
        </w:rPr>
      </w:pPr>
      <w:r w:rsidRPr="00653590">
        <w:rPr>
          <w:sz w:val="18"/>
          <w:szCs w:val="18"/>
        </w:rPr>
        <w:t xml:space="preserve">Source: </w:t>
      </w:r>
      <w:sdt>
        <w:sdtPr>
          <w:rPr>
            <w:sz w:val="18"/>
            <w:szCs w:val="18"/>
          </w:rPr>
          <w:id w:val="-1510676713"/>
          <w:citation/>
        </w:sdtPr>
        <w:sdtEndPr/>
        <w:sdtContent>
          <w:r w:rsidR="00A62868">
            <w:rPr>
              <w:sz w:val="18"/>
              <w:szCs w:val="18"/>
            </w:rPr>
            <w:fldChar w:fldCharType="begin"/>
          </w:r>
          <w:r w:rsidR="00A62868">
            <w:rPr>
              <w:sz w:val="18"/>
              <w:szCs w:val="18"/>
            </w:rPr>
            <w:instrText xml:space="preserve"> CITATION OEC21 \l 3081 </w:instrText>
          </w:r>
          <w:r w:rsidR="00A62868">
            <w:rPr>
              <w:sz w:val="18"/>
              <w:szCs w:val="18"/>
            </w:rPr>
            <w:fldChar w:fldCharType="separate"/>
          </w:r>
          <w:r w:rsidR="00BE2DD4" w:rsidRPr="00BC70D8">
            <w:rPr>
              <w:noProof/>
              <w:sz w:val="18"/>
              <w:szCs w:val="18"/>
            </w:rPr>
            <w:t>(OECD, OECD Family Database, 2021)</w:t>
          </w:r>
          <w:r w:rsidR="00A62868">
            <w:rPr>
              <w:sz w:val="18"/>
              <w:szCs w:val="18"/>
            </w:rPr>
            <w:fldChar w:fldCharType="end"/>
          </w:r>
        </w:sdtContent>
      </w:sdt>
      <w:r w:rsidR="00A62868">
        <w:rPr>
          <w:sz w:val="18"/>
          <w:szCs w:val="18"/>
        </w:rPr>
        <w:t>, Part PF3.4B</w:t>
      </w:r>
    </w:p>
    <w:p w14:paraId="6F8738BF" w14:textId="65A71158" w:rsidR="00A62868" w:rsidRPr="00653590" w:rsidRDefault="00A62868" w:rsidP="00BC5105">
      <w:pPr>
        <w:spacing w:before="100" w:beforeAutospacing="1" w:after="100" w:afterAutospacing="1" w:line="276" w:lineRule="auto"/>
        <w:rPr>
          <w:sz w:val="18"/>
          <w:szCs w:val="18"/>
        </w:rPr>
      </w:pPr>
      <w:r>
        <w:rPr>
          <w:sz w:val="18"/>
          <w:szCs w:val="18"/>
        </w:rPr>
        <w:t xml:space="preserve">Note: Data for the following countries is based on the cost in a </w:t>
      </w:r>
      <w:r w:rsidRPr="00A62868">
        <w:rPr>
          <w:sz w:val="18"/>
          <w:szCs w:val="18"/>
        </w:rPr>
        <w:t>specific region or city</w:t>
      </w:r>
      <w:r>
        <w:rPr>
          <w:sz w:val="18"/>
          <w:szCs w:val="18"/>
        </w:rPr>
        <w:t xml:space="preserve"> (detailed in brackets)</w:t>
      </w:r>
      <w:r w:rsidRPr="00A62868">
        <w:rPr>
          <w:sz w:val="18"/>
          <w:szCs w:val="18"/>
        </w:rPr>
        <w:t>, rather than for the country as a whole</w:t>
      </w:r>
      <w:r>
        <w:rPr>
          <w:sz w:val="18"/>
          <w:szCs w:val="18"/>
        </w:rPr>
        <w:t>: United Kingdom (England), Switzerland (Zurich), United States (Michigan), Canada (Ontario), Finland (Helsinki), Japan (Tokyo), Poland (Warsaw), Belgium (Wallonie), Bulgaria (Sofia), Germany (Hamburg), Iceland (Reykjavik), Austria (Vienna).</w:t>
      </w:r>
    </w:p>
    <w:p w14:paraId="37C2C372" w14:textId="3F72F748" w:rsidR="00760DC1" w:rsidRPr="006C6E6D" w:rsidRDefault="00F31FC5" w:rsidP="006C6E6D">
      <w:pPr>
        <w:pStyle w:val="NormalWeb"/>
        <w:shd w:val="clear" w:color="auto" w:fill="FFFFFF"/>
        <w:spacing w:before="0" w:beforeAutospacing="0" w:line="276" w:lineRule="auto"/>
        <w:rPr>
          <w:rFonts w:asciiTheme="minorHAnsi" w:eastAsiaTheme="minorHAnsi" w:hAnsiTheme="minorHAnsi" w:cstheme="minorBidi"/>
          <w:sz w:val="22"/>
          <w:szCs w:val="22"/>
          <w:lang w:eastAsia="en-US"/>
        </w:rPr>
      </w:pPr>
      <w:r w:rsidRPr="005630F0">
        <w:rPr>
          <w:rFonts w:asciiTheme="minorHAnsi" w:eastAsiaTheme="minorHAnsi" w:hAnsiTheme="minorHAnsi" w:cstheme="minorBidi"/>
          <w:sz w:val="22"/>
          <w:szCs w:val="22"/>
          <w:lang w:eastAsia="en-US"/>
        </w:rPr>
        <w:t>One measure to increase affordability</w:t>
      </w:r>
      <w:r w:rsidR="007E103D">
        <w:rPr>
          <w:rFonts w:asciiTheme="minorHAnsi" w:eastAsiaTheme="minorHAnsi" w:hAnsiTheme="minorHAnsi" w:cstheme="minorBidi"/>
          <w:sz w:val="22"/>
          <w:szCs w:val="22"/>
          <w:lang w:eastAsia="en-US"/>
        </w:rPr>
        <w:t xml:space="preserve"> to parents</w:t>
      </w:r>
      <w:r w:rsidRPr="005630F0">
        <w:rPr>
          <w:rFonts w:asciiTheme="minorHAnsi" w:eastAsiaTheme="minorHAnsi" w:hAnsiTheme="minorHAnsi" w:cstheme="minorBidi"/>
          <w:sz w:val="22"/>
          <w:szCs w:val="22"/>
          <w:lang w:eastAsia="en-US"/>
        </w:rPr>
        <w:t xml:space="preserve"> is to provide a number of </w:t>
      </w:r>
      <w:r w:rsidR="007F2AD8">
        <w:rPr>
          <w:rFonts w:asciiTheme="minorHAnsi" w:eastAsiaTheme="minorHAnsi" w:hAnsiTheme="minorHAnsi" w:cstheme="minorBidi"/>
          <w:sz w:val="22"/>
          <w:szCs w:val="22"/>
          <w:lang w:eastAsia="en-US"/>
        </w:rPr>
        <w:t xml:space="preserve">free </w:t>
      </w:r>
      <w:r w:rsidRPr="005630F0">
        <w:rPr>
          <w:rFonts w:asciiTheme="minorHAnsi" w:eastAsiaTheme="minorHAnsi" w:hAnsiTheme="minorHAnsi" w:cstheme="minorBidi"/>
          <w:sz w:val="22"/>
          <w:szCs w:val="22"/>
          <w:lang w:eastAsia="en-US"/>
        </w:rPr>
        <w:t xml:space="preserve">hours of </w:t>
      </w:r>
      <w:r w:rsidR="005269EC" w:rsidRPr="005630F0">
        <w:rPr>
          <w:rFonts w:asciiTheme="minorHAnsi" w:eastAsiaTheme="minorHAnsi" w:hAnsiTheme="minorHAnsi" w:cstheme="minorBidi"/>
          <w:sz w:val="22"/>
          <w:szCs w:val="22"/>
          <w:lang w:eastAsia="en-US"/>
        </w:rPr>
        <w:t xml:space="preserve">publicly funded </w:t>
      </w:r>
      <w:r w:rsidR="009F7190">
        <w:rPr>
          <w:rFonts w:asciiTheme="minorHAnsi" w:eastAsiaTheme="minorHAnsi" w:hAnsiTheme="minorHAnsi" w:cstheme="minorBidi"/>
          <w:sz w:val="22"/>
          <w:szCs w:val="22"/>
          <w:lang w:eastAsia="en-US"/>
        </w:rPr>
        <w:t>child care</w:t>
      </w:r>
      <w:r w:rsidR="008701B2" w:rsidRPr="005630F0">
        <w:rPr>
          <w:rFonts w:asciiTheme="minorHAnsi" w:eastAsiaTheme="minorHAnsi" w:hAnsiTheme="minorHAnsi" w:cstheme="minorBidi"/>
          <w:sz w:val="22"/>
          <w:szCs w:val="22"/>
          <w:lang w:eastAsia="en-US"/>
        </w:rPr>
        <w:t xml:space="preserve"> (</w:t>
      </w:r>
      <w:r w:rsidR="007E103D">
        <w:rPr>
          <w:rFonts w:asciiTheme="minorHAnsi" w:eastAsiaTheme="minorHAnsi" w:hAnsiTheme="minorHAnsi" w:cstheme="minorBidi"/>
          <w:sz w:val="22"/>
          <w:szCs w:val="22"/>
          <w:lang w:eastAsia="en-US"/>
        </w:rPr>
        <w:t>Table 17</w:t>
      </w:r>
      <w:r w:rsidR="008701B2" w:rsidRPr="005630F0">
        <w:rPr>
          <w:rFonts w:asciiTheme="minorHAnsi" w:eastAsiaTheme="minorHAnsi" w:hAnsiTheme="minorHAnsi" w:cstheme="minorBidi"/>
          <w:sz w:val="22"/>
          <w:szCs w:val="22"/>
          <w:lang w:eastAsia="en-US"/>
        </w:rPr>
        <w:t>)</w:t>
      </w:r>
      <w:r w:rsidRPr="005630F0">
        <w:rPr>
          <w:rFonts w:asciiTheme="minorHAnsi" w:eastAsiaTheme="minorHAnsi" w:hAnsiTheme="minorHAnsi" w:cstheme="minorBidi"/>
          <w:sz w:val="22"/>
          <w:szCs w:val="22"/>
          <w:lang w:eastAsia="en-US"/>
        </w:rPr>
        <w:t xml:space="preserve">. In European countries, from around age 3 almost half offer </w:t>
      </w:r>
      <w:r w:rsidR="0035335C" w:rsidRPr="005630F0">
        <w:rPr>
          <w:rFonts w:asciiTheme="minorHAnsi" w:eastAsiaTheme="minorHAnsi" w:hAnsiTheme="minorHAnsi" w:cstheme="minorBidi"/>
          <w:sz w:val="22"/>
          <w:szCs w:val="22"/>
          <w:lang w:eastAsia="en-US"/>
        </w:rPr>
        <w:t xml:space="preserve">publicly funded </w:t>
      </w:r>
      <w:r w:rsidRPr="005630F0">
        <w:rPr>
          <w:rFonts w:asciiTheme="minorHAnsi" w:eastAsiaTheme="minorHAnsi" w:hAnsiTheme="minorHAnsi" w:cstheme="minorBidi"/>
          <w:sz w:val="22"/>
          <w:szCs w:val="22"/>
          <w:lang w:eastAsia="en-US"/>
        </w:rPr>
        <w:t xml:space="preserve">ECEC for at least a few hours per week.  In many countries, this is a period of transition when children change from a </w:t>
      </w:r>
      <w:r w:rsidR="009F7190">
        <w:rPr>
          <w:rFonts w:asciiTheme="minorHAnsi" w:eastAsiaTheme="minorHAnsi" w:hAnsiTheme="minorHAnsi" w:cstheme="minorBidi"/>
          <w:sz w:val="22"/>
          <w:szCs w:val="22"/>
          <w:lang w:eastAsia="en-US"/>
        </w:rPr>
        <w:t>child care</w:t>
      </w:r>
      <w:r w:rsidRPr="005630F0">
        <w:rPr>
          <w:rFonts w:asciiTheme="minorHAnsi" w:eastAsiaTheme="minorHAnsi" w:hAnsiTheme="minorHAnsi" w:cstheme="minorBidi"/>
          <w:sz w:val="22"/>
          <w:szCs w:val="22"/>
          <w:lang w:eastAsia="en-US"/>
        </w:rPr>
        <w:t xml:space="preserve">-type to an education-type setting </w:t>
      </w:r>
      <w:r w:rsidR="007E103D" w:rsidRPr="007E15F6">
        <w:rPr>
          <w:rFonts w:asciiTheme="minorHAnsi" w:eastAsiaTheme="minorHAnsi" w:hAnsiTheme="minorHAnsi" w:cstheme="minorBidi"/>
          <w:noProof/>
          <w:sz w:val="22"/>
          <w:szCs w:val="22"/>
          <w:lang w:eastAsia="en-US"/>
        </w:rPr>
        <w:t>(European Commission, 2019)</w:t>
      </w:r>
      <w:r w:rsidRPr="005630F0">
        <w:rPr>
          <w:rFonts w:asciiTheme="minorHAnsi" w:eastAsiaTheme="minorHAnsi" w:hAnsiTheme="minorHAnsi" w:cstheme="minorBidi"/>
          <w:sz w:val="22"/>
          <w:szCs w:val="22"/>
          <w:lang w:eastAsia="en-US"/>
        </w:rPr>
        <w:t xml:space="preserve">. For example, </w:t>
      </w:r>
      <w:r w:rsidR="00760DC1" w:rsidRPr="005630F0">
        <w:rPr>
          <w:rFonts w:asciiTheme="minorHAnsi" w:eastAsiaTheme="minorHAnsi" w:hAnsiTheme="minorHAnsi" w:cstheme="minorBidi"/>
          <w:sz w:val="22"/>
          <w:szCs w:val="22"/>
          <w:lang w:eastAsia="en-US"/>
        </w:rPr>
        <w:t xml:space="preserve">the </w:t>
      </w:r>
      <w:r w:rsidRPr="005630F0">
        <w:rPr>
          <w:rFonts w:asciiTheme="minorHAnsi" w:eastAsiaTheme="minorHAnsi" w:hAnsiTheme="minorHAnsi" w:cstheme="minorBidi"/>
          <w:sz w:val="22"/>
          <w:szCs w:val="22"/>
          <w:lang w:eastAsia="en-US"/>
        </w:rPr>
        <w:t>New Ze</w:t>
      </w:r>
      <w:r w:rsidR="008701B2" w:rsidRPr="005630F0">
        <w:rPr>
          <w:rFonts w:asciiTheme="minorHAnsi" w:eastAsiaTheme="minorHAnsi" w:hAnsiTheme="minorHAnsi" w:cstheme="minorBidi"/>
          <w:sz w:val="22"/>
          <w:szCs w:val="22"/>
          <w:lang w:eastAsia="en-US"/>
        </w:rPr>
        <w:t>a</w:t>
      </w:r>
      <w:r w:rsidRPr="005630F0">
        <w:rPr>
          <w:rFonts w:asciiTheme="minorHAnsi" w:eastAsiaTheme="minorHAnsi" w:hAnsiTheme="minorHAnsi" w:cstheme="minorBidi"/>
          <w:sz w:val="22"/>
          <w:szCs w:val="22"/>
          <w:lang w:eastAsia="en-US"/>
        </w:rPr>
        <w:t>land</w:t>
      </w:r>
      <w:r w:rsidR="00760DC1" w:rsidRPr="005630F0">
        <w:rPr>
          <w:rFonts w:asciiTheme="minorHAnsi" w:eastAsiaTheme="minorHAnsi" w:hAnsiTheme="minorHAnsi" w:cstheme="minorBidi"/>
          <w:sz w:val="22"/>
          <w:szCs w:val="22"/>
          <w:lang w:eastAsia="en-US"/>
        </w:rPr>
        <w:t xml:space="preserve"> government</w:t>
      </w:r>
      <w:r w:rsidRPr="005630F0">
        <w:rPr>
          <w:rFonts w:asciiTheme="minorHAnsi" w:eastAsiaTheme="minorHAnsi" w:hAnsiTheme="minorHAnsi" w:cstheme="minorBidi"/>
          <w:sz w:val="22"/>
          <w:szCs w:val="22"/>
          <w:lang w:eastAsia="en-US"/>
        </w:rPr>
        <w:t xml:space="preserve"> offers 20 hours of </w:t>
      </w:r>
      <w:r w:rsidR="0035335C" w:rsidRPr="005630F0">
        <w:rPr>
          <w:rFonts w:asciiTheme="minorHAnsi" w:eastAsiaTheme="minorHAnsi" w:hAnsiTheme="minorHAnsi" w:cstheme="minorBidi"/>
          <w:sz w:val="22"/>
          <w:szCs w:val="22"/>
          <w:lang w:eastAsia="en-US"/>
        </w:rPr>
        <w:t xml:space="preserve">publicly funded </w:t>
      </w:r>
      <w:r w:rsidRPr="005630F0">
        <w:rPr>
          <w:rFonts w:asciiTheme="minorHAnsi" w:eastAsiaTheme="minorHAnsi" w:hAnsiTheme="minorHAnsi" w:cstheme="minorBidi"/>
          <w:sz w:val="22"/>
          <w:szCs w:val="22"/>
          <w:lang w:eastAsia="en-US"/>
        </w:rPr>
        <w:t xml:space="preserve">ECEC from ages 3-5 at any ECE service that is </w:t>
      </w:r>
      <w:r w:rsidR="00403524" w:rsidRPr="005630F0">
        <w:rPr>
          <w:rFonts w:asciiTheme="minorHAnsi" w:eastAsiaTheme="minorHAnsi" w:hAnsiTheme="minorHAnsi" w:cstheme="minorBidi"/>
          <w:sz w:val="22"/>
          <w:szCs w:val="22"/>
          <w:lang w:eastAsia="en-US"/>
        </w:rPr>
        <w:t>registered to</w:t>
      </w:r>
      <w:r w:rsidRPr="005630F0">
        <w:rPr>
          <w:rFonts w:asciiTheme="minorHAnsi" w:eastAsiaTheme="minorHAnsi" w:hAnsiTheme="minorHAnsi" w:cstheme="minorBidi"/>
          <w:sz w:val="22"/>
          <w:szCs w:val="22"/>
          <w:lang w:eastAsia="en-US"/>
        </w:rPr>
        <w:t xml:space="preserve"> administer the Ministry of Education 20 Hour ECE scheme. This is universal and not dependent on the income of the </w:t>
      </w:r>
      <w:r w:rsidR="00E06A28" w:rsidRPr="005630F0">
        <w:rPr>
          <w:rFonts w:asciiTheme="minorHAnsi" w:eastAsiaTheme="minorHAnsi" w:hAnsiTheme="minorHAnsi" w:cstheme="minorBidi"/>
          <w:sz w:val="22"/>
          <w:szCs w:val="22"/>
          <w:lang w:eastAsia="en-US"/>
        </w:rPr>
        <w:t>parents.</w:t>
      </w:r>
      <w:r w:rsidRPr="005630F0">
        <w:rPr>
          <w:rFonts w:asciiTheme="minorHAnsi" w:eastAsiaTheme="minorHAnsi" w:hAnsiTheme="minorHAnsi" w:cstheme="minorBidi"/>
          <w:sz w:val="22"/>
          <w:szCs w:val="22"/>
          <w:lang w:eastAsia="en-US"/>
        </w:rPr>
        <w:t xml:space="preserve"> </w:t>
      </w:r>
    </w:p>
    <w:p w14:paraId="60209BFE" w14:textId="50807C2D" w:rsidR="000953DE" w:rsidRDefault="00EA2EC5" w:rsidP="00BC5105">
      <w:pPr>
        <w:pStyle w:val="Caption"/>
      </w:pPr>
      <w:bookmarkStart w:id="119" w:name="_Ref75809898"/>
      <w:r>
        <w:t xml:space="preserve">Table </w:t>
      </w:r>
      <w:fldSimple w:instr=" SEQ Table \* ARABIC ">
        <w:r w:rsidR="00115E22">
          <w:rPr>
            <w:noProof/>
          </w:rPr>
          <w:t>17</w:t>
        </w:r>
      </w:fldSimple>
      <w:bookmarkEnd w:id="119"/>
      <w:r>
        <w:t xml:space="preserve"> Free hours by country, age coverage and eligibility</w:t>
      </w:r>
      <w:r w:rsidR="008701B2">
        <w:t xml:space="preserve"> </w:t>
      </w:r>
    </w:p>
    <w:tbl>
      <w:tblPr>
        <w:tblStyle w:val="TableGrid"/>
        <w:tblW w:w="906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2254"/>
        <w:gridCol w:w="1710"/>
        <w:gridCol w:w="1441"/>
        <w:gridCol w:w="3662"/>
      </w:tblGrid>
      <w:tr w:rsidR="00F31FC5" w:rsidRPr="00414014" w14:paraId="705974E0" w14:textId="77777777" w:rsidTr="006C6E6D">
        <w:tc>
          <w:tcPr>
            <w:tcW w:w="2254" w:type="dxa"/>
            <w:shd w:val="clear" w:color="auto" w:fill="FBE4D5" w:themeFill="accent2" w:themeFillTint="33"/>
          </w:tcPr>
          <w:p w14:paraId="2B9119FA" w14:textId="77777777" w:rsidR="00F31FC5" w:rsidRPr="00414014" w:rsidRDefault="00F31FC5" w:rsidP="00BC5105">
            <w:pPr>
              <w:spacing w:before="100" w:beforeAutospacing="1" w:after="100" w:afterAutospacing="1" w:line="276" w:lineRule="auto"/>
              <w:rPr>
                <w:rFonts w:ascii="Tw Cen MT Condensed" w:hAnsi="Tw Cen MT Condensed"/>
              </w:rPr>
            </w:pPr>
            <w:r w:rsidRPr="00414014">
              <w:rPr>
                <w:rFonts w:ascii="Tw Cen MT Condensed" w:hAnsi="Tw Cen MT Condensed"/>
              </w:rPr>
              <w:t>Country</w:t>
            </w:r>
          </w:p>
        </w:tc>
        <w:tc>
          <w:tcPr>
            <w:tcW w:w="1710" w:type="dxa"/>
            <w:shd w:val="clear" w:color="auto" w:fill="FBE4D5" w:themeFill="accent2" w:themeFillTint="33"/>
          </w:tcPr>
          <w:p w14:paraId="789E5BB1" w14:textId="77777777" w:rsidR="00F31FC5" w:rsidRPr="00414014" w:rsidRDefault="00F31FC5" w:rsidP="00BC5105">
            <w:pPr>
              <w:spacing w:before="100" w:beforeAutospacing="1" w:after="100" w:afterAutospacing="1" w:line="276" w:lineRule="auto"/>
              <w:rPr>
                <w:rFonts w:ascii="Tw Cen MT Condensed" w:hAnsi="Tw Cen MT Condensed"/>
              </w:rPr>
            </w:pPr>
            <w:r w:rsidRPr="00414014">
              <w:rPr>
                <w:rFonts w:ascii="Tw Cen MT Condensed" w:hAnsi="Tw Cen MT Condensed"/>
              </w:rPr>
              <w:t>Number of hours free</w:t>
            </w:r>
          </w:p>
        </w:tc>
        <w:tc>
          <w:tcPr>
            <w:tcW w:w="1441" w:type="dxa"/>
            <w:shd w:val="clear" w:color="auto" w:fill="FBE4D5" w:themeFill="accent2" w:themeFillTint="33"/>
          </w:tcPr>
          <w:p w14:paraId="6E308744" w14:textId="77777777" w:rsidR="00F31FC5" w:rsidRPr="00414014" w:rsidRDefault="00F31FC5" w:rsidP="00BC5105">
            <w:pPr>
              <w:spacing w:before="100" w:beforeAutospacing="1" w:after="100" w:afterAutospacing="1" w:line="276" w:lineRule="auto"/>
              <w:rPr>
                <w:rFonts w:ascii="Tw Cen MT Condensed" w:hAnsi="Tw Cen MT Condensed"/>
              </w:rPr>
            </w:pPr>
            <w:r w:rsidRPr="00414014">
              <w:rPr>
                <w:rFonts w:ascii="Tw Cen MT Condensed" w:hAnsi="Tw Cen MT Condensed"/>
              </w:rPr>
              <w:t>Ages of children</w:t>
            </w:r>
          </w:p>
        </w:tc>
        <w:tc>
          <w:tcPr>
            <w:tcW w:w="3662" w:type="dxa"/>
            <w:shd w:val="clear" w:color="auto" w:fill="FBE4D5" w:themeFill="accent2" w:themeFillTint="33"/>
          </w:tcPr>
          <w:p w14:paraId="56C2202E" w14:textId="77777777" w:rsidR="00F31FC5" w:rsidRPr="00414014" w:rsidRDefault="00F31FC5" w:rsidP="00BC5105">
            <w:pPr>
              <w:spacing w:before="100" w:beforeAutospacing="1" w:after="100" w:afterAutospacing="1" w:line="276" w:lineRule="auto"/>
              <w:rPr>
                <w:rFonts w:ascii="Tw Cen MT Condensed" w:hAnsi="Tw Cen MT Condensed"/>
              </w:rPr>
            </w:pPr>
            <w:r w:rsidRPr="00414014">
              <w:rPr>
                <w:rFonts w:ascii="Tw Cen MT Condensed" w:hAnsi="Tw Cen MT Condensed"/>
              </w:rPr>
              <w:t xml:space="preserve">Eligibility </w:t>
            </w:r>
          </w:p>
        </w:tc>
      </w:tr>
      <w:tr w:rsidR="00F31FC5" w14:paraId="5967EBA8" w14:textId="77777777" w:rsidTr="006C6E6D">
        <w:tc>
          <w:tcPr>
            <w:tcW w:w="2254" w:type="dxa"/>
          </w:tcPr>
          <w:p w14:paraId="32E5B25B" w14:textId="77777777" w:rsidR="00F31FC5" w:rsidRPr="00FE7D4B" w:rsidRDefault="00F31FC5" w:rsidP="00BC5105">
            <w:pPr>
              <w:spacing w:before="100" w:beforeAutospacing="1" w:after="100" w:afterAutospacing="1" w:line="276" w:lineRule="auto"/>
              <w:rPr>
                <w:rFonts w:ascii="Tw Cen MT Condensed" w:hAnsi="Tw Cen MT Condensed" w:cstheme="majorHAnsi"/>
                <w:caps/>
              </w:rPr>
            </w:pPr>
            <w:r w:rsidRPr="00FE7D4B">
              <w:rPr>
                <w:rFonts w:ascii="Tw Cen MT Condensed" w:hAnsi="Tw Cen MT Condensed" w:cstheme="majorHAnsi"/>
                <w:caps/>
              </w:rPr>
              <w:t>New Zealand</w:t>
            </w:r>
          </w:p>
        </w:tc>
        <w:tc>
          <w:tcPr>
            <w:tcW w:w="1710" w:type="dxa"/>
          </w:tcPr>
          <w:p w14:paraId="30F82600"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20 hours</w:t>
            </w:r>
          </w:p>
        </w:tc>
        <w:tc>
          <w:tcPr>
            <w:tcW w:w="1441" w:type="dxa"/>
          </w:tcPr>
          <w:p w14:paraId="3AD698C7"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3,4,5</w:t>
            </w:r>
          </w:p>
        </w:tc>
        <w:tc>
          <w:tcPr>
            <w:tcW w:w="3662" w:type="dxa"/>
          </w:tcPr>
          <w:p w14:paraId="55AFEEC5"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Universal- not dependent on income, work status or immigration status</w:t>
            </w:r>
          </w:p>
        </w:tc>
      </w:tr>
      <w:tr w:rsidR="00F31FC5" w14:paraId="59FAFDCB" w14:textId="77777777" w:rsidTr="006C6E6D">
        <w:tc>
          <w:tcPr>
            <w:tcW w:w="2254" w:type="dxa"/>
          </w:tcPr>
          <w:p w14:paraId="02C8820C" w14:textId="77777777" w:rsidR="00F31FC5" w:rsidRPr="00FE7D4B" w:rsidRDefault="00F31FC5" w:rsidP="00BC5105">
            <w:pPr>
              <w:spacing w:before="100" w:beforeAutospacing="1" w:after="100" w:afterAutospacing="1" w:line="276" w:lineRule="auto"/>
              <w:rPr>
                <w:rFonts w:ascii="Tw Cen MT Condensed" w:hAnsi="Tw Cen MT Condensed" w:cstheme="majorHAnsi"/>
                <w:caps/>
              </w:rPr>
            </w:pPr>
            <w:r w:rsidRPr="00FE7D4B">
              <w:rPr>
                <w:rFonts w:ascii="Tw Cen MT Condensed" w:hAnsi="Tw Cen MT Condensed" w:cstheme="majorHAnsi"/>
                <w:caps/>
              </w:rPr>
              <w:t>Sweden</w:t>
            </w:r>
          </w:p>
        </w:tc>
        <w:tc>
          <w:tcPr>
            <w:tcW w:w="1710" w:type="dxa"/>
          </w:tcPr>
          <w:p w14:paraId="6131BD0E"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15 hours</w:t>
            </w:r>
          </w:p>
        </w:tc>
        <w:tc>
          <w:tcPr>
            <w:tcW w:w="1441" w:type="dxa"/>
          </w:tcPr>
          <w:p w14:paraId="4C2EB2DB"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 xml:space="preserve">3,4,5 </w:t>
            </w:r>
          </w:p>
        </w:tc>
        <w:tc>
          <w:tcPr>
            <w:tcW w:w="3662" w:type="dxa"/>
          </w:tcPr>
          <w:p w14:paraId="36905433"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Universal- not dependent on income, work status or immigration status</w:t>
            </w:r>
          </w:p>
        </w:tc>
      </w:tr>
      <w:tr w:rsidR="00F31FC5" w14:paraId="3A003CBC" w14:textId="77777777" w:rsidTr="006C6E6D">
        <w:tc>
          <w:tcPr>
            <w:tcW w:w="2254" w:type="dxa"/>
          </w:tcPr>
          <w:p w14:paraId="0CE749B6" w14:textId="77777777" w:rsidR="00F31FC5" w:rsidRPr="00FE7D4B" w:rsidRDefault="00F31FC5" w:rsidP="00BC5105">
            <w:pPr>
              <w:spacing w:before="100" w:beforeAutospacing="1" w:after="100" w:afterAutospacing="1" w:line="276" w:lineRule="auto"/>
              <w:rPr>
                <w:rFonts w:ascii="Tw Cen MT Condensed" w:hAnsi="Tw Cen MT Condensed" w:cstheme="majorHAnsi"/>
                <w:caps/>
              </w:rPr>
            </w:pPr>
            <w:r w:rsidRPr="00FE7D4B">
              <w:rPr>
                <w:rFonts w:ascii="Tw Cen MT Condensed" w:hAnsi="Tw Cen MT Condensed" w:cstheme="majorHAnsi"/>
                <w:caps/>
              </w:rPr>
              <w:t>England</w:t>
            </w:r>
          </w:p>
        </w:tc>
        <w:tc>
          <w:tcPr>
            <w:tcW w:w="1710" w:type="dxa"/>
          </w:tcPr>
          <w:p w14:paraId="2003935A"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15 -30 hours</w:t>
            </w:r>
          </w:p>
        </w:tc>
        <w:tc>
          <w:tcPr>
            <w:tcW w:w="1441" w:type="dxa"/>
          </w:tcPr>
          <w:p w14:paraId="44389B11"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3,4</w:t>
            </w:r>
          </w:p>
        </w:tc>
        <w:tc>
          <w:tcPr>
            <w:tcW w:w="3662" w:type="dxa"/>
          </w:tcPr>
          <w:p w14:paraId="4AA1BDEE" w14:textId="1767393F"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 xml:space="preserve">All children get 15 hours, if parents work it </w:t>
            </w:r>
            <w:r w:rsidR="00FE7D4B">
              <w:rPr>
                <w:rFonts w:asciiTheme="majorHAnsi" w:hAnsiTheme="majorHAnsi" w:cstheme="majorHAnsi"/>
                <w:sz w:val="20"/>
                <w:szCs w:val="20"/>
              </w:rPr>
              <w:t>increases</w:t>
            </w:r>
            <w:r w:rsidRPr="00FE7D4B">
              <w:rPr>
                <w:rFonts w:asciiTheme="majorHAnsi" w:hAnsiTheme="majorHAnsi" w:cstheme="majorHAnsi"/>
                <w:sz w:val="20"/>
                <w:szCs w:val="20"/>
              </w:rPr>
              <w:t xml:space="preserve"> to 30 hours free. Disadvantaged 2-year-olds also get 15 hours free ECEC.</w:t>
            </w:r>
          </w:p>
        </w:tc>
      </w:tr>
      <w:tr w:rsidR="00F31FC5" w14:paraId="4A6A4804" w14:textId="77777777" w:rsidTr="006C6E6D">
        <w:tc>
          <w:tcPr>
            <w:tcW w:w="2254" w:type="dxa"/>
          </w:tcPr>
          <w:p w14:paraId="3626DA01" w14:textId="77777777" w:rsidR="00F31FC5" w:rsidRPr="00FE7D4B" w:rsidRDefault="00F31FC5" w:rsidP="00BC5105">
            <w:pPr>
              <w:spacing w:before="100" w:beforeAutospacing="1" w:after="100" w:afterAutospacing="1" w:line="276" w:lineRule="auto"/>
              <w:rPr>
                <w:rFonts w:ascii="Tw Cen MT Condensed" w:hAnsi="Tw Cen MT Condensed" w:cstheme="majorHAnsi"/>
                <w:caps/>
              </w:rPr>
            </w:pPr>
            <w:r w:rsidRPr="00FE7D4B">
              <w:rPr>
                <w:rFonts w:ascii="Tw Cen MT Condensed" w:hAnsi="Tw Cen MT Condensed" w:cstheme="majorHAnsi"/>
                <w:caps/>
              </w:rPr>
              <w:t>Norway</w:t>
            </w:r>
          </w:p>
        </w:tc>
        <w:tc>
          <w:tcPr>
            <w:tcW w:w="1710" w:type="dxa"/>
          </w:tcPr>
          <w:p w14:paraId="0B862CD0"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20 hours</w:t>
            </w:r>
          </w:p>
        </w:tc>
        <w:tc>
          <w:tcPr>
            <w:tcW w:w="1441" w:type="dxa"/>
          </w:tcPr>
          <w:p w14:paraId="3571CFE0"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3,4,5</w:t>
            </w:r>
          </w:p>
        </w:tc>
        <w:tc>
          <w:tcPr>
            <w:tcW w:w="3662" w:type="dxa"/>
          </w:tcPr>
          <w:p w14:paraId="6A409392" w14:textId="77777777" w:rsidR="00F31FC5" w:rsidRPr="00FE7D4B" w:rsidRDefault="00F31FC5" w:rsidP="00BC5105">
            <w:pPr>
              <w:spacing w:before="100" w:beforeAutospacing="1" w:after="100" w:afterAutospacing="1" w:line="276" w:lineRule="auto"/>
              <w:rPr>
                <w:rFonts w:asciiTheme="majorHAnsi" w:hAnsiTheme="majorHAnsi" w:cstheme="majorHAnsi"/>
                <w:sz w:val="20"/>
                <w:szCs w:val="20"/>
              </w:rPr>
            </w:pPr>
            <w:r w:rsidRPr="00FE7D4B">
              <w:rPr>
                <w:rFonts w:asciiTheme="majorHAnsi" w:hAnsiTheme="majorHAnsi" w:cstheme="majorHAnsi"/>
                <w:sz w:val="20"/>
                <w:szCs w:val="20"/>
              </w:rPr>
              <w:t>If low income</w:t>
            </w:r>
          </w:p>
        </w:tc>
      </w:tr>
    </w:tbl>
    <w:p w14:paraId="615E7126" w14:textId="77777777" w:rsidR="008701B2" w:rsidRDefault="008701B2" w:rsidP="00BC5105">
      <w:pPr>
        <w:spacing w:after="0" w:line="276" w:lineRule="auto"/>
        <w:rPr>
          <w:bCs/>
          <w:i/>
        </w:rPr>
      </w:pPr>
    </w:p>
    <w:p w14:paraId="3C8105A4" w14:textId="2D26E06C" w:rsidR="00F31FC5" w:rsidRDefault="00F31FC5" w:rsidP="00BC5105">
      <w:pPr>
        <w:spacing w:line="276" w:lineRule="auto"/>
        <w:jc w:val="both"/>
      </w:pPr>
      <w:r>
        <w:t xml:space="preserve">Many countries also set a fee ceiling for </w:t>
      </w:r>
      <w:r w:rsidR="009F7190">
        <w:t>child care</w:t>
      </w:r>
      <w:r>
        <w:t xml:space="preserve"> costs. Usually, countries set the fee ceiling as a specific figure, but sometimes the limit is expressed as a proportion of family income or ECEC costs</w:t>
      </w:r>
      <w:r w:rsidR="00AF2E3B">
        <w:t xml:space="preserve"> (or a combination of the two)</w:t>
      </w:r>
      <w:r>
        <w:t xml:space="preserve">. </w:t>
      </w:r>
      <w:r w:rsidR="00EA2EC5">
        <w:t>For example in Finland, t</w:t>
      </w:r>
      <w:r w:rsidR="00EA2EC5" w:rsidRPr="00AF2E3B">
        <w:t xml:space="preserve">he maximum fee for the first child is EUR 288 </w:t>
      </w:r>
      <w:r w:rsidR="00767377" w:rsidRPr="00AF2E3B">
        <w:lastRenderedPageBreak/>
        <w:t xml:space="preserve">(AUD 456) </w:t>
      </w:r>
      <w:r w:rsidR="00EA2EC5" w:rsidRPr="00AF2E3B">
        <w:t>per month and the minimum EUR 27. If there is more than one child in a family, the fee for the family's second child is at most 50% of the fee for the family’s youngest child, i.e. a maximum of (AUD 228) EUR 144 per month. The fee for the family's next child is 20% of the fee charged for the youngest child</w:t>
      </w:r>
      <w:r w:rsidR="00EA2EC5" w:rsidRPr="00BC5105">
        <w:rPr>
          <w:vertAlign w:val="superscript"/>
        </w:rPr>
        <w:footnoteReference w:id="17"/>
      </w:r>
      <w:r w:rsidR="00EA2EC5" w:rsidRPr="00AF2E3B">
        <w:t>.</w:t>
      </w:r>
      <w:r w:rsidR="00431A0A">
        <w:t xml:space="preserve"> </w:t>
      </w:r>
      <w:r w:rsidR="00AF2E3B">
        <w:t>In Sweden</w:t>
      </w:r>
      <w:r w:rsidR="00431A0A">
        <w:t>,</w:t>
      </w:r>
      <w:r w:rsidR="00AF2E3B">
        <w:t xml:space="preserve"> </w:t>
      </w:r>
      <w:r w:rsidR="009F7190">
        <w:t>child care</w:t>
      </w:r>
      <w:r w:rsidR="00AF2E3B">
        <w:t xml:space="preserve"> fees are capped at a proportion of family income</w:t>
      </w:r>
      <w:r w:rsidR="00431A0A">
        <w:t>,</w:t>
      </w:r>
      <w:r w:rsidR="00AF2E3B">
        <w:t xml:space="preserve"> but also further capped at specific amounts</w:t>
      </w:r>
      <w:r w:rsidR="00431A0A">
        <w:t>,</w:t>
      </w:r>
      <w:r w:rsidR="00AF2E3B">
        <w:t xml:space="preserve"> as seen in </w:t>
      </w:r>
      <w:r w:rsidR="00C83033">
        <w:t>Box 1</w:t>
      </w:r>
      <w:r w:rsidR="001E6B32">
        <w:t>.</w:t>
      </w:r>
      <w:r w:rsidR="00976F29">
        <w:rPr>
          <w:bCs/>
          <w:i/>
        </w:rPr>
        <w:t xml:space="preserve"> </w:t>
      </w:r>
      <w:r>
        <w:t xml:space="preserve">In addition, countries may offer other policy measures </w:t>
      </w:r>
      <w:r w:rsidR="00C514D8">
        <w:t>such as tax relief to help f</w:t>
      </w:r>
      <w:r>
        <w:t xml:space="preserve">amilies with ECEC costs. In Austria, AUD 3,649 (EUR 2,300) per year for </w:t>
      </w:r>
      <w:r w:rsidR="009F7190">
        <w:t>child care</w:t>
      </w:r>
      <w:r>
        <w:t xml:space="preserve"> (up to the age of 10) is tax deductible, and further deductions are possible for single parents. Some countries </w:t>
      </w:r>
      <w:r w:rsidR="00C514D8">
        <w:t xml:space="preserve">also </w:t>
      </w:r>
      <w:r>
        <w:t xml:space="preserve">provide partial compensation for fees paid by families for private provision. </w:t>
      </w:r>
      <w:r w:rsidR="00C514D8">
        <w:t>For example, i</w:t>
      </w:r>
      <w:r>
        <w:t>n some municipalities in Lithuania, parents whose child is not given a place in a public ECEC setting receive financial support of EUR 100 per month to partly cover the cost of an ECEC place in a private ECEC setting</w:t>
      </w:r>
      <w:r w:rsidR="00C514D8">
        <w:t xml:space="preserve"> and in </w:t>
      </w:r>
      <w:r>
        <w:t xml:space="preserve">Finland, families can opt for private ECEC with the help of a private care allowance </w:t>
      </w:r>
      <w:r w:rsidR="00C514D8">
        <w:t>provided by the state, o</w:t>
      </w:r>
      <w:r>
        <w:t xml:space="preserve">r </w:t>
      </w:r>
      <w:r w:rsidR="00C44652">
        <w:t>vouchers many</w:t>
      </w:r>
      <w:r>
        <w:t xml:space="preserve"> municipalities</w:t>
      </w:r>
      <w:r w:rsidR="00C514D8">
        <w:t xml:space="preserve"> </w:t>
      </w:r>
      <w:r w:rsidR="007E103D">
        <w:rPr>
          <w:noProof/>
        </w:rPr>
        <w:t>(European Commission, 2019)</w:t>
      </w:r>
      <w:r w:rsidR="00C514D8">
        <w:t>.</w:t>
      </w:r>
    </w:p>
    <w:p w14:paraId="5A9C8BF5" w14:textId="77777777" w:rsidR="00982033" w:rsidRDefault="00982033" w:rsidP="00982033">
      <w:pPr>
        <w:rPr>
          <w:i/>
          <w:iCs/>
        </w:rPr>
      </w:pPr>
      <w:r w:rsidRPr="006C6E6D">
        <w:rPr>
          <w:i/>
          <w:iCs/>
        </w:rPr>
        <w:t>Enrolment</w:t>
      </w:r>
    </w:p>
    <w:p w14:paraId="42B21EE7" w14:textId="6E1AF7E5" w:rsidR="00982033" w:rsidRPr="006C6E6D" w:rsidRDefault="00982033" w:rsidP="00982033">
      <w:r>
        <w:t xml:space="preserve">Across OECD countries there are vast differences in enrolment rates in </w:t>
      </w:r>
      <w:r w:rsidR="00431A0A">
        <w:t>ECEC</w:t>
      </w:r>
      <w:r>
        <w:t xml:space="preserve">.  The percent of children aged 0-2 enrolled in early childhood education and care across selected OECD countries is shown in </w:t>
      </w:r>
      <w:r w:rsidR="008A350F">
        <w:t>Figure 22</w:t>
      </w:r>
      <w:r>
        <w:t xml:space="preserve">. The Netherlands, Korea and Luxembourg have enrolment rates above 60%, and the Nordic countries also have high enrolment rates. </w:t>
      </w:r>
      <w:r w:rsidRPr="00094B00">
        <w:t xml:space="preserve"> </w:t>
      </w:r>
      <w:r>
        <w:t xml:space="preserve">However, enrolment rates hide a wide variation in hours of usage. For example, while the Netherlands and Norway both have high enrolment rates, in the Netherlands the average weekly hours of use is 17.1 whereas in Norway it is considerably higher at 34.6 hours </w:t>
      </w:r>
      <w:r w:rsidR="007E103D">
        <w:rPr>
          <w:noProof/>
        </w:rPr>
        <w:t>(OECD, 2021)</w:t>
      </w:r>
      <w:r>
        <w:t>.</w:t>
      </w:r>
    </w:p>
    <w:p w14:paraId="46586925" w14:textId="14DE117D" w:rsidR="00982033" w:rsidRDefault="00982033" w:rsidP="00982033">
      <w:pPr>
        <w:pStyle w:val="Caption"/>
        <w:keepNext/>
      </w:pPr>
      <w:bookmarkStart w:id="120" w:name="_Ref81066921"/>
      <w:bookmarkStart w:id="121" w:name="_Ref81066895"/>
      <w:r>
        <w:t xml:space="preserve">Figure </w:t>
      </w:r>
      <w:fldSimple w:instr=" SEQ Figure \* ARABIC ">
        <w:r w:rsidR="00115E22">
          <w:rPr>
            <w:noProof/>
          </w:rPr>
          <w:t>22</w:t>
        </w:r>
      </w:fldSimple>
      <w:bookmarkEnd w:id="120"/>
      <w:r>
        <w:t xml:space="preserve"> </w:t>
      </w:r>
      <w:r w:rsidRPr="004B77F7">
        <w:t>Percent of children enrolled in early childhood education and care services (ISCED 0 and other registered ECEC services), 0- to 2-year-olds, 2019 or latest available</w:t>
      </w:r>
      <w:r>
        <w:t>. Selected OECD countries</w:t>
      </w:r>
      <w:bookmarkEnd w:id="121"/>
    </w:p>
    <w:p w14:paraId="48C6997E" w14:textId="109B5024" w:rsidR="00982033" w:rsidRDefault="000C6922" w:rsidP="00982033">
      <w:r>
        <w:rPr>
          <w:noProof/>
          <w:lang w:eastAsia="en-AU"/>
        </w:rPr>
        <w:drawing>
          <wp:inline distT="0" distB="0" distL="0" distR="0" wp14:anchorId="315E1D77" wp14:editId="1EC5AFFB">
            <wp:extent cx="5731510" cy="2143125"/>
            <wp:effectExtent l="0" t="0" r="2540" b="0"/>
            <wp:docPr id="218" name="Chart 218">
              <a:extLst xmlns:a="http://schemas.openxmlformats.org/drawingml/2006/main">
                <a:ext uri="{FF2B5EF4-FFF2-40B4-BE49-F238E27FC236}">
                  <a16:creationId xmlns:a16="http://schemas.microsoft.com/office/drawing/2014/main" id="{CC2DA51D-9D1A-4A14-879A-5276DAB9A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FB4394" w14:textId="4CB97058" w:rsidR="00982033" w:rsidRDefault="00982033" w:rsidP="00982033">
      <w:r>
        <w:t xml:space="preserve">Source: </w:t>
      </w:r>
      <w:sdt>
        <w:sdtPr>
          <w:id w:val="-1362808981"/>
          <w:citation/>
        </w:sdtPr>
        <w:sdtEndPr/>
        <w:sdtContent>
          <w:r>
            <w:fldChar w:fldCharType="begin"/>
          </w:r>
          <w:r>
            <w:instrText xml:space="preserve">CITATION OEC21 \n  \l 3081 </w:instrText>
          </w:r>
          <w:r>
            <w:fldChar w:fldCharType="separate"/>
          </w:r>
          <w:r w:rsidR="00BE2DD4">
            <w:rPr>
              <w:noProof/>
            </w:rPr>
            <w:t>(OECD Family Database, 2021)</w:t>
          </w:r>
          <w:r>
            <w:fldChar w:fldCharType="end"/>
          </w:r>
        </w:sdtContent>
      </w:sdt>
      <w:r>
        <w:t>, PF3.2.A</w:t>
      </w:r>
    </w:p>
    <w:p w14:paraId="54F1C82B" w14:textId="7959955B" w:rsidR="00982033" w:rsidRPr="007E15F6" w:rsidRDefault="00982033" w:rsidP="00982033">
      <w:pPr>
        <w:rPr>
          <w:sz w:val="16"/>
          <w:szCs w:val="16"/>
        </w:rPr>
      </w:pPr>
      <w:r w:rsidRPr="007E15F6">
        <w:rPr>
          <w:sz w:val="16"/>
          <w:szCs w:val="16"/>
        </w:rPr>
        <w:t>Data generally include children enrolled in early childhood education services (ISCED 2011 level 0) and other registered ECEC services (ECEC services outside the scope of ISCED 0, because they are not in adherence with all ISCED-2011 criteria). Data for Denmark, Finland, Spain, and the Russian Federation refers to 2018 and includes only early childhood education and care (ISCED 0). Potential mismatches between the enrolment data and the coverage of the population data (in terms of geographic coverage and/or the reference dates used) may affect enrolment rates. Data for Belgium, Czech Republic, France, Greece, Hungary, Ireland, Italy, Latvia, Luxembourg, Netherlands, Poland, UK, Bulgaria, Croatia, and Romania are OECD estimates for 2019 based on information from EU-SILC. Data refer to children using centre-based services (e.g. nurseries or daycare centres and pre-schools, both public and private), organised family daycare, and care services provided by (paid) professional childminders, regardless of whether or not the service is registered or ISCED-recognised.</w:t>
      </w:r>
    </w:p>
    <w:p w14:paraId="217B9938" w14:textId="065430BD" w:rsidR="00AF2E3B" w:rsidRDefault="00AF2E3B" w:rsidP="00982033">
      <w:pPr>
        <w:pStyle w:val="Caption"/>
      </w:pPr>
      <w:bookmarkStart w:id="122" w:name="_Ref75932125"/>
      <w:r>
        <w:lastRenderedPageBreak/>
        <w:t xml:space="preserve">Box </w:t>
      </w:r>
      <w:fldSimple w:instr=" SEQ Box \* ARABIC ">
        <w:r w:rsidR="00115E22">
          <w:rPr>
            <w:noProof/>
          </w:rPr>
          <w:t>1</w:t>
        </w:r>
      </w:fldSimple>
      <w:bookmarkEnd w:id="122"/>
      <w:r>
        <w:t xml:space="preserve"> </w:t>
      </w:r>
      <w:r w:rsidRPr="00046E9E">
        <w:t>Sweden's Early Childhood Education and Care</w:t>
      </w:r>
    </w:p>
    <w:tbl>
      <w:tblPr>
        <w:tblStyle w:val="TableGrid"/>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FBE4D5" w:themeFill="accent2" w:themeFillTint="33"/>
        <w:tblLook w:val="04A0" w:firstRow="1" w:lastRow="0" w:firstColumn="1" w:lastColumn="0" w:noHBand="0" w:noVBand="1"/>
      </w:tblPr>
      <w:tblGrid>
        <w:gridCol w:w="9016"/>
      </w:tblGrid>
      <w:tr w:rsidR="00F31FC5" w:rsidRPr="00DB4DC6" w14:paraId="47A5D6A6" w14:textId="77777777" w:rsidTr="00BC5105">
        <w:tc>
          <w:tcPr>
            <w:tcW w:w="9016" w:type="dxa"/>
            <w:shd w:val="clear" w:color="auto" w:fill="FBE4D5" w:themeFill="accent2" w:themeFillTint="33"/>
          </w:tcPr>
          <w:p w14:paraId="595B6DB3" w14:textId="77777777" w:rsidR="00F31FC5" w:rsidRPr="007E15F6" w:rsidRDefault="00F31FC5">
            <w:pPr>
              <w:rPr>
                <w:rFonts w:ascii="Arial Nova Cond Light" w:hAnsi="Arial Nova Cond Light" w:cstheme="majorHAnsi"/>
                <w:b/>
                <w:bCs/>
                <w:noProof/>
                <w:sz w:val="20"/>
                <w:szCs w:val="20"/>
              </w:rPr>
            </w:pPr>
          </w:p>
          <w:p w14:paraId="238C5B99" w14:textId="6FDB1BDA" w:rsidR="00F31FC5" w:rsidRPr="007E15F6" w:rsidRDefault="00F31FC5">
            <w:pPr>
              <w:rPr>
                <w:rFonts w:ascii="Tw Cen MT Condensed" w:hAnsi="Tw Cen MT Condensed" w:cstheme="majorHAnsi"/>
                <w:b/>
                <w:bCs/>
                <w:noProof/>
                <w:sz w:val="20"/>
                <w:szCs w:val="20"/>
              </w:rPr>
            </w:pPr>
            <w:r w:rsidRPr="007E15F6">
              <w:rPr>
                <w:rFonts w:ascii="Tw Cen MT Condensed" w:hAnsi="Tw Cen MT Condensed" w:cstheme="majorHAnsi"/>
                <w:b/>
                <w:bCs/>
                <w:noProof/>
                <w:sz w:val="20"/>
                <w:szCs w:val="20"/>
              </w:rPr>
              <w:t xml:space="preserve">Sweden’s Early </w:t>
            </w:r>
            <w:r w:rsidR="000367F5" w:rsidRPr="007E15F6">
              <w:rPr>
                <w:rFonts w:ascii="Tw Cen MT Condensed" w:hAnsi="Tw Cen MT Condensed" w:cstheme="majorHAnsi"/>
                <w:b/>
                <w:bCs/>
                <w:noProof/>
                <w:sz w:val="20"/>
                <w:szCs w:val="20"/>
              </w:rPr>
              <w:t>C</w:t>
            </w:r>
            <w:r w:rsidRPr="007E15F6">
              <w:rPr>
                <w:rFonts w:ascii="Tw Cen MT Condensed" w:hAnsi="Tw Cen MT Condensed" w:cstheme="majorHAnsi"/>
                <w:b/>
                <w:bCs/>
                <w:noProof/>
                <w:sz w:val="20"/>
                <w:szCs w:val="20"/>
              </w:rPr>
              <w:t xml:space="preserve">hildhood </w:t>
            </w:r>
            <w:r w:rsidR="000367F5" w:rsidRPr="007E15F6">
              <w:rPr>
                <w:rFonts w:ascii="Tw Cen MT Condensed" w:hAnsi="Tw Cen MT Condensed" w:cstheme="majorHAnsi"/>
                <w:b/>
                <w:bCs/>
                <w:noProof/>
                <w:sz w:val="20"/>
                <w:szCs w:val="20"/>
              </w:rPr>
              <w:t>E</w:t>
            </w:r>
            <w:r w:rsidRPr="007E15F6">
              <w:rPr>
                <w:rFonts w:ascii="Tw Cen MT Condensed" w:hAnsi="Tw Cen MT Condensed" w:cstheme="majorHAnsi"/>
                <w:b/>
                <w:bCs/>
                <w:noProof/>
                <w:sz w:val="20"/>
                <w:szCs w:val="20"/>
              </w:rPr>
              <w:t xml:space="preserve">ducation and </w:t>
            </w:r>
            <w:r w:rsidR="000367F5" w:rsidRPr="007E15F6">
              <w:rPr>
                <w:rFonts w:ascii="Tw Cen MT Condensed" w:hAnsi="Tw Cen MT Condensed" w:cstheme="majorHAnsi"/>
                <w:b/>
                <w:bCs/>
                <w:noProof/>
                <w:sz w:val="20"/>
                <w:szCs w:val="20"/>
              </w:rPr>
              <w:t>C</w:t>
            </w:r>
            <w:r w:rsidRPr="007E15F6">
              <w:rPr>
                <w:rFonts w:ascii="Tw Cen MT Condensed" w:hAnsi="Tw Cen MT Condensed" w:cstheme="majorHAnsi"/>
                <w:b/>
                <w:bCs/>
                <w:noProof/>
                <w:sz w:val="20"/>
                <w:szCs w:val="20"/>
              </w:rPr>
              <w:t>are</w:t>
            </w:r>
          </w:p>
          <w:p w14:paraId="5AA2C1D1" w14:textId="77777777" w:rsidR="00F31FC5" w:rsidRPr="007E15F6" w:rsidRDefault="00F31FC5">
            <w:pPr>
              <w:rPr>
                <w:rFonts w:ascii="Arial Nova Cond Light" w:hAnsi="Arial Nova Cond Light" w:cstheme="majorHAnsi"/>
                <w:b/>
                <w:bCs/>
                <w:noProof/>
                <w:sz w:val="20"/>
                <w:szCs w:val="20"/>
              </w:rPr>
            </w:pPr>
          </w:p>
          <w:p w14:paraId="30F24279" w14:textId="43C86245" w:rsidR="00F31FC5" w:rsidRPr="007E15F6" w:rsidRDefault="00F31FC5">
            <w:pPr>
              <w:rPr>
                <w:rFonts w:asciiTheme="majorHAnsi" w:hAnsiTheme="majorHAnsi" w:cstheme="majorHAnsi"/>
                <w:noProof/>
                <w:sz w:val="20"/>
                <w:szCs w:val="20"/>
              </w:rPr>
            </w:pPr>
            <w:r w:rsidRPr="007E15F6">
              <w:rPr>
                <w:rFonts w:asciiTheme="majorHAnsi" w:hAnsiTheme="majorHAnsi" w:cstheme="majorHAnsi"/>
                <w:noProof/>
                <w:sz w:val="20"/>
                <w:szCs w:val="20"/>
              </w:rPr>
              <w:t>Sweden’s ECEC consists of centr</w:t>
            </w:r>
            <w:r w:rsidR="000367F5" w:rsidRPr="007E15F6">
              <w:rPr>
                <w:rFonts w:asciiTheme="majorHAnsi" w:hAnsiTheme="majorHAnsi" w:cstheme="majorHAnsi"/>
                <w:noProof/>
                <w:sz w:val="20"/>
                <w:szCs w:val="20"/>
              </w:rPr>
              <w:t>e</w:t>
            </w:r>
            <w:r w:rsidRPr="007E15F6">
              <w:rPr>
                <w:rFonts w:asciiTheme="majorHAnsi" w:hAnsiTheme="majorHAnsi" w:cstheme="majorHAnsi"/>
                <w:noProof/>
                <w:sz w:val="20"/>
                <w:szCs w:val="20"/>
              </w:rPr>
              <w:t xml:space="preserve">s aimed at children aged between 1 and 6 years, and pre-primary class from age 6 to 7. </w:t>
            </w:r>
          </w:p>
          <w:p w14:paraId="12E9A3F4" w14:textId="0D18F4DD" w:rsidR="00F31FC5" w:rsidRPr="007E15F6" w:rsidRDefault="00F31FC5">
            <w:pPr>
              <w:pStyle w:val="ListParagraph"/>
              <w:numPr>
                <w:ilvl w:val="0"/>
                <w:numId w:val="2"/>
              </w:numPr>
              <w:rPr>
                <w:rFonts w:asciiTheme="majorHAnsi" w:hAnsiTheme="majorHAnsi" w:cstheme="majorHAnsi"/>
                <w:noProof/>
                <w:sz w:val="20"/>
                <w:szCs w:val="20"/>
              </w:rPr>
            </w:pPr>
            <w:r w:rsidRPr="007E15F6">
              <w:rPr>
                <w:rFonts w:asciiTheme="majorHAnsi" w:hAnsiTheme="majorHAnsi" w:cstheme="majorHAnsi"/>
                <w:noProof/>
                <w:sz w:val="20"/>
                <w:szCs w:val="20"/>
              </w:rPr>
              <w:t xml:space="preserve">Between 1 and 6 children can attend unitary centres (förskola) or pedagogical care.  </w:t>
            </w:r>
            <w:r w:rsidR="006F5CDD" w:rsidRPr="007E15F6">
              <w:rPr>
                <w:rFonts w:asciiTheme="majorHAnsi" w:hAnsiTheme="majorHAnsi" w:cstheme="majorHAnsi"/>
                <w:noProof/>
                <w:sz w:val="20"/>
                <w:szCs w:val="20"/>
              </w:rPr>
              <w:t>Many local authorities also offer ECEC services in open pre-schools (öppen förskola) for stay-at-home parents, where parents (or childminders) come along with their children whenever they wish.</w:t>
            </w:r>
          </w:p>
          <w:p w14:paraId="28437666" w14:textId="089BC950" w:rsidR="00F31FC5" w:rsidRPr="007E15F6" w:rsidRDefault="00F31FC5">
            <w:pPr>
              <w:pStyle w:val="ListParagraph"/>
              <w:numPr>
                <w:ilvl w:val="1"/>
                <w:numId w:val="2"/>
              </w:numPr>
              <w:rPr>
                <w:rFonts w:asciiTheme="majorHAnsi" w:hAnsiTheme="majorHAnsi" w:cstheme="majorHAnsi"/>
                <w:noProof/>
                <w:sz w:val="20"/>
                <w:szCs w:val="20"/>
              </w:rPr>
            </w:pPr>
            <w:r w:rsidRPr="007E15F6">
              <w:rPr>
                <w:rFonts w:asciiTheme="majorHAnsi" w:hAnsiTheme="majorHAnsi" w:cstheme="majorHAnsi"/>
                <w:noProof/>
                <w:sz w:val="20"/>
                <w:szCs w:val="20"/>
              </w:rPr>
              <w:t xml:space="preserve">Children are entitled to a spot in </w:t>
            </w:r>
            <w:r w:rsidR="009F7190">
              <w:rPr>
                <w:rFonts w:asciiTheme="majorHAnsi" w:hAnsiTheme="majorHAnsi" w:cstheme="majorHAnsi"/>
                <w:noProof/>
                <w:sz w:val="20"/>
                <w:szCs w:val="20"/>
              </w:rPr>
              <w:t>child care</w:t>
            </w:r>
            <w:r w:rsidRPr="007E15F6">
              <w:rPr>
                <w:rFonts w:asciiTheme="majorHAnsi" w:hAnsiTheme="majorHAnsi" w:cstheme="majorHAnsi"/>
                <w:noProof/>
                <w:sz w:val="20"/>
                <w:szCs w:val="20"/>
              </w:rPr>
              <w:t xml:space="preserve"> from age 1 </w:t>
            </w:r>
          </w:p>
          <w:p w14:paraId="3F21E7B8" w14:textId="77777777" w:rsidR="00F31FC5" w:rsidRPr="007E15F6" w:rsidRDefault="00F31FC5">
            <w:pPr>
              <w:pStyle w:val="ListParagraph"/>
              <w:numPr>
                <w:ilvl w:val="1"/>
                <w:numId w:val="2"/>
              </w:numPr>
              <w:rPr>
                <w:rFonts w:asciiTheme="majorHAnsi" w:hAnsiTheme="majorHAnsi" w:cstheme="majorHAnsi"/>
                <w:noProof/>
                <w:sz w:val="20"/>
                <w:szCs w:val="20"/>
              </w:rPr>
            </w:pPr>
            <w:r w:rsidRPr="007E15F6">
              <w:rPr>
                <w:rFonts w:asciiTheme="majorHAnsi" w:hAnsiTheme="majorHAnsi" w:cstheme="majorHAnsi"/>
                <w:noProof/>
                <w:sz w:val="20"/>
                <w:szCs w:val="20"/>
              </w:rPr>
              <w:t>From age 3 they are entitled to 525 hours per year of free care (approximately 15 hours a week)</w:t>
            </w:r>
          </w:p>
          <w:p w14:paraId="12C34E52" w14:textId="77777777" w:rsidR="00F31FC5" w:rsidRPr="007E15F6" w:rsidRDefault="00F31FC5">
            <w:pPr>
              <w:pStyle w:val="ListParagraph"/>
              <w:numPr>
                <w:ilvl w:val="0"/>
                <w:numId w:val="2"/>
              </w:numPr>
              <w:rPr>
                <w:rFonts w:asciiTheme="majorHAnsi" w:hAnsiTheme="majorHAnsi" w:cstheme="majorHAnsi"/>
                <w:noProof/>
                <w:sz w:val="20"/>
                <w:szCs w:val="20"/>
              </w:rPr>
            </w:pPr>
            <w:r w:rsidRPr="007E15F6">
              <w:rPr>
                <w:rFonts w:asciiTheme="majorHAnsi" w:hAnsiTheme="majorHAnsi" w:cstheme="majorHAnsi"/>
                <w:noProof/>
                <w:sz w:val="20"/>
                <w:szCs w:val="20"/>
              </w:rPr>
              <w:t xml:space="preserve">Children whose parents are working or studying have the right to a publicly subsided place in an after-school recreation centre. </w:t>
            </w:r>
          </w:p>
          <w:p w14:paraId="69A05669" w14:textId="77777777" w:rsidR="00F31FC5" w:rsidRPr="007E15F6" w:rsidRDefault="00F31FC5">
            <w:pPr>
              <w:pStyle w:val="ListParagraph"/>
              <w:numPr>
                <w:ilvl w:val="0"/>
                <w:numId w:val="1"/>
              </w:numPr>
              <w:rPr>
                <w:rFonts w:asciiTheme="majorHAnsi" w:hAnsiTheme="majorHAnsi" w:cstheme="majorHAnsi"/>
                <w:sz w:val="20"/>
                <w:szCs w:val="20"/>
              </w:rPr>
            </w:pPr>
            <w:r w:rsidRPr="007E15F6">
              <w:rPr>
                <w:rFonts w:asciiTheme="majorHAnsi" w:hAnsiTheme="majorHAnsi" w:cstheme="majorHAnsi"/>
                <w:noProof/>
                <w:sz w:val="20"/>
                <w:szCs w:val="20"/>
              </w:rPr>
              <w:t xml:space="preserve">Between 6 and 7 children attend pre-primary classes (förskoleclass) which is usually closely associated with the school the pupil will attend. This pre-primary class is compulsory and free of charge. </w:t>
            </w:r>
          </w:p>
          <w:p w14:paraId="471FE3F1" w14:textId="463BE57E" w:rsidR="00F31FC5" w:rsidRPr="007E15F6" w:rsidRDefault="001E6B32">
            <w:pPr>
              <w:rPr>
                <w:rFonts w:ascii="Arial Nova Cond Light" w:hAnsi="Arial Nova Cond Light" w:cstheme="majorHAnsi"/>
                <w:b/>
                <w:bCs/>
                <w:noProof/>
                <w:sz w:val="20"/>
                <w:szCs w:val="20"/>
              </w:rPr>
            </w:pPr>
            <w:r w:rsidRPr="007E15F6">
              <w:rPr>
                <w:rFonts w:ascii="Arial Nova Cond Light" w:hAnsi="Arial Nova Cond Light" w:cstheme="majorHAnsi"/>
                <w:noProof/>
                <w:sz w:val="20"/>
                <w:szCs w:val="20"/>
                <w:shd w:val="clear" w:color="auto" w:fill="FBE4D5" w:themeFill="accent2" w:themeFillTint="33"/>
                <w:lang w:eastAsia="en-AU"/>
              </w:rPr>
              <w:drawing>
                <wp:inline distT="0" distB="0" distL="0" distR="0" wp14:anchorId="02DFF3E2" wp14:editId="2E77A504">
                  <wp:extent cx="4572000" cy="1223159"/>
                  <wp:effectExtent l="0" t="0" r="0" b="0"/>
                  <wp:docPr id="25" name="Chart 25">
                    <a:extLst xmlns:a="http://schemas.openxmlformats.org/drawingml/2006/main">
                      <a:ext uri="{FF2B5EF4-FFF2-40B4-BE49-F238E27FC236}">
                        <a16:creationId xmlns:a16="http://schemas.microsoft.com/office/drawing/2014/main" id="{3844CC13-9980-4E1D-BD85-60811484E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7880AC" w14:textId="16E81A0A" w:rsidR="00F31FC5" w:rsidRPr="007E15F6" w:rsidRDefault="00F31FC5">
            <w:pPr>
              <w:rPr>
                <w:rFonts w:ascii="Arial Nova Cond Light" w:hAnsi="Arial Nova Cond Light" w:cstheme="majorHAnsi"/>
                <w:sz w:val="20"/>
                <w:szCs w:val="20"/>
              </w:rPr>
            </w:pPr>
          </w:p>
          <w:p w14:paraId="5E9BFAB6" w14:textId="7B6FE3A5" w:rsidR="00F31FC5" w:rsidRPr="007E15F6" w:rsidRDefault="00F31FC5">
            <w:pPr>
              <w:rPr>
                <w:rFonts w:asciiTheme="majorHAnsi" w:hAnsiTheme="majorHAnsi" w:cstheme="majorHAnsi"/>
                <w:noProof/>
                <w:sz w:val="20"/>
                <w:szCs w:val="20"/>
              </w:rPr>
            </w:pPr>
            <w:r w:rsidRPr="007E15F6">
              <w:rPr>
                <w:rFonts w:asciiTheme="majorHAnsi" w:hAnsiTheme="majorHAnsi" w:cstheme="majorHAnsi"/>
                <w:noProof/>
                <w:sz w:val="20"/>
                <w:szCs w:val="20"/>
              </w:rPr>
              <w:t xml:space="preserve">The fee for </w:t>
            </w:r>
            <w:r w:rsidR="008B7DFA" w:rsidRPr="007E15F6">
              <w:rPr>
                <w:rFonts w:asciiTheme="majorHAnsi" w:hAnsiTheme="majorHAnsi" w:cstheme="majorHAnsi"/>
                <w:noProof/>
                <w:sz w:val="20"/>
                <w:szCs w:val="20"/>
              </w:rPr>
              <w:t>centre-based </w:t>
            </w:r>
            <w:r w:rsidRPr="007E15F6">
              <w:rPr>
                <w:rFonts w:asciiTheme="majorHAnsi" w:hAnsiTheme="majorHAnsi" w:cstheme="majorHAnsi"/>
                <w:noProof/>
                <w:sz w:val="20"/>
                <w:szCs w:val="20"/>
              </w:rPr>
              <w:t xml:space="preserve">or pedagogical care is based on a percentage of the household’s combined income and the number of children attending ECEC. </w:t>
            </w:r>
            <w:r w:rsidR="00F76FCF" w:rsidRPr="007E15F6">
              <w:rPr>
                <w:rFonts w:asciiTheme="majorHAnsi" w:hAnsiTheme="majorHAnsi" w:cstheme="majorHAnsi"/>
                <w:noProof/>
                <w:sz w:val="20"/>
                <w:szCs w:val="20"/>
              </w:rPr>
              <w:t>Higher income households pay higher fees but there is an income cap at which point fees are capped</w:t>
            </w:r>
            <w:r w:rsidRPr="007E15F6">
              <w:rPr>
                <w:rFonts w:asciiTheme="majorHAnsi" w:hAnsiTheme="majorHAnsi" w:cstheme="majorHAnsi"/>
                <w:noProof/>
                <w:sz w:val="20"/>
                <w:szCs w:val="20"/>
              </w:rPr>
              <w:t>. The upper income limit</w:t>
            </w:r>
            <w:r w:rsidR="00F76FCF" w:rsidRPr="007E15F6">
              <w:rPr>
                <w:rFonts w:asciiTheme="majorHAnsi" w:hAnsiTheme="majorHAnsi" w:cstheme="majorHAnsi"/>
                <w:noProof/>
                <w:sz w:val="20"/>
                <w:szCs w:val="20"/>
              </w:rPr>
              <w:t xml:space="preserve"> cap</w:t>
            </w:r>
            <w:r w:rsidRPr="007E15F6">
              <w:rPr>
                <w:rFonts w:asciiTheme="majorHAnsi" w:hAnsiTheme="majorHAnsi" w:cstheme="majorHAnsi"/>
                <w:noProof/>
                <w:sz w:val="20"/>
                <w:szCs w:val="20"/>
              </w:rPr>
              <w:t xml:space="preserve"> for preschools is 50,340 SEK (approximately 7,841 AUD)/month in 2021 with any families with an income above this being measured as  50,340 as well. Low income families pay nothing.</w:t>
            </w:r>
          </w:p>
          <w:p w14:paraId="20EDF508" w14:textId="77777777" w:rsidR="00F31FC5" w:rsidRPr="007E15F6" w:rsidRDefault="00F31FC5">
            <w:pPr>
              <w:rPr>
                <w:rFonts w:asciiTheme="majorHAnsi" w:hAnsiTheme="majorHAnsi" w:cstheme="majorHAnsi"/>
                <w:noProof/>
                <w:sz w:val="20"/>
                <w:szCs w:val="20"/>
              </w:rPr>
            </w:pPr>
          </w:p>
          <w:p w14:paraId="63DE0760" w14:textId="77777777" w:rsidR="00F31FC5" w:rsidRPr="007E15F6" w:rsidRDefault="00F31FC5">
            <w:pPr>
              <w:rPr>
                <w:rFonts w:asciiTheme="majorHAnsi" w:hAnsiTheme="majorHAnsi" w:cstheme="majorHAnsi"/>
                <w:noProof/>
                <w:sz w:val="20"/>
                <w:szCs w:val="20"/>
              </w:rPr>
            </w:pPr>
            <w:r w:rsidRPr="007E15F6">
              <w:rPr>
                <w:rFonts w:asciiTheme="majorHAnsi" w:hAnsiTheme="majorHAnsi" w:cstheme="majorHAnsi"/>
                <w:noProof/>
                <w:sz w:val="20"/>
                <w:szCs w:val="20"/>
              </w:rPr>
              <w:t xml:space="preserve">Families pay different fees for each child, the highest fee is paid for the oldest child in steps until the fourth child. From the fourth child and further no fee needs to be paid for the care of additional children. </w:t>
            </w:r>
          </w:p>
          <w:p w14:paraId="57CDD50D" w14:textId="77777777" w:rsidR="00F31FC5" w:rsidRPr="007E15F6" w:rsidRDefault="00F31FC5">
            <w:pPr>
              <w:rPr>
                <w:rFonts w:asciiTheme="majorHAnsi" w:hAnsiTheme="majorHAnsi" w:cstheme="majorHAnsi"/>
                <w:noProof/>
                <w:sz w:val="20"/>
                <w:szCs w:val="20"/>
              </w:rPr>
            </w:pPr>
          </w:p>
          <w:p w14:paraId="0E733223" w14:textId="51DAFB4E" w:rsidR="00F31FC5" w:rsidRPr="007E15F6" w:rsidRDefault="00F31FC5">
            <w:pPr>
              <w:rPr>
                <w:rFonts w:asciiTheme="majorHAnsi" w:hAnsiTheme="majorHAnsi" w:cstheme="majorHAnsi"/>
                <w:noProof/>
                <w:sz w:val="20"/>
                <w:szCs w:val="20"/>
              </w:rPr>
            </w:pPr>
            <w:r w:rsidRPr="007E15F6">
              <w:rPr>
                <w:rFonts w:asciiTheme="majorHAnsi" w:hAnsiTheme="majorHAnsi" w:cstheme="majorHAnsi"/>
                <w:noProof/>
                <w:sz w:val="20"/>
                <w:szCs w:val="20"/>
              </w:rPr>
              <w:t>For children aged 3–5, the fee is reduced by 25</w:t>
            </w:r>
            <w:r w:rsidR="00DE5BCF" w:rsidRPr="007E15F6">
              <w:rPr>
                <w:rFonts w:asciiTheme="majorHAnsi" w:hAnsiTheme="majorHAnsi" w:cstheme="majorHAnsi"/>
                <w:noProof/>
                <w:sz w:val="20"/>
                <w:szCs w:val="20"/>
              </w:rPr>
              <w:t>%</w:t>
            </w:r>
            <w:r w:rsidRPr="007E15F6">
              <w:rPr>
                <w:rFonts w:asciiTheme="majorHAnsi" w:hAnsiTheme="majorHAnsi" w:cstheme="majorHAnsi"/>
                <w:noProof/>
                <w:sz w:val="20"/>
                <w:szCs w:val="20"/>
              </w:rPr>
              <w:t>. If the child attends the establishment for 15 hours a week or less, the universal preschool is free of charge</w:t>
            </w:r>
            <w:r w:rsidR="008B7DFA" w:rsidRPr="007E15F6">
              <w:rPr>
                <w:rFonts w:asciiTheme="majorHAnsi" w:hAnsiTheme="majorHAnsi" w:cstheme="majorHAnsi"/>
                <w:noProof/>
                <w:sz w:val="20"/>
                <w:szCs w:val="20"/>
              </w:rPr>
              <w:t xml:space="preserve"> </w:t>
            </w:r>
            <w:r w:rsidRPr="007E15F6">
              <w:rPr>
                <w:rFonts w:asciiTheme="majorHAnsi" w:hAnsiTheme="majorHAnsi" w:cstheme="majorHAnsi"/>
                <w:noProof/>
                <w:sz w:val="20"/>
                <w:szCs w:val="20"/>
              </w:rPr>
              <w:t xml:space="preserve">. </w:t>
            </w:r>
          </w:p>
          <w:p w14:paraId="74571718" w14:textId="77777777" w:rsidR="00F31FC5" w:rsidRPr="007E15F6" w:rsidRDefault="00F31FC5">
            <w:pPr>
              <w:rPr>
                <w:rFonts w:asciiTheme="majorHAnsi" w:hAnsiTheme="majorHAnsi" w:cstheme="majorHAnsi"/>
                <w:noProof/>
                <w:sz w:val="20"/>
                <w:szCs w:val="20"/>
              </w:rPr>
            </w:pPr>
          </w:p>
          <w:p w14:paraId="520A8282" w14:textId="11594F21" w:rsidR="00F31FC5" w:rsidRPr="00DB4DC6" w:rsidRDefault="00F31FC5">
            <w:pPr>
              <w:shd w:val="clear" w:color="auto" w:fill="FBE4D5" w:themeFill="accent2" w:themeFillTint="33"/>
              <w:spacing w:after="150"/>
              <w:rPr>
                <w:rFonts w:asciiTheme="majorHAnsi" w:eastAsia="Times New Roman" w:hAnsiTheme="majorHAnsi" w:cstheme="majorHAnsi"/>
                <w:i/>
                <w:iCs/>
                <w:sz w:val="20"/>
                <w:szCs w:val="20"/>
              </w:rPr>
            </w:pPr>
            <w:r w:rsidRPr="00DB4DC6">
              <w:rPr>
                <w:rFonts w:asciiTheme="majorHAnsi" w:eastAsia="Times New Roman" w:hAnsiTheme="majorHAnsi" w:cstheme="majorHAnsi"/>
                <w:i/>
                <w:iCs/>
                <w:sz w:val="20"/>
                <w:szCs w:val="20"/>
              </w:rPr>
              <w:t>Fees for</w:t>
            </w:r>
            <w:r w:rsidR="00DE5BCF" w:rsidRPr="00DB4DC6">
              <w:rPr>
                <w:rFonts w:asciiTheme="majorHAnsi" w:eastAsia="Times New Roman" w:hAnsiTheme="majorHAnsi" w:cstheme="majorHAnsi"/>
                <w:i/>
                <w:iCs/>
                <w:sz w:val="20"/>
                <w:szCs w:val="20"/>
              </w:rPr>
              <w:t xml:space="preserve"> ECEC</w:t>
            </w:r>
            <w:r w:rsidRPr="00DB4DC6">
              <w:rPr>
                <w:rFonts w:asciiTheme="majorHAnsi" w:eastAsia="Times New Roman" w:hAnsiTheme="majorHAnsi" w:cstheme="majorHAnsi"/>
                <w:i/>
                <w:iCs/>
                <w:sz w:val="20"/>
                <w:szCs w:val="20"/>
              </w:rPr>
              <w:t xml:space="preserve"> 2021</w:t>
            </w:r>
          </w:p>
          <w:tbl>
            <w:tblPr>
              <w:tblpPr w:leftFromText="180" w:rightFromText="180" w:vertAnchor="text" w:horzAnchor="page" w:tblpX="714" w:tblpY="-109"/>
              <w:tblOverlap w:val="never"/>
              <w:tblW w:w="5955" w:type="dxa"/>
              <w:tblCellSpacing w:w="7" w:type="dxa"/>
              <w:shd w:val="clear" w:color="auto" w:fill="FBE4D5" w:themeFill="accent2" w:themeFillTint="33"/>
              <w:tblCellMar>
                <w:left w:w="0" w:type="dxa"/>
                <w:right w:w="0" w:type="dxa"/>
              </w:tblCellMar>
              <w:tblLook w:val="04A0" w:firstRow="1" w:lastRow="0" w:firstColumn="1" w:lastColumn="0" w:noHBand="0" w:noVBand="1"/>
            </w:tblPr>
            <w:tblGrid>
              <w:gridCol w:w="1156"/>
              <w:gridCol w:w="1426"/>
              <w:gridCol w:w="1813"/>
              <w:gridCol w:w="1560"/>
            </w:tblGrid>
            <w:tr w:rsidR="00F31FC5" w:rsidRPr="00DB4DC6" w14:paraId="52252D2B" w14:textId="77777777" w:rsidTr="00640E97">
              <w:trPr>
                <w:trHeight w:val="227"/>
                <w:tblCellSpacing w:w="7" w:type="dxa"/>
              </w:trPr>
              <w:tc>
                <w:tcPr>
                  <w:tcW w:w="1135" w:type="dxa"/>
                  <w:tcBorders>
                    <w:bottom w:val="single" w:sz="4" w:space="0" w:color="auto"/>
                  </w:tcBorders>
                  <w:shd w:val="clear" w:color="auto" w:fill="FBE4D5" w:themeFill="accent2" w:themeFillTint="33"/>
                  <w:vAlign w:val="center"/>
                  <w:hideMark/>
                </w:tcPr>
                <w:p w14:paraId="783DA863"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Child</w:t>
                  </w:r>
                </w:p>
              </w:tc>
              <w:tc>
                <w:tcPr>
                  <w:tcW w:w="1412" w:type="dxa"/>
                  <w:tcBorders>
                    <w:bottom w:val="single" w:sz="4" w:space="0" w:color="auto"/>
                  </w:tcBorders>
                  <w:shd w:val="clear" w:color="auto" w:fill="FBE4D5" w:themeFill="accent2" w:themeFillTint="33"/>
                  <w:vAlign w:val="center"/>
                  <w:hideMark/>
                </w:tcPr>
                <w:p w14:paraId="7071E522"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 of monthly income </w:t>
                  </w:r>
                </w:p>
              </w:tc>
              <w:tc>
                <w:tcPr>
                  <w:tcW w:w="1799" w:type="dxa"/>
                  <w:tcBorders>
                    <w:bottom w:val="single" w:sz="4" w:space="0" w:color="auto"/>
                  </w:tcBorders>
                  <w:shd w:val="clear" w:color="auto" w:fill="FBE4D5" w:themeFill="accent2" w:themeFillTint="33"/>
                  <w:vAlign w:val="center"/>
                  <w:hideMark/>
                </w:tcPr>
                <w:p w14:paraId="5C703D44"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Maximum monthly cost in SEK</w:t>
                  </w:r>
                </w:p>
              </w:tc>
              <w:tc>
                <w:tcPr>
                  <w:tcW w:w="1539" w:type="dxa"/>
                  <w:tcBorders>
                    <w:bottom w:val="single" w:sz="4" w:space="0" w:color="auto"/>
                  </w:tcBorders>
                  <w:shd w:val="clear" w:color="auto" w:fill="FBE4D5" w:themeFill="accent2" w:themeFillTint="33"/>
                </w:tcPr>
                <w:p w14:paraId="58EB338A"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Maximum monthly cost in AUD</w:t>
                  </w:r>
                </w:p>
              </w:tc>
            </w:tr>
            <w:tr w:rsidR="00F31FC5" w:rsidRPr="00DB4DC6" w14:paraId="7FE300D1" w14:textId="77777777" w:rsidTr="00640E97">
              <w:trPr>
                <w:trHeight w:val="227"/>
                <w:tblCellSpacing w:w="7" w:type="dxa"/>
              </w:trPr>
              <w:tc>
                <w:tcPr>
                  <w:tcW w:w="1135" w:type="dxa"/>
                  <w:shd w:val="clear" w:color="auto" w:fill="FBE4D5" w:themeFill="accent2" w:themeFillTint="33"/>
                  <w:vAlign w:val="center"/>
                  <w:hideMark/>
                </w:tcPr>
                <w:p w14:paraId="7742A402"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Child 1</w:t>
                  </w:r>
                </w:p>
              </w:tc>
              <w:tc>
                <w:tcPr>
                  <w:tcW w:w="1412" w:type="dxa"/>
                  <w:shd w:val="clear" w:color="auto" w:fill="FBE4D5" w:themeFill="accent2" w:themeFillTint="33"/>
                  <w:vAlign w:val="center"/>
                  <w:hideMark/>
                </w:tcPr>
                <w:p w14:paraId="529AD550"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3%</w:t>
                  </w:r>
                </w:p>
              </w:tc>
              <w:tc>
                <w:tcPr>
                  <w:tcW w:w="1799" w:type="dxa"/>
                  <w:shd w:val="clear" w:color="auto" w:fill="FBE4D5" w:themeFill="accent2" w:themeFillTint="33"/>
                  <w:vAlign w:val="center"/>
                  <w:hideMark/>
                </w:tcPr>
                <w:p w14:paraId="18F6502E"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1,510 SEK</w:t>
                  </w:r>
                </w:p>
              </w:tc>
              <w:tc>
                <w:tcPr>
                  <w:tcW w:w="1539" w:type="dxa"/>
                  <w:shd w:val="clear" w:color="auto" w:fill="FBE4D5" w:themeFill="accent2" w:themeFillTint="33"/>
                </w:tcPr>
                <w:p w14:paraId="3C6EC0B0"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235</w:t>
                  </w:r>
                </w:p>
              </w:tc>
            </w:tr>
            <w:tr w:rsidR="00F31FC5" w:rsidRPr="00DB4DC6" w14:paraId="53B9E771" w14:textId="77777777" w:rsidTr="00640E97">
              <w:trPr>
                <w:trHeight w:val="227"/>
                <w:tblCellSpacing w:w="7" w:type="dxa"/>
              </w:trPr>
              <w:tc>
                <w:tcPr>
                  <w:tcW w:w="1135" w:type="dxa"/>
                  <w:shd w:val="clear" w:color="auto" w:fill="FBE4D5" w:themeFill="accent2" w:themeFillTint="33"/>
                  <w:vAlign w:val="center"/>
                  <w:hideMark/>
                </w:tcPr>
                <w:p w14:paraId="42A34CCF"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Child 2</w:t>
                  </w:r>
                </w:p>
              </w:tc>
              <w:tc>
                <w:tcPr>
                  <w:tcW w:w="1412" w:type="dxa"/>
                  <w:shd w:val="clear" w:color="auto" w:fill="FBE4D5" w:themeFill="accent2" w:themeFillTint="33"/>
                  <w:vAlign w:val="center"/>
                  <w:hideMark/>
                </w:tcPr>
                <w:p w14:paraId="0DC676D8"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2%</w:t>
                  </w:r>
                </w:p>
              </w:tc>
              <w:tc>
                <w:tcPr>
                  <w:tcW w:w="1799" w:type="dxa"/>
                  <w:shd w:val="clear" w:color="auto" w:fill="FBE4D5" w:themeFill="accent2" w:themeFillTint="33"/>
                  <w:vAlign w:val="center"/>
                  <w:hideMark/>
                </w:tcPr>
                <w:p w14:paraId="11CA078D"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1,007 SEK</w:t>
                  </w:r>
                </w:p>
              </w:tc>
              <w:tc>
                <w:tcPr>
                  <w:tcW w:w="1539" w:type="dxa"/>
                  <w:shd w:val="clear" w:color="auto" w:fill="FBE4D5" w:themeFill="accent2" w:themeFillTint="33"/>
                </w:tcPr>
                <w:p w14:paraId="0E905FDA"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 xml:space="preserve">157 </w:t>
                  </w:r>
                </w:p>
              </w:tc>
            </w:tr>
            <w:tr w:rsidR="00F31FC5" w:rsidRPr="00DB4DC6" w14:paraId="37D65109" w14:textId="77777777" w:rsidTr="00640E97">
              <w:trPr>
                <w:trHeight w:val="227"/>
                <w:tblCellSpacing w:w="7" w:type="dxa"/>
              </w:trPr>
              <w:tc>
                <w:tcPr>
                  <w:tcW w:w="1135" w:type="dxa"/>
                  <w:shd w:val="clear" w:color="auto" w:fill="FBE4D5" w:themeFill="accent2" w:themeFillTint="33"/>
                  <w:vAlign w:val="center"/>
                  <w:hideMark/>
                </w:tcPr>
                <w:p w14:paraId="1DF0AB33"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Child 3</w:t>
                  </w:r>
                </w:p>
              </w:tc>
              <w:tc>
                <w:tcPr>
                  <w:tcW w:w="1412" w:type="dxa"/>
                  <w:shd w:val="clear" w:color="auto" w:fill="FBE4D5" w:themeFill="accent2" w:themeFillTint="33"/>
                  <w:vAlign w:val="center"/>
                  <w:hideMark/>
                </w:tcPr>
                <w:p w14:paraId="34E49281"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1%</w:t>
                  </w:r>
                </w:p>
              </w:tc>
              <w:tc>
                <w:tcPr>
                  <w:tcW w:w="1799" w:type="dxa"/>
                  <w:shd w:val="clear" w:color="auto" w:fill="FBE4D5" w:themeFill="accent2" w:themeFillTint="33"/>
                  <w:vAlign w:val="center"/>
                  <w:hideMark/>
                </w:tcPr>
                <w:p w14:paraId="3FD52393"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503 SEK</w:t>
                  </w:r>
                </w:p>
              </w:tc>
              <w:tc>
                <w:tcPr>
                  <w:tcW w:w="1539" w:type="dxa"/>
                  <w:shd w:val="clear" w:color="auto" w:fill="FBE4D5" w:themeFill="accent2" w:themeFillTint="33"/>
                </w:tcPr>
                <w:p w14:paraId="6EC28788"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78</w:t>
                  </w:r>
                </w:p>
              </w:tc>
            </w:tr>
            <w:tr w:rsidR="00F31FC5" w:rsidRPr="00DB4DC6" w14:paraId="6849BB39" w14:textId="77777777" w:rsidTr="00640E97">
              <w:trPr>
                <w:trHeight w:val="227"/>
                <w:tblCellSpacing w:w="7" w:type="dxa"/>
              </w:trPr>
              <w:tc>
                <w:tcPr>
                  <w:tcW w:w="1135" w:type="dxa"/>
                  <w:tcBorders>
                    <w:bottom w:val="single" w:sz="4" w:space="0" w:color="auto"/>
                  </w:tcBorders>
                  <w:shd w:val="clear" w:color="auto" w:fill="FBE4D5" w:themeFill="accent2" w:themeFillTint="33"/>
                  <w:vAlign w:val="center"/>
                  <w:hideMark/>
                </w:tcPr>
                <w:p w14:paraId="33EF9E03"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Child 4+</w:t>
                  </w:r>
                </w:p>
              </w:tc>
              <w:tc>
                <w:tcPr>
                  <w:tcW w:w="1412" w:type="dxa"/>
                  <w:tcBorders>
                    <w:bottom w:val="single" w:sz="4" w:space="0" w:color="auto"/>
                  </w:tcBorders>
                  <w:shd w:val="clear" w:color="auto" w:fill="FBE4D5" w:themeFill="accent2" w:themeFillTint="33"/>
                  <w:vAlign w:val="center"/>
                  <w:hideMark/>
                </w:tcPr>
                <w:p w14:paraId="0A8DA778"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no fee</w:t>
                  </w:r>
                </w:p>
              </w:tc>
              <w:tc>
                <w:tcPr>
                  <w:tcW w:w="1799" w:type="dxa"/>
                  <w:tcBorders>
                    <w:bottom w:val="single" w:sz="4" w:space="0" w:color="auto"/>
                  </w:tcBorders>
                  <w:shd w:val="clear" w:color="auto" w:fill="FBE4D5" w:themeFill="accent2" w:themeFillTint="33"/>
                  <w:vAlign w:val="center"/>
                  <w:hideMark/>
                </w:tcPr>
                <w:p w14:paraId="775E59EB"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r w:rsidRPr="00DB4DC6">
                    <w:rPr>
                      <w:rFonts w:asciiTheme="majorHAnsi" w:hAnsiTheme="majorHAnsi" w:cstheme="majorHAnsi"/>
                      <w:noProof/>
                      <w:sz w:val="20"/>
                      <w:szCs w:val="20"/>
                    </w:rPr>
                    <w:t>-</w:t>
                  </w:r>
                </w:p>
              </w:tc>
              <w:tc>
                <w:tcPr>
                  <w:tcW w:w="1539" w:type="dxa"/>
                  <w:tcBorders>
                    <w:bottom w:val="single" w:sz="4" w:space="0" w:color="auto"/>
                  </w:tcBorders>
                  <w:shd w:val="clear" w:color="auto" w:fill="FBE4D5" w:themeFill="accent2" w:themeFillTint="33"/>
                </w:tcPr>
                <w:p w14:paraId="79AC7677" w14:textId="77777777" w:rsidR="00F31FC5" w:rsidRPr="00DB4DC6" w:rsidRDefault="00F31FC5">
                  <w:pPr>
                    <w:shd w:val="clear" w:color="auto" w:fill="FBE4D5" w:themeFill="accent2" w:themeFillTint="33"/>
                    <w:spacing w:after="0" w:line="240" w:lineRule="auto"/>
                    <w:rPr>
                      <w:rFonts w:asciiTheme="majorHAnsi" w:hAnsiTheme="majorHAnsi" w:cstheme="majorHAnsi"/>
                      <w:noProof/>
                      <w:sz w:val="20"/>
                      <w:szCs w:val="20"/>
                    </w:rPr>
                  </w:pPr>
                </w:p>
              </w:tc>
            </w:tr>
          </w:tbl>
          <w:p w14:paraId="6FA06D9E" w14:textId="77777777" w:rsidR="00F31FC5" w:rsidRPr="007E15F6" w:rsidRDefault="00F31FC5">
            <w:pPr>
              <w:shd w:val="clear" w:color="auto" w:fill="FBE4D5" w:themeFill="accent2" w:themeFillTint="33"/>
              <w:spacing w:after="150"/>
              <w:rPr>
                <w:rFonts w:asciiTheme="majorHAnsi" w:eastAsia="Times New Roman" w:hAnsiTheme="majorHAnsi" w:cstheme="majorHAnsi"/>
                <w:b/>
                <w:bCs/>
                <w:sz w:val="20"/>
                <w:szCs w:val="20"/>
              </w:rPr>
            </w:pPr>
          </w:p>
          <w:p w14:paraId="789A4686" w14:textId="77777777" w:rsidR="00F31FC5" w:rsidRPr="007E15F6" w:rsidRDefault="00F31FC5">
            <w:pPr>
              <w:ind w:left="360"/>
              <w:rPr>
                <w:rFonts w:asciiTheme="majorHAnsi" w:hAnsiTheme="majorHAnsi" w:cstheme="majorHAnsi"/>
                <w:sz w:val="20"/>
                <w:szCs w:val="20"/>
              </w:rPr>
            </w:pPr>
          </w:p>
          <w:p w14:paraId="519073E5" w14:textId="77777777" w:rsidR="00F31FC5" w:rsidRPr="007E15F6" w:rsidRDefault="00F31FC5">
            <w:pPr>
              <w:ind w:left="360"/>
              <w:rPr>
                <w:rFonts w:asciiTheme="majorHAnsi" w:hAnsiTheme="majorHAnsi" w:cstheme="majorHAnsi"/>
                <w:sz w:val="20"/>
                <w:szCs w:val="20"/>
              </w:rPr>
            </w:pPr>
          </w:p>
          <w:p w14:paraId="2DBB03B7" w14:textId="77777777" w:rsidR="00F31FC5" w:rsidRPr="007E15F6" w:rsidRDefault="00F31FC5">
            <w:pPr>
              <w:ind w:left="360"/>
              <w:rPr>
                <w:rFonts w:asciiTheme="majorHAnsi" w:hAnsiTheme="majorHAnsi" w:cstheme="majorHAnsi"/>
                <w:sz w:val="20"/>
                <w:szCs w:val="20"/>
              </w:rPr>
            </w:pPr>
          </w:p>
          <w:p w14:paraId="7A8A500E" w14:textId="77777777" w:rsidR="00F31FC5" w:rsidRPr="007E15F6" w:rsidRDefault="00F31FC5">
            <w:pPr>
              <w:ind w:left="360"/>
              <w:rPr>
                <w:rFonts w:asciiTheme="majorHAnsi" w:hAnsiTheme="majorHAnsi" w:cstheme="majorHAnsi"/>
                <w:sz w:val="20"/>
                <w:szCs w:val="20"/>
              </w:rPr>
            </w:pPr>
          </w:p>
          <w:p w14:paraId="3327FE39" w14:textId="77777777" w:rsidR="00F31FC5" w:rsidRPr="007E15F6" w:rsidRDefault="00F31FC5">
            <w:pPr>
              <w:ind w:left="360"/>
              <w:rPr>
                <w:rFonts w:asciiTheme="majorHAnsi" w:hAnsiTheme="majorHAnsi" w:cstheme="majorHAnsi"/>
                <w:sz w:val="20"/>
                <w:szCs w:val="20"/>
              </w:rPr>
            </w:pPr>
          </w:p>
          <w:p w14:paraId="604E2EED" w14:textId="7D8CEF4A" w:rsidR="008B7DFA" w:rsidRPr="007E15F6" w:rsidRDefault="008B7DFA">
            <w:pPr>
              <w:rPr>
                <w:rFonts w:asciiTheme="majorHAnsi" w:hAnsiTheme="majorHAnsi" w:cstheme="majorHAnsi"/>
                <w:sz w:val="20"/>
                <w:szCs w:val="20"/>
              </w:rPr>
            </w:pPr>
            <w:r w:rsidRPr="007E15F6">
              <w:rPr>
                <w:rFonts w:asciiTheme="majorHAnsi" w:hAnsiTheme="majorHAnsi" w:cstheme="majorHAnsi"/>
                <w:sz w:val="20"/>
                <w:szCs w:val="20"/>
              </w:rPr>
              <w:t xml:space="preserve">In 2019, participation rates were 51% for children aged 1, 91% for children aged 2, 94% for children aged 3 and 95% for children aged 4 </w:t>
            </w:r>
            <w:sdt>
              <w:sdtPr>
                <w:rPr>
                  <w:rFonts w:asciiTheme="majorHAnsi" w:hAnsiTheme="majorHAnsi" w:cstheme="majorHAnsi"/>
                  <w:sz w:val="20"/>
                  <w:szCs w:val="20"/>
                </w:rPr>
                <w:id w:val="1444577778"/>
                <w:citation/>
              </w:sdtPr>
              <w:sdtEndPr/>
              <w:sdtContent>
                <w:r w:rsidRPr="007E15F6">
                  <w:rPr>
                    <w:rFonts w:asciiTheme="majorHAnsi" w:hAnsiTheme="majorHAnsi" w:cstheme="majorHAnsi"/>
                    <w:sz w:val="20"/>
                    <w:szCs w:val="20"/>
                  </w:rPr>
                  <w:fldChar w:fldCharType="begin"/>
                </w:r>
                <w:r w:rsidRPr="007E15F6">
                  <w:rPr>
                    <w:rFonts w:asciiTheme="majorHAnsi" w:hAnsiTheme="majorHAnsi" w:cstheme="majorHAnsi"/>
                    <w:sz w:val="20"/>
                    <w:szCs w:val="20"/>
                  </w:rPr>
                  <w:instrText xml:space="preserve">CITATION Nat21 \l 3081 </w:instrText>
                </w:r>
                <w:r w:rsidRPr="007E15F6">
                  <w:rPr>
                    <w:rFonts w:asciiTheme="majorHAnsi" w:hAnsiTheme="majorHAnsi" w:cstheme="majorHAnsi"/>
                    <w:sz w:val="20"/>
                    <w:szCs w:val="20"/>
                  </w:rPr>
                  <w:fldChar w:fldCharType="separate"/>
                </w:r>
                <w:r w:rsidR="00BE2DD4" w:rsidRPr="00BC70D8">
                  <w:rPr>
                    <w:rFonts w:asciiTheme="majorHAnsi" w:hAnsiTheme="majorHAnsi" w:cstheme="majorHAnsi"/>
                    <w:noProof/>
                    <w:sz w:val="20"/>
                    <w:szCs w:val="20"/>
                  </w:rPr>
                  <w:t>(National Agency for Education (Skolverket), 2021)</w:t>
                </w:r>
                <w:r w:rsidRPr="007E15F6">
                  <w:rPr>
                    <w:rFonts w:asciiTheme="majorHAnsi" w:hAnsiTheme="majorHAnsi" w:cstheme="majorHAnsi"/>
                    <w:sz w:val="20"/>
                    <w:szCs w:val="20"/>
                  </w:rPr>
                  <w:fldChar w:fldCharType="end"/>
                </w:r>
              </w:sdtContent>
            </w:sdt>
          </w:p>
          <w:p w14:paraId="500AC148" w14:textId="77777777" w:rsidR="00F31FC5" w:rsidRPr="007E15F6" w:rsidRDefault="00F31FC5">
            <w:pPr>
              <w:rPr>
                <w:rFonts w:ascii="Arial Nova Cond Light" w:hAnsi="Arial Nova Cond Light" w:cstheme="majorHAnsi"/>
                <w:b/>
                <w:bCs/>
                <w:noProof/>
                <w:sz w:val="20"/>
                <w:szCs w:val="20"/>
              </w:rPr>
            </w:pPr>
          </w:p>
        </w:tc>
      </w:tr>
    </w:tbl>
    <w:p w14:paraId="45FCDB32" w14:textId="7A862FCC" w:rsidR="00DB4DC6" w:rsidRDefault="008B7DFA" w:rsidP="008A350F">
      <w:pPr>
        <w:pStyle w:val="Caption"/>
        <w:spacing w:line="276" w:lineRule="auto"/>
        <w:rPr>
          <w:i w:val="0"/>
          <w:iCs w:val="0"/>
        </w:rPr>
      </w:pPr>
      <w:r w:rsidRPr="007E15F6">
        <w:rPr>
          <w:i w:val="0"/>
          <w:iCs w:val="0"/>
          <w:color w:val="auto"/>
        </w:rPr>
        <w:t xml:space="preserve">Source: </w:t>
      </w:r>
      <w:r w:rsidR="00B23788" w:rsidRPr="007E15F6">
        <w:rPr>
          <w:i w:val="0"/>
          <w:iCs w:val="0"/>
          <w:noProof/>
          <w:color w:val="auto"/>
        </w:rPr>
        <w:t>European Commission, 2019</w:t>
      </w:r>
      <w:r w:rsidR="00DB4DC6">
        <w:br w:type="page"/>
      </w:r>
    </w:p>
    <w:p w14:paraId="0898E75B" w14:textId="77777777" w:rsidR="00DB4DC6" w:rsidRDefault="00DB4DC6">
      <w:pPr>
        <w:rPr>
          <w:i/>
          <w:iCs/>
        </w:rPr>
      </w:pPr>
    </w:p>
    <w:p w14:paraId="27B42C36" w14:textId="5C08C89F" w:rsidR="001253A2" w:rsidRDefault="001253A2">
      <w:pPr>
        <w:rPr>
          <w:i/>
          <w:iCs/>
        </w:rPr>
      </w:pPr>
      <w:r w:rsidRPr="006C6E6D">
        <w:rPr>
          <w:i/>
          <w:iCs/>
        </w:rPr>
        <w:t xml:space="preserve">Public opinion regarding </w:t>
      </w:r>
      <w:r w:rsidR="009F7190">
        <w:rPr>
          <w:i/>
          <w:iCs/>
        </w:rPr>
        <w:t>child care</w:t>
      </w:r>
      <w:r w:rsidRPr="006C6E6D">
        <w:rPr>
          <w:i/>
          <w:iCs/>
        </w:rPr>
        <w:t xml:space="preserve"> </w:t>
      </w:r>
    </w:p>
    <w:p w14:paraId="02019AB5" w14:textId="2175F859" w:rsidR="00EE7686" w:rsidRPr="006C6E6D" w:rsidRDefault="001253A2">
      <w:pPr>
        <w:rPr>
          <w:i/>
          <w:iCs/>
        </w:rPr>
      </w:pPr>
      <w:r>
        <w:t xml:space="preserve">Another important difference between countries is public opinion regarding who should be the provider of </w:t>
      </w:r>
      <w:r w:rsidR="009F7190">
        <w:t>child care</w:t>
      </w:r>
      <w:r>
        <w:t xml:space="preserve">. As seen earlier, in </w:t>
      </w:r>
      <w:r>
        <w:fldChar w:fldCharType="begin"/>
      </w:r>
      <w:r>
        <w:instrText xml:space="preserve"> REF _Ref81067402 \h </w:instrText>
      </w:r>
      <w:r>
        <w:fldChar w:fldCharType="separate"/>
      </w:r>
      <w:r w:rsidR="00115E22">
        <w:t xml:space="preserve">Table </w:t>
      </w:r>
      <w:r w:rsidR="00115E22">
        <w:rPr>
          <w:noProof/>
        </w:rPr>
        <w:t>3</w:t>
      </w:r>
      <w:r>
        <w:fldChar w:fldCharType="end"/>
      </w:r>
      <w:r>
        <w:t xml:space="preserve">, views on who should provide </w:t>
      </w:r>
      <w:r w:rsidR="009F7190">
        <w:t>child care</w:t>
      </w:r>
      <w:r>
        <w:t xml:space="preserve"> for children under-school age </w:t>
      </w:r>
      <w:r w:rsidR="009D7761">
        <w:t xml:space="preserve">differs by social context. In the Nordic countries, a high percentage of the public believe that government agencies should be the main provider of </w:t>
      </w:r>
      <w:r w:rsidR="009F7190">
        <w:t>child care</w:t>
      </w:r>
      <w:r w:rsidR="009D7761">
        <w:t xml:space="preserve">, whereas in other countries, notably eastern-European ones such as Latvia and Poland the majority believe it should be family members who are the main providers of care. </w:t>
      </w:r>
      <w:r w:rsidR="00F6395D">
        <w:t xml:space="preserve"> </w:t>
      </w:r>
    </w:p>
    <w:p w14:paraId="6757B5E8" w14:textId="3AAB45F6" w:rsidR="009D7761" w:rsidRDefault="00334C53" w:rsidP="006C6E6D">
      <w:pPr>
        <w:pStyle w:val="Caption"/>
        <w:keepNext/>
      </w:pPr>
      <w:r>
        <w:rPr>
          <w:noProof/>
          <w:lang w:eastAsia="en-AU"/>
        </w:rPr>
        <w:drawing>
          <wp:anchor distT="0" distB="0" distL="114300" distR="114300" simplePos="0" relativeHeight="251658269" behindDoc="0" locked="0" layoutInCell="1" allowOverlap="1" wp14:anchorId="59F9BC2F" wp14:editId="29439713">
            <wp:simplePos x="0" y="0"/>
            <wp:positionH relativeFrom="column">
              <wp:posOffset>-190500</wp:posOffset>
            </wp:positionH>
            <wp:positionV relativeFrom="paragraph">
              <wp:posOffset>265430</wp:posOffset>
            </wp:positionV>
            <wp:extent cx="6012815" cy="3627755"/>
            <wp:effectExtent l="0" t="0" r="6985" b="0"/>
            <wp:wrapTopAndBottom/>
            <wp:docPr id="1" name="Chart 1">
              <a:extLst xmlns:a="http://schemas.openxmlformats.org/drawingml/2006/main">
                <a:ext uri="{FF2B5EF4-FFF2-40B4-BE49-F238E27FC236}">
                  <a16:creationId xmlns:a16="http://schemas.microsoft.com/office/drawing/2014/main" id="{181DDC11-6777-465A-A7DB-096AFD5E1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9D7761">
        <w:t xml:space="preserve">Figure </w:t>
      </w:r>
      <w:fldSimple w:instr=" SEQ Figure \* ARABIC ">
        <w:r w:rsidR="00115E22">
          <w:rPr>
            <w:noProof/>
          </w:rPr>
          <w:t>23</w:t>
        </w:r>
      </w:fldSimple>
      <w:r w:rsidR="009D7761">
        <w:t xml:space="preserve"> Public opinion regarding who should be the main provider of </w:t>
      </w:r>
      <w:r w:rsidR="009F7190">
        <w:t>child care</w:t>
      </w:r>
      <w:r w:rsidR="009D7761">
        <w:t xml:space="preserve"> for children under school-age</w:t>
      </w:r>
    </w:p>
    <w:p w14:paraId="0CE7B36D" w14:textId="27852B3C" w:rsidR="00510CC4" w:rsidRDefault="00510CC4" w:rsidP="00EE7686">
      <w:pPr>
        <w:pStyle w:val="ListParagraph"/>
        <w:spacing w:line="240" w:lineRule="auto"/>
        <w:rPr>
          <w:sz w:val="18"/>
          <w:szCs w:val="18"/>
        </w:rPr>
      </w:pPr>
    </w:p>
    <w:p w14:paraId="0C93115E" w14:textId="2105BD87" w:rsidR="009D7761" w:rsidRDefault="009D7761">
      <w:pPr>
        <w:spacing w:line="240" w:lineRule="auto"/>
        <w:rPr>
          <w:sz w:val="18"/>
          <w:szCs w:val="18"/>
        </w:rPr>
      </w:pPr>
      <w:r w:rsidRPr="007E15F6">
        <w:rPr>
          <w:sz w:val="18"/>
          <w:szCs w:val="18"/>
        </w:rPr>
        <w:t>Source: International Social Survey Programme, 2012 (weighted data)</w:t>
      </w:r>
    </w:p>
    <w:p w14:paraId="028BD805" w14:textId="4003E638" w:rsidR="00BF0166" w:rsidRPr="006C6E6D" w:rsidRDefault="00BF0166" w:rsidP="00BF0166">
      <w:pPr>
        <w:rPr>
          <w:i/>
          <w:iCs/>
        </w:rPr>
      </w:pPr>
      <w:r>
        <w:t xml:space="preserve">These opinions tend to reflect the current provision structure of the countries </w:t>
      </w:r>
      <w:r w:rsidR="007E103D">
        <w:rPr>
          <w:noProof/>
        </w:rPr>
        <w:t>(Chung &amp; Meuleman, 2017)</w:t>
      </w:r>
      <w:r>
        <w:t xml:space="preserve"> and highlight the importance of policy-attitude feedback. As </w:t>
      </w:r>
      <w:r>
        <w:rPr>
          <w:noProof/>
        </w:rPr>
        <w:t>(Ellingsæter, et al. 2017)</w:t>
      </w:r>
      <w:r>
        <w:t xml:space="preserve"> have highlighted with regards to Norway, </w:t>
      </w:r>
      <w:r w:rsidR="009F7190">
        <w:t>child care</w:t>
      </w:r>
      <w:r>
        <w:t xml:space="preserve"> reform not only changes parents’ access to care resources, it may also bring about changes in the way parents think about care. In Norway there were some large-scale reforms of </w:t>
      </w:r>
      <w:r w:rsidR="009F7190">
        <w:t>child care</w:t>
      </w:r>
      <w:r>
        <w:t xml:space="preserve"> in the 2000s, leading to an expansion of universal </w:t>
      </w:r>
      <w:r w:rsidR="009F7190">
        <w:t>child care</w:t>
      </w:r>
      <w:r>
        <w:t xml:space="preserve"> for young children. Attitude surveys from 2002 and 2010 highlight that maternal support of ‘</w:t>
      </w:r>
      <w:r w:rsidR="009F7190">
        <w:t>child care</w:t>
      </w:r>
      <w:r>
        <w:t xml:space="preserve"> services only’ (as opposed to parent only care, a combination of </w:t>
      </w:r>
      <w:r w:rsidR="009F7190">
        <w:t>child care</w:t>
      </w:r>
      <w:r>
        <w:t xml:space="preserve"> service and parent care, or other arrangement) as the best form of care increased significantly over this time. Between 2002 and 2010, the percentage of mothers believed that </w:t>
      </w:r>
      <w:r w:rsidR="009F7190">
        <w:t>child care</w:t>
      </w:r>
      <w:r>
        <w:t xml:space="preserve"> services were the best for children aged 2–5 increased by 30 percentage points and by 2010 the majority of mothers stated this as the preferred option.</w:t>
      </w:r>
    </w:p>
    <w:p w14:paraId="7444A694" w14:textId="77777777" w:rsidR="00BF0166" w:rsidRPr="007E15F6" w:rsidRDefault="00BF0166" w:rsidP="007E15F6">
      <w:pPr>
        <w:spacing w:line="240" w:lineRule="auto"/>
        <w:rPr>
          <w:sz w:val="18"/>
          <w:szCs w:val="18"/>
        </w:rPr>
      </w:pPr>
    </w:p>
    <w:p w14:paraId="56547789" w14:textId="017AB304" w:rsidR="00F6395D" w:rsidRDefault="00F6395D" w:rsidP="00094B00"/>
    <w:p w14:paraId="7A56A4A0" w14:textId="77777777" w:rsidR="00F6395D" w:rsidRDefault="00F6395D" w:rsidP="006C6E6D">
      <w:bookmarkStart w:id="123" w:name="_Toc75941854"/>
      <w:bookmarkStart w:id="124" w:name="_Toc75941855"/>
      <w:bookmarkStart w:id="125" w:name="_Toc75941856"/>
      <w:bookmarkStart w:id="126" w:name="_Toc75941857"/>
      <w:bookmarkEnd w:id="123"/>
      <w:bookmarkEnd w:id="124"/>
      <w:bookmarkEnd w:id="125"/>
      <w:bookmarkEnd w:id="126"/>
    </w:p>
    <w:p w14:paraId="5C93DFF0" w14:textId="3C99FB9E" w:rsidR="00F31FC5" w:rsidRPr="00283853" w:rsidRDefault="00F31FC5" w:rsidP="00BC5105">
      <w:pPr>
        <w:pStyle w:val="Heading2"/>
        <w:spacing w:line="276" w:lineRule="auto"/>
      </w:pPr>
      <w:bookmarkStart w:id="127" w:name="_Toc87454627"/>
      <w:bookmarkStart w:id="128" w:name="_Toc98404974"/>
      <w:r w:rsidRPr="00283853">
        <w:t>Australia’s ECEC</w:t>
      </w:r>
      <w:bookmarkEnd w:id="127"/>
      <w:bookmarkEnd w:id="128"/>
      <w:r w:rsidRPr="00283853">
        <w:t xml:space="preserve"> </w:t>
      </w:r>
    </w:p>
    <w:p w14:paraId="3002E8DC" w14:textId="5E67C014" w:rsidR="00F31FC5" w:rsidRDefault="00802B9C" w:rsidP="00BC5105">
      <w:pPr>
        <w:spacing w:line="276" w:lineRule="auto"/>
        <w:jc w:val="both"/>
      </w:pPr>
      <w:r>
        <w:t>In</w:t>
      </w:r>
      <w:r w:rsidR="001E6B32">
        <w:t xml:space="preserve"> Australia, </w:t>
      </w:r>
      <w:r w:rsidR="00F31FC5">
        <w:t xml:space="preserve">the use of formal care for children has increased significantly in line with women’s increased labour force participation. Between 1996 and 2017, according to the </w:t>
      </w:r>
      <w:r w:rsidR="00F31FC5" w:rsidRPr="001E70F1">
        <w:t xml:space="preserve">Childhood Education and Care Survey, </w:t>
      </w:r>
      <w:r w:rsidR="00F31FC5">
        <w:t>the percentage of children aged 0-4 who attended some type of formal care in th</w:t>
      </w:r>
      <w:r w:rsidR="00DC3F49">
        <w:t xml:space="preserve">e last week increased from 24% </w:t>
      </w:r>
      <w:r w:rsidR="00F31FC5">
        <w:t xml:space="preserve">to 42%.  For children aged 5-11 years, the equivalent increase was from 8 to 18% </w:t>
      </w:r>
      <w:r w:rsidR="00C83033">
        <w:rPr>
          <w:noProof/>
        </w:rPr>
        <w:t>(Australian Bureau of Statistics, 2018)</w:t>
      </w:r>
      <w:r w:rsidR="00F31FC5">
        <w:t>.</w:t>
      </w:r>
    </w:p>
    <w:p w14:paraId="5F1B1452" w14:textId="68E1B169" w:rsidR="00486804" w:rsidRDefault="00F31FC5" w:rsidP="00BC5105">
      <w:pPr>
        <w:spacing w:line="276" w:lineRule="auto"/>
        <w:jc w:val="both"/>
        <w:rPr>
          <w:noProof/>
        </w:rPr>
      </w:pPr>
      <w:r>
        <w:rPr>
          <w:noProof/>
        </w:rPr>
        <w:t>The main types of formal care in Australi</w:t>
      </w:r>
      <w:r w:rsidR="00486804">
        <w:rPr>
          <w:noProof/>
        </w:rPr>
        <w:t>a</w:t>
      </w:r>
      <w:r>
        <w:rPr>
          <w:noProof/>
        </w:rPr>
        <w:t xml:space="preserve"> are</w:t>
      </w:r>
      <w:r w:rsidR="00486804">
        <w:rPr>
          <w:noProof/>
        </w:rPr>
        <w:t>:</w:t>
      </w:r>
    </w:p>
    <w:p w14:paraId="2F5737D9" w14:textId="56C5F9C8" w:rsidR="00486804" w:rsidRDefault="00486804" w:rsidP="00BB3130">
      <w:pPr>
        <w:pStyle w:val="ListParagraph"/>
        <w:numPr>
          <w:ilvl w:val="0"/>
          <w:numId w:val="1"/>
        </w:numPr>
        <w:spacing w:line="276" w:lineRule="auto"/>
        <w:jc w:val="both"/>
        <w:rPr>
          <w:noProof/>
        </w:rPr>
      </w:pPr>
      <w:r w:rsidRPr="00BB3130">
        <w:rPr>
          <w:i/>
          <w:iCs/>
          <w:noProof/>
        </w:rPr>
        <w:t>Long-day care</w:t>
      </w:r>
      <w:r>
        <w:rPr>
          <w:noProof/>
        </w:rPr>
        <w:t>: Cent</w:t>
      </w:r>
      <w:r w:rsidR="00802B9C">
        <w:rPr>
          <w:noProof/>
        </w:rPr>
        <w:t>re</w:t>
      </w:r>
      <w:r>
        <w:rPr>
          <w:noProof/>
        </w:rPr>
        <w:t xml:space="preserve">-based form </w:t>
      </w:r>
      <w:r w:rsidR="009F7190">
        <w:rPr>
          <w:noProof/>
        </w:rPr>
        <w:t>child care</w:t>
      </w:r>
      <w:r>
        <w:rPr>
          <w:noProof/>
        </w:rPr>
        <w:t xml:space="preserve"> service providing all-day or part-time care </w:t>
      </w:r>
    </w:p>
    <w:p w14:paraId="044FFDDA" w14:textId="680F6F1A" w:rsidR="00486804" w:rsidRDefault="00F31FC5" w:rsidP="00BB3130">
      <w:pPr>
        <w:pStyle w:val="ListParagraph"/>
        <w:numPr>
          <w:ilvl w:val="0"/>
          <w:numId w:val="1"/>
        </w:numPr>
        <w:spacing w:line="276" w:lineRule="auto"/>
        <w:jc w:val="both"/>
        <w:rPr>
          <w:noProof/>
        </w:rPr>
      </w:pPr>
      <w:r w:rsidRPr="00E5317F">
        <w:rPr>
          <w:bCs/>
          <w:i/>
          <w:noProof/>
        </w:rPr>
        <w:t>Family day care</w:t>
      </w:r>
      <w:r w:rsidR="00486804" w:rsidRPr="00BB3130">
        <w:rPr>
          <w:bCs/>
          <w:noProof/>
        </w:rPr>
        <w:t>:</w:t>
      </w:r>
      <w:r w:rsidR="00486804">
        <w:rPr>
          <w:bCs/>
          <w:i/>
          <w:noProof/>
        </w:rPr>
        <w:t xml:space="preserve"> </w:t>
      </w:r>
      <w:r w:rsidR="00486804">
        <w:rPr>
          <w:bCs/>
          <w:noProof/>
        </w:rPr>
        <w:t>Formal care provided in the home of a registered carer</w:t>
      </w:r>
    </w:p>
    <w:p w14:paraId="13D4A880" w14:textId="5C846372" w:rsidR="0056470A" w:rsidRDefault="00486804" w:rsidP="00BB3130">
      <w:pPr>
        <w:pStyle w:val="ListParagraph"/>
        <w:numPr>
          <w:ilvl w:val="0"/>
          <w:numId w:val="1"/>
        </w:numPr>
        <w:spacing w:line="276" w:lineRule="auto"/>
        <w:jc w:val="both"/>
        <w:rPr>
          <w:noProof/>
        </w:rPr>
      </w:pPr>
      <w:r w:rsidRPr="00BB3130">
        <w:rPr>
          <w:i/>
          <w:iCs/>
          <w:noProof/>
        </w:rPr>
        <w:t>O</w:t>
      </w:r>
      <w:r w:rsidRPr="00331B98">
        <w:rPr>
          <w:bCs/>
          <w:i/>
          <w:noProof/>
        </w:rPr>
        <w:t xml:space="preserve">utside </w:t>
      </w:r>
      <w:r w:rsidR="00F31FC5" w:rsidRPr="00E5317F">
        <w:rPr>
          <w:bCs/>
          <w:i/>
          <w:noProof/>
        </w:rPr>
        <w:t>school hours care</w:t>
      </w:r>
      <w:r>
        <w:rPr>
          <w:bCs/>
          <w:i/>
          <w:noProof/>
        </w:rPr>
        <w:t xml:space="preserve">: </w:t>
      </w:r>
      <w:r w:rsidR="0056470A" w:rsidRPr="00BC5105">
        <w:rPr>
          <w:bCs/>
          <w:iCs/>
          <w:noProof/>
        </w:rPr>
        <w:t>c</w:t>
      </w:r>
      <w:r w:rsidR="00F31FC5" w:rsidRPr="001E6B32">
        <w:rPr>
          <w:iCs/>
          <w:noProof/>
        </w:rPr>
        <w:t>are</w:t>
      </w:r>
      <w:r w:rsidR="00F31FC5" w:rsidRPr="00E5317F">
        <w:rPr>
          <w:noProof/>
        </w:rPr>
        <w:t xml:space="preserve"> provided for </w:t>
      </w:r>
      <w:r w:rsidRPr="00E5317F">
        <w:rPr>
          <w:noProof/>
        </w:rPr>
        <w:t>school</w:t>
      </w:r>
      <w:r>
        <w:rPr>
          <w:noProof/>
        </w:rPr>
        <w:t>-</w:t>
      </w:r>
      <w:r w:rsidR="00F31FC5" w:rsidRPr="00E5317F">
        <w:rPr>
          <w:noProof/>
        </w:rPr>
        <w:t xml:space="preserve">aged children before school, after school, </w:t>
      </w:r>
      <w:r w:rsidR="00F31FC5">
        <w:rPr>
          <w:noProof/>
        </w:rPr>
        <w:t xml:space="preserve">or </w:t>
      </w:r>
      <w:r w:rsidR="00F31FC5" w:rsidRPr="00E5317F">
        <w:rPr>
          <w:noProof/>
        </w:rPr>
        <w:t>during school holidays</w:t>
      </w:r>
      <w:r w:rsidR="00F31FC5">
        <w:rPr>
          <w:noProof/>
        </w:rPr>
        <w:t>.</w:t>
      </w:r>
    </w:p>
    <w:p w14:paraId="54C4755E" w14:textId="6D9D3A37" w:rsidR="00F31FC5" w:rsidRPr="00507055" w:rsidRDefault="00F31FC5" w:rsidP="00BC5105">
      <w:pPr>
        <w:spacing w:line="276" w:lineRule="auto"/>
        <w:jc w:val="both"/>
        <w:rPr>
          <w:i/>
          <w:iCs/>
          <w:noProof/>
        </w:rPr>
      </w:pPr>
      <w:r>
        <w:rPr>
          <w:noProof/>
        </w:rPr>
        <w:t>The type of care used varies according to the age of the child</w:t>
      </w:r>
      <w:r w:rsidR="00486804">
        <w:rPr>
          <w:noProof/>
        </w:rPr>
        <w:t>,</w:t>
      </w:r>
      <w:r>
        <w:rPr>
          <w:noProof/>
        </w:rPr>
        <w:t xml:space="preserve"> as shown in </w:t>
      </w:r>
      <w:r w:rsidR="008A350F" w:rsidRPr="008A350F">
        <w:rPr>
          <w:noProof/>
        </w:rPr>
        <w:t>Figure 24</w:t>
      </w:r>
      <w:r w:rsidRPr="00507055">
        <w:rPr>
          <w:noProof/>
        </w:rPr>
        <w:t xml:space="preserve">. </w:t>
      </w:r>
      <w:r>
        <w:rPr>
          <w:noProof/>
        </w:rPr>
        <w:t>Percentages add up to more than 100 as children can u</w:t>
      </w:r>
      <w:r w:rsidR="005F7A6B">
        <w:rPr>
          <w:noProof/>
        </w:rPr>
        <w:t>s</w:t>
      </w:r>
      <w:r>
        <w:rPr>
          <w:noProof/>
        </w:rPr>
        <w:t>e multiple forms of care. For children aged 3 and under</w:t>
      </w:r>
      <w:r w:rsidR="00486804">
        <w:rPr>
          <w:noProof/>
        </w:rPr>
        <w:t>,</w:t>
      </w:r>
      <w:r>
        <w:rPr>
          <w:noProof/>
        </w:rPr>
        <w:t xml:space="preserve"> long day care is the most common type of formal care used. </w:t>
      </w:r>
      <w:r w:rsidR="00486804">
        <w:rPr>
          <w:noProof/>
        </w:rPr>
        <w:t xml:space="preserve"> At all ages, a significant proportion of children also use informal care, which is defined by the ABS as non-regulated care in the child’s home or elsewhere, including relatives, friends, neighbours, nannies, babysitters or other organisations such as </w:t>
      </w:r>
      <w:r w:rsidR="00486804" w:rsidRPr="00BB3130">
        <w:rPr>
          <w:noProof/>
        </w:rPr>
        <w:t>crèche at gyms</w:t>
      </w:r>
      <w:r w:rsidR="00486804">
        <w:rPr>
          <w:rFonts w:ascii="Segoe UI" w:hAnsi="Segoe UI" w:cs="Segoe UI"/>
          <w:color w:val="222222"/>
          <w:shd w:val="clear" w:color="auto" w:fill="FFFFFF"/>
        </w:rPr>
        <w:t>.</w:t>
      </w:r>
    </w:p>
    <w:p w14:paraId="0FD76813" w14:textId="6FF38A01" w:rsidR="00F31FC5" w:rsidRDefault="00F31FC5" w:rsidP="00BC5105">
      <w:pPr>
        <w:pStyle w:val="Caption"/>
        <w:keepNext/>
        <w:spacing w:line="276" w:lineRule="auto"/>
      </w:pPr>
      <w:bookmarkStart w:id="129" w:name="_Ref75101427"/>
      <w:r>
        <w:t xml:space="preserve">Figure </w:t>
      </w:r>
      <w:fldSimple w:instr=" SEQ Figure \* ARABIC ">
        <w:r w:rsidR="00115E22">
          <w:rPr>
            <w:noProof/>
          </w:rPr>
          <w:t>24</w:t>
        </w:r>
      </w:fldSimple>
      <w:bookmarkEnd w:id="129"/>
      <w:r>
        <w:t xml:space="preserve"> Care usually attended by age of child, 2017</w:t>
      </w:r>
    </w:p>
    <w:p w14:paraId="55C05AF9" w14:textId="77777777" w:rsidR="00F31FC5" w:rsidRDefault="00F31FC5" w:rsidP="00BC5105">
      <w:pPr>
        <w:spacing w:after="0" w:line="276" w:lineRule="auto"/>
        <w:rPr>
          <w:b/>
          <w:bCs/>
          <w:noProof/>
        </w:rPr>
      </w:pPr>
      <w:r>
        <w:rPr>
          <w:noProof/>
          <w:lang w:eastAsia="en-AU"/>
        </w:rPr>
        <w:drawing>
          <wp:inline distT="0" distB="0" distL="0" distR="0" wp14:anchorId="41667C30" wp14:editId="379CBDA6">
            <wp:extent cx="5788025" cy="2320119"/>
            <wp:effectExtent l="0" t="0" r="3175" b="4445"/>
            <wp:docPr id="6" name="Chart 6">
              <a:extLst xmlns:a="http://schemas.openxmlformats.org/drawingml/2006/main">
                <a:ext uri="{FF2B5EF4-FFF2-40B4-BE49-F238E27FC236}">
                  <a16:creationId xmlns:a16="http://schemas.microsoft.com/office/drawing/2014/main" id="{5B0DB11A-D705-44FD-AC4C-ADF53A5EE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6ED387" w14:textId="439F75B1" w:rsidR="00F31FC5" w:rsidRPr="00BC5105" w:rsidRDefault="00F31FC5" w:rsidP="00BC5105">
      <w:pPr>
        <w:spacing w:line="276" w:lineRule="auto"/>
        <w:rPr>
          <w:sz w:val="18"/>
          <w:szCs w:val="18"/>
        </w:rPr>
      </w:pPr>
      <w:r w:rsidRPr="00BC5105">
        <w:rPr>
          <w:sz w:val="18"/>
          <w:szCs w:val="18"/>
        </w:rPr>
        <w:t xml:space="preserve">Source: </w:t>
      </w:r>
      <w:r w:rsidR="00B23788">
        <w:rPr>
          <w:noProof/>
          <w:sz w:val="18"/>
          <w:szCs w:val="18"/>
        </w:rPr>
        <w:t>Australian Bureau of Statistics, 2018</w:t>
      </w:r>
    </w:p>
    <w:p w14:paraId="69B5D069" w14:textId="528801D4" w:rsidR="00F31FC5" w:rsidRDefault="00F31FC5" w:rsidP="00BC5105">
      <w:pPr>
        <w:spacing w:line="276" w:lineRule="auto"/>
        <w:jc w:val="both"/>
      </w:pPr>
      <w:r>
        <w:t>In addition, preschool</w:t>
      </w:r>
      <w:r>
        <w:rPr>
          <w:rStyle w:val="FootnoteReference"/>
        </w:rPr>
        <w:footnoteReference w:id="18"/>
      </w:r>
      <w:r>
        <w:t xml:space="preserve"> is generally available from around 4 years, although the age of entry and the range of service types offered varies across states and territories and between service providers.  Preschool is not compulsory, but t</w:t>
      </w:r>
      <w:r w:rsidRPr="00CB13B8">
        <w:t xml:space="preserve">he Australian Government and state and territory governments have, since 2008, committed to </w:t>
      </w:r>
      <w:r w:rsidR="00486804">
        <w:t>i</w:t>
      </w:r>
      <w:r w:rsidR="00486804" w:rsidRPr="00CB13B8">
        <w:t>ncreas</w:t>
      </w:r>
      <w:r w:rsidR="00486804">
        <w:t>ing</w:t>
      </w:r>
      <w:r w:rsidR="00486804" w:rsidRPr="00CB13B8">
        <w:t xml:space="preserve"> </w:t>
      </w:r>
      <w:r w:rsidRPr="00CB13B8">
        <w:t>participation in high-quality education and care</w:t>
      </w:r>
      <w:r w:rsidR="00486804">
        <w:t xml:space="preserve">. This is being done through </w:t>
      </w:r>
      <w:r w:rsidRPr="00CB13B8">
        <w:t xml:space="preserve">a series of agreements on </w:t>
      </w:r>
      <w:r>
        <w:t xml:space="preserve">National Partnership on </w:t>
      </w:r>
      <w:r w:rsidRPr="00CB13B8">
        <w:t>Universal Access to Early Childhood Education and Care in the year before full-time schoo</w:t>
      </w:r>
      <w:r>
        <w:t>l</w:t>
      </w:r>
      <w:r w:rsidR="007E103D">
        <w:rPr>
          <w:noProof/>
        </w:rPr>
        <w:t xml:space="preserve"> (Clark, 2021)</w:t>
      </w:r>
      <w:r w:rsidRPr="00CB13B8">
        <w:t xml:space="preserve">. </w:t>
      </w:r>
      <w:r>
        <w:t xml:space="preserve">The proportion of </w:t>
      </w:r>
      <w:r>
        <w:lastRenderedPageBreak/>
        <w:t>children enrolled in a preschool program for 600 hours a year has steadily grown from 12% in 2008 to over 95% in 2018</w:t>
      </w:r>
      <w:r w:rsidR="007E103D">
        <w:rPr>
          <w:noProof/>
        </w:rPr>
        <w:t xml:space="preserve"> (Nous Group, 2020)</w:t>
      </w:r>
      <w:r>
        <w:t>.</w:t>
      </w:r>
      <w:r w:rsidRPr="00FE1A70">
        <w:t xml:space="preserve"> </w:t>
      </w:r>
    </w:p>
    <w:p w14:paraId="7F093B56" w14:textId="34EAA849" w:rsidR="00F31FC5" w:rsidRPr="00FB661D" w:rsidRDefault="0054521C" w:rsidP="00BC5105">
      <w:pPr>
        <w:spacing w:line="276" w:lineRule="auto"/>
        <w:rPr>
          <w:i/>
          <w:iCs/>
        </w:rPr>
      </w:pPr>
      <w:r>
        <w:rPr>
          <w:i/>
          <w:iCs/>
        </w:rPr>
        <w:t>Child Care Subsidy</w:t>
      </w:r>
    </w:p>
    <w:p w14:paraId="2036415D" w14:textId="694B09AB" w:rsidR="00F31FC5" w:rsidRDefault="00F31FC5" w:rsidP="00BC5105">
      <w:pPr>
        <w:shd w:val="clear" w:color="auto" w:fill="FFFFFF"/>
        <w:spacing w:before="100" w:beforeAutospacing="1" w:after="100" w:afterAutospacing="1" w:line="276" w:lineRule="auto"/>
        <w:jc w:val="both"/>
      </w:pPr>
      <w:r>
        <w:t xml:space="preserve">To assist with the cost of </w:t>
      </w:r>
      <w:r w:rsidR="009F7190">
        <w:t>child care</w:t>
      </w:r>
      <w:r>
        <w:t xml:space="preserve">, the government provides a means-tested </w:t>
      </w:r>
      <w:r w:rsidR="0054521C">
        <w:t>Child Care Subsidy</w:t>
      </w:r>
      <w:r>
        <w:t xml:space="preserve"> (CCS).  As shown in</w:t>
      </w:r>
      <w:r w:rsidR="007E103D">
        <w:t xml:space="preserve"> Figure </w:t>
      </w:r>
      <w:r w:rsidR="008A350F">
        <w:t>25</w:t>
      </w:r>
      <w:r>
        <w:t>, an eligible family with a combined income below $</w:t>
      </w:r>
      <w:r w:rsidR="005A5078">
        <w:t>70</w:t>
      </w:r>
      <w:r w:rsidRPr="001A5130">
        <w:t>,</w:t>
      </w:r>
      <w:r w:rsidR="005A5078">
        <w:t xml:space="preserve">015 </w:t>
      </w:r>
      <w:r>
        <w:t xml:space="preserve">receives a subsidy of 85% of their </w:t>
      </w:r>
      <w:r w:rsidR="009F7190">
        <w:t>child care</w:t>
      </w:r>
      <w:r>
        <w:rPr>
          <w:rStyle w:val="FootnoteReference"/>
        </w:rPr>
        <w:footnoteReference w:id="19"/>
      </w:r>
      <w:r>
        <w:t xml:space="preserve"> fees up to an hourly rate cap. Above </w:t>
      </w:r>
      <w:r w:rsidRPr="002E2A5C">
        <w:t>$</w:t>
      </w:r>
      <w:r w:rsidR="005A5078">
        <w:t>70</w:t>
      </w:r>
      <w:r w:rsidRPr="002E2A5C">
        <w:t>,</w:t>
      </w:r>
      <w:r w:rsidR="005A5078">
        <w:t>015</w:t>
      </w:r>
      <w:r w:rsidR="005A5078" w:rsidRPr="002E2A5C">
        <w:t xml:space="preserve"> </w:t>
      </w:r>
      <w:r w:rsidRPr="002E2A5C">
        <w:t>the percentage goes down by 1% for every $3,000 of income</w:t>
      </w:r>
      <w:r>
        <w:t xml:space="preserve"> until $</w:t>
      </w:r>
      <w:r w:rsidR="005A5078">
        <w:t>175</w:t>
      </w:r>
      <w:r>
        <w:t>,</w:t>
      </w:r>
      <w:r w:rsidR="005A5078">
        <w:t>015</w:t>
      </w:r>
      <w:r w:rsidRPr="002E2A5C">
        <w:t>. Between $</w:t>
      </w:r>
      <w:r w:rsidR="005A5078" w:rsidRPr="002E2A5C">
        <w:t>17</w:t>
      </w:r>
      <w:r w:rsidR="005A5078">
        <w:t>5</w:t>
      </w:r>
      <w:r w:rsidRPr="002E2A5C">
        <w:t>,</w:t>
      </w:r>
      <w:r w:rsidR="005A5078">
        <w:t>015</w:t>
      </w:r>
      <w:r w:rsidR="005A5078" w:rsidRPr="002E2A5C">
        <w:t xml:space="preserve"> </w:t>
      </w:r>
      <w:r w:rsidRPr="002E2A5C">
        <w:t>to below $</w:t>
      </w:r>
      <w:r w:rsidR="005A5078" w:rsidRPr="002E2A5C">
        <w:t>25</w:t>
      </w:r>
      <w:r w:rsidR="005A5078">
        <w:t>4</w:t>
      </w:r>
      <w:r w:rsidRPr="002E2A5C">
        <w:t>,</w:t>
      </w:r>
      <w:r w:rsidR="005A5078">
        <w:t>305</w:t>
      </w:r>
      <w:r w:rsidRPr="002E2A5C">
        <w:t xml:space="preserve">, the </w:t>
      </w:r>
      <w:r w:rsidR="0054521C">
        <w:t>Child Care Subsidy</w:t>
      </w:r>
      <w:r w:rsidRPr="002E2A5C">
        <w:t xml:space="preserve"> is 50%</w:t>
      </w:r>
      <w:r>
        <w:rPr>
          <w:rStyle w:val="FootnoteReference"/>
        </w:rPr>
        <w:footnoteReference w:id="20"/>
      </w:r>
      <w:r w:rsidRPr="002E2A5C">
        <w:t xml:space="preserve">. At </w:t>
      </w:r>
      <w:r>
        <w:t>an</w:t>
      </w:r>
      <w:r w:rsidRPr="002E2A5C">
        <w:t xml:space="preserve"> income of $</w:t>
      </w:r>
      <w:r w:rsidR="005A5078" w:rsidRPr="002E2A5C">
        <w:t>25</w:t>
      </w:r>
      <w:r w:rsidR="005A5078">
        <w:t>4</w:t>
      </w:r>
      <w:r w:rsidRPr="002E2A5C">
        <w:t>,</w:t>
      </w:r>
      <w:r w:rsidR="005A5078">
        <w:t>305</w:t>
      </w:r>
      <w:r w:rsidR="005A5078" w:rsidRPr="002E2A5C">
        <w:t xml:space="preserve"> </w:t>
      </w:r>
      <w:r>
        <w:t xml:space="preserve">and above, </w:t>
      </w:r>
      <w:r w:rsidRPr="002E2A5C">
        <w:t>the percentage goes down b</w:t>
      </w:r>
      <w:r>
        <w:t>y 1% for every $3,000 of income until $</w:t>
      </w:r>
      <w:r w:rsidR="005A5078">
        <w:t>344</w:t>
      </w:r>
      <w:r>
        <w:t>,</w:t>
      </w:r>
      <w:r w:rsidR="005A5078">
        <w:t>305</w:t>
      </w:r>
      <w:r>
        <w:t xml:space="preserve">. </w:t>
      </w:r>
      <w:r w:rsidRPr="002E2A5C">
        <w:t>Between $</w:t>
      </w:r>
      <w:r w:rsidR="005A5078" w:rsidRPr="002E2A5C">
        <w:t>34</w:t>
      </w:r>
      <w:r w:rsidR="005A5078">
        <w:t>4</w:t>
      </w:r>
      <w:r w:rsidRPr="002E2A5C">
        <w:t>,</w:t>
      </w:r>
      <w:r w:rsidR="005A5078">
        <w:t>305</w:t>
      </w:r>
      <w:r w:rsidR="005A5078" w:rsidRPr="002E2A5C">
        <w:t xml:space="preserve"> </w:t>
      </w:r>
      <w:r w:rsidRPr="002E2A5C">
        <w:t>to $</w:t>
      </w:r>
      <w:r w:rsidR="005A5078" w:rsidRPr="002E2A5C">
        <w:t>35</w:t>
      </w:r>
      <w:r w:rsidR="005A5078">
        <w:t>4</w:t>
      </w:r>
      <w:r w:rsidRPr="002E2A5C">
        <w:t>,</w:t>
      </w:r>
      <w:r w:rsidR="005A5078">
        <w:t>305</w:t>
      </w:r>
      <w:r w:rsidRPr="002E2A5C">
        <w:t xml:space="preserve">, the </w:t>
      </w:r>
      <w:r w:rsidR="0054521C">
        <w:t>Child Care Subsidy</w:t>
      </w:r>
      <w:r w:rsidRPr="002E2A5C">
        <w:t xml:space="preserve"> is 20%</w:t>
      </w:r>
      <w:r>
        <w:t xml:space="preserve">. </w:t>
      </w:r>
      <w:r w:rsidR="005A5078">
        <w:t xml:space="preserve">From </w:t>
      </w:r>
      <w:r>
        <w:t>$</w:t>
      </w:r>
      <w:r w:rsidR="005A5078">
        <w:t>354</w:t>
      </w:r>
      <w:r>
        <w:t>,</w:t>
      </w:r>
      <w:r w:rsidR="005A5078">
        <w:t xml:space="preserve">305 and above </w:t>
      </w:r>
      <w:r>
        <w:t>the subsidy ceases.</w:t>
      </w:r>
      <w:r w:rsidR="00E57842">
        <w:t xml:space="preserve"> These income thresholds are indexed annually. </w:t>
      </w:r>
    </w:p>
    <w:p w14:paraId="5C764EA5" w14:textId="3EBB397C" w:rsidR="00F31FC5" w:rsidRDefault="00F31FC5" w:rsidP="00BC5105">
      <w:pPr>
        <w:pStyle w:val="Caption"/>
        <w:keepNext/>
        <w:spacing w:line="276" w:lineRule="auto"/>
      </w:pPr>
      <w:bookmarkStart w:id="130" w:name="_Ref75541042"/>
      <w:r>
        <w:t xml:space="preserve">Figure </w:t>
      </w:r>
      <w:fldSimple w:instr=" SEQ Figure \* ARABIC ">
        <w:r w:rsidR="00115E22">
          <w:rPr>
            <w:noProof/>
          </w:rPr>
          <w:t>25</w:t>
        </w:r>
      </w:fldSimple>
      <w:bookmarkEnd w:id="130"/>
      <w:r>
        <w:t xml:space="preserve"> </w:t>
      </w:r>
      <w:r w:rsidR="0054521C">
        <w:t>Child Care Subsidy</w:t>
      </w:r>
      <w:r>
        <w:t xml:space="preserve"> percentage (</w:t>
      </w:r>
      <w:r w:rsidR="005A5078">
        <w:t>2021</w:t>
      </w:r>
      <w:r>
        <w:t>-</w:t>
      </w:r>
      <w:r w:rsidR="005A5078">
        <w:t>22</w:t>
      </w:r>
      <w:r>
        <w:t>)</w:t>
      </w:r>
    </w:p>
    <w:p w14:paraId="41B4032E" w14:textId="7A88E98F" w:rsidR="00F31FC5" w:rsidRDefault="005A5078" w:rsidP="00BC5105">
      <w:pPr>
        <w:spacing w:line="276" w:lineRule="auto"/>
        <w:rPr>
          <w:b/>
          <w:bCs/>
          <w:noProof/>
        </w:rPr>
      </w:pPr>
      <w:r>
        <w:rPr>
          <w:noProof/>
          <w:lang w:eastAsia="en-AU"/>
        </w:rPr>
        <w:drawing>
          <wp:inline distT="0" distB="0" distL="0" distR="0" wp14:anchorId="008B8B18" wp14:editId="5185C0E3">
            <wp:extent cx="5024505" cy="2409825"/>
            <wp:effectExtent l="0" t="0" r="5080"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41"/>
                    <a:stretch>
                      <a:fillRect/>
                    </a:stretch>
                  </pic:blipFill>
                  <pic:spPr>
                    <a:xfrm>
                      <a:off x="0" y="0"/>
                      <a:ext cx="5034966" cy="2414842"/>
                    </a:xfrm>
                    <a:prstGeom prst="rect">
                      <a:avLst/>
                    </a:prstGeom>
                  </pic:spPr>
                </pic:pic>
              </a:graphicData>
            </a:graphic>
          </wp:inline>
        </w:drawing>
      </w:r>
    </w:p>
    <w:p w14:paraId="31EAE37D" w14:textId="46E0A57C" w:rsidR="0076582B" w:rsidRDefault="00F31FC5" w:rsidP="00BC5105">
      <w:pPr>
        <w:shd w:val="clear" w:color="auto" w:fill="FFFFFF"/>
        <w:spacing w:before="100" w:beforeAutospacing="1" w:after="100" w:afterAutospacing="1" w:line="276" w:lineRule="auto"/>
        <w:jc w:val="both"/>
      </w:pPr>
      <w:r>
        <w:t xml:space="preserve">There is an hourly rate cap </w:t>
      </w:r>
      <w:r w:rsidR="001E6B32">
        <w:t xml:space="preserve">that varies according to the </w:t>
      </w:r>
      <w:r>
        <w:t xml:space="preserve">type of </w:t>
      </w:r>
      <w:r w:rsidR="009F7190">
        <w:t>child care</w:t>
      </w:r>
      <w:r>
        <w:t xml:space="preserve"> used, as shown in </w:t>
      </w:r>
      <w:r>
        <w:fldChar w:fldCharType="begin"/>
      </w:r>
      <w:r>
        <w:instrText xml:space="preserve"> REF _Ref75368195 \h </w:instrText>
      </w:r>
      <w:r w:rsidR="00976F29">
        <w:instrText xml:space="preserve"> \* MERGEFORMAT </w:instrText>
      </w:r>
      <w:r>
        <w:fldChar w:fldCharType="separate"/>
      </w:r>
      <w:r w:rsidR="00115E22">
        <w:t xml:space="preserve">Table </w:t>
      </w:r>
      <w:r w:rsidR="00115E22">
        <w:rPr>
          <w:noProof/>
        </w:rPr>
        <w:t>18</w:t>
      </w:r>
      <w:r>
        <w:fldChar w:fldCharType="end"/>
      </w:r>
      <w:r>
        <w:t xml:space="preserve">. </w:t>
      </w:r>
      <w:r w:rsidRPr="00DA3B0E">
        <w:t xml:space="preserve">The number of hours </w:t>
      </w:r>
      <w:r>
        <w:t xml:space="preserve">of </w:t>
      </w:r>
      <w:r w:rsidR="009F7190">
        <w:t>child care</w:t>
      </w:r>
      <w:r>
        <w:t xml:space="preserve"> for which the subsidy can be claimed </w:t>
      </w:r>
      <w:r w:rsidRPr="00DA3B0E">
        <w:t xml:space="preserve">depends on the number of </w:t>
      </w:r>
      <w:r>
        <w:t>hours activities are undertaken</w:t>
      </w:r>
      <w:r w:rsidRPr="00DA3B0E">
        <w:t>.</w:t>
      </w:r>
      <w:r>
        <w:t xml:space="preserve"> For couples</w:t>
      </w:r>
      <w:r w:rsidRPr="00485DAE">
        <w:t>, the number of hours is calculated according to the parent with the lowest hours of activity each fortnight. </w:t>
      </w:r>
      <w:r>
        <w:t xml:space="preserve"> If work hours change each fortnight, parents are required to update Centrelink with the highest number of hours they expect to work in </w:t>
      </w:r>
      <w:r w:rsidR="00E57842">
        <w:t xml:space="preserve">a </w:t>
      </w:r>
      <w:r>
        <w:t xml:space="preserve">fortnight over the following 3 months. </w:t>
      </w:r>
    </w:p>
    <w:p w14:paraId="224E7D7E" w14:textId="77777777" w:rsidR="0076582B" w:rsidRDefault="0076582B" w:rsidP="00BC5105">
      <w:pPr>
        <w:spacing w:line="276" w:lineRule="auto"/>
      </w:pPr>
      <w:r>
        <w:br w:type="page"/>
      </w:r>
    </w:p>
    <w:p w14:paraId="4C1C90C9" w14:textId="77777777" w:rsidR="00F31FC5" w:rsidRDefault="00F31FC5" w:rsidP="00BC5105">
      <w:pPr>
        <w:shd w:val="clear" w:color="auto" w:fill="FFFFFF"/>
        <w:spacing w:before="100" w:beforeAutospacing="1" w:after="100" w:afterAutospacing="1" w:line="276" w:lineRule="auto"/>
      </w:pPr>
    </w:p>
    <w:p w14:paraId="1B25FBD8" w14:textId="1FDD5A55" w:rsidR="00F31FC5" w:rsidRDefault="00F31FC5" w:rsidP="00BC5105">
      <w:pPr>
        <w:pStyle w:val="Caption"/>
        <w:keepNext/>
        <w:spacing w:line="276" w:lineRule="auto"/>
      </w:pPr>
      <w:bookmarkStart w:id="131" w:name="_Ref75368195"/>
      <w:r>
        <w:t xml:space="preserve">Table </w:t>
      </w:r>
      <w:fldSimple w:instr=" SEQ Table \* ARABIC ">
        <w:r w:rsidR="00115E22">
          <w:rPr>
            <w:noProof/>
          </w:rPr>
          <w:t>18</w:t>
        </w:r>
      </w:fldSimple>
      <w:bookmarkEnd w:id="131"/>
      <w:r>
        <w:t xml:space="preserve"> </w:t>
      </w:r>
      <w:r w:rsidR="0054521C">
        <w:t>Child Care Subsidy</w:t>
      </w:r>
      <w:r>
        <w:t>- Hourly rate cap and hours of activity</w:t>
      </w:r>
    </w:p>
    <w:tbl>
      <w:tblPr>
        <w:tblW w:w="949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3114"/>
        <w:gridCol w:w="6379"/>
      </w:tblGrid>
      <w:tr w:rsidR="00F31FC5" w:rsidRPr="00485DAE" w14:paraId="5DF4DC71" w14:textId="77777777" w:rsidTr="00BC5105">
        <w:trPr>
          <w:trHeight w:val="270"/>
        </w:trPr>
        <w:tc>
          <w:tcPr>
            <w:tcW w:w="3114" w:type="dxa"/>
            <w:shd w:val="clear" w:color="auto" w:fill="FBE4D5" w:themeFill="accent2" w:themeFillTint="33"/>
            <w:hideMark/>
          </w:tcPr>
          <w:p w14:paraId="1B3B413F" w14:textId="3AE3FBDA" w:rsidR="00F31FC5" w:rsidRPr="00485DAE" w:rsidRDefault="00F31FC5">
            <w:pPr>
              <w:spacing w:after="0" w:line="240" w:lineRule="auto"/>
              <w:rPr>
                <w:rFonts w:asciiTheme="majorHAnsi" w:eastAsia="Times New Roman" w:hAnsiTheme="majorHAnsi" w:cstheme="majorHAnsi"/>
                <w:b/>
                <w:bCs/>
                <w:sz w:val="18"/>
                <w:szCs w:val="18"/>
              </w:rPr>
            </w:pPr>
            <w:r w:rsidRPr="00485DAE">
              <w:rPr>
                <w:rFonts w:asciiTheme="majorHAnsi" w:eastAsia="Times New Roman" w:hAnsiTheme="majorHAnsi" w:cstheme="majorHAnsi"/>
                <w:b/>
                <w:bCs/>
                <w:sz w:val="18"/>
                <w:szCs w:val="18"/>
              </w:rPr>
              <w:t xml:space="preserve">Type of </w:t>
            </w:r>
            <w:r w:rsidR="009F7190">
              <w:rPr>
                <w:rFonts w:asciiTheme="majorHAnsi" w:eastAsia="Times New Roman" w:hAnsiTheme="majorHAnsi" w:cstheme="majorHAnsi"/>
                <w:b/>
                <w:bCs/>
                <w:sz w:val="18"/>
                <w:szCs w:val="18"/>
              </w:rPr>
              <w:t>child care</w:t>
            </w:r>
          </w:p>
        </w:tc>
        <w:tc>
          <w:tcPr>
            <w:tcW w:w="6379" w:type="dxa"/>
            <w:shd w:val="clear" w:color="auto" w:fill="FBE4D5" w:themeFill="accent2" w:themeFillTint="33"/>
            <w:hideMark/>
          </w:tcPr>
          <w:p w14:paraId="4B42D511" w14:textId="77777777" w:rsidR="00F31FC5" w:rsidRPr="00485DAE" w:rsidRDefault="00F31FC5">
            <w:pPr>
              <w:spacing w:after="0" w:line="240" w:lineRule="auto"/>
              <w:rPr>
                <w:rFonts w:asciiTheme="majorHAnsi" w:eastAsia="Times New Roman" w:hAnsiTheme="majorHAnsi" w:cstheme="majorHAnsi"/>
                <w:b/>
                <w:bCs/>
                <w:sz w:val="18"/>
                <w:szCs w:val="18"/>
              </w:rPr>
            </w:pPr>
            <w:r w:rsidRPr="00485DAE">
              <w:rPr>
                <w:rFonts w:asciiTheme="majorHAnsi" w:eastAsia="Times New Roman" w:hAnsiTheme="majorHAnsi" w:cstheme="majorHAnsi"/>
                <w:b/>
                <w:bCs/>
                <w:sz w:val="18"/>
                <w:szCs w:val="18"/>
              </w:rPr>
              <w:t>Hourly rate cap</w:t>
            </w:r>
          </w:p>
        </w:tc>
      </w:tr>
      <w:tr w:rsidR="00F31FC5" w:rsidRPr="00485DAE" w14:paraId="4EFDD8AB" w14:textId="77777777" w:rsidTr="00BC5105">
        <w:trPr>
          <w:trHeight w:val="270"/>
        </w:trPr>
        <w:tc>
          <w:tcPr>
            <w:tcW w:w="3114" w:type="dxa"/>
            <w:hideMark/>
          </w:tcPr>
          <w:p w14:paraId="15B9D124" w14:textId="7CC3C41C"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Centre Based Day Care – long daycare and occasional care </w:t>
            </w:r>
          </w:p>
        </w:tc>
        <w:tc>
          <w:tcPr>
            <w:tcW w:w="6379" w:type="dxa"/>
            <w:hideMark/>
          </w:tcPr>
          <w:p w14:paraId="14990FBF" w14:textId="2278A77D"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$12.</w:t>
            </w:r>
            <w:r w:rsidR="009F0FAC">
              <w:rPr>
                <w:rFonts w:asciiTheme="majorHAnsi" w:eastAsia="Times New Roman" w:hAnsiTheme="majorHAnsi" w:cstheme="majorHAnsi"/>
                <w:sz w:val="20"/>
                <w:szCs w:val="18"/>
              </w:rPr>
              <w:t>31 ($10.77 for school-age children)</w:t>
            </w:r>
          </w:p>
        </w:tc>
      </w:tr>
      <w:tr w:rsidR="00F31FC5" w:rsidRPr="00485DAE" w14:paraId="50B063CF" w14:textId="77777777" w:rsidTr="00BC5105">
        <w:trPr>
          <w:trHeight w:val="270"/>
        </w:trPr>
        <w:tc>
          <w:tcPr>
            <w:tcW w:w="3114" w:type="dxa"/>
            <w:hideMark/>
          </w:tcPr>
          <w:p w14:paraId="7B6E007E"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Outside School Hours Care – before, after and vacation care</w:t>
            </w:r>
          </w:p>
        </w:tc>
        <w:tc>
          <w:tcPr>
            <w:tcW w:w="6379" w:type="dxa"/>
            <w:hideMark/>
          </w:tcPr>
          <w:p w14:paraId="4615E2F3" w14:textId="75A8D7EF"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w:t>
            </w:r>
            <w:r w:rsidR="009F0FAC" w:rsidRPr="00C748D9">
              <w:rPr>
                <w:rFonts w:asciiTheme="majorHAnsi" w:eastAsia="Times New Roman" w:hAnsiTheme="majorHAnsi" w:cstheme="majorHAnsi"/>
                <w:sz w:val="20"/>
                <w:szCs w:val="18"/>
              </w:rPr>
              <w:t>1</w:t>
            </w:r>
            <w:r w:rsidR="009F0FAC">
              <w:rPr>
                <w:rFonts w:asciiTheme="majorHAnsi" w:eastAsia="Times New Roman" w:hAnsiTheme="majorHAnsi" w:cstheme="majorHAnsi"/>
                <w:sz w:val="20"/>
                <w:szCs w:val="18"/>
              </w:rPr>
              <w:t>2</w:t>
            </w:r>
            <w:r w:rsidRPr="00C748D9">
              <w:rPr>
                <w:rFonts w:asciiTheme="majorHAnsi" w:eastAsia="Times New Roman" w:hAnsiTheme="majorHAnsi" w:cstheme="majorHAnsi"/>
                <w:sz w:val="20"/>
                <w:szCs w:val="18"/>
              </w:rPr>
              <w:t>.</w:t>
            </w:r>
            <w:r w:rsidR="009F0FAC">
              <w:rPr>
                <w:rFonts w:asciiTheme="majorHAnsi" w:eastAsia="Times New Roman" w:hAnsiTheme="majorHAnsi" w:cstheme="majorHAnsi"/>
                <w:sz w:val="20"/>
                <w:szCs w:val="18"/>
              </w:rPr>
              <w:t>31 ($10.77 for school-age children)</w:t>
            </w:r>
          </w:p>
        </w:tc>
      </w:tr>
      <w:tr w:rsidR="00F31FC5" w:rsidRPr="00485DAE" w14:paraId="28885199" w14:textId="77777777" w:rsidTr="00BC5105">
        <w:trPr>
          <w:trHeight w:val="270"/>
        </w:trPr>
        <w:tc>
          <w:tcPr>
            <w:tcW w:w="3114" w:type="dxa"/>
            <w:hideMark/>
          </w:tcPr>
          <w:p w14:paraId="19F1ECBF"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Family Day Care</w:t>
            </w:r>
          </w:p>
        </w:tc>
        <w:tc>
          <w:tcPr>
            <w:tcW w:w="6379" w:type="dxa"/>
            <w:hideMark/>
          </w:tcPr>
          <w:p w14:paraId="7114081E" w14:textId="2D9049C4"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$11.</w:t>
            </w:r>
            <w:r w:rsidR="009F0FAC">
              <w:rPr>
                <w:rFonts w:asciiTheme="majorHAnsi" w:eastAsia="Times New Roman" w:hAnsiTheme="majorHAnsi" w:cstheme="majorHAnsi"/>
                <w:sz w:val="20"/>
                <w:szCs w:val="18"/>
              </w:rPr>
              <w:t>4</w:t>
            </w:r>
            <w:r w:rsidR="009F0FAC" w:rsidRPr="00C748D9">
              <w:rPr>
                <w:rFonts w:asciiTheme="majorHAnsi" w:eastAsia="Times New Roman" w:hAnsiTheme="majorHAnsi" w:cstheme="majorHAnsi"/>
                <w:sz w:val="20"/>
                <w:szCs w:val="18"/>
              </w:rPr>
              <w:t>0</w:t>
            </w:r>
          </w:p>
        </w:tc>
      </w:tr>
      <w:tr w:rsidR="00F31FC5" w:rsidRPr="00485DAE" w14:paraId="3143A4EA" w14:textId="77777777" w:rsidTr="00BC5105">
        <w:trPr>
          <w:trHeight w:val="270"/>
        </w:trPr>
        <w:tc>
          <w:tcPr>
            <w:tcW w:w="3114" w:type="dxa"/>
            <w:hideMark/>
          </w:tcPr>
          <w:p w14:paraId="10AF273D"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In Home Care</w:t>
            </w:r>
          </w:p>
        </w:tc>
        <w:tc>
          <w:tcPr>
            <w:tcW w:w="6379" w:type="dxa"/>
            <w:hideMark/>
          </w:tcPr>
          <w:p w14:paraId="2A80FBAB" w14:textId="55CCF78E"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$33.</w:t>
            </w:r>
            <w:r w:rsidR="009F0FAC">
              <w:rPr>
                <w:rFonts w:asciiTheme="majorHAnsi" w:eastAsia="Times New Roman" w:hAnsiTheme="majorHAnsi" w:cstheme="majorHAnsi"/>
                <w:sz w:val="20"/>
                <w:szCs w:val="18"/>
              </w:rPr>
              <w:t>4</w:t>
            </w:r>
            <w:r w:rsidR="009F0FAC" w:rsidRPr="00C748D9">
              <w:rPr>
                <w:rFonts w:asciiTheme="majorHAnsi" w:eastAsia="Times New Roman" w:hAnsiTheme="majorHAnsi" w:cstheme="majorHAnsi"/>
                <w:sz w:val="20"/>
                <w:szCs w:val="18"/>
              </w:rPr>
              <w:t>7</w:t>
            </w:r>
            <w:r w:rsidRPr="00C748D9">
              <w:rPr>
                <w:rFonts w:asciiTheme="majorHAnsi" w:eastAsia="Times New Roman" w:hAnsiTheme="majorHAnsi" w:cstheme="majorHAnsi"/>
                <w:sz w:val="20"/>
                <w:szCs w:val="18"/>
              </w:rPr>
              <w:t>, per family</w:t>
            </w:r>
          </w:p>
        </w:tc>
      </w:tr>
      <w:tr w:rsidR="00F31FC5" w:rsidRPr="00485DAE" w14:paraId="4128CD75" w14:textId="77777777" w:rsidTr="00BC5105">
        <w:trPr>
          <w:trHeight w:val="270"/>
        </w:trPr>
        <w:tc>
          <w:tcPr>
            <w:tcW w:w="3114" w:type="dxa"/>
            <w:shd w:val="clear" w:color="auto" w:fill="FBE4D5" w:themeFill="accent2" w:themeFillTint="33"/>
            <w:hideMark/>
          </w:tcPr>
          <w:p w14:paraId="0B1A7E07" w14:textId="77777777" w:rsidR="00F31FC5" w:rsidRPr="00485DAE" w:rsidRDefault="00F31FC5">
            <w:pPr>
              <w:spacing w:after="0" w:line="240" w:lineRule="auto"/>
              <w:rPr>
                <w:rFonts w:asciiTheme="majorHAnsi" w:eastAsia="Times New Roman" w:hAnsiTheme="majorHAnsi" w:cstheme="majorHAnsi"/>
                <w:b/>
                <w:bCs/>
                <w:sz w:val="18"/>
                <w:szCs w:val="18"/>
              </w:rPr>
            </w:pPr>
            <w:r w:rsidRPr="00485DAE">
              <w:rPr>
                <w:rStyle w:val="Strong"/>
                <w:rFonts w:asciiTheme="majorHAnsi" w:eastAsia="Times New Roman" w:hAnsiTheme="majorHAnsi" w:cstheme="majorHAnsi"/>
                <w:sz w:val="18"/>
                <w:szCs w:val="18"/>
              </w:rPr>
              <w:t>Hours of activity per fortnight</w:t>
            </w:r>
          </w:p>
        </w:tc>
        <w:tc>
          <w:tcPr>
            <w:tcW w:w="6379" w:type="dxa"/>
            <w:shd w:val="clear" w:color="auto" w:fill="FBE4D5" w:themeFill="accent2" w:themeFillTint="33"/>
            <w:hideMark/>
          </w:tcPr>
          <w:p w14:paraId="12617DEE" w14:textId="77777777" w:rsidR="00F31FC5" w:rsidRPr="00485DAE" w:rsidRDefault="00F31FC5">
            <w:pPr>
              <w:spacing w:after="0" w:line="240" w:lineRule="auto"/>
              <w:rPr>
                <w:rFonts w:asciiTheme="majorHAnsi" w:eastAsia="Times New Roman" w:hAnsiTheme="majorHAnsi" w:cstheme="majorHAnsi"/>
                <w:b/>
                <w:bCs/>
                <w:sz w:val="18"/>
                <w:szCs w:val="18"/>
              </w:rPr>
            </w:pPr>
            <w:r w:rsidRPr="00485DAE">
              <w:rPr>
                <w:rStyle w:val="Strong"/>
                <w:rFonts w:asciiTheme="majorHAnsi" w:eastAsia="Times New Roman" w:hAnsiTheme="majorHAnsi" w:cstheme="majorHAnsi"/>
                <w:sz w:val="18"/>
                <w:szCs w:val="18"/>
              </w:rPr>
              <w:t>Maximum number of hours of subsidy per fortnight</w:t>
            </w:r>
          </w:p>
        </w:tc>
      </w:tr>
      <w:tr w:rsidR="00F31FC5" w:rsidRPr="00485DAE" w14:paraId="515279BD" w14:textId="77777777" w:rsidTr="00BC5105">
        <w:trPr>
          <w:trHeight w:val="270"/>
        </w:trPr>
        <w:tc>
          <w:tcPr>
            <w:tcW w:w="3114" w:type="dxa"/>
            <w:hideMark/>
          </w:tcPr>
          <w:p w14:paraId="555ECB9B"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Less than 8 hours</w:t>
            </w:r>
          </w:p>
        </w:tc>
        <w:tc>
          <w:tcPr>
            <w:tcW w:w="6379" w:type="dxa"/>
            <w:hideMark/>
          </w:tcPr>
          <w:p w14:paraId="30B5EBCD" w14:textId="12054F45"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0 hours if you earn above $</w:t>
            </w:r>
            <w:r w:rsidR="009F0FAC">
              <w:rPr>
                <w:rFonts w:asciiTheme="majorHAnsi" w:eastAsia="Times New Roman" w:hAnsiTheme="majorHAnsi" w:cstheme="majorHAnsi"/>
                <w:sz w:val="20"/>
                <w:szCs w:val="18"/>
              </w:rPr>
              <w:t>70</w:t>
            </w:r>
            <w:r w:rsidRPr="00C748D9">
              <w:rPr>
                <w:rFonts w:asciiTheme="majorHAnsi" w:eastAsia="Times New Roman" w:hAnsiTheme="majorHAnsi" w:cstheme="majorHAnsi"/>
                <w:sz w:val="20"/>
                <w:szCs w:val="18"/>
              </w:rPr>
              <w:t>,</w:t>
            </w:r>
            <w:r w:rsidR="009F0FAC">
              <w:rPr>
                <w:rFonts w:asciiTheme="majorHAnsi" w:eastAsia="Times New Roman" w:hAnsiTheme="majorHAnsi" w:cstheme="majorHAnsi"/>
                <w:sz w:val="20"/>
                <w:szCs w:val="18"/>
              </w:rPr>
              <w:t>015</w:t>
            </w:r>
            <w:r w:rsidR="0076582B">
              <w:rPr>
                <w:rFonts w:asciiTheme="majorHAnsi" w:eastAsia="Times New Roman" w:hAnsiTheme="majorHAnsi" w:cstheme="majorHAnsi"/>
                <w:sz w:val="20"/>
                <w:szCs w:val="18"/>
              </w:rPr>
              <w:t xml:space="preserve">, </w:t>
            </w:r>
            <w:r w:rsidRPr="00C748D9">
              <w:rPr>
                <w:rFonts w:asciiTheme="majorHAnsi" w:eastAsia="Times New Roman" w:hAnsiTheme="majorHAnsi" w:cstheme="majorHAnsi"/>
                <w:sz w:val="20"/>
                <w:szCs w:val="18"/>
              </w:rPr>
              <w:t>24 hours if you earn $</w:t>
            </w:r>
            <w:r w:rsidR="009F0FAC">
              <w:rPr>
                <w:rFonts w:asciiTheme="majorHAnsi" w:eastAsia="Times New Roman" w:hAnsiTheme="majorHAnsi" w:cstheme="majorHAnsi"/>
                <w:sz w:val="20"/>
                <w:szCs w:val="18"/>
              </w:rPr>
              <w:t>70,015</w:t>
            </w:r>
            <w:r w:rsidRPr="00C748D9">
              <w:rPr>
                <w:rFonts w:asciiTheme="majorHAnsi" w:eastAsia="Times New Roman" w:hAnsiTheme="majorHAnsi" w:cstheme="majorHAnsi"/>
                <w:sz w:val="20"/>
                <w:szCs w:val="18"/>
              </w:rPr>
              <w:t xml:space="preserve"> or below</w:t>
            </w:r>
          </w:p>
          <w:p w14:paraId="4E23DFEE" w14:textId="2131C622"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w:t>
            </w:r>
            <w:r>
              <w:rPr>
                <w:rFonts w:asciiTheme="majorHAnsi" w:eastAsia="Times New Roman" w:hAnsiTheme="majorHAnsi" w:cstheme="majorHAnsi"/>
                <w:sz w:val="20"/>
                <w:szCs w:val="18"/>
              </w:rPr>
              <w:t>T</w:t>
            </w:r>
            <w:r w:rsidRPr="00C748D9">
              <w:rPr>
                <w:rFonts w:asciiTheme="majorHAnsi" w:eastAsia="Times New Roman" w:hAnsiTheme="majorHAnsi" w:cstheme="majorHAnsi"/>
                <w:sz w:val="20"/>
                <w:szCs w:val="18"/>
              </w:rPr>
              <w:t xml:space="preserve">here is an exemption </w:t>
            </w:r>
            <w:r>
              <w:rPr>
                <w:rFonts w:asciiTheme="majorHAnsi" w:eastAsia="Times New Roman" w:hAnsiTheme="majorHAnsi" w:cstheme="majorHAnsi"/>
                <w:sz w:val="20"/>
                <w:szCs w:val="18"/>
              </w:rPr>
              <w:t>for families earnings less than</w:t>
            </w:r>
            <w:r w:rsidRPr="00C748D9">
              <w:rPr>
                <w:rFonts w:asciiTheme="majorHAnsi" w:eastAsia="Times New Roman" w:hAnsiTheme="majorHAnsi" w:cstheme="majorHAnsi"/>
                <w:sz w:val="20"/>
                <w:szCs w:val="18"/>
              </w:rPr>
              <w:t xml:space="preserve"> $</w:t>
            </w:r>
            <w:r w:rsidR="009F0FAC">
              <w:rPr>
                <w:rFonts w:asciiTheme="majorHAnsi" w:eastAsia="Times New Roman" w:hAnsiTheme="majorHAnsi" w:cstheme="majorHAnsi"/>
                <w:sz w:val="20"/>
                <w:szCs w:val="18"/>
              </w:rPr>
              <w:t>70,015</w:t>
            </w:r>
            <w:r w:rsidRPr="00C748D9">
              <w:rPr>
                <w:rFonts w:asciiTheme="majorHAnsi" w:eastAsia="Times New Roman" w:hAnsiTheme="majorHAnsi" w:cstheme="majorHAnsi"/>
                <w:sz w:val="20"/>
                <w:szCs w:val="18"/>
              </w:rPr>
              <w:t xml:space="preserve"> a year and </w:t>
            </w:r>
            <w:r>
              <w:rPr>
                <w:rFonts w:asciiTheme="majorHAnsi" w:eastAsia="Times New Roman" w:hAnsiTheme="majorHAnsi" w:cstheme="majorHAnsi"/>
                <w:sz w:val="20"/>
                <w:szCs w:val="18"/>
              </w:rPr>
              <w:t xml:space="preserve">who </w:t>
            </w:r>
            <w:r w:rsidRPr="00C748D9">
              <w:rPr>
                <w:rFonts w:asciiTheme="majorHAnsi" w:eastAsia="Times New Roman" w:hAnsiTheme="majorHAnsi" w:cstheme="majorHAnsi"/>
                <w:sz w:val="20"/>
                <w:szCs w:val="18"/>
              </w:rPr>
              <w:t xml:space="preserve">do not meet the activity test where </w:t>
            </w:r>
            <w:r>
              <w:rPr>
                <w:rFonts w:asciiTheme="majorHAnsi" w:eastAsia="Times New Roman" w:hAnsiTheme="majorHAnsi" w:cstheme="majorHAnsi"/>
                <w:sz w:val="20"/>
                <w:szCs w:val="18"/>
              </w:rPr>
              <w:t>they are</w:t>
            </w:r>
            <w:r w:rsidRPr="00C748D9">
              <w:rPr>
                <w:rFonts w:asciiTheme="majorHAnsi" w:eastAsia="Times New Roman" w:hAnsiTheme="majorHAnsi" w:cstheme="majorHAnsi"/>
                <w:sz w:val="20"/>
                <w:szCs w:val="18"/>
              </w:rPr>
              <w:t xml:space="preserve"> able to access 24 hours of subsided care per child per fortnight, as part of the </w:t>
            </w:r>
            <w:r w:rsidRPr="00FE43E7">
              <w:rPr>
                <w:rFonts w:asciiTheme="majorHAnsi" w:eastAsia="Times New Roman" w:hAnsiTheme="majorHAnsi" w:cstheme="majorHAnsi"/>
                <w:sz w:val="20"/>
                <w:szCs w:val="18"/>
              </w:rPr>
              <w:t>Child Care Safety Net</w:t>
            </w:r>
            <w:r w:rsidRPr="00C748D9">
              <w:rPr>
                <w:rFonts w:asciiTheme="majorHAnsi" w:eastAsia="Times New Roman" w:hAnsiTheme="majorHAnsi" w:cstheme="majorHAnsi"/>
                <w:sz w:val="20"/>
                <w:szCs w:val="18"/>
              </w:rPr>
              <w:t>)</w:t>
            </w:r>
          </w:p>
        </w:tc>
      </w:tr>
      <w:tr w:rsidR="00F31FC5" w:rsidRPr="00485DAE" w14:paraId="32005368" w14:textId="77777777" w:rsidTr="00BC5105">
        <w:trPr>
          <w:trHeight w:val="270"/>
        </w:trPr>
        <w:tc>
          <w:tcPr>
            <w:tcW w:w="3114" w:type="dxa"/>
            <w:hideMark/>
          </w:tcPr>
          <w:p w14:paraId="64151E0D"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More than 8 to 16 hours              </w:t>
            </w:r>
          </w:p>
        </w:tc>
        <w:tc>
          <w:tcPr>
            <w:tcW w:w="6379" w:type="dxa"/>
            <w:hideMark/>
          </w:tcPr>
          <w:p w14:paraId="192EC320"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36 hours</w:t>
            </w:r>
          </w:p>
        </w:tc>
      </w:tr>
      <w:tr w:rsidR="00F31FC5" w:rsidRPr="00485DAE" w14:paraId="4C25F2CF" w14:textId="77777777" w:rsidTr="00BC5105">
        <w:trPr>
          <w:trHeight w:val="270"/>
        </w:trPr>
        <w:tc>
          <w:tcPr>
            <w:tcW w:w="3114" w:type="dxa"/>
            <w:hideMark/>
          </w:tcPr>
          <w:p w14:paraId="518C79C6"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More than 16 to 48 hours</w:t>
            </w:r>
          </w:p>
        </w:tc>
        <w:tc>
          <w:tcPr>
            <w:tcW w:w="6379" w:type="dxa"/>
            <w:hideMark/>
          </w:tcPr>
          <w:p w14:paraId="1528753A"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72 hours</w:t>
            </w:r>
          </w:p>
        </w:tc>
      </w:tr>
      <w:tr w:rsidR="00F31FC5" w:rsidRPr="00485DAE" w14:paraId="78678B39" w14:textId="77777777" w:rsidTr="00BC5105">
        <w:trPr>
          <w:trHeight w:val="270"/>
        </w:trPr>
        <w:tc>
          <w:tcPr>
            <w:tcW w:w="3114" w:type="dxa"/>
            <w:hideMark/>
          </w:tcPr>
          <w:p w14:paraId="66E0C6A3"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More than 48 hours</w:t>
            </w:r>
          </w:p>
        </w:tc>
        <w:tc>
          <w:tcPr>
            <w:tcW w:w="6379" w:type="dxa"/>
            <w:hideMark/>
          </w:tcPr>
          <w:p w14:paraId="58315A71" w14:textId="77777777" w:rsidR="00F31FC5" w:rsidRPr="00C748D9" w:rsidRDefault="00F31FC5">
            <w:pPr>
              <w:spacing w:after="0" w:line="240" w:lineRule="auto"/>
              <w:rPr>
                <w:rFonts w:asciiTheme="majorHAnsi" w:eastAsia="Times New Roman" w:hAnsiTheme="majorHAnsi" w:cstheme="majorHAnsi"/>
                <w:sz w:val="20"/>
                <w:szCs w:val="18"/>
              </w:rPr>
            </w:pPr>
            <w:r w:rsidRPr="00C748D9">
              <w:rPr>
                <w:rFonts w:asciiTheme="majorHAnsi" w:eastAsia="Times New Roman" w:hAnsiTheme="majorHAnsi" w:cstheme="majorHAnsi"/>
                <w:sz w:val="20"/>
                <w:szCs w:val="18"/>
              </w:rPr>
              <w:t>100 hours             </w:t>
            </w:r>
          </w:p>
        </w:tc>
      </w:tr>
    </w:tbl>
    <w:p w14:paraId="0583D547" w14:textId="77777777" w:rsidR="0076582B" w:rsidRDefault="0076582B" w:rsidP="00BC5105">
      <w:pPr>
        <w:spacing w:line="276" w:lineRule="auto"/>
      </w:pPr>
    </w:p>
    <w:p w14:paraId="6CAFE583" w14:textId="7CE5234B" w:rsidR="0018055B" w:rsidRDefault="00F31FC5" w:rsidP="00BC5105">
      <w:pPr>
        <w:spacing w:line="276" w:lineRule="auto"/>
        <w:jc w:val="both"/>
      </w:pPr>
      <w:r>
        <w:t>Despite the CCS, cost remains a significant issue for many Australian families</w:t>
      </w:r>
      <w:r w:rsidR="00FE7D4B" w:rsidRPr="00FE7D4B">
        <w:t xml:space="preserve"> </w:t>
      </w:r>
      <w:r w:rsidR="00FE7D4B">
        <w:t>and the average per-hour expenditu</w:t>
      </w:r>
      <w:r w:rsidR="0079794A">
        <w:t xml:space="preserve">re on </w:t>
      </w:r>
      <w:r w:rsidR="009F7190">
        <w:t>child care</w:t>
      </w:r>
      <w:r w:rsidR="0079794A">
        <w:t xml:space="preserve"> increased by 51%</w:t>
      </w:r>
      <w:r w:rsidR="00FE7D4B">
        <w:t xml:space="preserve"> in real terms between 2002-03 and 2016-17 </w:t>
      </w:r>
      <w:r w:rsidR="00C83033">
        <w:rPr>
          <w:noProof/>
        </w:rPr>
        <w:t xml:space="preserve">(Wood, </w:t>
      </w:r>
      <w:r w:rsidR="00C83033" w:rsidRPr="00C83033">
        <w:rPr>
          <w:i/>
          <w:iCs/>
          <w:noProof/>
        </w:rPr>
        <w:t>et al</w:t>
      </w:r>
      <w:r w:rsidR="00C83033">
        <w:rPr>
          <w:noProof/>
        </w:rPr>
        <w:t>. 2020)</w:t>
      </w:r>
      <w:r w:rsidR="00FE7D4B">
        <w:t>.</w:t>
      </w:r>
      <w:r w:rsidR="0018055B">
        <w:t xml:space="preserve"> Analysis of data from the Household, Income and Labour Dynamics in Australia (HILDA) survey found that for famil</w:t>
      </w:r>
      <w:r>
        <w:t xml:space="preserve">ies with a youngest child aged 0-4 who have used or thought about using </w:t>
      </w:r>
      <w:r w:rsidR="009F7190">
        <w:t>child care</w:t>
      </w:r>
      <w:r>
        <w:t xml:space="preserve"> in the last 12 months, two-thirds had experienced one or more difficulties regarding </w:t>
      </w:r>
      <w:r w:rsidR="009F7190">
        <w:t>child care</w:t>
      </w:r>
      <w:r>
        <w:t xml:space="preserve"> with the most common difficultly stated by 49% of parents being the cost of </w:t>
      </w:r>
      <w:r w:rsidR="009F7190">
        <w:t>child care</w:t>
      </w:r>
      <w:r>
        <w:t xml:space="preserve"> </w:t>
      </w:r>
      <w:r w:rsidR="00C83033">
        <w:rPr>
          <w:noProof/>
        </w:rPr>
        <w:t>(Laß, 2019)</w:t>
      </w:r>
      <w:r>
        <w:t xml:space="preserve">. </w:t>
      </w:r>
      <w:r w:rsidR="0018055B">
        <w:t xml:space="preserve">Similarly, a survey of mothers with children aged 15 to 29 months old which asked the mothers what policy options would have helped them the most after birth, affordable </w:t>
      </w:r>
      <w:r w:rsidR="009F7190">
        <w:t>child care</w:t>
      </w:r>
      <w:r w:rsidR="0018055B">
        <w:t xml:space="preserve"> stood out as the policy perceived as most useful to mothers, regardless of their paid work status </w:t>
      </w:r>
      <w:r w:rsidR="001E0F6C">
        <w:rPr>
          <w:noProof/>
        </w:rPr>
        <w:t xml:space="preserve">(Renda, </w:t>
      </w:r>
      <w:r w:rsidR="001E0F6C" w:rsidRPr="00C83033">
        <w:rPr>
          <w:i/>
          <w:iCs/>
          <w:noProof/>
        </w:rPr>
        <w:t>et al</w:t>
      </w:r>
      <w:r w:rsidR="001E0F6C">
        <w:rPr>
          <w:noProof/>
        </w:rPr>
        <w:t>. 2009, p. 65)</w:t>
      </w:r>
      <w:r w:rsidR="0018055B">
        <w:t>.</w:t>
      </w:r>
    </w:p>
    <w:p w14:paraId="7BAF1FF2" w14:textId="379662C3" w:rsidR="00094B00" w:rsidRDefault="009F7190" w:rsidP="00094B00">
      <w:pPr>
        <w:spacing w:line="276" w:lineRule="auto"/>
        <w:jc w:val="both"/>
      </w:pPr>
      <w:r>
        <w:t>Child care</w:t>
      </w:r>
      <w:r w:rsidR="00F31FC5">
        <w:t xml:space="preserve"> cost is </w:t>
      </w:r>
      <w:r w:rsidR="00FE7D4B">
        <w:t xml:space="preserve">also </w:t>
      </w:r>
      <w:r w:rsidR="00F31FC5">
        <w:t xml:space="preserve">the reason most nominated by mothers for not doing more hours of paid work. </w:t>
      </w:r>
      <w:r w:rsidR="0018055B">
        <w:t>A report by the Grattan Institute highlighted how t</w:t>
      </w:r>
      <w:r w:rsidR="00FE7D4B">
        <w:t xml:space="preserve">he </w:t>
      </w:r>
      <w:r w:rsidR="009C7D7F">
        <w:t xml:space="preserve">high workforce disincentive rates mean that </w:t>
      </w:r>
      <w:r w:rsidR="00FE7D4B">
        <w:t xml:space="preserve">for many women working an additional fourth or fifth day does not make economic sense. </w:t>
      </w:r>
      <w:r w:rsidR="009C7D7F">
        <w:t>For example, in a household where both parents have the potential to earn $60,000 per year if working full time, the second earner</w:t>
      </w:r>
      <w:r w:rsidR="0018055B">
        <w:t xml:space="preserve"> (usually mother)</w:t>
      </w:r>
      <w:r w:rsidR="009C7D7F">
        <w:t xml:space="preserve"> would be working for about $2 per hour on her fourth day, and for free on her fifth day</w:t>
      </w:r>
      <w:r w:rsidR="001E0F6C">
        <w:rPr>
          <w:noProof/>
        </w:rPr>
        <w:t xml:space="preserve"> (Wood, et al. 2020)</w:t>
      </w:r>
      <w:r w:rsidR="00FE7D4B">
        <w:t>.</w:t>
      </w:r>
      <w:r w:rsidR="00094B00">
        <w:t xml:space="preserve"> This is also corroborated by a 2021 survey, commissioned by the Front Project</w:t>
      </w:r>
      <w:r w:rsidR="001372A9">
        <w:t xml:space="preserve"> </w:t>
      </w:r>
      <w:r w:rsidR="00C83033">
        <w:rPr>
          <w:noProof/>
        </w:rPr>
        <w:t>(2021)</w:t>
      </w:r>
      <w:r w:rsidR="00094B00">
        <w:t xml:space="preserve">, of parents aged 0-5. Among parents who used </w:t>
      </w:r>
      <w:r>
        <w:t>child care</w:t>
      </w:r>
      <w:r w:rsidR="00094B00">
        <w:t xml:space="preserve">, 52% agreed that once the cost of care was factored in, it was ‘hardly worth working, 47% </w:t>
      </w:r>
      <w:r w:rsidR="00094B00" w:rsidRPr="006C6E6D">
        <w:t>agreed that they have had to make financial sacrifices to afford care, and 43 % agreed that they’ve had to change work arrangements to fit in with the service they could find/afford.</w:t>
      </w:r>
      <w:r w:rsidR="00094B00">
        <w:t xml:space="preserve"> The same survey found that nearly three-quarters (73%) of all parents agreed that high ECEC costs were a barrier to some families having (more) children. </w:t>
      </w:r>
    </w:p>
    <w:p w14:paraId="2DED1799" w14:textId="77777777" w:rsidR="00094B00" w:rsidRDefault="00094B00" w:rsidP="00BC5105">
      <w:pPr>
        <w:spacing w:line="276" w:lineRule="auto"/>
        <w:jc w:val="both"/>
      </w:pPr>
    </w:p>
    <w:p w14:paraId="511D0E41" w14:textId="7624D9A9" w:rsidR="00F31FC5" w:rsidRDefault="00F31FC5" w:rsidP="00BC5105">
      <w:pPr>
        <w:spacing w:line="276" w:lineRule="auto"/>
        <w:jc w:val="both"/>
        <w:rPr>
          <w:b/>
        </w:rPr>
      </w:pPr>
      <w:r>
        <w:rPr>
          <w:b/>
        </w:rPr>
        <w:br w:type="page"/>
      </w:r>
    </w:p>
    <w:p w14:paraId="62B8C547" w14:textId="7E1E8832" w:rsidR="00F31FC5" w:rsidRDefault="00F31FC5" w:rsidP="00F524FB">
      <w:pPr>
        <w:pStyle w:val="Heading2"/>
        <w:spacing w:before="0" w:line="276" w:lineRule="auto"/>
      </w:pPr>
      <w:bookmarkStart w:id="132" w:name="_Toc87454628"/>
      <w:bookmarkStart w:id="133" w:name="_Toc98404975"/>
      <w:r>
        <w:lastRenderedPageBreak/>
        <w:t xml:space="preserve">Does </w:t>
      </w:r>
      <w:r w:rsidR="009F7190">
        <w:t>child care</w:t>
      </w:r>
      <w:r>
        <w:t xml:space="preserve"> availability increase fertility?</w:t>
      </w:r>
      <w:bookmarkEnd w:id="132"/>
      <w:bookmarkEnd w:id="133"/>
      <w:r>
        <w:t xml:space="preserve"> </w:t>
      </w:r>
    </w:p>
    <w:p w14:paraId="657523AF" w14:textId="596B566C" w:rsidR="00F31FC5" w:rsidRDefault="00F31FC5" w:rsidP="00BC5105">
      <w:pPr>
        <w:spacing w:line="276" w:lineRule="auto"/>
        <w:jc w:val="both"/>
      </w:pPr>
      <w:r>
        <w:t xml:space="preserve">There have been no specific studies looking at </w:t>
      </w:r>
      <w:r w:rsidR="009F7190">
        <w:t>child care</w:t>
      </w:r>
      <w:r>
        <w:t xml:space="preserve"> and childbearing behaviour in Australia</w:t>
      </w:r>
      <w:r w:rsidR="00E80D36">
        <w:t>; however, several key studies from other countries have</w:t>
      </w:r>
      <w:r w:rsidR="00F76FCF">
        <w:t xml:space="preserve"> </w:t>
      </w:r>
      <w:r w:rsidR="00E80D36">
        <w:t xml:space="preserve">taken advantage of regional variation in </w:t>
      </w:r>
      <w:r w:rsidR="009F7190">
        <w:t>child care</w:t>
      </w:r>
      <w:r w:rsidR="00E80D36">
        <w:t xml:space="preserve"> coverage within the countries to examine the link between </w:t>
      </w:r>
      <w:r w:rsidR="009F7190">
        <w:t>child care</w:t>
      </w:r>
      <w:r w:rsidR="00E80D36">
        <w:t xml:space="preserve"> provision and fertility. </w:t>
      </w:r>
      <w:r>
        <w:t xml:space="preserve">It should be noted however </w:t>
      </w:r>
      <w:r w:rsidR="00E80D36">
        <w:t xml:space="preserve">that these studies </w:t>
      </w:r>
      <w:r>
        <w:t xml:space="preserve">usually look at </w:t>
      </w:r>
      <w:r w:rsidR="009F7190">
        <w:t>child care</w:t>
      </w:r>
      <w:r>
        <w:t xml:space="preserve"> in terms of supply </w:t>
      </w:r>
      <w:r w:rsidR="00E80D36">
        <w:t xml:space="preserve">and cost, </w:t>
      </w:r>
      <w:r>
        <w:t>disregarding</w:t>
      </w:r>
      <w:r w:rsidR="00542BF3">
        <w:t xml:space="preserve"> other dimensions such as quality and flexibility which potentially have different effects on fertility</w:t>
      </w:r>
      <w:r>
        <w:t xml:space="preserve"> </w:t>
      </w:r>
      <w:r w:rsidR="00C83033">
        <w:rPr>
          <w:noProof/>
        </w:rPr>
        <w:t>(Matysiak &amp; Węziak-Białowolska , 2016)</w:t>
      </w:r>
      <w:r>
        <w:t xml:space="preserve">. </w:t>
      </w:r>
    </w:p>
    <w:p w14:paraId="052E6DC0" w14:textId="621B110C" w:rsidR="00F17725" w:rsidRDefault="00DE6ABE" w:rsidP="00BC5105">
      <w:pPr>
        <w:spacing w:line="276" w:lineRule="auto"/>
        <w:jc w:val="both"/>
      </w:pPr>
      <w:r>
        <w:t xml:space="preserve">Focusing on Spain, between 1993-2000, </w:t>
      </w:r>
      <w:r>
        <w:rPr>
          <w:noProof/>
        </w:rPr>
        <w:t>Baizán</w:t>
      </w:r>
      <w:r>
        <w:t xml:space="preserve"> </w:t>
      </w:r>
      <w:r w:rsidR="00C83033">
        <w:rPr>
          <w:noProof/>
        </w:rPr>
        <w:t>(2009)</w:t>
      </w:r>
      <w:r>
        <w:t xml:space="preserve"> took advantage of the fact that enrolment for children under 3 was heterogeneous at the regional level and </w:t>
      </w:r>
      <w:r w:rsidR="00807630">
        <w:t xml:space="preserve">while </w:t>
      </w:r>
      <w:r>
        <w:t>enrolment increased rapidly in some regions in connection with regional policies</w:t>
      </w:r>
      <w:r w:rsidR="00807630">
        <w:t xml:space="preserve"> the pace of this increase was uneven</w:t>
      </w:r>
      <w:r>
        <w:t>.</w:t>
      </w:r>
      <w:r w:rsidR="00F17725">
        <w:t xml:space="preserve"> By 2000, some regions such as Cataluña had an enrolment rate for 0-2 year olds of 26%, whereas in other regions such as Extremadura it was still below 1% at that time. </w:t>
      </w:r>
      <w:r>
        <w:t xml:space="preserve"> They found a strong positive effect of the percentage of children aged 0-2 enrolled in </w:t>
      </w:r>
      <w:r w:rsidR="009F7190">
        <w:t>child care</w:t>
      </w:r>
      <w:r>
        <w:t xml:space="preserve"> on</w:t>
      </w:r>
      <w:r w:rsidR="00F46CED">
        <w:t xml:space="preserve"> the propensity to have a</w:t>
      </w:r>
      <w:r>
        <w:t xml:space="preserve"> first birth as well as second and higher order births</w:t>
      </w:r>
      <w:r w:rsidR="006668B8">
        <w:t xml:space="preserve">. </w:t>
      </w:r>
    </w:p>
    <w:p w14:paraId="0DF2BB7F" w14:textId="13D48347" w:rsidR="00DA3082" w:rsidRDefault="00F17725" w:rsidP="00BC5105">
      <w:pPr>
        <w:spacing w:line="276" w:lineRule="auto"/>
        <w:jc w:val="both"/>
      </w:pPr>
      <w:r>
        <w:t xml:space="preserve">For Japan, Fukai </w:t>
      </w:r>
      <w:r w:rsidR="00C83033">
        <w:rPr>
          <w:noProof/>
        </w:rPr>
        <w:t>(2017)</w:t>
      </w:r>
      <w:r>
        <w:t xml:space="preserve"> looked at the change in </w:t>
      </w:r>
      <w:r w:rsidR="009F7190">
        <w:t>child care</w:t>
      </w:r>
      <w:r>
        <w:t xml:space="preserve"> coverage over the 2000-2010 period. As with Spain, while coverage increased substantially this did not occur evenly across the country with substantial </w:t>
      </w:r>
      <w:r w:rsidR="007657A4">
        <w:t>municipal</w:t>
      </w:r>
      <w:r>
        <w:t xml:space="preserve"> variation. </w:t>
      </w:r>
      <w:r w:rsidR="00F20D20">
        <w:t>This study found</w:t>
      </w:r>
      <w:r w:rsidR="007657A4">
        <w:t xml:space="preserve"> a robust positive effect on overall fertility which was significant in regions where women had a higher propensity to work. </w:t>
      </w:r>
      <w:r w:rsidR="00F20D20">
        <w:t xml:space="preserve">It </w:t>
      </w:r>
      <w:r w:rsidR="007657A4">
        <w:t>also found a strong effect on the transition to parenthood, or</w:t>
      </w:r>
      <w:r w:rsidR="007657A4" w:rsidRPr="007657A4">
        <w:t xml:space="preserve"> the birth of the first child. </w:t>
      </w:r>
      <w:r w:rsidR="00FE7D4B">
        <w:t xml:space="preserve"> </w:t>
      </w:r>
      <w:r w:rsidR="00DA3082">
        <w:t xml:space="preserve">Similarly for Belgium, the difference in coverage of </w:t>
      </w:r>
      <w:r w:rsidR="009F7190">
        <w:t>child care</w:t>
      </w:r>
      <w:r w:rsidR="00DA3082">
        <w:t xml:space="preserve"> for children under 3 over the time period of study (2002-2005) as well as across municipalities was used to examine the relationship with birth probabilities among dual-earner couples. The</w:t>
      </w:r>
      <w:r w:rsidR="00F20D20">
        <w:t xml:space="preserve"> authors</w:t>
      </w:r>
      <w:r w:rsidR="00DA3082">
        <w:t xml:space="preserve"> find a positive association between local </w:t>
      </w:r>
      <w:r w:rsidR="009F7190">
        <w:t>child care</w:t>
      </w:r>
      <w:r w:rsidR="00DA3082">
        <w:t xml:space="preserve"> availability and overall fertility among dual-earner couples, with the strongest effect for first births </w:t>
      </w:r>
      <w:r w:rsidR="00C83033">
        <w:rPr>
          <w:noProof/>
        </w:rPr>
        <w:t>(Wood &amp; Neels, 2019)</w:t>
      </w:r>
      <w:r w:rsidR="00DA3082">
        <w:t xml:space="preserve">. </w:t>
      </w:r>
    </w:p>
    <w:p w14:paraId="5B7DC166" w14:textId="17F95CD8" w:rsidR="00B777EB" w:rsidRDefault="00946E54" w:rsidP="00BC5105">
      <w:pPr>
        <w:spacing w:line="276" w:lineRule="auto"/>
        <w:jc w:val="both"/>
      </w:pPr>
      <w:r>
        <w:t>Rindfuss</w:t>
      </w:r>
      <w:r w:rsidR="005C5641">
        <w:t>,</w:t>
      </w:r>
      <w:r>
        <w:t xml:space="preserve"> et al</w:t>
      </w:r>
      <w:r w:rsidR="005C5641">
        <w:t>.</w:t>
      </w:r>
      <w:r>
        <w:t xml:space="preserve"> examine</w:t>
      </w:r>
      <w:r w:rsidR="00807630">
        <w:t>d</w:t>
      </w:r>
      <w:r>
        <w:t xml:space="preserve"> the effect of </w:t>
      </w:r>
      <w:r w:rsidR="009F7190">
        <w:t>child care</w:t>
      </w:r>
      <w:r>
        <w:t xml:space="preserve"> availability on first birth timing (2007) and completed fertility (2010) for the cohorts of mothers born in Norway in 1957-1962. </w:t>
      </w:r>
      <w:r w:rsidR="00B777EB">
        <w:t xml:space="preserve">They also rely on variation in the percentage of pre-school aged children enrolled, across both time (between 1973-1998) and across municipalities. </w:t>
      </w:r>
      <w:r w:rsidR="00165F0E">
        <w:t>For first birth timing they find</w:t>
      </w:r>
      <w:r w:rsidR="00B777EB">
        <w:t xml:space="preserve"> a positive association with increased </w:t>
      </w:r>
      <w:r w:rsidR="009F7190">
        <w:t>child care</w:t>
      </w:r>
      <w:r w:rsidR="00B777EB">
        <w:t xml:space="preserve"> availability leading to a higher transition to first birth. </w:t>
      </w:r>
      <w:r w:rsidR="007E50F8">
        <w:t xml:space="preserve">For completed fertility by age 35 they also find a </w:t>
      </w:r>
      <w:r w:rsidR="00981BF3">
        <w:t xml:space="preserve">positive relationship </w:t>
      </w:r>
      <w:r w:rsidR="000D74B1">
        <w:t xml:space="preserve">with each 10% increase in </w:t>
      </w:r>
      <w:r w:rsidR="009F7190">
        <w:t>child care</w:t>
      </w:r>
      <w:r w:rsidR="000D74B1">
        <w:t xml:space="preserve"> availability being associated with a 0.1 increase in average number of children born. The increase is significant for all parities, although simulated parity progressions suggest that the strength is largest for second children. </w:t>
      </w:r>
    </w:p>
    <w:p w14:paraId="7C160177" w14:textId="6037815E" w:rsidR="008A7DE7" w:rsidRPr="000F1EBD" w:rsidRDefault="0025384E" w:rsidP="007E15F6">
      <w:pPr>
        <w:spacing w:line="276" w:lineRule="auto"/>
        <w:jc w:val="both"/>
        <w:sectPr w:rsidR="008A7DE7" w:rsidRPr="000F1EBD" w:rsidSect="004C48FE">
          <w:pgSz w:w="11906" w:h="16838"/>
          <w:pgMar w:top="1418" w:right="1440" w:bottom="1440" w:left="1440" w:header="708" w:footer="708" w:gutter="0"/>
          <w:cols w:space="708"/>
          <w:docGrid w:linePitch="360"/>
        </w:sectPr>
      </w:pPr>
      <w:r>
        <w:t xml:space="preserve">Bauernschuster, </w:t>
      </w:r>
      <w:r w:rsidR="00FE7D4B">
        <w:t>et al.</w:t>
      </w:r>
      <w:r>
        <w:t xml:space="preserve"> (2016) </w:t>
      </w:r>
      <w:r w:rsidR="00F60DA4">
        <w:t>examine</w:t>
      </w:r>
      <w:r w:rsidR="00802B9C">
        <w:t>d</w:t>
      </w:r>
      <w:r w:rsidR="00F60DA4">
        <w:t xml:space="preserve"> the link between birth rates and </w:t>
      </w:r>
      <w:r w:rsidR="00C93F6E">
        <w:t>the considerable</w:t>
      </w:r>
      <w:r w:rsidR="00F60DA4">
        <w:t xml:space="preserve"> temporal and spatial variation in public </w:t>
      </w:r>
      <w:r w:rsidR="009F7190">
        <w:t>child care</w:t>
      </w:r>
      <w:r w:rsidR="00F60DA4">
        <w:t xml:space="preserve"> coverage in </w:t>
      </w:r>
      <w:r>
        <w:t xml:space="preserve">West German counties </w:t>
      </w:r>
      <w:r w:rsidR="00F60DA4">
        <w:t xml:space="preserve">between </w:t>
      </w:r>
      <w:r>
        <w:t>1998 to 2010</w:t>
      </w:r>
      <w:r w:rsidR="00F60DA4">
        <w:t>. During this time</w:t>
      </w:r>
      <w:r w:rsidR="00802B9C">
        <w:t>,</w:t>
      </w:r>
      <w:r w:rsidR="00F60DA4">
        <w:t xml:space="preserve"> several large</w:t>
      </w:r>
      <w:r w:rsidR="00802B9C">
        <w:t>-</w:t>
      </w:r>
      <w:r w:rsidR="00F60DA4">
        <w:t xml:space="preserve">scale public </w:t>
      </w:r>
      <w:r w:rsidR="009F7190">
        <w:t>child care</w:t>
      </w:r>
      <w:r w:rsidR="00F60DA4">
        <w:t xml:space="preserve"> reforms led to a rapid increase in </w:t>
      </w:r>
      <w:r w:rsidR="009F7190">
        <w:t>child care</w:t>
      </w:r>
      <w:r w:rsidR="00F60DA4">
        <w:t xml:space="preserve"> availability, although the expansion occurred at a different rate across counties. They f</w:t>
      </w:r>
      <w:r w:rsidR="00807630">
        <w:t>ound</w:t>
      </w:r>
      <w:r w:rsidR="00F60DA4">
        <w:t xml:space="preserve"> that </w:t>
      </w:r>
      <w:r w:rsidR="0001706A">
        <w:t>the provision</w:t>
      </w:r>
      <w:r>
        <w:t xml:space="preserve"> of public </w:t>
      </w:r>
      <w:r w:rsidR="009F7190">
        <w:t>child care</w:t>
      </w:r>
      <w:r>
        <w:t xml:space="preserve"> had positive effects on fertility</w:t>
      </w:r>
      <w:r w:rsidR="00F60DA4">
        <w:t xml:space="preserve"> with a </w:t>
      </w:r>
      <w:r>
        <w:t xml:space="preserve">10% increase </w:t>
      </w:r>
      <w:r w:rsidR="00F60DA4">
        <w:t xml:space="preserve">in </w:t>
      </w:r>
      <w:r w:rsidR="009F7190">
        <w:t>child care</w:t>
      </w:r>
      <w:r w:rsidR="00F60DA4">
        <w:t xml:space="preserve"> availability leading to an increase of </w:t>
      </w:r>
      <w:r>
        <w:t xml:space="preserve">birth rates of 2.8 %. </w:t>
      </w:r>
      <w:r w:rsidR="00C96C57">
        <w:t xml:space="preserve">The effects are negligible for first births but stronger for second and third births. </w:t>
      </w:r>
      <w:r w:rsidR="00A61ED1">
        <w:t>Hence, t</w:t>
      </w:r>
      <w:r w:rsidR="008A1DB5" w:rsidRPr="008A1DB5">
        <w:t>he fertility effects are more pronounced at the intensive than at the extensive margin</w:t>
      </w:r>
      <w:r w:rsidR="00C93F6E">
        <w:t>,</w:t>
      </w:r>
      <w:r w:rsidR="008A1DB5">
        <w:t xml:space="preserve"> with increased birth rates more likely to be at higher parities. </w:t>
      </w:r>
      <w:r w:rsidR="00BA6B5E">
        <w:t xml:space="preserve">Krapf (2014) also focused on spatial variation in </w:t>
      </w:r>
      <w:r w:rsidR="009F7190">
        <w:t>child care</w:t>
      </w:r>
      <w:r w:rsidR="00BA6B5E">
        <w:t xml:space="preserve"> availability by district in Germany, and examined if there was any association with first births.  She found no significant overall effect, although there was an indication of an interaction effect with education levels.  Women with high education living in areas with low </w:t>
      </w:r>
      <w:r w:rsidR="008D52A6">
        <w:t>child care</w:t>
      </w:r>
      <w:r w:rsidR="00BA6B5E">
        <w:t xml:space="preserve"> provision were less likely to have a first birth compared to women with high </w:t>
      </w:r>
      <w:r w:rsidR="00BA6B5E">
        <w:lastRenderedPageBreak/>
        <w:t xml:space="preserve">education living in areas with high </w:t>
      </w:r>
      <w:r w:rsidR="008D52A6">
        <w:t>child care</w:t>
      </w:r>
      <w:r w:rsidR="00BA6B5E">
        <w:t xml:space="preserve"> provision.  </w:t>
      </w:r>
      <w:r w:rsidR="008A7DE7">
        <w:t xml:space="preserve">For Italy, Del Boca (2002) found that increasing </w:t>
      </w:r>
      <w:r w:rsidR="008D52A6">
        <w:t>child care</w:t>
      </w:r>
      <w:r w:rsidR="008A7DE7">
        <w:t xml:space="preserve"> availability by 10% increases the relative odds of having a child by 0.198</w:t>
      </w:r>
      <w:r w:rsidR="00802B9C">
        <w:t>.</w:t>
      </w:r>
    </w:p>
    <w:p w14:paraId="73432E16" w14:textId="3ACABA9D" w:rsidR="00F31FC5" w:rsidRPr="000B3E18" w:rsidRDefault="00F31FC5" w:rsidP="00BC5105">
      <w:pPr>
        <w:pStyle w:val="Caption"/>
        <w:spacing w:line="276" w:lineRule="auto"/>
        <w:rPr>
          <w:b/>
          <w:bCs/>
        </w:rPr>
      </w:pPr>
      <w:r>
        <w:lastRenderedPageBreak/>
        <w:t xml:space="preserve">Table </w:t>
      </w:r>
      <w:fldSimple w:instr=" SEQ Table \* ARABIC ">
        <w:r w:rsidR="00115E22">
          <w:rPr>
            <w:noProof/>
          </w:rPr>
          <w:t>19</w:t>
        </w:r>
      </w:fldSimple>
      <w:r>
        <w:t xml:space="preserve"> </w:t>
      </w:r>
      <w:r w:rsidRPr="00CF3041">
        <w:t>Studies on sub</w:t>
      </w:r>
      <w:r>
        <w:t>-</w:t>
      </w:r>
      <w:r w:rsidRPr="00CF3041">
        <w:t xml:space="preserve">regional variation in </w:t>
      </w:r>
      <w:r w:rsidR="008D52A6">
        <w:t>child care</w:t>
      </w:r>
      <w:r w:rsidRPr="00CF3041">
        <w:t xml:space="preserve"> and fertility </w:t>
      </w:r>
    </w:p>
    <w:tbl>
      <w:tblPr>
        <w:tblpPr w:leftFromText="180" w:rightFromText="180" w:vertAnchor="text" w:tblpY="1"/>
        <w:tblOverlap w:val="never"/>
        <w:tblW w:w="5241"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954"/>
        <w:gridCol w:w="2443"/>
        <w:gridCol w:w="2179"/>
        <w:gridCol w:w="6778"/>
        <w:gridCol w:w="2266"/>
      </w:tblGrid>
      <w:tr w:rsidR="00F31FC5" w:rsidRPr="00B31599" w14:paraId="52123E8D" w14:textId="77777777" w:rsidTr="00807630">
        <w:trPr>
          <w:trHeight w:val="315"/>
        </w:trPr>
        <w:tc>
          <w:tcPr>
            <w:tcW w:w="326" w:type="pct"/>
            <w:shd w:val="clear" w:color="auto" w:fill="FBE4D5" w:themeFill="accent2" w:themeFillTint="33"/>
            <w:vAlign w:val="center"/>
            <w:hideMark/>
          </w:tcPr>
          <w:p w14:paraId="41B2FB50" w14:textId="77777777" w:rsidR="00F31FC5" w:rsidRPr="006C6E6D" w:rsidRDefault="00F31FC5" w:rsidP="00807630">
            <w:pPr>
              <w:spacing w:after="0" w:line="240" w:lineRule="auto"/>
              <w:rPr>
                <w:rFonts w:ascii="Tw Cen MT Condensed" w:eastAsia="Times New Roman" w:hAnsi="Tw Cen MT Condensed" w:cs="Calibri Light"/>
                <w:color w:val="000000"/>
                <w:sz w:val="24"/>
                <w:szCs w:val="24"/>
              </w:rPr>
            </w:pPr>
            <w:r w:rsidRPr="006C6E6D">
              <w:rPr>
                <w:rFonts w:ascii="Tw Cen MT Condensed" w:eastAsia="Times New Roman" w:hAnsi="Tw Cen MT Condensed" w:cs="Calibri Light"/>
                <w:color w:val="000000"/>
                <w:sz w:val="24"/>
                <w:szCs w:val="24"/>
              </w:rPr>
              <w:t>Country</w:t>
            </w:r>
          </w:p>
        </w:tc>
        <w:tc>
          <w:tcPr>
            <w:tcW w:w="835" w:type="pct"/>
            <w:shd w:val="clear" w:color="auto" w:fill="FBE4D5" w:themeFill="accent2" w:themeFillTint="33"/>
            <w:vAlign w:val="center"/>
            <w:hideMark/>
          </w:tcPr>
          <w:p w14:paraId="0A600DD9" w14:textId="77B611F5" w:rsidR="00F31FC5" w:rsidRPr="006C6E6D" w:rsidRDefault="008D52A6" w:rsidP="00807630">
            <w:pPr>
              <w:spacing w:after="0" w:line="240" w:lineRule="auto"/>
              <w:rPr>
                <w:rFonts w:ascii="Tw Cen MT Condensed" w:eastAsia="Times New Roman" w:hAnsi="Tw Cen MT Condensed" w:cs="Calibri Light"/>
                <w:color w:val="000000"/>
                <w:sz w:val="24"/>
                <w:szCs w:val="24"/>
              </w:rPr>
            </w:pPr>
            <w:r>
              <w:rPr>
                <w:rFonts w:ascii="Tw Cen MT Condensed" w:eastAsia="Times New Roman" w:hAnsi="Tw Cen MT Condensed" w:cs="Calibri Light"/>
                <w:color w:val="000000"/>
                <w:sz w:val="24"/>
                <w:szCs w:val="24"/>
              </w:rPr>
              <w:t>Child care</w:t>
            </w:r>
            <w:r w:rsidR="00F31FC5" w:rsidRPr="006C6E6D">
              <w:rPr>
                <w:rFonts w:ascii="Tw Cen MT Condensed" w:eastAsia="Times New Roman" w:hAnsi="Tw Cen MT Condensed" w:cs="Calibri Light"/>
                <w:color w:val="000000"/>
                <w:sz w:val="24"/>
                <w:szCs w:val="24"/>
              </w:rPr>
              <w:t xml:space="preserve"> dimension</w:t>
            </w:r>
          </w:p>
        </w:tc>
        <w:tc>
          <w:tcPr>
            <w:tcW w:w="745" w:type="pct"/>
            <w:shd w:val="clear" w:color="auto" w:fill="FBE4D5" w:themeFill="accent2" w:themeFillTint="33"/>
            <w:vAlign w:val="center"/>
            <w:hideMark/>
          </w:tcPr>
          <w:p w14:paraId="21FFF2E2" w14:textId="04F32E4B" w:rsidR="00F31FC5" w:rsidRPr="006C6E6D" w:rsidRDefault="00B31599" w:rsidP="00807630">
            <w:pPr>
              <w:spacing w:after="0" w:line="240" w:lineRule="auto"/>
              <w:rPr>
                <w:rFonts w:ascii="Tw Cen MT Condensed" w:eastAsia="Times New Roman" w:hAnsi="Tw Cen MT Condensed" w:cs="Calibri Light"/>
                <w:color w:val="000000"/>
                <w:sz w:val="24"/>
                <w:szCs w:val="24"/>
              </w:rPr>
            </w:pPr>
            <w:r w:rsidRPr="006C6E6D">
              <w:rPr>
                <w:rFonts w:ascii="Tw Cen MT Condensed" w:eastAsia="Times New Roman" w:hAnsi="Tw Cen MT Condensed" w:cs="Calibri Light"/>
                <w:color w:val="000000"/>
                <w:sz w:val="24"/>
                <w:szCs w:val="24"/>
              </w:rPr>
              <w:t>Fertility outcome</w:t>
            </w:r>
          </w:p>
        </w:tc>
        <w:tc>
          <w:tcPr>
            <w:tcW w:w="2318" w:type="pct"/>
            <w:shd w:val="clear" w:color="auto" w:fill="FBE4D5" w:themeFill="accent2" w:themeFillTint="33"/>
            <w:vAlign w:val="center"/>
            <w:hideMark/>
          </w:tcPr>
          <w:p w14:paraId="731592A7" w14:textId="75361258" w:rsidR="00F31FC5" w:rsidRPr="006C6E6D" w:rsidRDefault="008D52A6" w:rsidP="00807630">
            <w:pPr>
              <w:spacing w:after="0" w:line="240" w:lineRule="auto"/>
              <w:rPr>
                <w:rFonts w:ascii="Tw Cen MT Condensed" w:eastAsia="Times New Roman" w:hAnsi="Tw Cen MT Condensed" w:cs="Calibri Light"/>
                <w:color w:val="000000"/>
                <w:sz w:val="24"/>
                <w:szCs w:val="24"/>
              </w:rPr>
            </w:pPr>
            <w:r>
              <w:rPr>
                <w:rFonts w:ascii="Tw Cen MT Condensed" w:eastAsia="Times New Roman" w:hAnsi="Tw Cen MT Condensed" w:cs="Calibri Light"/>
                <w:color w:val="000000"/>
                <w:sz w:val="24"/>
                <w:szCs w:val="24"/>
              </w:rPr>
              <w:t>Child care</w:t>
            </w:r>
            <w:r w:rsidR="00F31FC5" w:rsidRPr="006C6E6D">
              <w:rPr>
                <w:rFonts w:ascii="Tw Cen MT Condensed" w:eastAsia="Times New Roman" w:hAnsi="Tw Cen MT Condensed" w:cs="Calibri Light"/>
                <w:color w:val="000000"/>
                <w:sz w:val="24"/>
                <w:szCs w:val="24"/>
              </w:rPr>
              <w:t>-fertility relationship</w:t>
            </w:r>
          </w:p>
        </w:tc>
        <w:tc>
          <w:tcPr>
            <w:tcW w:w="775" w:type="pct"/>
            <w:shd w:val="clear" w:color="auto" w:fill="FBE4D5" w:themeFill="accent2" w:themeFillTint="33"/>
            <w:noWrap/>
            <w:vAlign w:val="bottom"/>
            <w:hideMark/>
          </w:tcPr>
          <w:p w14:paraId="1DA8069C" w14:textId="77777777" w:rsidR="00F31FC5" w:rsidRPr="006C6E6D" w:rsidRDefault="00F31FC5" w:rsidP="00807630">
            <w:pPr>
              <w:spacing w:after="0" w:line="240" w:lineRule="auto"/>
              <w:rPr>
                <w:rFonts w:ascii="Tw Cen MT Condensed" w:eastAsia="Times New Roman" w:hAnsi="Tw Cen MT Condensed" w:cs="Calibri Light"/>
                <w:color w:val="000000"/>
                <w:sz w:val="24"/>
                <w:szCs w:val="24"/>
              </w:rPr>
            </w:pPr>
            <w:r w:rsidRPr="006C6E6D">
              <w:rPr>
                <w:rFonts w:ascii="Tw Cen MT Condensed" w:eastAsia="Times New Roman" w:hAnsi="Tw Cen MT Condensed" w:cs="Calibri Light"/>
                <w:color w:val="000000"/>
                <w:sz w:val="24"/>
                <w:szCs w:val="24"/>
              </w:rPr>
              <w:t>Study</w:t>
            </w:r>
          </w:p>
        </w:tc>
      </w:tr>
      <w:tr w:rsidR="00F31FC5" w:rsidRPr="00BD6E2D" w14:paraId="1734568C" w14:textId="77777777" w:rsidTr="00807630">
        <w:trPr>
          <w:trHeight w:val="765"/>
        </w:trPr>
        <w:tc>
          <w:tcPr>
            <w:tcW w:w="326" w:type="pct"/>
            <w:shd w:val="clear" w:color="auto" w:fill="auto"/>
            <w:vAlign w:val="center"/>
            <w:hideMark/>
          </w:tcPr>
          <w:p w14:paraId="10AC2378" w14:textId="77777777" w:rsidR="00F31FC5" w:rsidRDefault="00F31FC5" w:rsidP="00807630">
            <w:pPr>
              <w:spacing w:after="0" w:line="240" w:lineRule="auto"/>
              <w:rPr>
                <w:rFonts w:ascii="Tw Cen MT Condensed" w:eastAsia="Times New Roman" w:hAnsi="Tw Cen MT Condensed" w:cs="Calibri Light"/>
                <w:caps/>
                <w:color w:val="000000"/>
                <w:sz w:val="20"/>
                <w:szCs w:val="20"/>
              </w:rPr>
            </w:pPr>
            <w:r w:rsidRPr="00946E54">
              <w:rPr>
                <w:rFonts w:ascii="Tw Cen MT Condensed" w:eastAsia="Times New Roman" w:hAnsi="Tw Cen MT Condensed" w:cs="Calibri Light"/>
                <w:caps/>
                <w:color w:val="000000"/>
                <w:sz w:val="20"/>
                <w:szCs w:val="20"/>
              </w:rPr>
              <w:t>Spain</w:t>
            </w:r>
          </w:p>
          <w:p w14:paraId="20F683B0" w14:textId="526792FD" w:rsidR="00DE6ABE" w:rsidRPr="00946E54" w:rsidRDefault="00DE6ABE" w:rsidP="00807630">
            <w:pPr>
              <w:spacing w:after="0" w:line="240" w:lineRule="auto"/>
              <w:rPr>
                <w:rFonts w:ascii="Tw Cen MT Condensed" w:eastAsia="Times New Roman" w:hAnsi="Tw Cen MT Condensed" w:cs="Calibri Light"/>
                <w:caps/>
                <w:color w:val="000000"/>
                <w:sz w:val="20"/>
                <w:szCs w:val="20"/>
              </w:rPr>
            </w:pPr>
            <w:r>
              <w:rPr>
                <w:rFonts w:ascii="Tw Cen MT Condensed" w:eastAsia="Times New Roman" w:hAnsi="Tw Cen MT Condensed" w:cs="Calibri Light"/>
                <w:caps/>
                <w:color w:val="000000"/>
                <w:sz w:val="20"/>
                <w:szCs w:val="20"/>
              </w:rPr>
              <w:t>1993-2000</w:t>
            </w:r>
          </w:p>
        </w:tc>
        <w:tc>
          <w:tcPr>
            <w:tcW w:w="835" w:type="pct"/>
            <w:shd w:val="clear" w:color="auto" w:fill="auto"/>
            <w:vAlign w:val="center"/>
            <w:hideMark/>
          </w:tcPr>
          <w:p w14:paraId="2C26AFF6" w14:textId="3372C9FA" w:rsidR="00F31FC5" w:rsidRPr="00BD6E2D" w:rsidRDefault="00F31FC5"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 xml:space="preserve">Availability/ Use of </w:t>
            </w:r>
            <w:r w:rsidR="008D52A6">
              <w:rPr>
                <w:rFonts w:ascii="Calibri Light" w:eastAsia="Times New Roman" w:hAnsi="Calibri Light" w:cs="Calibri Light"/>
                <w:color w:val="000000"/>
                <w:sz w:val="20"/>
                <w:szCs w:val="20"/>
              </w:rPr>
              <w:t>child care</w:t>
            </w:r>
            <w:r w:rsidRPr="00BD6E2D">
              <w:rPr>
                <w:rFonts w:ascii="Calibri Light" w:eastAsia="Times New Roman" w:hAnsi="Calibri Light" w:cs="Calibri Light"/>
                <w:color w:val="000000"/>
                <w:sz w:val="20"/>
                <w:szCs w:val="20"/>
              </w:rPr>
              <w:t xml:space="preserve"> (% of children 0-2 enrolled in formal day care)</w:t>
            </w:r>
          </w:p>
        </w:tc>
        <w:tc>
          <w:tcPr>
            <w:tcW w:w="745" w:type="pct"/>
            <w:shd w:val="clear" w:color="auto" w:fill="auto"/>
            <w:vAlign w:val="center"/>
            <w:hideMark/>
          </w:tcPr>
          <w:p w14:paraId="63392C9C" w14:textId="49853E3E" w:rsidR="00F31FC5" w:rsidRPr="00B777EB" w:rsidRDefault="00B777EB" w:rsidP="00807630">
            <w:pPr>
              <w:spacing w:after="0" w:line="240" w:lineRule="auto"/>
              <w:rPr>
                <w:rFonts w:ascii="Calibri Light" w:eastAsia="Times New Roman" w:hAnsi="Calibri Light" w:cs="Calibri Light"/>
                <w:color w:val="000000"/>
                <w:sz w:val="20"/>
                <w:szCs w:val="20"/>
                <w:highlight w:val="yellow"/>
              </w:rPr>
            </w:pPr>
            <w:r w:rsidRPr="00287BD5">
              <w:rPr>
                <w:rFonts w:ascii="Calibri Light" w:eastAsia="Times New Roman" w:hAnsi="Calibri Light" w:cs="Calibri Light"/>
                <w:color w:val="000000"/>
                <w:sz w:val="20"/>
                <w:szCs w:val="20"/>
              </w:rPr>
              <w:t>Probability of birth- all parities</w:t>
            </w:r>
          </w:p>
        </w:tc>
        <w:tc>
          <w:tcPr>
            <w:tcW w:w="2318" w:type="pct"/>
            <w:shd w:val="clear" w:color="auto" w:fill="auto"/>
            <w:vAlign w:val="center"/>
            <w:hideMark/>
          </w:tcPr>
          <w:p w14:paraId="23713803" w14:textId="0D1A39DB" w:rsidR="00F31FC5" w:rsidRPr="00BD6E2D" w:rsidRDefault="00F31FC5"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Positive</w:t>
            </w:r>
            <w:r w:rsidR="00DE6ABE">
              <w:rPr>
                <w:rFonts w:ascii="Calibri Light" w:eastAsia="Times New Roman" w:hAnsi="Calibri Light" w:cs="Calibri Light"/>
                <w:color w:val="000000"/>
                <w:sz w:val="20"/>
                <w:szCs w:val="20"/>
              </w:rPr>
              <w:t xml:space="preserve"> for first births and higher order births</w:t>
            </w:r>
            <w:r>
              <w:rPr>
                <w:rFonts w:ascii="Calibri Light" w:eastAsia="Times New Roman" w:hAnsi="Calibri Light" w:cs="Calibri Light"/>
                <w:color w:val="000000"/>
                <w:sz w:val="20"/>
                <w:szCs w:val="20"/>
              </w:rPr>
              <w:t>.</w:t>
            </w:r>
            <w:r w:rsidRPr="00BD6E2D">
              <w:rPr>
                <w:rFonts w:ascii="Calibri Light" w:eastAsia="Times New Roman" w:hAnsi="Calibri Light" w:cs="Calibri Light"/>
                <w:color w:val="000000"/>
                <w:sz w:val="20"/>
                <w:szCs w:val="20"/>
              </w:rPr>
              <w:t xml:space="preserve"> Each 1% increase in proportion of children in </w:t>
            </w:r>
            <w:r w:rsidR="008D52A6">
              <w:rPr>
                <w:rFonts w:ascii="Calibri Light" w:eastAsia="Times New Roman" w:hAnsi="Calibri Light" w:cs="Calibri Light"/>
                <w:color w:val="000000"/>
                <w:sz w:val="20"/>
                <w:szCs w:val="20"/>
              </w:rPr>
              <w:t>child care</w:t>
            </w:r>
            <w:r w:rsidRPr="00BD6E2D">
              <w:rPr>
                <w:rFonts w:ascii="Calibri Light" w:eastAsia="Times New Roman" w:hAnsi="Calibri Light" w:cs="Calibri Light"/>
                <w:color w:val="000000"/>
                <w:sz w:val="20"/>
                <w:szCs w:val="20"/>
              </w:rPr>
              <w:t xml:space="preserve"> associated with a</w:t>
            </w:r>
            <w:r>
              <w:rPr>
                <w:rFonts w:ascii="Calibri Light" w:eastAsia="Times New Roman" w:hAnsi="Calibri Light" w:cs="Calibri Light"/>
                <w:color w:val="000000"/>
                <w:sz w:val="20"/>
                <w:szCs w:val="20"/>
              </w:rPr>
              <w:t xml:space="preserve">t least 5% </w:t>
            </w:r>
            <w:r w:rsidRPr="00BD6E2D">
              <w:rPr>
                <w:rFonts w:ascii="Calibri Light" w:eastAsia="Times New Roman" w:hAnsi="Calibri Light" w:cs="Calibri Light"/>
                <w:color w:val="000000"/>
                <w:sz w:val="20"/>
                <w:szCs w:val="20"/>
              </w:rPr>
              <w:t xml:space="preserve"> increase in relative risk of fertility</w:t>
            </w:r>
            <w:r>
              <w:rPr>
                <w:rFonts w:ascii="Calibri Light" w:eastAsia="Times New Roman" w:hAnsi="Calibri Light" w:cs="Calibri Light"/>
                <w:color w:val="000000"/>
                <w:sz w:val="20"/>
                <w:szCs w:val="20"/>
              </w:rPr>
              <w:t>.</w:t>
            </w:r>
          </w:p>
        </w:tc>
        <w:tc>
          <w:tcPr>
            <w:tcW w:w="775" w:type="pct"/>
            <w:shd w:val="clear" w:color="auto" w:fill="auto"/>
            <w:vAlign w:val="center"/>
            <w:hideMark/>
          </w:tcPr>
          <w:p w14:paraId="497E8EAD" w14:textId="3DBEE01F" w:rsidR="00F31FC5" w:rsidRPr="0050276D" w:rsidRDefault="00F31FC5" w:rsidP="00807630">
            <w:pPr>
              <w:spacing w:after="0" w:line="240" w:lineRule="auto"/>
              <w:rPr>
                <w:rFonts w:asciiTheme="majorHAnsi" w:eastAsia="Times New Roman" w:hAnsiTheme="majorHAnsi" w:cstheme="majorHAnsi"/>
                <w:color w:val="000000"/>
                <w:sz w:val="20"/>
                <w:szCs w:val="20"/>
              </w:rPr>
            </w:pPr>
            <w:r w:rsidRPr="0050276D">
              <w:rPr>
                <w:rFonts w:asciiTheme="majorHAnsi" w:eastAsia="Times New Roman" w:hAnsiTheme="majorHAnsi" w:cstheme="majorHAnsi"/>
                <w:color w:val="000000"/>
                <w:sz w:val="20"/>
                <w:szCs w:val="20"/>
              </w:rPr>
              <w:t xml:space="preserve"> </w:t>
            </w:r>
            <w:r w:rsidR="007E103D" w:rsidRPr="007E15F6">
              <w:rPr>
                <w:rFonts w:asciiTheme="majorHAnsi" w:eastAsia="Times New Roman" w:hAnsiTheme="majorHAnsi" w:cstheme="majorHAnsi"/>
                <w:noProof/>
                <w:color w:val="000000"/>
                <w:sz w:val="20"/>
                <w:szCs w:val="20"/>
              </w:rPr>
              <w:t>(Baizán, 2009)</w:t>
            </w:r>
          </w:p>
        </w:tc>
      </w:tr>
      <w:tr w:rsidR="00F31FC5" w:rsidRPr="00BD6E2D" w14:paraId="6D6F144B" w14:textId="77777777" w:rsidTr="00807630">
        <w:trPr>
          <w:trHeight w:val="300"/>
        </w:trPr>
        <w:tc>
          <w:tcPr>
            <w:tcW w:w="326" w:type="pct"/>
            <w:shd w:val="clear" w:color="auto" w:fill="auto"/>
            <w:vAlign w:val="center"/>
            <w:hideMark/>
          </w:tcPr>
          <w:p w14:paraId="4DE8E837" w14:textId="77777777" w:rsidR="00F31FC5" w:rsidRPr="00946E54" w:rsidRDefault="00F31FC5" w:rsidP="00807630">
            <w:pPr>
              <w:spacing w:after="0" w:line="240" w:lineRule="auto"/>
              <w:rPr>
                <w:rFonts w:ascii="Tw Cen MT Condensed" w:eastAsia="Times New Roman" w:hAnsi="Tw Cen MT Condensed" w:cs="Calibri Light"/>
                <w:caps/>
                <w:color w:val="000000"/>
                <w:sz w:val="20"/>
                <w:szCs w:val="20"/>
              </w:rPr>
            </w:pPr>
            <w:r w:rsidRPr="00946E54">
              <w:rPr>
                <w:rFonts w:ascii="Tw Cen MT Condensed" w:eastAsia="Times New Roman" w:hAnsi="Tw Cen MT Condensed" w:cs="Calibri Light"/>
                <w:caps/>
                <w:color w:val="000000"/>
                <w:sz w:val="20"/>
                <w:szCs w:val="20"/>
              </w:rPr>
              <w:t>Japan</w:t>
            </w:r>
          </w:p>
          <w:p w14:paraId="7B215806" w14:textId="77777777" w:rsidR="00F31FC5" w:rsidRPr="00946E54" w:rsidRDefault="00F31FC5" w:rsidP="00807630">
            <w:pPr>
              <w:spacing w:after="0" w:line="240" w:lineRule="auto"/>
              <w:rPr>
                <w:rFonts w:ascii="Tw Cen MT Condensed" w:eastAsia="Times New Roman" w:hAnsi="Tw Cen MT Condensed" w:cs="Calibri Light"/>
                <w:caps/>
                <w:color w:val="000000"/>
                <w:sz w:val="20"/>
                <w:szCs w:val="20"/>
              </w:rPr>
            </w:pPr>
            <w:r w:rsidRPr="00946E54">
              <w:rPr>
                <w:rFonts w:ascii="Tw Cen MT Condensed" w:eastAsia="Times New Roman" w:hAnsi="Tw Cen MT Condensed" w:cs="Calibri Light"/>
                <w:caps/>
                <w:color w:val="000000"/>
                <w:sz w:val="20"/>
                <w:szCs w:val="20"/>
              </w:rPr>
              <w:t>2000-2010</w:t>
            </w:r>
          </w:p>
        </w:tc>
        <w:tc>
          <w:tcPr>
            <w:tcW w:w="835" w:type="pct"/>
            <w:shd w:val="clear" w:color="auto" w:fill="auto"/>
            <w:vAlign w:val="center"/>
            <w:hideMark/>
          </w:tcPr>
          <w:p w14:paraId="493ADA69" w14:textId="6B7100E0" w:rsidR="00F31FC5" w:rsidRPr="00BD6E2D" w:rsidRDefault="00F31FC5" w:rsidP="00807630">
            <w:pPr>
              <w:spacing w:after="0" w:line="240" w:lineRule="auto"/>
              <w:rPr>
                <w:rFonts w:ascii="Calibri Light" w:eastAsia="Times New Roman" w:hAnsi="Calibri Light" w:cs="Calibri Light"/>
                <w:i/>
                <w:iCs/>
                <w:color w:val="000000"/>
                <w:sz w:val="20"/>
                <w:szCs w:val="20"/>
              </w:rPr>
            </w:pPr>
            <w:r w:rsidRPr="00BD6E2D">
              <w:rPr>
                <w:rFonts w:ascii="Calibri Light" w:eastAsia="Times New Roman" w:hAnsi="Calibri Light" w:cs="Calibri Light"/>
                <w:i/>
                <w:iCs/>
                <w:color w:val="000000"/>
                <w:sz w:val="20"/>
                <w:szCs w:val="20"/>
              </w:rPr>
              <w:t>Capacity ratio</w:t>
            </w:r>
            <w:r w:rsidRPr="00BD6E2D">
              <w:rPr>
                <w:rFonts w:ascii="Calibri Light" w:eastAsia="Times New Roman" w:hAnsi="Calibri Light" w:cs="Calibri Light"/>
                <w:color w:val="000000"/>
                <w:sz w:val="20"/>
                <w:szCs w:val="20"/>
              </w:rPr>
              <w:t xml:space="preserve">, ratio of </w:t>
            </w:r>
            <w:r w:rsidR="008D52A6">
              <w:rPr>
                <w:rFonts w:ascii="Calibri Light" w:eastAsia="Times New Roman" w:hAnsi="Calibri Light" w:cs="Calibri Light"/>
                <w:color w:val="000000"/>
                <w:sz w:val="20"/>
                <w:szCs w:val="20"/>
              </w:rPr>
              <w:t>child care</w:t>
            </w:r>
            <w:r w:rsidRPr="00BD6E2D">
              <w:rPr>
                <w:rFonts w:ascii="Calibri Light" w:eastAsia="Times New Roman" w:hAnsi="Calibri Light" w:cs="Calibri Light"/>
                <w:color w:val="000000"/>
                <w:sz w:val="20"/>
                <w:szCs w:val="20"/>
              </w:rPr>
              <w:t xml:space="preserve"> center capacity to the number of children aged 0–5</w:t>
            </w:r>
          </w:p>
        </w:tc>
        <w:tc>
          <w:tcPr>
            <w:tcW w:w="745" w:type="pct"/>
            <w:shd w:val="clear" w:color="auto" w:fill="auto"/>
            <w:vAlign w:val="center"/>
            <w:hideMark/>
          </w:tcPr>
          <w:p w14:paraId="71D9CE46" w14:textId="5A826DBD" w:rsidR="00F31FC5" w:rsidRPr="00B777EB" w:rsidRDefault="00287BD5" w:rsidP="00807630">
            <w:pPr>
              <w:spacing w:after="0" w:line="240" w:lineRule="auto"/>
              <w:rPr>
                <w:rFonts w:ascii="Calibri Light" w:eastAsia="Times New Roman" w:hAnsi="Calibri Light" w:cs="Calibri Light"/>
                <w:color w:val="000000"/>
                <w:sz w:val="20"/>
                <w:szCs w:val="20"/>
                <w:highlight w:val="yellow"/>
              </w:rPr>
            </w:pPr>
            <w:r w:rsidRPr="00287BD5">
              <w:rPr>
                <w:rFonts w:ascii="Calibri Light" w:eastAsia="Times New Roman" w:hAnsi="Calibri Light" w:cs="Calibri Light"/>
                <w:color w:val="000000"/>
                <w:sz w:val="20"/>
                <w:szCs w:val="20"/>
              </w:rPr>
              <w:t>Birth rates- all parities</w:t>
            </w:r>
          </w:p>
        </w:tc>
        <w:tc>
          <w:tcPr>
            <w:tcW w:w="2318" w:type="pct"/>
            <w:shd w:val="clear" w:color="auto" w:fill="auto"/>
            <w:vAlign w:val="center"/>
            <w:hideMark/>
          </w:tcPr>
          <w:p w14:paraId="4BCB555B" w14:textId="2B7261ED" w:rsidR="00F31FC5" w:rsidRPr="00BD6E2D" w:rsidRDefault="00F31FC5"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Positive</w:t>
            </w:r>
            <w:r w:rsidR="003B5768">
              <w:rPr>
                <w:rFonts w:ascii="Calibri Light" w:eastAsia="Times New Roman" w:hAnsi="Calibri Light" w:cs="Calibri Light"/>
                <w:color w:val="000000"/>
                <w:sz w:val="20"/>
                <w:szCs w:val="20"/>
              </w:rPr>
              <w:t>- higher for first births</w:t>
            </w:r>
            <w:r w:rsidRPr="00BD6E2D">
              <w:rPr>
                <w:rFonts w:ascii="Calibri Light" w:eastAsia="Times New Roman" w:hAnsi="Calibri Light" w:cs="Calibri Light"/>
                <w:color w:val="000000"/>
                <w:sz w:val="20"/>
                <w:szCs w:val="20"/>
              </w:rPr>
              <w:t xml:space="preserve">. Small but significant increase in the fertility rate of women aged 25–39 living in regions where the propensity for women to work is high, but had no significant effect in other regions. A 10% point growth in </w:t>
            </w:r>
            <w:r w:rsidR="008D52A6">
              <w:rPr>
                <w:rFonts w:ascii="Calibri Light" w:eastAsia="Times New Roman" w:hAnsi="Calibri Light" w:cs="Calibri Light"/>
                <w:color w:val="000000"/>
                <w:sz w:val="20"/>
                <w:szCs w:val="20"/>
              </w:rPr>
              <w:t>child care</w:t>
            </w:r>
            <w:r w:rsidRPr="00BD6E2D">
              <w:rPr>
                <w:rFonts w:ascii="Calibri Light" w:eastAsia="Times New Roman" w:hAnsi="Calibri Light" w:cs="Calibri Light"/>
                <w:color w:val="000000"/>
                <w:sz w:val="20"/>
                <w:szCs w:val="20"/>
              </w:rPr>
              <w:t xml:space="preserve"> availability increases the number of births for women aged by roughly 4% of the mean birth-rate in 2000.</w:t>
            </w:r>
            <w:r w:rsidR="007657A4">
              <w:rPr>
                <w:rFonts w:ascii="Calibri Light" w:eastAsia="Times New Roman" w:hAnsi="Calibri Light" w:cs="Calibri Light"/>
                <w:color w:val="000000"/>
                <w:sz w:val="20"/>
                <w:szCs w:val="20"/>
              </w:rPr>
              <w:t xml:space="preserve"> </w:t>
            </w:r>
          </w:p>
        </w:tc>
        <w:tc>
          <w:tcPr>
            <w:tcW w:w="775" w:type="pct"/>
            <w:shd w:val="clear" w:color="auto" w:fill="auto"/>
            <w:vAlign w:val="center"/>
            <w:hideMark/>
          </w:tcPr>
          <w:p w14:paraId="52965CB3" w14:textId="637EE22C" w:rsidR="00F31FC5" w:rsidRPr="0050276D" w:rsidRDefault="007E103D" w:rsidP="00807630">
            <w:pPr>
              <w:spacing w:after="0" w:line="240" w:lineRule="auto"/>
              <w:rPr>
                <w:rFonts w:asciiTheme="majorHAnsi" w:eastAsia="Times New Roman" w:hAnsiTheme="majorHAnsi" w:cstheme="majorHAnsi"/>
                <w:color w:val="000000"/>
                <w:sz w:val="20"/>
                <w:szCs w:val="20"/>
              </w:rPr>
            </w:pPr>
            <w:r w:rsidRPr="007E15F6">
              <w:rPr>
                <w:rFonts w:asciiTheme="majorHAnsi" w:eastAsia="Times New Roman" w:hAnsiTheme="majorHAnsi" w:cstheme="majorHAnsi"/>
                <w:noProof/>
                <w:color w:val="000000"/>
                <w:sz w:val="20"/>
                <w:szCs w:val="20"/>
              </w:rPr>
              <w:t>(Fukai, 2017)</w:t>
            </w:r>
          </w:p>
        </w:tc>
      </w:tr>
      <w:tr w:rsidR="00F31FC5" w:rsidRPr="00BD6E2D" w14:paraId="7F63C836" w14:textId="77777777" w:rsidTr="00807630">
        <w:trPr>
          <w:trHeight w:val="850"/>
        </w:trPr>
        <w:tc>
          <w:tcPr>
            <w:tcW w:w="326" w:type="pct"/>
            <w:shd w:val="clear" w:color="auto" w:fill="auto"/>
            <w:vAlign w:val="center"/>
            <w:hideMark/>
          </w:tcPr>
          <w:p w14:paraId="596A7635" w14:textId="65478D94" w:rsidR="00F31FC5" w:rsidRPr="00946E54" w:rsidRDefault="00F31FC5" w:rsidP="00807630">
            <w:pPr>
              <w:spacing w:after="0" w:line="240" w:lineRule="auto"/>
              <w:rPr>
                <w:rFonts w:ascii="Tw Cen MT Condensed" w:eastAsia="Times New Roman" w:hAnsi="Tw Cen MT Condensed" w:cs="Calibri Light"/>
                <w:caps/>
                <w:color w:val="000000"/>
                <w:sz w:val="20"/>
                <w:szCs w:val="20"/>
              </w:rPr>
            </w:pPr>
            <w:r w:rsidRPr="00946E54">
              <w:rPr>
                <w:rFonts w:ascii="Tw Cen MT Condensed" w:eastAsia="Times New Roman" w:hAnsi="Tw Cen MT Condensed" w:cs="Calibri Light"/>
                <w:caps/>
                <w:color w:val="000000"/>
                <w:sz w:val="20"/>
                <w:szCs w:val="20"/>
              </w:rPr>
              <w:t>Belgium 200</w:t>
            </w:r>
            <w:r w:rsidR="007657A4">
              <w:rPr>
                <w:rFonts w:ascii="Tw Cen MT Condensed" w:eastAsia="Times New Roman" w:hAnsi="Tw Cen MT Condensed" w:cs="Calibri Light"/>
                <w:caps/>
                <w:color w:val="000000"/>
                <w:sz w:val="20"/>
                <w:szCs w:val="20"/>
              </w:rPr>
              <w:t>1</w:t>
            </w:r>
            <w:r w:rsidRPr="00946E54">
              <w:rPr>
                <w:rFonts w:ascii="Tw Cen MT Condensed" w:eastAsia="Times New Roman" w:hAnsi="Tw Cen MT Condensed" w:cs="Calibri Light"/>
                <w:caps/>
                <w:color w:val="000000"/>
                <w:sz w:val="20"/>
                <w:szCs w:val="20"/>
              </w:rPr>
              <w:t>-200</w:t>
            </w:r>
            <w:r w:rsidR="007657A4">
              <w:rPr>
                <w:rFonts w:ascii="Tw Cen MT Condensed" w:eastAsia="Times New Roman" w:hAnsi="Tw Cen MT Condensed" w:cs="Calibri Light"/>
                <w:caps/>
                <w:color w:val="000000"/>
                <w:sz w:val="20"/>
                <w:szCs w:val="20"/>
              </w:rPr>
              <w:t>4</w:t>
            </w:r>
          </w:p>
        </w:tc>
        <w:tc>
          <w:tcPr>
            <w:tcW w:w="835" w:type="pct"/>
            <w:shd w:val="clear" w:color="auto" w:fill="auto"/>
            <w:vAlign w:val="center"/>
            <w:hideMark/>
          </w:tcPr>
          <w:p w14:paraId="6445BDEC" w14:textId="77777777" w:rsidR="00F31FC5" w:rsidRPr="00260FAE" w:rsidRDefault="00F31FC5" w:rsidP="00807630">
            <w:pPr>
              <w:spacing w:after="0" w:line="240" w:lineRule="auto"/>
              <w:rPr>
                <w:rFonts w:ascii="Calibri Light" w:eastAsia="Times New Roman" w:hAnsi="Calibri Light" w:cs="Calibri Light"/>
                <w:i/>
                <w:iCs/>
                <w:color w:val="000000"/>
                <w:sz w:val="20"/>
                <w:szCs w:val="20"/>
              </w:rPr>
            </w:pPr>
            <w:r w:rsidRPr="00BD6E2D">
              <w:rPr>
                <w:rFonts w:ascii="Calibri Light" w:eastAsia="Times New Roman" w:hAnsi="Calibri Light" w:cs="Calibri Light"/>
                <w:i/>
                <w:iCs/>
                <w:color w:val="000000"/>
                <w:sz w:val="20"/>
                <w:szCs w:val="20"/>
              </w:rPr>
              <w:t>Availability</w:t>
            </w:r>
          </w:p>
          <w:p w14:paraId="6293EB70" w14:textId="77777777" w:rsidR="00F31FC5" w:rsidRPr="00BD6E2D" w:rsidRDefault="00F31FC5" w:rsidP="00807630">
            <w:pPr>
              <w:spacing w:after="0" w:line="240" w:lineRule="auto"/>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A</w:t>
            </w:r>
            <w:r w:rsidRPr="00BD6E2D">
              <w:rPr>
                <w:rFonts w:ascii="Calibri Light" w:eastAsia="Times New Roman" w:hAnsi="Calibri Light" w:cs="Calibri Light"/>
                <w:color w:val="000000"/>
                <w:sz w:val="20"/>
                <w:szCs w:val="20"/>
              </w:rPr>
              <w:t>mount of places divided by the population aged 0–3</w:t>
            </w:r>
          </w:p>
        </w:tc>
        <w:tc>
          <w:tcPr>
            <w:tcW w:w="745" w:type="pct"/>
            <w:shd w:val="clear" w:color="auto" w:fill="auto"/>
            <w:vAlign w:val="center"/>
            <w:hideMark/>
          </w:tcPr>
          <w:p w14:paraId="5FBC0652" w14:textId="5D56580F" w:rsidR="00F31FC5" w:rsidRPr="00287BD5" w:rsidRDefault="00287BD5" w:rsidP="00807630">
            <w:pPr>
              <w:spacing w:after="0" w:line="240" w:lineRule="auto"/>
              <w:rPr>
                <w:rFonts w:ascii="Calibri Light" w:eastAsia="Times New Roman" w:hAnsi="Calibri Light" w:cs="Calibri Light"/>
                <w:color w:val="000000"/>
                <w:sz w:val="20"/>
                <w:szCs w:val="20"/>
              </w:rPr>
            </w:pPr>
            <w:r w:rsidRPr="00287BD5">
              <w:rPr>
                <w:rFonts w:ascii="Calibri Light" w:eastAsia="Times New Roman" w:hAnsi="Calibri Light" w:cs="Calibri Light"/>
                <w:color w:val="000000"/>
                <w:sz w:val="20"/>
                <w:szCs w:val="20"/>
              </w:rPr>
              <w:t>Probability of birth- all parities</w:t>
            </w:r>
          </w:p>
        </w:tc>
        <w:tc>
          <w:tcPr>
            <w:tcW w:w="2318" w:type="pct"/>
            <w:shd w:val="clear" w:color="auto" w:fill="auto"/>
            <w:vAlign w:val="center"/>
            <w:hideMark/>
          </w:tcPr>
          <w:p w14:paraId="4B4B6170" w14:textId="6A90CDE5" w:rsidR="00F31FC5" w:rsidRPr="00BD6E2D" w:rsidRDefault="00F31FC5"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Positive- most strongly for first birth</w:t>
            </w:r>
            <w:r w:rsidR="007657A4">
              <w:rPr>
                <w:rFonts w:ascii="Calibri Light" w:eastAsia="Times New Roman" w:hAnsi="Calibri Light" w:cs="Calibri Light"/>
                <w:color w:val="000000"/>
                <w:sz w:val="20"/>
                <w:szCs w:val="20"/>
              </w:rPr>
              <w:t>.</w:t>
            </w:r>
          </w:p>
        </w:tc>
        <w:tc>
          <w:tcPr>
            <w:tcW w:w="775" w:type="pct"/>
            <w:shd w:val="clear" w:color="auto" w:fill="auto"/>
            <w:vAlign w:val="center"/>
            <w:hideMark/>
          </w:tcPr>
          <w:p w14:paraId="25E5E3E0" w14:textId="77777777" w:rsidR="00F31FC5" w:rsidRPr="0050276D" w:rsidRDefault="00F31FC5" w:rsidP="00807630">
            <w:pPr>
              <w:spacing w:after="0" w:line="240" w:lineRule="auto"/>
              <w:rPr>
                <w:rFonts w:asciiTheme="majorHAnsi" w:eastAsia="Times New Roman" w:hAnsiTheme="majorHAnsi" w:cstheme="majorHAnsi"/>
                <w:color w:val="000000"/>
                <w:sz w:val="20"/>
                <w:szCs w:val="20"/>
              </w:rPr>
            </w:pPr>
            <w:r w:rsidRPr="0050276D">
              <w:rPr>
                <w:rFonts w:asciiTheme="majorHAnsi" w:eastAsia="Times New Roman" w:hAnsiTheme="majorHAnsi" w:cstheme="majorHAnsi"/>
                <w:color w:val="000000"/>
                <w:sz w:val="20"/>
                <w:szCs w:val="20"/>
              </w:rPr>
              <w:t xml:space="preserve"> (Wood &amp; Neels, 2019)</w:t>
            </w:r>
          </w:p>
        </w:tc>
      </w:tr>
      <w:tr w:rsidR="00F31FC5" w:rsidRPr="00BD6E2D" w14:paraId="23446410" w14:textId="77777777" w:rsidTr="00807630">
        <w:trPr>
          <w:trHeight w:val="315"/>
        </w:trPr>
        <w:tc>
          <w:tcPr>
            <w:tcW w:w="326" w:type="pct"/>
            <w:vMerge w:val="restart"/>
            <w:shd w:val="clear" w:color="auto" w:fill="auto"/>
            <w:vAlign w:val="center"/>
            <w:hideMark/>
          </w:tcPr>
          <w:p w14:paraId="3204B688" w14:textId="77777777" w:rsidR="00F31FC5" w:rsidRPr="00946E54" w:rsidRDefault="00F31FC5" w:rsidP="00807630">
            <w:pPr>
              <w:spacing w:after="0" w:line="240" w:lineRule="auto"/>
              <w:rPr>
                <w:rFonts w:ascii="Tw Cen MT Condensed" w:eastAsia="Times New Roman" w:hAnsi="Tw Cen MT Condensed" w:cs="Calibri Light"/>
                <w:caps/>
                <w:color w:val="000000"/>
                <w:sz w:val="20"/>
                <w:szCs w:val="20"/>
              </w:rPr>
            </w:pPr>
            <w:r w:rsidRPr="00946E54">
              <w:rPr>
                <w:rFonts w:ascii="Tw Cen MT Condensed" w:eastAsia="Times New Roman" w:hAnsi="Tw Cen MT Condensed" w:cs="Calibri Light"/>
                <w:caps/>
                <w:color w:val="000000"/>
                <w:sz w:val="20"/>
                <w:szCs w:val="20"/>
              </w:rPr>
              <w:t>Norway 1973-1998</w:t>
            </w:r>
          </w:p>
        </w:tc>
        <w:tc>
          <w:tcPr>
            <w:tcW w:w="835" w:type="pct"/>
            <w:vMerge w:val="restart"/>
            <w:shd w:val="clear" w:color="auto" w:fill="auto"/>
            <w:vAlign w:val="center"/>
            <w:hideMark/>
          </w:tcPr>
          <w:p w14:paraId="79DB3D12" w14:textId="77777777" w:rsidR="00F31FC5" w:rsidRPr="00BD6E2D" w:rsidRDefault="00F31FC5"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 </w:t>
            </w:r>
          </w:p>
          <w:p w14:paraId="6AC2C82F" w14:textId="77777777" w:rsidR="00F31FC5" w:rsidRPr="00260FAE" w:rsidRDefault="00F31FC5" w:rsidP="00807630">
            <w:pPr>
              <w:spacing w:after="0" w:line="240" w:lineRule="auto"/>
              <w:rPr>
                <w:rFonts w:ascii="Calibri Light" w:eastAsia="Times New Roman" w:hAnsi="Calibri Light" w:cs="Calibri Light"/>
                <w:i/>
                <w:iCs/>
                <w:color w:val="000000"/>
                <w:sz w:val="20"/>
                <w:szCs w:val="20"/>
              </w:rPr>
            </w:pPr>
            <w:r w:rsidRPr="00BD6E2D">
              <w:rPr>
                <w:rFonts w:ascii="Calibri Light" w:eastAsia="Times New Roman" w:hAnsi="Calibri Light" w:cs="Calibri Light"/>
                <w:i/>
                <w:iCs/>
                <w:color w:val="000000"/>
                <w:sz w:val="20"/>
                <w:szCs w:val="20"/>
              </w:rPr>
              <w:t>Availability and use</w:t>
            </w:r>
          </w:p>
          <w:p w14:paraId="4D869B99" w14:textId="176BD5D2" w:rsidR="00F31FC5" w:rsidRPr="00BD6E2D" w:rsidRDefault="00F31FC5"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 xml:space="preserve">% of preschool age children in </w:t>
            </w:r>
            <w:r w:rsidR="008D52A6">
              <w:rPr>
                <w:rFonts w:ascii="Calibri Light" w:eastAsia="Times New Roman" w:hAnsi="Calibri Light" w:cs="Calibri Light"/>
                <w:color w:val="000000"/>
                <w:sz w:val="20"/>
                <w:szCs w:val="20"/>
              </w:rPr>
              <w:t>child care</w:t>
            </w:r>
            <w:r w:rsidRPr="00BD6E2D">
              <w:rPr>
                <w:rFonts w:ascii="Calibri Light" w:eastAsia="Times New Roman" w:hAnsi="Calibri Light" w:cs="Calibri Light"/>
                <w:color w:val="000000"/>
                <w:sz w:val="20"/>
                <w:szCs w:val="20"/>
              </w:rPr>
              <w:t xml:space="preserve"> centres by municipality and year. </w:t>
            </w:r>
          </w:p>
        </w:tc>
        <w:tc>
          <w:tcPr>
            <w:tcW w:w="745" w:type="pct"/>
            <w:shd w:val="clear" w:color="auto" w:fill="auto"/>
            <w:vAlign w:val="center"/>
            <w:hideMark/>
          </w:tcPr>
          <w:p w14:paraId="400C2555" w14:textId="6CF601BC" w:rsidR="00F31FC5" w:rsidRPr="00287BD5" w:rsidRDefault="00F31FC5" w:rsidP="00807630">
            <w:pPr>
              <w:spacing w:after="0" w:line="240" w:lineRule="auto"/>
              <w:rPr>
                <w:rFonts w:ascii="Calibri Light" w:eastAsia="Times New Roman" w:hAnsi="Calibri Light" w:cs="Calibri Light"/>
                <w:color w:val="000000"/>
                <w:sz w:val="20"/>
                <w:szCs w:val="20"/>
              </w:rPr>
            </w:pPr>
            <w:r w:rsidRPr="00287BD5">
              <w:rPr>
                <w:rFonts w:ascii="Calibri Light" w:eastAsia="Times New Roman" w:hAnsi="Calibri Light" w:cs="Calibri Light"/>
                <w:color w:val="000000"/>
                <w:sz w:val="20"/>
                <w:szCs w:val="20"/>
              </w:rPr>
              <w:t xml:space="preserve">First birth </w:t>
            </w:r>
          </w:p>
        </w:tc>
        <w:tc>
          <w:tcPr>
            <w:tcW w:w="2318" w:type="pct"/>
            <w:shd w:val="clear" w:color="auto" w:fill="auto"/>
            <w:vAlign w:val="center"/>
            <w:hideMark/>
          </w:tcPr>
          <w:p w14:paraId="2D01052C" w14:textId="725AFA31" w:rsidR="00F31FC5" w:rsidRPr="00BD6E2D" w:rsidRDefault="00F31FC5" w:rsidP="00807630">
            <w:pPr>
              <w:spacing w:after="0" w:line="240" w:lineRule="auto"/>
              <w:rPr>
                <w:rFonts w:ascii="Calibri Light" w:eastAsia="Times New Roman" w:hAnsi="Calibri Light" w:cs="Calibri Light"/>
                <w:color w:val="231F20"/>
                <w:sz w:val="20"/>
                <w:szCs w:val="20"/>
              </w:rPr>
            </w:pPr>
            <w:r>
              <w:rPr>
                <w:rFonts w:ascii="Calibri Light" w:eastAsia="Times New Roman" w:hAnsi="Calibri Light" w:cs="Calibri Light"/>
                <w:color w:val="231F20"/>
                <w:sz w:val="20"/>
                <w:szCs w:val="20"/>
              </w:rPr>
              <w:t xml:space="preserve">Positive- </w:t>
            </w:r>
            <w:r w:rsidRPr="00BD6E2D">
              <w:rPr>
                <w:rFonts w:ascii="Calibri Light" w:eastAsia="Times New Roman" w:hAnsi="Calibri Light" w:cs="Calibri Light"/>
                <w:color w:val="231F20"/>
                <w:sz w:val="20"/>
                <w:szCs w:val="20"/>
              </w:rPr>
              <w:t>greater</w:t>
            </w:r>
            <w:r>
              <w:rPr>
                <w:rFonts w:ascii="Calibri Light" w:eastAsia="Times New Roman" w:hAnsi="Calibri Light" w:cs="Calibri Light"/>
                <w:color w:val="231F20"/>
                <w:sz w:val="20"/>
                <w:szCs w:val="20"/>
              </w:rPr>
              <w:t xml:space="preserve"> availability of</w:t>
            </w:r>
            <w:r w:rsidRPr="00490D73">
              <w:rPr>
                <w:rFonts w:ascii="Calibri Light" w:eastAsia="Times New Roman" w:hAnsi="Calibri Light" w:cs="Calibri Light"/>
                <w:color w:val="231F20"/>
                <w:sz w:val="20"/>
                <w:szCs w:val="20"/>
              </w:rPr>
              <w:t xml:space="preserve"> high</w:t>
            </w:r>
            <w:r>
              <w:rPr>
                <w:rFonts w:ascii="Calibri Light" w:eastAsia="Times New Roman" w:hAnsi="Calibri Light" w:cs="Calibri Light"/>
                <w:color w:val="231F20"/>
                <w:sz w:val="20"/>
                <w:szCs w:val="20"/>
              </w:rPr>
              <w:t xml:space="preserve"> </w:t>
            </w:r>
            <w:r w:rsidRPr="00490D73">
              <w:rPr>
                <w:rFonts w:ascii="Calibri Light" w:eastAsia="Times New Roman" w:hAnsi="Calibri Light" w:cs="Calibri Light"/>
                <w:color w:val="231F20"/>
                <w:sz w:val="20"/>
                <w:szCs w:val="20"/>
              </w:rPr>
              <w:t xml:space="preserve">quality, affordable </w:t>
            </w:r>
            <w:r w:rsidR="008D52A6">
              <w:rPr>
                <w:rFonts w:ascii="Calibri Light" w:eastAsia="Times New Roman" w:hAnsi="Calibri Light" w:cs="Calibri Light"/>
                <w:color w:val="231F20"/>
                <w:sz w:val="20"/>
                <w:szCs w:val="20"/>
              </w:rPr>
              <w:t>child care</w:t>
            </w:r>
            <w:r w:rsidRPr="00490D73">
              <w:rPr>
                <w:rFonts w:ascii="Calibri Light" w:eastAsia="Times New Roman" w:hAnsi="Calibri Light" w:cs="Calibri Light"/>
                <w:color w:val="231F20"/>
                <w:sz w:val="20"/>
                <w:szCs w:val="20"/>
              </w:rPr>
              <w:t xml:space="preserve"> leads to higher rates of transition into motherhood</w:t>
            </w:r>
          </w:p>
        </w:tc>
        <w:tc>
          <w:tcPr>
            <w:tcW w:w="775" w:type="pct"/>
            <w:shd w:val="clear" w:color="auto" w:fill="auto"/>
            <w:vAlign w:val="center"/>
            <w:hideMark/>
          </w:tcPr>
          <w:p w14:paraId="1B3033EA" w14:textId="3FEBA950" w:rsidR="00F31FC5" w:rsidRPr="0050276D" w:rsidRDefault="003A75FA" w:rsidP="00807630">
            <w:pPr>
              <w:spacing w:after="0" w:line="240" w:lineRule="auto"/>
              <w:rPr>
                <w:rFonts w:asciiTheme="majorHAnsi" w:eastAsia="Times New Roman" w:hAnsiTheme="majorHAnsi" w:cstheme="majorHAnsi"/>
                <w:color w:val="231F20"/>
                <w:sz w:val="20"/>
                <w:szCs w:val="20"/>
              </w:rPr>
            </w:pPr>
            <w:r>
              <w:rPr>
                <w:rFonts w:asciiTheme="majorHAnsi" w:eastAsia="Times New Roman" w:hAnsiTheme="majorHAnsi" w:cstheme="majorHAnsi"/>
                <w:noProof/>
                <w:color w:val="231F20"/>
                <w:sz w:val="20"/>
                <w:szCs w:val="20"/>
              </w:rPr>
              <w:t xml:space="preserve">(Rindfuss, </w:t>
            </w:r>
            <w:r w:rsidRPr="007E15F6">
              <w:rPr>
                <w:rFonts w:asciiTheme="majorHAnsi" w:eastAsia="Times New Roman" w:hAnsiTheme="majorHAnsi" w:cstheme="majorHAnsi"/>
                <w:i/>
                <w:iCs/>
                <w:noProof/>
                <w:color w:val="231F20"/>
                <w:sz w:val="20"/>
                <w:szCs w:val="20"/>
              </w:rPr>
              <w:t>et al</w:t>
            </w:r>
            <w:r>
              <w:rPr>
                <w:rFonts w:asciiTheme="majorHAnsi" w:eastAsia="Times New Roman" w:hAnsiTheme="majorHAnsi" w:cstheme="majorHAnsi"/>
                <w:noProof/>
                <w:color w:val="231F20"/>
                <w:sz w:val="20"/>
                <w:szCs w:val="20"/>
              </w:rPr>
              <w:t>. 2007)</w:t>
            </w:r>
          </w:p>
        </w:tc>
      </w:tr>
      <w:tr w:rsidR="00F31FC5" w:rsidRPr="00BD6E2D" w14:paraId="54D55A04" w14:textId="77777777" w:rsidTr="00807630">
        <w:trPr>
          <w:trHeight w:val="870"/>
        </w:trPr>
        <w:tc>
          <w:tcPr>
            <w:tcW w:w="326" w:type="pct"/>
            <w:vMerge/>
            <w:shd w:val="clear" w:color="auto" w:fill="auto"/>
            <w:vAlign w:val="center"/>
            <w:hideMark/>
          </w:tcPr>
          <w:p w14:paraId="11BF7B4E" w14:textId="77777777" w:rsidR="00F31FC5" w:rsidRPr="00946E54" w:rsidRDefault="00F31FC5" w:rsidP="00807630">
            <w:pPr>
              <w:spacing w:after="0" w:line="240" w:lineRule="auto"/>
              <w:rPr>
                <w:rFonts w:ascii="Tw Cen MT Condensed" w:eastAsia="Times New Roman" w:hAnsi="Tw Cen MT Condensed" w:cs="Calibri Light"/>
                <w:caps/>
                <w:color w:val="000000"/>
                <w:sz w:val="20"/>
                <w:szCs w:val="20"/>
              </w:rPr>
            </w:pPr>
          </w:p>
        </w:tc>
        <w:tc>
          <w:tcPr>
            <w:tcW w:w="835" w:type="pct"/>
            <w:vMerge/>
            <w:shd w:val="clear" w:color="auto" w:fill="auto"/>
            <w:vAlign w:val="center"/>
            <w:hideMark/>
          </w:tcPr>
          <w:p w14:paraId="79EA095E" w14:textId="77777777" w:rsidR="00F31FC5" w:rsidRPr="00BD6E2D" w:rsidRDefault="00F31FC5" w:rsidP="00807630">
            <w:pPr>
              <w:spacing w:after="0" w:line="240" w:lineRule="auto"/>
              <w:rPr>
                <w:rFonts w:ascii="Calibri Light" w:eastAsia="Times New Roman" w:hAnsi="Calibri Light" w:cs="Calibri Light"/>
                <w:color w:val="000000"/>
                <w:sz w:val="20"/>
                <w:szCs w:val="20"/>
              </w:rPr>
            </w:pPr>
          </w:p>
        </w:tc>
        <w:tc>
          <w:tcPr>
            <w:tcW w:w="745" w:type="pct"/>
            <w:shd w:val="clear" w:color="auto" w:fill="auto"/>
            <w:vAlign w:val="center"/>
            <w:hideMark/>
          </w:tcPr>
          <w:p w14:paraId="22765788" w14:textId="666A86EB" w:rsidR="00F31FC5" w:rsidRPr="00287BD5" w:rsidRDefault="00B777EB" w:rsidP="00807630">
            <w:pPr>
              <w:spacing w:after="0" w:line="240" w:lineRule="auto"/>
              <w:rPr>
                <w:rFonts w:ascii="Calibri Light" w:eastAsia="Times New Roman" w:hAnsi="Calibri Light" w:cs="Calibri Light"/>
                <w:color w:val="000000"/>
                <w:sz w:val="20"/>
                <w:szCs w:val="20"/>
              </w:rPr>
            </w:pPr>
            <w:r w:rsidRPr="00287BD5">
              <w:rPr>
                <w:rFonts w:ascii="Calibri Light" w:eastAsia="Times New Roman" w:hAnsi="Calibri Light" w:cs="Calibri Light"/>
                <w:color w:val="000000"/>
                <w:sz w:val="20"/>
                <w:szCs w:val="20"/>
              </w:rPr>
              <w:t>Completed fertility</w:t>
            </w:r>
            <w:r w:rsidR="007E50F8" w:rsidRPr="00287BD5">
              <w:rPr>
                <w:rFonts w:ascii="Calibri Light" w:eastAsia="Times New Roman" w:hAnsi="Calibri Light" w:cs="Calibri Light"/>
                <w:color w:val="000000"/>
                <w:sz w:val="20"/>
                <w:szCs w:val="20"/>
              </w:rPr>
              <w:t xml:space="preserve"> by age 35</w:t>
            </w:r>
            <w:r w:rsidRPr="00287BD5">
              <w:rPr>
                <w:rFonts w:ascii="Calibri Light" w:eastAsia="Times New Roman" w:hAnsi="Calibri Light" w:cs="Calibri Light"/>
                <w:color w:val="000000"/>
                <w:sz w:val="20"/>
                <w:szCs w:val="20"/>
              </w:rPr>
              <w:t xml:space="preserve"> </w:t>
            </w:r>
            <w:r w:rsidR="00F31FC5" w:rsidRPr="00287BD5">
              <w:rPr>
                <w:rFonts w:ascii="Calibri Light" w:eastAsia="Times New Roman" w:hAnsi="Calibri Light" w:cs="Calibri Light"/>
                <w:color w:val="000000"/>
                <w:sz w:val="20"/>
                <w:szCs w:val="20"/>
              </w:rPr>
              <w:t xml:space="preserve"> </w:t>
            </w:r>
          </w:p>
        </w:tc>
        <w:tc>
          <w:tcPr>
            <w:tcW w:w="2318" w:type="pct"/>
            <w:shd w:val="clear" w:color="auto" w:fill="auto"/>
            <w:vAlign w:val="center"/>
            <w:hideMark/>
          </w:tcPr>
          <w:p w14:paraId="3108C3F7" w14:textId="77777777" w:rsidR="00F31FC5" w:rsidRPr="00BD6E2D" w:rsidRDefault="00F31FC5" w:rsidP="00807630">
            <w:pPr>
              <w:spacing w:after="0" w:line="240" w:lineRule="auto"/>
              <w:rPr>
                <w:rFonts w:ascii="Calibri Light" w:eastAsia="Times New Roman" w:hAnsi="Calibri Light" w:cs="Calibri Light"/>
                <w:color w:val="231F20"/>
                <w:sz w:val="20"/>
                <w:szCs w:val="20"/>
              </w:rPr>
            </w:pPr>
            <w:r w:rsidRPr="00BD6E2D">
              <w:rPr>
                <w:rFonts w:ascii="Calibri Light" w:eastAsia="Times New Roman" w:hAnsi="Calibri Light" w:cs="Calibri Light"/>
                <w:color w:val="231F20"/>
                <w:sz w:val="20"/>
                <w:szCs w:val="20"/>
              </w:rPr>
              <w:t>Positive</w:t>
            </w:r>
            <w:r>
              <w:rPr>
                <w:rFonts w:ascii="Calibri Light" w:eastAsia="Times New Roman" w:hAnsi="Calibri Light" w:cs="Calibri Light"/>
                <w:color w:val="231F20"/>
                <w:sz w:val="20"/>
                <w:szCs w:val="20"/>
              </w:rPr>
              <w:t xml:space="preserve"> - d</w:t>
            </w:r>
            <w:r w:rsidRPr="00BD6E2D">
              <w:rPr>
                <w:rFonts w:ascii="Calibri Light" w:eastAsia="Times New Roman" w:hAnsi="Calibri Light" w:cs="Calibri Light"/>
                <w:color w:val="231F20"/>
                <w:sz w:val="20"/>
                <w:szCs w:val="20"/>
              </w:rPr>
              <w:t xml:space="preserve">epending on the speed with which the availability of child-care </w:t>
            </w:r>
            <w:r>
              <w:rPr>
                <w:rFonts w:ascii="Calibri Light" w:eastAsia="Times New Roman" w:hAnsi="Calibri Light" w:cs="Calibri Light"/>
                <w:color w:val="231F20"/>
                <w:sz w:val="20"/>
                <w:szCs w:val="20"/>
              </w:rPr>
              <w:t>places</w:t>
            </w:r>
            <w:r w:rsidRPr="00BD6E2D">
              <w:rPr>
                <w:rFonts w:ascii="Calibri Light" w:eastAsia="Times New Roman" w:hAnsi="Calibri Light" w:cs="Calibri Light"/>
                <w:color w:val="231F20"/>
                <w:sz w:val="20"/>
                <w:szCs w:val="20"/>
              </w:rPr>
              <w:t xml:space="preserve"> moved to 0-60% children ever born age 35 increased by 0.5 to 0.7 children. </w:t>
            </w:r>
          </w:p>
        </w:tc>
        <w:tc>
          <w:tcPr>
            <w:tcW w:w="775" w:type="pct"/>
            <w:shd w:val="clear" w:color="auto" w:fill="auto"/>
            <w:vAlign w:val="center"/>
            <w:hideMark/>
          </w:tcPr>
          <w:p w14:paraId="3852A01D" w14:textId="75890C3F" w:rsidR="00F31FC5" w:rsidRPr="0050276D" w:rsidRDefault="00F31FC5" w:rsidP="00807630">
            <w:pPr>
              <w:spacing w:after="0" w:line="240" w:lineRule="auto"/>
              <w:rPr>
                <w:rFonts w:asciiTheme="majorHAnsi" w:eastAsia="Times New Roman" w:hAnsiTheme="majorHAnsi" w:cstheme="majorHAnsi"/>
                <w:color w:val="000000"/>
                <w:sz w:val="20"/>
                <w:szCs w:val="20"/>
              </w:rPr>
            </w:pPr>
            <w:r w:rsidRPr="0050276D">
              <w:rPr>
                <w:rFonts w:asciiTheme="majorHAnsi" w:eastAsia="Times New Roman" w:hAnsiTheme="majorHAnsi" w:cstheme="majorHAnsi"/>
                <w:color w:val="000000"/>
                <w:sz w:val="20"/>
                <w:szCs w:val="20"/>
              </w:rPr>
              <w:t>(Rindfuss</w:t>
            </w:r>
            <w:r w:rsidR="003A75FA">
              <w:rPr>
                <w:rFonts w:asciiTheme="majorHAnsi" w:eastAsia="Times New Roman" w:hAnsiTheme="majorHAnsi" w:cstheme="majorHAnsi"/>
                <w:color w:val="000000"/>
                <w:sz w:val="20"/>
                <w:szCs w:val="20"/>
              </w:rPr>
              <w:t xml:space="preserve">, </w:t>
            </w:r>
            <w:r w:rsidR="00B95174" w:rsidRPr="00B95174">
              <w:rPr>
                <w:rFonts w:asciiTheme="majorHAnsi" w:eastAsia="Times New Roman" w:hAnsiTheme="majorHAnsi" w:cstheme="majorHAnsi"/>
                <w:i/>
                <w:color w:val="000000"/>
                <w:sz w:val="20"/>
                <w:szCs w:val="20"/>
              </w:rPr>
              <w:t>et al.,</w:t>
            </w:r>
            <w:r w:rsidRPr="0050276D">
              <w:rPr>
                <w:rFonts w:asciiTheme="majorHAnsi" w:eastAsia="Times New Roman" w:hAnsiTheme="majorHAnsi" w:cstheme="majorHAnsi"/>
                <w:color w:val="000000"/>
                <w:sz w:val="20"/>
                <w:szCs w:val="20"/>
              </w:rPr>
              <w:t xml:space="preserve"> 2010)</w:t>
            </w:r>
          </w:p>
        </w:tc>
      </w:tr>
      <w:tr w:rsidR="00F31FC5" w:rsidRPr="00BD6E2D" w14:paraId="1DBAA361" w14:textId="77777777" w:rsidTr="00807630">
        <w:trPr>
          <w:trHeight w:val="1191"/>
        </w:trPr>
        <w:tc>
          <w:tcPr>
            <w:tcW w:w="326" w:type="pct"/>
            <w:shd w:val="clear" w:color="auto" w:fill="auto"/>
            <w:vAlign w:val="center"/>
            <w:hideMark/>
          </w:tcPr>
          <w:p w14:paraId="17EB315C" w14:textId="60ECC0A3" w:rsidR="00F31FC5" w:rsidRPr="00946E54" w:rsidRDefault="00F31FC5" w:rsidP="00807630">
            <w:pPr>
              <w:spacing w:after="0" w:line="240" w:lineRule="auto"/>
              <w:rPr>
                <w:rFonts w:ascii="Tw Cen MT Condensed" w:eastAsia="Times New Roman" w:hAnsi="Tw Cen MT Condensed" w:cs="Calibri Light"/>
                <w:caps/>
                <w:color w:val="000000"/>
                <w:sz w:val="20"/>
                <w:szCs w:val="20"/>
              </w:rPr>
            </w:pPr>
            <w:r w:rsidRPr="00946E54">
              <w:rPr>
                <w:rFonts w:ascii="Tw Cen MT Condensed" w:eastAsia="Times New Roman" w:hAnsi="Tw Cen MT Condensed" w:cs="Calibri Light"/>
                <w:caps/>
                <w:color w:val="000000"/>
                <w:sz w:val="20"/>
                <w:szCs w:val="20"/>
              </w:rPr>
              <w:t xml:space="preserve">Germany </w:t>
            </w:r>
            <w:r w:rsidR="00F60DA4">
              <w:rPr>
                <w:rFonts w:ascii="Tw Cen MT Condensed" w:eastAsia="Times New Roman" w:hAnsi="Tw Cen MT Condensed" w:cs="Calibri Light"/>
                <w:caps/>
                <w:color w:val="000000"/>
                <w:sz w:val="20"/>
                <w:szCs w:val="20"/>
              </w:rPr>
              <w:t>1998</w:t>
            </w:r>
            <w:r w:rsidRPr="00946E54">
              <w:rPr>
                <w:rFonts w:ascii="Tw Cen MT Condensed" w:eastAsia="Times New Roman" w:hAnsi="Tw Cen MT Condensed" w:cs="Calibri Light"/>
                <w:caps/>
                <w:color w:val="000000"/>
                <w:sz w:val="20"/>
                <w:szCs w:val="20"/>
              </w:rPr>
              <w:t>-2008</w:t>
            </w:r>
          </w:p>
        </w:tc>
        <w:tc>
          <w:tcPr>
            <w:tcW w:w="835" w:type="pct"/>
            <w:shd w:val="clear" w:color="auto" w:fill="auto"/>
            <w:vAlign w:val="center"/>
            <w:hideMark/>
          </w:tcPr>
          <w:p w14:paraId="34D14B19" w14:textId="439C1F07" w:rsidR="00F31FC5" w:rsidRPr="00BD6E2D" w:rsidRDefault="00F31FC5"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 </w:t>
            </w:r>
            <w:r w:rsidR="008D52A6">
              <w:rPr>
                <w:rFonts w:ascii="Calibri Light" w:eastAsia="Times New Roman" w:hAnsi="Calibri Light" w:cs="Calibri Light"/>
                <w:i/>
                <w:iCs/>
                <w:color w:val="000000"/>
                <w:sz w:val="20"/>
                <w:szCs w:val="20"/>
              </w:rPr>
              <w:t>Child care</w:t>
            </w:r>
            <w:r w:rsidR="00F60DA4" w:rsidRPr="00F60DA4">
              <w:rPr>
                <w:rFonts w:ascii="Calibri Light" w:eastAsia="Times New Roman" w:hAnsi="Calibri Light" w:cs="Calibri Light"/>
                <w:i/>
                <w:iCs/>
                <w:color w:val="000000"/>
                <w:sz w:val="20"/>
                <w:szCs w:val="20"/>
              </w:rPr>
              <w:t xml:space="preserve"> coverage</w:t>
            </w:r>
            <w:r w:rsidR="00F60DA4">
              <w:rPr>
                <w:rFonts w:ascii="Calibri Light" w:eastAsia="Times New Roman" w:hAnsi="Calibri Light" w:cs="Calibri Light"/>
                <w:color w:val="000000"/>
                <w:sz w:val="20"/>
                <w:szCs w:val="20"/>
              </w:rPr>
              <w:t xml:space="preserve"> </w:t>
            </w:r>
            <w:r w:rsidR="00F60DA4">
              <w:t xml:space="preserve"> </w:t>
            </w:r>
            <w:r w:rsidR="00F60DA4" w:rsidRPr="00F60DA4">
              <w:rPr>
                <w:rFonts w:ascii="Calibri Light" w:eastAsia="Times New Roman" w:hAnsi="Calibri Light" w:cs="Calibri Light"/>
                <w:color w:val="000000"/>
                <w:sz w:val="20"/>
                <w:szCs w:val="20"/>
              </w:rPr>
              <w:t xml:space="preserve">Public </w:t>
            </w:r>
            <w:r w:rsidR="008D52A6">
              <w:rPr>
                <w:rFonts w:ascii="Calibri Light" w:eastAsia="Times New Roman" w:hAnsi="Calibri Light" w:cs="Calibri Light"/>
                <w:color w:val="000000"/>
                <w:sz w:val="20"/>
                <w:szCs w:val="20"/>
              </w:rPr>
              <w:t>child care</w:t>
            </w:r>
            <w:r w:rsidR="00F60DA4" w:rsidRPr="00F60DA4">
              <w:rPr>
                <w:rFonts w:ascii="Calibri Light" w:eastAsia="Times New Roman" w:hAnsi="Calibri Light" w:cs="Calibri Light"/>
                <w:color w:val="000000"/>
                <w:sz w:val="20"/>
                <w:szCs w:val="20"/>
              </w:rPr>
              <w:t xml:space="preserve"> slots divided by the population aged 0-3</w:t>
            </w:r>
          </w:p>
        </w:tc>
        <w:tc>
          <w:tcPr>
            <w:tcW w:w="745" w:type="pct"/>
            <w:shd w:val="clear" w:color="auto" w:fill="auto"/>
            <w:vAlign w:val="center"/>
            <w:hideMark/>
          </w:tcPr>
          <w:p w14:paraId="5C3ACC28" w14:textId="79DDC01A" w:rsidR="00F31FC5" w:rsidRPr="00BD6E2D" w:rsidRDefault="00F60DA4" w:rsidP="00807630">
            <w:pPr>
              <w:spacing w:after="0" w:line="240" w:lineRule="auto"/>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Birth rates</w:t>
            </w:r>
          </w:p>
        </w:tc>
        <w:tc>
          <w:tcPr>
            <w:tcW w:w="2318" w:type="pct"/>
            <w:shd w:val="clear" w:color="auto" w:fill="auto"/>
            <w:vAlign w:val="center"/>
            <w:hideMark/>
          </w:tcPr>
          <w:p w14:paraId="56B6FEB6" w14:textId="761A24EC" w:rsidR="00F31FC5" w:rsidRPr="00BD6E2D" w:rsidRDefault="00F31FC5"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 xml:space="preserve">A 10-% point increase in public </w:t>
            </w:r>
            <w:r w:rsidR="008D52A6">
              <w:rPr>
                <w:rFonts w:ascii="Calibri Light" w:eastAsia="Times New Roman" w:hAnsi="Calibri Light" w:cs="Calibri Light"/>
                <w:color w:val="000000"/>
                <w:sz w:val="20"/>
                <w:szCs w:val="20"/>
              </w:rPr>
              <w:t>child care</w:t>
            </w:r>
            <w:r w:rsidRPr="00BD6E2D">
              <w:rPr>
                <w:rFonts w:ascii="Calibri Light" w:eastAsia="Times New Roman" w:hAnsi="Calibri Light" w:cs="Calibri Light"/>
                <w:color w:val="000000"/>
                <w:sz w:val="20"/>
                <w:szCs w:val="20"/>
              </w:rPr>
              <w:t xml:space="preserve"> coverage increases the number of births by roughly 2.8% of the baseline birth rate</w:t>
            </w:r>
            <w:r w:rsidR="003B5768">
              <w:rPr>
                <w:rFonts w:ascii="Calibri Light" w:eastAsia="Times New Roman" w:hAnsi="Calibri Light" w:cs="Calibri Light"/>
                <w:color w:val="000000"/>
                <w:sz w:val="20"/>
                <w:szCs w:val="20"/>
              </w:rPr>
              <w:t xml:space="preserve">. </w:t>
            </w:r>
            <w:r w:rsidRPr="00BD6E2D">
              <w:rPr>
                <w:rFonts w:ascii="Calibri Light" w:eastAsia="Times New Roman" w:hAnsi="Calibri Light" w:cs="Calibri Light"/>
                <w:color w:val="000000"/>
                <w:sz w:val="20"/>
                <w:szCs w:val="20"/>
              </w:rPr>
              <w:t xml:space="preserve"> </w:t>
            </w:r>
            <w:r w:rsidR="003B5768">
              <w:rPr>
                <w:rFonts w:ascii="Calibri Light" w:eastAsia="Times New Roman" w:hAnsi="Calibri Light" w:cs="Calibri Light"/>
                <w:color w:val="000000"/>
                <w:sz w:val="20"/>
                <w:szCs w:val="20"/>
              </w:rPr>
              <w:t xml:space="preserve">Assuming </w:t>
            </w:r>
            <w:r w:rsidRPr="00BD6E2D">
              <w:rPr>
                <w:rFonts w:ascii="Calibri Light" w:eastAsia="Times New Roman" w:hAnsi="Calibri Light" w:cs="Calibri Light"/>
                <w:color w:val="000000"/>
                <w:sz w:val="20"/>
                <w:szCs w:val="20"/>
              </w:rPr>
              <w:t xml:space="preserve">linearity, an increase in public child care coverage by 30 </w:t>
            </w:r>
            <w:r w:rsidR="003B5768">
              <w:rPr>
                <w:rFonts w:ascii="Calibri Light" w:eastAsia="Times New Roman" w:hAnsi="Calibri Light" w:cs="Calibri Light"/>
                <w:color w:val="000000"/>
                <w:sz w:val="20"/>
                <w:szCs w:val="20"/>
              </w:rPr>
              <w:t xml:space="preserve">% </w:t>
            </w:r>
            <w:r w:rsidRPr="00BD6E2D">
              <w:rPr>
                <w:rFonts w:ascii="Calibri Light" w:eastAsia="Times New Roman" w:hAnsi="Calibri Light" w:cs="Calibri Light"/>
                <w:color w:val="000000"/>
                <w:sz w:val="20"/>
                <w:szCs w:val="20"/>
              </w:rPr>
              <w:t>points</w:t>
            </w:r>
            <w:r w:rsidR="003B5768">
              <w:rPr>
                <w:rFonts w:ascii="Calibri Light" w:eastAsia="Times New Roman" w:hAnsi="Calibri Light" w:cs="Calibri Light"/>
                <w:color w:val="000000"/>
                <w:sz w:val="20"/>
                <w:szCs w:val="20"/>
              </w:rPr>
              <w:t xml:space="preserve"> </w:t>
            </w:r>
            <w:r w:rsidRPr="00BD6E2D">
              <w:rPr>
                <w:rFonts w:ascii="Calibri Light" w:eastAsia="Times New Roman" w:hAnsi="Calibri Light" w:cs="Calibri Light"/>
                <w:color w:val="000000"/>
                <w:sz w:val="20"/>
                <w:szCs w:val="20"/>
              </w:rPr>
              <w:t xml:space="preserve">leads </w:t>
            </w:r>
            <w:r w:rsidR="003B5768">
              <w:rPr>
                <w:rFonts w:ascii="Calibri Light" w:eastAsia="Times New Roman" w:hAnsi="Calibri Light" w:cs="Calibri Light"/>
                <w:color w:val="000000"/>
                <w:sz w:val="20"/>
                <w:szCs w:val="20"/>
              </w:rPr>
              <w:t>to an increase of 0.12 children for the average woman.</w:t>
            </w:r>
            <w:r w:rsidR="008A1DB5">
              <w:rPr>
                <w:rFonts w:ascii="Calibri Light" w:eastAsia="Times New Roman" w:hAnsi="Calibri Light" w:cs="Calibri Light"/>
                <w:color w:val="000000"/>
                <w:sz w:val="20"/>
                <w:szCs w:val="20"/>
              </w:rPr>
              <w:t xml:space="preserve"> Stronger effect at higher parities. </w:t>
            </w:r>
          </w:p>
        </w:tc>
        <w:tc>
          <w:tcPr>
            <w:tcW w:w="775" w:type="pct"/>
            <w:shd w:val="clear" w:color="auto" w:fill="auto"/>
            <w:vAlign w:val="center"/>
            <w:hideMark/>
          </w:tcPr>
          <w:p w14:paraId="45566056" w14:textId="1F2001CA" w:rsidR="00F31FC5" w:rsidRPr="0050276D" w:rsidRDefault="00F31FC5" w:rsidP="00807630">
            <w:pPr>
              <w:spacing w:after="0" w:line="240" w:lineRule="auto"/>
              <w:rPr>
                <w:rFonts w:asciiTheme="majorHAnsi" w:eastAsia="Times New Roman" w:hAnsiTheme="majorHAnsi" w:cstheme="majorHAnsi"/>
                <w:color w:val="000000"/>
                <w:sz w:val="20"/>
                <w:szCs w:val="20"/>
              </w:rPr>
            </w:pPr>
            <w:r w:rsidRPr="0050276D">
              <w:rPr>
                <w:rFonts w:asciiTheme="majorHAnsi" w:eastAsia="Times New Roman" w:hAnsiTheme="majorHAnsi" w:cstheme="majorHAnsi"/>
                <w:noProof/>
                <w:color w:val="000000"/>
                <w:sz w:val="20"/>
                <w:szCs w:val="20"/>
              </w:rPr>
              <w:t>(Bauernschuster</w:t>
            </w:r>
            <w:r w:rsidR="007E103D">
              <w:rPr>
                <w:rFonts w:asciiTheme="majorHAnsi" w:eastAsia="Times New Roman" w:hAnsiTheme="majorHAnsi" w:cstheme="majorHAnsi"/>
                <w:noProof/>
                <w:color w:val="000000"/>
                <w:sz w:val="20"/>
                <w:szCs w:val="20"/>
              </w:rPr>
              <w:t>,</w:t>
            </w:r>
            <w:r w:rsidR="003A75FA">
              <w:rPr>
                <w:rFonts w:asciiTheme="majorHAnsi" w:eastAsia="Times New Roman" w:hAnsiTheme="majorHAnsi" w:cstheme="majorHAnsi"/>
                <w:noProof/>
                <w:color w:val="000000"/>
                <w:sz w:val="20"/>
                <w:szCs w:val="20"/>
              </w:rPr>
              <w:t xml:space="preserve"> </w:t>
            </w:r>
            <w:r w:rsidR="003A75FA" w:rsidRPr="007E15F6">
              <w:rPr>
                <w:rFonts w:asciiTheme="majorHAnsi" w:eastAsia="Times New Roman" w:hAnsiTheme="majorHAnsi" w:cstheme="majorHAnsi"/>
                <w:i/>
                <w:iCs/>
                <w:noProof/>
                <w:color w:val="000000"/>
                <w:sz w:val="20"/>
                <w:szCs w:val="20"/>
              </w:rPr>
              <w:t>et al</w:t>
            </w:r>
            <w:r w:rsidR="003A75FA">
              <w:rPr>
                <w:rFonts w:asciiTheme="majorHAnsi" w:eastAsia="Times New Roman" w:hAnsiTheme="majorHAnsi" w:cstheme="majorHAnsi"/>
                <w:noProof/>
                <w:color w:val="000000"/>
                <w:sz w:val="20"/>
                <w:szCs w:val="20"/>
              </w:rPr>
              <w:t>.</w:t>
            </w:r>
            <w:r w:rsidRPr="0050276D">
              <w:rPr>
                <w:rFonts w:asciiTheme="majorHAnsi" w:eastAsia="Times New Roman" w:hAnsiTheme="majorHAnsi" w:cstheme="majorHAnsi"/>
                <w:noProof/>
                <w:color w:val="000000"/>
                <w:sz w:val="20"/>
                <w:szCs w:val="20"/>
              </w:rPr>
              <w:t xml:space="preserve"> 2016)</w:t>
            </w:r>
          </w:p>
        </w:tc>
      </w:tr>
      <w:tr w:rsidR="003705C1" w:rsidRPr="00BD6E2D" w14:paraId="207C88F9" w14:textId="77777777" w:rsidTr="00807630">
        <w:trPr>
          <w:trHeight w:val="841"/>
        </w:trPr>
        <w:tc>
          <w:tcPr>
            <w:tcW w:w="326" w:type="pct"/>
            <w:shd w:val="clear" w:color="auto" w:fill="auto"/>
            <w:vAlign w:val="center"/>
          </w:tcPr>
          <w:p w14:paraId="1E939AC5" w14:textId="77777777" w:rsidR="003705C1" w:rsidRDefault="003705C1" w:rsidP="00807630">
            <w:pPr>
              <w:spacing w:after="0" w:line="240" w:lineRule="auto"/>
              <w:rPr>
                <w:rFonts w:ascii="Tw Cen MT Condensed" w:eastAsia="Times New Roman" w:hAnsi="Tw Cen MT Condensed" w:cs="Calibri Light"/>
                <w:caps/>
                <w:color w:val="000000"/>
                <w:sz w:val="20"/>
                <w:szCs w:val="20"/>
              </w:rPr>
            </w:pPr>
            <w:r>
              <w:rPr>
                <w:rFonts w:ascii="Tw Cen MT Condensed" w:eastAsia="Times New Roman" w:hAnsi="Tw Cen MT Condensed" w:cs="Calibri Light"/>
                <w:caps/>
                <w:color w:val="000000"/>
                <w:sz w:val="20"/>
                <w:szCs w:val="20"/>
              </w:rPr>
              <w:t xml:space="preserve">Germany </w:t>
            </w:r>
          </w:p>
          <w:p w14:paraId="23C51834" w14:textId="26F71964" w:rsidR="003705C1" w:rsidRPr="00946E54" w:rsidRDefault="003705C1" w:rsidP="00807630">
            <w:pPr>
              <w:spacing w:after="0" w:line="240" w:lineRule="auto"/>
              <w:rPr>
                <w:rFonts w:ascii="Tw Cen MT Condensed" w:eastAsia="Times New Roman" w:hAnsi="Tw Cen MT Condensed" w:cs="Calibri Light"/>
                <w:caps/>
                <w:color w:val="000000"/>
                <w:sz w:val="20"/>
                <w:szCs w:val="20"/>
              </w:rPr>
            </w:pPr>
            <w:r>
              <w:rPr>
                <w:rFonts w:ascii="Tw Cen MT Condensed" w:eastAsia="Times New Roman" w:hAnsi="Tw Cen MT Condensed" w:cs="Calibri Light"/>
                <w:caps/>
                <w:color w:val="000000"/>
                <w:sz w:val="20"/>
                <w:szCs w:val="20"/>
              </w:rPr>
              <w:t>2008-2011</w:t>
            </w:r>
          </w:p>
        </w:tc>
        <w:tc>
          <w:tcPr>
            <w:tcW w:w="835" w:type="pct"/>
            <w:shd w:val="clear" w:color="auto" w:fill="auto"/>
            <w:vAlign w:val="center"/>
          </w:tcPr>
          <w:p w14:paraId="1A617595" w14:textId="77777777" w:rsidR="003705C1" w:rsidRPr="00260FAE" w:rsidRDefault="003705C1" w:rsidP="00807630">
            <w:pPr>
              <w:spacing w:after="0" w:line="240" w:lineRule="auto"/>
              <w:rPr>
                <w:rFonts w:ascii="Calibri Light" w:eastAsia="Times New Roman" w:hAnsi="Calibri Light" w:cs="Calibri Light"/>
                <w:i/>
                <w:iCs/>
                <w:color w:val="000000"/>
                <w:sz w:val="20"/>
                <w:szCs w:val="20"/>
              </w:rPr>
            </w:pPr>
            <w:r w:rsidRPr="00BD6E2D">
              <w:rPr>
                <w:rFonts w:ascii="Calibri Light" w:eastAsia="Times New Roman" w:hAnsi="Calibri Light" w:cs="Calibri Light"/>
                <w:i/>
                <w:iCs/>
                <w:color w:val="000000"/>
                <w:sz w:val="20"/>
                <w:szCs w:val="20"/>
              </w:rPr>
              <w:t>Availability and use</w:t>
            </w:r>
          </w:p>
          <w:p w14:paraId="5B3E43ED" w14:textId="097D5A76" w:rsidR="003705C1" w:rsidRPr="00BD6E2D" w:rsidRDefault="003705C1" w:rsidP="00807630">
            <w:pPr>
              <w:spacing w:after="0" w:line="240" w:lineRule="auto"/>
              <w:rPr>
                <w:rFonts w:ascii="Calibri Light" w:eastAsia="Times New Roman" w:hAnsi="Calibri Light" w:cs="Calibri Light"/>
                <w:color w:val="000000"/>
                <w:sz w:val="20"/>
                <w:szCs w:val="20"/>
              </w:rPr>
            </w:pPr>
            <w:r w:rsidRPr="00BD6E2D">
              <w:rPr>
                <w:rFonts w:ascii="Calibri Light" w:eastAsia="Times New Roman" w:hAnsi="Calibri Light" w:cs="Calibri Light"/>
                <w:color w:val="000000"/>
                <w:sz w:val="20"/>
                <w:szCs w:val="20"/>
              </w:rPr>
              <w:t xml:space="preserve">% of </w:t>
            </w:r>
            <w:r>
              <w:rPr>
                <w:rFonts w:ascii="Calibri Light" w:eastAsia="Times New Roman" w:hAnsi="Calibri Light" w:cs="Calibri Light"/>
                <w:color w:val="000000"/>
                <w:sz w:val="20"/>
                <w:szCs w:val="20"/>
              </w:rPr>
              <w:t>children aged 0-2 enroled in</w:t>
            </w:r>
            <w:r w:rsidRPr="00BD6E2D">
              <w:rPr>
                <w:rFonts w:ascii="Calibri Light" w:eastAsia="Times New Roman" w:hAnsi="Calibri Light" w:cs="Calibri Light"/>
                <w:color w:val="000000"/>
                <w:sz w:val="20"/>
                <w:szCs w:val="20"/>
              </w:rPr>
              <w:t xml:space="preserve"> </w:t>
            </w:r>
            <w:r w:rsidR="008D52A6">
              <w:rPr>
                <w:rFonts w:ascii="Calibri Light" w:eastAsia="Times New Roman" w:hAnsi="Calibri Light" w:cs="Calibri Light"/>
                <w:color w:val="000000"/>
                <w:sz w:val="20"/>
                <w:szCs w:val="20"/>
              </w:rPr>
              <w:t>child care</w:t>
            </w:r>
            <w:r w:rsidRPr="00BD6E2D">
              <w:rPr>
                <w:rFonts w:ascii="Calibri Light" w:eastAsia="Times New Roman" w:hAnsi="Calibri Light" w:cs="Calibri Light"/>
                <w:color w:val="000000"/>
                <w:sz w:val="20"/>
                <w:szCs w:val="20"/>
              </w:rPr>
              <w:t xml:space="preserve">  by </w:t>
            </w:r>
            <w:r>
              <w:rPr>
                <w:rFonts w:ascii="Calibri Light" w:eastAsia="Times New Roman" w:hAnsi="Calibri Light" w:cs="Calibri Light"/>
                <w:color w:val="000000"/>
                <w:sz w:val="20"/>
                <w:szCs w:val="20"/>
              </w:rPr>
              <w:t>district</w:t>
            </w:r>
          </w:p>
        </w:tc>
        <w:tc>
          <w:tcPr>
            <w:tcW w:w="745" w:type="pct"/>
            <w:shd w:val="clear" w:color="auto" w:fill="auto"/>
            <w:vAlign w:val="center"/>
          </w:tcPr>
          <w:p w14:paraId="7EC0CE69" w14:textId="4848F4E5" w:rsidR="003705C1" w:rsidRDefault="003705C1" w:rsidP="00807630">
            <w:pPr>
              <w:spacing w:after="0" w:line="240" w:lineRule="auto"/>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First birth</w:t>
            </w:r>
          </w:p>
        </w:tc>
        <w:tc>
          <w:tcPr>
            <w:tcW w:w="2318" w:type="pct"/>
            <w:shd w:val="clear" w:color="auto" w:fill="auto"/>
            <w:vAlign w:val="center"/>
          </w:tcPr>
          <w:p w14:paraId="45BB80E3" w14:textId="4800B9AB" w:rsidR="003705C1" w:rsidRPr="00BD6E2D" w:rsidRDefault="003705C1" w:rsidP="00807630">
            <w:pPr>
              <w:spacing w:after="0" w:line="240" w:lineRule="auto"/>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 xml:space="preserve">Not overall significant effect of </w:t>
            </w:r>
            <w:r w:rsidR="008D52A6">
              <w:rPr>
                <w:rFonts w:ascii="Calibri Light" w:eastAsia="Times New Roman" w:hAnsi="Calibri Light" w:cs="Calibri Light"/>
                <w:color w:val="000000"/>
                <w:sz w:val="20"/>
                <w:szCs w:val="20"/>
              </w:rPr>
              <w:t>child care</w:t>
            </w:r>
            <w:r>
              <w:rPr>
                <w:rFonts w:ascii="Calibri Light" w:eastAsia="Times New Roman" w:hAnsi="Calibri Light" w:cs="Calibri Light"/>
                <w:color w:val="000000"/>
                <w:sz w:val="20"/>
                <w:szCs w:val="20"/>
              </w:rPr>
              <w:t xml:space="preserve"> availability. </w:t>
            </w:r>
            <w:r w:rsidR="00BA6B5E">
              <w:rPr>
                <w:rFonts w:ascii="Calibri Light" w:eastAsia="Times New Roman" w:hAnsi="Calibri Light" w:cs="Calibri Light"/>
                <w:color w:val="000000"/>
                <w:sz w:val="20"/>
                <w:szCs w:val="20"/>
              </w:rPr>
              <w:t xml:space="preserve"> The exception was for highly educated women living in regions with low </w:t>
            </w:r>
            <w:r w:rsidR="008D52A6">
              <w:rPr>
                <w:rFonts w:ascii="Calibri Light" w:eastAsia="Times New Roman" w:hAnsi="Calibri Light" w:cs="Calibri Light"/>
                <w:color w:val="000000"/>
                <w:sz w:val="20"/>
                <w:szCs w:val="20"/>
              </w:rPr>
              <w:t>child care</w:t>
            </w:r>
            <w:r w:rsidR="00BA6B5E">
              <w:rPr>
                <w:rFonts w:ascii="Calibri Light" w:eastAsia="Times New Roman" w:hAnsi="Calibri Light" w:cs="Calibri Light"/>
                <w:color w:val="000000"/>
                <w:sz w:val="20"/>
                <w:szCs w:val="20"/>
              </w:rPr>
              <w:t xml:space="preserve"> provision the probability of a first birth was significantly lower. </w:t>
            </w:r>
          </w:p>
        </w:tc>
        <w:tc>
          <w:tcPr>
            <w:tcW w:w="775" w:type="pct"/>
            <w:shd w:val="clear" w:color="auto" w:fill="auto"/>
            <w:vAlign w:val="center"/>
          </w:tcPr>
          <w:p w14:paraId="454C7049" w14:textId="53BB5808" w:rsidR="003705C1" w:rsidRPr="0050276D" w:rsidRDefault="00BA6B5E" w:rsidP="00807630">
            <w:pPr>
              <w:spacing w:after="0" w:line="240" w:lineRule="auto"/>
              <w:rPr>
                <w:rFonts w:asciiTheme="majorHAnsi" w:eastAsia="Times New Roman" w:hAnsiTheme="majorHAnsi" w:cstheme="majorHAnsi"/>
                <w:noProof/>
                <w:color w:val="000000"/>
                <w:sz w:val="20"/>
                <w:szCs w:val="20"/>
              </w:rPr>
            </w:pPr>
            <w:r>
              <w:rPr>
                <w:rFonts w:asciiTheme="majorHAnsi" w:eastAsia="Times New Roman" w:hAnsiTheme="majorHAnsi" w:cstheme="majorHAnsi"/>
                <w:noProof/>
                <w:color w:val="000000"/>
                <w:sz w:val="20"/>
                <w:szCs w:val="20"/>
              </w:rPr>
              <w:t>(Krapf</w:t>
            </w:r>
            <w:r w:rsidR="008A7DE7">
              <w:rPr>
                <w:rFonts w:asciiTheme="majorHAnsi" w:eastAsia="Times New Roman" w:hAnsiTheme="majorHAnsi" w:cstheme="majorHAnsi"/>
                <w:noProof/>
                <w:color w:val="000000"/>
                <w:sz w:val="20"/>
                <w:szCs w:val="20"/>
              </w:rPr>
              <w:t>,</w:t>
            </w:r>
            <w:r>
              <w:rPr>
                <w:rFonts w:asciiTheme="majorHAnsi" w:eastAsia="Times New Roman" w:hAnsiTheme="majorHAnsi" w:cstheme="majorHAnsi"/>
                <w:noProof/>
                <w:color w:val="000000"/>
                <w:sz w:val="20"/>
                <w:szCs w:val="20"/>
              </w:rPr>
              <w:t xml:space="preserve"> 2014)</w:t>
            </w:r>
          </w:p>
        </w:tc>
      </w:tr>
      <w:tr w:rsidR="008A7DE7" w:rsidRPr="00BD6E2D" w14:paraId="508E7B14" w14:textId="77777777" w:rsidTr="00807630">
        <w:trPr>
          <w:trHeight w:val="1681"/>
        </w:trPr>
        <w:tc>
          <w:tcPr>
            <w:tcW w:w="326" w:type="pct"/>
            <w:shd w:val="clear" w:color="auto" w:fill="auto"/>
            <w:vAlign w:val="center"/>
          </w:tcPr>
          <w:p w14:paraId="491EE7C9" w14:textId="77777777" w:rsidR="008A7DE7" w:rsidRDefault="008A7DE7" w:rsidP="00807630">
            <w:pPr>
              <w:spacing w:after="0" w:line="240" w:lineRule="auto"/>
              <w:rPr>
                <w:rFonts w:ascii="Tw Cen MT Condensed" w:eastAsia="Times New Roman" w:hAnsi="Tw Cen MT Condensed" w:cs="Calibri Light"/>
                <w:caps/>
                <w:color w:val="000000"/>
                <w:sz w:val="20"/>
                <w:szCs w:val="20"/>
              </w:rPr>
            </w:pPr>
            <w:r>
              <w:rPr>
                <w:rFonts w:ascii="Tw Cen MT Condensed" w:eastAsia="Times New Roman" w:hAnsi="Tw Cen MT Condensed" w:cs="Calibri Light"/>
                <w:caps/>
                <w:color w:val="000000"/>
                <w:sz w:val="20"/>
                <w:szCs w:val="20"/>
              </w:rPr>
              <w:t>ITALy</w:t>
            </w:r>
          </w:p>
          <w:p w14:paraId="763F1B52" w14:textId="21F87278" w:rsidR="008A7DE7" w:rsidRDefault="008A7DE7" w:rsidP="00807630">
            <w:pPr>
              <w:spacing w:after="0" w:line="240" w:lineRule="auto"/>
              <w:rPr>
                <w:rFonts w:ascii="Tw Cen MT Condensed" w:eastAsia="Times New Roman" w:hAnsi="Tw Cen MT Condensed" w:cs="Calibri Light"/>
                <w:caps/>
                <w:color w:val="000000"/>
                <w:sz w:val="20"/>
                <w:szCs w:val="20"/>
              </w:rPr>
            </w:pPr>
            <w:r>
              <w:rPr>
                <w:rFonts w:ascii="Tw Cen MT Condensed" w:eastAsia="Times New Roman" w:hAnsi="Tw Cen MT Condensed" w:cs="Calibri Light"/>
                <w:caps/>
                <w:color w:val="000000"/>
                <w:sz w:val="20"/>
                <w:szCs w:val="20"/>
              </w:rPr>
              <w:t>1991-1995</w:t>
            </w:r>
          </w:p>
        </w:tc>
        <w:tc>
          <w:tcPr>
            <w:tcW w:w="835" w:type="pct"/>
            <w:shd w:val="clear" w:color="auto" w:fill="auto"/>
            <w:vAlign w:val="center"/>
          </w:tcPr>
          <w:p w14:paraId="4FBFC1CC" w14:textId="77777777" w:rsidR="008A7DE7" w:rsidRDefault="008A7DE7" w:rsidP="00807630">
            <w:pPr>
              <w:spacing w:after="0" w:line="240" w:lineRule="auto"/>
              <w:rPr>
                <w:rFonts w:ascii="Calibri Light" w:eastAsia="Times New Roman" w:hAnsi="Calibri Light" w:cs="Calibri Light"/>
                <w:i/>
                <w:iCs/>
                <w:color w:val="000000"/>
                <w:sz w:val="20"/>
                <w:szCs w:val="20"/>
              </w:rPr>
            </w:pPr>
            <w:r>
              <w:rPr>
                <w:rFonts w:ascii="Calibri Light" w:eastAsia="Times New Roman" w:hAnsi="Calibri Light" w:cs="Calibri Light"/>
                <w:i/>
                <w:iCs/>
                <w:color w:val="000000"/>
                <w:sz w:val="20"/>
                <w:szCs w:val="20"/>
              </w:rPr>
              <w:t xml:space="preserve">Availability </w:t>
            </w:r>
          </w:p>
          <w:p w14:paraId="6E08225B" w14:textId="40AF8D85" w:rsidR="008A7DE7" w:rsidRPr="00BD6E2D" w:rsidRDefault="008A7DE7" w:rsidP="00807630">
            <w:pPr>
              <w:spacing w:after="0" w:line="240" w:lineRule="auto"/>
              <w:rPr>
                <w:rFonts w:ascii="Calibri Light" w:eastAsia="Times New Roman" w:hAnsi="Calibri Light" w:cs="Calibri Light"/>
                <w:i/>
                <w:iCs/>
                <w:color w:val="000000"/>
                <w:sz w:val="20"/>
                <w:szCs w:val="20"/>
              </w:rPr>
            </w:pPr>
            <w:r w:rsidRPr="007E15F6">
              <w:rPr>
                <w:rFonts w:ascii="Calibri Light" w:eastAsia="Times New Roman" w:hAnsi="Calibri Light" w:cs="Calibri Light"/>
                <w:color w:val="000000"/>
                <w:sz w:val="20"/>
                <w:szCs w:val="20"/>
              </w:rPr>
              <w:t>Ratio of the number of child care places available (at ages 0-2) to the number of children 3 years of age or less by area of residence</w:t>
            </w:r>
            <w:r>
              <w:t xml:space="preserve"> </w:t>
            </w:r>
          </w:p>
        </w:tc>
        <w:tc>
          <w:tcPr>
            <w:tcW w:w="745" w:type="pct"/>
            <w:shd w:val="clear" w:color="auto" w:fill="auto"/>
            <w:vAlign w:val="center"/>
          </w:tcPr>
          <w:p w14:paraId="491AE9C8" w14:textId="7F30E45E" w:rsidR="008A7DE7" w:rsidRDefault="008A7DE7" w:rsidP="00807630">
            <w:pPr>
              <w:spacing w:after="0" w:line="240" w:lineRule="auto"/>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Having a child in the last 2 years</w:t>
            </w:r>
          </w:p>
        </w:tc>
        <w:tc>
          <w:tcPr>
            <w:tcW w:w="2318" w:type="pct"/>
            <w:shd w:val="clear" w:color="auto" w:fill="auto"/>
            <w:vAlign w:val="center"/>
          </w:tcPr>
          <w:p w14:paraId="288766B7" w14:textId="48616CDB" w:rsidR="008A7DE7" w:rsidRDefault="008A7DE7" w:rsidP="00807630">
            <w:pPr>
              <w:spacing w:after="0" w:line="240" w:lineRule="auto"/>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 xml:space="preserve">Increased </w:t>
            </w:r>
            <w:r w:rsidR="008D52A6">
              <w:rPr>
                <w:rFonts w:ascii="Calibri Light" w:eastAsia="Times New Roman" w:hAnsi="Calibri Light" w:cs="Calibri Light"/>
                <w:color w:val="000000"/>
                <w:sz w:val="20"/>
                <w:szCs w:val="20"/>
              </w:rPr>
              <w:t>child care</w:t>
            </w:r>
            <w:r>
              <w:rPr>
                <w:rFonts w:ascii="Calibri Light" w:eastAsia="Times New Roman" w:hAnsi="Calibri Light" w:cs="Calibri Light"/>
                <w:color w:val="000000"/>
                <w:sz w:val="20"/>
                <w:szCs w:val="20"/>
              </w:rPr>
              <w:t xml:space="preserve"> availability positively associated with having a child. </w:t>
            </w:r>
          </w:p>
        </w:tc>
        <w:tc>
          <w:tcPr>
            <w:tcW w:w="775" w:type="pct"/>
            <w:shd w:val="clear" w:color="auto" w:fill="auto"/>
            <w:vAlign w:val="center"/>
          </w:tcPr>
          <w:p w14:paraId="6D7C31C6" w14:textId="0667B5EF" w:rsidR="008A7DE7" w:rsidRDefault="008A7DE7" w:rsidP="00807630">
            <w:pPr>
              <w:spacing w:after="0" w:line="240" w:lineRule="auto"/>
              <w:rPr>
                <w:rFonts w:asciiTheme="majorHAnsi" w:eastAsia="Times New Roman" w:hAnsiTheme="majorHAnsi" w:cstheme="majorHAnsi"/>
                <w:noProof/>
                <w:color w:val="000000"/>
                <w:sz w:val="20"/>
                <w:szCs w:val="20"/>
              </w:rPr>
            </w:pPr>
            <w:r>
              <w:rPr>
                <w:rFonts w:asciiTheme="majorHAnsi" w:eastAsia="Times New Roman" w:hAnsiTheme="majorHAnsi" w:cstheme="majorHAnsi"/>
                <w:noProof/>
                <w:color w:val="000000"/>
                <w:sz w:val="20"/>
                <w:szCs w:val="20"/>
              </w:rPr>
              <w:t>(Del Boca, 2002)</w:t>
            </w:r>
          </w:p>
        </w:tc>
      </w:tr>
    </w:tbl>
    <w:p w14:paraId="1C1A7571" w14:textId="77777777" w:rsidR="00F31FC5" w:rsidRDefault="00F31FC5" w:rsidP="00BC5105">
      <w:pPr>
        <w:spacing w:line="276" w:lineRule="auto"/>
        <w:sectPr w:rsidR="00F31FC5" w:rsidSect="00B3347D">
          <w:pgSz w:w="16838" w:h="11906" w:orient="landscape"/>
          <w:pgMar w:top="1440" w:right="1440" w:bottom="1440" w:left="1440" w:header="708" w:footer="708" w:gutter="0"/>
          <w:cols w:space="708"/>
          <w:docGrid w:linePitch="360"/>
        </w:sectPr>
      </w:pPr>
    </w:p>
    <w:p w14:paraId="3E18222E" w14:textId="007F43A2" w:rsidR="00F31FC5" w:rsidRPr="008743B9" w:rsidRDefault="00F31FC5" w:rsidP="00BC5105">
      <w:pPr>
        <w:spacing w:line="276" w:lineRule="auto"/>
        <w:rPr>
          <w:i/>
          <w:iCs/>
        </w:rPr>
      </w:pPr>
      <w:r w:rsidRPr="008743B9">
        <w:rPr>
          <w:i/>
          <w:iCs/>
        </w:rPr>
        <w:lastRenderedPageBreak/>
        <w:t>Studies based on reform</w:t>
      </w:r>
    </w:p>
    <w:p w14:paraId="3EC8FC07" w14:textId="16BC6C53" w:rsidR="002C4052" w:rsidRDefault="002C4052" w:rsidP="00BC5105">
      <w:pPr>
        <w:spacing w:line="276" w:lineRule="auto"/>
        <w:jc w:val="both"/>
      </w:pPr>
      <w:r>
        <w:t xml:space="preserve">In addition to the above studies which relied on temporal and spatial variation, several studies have examined the impact of major </w:t>
      </w:r>
      <w:r w:rsidR="008D52A6">
        <w:t>child care</w:t>
      </w:r>
      <w:r>
        <w:t xml:space="preserve"> reforms on fertility</w:t>
      </w:r>
      <w:r w:rsidR="007E103D">
        <w:t>, shown in Table 20</w:t>
      </w:r>
      <w:r>
        <w:t xml:space="preserve">. </w:t>
      </w:r>
    </w:p>
    <w:p w14:paraId="6979755A" w14:textId="55C1253C" w:rsidR="002C4052" w:rsidRDefault="00976F29" w:rsidP="00BC5105">
      <w:pPr>
        <w:spacing w:line="276" w:lineRule="auto"/>
        <w:jc w:val="both"/>
      </w:pPr>
      <w:r>
        <w:t xml:space="preserve">Mörk, Sjögren, and Svalderyd </w:t>
      </w:r>
      <w:r w:rsidR="007E103D">
        <w:rPr>
          <w:noProof/>
        </w:rPr>
        <w:t>(2013)</w:t>
      </w:r>
      <w:r w:rsidR="002C4052">
        <w:t xml:space="preserve"> focus on the fertility effect of a 2002 Swedish </w:t>
      </w:r>
      <w:r w:rsidR="008D52A6">
        <w:t>child care</w:t>
      </w:r>
      <w:r w:rsidR="002C4052">
        <w:t xml:space="preserve"> reform which implemented a user fee cap</w:t>
      </w:r>
      <w:r w:rsidR="006A2517">
        <w:t xml:space="preserve"> and therefore changed the cost of </w:t>
      </w:r>
      <w:r w:rsidR="008D52A6">
        <w:t>child care</w:t>
      </w:r>
      <w:r w:rsidR="002C4052">
        <w:t xml:space="preserve">. The reform standardized </w:t>
      </w:r>
      <w:r w:rsidR="008D52A6">
        <w:t>child care</w:t>
      </w:r>
      <w:r w:rsidR="002C4052">
        <w:t xml:space="preserve"> fees across municipalities and imposed a maximum fee cap, which had the overall effect that for most families </w:t>
      </w:r>
      <w:r w:rsidR="008D52A6">
        <w:t>child care</w:t>
      </w:r>
      <w:r w:rsidR="002C4052">
        <w:t xml:space="preserve"> costs were reduced, with some variation in the overall effect based on household income and the age and number of children. They compared </w:t>
      </w:r>
      <w:r w:rsidR="00665F2F">
        <w:t>fertility before and after the reform between the years and found a</w:t>
      </w:r>
      <w:r w:rsidR="00A61ED1">
        <w:t>n</w:t>
      </w:r>
      <w:r w:rsidR="00665F2F">
        <w:t xml:space="preserve"> overall small positive impact although there was variation by </w:t>
      </w:r>
      <w:r w:rsidR="00D227B8">
        <w:t xml:space="preserve">number of children </w:t>
      </w:r>
      <w:r w:rsidR="00665F2F">
        <w:t>and household income. First births appeared to increase, driven by low-income households, second births were postponed while third</w:t>
      </w:r>
      <w:r w:rsidR="00AD11BA">
        <w:t>-</w:t>
      </w:r>
      <w:r w:rsidR="00665F2F">
        <w:t xml:space="preserve"> and higher</w:t>
      </w:r>
      <w:r w:rsidR="00AD11BA">
        <w:t>-</w:t>
      </w:r>
      <w:r w:rsidR="00665F2F">
        <w:t>order births increased</w:t>
      </w:r>
      <w:r w:rsidR="006A2517">
        <w:t xml:space="preserve"> as a response to the reform or in anticipation of the ref</w:t>
      </w:r>
      <w:r w:rsidR="006A2517" w:rsidRPr="00AA5662">
        <w:t>orm</w:t>
      </w:r>
      <w:r w:rsidR="00665F2F" w:rsidRPr="00AA5662">
        <w:t xml:space="preserve">. </w:t>
      </w:r>
    </w:p>
    <w:p w14:paraId="66293D1E" w14:textId="4A237789" w:rsidR="00A62BDE" w:rsidRDefault="00A62BDE" w:rsidP="00BC5105">
      <w:pPr>
        <w:spacing w:line="276" w:lineRule="auto"/>
        <w:jc w:val="both"/>
      </w:pPr>
      <w:r>
        <w:t xml:space="preserve">In Norway, in 1998 a cash benefit was introduced for parents with young children aged 12-36 who to look after their children at home rather than using public </w:t>
      </w:r>
      <w:r w:rsidR="008D52A6">
        <w:t>child care</w:t>
      </w:r>
      <w:r>
        <w:t xml:space="preserve">. </w:t>
      </w:r>
      <w:r w:rsidRPr="007E15F6">
        <w:t xml:space="preserve"> The aim of the reform was threefold: (i) to give families more flexibility with respect to own </w:t>
      </w:r>
      <w:r w:rsidR="008D52A6">
        <w:t>child care</w:t>
      </w:r>
      <w:r w:rsidRPr="007E15F6">
        <w:t xml:space="preserve">, (ii) to provide a cash benefit to parents who preferred to care for their children at home and (iii) to compensate those who were not offered external </w:t>
      </w:r>
      <w:r w:rsidR="008D52A6">
        <w:t>child care</w:t>
      </w:r>
      <w:r w:rsidRPr="007E15F6">
        <w:t xml:space="preserve"> provision</w:t>
      </w:r>
      <w:r>
        <w:t xml:space="preserve"> (</w:t>
      </w:r>
      <w:r w:rsidRPr="007E15F6">
        <w:t>Aassve</w:t>
      </w:r>
      <w:r>
        <w:t xml:space="preserve"> </w:t>
      </w:r>
      <w:r w:rsidRPr="007E15F6">
        <w:t>&amp; Lappegård 2009)</w:t>
      </w:r>
      <w:r>
        <w:t xml:space="preserve">. Parents could use a combination of home care and public </w:t>
      </w:r>
      <w:r w:rsidR="008D52A6">
        <w:t>child care</w:t>
      </w:r>
      <w:r>
        <w:t xml:space="preserve">, but as the rate of </w:t>
      </w:r>
      <w:r w:rsidR="008D52A6">
        <w:t>child care</w:t>
      </w:r>
      <w:r>
        <w:t xml:space="preserve"> use increased the value of the cash benefit was reduced. For example, parents who did not use any </w:t>
      </w:r>
      <w:r w:rsidR="008D52A6">
        <w:t>child care</w:t>
      </w:r>
      <w:r>
        <w:t xml:space="preserve"> would receive the full amount, whereas parents who used 17-24 hours a week would receive 40%. More traditional</w:t>
      </w:r>
      <w:r w:rsidR="0085475E">
        <w:t xml:space="preserve"> oreiented families who also tended to have </w:t>
      </w:r>
      <w:r>
        <w:t xml:space="preserve">lower income </w:t>
      </w:r>
      <w:r w:rsidR="0085475E">
        <w:t xml:space="preserve">and education level </w:t>
      </w:r>
      <w:r>
        <w:t xml:space="preserve">were more likely to make use of the cash benefit and families who used the benefit has a faster progression to second births (and third births to a lesser extent). </w:t>
      </w:r>
    </w:p>
    <w:p w14:paraId="2D52462A" w14:textId="18C559B1" w:rsidR="0025384E" w:rsidRDefault="0085475E" w:rsidP="00BC5105">
      <w:pPr>
        <w:spacing w:line="276" w:lineRule="auto"/>
        <w:jc w:val="both"/>
      </w:pPr>
      <w:r>
        <w:t xml:space="preserve">A similar effect was observed by </w:t>
      </w:r>
      <w:r w:rsidR="0025384E">
        <w:t xml:space="preserve">Gathmann and Sass </w:t>
      </w:r>
      <w:r w:rsidR="00C96C57">
        <w:rPr>
          <w:noProof/>
        </w:rPr>
        <w:t>(2018)</w:t>
      </w:r>
      <w:r w:rsidR="0025384E">
        <w:t xml:space="preserve"> </w:t>
      </w:r>
      <w:r>
        <w:t>who analysed the</w:t>
      </w:r>
      <w:r w:rsidR="008C2B3F">
        <w:t xml:space="preserve"> </w:t>
      </w:r>
      <w:r w:rsidR="0025384E">
        <w:t xml:space="preserve">effect of </w:t>
      </w:r>
      <w:r w:rsidR="008C2B3F">
        <w:t>a</w:t>
      </w:r>
      <w:r w:rsidR="0025384E">
        <w:t xml:space="preserve"> 200</w:t>
      </w:r>
      <w:r w:rsidR="00AF11DA">
        <w:t>6 ‘home care subsidy’</w:t>
      </w:r>
      <w:r w:rsidR="008C2B3F">
        <w:t xml:space="preserve"> </w:t>
      </w:r>
      <w:r w:rsidR="008C2B3F">
        <w:rPr>
          <w:rFonts w:ascii="Georgia" w:hAnsi="Georgia"/>
          <w:color w:val="000000"/>
          <w:shd w:val="clear" w:color="auto" w:fill="FFFFFF"/>
        </w:rPr>
        <w:t>(</w:t>
      </w:r>
      <w:r w:rsidR="008C2B3F" w:rsidRPr="00900D3A">
        <w:rPr>
          <w:i/>
          <w:iCs/>
        </w:rPr>
        <w:t>Betreuungsgeld</w:t>
      </w:r>
      <w:r w:rsidR="008C2B3F" w:rsidRPr="00900D3A">
        <w:t>)</w:t>
      </w:r>
      <w:r w:rsidR="008C2B3F">
        <w:t xml:space="preserve"> </w:t>
      </w:r>
      <w:r w:rsidR="00AF11DA">
        <w:t>reform in the East German state of Thuringia.</w:t>
      </w:r>
      <w:r w:rsidR="003B4A44">
        <w:t xml:space="preserve"> </w:t>
      </w:r>
      <w:r>
        <w:t>Similar to the Norwegian reform, p</w:t>
      </w:r>
      <w:r w:rsidR="003B4A44">
        <w:t xml:space="preserve">arents of a 2-year old child received a subsidy if their child did not attend public daycare. Firstborn 2-year old children received 150 Euros a month, whereas second or higher order 2-year old received more. If the child did attend daycare, the daycare provider would instead receive an amount proportional to the hours attended.  For families who were not planning to send their child to public daycare this was windfall income. For families who were planning to send their child to daycare, their </w:t>
      </w:r>
      <w:r w:rsidR="008D52A6">
        <w:t>child care</w:t>
      </w:r>
      <w:r w:rsidR="003B4A44">
        <w:t xml:space="preserve"> fees effectively increased. The result was a decline in public daycare use, </w:t>
      </w:r>
      <w:r w:rsidR="00F90C3A" w:rsidRPr="00DC7131">
        <w:t>home care subsidy seems to discourage the first birth but has a small but positive effect on families with one or more children</w:t>
      </w:r>
      <w:r w:rsidR="00A663C8">
        <w:t xml:space="preserve"> who may be more prone to choosing home care</w:t>
      </w:r>
      <w:r w:rsidR="00F90C3A" w:rsidRPr="00DC7131">
        <w:t>.</w:t>
      </w:r>
      <w:r w:rsidR="00AF11DA">
        <w:t xml:space="preserve"> </w:t>
      </w:r>
    </w:p>
    <w:p w14:paraId="5FA109FA" w14:textId="667801BF" w:rsidR="00411F64" w:rsidRDefault="00411F64" w:rsidP="00BC5105">
      <w:pPr>
        <w:spacing w:line="276" w:lineRule="auto"/>
        <w:jc w:val="both"/>
      </w:pPr>
      <w:r>
        <w:t>In Israel, in 1999 the government introduced free public preschool for children aged 3 and 4. Schlosser</w:t>
      </w:r>
      <w:r w:rsidR="00DC7131">
        <w:t xml:space="preserve"> (2005)</w:t>
      </w:r>
      <w:r>
        <w:t xml:space="preserve"> examined the effect of this reform on Arab mother’s fertility</w:t>
      </w:r>
      <w:r w:rsidR="00DC7131">
        <w:t xml:space="preserve">; specifically the probability that a </w:t>
      </w:r>
      <w:r>
        <w:t>mother who has a child aged 2-4 has an additional child aged 0-1</w:t>
      </w:r>
      <w:r w:rsidR="00DC7131">
        <w:t>. They found no impact, at least in the short run, on further childbearing among women with a pre-school aged child.</w:t>
      </w:r>
      <w:r>
        <w:t xml:space="preserve"> </w:t>
      </w:r>
    </w:p>
    <w:p w14:paraId="24E7EF2B" w14:textId="48601CAB" w:rsidR="007E103D" w:rsidRDefault="007E103D" w:rsidP="00BC5105">
      <w:pPr>
        <w:spacing w:line="276" w:lineRule="auto"/>
        <w:jc w:val="both"/>
      </w:pPr>
    </w:p>
    <w:p w14:paraId="2A38B6AC" w14:textId="5CC4A333" w:rsidR="007E103D" w:rsidRDefault="007E103D" w:rsidP="00BC5105">
      <w:pPr>
        <w:spacing w:line="276" w:lineRule="auto"/>
        <w:jc w:val="both"/>
      </w:pPr>
    </w:p>
    <w:p w14:paraId="7EB5B6A3" w14:textId="77777777" w:rsidR="007E103D" w:rsidRDefault="007E103D" w:rsidP="00BC5105">
      <w:pPr>
        <w:spacing w:line="276" w:lineRule="auto"/>
        <w:jc w:val="both"/>
      </w:pPr>
    </w:p>
    <w:p w14:paraId="678CBA40" w14:textId="583A71F2" w:rsidR="007E103D" w:rsidRDefault="007E103D" w:rsidP="007E15F6">
      <w:pPr>
        <w:pStyle w:val="Caption"/>
        <w:keepNext/>
      </w:pPr>
      <w:r>
        <w:lastRenderedPageBreak/>
        <w:t xml:space="preserve">Table </w:t>
      </w:r>
      <w:fldSimple w:instr=" SEQ Table \* ARABIC ">
        <w:r w:rsidR="00115E22">
          <w:rPr>
            <w:noProof/>
          </w:rPr>
          <w:t>20</w:t>
        </w:r>
      </w:fldSimple>
      <w:r>
        <w:t xml:space="preserve"> Studies based on </w:t>
      </w:r>
      <w:r w:rsidR="008D52A6">
        <w:t>child care</w:t>
      </w:r>
      <w:r>
        <w:t xml:space="preserve"> reforms</w:t>
      </w:r>
    </w:p>
    <w:tbl>
      <w:tblPr>
        <w:tblStyle w:val="TableGrid"/>
        <w:tblW w:w="917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271"/>
        <w:gridCol w:w="2126"/>
        <w:gridCol w:w="1803"/>
        <w:gridCol w:w="2166"/>
        <w:gridCol w:w="1804"/>
      </w:tblGrid>
      <w:tr w:rsidR="00F31FC5" w:rsidRPr="00D67C57" w14:paraId="004797DE" w14:textId="77777777" w:rsidTr="006C6E6D">
        <w:tc>
          <w:tcPr>
            <w:tcW w:w="1271" w:type="dxa"/>
            <w:shd w:val="clear" w:color="auto" w:fill="FBE4D5" w:themeFill="accent2" w:themeFillTint="33"/>
          </w:tcPr>
          <w:p w14:paraId="4CC8AAD6" w14:textId="77777777" w:rsidR="00F31FC5" w:rsidRPr="00D67C57" w:rsidRDefault="00F31FC5" w:rsidP="00BC5105">
            <w:pPr>
              <w:spacing w:line="276" w:lineRule="auto"/>
              <w:rPr>
                <w:rFonts w:ascii="Tw Cen MT Condensed" w:hAnsi="Tw Cen MT Condensed"/>
              </w:rPr>
            </w:pPr>
            <w:r w:rsidRPr="00D67C57">
              <w:rPr>
                <w:rFonts w:ascii="Tw Cen MT Condensed" w:hAnsi="Tw Cen MT Condensed"/>
              </w:rPr>
              <w:t>Country</w:t>
            </w:r>
          </w:p>
        </w:tc>
        <w:tc>
          <w:tcPr>
            <w:tcW w:w="2126" w:type="dxa"/>
            <w:shd w:val="clear" w:color="auto" w:fill="FBE4D5" w:themeFill="accent2" w:themeFillTint="33"/>
          </w:tcPr>
          <w:p w14:paraId="494EC196" w14:textId="77777777" w:rsidR="00F31FC5" w:rsidRPr="00D67C57" w:rsidRDefault="00F31FC5" w:rsidP="00BC5105">
            <w:pPr>
              <w:spacing w:line="276" w:lineRule="auto"/>
              <w:rPr>
                <w:rFonts w:ascii="Tw Cen MT Condensed" w:hAnsi="Tw Cen MT Condensed"/>
              </w:rPr>
            </w:pPr>
            <w:r w:rsidRPr="00D67C57">
              <w:rPr>
                <w:rFonts w:ascii="Tw Cen MT Condensed" w:hAnsi="Tw Cen MT Condensed"/>
              </w:rPr>
              <w:t>Reform</w:t>
            </w:r>
          </w:p>
        </w:tc>
        <w:tc>
          <w:tcPr>
            <w:tcW w:w="1803" w:type="dxa"/>
            <w:shd w:val="clear" w:color="auto" w:fill="FBE4D5" w:themeFill="accent2" w:themeFillTint="33"/>
          </w:tcPr>
          <w:p w14:paraId="6D657C45" w14:textId="77777777" w:rsidR="00F31FC5" w:rsidRPr="00D67C57" w:rsidRDefault="00F31FC5" w:rsidP="00BC5105">
            <w:pPr>
              <w:spacing w:line="276" w:lineRule="auto"/>
              <w:rPr>
                <w:rFonts w:ascii="Tw Cen MT Condensed" w:hAnsi="Tw Cen MT Condensed"/>
              </w:rPr>
            </w:pPr>
            <w:r w:rsidRPr="00D67C57">
              <w:rPr>
                <w:rFonts w:ascii="Tw Cen MT Condensed" w:hAnsi="Tw Cen MT Condensed"/>
              </w:rPr>
              <w:t>Fertility outcome</w:t>
            </w:r>
          </w:p>
        </w:tc>
        <w:tc>
          <w:tcPr>
            <w:tcW w:w="2166" w:type="dxa"/>
            <w:shd w:val="clear" w:color="auto" w:fill="FBE4D5" w:themeFill="accent2" w:themeFillTint="33"/>
          </w:tcPr>
          <w:p w14:paraId="695D48AB" w14:textId="77777777" w:rsidR="00F31FC5" w:rsidRPr="00D67C57" w:rsidRDefault="00F31FC5" w:rsidP="00BC5105">
            <w:pPr>
              <w:spacing w:line="276" w:lineRule="auto"/>
              <w:rPr>
                <w:rFonts w:ascii="Tw Cen MT Condensed" w:hAnsi="Tw Cen MT Condensed"/>
              </w:rPr>
            </w:pPr>
            <w:r w:rsidRPr="00D67C57">
              <w:rPr>
                <w:rFonts w:ascii="Tw Cen MT Condensed" w:hAnsi="Tw Cen MT Condensed"/>
              </w:rPr>
              <w:t xml:space="preserve">Impact on fertility </w:t>
            </w:r>
          </w:p>
        </w:tc>
        <w:tc>
          <w:tcPr>
            <w:tcW w:w="1804" w:type="dxa"/>
            <w:shd w:val="clear" w:color="auto" w:fill="FBE4D5" w:themeFill="accent2" w:themeFillTint="33"/>
          </w:tcPr>
          <w:p w14:paraId="3AB9ADA6" w14:textId="77777777" w:rsidR="00F31FC5" w:rsidRPr="00D67C57" w:rsidRDefault="00F31FC5" w:rsidP="00BC5105">
            <w:pPr>
              <w:spacing w:line="276" w:lineRule="auto"/>
              <w:rPr>
                <w:rFonts w:ascii="Tw Cen MT Condensed" w:hAnsi="Tw Cen MT Condensed"/>
              </w:rPr>
            </w:pPr>
            <w:r w:rsidRPr="00D67C57">
              <w:rPr>
                <w:rFonts w:ascii="Tw Cen MT Condensed" w:hAnsi="Tw Cen MT Condensed"/>
              </w:rPr>
              <w:t>Study</w:t>
            </w:r>
          </w:p>
        </w:tc>
      </w:tr>
      <w:tr w:rsidR="00F31FC5" w14:paraId="2D075CB6" w14:textId="77777777" w:rsidTr="006C6E6D">
        <w:tc>
          <w:tcPr>
            <w:tcW w:w="1271" w:type="dxa"/>
            <w:vAlign w:val="center"/>
          </w:tcPr>
          <w:p w14:paraId="5599DBF7" w14:textId="3EDB4D78" w:rsidR="00F31FC5" w:rsidRPr="00F90C3A" w:rsidRDefault="00F31FC5">
            <w:pPr>
              <w:spacing w:line="276" w:lineRule="auto"/>
              <w:rPr>
                <w:rFonts w:ascii="Tw Cen MT Condensed" w:hAnsi="Tw Cen MT Condensed"/>
                <w:caps/>
              </w:rPr>
            </w:pPr>
            <w:r w:rsidRPr="00F90C3A">
              <w:rPr>
                <w:rFonts w:ascii="Tw Cen MT Condensed" w:hAnsi="Tw Cen MT Condensed"/>
                <w:caps/>
              </w:rPr>
              <w:t xml:space="preserve">Sweden </w:t>
            </w:r>
          </w:p>
        </w:tc>
        <w:tc>
          <w:tcPr>
            <w:tcW w:w="2126" w:type="dxa"/>
          </w:tcPr>
          <w:p w14:paraId="0A98750B" w14:textId="0281EA10" w:rsidR="00F31FC5" w:rsidRPr="008743B9" w:rsidRDefault="00F31FC5">
            <w:pPr>
              <w:rPr>
                <w:rFonts w:asciiTheme="majorHAnsi" w:hAnsiTheme="majorHAnsi"/>
                <w:sz w:val="20"/>
                <w:szCs w:val="20"/>
              </w:rPr>
            </w:pPr>
            <w:r w:rsidRPr="008743B9">
              <w:rPr>
                <w:rFonts w:asciiTheme="majorHAnsi" w:hAnsiTheme="majorHAnsi"/>
                <w:sz w:val="20"/>
                <w:szCs w:val="20"/>
              </w:rPr>
              <w:t xml:space="preserve">2002 reform (announced in 1998) implementing a user fee cap, and standardizing </w:t>
            </w:r>
            <w:r w:rsidR="008D52A6">
              <w:rPr>
                <w:rFonts w:asciiTheme="majorHAnsi" w:hAnsiTheme="majorHAnsi"/>
                <w:sz w:val="20"/>
                <w:szCs w:val="20"/>
              </w:rPr>
              <w:t>child care</w:t>
            </w:r>
            <w:r w:rsidRPr="008743B9">
              <w:rPr>
                <w:rFonts w:asciiTheme="majorHAnsi" w:hAnsiTheme="majorHAnsi"/>
                <w:sz w:val="20"/>
                <w:szCs w:val="20"/>
              </w:rPr>
              <w:t xml:space="preserve"> fees across municipalities</w:t>
            </w:r>
          </w:p>
        </w:tc>
        <w:tc>
          <w:tcPr>
            <w:tcW w:w="1803" w:type="dxa"/>
          </w:tcPr>
          <w:p w14:paraId="15CECE7C" w14:textId="77777777" w:rsidR="00F31FC5" w:rsidRPr="008743B9" w:rsidRDefault="00F31FC5">
            <w:pPr>
              <w:rPr>
                <w:rFonts w:asciiTheme="majorHAnsi" w:hAnsiTheme="majorHAnsi"/>
                <w:sz w:val="20"/>
                <w:szCs w:val="20"/>
              </w:rPr>
            </w:pPr>
            <w:r w:rsidRPr="008743B9">
              <w:rPr>
                <w:rFonts w:asciiTheme="majorHAnsi" w:hAnsiTheme="majorHAnsi"/>
                <w:sz w:val="20"/>
                <w:szCs w:val="20"/>
              </w:rPr>
              <w:t xml:space="preserve">Birth probability </w:t>
            </w:r>
          </w:p>
        </w:tc>
        <w:tc>
          <w:tcPr>
            <w:tcW w:w="2166" w:type="dxa"/>
          </w:tcPr>
          <w:p w14:paraId="39D43A52" w14:textId="12BECD47" w:rsidR="00F31FC5" w:rsidRPr="008743B9" w:rsidRDefault="00F31FC5">
            <w:pPr>
              <w:rPr>
                <w:rFonts w:asciiTheme="majorHAnsi" w:hAnsiTheme="majorHAnsi"/>
                <w:sz w:val="20"/>
                <w:szCs w:val="20"/>
              </w:rPr>
            </w:pPr>
            <w:r w:rsidRPr="008743B9">
              <w:rPr>
                <w:rFonts w:asciiTheme="majorHAnsi" w:hAnsiTheme="majorHAnsi"/>
                <w:sz w:val="20"/>
                <w:szCs w:val="20"/>
              </w:rPr>
              <w:t xml:space="preserve">First and higher order births increased. </w:t>
            </w:r>
            <w:r w:rsidR="00665F2F" w:rsidRPr="008743B9">
              <w:rPr>
                <w:rFonts w:asciiTheme="majorHAnsi" w:hAnsiTheme="majorHAnsi"/>
                <w:sz w:val="20"/>
                <w:szCs w:val="20"/>
              </w:rPr>
              <w:t>Second births</w:t>
            </w:r>
            <w:r w:rsidRPr="008743B9">
              <w:rPr>
                <w:rFonts w:asciiTheme="majorHAnsi" w:hAnsiTheme="majorHAnsi"/>
                <w:sz w:val="20"/>
                <w:szCs w:val="20"/>
              </w:rPr>
              <w:t xml:space="preserve">. Fertility increased by 9.8 </w:t>
            </w:r>
            <w:r w:rsidR="002C4052" w:rsidRPr="008743B9">
              <w:rPr>
                <w:rFonts w:asciiTheme="majorHAnsi" w:hAnsiTheme="majorHAnsi"/>
                <w:sz w:val="20"/>
                <w:szCs w:val="20"/>
              </w:rPr>
              <w:t xml:space="preserve">% </w:t>
            </w:r>
            <w:r w:rsidR="00C93F6E">
              <w:rPr>
                <w:rFonts w:asciiTheme="majorHAnsi" w:hAnsiTheme="majorHAnsi"/>
                <w:sz w:val="20"/>
                <w:szCs w:val="20"/>
              </w:rPr>
              <w:t>main</w:t>
            </w:r>
            <w:r w:rsidR="00C93F6E" w:rsidRPr="008743B9">
              <w:rPr>
                <w:rFonts w:asciiTheme="majorHAnsi" w:hAnsiTheme="majorHAnsi"/>
                <w:sz w:val="20"/>
                <w:szCs w:val="20"/>
              </w:rPr>
              <w:t xml:space="preserve">ly </w:t>
            </w:r>
            <w:r w:rsidRPr="008743B9">
              <w:rPr>
                <w:rFonts w:asciiTheme="majorHAnsi" w:hAnsiTheme="majorHAnsi"/>
                <w:sz w:val="20"/>
                <w:szCs w:val="20"/>
              </w:rPr>
              <w:t>driven in low-income households</w:t>
            </w:r>
          </w:p>
        </w:tc>
        <w:tc>
          <w:tcPr>
            <w:tcW w:w="1804" w:type="dxa"/>
          </w:tcPr>
          <w:p w14:paraId="1DCE3C60" w14:textId="66F7B4EB" w:rsidR="00F31FC5" w:rsidRPr="008743B9" w:rsidRDefault="003A75FA">
            <w:pPr>
              <w:rPr>
                <w:rFonts w:asciiTheme="majorHAnsi" w:hAnsiTheme="majorHAnsi"/>
                <w:noProof/>
                <w:sz w:val="20"/>
                <w:szCs w:val="20"/>
              </w:rPr>
            </w:pPr>
            <w:r>
              <w:rPr>
                <w:rFonts w:asciiTheme="majorHAnsi" w:hAnsiTheme="majorHAnsi"/>
                <w:noProof/>
                <w:sz w:val="20"/>
                <w:szCs w:val="20"/>
              </w:rPr>
              <w:t xml:space="preserve">(Mörk, </w:t>
            </w:r>
            <w:r w:rsidRPr="007E15F6">
              <w:rPr>
                <w:rFonts w:asciiTheme="majorHAnsi" w:hAnsiTheme="majorHAnsi"/>
                <w:i/>
                <w:iCs/>
                <w:noProof/>
                <w:sz w:val="20"/>
                <w:szCs w:val="20"/>
              </w:rPr>
              <w:t>et al</w:t>
            </w:r>
            <w:r>
              <w:rPr>
                <w:rFonts w:asciiTheme="majorHAnsi" w:hAnsiTheme="majorHAnsi"/>
                <w:noProof/>
                <w:sz w:val="20"/>
                <w:szCs w:val="20"/>
              </w:rPr>
              <w:t>. 2013)</w:t>
            </w:r>
          </w:p>
          <w:p w14:paraId="0BEEE786" w14:textId="77777777" w:rsidR="00F31FC5" w:rsidRPr="008743B9" w:rsidRDefault="00F31FC5">
            <w:pPr>
              <w:rPr>
                <w:rFonts w:asciiTheme="majorHAnsi" w:hAnsiTheme="majorHAnsi"/>
                <w:sz w:val="20"/>
                <w:szCs w:val="20"/>
              </w:rPr>
            </w:pPr>
          </w:p>
          <w:p w14:paraId="6734BF71" w14:textId="77777777" w:rsidR="00F31FC5" w:rsidRPr="008743B9" w:rsidRDefault="00F31FC5">
            <w:pPr>
              <w:rPr>
                <w:rFonts w:asciiTheme="majorHAnsi" w:hAnsiTheme="majorHAnsi"/>
                <w:noProof/>
                <w:sz w:val="20"/>
                <w:szCs w:val="20"/>
              </w:rPr>
            </w:pPr>
          </w:p>
          <w:p w14:paraId="6DA141FE" w14:textId="77777777" w:rsidR="00F31FC5" w:rsidRPr="008743B9" w:rsidRDefault="00F31FC5">
            <w:pPr>
              <w:rPr>
                <w:rFonts w:asciiTheme="majorHAnsi" w:hAnsiTheme="majorHAnsi"/>
                <w:noProof/>
                <w:sz w:val="20"/>
                <w:szCs w:val="20"/>
              </w:rPr>
            </w:pPr>
          </w:p>
          <w:p w14:paraId="5E6D9559" w14:textId="320FF073" w:rsidR="00F31FC5" w:rsidRPr="008743B9" w:rsidRDefault="00F31FC5">
            <w:pPr>
              <w:jc w:val="center"/>
              <w:rPr>
                <w:rFonts w:asciiTheme="majorHAnsi" w:hAnsiTheme="majorHAnsi"/>
                <w:sz w:val="20"/>
                <w:szCs w:val="20"/>
              </w:rPr>
            </w:pPr>
          </w:p>
        </w:tc>
      </w:tr>
      <w:tr w:rsidR="00C4549B" w14:paraId="20BA9CCC" w14:textId="77777777" w:rsidTr="006C6E6D">
        <w:tc>
          <w:tcPr>
            <w:tcW w:w="1271" w:type="dxa"/>
            <w:vAlign w:val="center"/>
          </w:tcPr>
          <w:p w14:paraId="6C31F2A8" w14:textId="3B9401D9" w:rsidR="00C4549B" w:rsidRPr="00F90C3A" w:rsidRDefault="00C4549B">
            <w:pPr>
              <w:spacing w:line="276" w:lineRule="auto"/>
              <w:rPr>
                <w:rFonts w:ascii="Tw Cen MT Condensed" w:hAnsi="Tw Cen MT Condensed"/>
                <w:caps/>
              </w:rPr>
            </w:pPr>
            <w:r>
              <w:rPr>
                <w:rFonts w:ascii="Tw Cen MT Condensed" w:hAnsi="Tw Cen MT Condensed"/>
                <w:caps/>
              </w:rPr>
              <w:t xml:space="preserve">Norway </w:t>
            </w:r>
          </w:p>
        </w:tc>
        <w:tc>
          <w:tcPr>
            <w:tcW w:w="2126" w:type="dxa"/>
          </w:tcPr>
          <w:p w14:paraId="53371223" w14:textId="24B67B70" w:rsidR="00C4549B" w:rsidRPr="008743B9" w:rsidRDefault="00C4549B">
            <w:pPr>
              <w:rPr>
                <w:rFonts w:asciiTheme="majorHAnsi" w:hAnsiTheme="majorHAnsi"/>
                <w:sz w:val="20"/>
                <w:szCs w:val="20"/>
              </w:rPr>
            </w:pPr>
            <w:r>
              <w:rPr>
                <w:rFonts w:asciiTheme="majorHAnsi" w:hAnsiTheme="majorHAnsi"/>
                <w:sz w:val="20"/>
                <w:szCs w:val="20"/>
              </w:rPr>
              <w:t xml:space="preserve">1998 introduction of a cash benefit for parents with young children (12-36) to look after them at home rather than use </w:t>
            </w:r>
            <w:r w:rsidR="008D52A6">
              <w:rPr>
                <w:rFonts w:asciiTheme="majorHAnsi" w:hAnsiTheme="majorHAnsi"/>
                <w:sz w:val="20"/>
                <w:szCs w:val="20"/>
              </w:rPr>
              <w:t>child care</w:t>
            </w:r>
          </w:p>
        </w:tc>
        <w:tc>
          <w:tcPr>
            <w:tcW w:w="1803" w:type="dxa"/>
          </w:tcPr>
          <w:p w14:paraId="02BFB358" w14:textId="1D5B79BF" w:rsidR="00C4549B" w:rsidRPr="008743B9" w:rsidRDefault="00C4549B">
            <w:pPr>
              <w:rPr>
                <w:rFonts w:asciiTheme="majorHAnsi" w:hAnsiTheme="majorHAnsi"/>
                <w:sz w:val="20"/>
                <w:szCs w:val="20"/>
              </w:rPr>
            </w:pPr>
            <w:r>
              <w:rPr>
                <w:rFonts w:asciiTheme="majorHAnsi" w:hAnsiTheme="majorHAnsi"/>
                <w:sz w:val="20"/>
                <w:szCs w:val="20"/>
              </w:rPr>
              <w:t>Second and third birth probabilities</w:t>
            </w:r>
          </w:p>
        </w:tc>
        <w:tc>
          <w:tcPr>
            <w:tcW w:w="2166" w:type="dxa"/>
          </w:tcPr>
          <w:p w14:paraId="0F4FD64B" w14:textId="5089431F" w:rsidR="00C4549B" w:rsidRPr="008743B9" w:rsidRDefault="006F61AE">
            <w:pPr>
              <w:rPr>
                <w:rFonts w:asciiTheme="majorHAnsi" w:hAnsiTheme="majorHAnsi"/>
                <w:sz w:val="20"/>
                <w:szCs w:val="20"/>
              </w:rPr>
            </w:pPr>
            <w:r>
              <w:rPr>
                <w:rFonts w:asciiTheme="majorHAnsi" w:hAnsiTheme="majorHAnsi"/>
                <w:sz w:val="20"/>
                <w:szCs w:val="20"/>
              </w:rPr>
              <w:t>Faster progression to second and third births</w:t>
            </w:r>
          </w:p>
        </w:tc>
        <w:tc>
          <w:tcPr>
            <w:tcW w:w="1804" w:type="dxa"/>
          </w:tcPr>
          <w:p w14:paraId="04DCABE1" w14:textId="3CD5C76D" w:rsidR="00C4549B" w:rsidRDefault="00A62BDE">
            <w:pPr>
              <w:rPr>
                <w:rFonts w:asciiTheme="majorHAnsi" w:hAnsiTheme="majorHAnsi"/>
                <w:sz w:val="20"/>
                <w:szCs w:val="20"/>
              </w:rPr>
            </w:pPr>
            <w:r w:rsidRPr="007E15F6">
              <w:rPr>
                <w:rFonts w:asciiTheme="majorHAnsi" w:hAnsiTheme="majorHAnsi"/>
                <w:noProof/>
                <w:sz w:val="20"/>
                <w:szCs w:val="20"/>
              </w:rPr>
              <w:t>(Aassve &amp; Lappegård 2009)</w:t>
            </w:r>
          </w:p>
        </w:tc>
      </w:tr>
      <w:tr w:rsidR="00F31FC5" w14:paraId="49D54D54" w14:textId="77777777" w:rsidTr="006C6E6D">
        <w:tc>
          <w:tcPr>
            <w:tcW w:w="1271" w:type="dxa"/>
            <w:vAlign w:val="center"/>
          </w:tcPr>
          <w:p w14:paraId="0E7C82BE" w14:textId="77777777" w:rsidR="00F31FC5" w:rsidRPr="00F90C3A" w:rsidRDefault="00F31FC5">
            <w:pPr>
              <w:spacing w:line="276" w:lineRule="auto"/>
              <w:rPr>
                <w:rFonts w:ascii="Tw Cen MT Condensed" w:hAnsi="Tw Cen MT Condensed"/>
                <w:caps/>
              </w:rPr>
            </w:pPr>
            <w:r w:rsidRPr="00F90C3A">
              <w:rPr>
                <w:rFonts w:ascii="Tw Cen MT Condensed" w:hAnsi="Tw Cen MT Condensed"/>
                <w:caps/>
              </w:rPr>
              <w:t xml:space="preserve">Germany </w:t>
            </w:r>
          </w:p>
        </w:tc>
        <w:tc>
          <w:tcPr>
            <w:tcW w:w="2126" w:type="dxa"/>
          </w:tcPr>
          <w:p w14:paraId="59B07795" w14:textId="2AEFA643" w:rsidR="00F31FC5" w:rsidRPr="008743B9" w:rsidRDefault="00F31FC5">
            <w:pPr>
              <w:rPr>
                <w:rFonts w:asciiTheme="majorHAnsi" w:hAnsiTheme="majorHAnsi"/>
                <w:sz w:val="20"/>
                <w:szCs w:val="20"/>
              </w:rPr>
            </w:pPr>
            <w:r w:rsidRPr="008743B9">
              <w:rPr>
                <w:rFonts w:asciiTheme="majorHAnsi" w:hAnsiTheme="majorHAnsi"/>
                <w:sz w:val="20"/>
                <w:szCs w:val="20"/>
              </w:rPr>
              <w:t xml:space="preserve">2006 reform raised cost of public </w:t>
            </w:r>
            <w:r w:rsidR="008D52A6">
              <w:rPr>
                <w:rFonts w:asciiTheme="majorHAnsi" w:hAnsiTheme="majorHAnsi"/>
                <w:sz w:val="20"/>
                <w:szCs w:val="20"/>
              </w:rPr>
              <w:t>child care</w:t>
            </w:r>
            <w:r w:rsidRPr="008743B9">
              <w:rPr>
                <w:rFonts w:asciiTheme="majorHAnsi" w:hAnsiTheme="majorHAnsi"/>
                <w:sz w:val="20"/>
                <w:szCs w:val="20"/>
              </w:rPr>
              <w:t xml:space="preserve"> compared to home care</w:t>
            </w:r>
          </w:p>
        </w:tc>
        <w:tc>
          <w:tcPr>
            <w:tcW w:w="1803" w:type="dxa"/>
          </w:tcPr>
          <w:p w14:paraId="61E870AF" w14:textId="44AC0F6E" w:rsidR="00F31FC5" w:rsidRPr="008743B9" w:rsidRDefault="00DC7131">
            <w:pPr>
              <w:rPr>
                <w:rFonts w:asciiTheme="majorHAnsi" w:hAnsiTheme="majorHAnsi"/>
                <w:sz w:val="20"/>
                <w:szCs w:val="20"/>
              </w:rPr>
            </w:pPr>
            <w:r w:rsidRPr="008743B9">
              <w:rPr>
                <w:rFonts w:asciiTheme="majorHAnsi" w:hAnsiTheme="majorHAnsi"/>
                <w:sz w:val="20"/>
                <w:szCs w:val="20"/>
              </w:rPr>
              <w:t>Probability of having a(nother) child</w:t>
            </w:r>
          </w:p>
        </w:tc>
        <w:tc>
          <w:tcPr>
            <w:tcW w:w="2166" w:type="dxa"/>
          </w:tcPr>
          <w:p w14:paraId="2D37D672" w14:textId="259E9962" w:rsidR="00F31FC5" w:rsidRPr="008743B9" w:rsidRDefault="00DC7131">
            <w:pPr>
              <w:rPr>
                <w:rFonts w:asciiTheme="majorHAnsi" w:hAnsiTheme="majorHAnsi"/>
                <w:sz w:val="20"/>
                <w:szCs w:val="20"/>
              </w:rPr>
            </w:pPr>
            <w:r w:rsidRPr="008743B9">
              <w:rPr>
                <w:rFonts w:asciiTheme="majorHAnsi" w:hAnsiTheme="majorHAnsi"/>
                <w:sz w:val="20"/>
                <w:szCs w:val="20"/>
              </w:rPr>
              <w:t>Decline in first birth transition. Positive, but negligible effect on higher order births</w:t>
            </w:r>
          </w:p>
        </w:tc>
        <w:tc>
          <w:tcPr>
            <w:tcW w:w="1804" w:type="dxa"/>
          </w:tcPr>
          <w:p w14:paraId="522AAA55" w14:textId="6F66EEFC" w:rsidR="00F31FC5" w:rsidRPr="008743B9" w:rsidRDefault="007E103D">
            <w:pPr>
              <w:rPr>
                <w:rFonts w:asciiTheme="majorHAnsi" w:hAnsiTheme="majorHAnsi"/>
                <w:sz w:val="20"/>
                <w:szCs w:val="20"/>
              </w:rPr>
            </w:pPr>
            <w:r w:rsidRPr="007E15F6">
              <w:rPr>
                <w:rFonts w:asciiTheme="majorHAnsi" w:hAnsiTheme="majorHAnsi"/>
                <w:noProof/>
                <w:sz w:val="20"/>
                <w:szCs w:val="20"/>
              </w:rPr>
              <w:t>(Gathmann &amp; Sass, 2018)</w:t>
            </w:r>
          </w:p>
        </w:tc>
      </w:tr>
      <w:tr w:rsidR="00F31FC5" w14:paraId="5D041ABD" w14:textId="77777777" w:rsidTr="006C6E6D">
        <w:tc>
          <w:tcPr>
            <w:tcW w:w="1271" w:type="dxa"/>
            <w:vAlign w:val="center"/>
          </w:tcPr>
          <w:p w14:paraId="1704702D" w14:textId="77777777" w:rsidR="00F31FC5" w:rsidRPr="00F90C3A" w:rsidRDefault="00F31FC5">
            <w:pPr>
              <w:spacing w:line="276" w:lineRule="auto"/>
              <w:rPr>
                <w:rFonts w:ascii="Tw Cen MT Condensed" w:hAnsi="Tw Cen MT Condensed"/>
                <w:caps/>
              </w:rPr>
            </w:pPr>
            <w:r w:rsidRPr="00F90C3A">
              <w:rPr>
                <w:rFonts w:ascii="Tw Cen MT Condensed" w:hAnsi="Tw Cen MT Condensed"/>
                <w:caps/>
              </w:rPr>
              <w:t>Israel</w:t>
            </w:r>
          </w:p>
        </w:tc>
        <w:tc>
          <w:tcPr>
            <w:tcW w:w="2126" w:type="dxa"/>
          </w:tcPr>
          <w:p w14:paraId="20502DF7" w14:textId="77777777" w:rsidR="00F31FC5" w:rsidRPr="008743B9" w:rsidRDefault="00F31FC5">
            <w:pPr>
              <w:rPr>
                <w:rFonts w:asciiTheme="majorHAnsi" w:hAnsiTheme="majorHAnsi"/>
                <w:sz w:val="20"/>
                <w:szCs w:val="20"/>
              </w:rPr>
            </w:pPr>
            <w:r w:rsidRPr="008743B9">
              <w:rPr>
                <w:rFonts w:asciiTheme="majorHAnsi" w:hAnsiTheme="majorHAnsi"/>
                <w:sz w:val="20"/>
                <w:szCs w:val="20"/>
              </w:rPr>
              <w:t>Free public pre-school for children aged 3-4</w:t>
            </w:r>
          </w:p>
        </w:tc>
        <w:tc>
          <w:tcPr>
            <w:tcW w:w="1803" w:type="dxa"/>
          </w:tcPr>
          <w:p w14:paraId="3F001860" w14:textId="218F2311" w:rsidR="00F31FC5" w:rsidRPr="008743B9" w:rsidRDefault="00411F64">
            <w:pPr>
              <w:rPr>
                <w:rFonts w:asciiTheme="majorHAnsi" w:hAnsiTheme="majorHAnsi"/>
                <w:sz w:val="20"/>
                <w:szCs w:val="20"/>
              </w:rPr>
            </w:pPr>
            <w:r w:rsidRPr="008743B9">
              <w:rPr>
                <w:rFonts w:asciiTheme="majorHAnsi" w:hAnsiTheme="majorHAnsi"/>
                <w:sz w:val="20"/>
                <w:szCs w:val="20"/>
              </w:rPr>
              <w:t>Probability of a mother of a child aged 2-4 having an additional child aged 0-1</w:t>
            </w:r>
          </w:p>
        </w:tc>
        <w:tc>
          <w:tcPr>
            <w:tcW w:w="2166" w:type="dxa"/>
          </w:tcPr>
          <w:p w14:paraId="01B3E4D5" w14:textId="7802F875" w:rsidR="00F31FC5" w:rsidRPr="008743B9" w:rsidRDefault="00411F64">
            <w:pPr>
              <w:rPr>
                <w:rFonts w:asciiTheme="majorHAnsi" w:hAnsiTheme="majorHAnsi"/>
                <w:sz w:val="20"/>
                <w:szCs w:val="20"/>
              </w:rPr>
            </w:pPr>
            <w:r w:rsidRPr="008743B9">
              <w:rPr>
                <w:rFonts w:asciiTheme="majorHAnsi" w:hAnsiTheme="majorHAnsi"/>
                <w:sz w:val="20"/>
                <w:szCs w:val="20"/>
              </w:rPr>
              <w:t>No impact</w:t>
            </w:r>
          </w:p>
        </w:tc>
        <w:tc>
          <w:tcPr>
            <w:tcW w:w="1804" w:type="dxa"/>
          </w:tcPr>
          <w:p w14:paraId="6D5E7D91" w14:textId="2F3FD4F4" w:rsidR="00F31FC5" w:rsidRPr="008743B9" w:rsidRDefault="007E103D">
            <w:pPr>
              <w:rPr>
                <w:rFonts w:asciiTheme="majorHAnsi" w:hAnsiTheme="majorHAnsi"/>
                <w:sz w:val="20"/>
                <w:szCs w:val="20"/>
              </w:rPr>
            </w:pPr>
            <w:r w:rsidRPr="007E15F6">
              <w:rPr>
                <w:rFonts w:asciiTheme="majorHAnsi" w:hAnsiTheme="majorHAnsi"/>
                <w:noProof/>
                <w:sz w:val="20"/>
                <w:szCs w:val="20"/>
              </w:rPr>
              <w:t>(Schlosser, 2005)</w:t>
            </w:r>
          </w:p>
        </w:tc>
      </w:tr>
    </w:tbl>
    <w:p w14:paraId="6A20B4D8" w14:textId="77777777" w:rsidR="0025384E" w:rsidRDefault="0025384E" w:rsidP="00BC5105">
      <w:pPr>
        <w:spacing w:line="276" w:lineRule="auto"/>
      </w:pPr>
    </w:p>
    <w:p w14:paraId="2E9D7403" w14:textId="77777777" w:rsidR="008743B9" w:rsidRDefault="008743B9" w:rsidP="00BC5105">
      <w:pPr>
        <w:spacing w:line="276" w:lineRule="auto"/>
        <w:rPr>
          <w:b/>
          <w:bCs/>
        </w:rPr>
      </w:pPr>
    </w:p>
    <w:p w14:paraId="5BF8E68E" w14:textId="6208603C" w:rsidR="00F31FC5" w:rsidRPr="00741598" w:rsidRDefault="00175FA8" w:rsidP="00BC5105">
      <w:pPr>
        <w:pStyle w:val="Heading2"/>
        <w:spacing w:line="276" w:lineRule="auto"/>
      </w:pPr>
      <w:bookmarkStart w:id="134" w:name="_Toc81572983"/>
      <w:bookmarkStart w:id="135" w:name="_Toc81572985"/>
      <w:bookmarkStart w:id="136" w:name="_Toc87454629"/>
      <w:bookmarkStart w:id="137" w:name="_Toc98404976"/>
      <w:bookmarkEnd w:id="134"/>
      <w:bookmarkEnd w:id="135"/>
      <w:r>
        <w:t>Conclusion</w:t>
      </w:r>
      <w:bookmarkEnd w:id="136"/>
      <w:bookmarkEnd w:id="137"/>
    </w:p>
    <w:p w14:paraId="0C7C26BB" w14:textId="528CE791" w:rsidR="00670FC0" w:rsidRDefault="00175FA8" w:rsidP="00BC5105">
      <w:pPr>
        <w:spacing w:line="276" w:lineRule="auto"/>
        <w:jc w:val="both"/>
      </w:pPr>
      <w:r>
        <w:t xml:space="preserve">Affordable, good quality, and accessible, </w:t>
      </w:r>
      <w:r w:rsidR="008D52A6">
        <w:t>child care</w:t>
      </w:r>
      <w:r>
        <w:t xml:space="preserve"> is seen as an important tool to increase work-family compatibility in countries where female labour force participation is high. By reducing the tensions between work and childbearing it thus is also expected to have a positive effect on fertility. </w:t>
      </w:r>
    </w:p>
    <w:p w14:paraId="4FA3A5B4" w14:textId="4BEB390F" w:rsidR="00175FA8" w:rsidRDefault="00175FA8" w:rsidP="00BC5105">
      <w:pPr>
        <w:spacing w:line="276" w:lineRule="auto"/>
        <w:jc w:val="both"/>
      </w:pPr>
      <w:r>
        <w:t xml:space="preserve">In Australia, </w:t>
      </w:r>
      <w:r w:rsidR="008D52A6">
        <w:t>child care</w:t>
      </w:r>
      <w:r>
        <w:t xml:space="preserve"> is provided primarily through the market with the government assisting by subsiding the cost through the </w:t>
      </w:r>
      <w:r w:rsidR="0054521C">
        <w:t>Child Care Subsidy</w:t>
      </w:r>
      <w:r>
        <w:t xml:space="preserve">. However, the costs to parents remain high which leads to negative effects on women’s workforce participation, and possibly to fertility. </w:t>
      </w:r>
    </w:p>
    <w:p w14:paraId="63200C3A" w14:textId="69E5CDFC" w:rsidR="009C7D7F" w:rsidRDefault="00175FA8" w:rsidP="00BC5105">
      <w:pPr>
        <w:spacing w:line="276" w:lineRule="auto"/>
        <w:jc w:val="both"/>
      </w:pPr>
      <w:r>
        <w:t>Studies from reforms overseas suggest that d</w:t>
      </w:r>
      <w:r w:rsidR="00A663C8">
        <w:t xml:space="preserve">espite some mixed findings, on the whole the studies reviewed suggest that </w:t>
      </w:r>
      <w:r w:rsidR="008D52A6">
        <w:t>child care</w:t>
      </w:r>
      <w:r w:rsidR="00A663C8">
        <w:t xml:space="preserve"> has a positive effect on childbearing. The studies looked primarily at the availability of </w:t>
      </w:r>
      <w:r w:rsidR="008D52A6">
        <w:t>child care</w:t>
      </w:r>
      <w:r w:rsidR="00A663C8">
        <w:t xml:space="preserve">, although some focused on changes in the </w:t>
      </w:r>
      <w:r w:rsidR="009C7D7F">
        <w:t>price</w:t>
      </w:r>
      <w:r w:rsidR="00A663C8">
        <w:t xml:space="preserve"> </w:t>
      </w:r>
      <w:r w:rsidR="003A75FA">
        <w:rPr>
          <w:noProof/>
        </w:rPr>
        <w:t xml:space="preserve">(Mörk, </w:t>
      </w:r>
      <w:r w:rsidR="003A75FA" w:rsidRPr="007E15F6">
        <w:rPr>
          <w:i/>
          <w:iCs/>
          <w:noProof/>
        </w:rPr>
        <w:t>et al</w:t>
      </w:r>
      <w:r w:rsidR="003A75FA">
        <w:rPr>
          <w:noProof/>
        </w:rPr>
        <w:t>. 2013; Gathmann &amp; Sass, 2018)</w:t>
      </w:r>
      <w:r w:rsidR="0079794A">
        <w:t xml:space="preserve">. </w:t>
      </w:r>
      <w:r w:rsidR="006811C9">
        <w:t xml:space="preserve"> Although there was so</w:t>
      </w:r>
      <w:r w:rsidR="0079794A">
        <w:t>me variation across the studies, b</w:t>
      </w:r>
      <w:r w:rsidR="009C7D7F">
        <w:t>oth price and availability appear to affect the transition to parenthood a</w:t>
      </w:r>
      <w:r w:rsidR="00315B78">
        <w:t>nd</w:t>
      </w:r>
      <w:r w:rsidR="009C7D7F">
        <w:t xml:space="preserve"> further childbearing</w:t>
      </w:r>
      <w:r w:rsidR="006811C9">
        <w:t xml:space="preserve"> in a positive direction.</w:t>
      </w:r>
    </w:p>
    <w:p w14:paraId="418D5D6E" w14:textId="773342BC" w:rsidR="00E80D36" w:rsidRDefault="00E80D36" w:rsidP="00BC5105">
      <w:pPr>
        <w:spacing w:line="276" w:lineRule="auto"/>
      </w:pPr>
      <w:r>
        <w:br w:type="page"/>
      </w:r>
    </w:p>
    <w:p w14:paraId="65C6086B" w14:textId="1E120A56" w:rsidR="00315B78" w:rsidRDefault="00315B78" w:rsidP="00424CD5">
      <w:pPr>
        <w:pStyle w:val="Heading1"/>
        <w:spacing w:after="240" w:line="276" w:lineRule="auto"/>
      </w:pPr>
      <w:bookmarkStart w:id="138" w:name="_Toc75941861"/>
      <w:bookmarkStart w:id="139" w:name="_Toc75941864"/>
      <w:bookmarkStart w:id="140" w:name="_Toc87454630"/>
      <w:bookmarkStart w:id="141" w:name="_Toc98404977"/>
      <w:bookmarkEnd w:id="0"/>
      <w:bookmarkEnd w:id="1"/>
      <w:bookmarkEnd w:id="138"/>
      <w:bookmarkEnd w:id="139"/>
      <w:r>
        <w:lastRenderedPageBreak/>
        <w:t xml:space="preserve">Cross-national, </w:t>
      </w:r>
      <w:r w:rsidR="00CC3EC0">
        <w:t>cross-policy</w:t>
      </w:r>
      <w:r>
        <w:t xml:space="preserve"> studies</w:t>
      </w:r>
      <w:bookmarkEnd w:id="140"/>
      <w:bookmarkEnd w:id="141"/>
    </w:p>
    <w:p w14:paraId="05782F51" w14:textId="522B576A" w:rsidR="002D4711" w:rsidRPr="002D4711" w:rsidRDefault="002D4711" w:rsidP="002D4711">
      <w:pPr>
        <w:rPr>
          <w:b/>
          <w:bCs/>
          <w:lang w:val="en-US"/>
        </w:rPr>
      </w:pPr>
      <w:r w:rsidRPr="002D4711">
        <w:rPr>
          <w:b/>
          <w:bCs/>
          <w:lang w:val="en-US"/>
        </w:rPr>
        <w:t>Key points</w:t>
      </w:r>
    </w:p>
    <w:p w14:paraId="014E9CB1" w14:textId="77777777" w:rsidR="007E103D" w:rsidRPr="00635CF0" w:rsidRDefault="007E103D" w:rsidP="00244248">
      <w:pPr>
        <w:pStyle w:val="ListParagraph"/>
        <w:numPr>
          <w:ilvl w:val="0"/>
          <w:numId w:val="30"/>
        </w:numPr>
        <w:rPr>
          <w:lang w:val="en-US"/>
        </w:rPr>
      </w:pPr>
      <w:r w:rsidRPr="00635CF0">
        <w:rPr>
          <w:lang w:val="en-US"/>
        </w:rPr>
        <w:t xml:space="preserve">In comparison to studies looking at particular policies in individual countries, cross-national and cross-policy studies examine the effect </w:t>
      </w:r>
      <w:r>
        <w:rPr>
          <w:lang w:val="en-US"/>
        </w:rPr>
        <w:t>of macro-level policies across a range of countries on fertility at the individual level or at the macro level (TFR)</w:t>
      </w:r>
    </w:p>
    <w:p w14:paraId="52E1F491" w14:textId="77777777" w:rsidR="00061D9A" w:rsidRDefault="007E103D" w:rsidP="00244248">
      <w:pPr>
        <w:pStyle w:val="ListParagraph"/>
        <w:numPr>
          <w:ilvl w:val="0"/>
          <w:numId w:val="30"/>
        </w:numPr>
        <w:rPr>
          <w:lang w:val="en-US"/>
        </w:rPr>
      </w:pPr>
      <w:r w:rsidRPr="00635CF0">
        <w:rPr>
          <w:lang w:val="en-US"/>
        </w:rPr>
        <w:t>Such studies necessarily have to use simpler measures of policies and are unable to capture the details of particular policy designs.</w:t>
      </w:r>
    </w:p>
    <w:p w14:paraId="7FCE861E" w14:textId="4522B121" w:rsidR="002D4711" w:rsidRPr="00061D9A" w:rsidRDefault="007E103D" w:rsidP="00244248">
      <w:pPr>
        <w:pStyle w:val="ListParagraph"/>
        <w:numPr>
          <w:ilvl w:val="0"/>
          <w:numId w:val="30"/>
        </w:numPr>
        <w:rPr>
          <w:lang w:val="en-US"/>
        </w:rPr>
      </w:pPr>
      <w:r w:rsidRPr="00061D9A">
        <w:rPr>
          <w:lang w:val="en-US"/>
        </w:rPr>
        <w:t>Due to the variability in measures used, the findings regarding policy</w:t>
      </w:r>
      <w:r w:rsidR="00061D9A">
        <w:rPr>
          <w:lang w:val="en-US"/>
        </w:rPr>
        <w:t xml:space="preserve"> effects on fertility are mixed, but </w:t>
      </w:r>
      <w:r w:rsidRPr="00061D9A">
        <w:rPr>
          <w:lang w:val="en-US"/>
        </w:rPr>
        <w:t xml:space="preserve">overall they </w:t>
      </w:r>
      <w:r w:rsidR="00061D9A">
        <w:rPr>
          <w:lang w:val="en-US"/>
        </w:rPr>
        <w:t>point to</w:t>
      </w:r>
      <w:r w:rsidRPr="00061D9A">
        <w:rPr>
          <w:lang w:val="en-US"/>
        </w:rPr>
        <w:t xml:space="preserve"> a positive effect on financial transfers, parental leave and </w:t>
      </w:r>
      <w:r w:rsidR="008D52A6">
        <w:rPr>
          <w:lang w:val="en-US"/>
        </w:rPr>
        <w:t>child care</w:t>
      </w:r>
      <w:r w:rsidRPr="00061D9A">
        <w:rPr>
          <w:lang w:val="en-US"/>
        </w:rPr>
        <w:t xml:space="preserve"> on fertility.</w:t>
      </w:r>
    </w:p>
    <w:p w14:paraId="28B9C17C" w14:textId="48324A89" w:rsidR="00CD5C48" w:rsidRDefault="001A6360" w:rsidP="001A6360">
      <w:pPr>
        <w:spacing w:line="276" w:lineRule="auto"/>
        <w:jc w:val="both"/>
      </w:pPr>
      <w:r>
        <w:t>In additional to</w:t>
      </w:r>
      <w:r w:rsidR="00FC3A52">
        <w:t xml:space="preserve"> </w:t>
      </w:r>
      <w:r w:rsidR="00982033">
        <w:t>the single</w:t>
      </w:r>
      <w:r>
        <w:t>-</w:t>
      </w:r>
      <w:r w:rsidRPr="008A5537">
        <w:t xml:space="preserve">country studies </w:t>
      </w:r>
      <w:r w:rsidR="00FC3A52">
        <w:t xml:space="preserve">highlighted in previous sections, </w:t>
      </w:r>
      <w:r w:rsidRPr="008A5537">
        <w:t xml:space="preserve">there </w:t>
      </w:r>
      <w:r w:rsidR="00475D7A">
        <w:t>are also</w:t>
      </w:r>
      <w:r>
        <w:t xml:space="preserve"> cross-national studies which </w:t>
      </w:r>
      <w:r w:rsidR="00565332">
        <w:t>have used either cross-sectional or longitudinal data from multiple countries to examine the effect of family policies on fertility</w:t>
      </w:r>
      <w:r>
        <w:t>.</w:t>
      </w:r>
      <w:r w:rsidR="00565332">
        <w:t xml:space="preserve"> The </w:t>
      </w:r>
      <w:r w:rsidR="00BE4AB9">
        <w:t>studies, outlined</w:t>
      </w:r>
      <w:r w:rsidR="00565332">
        <w:t xml:space="preserve"> in </w:t>
      </w:r>
      <w:r w:rsidR="00C96C57">
        <w:t>Table 21</w:t>
      </w:r>
      <w:r w:rsidR="00BE4AB9">
        <w:t xml:space="preserve">, do not look at specific reforms but rather on how macro-level </w:t>
      </w:r>
      <w:r w:rsidR="00475D7A">
        <w:t xml:space="preserve">policy </w:t>
      </w:r>
      <w:r w:rsidR="00BE4AB9">
        <w:t xml:space="preserve">variables are associated with fertility, at the individual or at the macro level. </w:t>
      </w:r>
      <w:r w:rsidR="00CD5C48">
        <w:t xml:space="preserve"> For those studies which use macro-level indicators of fertility, such as TFR the estimated relationships they measure of policies are the average for all parities </w:t>
      </w:r>
      <w:r w:rsidR="00C96C57">
        <w:rPr>
          <w:noProof/>
        </w:rPr>
        <w:t xml:space="preserve">(Harknett, </w:t>
      </w:r>
      <w:r w:rsidR="00C96C57" w:rsidRPr="00C96C57">
        <w:rPr>
          <w:i/>
          <w:iCs/>
          <w:noProof/>
        </w:rPr>
        <w:t>et al</w:t>
      </w:r>
      <w:r w:rsidR="00C96C57">
        <w:rPr>
          <w:noProof/>
        </w:rPr>
        <w:t>. 2014)</w:t>
      </w:r>
      <w:r w:rsidR="00CD5C48">
        <w:t xml:space="preserve">. This may lead to findings of small or weakly positive influences, due to the fact that policies may have differential effects on different parities. As Harknett, </w:t>
      </w:r>
      <w:r w:rsidR="00CD5C48" w:rsidRPr="00C96C57">
        <w:rPr>
          <w:i/>
          <w:iCs/>
        </w:rPr>
        <w:t>et al</w:t>
      </w:r>
      <w:r w:rsidR="00CD5C48">
        <w:t>. (2014) note if policies have no effect on first births, and have a positive effect on higher</w:t>
      </w:r>
      <w:r w:rsidR="00AD11BA">
        <w:t>-</w:t>
      </w:r>
      <w:r w:rsidR="00CD5C48">
        <w:t xml:space="preserve">order births, the overall effect </w:t>
      </w:r>
      <w:r w:rsidR="006F34BD">
        <w:t>may be</w:t>
      </w:r>
      <w:r w:rsidR="00CD5C48">
        <w:t xml:space="preserve"> muted away by averaging in weaker or null effects for first births. </w:t>
      </w:r>
      <w:r w:rsidR="00BE4AB9">
        <w:t xml:space="preserve"> </w:t>
      </w:r>
    </w:p>
    <w:p w14:paraId="6976DE8A" w14:textId="2991EBD8" w:rsidR="00565332" w:rsidRDefault="00BE4AB9" w:rsidP="001A6360">
      <w:pPr>
        <w:spacing w:line="276" w:lineRule="auto"/>
        <w:jc w:val="both"/>
      </w:pPr>
      <w:r>
        <w:t xml:space="preserve">Cross-national studies </w:t>
      </w:r>
      <w:r w:rsidR="00CD5C48">
        <w:t xml:space="preserve">also </w:t>
      </w:r>
      <w:r>
        <w:t>use simpler measures of family policies, in order to create comparable measures</w:t>
      </w:r>
      <w:r w:rsidR="006F34BD">
        <w:t>,</w:t>
      </w:r>
      <w:r>
        <w:t xml:space="preserve"> and therefore are not able to include the nuances of specific policies</w:t>
      </w:r>
      <w:r w:rsidR="003A75FA">
        <w:rPr>
          <w:noProof/>
        </w:rPr>
        <w:t xml:space="preserve"> (Del Boca, et al. 2009)</w:t>
      </w:r>
      <w:r w:rsidR="00CD5C48">
        <w:t xml:space="preserve">. For example, they might have an indicator of duration of maternity leave compared across countries, but this obscures that two countries could have the same duration of leave, e.g. 6 months, but one may be paid at 80% replacement wage level, while in the other country it might be 50%. </w:t>
      </w:r>
      <w:r w:rsidR="006F34BD">
        <w:t xml:space="preserve">Due to the different indicators used, and different outcomes studies, these studies tend to results in more mixed results. </w:t>
      </w:r>
    </w:p>
    <w:p w14:paraId="0AF8FDFD" w14:textId="34457EAC" w:rsidR="00CD5C48" w:rsidRDefault="006F34BD" w:rsidP="00CD5C48">
      <w:pPr>
        <w:spacing w:line="276" w:lineRule="auto"/>
        <w:jc w:val="both"/>
      </w:pPr>
      <w:r>
        <w:t xml:space="preserve">However, one advantage of cross-national, cross-policy studies is that they </w:t>
      </w:r>
      <w:r w:rsidR="00CD5C48">
        <w:t>take a holistic view by including multiple different family policies. This is advantageous because c</w:t>
      </w:r>
      <w:r w:rsidR="00CD5C48" w:rsidRPr="00970B3C">
        <w:t>ountries with supportive policy environments</w:t>
      </w:r>
      <w:r w:rsidR="00CD5C48">
        <w:t xml:space="preserve"> in one area, such as </w:t>
      </w:r>
      <w:r w:rsidR="008D52A6">
        <w:t>child care</w:t>
      </w:r>
      <w:r w:rsidR="00CD5C48">
        <w:t>,</w:t>
      </w:r>
      <w:r w:rsidR="00CD5C48" w:rsidRPr="00970B3C">
        <w:t xml:space="preserve"> also </w:t>
      </w:r>
      <w:r w:rsidR="00CD5C48">
        <w:t xml:space="preserve">tend to have supportive policies in other areas. Thus </w:t>
      </w:r>
      <w:r>
        <w:t xml:space="preserve">compared to cross-policy studies, those </w:t>
      </w:r>
      <w:r w:rsidR="00CD5C48">
        <w:t xml:space="preserve">which only include one type of family policy </w:t>
      </w:r>
      <w:r>
        <w:t xml:space="preserve">(such as only </w:t>
      </w:r>
      <w:r w:rsidR="008D52A6">
        <w:t>child care</w:t>
      </w:r>
      <w:r>
        <w:t xml:space="preserve">) </w:t>
      </w:r>
      <w:r w:rsidR="00CD5C48">
        <w:t>may overestimate the effect of that policy, due to its high correlation with other policies</w:t>
      </w:r>
      <w:r w:rsidR="00DE481C">
        <w:t xml:space="preserve"> </w:t>
      </w:r>
      <w:r w:rsidR="003A75FA">
        <w:rPr>
          <w:noProof/>
        </w:rPr>
        <w:t xml:space="preserve">(Baizan, </w:t>
      </w:r>
      <w:r w:rsidR="003A75FA" w:rsidRPr="007E15F6">
        <w:rPr>
          <w:i/>
          <w:noProof/>
        </w:rPr>
        <w:t>et al.</w:t>
      </w:r>
      <w:r w:rsidR="003A75FA">
        <w:rPr>
          <w:noProof/>
        </w:rPr>
        <w:t xml:space="preserve"> 2016)</w:t>
      </w:r>
      <w:r w:rsidR="00CD5C48">
        <w:t xml:space="preserve">. </w:t>
      </w:r>
    </w:p>
    <w:p w14:paraId="65345A90" w14:textId="1C000DEB" w:rsidR="00565332" w:rsidRDefault="006F34BD" w:rsidP="00565332">
      <w:pPr>
        <w:spacing w:line="276" w:lineRule="auto"/>
        <w:jc w:val="both"/>
        <w:rPr>
          <w:i/>
          <w:iCs/>
        </w:rPr>
      </w:pPr>
      <w:r>
        <w:rPr>
          <w:i/>
          <w:iCs/>
        </w:rPr>
        <w:t>Child benefits</w:t>
      </w:r>
    </w:p>
    <w:p w14:paraId="4AF452D8" w14:textId="3C0957E8" w:rsidR="00D74DFB" w:rsidRDefault="006F34BD" w:rsidP="00BC5105">
      <w:pPr>
        <w:spacing w:line="276" w:lineRule="auto"/>
        <w:jc w:val="both"/>
      </w:pPr>
      <w:r>
        <w:t xml:space="preserve">Regarding child benefits or family allowances the studies outlined in </w:t>
      </w:r>
      <w:r w:rsidR="00C96C57">
        <w:t>Table 21</w:t>
      </w:r>
      <w:r>
        <w:t xml:space="preserve"> find mixed results regarding the association with fertility. </w:t>
      </w:r>
      <w:r w:rsidR="00565332">
        <w:t xml:space="preserve"> For 16 OECD countries studied between 1980-1999,</w:t>
      </w:r>
      <w:r>
        <w:t xml:space="preserve"> (D'Addio &amp; d'Ercole (2005) find a small but positive association with</w:t>
      </w:r>
      <w:r w:rsidR="00565332">
        <w:t xml:space="preserve"> a 25% increase in financial transfers to families with children was calculated as translating to a long-run increase in TFR of 0.05 children per women.</w:t>
      </w:r>
      <w:r w:rsidR="00F31FC5">
        <w:t xml:space="preserve"> Similarly, across 18 OECD countries studied between</w:t>
      </w:r>
      <w:r w:rsidR="00F31FC5" w:rsidRPr="00DA4660">
        <w:t xml:space="preserve"> 1982-2007</w:t>
      </w:r>
      <w:r w:rsidR="00F31FC5">
        <w:t xml:space="preserve"> the </w:t>
      </w:r>
      <w:r w:rsidR="00F31FC5" w:rsidRPr="00DA4660">
        <w:t xml:space="preserve">average amount of cash benefits </w:t>
      </w:r>
      <w:r w:rsidR="00F31FC5">
        <w:t xml:space="preserve">for children had a </w:t>
      </w:r>
      <w:r w:rsidR="00F31FC5" w:rsidRPr="00DA4660">
        <w:t xml:space="preserve">positive impact on TFR, </w:t>
      </w:r>
      <w:r w:rsidR="00F31FC5">
        <w:t xml:space="preserve">however this was only significant in the Nordic </w:t>
      </w:r>
      <w:r w:rsidR="00F31FC5">
        <w:lastRenderedPageBreak/>
        <w:t xml:space="preserve">countries </w:t>
      </w:r>
      <w:r w:rsidR="00F31FC5" w:rsidRPr="00DA4660">
        <w:t>(Luci-Greulich &amp; Thévenon, 2013)</w:t>
      </w:r>
      <w:r w:rsidR="00F31FC5">
        <w:t>.</w:t>
      </w:r>
      <w:r>
        <w:t xml:space="preserve"> </w:t>
      </w:r>
      <w:r w:rsidR="00D74DFB">
        <w:t xml:space="preserve">Adema, </w:t>
      </w:r>
      <w:r w:rsidR="00D74DFB" w:rsidRPr="007E15F6">
        <w:rPr>
          <w:i/>
        </w:rPr>
        <w:t>et al.</w:t>
      </w:r>
      <w:r w:rsidR="00D74DFB">
        <w:t xml:space="preserve"> (2014) also found a positive relationship between spending in family cash benefits (as a % of GDP) and TFR across 30 OECD countries. </w:t>
      </w:r>
    </w:p>
    <w:p w14:paraId="41A7B1C4" w14:textId="539AB192" w:rsidR="00F31FC5" w:rsidRDefault="006F34BD" w:rsidP="00BC5105">
      <w:pPr>
        <w:spacing w:line="276" w:lineRule="auto"/>
        <w:jc w:val="both"/>
      </w:pPr>
      <w:r>
        <w:t xml:space="preserve">However, other studies find no effect of family allowances. </w:t>
      </w:r>
      <w:r w:rsidR="00F31FC5">
        <w:t xml:space="preserve"> Looking at 16 European countries between 1992-2009, Baizan,</w:t>
      </w:r>
      <w:r>
        <w:t xml:space="preserve"> </w:t>
      </w:r>
      <w:r w:rsidRPr="007E15F6">
        <w:rPr>
          <w:i/>
        </w:rPr>
        <w:t>et al.</w:t>
      </w:r>
      <w:r w:rsidR="00F31FC5">
        <w:t xml:space="preserve"> </w:t>
      </w:r>
      <w:r>
        <w:t>(</w:t>
      </w:r>
      <w:r w:rsidR="00F31FC5">
        <w:t>2016) found that the level of family allowance was not significant for fertility for those with low</w:t>
      </w:r>
      <w:r w:rsidR="00AD11BA">
        <w:t>-</w:t>
      </w:r>
      <w:r w:rsidR="00F31FC5">
        <w:t xml:space="preserve"> and medium</w:t>
      </w:r>
      <w:r w:rsidR="00AD11BA">
        <w:t>-</w:t>
      </w:r>
      <w:r w:rsidR="00F31FC5">
        <w:t>levels of education, but there was a positive association for highly</w:t>
      </w:r>
      <w:r w:rsidR="00AD11BA">
        <w:t>-</w:t>
      </w:r>
      <w:r w:rsidR="00F31FC5">
        <w:t>educated wome</w:t>
      </w:r>
      <w:r w:rsidR="007D13CB">
        <w:t xml:space="preserve">n. </w:t>
      </w:r>
      <w:r w:rsidR="00AD11BA">
        <w:t>They suggest that a</w:t>
      </w:r>
      <w:r w:rsidR="007D13CB">
        <w:t xml:space="preserve"> possible reason for this </w:t>
      </w:r>
      <w:r w:rsidR="00AD11BA">
        <w:t xml:space="preserve">is </w:t>
      </w:r>
      <w:r w:rsidR="007D13CB">
        <w:t>that for higher</w:t>
      </w:r>
      <w:r w:rsidR="00AD11BA">
        <w:t>-</w:t>
      </w:r>
      <w:r w:rsidR="007D13CB">
        <w:t xml:space="preserve">educated women with a strong labour force participation, the increase </w:t>
      </w:r>
      <w:r w:rsidR="00AD11BA">
        <w:t xml:space="preserve">of </w:t>
      </w:r>
      <w:r w:rsidR="007D13CB">
        <w:t>family transfers has a fertility producing effect through an ‘income effect’, however for lower</w:t>
      </w:r>
      <w:r w:rsidR="00AD11BA">
        <w:t>-</w:t>
      </w:r>
      <w:r w:rsidR="007D13CB">
        <w:t>educated women the ‘income’ effect of family transfers may be offset by a negative effect on their labour force participation</w:t>
      </w:r>
      <w:r w:rsidR="00F31FC5">
        <w:t xml:space="preserve">. </w:t>
      </w:r>
    </w:p>
    <w:p w14:paraId="5A99CE9B" w14:textId="12F74D44" w:rsidR="00565332" w:rsidRDefault="007D13CB" w:rsidP="00565332">
      <w:pPr>
        <w:spacing w:line="276" w:lineRule="auto"/>
        <w:jc w:val="both"/>
      </w:pPr>
      <w:r>
        <w:t>L</w:t>
      </w:r>
      <w:r w:rsidR="00565332">
        <w:t xml:space="preserve">ooking at the impact on fertility due to changes in national expenditure for family allowances across 16 European </w:t>
      </w:r>
      <w:r>
        <w:t>countries</w:t>
      </w:r>
      <w:r w:rsidR="00565332">
        <w:t xml:space="preserve">, </w:t>
      </w:r>
      <w:r>
        <w:t>Kalwij (</w:t>
      </w:r>
      <w:r w:rsidR="00565332">
        <w:t>2010) found that an increase in child subsidy through a family allowance program’s increased generosity had no significant impact on the timing of births or on completed fertility. They suggest that</w:t>
      </w:r>
      <w:r>
        <w:t xml:space="preserve"> the lack of association could be because family allowances only counteract a small proportion of the direct costs of children. </w:t>
      </w:r>
      <w:r w:rsidR="00565332">
        <w:t xml:space="preserve"> However as (Thévenon &amp; Gauthier, 2011) point out this analysis did not consider the net transfers received by families through the tax and benefit system. </w:t>
      </w:r>
    </w:p>
    <w:p w14:paraId="3887D13B" w14:textId="19808DE7" w:rsidR="00565332" w:rsidRDefault="001C5EA9" w:rsidP="00565332">
      <w:pPr>
        <w:spacing w:line="276" w:lineRule="auto"/>
        <w:jc w:val="both"/>
        <w:rPr>
          <w:i/>
          <w:iCs/>
        </w:rPr>
      </w:pPr>
      <w:r w:rsidRPr="006C6E6D">
        <w:rPr>
          <w:i/>
          <w:iCs/>
        </w:rPr>
        <w:t>Parental leave</w:t>
      </w:r>
    </w:p>
    <w:p w14:paraId="710183FC" w14:textId="2B6B6FB7" w:rsidR="00E75216" w:rsidRDefault="00374258" w:rsidP="00E62159">
      <w:pPr>
        <w:spacing w:line="276" w:lineRule="auto"/>
        <w:jc w:val="both"/>
      </w:pPr>
      <w:r>
        <w:t xml:space="preserve">The evidence for parental leave is also </w:t>
      </w:r>
      <w:r w:rsidR="000445EC">
        <w:t>ambiguous</w:t>
      </w:r>
      <w:r>
        <w:t xml:space="preserve"> in the cross-national, cross-policy studies. </w:t>
      </w:r>
      <w:r w:rsidR="00AF6059">
        <w:t xml:space="preserve">Looking at 20 countries, Harknett, </w:t>
      </w:r>
      <w:r w:rsidR="00B95174" w:rsidRPr="00B95174">
        <w:rPr>
          <w:i/>
        </w:rPr>
        <w:t>et al.,</w:t>
      </w:r>
      <w:r w:rsidR="00AF6059">
        <w:t xml:space="preserve"> (2014) found no significant effect of paid parental leave</w:t>
      </w:r>
      <w:r w:rsidR="00776D3E">
        <w:t xml:space="preserve"> (measured as weeks of fully paid leave)</w:t>
      </w:r>
      <w:r w:rsidR="00AF6059">
        <w:t xml:space="preserve"> on birth intentions, however they did find a weak but positive significant association with the probability of having a first birth (but not a higher</w:t>
      </w:r>
      <w:r w:rsidR="00AE5A1E">
        <w:t>-</w:t>
      </w:r>
      <w:r w:rsidR="00AF6059">
        <w:t>order birth). Similarly, Kalwij (2010) found that maternity leave was significant for first births but not higher</w:t>
      </w:r>
      <w:r w:rsidR="00AE5A1E">
        <w:t>-</w:t>
      </w:r>
      <w:r w:rsidR="00AF6059">
        <w:t>order births.</w:t>
      </w:r>
      <w:r w:rsidR="006C6E6D">
        <w:t xml:space="preserve"> A 10% increase in maternity- and parental-leave benefits was associated with a 3.2% reduction in childlessness at ages 36–40. </w:t>
      </w:r>
      <w:r w:rsidR="00E62159" w:rsidRPr="00E62159">
        <w:t xml:space="preserve"> </w:t>
      </w:r>
    </w:p>
    <w:p w14:paraId="7B0A9500" w14:textId="5C529206" w:rsidR="00C649B3" w:rsidRDefault="00AF6059" w:rsidP="006B6595">
      <w:pPr>
        <w:spacing w:line="276" w:lineRule="auto"/>
        <w:jc w:val="both"/>
      </w:pPr>
      <w:r w:rsidRPr="00AF6059">
        <w:t xml:space="preserve">Hilgmenan and Butts (2009), looking across 20 countries also found no significant relationship between parental leave (paid and unpaid combined) and achieved fertility, or TFR. </w:t>
      </w:r>
      <w:r w:rsidR="00CC24EE">
        <w:t xml:space="preserve"> </w:t>
      </w:r>
      <w:r w:rsidR="006B6595">
        <w:t xml:space="preserve">They suggest the lack of observed effect could be due to the fact that leave is usually only for a short duration and not of sufficient length to cover the whole period of time young children need care before attending child-care or preschool, and </w:t>
      </w:r>
      <w:r w:rsidR="00AE5A1E">
        <w:t>thus,</w:t>
      </w:r>
      <w:r w:rsidR="006B6595">
        <w:t xml:space="preserve"> still necessitate</w:t>
      </w:r>
      <w:r w:rsidR="00AE5A1E">
        <w:t>s</w:t>
      </w:r>
      <w:r w:rsidR="006B6595">
        <w:t xml:space="preserve"> exiting the labour force for an extended period of time.</w:t>
      </w:r>
      <w:r w:rsidR="00776D3E">
        <w:t xml:space="preserve"> </w:t>
      </w:r>
      <w:r w:rsidR="00E94355" w:rsidRPr="006A55EB">
        <w:rPr>
          <w:rFonts w:cstheme="minorHAnsi"/>
          <w:color w:val="000000"/>
          <w:shd w:val="clear" w:color="auto" w:fill="FFFFFF"/>
        </w:rPr>
        <w:t>Baizán</w:t>
      </w:r>
      <w:r>
        <w:t xml:space="preserve">, </w:t>
      </w:r>
      <w:r w:rsidRPr="007E15F6">
        <w:rPr>
          <w:i/>
        </w:rPr>
        <w:t>et al</w:t>
      </w:r>
      <w:r w:rsidR="00AE5A1E" w:rsidRPr="007E15F6">
        <w:rPr>
          <w:i/>
        </w:rPr>
        <w:t>.</w:t>
      </w:r>
      <w:r>
        <w:t xml:space="preserve"> (2016)</w:t>
      </w:r>
      <w:r w:rsidR="008D497B">
        <w:t xml:space="preserve"> also found no overall association between parental leave and completed fertility, but they found a significant positive effect for women with higher levels of education.</w:t>
      </w:r>
      <w:r w:rsidR="00C649B3">
        <w:t xml:space="preserve"> An increase in the weighted number of paid weeks of leave from 10 to 75 </w:t>
      </w:r>
      <w:r w:rsidR="008D497B">
        <w:t>was</w:t>
      </w:r>
      <w:r w:rsidR="00C649B3">
        <w:t xml:space="preserve"> associated with an increase </w:t>
      </w:r>
      <w:r w:rsidR="001910D9">
        <w:t>predicted completed fertility</w:t>
      </w:r>
      <w:r w:rsidR="00AE5A1E">
        <w:t xml:space="preserve"> </w:t>
      </w:r>
      <w:r w:rsidR="00C649B3">
        <w:t>from 1.83 to 1.92</w:t>
      </w:r>
      <w:r w:rsidR="001910D9">
        <w:t xml:space="preserve"> children</w:t>
      </w:r>
      <w:r w:rsidR="00C649B3">
        <w:t xml:space="preserve"> for the low educated and an increase from 1.56 to 1.80</w:t>
      </w:r>
      <w:r w:rsidR="001910D9">
        <w:t xml:space="preserve"> children</w:t>
      </w:r>
      <w:r w:rsidR="00C649B3">
        <w:t xml:space="preserve"> for the highly educated </w:t>
      </w:r>
      <w:r w:rsidR="00776D3E">
        <w:rPr>
          <w:noProof/>
        </w:rPr>
        <w:t>(</w:t>
      </w:r>
      <w:r w:rsidR="00E94355" w:rsidRPr="006A55EB">
        <w:rPr>
          <w:rFonts w:cstheme="minorHAnsi"/>
          <w:color w:val="000000"/>
          <w:shd w:val="clear" w:color="auto" w:fill="FFFFFF"/>
        </w:rPr>
        <w:t>Baizán</w:t>
      </w:r>
      <w:r w:rsidR="00776D3E">
        <w:rPr>
          <w:noProof/>
        </w:rPr>
        <w:t xml:space="preserve">,  </w:t>
      </w:r>
      <w:r w:rsidR="00776D3E" w:rsidRPr="007E15F6">
        <w:rPr>
          <w:i/>
          <w:noProof/>
        </w:rPr>
        <w:t>et al.</w:t>
      </w:r>
      <w:r w:rsidR="00EB652E">
        <w:rPr>
          <w:i/>
          <w:noProof/>
        </w:rPr>
        <w:t>,</w:t>
      </w:r>
      <w:r w:rsidR="00776D3E">
        <w:rPr>
          <w:noProof/>
        </w:rPr>
        <w:t xml:space="preserve"> 2016)</w:t>
      </w:r>
      <w:r w:rsidR="008D497B">
        <w:t>.</w:t>
      </w:r>
      <w:r w:rsidR="0075220B">
        <w:t xml:space="preserve"> </w:t>
      </w:r>
    </w:p>
    <w:p w14:paraId="77A4434E" w14:textId="13749296" w:rsidR="00E75216" w:rsidRDefault="00E75216" w:rsidP="00E75216">
      <w:pPr>
        <w:spacing w:line="276" w:lineRule="auto"/>
        <w:jc w:val="both"/>
      </w:pPr>
      <w:r>
        <w:t>D’Addio and D’Ercole (2005) examined two different dimensions of parental leave separately: duration and replacement wage level. They found that a longer duration was association with lower fertility, whereas a higher wage</w:t>
      </w:r>
      <w:r w:rsidR="00AE5A1E">
        <w:t>-</w:t>
      </w:r>
      <w:r>
        <w:t xml:space="preserve">replacement level was associated with higher fertility. </w:t>
      </w:r>
    </w:p>
    <w:p w14:paraId="529BDB37" w14:textId="37200F4B" w:rsidR="00776D3E" w:rsidRDefault="00776D3E" w:rsidP="006B6595">
      <w:pPr>
        <w:spacing w:line="276" w:lineRule="auto"/>
        <w:jc w:val="both"/>
      </w:pPr>
      <w:r>
        <w:t>Bártová</w:t>
      </w:r>
      <w:r w:rsidR="00AE5A1E">
        <w:t>’s</w:t>
      </w:r>
      <w:r>
        <w:t xml:space="preserve"> (2016) research into the effect of parental leave and first</w:t>
      </w:r>
      <w:r w:rsidR="00AE5A1E">
        <w:t>-</w:t>
      </w:r>
      <w:r>
        <w:t xml:space="preserve"> and second</w:t>
      </w:r>
      <w:r w:rsidR="00AE5A1E">
        <w:t>-</w:t>
      </w:r>
      <w:r>
        <w:t xml:space="preserve">birth transitions in 27 countries is one of the most comprehensive and points to a possible explanation why the studies above which used varying macro-level indicators of parental leave found mixed results. </w:t>
      </w:r>
      <w:r w:rsidR="00AE5A1E">
        <w:t>The</w:t>
      </w:r>
      <w:r w:rsidR="007E7B16">
        <w:t xml:space="preserve"> study included detailed indicators including looking at the interaction between duration and the </w:t>
      </w:r>
      <w:r w:rsidR="007E7B16">
        <w:lastRenderedPageBreak/>
        <w:t>compensation rate.  The results point to shorter duration of parental leave,</w:t>
      </w:r>
      <w:r w:rsidR="00E75216">
        <w:t xml:space="preserve"> </w:t>
      </w:r>
      <w:r w:rsidR="007E7B16">
        <w:t xml:space="preserve">but compensated at a high rate as being the most conducive to having a first birth as well as a second birth. This highlights the importance of taking into account different design measures of parental leave policies rather than simple indicators. </w:t>
      </w:r>
      <w:r w:rsidR="00E75216">
        <w:t>The finding that longer duration was negatively associated with fertility and higher replacement rate associated with higher fertility is similar to the result from D’Addio and D’Ercole (2005).</w:t>
      </w:r>
    </w:p>
    <w:p w14:paraId="4D728E8A" w14:textId="0E82CF4F" w:rsidR="00565332" w:rsidRDefault="008D52A6" w:rsidP="00565332">
      <w:pPr>
        <w:spacing w:line="276" w:lineRule="auto"/>
        <w:jc w:val="both"/>
        <w:rPr>
          <w:i/>
          <w:iCs/>
        </w:rPr>
      </w:pPr>
      <w:r>
        <w:rPr>
          <w:i/>
          <w:iCs/>
        </w:rPr>
        <w:t>Child care</w:t>
      </w:r>
    </w:p>
    <w:p w14:paraId="4B6628AE" w14:textId="03375409" w:rsidR="00CC24EE" w:rsidRPr="006B6595" w:rsidRDefault="00CC24EE" w:rsidP="00565332">
      <w:pPr>
        <w:spacing w:line="276" w:lineRule="auto"/>
        <w:jc w:val="both"/>
      </w:pPr>
      <w:r>
        <w:t xml:space="preserve">Turning to </w:t>
      </w:r>
      <w:r w:rsidR="008D52A6">
        <w:t>child care</w:t>
      </w:r>
      <w:r>
        <w:t xml:space="preserve">, the results are more clearly pointed towards a positive relationship with fertility. </w:t>
      </w:r>
    </w:p>
    <w:p w14:paraId="0E656F23" w14:textId="1D2ACD8E" w:rsidR="007E7B16" w:rsidRDefault="001C5EA9" w:rsidP="006B6595">
      <w:pPr>
        <w:spacing w:line="276" w:lineRule="auto"/>
        <w:jc w:val="both"/>
      </w:pPr>
      <w:r w:rsidRPr="004B1D83">
        <w:t xml:space="preserve">Kalwij (2010) identifies a strong relationship between expenditure on </w:t>
      </w:r>
      <w:r w:rsidR="008D52A6">
        <w:t>child care</w:t>
      </w:r>
      <w:r w:rsidR="00CC24EE" w:rsidRPr="004B1D83">
        <w:t xml:space="preserve"> subsidies and the higher</w:t>
      </w:r>
      <w:r w:rsidR="00AE5A1E">
        <w:t>-</w:t>
      </w:r>
      <w:r w:rsidR="00CC24EE" w:rsidRPr="004B1D83">
        <w:t xml:space="preserve">order births (but not first births). While there was no </w:t>
      </w:r>
      <w:r w:rsidR="00565332">
        <w:t xml:space="preserve">effect of </w:t>
      </w:r>
      <w:r w:rsidR="008D52A6">
        <w:t>child care</w:t>
      </w:r>
      <w:r w:rsidR="00565332">
        <w:t xml:space="preserve"> subsidies on the percentage of women who remain childless</w:t>
      </w:r>
      <w:r w:rsidR="00CC24EE">
        <w:t xml:space="preserve"> (transition to first birth)</w:t>
      </w:r>
      <w:r w:rsidR="00565332">
        <w:t xml:space="preserve">, </w:t>
      </w:r>
      <w:r w:rsidR="008D52A6">
        <w:t>child care</w:t>
      </w:r>
      <w:r w:rsidR="00AE5A1E">
        <w:t xml:space="preserve"> subsidies are</w:t>
      </w:r>
      <w:r w:rsidR="00565332">
        <w:t xml:space="preserve"> associated with higher overall fertility with a 10% increase in </w:t>
      </w:r>
      <w:r w:rsidR="008D52A6">
        <w:t>child care</w:t>
      </w:r>
      <w:r w:rsidR="00565332">
        <w:t xml:space="preserve"> resulting in about a 0.4% increase in completed fertility.</w:t>
      </w:r>
      <w:r w:rsidR="00CC24EE" w:rsidRPr="00CC24EE">
        <w:t xml:space="preserve"> </w:t>
      </w:r>
      <w:r w:rsidR="00CC24EE" w:rsidRPr="004873B6">
        <w:t xml:space="preserve">For </w:t>
      </w:r>
      <w:r w:rsidR="008D52A6">
        <w:t>child care</w:t>
      </w:r>
      <w:r w:rsidR="00CC24EE" w:rsidRPr="004873B6">
        <w:t xml:space="preserve">, measured as </w:t>
      </w:r>
      <w:r w:rsidR="00AE5A1E">
        <w:t>the percentage</w:t>
      </w:r>
      <w:r w:rsidR="00CC24EE" w:rsidRPr="004873B6">
        <w:t xml:space="preserve"> of children aged 0-3 </w:t>
      </w:r>
      <w:r w:rsidR="00CC24EE" w:rsidRPr="009172F7">
        <w:t>enrolled</w:t>
      </w:r>
      <w:r w:rsidR="00CC24EE" w:rsidRPr="004873B6">
        <w:t xml:space="preserve"> in </w:t>
      </w:r>
      <w:r w:rsidR="008D52A6">
        <w:t>child care</w:t>
      </w:r>
      <w:r w:rsidR="00CC24EE" w:rsidRPr="004873B6">
        <w:t>, this was found to be positively related to individual</w:t>
      </w:r>
      <w:r w:rsidR="00CC24EE">
        <w:t xml:space="preserve"> fertility,</w:t>
      </w:r>
      <w:r w:rsidR="00CC24EE" w:rsidRPr="004873B6">
        <w:t xml:space="preserve"> as well as macro-level fertility in the study by Hilgeman and Butts </w:t>
      </w:r>
      <w:r w:rsidR="00CC24EE">
        <w:t>(2009) looking across 20 countries</w:t>
      </w:r>
      <w:r w:rsidR="00CC24EE" w:rsidRPr="004873B6">
        <w:t xml:space="preserve">. The authors conclude that </w:t>
      </w:r>
      <w:r w:rsidR="00CC24EE">
        <w:t xml:space="preserve">for countries with very low </w:t>
      </w:r>
      <w:r w:rsidR="008D52A6">
        <w:t>child care</w:t>
      </w:r>
      <w:r w:rsidR="00CC24EE">
        <w:t xml:space="preserve"> enrolment, increasing enrolment rates would have a significant impact on fertility rates. For Italy, they conclude that increasing enrolment from 6% to 30% to a level similar to Belgium would increase fertility by 0.27 children per woman, while increasing it to 64% to a level similar to Denmark would be predicted to increase fertility by 0.97 children </w:t>
      </w:r>
      <w:r w:rsidR="00C96C57">
        <w:rPr>
          <w:noProof/>
        </w:rPr>
        <w:t>(Hilgeman &amp; Butts, 2009)</w:t>
      </w:r>
      <w:r w:rsidR="00CC24EE">
        <w:t xml:space="preserve">. </w:t>
      </w:r>
    </w:p>
    <w:p w14:paraId="3ED31043" w14:textId="666DCE46" w:rsidR="00565332" w:rsidRDefault="00CC24EE" w:rsidP="007E7B16">
      <w:pPr>
        <w:spacing w:line="276" w:lineRule="auto"/>
        <w:jc w:val="both"/>
      </w:pPr>
      <w:r>
        <w:t xml:space="preserve">Baizan, </w:t>
      </w:r>
      <w:r w:rsidRPr="007E15F6">
        <w:rPr>
          <w:i/>
        </w:rPr>
        <w:t>et al</w:t>
      </w:r>
      <w:r w:rsidR="00AE5A1E" w:rsidRPr="007E15F6">
        <w:rPr>
          <w:i/>
        </w:rPr>
        <w:t>.</w:t>
      </w:r>
      <w:r>
        <w:t xml:space="preserve"> (2016) </w:t>
      </w:r>
      <w:r w:rsidR="007E7B16">
        <w:t xml:space="preserve">in their study of 16 European countries </w:t>
      </w:r>
      <w:r>
        <w:t xml:space="preserve">also find a positive relationship between </w:t>
      </w:r>
      <w:r w:rsidR="008D52A6">
        <w:t>child care</w:t>
      </w:r>
      <w:r>
        <w:t xml:space="preserve"> enrolment and completed fertility, a relationship which is strongest for those with higher education.</w:t>
      </w:r>
      <w:r w:rsidR="007E7B16">
        <w:t xml:space="preserve"> Similarly, Bártová (2016) across 27 European countries found that </w:t>
      </w:r>
      <w:r w:rsidR="008D52A6">
        <w:t>child care</w:t>
      </w:r>
      <w:r w:rsidR="007E7B16">
        <w:t xml:space="preserve"> availability was associated with a higher transition to parenthood (having a first child), as well as the transition from one to two children. For second births, a 1% increase in enrolment of children under 3 in </w:t>
      </w:r>
      <w:r w:rsidR="008D52A6">
        <w:t>child care</w:t>
      </w:r>
      <w:r w:rsidR="007E7B16">
        <w:t xml:space="preserve"> was estimated as corresponding to  2.9% increase in the propensity to have a second birth. Therefore, women who live in a country with 72% enrolment have a higher propensity </w:t>
      </w:r>
      <w:r w:rsidR="00AE5A1E">
        <w:t>for a</w:t>
      </w:r>
      <w:r w:rsidR="007E7B16">
        <w:t xml:space="preserve"> second birth of about 161% than women who live in a country with 2% enrolment.</w:t>
      </w:r>
      <w:r w:rsidR="00E75216">
        <w:t xml:space="preserve"> Adema, </w:t>
      </w:r>
      <w:r w:rsidR="00E75216" w:rsidRPr="007E15F6">
        <w:rPr>
          <w:i/>
        </w:rPr>
        <w:t>et al.</w:t>
      </w:r>
      <w:r w:rsidR="00E75216">
        <w:t xml:space="preserve"> (2014) found that </w:t>
      </w:r>
      <w:r w:rsidR="008D52A6">
        <w:t>child care</w:t>
      </w:r>
      <w:r w:rsidR="00E75216">
        <w:t xml:space="preserve"> enrolment rates for children aged 0-2 were positively associated with TFR across 30 OECD countries. Preschool enrolment rates for children aged 3-5 were also positively associated with TFR but their effect was only significant at the 10% level. </w:t>
      </w:r>
    </w:p>
    <w:p w14:paraId="5379F43E" w14:textId="1CD3532F" w:rsidR="00CC24EE" w:rsidRDefault="00CC24EE" w:rsidP="006B6595">
      <w:pPr>
        <w:spacing w:line="276" w:lineRule="auto"/>
        <w:jc w:val="both"/>
      </w:pPr>
      <w:r>
        <w:t xml:space="preserve">However, even with </w:t>
      </w:r>
      <w:r w:rsidR="008D52A6">
        <w:t>child care</w:t>
      </w:r>
      <w:r>
        <w:t xml:space="preserve"> there are some studies, such as that of Del Boca, </w:t>
      </w:r>
      <w:r w:rsidRPr="007E15F6">
        <w:rPr>
          <w:i/>
        </w:rPr>
        <w:t>et al</w:t>
      </w:r>
      <w:r w:rsidR="00AE5A1E" w:rsidRPr="007E15F6">
        <w:rPr>
          <w:i/>
        </w:rPr>
        <w:t>.</w:t>
      </w:r>
      <w:r>
        <w:t xml:space="preserve"> (2009) who find no relationship with fertility. </w:t>
      </w:r>
    </w:p>
    <w:p w14:paraId="74AC2CE5" w14:textId="78870B12" w:rsidR="00BA2EFD" w:rsidRPr="00BE2E6F" w:rsidRDefault="006C6E6D" w:rsidP="001A6360">
      <w:pPr>
        <w:spacing w:line="276" w:lineRule="auto"/>
        <w:jc w:val="both"/>
        <w:rPr>
          <w:i/>
          <w:iCs/>
        </w:rPr>
      </w:pPr>
      <w:r w:rsidRPr="006C6E6D">
        <w:rPr>
          <w:i/>
          <w:iCs/>
        </w:rPr>
        <w:t>General</w:t>
      </w:r>
      <w:r w:rsidR="00BA2EFD" w:rsidRPr="00BE2E6F">
        <w:rPr>
          <w:i/>
          <w:iCs/>
        </w:rPr>
        <w:t xml:space="preserve"> family expenditure</w:t>
      </w:r>
    </w:p>
    <w:p w14:paraId="76BCFB4B" w14:textId="217BA539" w:rsidR="00BA2EFD" w:rsidRDefault="006C6E6D" w:rsidP="001A6360">
      <w:pPr>
        <w:spacing w:line="276" w:lineRule="auto"/>
        <w:jc w:val="both"/>
      </w:pPr>
      <w:r>
        <w:t xml:space="preserve">Rather than looking at indicators of </w:t>
      </w:r>
      <w:r w:rsidR="008D52A6">
        <w:t>child care</w:t>
      </w:r>
      <w:r>
        <w:t xml:space="preserve"> or parental leave separately, </w:t>
      </w:r>
      <w:r w:rsidR="00BA2EFD" w:rsidRPr="006C6E6D">
        <w:t>Harknett</w:t>
      </w:r>
      <w:r>
        <w:t xml:space="preserve">, </w:t>
      </w:r>
      <w:r w:rsidRPr="007E15F6">
        <w:rPr>
          <w:i/>
        </w:rPr>
        <w:t>et al.</w:t>
      </w:r>
      <w:r>
        <w:t xml:space="preserve"> (2014) used an indicator of overall expenditures on families as a percentage of GDP. This includes expenditure on family allowances, parental leave benefits and </w:t>
      </w:r>
      <w:r w:rsidR="008D52A6">
        <w:t>child care</w:t>
      </w:r>
      <w:r>
        <w:t xml:space="preserve"> services and subsidies. General family expenditure </w:t>
      </w:r>
      <w:r w:rsidR="00BA2EFD" w:rsidRPr="006C6E6D">
        <w:t>was</w:t>
      </w:r>
      <w:r>
        <w:t xml:space="preserve"> not related to first births but was</w:t>
      </w:r>
      <w:r w:rsidR="00BA2EFD" w:rsidRPr="006C6E6D">
        <w:t xml:space="preserve"> significantly positively related at the 10% level for higher birth intentions, as well as for higher</w:t>
      </w:r>
      <w:r w:rsidR="00AE5A1E">
        <w:t>-</w:t>
      </w:r>
      <w:r w:rsidR="00BA2EFD" w:rsidRPr="006C6E6D">
        <w:t xml:space="preserve">order births (5% level).  A 1% increase in expenditure on </w:t>
      </w:r>
      <w:r w:rsidRPr="006C6E6D">
        <w:t>families</w:t>
      </w:r>
      <w:r w:rsidR="00BA2EFD" w:rsidRPr="006C6E6D">
        <w:t xml:space="preserve"> was associated with a 23% increase in the odds of a higher order birth. </w:t>
      </w:r>
      <w:r w:rsidR="00A440CD">
        <w:t xml:space="preserve"> One issue with studies that look at expenditure is that expenditure is itself influenced by fertility in a given country, as a </w:t>
      </w:r>
      <w:r w:rsidR="00A440CD">
        <w:lastRenderedPageBreak/>
        <w:t xml:space="preserve">higher number of births will by default increase expenditure on policies such as </w:t>
      </w:r>
      <w:r w:rsidR="008D52A6">
        <w:t>child care</w:t>
      </w:r>
      <w:r w:rsidR="00A440CD">
        <w:t xml:space="preserve"> and parental leave, as well as child benefits (Bártová, 2016).  </w:t>
      </w:r>
    </w:p>
    <w:p w14:paraId="19CE0D5F" w14:textId="77777777" w:rsidR="009172F7" w:rsidRDefault="009172F7" w:rsidP="001A6360">
      <w:pPr>
        <w:spacing w:line="276" w:lineRule="auto"/>
        <w:jc w:val="both"/>
      </w:pPr>
    </w:p>
    <w:p w14:paraId="08190C1F" w14:textId="3525D714" w:rsidR="009172F7" w:rsidRPr="007E15F6" w:rsidRDefault="006C6E6D" w:rsidP="001A6360">
      <w:pPr>
        <w:spacing w:line="276" w:lineRule="auto"/>
        <w:jc w:val="both"/>
        <w:rPr>
          <w:i/>
          <w:iCs/>
        </w:rPr>
      </w:pPr>
      <w:r w:rsidRPr="007E15F6">
        <w:rPr>
          <w:i/>
          <w:iCs/>
        </w:rPr>
        <w:t>Earner-carer vs traditional family policies</w:t>
      </w:r>
    </w:p>
    <w:p w14:paraId="517F8329" w14:textId="3046C1C8" w:rsidR="009172F7" w:rsidRDefault="000445EC" w:rsidP="001A6360">
      <w:pPr>
        <w:spacing w:line="276" w:lineRule="auto"/>
        <w:jc w:val="both"/>
      </w:pPr>
      <w:r>
        <w:t xml:space="preserve">In addition to the studies outlined above there has also been cross-national research which has classified policies as being either supportive of ‘earner-carer’ models (e.g. parental leave) or ‘traditional family’ (e.g. financial benefits, or home care allowances). </w:t>
      </w:r>
      <w:r w:rsidR="00DC3084">
        <w:t xml:space="preserve">This ‘regime approach’ to examine the influence of policies on fertility provides a valuable insight into the importance of the welfare context across countries and to what degree they support traditional family roles and how that interacts with fertility. However, the policy clustering does not give insight into the effect of particular policies, and is unable to highlight if some polices are more influential than others (Bártová 2016). </w:t>
      </w:r>
    </w:p>
    <w:p w14:paraId="7ED926FB" w14:textId="47ED63D9" w:rsidR="00A0217C" w:rsidRDefault="00377F87" w:rsidP="001A6360">
      <w:pPr>
        <w:spacing w:line="276" w:lineRule="auto"/>
        <w:jc w:val="both"/>
      </w:pPr>
      <w:r>
        <w:t xml:space="preserve">Billingsley </w:t>
      </w:r>
      <w:r w:rsidR="0013420C">
        <w:t xml:space="preserve">and Ferrarini </w:t>
      </w:r>
      <w:r w:rsidR="00E94355">
        <w:rPr>
          <w:noProof/>
        </w:rPr>
        <w:t>(2014)</w:t>
      </w:r>
      <w:r>
        <w:t xml:space="preserve">  compare</w:t>
      </w:r>
      <w:r w:rsidR="0013420C">
        <w:t>d</w:t>
      </w:r>
      <w:r>
        <w:t xml:space="preserve"> traditional family policies (family benefits)  and earner-carer policies (parental leave generosity and share of children under age 3 in public </w:t>
      </w:r>
      <w:r w:rsidR="008D52A6">
        <w:t>child care</w:t>
      </w:r>
      <w:r>
        <w:t xml:space="preserve">) across 21 European countries. </w:t>
      </w:r>
      <w:r w:rsidR="0013420C">
        <w:t xml:space="preserve">They then investigated how earner-carer, and traditional family policies were related to </w:t>
      </w:r>
      <w:r>
        <w:t>fertility intentions to have a child in the next 3 years</w:t>
      </w:r>
      <w:r w:rsidR="00A0217C">
        <w:t xml:space="preserve"> as found in the 2004 European Social Survey</w:t>
      </w:r>
      <w:r>
        <w:t>. For childless people they find that both earner-carer and traditional family support w</w:t>
      </w:r>
      <w:r w:rsidR="0013420C">
        <w:t>ere</w:t>
      </w:r>
      <w:r>
        <w:t xml:space="preserve"> associated with higher fertility intentions for men and women, but for those </w:t>
      </w:r>
      <w:r w:rsidR="0013420C">
        <w:t>with one child</w:t>
      </w:r>
      <w:r>
        <w:t xml:space="preserve"> only earner-carer support was positively related for women.  </w:t>
      </w:r>
      <w:r w:rsidR="0013420C">
        <w:t xml:space="preserve">For those with two children neither earner-carer or traditional family policies had a significant association. Wesolowski &amp; Ferranini </w:t>
      </w:r>
      <w:r w:rsidR="007E103D">
        <w:rPr>
          <w:noProof/>
        </w:rPr>
        <w:t>(2018)</w:t>
      </w:r>
      <w:r w:rsidR="002271C9">
        <w:t xml:space="preserve"> </w:t>
      </w:r>
      <w:r w:rsidR="0013420C">
        <w:t xml:space="preserve">conducted a similar study for </w:t>
      </w:r>
      <w:r w:rsidR="002271C9">
        <w:t>33 industrialised countries</w:t>
      </w:r>
      <w:r w:rsidR="0013420C">
        <w:t xml:space="preserve"> but looking at TFR as the outcome of interest. </w:t>
      </w:r>
      <w:r w:rsidR="002271C9">
        <w:t xml:space="preserve"> They f</w:t>
      </w:r>
      <w:r w:rsidR="0013420C">
        <w:t xml:space="preserve">ound that </w:t>
      </w:r>
      <w:r w:rsidR="002271C9">
        <w:t xml:space="preserve">earner-career support </w:t>
      </w:r>
      <w:r w:rsidR="0013420C">
        <w:t>was</w:t>
      </w:r>
      <w:r w:rsidR="002271C9">
        <w:t xml:space="preserve"> positively associated </w:t>
      </w:r>
      <w:r w:rsidR="0013420C">
        <w:t xml:space="preserve">with </w:t>
      </w:r>
      <w:r w:rsidR="002271C9">
        <w:t xml:space="preserve">TFR, but traditional-family support </w:t>
      </w:r>
      <w:r w:rsidR="0013420C">
        <w:t xml:space="preserve">was  </w:t>
      </w:r>
      <w:r w:rsidR="002271C9">
        <w:t xml:space="preserve">not  associated with </w:t>
      </w:r>
      <w:r w:rsidR="0013420C">
        <w:t>fertility</w:t>
      </w:r>
      <w:r w:rsidR="002271C9">
        <w:t xml:space="preserve">. </w:t>
      </w:r>
    </w:p>
    <w:p w14:paraId="0B5C9150" w14:textId="77777777" w:rsidR="00A84FA5" w:rsidRDefault="00A84FA5" w:rsidP="001A6360">
      <w:pPr>
        <w:spacing w:line="276" w:lineRule="auto"/>
        <w:jc w:val="both"/>
      </w:pPr>
    </w:p>
    <w:p w14:paraId="1E44F76B" w14:textId="23AB6E23" w:rsidR="00A84FA5" w:rsidRDefault="00A84FA5" w:rsidP="001A6360">
      <w:pPr>
        <w:spacing w:line="276" w:lineRule="auto"/>
        <w:jc w:val="both"/>
        <w:sectPr w:rsidR="00A84FA5">
          <w:footerReference w:type="default" r:id="rId42"/>
          <w:pgSz w:w="11906" w:h="16838"/>
          <w:pgMar w:top="1440" w:right="1440" w:bottom="1440" w:left="1440" w:header="708" w:footer="708" w:gutter="0"/>
          <w:cols w:space="708"/>
          <w:docGrid w:linePitch="360"/>
        </w:sectPr>
      </w:pPr>
    </w:p>
    <w:p w14:paraId="696C0B13" w14:textId="5ACE1EE1" w:rsidR="00CD5C48" w:rsidRDefault="00CD5C48" w:rsidP="006C6E6D">
      <w:pPr>
        <w:pStyle w:val="Caption"/>
        <w:keepNext/>
      </w:pPr>
      <w:bookmarkStart w:id="142" w:name="_Ref81143334"/>
      <w:r>
        <w:lastRenderedPageBreak/>
        <w:t xml:space="preserve">Table </w:t>
      </w:r>
      <w:fldSimple w:instr=" SEQ Table \* ARABIC ">
        <w:r w:rsidR="00115E22">
          <w:rPr>
            <w:noProof/>
          </w:rPr>
          <w:t>21</w:t>
        </w:r>
      </w:fldSimple>
      <w:bookmarkEnd w:id="142"/>
      <w:r>
        <w:t xml:space="preserve"> Cross-national, cross-policy studies</w:t>
      </w:r>
    </w:p>
    <w:tbl>
      <w:tblPr>
        <w:tblStyle w:val="TableGrid"/>
        <w:tblW w:w="1516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555"/>
        <w:gridCol w:w="1984"/>
        <w:gridCol w:w="1985"/>
        <w:gridCol w:w="2551"/>
        <w:gridCol w:w="2126"/>
        <w:gridCol w:w="2977"/>
        <w:gridCol w:w="1985"/>
      </w:tblGrid>
      <w:tr w:rsidR="00383C21" w:rsidRPr="00A46EAD" w14:paraId="3FB70E75" w14:textId="77777777" w:rsidTr="006C6E6D">
        <w:tc>
          <w:tcPr>
            <w:tcW w:w="1555" w:type="dxa"/>
            <w:shd w:val="clear" w:color="auto" w:fill="FBE4D5" w:themeFill="accent2" w:themeFillTint="33"/>
          </w:tcPr>
          <w:p w14:paraId="17B2DE19" w14:textId="627576BE" w:rsidR="00565332" w:rsidRPr="006C6E6D" w:rsidRDefault="00565332" w:rsidP="006C6E6D">
            <w:pPr>
              <w:rPr>
                <w:rFonts w:ascii="Tw Cen MT Condensed" w:hAnsi="Tw Cen MT Condensed"/>
              </w:rPr>
            </w:pPr>
            <w:r w:rsidRPr="006C6E6D">
              <w:rPr>
                <w:rFonts w:ascii="Tw Cen MT Condensed" w:hAnsi="Tw Cen MT Condensed"/>
              </w:rPr>
              <w:t>Data</w:t>
            </w:r>
          </w:p>
        </w:tc>
        <w:tc>
          <w:tcPr>
            <w:tcW w:w="1984" w:type="dxa"/>
            <w:shd w:val="clear" w:color="auto" w:fill="FBE4D5" w:themeFill="accent2" w:themeFillTint="33"/>
          </w:tcPr>
          <w:p w14:paraId="2B38C4D0" w14:textId="15563A4C" w:rsidR="00565332" w:rsidRPr="006C6E6D" w:rsidRDefault="00565332" w:rsidP="006C6E6D">
            <w:pPr>
              <w:rPr>
                <w:rFonts w:ascii="Tw Cen MT Condensed" w:hAnsi="Tw Cen MT Condensed"/>
              </w:rPr>
            </w:pPr>
            <w:r w:rsidRPr="006C6E6D">
              <w:rPr>
                <w:rFonts w:ascii="Tw Cen MT Condensed" w:hAnsi="Tw Cen MT Condensed"/>
              </w:rPr>
              <w:t>Fertility outcome</w:t>
            </w:r>
          </w:p>
        </w:tc>
        <w:tc>
          <w:tcPr>
            <w:tcW w:w="1985" w:type="dxa"/>
            <w:shd w:val="clear" w:color="auto" w:fill="FBE4D5" w:themeFill="accent2" w:themeFillTint="33"/>
          </w:tcPr>
          <w:p w14:paraId="3BE3374E" w14:textId="49F2A1FE" w:rsidR="00565332" w:rsidRPr="006C6E6D" w:rsidRDefault="00565332" w:rsidP="006C6E6D">
            <w:pPr>
              <w:rPr>
                <w:rFonts w:ascii="Tw Cen MT Condensed" w:hAnsi="Tw Cen MT Condensed"/>
              </w:rPr>
            </w:pPr>
            <w:r w:rsidRPr="006C6E6D">
              <w:rPr>
                <w:rFonts w:ascii="Tw Cen MT Condensed" w:hAnsi="Tw Cen MT Condensed"/>
              </w:rPr>
              <w:t>Family allowance</w:t>
            </w:r>
          </w:p>
        </w:tc>
        <w:tc>
          <w:tcPr>
            <w:tcW w:w="2551" w:type="dxa"/>
            <w:shd w:val="clear" w:color="auto" w:fill="FBE4D5" w:themeFill="accent2" w:themeFillTint="33"/>
          </w:tcPr>
          <w:p w14:paraId="12A40B53" w14:textId="7256B671" w:rsidR="00565332" w:rsidRPr="006C6E6D" w:rsidRDefault="00565332" w:rsidP="006C6E6D">
            <w:pPr>
              <w:rPr>
                <w:rFonts w:ascii="Tw Cen MT Condensed" w:hAnsi="Tw Cen MT Condensed"/>
              </w:rPr>
            </w:pPr>
            <w:r w:rsidRPr="006C6E6D">
              <w:rPr>
                <w:rFonts w:ascii="Tw Cen MT Condensed" w:hAnsi="Tw Cen MT Condensed"/>
              </w:rPr>
              <w:t>Parental leave</w:t>
            </w:r>
          </w:p>
        </w:tc>
        <w:tc>
          <w:tcPr>
            <w:tcW w:w="2126" w:type="dxa"/>
            <w:shd w:val="clear" w:color="auto" w:fill="FBE4D5" w:themeFill="accent2" w:themeFillTint="33"/>
          </w:tcPr>
          <w:p w14:paraId="40A0C6D1" w14:textId="4FAAB22C" w:rsidR="00565332" w:rsidRPr="006C6E6D" w:rsidRDefault="008D52A6" w:rsidP="006C6E6D">
            <w:pPr>
              <w:rPr>
                <w:rFonts w:ascii="Tw Cen MT Condensed" w:hAnsi="Tw Cen MT Condensed"/>
              </w:rPr>
            </w:pPr>
            <w:r>
              <w:rPr>
                <w:rFonts w:ascii="Tw Cen MT Condensed" w:hAnsi="Tw Cen MT Condensed"/>
              </w:rPr>
              <w:t>Child care</w:t>
            </w:r>
          </w:p>
        </w:tc>
        <w:tc>
          <w:tcPr>
            <w:tcW w:w="2977" w:type="dxa"/>
            <w:shd w:val="clear" w:color="auto" w:fill="FBE4D5" w:themeFill="accent2" w:themeFillTint="33"/>
          </w:tcPr>
          <w:p w14:paraId="16CD79B7" w14:textId="2C9DE682" w:rsidR="00565332" w:rsidRPr="006C6E6D" w:rsidRDefault="00565332" w:rsidP="006C6E6D">
            <w:pPr>
              <w:rPr>
                <w:rFonts w:ascii="Tw Cen MT Condensed" w:hAnsi="Tw Cen MT Condensed"/>
              </w:rPr>
            </w:pPr>
            <w:r w:rsidRPr="006C6E6D">
              <w:rPr>
                <w:rFonts w:ascii="Tw Cen MT Condensed" w:hAnsi="Tw Cen MT Condensed"/>
              </w:rPr>
              <w:t>Result</w:t>
            </w:r>
          </w:p>
        </w:tc>
        <w:tc>
          <w:tcPr>
            <w:tcW w:w="1985" w:type="dxa"/>
            <w:shd w:val="clear" w:color="auto" w:fill="FBE4D5" w:themeFill="accent2" w:themeFillTint="33"/>
          </w:tcPr>
          <w:p w14:paraId="4E020CEF" w14:textId="551B4EDB" w:rsidR="00565332" w:rsidRPr="006C6E6D" w:rsidRDefault="00565332" w:rsidP="006C6E6D">
            <w:pPr>
              <w:jc w:val="both"/>
              <w:rPr>
                <w:rFonts w:ascii="Tw Cen MT Condensed" w:hAnsi="Tw Cen MT Condensed"/>
              </w:rPr>
            </w:pPr>
            <w:r w:rsidRPr="006C6E6D">
              <w:rPr>
                <w:rFonts w:ascii="Tw Cen MT Condensed" w:hAnsi="Tw Cen MT Condensed"/>
              </w:rPr>
              <w:t>Study</w:t>
            </w:r>
          </w:p>
        </w:tc>
      </w:tr>
      <w:tr w:rsidR="00565332" w14:paraId="259F5748" w14:textId="77777777" w:rsidTr="006C6E6D">
        <w:trPr>
          <w:trHeight w:val="1559"/>
        </w:trPr>
        <w:tc>
          <w:tcPr>
            <w:tcW w:w="1555" w:type="dxa"/>
          </w:tcPr>
          <w:p w14:paraId="7E3326D6" w14:textId="03C66DAD"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European Community Household Panel , 1999</w:t>
            </w:r>
          </w:p>
          <w:p w14:paraId="6C17360A" w14:textId="77777777" w:rsidR="00565332" w:rsidRPr="007E15F6" w:rsidRDefault="00565332">
            <w:pPr>
              <w:rPr>
                <w:rFonts w:asciiTheme="majorHAnsi" w:hAnsiTheme="majorHAnsi" w:cstheme="majorHAnsi"/>
                <w:sz w:val="18"/>
                <w:szCs w:val="18"/>
              </w:rPr>
            </w:pPr>
          </w:p>
          <w:p w14:paraId="13E54EFB" w14:textId="72104333"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7 countries</w:t>
            </w:r>
            <w:r w:rsidR="00132048" w:rsidRPr="007E15F6">
              <w:rPr>
                <w:rStyle w:val="FootnoteReference"/>
                <w:rFonts w:asciiTheme="majorHAnsi" w:hAnsiTheme="majorHAnsi" w:cstheme="majorHAnsi"/>
                <w:sz w:val="18"/>
                <w:szCs w:val="18"/>
              </w:rPr>
              <w:footnoteReference w:id="21"/>
            </w:r>
          </w:p>
        </w:tc>
        <w:tc>
          <w:tcPr>
            <w:tcW w:w="1984" w:type="dxa"/>
          </w:tcPr>
          <w:p w14:paraId="140983BC" w14:textId="3FA60826"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Had a child in 1999</w:t>
            </w:r>
          </w:p>
        </w:tc>
        <w:tc>
          <w:tcPr>
            <w:tcW w:w="1985" w:type="dxa"/>
          </w:tcPr>
          <w:p w14:paraId="4C0F908C" w14:textId="2972D1BC"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 xml:space="preserve">Average family allowance </w:t>
            </w:r>
          </w:p>
        </w:tc>
        <w:tc>
          <w:tcPr>
            <w:tcW w:w="2551" w:type="dxa"/>
          </w:tcPr>
          <w:p w14:paraId="20DD5DC0" w14:textId="1CF8AF1B"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Length in months, of the parental leave to which the mother is entitled</w:t>
            </w:r>
          </w:p>
        </w:tc>
        <w:tc>
          <w:tcPr>
            <w:tcW w:w="2126" w:type="dxa"/>
          </w:tcPr>
          <w:p w14:paraId="34C77171" w14:textId="358632E9"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 xml:space="preserve">% of children aged 0-2 using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facilities </w:t>
            </w:r>
          </w:p>
        </w:tc>
        <w:tc>
          <w:tcPr>
            <w:tcW w:w="2977" w:type="dxa"/>
          </w:tcPr>
          <w:p w14:paraId="3D5A9C98" w14:textId="0C805239"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Family allowance: Positive effect, but only marginally.</w:t>
            </w:r>
          </w:p>
          <w:p w14:paraId="31DF0350" w14:textId="77777777" w:rsidR="00213A9B" w:rsidRPr="007E15F6" w:rsidRDefault="00213A9B">
            <w:pPr>
              <w:rPr>
                <w:rFonts w:asciiTheme="majorHAnsi" w:hAnsiTheme="majorHAnsi" w:cstheme="majorHAnsi"/>
                <w:sz w:val="18"/>
                <w:szCs w:val="18"/>
              </w:rPr>
            </w:pPr>
          </w:p>
          <w:p w14:paraId="681BCEE6" w14:textId="28907B0F" w:rsidR="00565332" w:rsidRPr="007E15F6" w:rsidRDefault="00565332" w:rsidP="00B239C2">
            <w:pPr>
              <w:rPr>
                <w:rFonts w:asciiTheme="majorHAnsi" w:hAnsiTheme="majorHAnsi" w:cstheme="majorHAnsi"/>
                <w:sz w:val="18"/>
                <w:szCs w:val="18"/>
              </w:rPr>
            </w:pPr>
            <w:r w:rsidRPr="007E15F6">
              <w:rPr>
                <w:rFonts w:asciiTheme="majorHAnsi" w:hAnsiTheme="majorHAnsi" w:cstheme="majorHAnsi"/>
                <w:sz w:val="18"/>
                <w:szCs w:val="18"/>
              </w:rPr>
              <w:t>Parental leave: no significant effect</w:t>
            </w:r>
          </w:p>
          <w:p w14:paraId="49CDC644" w14:textId="77777777" w:rsidR="00383C21" w:rsidRPr="007E15F6" w:rsidRDefault="00383C21">
            <w:pPr>
              <w:rPr>
                <w:rFonts w:asciiTheme="majorHAnsi" w:hAnsiTheme="majorHAnsi" w:cstheme="majorHAnsi"/>
                <w:sz w:val="18"/>
                <w:szCs w:val="18"/>
              </w:rPr>
            </w:pPr>
          </w:p>
          <w:p w14:paraId="409C9953" w14:textId="77FBB22F" w:rsidR="00565332" w:rsidRPr="007E15F6" w:rsidRDefault="008D52A6">
            <w:pPr>
              <w:rPr>
                <w:rFonts w:asciiTheme="majorHAnsi" w:hAnsiTheme="majorHAnsi" w:cstheme="majorHAnsi"/>
                <w:sz w:val="18"/>
                <w:szCs w:val="18"/>
              </w:rPr>
            </w:pPr>
            <w:r>
              <w:rPr>
                <w:rFonts w:asciiTheme="majorHAnsi" w:hAnsiTheme="majorHAnsi" w:cstheme="majorHAnsi"/>
                <w:sz w:val="18"/>
                <w:szCs w:val="18"/>
              </w:rPr>
              <w:t>Child care</w:t>
            </w:r>
            <w:r w:rsidR="00565332" w:rsidRPr="007E15F6">
              <w:rPr>
                <w:rFonts w:asciiTheme="majorHAnsi" w:hAnsiTheme="majorHAnsi" w:cstheme="majorHAnsi"/>
                <w:sz w:val="18"/>
                <w:szCs w:val="18"/>
              </w:rPr>
              <w:t xml:space="preserve">: no significant effect </w:t>
            </w:r>
          </w:p>
          <w:p w14:paraId="0C292F1E" w14:textId="6304D1A7" w:rsidR="00565332" w:rsidRPr="007E15F6" w:rsidRDefault="00565332">
            <w:pPr>
              <w:rPr>
                <w:rFonts w:asciiTheme="majorHAnsi" w:hAnsiTheme="majorHAnsi" w:cstheme="majorHAnsi"/>
                <w:sz w:val="18"/>
                <w:szCs w:val="18"/>
              </w:rPr>
            </w:pPr>
          </w:p>
        </w:tc>
        <w:tc>
          <w:tcPr>
            <w:tcW w:w="1985" w:type="dxa"/>
          </w:tcPr>
          <w:p w14:paraId="03030339" w14:textId="72D43DA9" w:rsidR="00565332" w:rsidRPr="007E15F6" w:rsidRDefault="00DE280D" w:rsidP="006C6E6D">
            <w:pPr>
              <w:rPr>
                <w:rFonts w:asciiTheme="majorHAnsi" w:hAnsiTheme="majorHAnsi" w:cstheme="majorHAnsi"/>
                <w:sz w:val="18"/>
                <w:szCs w:val="18"/>
              </w:rPr>
            </w:pPr>
            <w:sdt>
              <w:sdtPr>
                <w:rPr>
                  <w:rFonts w:asciiTheme="majorHAnsi" w:hAnsiTheme="majorHAnsi" w:cstheme="majorHAnsi"/>
                  <w:sz w:val="18"/>
                  <w:szCs w:val="18"/>
                </w:rPr>
                <w:id w:val="-486856045"/>
                <w:citation/>
              </w:sdtPr>
              <w:sdtEndPr/>
              <w:sdtContent>
                <w:r w:rsidR="00565332" w:rsidRPr="007E15F6">
                  <w:rPr>
                    <w:rFonts w:asciiTheme="majorHAnsi" w:hAnsiTheme="majorHAnsi" w:cstheme="majorHAnsi"/>
                    <w:sz w:val="18"/>
                    <w:szCs w:val="18"/>
                  </w:rPr>
                  <w:fldChar w:fldCharType="begin"/>
                </w:r>
                <w:r w:rsidR="00565332" w:rsidRPr="007E15F6">
                  <w:rPr>
                    <w:rFonts w:asciiTheme="majorHAnsi" w:hAnsiTheme="majorHAnsi" w:cstheme="majorHAnsi"/>
                    <w:sz w:val="18"/>
                    <w:szCs w:val="18"/>
                  </w:rPr>
                  <w:instrText xml:space="preserve"> CITATION Del09 \l 3081 </w:instrText>
                </w:r>
                <w:r w:rsidR="00565332" w:rsidRPr="007E15F6">
                  <w:rPr>
                    <w:rFonts w:asciiTheme="majorHAnsi" w:hAnsiTheme="majorHAnsi" w:cstheme="majorHAnsi"/>
                    <w:sz w:val="18"/>
                    <w:szCs w:val="18"/>
                  </w:rPr>
                  <w:fldChar w:fldCharType="separate"/>
                </w:r>
                <w:r w:rsidR="00BE2DD4" w:rsidRPr="00BC70D8">
                  <w:rPr>
                    <w:rFonts w:asciiTheme="majorHAnsi" w:hAnsiTheme="majorHAnsi" w:cstheme="majorHAnsi"/>
                    <w:noProof/>
                    <w:sz w:val="18"/>
                    <w:szCs w:val="18"/>
                  </w:rPr>
                  <w:t>(Del Boca, Pasqua, &amp; Pronzato, 2009)</w:t>
                </w:r>
                <w:r w:rsidR="00565332" w:rsidRPr="007E15F6">
                  <w:rPr>
                    <w:rFonts w:asciiTheme="majorHAnsi" w:hAnsiTheme="majorHAnsi" w:cstheme="majorHAnsi"/>
                    <w:sz w:val="18"/>
                    <w:szCs w:val="18"/>
                  </w:rPr>
                  <w:fldChar w:fldCharType="end"/>
                </w:r>
              </w:sdtContent>
            </w:sdt>
          </w:p>
        </w:tc>
      </w:tr>
      <w:tr w:rsidR="00565332" w14:paraId="1A9D7134" w14:textId="77777777" w:rsidTr="006C6E6D">
        <w:tc>
          <w:tcPr>
            <w:tcW w:w="1555" w:type="dxa"/>
          </w:tcPr>
          <w:p w14:paraId="7D0CA5F3" w14:textId="653F7124"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 xml:space="preserve">European Union </w:t>
            </w:r>
            <w:r w:rsidR="00BE2E6F" w:rsidRPr="007E15F6">
              <w:rPr>
                <w:rFonts w:asciiTheme="majorHAnsi" w:hAnsiTheme="majorHAnsi" w:cstheme="majorHAnsi"/>
                <w:sz w:val="18"/>
                <w:szCs w:val="18"/>
              </w:rPr>
              <w:t>S</w:t>
            </w:r>
            <w:r w:rsidRPr="007E15F6">
              <w:rPr>
                <w:rFonts w:asciiTheme="majorHAnsi" w:hAnsiTheme="majorHAnsi" w:cstheme="majorHAnsi"/>
                <w:sz w:val="18"/>
                <w:szCs w:val="18"/>
              </w:rPr>
              <w:t>urvey on Income and Living Conditions, 2004-2009</w:t>
            </w:r>
          </w:p>
          <w:p w14:paraId="4512D3A5" w14:textId="4DE4556F" w:rsidR="00565332" w:rsidRPr="007E15F6" w:rsidRDefault="00565332">
            <w:pPr>
              <w:rPr>
                <w:rFonts w:asciiTheme="majorHAnsi" w:hAnsiTheme="majorHAnsi" w:cstheme="majorHAnsi"/>
                <w:sz w:val="18"/>
                <w:szCs w:val="18"/>
              </w:rPr>
            </w:pPr>
          </w:p>
          <w:p w14:paraId="7E4E2C51" w14:textId="7A642F7F"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16</w:t>
            </w:r>
            <w:r w:rsidR="00132048" w:rsidRPr="007E15F6">
              <w:rPr>
                <w:rFonts w:asciiTheme="majorHAnsi" w:hAnsiTheme="majorHAnsi" w:cstheme="majorHAnsi"/>
                <w:sz w:val="18"/>
                <w:szCs w:val="18"/>
              </w:rPr>
              <w:t xml:space="preserve"> </w:t>
            </w:r>
            <w:r w:rsidRPr="007E15F6">
              <w:rPr>
                <w:rFonts w:asciiTheme="majorHAnsi" w:hAnsiTheme="majorHAnsi" w:cstheme="majorHAnsi"/>
                <w:sz w:val="18"/>
                <w:szCs w:val="18"/>
              </w:rPr>
              <w:t>countries</w:t>
            </w:r>
            <w:r w:rsidR="00132048" w:rsidRPr="007E15F6">
              <w:rPr>
                <w:rStyle w:val="FootnoteReference"/>
                <w:rFonts w:asciiTheme="majorHAnsi" w:hAnsiTheme="majorHAnsi" w:cstheme="majorHAnsi"/>
                <w:sz w:val="18"/>
                <w:szCs w:val="18"/>
              </w:rPr>
              <w:footnoteReference w:id="22"/>
            </w:r>
          </w:p>
          <w:p w14:paraId="0A96CDB9" w14:textId="5BD99415" w:rsidR="00565332" w:rsidRPr="007E15F6" w:rsidRDefault="00565332">
            <w:pPr>
              <w:rPr>
                <w:rFonts w:asciiTheme="majorHAnsi" w:hAnsiTheme="majorHAnsi" w:cstheme="majorHAnsi"/>
                <w:sz w:val="18"/>
                <w:szCs w:val="18"/>
              </w:rPr>
            </w:pPr>
          </w:p>
        </w:tc>
        <w:tc>
          <w:tcPr>
            <w:tcW w:w="1984" w:type="dxa"/>
          </w:tcPr>
          <w:p w14:paraId="10174DD6" w14:textId="3A75972C"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Total number of children living in household (for women aged 36-44)</w:t>
            </w:r>
          </w:p>
        </w:tc>
        <w:tc>
          <w:tcPr>
            <w:tcW w:w="1985" w:type="dxa"/>
          </w:tcPr>
          <w:p w14:paraId="6911D525" w14:textId="3B90F7A7"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Monthly family allowances for the second child, years 1992–1998.</w:t>
            </w:r>
          </w:p>
        </w:tc>
        <w:tc>
          <w:tcPr>
            <w:tcW w:w="2551" w:type="dxa"/>
          </w:tcPr>
          <w:p w14:paraId="4303152B" w14:textId="3F01C270"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 xml:space="preserve">Total weeks of maternity, paternity and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leave weighted by the level of cash benefits paid during each type of leave</w:t>
            </w:r>
          </w:p>
        </w:tc>
        <w:tc>
          <w:tcPr>
            <w:tcW w:w="2126" w:type="dxa"/>
          </w:tcPr>
          <w:p w14:paraId="2F39D2EE" w14:textId="0C89B7B7"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 xml:space="preserve">Places in public (or publicly subsidized)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facilities as % of children aged 0–2 years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coverage) </w:t>
            </w:r>
          </w:p>
          <w:p w14:paraId="06DF7C78" w14:textId="77777777" w:rsidR="00565332" w:rsidRPr="007E15F6" w:rsidRDefault="00565332">
            <w:pPr>
              <w:rPr>
                <w:rFonts w:asciiTheme="majorHAnsi" w:hAnsiTheme="majorHAnsi" w:cstheme="majorHAnsi"/>
                <w:sz w:val="18"/>
                <w:szCs w:val="18"/>
              </w:rPr>
            </w:pPr>
          </w:p>
          <w:p w14:paraId="5ECC5C77" w14:textId="13786A68"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 xml:space="preserve">Children aged 0–2 years in formal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as a % of all children aged 0-2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usage) </w:t>
            </w:r>
          </w:p>
        </w:tc>
        <w:tc>
          <w:tcPr>
            <w:tcW w:w="2977" w:type="dxa"/>
          </w:tcPr>
          <w:p w14:paraId="244FF018" w14:textId="1347813D" w:rsidR="00565332" w:rsidRPr="007E15F6" w:rsidRDefault="00565332">
            <w:pPr>
              <w:rPr>
                <w:rFonts w:asciiTheme="majorHAnsi" w:hAnsiTheme="majorHAnsi" w:cstheme="majorHAnsi"/>
                <w:sz w:val="18"/>
                <w:szCs w:val="18"/>
              </w:rPr>
            </w:pPr>
            <w:r w:rsidRPr="007E15F6">
              <w:rPr>
                <w:rFonts w:asciiTheme="majorHAnsi" w:hAnsiTheme="majorHAnsi" w:cstheme="majorHAnsi"/>
                <w:sz w:val="18"/>
                <w:szCs w:val="18"/>
              </w:rPr>
              <w:t xml:space="preserve">Family allowance: </w:t>
            </w:r>
            <w:r w:rsidR="00DE481C" w:rsidRPr="007E15F6">
              <w:rPr>
                <w:rFonts w:asciiTheme="majorHAnsi" w:hAnsiTheme="majorHAnsi" w:cstheme="majorHAnsi"/>
                <w:sz w:val="18"/>
                <w:szCs w:val="18"/>
              </w:rPr>
              <w:t>No significant relationship o</w:t>
            </w:r>
            <w:r w:rsidR="00C649B3" w:rsidRPr="007E15F6">
              <w:rPr>
                <w:rFonts w:asciiTheme="majorHAnsi" w:hAnsiTheme="majorHAnsi" w:cstheme="majorHAnsi"/>
                <w:sz w:val="18"/>
                <w:szCs w:val="18"/>
              </w:rPr>
              <w:t>verall, but significant for those with higher education</w:t>
            </w:r>
          </w:p>
          <w:p w14:paraId="3B2EB63A" w14:textId="0A11A05F" w:rsidR="00383C21" w:rsidRPr="007E15F6" w:rsidRDefault="00383C21" w:rsidP="00B239C2">
            <w:pPr>
              <w:rPr>
                <w:rFonts w:asciiTheme="majorHAnsi" w:hAnsiTheme="majorHAnsi" w:cstheme="majorHAnsi"/>
                <w:sz w:val="18"/>
                <w:szCs w:val="18"/>
              </w:rPr>
            </w:pPr>
          </w:p>
          <w:p w14:paraId="3DACB62E" w14:textId="681AF138" w:rsidR="00DE481C" w:rsidRPr="007E15F6" w:rsidRDefault="00DE481C">
            <w:pPr>
              <w:rPr>
                <w:rFonts w:asciiTheme="majorHAnsi" w:hAnsiTheme="majorHAnsi" w:cstheme="majorHAnsi"/>
                <w:sz w:val="18"/>
                <w:szCs w:val="18"/>
              </w:rPr>
            </w:pPr>
            <w:r w:rsidRPr="007E15F6">
              <w:rPr>
                <w:rFonts w:asciiTheme="majorHAnsi" w:hAnsiTheme="majorHAnsi" w:cstheme="majorHAnsi"/>
                <w:sz w:val="18"/>
                <w:szCs w:val="18"/>
              </w:rPr>
              <w:t>Parental leave: No significant effect overall</w:t>
            </w:r>
            <w:r w:rsidR="00C649B3" w:rsidRPr="007E15F6">
              <w:rPr>
                <w:rFonts w:asciiTheme="majorHAnsi" w:hAnsiTheme="majorHAnsi" w:cstheme="majorHAnsi"/>
                <w:sz w:val="18"/>
                <w:szCs w:val="18"/>
              </w:rPr>
              <w:t>, but significant for those with higher education.</w:t>
            </w:r>
          </w:p>
          <w:p w14:paraId="75299A14" w14:textId="77777777" w:rsidR="00565332" w:rsidRPr="007E15F6" w:rsidRDefault="00565332">
            <w:pPr>
              <w:rPr>
                <w:rFonts w:asciiTheme="majorHAnsi" w:hAnsiTheme="majorHAnsi" w:cstheme="majorHAnsi"/>
                <w:sz w:val="18"/>
                <w:szCs w:val="18"/>
              </w:rPr>
            </w:pPr>
          </w:p>
          <w:p w14:paraId="6C2AD471" w14:textId="6F30FB6D" w:rsidR="00565332" w:rsidRPr="007E15F6" w:rsidRDefault="008D52A6">
            <w:pPr>
              <w:rPr>
                <w:rFonts w:asciiTheme="majorHAnsi" w:hAnsiTheme="majorHAnsi" w:cstheme="majorHAnsi"/>
                <w:sz w:val="18"/>
                <w:szCs w:val="18"/>
              </w:rPr>
            </w:pPr>
            <w:r>
              <w:rPr>
                <w:rFonts w:asciiTheme="majorHAnsi" w:hAnsiTheme="majorHAnsi" w:cstheme="majorHAnsi"/>
                <w:sz w:val="18"/>
                <w:szCs w:val="18"/>
              </w:rPr>
              <w:t>Child care</w:t>
            </w:r>
            <w:r w:rsidR="00DE481C" w:rsidRPr="007E15F6">
              <w:rPr>
                <w:rFonts w:asciiTheme="majorHAnsi" w:hAnsiTheme="majorHAnsi" w:cstheme="majorHAnsi"/>
                <w:sz w:val="18"/>
                <w:szCs w:val="18"/>
              </w:rPr>
              <w:t xml:space="preserve">: </w:t>
            </w:r>
            <w:r w:rsidR="00565332" w:rsidRPr="007E15F6">
              <w:rPr>
                <w:rFonts w:asciiTheme="majorHAnsi" w:hAnsiTheme="majorHAnsi" w:cstheme="majorHAnsi"/>
                <w:sz w:val="18"/>
                <w:szCs w:val="18"/>
              </w:rPr>
              <w:t xml:space="preserve">Significant positive association </w:t>
            </w:r>
            <w:r w:rsidR="00DE481C" w:rsidRPr="007E15F6">
              <w:rPr>
                <w:rFonts w:asciiTheme="majorHAnsi" w:hAnsiTheme="majorHAnsi" w:cstheme="majorHAnsi"/>
                <w:sz w:val="18"/>
                <w:szCs w:val="18"/>
              </w:rPr>
              <w:t>with fertility</w:t>
            </w:r>
            <w:r w:rsidR="00565332" w:rsidRPr="007E15F6">
              <w:rPr>
                <w:rFonts w:asciiTheme="majorHAnsi" w:hAnsiTheme="majorHAnsi" w:cstheme="majorHAnsi"/>
                <w:sz w:val="18"/>
                <w:szCs w:val="18"/>
              </w:rPr>
              <w:t xml:space="preserve">.  Positive relationship for all age groups, but stronger for the highly educated. </w:t>
            </w:r>
          </w:p>
        </w:tc>
        <w:tc>
          <w:tcPr>
            <w:tcW w:w="1985" w:type="dxa"/>
          </w:tcPr>
          <w:p w14:paraId="198190D1" w14:textId="7863E4A7" w:rsidR="00565332" w:rsidRPr="007E15F6" w:rsidRDefault="003A75FA" w:rsidP="006C6E6D">
            <w:pPr>
              <w:rPr>
                <w:rFonts w:asciiTheme="majorHAnsi" w:hAnsiTheme="majorHAnsi" w:cstheme="majorHAnsi"/>
                <w:sz w:val="18"/>
                <w:szCs w:val="18"/>
              </w:rPr>
            </w:pPr>
            <w:r w:rsidRPr="007E15F6">
              <w:rPr>
                <w:rFonts w:asciiTheme="majorHAnsi" w:hAnsiTheme="majorHAnsi" w:cstheme="majorHAnsi"/>
                <w:noProof/>
                <w:sz w:val="18"/>
                <w:szCs w:val="18"/>
              </w:rPr>
              <w:t xml:space="preserve">(Baizan, </w:t>
            </w:r>
            <w:r w:rsidRPr="00C96C57">
              <w:rPr>
                <w:rFonts w:asciiTheme="majorHAnsi" w:hAnsiTheme="majorHAnsi" w:cstheme="majorHAnsi"/>
                <w:i/>
                <w:iCs/>
                <w:noProof/>
                <w:sz w:val="18"/>
                <w:szCs w:val="18"/>
              </w:rPr>
              <w:t>et al</w:t>
            </w:r>
            <w:r w:rsidRPr="007E15F6">
              <w:rPr>
                <w:rFonts w:asciiTheme="majorHAnsi" w:hAnsiTheme="majorHAnsi" w:cstheme="majorHAnsi"/>
                <w:noProof/>
                <w:sz w:val="18"/>
                <w:szCs w:val="18"/>
              </w:rPr>
              <w:t>. 2016)</w:t>
            </w:r>
          </w:p>
        </w:tc>
      </w:tr>
      <w:tr w:rsidR="00565332" w14:paraId="6F50260C" w14:textId="77777777" w:rsidTr="006C6E6D">
        <w:tc>
          <w:tcPr>
            <w:tcW w:w="1555" w:type="dxa"/>
          </w:tcPr>
          <w:p w14:paraId="1CC176B3" w14:textId="77777777"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OECD data</w:t>
            </w:r>
          </w:p>
          <w:p w14:paraId="5ED75061" w14:textId="77777777"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 xml:space="preserve">1982-2007 </w:t>
            </w:r>
          </w:p>
          <w:p w14:paraId="26282605" w14:textId="77777777" w:rsidR="00565332" w:rsidRPr="007E15F6" w:rsidRDefault="00565332" w:rsidP="006C6E6D">
            <w:pPr>
              <w:rPr>
                <w:rFonts w:asciiTheme="majorHAnsi" w:hAnsiTheme="majorHAnsi" w:cstheme="majorHAnsi"/>
                <w:sz w:val="18"/>
                <w:szCs w:val="18"/>
              </w:rPr>
            </w:pPr>
          </w:p>
          <w:p w14:paraId="7BFFA5F0" w14:textId="0335AAF1"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18 countries</w:t>
            </w:r>
          </w:p>
        </w:tc>
        <w:tc>
          <w:tcPr>
            <w:tcW w:w="1984" w:type="dxa"/>
          </w:tcPr>
          <w:p w14:paraId="74F66C0A" w14:textId="0424EBB1"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TFR and tempo-adjusted TFR</w:t>
            </w:r>
          </w:p>
        </w:tc>
        <w:tc>
          <w:tcPr>
            <w:tcW w:w="1985" w:type="dxa"/>
          </w:tcPr>
          <w:p w14:paraId="2C9BB0F9" w14:textId="698612CB"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 xml:space="preserve">Spending on cash benefits per child under age 20 (% of GDP per capita) </w:t>
            </w:r>
          </w:p>
        </w:tc>
        <w:tc>
          <w:tcPr>
            <w:tcW w:w="2551" w:type="dxa"/>
          </w:tcPr>
          <w:p w14:paraId="3B8E1DA9" w14:textId="2E3DE923"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Spending per birth (%  of GDP per capita), including maternity, paternity and parental leave benefits as well as birth grants</w:t>
            </w:r>
          </w:p>
          <w:p w14:paraId="72D3D6A6" w14:textId="77777777" w:rsidR="00565332" w:rsidRPr="007E15F6" w:rsidRDefault="00565332" w:rsidP="006C6E6D">
            <w:pPr>
              <w:rPr>
                <w:rFonts w:asciiTheme="majorHAnsi" w:hAnsiTheme="majorHAnsi" w:cstheme="majorHAnsi"/>
                <w:sz w:val="18"/>
                <w:szCs w:val="18"/>
              </w:rPr>
            </w:pPr>
          </w:p>
          <w:p w14:paraId="039DD613" w14:textId="1F53856F" w:rsidR="00565332" w:rsidRPr="007E15F6" w:rsidRDefault="00132048" w:rsidP="006C6E6D">
            <w:pPr>
              <w:rPr>
                <w:rFonts w:asciiTheme="majorHAnsi" w:hAnsiTheme="majorHAnsi" w:cstheme="majorHAnsi"/>
                <w:sz w:val="18"/>
                <w:szCs w:val="18"/>
              </w:rPr>
            </w:pPr>
            <w:r w:rsidRPr="007E15F6">
              <w:rPr>
                <w:rFonts w:asciiTheme="majorHAnsi" w:hAnsiTheme="majorHAnsi" w:cstheme="majorHAnsi"/>
                <w:sz w:val="18"/>
                <w:szCs w:val="18"/>
              </w:rPr>
              <w:t>Nu</w:t>
            </w:r>
            <w:r w:rsidR="00565332" w:rsidRPr="007E15F6">
              <w:rPr>
                <w:rFonts w:asciiTheme="majorHAnsi" w:hAnsiTheme="majorHAnsi" w:cstheme="majorHAnsi"/>
                <w:sz w:val="18"/>
                <w:szCs w:val="18"/>
              </w:rPr>
              <w:t>mber of paid leave week</w:t>
            </w:r>
            <w:r w:rsidRPr="007E15F6">
              <w:rPr>
                <w:rFonts w:asciiTheme="majorHAnsi" w:hAnsiTheme="majorHAnsi" w:cstheme="majorHAnsi"/>
                <w:sz w:val="18"/>
                <w:szCs w:val="18"/>
              </w:rPr>
              <w:t>s</w:t>
            </w:r>
          </w:p>
        </w:tc>
        <w:tc>
          <w:tcPr>
            <w:tcW w:w="2126" w:type="dxa"/>
          </w:tcPr>
          <w:p w14:paraId="26E08F0E" w14:textId="0B71DB6F"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 xml:space="preserve">Spending on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services per child </w:t>
            </w:r>
            <w:r w:rsidR="00132048" w:rsidRPr="007E15F6">
              <w:rPr>
                <w:rFonts w:asciiTheme="majorHAnsi" w:hAnsiTheme="majorHAnsi" w:cstheme="majorHAnsi"/>
                <w:sz w:val="18"/>
                <w:szCs w:val="18"/>
              </w:rPr>
              <w:t>aged 0-3</w:t>
            </w:r>
            <w:r w:rsidRPr="007E15F6">
              <w:rPr>
                <w:rFonts w:asciiTheme="majorHAnsi" w:hAnsiTheme="majorHAnsi" w:cstheme="majorHAnsi"/>
                <w:sz w:val="18"/>
                <w:szCs w:val="18"/>
              </w:rPr>
              <w:t xml:space="preserve"> (% GDP per capita)</w:t>
            </w:r>
          </w:p>
          <w:p w14:paraId="24C750CD" w14:textId="77777777" w:rsidR="00565332" w:rsidRPr="007E15F6" w:rsidRDefault="00565332" w:rsidP="006C6E6D">
            <w:pPr>
              <w:rPr>
                <w:rFonts w:asciiTheme="majorHAnsi" w:hAnsiTheme="majorHAnsi" w:cstheme="majorHAnsi"/>
                <w:sz w:val="18"/>
                <w:szCs w:val="18"/>
              </w:rPr>
            </w:pPr>
          </w:p>
          <w:p w14:paraId="71EA8068" w14:textId="3DFB8FDD" w:rsidR="00565332" w:rsidRPr="007E15F6" w:rsidRDefault="00132048" w:rsidP="006C6E6D">
            <w:pPr>
              <w:rPr>
                <w:rFonts w:asciiTheme="majorHAnsi" w:hAnsiTheme="majorHAnsi" w:cstheme="majorHAnsi"/>
                <w:sz w:val="18"/>
                <w:szCs w:val="18"/>
              </w:rPr>
            </w:pPr>
            <w:r w:rsidRPr="007E15F6">
              <w:rPr>
                <w:rFonts w:asciiTheme="majorHAnsi" w:hAnsiTheme="majorHAnsi" w:cstheme="majorHAnsi"/>
                <w:sz w:val="18"/>
                <w:szCs w:val="18"/>
              </w:rPr>
              <w:t xml:space="preserve">% of children aged 0-3 enrolled in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w:t>
            </w:r>
          </w:p>
        </w:tc>
        <w:tc>
          <w:tcPr>
            <w:tcW w:w="2977" w:type="dxa"/>
          </w:tcPr>
          <w:p w14:paraId="5FCEDF4D" w14:textId="55D1A0B2"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All policies positively related to TFR.</w:t>
            </w:r>
          </w:p>
          <w:p w14:paraId="69876BAD" w14:textId="77777777" w:rsidR="00565332" w:rsidRPr="007E15F6" w:rsidRDefault="00565332" w:rsidP="006C6E6D">
            <w:pPr>
              <w:rPr>
                <w:rFonts w:asciiTheme="majorHAnsi" w:hAnsiTheme="majorHAnsi" w:cstheme="majorHAnsi"/>
                <w:sz w:val="18"/>
                <w:szCs w:val="18"/>
              </w:rPr>
            </w:pPr>
          </w:p>
          <w:p w14:paraId="2BF216BD" w14:textId="77777777"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Some differences by type of welfare state.</w:t>
            </w:r>
          </w:p>
          <w:p w14:paraId="6BE10550" w14:textId="577B3020" w:rsidR="00565332" w:rsidRPr="007E15F6" w:rsidRDefault="00565332" w:rsidP="006C6E6D">
            <w:pPr>
              <w:rPr>
                <w:rFonts w:asciiTheme="majorHAnsi" w:hAnsiTheme="majorHAnsi" w:cstheme="majorHAnsi"/>
                <w:sz w:val="18"/>
                <w:szCs w:val="18"/>
              </w:rPr>
            </w:pPr>
          </w:p>
        </w:tc>
        <w:tc>
          <w:tcPr>
            <w:tcW w:w="1985" w:type="dxa"/>
          </w:tcPr>
          <w:p w14:paraId="37AC7D50" w14:textId="265CD1D5" w:rsidR="00565332" w:rsidRPr="007E15F6" w:rsidRDefault="00C96C57" w:rsidP="006C6E6D">
            <w:pPr>
              <w:rPr>
                <w:rFonts w:asciiTheme="majorHAnsi" w:hAnsiTheme="majorHAnsi" w:cstheme="majorHAnsi"/>
                <w:sz w:val="18"/>
                <w:szCs w:val="18"/>
              </w:rPr>
            </w:pPr>
            <w:r w:rsidRPr="007E15F6">
              <w:rPr>
                <w:rFonts w:asciiTheme="majorHAnsi" w:hAnsiTheme="majorHAnsi" w:cstheme="majorHAnsi"/>
                <w:noProof/>
                <w:sz w:val="18"/>
                <w:szCs w:val="18"/>
              </w:rPr>
              <w:t>(Luci-Greulich &amp; Thévenon, 2013)</w:t>
            </w:r>
          </w:p>
        </w:tc>
      </w:tr>
      <w:tr w:rsidR="00BE2E6F" w14:paraId="2F27DFC5" w14:textId="77777777" w:rsidTr="006C6E6D">
        <w:tc>
          <w:tcPr>
            <w:tcW w:w="1555" w:type="dxa"/>
          </w:tcPr>
          <w:p w14:paraId="7BB15CA0" w14:textId="5B16FDF2"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European Union Survey on Income and Living Conditions</w:t>
            </w:r>
          </w:p>
          <w:p w14:paraId="1C1926D3" w14:textId="09DE1465"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2004-2009</w:t>
            </w:r>
          </w:p>
          <w:p w14:paraId="28BA4BB7" w14:textId="77777777" w:rsidR="00BE2E6F" w:rsidRPr="007E15F6" w:rsidRDefault="00BE2E6F" w:rsidP="006C6E6D">
            <w:pPr>
              <w:rPr>
                <w:rFonts w:asciiTheme="majorHAnsi" w:hAnsiTheme="majorHAnsi" w:cstheme="majorHAnsi"/>
                <w:sz w:val="18"/>
                <w:szCs w:val="18"/>
              </w:rPr>
            </w:pPr>
          </w:p>
          <w:p w14:paraId="37277BA3" w14:textId="3C87E454"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 xml:space="preserve">27 countries </w:t>
            </w:r>
          </w:p>
        </w:tc>
        <w:tc>
          <w:tcPr>
            <w:tcW w:w="1984" w:type="dxa"/>
          </w:tcPr>
          <w:p w14:paraId="7D132A7E" w14:textId="4BA172E7"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Transition to first birth</w:t>
            </w:r>
          </w:p>
          <w:p w14:paraId="0BC1D27A" w14:textId="77777777" w:rsidR="00BE2E6F" w:rsidRPr="007E15F6" w:rsidRDefault="00BE2E6F" w:rsidP="006C6E6D">
            <w:pPr>
              <w:rPr>
                <w:rFonts w:asciiTheme="majorHAnsi" w:hAnsiTheme="majorHAnsi" w:cstheme="majorHAnsi"/>
                <w:sz w:val="18"/>
                <w:szCs w:val="18"/>
              </w:rPr>
            </w:pPr>
          </w:p>
          <w:p w14:paraId="00BEE726" w14:textId="358823C3"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Transition to second birth</w:t>
            </w:r>
          </w:p>
        </w:tc>
        <w:tc>
          <w:tcPr>
            <w:tcW w:w="1985" w:type="dxa"/>
          </w:tcPr>
          <w:p w14:paraId="36B6427F" w14:textId="2D83CF6C"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w:t>
            </w:r>
          </w:p>
        </w:tc>
        <w:tc>
          <w:tcPr>
            <w:tcW w:w="2551" w:type="dxa"/>
          </w:tcPr>
          <w:p w14:paraId="193590A5" w14:textId="77777777" w:rsidR="00BE2E6F" w:rsidRPr="007E15F6" w:rsidRDefault="00BE2E6F" w:rsidP="006C6E6D">
            <w:pPr>
              <w:rPr>
                <w:rFonts w:asciiTheme="majorHAnsi" w:hAnsiTheme="majorHAnsi" w:cstheme="majorHAnsi"/>
                <w:sz w:val="18"/>
                <w:szCs w:val="18"/>
              </w:rPr>
            </w:pPr>
          </w:p>
          <w:p w14:paraId="1086C7B8" w14:textId="77777777"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 xml:space="preserve">Eligibility </w:t>
            </w:r>
          </w:p>
          <w:p w14:paraId="5D30939E" w14:textId="77777777"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Duration</w:t>
            </w:r>
          </w:p>
          <w:p w14:paraId="1A779462" w14:textId="77777777"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Compensation rate</w:t>
            </w:r>
          </w:p>
          <w:p w14:paraId="0921C3A1" w14:textId="1F49538D"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Flexibility</w:t>
            </w:r>
          </w:p>
        </w:tc>
        <w:tc>
          <w:tcPr>
            <w:tcW w:w="2126" w:type="dxa"/>
          </w:tcPr>
          <w:p w14:paraId="43A076DF" w14:textId="77777777" w:rsidR="00BE2E6F" w:rsidRDefault="00BE2E6F" w:rsidP="006C6E6D">
            <w:pPr>
              <w:rPr>
                <w:rFonts w:asciiTheme="majorHAnsi" w:hAnsiTheme="majorHAnsi" w:cstheme="majorHAnsi"/>
                <w:sz w:val="18"/>
                <w:szCs w:val="18"/>
              </w:rPr>
            </w:pPr>
          </w:p>
          <w:p w14:paraId="6F5AACFC" w14:textId="5FF8EFD3" w:rsidR="00BE2E6F" w:rsidRPr="007E15F6" w:rsidRDefault="00BE2E6F" w:rsidP="006C6E6D">
            <w:pPr>
              <w:rPr>
                <w:rFonts w:asciiTheme="majorHAnsi" w:hAnsiTheme="majorHAnsi" w:cstheme="majorHAnsi"/>
                <w:sz w:val="18"/>
                <w:szCs w:val="18"/>
              </w:rPr>
            </w:pPr>
            <w:r w:rsidRPr="007E15F6">
              <w:rPr>
                <w:rFonts w:asciiTheme="majorHAnsi" w:hAnsiTheme="majorHAnsi" w:cstheme="majorHAnsi"/>
                <w:sz w:val="18"/>
                <w:szCs w:val="18"/>
              </w:rPr>
              <w:t xml:space="preserve">Use of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services amongst children under 3</w:t>
            </w:r>
          </w:p>
        </w:tc>
        <w:tc>
          <w:tcPr>
            <w:tcW w:w="2977" w:type="dxa"/>
          </w:tcPr>
          <w:p w14:paraId="403DBDAE" w14:textId="77777777" w:rsidR="00BE2E6F" w:rsidRDefault="00776D3E" w:rsidP="006C6E6D">
            <w:pPr>
              <w:rPr>
                <w:rFonts w:asciiTheme="majorHAnsi" w:hAnsiTheme="majorHAnsi" w:cstheme="majorHAnsi"/>
                <w:sz w:val="18"/>
                <w:szCs w:val="18"/>
              </w:rPr>
            </w:pPr>
            <w:r>
              <w:rPr>
                <w:rFonts w:asciiTheme="majorHAnsi" w:hAnsiTheme="majorHAnsi" w:cstheme="majorHAnsi"/>
                <w:sz w:val="18"/>
                <w:szCs w:val="18"/>
              </w:rPr>
              <w:t>No significant relationship between eligibility to parental leave and first or second birth transitions.</w:t>
            </w:r>
          </w:p>
          <w:p w14:paraId="6B899D3A" w14:textId="77777777" w:rsidR="00776D3E" w:rsidRDefault="00776D3E" w:rsidP="006C6E6D">
            <w:pPr>
              <w:rPr>
                <w:rFonts w:asciiTheme="majorHAnsi" w:hAnsiTheme="majorHAnsi" w:cstheme="majorHAnsi"/>
                <w:sz w:val="18"/>
                <w:szCs w:val="18"/>
              </w:rPr>
            </w:pPr>
          </w:p>
          <w:p w14:paraId="55204F6F" w14:textId="307D7668" w:rsidR="00776D3E" w:rsidRDefault="00776D3E" w:rsidP="006C6E6D">
            <w:pPr>
              <w:rPr>
                <w:rFonts w:asciiTheme="majorHAnsi" w:hAnsiTheme="majorHAnsi" w:cstheme="majorHAnsi"/>
                <w:sz w:val="18"/>
                <w:szCs w:val="18"/>
              </w:rPr>
            </w:pPr>
            <w:r>
              <w:rPr>
                <w:rFonts w:asciiTheme="majorHAnsi" w:hAnsiTheme="majorHAnsi" w:cstheme="majorHAnsi"/>
                <w:sz w:val="18"/>
                <w:szCs w:val="18"/>
              </w:rPr>
              <w:t>Shorter but well-paid parental leave was associated with a higher transition to first and second births</w:t>
            </w:r>
          </w:p>
          <w:p w14:paraId="793AF4E6" w14:textId="77777777" w:rsidR="00776D3E" w:rsidRDefault="00776D3E" w:rsidP="006C6E6D">
            <w:pPr>
              <w:rPr>
                <w:rFonts w:asciiTheme="majorHAnsi" w:hAnsiTheme="majorHAnsi" w:cstheme="majorHAnsi"/>
                <w:sz w:val="18"/>
                <w:szCs w:val="18"/>
              </w:rPr>
            </w:pPr>
          </w:p>
          <w:p w14:paraId="04AB33EA" w14:textId="0934647B" w:rsidR="00776D3E" w:rsidRPr="007E15F6" w:rsidRDefault="008D52A6" w:rsidP="006C6E6D">
            <w:pPr>
              <w:rPr>
                <w:rFonts w:asciiTheme="majorHAnsi" w:hAnsiTheme="majorHAnsi" w:cstheme="majorHAnsi"/>
                <w:sz w:val="18"/>
                <w:szCs w:val="18"/>
              </w:rPr>
            </w:pPr>
            <w:r>
              <w:rPr>
                <w:rFonts w:asciiTheme="majorHAnsi" w:hAnsiTheme="majorHAnsi" w:cstheme="majorHAnsi"/>
                <w:sz w:val="18"/>
                <w:szCs w:val="18"/>
              </w:rPr>
              <w:t>Child care</w:t>
            </w:r>
            <w:r w:rsidR="00776D3E">
              <w:rPr>
                <w:rFonts w:asciiTheme="majorHAnsi" w:hAnsiTheme="majorHAnsi" w:cstheme="majorHAnsi"/>
                <w:sz w:val="18"/>
                <w:szCs w:val="18"/>
              </w:rPr>
              <w:t xml:space="preserve"> availability significantly positively associated with first and second births </w:t>
            </w:r>
          </w:p>
        </w:tc>
        <w:tc>
          <w:tcPr>
            <w:tcW w:w="1985" w:type="dxa"/>
          </w:tcPr>
          <w:p w14:paraId="36F34EEE" w14:textId="20CA1776" w:rsidR="00BE2E6F" w:rsidRPr="007E15F6" w:rsidRDefault="00BE2E6F" w:rsidP="006C6E6D">
            <w:pPr>
              <w:rPr>
                <w:rFonts w:asciiTheme="majorHAnsi" w:hAnsiTheme="majorHAnsi" w:cstheme="majorHAnsi"/>
                <w:noProof/>
                <w:sz w:val="18"/>
                <w:szCs w:val="18"/>
              </w:rPr>
            </w:pPr>
            <w:r w:rsidRPr="007E15F6">
              <w:rPr>
                <w:rFonts w:asciiTheme="majorHAnsi" w:hAnsiTheme="majorHAnsi" w:cstheme="majorHAnsi"/>
                <w:noProof/>
                <w:sz w:val="18"/>
                <w:szCs w:val="18"/>
              </w:rPr>
              <w:t>(Bártová, 2016)</w:t>
            </w:r>
          </w:p>
        </w:tc>
      </w:tr>
    </w:tbl>
    <w:p w14:paraId="3A0F0924" w14:textId="28CE4CF0" w:rsidR="00B239C2" w:rsidRDefault="00B239C2" w:rsidP="00B239C2">
      <w:pPr>
        <w:pStyle w:val="Caption"/>
      </w:pPr>
    </w:p>
    <w:p w14:paraId="0D6A6550" w14:textId="19E6FC20" w:rsidR="00B239C2" w:rsidRDefault="00B239C2" w:rsidP="00B239C2"/>
    <w:p w14:paraId="5DD55588" w14:textId="7921EB6A" w:rsidR="009929D5" w:rsidRDefault="009929D5" w:rsidP="006C6E6D">
      <w:pPr>
        <w:pStyle w:val="Caption"/>
      </w:pPr>
      <w:r>
        <w:lastRenderedPageBreak/>
        <w:t xml:space="preserve">Table </w:t>
      </w:r>
      <w:r w:rsidR="00DD31D4">
        <w:t>20</w:t>
      </w:r>
      <w:r w:rsidR="00B239C2">
        <w:t xml:space="preserve"> Cross-national, cross-policy studies</w:t>
      </w:r>
      <w:r>
        <w:t xml:space="preserve"> (continued)</w:t>
      </w:r>
    </w:p>
    <w:tbl>
      <w:tblPr>
        <w:tblStyle w:val="TableGrid"/>
        <w:tblW w:w="1516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555"/>
        <w:gridCol w:w="1984"/>
        <w:gridCol w:w="1985"/>
        <w:gridCol w:w="2551"/>
        <w:gridCol w:w="2126"/>
        <w:gridCol w:w="2977"/>
        <w:gridCol w:w="1985"/>
      </w:tblGrid>
      <w:tr w:rsidR="009B275A" w:rsidRPr="00456E93" w14:paraId="276EEF69" w14:textId="77777777" w:rsidTr="006C6E6D">
        <w:tc>
          <w:tcPr>
            <w:tcW w:w="1555" w:type="dxa"/>
            <w:shd w:val="clear" w:color="auto" w:fill="FBE4D5" w:themeFill="accent2" w:themeFillTint="33"/>
          </w:tcPr>
          <w:p w14:paraId="713D38A2" w14:textId="77777777" w:rsidR="00132048" w:rsidRPr="00456E93" w:rsidRDefault="00132048" w:rsidP="006C6E6D">
            <w:pPr>
              <w:rPr>
                <w:rFonts w:ascii="Tw Cen MT Condensed" w:hAnsi="Tw Cen MT Condensed"/>
              </w:rPr>
            </w:pPr>
            <w:r w:rsidRPr="00456E93">
              <w:rPr>
                <w:rFonts w:ascii="Tw Cen MT Condensed" w:hAnsi="Tw Cen MT Condensed"/>
              </w:rPr>
              <w:t>Data</w:t>
            </w:r>
          </w:p>
        </w:tc>
        <w:tc>
          <w:tcPr>
            <w:tcW w:w="1984" w:type="dxa"/>
            <w:shd w:val="clear" w:color="auto" w:fill="FBE4D5" w:themeFill="accent2" w:themeFillTint="33"/>
          </w:tcPr>
          <w:p w14:paraId="54B28A26" w14:textId="77777777" w:rsidR="00132048" w:rsidRPr="00456E93" w:rsidRDefault="00132048" w:rsidP="006C6E6D">
            <w:pPr>
              <w:rPr>
                <w:rFonts w:ascii="Tw Cen MT Condensed" w:hAnsi="Tw Cen MT Condensed"/>
              </w:rPr>
            </w:pPr>
            <w:r w:rsidRPr="00456E93">
              <w:rPr>
                <w:rFonts w:ascii="Tw Cen MT Condensed" w:hAnsi="Tw Cen MT Condensed"/>
              </w:rPr>
              <w:t>Fertility outcome</w:t>
            </w:r>
          </w:p>
        </w:tc>
        <w:tc>
          <w:tcPr>
            <w:tcW w:w="1985" w:type="dxa"/>
            <w:shd w:val="clear" w:color="auto" w:fill="FBE4D5" w:themeFill="accent2" w:themeFillTint="33"/>
          </w:tcPr>
          <w:p w14:paraId="606AB1D7" w14:textId="77777777" w:rsidR="00132048" w:rsidRPr="00456E93" w:rsidRDefault="00132048" w:rsidP="006C6E6D">
            <w:pPr>
              <w:rPr>
                <w:rFonts w:ascii="Tw Cen MT Condensed" w:hAnsi="Tw Cen MT Condensed"/>
              </w:rPr>
            </w:pPr>
            <w:r w:rsidRPr="00456E93">
              <w:rPr>
                <w:rFonts w:ascii="Tw Cen MT Condensed" w:hAnsi="Tw Cen MT Condensed"/>
              </w:rPr>
              <w:t>Family allowance</w:t>
            </w:r>
          </w:p>
        </w:tc>
        <w:tc>
          <w:tcPr>
            <w:tcW w:w="2551" w:type="dxa"/>
            <w:shd w:val="clear" w:color="auto" w:fill="FBE4D5" w:themeFill="accent2" w:themeFillTint="33"/>
          </w:tcPr>
          <w:p w14:paraId="78355D5E" w14:textId="77777777" w:rsidR="00132048" w:rsidRPr="00456E93" w:rsidRDefault="00132048" w:rsidP="006C6E6D">
            <w:pPr>
              <w:rPr>
                <w:rFonts w:ascii="Tw Cen MT Condensed" w:hAnsi="Tw Cen MT Condensed"/>
              </w:rPr>
            </w:pPr>
            <w:r w:rsidRPr="00456E93">
              <w:rPr>
                <w:rFonts w:ascii="Tw Cen MT Condensed" w:hAnsi="Tw Cen MT Condensed"/>
              </w:rPr>
              <w:t>Parental leave</w:t>
            </w:r>
          </w:p>
        </w:tc>
        <w:tc>
          <w:tcPr>
            <w:tcW w:w="2126" w:type="dxa"/>
            <w:shd w:val="clear" w:color="auto" w:fill="FBE4D5" w:themeFill="accent2" w:themeFillTint="33"/>
          </w:tcPr>
          <w:p w14:paraId="324BDE4E" w14:textId="1AA3BAB4" w:rsidR="00132048" w:rsidRPr="00456E93" w:rsidRDefault="008D52A6" w:rsidP="006C6E6D">
            <w:pPr>
              <w:rPr>
                <w:rFonts w:ascii="Tw Cen MT Condensed" w:hAnsi="Tw Cen MT Condensed"/>
              </w:rPr>
            </w:pPr>
            <w:r>
              <w:rPr>
                <w:rFonts w:ascii="Tw Cen MT Condensed" w:hAnsi="Tw Cen MT Condensed"/>
              </w:rPr>
              <w:t>Child care</w:t>
            </w:r>
          </w:p>
        </w:tc>
        <w:tc>
          <w:tcPr>
            <w:tcW w:w="2977" w:type="dxa"/>
            <w:shd w:val="clear" w:color="auto" w:fill="FBE4D5" w:themeFill="accent2" w:themeFillTint="33"/>
          </w:tcPr>
          <w:p w14:paraId="239C1341" w14:textId="77777777" w:rsidR="00132048" w:rsidRPr="00456E93" w:rsidRDefault="00132048" w:rsidP="006C6E6D">
            <w:pPr>
              <w:rPr>
                <w:rFonts w:ascii="Tw Cen MT Condensed" w:hAnsi="Tw Cen MT Condensed"/>
              </w:rPr>
            </w:pPr>
            <w:r w:rsidRPr="00456E93">
              <w:rPr>
                <w:rFonts w:ascii="Tw Cen MT Condensed" w:hAnsi="Tw Cen MT Condensed"/>
              </w:rPr>
              <w:t>Result</w:t>
            </w:r>
          </w:p>
        </w:tc>
        <w:tc>
          <w:tcPr>
            <w:tcW w:w="1985" w:type="dxa"/>
            <w:shd w:val="clear" w:color="auto" w:fill="FBE4D5" w:themeFill="accent2" w:themeFillTint="33"/>
          </w:tcPr>
          <w:p w14:paraId="359B71F1" w14:textId="77777777" w:rsidR="00132048" w:rsidRPr="00456E93" w:rsidRDefault="00132048" w:rsidP="006C6E6D">
            <w:pPr>
              <w:jc w:val="both"/>
              <w:rPr>
                <w:rFonts w:ascii="Tw Cen MT Condensed" w:hAnsi="Tw Cen MT Condensed"/>
              </w:rPr>
            </w:pPr>
            <w:r w:rsidRPr="00456E93">
              <w:rPr>
                <w:rFonts w:ascii="Tw Cen MT Condensed" w:hAnsi="Tw Cen MT Condensed"/>
              </w:rPr>
              <w:t>Study</w:t>
            </w:r>
          </w:p>
        </w:tc>
      </w:tr>
      <w:tr w:rsidR="009B275A" w:rsidRPr="00BE4AB9" w14:paraId="22CACBBF" w14:textId="77777777" w:rsidTr="006C6E6D">
        <w:tc>
          <w:tcPr>
            <w:tcW w:w="1555" w:type="dxa"/>
          </w:tcPr>
          <w:p w14:paraId="6BC7310B" w14:textId="77777777"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European Social Survey</w:t>
            </w:r>
          </w:p>
          <w:p w14:paraId="531B8217" w14:textId="77777777"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2004/05 and 2008/09</w:t>
            </w:r>
          </w:p>
          <w:p w14:paraId="6A64CC1E" w14:textId="77777777" w:rsidR="00565332" w:rsidRPr="007E15F6" w:rsidRDefault="00565332" w:rsidP="006C6E6D">
            <w:pPr>
              <w:rPr>
                <w:rFonts w:asciiTheme="majorHAnsi" w:hAnsiTheme="majorHAnsi" w:cstheme="majorHAnsi"/>
                <w:sz w:val="18"/>
                <w:szCs w:val="18"/>
              </w:rPr>
            </w:pPr>
          </w:p>
          <w:p w14:paraId="284F88A7" w14:textId="5FD1DD17"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20 countries</w:t>
            </w:r>
          </w:p>
        </w:tc>
        <w:tc>
          <w:tcPr>
            <w:tcW w:w="1984" w:type="dxa"/>
          </w:tcPr>
          <w:p w14:paraId="5F628BDC" w14:textId="387BCEB0" w:rsidR="00565332" w:rsidRPr="007E15F6" w:rsidRDefault="004D0068" w:rsidP="00244248">
            <w:pPr>
              <w:pStyle w:val="ListParagraph"/>
              <w:numPr>
                <w:ilvl w:val="0"/>
                <w:numId w:val="27"/>
              </w:numPr>
              <w:ind w:left="180" w:hanging="180"/>
              <w:rPr>
                <w:rFonts w:asciiTheme="majorHAnsi" w:hAnsiTheme="majorHAnsi" w:cstheme="majorHAnsi"/>
                <w:sz w:val="18"/>
                <w:szCs w:val="18"/>
              </w:rPr>
            </w:pPr>
            <w:r w:rsidRPr="007E15F6">
              <w:rPr>
                <w:rFonts w:asciiTheme="majorHAnsi" w:hAnsiTheme="majorHAnsi" w:cstheme="majorHAnsi"/>
                <w:sz w:val="18"/>
                <w:szCs w:val="18"/>
              </w:rPr>
              <w:t xml:space="preserve">Intention </w:t>
            </w:r>
            <w:r w:rsidR="00565332" w:rsidRPr="007E15F6">
              <w:rPr>
                <w:rFonts w:asciiTheme="majorHAnsi" w:hAnsiTheme="majorHAnsi" w:cstheme="majorHAnsi"/>
                <w:sz w:val="18"/>
                <w:szCs w:val="18"/>
              </w:rPr>
              <w:t>to have a child (separated into intention for first birth, and intention to higher order birth)</w:t>
            </w:r>
          </w:p>
          <w:p w14:paraId="7DFB71A2" w14:textId="77777777" w:rsidR="00B239C2" w:rsidRPr="007E15F6" w:rsidRDefault="00B239C2" w:rsidP="006C6E6D">
            <w:pPr>
              <w:pStyle w:val="ListParagraph"/>
              <w:ind w:left="180" w:hanging="180"/>
              <w:rPr>
                <w:rFonts w:asciiTheme="majorHAnsi" w:hAnsiTheme="majorHAnsi" w:cstheme="majorHAnsi"/>
                <w:sz w:val="18"/>
                <w:szCs w:val="18"/>
              </w:rPr>
            </w:pPr>
          </w:p>
          <w:p w14:paraId="68F76332" w14:textId="5817D63C" w:rsidR="00565332" w:rsidRPr="007E15F6" w:rsidRDefault="00565332" w:rsidP="00244248">
            <w:pPr>
              <w:pStyle w:val="ListParagraph"/>
              <w:numPr>
                <w:ilvl w:val="0"/>
                <w:numId w:val="27"/>
              </w:numPr>
              <w:ind w:left="180" w:hanging="180"/>
              <w:rPr>
                <w:rFonts w:asciiTheme="majorHAnsi" w:hAnsiTheme="majorHAnsi" w:cstheme="majorHAnsi"/>
                <w:sz w:val="18"/>
                <w:szCs w:val="18"/>
              </w:rPr>
            </w:pPr>
            <w:r w:rsidRPr="007E15F6">
              <w:rPr>
                <w:rFonts w:asciiTheme="majorHAnsi" w:hAnsiTheme="majorHAnsi" w:cstheme="majorHAnsi"/>
                <w:sz w:val="18"/>
                <w:szCs w:val="18"/>
              </w:rPr>
              <w:t>Had a child (separated into first birth and higher order birth)</w:t>
            </w:r>
          </w:p>
        </w:tc>
        <w:tc>
          <w:tcPr>
            <w:tcW w:w="1985" w:type="dxa"/>
          </w:tcPr>
          <w:p w14:paraId="3B240121" w14:textId="77777777"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 xml:space="preserve">No specific measure of family allowances. </w:t>
            </w:r>
          </w:p>
          <w:p w14:paraId="551B08EE" w14:textId="77777777" w:rsidR="00565332" w:rsidRPr="007E15F6" w:rsidRDefault="00565332" w:rsidP="006C6E6D">
            <w:pPr>
              <w:rPr>
                <w:rFonts w:asciiTheme="majorHAnsi" w:hAnsiTheme="majorHAnsi" w:cstheme="majorHAnsi"/>
                <w:sz w:val="18"/>
                <w:szCs w:val="18"/>
              </w:rPr>
            </w:pPr>
          </w:p>
          <w:p w14:paraId="75A56015" w14:textId="6FE43AF4" w:rsidR="00565332" w:rsidRPr="007E15F6" w:rsidRDefault="00132048" w:rsidP="006C6E6D">
            <w:pPr>
              <w:rPr>
                <w:rFonts w:asciiTheme="majorHAnsi" w:hAnsiTheme="majorHAnsi" w:cstheme="majorHAnsi"/>
                <w:sz w:val="18"/>
                <w:szCs w:val="18"/>
              </w:rPr>
            </w:pPr>
            <w:r w:rsidRPr="007E15F6">
              <w:rPr>
                <w:rFonts w:asciiTheme="majorHAnsi" w:hAnsiTheme="majorHAnsi" w:cstheme="majorHAnsi"/>
                <w:sz w:val="18"/>
                <w:szCs w:val="18"/>
              </w:rPr>
              <w:t>Included instead is</w:t>
            </w:r>
            <w:r w:rsidR="00565332" w:rsidRPr="007E15F6">
              <w:rPr>
                <w:rFonts w:asciiTheme="majorHAnsi" w:hAnsiTheme="majorHAnsi" w:cstheme="majorHAnsi"/>
                <w:sz w:val="18"/>
                <w:szCs w:val="18"/>
              </w:rPr>
              <w:t xml:space="preserve"> ‘expenditures on families as % of GDP’. </w:t>
            </w:r>
            <w:r w:rsidR="00B239C2" w:rsidRPr="007E15F6">
              <w:rPr>
                <w:rFonts w:asciiTheme="majorHAnsi" w:hAnsiTheme="majorHAnsi" w:cstheme="majorHAnsi"/>
                <w:sz w:val="18"/>
                <w:szCs w:val="18"/>
              </w:rPr>
              <w:t xml:space="preserve">(family allowances, parental leave benefits and </w:t>
            </w:r>
            <w:r w:rsidR="008D52A6">
              <w:rPr>
                <w:rFonts w:asciiTheme="majorHAnsi" w:hAnsiTheme="majorHAnsi" w:cstheme="majorHAnsi"/>
                <w:sz w:val="18"/>
                <w:szCs w:val="18"/>
              </w:rPr>
              <w:t>child care</w:t>
            </w:r>
            <w:r w:rsidR="00B239C2" w:rsidRPr="007E15F6">
              <w:rPr>
                <w:rFonts w:asciiTheme="majorHAnsi" w:hAnsiTheme="majorHAnsi" w:cstheme="majorHAnsi"/>
                <w:sz w:val="18"/>
                <w:szCs w:val="18"/>
              </w:rPr>
              <w:t xml:space="preserve"> services and subsidies).</w:t>
            </w:r>
          </w:p>
        </w:tc>
        <w:tc>
          <w:tcPr>
            <w:tcW w:w="2551" w:type="dxa"/>
          </w:tcPr>
          <w:p w14:paraId="64640D8C" w14:textId="58A46D9F"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Weeks of fully paid parental leave (weeks of fully paid leave is calculated as the number of weeks of leave multiplied by the wage replacement rate)</w:t>
            </w:r>
          </w:p>
        </w:tc>
        <w:tc>
          <w:tcPr>
            <w:tcW w:w="2126" w:type="dxa"/>
          </w:tcPr>
          <w:p w14:paraId="7FCD5999" w14:textId="7264BA52"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 xml:space="preserve">No specific measure of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w:t>
            </w:r>
          </w:p>
          <w:p w14:paraId="03F340EA" w14:textId="77777777" w:rsidR="00565332" w:rsidRPr="007E15F6" w:rsidRDefault="00565332" w:rsidP="006C6E6D">
            <w:pPr>
              <w:rPr>
                <w:rFonts w:asciiTheme="majorHAnsi" w:hAnsiTheme="majorHAnsi" w:cstheme="majorHAnsi"/>
                <w:sz w:val="18"/>
                <w:szCs w:val="18"/>
              </w:rPr>
            </w:pPr>
          </w:p>
          <w:p w14:paraId="6D68A0E1" w14:textId="2961086F" w:rsidR="00565332" w:rsidRPr="007E15F6" w:rsidRDefault="00132048" w:rsidP="006C6E6D">
            <w:pPr>
              <w:rPr>
                <w:rFonts w:asciiTheme="majorHAnsi" w:hAnsiTheme="majorHAnsi" w:cstheme="majorHAnsi"/>
                <w:sz w:val="18"/>
                <w:szCs w:val="18"/>
              </w:rPr>
            </w:pPr>
            <w:r w:rsidRPr="007E15F6">
              <w:rPr>
                <w:rFonts w:asciiTheme="majorHAnsi" w:hAnsiTheme="majorHAnsi" w:cstheme="majorHAnsi"/>
                <w:sz w:val="18"/>
                <w:szCs w:val="18"/>
              </w:rPr>
              <w:t xml:space="preserve">Included instead is ‘expenditures on families as % of GDP’. </w:t>
            </w:r>
            <w:r w:rsidR="00B239C2" w:rsidRPr="007E15F6">
              <w:rPr>
                <w:rFonts w:asciiTheme="majorHAnsi" w:hAnsiTheme="majorHAnsi" w:cstheme="majorHAnsi"/>
                <w:sz w:val="18"/>
                <w:szCs w:val="18"/>
              </w:rPr>
              <w:t>(</w:t>
            </w:r>
            <w:r w:rsidRPr="007E15F6">
              <w:rPr>
                <w:rFonts w:asciiTheme="majorHAnsi" w:hAnsiTheme="majorHAnsi" w:cstheme="majorHAnsi"/>
                <w:sz w:val="18"/>
                <w:szCs w:val="18"/>
              </w:rPr>
              <w:t xml:space="preserve">family allowances, parental leave benefits and </w:t>
            </w:r>
            <w:r w:rsidR="008D52A6">
              <w:rPr>
                <w:rFonts w:asciiTheme="majorHAnsi" w:hAnsiTheme="majorHAnsi" w:cstheme="majorHAnsi"/>
                <w:sz w:val="18"/>
                <w:szCs w:val="18"/>
              </w:rPr>
              <w:t>child care</w:t>
            </w:r>
            <w:r w:rsidRPr="007E15F6">
              <w:rPr>
                <w:rFonts w:asciiTheme="majorHAnsi" w:hAnsiTheme="majorHAnsi" w:cstheme="majorHAnsi"/>
                <w:sz w:val="18"/>
                <w:szCs w:val="18"/>
              </w:rPr>
              <w:t xml:space="preserve"> services and subsidies</w:t>
            </w:r>
            <w:r w:rsidR="00B239C2" w:rsidRPr="007E15F6">
              <w:rPr>
                <w:rFonts w:asciiTheme="majorHAnsi" w:hAnsiTheme="majorHAnsi" w:cstheme="majorHAnsi"/>
                <w:sz w:val="18"/>
                <w:szCs w:val="18"/>
              </w:rPr>
              <w:t>)</w:t>
            </w:r>
            <w:r w:rsidRPr="007E15F6">
              <w:rPr>
                <w:rFonts w:asciiTheme="majorHAnsi" w:hAnsiTheme="majorHAnsi" w:cstheme="majorHAnsi"/>
                <w:sz w:val="18"/>
                <w:szCs w:val="18"/>
              </w:rPr>
              <w:t>.</w:t>
            </w:r>
          </w:p>
        </w:tc>
        <w:tc>
          <w:tcPr>
            <w:tcW w:w="2977" w:type="dxa"/>
          </w:tcPr>
          <w:p w14:paraId="7B1F6644" w14:textId="42054948"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Expenditure on families as % GDP</w:t>
            </w:r>
            <w:r w:rsidR="00AC4CEA" w:rsidRPr="007E15F6">
              <w:rPr>
                <w:rFonts w:asciiTheme="majorHAnsi" w:hAnsiTheme="majorHAnsi" w:cstheme="majorHAnsi"/>
                <w:sz w:val="18"/>
                <w:szCs w:val="18"/>
              </w:rPr>
              <w:t xml:space="preserve">: </w:t>
            </w:r>
            <w:r w:rsidRPr="007E15F6">
              <w:rPr>
                <w:rFonts w:asciiTheme="majorHAnsi" w:hAnsiTheme="majorHAnsi" w:cstheme="majorHAnsi"/>
                <w:sz w:val="18"/>
                <w:szCs w:val="18"/>
              </w:rPr>
              <w:t xml:space="preserve"> significant predictor of higher order birth intentions, and having a higher order birth. No effect on intentions for a first child, or having a first chid.</w:t>
            </w:r>
          </w:p>
          <w:p w14:paraId="548C403D" w14:textId="77777777" w:rsidR="00565332" w:rsidRPr="007E15F6" w:rsidRDefault="00565332" w:rsidP="006C6E6D">
            <w:pPr>
              <w:rPr>
                <w:rFonts w:asciiTheme="majorHAnsi" w:hAnsiTheme="majorHAnsi" w:cstheme="majorHAnsi"/>
                <w:sz w:val="18"/>
                <w:szCs w:val="18"/>
              </w:rPr>
            </w:pPr>
          </w:p>
          <w:p w14:paraId="61F0BC97" w14:textId="307FA15F" w:rsidR="00565332" w:rsidRPr="007E15F6" w:rsidRDefault="00565332" w:rsidP="006C6E6D">
            <w:pPr>
              <w:rPr>
                <w:rFonts w:asciiTheme="majorHAnsi" w:hAnsiTheme="majorHAnsi" w:cstheme="majorHAnsi"/>
                <w:sz w:val="18"/>
                <w:szCs w:val="18"/>
              </w:rPr>
            </w:pPr>
            <w:r w:rsidRPr="007E15F6">
              <w:rPr>
                <w:rFonts w:asciiTheme="majorHAnsi" w:hAnsiTheme="majorHAnsi" w:cstheme="majorHAnsi"/>
                <w:sz w:val="18"/>
                <w:szCs w:val="18"/>
              </w:rPr>
              <w:t>Paid parental leave</w:t>
            </w:r>
            <w:r w:rsidR="00AC4CEA" w:rsidRPr="007E15F6">
              <w:rPr>
                <w:rFonts w:asciiTheme="majorHAnsi" w:hAnsiTheme="majorHAnsi" w:cstheme="majorHAnsi"/>
                <w:sz w:val="18"/>
                <w:szCs w:val="18"/>
              </w:rPr>
              <w:t>: n</w:t>
            </w:r>
            <w:r w:rsidRPr="007E15F6">
              <w:rPr>
                <w:rFonts w:asciiTheme="majorHAnsi" w:hAnsiTheme="majorHAnsi" w:cstheme="majorHAnsi"/>
                <w:sz w:val="18"/>
                <w:szCs w:val="18"/>
              </w:rPr>
              <w:t xml:space="preserve">ot significant </w:t>
            </w:r>
            <w:r w:rsidR="00B239C2" w:rsidRPr="007E15F6">
              <w:rPr>
                <w:rFonts w:asciiTheme="majorHAnsi" w:hAnsiTheme="majorHAnsi" w:cstheme="majorHAnsi"/>
                <w:sz w:val="18"/>
                <w:szCs w:val="18"/>
              </w:rPr>
              <w:t>for</w:t>
            </w:r>
            <w:r w:rsidRPr="007E15F6">
              <w:rPr>
                <w:rFonts w:asciiTheme="majorHAnsi" w:hAnsiTheme="majorHAnsi" w:cstheme="majorHAnsi"/>
                <w:sz w:val="18"/>
                <w:szCs w:val="18"/>
              </w:rPr>
              <w:t xml:space="preserve"> first or higher order birth intentions, but significant predictor of having a first birth. </w:t>
            </w:r>
          </w:p>
        </w:tc>
        <w:tc>
          <w:tcPr>
            <w:tcW w:w="1985" w:type="dxa"/>
          </w:tcPr>
          <w:p w14:paraId="6B7FD993" w14:textId="2F9103DF" w:rsidR="00565332" w:rsidRPr="007E15F6" w:rsidRDefault="007E103D" w:rsidP="006C6E6D">
            <w:pPr>
              <w:rPr>
                <w:rFonts w:asciiTheme="majorHAnsi" w:hAnsiTheme="majorHAnsi" w:cstheme="majorHAnsi"/>
                <w:sz w:val="18"/>
                <w:szCs w:val="18"/>
              </w:rPr>
            </w:pPr>
            <w:r w:rsidRPr="007E15F6">
              <w:rPr>
                <w:rFonts w:asciiTheme="majorHAnsi" w:hAnsiTheme="majorHAnsi" w:cstheme="majorHAnsi"/>
                <w:noProof/>
                <w:sz w:val="18"/>
                <w:szCs w:val="18"/>
              </w:rPr>
              <w:t xml:space="preserve">(Harknett, </w:t>
            </w:r>
            <w:r w:rsidRPr="007E15F6">
              <w:rPr>
                <w:rFonts w:asciiTheme="majorHAnsi" w:hAnsiTheme="majorHAnsi" w:cstheme="majorHAnsi"/>
                <w:i/>
                <w:iCs/>
                <w:noProof/>
                <w:sz w:val="18"/>
                <w:szCs w:val="18"/>
              </w:rPr>
              <w:t>et al</w:t>
            </w:r>
            <w:r w:rsidRPr="007E15F6">
              <w:rPr>
                <w:rFonts w:asciiTheme="majorHAnsi" w:hAnsiTheme="majorHAnsi" w:cstheme="majorHAnsi"/>
                <w:noProof/>
                <w:sz w:val="18"/>
                <w:szCs w:val="18"/>
              </w:rPr>
              <w:t>, 2014)</w:t>
            </w:r>
          </w:p>
        </w:tc>
      </w:tr>
      <w:tr w:rsidR="009B275A" w:rsidRPr="00BE4AB9" w14:paraId="47768895" w14:textId="77777777" w:rsidTr="006C6E6D">
        <w:tc>
          <w:tcPr>
            <w:tcW w:w="1555" w:type="dxa"/>
          </w:tcPr>
          <w:p w14:paraId="28F651D8" w14:textId="77777777" w:rsidR="000A22FC" w:rsidRPr="007E15F6" w:rsidRDefault="000A22FC" w:rsidP="006C6E6D">
            <w:pPr>
              <w:rPr>
                <w:rFonts w:asciiTheme="majorHAnsi" w:hAnsiTheme="majorHAnsi" w:cstheme="majorHAnsi"/>
                <w:sz w:val="18"/>
                <w:szCs w:val="18"/>
              </w:rPr>
            </w:pPr>
            <w:r w:rsidRPr="007E15F6">
              <w:rPr>
                <w:rFonts w:asciiTheme="majorHAnsi" w:hAnsiTheme="majorHAnsi" w:cstheme="majorHAnsi"/>
                <w:sz w:val="18"/>
                <w:szCs w:val="18"/>
              </w:rPr>
              <w:t xml:space="preserve">European &amp; World Values Survey </w:t>
            </w:r>
          </w:p>
          <w:p w14:paraId="20B22F50" w14:textId="77777777" w:rsidR="000A22FC" w:rsidRPr="007E15F6" w:rsidRDefault="000A22FC" w:rsidP="006C6E6D">
            <w:pPr>
              <w:rPr>
                <w:rFonts w:asciiTheme="majorHAnsi" w:hAnsiTheme="majorHAnsi" w:cstheme="majorHAnsi"/>
                <w:sz w:val="18"/>
                <w:szCs w:val="18"/>
              </w:rPr>
            </w:pPr>
            <w:r w:rsidRPr="007E15F6">
              <w:rPr>
                <w:rFonts w:asciiTheme="majorHAnsi" w:hAnsiTheme="majorHAnsi" w:cstheme="majorHAnsi"/>
                <w:sz w:val="18"/>
                <w:szCs w:val="18"/>
              </w:rPr>
              <w:t>1995-2000</w:t>
            </w:r>
          </w:p>
          <w:p w14:paraId="6A570E53" w14:textId="77777777" w:rsidR="000A22FC" w:rsidRPr="007E15F6" w:rsidRDefault="000A22FC" w:rsidP="006C6E6D">
            <w:pPr>
              <w:rPr>
                <w:rFonts w:asciiTheme="majorHAnsi" w:hAnsiTheme="majorHAnsi" w:cstheme="majorHAnsi"/>
                <w:sz w:val="18"/>
                <w:szCs w:val="18"/>
              </w:rPr>
            </w:pPr>
          </w:p>
          <w:p w14:paraId="120EC2C9" w14:textId="4C6A9D57" w:rsidR="000A22FC" w:rsidRPr="007E15F6" w:rsidRDefault="000A22FC" w:rsidP="006C6E6D">
            <w:pPr>
              <w:rPr>
                <w:rFonts w:asciiTheme="majorHAnsi" w:hAnsiTheme="majorHAnsi" w:cstheme="majorHAnsi"/>
                <w:sz w:val="18"/>
                <w:szCs w:val="18"/>
              </w:rPr>
            </w:pPr>
            <w:r w:rsidRPr="007E15F6">
              <w:rPr>
                <w:rFonts w:asciiTheme="majorHAnsi" w:hAnsiTheme="majorHAnsi" w:cstheme="majorHAnsi"/>
                <w:sz w:val="18"/>
                <w:szCs w:val="18"/>
              </w:rPr>
              <w:t>20 countries</w:t>
            </w:r>
          </w:p>
        </w:tc>
        <w:tc>
          <w:tcPr>
            <w:tcW w:w="1984" w:type="dxa"/>
          </w:tcPr>
          <w:p w14:paraId="2DCD76FA" w14:textId="77777777" w:rsidR="000A22FC" w:rsidRPr="007E15F6" w:rsidRDefault="00A46EAD" w:rsidP="00244248">
            <w:pPr>
              <w:pStyle w:val="ListParagraph"/>
              <w:numPr>
                <w:ilvl w:val="0"/>
                <w:numId w:val="25"/>
              </w:numPr>
              <w:ind w:left="179" w:hanging="179"/>
              <w:rPr>
                <w:rFonts w:asciiTheme="majorHAnsi" w:hAnsiTheme="majorHAnsi" w:cstheme="majorHAnsi"/>
                <w:sz w:val="18"/>
                <w:szCs w:val="18"/>
              </w:rPr>
            </w:pPr>
            <w:r w:rsidRPr="007E15F6">
              <w:rPr>
                <w:rFonts w:asciiTheme="majorHAnsi" w:hAnsiTheme="majorHAnsi" w:cstheme="majorHAnsi"/>
                <w:sz w:val="18"/>
                <w:szCs w:val="18"/>
              </w:rPr>
              <w:t xml:space="preserve">Individual level: </w:t>
            </w:r>
            <w:r w:rsidR="000A22FC" w:rsidRPr="007E15F6">
              <w:rPr>
                <w:rFonts w:asciiTheme="majorHAnsi" w:hAnsiTheme="majorHAnsi" w:cstheme="majorHAnsi"/>
                <w:sz w:val="18"/>
                <w:szCs w:val="18"/>
              </w:rPr>
              <w:t>Achieved fertility at age 18-45</w:t>
            </w:r>
          </w:p>
          <w:p w14:paraId="2002B184" w14:textId="77777777" w:rsidR="00A46EAD" w:rsidRPr="007E15F6" w:rsidRDefault="00A46EAD" w:rsidP="006C6E6D">
            <w:pPr>
              <w:rPr>
                <w:rFonts w:asciiTheme="majorHAnsi" w:hAnsiTheme="majorHAnsi" w:cstheme="majorHAnsi"/>
                <w:sz w:val="18"/>
                <w:szCs w:val="18"/>
              </w:rPr>
            </w:pPr>
          </w:p>
          <w:p w14:paraId="5B53447A" w14:textId="145D0B29" w:rsidR="00A46EAD" w:rsidRPr="007E15F6" w:rsidRDefault="00A46EAD" w:rsidP="00244248">
            <w:pPr>
              <w:pStyle w:val="ListParagraph"/>
              <w:numPr>
                <w:ilvl w:val="0"/>
                <w:numId w:val="25"/>
              </w:numPr>
              <w:ind w:left="179" w:hanging="283"/>
              <w:rPr>
                <w:rFonts w:asciiTheme="majorHAnsi" w:hAnsiTheme="majorHAnsi" w:cstheme="majorHAnsi"/>
                <w:sz w:val="18"/>
                <w:szCs w:val="18"/>
              </w:rPr>
            </w:pPr>
            <w:r w:rsidRPr="007E15F6">
              <w:rPr>
                <w:rFonts w:asciiTheme="majorHAnsi" w:hAnsiTheme="majorHAnsi" w:cstheme="majorHAnsi"/>
                <w:sz w:val="18"/>
                <w:szCs w:val="18"/>
              </w:rPr>
              <w:t>Macro level: TFR</w:t>
            </w:r>
          </w:p>
        </w:tc>
        <w:tc>
          <w:tcPr>
            <w:tcW w:w="1985" w:type="dxa"/>
          </w:tcPr>
          <w:p w14:paraId="2476E3A6" w14:textId="70153FF4" w:rsidR="000A22FC" w:rsidRPr="007E15F6" w:rsidRDefault="00132048" w:rsidP="006C6E6D">
            <w:pPr>
              <w:rPr>
                <w:rFonts w:asciiTheme="majorHAnsi" w:hAnsiTheme="majorHAnsi" w:cstheme="majorHAnsi"/>
                <w:sz w:val="18"/>
                <w:szCs w:val="18"/>
              </w:rPr>
            </w:pPr>
            <w:r w:rsidRPr="007E15F6">
              <w:rPr>
                <w:rFonts w:asciiTheme="majorHAnsi" w:hAnsiTheme="majorHAnsi" w:cstheme="majorHAnsi"/>
                <w:sz w:val="18"/>
                <w:szCs w:val="18"/>
              </w:rPr>
              <w:t>n/a</w:t>
            </w:r>
          </w:p>
        </w:tc>
        <w:tc>
          <w:tcPr>
            <w:tcW w:w="2551" w:type="dxa"/>
          </w:tcPr>
          <w:p w14:paraId="00081D4B" w14:textId="5F269A21" w:rsidR="000A22FC" w:rsidRPr="007E15F6" w:rsidRDefault="00132048" w:rsidP="006C6E6D">
            <w:pPr>
              <w:rPr>
                <w:rFonts w:asciiTheme="majorHAnsi" w:hAnsiTheme="majorHAnsi" w:cstheme="majorHAnsi"/>
                <w:sz w:val="18"/>
                <w:szCs w:val="18"/>
              </w:rPr>
            </w:pPr>
            <w:r w:rsidRPr="007E15F6">
              <w:rPr>
                <w:rFonts w:asciiTheme="majorHAnsi" w:hAnsiTheme="majorHAnsi" w:cstheme="majorHAnsi"/>
                <w:sz w:val="18"/>
                <w:szCs w:val="18"/>
              </w:rPr>
              <w:t>Number of</w:t>
            </w:r>
            <w:r w:rsidR="00A46EAD" w:rsidRPr="007E15F6">
              <w:rPr>
                <w:rFonts w:asciiTheme="majorHAnsi" w:hAnsiTheme="majorHAnsi" w:cstheme="majorHAnsi"/>
                <w:sz w:val="18"/>
                <w:szCs w:val="18"/>
              </w:rPr>
              <w:t xml:space="preserve"> weeks parents are entitled to take off from work at the birth or adoption of a child and/or to care for young children (paid and unpaid)</w:t>
            </w:r>
          </w:p>
        </w:tc>
        <w:tc>
          <w:tcPr>
            <w:tcW w:w="2126" w:type="dxa"/>
          </w:tcPr>
          <w:p w14:paraId="52586C62" w14:textId="686BC8ED" w:rsidR="000A22FC" w:rsidRPr="007E15F6" w:rsidRDefault="00AC5BCC" w:rsidP="006C6E6D">
            <w:pPr>
              <w:rPr>
                <w:rFonts w:asciiTheme="majorHAnsi" w:hAnsiTheme="majorHAnsi" w:cstheme="majorHAnsi"/>
                <w:sz w:val="18"/>
                <w:szCs w:val="18"/>
              </w:rPr>
            </w:pPr>
            <w:r w:rsidRPr="007E15F6">
              <w:rPr>
                <w:rFonts w:asciiTheme="majorHAnsi" w:hAnsiTheme="majorHAnsi" w:cstheme="majorHAnsi"/>
                <w:sz w:val="18"/>
                <w:szCs w:val="18"/>
              </w:rPr>
              <w:t xml:space="preserve">% children aged 0-3 </w:t>
            </w:r>
            <w:r w:rsidR="00AC4CEA" w:rsidRPr="007E15F6">
              <w:rPr>
                <w:rFonts w:asciiTheme="majorHAnsi" w:hAnsiTheme="majorHAnsi" w:cstheme="majorHAnsi"/>
                <w:sz w:val="18"/>
                <w:szCs w:val="18"/>
              </w:rPr>
              <w:t>enrolled</w:t>
            </w:r>
            <w:r w:rsidRPr="007E15F6">
              <w:rPr>
                <w:rFonts w:asciiTheme="majorHAnsi" w:hAnsiTheme="majorHAnsi" w:cstheme="majorHAnsi"/>
                <w:sz w:val="18"/>
                <w:szCs w:val="18"/>
              </w:rPr>
              <w:t xml:space="preserve"> in </w:t>
            </w:r>
            <w:r w:rsidR="008D52A6">
              <w:rPr>
                <w:rFonts w:asciiTheme="majorHAnsi" w:hAnsiTheme="majorHAnsi" w:cstheme="majorHAnsi"/>
                <w:sz w:val="18"/>
                <w:szCs w:val="18"/>
              </w:rPr>
              <w:t>child care</w:t>
            </w:r>
          </w:p>
        </w:tc>
        <w:tc>
          <w:tcPr>
            <w:tcW w:w="2977" w:type="dxa"/>
          </w:tcPr>
          <w:p w14:paraId="48CE2FC1" w14:textId="73BB589F" w:rsidR="000A22FC" w:rsidRPr="007E15F6" w:rsidRDefault="008D52A6" w:rsidP="006C6E6D">
            <w:pPr>
              <w:rPr>
                <w:rFonts w:asciiTheme="majorHAnsi" w:hAnsiTheme="majorHAnsi" w:cstheme="majorHAnsi"/>
                <w:sz w:val="18"/>
                <w:szCs w:val="18"/>
              </w:rPr>
            </w:pPr>
            <w:r>
              <w:rPr>
                <w:rFonts w:asciiTheme="majorHAnsi" w:hAnsiTheme="majorHAnsi" w:cstheme="majorHAnsi"/>
                <w:sz w:val="18"/>
                <w:szCs w:val="18"/>
              </w:rPr>
              <w:t>Child care</w:t>
            </w:r>
            <w:r w:rsidR="00A46EAD" w:rsidRPr="007E15F6">
              <w:rPr>
                <w:rFonts w:asciiTheme="majorHAnsi" w:hAnsiTheme="majorHAnsi" w:cstheme="majorHAnsi"/>
                <w:sz w:val="18"/>
                <w:szCs w:val="18"/>
              </w:rPr>
              <w:t xml:space="preserve"> enrolment</w:t>
            </w:r>
            <w:r w:rsidR="00132048" w:rsidRPr="007E15F6">
              <w:rPr>
                <w:rFonts w:asciiTheme="majorHAnsi" w:hAnsiTheme="majorHAnsi" w:cstheme="majorHAnsi"/>
                <w:sz w:val="18"/>
                <w:szCs w:val="18"/>
              </w:rPr>
              <w:t xml:space="preserve">: </w:t>
            </w:r>
            <w:r w:rsidR="00A46EAD" w:rsidRPr="007E15F6">
              <w:rPr>
                <w:rFonts w:asciiTheme="majorHAnsi" w:hAnsiTheme="majorHAnsi" w:cstheme="majorHAnsi"/>
                <w:sz w:val="18"/>
                <w:szCs w:val="18"/>
              </w:rPr>
              <w:t>positive association with achieved fertility (individual level), as well as TFR (macro-level).</w:t>
            </w:r>
          </w:p>
          <w:p w14:paraId="20CA3376" w14:textId="77777777" w:rsidR="00A46EAD" w:rsidRPr="007E15F6" w:rsidRDefault="00A46EAD" w:rsidP="006C6E6D">
            <w:pPr>
              <w:rPr>
                <w:rFonts w:asciiTheme="majorHAnsi" w:hAnsiTheme="majorHAnsi" w:cstheme="majorHAnsi"/>
                <w:sz w:val="18"/>
                <w:szCs w:val="18"/>
              </w:rPr>
            </w:pPr>
          </w:p>
          <w:p w14:paraId="2542D6E7" w14:textId="2D98D296" w:rsidR="00A46EAD" w:rsidRPr="007E15F6" w:rsidRDefault="00A46EAD" w:rsidP="006C6E6D">
            <w:pPr>
              <w:rPr>
                <w:rFonts w:asciiTheme="majorHAnsi" w:hAnsiTheme="majorHAnsi" w:cstheme="majorHAnsi"/>
                <w:sz w:val="18"/>
                <w:szCs w:val="18"/>
              </w:rPr>
            </w:pPr>
            <w:r w:rsidRPr="007E15F6">
              <w:rPr>
                <w:rFonts w:asciiTheme="majorHAnsi" w:hAnsiTheme="majorHAnsi" w:cstheme="majorHAnsi"/>
                <w:sz w:val="18"/>
                <w:szCs w:val="18"/>
              </w:rPr>
              <w:t>Parental leave</w:t>
            </w:r>
            <w:r w:rsidR="00132048" w:rsidRPr="007E15F6">
              <w:rPr>
                <w:rFonts w:asciiTheme="majorHAnsi" w:hAnsiTheme="majorHAnsi" w:cstheme="majorHAnsi"/>
                <w:sz w:val="18"/>
                <w:szCs w:val="18"/>
              </w:rPr>
              <w:t>:</w:t>
            </w:r>
            <w:r w:rsidRPr="007E15F6">
              <w:rPr>
                <w:rFonts w:asciiTheme="majorHAnsi" w:hAnsiTheme="majorHAnsi" w:cstheme="majorHAnsi"/>
                <w:sz w:val="18"/>
                <w:szCs w:val="18"/>
              </w:rPr>
              <w:t xml:space="preserve"> not significant for either individual or macro-level fertility. </w:t>
            </w:r>
          </w:p>
        </w:tc>
        <w:tc>
          <w:tcPr>
            <w:tcW w:w="1985" w:type="dxa"/>
          </w:tcPr>
          <w:p w14:paraId="103B213B" w14:textId="4F429C39" w:rsidR="000A22FC" w:rsidRPr="007E15F6" w:rsidRDefault="007E103D" w:rsidP="006C6E6D">
            <w:pPr>
              <w:rPr>
                <w:rFonts w:asciiTheme="majorHAnsi" w:hAnsiTheme="majorHAnsi" w:cstheme="majorHAnsi"/>
                <w:sz w:val="18"/>
                <w:szCs w:val="18"/>
              </w:rPr>
            </w:pPr>
            <w:r w:rsidRPr="007E15F6">
              <w:rPr>
                <w:rFonts w:asciiTheme="majorHAnsi" w:hAnsiTheme="majorHAnsi" w:cstheme="majorHAnsi"/>
                <w:noProof/>
                <w:sz w:val="18"/>
                <w:szCs w:val="18"/>
              </w:rPr>
              <w:t>(Hilgeman &amp; Butts, 2009)</w:t>
            </w:r>
          </w:p>
        </w:tc>
      </w:tr>
      <w:tr w:rsidR="009B275A" w:rsidRPr="00BE4AB9" w14:paraId="631AF778" w14:textId="77777777" w:rsidTr="006C6E6D">
        <w:tc>
          <w:tcPr>
            <w:tcW w:w="1555" w:type="dxa"/>
          </w:tcPr>
          <w:p w14:paraId="465FC285" w14:textId="77777777" w:rsidR="00C23016" w:rsidRPr="007E15F6" w:rsidRDefault="00380FE7" w:rsidP="006C6E6D">
            <w:pPr>
              <w:rPr>
                <w:rFonts w:asciiTheme="majorHAnsi" w:hAnsiTheme="majorHAnsi" w:cstheme="majorHAnsi"/>
                <w:sz w:val="18"/>
                <w:szCs w:val="18"/>
              </w:rPr>
            </w:pPr>
            <w:r w:rsidRPr="007E15F6">
              <w:rPr>
                <w:rFonts w:asciiTheme="majorHAnsi" w:hAnsiTheme="majorHAnsi" w:cstheme="majorHAnsi"/>
                <w:sz w:val="18"/>
                <w:szCs w:val="18"/>
              </w:rPr>
              <w:t>OECD data</w:t>
            </w:r>
          </w:p>
          <w:p w14:paraId="706806F0" w14:textId="77777777" w:rsidR="009B275A" w:rsidRPr="007E15F6" w:rsidRDefault="009B275A" w:rsidP="00B239C2">
            <w:pPr>
              <w:rPr>
                <w:rFonts w:asciiTheme="majorHAnsi" w:hAnsiTheme="majorHAnsi" w:cstheme="majorHAnsi"/>
                <w:sz w:val="18"/>
                <w:szCs w:val="18"/>
              </w:rPr>
            </w:pPr>
            <w:r w:rsidRPr="007E15F6">
              <w:rPr>
                <w:rFonts w:asciiTheme="majorHAnsi" w:hAnsiTheme="majorHAnsi" w:cstheme="majorHAnsi"/>
                <w:sz w:val="18"/>
                <w:szCs w:val="18"/>
              </w:rPr>
              <w:t>1980-1999</w:t>
            </w:r>
          </w:p>
          <w:p w14:paraId="48E69C49" w14:textId="77777777" w:rsidR="009B275A" w:rsidRPr="007E15F6" w:rsidRDefault="009B275A" w:rsidP="00B239C2">
            <w:pPr>
              <w:rPr>
                <w:rFonts w:asciiTheme="majorHAnsi" w:hAnsiTheme="majorHAnsi" w:cstheme="majorHAnsi"/>
                <w:sz w:val="18"/>
                <w:szCs w:val="18"/>
              </w:rPr>
            </w:pPr>
          </w:p>
          <w:p w14:paraId="5E6E328F" w14:textId="61DF26F6" w:rsidR="00380FE7" w:rsidRPr="007E15F6" w:rsidRDefault="00380FE7" w:rsidP="006C6E6D">
            <w:pPr>
              <w:rPr>
                <w:rFonts w:asciiTheme="majorHAnsi" w:hAnsiTheme="majorHAnsi" w:cstheme="majorHAnsi"/>
                <w:sz w:val="18"/>
                <w:szCs w:val="18"/>
              </w:rPr>
            </w:pPr>
            <w:r w:rsidRPr="007E15F6">
              <w:rPr>
                <w:rFonts w:asciiTheme="majorHAnsi" w:hAnsiTheme="majorHAnsi" w:cstheme="majorHAnsi"/>
                <w:sz w:val="18"/>
                <w:szCs w:val="18"/>
              </w:rPr>
              <w:t>16 countries</w:t>
            </w:r>
            <w:r w:rsidRPr="007E15F6">
              <w:rPr>
                <w:rStyle w:val="FootnoteReference"/>
                <w:rFonts w:asciiTheme="majorHAnsi" w:hAnsiTheme="majorHAnsi" w:cstheme="majorHAnsi"/>
                <w:sz w:val="18"/>
                <w:szCs w:val="18"/>
              </w:rPr>
              <w:footnoteReference w:id="23"/>
            </w:r>
            <w:r w:rsidRPr="007E15F6">
              <w:rPr>
                <w:rFonts w:asciiTheme="majorHAnsi" w:hAnsiTheme="majorHAnsi" w:cstheme="majorHAnsi"/>
                <w:sz w:val="18"/>
                <w:szCs w:val="18"/>
              </w:rPr>
              <w:t xml:space="preserve"> </w:t>
            </w:r>
          </w:p>
          <w:p w14:paraId="1EEA5E83" w14:textId="1CC3424F" w:rsidR="00380FE7" w:rsidRPr="007E15F6" w:rsidRDefault="00380FE7" w:rsidP="006C6E6D">
            <w:pPr>
              <w:rPr>
                <w:rFonts w:asciiTheme="majorHAnsi" w:hAnsiTheme="majorHAnsi" w:cstheme="majorHAnsi"/>
                <w:sz w:val="18"/>
                <w:szCs w:val="18"/>
              </w:rPr>
            </w:pPr>
          </w:p>
        </w:tc>
        <w:tc>
          <w:tcPr>
            <w:tcW w:w="1984" w:type="dxa"/>
          </w:tcPr>
          <w:p w14:paraId="203887F5" w14:textId="3651FB3D" w:rsidR="00C23016" w:rsidRPr="007E15F6" w:rsidRDefault="00380FE7" w:rsidP="006C6E6D">
            <w:pPr>
              <w:rPr>
                <w:rFonts w:asciiTheme="majorHAnsi" w:hAnsiTheme="majorHAnsi" w:cstheme="majorHAnsi"/>
                <w:sz w:val="18"/>
                <w:szCs w:val="18"/>
              </w:rPr>
            </w:pPr>
            <w:r w:rsidRPr="007E15F6">
              <w:rPr>
                <w:rFonts w:asciiTheme="majorHAnsi" w:hAnsiTheme="majorHAnsi" w:cstheme="majorHAnsi"/>
                <w:sz w:val="18"/>
                <w:szCs w:val="18"/>
              </w:rPr>
              <w:t>TFR</w:t>
            </w:r>
          </w:p>
        </w:tc>
        <w:tc>
          <w:tcPr>
            <w:tcW w:w="1985" w:type="dxa"/>
          </w:tcPr>
          <w:p w14:paraId="33C4769B" w14:textId="7DBB31AF" w:rsidR="00C23016" w:rsidRPr="007E15F6" w:rsidRDefault="00380FE7" w:rsidP="006C6E6D">
            <w:pPr>
              <w:rPr>
                <w:rFonts w:asciiTheme="majorHAnsi" w:hAnsiTheme="majorHAnsi" w:cstheme="majorHAnsi"/>
                <w:sz w:val="18"/>
                <w:szCs w:val="18"/>
              </w:rPr>
            </w:pPr>
            <w:r w:rsidRPr="007E15F6">
              <w:rPr>
                <w:rFonts w:asciiTheme="majorHAnsi" w:hAnsiTheme="majorHAnsi" w:cstheme="majorHAnsi"/>
                <w:sz w:val="18"/>
                <w:szCs w:val="18"/>
              </w:rPr>
              <w:t>Net transfers to family with children</w:t>
            </w:r>
          </w:p>
        </w:tc>
        <w:tc>
          <w:tcPr>
            <w:tcW w:w="2551" w:type="dxa"/>
          </w:tcPr>
          <w:p w14:paraId="791DDB0D" w14:textId="49461ABB" w:rsidR="00380FE7" w:rsidRPr="007E15F6" w:rsidRDefault="00380FE7" w:rsidP="006C6E6D">
            <w:pPr>
              <w:rPr>
                <w:rFonts w:asciiTheme="majorHAnsi" w:hAnsiTheme="majorHAnsi" w:cstheme="majorHAnsi"/>
                <w:sz w:val="18"/>
                <w:szCs w:val="18"/>
              </w:rPr>
            </w:pPr>
            <w:r w:rsidRPr="007E15F6">
              <w:rPr>
                <w:rFonts w:asciiTheme="majorHAnsi" w:hAnsiTheme="majorHAnsi" w:cstheme="majorHAnsi"/>
                <w:sz w:val="18"/>
                <w:szCs w:val="18"/>
              </w:rPr>
              <w:t xml:space="preserve">Maternity leave benefits per birth as a </w:t>
            </w:r>
            <w:r w:rsidR="006C6E6D" w:rsidRPr="007E15F6">
              <w:rPr>
                <w:rFonts w:asciiTheme="majorHAnsi" w:hAnsiTheme="majorHAnsi" w:cstheme="majorHAnsi"/>
                <w:sz w:val="18"/>
                <w:szCs w:val="18"/>
              </w:rPr>
              <w:t>%</w:t>
            </w:r>
            <w:r w:rsidRPr="007E15F6">
              <w:rPr>
                <w:rFonts w:asciiTheme="majorHAnsi" w:hAnsiTheme="majorHAnsi" w:cstheme="majorHAnsi"/>
                <w:sz w:val="18"/>
                <w:szCs w:val="18"/>
              </w:rPr>
              <w:t xml:space="preserve"> of the earnings of an </w:t>
            </w:r>
            <w:r w:rsidR="006C6E6D" w:rsidRPr="007E15F6">
              <w:rPr>
                <w:rFonts w:asciiTheme="majorHAnsi" w:hAnsiTheme="majorHAnsi" w:cstheme="majorHAnsi"/>
                <w:sz w:val="18"/>
                <w:szCs w:val="18"/>
              </w:rPr>
              <w:t>average production worker</w:t>
            </w:r>
          </w:p>
          <w:p w14:paraId="0DCFAB59" w14:textId="77777777" w:rsidR="006C6E6D" w:rsidRPr="007E15F6" w:rsidRDefault="006C6E6D" w:rsidP="006C6E6D">
            <w:pPr>
              <w:rPr>
                <w:rFonts w:asciiTheme="majorHAnsi" w:hAnsiTheme="majorHAnsi" w:cstheme="majorHAnsi"/>
                <w:sz w:val="18"/>
                <w:szCs w:val="18"/>
              </w:rPr>
            </w:pPr>
          </w:p>
          <w:p w14:paraId="1306DF6B" w14:textId="7587DDE9" w:rsidR="00380FE7" w:rsidRPr="007E15F6" w:rsidRDefault="00380FE7" w:rsidP="006C6E6D">
            <w:pPr>
              <w:rPr>
                <w:rFonts w:asciiTheme="majorHAnsi" w:hAnsiTheme="majorHAnsi" w:cstheme="majorHAnsi"/>
                <w:sz w:val="18"/>
                <w:szCs w:val="18"/>
              </w:rPr>
            </w:pPr>
            <w:r w:rsidRPr="007E15F6">
              <w:rPr>
                <w:rFonts w:asciiTheme="majorHAnsi" w:hAnsiTheme="majorHAnsi" w:cstheme="majorHAnsi"/>
                <w:sz w:val="18"/>
                <w:szCs w:val="18"/>
              </w:rPr>
              <w:t>Length of parental leave in weeks</w:t>
            </w:r>
          </w:p>
        </w:tc>
        <w:tc>
          <w:tcPr>
            <w:tcW w:w="2126" w:type="dxa"/>
          </w:tcPr>
          <w:p w14:paraId="09B5CDD0" w14:textId="792CE80B" w:rsidR="00C23016" w:rsidRPr="007E15F6" w:rsidRDefault="00132048" w:rsidP="006C6E6D">
            <w:pPr>
              <w:rPr>
                <w:rFonts w:asciiTheme="majorHAnsi" w:hAnsiTheme="majorHAnsi" w:cstheme="majorHAnsi"/>
                <w:sz w:val="18"/>
                <w:szCs w:val="18"/>
              </w:rPr>
            </w:pPr>
            <w:r w:rsidRPr="007E15F6">
              <w:rPr>
                <w:rFonts w:asciiTheme="majorHAnsi" w:hAnsiTheme="majorHAnsi" w:cstheme="majorHAnsi"/>
                <w:sz w:val="18"/>
                <w:szCs w:val="18"/>
              </w:rPr>
              <w:t>n/a</w:t>
            </w:r>
          </w:p>
        </w:tc>
        <w:tc>
          <w:tcPr>
            <w:tcW w:w="2977" w:type="dxa"/>
          </w:tcPr>
          <w:p w14:paraId="1179962B" w14:textId="69215DC4" w:rsidR="00444B6D" w:rsidRPr="007E15F6" w:rsidRDefault="00444B6D" w:rsidP="006C6E6D">
            <w:pPr>
              <w:rPr>
                <w:rFonts w:asciiTheme="majorHAnsi" w:hAnsiTheme="majorHAnsi" w:cstheme="majorHAnsi"/>
                <w:sz w:val="18"/>
                <w:szCs w:val="18"/>
              </w:rPr>
            </w:pPr>
            <w:r w:rsidRPr="007E15F6">
              <w:rPr>
                <w:rFonts w:asciiTheme="majorHAnsi" w:hAnsiTheme="majorHAnsi" w:cstheme="majorHAnsi"/>
                <w:sz w:val="18"/>
                <w:szCs w:val="18"/>
              </w:rPr>
              <w:t>Net financial transfers</w:t>
            </w:r>
            <w:r w:rsidR="00B239C2" w:rsidRPr="007E15F6">
              <w:rPr>
                <w:rFonts w:asciiTheme="majorHAnsi" w:hAnsiTheme="majorHAnsi" w:cstheme="majorHAnsi"/>
                <w:sz w:val="18"/>
                <w:szCs w:val="18"/>
              </w:rPr>
              <w:t xml:space="preserve">: </w:t>
            </w:r>
            <w:r w:rsidRPr="007E15F6">
              <w:rPr>
                <w:rFonts w:asciiTheme="majorHAnsi" w:hAnsiTheme="majorHAnsi" w:cstheme="majorHAnsi"/>
                <w:sz w:val="18"/>
                <w:szCs w:val="18"/>
              </w:rPr>
              <w:t xml:space="preserve"> positive effect on fertility</w:t>
            </w:r>
          </w:p>
          <w:p w14:paraId="2D75D63D" w14:textId="77777777" w:rsidR="00444B6D" w:rsidRPr="007E15F6" w:rsidRDefault="00444B6D" w:rsidP="006C6E6D">
            <w:pPr>
              <w:rPr>
                <w:rFonts w:asciiTheme="majorHAnsi" w:hAnsiTheme="majorHAnsi" w:cstheme="majorHAnsi"/>
                <w:sz w:val="18"/>
                <w:szCs w:val="18"/>
              </w:rPr>
            </w:pPr>
          </w:p>
          <w:p w14:paraId="1EA5520C" w14:textId="4C7008E7" w:rsidR="00444B6D" w:rsidRPr="007E15F6" w:rsidRDefault="00444B6D" w:rsidP="006C6E6D">
            <w:pPr>
              <w:rPr>
                <w:rFonts w:asciiTheme="majorHAnsi" w:hAnsiTheme="majorHAnsi" w:cstheme="majorHAnsi"/>
                <w:sz w:val="18"/>
                <w:szCs w:val="18"/>
              </w:rPr>
            </w:pPr>
            <w:r w:rsidRPr="007E15F6">
              <w:rPr>
                <w:rFonts w:asciiTheme="majorHAnsi" w:hAnsiTheme="majorHAnsi" w:cstheme="majorHAnsi"/>
                <w:sz w:val="18"/>
                <w:szCs w:val="18"/>
              </w:rPr>
              <w:t>Longer duration of parental leave had negative effect, but a higher replacement rate had a positive effect.</w:t>
            </w:r>
          </w:p>
        </w:tc>
        <w:tc>
          <w:tcPr>
            <w:tcW w:w="1985" w:type="dxa"/>
          </w:tcPr>
          <w:p w14:paraId="474953A7" w14:textId="398CF7C3" w:rsidR="00C23016" w:rsidRPr="007E15F6" w:rsidDel="00A46EAD" w:rsidRDefault="00C23016" w:rsidP="006C6E6D">
            <w:pPr>
              <w:rPr>
                <w:rFonts w:asciiTheme="majorHAnsi" w:hAnsiTheme="majorHAnsi" w:cstheme="majorHAnsi"/>
                <w:sz w:val="18"/>
                <w:szCs w:val="18"/>
              </w:rPr>
            </w:pPr>
            <w:r w:rsidRPr="007E15F6">
              <w:rPr>
                <w:rFonts w:asciiTheme="majorHAnsi" w:hAnsiTheme="majorHAnsi" w:cstheme="majorHAnsi"/>
                <w:sz w:val="18"/>
                <w:szCs w:val="18"/>
              </w:rPr>
              <w:t>D’Addio and D’Ercole (2005)</w:t>
            </w:r>
          </w:p>
        </w:tc>
      </w:tr>
      <w:tr w:rsidR="009B275A" w:rsidRPr="00BE4AB9" w14:paraId="220015C2" w14:textId="77777777" w:rsidTr="007E15F6">
        <w:trPr>
          <w:trHeight w:val="1457"/>
        </w:trPr>
        <w:tc>
          <w:tcPr>
            <w:tcW w:w="1555" w:type="dxa"/>
          </w:tcPr>
          <w:p w14:paraId="74CC0F97" w14:textId="15326B9A" w:rsidR="00EC58D5" w:rsidRPr="007E15F6" w:rsidRDefault="008B7DD2">
            <w:pPr>
              <w:rPr>
                <w:rFonts w:asciiTheme="majorHAnsi" w:hAnsiTheme="majorHAnsi" w:cstheme="majorHAnsi"/>
                <w:sz w:val="18"/>
                <w:szCs w:val="18"/>
              </w:rPr>
            </w:pPr>
            <w:r w:rsidRPr="007E15F6">
              <w:rPr>
                <w:rFonts w:asciiTheme="majorHAnsi" w:hAnsiTheme="majorHAnsi" w:cstheme="majorHAnsi"/>
                <w:sz w:val="18"/>
                <w:szCs w:val="18"/>
              </w:rPr>
              <w:t>European Social Survey, 2004 and OECD data 1980-2003</w:t>
            </w:r>
          </w:p>
          <w:p w14:paraId="215321FD" w14:textId="403604A8" w:rsidR="000A22FC" w:rsidRPr="007E15F6" w:rsidRDefault="00F95595" w:rsidP="006C6E6D">
            <w:pPr>
              <w:rPr>
                <w:rFonts w:asciiTheme="majorHAnsi" w:hAnsiTheme="majorHAnsi" w:cstheme="majorHAnsi"/>
                <w:sz w:val="18"/>
                <w:szCs w:val="18"/>
              </w:rPr>
            </w:pPr>
            <w:r>
              <w:rPr>
                <w:rFonts w:asciiTheme="majorHAnsi" w:hAnsiTheme="majorHAnsi" w:cstheme="majorHAnsi"/>
                <w:sz w:val="18"/>
                <w:szCs w:val="18"/>
              </w:rPr>
              <w:t>1</w:t>
            </w:r>
            <w:r w:rsidR="000A22FC" w:rsidRPr="007E15F6">
              <w:rPr>
                <w:rFonts w:asciiTheme="majorHAnsi" w:hAnsiTheme="majorHAnsi" w:cstheme="majorHAnsi"/>
                <w:sz w:val="18"/>
                <w:szCs w:val="18"/>
              </w:rPr>
              <w:t xml:space="preserve">6  countries </w:t>
            </w:r>
            <w:r w:rsidR="009929D5" w:rsidRPr="007E15F6">
              <w:rPr>
                <w:rStyle w:val="FootnoteReference"/>
                <w:rFonts w:asciiTheme="majorHAnsi" w:hAnsiTheme="majorHAnsi" w:cstheme="majorHAnsi"/>
                <w:sz w:val="18"/>
                <w:szCs w:val="18"/>
              </w:rPr>
              <w:footnoteReference w:id="24"/>
            </w:r>
          </w:p>
        </w:tc>
        <w:tc>
          <w:tcPr>
            <w:tcW w:w="1984" w:type="dxa"/>
          </w:tcPr>
          <w:p w14:paraId="6AE3189D" w14:textId="7974CC51" w:rsidR="000A22FC" w:rsidRPr="007E15F6" w:rsidRDefault="00E45F4A" w:rsidP="00244248">
            <w:pPr>
              <w:pStyle w:val="ListParagraph"/>
              <w:numPr>
                <w:ilvl w:val="0"/>
                <w:numId w:val="26"/>
              </w:numPr>
              <w:ind w:left="180" w:hanging="142"/>
              <w:rPr>
                <w:rFonts w:asciiTheme="majorHAnsi" w:hAnsiTheme="majorHAnsi" w:cstheme="majorHAnsi"/>
                <w:sz w:val="18"/>
                <w:szCs w:val="18"/>
              </w:rPr>
            </w:pPr>
            <w:r w:rsidRPr="007E15F6">
              <w:rPr>
                <w:rFonts w:asciiTheme="majorHAnsi" w:hAnsiTheme="majorHAnsi" w:cstheme="majorHAnsi"/>
                <w:sz w:val="18"/>
                <w:szCs w:val="18"/>
              </w:rPr>
              <w:t>Probability of first, and higher order births</w:t>
            </w:r>
          </w:p>
          <w:p w14:paraId="5B6DAACF" w14:textId="77777777" w:rsidR="009B275A" w:rsidRPr="007E15F6" w:rsidRDefault="009B275A" w:rsidP="006C6E6D">
            <w:pPr>
              <w:ind w:left="180" w:hanging="142"/>
              <w:rPr>
                <w:rFonts w:asciiTheme="majorHAnsi" w:hAnsiTheme="majorHAnsi" w:cstheme="majorHAnsi"/>
                <w:sz w:val="18"/>
                <w:szCs w:val="18"/>
              </w:rPr>
            </w:pPr>
          </w:p>
          <w:p w14:paraId="0D4BB49D" w14:textId="6E7407D7" w:rsidR="000A22FC" w:rsidRPr="007E15F6" w:rsidRDefault="000A22FC" w:rsidP="00244248">
            <w:pPr>
              <w:pStyle w:val="ListParagraph"/>
              <w:numPr>
                <w:ilvl w:val="0"/>
                <w:numId w:val="26"/>
              </w:numPr>
              <w:ind w:left="180" w:hanging="142"/>
              <w:rPr>
                <w:rFonts w:asciiTheme="majorHAnsi" w:hAnsiTheme="majorHAnsi" w:cstheme="majorHAnsi"/>
                <w:sz w:val="18"/>
                <w:szCs w:val="18"/>
              </w:rPr>
            </w:pPr>
            <w:r w:rsidRPr="007E15F6">
              <w:rPr>
                <w:rFonts w:asciiTheme="majorHAnsi" w:hAnsiTheme="majorHAnsi" w:cstheme="majorHAnsi"/>
                <w:sz w:val="18"/>
                <w:szCs w:val="18"/>
              </w:rPr>
              <w:t xml:space="preserve">Completed family size </w:t>
            </w:r>
          </w:p>
        </w:tc>
        <w:tc>
          <w:tcPr>
            <w:tcW w:w="1985" w:type="dxa"/>
          </w:tcPr>
          <w:p w14:paraId="2C5CAC60" w14:textId="5C35F302" w:rsidR="000A22FC" w:rsidRPr="007E15F6" w:rsidRDefault="00E45F4A" w:rsidP="006C6E6D">
            <w:pPr>
              <w:rPr>
                <w:rFonts w:asciiTheme="majorHAnsi" w:hAnsiTheme="majorHAnsi" w:cstheme="majorHAnsi"/>
                <w:sz w:val="18"/>
                <w:szCs w:val="18"/>
              </w:rPr>
            </w:pPr>
            <w:r w:rsidRPr="007E15F6">
              <w:rPr>
                <w:rFonts w:asciiTheme="majorHAnsi" w:hAnsiTheme="majorHAnsi" w:cstheme="majorHAnsi"/>
                <w:sz w:val="18"/>
                <w:szCs w:val="18"/>
              </w:rPr>
              <w:t>Family allowance per child</w:t>
            </w:r>
          </w:p>
        </w:tc>
        <w:tc>
          <w:tcPr>
            <w:tcW w:w="2551" w:type="dxa"/>
          </w:tcPr>
          <w:p w14:paraId="7A4DA155" w14:textId="178A4335" w:rsidR="000A22FC" w:rsidRPr="007E15F6" w:rsidRDefault="00E45F4A" w:rsidP="006C6E6D">
            <w:pPr>
              <w:rPr>
                <w:rFonts w:asciiTheme="majorHAnsi" w:hAnsiTheme="majorHAnsi" w:cstheme="majorHAnsi"/>
                <w:sz w:val="18"/>
                <w:szCs w:val="18"/>
              </w:rPr>
            </w:pPr>
            <w:r w:rsidRPr="007E15F6">
              <w:rPr>
                <w:rFonts w:asciiTheme="majorHAnsi" w:hAnsiTheme="majorHAnsi" w:cstheme="majorHAnsi"/>
                <w:sz w:val="18"/>
                <w:szCs w:val="18"/>
              </w:rPr>
              <w:t>Maternity &amp; parental leave benefits per infant for employed woman</w:t>
            </w:r>
          </w:p>
        </w:tc>
        <w:tc>
          <w:tcPr>
            <w:tcW w:w="2126" w:type="dxa"/>
          </w:tcPr>
          <w:p w14:paraId="0F333E81" w14:textId="41655D8C" w:rsidR="000A22FC" w:rsidRPr="007E15F6" w:rsidRDefault="008D52A6" w:rsidP="006C6E6D">
            <w:pPr>
              <w:rPr>
                <w:rFonts w:asciiTheme="majorHAnsi" w:hAnsiTheme="majorHAnsi" w:cstheme="majorHAnsi"/>
                <w:sz w:val="18"/>
                <w:szCs w:val="18"/>
              </w:rPr>
            </w:pPr>
            <w:r>
              <w:rPr>
                <w:rFonts w:asciiTheme="majorHAnsi" w:hAnsiTheme="majorHAnsi" w:cstheme="majorHAnsi"/>
                <w:sz w:val="18"/>
                <w:szCs w:val="18"/>
              </w:rPr>
              <w:t>Child care</w:t>
            </w:r>
            <w:r w:rsidR="00E45F4A" w:rsidRPr="007E15F6">
              <w:rPr>
                <w:rFonts w:asciiTheme="majorHAnsi" w:hAnsiTheme="majorHAnsi" w:cstheme="majorHAnsi"/>
                <w:sz w:val="18"/>
                <w:szCs w:val="18"/>
              </w:rPr>
              <w:t xml:space="preserve"> subsidy per young child for an employed woman</w:t>
            </w:r>
          </w:p>
        </w:tc>
        <w:tc>
          <w:tcPr>
            <w:tcW w:w="2977" w:type="dxa"/>
          </w:tcPr>
          <w:p w14:paraId="61532CAF" w14:textId="10CF397D" w:rsidR="000A22FC" w:rsidRPr="007E15F6" w:rsidRDefault="00A84FA5" w:rsidP="006C6E6D">
            <w:pPr>
              <w:rPr>
                <w:rFonts w:asciiTheme="majorHAnsi" w:hAnsiTheme="majorHAnsi" w:cstheme="majorHAnsi"/>
                <w:sz w:val="18"/>
                <w:szCs w:val="18"/>
              </w:rPr>
            </w:pPr>
            <w:r w:rsidRPr="007E15F6">
              <w:rPr>
                <w:rFonts w:asciiTheme="majorHAnsi" w:hAnsiTheme="majorHAnsi" w:cstheme="majorHAnsi"/>
                <w:sz w:val="18"/>
                <w:szCs w:val="18"/>
              </w:rPr>
              <w:t>Family allowance</w:t>
            </w:r>
            <w:r w:rsidR="008B7DD2" w:rsidRPr="007E15F6">
              <w:rPr>
                <w:rFonts w:asciiTheme="majorHAnsi" w:hAnsiTheme="majorHAnsi" w:cstheme="majorHAnsi"/>
                <w:sz w:val="18"/>
                <w:szCs w:val="18"/>
              </w:rPr>
              <w:t>: N</w:t>
            </w:r>
            <w:r w:rsidRPr="007E15F6">
              <w:rPr>
                <w:rFonts w:asciiTheme="majorHAnsi" w:hAnsiTheme="majorHAnsi" w:cstheme="majorHAnsi"/>
                <w:sz w:val="18"/>
                <w:szCs w:val="18"/>
              </w:rPr>
              <w:t>o effect</w:t>
            </w:r>
          </w:p>
          <w:p w14:paraId="0DE35F72" w14:textId="7176FB01" w:rsidR="00A84FA5" w:rsidRPr="007E15F6" w:rsidRDefault="00A84FA5">
            <w:pPr>
              <w:rPr>
                <w:rFonts w:asciiTheme="majorHAnsi" w:hAnsiTheme="majorHAnsi" w:cstheme="majorHAnsi"/>
                <w:sz w:val="18"/>
                <w:szCs w:val="18"/>
              </w:rPr>
            </w:pPr>
            <w:r w:rsidRPr="007E15F6">
              <w:rPr>
                <w:rFonts w:asciiTheme="majorHAnsi" w:hAnsiTheme="majorHAnsi" w:cstheme="majorHAnsi"/>
                <w:sz w:val="18"/>
                <w:szCs w:val="18"/>
              </w:rPr>
              <w:t>Maternity/Parental leave</w:t>
            </w:r>
            <w:r w:rsidR="008B7DD2" w:rsidRPr="007E15F6">
              <w:rPr>
                <w:rFonts w:asciiTheme="majorHAnsi" w:hAnsiTheme="majorHAnsi" w:cstheme="majorHAnsi"/>
                <w:sz w:val="18"/>
                <w:szCs w:val="18"/>
              </w:rPr>
              <w:t xml:space="preserve">: Positive </w:t>
            </w:r>
            <w:r w:rsidR="00383C21" w:rsidRPr="007E15F6">
              <w:rPr>
                <w:rFonts w:asciiTheme="majorHAnsi" w:hAnsiTheme="majorHAnsi" w:cstheme="majorHAnsi"/>
                <w:sz w:val="18"/>
                <w:szCs w:val="18"/>
              </w:rPr>
              <w:t>and significant</w:t>
            </w:r>
            <w:r w:rsidRPr="007E15F6">
              <w:rPr>
                <w:rFonts w:asciiTheme="majorHAnsi" w:hAnsiTheme="majorHAnsi" w:cstheme="majorHAnsi"/>
                <w:sz w:val="18"/>
                <w:szCs w:val="18"/>
              </w:rPr>
              <w:t xml:space="preserve"> for first birth but not higher order births</w:t>
            </w:r>
          </w:p>
          <w:p w14:paraId="3BF1A1D2" w14:textId="0F7E92CD" w:rsidR="00A84FA5" w:rsidRPr="007E15F6" w:rsidRDefault="008D52A6" w:rsidP="006C6E6D">
            <w:pPr>
              <w:rPr>
                <w:rFonts w:asciiTheme="majorHAnsi" w:hAnsiTheme="majorHAnsi" w:cstheme="majorHAnsi"/>
                <w:sz w:val="18"/>
                <w:szCs w:val="18"/>
              </w:rPr>
            </w:pPr>
            <w:r>
              <w:rPr>
                <w:rFonts w:asciiTheme="majorHAnsi" w:hAnsiTheme="majorHAnsi" w:cstheme="majorHAnsi"/>
                <w:sz w:val="18"/>
                <w:szCs w:val="18"/>
              </w:rPr>
              <w:t>Child care</w:t>
            </w:r>
            <w:r w:rsidR="008B7DD2" w:rsidRPr="007E15F6">
              <w:rPr>
                <w:rFonts w:asciiTheme="majorHAnsi" w:hAnsiTheme="majorHAnsi" w:cstheme="majorHAnsi"/>
                <w:sz w:val="18"/>
                <w:szCs w:val="18"/>
              </w:rPr>
              <w:t xml:space="preserve">: Positive and </w:t>
            </w:r>
            <w:r w:rsidR="00A84FA5" w:rsidRPr="007E15F6">
              <w:rPr>
                <w:rFonts w:asciiTheme="majorHAnsi" w:hAnsiTheme="majorHAnsi" w:cstheme="majorHAnsi"/>
                <w:sz w:val="18"/>
                <w:szCs w:val="18"/>
              </w:rPr>
              <w:t>significant for higher order births but not first births</w:t>
            </w:r>
          </w:p>
        </w:tc>
        <w:tc>
          <w:tcPr>
            <w:tcW w:w="1985" w:type="dxa"/>
          </w:tcPr>
          <w:p w14:paraId="3FD9CFA7" w14:textId="297D9235" w:rsidR="000A22FC" w:rsidRPr="007E15F6" w:rsidRDefault="007E103D" w:rsidP="006C6E6D">
            <w:pPr>
              <w:rPr>
                <w:rFonts w:asciiTheme="majorHAnsi" w:hAnsiTheme="majorHAnsi" w:cstheme="majorHAnsi"/>
                <w:sz w:val="18"/>
                <w:szCs w:val="18"/>
              </w:rPr>
            </w:pPr>
            <w:r w:rsidRPr="007E15F6">
              <w:rPr>
                <w:rFonts w:asciiTheme="majorHAnsi" w:hAnsiTheme="majorHAnsi" w:cstheme="majorHAnsi"/>
                <w:noProof/>
                <w:sz w:val="18"/>
                <w:szCs w:val="18"/>
              </w:rPr>
              <w:t>(Kalwij, 2010)</w:t>
            </w:r>
          </w:p>
        </w:tc>
      </w:tr>
      <w:tr w:rsidR="00E75216" w:rsidRPr="00BE4AB9" w14:paraId="607E0754" w14:textId="77777777" w:rsidTr="006C6E6D">
        <w:trPr>
          <w:trHeight w:val="1725"/>
        </w:trPr>
        <w:tc>
          <w:tcPr>
            <w:tcW w:w="1555" w:type="dxa"/>
          </w:tcPr>
          <w:p w14:paraId="0F22B56D" w14:textId="2FE28EC7" w:rsidR="00E75216" w:rsidRDefault="00E75216">
            <w:pPr>
              <w:rPr>
                <w:rFonts w:asciiTheme="majorHAnsi" w:hAnsiTheme="majorHAnsi" w:cstheme="majorHAnsi"/>
                <w:sz w:val="18"/>
                <w:szCs w:val="18"/>
              </w:rPr>
            </w:pPr>
            <w:r>
              <w:rPr>
                <w:rFonts w:asciiTheme="majorHAnsi" w:hAnsiTheme="majorHAnsi" w:cstheme="majorHAnsi"/>
                <w:sz w:val="18"/>
                <w:szCs w:val="18"/>
              </w:rPr>
              <w:t>OECD data</w:t>
            </w:r>
          </w:p>
          <w:p w14:paraId="218C2716" w14:textId="10B8DCBC" w:rsidR="00E75216" w:rsidRDefault="00E75216">
            <w:pPr>
              <w:rPr>
                <w:rFonts w:asciiTheme="majorHAnsi" w:hAnsiTheme="majorHAnsi" w:cstheme="majorHAnsi"/>
                <w:sz w:val="18"/>
                <w:szCs w:val="18"/>
              </w:rPr>
            </w:pPr>
            <w:r>
              <w:rPr>
                <w:rFonts w:asciiTheme="majorHAnsi" w:hAnsiTheme="majorHAnsi" w:cstheme="majorHAnsi"/>
                <w:sz w:val="18"/>
                <w:szCs w:val="18"/>
              </w:rPr>
              <w:t>1980-2007</w:t>
            </w:r>
          </w:p>
          <w:p w14:paraId="5065D17D" w14:textId="77777777" w:rsidR="00E75216" w:rsidRDefault="00E75216">
            <w:pPr>
              <w:rPr>
                <w:rFonts w:asciiTheme="majorHAnsi" w:hAnsiTheme="majorHAnsi" w:cstheme="majorHAnsi"/>
                <w:sz w:val="18"/>
                <w:szCs w:val="18"/>
              </w:rPr>
            </w:pPr>
          </w:p>
          <w:p w14:paraId="56E1F237" w14:textId="4E80633B" w:rsidR="00E75216" w:rsidRPr="007E7B16" w:rsidRDefault="00E75216">
            <w:pPr>
              <w:rPr>
                <w:rFonts w:asciiTheme="majorHAnsi" w:hAnsiTheme="majorHAnsi" w:cstheme="majorHAnsi"/>
                <w:sz w:val="18"/>
                <w:szCs w:val="18"/>
              </w:rPr>
            </w:pPr>
            <w:r>
              <w:rPr>
                <w:rFonts w:asciiTheme="majorHAnsi" w:hAnsiTheme="majorHAnsi" w:cstheme="majorHAnsi"/>
                <w:sz w:val="18"/>
                <w:szCs w:val="18"/>
              </w:rPr>
              <w:t>30 OECD and EU countries</w:t>
            </w:r>
          </w:p>
        </w:tc>
        <w:tc>
          <w:tcPr>
            <w:tcW w:w="1984" w:type="dxa"/>
          </w:tcPr>
          <w:p w14:paraId="351619CC" w14:textId="2A6F76ED" w:rsidR="00E75216" w:rsidRPr="007E7B16" w:rsidRDefault="00E75216" w:rsidP="00244248">
            <w:pPr>
              <w:pStyle w:val="ListParagraph"/>
              <w:numPr>
                <w:ilvl w:val="0"/>
                <w:numId w:val="26"/>
              </w:numPr>
              <w:ind w:left="180" w:hanging="142"/>
              <w:rPr>
                <w:rFonts w:asciiTheme="majorHAnsi" w:hAnsiTheme="majorHAnsi" w:cstheme="majorHAnsi"/>
                <w:sz w:val="18"/>
                <w:szCs w:val="18"/>
              </w:rPr>
            </w:pPr>
            <w:r>
              <w:rPr>
                <w:rFonts w:asciiTheme="majorHAnsi" w:hAnsiTheme="majorHAnsi" w:cstheme="majorHAnsi"/>
                <w:sz w:val="18"/>
                <w:szCs w:val="18"/>
              </w:rPr>
              <w:t>TFR</w:t>
            </w:r>
          </w:p>
        </w:tc>
        <w:tc>
          <w:tcPr>
            <w:tcW w:w="1985" w:type="dxa"/>
          </w:tcPr>
          <w:p w14:paraId="2BE87D94" w14:textId="2FB34DB4" w:rsidR="00E75216" w:rsidRPr="007E7B16" w:rsidRDefault="00E75216" w:rsidP="006C6E6D">
            <w:pPr>
              <w:rPr>
                <w:rFonts w:asciiTheme="majorHAnsi" w:hAnsiTheme="majorHAnsi" w:cstheme="majorHAnsi"/>
                <w:sz w:val="18"/>
                <w:szCs w:val="18"/>
              </w:rPr>
            </w:pPr>
            <w:r>
              <w:rPr>
                <w:rFonts w:asciiTheme="majorHAnsi" w:hAnsiTheme="majorHAnsi" w:cstheme="majorHAnsi"/>
                <w:sz w:val="18"/>
                <w:szCs w:val="18"/>
              </w:rPr>
              <w:t>Public spending per child under 18 in family cash benefits, as % of GDP</w:t>
            </w:r>
          </w:p>
        </w:tc>
        <w:tc>
          <w:tcPr>
            <w:tcW w:w="2551" w:type="dxa"/>
          </w:tcPr>
          <w:p w14:paraId="27FB8B0E" w14:textId="77777777" w:rsidR="00E75216" w:rsidRDefault="00E75216" w:rsidP="006C6E6D">
            <w:pPr>
              <w:rPr>
                <w:rFonts w:asciiTheme="majorHAnsi" w:hAnsiTheme="majorHAnsi" w:cstheme="majorHAnsi"/>
                <w:sz w:val="18"/>
                <w:szCs w:val="18"/>
              </w:rPr>
            </w:pPr>
            <w:r>
              <w:rPr>
                <w:rFonts w:asciiTheme="majorHAnsi" w:hAnsiTheme="majorHAnsi" w:cstheme="majorHAnsi"/>
                <w:sz w:val="18"/>
                <w:szCs w:val="18"/>
              </w:rPr>
              <w:t>Public spending on maternity leave per birth, as % of GDP</w:t>
            </w:r>
          </w:p>
          <w:p w14:paraId="7641E76C" w14:textId="77777777" w:rsidR="00E75216" w:rsidRDefault="00E75216" w:rsidP="006C6E6D">
            <w:pPr>
              <w:rPr>
                <w:rFonts w:asciiTheme="majorHAnsi" w:hAnsiTheme="majorHAnsi" w:cstheme="majorHAnsi"/>
                <w:sz w:val="18"/>
                <w:szCs w:val="18"/>
              </w:rPr>
            </w:pPr>
          </w:p>
          <w:p w14:paraId="3A4BAF7A" w14:textId="77777777" w:rsidR="00E75216" w:rsidRDefault="00E75216" w:rsidP="006C6E6D">
            <w:pPr>
              <w:rPr>
                <w:rFonts w:asciiTheme="majorHAnsi" w:hAnsiTheme="majorHAnsi" w:cstheme="majorHAnsi"/>
                <w:sz w:val="18"/>
                <w:szCs w:val="18"/>
              </w:rPr>
            </w:pPr>
            <w:r>
              <w:rPr>
                <w:rFonts w:asciiTheme="majorHAnsi" w:hAnsiTheme="majorHAnsi" w:cstheme="majorHAnsi"/>
                <w:sz w:val="18"/>
                <w:szCs w:val="18"/>
              </w:rPr>
              <w:t>Total length of paid leave available for mothers</w:t>
            </w:r>
          </w:p>
          <w:p w14:paraId="4730E40E" w14:textId="77777777" w:rsidR="00E75216" w:rsidRDefault="00E75216" w:rsidP="006C6E6D">
            <w:pPr>
              <w:rPr>
                <w:rFonts w:asciiTheme="majorHAnsi" w:hAnsiTheme="majorHAnsi" w:cstheme="majorHAnsi"/>
                <w:sz w:val="18"/>
                <w:szCs w:val="18"/>
              </w:rPr>
            </w:pPr>
          </w:p>
          <w:p w14:paraId="112661C6" w14:textId="66874487" w:rsidR="00E75216" w:rsidRPr="007E7B16" w:rsidRDefault="00E75216" w:rsidP="006C6E6D">
            <w:pPr>
              <w:rPr>
                <w:rFonts w:asciiTheme="majorHAnsi" w:hAnsiTheme="majorHAnsi" w:cstheme="majorHAnsi"/>
                <w:sz w:val="18"/>
                <w:szCs w:val="18"/>
              </w:rPr>
            </w:pPr>
            <w:r>
              <w:rPr>
                <w:rFonts w:asciiTheme="majorHAnsi" w:hAnsiTheme="majorHAnsi" w:cstheme="majorHAnsi"/>
                <w:sz w:val="18"/>
                <w:szCs w:val="18"/>
              </w:rPr>
              <w:t>Total length of paid leave for fathers</w:t>
            </w:r>
          </w:p>
        </w:tc>
        <w:tc>
          <w:tcPr>
            <w:tcW w:w="2126" w:type="dxa"/>
          </w:tcPr>
          <w:p w14:paraId="5827CBCC" w14:textId="79B85245" w:rsidR="00E75216" w:rsidRDefault="00E75216" w:rsidP="006C6E6D">
            <w:pPr>
              <w:rPr>
                <w:rFonts w:asciiTheme="majorHAnsi" w:hAnsiTheme="majorHAnsi" w:cstheme="majorHAnsi"/>
                <w:sz w:val="18"/>
                <w:szCs w:val="18"/>
              </w:rPr>
            </w:pPr>
            <w:r>
              <w:rPr>
                <w:rFonts w:asciiTheme="majorHAnsi" w:hAnsiTheme="majorHAnsi" w:cstheme="majorHAnsi"/>
                <w:sz w:val="18"/>
                <w:szCs w:val="18"/>
              </w:rPr>
              <w:t xml:space="preserve">Public spending on </w:t>
            </w:r>
            <w:r w:rsidR="008D52A6">
              <w:rPr>
                <w:rFonts w:asciiTheme="majorHAnsi" w:hAnsiTheme="majorHAnsi" w:cstheme="majorHAnsi"/>
                <w:sz w:val="18"/>
                <w:szCs w:val="18"/>
              </w:rPr>
              <w:t>child care</w:t>
            </w:r>
            <w:r>
              <w:rPr>
                <w:rFonts w:asciiTheme="majorHAnsi" w:hAnsiTheme="majorHAnsi" w:cstheme="majorHAnsi"/>
                <w:sz w:val="18"/>
                <w:szCs w:val="18"/>
              </w:rPr>
              <w:t xml:space="preserve"> services per child aged under 3, as % of GDP</w:t>
            </w:r>
          </w:p>
          <w:p w14:paraId="612E5A7E" w14:textId="77777777" w:rsidR="00E75216" w:rsidRDefault="00E75216" w:rsidP="006C6E6D">
            <w:pPr>
              <w:rPr>
                <w:rFonts w:asciiTheme="majorHAnsi" w:hAnsiTheme="majorHAnsi" w:cstheme="majorHAnsi"/>
                <w:sz w:val="18"/>
                <w:szCs w:val="18"/>
              </w:rPr>
            </w:pPr>
          </w:p>
          <w:p w14:paraId="1D2F414F" w14:textId="3B17C456" w:rsidR="00E75216" w:rsidRDefault="008D52A6" w:rsidP="006C6E6D">
            <w:pPr>
              <w:rPr>
                <w:rFonts w:asciiTheme="majorHAnsi" w:hAnsiTheme="majorHAnsi" w:cstheme="majorHAnsi"/>
                <w:sz w:val="18"/>
                <w:szCs w:val="18"/>
              </w:rPr>
            </w:pPr>
            <w:r>
              <w:rPr>
                <w:rFonts w:asciiTheme="majorHAnsi" w:hAnsiTheme="majorHAnsi" w:cstheme="majorHAnsi"/>
                <w:sz w:val="18"/>
                <w:szCs w:val="18"/>
              </w:rPr>
              <w:t>Child care</w:t>
            </w:r>
            <w:r w:rsidR="00E75216">
              <w:rPr>
                <w:rFonts w:asciiTheme="majorHAnsi" w:hAnsiTheme="majorHAnsi" w:cstheme="majorHAnsi"/>
                <w:sz w:val="18"/>
                <w:szCs w:val="18"/>
              </w:rPr>
              <w:t xml:space="preserve"> enrolment rate for children aged 0-2</w:t>
            </w:r>
          </w:p>
          <w:p w14:paraId="08819597" w14:textId="10929F51" w:rsidR="00E75216" w:rsidRPr="007E7B16" w:rsidRDefault="00E75216" w:rsidP="006C6E6D">
            <w:pPr>
              <w:rPr>
                <w:rFonts w:asciiTheme="majorHAnsi" w:hAnsiTheme="majorHAnsi" w:cstheme="majorHAnsi"/>
                <w:sz w:val="18"/>
                <w:szCs w:val="18"/>
              </w:rPr>
            </w:pPr>
            <w:r>
              <w:rPr>
                <w:rFonts w:asciiTheme="majorHAnsi" w:hAnsiTheme="majorHAnsi" w:cstheme="majorHAnsi"/>
                <w:sz w:val="18"/>
                <w:szCs w:val="18"/>
              </w:rPr>
              <w:t>Pre-school enrolment for children aged 3-5</w:t>
            </w:r>
          </w:p>
        </w:tc>
        <w:tc>
          <w:tcPr>
            <w:tcW w:w="2977" w:type="dxa"/>
          </w:tcPr>
          <w:p w14:paraId="6E547F38" w14:textId="1ECE1A60" w:rsidR="00E75216" w:rsidRPr="007E7B16" w:rsidRDefault="00E75216" w:rsidP="006C6E6D">
            <w:pPr>
              <w:rPr>
                <w:rFonts w:asciiTheme="majorHAnsi" w:hAnsiTheme="majorHAnsi" w:cstheme="majorHAnsi"/>
                <w:sz w:val="18"/>
                <w:szCs w:val="18"/>
              </w:rPr>
            </w:pPr>
            <w:r>
              <w:rPr>
                <w:rFonts w:asciiTheme="majorHAnsi" w:hAnsiTheme="majorHAnsi" w:cstheme="majorHAnsi"/>
                <w:sz w:val="18"/>
                <w:szCs w:val="18"/>
              </w:rPr>
              <w:t>All policies were positively associated with TFR</w:t>
            </w:r>
          </w:p>
        </w:tc>
        <w:tc>
          <w:tcPr>
            <w:tcW w:w="1985" w:type="dxa"/>
          </w:tcPr>
          <w:p w14:paraId="3AA17E7B" w14:textId="42BBDC93" w:rsidR="00E75216" w:rsidRPr="007E7B16" w:rsidRDefault="00E75216" w:rsidP="006C6E6D">
            <w:pPr>
              <w:rPr>
                <w:rFonts w:asciiTheme="majorHAnsi" w:hAnsiTheme="majorHAnsi" w:cstheme="majorHAnsi"/>
                <w:sz w:val="18"/>
                <w:szCs w:val="18"/>
              </w:rPr>
            </w:pPr>
            <w:r>
              <w:rPr>
                <w:rFonts w:asciiTheme="majorHAnsi" w:hAnsiTheme="majorHAnsi" w:cstheme="majorHAnsi"/>
                <w:sz w:val="18"/>
                <w:szCs w:val="18"/>
              </w:rPr>
              <w:t xml:space="preserve">(Adema, </w:t>
            </w:r>
            <w:r w:rsidR="00B95174" w:rsidRPr="00B95174">
              <w:rPr>
                <w:rFonts w:asciiTheme="majorHAnsi" w:hAnsiTheme="majorHAnsi" w:cstheme="majorHAnsi"/>
                <w:i/>
                <w:sz w:val="18"/>
                <w:szCs w:val="18"/>
              </w:rPr>
              <w:t>et al.,</w:t>
            </w:r>
            <w:r>
              <w:rPr>
                <w:rFonts w:asciiTheme="majorHAnsi" w:hAnsiTheme="majorHAnsi" w:cstheme="majorHAnsi"/>
                <w:sz w:val="18"/>
                <w:szCs w:val="18"/>
              </w:rPr>
              <w:t xml:space="preserve"> 2014)</w:t>
            </w:r>
          </w:p>
        </w:tc>
      </w:tr>
    </w:tbl>
    <w:p w14:paraId="12DC3394" w14:textId="77777777" w:rsidR="00416135" w:rsidRDefault="00416135" w:rsidP="006C6E6D">
      <w:pPr>
        <w:spacing w:line="240" w:lineRule="auto"/>
        <w:jc w:val="both"/>
        <w:sectPr w:rsidR="00416135" w:rsidSect="006C6E6D">
          <w:pgSz w:w="16838" w:h="11906" w:orient="landscape"/>
          <w:pgMar w:top="709" w:right="992" w:bottom="567" w:left="992" w:header="4" w:footer="176" w:gutter="0"/>
          <w:cols w:space="708"/>
          <w:docGrid w:linePitch="360"/>
        </w:sectPr>
      </w:pPr>
    </w:p>
    <w:p w14:paraId="3C461CCC" w14:textId="03BBA11A" w:rsidR="00B957F9" w:rsidRPr="00283853" w:rsidRDefault="00B957F9" w:rsidP="00BC5105">
      <w:pPr>
        <w:pStyle w:val="Heading1"/>
        <w:spacing w:line="276" w:lineRule="auto"/>
      </w:pPr>
      <w:bookmarkStart w:id="143" w:name="_Toc81572988"/>
      <w:bookmarkStart w:id="144" w:name="_Toc81572990"/>
      <w:bookmarkStart w:id="145" w:name="_Toc87454631"/>
      <w:bookmarkStart w:id="146" w:name="_Toc98404978"/>
      <w:bookmarkEnd w:id="143"/>
      <w:bookmarkEnd w:id="144"/>
      <w:r w:rsidRPr="00283853">
        <w:lastRenderedPageBreak/>
        <w:t>A</w:t>
      </w:r>
      <w:r w:rsidR="00BE66F0">
        <w:t xml:space="preserve">ssisted </w:t>
      </w:r>
      <w:r w:rsidRPr="00283853">
        <w:t>R</w:t>
      </w:r>
      <w:r w:rsidR="00BE66F0">
        <w:t xml:space="preserve">eproductive </w:t>
      </w:r>
      <w:r w:rsidRPr="00283853">
        <w:t>T</w:t>
      </w:r>
      <w:r w:rsidR="00BE66F0">
        <w:t>echnology (ART)</w:t>
      </w:r>
      <w:bookmarkEnd w:id="145"/>
      <w:bookmarkEnd w:id="146"/>
    </w:p>
    <w:p w14:paraId="7056CA2C" w14:textId="04575374" w:rsidR="00C1783A" w:rsidRPr="00BB3130" w:rsidRDefault="00424CD5" w:rsidP="00BF3F79">
      <w:pPr>
        <w:rPr>
          <w:b/>
          <w:bCs/>
          <w:lang w:val="en-US"/>
        </w:rPr>
      </w:pPr>
      <w:r>
        <w:rPr>
          <w:b/>
          <w:bCs/>
          <w:lang w:val="en-US"/>
        </w:rPr>
        <w:t>Key points</w:t>
      </w:r>
    </w:p>
    <w:p w14:paraId="719A541C" w14:textId="228A304F" w:rsidR="00C1783A" w:rsidRPr="00C1783A" w:rsidRDefault="00C1783A" w:rsidP="00244248">
      <w:pPr>
        <w:pStyle w:val="ListParagraph"/>
        <w:numPr>
          <w:ilvl w:val="0"/>
          <w:numId w:val="20"/>
        </w:numPr>
        <w:jc w:val="both"/>
        <w:rPr>
          <w:lang w:val="en-US"/>
        </w:rPr>
      </w:pPr>
      <w:r w:rsidRPr="003635BF">
        <w:rPr>
          <w:rFonts w:cstheme="minorHAnsi"/>
          <w:lang w:val="en-US"/>
        </w:rPr>
        <w:t>Because of childbearing delay, the proportion of women experiencing difficulty in achieving a pregnancy has increased, leading to an increasing number of couples turning to assisted reproductive technology (ART) treatments to counteract this decline</w:t>
      </w:r>
      <w:r>
        <w:rPr>
          <w:rFonts w:cstheme="minorHAnsi"/>
          <w:lang w:val="en-US"/>
        </w:rPr>
        <w:t>.</w:t>
      </w:r>
    </w:p>
    <w:p w14:paraId="2A6C0BB6" w14:textId="28C632D1" w:rsidR="00C1783A" w:rsidRPr="00C1783A" w:rsidRDefault="00C1783A" w:rsidP="00244248">
      <w:pPr>
        <w:pStyle w:val="ListParagraph"/>
        <w:numPr>
          <w:ilvl w:val="0"/>
          <w:numId w:val="20"/>
        </w:numPr>
        <w:jc w:val="both"/>
        <w:rPr>
          <w:lang w:val="en-US"/>
        </w:rPr>
      </w:pPr>
      <w:r>
        <w:rPr>
          <w:rFonts w:cstheme="minorHAnsi"/>
          <w:lang w:val="en-US"/>
        </w:rPr>
        <w:t xml:space="preserve">Australia is characterized by a relatively supportive public environment for ART and </w:t>
      </w:r>
      <w:r w:rsidR="00EC2600">
        <w:rPr>
          <w:rFonts w:cstheme="minorHAnsi"/>
          <w:lang w:val="en-US"/>
        </w:rPr>
        <w:t>has</w:t>
      </w:r>
      <w:r>
        <w:rPr>
          <w:rFonts w:cstheme="minorHAnsi"/>
          <w:lang w:val="en-US"/>
        </w:rPr>
        <w:t xml:space="preserve"> one of the highest proportion of children born as a result of ART (5%).</w:t>
      </w:r>
    </w:p>
    <w:p w14:paraId="790E9510" w14:textId="56983F96" w:rsidR="00C1783A" w:rsidRPr="0049442D" w:rsidRDefault="00C1783A" w:rsidP="00244248">
      <w:pPr>
        <w:pStyle w:val="ListParagraph"/>
        <w:numPr>
          <w:ilvl w:val="0"/>
          <w:numId w:val="20"/>
        </w:numPr>
        <w:jc w:val="both"/>
      </w:pPr>
      <w:r>
        <w:rPr>
          <w:rFonts w:cstheme="minorHAnsi"/>
          <w:lang w:val="en-US"/>
        </w:rPr>
        <w:t xml:space="preserve">ART </w:t>
      </w:r>
      <w:r w:rsidRPr="003635BF">
        <w:rPr>
          <w:rFonts w:cstheme="minorHAnsi"/>
          <w:lang w:val="en-US"/>
        </w:rPr>
        <w:t>can broaden the range of possible responses to low fertility rates,</w:t>
      </w:r>
      <w:r>
        <w:rPr>
          <w:rFonts w:cstheme="minorHAnsi"/>
          <w:lang w:val="en-US"/>
        </w:rPr>
        <w:t xml:space="preserve"> although its contribution to the </w:t>
      </w:r>
      <w:r w:rsidR="00C0571E">
        <w:rPr>
          <w:rFonts w:cstheme="minorHAnsi"/>
          <w:lang w:val="en-US"/>
        </w:rPr>
        <w:t>TFR</w:t>
      </w:r>
      <w:r>
        <w:rPr>
          <w:rFonts w:cstheme="minorHAnsi"/>
          <w:lang w:val="en-US"/>
        </w:rPr>
        <w:t xml:space="preserve"> so far has been modest.</w:t>
      </w:r>
    </w:p>
    <w:p w14:paraId="5C273111" w14:textId="34C4A4FC" w:rsidR="008D18C1" w:rsidRDefault="00B957F9" w:rsidP="00BC5105">
      <w:pPr>
        <w:spacing w:line="276" w:lineRule="auto"/>
        <w:jc w:val="both"/>
        <w:rPr>
          <w:rFonts w:cstheme="minorHAnsi"/>
          <w:lang w:val="en-US"/>
        </w:rPr>
      </w:pPr>
      <w:r w:rsidRPr="003635BF">
        <w:rPr>
          <w:rFonts w:cstheme="minorHAnsi"/>
          <w:lang w:val="en-US"/>
        </w:rPr>
        <w:t xml:space="preserve">Australia, </w:t>
      </w:r>
      <w:r w:rsidR="00315B78">
        <w:rPr>
          <w:rFonts w:cstheme="minorHAnsi"/>
          <w:lang w:val="en-US"/>
        </w:rPr>
        <w:t>in common with</w:t>
      </w:r>
      <w:r w:rsidRPr="003635BF">
        <w:rPr>
          <w:rFonts w:cstheme="minorHAnsi"/>
          <w:lang w:val="en-US"/>
        </w:rPr>
        <w:t xml:space="preserve"> most other </w:t>
      </w:r>
      <w:r w:rsidR="00440D4E">
        <w:rPr>
          <w:rFonts w:cstheme="minorHAnsi"/>
          <w:lang w:val="en-US"/>
        </w:rPr>
        <w:t>OECD</w:t>
      </w:r>
      <w:r w:rsidRPr="003635BF">
        <w:rPr>
          <w:rFonts w:cstheme="minorHAnsi"/>
          <w:lang w:val="en-US"/>
        </w:rPr>
        <w:t xml:space="preserve"> countries, has gone through a long period of increasing mean age at birth. The shift in births at older ages has been accompanied by a concomitant decline in completed family size (the average number of live-born</w:t>
      </w:r>
      <w:r w:rsidR="00EC2600">
        <w:rPr>
          <w:rFonts w:cstheme="minorHAnsi"/>
          <w:lang w:val="en-US"/>
        </w:rPr>
        <w:t>e</w:t>
      </w:r>
      <w:r w:rsidRPr="003635BF">
        <w:rPr>
          <w:rFonts w:cstheme="minorHAnsi"/>
          <w:lang w:val="en-US"/>
        </w:rPr>
        <w:t xml:space="preserve"> children per woman over the course of her reproductive life). In part, this </w:t>
      </w:r>
      <w:r w:rsidR="00424A23">
        <w:rPr>
          <w:rFonts w:cstheme="minorHAnsi"/>
          <w:lang w:val="en-US"/>
        </w:rPr>
        <w:t>is because</w:t>
      </w:r>
      <w:r w:rsidRPr="003635BF">
        <w:rPr>
          <w:rFonts w:cstheme="minorHAnsi"/>
          <w:lang w:val="en-US"/>
        </w:rPr>
        <w:t xml:space="preserve"> fecundity, which is the ability to reproduce, declines with age</w:t>
      </w:r>
      <w:r w:rsidR="00B5011A">
        <w:rPr>
          <w:rFonts w:cstheme="minorHAnsi"/>
          <w:lang w:val="en-US"/>
        </w:rPr>
        <w:t xml:space="preserve">, especially </w:t>
      </w:r>
      <w:r w:rsidR="00EC2600">
        <w:rPr>
          <w:rFonts w:cstheme="minorHAnsi"/>
          <w:lang w:val="en-US"/>
        </w:rPr>
        <w:t>for</w:t>
      </w:r>
      <w:r w:rsidR="00B5011A">
        <w:rPr>
          <w:rFonts w:cstheme="minorHAnsi"/>
          <w:lang w:val="en-US"/>
        </w:rPr>
        <w:t xml:space="preserve"> women (Sartorius &amp; Nieschlag</w:t>
      </w:r>
      <w:r w:rsidR="00BC2F62">
        <w:rPr>
          <w:rFonts w:cstheme="minorHAnsi"/>
          <w:lang w:val="en-US"/>
        </w:rPr>
        <w:t>,</w:t>
      </w:r>
      <w:r w:rsidR="00B5011A">
        <w:rPr>
          <w:rFonts w:cstheme="minorHAnsi"/>
          <w:lang w:val="en-US"/>
        </w:rPr>
        <w:t xml:space="preserve"> 2010)</w:t>
      </w:r>
      <w:r w:rsidRPr="003635BF">
        <w:rPr>
          <w:rFonts w:cstheme="minorHAnsi"/>
          <w:lang w:val="en-US"/>
        </w:rPr>
        <w:t xml:space="preserve">. </w:t>
      </w:r>
      <w:r w:rsidR="00897366">
        <w:rPr>
          <w:rFonts w:cstheme="minorHAnsi"/>
          <w:lang w:val="en-US"/>
        </w:rPr>
        <w:t>Leridon (</w:t>
      </w:r>
      <w:r w:rsidR="008D18C1">
        <w:rPr>
          <w:rFonts w:cstheme="minorHAnsi"/>
          <w:lang w:val="en-US"/>
        </w:rPr>
        <w:t>2010</w:t>
      </w:r>
      <w:r w:rsidR="00897366">
        <w:rPr>
          <w:rFonts w:cstheme="minorHAnsi"/>
          <w:lang w:val="en-US"/>
        </w:rPr>
        <w:t xml:space="preserve">) </w:t>
      </w:r>
      <w:r w:rsidR="008D18C1">
        <w:rPr>
          <w:rFonts w:cstheme="minorHAnsi"/>
          <w:lang w:val="en-US"/>
        </w:rPr>
        <w:t>notes that the main cause of increasing sterility with age is an increase in intra-uterine mortality. He estimates that at age 30</w:t>
      </w:r>
      <w:r w:rsidR="00897366">
        <w:rPr>
          <w:rFonts w:cstheme="minorHAnsi"/>
          <w:lang w:val="en-US"/>
        </w:rPr>
        <w:t xml:space="preserve"> of women </w:t>
      </w:r>
      <w:r w:rsidR="008D18C1">
        <w:rPr>
          <w:rFonts w:cstheme="minorHAnsi"/>
          <w:lang w:val="en-US"/>
        </w:rPr>
        <w:t>2% of women will no longer be able to conceive, and 10% will no longer be able to have a live birth. By age 40 these percentages increase to 17% and 33% respectively</w:t>
      </w:r>
      <w:r w:rsidR="00897366">
        <w:rPr>
          <w:rFonts w:cstheme="minorHAnsi"/>
          <w:lang w:val="en-US"/>
        </w:rPr>
        <w:t>.</w:t>
      </w:r>
      <w:r w:rsidRPr="003635BF">
        <w:rPr>
          <w:rFonts w:cstheme="minorHAnsi"/>
          <w:lang w:val="en-US"/>
        </w:rPr>
        <w:t xml:space="preserve"> </w:t>
      </w:r>
      <w:r w:rsidR="008D18C1">
        <w:rPr>
          <w:rFonts w:cstheme="minorHAnsi"/>
          <w:lang w:val="en-US"/>
        </w:rPr>
        <w:t xml:space="preserve">This relationship between age and the increase in permanent sterility is shown in Figure 26. </w:t>
      </w:r>
    </w:p>
    <w:p w14:paraId="5D49E66D" w14:textId="5B86D3BE" w:rsidR="00C1783A" w:rsidRDefault="00C1783A" w:rsidP="00BC5105">
      <w:pPr>
        <w:spacing w:line="276" w:lineRule="auto"/>
        <w:jc w:val="both"/>
        <w:rPr>
          <w:rFonts w:cstheme="minorHAnsi"/>
          <w:lang w:val="en-US"/>
        </w:rPr>
      </w:pPr>
    </w:p>
    <w:p w14:paraId="19B8191A" w14:textId="69022D14" w:rsidR="00132048" w:rsidRDefault="00132048" w:rsidP="006C6E6D">
      <w:pPr>
        <w:pStyle w:val="Caption"/>
        <w:keepNext/>
        <w:jc w:val="both"/>
      </w:pPr>
      <w:r>
        <w:t xml:space="preserve">Figure </w:t>
      </w:r>
      <w:fldSimple w:instr=" SEQ Figure \* ARABIC ">
        <w:r w:rsidR="00115E22">
          <w:rPr>
            <w:noProof/>
          </w:rPr>
          <w:t>26</w:t>
        </w:r>
      </w:fldSimple>
      <w:r>
        <w:t xml:space="preserve"> Estimated </w:t>
      </w:r>
      <w:r w:rsidR="008D18C1">
        <w:t>probability of no longer being able to achieve conception, and no longer being able to achieve a live birth by woman’s age</w:t>
      </w:r>
    </w:p>
    <w:p w14:paraId="35E650EC" w14:textId="06794CFD" w:rsidR="00C1783A" w:rsidRDefault="008D18C1" w:rsidP="00BC5105">
      <w:pPr>
        <w:spacing w:line="276" w:lineRule="auto"/>
        <w:jc w:val="both"/>
        <w:rPr>
          <w:rFonts w:cstheme="minorHAnsi"/>
          <w:lang w:val="en-US"/>
        </w:rPr>
      </w:pPr>
      <w:r>
        <w:rPr>
          <w:noProof/>
          <w:lang w:eastAsia="en-AU"/>
        </w:rPr>
        <w:drawing>
          <wp:inline distT="0" distB="0" distL="0" distR="0" wp14:anchorId="150EF653" wp14:editId="132447CC">
            <wp:extent cx="4572000" cy="2743200"/>
            <wp:effectExtent l="0" t="0" r="0" b="0"/>
            <wp:docPr id="9" name="Chart 9">
              <a:extLst xmlns:a="http://schemas.openxmlformats.org/drawingml/2006/main">
                <a:ext uri="{FF2B5EF4-FFF2-40B4-BE49-F238E27FC236}">
                  <a16:creationId xmlns:a16="http://schemas.microsoft.com/office/drawing/2014/main" id="{A6AB57EB-0903-4115-ADF4-A3F00C6E5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DDE711" w14:textId="001B12DB" w:rsidR="008D18C1" w:rsidRPr="00AA2600" w:rsidRDefault="008D18C1" w:rsidP="00BC5105">
      <w:pPr>
        <w:spacing w:line="276" w:lineRule="auto"/>
        <w:jc w:val="both"/>
        <w:rPr>
          <w:rFonts w:asciiTheme="majorHAnsi" w:hAnsiTheme="majorHAnsi" w:cstheme="majorHAnsi"/>
          <w:sz w:val="20"/>
          <w:szCs w:val="20"/>
          <w:lang w:val="en-US"/>
        </w:rPr>
      </w:pPr>
      <w:r w:rsidRPr="00AA2600">
        <w:rPr>
          <w:rFonts w:asciiTheme="majorHAnsi" w:hAnsiTheme="majorHAnsi" w:cstheme="majorHAnsi"/>
          <w:sz w:val="20"/>
          <w:szCs w:val="20"/>
          <w:lang w:val="en-US"/>
        </w:rPr>
        <w:t>source: Leridon (2010)</w:t>
      </w:r>
    </w:p>
    <w:p w14:paraId="3FD0E6F2" w14:textId="77777777" w:rsidR="008D18C1" w:rsidRDefault="008D18C1" w:rsidP="008D18C1">
      <w:pPr>
        <w:spacing w:line="276" w:lineRule="auto"/>
        <w:jc w:val="both"/>
        <w:rPr>
          <w:rFonts w:cstheme="minorHAnsi"/>
          <w:lang w:val="en-US"/>
        </w:rPr>
      </w:pPr>
      <w:r w:rsidRPr="003635BF">
        <w:rPr>
          <w:rFonts w:cstheme="minorHAnsi"/>
          <w:lang w:val="en-US"/>
        </w:rPr>
        <w:t xml:space="preserve">Because of childbearing delay, the proportion of </w:t>
      </w:r>
      <w:r>
        <w:rPr>
          <w:rFonts w:cstheme="minorHAnsi"/>
          <w:lang w:val="en-US"/>
        </w:rPr>
        <w:t>couples</w:t>
      </w:r>
      <w:r w:rsidRPr="003635BF">
        <w:rPr>
          <w:rFonts w:cstheme="minorHAnsi"/>
          <w:lang w:val="en-US"/>
        </w:rPr>
        <w:t xml:space="preserve"> experiencing difficult</w:t>
      </w:r>
      <w:r>
        <w:rPr>
          <w:rFonts w:cstheme="minorHAnsi"/>
          <w:lang w:val="en-US"/>
        </w:rPr>
        <w:t>ies</w:t>
      </w:r>
      <w:r w:rsidRPr="003635BF">
        <w:rPr>
          <w:rFonts w:cstheme="minorHAnsi"/>
          <w:lang w:val="en-US"/>
        </w:rPr>
        <w:t xml:space="preserve"> in achieving pregnancy</w:t>
      </w:r>
      <w:r>
        <w:rPr>
          <w:rFonts w:cstheme="minorHAnsi"/>
          <w:lang w:val="en-US"/>
        </w:rPr>
        <w:t xml:space="preserve"> and live births</w:t>
      </w:r>
      <w:r w:rsidRPr="003635BF">
        <w:rPr>
          <w:rFonts w:cstheme="minorHAnsi"/>
          <w:lang w:val="en-US"/>
        </w:rPr>
        <w:t xml:space="preserve"> has increased, leading to an increasing number of couples turning to assisted reproductive technology (ART) treatments. ART are a group of medical interventions in which gametes or embryos are </w:t>
      </w:r>
      <w:r>
        <w:rPr>
          <w:rFonts w:cstheme="minorHAnsi"/>
          <w:lang w:val="en-US"/>
        </w:rPr>
        <w:t xml:space="preserve">fertilised </w:t>
      </w:r>
      <w:r w:rsidRPr="003635BF">
        <w:rPr>
          <w:rFonts w:cstheme="minorHAnsi"/>
          <w:lang w:val="en-US"/>
        </w:rPr>
        <w:t>outside of the human body</w:t>
      </w:r>
      <w:r>
        <w:rPr>
          <w:rFonts w:cstheme="minorHAnsi"/>
          <w:lang w:val="en-US"/>
        </w:rPr>
        <w:t>, and subsequently inserted</w:t>
      </w:r>
      <w:r w:rsidRPr="003635BF">
        <w:rPr>
          <w:rFonts w:cstheme="minorHAnsi"/>
          <w:lang w:val="en-US"/>
        </w:rPr>
        <w:t xml:space="preserve"> with the purpose of establishing a </w:t>
      </w:r>
      <w:r>
        <w:rPr>
          <w:rFonts w:cstheme="minorHAnsi"/>
          <w:lang w:val="en-US"/>
        </w:rPr>
        <w:t xml:space="preserve">viable </w:t>
      </w:r>
      <w:r w:rsidRPr="003635BF">
        <w:rPr>
          <w:rFonts w:cstheme="minorHAnsi"/>
          <w:lang w:val="en-US"/>
        </w:rPr>
        <w:t xml:space="preserve">pregnancy </w:t>
      </w:r>
      <w:r w:rsidRPr="007E15F6">
        <w:rPr>
          <w:rFonts w:cstheme="minorHAnsi"/>
          <w:noProof/>
        </w:rPr>
        <w:t xml:space="preserve">(Zegers-Hochschild, </w:t>
      </w:r>
      <w:r w:rsidRPr="008A350F">
        <w:rPr>
          <w:rFonts w:cstheme="minorHAnsi"/>
          <w:i/>
          <w:iCs/>
          <w:noProof/>
        </w:rPr>
        <w:t>et al</w:t>
      </w:r>
      <w:r w:rsidRPr="007E15F6">
        <w:rPr>
          <w:rFonts w:cstheme="minorHAnsi"/>
          <w:noProof/>
        </w:rPr>
        <w:t>., 2017)</w:t>
      </w:r>
      <w:r w:rsidRPr="003635BF">
        <w:rPr>
          <w:rFonts w:cstheme="minorHAnsi"/>
          <w:lang w:val="en-US"/>
        </w:rPr>
        <w:t>.  ART treatments have become a well-</w:t>
      </w:r>
      <w:r w:rsidRPr="003635BF">
        <w:rPr>
          <w:rFonts w:cstheme="minorHAnsi"/>
          <w:lang w:val="en-US"/>
        </w:rPr>
        <w:lastRenderedPageBreak/>
        <w:t>established and accepted treatment for infertility in most countries. Since ART success rates also rapidly de</w:t>
      </w:r>
      <w:r>
        <w:rPr>
          <w:rFonts w:cstheme="minorHAnsi"/>
          <w:lang w:val="en-US"/>
        </w:rPr>
        <w:t xml:space="preserve">cline with age </w:t>
      </w:r>
      <w:r w:rsidRPr="007E15F6">
        <w:rPr>
          <w:rFonts w:cstheme="minorHAnsi"/>
          <w:noProof/>
        </w:rPr>
        <w:t xml:space="preserve">(Tan, </w:t>
      </w:r>
      <w:r w:rsidRPr="008A350F">
        <w:rPr>
          <w:rFonts w:cstheme="minorHAnsi"/>
          <w:i/>
          <w:iCs/>
          <w:noProof/>
        </w:rPr>
        <w:t>et al</w:t>
      </w:r>
      <w:r>
        <w:rPr>
          <w:rFonts w:cstheme="minorHAnsi"/>
          <w:noProof/>
        </w:rPr>
        <w:t>.</w:t>
      </w:r>
      <w:r w:rsidRPr="007E15F6">
        <w:rPr>
          <w:rFonts w:cstheme="minorHAnsi"/>
          <w:noProof/>
        </w:rPr>
        <w:t>, 2014)</w:t>
      </w:r>
      <w:r w:rsidRPr="003635BF">
        <w:rPr>
          <w:rFonts w:cstheme="minorHAnsi"/>
          <w:lang w:val="en-US"/>
        </w:rPr>
        <w:t>, they cannot fully compensate for the decline in fecundity with age but only alleviate the problems associated with childbearing delay.</w:t>
      </w:r>
    </w:p>
    <w:p w14:paraId="31490ECA" w14:textId="682F1F93" w:rsidR="00440D4E" w:rsidRPr="009B1A5D" w:rsidRDefault="00440D4E" w:rsidP="00BC5105">
      <w:pPr>
        <w:spacing w:line="276" w:lineRule="auto"/>
        <w:jc w:val="both"/>
        <w:rPr>
          <w:rFonts w:cstheme="minorHAnsi"/>
          <w:i/>
          <w:iCs/>
          <w:lang w:val="en-US"/>
        </w:rPr>
      </w:pPr>
      <w:r w:rsidRPr="009B1A5D">
        <w:rPr>
          <w:rFonts w:cstheme="minorHAnsi"/>
          <w:i/>
          <w:iCs/>
          <w:lang w:val="en-US"/>
        </w:rPr>
        <w:t xml:space="preserve">ART across OECD </w:t>
      </w:r>
      <w:r w:rsidR="007863A3" w:rsidRPr="009B1A5D">
        <w:rPr>
          <w:rFonts w:cstheme="minorHAnsi"/>
          <w:i/>
          <w:iCs/>
          <w:lang w:val="en-US"/>
        </w:rPr>
        <w:t>countries</w:t>
      </w:r>
    </w:p>
    <w:p w14:paraId="42826408" w14:textId="285459B3" w:rsidR="00424A23" w:rsidRDefault="00B957F9" w:rsidP="00BC5105">
      <w:pPr>
        <w:spacing w:line="276" w:lineRule="auto"/>
        <w:jc w:val="both"/>
        <w:rPr>
          <w:rFonts w:cstheme="minorHAnsi"/>
          <w:lang w:val="en-US"/>
        </w:rPr>
      </w:pPr>
      <w:r w:rsidRPr="003635BF">
        <w:rPr>
          <w:rFonts w:cstheme="minorHAnsi"/>
          <w:lang w:val="en-US"/>
        </w:rPr>
        <w:t xml:space="preserve">Across countries, there are substantial differences in the proportion of babies born as a result of ART. The most recent report from the European Society of Human Reproduction and Embryology showed that in Europe between 0.2% and 6% of children were conceived through ART in 2015 </w:t>
      </w:r>
      <w:sdt>
        <w:sdtPr>
          <w:rPr>
            <w:rFonts w:cstheme="minorHAnsi"/>
            <w:lang w:val="en-US"/>
          </w:rPr>
          <w:id w:val="-1178428819"/>
          <w:citation/>
        </w:sdtPr>
        <w:sdtEndPr/>
        <w:sdtContent>
          <w:r w:rsidR="00552620">
            <w:rPr>
              <w:rFonts w:cstheme="minorHAnsi"/>
              <w:lang w:val="en-US"/>
            </w:rPr>
            <w:fldChar w:fldCharType="begin"/>
          </w:r>
          <w:r w:rsidR="00552620">
            <w:rPr>
              <w:rFonts w:cstheme="minorHAnsi"/>
            </w:rPr>
            <w:instrText xml:space="preserve"> CITATION Wyn20 \l 3081 </w:instrText>
          </w:r>
          <w:r w:rsidR="00552620">
            <w:rPr>
              <w:rFonts w:cstheme="minorHAnsi"/>
              <w:lang w:val="en-US"/>
            </w:rPr>
            <w:fldChar w:fldCharType="separate"/>
          </w:r>
          <w:r w:rsidR="00BE2DD4" w:rsidRPr="00BC70D8">
            <w:rPr>
              <w:rFonts w:cstheme="minorHAnsi"/>
              <w:noProof/>
            </w:rPr>
            <w:t>(Wyns, et al., 2020)</w:t>
          </w:r>
          <w:r w:rsidR="00552620">
            <w:rPr>
              <w:rFonts w:cstheme="minorHAnsi"/>
              <w:lang w:val="en-US"/>
            </w:rPr>
            <w:fldChar w:fldCharType="end"/>
          </w:r>
        </w:sdtContent>
      </w:sdt>
      <w:r w:rsidRPr="003635BF">
        <w:rPr>
          <w:rFonts w:cstheme="minorHAnsi"/>
          <w:lang w:val="en-US"/>
        </w:rPr>
        <w:t>, while in the United States ART in 2018 accounted for slightly less than 2% of babies</w:t>
      </w:r>
      <w:r w:rsidR="00552620">
        <w:rPr>
          <w:rFonts w:cstheme="minorHAnsi"/>
          <w:lang w:val="en-US"/>
        </w:rPr>
        <w:t xml:space="preserve"> </w:t>
      </w:r>
      <w:sdt>
        <w:sdtPr>
          <w:rPr>
            <w:rFonts w:cstheme="minorHAnsi"/>
            <w:lang w:val="en-US"/>
          </w:rPr>
          <w:id w:val="-635800988"/>
          <w:citation/>
        </w:sdtPr>
        <w:sdtEndPr/>
        <w:sdtContent>
          <w:r w:rsidR="00552620">
            <w:rPr>
              <w:rFonts w:cstheme="minorHAnsi"/>
              <w:lang w:val="en-US"/>
            </w:rPr>
            <w:fldChar w:fldCharType="begin"/>
          </w:r>
          <w:r w:rsidR="00552620">
            <w:rPr>
              <w:rFonts w:cstheme="minorHAnsi"/>
            </w:rPr>
            <w:instrText xml:space="preserve">CITATION Cen20 \l 3081 </w:instrText>
          </w:r>
          <w:r w:rsidR="00552620">
            <w:rPr>
              <w:rFonts w:cstheme="minorHAnsi"/>
              <w:lang w:val="en-US"/>
            </w:rPr>
            <w:fldChar w:fldCharType="separate"/>
          </w:r>
          <w:r w:rsidR="00BE2DD4" w:rsidRPr="00BC70D8">
            <w:rPr>
              <w:rFonts w:cstheme="minorHAnsi"/>
              <w:noProof/>
            </w:rPr>
            <w:t>(CDC, 2020)</w:t>
          </w:r>
          <w:r w:rsidR="00552620">
            <w:rPr>
              <w:rFonts w:cstheme="minorHAnsi"/>
              <w:lang w:val="en-US"/>
            </w:rPr>
            <w:fldChar w:fldCharType="end"/>
          </w:r>
        </w:sdtContent>
      </w:sdt>
      <w:r w:rsidRPr="003635BF">
        <w:rPr>
          <w:rFonts w:cstheme="minorHAnsi"/>
          <w:lang w:val="en-US"/>
        </w:rPr>
        <w:t>. In South Korea</w:t>
      </w:r>
      <w:r w:rsidR="00424A23">
        <w:rPr>
          <w:rFonts w:cstheme="minorHAnsi"/>
          <w:lang w:val="en-US"/>
        </w:rPr>
        <w:t>, ART accounted for</w:t>
      </w:r>
      <w:r w:rsidRPr="003635BF">
        <w:rPr>
          <w:rFonts w:cstheme="minorHAnsi"/>
          <w:lang w:val="en-US"/>
        </w:rPr>
        <w:t xml:space="preserve"> 6% </w:t>
      </w:r>
      <w:r w:rsidR="00424A23">
        <w:rPr>
          <w:rFonts w:cstheme="minorHAnsi"/>
          <w:lang w:val="en-US"/>
        </w:rPr>
        <w:t xml:space="preserve">of live births </w:t>
      </w:r>
      <w:r w:rsidR="00552620">
        <w:rPr>
          <w:rFonts w:cstheme="minorHAnsi"/>
          <w:lang w:val="en-US"/>
        </w:rPr>
        <w:t xml:space="preserve">in 2017 </w:t>
      </w:r>
      <w:sdt>
        <w:sdtPr>
          <w:rPr>
            <w:rFonts w:cstheme="minorHAnsi"/>
            <w:lang w:val="en-US"/>
          </w:rPr>
          <w:id w:val="-1245260924"/>
          <w:citation/>
        </w:sdtPr>
        <w:sdtEndPr/>
        <w:sdtContent>
          <w:r w:rsidR="00552620">
            <w:rPr>
              <w:rFonts w:cstheme="minorHAnsi"/>
              <w:lang w:val="en-US"/>
            </w:rPr>
            <w:fldChar w:fldCharType="begin"/>
          </w:r>
          <w:r w:rsidR="000B1545">
            <w:rPr>
              <w:rFonts w:cstheme="minorHAnsi"/>
            </w:rPr>
            <w:instrText xml:space="preserve">CITATION Kim19 \l 3081 </w:instrText>
          </w:r>
          <w:r w:rsidR="00552620">
            <w:rPr>
              <w:rFonts w:cstheme="minorHAnsi"/>
              <w:lang w:val="en-US"/>
            </w:rPr>
            <w:fldChar w:fldCharType="separate"/>
          </w:r>
          <w:r w:rsidR="00BE2DD4" w:rsidRPr="00BC70D8">
            <w:rPr>
              <w:rFonts w:cstheme="minorHAnsi"/>
              <w:noProof/>
            </w:rPr>
            <w:t>(Kim, 2019)</w:t>
          </w:r>
          <w:r w:rsidR="00552620">
            <w:rPr>
              <w:rFonts w:cstheme="minorHAnsi"/>
              <w:lang w:val="en-US"/>
            </w:rPr>
            <w:fldChar w:fldCharType="end"/>
          </w:r>
        </w:sdtContent>
      </w:sdt>
      <w:r w:rsidRPr="003635BF">
        <w:rPr>
          <w:rFonts w:cstheme="minorHAnsi"/>
          <w:lang w:val="en-US"/>
        </w:rPr>
        <w:t xml:space="preserve">. Cross-country variations are partly due to the existence of different regulatory frameworks and insurance schemes, which can affect the accessibility and affordability of services. These are also the main ways </w:t>
      </w:r>
      <w:r w:rsidR="00424A23">
        <w:rPr>
          <w:rFonts w:cstheme="minorHAnsi"/>
          <w:lang w:val="en-US"/>
        </w:rPr>
        <w:t>policies</w:t>
      </w:r>
      <w:r w:rsidRPr="003635BF">
        <w:rPr>
          <w:rFonts w:cstheme="minorHAnsi"/>
          <w:lang w:val="en-US"/>
        </w:rPr>
        <w:t xml:space="preserve"> can affect the utili</w:t>
      </w:r>
      <w:r w:rsidR="00424A23">
        <w:rPr>
          <w:rFonts w:cstheme="minorHAnsi"/>
          <w:lang w:val="en-US"/>
        </w:rPr>
        <w:t>s</w:t>
      </w:r>
      <w:r w:rsidRPr="003635BF">
        <w:rPr>
          <w:rFonts w:cstheme="minorHAnsi"/>
          <w:lang w:val="en-US"/>
        </w:rPr>
        <w:t xml:space="preserve">ation of ART. </w:t>
      </w:r>
    </w:p>
    <w:p w14:paraId="650FBCC4" w14:textId="7620FAEE" w:rsidR="00B957F9" w:rsidRPr="003635BF" w:rsidRDefault="00B5011A" w:rsidP="00BC5105">
      <w:pPr>
        <w:spacing w:line="276" w:lineRule="auto"/>
        <w:jc w:val="both"/>
        <w:rPr>
          <w:rFonts w:cstheme="minorHAnsi"/>
          <w:lang w:val="en-US"/>
        </w:rPr>
      </w:pPr>
      <w:r>
        <w:rPr>
          <w:rFonts w:cstheme="minorHAnsi"/>
          <w:lang w:val="en-US"/>
        </w:rPr>
        <w:t>G</w:t>
      </w:r>
      <w:r w:rsidR="00B957F9" w:rsidRPr="003635BF">
        <w:rPr>
          <w:rFonts w:cstheme="minorHAnsi"/>
          <w:lang w:val="en-US"/>
        </w:rPr>
        <w:t xml:space="preserve">overnments may place regulatory barriers </w:t>
      </w:r>
      <w:r w:rsidR="00424A23">
        <w:rPr>
          <w:rFonts w:cstheme="minorHAnsi"/>
          <w:lang w:val="en-US"/>
        </w:rPr>
        <w:t>on</w:t>
      </w:r>
      <w:r w:rsidR="00424A23" w:rsidRPr="003635BF">
        <w:rPr>
          <w:rFonts w:cstheme="minorHAnsi"/>
          <w:lang w:val="en-US"/>
        </w:rPr>
        <w:t xml:space="preserve"> </w:t>
      </w:r>
      <w:r w:rsidR="00B957F9" w:rsidRPr="003635BF">
        <w:rPr>
          <w:rFonts w:cstheme="minorHAnsi"/>
          <w:lang w:val="en-US"/>
        </w:rPr>
        <w:t xml:space="preserve">ART treatments by limiting access only to </w:t>
      </w:r>
      <w:r w:rsidR="00424A23">
        <w:rPr>
          <w:rFonts w:cstheme="minorHAnsi"/>
          <w:lang w:val="en-US"/>
        </w:rPr>
        <w:t xml:space="preserve">women in </w:t>
      </w:r>
      <w:r w:rsidR="00B957F9" w:rsidRPr="003635BF">
        <w:rPr>
          <w:rFonts w:cstheme="minorHAnsi"/>
          <w:lang w:val="en-US"/>
        </w:rPr>
        <w:t xml:space="preserve">specific types of </w:t>
      </w:r>
      <w:r w:rsidR="00424A23">
        <w:rPr>
          <w:rFonts w:cstheme="minorHAnsi"/>
          <w:lang w:val="en-US"/>
        </w:rPr>
        <w:t xml:space="preserve">relationships, </w:t>
      </w:r>
      <w:r w:rsidR="00B957F9" w:rsidRPr="003635BF">
        <w:rPr>
          <w:rFonts w:cstheme="minorHAnsi"/>
          <w:lang w:val="en-US"/>
        </w:rPr>
        <w:t xml:space="preserve">or only to women under a certain age limit. </w:t>
      </w:r>
      <w:r w:rsidR="00424A23">
        <w:rPr>
          <w:rFonts w:cstheme="minorHAnsi"/>
          <w:lang w:val="en-US"/>
        </w:rPr>
        <w:t>For example, b</w:t>
      </w:r>
      <w:r w:rsidR="00B957F9" w:rsidRPr="003635BF">
        <w:rPr>
          <w:rFonts w:cstheme="minorHAnsi"/>
          <w:lang w:val="en-US"/>
        </w:rPr>
        <w:t>eing in a heterosexual relationship and married (or in a similarly committed form of union) is a requirement in most OECD countries (Allan</w:t>
      </w:r>
      <w:r w:rsidR="00C96C57">
        <w:rPr>
          <w:rFonts w:cstheme="minorHAnsi"/>
          <w:lang w:val="en-US"/>
        </w:rPr>
        <w:t>,</w:t>
      </w:r>
      <w:r w:rsidR="00B957F9" w:rsidRPr="003635BF">
        <w:rPr>
          <w:rFonts w:cstheme="minorHAnsi"/>
          <w:lang w:val="en-US"/>
        </w:rPr>
        <w:t xml:space="preserve"> </w:t>
      </w:r>
      <w:r w:rsidR="00B957F9" w:rsidRPr="00C96C57">
        <w:rPr>
          <w:rFonts w:cstheme="minorHAnsi"/>
          <w:i/>
          <w:iCs/>
          <w:lang w:val="en-US"/>
        </w:rPr>
        <w:t>et al</w:t>
      </w:r>
      <w:r w:rsidR="00B957F9" w:rsidRPr="003635BF">
        <w:rPr>
          <w:rFonts w:cstheme="minorHAnsi"/>
          <w:lang w:val="en-US"/>
        </w:rPr>
        <w:t>. 2019)</w:t>
      </w:r>
      <w:r w:rsidR="00424A23">
        <w:rPr>
          <w:rFonts w:cstheme="minorHAnsi"/>
          <w:lang w:val="en-US"/>
        </w:rPr>
        <w:t>. Another example is based on</w:t>
      </w:r>
      <w:r w:rsidR="00B957F9" w:rsidRPr="003635BF">
        <w:rPr>
          <w:rFonts w:cstheme="minorHAnsi"/>
          <w:lang w:val="en-US"/>
        </w:rPr>
        <w:t xml:space="preserve"> strict legal age limits, </w:t>
      </w:r>
      <w:r w:rsidR="00424A23">
        <w:rPr>
          <w:rFonts w:cstheme="minorHAnsi"/>
          <w:lang w:val="en-US"/>
        </w:rPr>
        <w:t xml:space="preserve">such as being </w:t>
      </w:r>
      <w:r w:rsidR="00B957F9" w:rsidRPr="003635BF">
        <w:rPr>
          <w:rFonts w:cstheme="minorHAnsi"/>
          <w:lang w:val="en-US"/>
        </w:rPr>
        <w:t xml:space="preserve">between 40 and 50 years of age, </w:t>
      </w:r>
      <w:r w:rsidR="00424A23">
        <w:rPr>
          <w:rFonts w:cstheme="minorHAnsi"/>
          <w:lang w:val="en-US"/>
        </w:rPr>
        <w:t>which is</w:t>
      </w:r>
      <w:r w:rsidR="00424A23" w:rsidRPr="003635BF">
        <w:rPr>
          <w:rFonts w:cstheme="minorHAnsi"/>
          <w:lang w:val="en-US"/>
        </w:rPr>
        <w:t xml:space="preserve"> </w:t>
      </w:r>
      <w:r w:rsidR="00B957F9" w:rsidRPr="003635BF">
        <w:rPr>
          <w:rFonts w:cstheme="minorHAnsi"/>
          <w:lang w:val="en-US"/>
        </w:rPr>
        <w:t>applied in Estonia, Greece, The Netherlands, Belgium, Bulgaria, Denmark, Ireland, Luxemburg, Slovenia, and Finland</w:t>
      </w:r>
      <w:r w:rsidR="00552620">
        <w:rPr>
          <w:rFonts w:cstheme="minorHAnsi"/>
          <w:lang w:val="en-US"/>
        </w:rPr>
        <w:t xml:space="preserve"> </w:t>
      </w:r>
      <w:r w:rsidR="00C96C57" w:rsidRPr="007E15F6">
        <w:rPr>
          <w:rFonts w:cstheme="minorHAnsi"/>
          <w:noProof/>
        </w:rPr>
        <w:t xml:space="preserve">(Kocourkova, </w:t>
      </w:r>
      <w:r w:rsidR="00C96C57" w:rsidRPr="00C96C57">
        <w:rPr>
          <w:rFonts w:cstheme="minorHAnsi"/>
          <w:i/>
          <w:iCs/>
          <w:noProof/>
        </w:rPr>
        <w:t>et al.</w:t>
      </w:r>
      <w:r w:rsidR="00C96C57" w:rsidRPr="007E15F6">
        <w:rPr>
          <w:rFonts w:cstheme="minorHAnsi"/>
          <w:noProof/>
        </w:rPr>
        <w:t xml:space="preserve"> 2015)</w:t>
      </w:r>
      <w:r w:rsidR="00B957F9" w:rsidRPr="003635BF">
        <w:rPr>
          <w:rFonts w:cstheme="minorHAnsi"/>
          <w:lang w:val="en-US"/>
        </w:rPr>
        <w:t>. Additionally, governments can affect the affordability of treatment for patients through their funding arrangements. After government subsidi</w:t>
      </w:r>
      <w:r w:rsidR="00424A23">
        <w:rPr>
          <w:rFonts w:cstheme="minorHAnsi"/>
          <w:lang w:val="en-US"/>
        </w:rPr>
        <w:t>s</w:t>
      </w:r>
      <w:r w:rsidR="00B957F9" w:rsidRPr="003635BF">
        <w:rPr>
          <w:rFonts w:cstheme="minorHAnsi"/>
          <w:lang w:val="en-US"/>
        </w:rPr>
        <w:t xml:space="preserve">ation has been taken into account, the cost of an IVF cycle has been estimated to range between 6% of total disposable income </w:t>
      </w:r>
      <w:r w:rsidR="00424A23">
        <w:rPr>
          <w:rFonts w:cstheme="minorHAnsi"/>
          <w:lang w:val="en-US"/>
        </w:rPr>
        <w:t>(</w:t>
      </w:r>
      <w:r w:rsidR="00B957F9" w:rsidRPr="003635BF">
        <w:rPr>
          <w:rFonts w:cstheme="minorHAnsi"/>
          <w:lang w:val="en-US"/>
        </w:rPr>
        <w:t>Australia</w:t>
      </w:r>
      <w:r w:rsidR="00424A23">
        <w:rPr>
          <w:rFonts w:cstheme="minorHAnsi"/>
          <w:lang w:val="en-US"/>
        </w:rPr>
        <w:t>)</w:t>
      </w:r>
      <w:r w:rsidR="00B957F9" w:rsidRPr="003635BF">
        <w:rPr>
          <w:rFonts w:cstheme="minorHAnsi"/>
          <w:lang w:val="en-US"/>
        </w:rPr>
        <w:t xml:space="preserve"> up to 50% of total disposable income </w:t>
      </w:r>
      <w:r w:rsidR="00424A23">
        <w:rPr>
          <w:rFonts w:cstheme="minorHAnsi"/>
          <w:lang w:val="en-US"/>
        </w:rPr>
        <w:t>(</w:t>
      </w:r>
      <w:r w:rsidR="00B957F9" w:rsidRPr="003635BF">
        <w:rPr>
          <w:rFonts w:cstheme="minorHAnsi"/>
          <w:lang w:val="en-US"/>
        </w:rPr>
        <w:t>United States</w:t>
      </w:r>
      <w:r w:rsidR="00424A23">
        <w:rPr>
          <w:rFonts w:cstheme="minorHAnsi"/>
          <w:lang w:val="en-US"/>
        </w:rPr>
        <w:t>)</w:t>
      </w:r>
      <w:r w:rsidR="004972DB">
        <w:rPr>
          <w:rFonts w:cstheme="minorHAnsi"/>
          <w:lang w:val="en-US"/>
        </w:rPr>
        <w:t xml:space="preserve"> </w:t>
      </w:r>
      <w:r w:rsidR="00C96C57" w:rsidRPr="007E15F6">
        <w:rPr>
          <w:rFonts w:cstheme="minorHAnsi"/>
          <w:noProof/>
        </w:rPr>
        <w:t xml:space="preserve">(Chambers, </w:t>
      </w:r>
      <w:r w:rsidR="00C96C57" w:rsidRPr="00C96C57">
        <w:rPr>
          <w:rFonts w:cstheme="minorHAnsi"/>
          <w:i/>
          <w:iCs/>
          <w:noProof/>
        </w:rPr>
        <w:t>et al</w:t>
      </w:r>
      <w:r w:rsidR="00C96C57">
        <w:rPr>
          <w:rFonts w:cstheme="minorHAnsi"/>
          <w:noProof/>
        </w:rPr>
        <w:t>.</w:t>
      </w:r>
      <w:r w:rsidR="00C96C57" w:rsidRPr="007E15F6">
        <w:rPr>
          <w:rFonts w:cstheme="minorHAnsi"/>
          <w:noProof/>
        </w:rPr>
        <w:t xml:space="preserve"> 2009)</w:t>
      </w:r>
      <w:r w:rsidR="00B957F9" w:rsidRPr="003635BF">
        <w:rPr>
          <w:rFonts w:cstheme="minorHAnsi"/>
          <w:lang w:val="en-US"/>
        </w:rPr>
        <w:t>. Age can also be a major requirement for reimbursement, with the age limit to receive public coverage for treatment often considerably lower than the age limit to access services. Latvia and Lithuania are among the countries with the lowest age limit (set at 38 years old) for public reimburse</w:t>
      </w:r>
      <w:r w:rsidR="004972DB">
        <w:rPr>
          <w:rFonts w:cstheme="minorHAnsi"/>
          <w:lang w:val="en-US"/>
        </w:rPr>
        <w:t xml:space="preserve">ment for ART </w:t>
      </w:r>
      <w:r w:rsidR="00C96C57" w:rsidRPr="007E15F6">
        <w:rPr>
          <w:rFonts w:cstheme="minorHAnsi"/>
          <w:noProof/>
        </w:rPr>
        <w:t>(Allan, et al., 2019)</w:t>
      </w:r>
      <w:r w:rsidR="00B957F9" w:rsidRPr="003635BF">
        <w:rPr>
          <w:rFonts w:cstheme="minorHAnsi"/>
          <w:lang w:val="en-US"/>
        </w:rPr>
        <w:t xml:space="preserve">. Limits on age typically </w:t>
      </w:r>
      <w:r w:rsidR="00424A23">
        <w:rPr>
          <w:rFonts w:cstheme="minorHAnsi"/>
          <w:lang w:val="en-US"/>
        </w:rPr>
        <w:t>apply to the age of</w:t>
      </w:r>
      <w:r w:rsidR="00424A23" w:rsidRPr="003635BF">
        <w:rPr>
          <w:rFonts w:cstheme="minorHAnsi"/>
          <w:lang w:val="en-US"/>
        </w:rPr>
        <w:t xml:space="preserve"> </w:t>
      </w:r>
      <w:r w:rsidR="00B957F9" w:rsidRPr="003635BF">
        <w:rPr>
          <w:rFonts w:cstheme="minorHAnsi"/>
          <w:lang w:val="en-US"/>
        </w:rPr>
        <w:t>women, although two OECD countries (Austria and Germany) also impose an age limit for men</w:t>
      </w:r>
      <w:r w:rsidR="004972DB">
        <w:rPr>
          <w:rFonts w:cstheme="minorHAnsi"/>
          <w:lang w:val="en-US"/>
        </w:rPr>
        <w:t xml:space="preserve"> </w:t>
      </w:r>
      <w:r w:rsidR="00C96C57" w:rsidRPr="007E15F6">
        <w:rPr>
          <w:rFonts w:cstheme="minorHAnsi"/>
          <w:noProof/>
        </w:rPr>
        <w:t xml:space="preserve">(Allan, </w:t>
      </w:r>
      <w:r w:rsidR="00C96C57" w:rsidRPr="00C96C57">
        <w:rPr>
          <w:rFonts w:cstheme="minorHAnsi"/>
          <w:i/>
          <w:iCs/>
          <w:noProof/>
        </w:rPr>
        <w:t>et al</w:t>
      </w:r>
      <w:r w:rsidR="00C96C57" w:rsidRPr="007E15F6">
        <w:rPr>
          <w:rFonts w:cstheme="minorHAnsi"/>
          <w:noProof/>
        </w:rPr>
        <w:t>. 2019)</w:t>
      </w:r>
      <w:r w:rsidR="00B957F9" w:rsidRPr="003635BF">
        <w:rPr>
          <w:rFonts w:cstheme="minorHAnsi"/>
          <w:lang w:val="en-US"/>
        </w:rPr>
        <w:t>.</w:t>
      </w:r>
    </w:p>
    <w:p w14:paraId="27C9A497" w14:textId="3DF28D66" w:rsidR="00B957F9" w:rsidRPr="003635BF" w:rsidRDefault="00B957F9" w:rsidP="00BC5105">
      <w:pPr>
        <w:spacing w:line="276" w:lineRule="auto"/>
        <w:jc w:val="both"/>
        <w:rPr>
          <w:rFonts w:cstheme="minorHAnsi"/>
          <w:lang w:val="en-US"/>
        </w:rPr>
      </w:pPr>
      <w:r w:rsidRPr="003635BF">
        <w:rPr>
          <w:rFonts w:cstheme="minorHAnsi"/>
          <w:lang w:val="en-US"/>
        </w:rPr>
        <w:t xml:space="preserve">Despite the marked increase in the </w:t>
      </w:r>
      <w:r w:rsidR="00236E03">
        <w:rPr>
          <w:rFonts w:cstheme="minorHAnsi"/>
          <w:lang w:val="en-US"/>
        </w:rPr>
        <w:t>use</w:t>
      </w:r>
      <w:r w:rsidR="00236E03" w:rsidRPr="003635BF">
        <w:rPr>
          <w:rFonts w:cstheme="minorHAnsi"/>
          <w:lang w:val="en-US"/>
        </w:rPr>
        <w:t xml:space="preserve"> </w:t>
      </w:r>
      <w:r w:rsidRPr="003635BF">
        <w:rPr>
          <w:rFonts w:cstheme="minorHAnsi"/>
          <w:lang w:val="en-US"/>
        </w:rPr>
        <w:t xml:space="preserve">of ART among </w:t>
      </w:r>
      <w:r w:rsidR="00C0571E">
        <w:rPr>
          <w:rFonts w:cstheme="minorHAnsi"/>
          <w:lang w:val="en-US"/>
        </w:rPr>
        <w:t>high</w:t>
      </w:r>
      <w:r w:rsidR="00366518">
        <w:rPr>
          <w:rFonts w:cstheme="minorHAnsi"/>
          <w:lang w:val="en-US"/>
        </w:rPr>
        <w:t>-</w:t>
      </w:r>
      <w:r w:rsidR="00C0571E">
        <w:rPr>
          <w:rFonts w:cstheme="minorHAnsi"/>
          <w:lang w:val="en-US"/>
        </w:rPr>
        <w:t>income</w:t>
      </w:r>
      <w:r w:rsidRPr="003635BF">
        <w:rPr>
          <w:rFonts w:cstheme="minorHAnsi"/>
          <w:lang w:val="en-US"/>
        </w:rPr>
        <w:t xml:space="preserve"> countries, there is still relatively little knowledge about its contribution to the </w:t>
      </w:r>
      <w:r w:rsidR="00440D4E">
        <w:rPr>
          <w:rFonts w:cstheme="minorHAnsi"/>
          <w:lang w:val="en-US"/>
        </w:rPr>
        <w:t>TFR</w:t>
      </w:r>
      <w:r w:rsidRPr="003635BF">
        <w:rPr>
          <w:rFonts w:cstheme="minorHAnsi"/>
          <w:lang w:val="en-US"/>
        </w:rPr>
        <w:t>. It has been estimated that in 2002 ART contributed to 0.</w:t>
      </w:r>
      <w:r w:rsidR="00905517">
        <w:rPr>
          <w:rFonts w:cstheme="minorHAnsi"/>
          <w:lang w:val="en-US"/>
        </w:rPr>
        <w:t>0</w:t>
      </w:r>
      <w:r w:rsidRPr="003635BF">
        <w:rPr>
          <w:rFonts w:cstheme="minorHAnsi"/>
          <w:lang w:val="en-US"/>
        </w:rPr>
        <w:t>2 of the TFR in the United Kingdom (from 1.62 to 1.64) and to 0.07 in Denmark (from 1.65 to 1.72)</w:t>
      </w:r>
      <w:r w:rsidR="003A75FA">
        <w:rPr>
          <w:rFonts w:cstheme="minorHAnsi"/>
          <w:noProof/>
        </w:rPr>
        <w:t xml:space="preserve"> (Hoorens, et al. 2007)</w:t>
      </w:r>
      <w:r w:rsidRPr="003635BF">
        <w:rPr>
          <w:rFonts w:cstheme="minorHAnsi"/>
          <w:lang w:val="en-US"/>
        </w:rPr>
        <w:t xml:space="preserve">. Another Danish study taking a cohort approach has shown a similar impact of ART on the completed fertility rate of women born in 1970 of around 4% </w:t>
      </w:r>
      <w:r w:rsidR="00C96C57" w:rsidRPr="007E15F6">
        <w:rPr>
          <w:rFonts w:cstheme="minorHAnsi"/>
          <w:noProof/>
        </w:rPr>
        <w:t xml:space="preserve">(Sobotka, </w:t>
      </w:r>
      <w:r w:rsidR="00C96C57" w:rsidRPr="00C96C57">
        <w:rPr>
          <w:rFonts w:cstheme="minorHAnsi"/>
          <w:i/>
          <w:iCs/>
          <w:noProof/>
        </w:rPr>
        <w:t>et al</w:t>
      </w:r>
      <w:r w:rsidR="00C96C57" w:rsidRPr="007E15F6">
        <w:rPr>
          <w:rFonts w:cstheme="minorHAnsi"/>
          <w:noProof/>
        </w:rPr>
        <w:t>., 2008)</w:t>
      </w:r>
      <w:r w:rsidRPr="003635BF">
        <w:rPr>
          <w:rFonts w:cstheme="minorHAnsi"/>
          <w:lang w:val="en-US"/>
        </w:rPr>
        <w:t xml:space="preserve">. Using a computer simulation, Leridon and Slama </w:t>
      </w:r>
      <w:r w:rsidR="00C96C57" w:rsidRPr="007E15F6">
        <w:rPr>
          <w:rFonts w:cstheme="minorHAnsi"/>
          <w:noProof/>
        </w:rPr>
        <w:t>(2008)</w:t>
      </w:r>
      <w:r w:rsidRPr="003635BF">
        <w:rPr>
          <w:rFonts w:cstheme="minorHAnsi"/>
          <w:lang w:val="en-US"/>
        </w:rPr>
        <w:t xml:space="preserve"> estimated an increase in the completed fertility of French women born in 1968 between 0.2 if only half of the couples with infertility resorted to ART and 0.4 if all couples with infertility resorted to ART. </w:t>
      </w:r>
    </w:p>
    <w:p w14:paraId="7DBBF238" w14:textId="0C5439D1" w:rsidR="00B957F9" w:rsidRPr="003635BF" w:rsidRDefault="00B957F9" w:rsidP="00BC5105">
      <w:pPr>
        <w:spacing w:line="276" w:lineRule="auto"/>
        <w:jc w:val="both"/>
        <w:rPr>
          <w:rFonts w:cstheme="minorHAnsi"/>
          <w:lang w:val="en-US"/>
        </w:rPr>
      </w:pPr>
      <w:r w:rsidRPr="003635BF">
        <w:rPr>
          <w:rFonts w:cstheme="minorHAnsi"/>
          <w:lang w:val="en-US"/>
        </w:rPr>
        <w:t xml:space="preserve">Today, </w:t>
      </w:r>
      <w:r w:rsidR="00E83A20">
        <w:rPr>
          <w:rFonts w:cstheme="minorHAnsi"/>
          <w:lang w:val="en-US"/>
        </w:rPr>
        <w:t>22</w:t>
      </w:r>
      <w:r w:rsidRPr="003635BF">
        <w:rPr>
          <w:rFonts w:cstheme="minorHAnsi"/>
          <w:lang w:val="en-US"/>
        </w:rPr>
        <w:t xml:space="preserve"> countries around the world provide full or partial public funding for ART</w:t>
      </w:r>
      <w:r w:rsidR="000B1545">
        <w:rPr>
          <w:rFonts w:cstheme="minorHAnsi"/>
          <w:lang w:val="en-US"/>
        </w:rPr>
        <w:t xml:space="preserve"> </w:t>
      </w:r>
      <w:r w:rsidR="003A75FA">
        <w:rPr>
          <w:rFonts w:cstheme="minorHAnsi"/>
          <w:noProof/>
        </w:rPr>
        <w:t>(Keane, et al. 2017)</w:t>
      </w:r>
      <w:r w:rsidRPr="003635BF">
        <w:rPr>
          <w:rFonts w:cstheme="minorHAnsi"/>
          <w:lang w:val="en-US"/>
        </w:rPr>
        <w:t>. While several rationales may justify the reimbursement of ART</w:t>
      </w:r>
      <w:r w:rsidR="00366518">
        <w:rPr>
          <w:rFonts w:cstheme="minorHAnsi"/>
          <w:lang w:val="en-US"/>
        </w:rPr>
        <w:t>,</w:t>
      </w:r>
      <w:r w:rsidRPr="003635BF">
        <w:rPr>
          <w:rFonts w:cstheme="minorHAnsi"/>
          <w:lang w:val="en-US"/>
        </w:rPr>
        <w:t xml:space="preserve"> from a government </w:t>
      </w:r>
      <w:r w:rsidR="00366518">
        <w:rPr>
          <w:rFonts w:cstheme="minorHAnsi"/>
          <w:lang w:val="en-US"/>
        </w:rPr>
        <w:t>perspective</w:t>
      </w:r>
      <w:r w:rsidR="00366518" w:rsidRPr="003635BF">
        <w:rPr>
          <w:rFonts w:cstheme="minorHAnsi"/>
          <w:lang w:val="en-US"/>
        </w:rPr>
        <w:t xml:space="preserve"> </w:t>
      </w:r>
      <w:r w:rsidR="00C96C57" w:rsidRPr="007E15F6">
        <w:rPr>
          <w:rFonts w:cstheme="minorHAnsi"/>
          <w:noProof/>
        </w:rPr>
        <w:t>(Mladovsky &amp; Sorenson, 2010)</w:t>
      </w:r>
      <w:r w:rsidRPr="003635BF">
        <w:rPr>
          <w:rFonts w:cstheme="minorHAnsi"/>
          <w:lang w:val="en-US"/>
        </w:rPr>
        <w:t>, its potential positive impact on the TFR has been identified as being one of them and some governments have already started to provide public funding for ART with the specific aim of increasing the TFR. Since 2008, the Singapore government has subsidi</w:t>
      </w:r>
      <w:r w:rsidR="00236E03">
        <w:rPr>
          <w:rFonts w:cstheme="minorHAnsi"/>
          <w:lang w:val="en-US"/>
        </w:rPr>
        <w:t>s</w:t>
      </w:r>
      <w:r w:rsidRPr="003635BF">
        <w:rPr>
          <w:rFonts w:cstheme="minorHAnsi"/>
          <w:lang w:val="en-US"/>
        </w:rPr>
        <w:t>ed ART as part of its “Marriage and Parenthood” package, which is a set of pro-family incentives and benefits implemented to encourage more people to marry an</w:t>
      </w:r>
      <w:r w:rsidR="0079794A">
        <w:rPr>
          <w:rFonts w:cstheme="minorHAnsi"/>
          <w:lang w:val="en-US"/>
        </w:rPr>
        <w:t xml:space="preserve">d have children (Blyth 2013). </w:t>
      </w:r>
      <w:r w:rsidRPr="003635BF">
        <w:rPr>
          <w:rFonts w:cstheme="minorHAnsi"/>
          <w:lang w:val="en-US"/>
        </w:rPr>
        <w:t xml:space="preserve">In 2006, the South </w:t>
      </w:r>
      <w:r w:rsidRPr="003635BF">
        <w:rPr>
          <w:rFonts w:cstheme="minorHAnsi"/>
          <w:lang w:val="en-US"/>
        </w:rPr>
        <w:lastRenderedPageBreak/>
        <w:t>Korean government launched the Infertile Couple Support Policy, which makes up over 50% of the total budget for the government’s fertility</w:t>
      </w:r>
      <w:r w:rsidR="00366518">
        <w:rPr>
          <w:rFonts w:cstheme="minorHAnsi"/>
          <w:lang w:val="en-US"/>
        </w:rPr>
        <w:t>-</w:t>
      </w:r>
      <w:r w:rsidRPr="003635BF">
        <w:rPr>
          <w:rFonts w:cstheme="minorHAnsi"/>
          <w:lang w:val="en-US"/>
        </w:rPr>
        <w:t xml:space="preserve">related policies </w:t>
      </w:r>
      <w:r w:rsidR="00C96C57" w:rsidRPr="007E15F6">
        <w:rPr>
          <w:rFonts w:cstheme="minorHAnsi"/>
          <w:noProof/>
        </w:rPr>
        <w:t>(Kim, 2019)</w:t>
      </w:r>
      <w:r w:rsidRPr="003635BF">
        <w:rPr>
          <w:rFonts w:cstheme="minorHAnsi"/>
          <w:lang w:val="en-US"/>
        </w:rPr>
        <w:t xml:space="preserve">. In Israel, ART treatments have been funded by the government since their establishment in the early 1980s and acknowledged as a pro-natalist tool </w:t>
      </w:r>
      <w:r w:rsidR="00C96C57" w:rsidRPr="007E15F6">
        <w:rPr>
          <w:rFonts w:cstheme="minorHAnsi"/>
          <w:noProof/>
        </w:rPr>
        <w:t>(Birenbaum-Carmeli, 2016)</w:t>
      </w:r>
      <w:r w:rsidR="000B1545">
        <w:rPr>
          <w:rFonts w:cstheme="minorHAnsi"/>
          <w:lang w:val="en-US"/>
        </w:rPr>
        <w:t>.</w:t>
      </w:r>
    </w:p>
    <w:p w14:paraId="06B9F10B" w14:textId="0DA44E8B" w:rsidR="00366518" w:rsidRPr="009B1A5D" w:rsidRDefault="00366518" w:rsidP="00366518">
      <w:pPr>
        <w:spacing w:line="276" w:lineRule="auto"/>
        <w:jc w:val="both"/>
        <w:rPr>
          <w:rFonts w:cstheme="minorHAnsi"/>
          <w:i/>
          <w:iCs/>
          <w:lang w:val="en-US"/>
        </w:rPr>
      </w:pPr>
      <w:r w:rsidRPr="009B1A5D">
        <w:rPr>
          <w:rFonts w:cstheme="minorHAnsi"/>
          <w:i/>
          <w:iCs/>
          <w:lang w:val="en-US"/>
        </w:rPr>
        <w:t xml:space="preserve">ART </w:t>
      </w:r>
      <w:r>
        <w:rPr>
          <w:rFonts w:cstheme="minorHAnsi"/>
          <w:i/>
          <w:iCs/>
          <w:lang w:val="en-US"/>
        </w:rPr>
        <w:t>in Australia</w:t>
      </w:r>
    </w:p>
    <w:p w14:paraId="25BF9A41" w14:textId="07FDB15B" w:rsidR="00106F2F" w:rsidRPr="00BB3130" w:rsidRDefault="006D33EA" w:rsidP="00BB3130">
      <w:pPr>
        <w:jc w:val="both"/>
      </w:pPr>
      <w:r>
        <w:t>Community approval of the use of ART to treat infertility has risen substantially in Australia over the past 30 years, with the support for ART to help infertile married couples increasing from 77% in  1981 to 91% in 2011 (Kovacs</w:t>
      </w:r>
      <w:r w:rsidR="00C96C57">
        <w:t>,</w:t>
      </w:r>
      <w:r>
        <w:t xml:space="preserve"> </w:t>
      </w:r>
      <w:r w:rsidRPr="00C96C57">
        <w:rPr>
          <w:i/>
          <w:iCs/>
        </w:rPr>
        <w:t>et al.</w:t>
      </w:r>
      <w:r>
        <w:t xml:space="preserve"> 2012). </w:t>
      </w:r>
      <w:r w:rsidR="000251E3">
        <w:t xml:space="preserve">ART procedures were first established in Australia </w:t>
      </w:r>
      <w:r w:rsidR="000251E3">
        <w:rPr>
          <w:rFonts w:eastAsiaTheme="minorEastAsia"/>
          <w:noProof/>
          <w:lang w:eastAsia="en-AU"/>
        </w:rPr>
        <w:t>in the early</w:t>
      </w:r>
      <w:r w:rsidR="000251E3" w:rsidRPr="00E94733">
        <w:rPr>
          <w:rFonts w:eastAsiaTheme="minorEastAsia"/>
          <w:noProof/>
          <w:lang w:eastAsia="en-AU"/>
        </w:rPr>
        <w:t xml:space="preserve"> 19</w:t>
      </w:r>
      <w:r w:rsidR="000251E3">
        <w:rPr>
          <w:rFonts w:eastAsiaTheme="minorEastAsia"/>
          <w:noProof/>
          <w:lang w:eastAsia="en-AU"/>
        </w:rPr>
        <w:t>8</w:t>
      </w:r>
      <w:r w:rsidR="000251E3" w:rsidRPr="00E94733">
        <w:rPr>
          <w:rFonts w:eastAsiaTheme="minorEastAsia"/>
          <w:noProof/>
          <w:lang w:eastAsia="en-AU"/>
        </w:rPr>
        <w:t>0s</w:t>
      </w:r>
      <w:r w:rsidR="000251E3">
        <w:rPr>
          <w:rFonts w:eastAsiaTheme="minorEastAsia"/>
          <w:noProof/>
          <w:lang w:eastAsia="en-AU"/>
        </w:rPr>
        <w:t xml:space="preserve"> (Trounson 2018)</w:t>
      </w:r>
      <w:r w:rsidR="000251E3" w:rsidRPr="00E94733">
        <w:rPr>
          <w:rFonts w:eastAsiaTheme="minorEastAsia"/>
          <w:noProof/>
          <w:lang w:eastAsia="en-AU"/>
        </w:rPr>
        <w:t>.</w:t>
      </w:r>
      <w:r w:rsidR="00C1783A">
        <w:rPr>
          <w:rFonts w:eastAsiaTheme="minorEastAsia"/>
          <w:noProof/>
          <w:lang w:eastAsia="en-AU"/>
        </w:rPr>
        <w:t xml:space="preserve"> </w:t>
      </w:r>
      <w:r w:rsidR="00B957F9" w:rsidRPr="00580A8C">
        <w:rPr>
          <w:rFonts w:cstheme="minorHAnsi"/>
          <w:lang w:val="en-US"/>
        </w:rPr>
        <w:t xml:space="preserve">Currently, </w:t>
      </w:r>
      <w:r w:rsidR="00C1783A">
        <w:rPr>
          <w:rFonts w:cstheme="minorHAnsi"/>
          <w:lang w:val="en-US"/>
        </w:rPr>
        <w:t>there are</w:t>
      </w:r>
      <w:r w:rsidR="00B957F9" w:rsidRPr="00580A8C">
        <w:rPr>
          <w:rFonts w:cstheme="minorHAnsi"/>
          <w:lang w:val="en-US"/>
        </w:rPr>
        <w:t xml:space="preserve"> over 80 fertility clinics c</w:t>
      </w:r>
      <w:r w:rsidR="00236E03" w:rsidRPr="00580A8C">
        <w:rPr>
          <w:rFonts w:cstheme="minorHAnsi"/>
          <w:lang w:val="en-US"/>
        </w:rPr>
        <w:t>a</w:t>
      </w:r>
      <w:r w:rsidR="00B957F9" w:rsidRPr="00580A8C">
        <w:rPr>
          <w:rFonts w:cstheme="minorHAnsi"/>
          <w:lang w:val="en-US"/>
        </w:rPr>
        <w:t xml:space="preserve">rrying out approximately 76,000 ART treatment cycles a year </w:t>
      </w:r>
      <w:r w:rsidR="003A75FA">
        <w:rPr>
          <w:rFonts w:cstheme="minorHAnsi"/>
          <w:noProof/>
        </w:rPr>
        <w:t xml:space="preserve">(Newman, </w:t>
      </w:r>
      <w:r w:rsidR="003A75FA" w:rsidRPr="00C96C57">
        <w:rPr>
          <w:rFonts w:cstheme="minorHAnsi"/>
          <w:i/>
          <w:iCs/>
          <w:noProof/>
        </w:rPr>
        <w:t>et al</w:t>
      </w:r>
      <w:r w:rsidR="003A75FA">
        <w:rPr>
          <w:rFonts w:cstheme="minorHAnsi"/>
          <w:noProof/>
        </w:rPr>
        <w:t>. 2020)</w:t>
      </w:r>
      <w:r w:rsidR="00B957F9" w:rsidRPr="00580A8C">
        <w:rPr>
          <w:rFonts w:cstheme="minorHAnsi"/>
          <w:lang w:val="en-US"/>
        </w:rPr>
        <w:t xml:space="preserve">. There is no limit on the number of ART treatment cycles a patient can have and all women are eligible to receive publicly-funded treatment, regardless of their age. Reimbursement is limited to </w:t>
      </w:r>
      <w:r w:rsidR="00B5011A">
        <w:rPr>
          <w:rFonts w:cstheme="minorHAnsi"/>
          <w:lang w:val="en-US"/>
        </w:rPr>
        <w:t>treatments diagnosed clinically necessary</w:t>
      </w:r>
      <w:r w:rsidR="00B957F9" w:rsidRPr="00580A8C">
        <w:rPr>
          <w:rFonts w:cstheme="minorHAnsi"/>
          <w:lang w:val="en-US"/>
        </w:rPr>
        <w:t xml:space="preserve"> provided to couples that have been diagnosed as clinically infertile. Clinical infertility is diagnosed after a couple has unsuccessfully and regularly trying to achieve a pregnancy for at least one year. </w:t>
      </w:r>
      <w:r>
        <w:rPr>
          <w:rFonts w:cstheme="minorHAnsi"/>
          <w:lang w:val="en-US"/>
        </w:rPr>
        <w:t xml:space="preserve">Hence, single women and same-sex couples may not qualify to receive the government rebate, since for these categories infertility is not </w:t>
      </w:r>
      <w:r w:rsidR="00366518">
        <w:rPr>
          <w:rFonts w:cstheme="minorHAnsi"/>
          <w:lang w:val="en-US"/>
        </w:rPr>
        <w:t>clinically diagnosed</w:t>
      </w:r>
      <w:r>
        <w:rPr>
          <w:rFonts w:cstheme="minorHAnsi"/>
          <w:lang w:val="en-US"/>
        </w:rPr>
        <w:t xml:space="preserve">. </w:t>
      </w:r>
      <w:r w:rsidR="00B957F9" w:rsidRPr="00580A8C">
        <w:rPr>
          <w:rFonts w:cstheme="minorHAnsi"/>
          <w:lang w:val="en-US"/>
        </w:rPr>
        <w:t>In Australia, ART treatment is primarily offered through private clinics, while Australia</w:t>
      </w:r>
      <w:r w:rsidR="00236E03" w:rsidRPr="00580A8C">
        <w:rPr>
          <w:rFonts w:cstheme="minorHAnsi"/>
          <w:lang w:val="en-US"/>
        </w:rPr>
        <w:t>’s</w:t>
      </w:r>
      <w:r w:rsidR="00B957F9" w:rsidRPr="00580A8C">
        <w:rPr>
          <w:rFonts w:cstheme="minorHAnsi"/>
          <w:lang w:val="en-US"/>
        </w:rPr>
        <w:t xml:space="preserve"> universal health care system, Medicare, rebates approximately half the cost of an ART cycle. Comparative studies have shown that Australia is one of the countries with </w:t>
      </w:r>
      <w:r w:rsidR="00236E03" w:rsidRPr="00580A8C">
        <w:rPr>
          <w:rFonts w:cstheme="minorHAnsi"/>
          <w:lang w:val="en-US"/>
        </w:rPr>
        <w:t xml:space="preserve">the </w:t>
      </w:r>
      <w:r w:rsidR="00B957F9" w:rsidRPr="00580A8C">
        <w:rPr>
          <w:rFonts w:cstheme="minorHAnsi"/>
          <w:lang w:val="en-US"/>
        </w:rPr>
        <w:t>most affordable ART services, and, in turn, with one of the highest ART utili</w:t>
      </w:r>
      <w:r w:rsidR="00236E03" w:rsidRPr="00580A8C">
        <w:rPr>
          <w:rFonts w:cstheme="minorHAnsi"/>
          <w:lang w:val="en-US"/>
        </w:rPr>
        <w:t>s</w:t>
      </w:r>
      <w:r w:rsidR="00B957F9" w:rsidRPr="00580A8C">
        <w:rPr>
          <w:rFonts w:cstheme="minorHAnsi"/>
          <w:lang w:val="en-US"/>
        </w:rPr>
        <w:t>ation rates in the world</w:t>
      </w:r>
      <w:r w:rsidR="00580A8C">
        <w:rPr>
          <w:rFonts w:cstheme="minorHAnsi"/>
          <w:lang w:val="en-US"/>
        </w:rPr>
        <w:t xml:space="preserve"> </w:t>
      </w:r>
      <w:sdt>
        <w:sdtPr>
          <w:rPr>
            <w:rFonts w:cstheme="minorHAnsi"/>
            <w:lang w:val="en-US"/>
          </w:rPr>
          <w:id w:val="1078790701"/>
          <w:citation/>
        </w:sdtPr>
        <w:sdtEndPr/>
        <w:sdtContent>
          <w:r w:rsidR="00580A8C">
            <w:rPr>
              <w:rFonts w:cstheme="minorHAnsi"/>
              <w:lang w:val="en-US"/>
            </w:rPr>
            <w:fldChar w:fldCharType="begin"/>
          </w:r>
          <w:r w:rsidR="00580A8C">
            <w:rPr>
              <w:rFonts w:cstheme="minorHAnsi"/>
            </w:rPr>
            <w:instrText xml:space="preserve"> CITATION Ada18 \l 3081 </w:instrText>
          </w:r>
          <w:r w:rsidR="00580A8C">
            <w:rPr>
              <w:rFonts w:cstheme="minorHAnsi"/>
              <w:lang w:val="en-US"/>
            </w:rPr>
            <w:fldChar w:fldCharType="separate"/>
          </w:r>
          <w:r w:rsidR="00BE2DD4" w:rsidRPr="00BC70D8">
            <w:rPr>
              <w:rFonts w:cstheme="minorHAnsi"/>
              <w:noProof/>
            </w:rPr>
            <w:t>(Adamson, et al., 2018)</w:t>
          </w:r>
          <w:r w:rsidR="00580A8C">
            <w:rPr>
              <w:rFonts w:cstheme="minorHAnsi"/>
              <w:lang w:val="en-US"/>
            </w:rPr>
            <w:fldChar w:fldCharType="end"/>
          </w:r>
        </w:sdtContent>
      </w:sdt>
      <w:r w:rsidR="00B957F9" w:rsidRPr="00580A8C">
        <w:rPr>
          <w:rFonts w:cstheme="minorHAnsi"/>
          <w:lang w:val="en-US"/>
        </w:rPr>
        <w:t>. In 2017, in Australia, 0.09 of the TFR was attributed to ART (</w:t>
      </w:r>
      <w:r w:rsidR="00236E03" w:rsidRPr="00580A8C">
        <w:rPr>
          <w:rFonts w:cstheme="minorHAnsi"/>
          <w:lang w:val="en-US"/>
        </w:rPr>
        <w:t xml:space="preserve">i.e. </w:t>
      </w:r>
      <w:r w:rsidR="00B957F9" w:rsidRPr="00580A8C">
        <w:rPr>
          <w:rFonts w:cstheme="minorHAnsi"/>
          <w:lang w:val="en-US"/>
        </w:rPr>
        <w:t>1.65 without ART to 1.74 with ART)</w:t>
      </w:r>
      <w:r w:rsidR="00580A8C">
        <w:rPr>
          <w:rFonts w:cstheme="minorHAnsi"/>
          <w:lang w:val="en-US"/>
        </w:rPr>
        <w:t xml:space="preserve">, which </w:t>
      </w:r>
      <w:r w:rsidR="00B957F9" w:rsidRPr="00580A8C">
        <w:rPr>
          <w:rFonts w:cstheme="minorHAnsi"/>
          <w:lang w:val="en-US"/>
        </w:rPr>
        <w:t>corresponds to an impact of the order of 5%, or approximately to one in 20 babies born</w:t>
      </w:r>
      <w:r w:rsidR="00580A8C">
        <w:rPr>
          <w:rFonts w:cstheme="minorHAnsi"/>
          <w:lang w:val="en-US"/>
        </w:rPr>
        <w:t xml:space="preserve"> </w:t>
      </w:r>
      <w:r w:rsidR="003A75FA">
        <w:rPr>
          <w:rFonts w:cstheme="minorHAnsi"/>
          <w:noProof/>
        </w:rPr>
        <w:t xml:space="preserve">(Lazzari, </w:t>
      </w:r>
      <w:r w:rsidR="00B95174" w:rsidRPr="00B95174">
        <w:rPr>
          <w:rFonts w:cstheme="minorHAnsi"/>
          <w:i/>
          <w:noProof/>
        </w:rPr>
        <w:t>et al.,</w:t>
      </w:r>
      <w:r w:rsidR="003A75FA">
        <w:rPr>
          <w:rFonts w:cstheme="minorHAnsi"/>
          <w:noProof/>
        </w:rPr>
        <w:t xml:space="preserve"> 2021</w:t>
      </w:r>
      <w:r w:rsidR="00FF0686">
        <w:rPr>
          <w:rFonts w:cstheme="minorHAnsi"/>
          <w:noProof/>
        </w:rPr>
        <w:t>a</w:t>
      </w:r>
      <w:r w:rsidR="003A75FA">
        <w:rPr>
          <w:rFonts w:cstheme="minorHAnsi"/>
          <w:noProof/>
        </w:rPr>
        <w:t>)</w:t>
      </w:r>
      <w:r w:rsidR="00B957F9" w:rsidRPr="00580A8C">
        <w:rPr>
          <w:rFonts w:cstheme="minorHAnsi"/>
          <w:lang w:val="en-US"/>
        </w:rPr>
        <w:t xml:space="preserve">. </w:t>
      </w:r>
    </w:p>
    <w:p w14:paraId="39728DDB" w14:textId="46D27EE4" w:rsidR="00366518" w:rsidRPr="009B1A5D" w:rsidRDefault="00366518" w:rsidP="00366518">
      <w:pPr>
        <w:spacing w:line="276" w:lineRule="auto"/>
        <w:jc w:val="both"/>
        <w:rPr>
          <w:rFonts w:cstheme="minorHAnsi"/>
          <w:i/>
          <w:iCs/>
          <w:lang w:val="en-US"/>
        </w:rPr>
      </w:pPr>
      <w:r>
        <w:rPr>
          <w:rFonts w:cstheme="minorHAnsi"/>
          <w:i/>
          <w:iCs/>
          <w:lang w:val="en-US"/>
        </w:rPr>
        <w:t>Impact of ART</w:t>
      </w:r>
    </w:p>
    <w:p w14:paraId="1901B02A" w14:textId="1F71056C" w:rsidR="007E3D84" w:rsidRDefault="00C96C57" w:rsidP="00106F2F">
      <w:pPr>
        <w:spacing w:after="0" w:line="276" w:lineRule="auto"/>
        <w:jc w:val="both"/>
        <w:rPr>
          <w:rFonts w:cstheme="minorHAnsi"/>
        </w:rPr>
      </w:pPr>
      <w:r>
        <w:rPr>
          <w:rFonts w:cstheme="minorHAnsi"/>
        </w:rPr>
        <w:t>Table 22</w:t>
      </w:r>
      <w:r w:rsidR="00106F2F">
        <w:rPr>
          <w:rFonts w:cstheme="minorHAnsi"/>
        </w:rPr>
        <w:t xml:space="preserve"> describes the demographic impact of ART and funding arrangements for treatment in a selected group of countries. Overall, ART only had a minor role in increasing the TFR, comprised between 2% and 6% of the TFR. Funding arrangements in the five selected countries are substantially different. Denmark and Spain can be considered as having two of the most generous public systems for ART, offering complete coverage for up to three ART cycle, although a limit on age and also on BMI in Spain apply. Australia and South Korea are also relatively supportive of ART, providing partial financial support to all women regardless of their age and for an unlimited number of cycles. The UK provides much less support for ART, which can partly explain why the contribution to the TFR is substantially lower compared to the other countries analysed.  </w:t>
      </w:r>
    </w:p>
    <w:p w14:paraId="4DE9B80E" w14:textId="77777777" w:rsidR="007E3D84" w:rsidRDefault="007E3D84">
      <w:pPr>
        <w:rPr>
          <w:rFonts w:cstheme="minorHAnsi"/>
        </w:rPr>
      </w:pPr>
      <w:r>
        <w:rPr>
          <w:rFonts w:cstheme="minorHAnsi"/>
        </w:rPr>
        <w:br w:type="page"/>
      </w:r>
    </w:p>
    <w:p w14:paraId="66ECA489" w14:textId="77777777" w:rsidR="00106F2F" w:rsidRDefault="00106F2F" w:rsidP="00106F2F">
      <w:pPr>
        <w:spacing w:after="0" w:line="276" w:lineRule="auto"/>
        <w:jc w:val="both"/>
        <w:rPr>
          <w:rFonts w:cstheme="minorHAnsi"/>
        </w:rPr>
      </w:pPr>
    </w:p>
    <w:p w14:paraId="072157CB" w14:textId="77777777" w:rsidR="00DD31D4" w:rsidRDefault="00DD31D4" w:rsidP="00106F2F">
      <w:pPr>
        <w:spacing w:after="0" w:line="276" w:lineRule="auto"/>
        <w:jc w:val="both"/>
        <w:rPr>
          <w:rFonts w:cstheme="minorHAnsi"/>
        </w:rPr>
      </w:pPr>
    </w:p>
    <w:p w14:paraId="28398EEF" w14:textId="3BDE1327" w:rsidR="00F31749" w:rsidRDefault="00F31749" w:rsidP="00BC5105">
      <w:pPr>
        <w:pStyle w:val="Caption"/>
        <w:keepNext/>
        <w:spacing w:line="276" w:lineRule="auto"/>
      </w:pPr>
      <w:bookmarkStart w:id="147" w:name="_Ref75534137"/>
      <w:r>
        <w:t xml:space="preserve">Table </w:t>
      </w:r>
      <w:fldSimple w:instr=" SEQ Table \* ARABIC ">
        <w:r w:rsidR="00115E22">
          <w:rPr>
            <w:noProof/>
          </w:rPr>
          <w:t>22</w:t>
        </w:r>
      </w:fldSimple>
      <w:bookmarkEnd w:id="147"/>
      <w:r>
        <w:t xml:space="preserve"> </w:t>
      </w:r>
      <w:r w:rsidRPr="006B6965">
        <w:t>. Demographic impact of and public support for ART in a selected group of countries</w:t>
      </w:r>
    </w:p>
    <w:tbl>
      <w:tblPr>
        <w:tblStyle w:val="TableGrid"/>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803"/>
        <w:gridCol w:w="3295"/>
        <w:gridCol w:w="3686"/>
      </w:tblGrid>
      <w:tr w:rsidR="00F31749" w:rsidRPr="002E0C8E" w14:paraId="37810E1C" w14:textId="77777777" w:rsidTr="00BC5105">
        <w:tc>
          <w:tcPr>
            <w:tcW w:w="1803" w:type="dxa"/>
            <w:shd w:val="clear" w:color="auto" w:fill="FBE4D5" w:themeFill="accent2" w:themeFillTint="33"/>
          </w:tcPr>
          <w:p w14:paraId="432D405D" w14:textId="77777777" w:rsidR="00F31749" w:rsidRPr="002E0C8E" w:rsidRDefault="00F31749" w:rsidP="00BC5105">
            <w:pPr>
              <w:spacing w:line="276" w:lineRule="auto"/>
              <w:rPr>
                <w:rFonts w:ascii="Tw Cen MT Condensed" w:hAnsi="Tw Cen MT Condensed" w:cstheme="minorHAnsi"/>
              </w:rPr>
            </w:pPr>
            <w:r w:rsidRPr="002E0C8E">
              <w:rPr>
                <w:rFonts w:ascii="Tw Cen MT Condensed" w:hAnsi="Tw Cen MT Condensed" w:cstheme="minorHAnsi"/>
              </w:rPr>
              <w:t>Country</w:t>
            </w:r>
          </w:p>
        </w:tc>
        <w:tc>
          <w:tcPr>
            <w:tcW w:w="3295" w:type="dxa"/>
            <w:shd w:val="clear" w:color="auto" w:fill="FBE4D5" w:themeFill="accent2" w:themeFillTint="33"/>
          </w:tcPr>
          <w:p w14:paraId="3A0B0BF3" w14:textId="77777777" w:rsidR="00F31749" w:rsidRPr="002E0C8E" w:rsidRDefault="00F31749" w:rsidP="00BC5105">
            <w:pPr>
              <w:spacing w:line="276" w:lineRule="auto"/>
              <w:rPr>
                <w:rFonts w:ascii="Tw Cen MT Condensed" w:hAnsi="Tw Cen MT Condensed" w:cstheme="minorHAnsi"/>
              </w:rPr>
            </w:pPr>
            <w:r w:rsidRPr="002E0C8E">
              <w:rPr>
                <w:rFonts w:ascii="Tw Cen MT Condensed" w:hAnsi="Tw Cen MT Condensed" w:cstheme="minorHAnsi"/>
              </w:rPr>
              <w:t>Demographic impact</w:t>
            </w:r>
          </w:p>
        </w:tc>
        <w:tc>
          <w:tcPr>
            <w:tcW w:w="3686" w:type="dxa"/>
            <w:shd w:val="clear" w:color="auto" w:fill="FBE4D5" w:themeFill="accent2" w:themeFillTint="33"/>
          </w:tcPr>
          <w:p w14:paraId="54D62CC9" w14:textId="0A7FBC85" w:rsidR="00F31749" w:rsidRPr="002E0C8E" w:rsidRDefault="009B1A5D" w:rsidP="00BC5105">
            <w:pPr>
              <w:spacing w:line="276" w:lineRule="auto"/>
              <w:rPr>
                <w:rFonts w:ascii="Tw Cen MT Condensed" w:hAnsi="Tw Cen MT Condensed" w:cstheme="minorHAnsi"/>
              </w:rPr>
            </w:pPr>
            <w:r w:rsidRPr="002E0C8E">
              <w:rPr>
                <w:rFonts w:ascii="Tw Cen MT Condensed" w:hAnsi="Tw Cen MT Condensed" w:cstheme="minorHAnsi"/>
              </w:rPr>
              <w:t>Public f</w:t>
            </w:r>
            <w:r w:rsidR="00F31749" w:rsidRPr="002E0C8E">
              <w:rPr>
                <w:rFonts w:ascii="Tw Cen MT Condensed" w:hAnsi="Tw Cen MT Condensed" w:cstheme="minorHAnsi"/>
              </w:rPr>
              <w:t>unding</w:t>
            </w:r>
          </w:p>
        </w:tc>
      </w:tr>
      <w:tr w:rsidR="00F31749" w:rsidRPr="003635BF" w14:paraId="3661FD67" w14:textId="77777777" w:rsidTr="00BC5105">
        <w:tc>
          <w:tcPr>
            <w:tcW w:w="1803" w:type="dxa"/>
          </w:tcPr>
          <w:p w14:paraId="6D072202" w14:textId="77777777" w:rsidR="00F31749" w:rsidRPr="0047191C" w:rsidRDefault="00F31749" w:rsidP="00BC5105">
            <w:pPr>
              <w:spacing w:line="276" w:lineRule="auto"/>
              <w:rPr>
                <w:rFonts w:ascii="Tw Cen MT Condensed" w:hAnsi="Tw Cen MT Condensed" w:cstheme="majorHAnsi"/>
                <w:caps/>
              </w:rPr>
            </w:pPr>
            <w:r w:rsidRPr="0047191C">
              <w:rPr>
                <w:rFonts w:ascii="Tw Cen MT Condensed" w:hAnsi="Tw Cen MT Condensed" w:cstheme="majorHAnsi"/>
                <w:caps/>
              </w:rPr>
              <w:t>Australia</w:t>
            </w:r>
          </w:p>
        </w:tc>
        <w:tc>
          <w:tcPr>
            <w:tcW w:w="3295" w:type="dxa"/>
          </w:tcPr>
          <w:p w14:paraId="45B09EC3"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In 2017, 4.9% of children were born as a result of ART and ART contributed to 0.09 of the TFR.</w:t>
            </w:r>
          </w:p>
        </w:tc>
        <w:tc>
          <w:tcPr>
            <w:tcW w:w="3686" w:type="dxa"/>
          </w:tcPr>
          <w:p w14:paraId="23C77862"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Up to 60% of costs covered for all cycles.</w:t>
            </w:r>
          </w:p>
        </w:tc>
      </w:tr>
      <w:tr w:rsidR="00F31749" w:rsidRPr="003635BF" w14:paraId="2A71107E" w14:textId="77777777" w:rsidTr="00BC5105">
        <w:tc>
          <w:tcPr>
            <w:tcW w:w="1803" w:type="dxa"/>
          </w:tcPr>
          <w:p w14:paraId="68431BED" w14:textId="77777777" w:rsidR="00F31749" w:rsidRPr="0047191C" w:rsidRDefault="00F31749" w:rsidP="00BC5105">
            <w:pPr>
              <w:spacing w:line="276" w:lineRule="auto"/>
              <w:rPr>
                <w:rFonts w:ascii="Tw Cen MT Condensed" w:hAnsi="Tw Cen MT Condensed" w:cstheme="majorHAnsi"/>
                <w:caps/>
              </w:rPr>
            </w:pPr>
            <w:r w:rsidRPr="0047191C">
              <w:rPr>
                <w:rFonts w:ascii="Tw Cen MT Condensed" w:hAnsi="Tw Cen MT Condensed" w:cstheme="majorHAnsi"/>
                <w:caps/>
              </w:rPr>
              <w:t xml:space="preserve">Denmark </w:t>
            </w:r>
          </w:p>
        </w:tc>
        <w:tc>
          <w:tcPr>
            <w:tcW w:w="3295" w:type="dxa"/>
          </w:tcPr>
          <w:p w14:paraId="7193462F"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In 2014, 6.4% of children were born as a result of ART and ART contributed to 0.08 of the TFR.</w:t>
            </w:r>
          </w:p>
        </w:tc>
        <w:tc>
          <w:tcPr>
            <w:tcW w:w="3686" w:type="dxa"/>
          </w:tcPr>
          <w:p w14:paraId="39F87947"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Complete coverage up to three ART cycles when the woman is up to 40 years of age.</w:t>
            </w:r>
          </w:p>
          <w:p w14:paraId="0C516A8B" w14:textId="77777777" w:rsidR="00F31749" w:rsidRPr="00BC5105" w:rsidRDefault="00F31749">
            <w:pPr>
              <w:rPr>
                <w:rFonts w:asciiTheme="majorHAnsi" w:hAnsiTheme="majorHAnsi" w:cstheme="majorHAnsi"/>
                <w:sz w:val="20"/>
              </w:rPr>
            </w:pPr>
          </w:p>
        </w:tc>
      </w:tr>
      <w:tr w:rsidR="00F31749" w:rsidRPr="003635BF" w14:paraId="15E9D317" w14:textId="77777777" w:rsidTr="00BC5105">
        <w:tc>
          <w:tcPr>
            <w:tcW w:w="1803" w:type="dxa"/>
          </w:tcPr>
          <w:p w14:paraId="4E927BE1" w14:textId="77777777" w:rsidR="00F31749" w:rsidRPr="0047191C" w:rsidRDefault="00F31749" w:rsidP="00BC5105">
            <w:pPr>
              <w:spacing w:line="276" w:lineRule="auto"/>
              <w:rPr>
                <w:rFonts w:ascii="Tw Cen MT Condensed" w:hAnsi="Tw Cen MT Condensed" w:cstheme="majorHAnsi"/>
                <w:caps/>
              </w:rPr>
            </w:pPr>
            <w:r w:rsidRPr="0047191C">
              <w:rPr>
                <w:rFonts w:ascii="Tw Cen MT Condensed" w:hAnsi="Tw Cen MT Condensed" w:cstheme="majorHAnsi"/>
                <w:caps/>
              </w:rPr>
              <w:t>UK</w:t>
            </w:r>
          </w:p>
        </w:tc>
        <w:tc>
          <w:tcPr>
            <w:tcW w:w="3295" w:type="dxa"/>
          </w:tcPr>
          <w:p w14:paraId="64A732DD"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In 2014, 2.6% of children were born as a result of ART and ART contributed to 0.05 of the TFR.</w:t>
            </w:r>
          </w:p>
        </w:tc>
        <w:tc>
          <w:tcPr>
            <w:tcW w:w="3686" w:type="dxa"/>
          </w:tcPr>
          <w:p w14:paraId="7D57371A"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The national fertility guidelines recommend to fund up to three cycles for women under 40. However, Provision of ART treatment varies across the country and often depends on local clinical commissioning groups (CCGs) policies. CCGs may also have additional criteria, such as parity and lower age limits.</w:t>
            </w:r>
          </w:p>
        </w:tc>
      </w:tr>
      <w:tr w:rsidR="00F31749" w:rsidRPr="003635BF" w14:paraId="6C47DAD6" w14:textId="77777777" w:rsidTr="00BC5105">
        <w:tc>
          <w:tcPr>
            <w:tcW w:w="1803" w:type="dxa"/>
          </w:tcPr>
          <w:p w14:paraId="4653C989" w14:textId="77777777" w:rsidR="00F31749" w:rsidRPr="0047191C" w:rsidRDefault="00F31749" w:rsidP="00BC5105">
            <w:pPr>
              <w:spacing w:line="276" w:lineRule="auto"/>
              <w:rPr>
                <w:rFonts w:ascii="Tw Cen MT Condensed" w:hAnsi="Tw Cen MT Condensed" w:cstheme="majorHAnsi"/>
                <w:caps/>
              </w:rPr>
            </w:pPr>
            <w:r w:rsidRPr="0047191C">
              <w:rPr>
                <w:rFonts w:ascii="Tw Cen MT Condensed" w:hAnsi="Tw Cen MT Condensed" w:cstheme="majorHAnsi"/>
                <w:caps/>
              </w:rPr>
              <w:t>Spain</w:t>
            </w:r>
          </w:p>
        </w:tc>
        <w:tc>
          <w:tcPr>
            <w:tcW w:w="3295" w:type="dxa"/>
          </w:tcPr>
          <w:p w14:paraId="17675EBE"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In 2014, 6.4% of children were born as a result of ART and ART contributed to 0.08 of the TFR.</w:t>
            </w:r>
          </w:p>
        </w:tc>
        <w:tc>
          <w:tcPr>
            <w:tcW w:w="3686" w:type="dxa"/>
          </w:tcPr>
          <w:p w14:paraId="73AA6DEC"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Complete coverage up to three ART cycles when the woman has a BMI not above 35 and up to 40 years of age and the man up to 45 years of age.</w:t>
            </w:r>
          </w:p>
        </w:tc>
      </w:tr>
      <w:tr w:rsidR="00F31749" w:rsidRPr="003635BF" w14:paraId="0A1A6728" w14:textId="77777777" w:rsidTr="00BC5105">
        <w:tc>
          <w:tcPr>
            <w:tcW w:w="1803" w:type="dxa"/>
          </w:tcPr>
          <w:p w14:paraId="1BA3375C" w14:textId="77777777" w:rsidR="00F31749" w:rsidRPr="0047191C" w:rsidRDefault="00F31749" w:rsidP="00BC5105">
            <w:pPr>
              <w:spacing w:line="276" w:lineRule="auto"/>
              <w:rPr>
                <w:rFonts w:ascii="Tw Cen MT Condensed" w:hAnsi="Tw Cen MT Condensed" w:cstheme="majorHAnsi"/>
                <w:caps/>
              </w:rPr>
            </w:pPr>
            <w:r w:rsidRPr="0047191C">
              <w:rPr>
                <w:rFonts w:ascii="Tw Cen MT Condensed" w:hAnsi="Tw Cen MT Condensed" w:cstheme="majorHAnsi"/>
                <w:caps/>
              </w:rPr>
              <w:t>South Korea</w:t>
            </w:r>
          </w:p>
        </w:tc>
        <w:tc>
          <w:tcPr>
            <w:tcW w:w="3295" w:type="dxa"/>
          </w:tcPr>
          <w:p w14:paraId="5F8F8263"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In 2017, 6% of children were born as a result of ART</w:t>
            </w:r>
          </w:p>
        </w:tc>
        <w:tc>
          <w:tcPr>
            <w:tcW w:w="3686" w:type="dxa"/>
          </w:tcPr>
          <w:p w14:paraId="1F89F220" w14:textId="77777777" w:rsidR="00F31749" w:rsidRPr="00BC5105" w:rsidRDefault="00F31749">
            <w:pPr>
              <w:rPr>
                <w:rFonts w:asciiTheme="majorHAnsi" w:hAnsiTheme="majorHAnsi" w:cstheme="majorHAnsi"/>
                <w:sz w:val="20"/>
              </w:rPr>
            </w:pPr>
            <w:r w:rsidRPr="00BC5105">
              <w:rPr>
                <w:rFonts w:asciiTheme="majorHAnsi" w:hAnsiTheme="majorHAnsi" w:cstheme="majorHAnsi"/>
                <w:sz w:val="20"/>
              </w:rPr>
              <w:t>Up to 70% of costs covered</w:t>
            </w:r>
          </w:p>
        </w:tc>
      </w:tr>
    </w:tbl>
    <w:p w14:paraId="31F41F7B" w14:textId="77777777" w:rsidR="00F31749" w:rsidRPr="003635BF" w:rsidRDefault="00F31749" w:rsidP="00BC5105">
      <w:pPr>
        <w:spacing w:after="0" w:line="276" w:lineRule="auto"/>
        <w:rPr>
          <w:rFonts w:cstheme="minorHAnsi"/>
        </w:rPr>
      </w:pPr>
    </w:p>
    <w:p w14:paraId="6354AF3E" w14:textId="77777777" w:rsidR="00F31749" w:rsidRDefault="00F31749" w:rsidP="00BC5105">
      <w:pPr>
        <w:spacing w:after="0" w:line="276" w:lineRule="auto"/>
        <w:jc w:val="both"/>
        <w:rPr>
          <w:rFonts w:cstheme="minorHAnsi"/>
          <w:lang w:val="en-US"/>
        </w:rPr>
      </w:pPr>
    </w:p>
    <w:p w14:paraId="259E5255" w14:textId="0E9DB6EF" w:rsidR="00B957F9" w:rsidRDefault="00B957F9" w:rsidP="00BC5105">
      <w:pPr>
        <w:spacing w:line="276" w:lineRule="auto"/>
        <w:jc w:val="both"/>
        <w:rPr>
          <w:rFonts w:cstheme="minorHAnsi"/>
          <w:lang w:val="en-US"/>
        </w:rPr>
      </w:pPr>
      <w:r w:rsidRPr="003635BF">
        <w:rPr>
          <w:rFonts w:cstheme="minorHAnsi"/>
          <w:lang w:val="en-US"/>
        </w:rPr>
        <w:t xml:space="preserve">ART </w:t>
      </w:r>
      <w:r w:rsidR="00236E03">
        <w:rPr>
          <w:rFonts w:cstheme="minorHAnsi"/>
          <w:lang w:val="en-US"/>
        </w:rPr>
        <w:t>has</w:t>
      </w:r>
      <w:r w:rsidR="00236E03" w:rsidRPr="003635BF">
        <w:rPr>
          <w:rFonts w:cstheme="minorHAnsi"/>
          <w:lang w:val="en-US"/>
        </w:rPr>
        <w:t xml:space="preserve"> </w:t>
      </w:r>
      <w:r w:rsidRPr="003635BF">
        <w:rPr>
          <w:rFonts w:cstheme="minorHAnsi"/>
          <w:lang w:val="en-US"/>
        </w:rPr>
        <w:t xml:space="preserve">been mentioned as a potential policy tool to increase fertility, comparable to other more traditional pro-natalist policies, such as those previously mentioned in this report. While they </w:t>
      </w:r>
      <w:bookmarkStart w:id="148" w:name="OLE_LINK3"/>
      <w:r w:rsidRPr="003635BF">
        <w:rPr>
          <w:rFonts w:cstheme="minorHAnsi"/>
          <w:lang w:val="en-US"/>
        </w:rPr>
        <w:t>can broaden the range of possible responses to low fertility rates,</w:t>
      </w:r>
      <w:bookmarkEnd w:id="148"/>
      <w:r w:rsidRPr="003635BF">
        <w:rPr>
          <w:rFonts w:cstheme="minorHAnsi"/>
          <w:lang w:val="en-US"/>
        </w:rPr>
        <w:t xml:space="preserve"> there are a number of important unintended consequences that need to be taken into account when trying to estimate their effectiveness as a policy tool to increase fertility. First, the simple comparison of the TFR with and without ART might lead to an overestimation of the impact of ART on the fertility rate because it implicitly assumes that births that happened with the treatment would not have happened without it. However, the chance of conception for sub-fertile couples that have used ART is still positive </w:t>
      </w:r>
      <w:r w:rsidR="00C96C57" w:rsidRPr="007E15F6">
        <w:rPr>
          <w:rFonts w:cstheme="minorHAnsi"/>
          <w:noProof/>
        </w:rPr>
        <w:t xml:space="preserve">(Osmanagaoglu, </w:t>
      </w:r>
      <w:r w:rsidR="00C96C57" w:rsidRPr="00C96C57">
        <w:rPr>
          <w:rFonts w:cstheme="minorHAnsi"/>
          <w:i/>
          <w:iCs/>
          <w:noProof/>
        </w:rPr>
        <w:t>et al</w:t>
      </w:r>
      <w:r w:rsidR="00C96C57" w:rsidRPr="007E15F6">
        <w:rPr>
          <w:rFonts w:cstheme="minorHAnsi"/>
          <w:noProof/>
        </w:rPr>
        <w:t>., 2002)</w:t>
      </w:r>
      <w:r w:rsidRPr="003635BF">
        <w:rPr>
          <w:rFonts w:cstheme="minorHAnsi"/>
          <w:lang w:val="en-US"/>
        </w:rPr>
        <w:t xml:space="preserve"> and some of them might have been able to eventually conceive either way. Second, the availability and affordability of treatment may </w:t>
      </w:r>
      <w:r w:rsidR="000B1545" w:rsidRPr="003635BF">
        <w:rPr>
          <w:rFonts w:cstheme="minorHAnsi"/>
          <w:lang w:val="en-US"/>
        </w:rPr>
        <w:t>incentivi</w:t>
      </w:r>
      <w:r w:rsidR="000B1545">
        <w:rPr>
          <w:rFonts w:cstheme="minorHAnsi"/>
          <w:lang w:val="en-US"/>
        </w:rPr>
        <w:t>z</w:t>
      </w:r>
      <w:r w:rsidR="000B1545" w:rsidRPr="003635BF">
        <w:rPr>
          <w:rFonts w:cstheme="minorHAnsi"/>
          <w:lang w:val="en-US"/>
        </w:rPr>
        <w:t>e</w:t>
      </w:r>
      <w:r w:rsidRPr="003635BF">
        <w:rPr>
          <w:rFonts w:cstheme="minorHAnsi"/>
          <w:lang w:val="en-US"/>
        </w:rPr>
        <w:t xml:space="preserve"> couples to further delay childbearing, increasing their chance of experiencing infertility and of underachieving their reproductive goals. The existence of this risk is supported by studies showing evidence of the typically poor knowledge of reproductive age people regarding biological limits to reproduction and ART success rates, both internationally </w:t>
      </w:r>
      <w:r w:rsidR="003A75FA">
        <w:rPr>
          <w:rFonts w:cstheme="minorHAnsi"/>
          <w:noProof/>
        </w:rPr>
        <w:t xml:space="preserve">(Pedro, </w:t>
      </w:r>
      <w:r w:rsidR="00B95174" w:rsidRPr="00B95174">
        <w:rPr>
          <w:rFonts w:cstheme="minorHAnsi"/>
          <w:i/>
          <w:noProof/>
        </w:rPr>
        <w:t>et al.</w:t>
      </w:r>
      <w:r w:rsidR="003A75FA">
        <w:rPr>
          <w:rFonts w:cstheme="minorHAnsi"/>
          <w:noProof/>
        </w:rPr>
        <w:t xml:space="preserve"> 2018)</w:t>
      </w:r>
      <w:r w:rsidR="00C96C57">
        <w:rPr>
          <w:rFonts w:cstheme="minorHAnsi"/>
          <w:noProof/>
        </w:rPr>
        <w:t xml:space="preserve"> </w:t>
      </w:r>
      <w:r w:rsidRPr="003635BF">
        <w:rPr>
          <w:rFonts w:cstheme="minorHAnsi"/>
          <w:lang w:val="en-US"/>
        </w:rPr>
        <w:t xml:space="preserve">and in Australia </w:t>
      </w:r>
      <w:r w:rsidR="003A75FA">
        <w:rPr>
          <w:rFonts w:cstheme="minorHAnsi"/>
          <w:noProof/>
        </w:rPr>
        <w:t xml:space="preserve">(Hammarberg, </w:t>
      </w:r>
      <w:r w:rsidR="00B95174" w:rsidRPr="00B95174">
        <w:rPr>
          <w:rFonts w:cstheme="minorHAnsi"/>
          <w:i/>
          <w:noProof/>
        </w:rPr>
        <w:t>et al.</w:t>
      </w:r>
      <w:r w:rsidR="00C96C57">
        <w:rPr>
          <w:rFonts w:cstheme="minorHAnsi"/>
          <w:i/>
          <w:noProof/>
        </w:rPr>
        <w:t xml:space="preserve"> </w:t>
      </w:r>
      <w:r w:rsidR="003A75FA">
        <w:rPr>
          <w:rFonts w:cstheme="minorHAnsi"/>
          <w:noProof/>
        </w:rPr>
        <w:t xml:space="preserve">2015; Hampton, </w:t>
      </w:r>
      <w:r w:rsidR="00B95174" w:rsidRPr="00B95174">
        <w:rPr>
          <w:rFonts w:cstheme="minorHAnsi"/>
          <w:i/>
          <w:noProof/>
        </w:rPr>
        <w:t>et al.</w:t>
      </w:r>
      <w:r w:rsidR="00C96C57">
        <w:rPr>
          <w:rFonts w:cstheme="minorHAnsi"/>
          <w:i/>
          <w:noProof/>
        </w:rPr>
        <w:t xml:space="preserve"> </w:t>
      </w:r>
      <w:r w:rsidR="003A75FA">
        <w:rPr>
          <w:rFonts w:cstheme="minorHAnsi"/>
          <w:noProof/>
        </w:rPr>
        <w:t>2012)</w:t>
      </w:r>
      <w:r w:rsidRPr="003635BF">
        <w:rPr>
          <w:rFonts w:cstheme="minorHAnsi"/>
          <w:lang w:val="en-US"/>
        </w:rPr>
        <w:t xml:space="preserve">. </w:t>
      </w:r>
      <w:r w:rsidR="00BA6E8D">
        <w:rPr>
          <w:rFonts w:cstheme="minorHAnsi"/>
          <w:lang w:val="en-US"/>
        </w:rPr>
        <w:t xml:space="preserve">While new opportunities have emerged for women to have children at advanced reproductive ages, such as egg-freezing or the possibility of using donor eggs, success is not guaranteed. </w:t>
      </w:r>
      <w:r w:rsidR="00813299">
        <w:rPr>
          <w:rFonts w:cstheme="minorHAnsi"/>
          <w:lang w:val="en-US"/>
        </w:rPr>
        <w:t xml:space="preserve">Community knowledge about these options often comes from the news media, which  </w:t>
      </w:r>
      <w:r w:rsidR="00BA6E8D">
        <w:rPr>
          <w:rFonts w:cstheme="minorHAnsi"/>
          <w:lang w:val="en-US"/>
        </w:rPr>
        <w:t xml:space="preserve"> </w:t>
      </w:r>
      <w:r w:rsidR="00813299">
        <w:rPr>
          <w:rFonts w:cstheme="minorHAnsi"/>
          <w:lang w:val="en-US"/>
        </w:rPr>
        <w:t xml:space="preserve">seldom provide an accurate description </w:t>
      </w:r>
      <w:r w:rsidR="007D0138">
        <w:rPr>
          <w:rFonts w:cstheme="minorHAnsi"/>
          <w:lang w:val="en-US"/>
        </w:rPr>
        <w:t>of</w:t>
      </w:r>
      <w:r w:rsidR="00813299">
        <w:rPr>
          <w:rFonts w:cstheme="minorHAnsi"/>
          <w:lang w:val="en-US"/>
        </w:rPr>
        <w:t xml:space="preserve"> the actual chances of conceiving using ART. </w:t>
      </w:r>
      <w:r w:rsidR="00BA6E8D">
        <w:rPr>
          <w:rFonts w:cstheme="minorHAnsi"/>
          <w:lang w:val="en-US"/>
        </w:rPr>
        <w:t xml:space="preserve">Hence, it is </w:t>
      </w:r>
      <w:r w:rsidR="00813299">
        <w:rPr>
          <w:rFonts w:cstheme="minorHAnsi"/>
          <w:lang w:val="en-US"/>
        </w:rPr>
        <w:t>key</w:t>
      </w:r>
      <w:r w:rsidR="00BA6E8D">
        <w:rPr>
          <w:rFonts w:cstheme="minorHAnsi"/>
          <w:lang w:val="en-US"/>
        </w:rPr>
        <w:t xml:space="preserve"> that couples are well informed </w:t>
      </w:r>
      <w:r w:rsidR="00813299">
        <w:rPr>
          <w:rFonts w:cstheme="minorHAnsi"/>
          <w:lang w:val="en-US"/>
        </w:rPr>
        <w:t xml:space="preserve">about their chances to conceive at all ages, with and without ART, and that they are able to make informed decisions regarding when to have children. </w:t>
      </w:r>
    </w:p>
    <w:p w14:paraId="2ABE026F" w14:textId="77777777" w:rsidR="007E3D84" w:rsidRDefault="007E3D84">
      <w:pPr>
        <w:rPr>
          <w:rFonts w:cstheme="minorHAnsi"/>
          <w:b/>
          <w:bCs/>
          <w:lang w:val="en-US"/>
        </w:rPr>
      </w:pPr>
      <w:r>
        <w:rPr>
          <w:rFonts w:cstheme="minorHAnsi"/>
          <w:b/>
          <w:bCs/>
          <w:lang w:val="en-US"/>
        </w:rPr>
        <w:br w:type="page"/>
      </w:r>
    </w:p>
    <w:p w14:paraId="7E379D7A" w14:textId="1A46D74A" w:rsidR="006D33EA" w:rsidRDefault="00DD31D4" w:rsidP="00BC5105">
      <w:pPr>
        <w:spacing w:line="276" w:lineRule="auto"/>
        <w:jc w:val="both"/>
        <w:rPr>
          <w:rFonts w:cstheme="minorHAnsi"/>
          <w:lang w:val="en-US"/>
        </w:rPr>
      </w:pPr>
      <w:r>
        <w:rPr>
          <w:rFonts w:cstheme="minorHAnsi"/>
          <w:b/>
          <w:bCs/>
          <w:lang w:val="en-US"/>
        </w:rPr>
        <w:lastRenderedPageBreak/>
        <w:t>Conclusion</w:t>
      </w:r>
    </w:p>
    <w:p w14:paraId="50B2DE09" w14:textId="45A47FBE" w:rsidR="00F31FC5" w:rsidRDefault="00723351" w:rsidP="00911AC1">
      <w:pPr>
        <w:spacing w:line="276" w:lineRule="auto"/>
        <w:jc w:val="both"/>
        <w:rPr>
          <w:rFonts w:cstheme="minorHAnsi"/>
          <w:lang w:val="en-US"/>
        </w:rPr>
      </w:pPr>
      <w:r>
        <w:rPr>
          <w:rFonts w:cstheme="minorHAnsi"/>
          <w:lang w:val="en-US"/>
        </w:rPr>
        <w:t xml:space="preserve">Assisted reproduction is having a small but rapidly increasing contribution to the fertility rate of high-income countries, characterized by low fertility rates and by a trend towards childbearing delay. The demographic impact of ART widely varies across countries. These differences can be explained by the existence of different regulatory and funding arrangement for ART. Australia is among the countries with the most supportive public system for ART, which has led to a relatively high proportion of babies born as a result of these treatments. While the evidence suggests that so far ART had </w:t>
      </w:r>
      <w:r w:rsidR="00B52C55">
        <w:rPr>
          <w:rFonts w:cstheme="minorHAnsi"/>
          <w:lang w:val="en-US"/>
        </w:rPr>
        <w:t xml:space="preserve">a </w:t>
      </w:r>
      <w:r>
        <w:rPr>
          <w:rFonts w:cstheme="minorHAnsi"/>
          <w:lang w:val="en-US"/>
        </w:rPr>
        <w:t xml:space="preserve">positive and modest effect on </w:t>
      </w:r>
      <w:r w:rsidR="00B52C55">
        <w:rPr>
          <w:rFonts w:cstheme="minorHAnsi"/>
          <w:lang w:val="en-US"/>
        </w:rPr>
        <w:t xml:space="preserve">the </w:t>
      </w:r>
      <w:r>
        <w:rPr>
          <w:rFonts w:cstheme="minorHAnsi"/>
          <w:lang w:val="en-US"/>
        </w:rPr>
        <w:t xml:space="preserve">Australian fertility rate, more research needs to be done to understand whether ART treatment should be funded with the specific aim of increasing the fertility rate. It is key that the availability of ART does not incentivize couples </w:t>
      </w:r>
      <w:r w:rsidR="00B52C55">
        <w:rPr>
          <w:rFonts w:cstheme="minorHAnsi"/>
          <w:lang w:val="en-US"/>
        </w:rPr>
        <w:t xml:space="preserve">to further delay childbearing plans. </w:t>
      </w:r>
    </w:p>
    <w:p w14:paraId="440B1C3C" w14:textId="77777777" w:rsidR="00BF0166" w:rsidRDefault="00BF0166" w:rsidP="00911AC1">
      <w:pPr>
        <w:spacing w:line="276" w:lineRule="auto"/>
        <w:jc w:val="both"/>
        <w:rPr>
          <w:rFonts w:cstheme="minorHAnsi"/>
          <w:lang w:val="en-US"/>
        </w:rPr>
        <w:sectPr w:rsidR="00BF0166">
          <w:footerReference w:type="default" r:id="rId44"/>
          <w:pgSz w:w="11906" w:h="16838"/>
          <w:pgMar w:top="1440" w:right="1440" w:bottom="1440" w:left="1440" w:header="708" w:footer="708" w:gutter="0"/>
          <w:cols w:space="708"/>
          <w:docGrid w:linePitch="360"/>
        </w:sectPr>
      </w:pPr>
    </w:p>
    <w:p w14:paraId="4E60863A" w14:textId="77777777" w:rsidR="00293E5C" w:rsidRDefault="00293E5C" w:rsidP="00293E5C">
      <w:pPr>
        <w:pStyle w:val="Heading1"/>
        <w:spacing w:line="276" w:lineRule="auto"/>
      </w:pPr>
      <w:bookmarkStart w:id="149" w:name="_Toc81572992"/>
      <w:bookmarkStart w:id="150" w:name="_Toc75941867"/>
      <w:bookmarkStart w:id="151" w:name="_Toc87454632"/>
      <w:bookmarkStart w:id="152" w:name="_Toc98404979"/>
      <w:bookmarkEnd w:id="149"/>
      <w:bookmarkEnd w:id="150"/>
      <w:r>
        <w:lastRenderedPageBreak/>
        <w:t>Conclusion</w:t>
      </w:r>
      <w:bookmarkEnd w:id="151"/>
      <w:bookmarkEnd w:id="152"/>
    </w:p>
    <w:p w14:paraId="680A474B" w14:textId="77777777" w:rsidR="00293E5C" w:rsidRDefault="00293E5C" w:rsidP="00293E5C">
      <w:pPr>
        <w:pStyle w:val="NormalWeb"/>
        <w:shd w:val="clear" w:color="auto" w:fill="FEFEFE"/>
        <w:spacing w:line="276" w:lineRule="auto"/>
        <w:jc w:val="both"/>
        <w:rPr>
          <w:rFonts w:asciiTheme="minorHAnsi" w:eastAsiaTheme="minorHAnsi" w:hAnsiTheme="minorHAnsi" w:cstheme="minorBidi"/>
          <w:noProof/>
          <w:sz w:val="22"/>
          <w:szCs w:val="22"/>
          <w:lang w:eastAsia="en-US"/>
        </w:rPr>
      </w:pPr>
      <w:r>
        <w:rPr>
          <w:rFonts w:asciiTheme="minorHAnsi" w:eastAsiaTheme="minorHAnsi" w:hAnsiTheme="minorHAnsi" w:cstheme="minorBidi"/>
          <w:noProof/>
          <w:sz w:val="22"/>
          <w:szCs w:val="22"/>
          <w:lang w:eastAsia="en-US"/>
        </w:rPr>
        <w:t xml:space="preserve">Australia’s fertility rate has been below replacement level since the late 1970s, and is predicted to decrease further to 1.62 in the next 10 years as highlighted in the latest Intergenerational Report (Commonwealth of Australia, 2021).  This decline is a reflection of more people remaining childless, as well as those who do go on to become parents stopping at one or two children. The reasons behind the decline in fertility are multi-dimensional but include the changing costs (direct and indirect) of children, broad socio-economic trends such as increased education levels and labour force participation among women,  as well as changing social norms.  </w:t>
      </w:r>
    </w:p>
    <w:p w14:paraId="6D5DFB7C" w14:textId="4EF74FB4" w:rsidR="00293E5C" w:rsidRDefault="00293E5C" w:rsidP="00293E5C">
      <w:pPr>
        <w:pStyle w:val="NormalWeb"/>
        <w:shd w:val="clear" w:color="auto" w:fill="FEFEFE"/>
        <w:spacing w:line="276" w:lineRule="auto"/>
        <w:jc w:val="both"/>
        <w:rPr>
          <w:rFonts w:asciiTheme="minorHAnsi" w:eastAsiaTheme="minorHAnsi" w:hAnsiTheme="minorHAnsi" w:cstheme="minorBidi"/>
          <w:noProof/>
          <w:sz w:val="22"/>
          <w:szCs w:val="22"/>
          <w:lang w:eastAsia="en-US"/>
        </w:rPr>
      </w:pPr>
      <w:r>
        <w:rPr>
          <w:rFonts w:asciiTheme="minorHAnsi" w:eastAsiaTheme="minorHAnsi" w:hAnsiTheme="minorHAnsi" w:cstheme="minorBidi"/>
          <w:noProof/>
          <w:sz w:val="22"/>
          <w:szCs w:val="22"/>
          <w:lang w:eastAsia="en-US"/>
        </w:rPr>
        <w:t>Crucially, in Australia, as in many other developed countries, people want to have children. While a small proportion of people are childfree by choice, the majority of the population want to have children as they are valued for the psychological and emotional benefits that they provide including having someone to love, continuing the bloodline, and giving purpose and meaning to life. The gap between the number of children people state they would like, and the number they are achieving, points to the existence of barriers preventing them from achieving their childbearing desires to the full extent. These barriers mean some people who want children end up being childless, and others who desire two or three children may stop at one child. At the individual level, people might experience barriers such as relationship breakdowns, inability to find a partner</w:t>
      </w:r>
      <w:r>
        <w:rPr>
          <w:rStyle w:val="FootnoteReference"/>
          <w:rFonts w:asciiTheme="minorHAnsi" w:eastAsiaTheme="minorHAnsi" w:hAnsiTheme="minorHAnsi" w:cstheme="minorBidi"/>
          <w:noProof/>
          <w:sz w:val="22"/>
          <w:szCs w:val="22"/>
          <w:lang w:eastAsia="en-US"/>
        </w:rPr>
        <w:footnoteReference w:id="25"/>
      </w:r>
      <w:r>
        <w:rPr>
          <w:rFonts w:asciiTheme="minorHAnsi" w:eastAsiaTheme="minorHAnsi" w:hAnsiTheme="minorHAnsi" w:cstheme="minorBidi"/>
          <w:noProof/>
          <w:sz w:val="22"/>
          <w:szCs w:val="22"/>
          <w:lang w:eastAsia="en-US"/>
        </w:rPr>
        <w:t xml:space="preserve"> or health issues which are not easily amenable to policy </w:t>
      </w:r>
      <w:r w:rsidR="00365814">
        <w:rPr>
          <w:rFonts w:asciiTheme="minorHAnsi" w:eastAsiaTheme="minorHAnsi" w:hAnsiTheme="minorHAnsi" w:cstheme="minorBidi"/>
          <w:noProof/>
          <w:sz w:val="22"/>
          <w:szCs w:val="22"/>
          <w:lang w:eastAsia="en-US"/>
        </w:rPr>
        <w:t>intervention (Sobotka &amp; Lutz 201</w:t>
      </w:r>
      <w:r>
        <w:rPr>
          <w:rFonts w:asciiTheme="minorHAnsi" w:eastAsiaTheme="minorHAnsi" w:hAnsiTheme="minorHAnsi" w:cstheme="minorBidi"/>
          <w:noProof/>
          <w:sz w:val="22"/>
          <w:szCs w:val="22"/>
          <w:lang w:eastAsia="en-US"/>
        </w:rPr>
        <w:t xml:space="preserve">0). However, the fact that the gap between desired and achieved fertility varies across countries indicates that there are systematic barriers at play.  </w:t>
      </w:r>
      <w:r w:rsidRPr="00A04B51">
        <w:rPr>
          <w:rFonts w:asciiTheme="minorHAnsi" w:eastAsiaTheme="minorHAnsi" w:hAnsiTheme="minorHAnsi" w:cstheme="minorBidi"/>
          <w:noProof/>
          <w:sz w:val="22"/>
          <w:szCs w:val="22"/>
          <w:lang w:eastAsia="en-US"/>
        </w:rPr>
        <w:t>Effective policy interventions</w:t>
      </w:r>
      <w:r>
        <w:rPr>
          <w:rFonts w:asciiTheme="minorHAnsi" w:eastAsiaTheme="minorHAnsi" w:hAnsiTheme="minorHAnsi" w:cstheme="minorBidi"/>
          <w:noProof/>
          <w:sz w:val="22"/>
          <w:szCs w:val="22"/>
          <w:lang w:eastAsia="en-US"/>
        </w:rPr>
        <w:t xml:space="preserve"> to support people’s reproductive desires</w:t>
      </w:r>
      <w:r w:rsidRPr="00A04B51">
        <w:rPr>
          <w:rFonts w:asciiTheme="minorHAnsi" w:eastAsiaTheme="minorHAnsi" w:hAnsiTheme="minorHAnsi" w:cstheme="minorBidi"/>
          <w:noProof/>
          <w:sz w:val="22"/>
          <w:szCs w:val="22"/>
          <w:lang w:eastAsia="en-US"/>
        </w:rPr>
        <w:t xml:space="preserve"> need a sound understanding of how systematic barriers at the macro-level lead to individual childbearing intentions being formed, altered, realised or abandoned</w:t>
      </w:r>
      <w:r>
        <w:rPr>
          <w:rFonts w:asciiTheme="minorHAnsi" w:eastAsiaTheme="minorHAnsi" w:hAnsiTheme="minorHAnsi" w:cstheme="minorBidi"/>
          <w:noProof/>
          <w:sz w:val="22"/>
          <w:szCs w:val="22"/>
          <w:lang w:eastAsia="en-US"/>
        </w:rPr>
        <w:t>,</w:t>
      </w:r>
      <w:r w:rsidRPr="00A04B51">
        <w:rPr>
          <w:rFonts w:asciiTheme="minorHAnsi" w:eastAsiaTheme="minorHAnsi" w:hAnsiTheme="minorHAnsi" w:cstheme="minorBidi"/>
          <w:noProof/>
          <w:sz w:val="22"/>
          <w:szCs w:val="22"/>
          <w:lang w:eastAsia="en-US"/>
        </w:rPr>
        <w:t xml:space="preserve"> </w:t>
      </w:r>
      <w:r>
        <w:rPr>
          <w:rFonts w:asciiTheme="minorHAnsi" w:eastAsiaTheme="minorHAnsi" w:hAnsiTheme="minorHAnsi" w:cstheme="minorBidi"/>
          <w:noProof/>
          <w:sz w:val="22"/>
          <w:szCs w:val="22"/>
          <w:lang w:eastAsia="en-US"/>
        </w:rPr>
        <w:t xml:space="preserve">and how these vary by parity </w:t>
      </w:r>
      <w:r w:rsidRPr="00A04B51">
        <w:rPr>
          <w:rFonts w:asciiTheme="minorHAnsi" w:eastAsiaTheme="minorHAnsi" w:hAnsiTheme="minorHAnsi" w:cstheme="minorBidi"/>
          <w:noProof/>
          <w:sz w:val="22"/>
          <w:szCs w:val="22"/>
          <w:lang w:eastAsia="en-US"/>
        </w:rPr>
        <w:t>(Gauthier &amp; Philipov, 2008</w:t>
      </w:r>
      <w:r>
        <w:rPr>
          <w:rFonts w:asciiTheme="minorHAnsi" w:eastAsiaTheme="minorHAnsi" w:hAnsiTheme="minorHAnsi" w:cstheme="minorBidi"/>
          <w:noProof/>
          <w:sz w:val="22"/>
          <w:szCs w:val="22"/>
          <w:lang w:eastAsia="en-US"/>
        </w:rPr>
        <w:t>; Togman 2019</w:t>
      </w:r>
      <w:r w:rsidRPr="00A04B51">
        <w:rPr>
          <w:rFonts w:asciiTheme="minorHAnsi" w:eastAsiaTheme="minorHAnsi" w:hAnsiTheme="minorHAnsi" w:cstheme="minorBidi"/>
          <w:noProof/>
          <w:sz w:val="22"/>
          <w:szCs w:val="22"/>
          <w:lang w:eastAsia="en-US"/>
        </w:rPr>
        <w:t>).</w:t>
      </w:r>
      <w:r>
        <w:rPr>
          <w:rFonts w:asciiTheme="minorHAnsi" w:eastAsiaTheme="minorHAnsi" w:hAnsiTheme="minorHAnsi" w:cstheme="minorBidi"/>
          <w:noProof/>
          <w:sz w:val="22"/>
          <w:szCs w:val="22"/>
          <w:lang w:eastAsia="en-US"/>
        </w:rPr>
        <w:t xml:space="preserve"> </w:t>
      </w:r>
    </w:p>
    <w:p w14:paraId="4985ABD3" w14:textId="77777777" w:rsidR="00293E5C" w:rsidRDefault="00293E5C" w:rsidP="00293E5C">
      <w:pPr>
        <w:pStyle w:val="NormalWeb"/>
        <w:shd w:val="clear" w:color="auto" w:fill="FEFEFE"/>
        <w:spacing w:line="276" w:lineRule="auto"/>
        <w:jc w:val="both"/>
        <w:rPr>
          <w:rFonts w:asciiTheme="minorHAnsi" w:eastAsiaTheme="minorHAnsi" w:hAnsiTheme="minorHAnsi" w:cstheme="minorBidi"/>
          <w:noProof/>
          <w:sz w:val="22"/>
          <w:szCs w:val="22"/>
        </w:rPr>
      </w:pPr>
      <w:r w:rsidRPr="00A04B51">
        <w:rPr>
          <w:rFonts w:asciiTheme="minorHAnsi" w:eastAsiaTheme="minorHAnsi" w:hAnsiTheme="minorHAnsi" w:cstheme="minorBidi"/>
          <w:noProof/>
          <w:sz w:val="22"/>
          <w:szCs w:val="22"/>
        </w:rPr>
        <w:t>The d</w:t>
      </w:r>
      <w:r>
        <w:rPr>
          <w:rFonts w:asciiTheme="minorHAnsi" w:eastAsiaTheme="minorHAnsi" w:hAnsiTheme="minorHAnsi" w:cstheme="minorBidi"/>
          <w:noProof/>
          <w:sz w:val="22"/>
          <w:szCs w:val="22"/>
        </w:rPr>
        <w:t>ecision to become a parent and have a first child, has been described as one of the most complex and profound lifetime judgments that an individual or couple will make (</w:t>
      </w:r>
      <w:r w:rsidRPr="00402747">
        <w:rPr>
          <w:rFonts w:asciiTheme="minorHAnsi" w:eastAsiaTheme="minorHAnsi" w:hAnsiTheme="minorHAnsi" w:cstheme="minorBidi"/>
          <w:noProof/>
          <w:sz w:val="22"/>
          <w:szCs w:val="22"/>
        </w:rPr>
        <w:t>Hobcraft &amp; Kiernan, 1995</w:t>
      </w:r>
      <w:r>
        <w:rPr>
          <w:rFonts w:asciiTheme="minorHAnsi" w:eastAsiaTheme="minorHAnsi" w:hAnsiTheme="minorHAnsi" w:cstheme="minorBidi"/>
          <w:noProof/>
          <w:sz w:val="22"/>
          <w:szCs w:val="22"/>
        </w:rPr>
        <w:t xml:space="preserve">). It involves couples weighing the benefits and costs of children and assessing their current and likely future circumstances over a series of domains including partnership, employment, income, housing and time commitements (Hobcraft &amp; Kiernan 1995).  For many young couples steady employment and secure housing is seen as a pre-condition to start a family. Sobotka, </w:t>
      </w:r>
      <w:r w:rsidRPr="00777819">
        <w:rPr>
          <w:rFonts w:asciiTheme="minorHAnsi" w:eastAsiaTheme="minorHAnsi" w:hAnsiTheme="minorHAnsi" w:cstheme="minorBidi"/>
          <w:i/>
          <w:noProof/>
          <w:sz w:val="22"/>
          <w:szCs w:val="22"/>
        </w:rPr>
        <w:t>et al.</w:t>
      </w:r>
      <w:r>
        <w:rPr>
          <w:rFonts w:asciiTheme="minorHAnsi" w:eastAsiaTheme="minorHAnsi" w:hAnsiTheme="minorHAnsi" w:cstheme="minorBidi"/>
          <w:noProof/>
          <w:sz w:val="22"/>
          <w:szCs w:val="22"/>
        </w:rPr>
        <w:t xml:space="preserve"> (2020) warn that where young men and women experience considerable economic uncertainty then even substantial expansion of family policies is unlikely to lead to a large increase in fertilty. Many highly educated also want to establish themselves in their careers before embarking on childbearing due to the difficulties of combining full-time work and the increased unpaid caring and domestic labour that come with children. As a result childbearing is increasingly being postponed, sometimes to the extent that it is too late to start a family due to age-related declines in fecundity. This can be seen in the rising age at first birth in Australia, as well as the increasing proportion of women who are childless. </w:t>
      </w:r>
    </w:p>
    <w:p w14:paraId="281D8729" w14:textId="77777777" w:rsidR="00293E5C" w:rsidRDefault="00293E5C" w:rsidP="00293E5C">
      <w:pPr>
        <w:pStyle w:val="NormalWeb"/>
        <w:shd w:val="clear" w:color="auto" w:fill="FEFEFE"/>
        <w:spacing w:line="276" w:lineRule="auto"/>
        <w:jc w:val="both"/>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lastRenderedPageBreak/>
        <w:t xml:space="preserve">In Australia, as in other countries, there is a strong two-child norm and having had a first child, most families therefore desire a second one. The ‘obligatory’ second child is often seen as necessary to provide the first child a sibling and playmate (Carmichael, 2013). While the progression rates from first to second births have remained high in recent decades, they have seen a decline among recent cohorts. This can be traced to a number of reasons including a higher age at first birth which leaves less time to have a second child (Parr, 2007). The progression from families having two children to continuing to have three has also declined. In 1986, of women aged 40-44, 56% of those who had two children had gone on to have at least a third birth. By 2016, of women aged 40-44, 43% of those who had two children ended up having a third one.  The decision to have a ‘discretionary’ third child often involves more reflection (Carmichael, 2013) and weighing up of multiple factors including age, work, finances and housing (Evans, </w:t>
      </w:r>
      <w:r w:rsidRPr="003D32A3">
        <w:rPr>
          <w:rFonts w:asciiTheme="minorHAnsi" w:eastAsiaTheme="minorHAnsi" w:hAnsiTheme="minorHAnsi" w:cstheme="minorBidi"/>
          <w:i/>
          <w:iCs/>
          <w:noProof/>
          <w:sz w:val="22"/>
          <w:szCs w:val="22"/>
        </w:rPr>
        <w:t>et al</w:t>
      </w:r>
      <w:r>
        <w:rPr>
          <w:rFonts w:asciiTheme="minorHAnsi" w:eastAsiaTheme="minorHAnsi" w:hAnsiTheme="minorHAnsi" w:cstheme="minorBidi"/>
          <w:noProof/>
          <w:sz w:val="22"/>
          <w:szCs w:val="22"/>
        </w:rPr>
        <w:t xml:space="preserve">. 2009).  </w:t>
      </w:r>
    </w:p>
    <w:p w14:paraId="0FD6EAA4" w14:textId="701443FC" w:rsidR="00293E5C" w:rsidRDefault="00293E5C" w:rsidP="00293E5C">
      <w:pPr>
        <w:pStyle w:val="NormalWeb"/>
        <w:shd w:val="clear" w:color="auto" w:fill="FEFEFE"/>
        <w:spacing w:line="276" w:lineRule="auto"/>
        <w:jc w:val="both"/>
        <w:rPr>
          <w:rFonts w:asciiTheme="minorHAnsi" w:eastAsiaTheme="minorHAnsi" w:hAnsiTheme="minorHAnsi" w:cstheme="minorBidi"/>
          <w:noProof/>
          <w:sz w:val="22"/>
          <w:szCs w:val="22"/>
          <w:lang w:eastAsia="en-US"/>
        </w:rPr>
      </w:pPr>
      <w:r>
        <w:rPr>
          <w:rFonts w:asciiTheme="minorHAnsi" w:eastAsiaTheme="minorHAnsi" w:hAnsiTheme="minorHAnsi" w:cstheme="minorBidi"/>
          <w:noProof/>
          <w:sz w:val="22"/>
          <w:szCs w:val="22"/>
          <w:lang w:eastAsia="en-US"/>
        </w:rPr>
        <w:t xml:space="preserve">In Australia we have identified some general broad trends which are related to decisions regarding when to have a child, and how many to have. These include increasing levels of education, economic and work insecurity among young people, housing affordability, high </w:t>
      </w:r>
      <w:r w:rsidR="008D52A6">
        <w:rPr>
          <w:rFonts w:asciiTheme="minorHAnsi" w:eastAsiaTheme="minorHAnsi" w:hAnsiTheme="minorHAnsi" w:cstheme="minorBidi"/>
          <w:noProof/>
          <w:sz w:val="22"/>
          <w:szCs w:val="22"/>
          <w:lang w:eastAsia="en-US"/>
        </w:rPr>
        <w:t>child care</w:t>
      </w:r>
      <w:r>
        <w:rPr>
          <w:rFonts w:asciiTheme="minorHAnsi" w:eastAsiaTheme="minorHAnsi" w:hAnsiTheme="minorHAnsi" w:cstheme="minorBidi"/>
          <w:noProof/>
          <w:sz w:val="22"/>
          <w:szCs w:val="22"/>
          <w:lang w:eastAsia="en-US"/>
        </w:rPr>
        <w:t xml:space="preserve"> costs and social norms which continue to favour women having the primary caregiving role and take up the largest share of domestic duties. In common with many other countries, work-family incompatibility is also central underlying factor. Australia has some of the highest education levels for women amongst OECD countries, and yet also an above average proportion of mothers working part-time or not working at all</w:t>
      </w:r>
      <w:r>
        <w:rPr>
          <w:rStyle w:val="FootnoteReference"/>
          <w:rFonts w:asciiTheme="minorHAnsi" w:eastAsiaTheme="minorHAnsi" w:hAnsiTheme="minorHAnsi" w:cstheme="minorBidi"/>
          <w:noProof/>
          <w:sz w:val="22"/>
          <w:szCs w:val="22"/>
          <w:lang w:eastAsia="en-US"/>
        </w:rPr>
        <w:footnoteReference w:id="26"/>
      </w:r>
      <w:r>
        <w:rPr>
          <w:rFonts w:asciiTheme="minorHAnsi" w:eastAsiaTheme="minorHAnsi" w:hAnsiTheme="minorHAnsi" w:cstheme="minorBidi"/>
          <w:noProof/>
          <w:sz w:val="22"/>
          <w:szCs w:val="22"/>
          <w:lang w:eastAsia="en-US"/>
        </w:rPr>
        <w:t>.</w:t>
      </w:r>
      <w:r w:rsidR="00AC32F7">
        <w:rPr>
          <w:rFonts w:asciiTheme="minorHAnsi" w:eastAsiaTheme="minorHAnsi" w:hAnsiTheme="minorHAnsi" w:cstheme="minorBidi"/>
          <w:noProof/>
          <w:sz w:val="22"/>
          <w:szCs w:val="22"/>
          <w:lang w:eastAsia="en-US"/>
        </w:rPr>
        <w:t xml:space="preserve"> </w:t>
      </w:r>
      <w:r>
        <w:rPr>
          <w:rFonts w:asciiTheme="minorHAnsi" w:eastAsiaTheme="minorHAnsi" w:hAnsiTheme="minorHAnsi" w:cstheme="minorBidi"/>
          <w:noProof/>
          <w:sz w:val="22"/>
          <w:szCs w:val="22"/>
          <w:lang w:eastAsia="en-US"/>
        </w:rPr>
        <w:t>For many families not only are two incomes considered necessary to maintain an adequate standard of living but many women also want to be able to have a career. When work and family are incompatible and women’s employment opportunities are curtailed by having children then on average they will restrict the number they have (McDonald, 2002,p. 429).  This incompatibility may take different forms for different sections of society and p</w:t>
      </w:r>
      <w:r w:rsidRPr="00501ECE">
        <w:rPr>
          <w:rFonts w:asciiTheme="minorHAnsi" w:eastAsiaTheme="minorHAnsi" w:hAnsiTheme="minorHAnsi" w:cstheme="minorBidi"/>
          <w:noProof/>
          <w:sz w:val="22"/>
          <w:szCs w:val="22"/>
          <w:lang w:eastAsia="en-US"/>
        </w:rPr>
        <w:t xml:space="preserve">olicies need to recognize and respond to the diversity of people’s experiences and choices. </w:t>
      </w:r>
      <w:r>
        <w:rPr>
          <w:rFonts w:asciiTheme="minorHAnsi" w:eastAsiaTheme="minorHAnsi" w:hAnsiTheme="minorHAnsi" w:cstheme="minorBidi"/>
          <w:noProof/>
          <w:sz w:val="22"/>
          <w:szCs w:val="22"/>
          <w:lang w:eastAsia="en-US"/>
        </w:rPr>
        <w:t xml:space="preserve"> However, more research is needed to fully understand what obstacles, or perceived barriers, are specific to having a first, second and third or higher order children and how these obstacles differ for different parts of the population.  </w:t>
      </w:r>
    </w:p>
    <w:p w14:paraId="42F458A4" w14:textId="4DC4C4C0" w:rsidR="00293E5C" w:rsidRDefault="00293E5C" w:rsidP="00293E5C">
      <w:pPr>
        <w:pStyle w:val="NormalWeb"/>
        <w:shd w:val="clear" w:color="auto" w:fill="FEFEFE"/>
        <w:spacing w:line="276" w:lineRule="auto"/>
        <w:jc w:val="both"/>
        <w:rPr>
          <w:rFonts w:asciiTheme="minorHAnsi" w:eastAsiaTheme="minorHAnsi" w:hAnsiTheme="minorHAnsi" w:cstheme="minorBidi"/>
          <w:noProof/>
          <w:sz w:val="22"/>
          <w:szCs w:val="22"/>
          <w:lang w:eastAsia="en-US"/>
        </w:rPr>
      </w:pPr>
      <w:r>
        <w:rPr>
          <w:rFonts w:asciiTheme="minorHAnsi" w:eastAsiaTheme="minorHAnsi" w:hAnsiTheme="minorHAnsi" w:cstheme="minorBidi"/>
          <w:noProof/>
          <w:sz w:val="22"/>
          <w:szCs w:val="22"/>
          <w:lang w:eastAsia="en-US"/>
        </w:rPr>
        <w:t xml:space="preserve">While policies play an important role in supporting people’s reproductive choices by creating an environment that is more or less conducive to childbearing, finding clear-cut evidence of policy effects on fertility is very difficult. The difficulty involved in assessing whether a particular policy had an effect on a fertility outcome comes from the methodological problem that policies are not introduced in a way that there is a ‘treatment’ and ‘control’ group as in a randomized trial. As such, even when quasi-experimental methods are used it can be difficult to indentify the counterfactual of what would have occurred had a particular policy not been introduced, or introduced in a different way. The effect of a policy is also likely to vary significantly across different contexts based on the interaction with other cultural and economic factors. For example, the introduction of highly paid parental  leave in a country with a well-established affordable </w:t>
      </w:r>
      <w:r w:rsidR="008D52A6">
        <w:rPr>
          <w:rFonts w:asciiTheme="minorHAnsi" w:eastAsiaTheme="minorHAnsi" w:hAnsiTheme="minorHAnsi" w:cstheme="minorBidi"/>
          <w:noProof/>
          <w:sz w:val="22"/>
          <w:szCs w:val="22"/>
          <w:lang w:eastAsia="en-US"/>
        </w:rPr>
        <w:t>child care</w:t>
      </w:r>
      <w:r>
        <w:rPr>
          <w:rFonts w:asciiTheme="minorHAnsi" w:eastAsiaTheme="minorHAnsi" w:hAnsiTheme="minorHAnsi" w:cstheme="minorBidi"/>
          <w:noProof/>
          <w:sz w:val="22"/>
          <w:szCs w:val="22"/>
          <w:lang w:eastAsia="en-US"/>
        </w:rPr>
        <w:t xml:space="preserve"> system for young children, will be different from the same policy if introduced in a country with little </w:t>
      </w:r>
      <w:r w:rsidR="008D52A6">
        <w:rPr>
          <w:rFonts w:asciiTheme="minorHAnsi" w:eastAsiaTheme="minorHAnsi" w:hAnsiTheme="minorHAnsi" w:cstheme="minorBidi"/>
          <w:noProof/>
          <w:sz w:val="22"/>
          <w:szCs w:val="22"/>
          <w:lang w:eastAsia="en-US"/>
        </w:rPr>
        <w:t>child care</w:t>
      </w:r>
      <w:r>
        <w:rPr>
          <w:rFonts w:asciiTheme="minorHAnsi" w:eastAsiaTheme="minorHAnsi" w:hAnsiTheme="minorHAnsi" w:cstheme="minorBidi"/>
          <w:noProof/>
          <w:sz w:val="22"/>
          <w:szCs w:val="22"/>
          <w:lang w:eastAsia="en-US"/>
        </w:rPr>
        <w:t xml:space="preserve"> provision in and families are faced with a significant gap between when parental leave ends and affordable </w:t>
      </w:r>
      <w:r w:rsidR="008D52A6">
        <w:rPr>
          <w:rFonts w:asciiTheme="minorHAnsi" w:eastAsiaTheme="minorHAnsi" w:hAnsiTheme="minorHAnsi" w:cstheme="minorBidi"/>
          <w:noProof/>
          <w:sz w:val="22"/>
          <w:szCs w:val="22"/>
          <w:lang w:eastAsia="en-US"/>
        </w:rPr>
        <w:t>child care</w:t>
      </w:r>
      <w:r>
        <w:rPr>
          <w:rFonts w:asciiTheme="minorHAnsi" w:eastAsiaTheme="minorHAnsi" w:hAnsiTheme="minorHAnsi" w:cstheme="minorBidi"/>
          <w:noProof/>
          <w:sz w:val="22"/>
          <w:szCs w:val="22"/>
          <w:lang w:eastAsia="en-US"/>
        </w:rPr>
        <w:t xml:space="preserve"> for children is provided. The effect of a policy might be overestimated when studied in isolation as countries with one policy supportive of parents also tend to have other policies which also create a supportive environment for </w:t>
      </w:r>
      <w:r>
        <w:rPr>
          <w:rFonts w:asciiTheme="minorHAnsi" w:eastAsiaTheme="minorHAnsi" w:hAnsiTheme="minorHAnsi" w:cstheme="minorBidi"/>
          <w:noProof/>
          <w:sz w:val="22"/>
          <w:szCs w:val="22"/>
          <w:lang w:eastAsia="en-US"/>
        </w:rPr>
        <w:lastRenderedPageBreak/>
        <w:t xml:space="preserve">childbearing. Conversely, the effect of policies might also be underestimated if they have differential impacts across parities (for example no effect on first births but positive for second births) and these effects are averaged out by studies looking at aggregate fertilty outcomes such as completed number of children, or TFR. </w:t>
      </w:r>
    </w:p>
    <w:p w14:paraId="32F954DC" w14:textId="4BA757F7" w:rsidR="00293E5C" w:rsidRDefault="00293E5C" w:rsidP="00293E5C">
      <w:pPr>
        <w:spacing w:line="276" w:lineRule="auto"/>
        <w:jc w:val="both"/>
        <w:rPr>
          <w:noProof/>
        </w:rPr>
      </w:pPr>
      <w:r>
        <w:rPr>
          <w:noProof/>
        </w:rPr>
        <w:t>M</w:t>
      </w:r>
      <w:r w:rsidRPr="00F66520">
        <w:rPr>
          <w:noProof/>
        </w:rPr>
        <w:t xml:space="preserve">ost of the studies </w:t>
      </w:r>
      <w:r>
        <w:rPr>
          <w:noProof/>
        </w:rPr>
        <w:t>were</w:t>
      </w:r>
      <w:r w:rsidRPr="00F66520">
        <w:rPr>
          <w:noProof/>
        </w:rPr>
        <w:t xml:space="preserve"> only able to identify if there was a tempo effect </w:t>
      </w:r>
      <w:r>
        <w:rPr>
          <w:noProof/>
        </w:rPr>
        <w:t xml:space="preserve">on fertility </w:t>
      </w:r>
      <w:r w:rsidRPr="00F66520">
        <w:rPr>
          <w:noProof/>
        </w:rPr>
        <w:t xml:space="preserve">due to the long time that is needed for women to complete their reproductive years and have their completed family size measured.  </w:t>
      </w:r>
      <w:r>
        <w:rPr>
          <w:noProof/>
        </w:rPr>
        <w:t xml:space="preserve">As such although our understanding of how policies affect fertility in the long term is very limited. It is likely however that policies work over different time horizons. Some policies, such as baby bonuses may only have short-term effects as people bring forward the timing of births they were intending. However, even a policy that increases the tempo effect of fertility and leads people to bring forward births and have children earlier may have a subsequent positive effect on cohort fertility (Lutƶ &amp; Skirkbekk, 2005). Other policies, particularly earner-carer policies such as parental leave and </w:t>
      </w:r>
      <w:r w:rsidR="008D52A6">
        <w:rPr>
          <w:noProof/>
        </w:rPr>
        <w:t>child care</w:t>
      </w:r>
      <w:r>
        <w:rPr>
          <w:noProof/>
        </w:rPr>
        <w:t xml:space="preserve"> which support gender equality and work-family reconciliation may not make any immediate difference on fertility rates but may be paramount for supporting reproductive plans and larger family size in the long term (Sobokta, </w:t>
      </w:r>
      <w:r>
        <w:rPr>
          <w:i/>
          <w:iCs/>
          <w:noProof/>
        </w:rPr>
        <w:t>et al</w:t>
      </w:r>
      <w:r>
        <w:rPr>
          <w:noProof/>
        </w:rPr>
        <w:t>, 2020).</w:t>
      </w:r>
      <w:r w:rsidRPr="00F66520">
        <w:rPr>
          <w:noProof/>
        </w:rPr>
        <w:t xml:space="preserve"> </w:t>
      </w:r>
      <w:r>
        <w:rPr>
          <w:noProof/>
        </w:rPr>
        <w:t xml:space="preserve">One way to indirectly assess the long term impact of policies is to look at countries which implemented their policies a long time ago. In this way the Nordic countries that have generous paid parental leave and extensive provision of affordable high quality </w:t>
      </w:r>
      <w:r w:rsidR="008D52A6">
        <w:rPr>
          <w:noProof/>
        </w:rPr>
        <w:t>child care</w:t>
      </w:r>
      <w:r>
        <w:rPr>
          <w:noProof/>
        </w:rPr>
        <w:t xml:space="preserve"> can serve as a useful benchmark when making forecasts about the fertility that is likely to occur when a country orients itself towards the reconciliation of active labour force participation of women, and men to activities and responsibilities of childbearing (Andersson 2010, p. 214.) </w:t>
      </w:r>
    </w:p>
    <w:p w14:paraId="22394820" w14:textId="3C6D3911" w:rsidR="00293E5C" w:rsidRDefault="00293E5C" w:rsidP="00293E5C">
      <w:pPr>
        <w:pStyle w:val="NormalWeb"/>
        <w:shd w:val="clear" w:color="auto" w:fill="FEFEFE"/>
        <w:spacing w:line="276" w:lineRule="auto"/>
        <w:jc w:val="both"/>
        <w:rPr>
          <w:rFonts w:asciiTheme="minorHAnsi" w:eastAsiaTheme="minorHAnsi" w:hAnsiTheme="minorHAnsi" w:cstheme="minorBidi"/>
          <w:noProof/>
          <w:sz w:val="22"/>
          <w:szCs w:val="22"/>
          <w:lang w:eastAsia="en-US"/>
        </w:rPr>
      </w:pPr>
      <w:r>
        <w:rPr>
          <w:rFonts w:asciiTheme="minorHAnsi" w:eastAsiaTheme="minorHAnsi" w:hAnsiTheme="minorHAnsi" w:cstheme="minorBidi"/>
          <w:noProof/>
          <w:sz w:val="22"/>
          <w:szCs w:val="22"/>
          <w:lang w:eastAsia="en-US"/>
        </w:rPr>
        <w:t xml:space="preserve">Despite the methodological difficulties and caveats, in line with previous review studies (Thévenon &amp; Gauthier, 2011; Sobokta, </w:t>
      </w:r>
      <w:r>
        <w:rPr>
          <w:rFonts w:asciiTheme="minorHAnsi" w:eastAsiaTheme="minorHAnsi" w:hAnsiTheme="minorHAnsi" w:cstheme="minorBidi"/>
          <w:i/>
          <w:noProof/>
          <w:sz w:val="22"/>
          <w:szCs w:val="22"/>
          <w:lang w:eastAsia="en-US"/>
        </w:rPr>
        <w:t>et al.,</w:t>
      </w:r>
      <w:r>
        <w:rPr>
          <w:rFonts w:asciiTheme="minorHAnsi" w:eastAsiaTheme="minorHAnsi" w:hAnsiTheme="minorHAnsi" w:cstheme="minorBidi"/>
          <w:noProof/>
          <w:sz w:val="22"/>
          <w:szCs w:val="22"/>
          <w:lang w:eastAsia="en-US"/>
        </w:rPr>
        <w:t xml:space="preserve"> 2020; Lopoo &amp; Raissian, 2018) we find that policies which support work-family reconciliation including parental leave and in particular increased </w:t>
      </w:r>
      <w:r w:rsidR="008D52A6">
        <w:rPr>
          <w:rFonts w:asciiTheme="minorHAnsi" w:eastAsiaTheme="minorHAnsi" w:hAnsiTheme="minorHAnsi" w:cstheme="minorBidi"/>
          <w:noProof/>
          <w:sz w:val="22"/>
          <w:szCs w:val="22"/>
          <w:lang w:eastAsia="en-US"/>
        </w:rPr>
        <w:t>child care</w:t>
      </w:r>
      <w:r>
        <w:rPr>
          <w:rFonts w:asciiTheme="minorHAnsi" w:eastAsiaTheme="minorHAnsi" w:hAnsiTheme="minorHAnsi" w:cstheme="minorBidi"/>
          <w:noProof/>
          <w:sz w:val="22"/>
          <w:szCs w:val="22"/>
          <w:lang w:eastAsia="en-US"/>
        </w:rPr>
        <w:t xml:space="preserve"> availability and affordability appeared most consistently linked to fertility gains in other countries. This matches what we know about work-family incompatibility being a major obstacle for further childbearing. While the primary aim of these policies may be to increase productivity and increased labour force participation, as well as in the case of early childhood education to provide developmental benefits to children, these policies can increase fertility by enhancing work-family balance and lowering the opportunity cost of childbearing, especially for women. Financial transfers can also assist with the direct costs of raising children and are an important part of the vertical equity to assist low-income families. However, compared to the lifetime costs of children, financial transfers generally only play a minor role, unless they are very generous. </w:t>
      </w:r>
    </w:p>
    <w:p w14:paraId="0A90C30D" w14:textId="77777777" w:rsidR="00293E5C" w:rsidRDefault="00293E5C" w:rsidP="00293E5C">
      <w:pPr>
        <w:spacing w:line="276" w:lineRule="auto"/>
        <w:jc w:val="both"/>
        <w:rPr>
          <w:bCs/>
          <w:i/>
          <w:iCs/>
          <w:noProof/>
        </w:rPr>
      </w:pPr>
      <w:r>
        <w:rPr>
          <w:bCs/>
          <w:i/>
          <w:iCs/>
          <w:noProof/>
        </w:rPr>
        <w:t>Helping the childless become parents, or parents to have more children?</w:t>
      </w:r>
    </w:p>
    <w:p w14:paraId="6E9791E0" w14:textId="5421BFD0" w:rsidR="00293E5C" w:rsidRDefault="00293E5C" w:rsidP="00293E5C">
      <w:pPr>
        <w:spacing w:line="276" w:lineRule="auto"/>
      </w:pPr>
      <w:r>
        <w:rPr>
          <w:noProof/>
        </w:rPr>
        <w:t xml:space="preserve">As mentioned, the decision and motivation to have a first birth, and the motivation for people who are parents to have more children are different and are also likely to react differently to policies. Unfortunately, </w:t>
      </w:r>
      <w:r>
        <w:t xml:space="preserve">few studies explicitly examined differences in whether fertility changes as a result of specific policies occurred at the intensive margin, i.e. parents having more children, or the extensive margin, i.e. childless people becoming parents </w:t>
      </w:r>
      <w:r>
        <w:rPr>
          <w:noProof/>
        </w:rPr>
        <w:t>(Lopoo &amp; Raissian, 2018)</w:t>
      </w:r>
      <w:r>
        <w:t xml:space="preserve">. Therefore, knowledge of how parents versus childless people react to general policies including parental leave, </w:t>
      </w:r>
      <w:r w:rsidR="008D52A6">
        <w:t>child care</w:t>
      </w:r>
      <w:r>
        <w:t xml:space="preserve"> and financial transfers is somewhat limited. </w:t>
      </w:r>
    </w:p>
    <w:p w14:paraId="47C43B81" w14:textId="50A51E98" w:rsidR="00293E5C" w:rsidRDefault="00293E5C" w:rsidP="00293E5C">
      <w:pPr>
        <w:spacing w:line="276" w:lineRule="auto"/>
        <w:rPr>
          <w:noProof/>
        </w:rPr>
      </w:pPr>
      <w:r>
        <w:rPr>
          <w:noProof/>
        </w:rPr>
        <w:lastRenderedPageBreak/>
        <w:t xml:space="preserve">Harknett, </w:t>
      </w:r>
      <w:r>
        <w:rPr>
          <w:i/>
          <w:noProof/>
        </w:rPr>
        <w:t>et al.</w:t>
      </w:r>
      <w:r>
        <w:rPr>
          <w:noProof/>
        </w:rPr>
        <w:t xml:space="preserve">  (2014) suggest that parents may put more weight on practical considerations and, therefore higher-order births may be more responsive to policy influences.  A</w:t>
      </w:r>
      <w:r>
        <w:t xml:space="preserve"> recent study that aimed to identify specific target groups that would be the most cost-effective for pronatalist policy targets in Australia </w:t>
      </w:r>
      <w:r>
        <w:rPr>
          <w:noProof/>
        </w:rPr>
        <w:t xml:space="preserve">(Chen, </w:t>
      </w:r>
      <w:r>
        <w:rPr>
          <w:i/>
          <w:noProof/>
        </w:rPr>
        <w:t>et al.</w:t>
      </w:r>
      <w:r>
        <w:rPr>
          <w:noProof/>
        </w:rPr>
        <w:t xml:space="preserve"> 2019)</w:t>
      </w:r>
      <w:r>
        <w:t xml:space="preserve"> suggested that targeting parents who already had two children, would be more cost-effective than lower parities because the marginal cost of an additional child declines as the number of children increases. </w:t>
      </w:r>
      <w:r>
        <w:rPr>
          <w:noProof/>
        </w:rPr>
        <w:t xml:space="preserve">Wood and Neels </w:t>
      </w:r>
      <w:sdt>
        <w:sdtPr>
          <w:rPr>
            <w:noProof/>
          </w:rPr>
          <w:id w:val="1233039014"/>
          <w:citation/>
        </w:sdtPr>
        <w:sdtEndPr/>
        <w:sdtContent>
          <w:r>
            <w:rPr>
              <w:noProof/>
            </w:rPr>
            <w:fldChar w:fldCharType="begin"/>
          </w:r>
          <w:r>
            <w:rPr>
              <w:noProof/>
            </w:rPr>
            <w:instrText xml:space="preserve">CITATION Woo19 \n  \t  \l 3081 </w:instrText>
          </w:r>
          <w:r>
            <w:rPr>
              <w:noProof/>
            </w:rPr>
            <w:fldChar w:fldCharType="separate"/>
          </w:r>
          <w:r w:rsidR="00BE2DD4">
            <w:rPr>
              <w:noProof/>
            </w:rPr>
            <w:t>(2019)</w:t>
          </w:r>
          <w:r>
            <w:rPr>
              <w:noProof/>
            </w:rPr>
            <w:fldChar w:fldCharType="end"/>
          </w:r>
        </w:sdtContent>
      </w:sdt>
      <w:r>
        <w:rPr>
          <w:noProof/>
        </w:rPr>
        <w:t xml:space="preserve"> suggest that, higher-order births may be </w:t>
      </w:r>
      <w:r>
        <w:rPr>
          <w:i/>
          <w:iCs/>
          <w:noProof/>
        </w:rPr>
        <w:t>less</w:t>
      </w:r>
      <w:r>
        <w:rPr>
          <w:noProof/>
        </w:rPr>
        <w:t xml:space="preserve"> responsive from a tempo-perspective because for parents their timing is less-flexible if they want to provide a first born a sibling they are likely to want to do this within a particular time frame, to avoid approaching an advanced age. </w:t>
      </w:r>
    </w:p>
    <w:p w14:paraId="4E2BAAE4" w14:textId="007619C3" w:rsidR="00293E5C" w:rsidRDefault="00293E5C" w:rsidP="00293E5C">
      <w:pPr>
        <w:spacing w:line="276" w:lineRule="auto"/>
        <w:jc w:val="both"/>
      </w:pPr>
      <w:r>
        <w:rPr>
          <w:noProof/>
        </w:rPr>
        <w:t xml:space="preserve">In contrast to parents, childless people (potential parents) have incomplete information. Parents on the other hand have already lived throught the experience of having a child and the complicated choices regarding negotiating household division of labour and paid employment (Billingsley &amp; Ferrarini, 2014). Childless people’s understanding of the direct and indirect costs of children are likely to be coming from their friends, colleagues and relatives, so experiences of </w:t>
      </w:r>
      <w:r w:rsidR="008D52A6">
        <w:rPr>
          <w:noProof/>
        </w:rPr>
        <w:t>child care</w:t>
      </w:r>
      <w:r>
        <w:rPr>
          <w:noProof/>
        </w:rPr>
        <w:t xml:space="preserve"> and parental leave are likely to flow on to potential parents through those peer networks.  A recent study in Australia highlighted that for many young women, observing the difficulties faced by their female peers who were mothers in combining work and family life, or experiencing stalled careers,  was an influence in their own uncertainty about having children in the future (Hill, </w:t>
      </w:r>
      <w:r>
        <w:rPr>
          <w:i/>
          <w:noProof/>
        </w:rPr>
        <w:t>et al.</w:t>
      </w:r>
      <w:r>
        <w:rPr>
          <w:noProof/>
        </w:rPr>
        <w:t xml:space="preserve"> 2019). </w:t>
      </w:r>
      <w:r>
        <w:rPr>
          <w:rFonts w:ascii="Arial" w:hAnsi="Arial" w:cs="Arial"/>
          <w:color w:val="333333"/>
          <w:shd w:val="clear" w:color="auto" w:fill="FFFFFF"/>
        </w:rPr>
        <w:t xml:space="preserve"> </w:t>
      </w:r>
      <w:r>
        <w:rPr>
          <w:noProof/>
        </w:rPr>
        <w:t xml:space="preserve">These potential parents may be more likely to be influenced by ‘announcement effects’ of major policies and hence respond to new policy initiatives or packaging (Bergsvik, </w:t>
      </w:r>
      <w:r w:rsidRPr="001D738E">
        <w:rPr>
          <w:i/>
          <w:iCs/>
          <w:noProof/>
        </w:rPr>
        <w:t>et al</w:t>
      </w:r>
      <w:r>
        <w:rPr>
          <w:noProof/>
        </w:rPr>
        <w:t>. 2020)</w:t>
      </w:r>
      <w:r>
        <w:t xml:space="preserve">. </w:t>
      </w:r>
    </w:p>
    <w:p w14:paraId="7C47BD4C" w14:textId="2F8363BB" w:rsidR="00293E5C" w:rsidRDefault="00293E5C" w:rsidP="00293E5C">
      <w:pPr>
        <w:spacing w:line="276" w:lineRule="auto"/>
        <w:jc w:val="both"/>
        <w:rPr>
          <w:i/>
        </w:rPr>
      </w:pPr>
      <w:r>
        <w:t xml:space="preserve">If the aim of a particular policy is to increase fertility in general, then targeting higher-order births may be most cost-effective. However, if low fertility is seen as an individual citizen welfare issue, i.e. that people are not able to achieve the number of children they desire, or feel they need to postpone childbearing, then priority should be placed on those trying to become parents or who may have just one child.  As Bernardi </w:t>
      </w:r>
      <w:r w:rsidR="00BC2F62">
        <w:rPr>
          <w:noProof/>
        </w:rPr>
        <w:t>(2005, p.127)</w:t>
      </w:r>
      <w:r>
        <w:t xml:space="preserve">  states  ‘</w:t>
      </w:r>
      <w:r>
        <w:rPr>
          <w:i/>
          <w:iCs/>
        </w:rPr>
        <w:t>for someone who wishes to have children, being able to have the first child implies a welfare increase that is reasonably higher than that for someone who moves from the second to third child, or third child to the fourth one’</w:t>
      </w:r>
      <w:r>
        <w:t xml:space="preserve">. From this perspective, the importance of policies around ART is also clear. </w:t>
      </w:r>
    </w:p>
    <w:p w14:paraId="67360FF5" w14:textId="77777777" w:rsidR="00293E5C" w:rsidRDefault="00293E5C" w:rsidP="00293E5C">
      <w:pPr>
        <w:pBdr>
          <w:bottom w:val="single" w:sz="4" w:space="1" w:color="ED7D31" w:themeColor="accent2"/>
        </w:pBdr>
        <w:spacing w:line="276" w:lineRule="auto"/>
        <w:jc w:val="both"/>
        <w:rPr>
          <w:noProof/>
        </w:rPr>
      </w:pPr>
      <w:r w:rsidRPr="00460917">
        <w:rPr>
          <w:noProof/>
        </w:rPr>
        <w:t>While policies themse</w:t>
      </w:r>
      <w:r>
        <w:rPr>
          <w:noProof/>
        </w:rPr>
        <w:t>lve</w:t>
      </w:r>
      <w:r w:rsidRPr="00460917">
        <w:rPr>
          <w:noProof/>
        </w:rPr>
        <w:t xml:space="preserve">s confirm existing norms, they also have the capacity to shape them further (Sobokta, </w:t>
      </w:r>
      <w:r w:rsidRPr="00D97D5B">
        <w:rPr>
          <w:i/>
          <w:iCs/>
          <w:noProof/>
        </w:rPr>
        <w:t>et al</w:t>
      </w:r>
      <w:r w:rsidRPr="00460917">
        <w:rPr>
          <w:noProof/>
        </w:rPr>
        <w:t xml:space="preserve">., 2020). Policies such as Dad and Partner Pay signal what kind of behaviour is supported by the government and therefore also have an important impact on the level of perception (Neyer &amp; Andersson, 2008). However, as evidenced by the low uptake of the Dad and Partner Pay, policies are unlikely to succeed unless they are accompanied by a shift in social attitudes and expectations. Developing a culture of a family-friendly society and gender equitable social norms takes time and is a long-term commitment (Hoem, 2008). When Sweden first introduced shared leave for fathers in the 1970s the uptake was </w:t>
      </w:r>
      <w:r>
        <w:rPr>
          <w:noProof/>
        </w:rPr>
        <w:t>very</w:t>
      </w:r>
      <w:r w:rsidRPr="00460917">
        <w:rPr>
          <w:noProof/>
        </w:rPr>
        <w:t xml:space="preserve"> low but in the last  five decades, along with further reforms and incentives for fathers this has increased substant</w:t>
      </w:r>
      <w:r>
        <w:rPr>
          <w:noProof/>
        </w:rPr>
        <w:t>ially</w:t>
      </w:r>
      <w:r w:rsidRPr="00460917">
        <w:rPr>
          <w:noProof/>
        </w:rPr>
        <w:t xml:space="preserve"> </w:t>
      </w:r>
      <w:r>
        <w:rPr>
          <w:noProof/>
        </w:rPr>
        <w:t xml:space="preserve">with fathers now taking one quarter of all parental leave days </w:t>
      </w:r>
      <w:r w:rsidRPr="00460917">
        <w:rPr>
          <w:noProof/>
        </w:rPr>
        <w:t>(</w:t>
      </w:r>
      <w:r>
        <w:rPr>
          <w:noProof/>
        </w:rPr>
        <w:t>Duvander and Ferrarini 2013</w:t>
      </w:r>
      <w:r w:rsidRPr="00460917">
        <w:rPr>
          <w:noProof/>
        </w:rPr>
        <w:t>).</w:t>
      </w:r>
      <w:r>
        <w:rPr>
          <w:noProof/>
        </w:rPr>
        <w:t xml:space="preserve"> </w:t>
      </w:r>
      <w:r w:rsidRPr="00460917">
        <w:rPr>
          <w:noProof/>
        </w:rPr>
        <w:t>Developing a family-friendly society also requires deliberate nurturing by the state (Hoem, 2008).  This is evident in South Korea’s new policy paradigm to tackle its falling birth rate. Despite implementing various policies in the recent past</w:t>
      </w:r>
      <w:r>
        <w:rPr>
          <w:noProof/>
        </w:rPr>
        <w:t>,</w:t>
      </w:r>
      <w:r w:rsidRPr="00460917">
        <w:rPr>
          <w:noProof/>
        </w:rPr>
        <w:t xml:space="preserve"> including generous child paternity leave, there was little uptake. The government’s focus has now shifted to creating a ‘child-friendly’ society with a focus on improving quality of life overall and establishing gender equality </w:t>
      </w:r>
      <w:r w:rsidRPr="00460917">
        <w:rPr>
          <w:noProof/>
        </w:rPr>
        <w:lastRenderedPageBreak/>
        <w:t>(Presidential Committee on Ageing Society and Population Policy, 2021), and it is actively trying to tackle social norms such as long work hours by implementing a new shorter work week (Chan, 2018).</w:t>
      </w:r>
    </w:p>
    <w:p w14:paraId="200F13E1" w14:textId="64A767D3" w:rsidR="00293E5C" w:rsidRDefault="00293E5C" w:rsidP="00293E5C">
      <w:pPr>
        <w:spacing w:line="276" w:lineRule="auto"/>
        <w:jc w:val="both"/>
      </w:pPr>
      <w:r>
        <w:t xml:space="preserve">Policies designed to support reproductive choices also need to be supported across the political spectrum to ensure their stability and continuity </w:t>
      </w:r>
      <w:r>
        <w:rPr>
          <w:noProof/>
        </w:rPr>
        <w:t>(OECD, 2019)</w:t>
      </w:r>
      <w:r>
        <w:t xml:space="preserve">. Children are a life-long commitment and generally require support for at least 18 years. Hesitations about having children can be alleviated if people have confidence and trust that policies to support them will remain in force and not constantly change over time (Thévenon &amp; Gauthier, 2011; Toulemon, 2011; Sobotka, </w:t>
      </w:r>
      <w:r w:rsidRPr="00352137">
        <w:rPr>
          <w:i/>
          <w:iCs/>
        </w:rPr>
        <w:t>et al</w:t>
      </w:r>
      <w:r>
        <w:t xml:space="preserve">. 2020). Simple and clear family policies which can be easily understood, can also have an important role in signalling to the population that governments care about families and their wellbeing (Sobotka, </w:t>
      </w:r>
      <w:r w:rsidRPr="00A65A38">
        <w:rPr>
          <w:i/>
          <w:iCs/>
        </w:rPr>
        <w:t>et al</w:t>
      </w:r>
      <w:r>
        <w:t xml:space="preserve">. 2020) and that children are valued. </w:t>
      </w:r>
      <w:r w:rsidRPr="00460917">
        <w:rPr>
          <w:noProof/>
        </w:rPr>
        <w:t>This was evident with the Baby Bonus which many parents, and potential parents, perceived as signalling the importance they have to society.</w:t>
      </w:r>
      <w:r>
        <w:rPr>
          <w:noProof/>
        </w:rPr>
        <w:t xml:space="preserve"> </w:t>
      </w:r>
      <w:r>
        <w:t xml:space="preserve">By creating a child-friendly society with policies oriented towards gender equality (Toulemon, 2011) and supporting women to reconcile work and family including by investing in paid parental leave for mothers and fathers, and making high quality </w:t>
      </w:r>
      <w:r w:rsidR="008D52A6">
        <w:t>child care</w:t>
      </w:r>
      <w:r>
        <w:t xml:space="preserve"> more affordable, there is scope to increase fertility by reducing the gap between the number of children </w:t>
      </w:r>
      <w:r w:rsidR="0049153D">
        <w:t xml:space="preserve">men and women </w:t>
      </w:r>
      <w:r>
        <w:t>want, and the number they have.</w:t>
      </w:r>
    </w:p>
    <w:p w14:paraId="03A80388" w14:textId="77777777" w:rsidR="00293E5C" w:rsidRDefault="00293E5C" w:rsidP="00293E5C">
      <w:pPr>
        <w:spacing w:after="0" w:line="276" w:lineRule="auto"/>
      </w:pPr>
    </w:p>
    <w:p w14:paraId="03F63E2B" w14:textId="77777777" w:rsidR="009B7272" w:rsidRDefault="009B7272" w:rsidP="00293E5C">
      <w:pPr>
        <w:spacing w:after="0" w:line="276" w:lineRule="auto"/>
      </w:pPr>
    </w:p>
    <w:p w14:paraId="0CF7F34C" w14:textId="77777777" w:rsidR="009B7272" w:rsidRDefault="009B7272" w:rsidP="007C5778">
      <w:pPr>
        <w:rPr>
          <w:rFonts w:asciiTheme="majorHAnsi" w:eastAsiaTheme="majorEastAsia" w:hAnsiTheme="majorHAnsi"/>
          <w:spacing w:val="-10"/>
          <w:kern w:val="28"/>
          <w:sz w:val="56"/>
          <w:szCs w:val="56"/>
        </w:rPr>
      </w:pPr>
      <w:r>
        <w:br w:type="page"/>
      </w:r>
    </w:p>
    <w:p w14:paraId="18BBA255" w14:textId="23CC5CCA" w:rsidR="009B7272" w:rsidRDefault="009B7272" w:rsidP="00243674">
      <w:pPr>
        <w:pStyle w:val="Heading1"/>
        <w:numPr>
          <w:ilvl w:val="0"/>
          <w:numId w:val="0"/>
        </w:numPr>
        <w:pBdr>
          <w:bottom w:val="single" w:sz="4" w:space="1" w:color="ED7D31" w:themeColor="accent2"/>
        </w:pBdr>
        <w:ind w:left="432" w:hanging="432"/>
        <w:rPr>
          <w:sz w:val="56"/>
          <w:szCs w:val="56"/>
        </w:rPr>
      </w:pPr>
      <w:bookmarkStart w:id="153" w:name="_Toc87454633"/>
      <w:bookmarkStart w:id="154" w:name="_Toc98404980"/>
      <w:r w:rsidRPr="00AC6A56">
        <w:rPr>
          <w:sz w:val="56"/>
          <w:szCs w:val="56"/>
        </w:rPr>
        <w:lastRenderedPageBreak/>
        <w:t>PART 2: HILDA ANALYSIS</w:t>
      </w:r>
      <w:bookmarkEnd w:id="153"/>
      <w:bookmarkEnd w:id="154"/>
    </w:p>
    <w:p w14:paraId="69C0F50E" w14:textId="56150901" w:rsidR="00244248" w:rsidRDefault="00244248" w:rsidP="00066A13">
      <w:pPr>
        <w:pStyle w:val="Heading1"/>
      </w:pPr>
      <w:bookmarkStart w:id="155" w:name="_Toc87454634"/>
      <w:bookmarkStart w:id="156" w:name="_Toc98404981"/>
      <w:r>
        <w:t>Analysis of HILDA data: policy analysis and fertility</w:t>
      </w:r>
      <w:bookmarkEnd w:id="155"/>
      <w:bookmarkEnd w:id="156"/>
    </w:p>
    <w:p w14:paraId="0F80FE50" w14:textId="77777777" w:rsidR="00E55341" w:rsidRDefault="00E55341" w:rsidP="00244248">
      <w:pPr>
        <w:rPr>
          <w:lang w:eastAsia="en-GB"/>
        </w:rPr>
      </w:pPr>
    </w:p>
    <w:p w14:paraId="2A8605D6" w14:textId="3D01F782" w:rsidR="00244248" w:rsidRDefault="00244248" w:rsidP="00244248">
      <w:pPr>
        <w:rPr>
          <w:lang w:eastAsia="en-GB"/>
        </w:rPr>
      </w:pPr>
      <w:r>
        <w:rPr>
          <w:lang w:eastAsia="en-GB"/>
        </w:rPr>
        <w:t>Key points</w:t>
      </w:r>
    </w:p>
    <w:p w14:paraId="729A9DDC" w14:textId="77777777" w:rsidR="00244248" w:rsidRDefault="00244248" w:rsidP="00244248">
      <w:pPr>
        <w:pStyle w:val="ListParagraph"/>
        <w:numPr>
          <w:ilvl w:val="0"/>
          <w:numId w:val="36"/>
        </w:numPr>
        <w:jc w:val="both"/>
        <w:rPr>
          <w:lang w:eastAsia="en-GB"/>
        </w:rPr>
      </w:pPr>
      <w:r>
        <w:rPr>
          <w:lang w:eastAsia="en-GB"/>
        </w:rPr>
        <w:t>Analysis is based on the Household, Income and Labour Dynamics in Australia (HILDA) panel study</w:t>
      </w:r>
    </w:p>
    <w:p w14:paraId="30A6E6D3" w14:textId="77777777" w:rsidR="00244248" w:rsidRDefault="00244248" w:rsidP="00244248">
      <w:pPr>
        <w:pStyle w:val="ListParagraph"/>
        <w:numPr>
          <w:ilvl w:val="0"/>
          <w:numId w:val="36"/>
        </w:numPr>
        <w:jc w:val="both"/>
        <w:rPr>
          <w:lang w:eastAsia="en-GB"/>
        </w:rPr>
      </w:pPr>
      <w:r>
        <w:rPr>
          <w:lang w:eastAsia="en-GB"/>
        </w:rPr>
        <w:t>Four policy changes are considered: the baby bonus program, paid parental leave, dad and partner pay, and family tax benefit reform</w:t>
      </w:r>
    </w:p>
    <w:p w14:paraId="0DF207B2" w14:textId="62A8EC7F" w:rsidR="00244248" w:rsidRDefault="00244248" w:rsidP="00244248">
      <w:pPr>
        <w:pStyle w:val="ListParagraph"/>
        <w:numPr>
          <w:ilvl w:val="0"/>
          <w:numId w:val="36"/>
        </w:numPr>
        <w:jc w:val="both"/>
        <w:rPr>
          <w:lang w:eastAsia="en-GB"/>
        </w:rPr>
      </w:pPr>
      <w:r>
        <w:rPr>
          <w:lang w:eastAsia="en-GB"/>
        </w:rPr>
        <w:t>Due to the eligibility rules of the policies, the analytical methods used are quasi-experimental, mainly using a difference-in-difference implementation strategy</w:t>
      </w:r>
    </w:p>
    <w:p w14:paraId="0585AF23" w14:textId="10E7BBCA" w:rsidR="00E55341" w:rsidRDefault="00E55341" w:rsidP="00244248">
      <w:pPr>
        <w:pStyle w:val="ListParagraph"/>
        <w:numPr>
          <w:ilvl w:val="0"/>
          <w:numId w:val="36"/>
        </w:numPr>
        <w:jc w:val="both"/>
        <w:rPr>
          <w:lang w:eastAsia="en-GB"/>
        </w:rPr>
      </w:pPr>
      <w:r>
        <w:rPr>
          <w:lang w:eastAsia="en-GB"/>
        </w:rPr>
        <w:t>Internal and external validity are both questionable in these results so caution should be exercised in interpreting them as causal impacts and the quantitative estimates should not be viewed as being directly comparable.</w:t>
      </w:r>
    </w:p>
    <w:p w14:paraId="191DDF61" w14:textId="77777777" w:rsidR="00244248" w:rsidRDefault="00244248" w:rsidP="00244248">
      <w:pPr>
        <w:pStyle w:val="ListParagraph"/>
        <w:numPr>
          <w:ilvl w:val="0"/>
          <w:numId w:val="36"/>
        </w:numPr>
        <w:jc w:val="both"/>
        <w:rPr>
          <w:lang w:eastAsia="en-GB"/>
        </w:rPr>
      </w:pPr>
      <w:r>
        <w:rPr>
          <w:lang w:eastAsia="en-GB"/>
        </w:rPr>
        <w:t>It is estimated that there was an increase of around 3% in first births following the implementation of the baby bonus</w:t>
      </w:r>
    </w:p>
    <w:p w14:paraId="2A0F4A0E" w14:textId="6D9D9AB0" w:rsidR="00244248" w:rsidRDefault="00244248" w:rsidP="00244248">
      <w:pPr>
        <w:pStyle w:val="ListParagraph"/>
        <w:numPr>
          <w:ilvl w:val="0"/>
          <w:numId w:val="36"/>
        </w:numPr>
        <w:jc w:val="both"/>
        <w:rPr>
          <w:lang w:eastAsia="en-GB"/>
        </w:rPr>
      </w:pPr>
      <w:r>
        <w:t xml:space="preserve">The introduction of paid parental leave led to an estimated </w:t>
      </w:r>
      <w:r w:rsidR="00BA1B81">
        <w:t xml:space="preserve">5% increase in the difference between births </w:t>
      </w:r>
      <w:r w:rsidR="004D5B81">
        <w:t>in</w:t>
      </w:r>
      <w:r w:rsidR="00BA1B81">
        <w:t xml:space="preserve"> the treatment group </w:t>
      </w:r>
      <w:r w:rsidR="00BA1B81">
        <w:rPr>
          <w:lang w:eastAsia="en-GB"/>
        </w:rPr>
        <w:t>compared to the control group</w:t>
      </w:r>
      <w:r w:rsidR="00BA1B81">
        <w:t xml:space="preserve">, but this is due to a decline in births </w:t>
      </w:r>
      <w:r w:rsidR="004D5B81">
        <w:t>in</w:t>
      </w:r>
      <w:r w:rsidR="00BA1B81">
        <w:t xml:space="preserve"> the control group rather than an increase in births f</w:t>
      </w:r>
      <w:r w:rsidR="004D5B81">
        <w:t>or</w:t>
      </w:r>
      <w:r w:rsidR="00BA1B81">
        <w:t xml:space="preserve"> the treatment group.</w:t>
      </w:r>
      <w:r>
        <w:t xml:space="preserve"> </w:t>
      </w:r>
    </w:p>
    <w:p w14:paraId="2798CF4F" w14:textId="5917A26F" w:rsidR="00244248" w:rsidRPr="004C245B" w:rsidRDefault="00BA1B81" w:rsidP="00244248">
      <w:pPr>
        <w:pStyle w:val="ListParagraph"/>
        <w:numPr>
          <w:ilvl w:val="0"/>
          <w:numId w:val="36"/>
        </w:numPr>
        <w:jc w:val="both"/>
        <w:rPr>
          <w:lang w:eastAsia="en-GB"/>
        </w:rPr>
      </w:pPr>
      <w:r>
        <w:t xml:space="preserve">The introduction of </w:t>
      </w:r>
      <w:r w:rsidR="00244248" w:rsidRPr="004C245B">
        <w:t xml:space="preserve">Dad and Partner Pay </w:t>
      </w:r>
      <w:r w:rsidR="004C245B" w:rsidRPr="004C245B">
        <w:t xml:space="preserve">led to an estimated 3% increase in </w:t>
      </w:r>
      <w:r>
        <w:t xml:space="preserve">the difference between </w:t>
      </w:r>
      <w:r w:rsidR="004C245B" w:rsidRPr="004C245B">
        <w:t>births</w:t>
      </w:r>
      <w:r>
        <w:t xml:space="preserve"> of the treatment group compared to the control group, but as seen for paid parental leave, this is due to a decline in births </w:t>
      </w:r>
      <w:r w:rsidR="004D5B81">
        <w:t>in</w:t>
      </w:r>
      <w:r>
        <w:t xml:space="preserve"> the control group rather than an</w:t>
      </w:r>
      <w:r w:rsidR="004D5B81">
        <w:t>y</w:t>
      </w:r>
      <w:r>
        <w:t xml:space="preserve"> increase in births </w:t>
      </w:r>
      <w:r w:rsidR="004D5B81">
        <w:t>for</w:t>
      </w:r>
      <w:r>
        <w:t xml:space="preserve"> the treatment group</w:t>
      </w:r>
      <w:r w:rsidR="004C245B" w:rsidRPr="004C245B">
        <w:t>.</w:t>
      </w:r>
    </w:p>
    <w:p w14:paraId="2C55C378" w14:textId="77777777" w:rsidR="00244248" w:rsidRDefault="00244248" w:rsidP="00244248">
      <w:pPr>
        <w:pStyle w:val="ListParagraph"/>
        <w:numPr>
          <w:ilvl w:val="0"/>
          <w:numId w:val="36"/>
        </w:numPr>
        <w:jc w:val="both"/>
        <w:rPr>
          <w:lang w:eastAsia="en-GB"/>
        </w:rPr>
      </w:pPr>
      <w:r>
        <w:rPr>
          <w:lang w:eastAsia="en-GB"/>
        </w:rPr>
        <w:t>The family tax benefit reform led to an increase in childbearing desires, expectations and intentions</w:t>
      </w:r>
    </w:p>
    <w:p w14:paraId="7138AE27" w14:textId="73E05D54" w:rsidR="00244248" w:rsidRDefault="00BA1B81" w:rsidP="00244248">
      <w:pPr>
        <w:pStyle w:val="ListParagraph"/>
        <w:numPr>
          <w:ilvl w:val="0"/>
          <w:numId w:val="36"/>
        </w:numPr>
        <w:jc w:val="both"/>
        <w:rPr>
          <w:lang w:eastAsia="en-GB"/>
        </w:rPr>
      </w:pPr>
      <w:r>
        <w:rPr>
          <w:lang w:eastAsia="en-GB"/>
        </w:rPr>
        <w:t xml:space="preserve">Placebo tests </w:t>
      </w:r>
      <w:r w:rsidR="004D5B81">
        <w:rPr>
          <w:lang w:eastAsia="en-GB"/>
        </w:rPr>
        <w:t xml:space="preserve">show that there are significant differences in fertility movements between treatment and control groups even in non-policy change years.  This </w:t>
      </w:r>
      <w:r>
        <w:rPr>
          <w:lang w:eastAsia="en-GB"/>
        </w:rPr>
        <w:t>suggest</w:t>
      </w:r>
      <w:r w:rsidR="004D5B81">
        <w:rPr>
          <w:lang w:eastAsia="en-GB"/>
        </w:rPr>
        <w:t>s</w:t>
      </w:r>
      <w:r>
        <w:rPr>
          <w:lang w:eastAsia="en-GB"/>
        </w:rPr>
        <w:t xml:space="preserve"> that the results </w:t>
      </w:r>
      <w:r w:rsidR="004D5B81">
        <w:rPr>
          <w:lang w:eastAsia="en-GB"/>
        </w:rPr>
        <w:t>should not be interpreted as</w:t>
      </w:r>
      <w:r>
        <w:rPr>
          <w:lang w:eastAsia="en-GB"/>
        </w:rPr>
        <w:t xml:space="preserve"> a causal effect of the policies on childbearing behaviour</w:t>
      </w:r>
      <w:r w:rsidR="00244248">
        <w:rPr>
          <w:lang w:eastAsia="en-GB"/>
        </w:rPr>
        <w:t>.</w:t>
      </w:r>
    </w:p>
    <w:p w14:paraId="267E0D06" w14:textId="77777777" w:rsidR="00244248" w:rsidRDefault="00244248" w:rsidP="00244248">
      <w:pPr>
        <w:rPr>
          <w:lang w:eastAsia="en-GB"/>
        </w:rPr>
      </w:pPr>
    </w:p>
    <w:p w14:paraId="4CC66696" w14:textId="0D7DB455" w:rsidR="00244248" w:rsidRDefault="00244248" w:rsidP="00244248">
      <w:pPr>
        <w:rPr>
          <w:lang w:eastAsia="en-GB"/>
        </w:rPr>
      </w:pPr>
      <w:r w:rsidRPr="00A56D79">
        <w:rPr>
          <w:lang w:eastAsia="en-GB"/>
        </w:rPr>
        <w:t xml:space="preserve">The </w:t>
      </w:r>
      <w:r>
        <w:rPr>
          <w:lang w:eastAsia="en-GB"/>
        </w:rPr>
        <w:t xml:space="preserve">statistical </w:t>
      </w:r>
      <w:r w:rsidRPr="00A56D79">
        <w:rPr>
          <w:lang w:eastAsia="en-GB"/>
        </w:rPr>
        <w:t xml:space="preserve">analysis </w:t>
      </w:r>
      <w:r>
        <w:rPr>
          <w:lang w:eastAsia="en-GB"/>
        </w:rPr>
        <w:t>in this report examines the</w:t>
      </w:r>
      <w:r w:rsidRPr="00A56D79">
        <w:rPr>
          <w:lang w:eastAsia="en-GB"/>
        </w:rPr>
        <w:t xml:space="preserve"> effect of </w:t>
      </w:r>
      <w:r>
        <w:rPr>
          <w:lang w:eastAsia="en-GB"/>
        </w:rPr>
        <w:t>different policies</w:t>
      </w:r>
      <w:r w:rsidRPr="00A56D79">
        <w:rPr>
          <w:lang w:eastAsia="en-GB"/>
        </w:rPr>
        <w:t xml:space="preserve"> on fertility</w:t>
      </w:r>
      <w:r>
        <w:rPr>
          <w:lang w:eastAsia="en-GB"/>
        </w:rPr>
        <w:t xml:space="preserve"> outcomes,</w:t>
      </w:r>
      <w:r w:rsidRPr="00A56D79">
        <w:rPr>
          <w:lang w:eastAsia="en-GB"/>
        </w:rPr>
        <w:t xml:space="preserve"> fertility intentions and </w:t>
      </w:r>
      <w:r>
        <w:rPr>
          <w:lang w:eastAsia="en-GB"/>
        </w:rPr>
        <w:t xml:space="preserve">fertility </w:t>
      </w:r>
      <w:r w:rsidRPr="00A56D79">
        <w:rPr>
          <w:lang w:eastAsia="en-GB"/>
        </w:rPr>
        <w:t>expectations</w:t>
      </w:r>
      <w:r>
        <w:rPr>
          <w:lang w:eastAsia="en-GB"/>
        </w:rPr>
        <w:t xml:space="preserve">. </w:t>
      </w:r>
      <w:r w:rsidR="000324B9">
        <w:rPr>
          <w:lang w:eastAsia="en-GB"/>
        </w:rPr>
        <w:t xml:space="preserve">The literature review showed that the policies that have been most consistently associated with increases in fertility include </w:t>
      </w:r>
      <w:r w:rsidR="00AF1EAE">
        <w:rPr>
          <w:lang w:eastAsia="en-GB"/>
        </w:rPr>
        <w:t>financial transfers</w:t>
      </w:r>
      <w:r w:rsidR="000324B9">
        <w:rPr>
          <w:lang w:eastAsia="en-GB"/>
        </w:rPr>
        <w:t xml:space="preserve">, parental leave, and </w:t>
      </w:r>
      <w:r w:rsidR="008D52A6">
        <w:rPr>
          <w:lang w:eastAsia="en-GB"/>
        </w:rPr>
        <w:t>child care</w:t>
      </w:r>
      <w:r w:rsidR="000324B9">
        <w:rPr>
          <w:lang w:eastAsia="en-GB"/>
        </w:rPr>
        <w:t>. In this report, we consider the following policies which were implemented, or had a major change during the period of HILDA data collection (described below). The policies are:</w:t>
      </w:r>
    </w:p>
    <w:p w14:paraId="7CB8E4F6" w14:textId="314A0A9D" w:rsidR="000324B9" w:rsidRDefault="000324B9" w:rsidP="000324B9">
      <w:pPr>
        <w:pStyle w:val="ListParagraph"/>
        <w:numPr>
          <w:ilvl w:val="0"/>
          <w:numId w:val="40"/>
        </w:numPr>
        <w:rPr>
          <w:rFonts w:ascii="Calibri" w:eastAsia="Times New Roman" w:hAnsi="Calibri" w:cs="Calibri"/>
          <w:lang w:eastAsia="en-GB"/>
        </w:rPr>
      </w:pPr>
      <w:r>
        <w:rPr>
          <w:rFonts w:ascii="Calibri" w:eastAsia="Times New Roman" w:hAnsi="Calibri" w:cs="Calibri"/>
          <w:lang w:eastAsia="en-GB"/>
        </w:rPr>
        <w:t>B</w:t>
      </w:r>
      <w:r w:rsidRPr="000324B9">
        <w:rPr>
          <w:rFonts w:ascii="Calibri" w:eastAsia="Times New Roman" w:hAnsi="Calibri" w:cs="Calibri"/>
          <w:lang w:eastAsia="en-GB"/>
        </w:rPr>
        <w:t xml:space="preserve">aby bonus program </w:t>
      </w:r>
      <w:r>
        <w:rPr>
          <w:rFonts w:ascii="Calibri" w:eastAsia="Times New Roman" w:hAnsi="Calibri" w:cs="Calibri"/>
          <w:lang w:eastAsia="en-GB"/>
        </w:rPr>
        <w:t>(</w:t>
      </w:r>
      <w:r w:rsidR="00AF1EAE">
        <w:rPr>
          <w:rFonts w:ascii="Calibri" w:eastAsia="Times New Roman" w:hAnsi="Calibri" w:cs="Calibri"/>
          <w:lang w:eastAsia="en-GB"/>
        </w:rPr>
        <w:t>financial transfer</w:t>
      </w:r>
      <w:r>
        <w:rPr>
          <w:rFonts w:ascii="Calibri" w:eastAsia="Times New Roman" w:hAnsi="Calibri" w:cs="Calibri"/>
          <w:lang w:eastAsia="en-GB"/>
        </w:rPr>
        <w:t>)</w:t>
      </w:r>
    </w:p>
    <w:p w14:paraId="537B0005" w14:textId="728687FB" w:rsidR="000324B9" w:rsidRDefault="000324B9" w:rsidP="000324B9">
      <w:pPr>
        <w:pStyle w:val="ListParagraph"/>
        <w:numPr>
          <w:ilvl w:val="0"/>
          <w:numId w:val="40"/>
        </w:numPr>
        <w:rPr>
          <w:rFonts w:ascii="Calibri" w:eastAsia="Times New Roman" w:hAnsi="Calibri" w:cs="Calibri"/>
          <w:lang w:eastAsia="en-GB"/>
        </w:rPr>
      </w:pPr>
      <w:r>
        <w:rPr>
          <w:rFonts w:ascii="Calibri" w:eastAsia="Times New Roman" w:hAnsi="Calibri" w:cs="Calibri"/>
          <w:lang w:eastAsia="en-GB"/>
        </w:rPr>
        <w:t>P</w:t>
      </w:r>
      <w:r w:rsidRPr="000324B9">
        <w:rPr>
          <w:rFonts w:ascii="Calibri" w:eastAsia="Times New Roman" w:hAnsi="Calibri" w:cs="Calibri"/>
          <w:lang w:eastAsia="en-GB"/>
        </w:rPr>
        <w:t>aid parental leave</w:t>
      </w:r>
      <w:r>
        <w:rPr>
          <w:rFonts w:ascii="Calibri" w:eastAsia="Times New Roman" w:hAnsi="Calibri" w:cs="Calibri"/>
          <w:lang w:eastAsia="en-GB"/>
        </w:rPr>
        <w:t xml:space="preserve"> (parental leave)</w:t>
      </w:r>
    </w:p>
    <w:p w14:paraId="0257C686" w14:textId="77777777" w:rsidR="000324B9" w:rsidRDefault="000324B9" w:rsidP="000324B9">
      <w:pPr>
        <w:pStyle w:val="ListParagraph"/>
        <w:numPr>
          <w:ilvl w:val="0"/>
          <w:numId w:val="40"/>
        </w:numPr>
        <w:rPr>
          <w:rFonts w:ascii="Calibri" w:eastAsia="Times New Roman" w:hAnsi="Calibri" w:cs="Calibri"/>
          <w:lang w:eastAsia="en-GB"/>
        </w:rPr>
      </w:pPr>
      <w:r>
        <w:rPr>
          <w:rFonts w:ascii="Calibri" w:eastAsia="Times New Roman" w:hAnsi="Calibri" w:cs="Calibri"/>
          <w:lang w:eastAsia="en-GB"/>
        </w:rPr>
        <w:t>Dad and partner pay (parental leave)</w:t>
      </w:r>
    </w:p>
    <w:p w14:paraId="188FA7F5" w14:textId="65776CF7" w:rsidR="000324B9" w:rsidRDefault="000324B9" w:rsidP="000324B9">
      <w:pPr>
        <w:pStyle w:val="ListParagraph"/>
        <w:numPr>
          <w:ilvl w:val="0"/>
          <w:numId w:val="40"/>
        </w:numPr>
        <w:rPr>
          <w:rFonts w:ascii="Calibri" w:eastAsia="Times New Roman" w:hAnsi="Calibri" w:cs="Calibri"/>
          <w:lang w:eastAsia="en-GB"/>
        </w:rPr>
      </w:pPr>
      <w:r>
        <w:rPr>
          <w:rFonts w:ascii="Calibri" w:eastAsia="Times New Roman" w:hAnsi="Calibri" w:cs="Calibri"/>
          <w:lang w:eastAsia="en-GB"/>
        </w:rPr>
        <w:t>Family tax benefit reform (</w:t>
      </w:r>
      <w:r w:rsidR="00AF1EAE">
        <w:rPr>
          <w:rFonts w:ascii="Calibri" w:eastAsia="Times New Roman" w:hAnsi="Calibri" w:cs="Calibri"/>
          <w:lang w:eastAsia="en-GB"/>
        </w:rPr>
        <w:t>financial transfer</w:t>
      </w:r>
      <w:r>
        <w:rPr>
          <w:rFonts w:ascii="Calibri" w:eastAsia="Times New Roman" w:hAnsi="Calibri" w:cs="Calibri"/>
          <w:lang w:eastAsia="en-GB"/>
        </w:rPr>
        <w:t>)</w:t>
      </w:r>
    </w:p>
    <w:p w14:paraId="6285DD4E" w14:textId="4CCB7D3B" w:rsidR="000324B9" w:rsidRPr="000324B9" w:rsidRDefault="000324B9" w:rsidP="000324B9">
      <w:pPr>
        <w:rPr>
          <w:rFonts w:ascii="Calibri" w:eastAsia="Times New Roman" w:hAnsi="Calibri" w:cs="Calibri"/>
          <w:lang w:eastAsia="en-GB"/>
        </w:rPr>
      </w:pPr>
      <w:r>
        <w:rPr>
          <w:rFonts w:ascii="Calibri" w:eastAsia="Times New Roman" w:hAnsi="Calibri" w:cs="Calibri"/>
          <w:lang w:eastAsia="en-GB"/>
        </w:rPr>
        <w:t xml:space="preserve">In this report the analysis was not able to consider changes to </w:t>
      </w:r>
      <w:r w:rsidR="008D52A6">
        <w:rPr>
          <w:rFonts w:ascii="Calibri" w:eastAsia="Times New Roman" w:hAnsi="Calibri" w:cs="Calibri"/>
          <w:lang w:eastAsia="en-GB"/>
        </w:rPr>
        <w:t>child care</w:t>
      </w:r>
      <w:r>
        <w:rPr>
          <w:rFonts w:ascii="Calibri" w:eastAsia="Times New Roman" w:hAnsi="Calibri" w:cs="Calibri"/>
          <w:lang w:eastAsia="en-GB"/>
        </w:rPr>
        <w:t xml:space="preserve"> policy. This is because the </w:t>
      </w:r>
      <w:r w:rsidRPr="000324B9">
        <w:rPr>
          <w:rFonts w:ascii="Calibri" w:eastAsia="Times New Roman" w:hAnsi="Calibri" w:cs="Calibri"/>
          <w:lang w:eastAsia="en-GB"/>
        </w:rPr>
        <w:t xml:space="preserve">modelling of </w:t>
      </w:r>
      <w:r w:rsidR="008D52A6">
        <w:rPr>
          <w:rFonts w:ascii="Calibri" w:eastAsia="Times New Roman" w:hAnsi="Calibri" w:cs="Calibri"/>
          <w:lang w:eastAsia="en-GB"/>
        </w:rPr>
        <w:t>child care</w:t>
      </w:r>
      <w:r w:rsidRPr="000324B9">
        <w:rPr>
          <w:rFonts w:ascii="Calibri" w:eastAsia="Times New Roman" w:hAnsi="Calibri" w:cs="Calibri"/>
          <w:lang w:eastAsia="en-GB"/>
        </w:rPr>
        <w:t xml:space="preserve"> policy and fertility </w:t>
      </w:r>
      <w:r>
        <w:rPr>
          <w:rFonts w:ascii="Calibri" w:eastAsia="Times New Roman" w:hAnsi="Calibri" w:cs="Calibri"/>
          <w:lang w:eastAsia="en-GB"/>
        </w:rPr>
        <w:t>did not meet the conditions for analysis</w:t>
      </w:r>
      <w:r w:rsidRPr="000324B9">
        <w:rPr>
          <w:rFonts w:ascii="Calibri" w:eastAsia="Times New Roman" w:hAnsi="Calibri" w:cs="Calibri"/>
          <w:lang w:eastAsia="en-GB"/>
        </w:rPr>
        <w:t xml:space="preserve">, for two main reasons. The first is that the earlier changes to </w:t>
      </w:r>
      <w:r w:rsidR="008D52A6">
        <w:rPr>
          <w:rFonts w:ascii="Calibri" w:eastAsia="Times New Roman" w:hAnsi="Calibri" w:cs="Calibri"/>
          <w:lang w:eastAsia="en-GB"/>
        </w:rPr>
        <w:t>child care</w:t>
      </w:r>
      <w:r w:rsidRPr="000324B9">
        <w:rPr>
          <w:rFonts w:ascii="Calibri" w:eastAsia="Times New Roman" w:hAnsi="Calibri" w:cs="Calibri"/>
          <w:lang w:eastAsia="en-GB"/>
        </w:rPr>
        <w:t xml:space="preserve"> (</w:t>
      </w:r>
      <w:r w:rsidR="00176AF6">
        <w:rPr>
          <w:rFonts w:ascii="Calibri" w:eastAsia="Times New Roman" w:hAnsi="Calibri" w:cs="Calibri"/>
          <w:lang w:eastAsia="en-GB"/>
        </w:rPr>
        <w:t>Child Care Benefit and Rebate</w:t>
      </w:r>
      <w:r w:rsidRPr="000324B9">
        <w:rPr>
          <w:rFonts w:ascii="Calibri" w:eastAsia="Times New Roman" w:hAnsi="Calibri" w:cs="Calibri"/>
          <w:lang w:eastAsia="en-GB"/>
        </w:rPr>
        <w:t xml:space="preserve">) in 2004 and 2006 are impossible to </w:t>
      </w:r>
      <w:r w:rsidR="00176AF6">
        <w:rPr>
          <w:rFonts w:ascii="Calibri" w:eastAsia="Times New Roman" w:hAnsi="Calibri" w:cs="Calibri"/>
          <w:lang w:eastAsia="en-GB"/>
        </w:rPr>
        <w:t xml:space="preserve">separately </w:t>
      </w:r>
      <w:r w:rsidRPr="000324B9">
        <w:rPr>
          <w:rFonts w:ascii="Calibri" w:eastAsia="Times New Roman" w:hAnsi="Calibri" w:cs="Calibri"/>
          <w:lang w:eastAsia="en-GB"/>
        </w:rPr>
        <w:t xml:space="preserve">identify from other changes to the transfer system.  The second is </w:t>
      </w:r>
      <w:r w:rsidRPr="000324B9">
        <w:rPr>
          <w:rFonts w:ascii="Calibri" w:eastAsia="Times New Roman" w:hAnsi="Calibri" w:cs="Calibri"/>
          <w:lang w:eastAsia="en-GB"/>
        </w:rPr>
        <w:lastRenderedPageBreak/>
        <w:t xml:space="preserve">that new changes like </w:t>
      </w:r>
      <w:r w:rsidR="00176AF6">
        <w:rPr>
          <w:rFonts w:ascii="Calibri" w:eastAsia="Times New Roman" w:hAnsi="Calibri" w:cs="Calibri"/>
          <w:lang w:eastAsia="en-GB"/>
        </w:rPr>
        <w:t>Child Care Subsidy</w:t>
      </w:r>
      <w:r w:rsidRPr="000324B9">
        <w:rPr>
          <w:rFonts w:ascii="Calibri" w:eastAsia="Times New Roman" w:hAnsi="Calibri" w:cs="Calibri"/>
          <w:lang w:eastAsia="en-GB"/>
        </w:rPr>
        <w:t xml:space="preserve"> are too recent to evaluate.</w:t>
      </w:r>
      <w:r w:rsidR="00610439">
        <w:rPr>
          <w:rFonts w:ascii="Calibri" w:eastAsia="Times New Roman" w:hAnsi="Calibri" w:cs="Calibri"/>
          <w:lang w:eastAsia="en-GB"/>
        </w:rPr>
        <w:t xml:space="preserve"> Therefore in this report, we consider the relative importance of </w:t>
      </w:r>
      <w:r w:rsidR="008D52A6">
        <w:rPr>
          <w:rFonts w:ascii="Calibri" w:eastAsia="Times New Roman" w:hAnsi="Calibri" w:cs="Calibri"/>
          <w:lang w:eastAsia="en-GB"/>
        </w:rPr>
        <w:t>child care</w:t>
      </w:r>
      <w:r w:rsidR="00610439">
        <w:rPr>
          <w:rFonts w:ascii="Calibri" w:eastAsia="Times New Roman" w:hAnsi="Calibri" w:cs="Calibri"/>
          <w:lang w:eastAsia="en-GB"/>
        </w:rPr>
        <w:t xml:space="preserve"> based on the literature review and information available from the ANUPoll survey.</w:t>
      </w:r>
    </w:p>
    <w:p w14:paraId="725A664D" w14:textId="77777777" w:rsidR="00244248" w:rsidRPr="004D198B" w:rsidRDefault="00244248" w:rsidP="00244248">
      <w:pPr>
        <w:rPr>
          <w:lang w:eastAsia="en-GB"/>
        </w:rPr>
      </w:pPr>
      <w:r w:rsidRPr="004D198B">
        <w:rPr>
          <w:lang w:eastAsia="en-GB"/>
        </w:rPr>
        <w:t xml:space="preserve">The report is structured as follows. We first describe the data and methodology used. Then we present </w:t>
      </w:r>
      <w:r>
        <w:rPr>
          <w:lang w:eastAsia="en-GB"/>
        </w:rPr>
        <w:t xml:space="preserve">the results of the policy analysis, followed by an analysis of how fertility outcomes are associated with various socio-demographic variables. </w:t>
      </w:r>
      <w:r w:rsidRPr="004D198B">
        <w:rPr>
          <w:lang w:eastAsia="en-GB"/>
        </w:rPr>
        <w:t xml:space="preserve">The appendix contains a number of robustness checks and alternative identification strategies.   </w:t>
      </w:r>
    </w:p>
    <w:p w14:paraId="03AB4111" w14:textId="77777777" w:rsidR="0076536C" w:rsidRPr="0076536C" w:rsidRDefault="0076536C" w:rsidP="00066A13">
      <w:pPr>
        <w:rPr>
          <w:lang w:val="en-US"/>
        </w:rPr>
      </w:pPr>
      <w:bookmarkStart w:id="157" w:name="_Toc85783458"/>
      <w:bookmarkStart w:id="158" w:name="_Toc85783785"/>
      <w:bookmarkStart w:id="159" w:name="_Toc85784725"/>
      <w:bookmarkStart w:id="160" w:name="_Toc85793484"/>
      <w:bookmarkEnd w:id="157"/>
      <w:bookmarkEnd w:id="158"/>
      <w:bookmarkEnd w:id="159"/>
      <w:bookmarkEnd w:id="160"/>
    </w:p>
    <w:p w14:paraId="111381B3" w14:textId="6B7BB3BD" w:rsidR="00244248" w:rsidRDefault="00244248" w:rsidP="00066A13">
      <w:pPr>
        <w:pStyle w:val="Heading2"/>
      </w:pPr>
      <w:bookmarkStart w:id="161" w:name="_Toc87454635"/>
      <w:bookmarkStart w:id="162" w:name="_Toc98404982"/>
      <w:r>
        <w:t>Data and Methodology</w:t>
      </w:r>
      <w:bookmarkEnd w:id="161"/>
      <w:bookmarkEnd w:id="162"/>
      <w:r>
        <w:t xml:space="preserve"> </w:t>
      </w:r>
    </w:p>
    <w:p w14:paraId="34636EE5" w14:textId="77777777" w:rsidR="00244248" w:rsidRPr="002C3A8D" w:rsidRDefault="00244248" w:rsidP="00244248">
      <w:pPr>
        <w:shd w:val="clear" w:color="auto" w:fill="FFFFFF"/>
        <w:spacing w:after="0" w:line="240" w:lineRule="auto"/>
        <w:rPr>
          <w:rFonts w:ascii="Calibri" w:eastAsia="Times New Roman" w:hAnsi="Calibri" w:cs="Calibri"/>
          <w:lang w:eastAsia="en-AU"/>
        </w:rPr>
      </w:pPr>
      <w:r>
        <w:t>Nineteen</w:t>
      </w:r>
      <w:r w:rsidRPr="005A358C">
        <w:t xml:space="preserve"> years of </w:t>
      </w:r>
      <w:r>
        <w:t>the Household Income and Labour Dynamics (HILDA)</w:t>
      </w:r>
      <w:r w:rsidRPr="005A358C">
        <w:t xml:space="preserve"> data</w:t>
      </w:r>
      <w:r>
        <w:t xml:space="preserve"> are used to</w:t>
      </w:r>
      <w:r w:rsidRPr="005A358C">
        <w:t xml:space="preserve"> analyse fertility intentions and outcomes. The currently available 19 waves of panel data capture household survey responses on demographic, social and economic factors from 200</w:t>
      </w:r>
      <w:r>
        <w:t>1</w:t>
      </w:r>
      <w:r w:rsidRPr="005A358C">
        <w:t xml:space="preserve"> to 2019.</w:t>
      </w:r>
      <w:r w:rsidRPr="002C3A8D">
        <w:rPr>
          <w:rFonts w:ascii="Calibri" w:eastAsia="Times New Roman" w:hAnsi="Calibri" w:cs="Calibri"/>
          <w:lang w:eastAsia="en-AU"/>
        </w:rPr>
        <w:t xml:space="preserve"> Most of the empirical estimation </w:t>
      </w:r>
      <w:r>
        <w:rPr>
          <w:rFonts w:ascii="Calibri" w:eastAsia="Times New Roman" w:hAnsi="Calibri" w:cs="Calibri"/>
          <w:lang w:eastAsia="en-AU"/>
        </w:rPr>
        <w:t>and the descriptive statistics below are</w:t>
      </w:r>
      <w:r w:rsidRPr="002C3A8D">
        <w:rPr>
          <w:rFonts w:ascii="Calibri" w:eastAsia="Times New Roman" w:hAnsi="Calibri" w:cs="Calibri"/>
          <w:lang w:eastAsia="en-AU"/>
        </w:rPr>
        <w:t xml:space="preserve"> conducted with a sample that is restricted to women aged 18-49.  For paid parental leave, we restrict the sample to women aged 2</w:t>
      </w:r>
      <w:r>
        <w:rPr>
          <w:rFonts w:ascii="Calibri" w:eastAsia="Times New Roman" w:hAnsi="Calibri" w:cs="Calibri"/>
          <w:lang w:eastAsia="en-AU"/>
        </w:rPr>
        <w:t>1-44</w:t>
      </w:r>
      <w:r w:rsidRPr="002C3A8D">
        <w:rPr>
          <w:rFonts w:ascii="Calibri" w:eastAsia="Times New Roman" w:hAnsi="Calibri" w:cs="Calibri"/>
          <w:lang w:eastAsia="en-AU"/>
        </w:rPr>
        <w:t>.  This is consistent with the previous literature to make direct comparison possible (Bassford and Fisher, 2020)</w:t>
      </w:r>
      <w:r>
        <w:rPr>
          <w:rStyle w:val="FootnoteReference"/>
          <w:rFonts w:ascii="Calibri" w:eastAsia="Times New Roman" w:hAnsi="Calibri" w:cs="Calibri"/>
          <w:lang w:eastAsia="en-AU"/>
        </w:rPr>
        <w:footnoteReference w:id="27"/>
      </w:r>
      <w:r w:rsidRPr="002C3A8D">
        <w:rPr>
          <w:rFonts w:ascii="Calibri" w:eastAsia="Times New Roman" w:hAnsi="Calibri" w:cs="Calibri"/>
          <w:lang w:eastAsia="en-AU"/>
        </w:rPr>
        <w:t>.</w:t>
      </w:r>
      <w:r>
        <w:rPr>
          <w:rFonts w:ascii="Calibri" w:eastAsia="Times New Roman" w:hAnsi="Calibri" w:cs="Calibri"/>
          <w:lang w:eastAsia="en-AU"/>
        </w:rPr>
        <w:t xml:space="preserve"> For the analysis of FTB we restrict the analysis to those women aged 18 to 44. A discussion of the age restrictions associated with measuring fertility intentions is provided in the Appendix.</w:t>
      </w:r>
    </w:p>
    <w:p w14:paraId="1461C98B" w14:textId="77777777" w:rsidR="00244248" w:rsidRDefault="00244248" w:rsidP="00244248">
      <w:pPr>
        <w:pStyle w:val="Heading3"/>
        <w:numPr>
          <w:ilvl w:val="0"/>
          <w:numId w:val="0"/>
        </w:numPr>
      </w:pPr>
      <w:bookmarkStart w:id="163" w:name="_Toc87454636"/>
      <w:r>
        <w:t>Methodology</w:t>
      </w:r>
      <w:bookmarkEnd w:id="163"/>
    </w:p>
    <w:p w14:paraId="067D93F2" w14:textId="77777777" w:rsidR="00244248" w:rsidRPr="00102C89" w:rsidRDefault="00244248" w:rsidP="00244248">
      <w:pPr>
        <w:spacing w:before="240"/>
        <w:rPr>
          <w:rFonts w:ascii="Calibri" w:eastAsia="Times New Roman" w:hAnsi="Calibri" w:cs="Calibri"/>
          <w:lang w:eastAsia="en-GB"/>
        </w:rPr>
      </w:pPr>
      <w:r>
        <w:rPr>
          <w:rFonts w:ascii="Calibri" w:eastAsia="Times New Roman" w:hAnsi="Calibri" w:cs="Calibri"/>
          <w:lang w:eastAsia="en-GB"/>
        </w:rPr>
        <w:t xml:space="preserve">We use a variety of different methodologies to </w:t>
      </w:r>
      <w:r w:rsidRPr="00102C89">
        <w:rPr>
          <w:rFonts w:ascii="Calibri" w:eastAsia="Times New Roman" w:hAnsi="Calibri" w:cs="Calibri"/>
          <w:lang w:eastAsia="en-GB"/>
        </w:rPr>
        <w:t>investigat</w:t>
      </w:r>
      <w:r>
        <w:rPr>
          <w:rFonts w:ascii="Calibri" w:eastAsia="Times New Roman" w:hAnsi="Calibri" w:cs="Calibri"/>
          <w:lang w:eastAsia="en-GB"/>
        </w:rPr>
        <w:t>e</w:t>
      </w:r>
      <w:r w:rsidRPr="00102C89">
        <w:rPr>
          <w:rFonts w:ascii="Calibri" w:eastAsia="Times New Roman" w:hAnsi="Calibri" w:cs="Calibri"/>
          <w:lang w:eastAsia="en-GB"/>
        </w:rPr>
        <w:t xml:space="preserve"> </w:t>
      </w:r>
      <w:r>
        <w:rPr>
          <w:rFonts w:ascii="Calibri" w:eastAsia="Times New Roman" w:hAnsi="Calibri" w:cs="Calibri"/>
          <w:lang w:eastAsia="en-GB"/>
        </w:rPr>
        <w:t>the various fertility outcomes and fertility measures. The baseline model</w:t>
      </w:r>
      <w:r w:rsidRPr="00102C89">
        <w:rPr>
          <w:rFonts w:ascii="Calibri" w:eastAsia="Times New Roman" w:hAnsi="Calibri" w:cs="Calibri"/>
          <w:lang w:eastAsia="en-GB"/>
        </w:rPr>
        <w:t xml:space="preserve"> </w:t>
      </w:r>
      <w:r>
        <w:rPr>
          <w:rFonts w:ascii="Calibri" w:eastAsia="Times New Roman" w:hAnsi="Calibri" w:cs="Calibri"/>
          <w:lang w:eastAsia="en-GB"/>
        </w:rPr>
        <w:t>is</w:t>
      </w:r>
      <w:r w:rsidRPr="00102C89">
        <w:rPr>
          <w:rFonts w:ascii="Calibri" w:eastAsia="Times New Roman" w:hAnsi="Calibri" w:cs="Calibri"/>
          <w:lang w:eastAsia="en-GB"/>
        </w:rPr>
        <w:t xml:space="preserve">: </w:t>
      </w:r>
    </w:p>
    <w:p w14:paraId="1AA1521B" w14:textId="77777777" w:rsidR="00244248" w:rsidRPr="00102C89" w:rsidRDefault="00244248" w:rsidP="00244248">
      <w:pPr>
        <w:rPr>
          <w:rFonts w:ascii="Calibri" w:eastAsia="Times New Roman" w:hAnsi="Calibri" w:cs="Calibri"/>
          <w:lang w:eastAsia="en-GB"/>
        </w:rPr>
      </w:pPr>
      <w:r>
        <w:rPr>
          <w:rFonts w:ascii="Calibri" w:eastAsia="Times New Roman" w:hAnsi="Calibri" w:cs="Calibri"/>
          <w:lang w:eastAsia="en-GB"/>
        </w:rPr>
        <w:tab/>
      </w:r>
      <w:r>
        <w:rPr>
          <w:rFonts w:ascii="Calibri" w:eastAsia="Times New Roman" w:hAnsi="Calibri" w:cs="Calibri"/>
          <w:lang w:eastAsia="en-GB"/>
        </w:rPr>
        <w:tab/>
      </w:r>
      <m:oMath>
        <m:sSub>
          <m:sSubPr>
            <m:ctrlPr>
              <w:rPr>
                <w:rFonts w:ascii="Cambria Math" w:eastAsia="Times New Roman" w:hAnsi="Cambria Math" w:cs="Calibri"/>
                <w:lang w:eastAsia="en-GB"/>
              </w:rPr>
            </m:ctrlPr>
          </m:sSubPr>
          <m:e>
            <m:r>
              <w:rPr>
                <w:rFonts w:ascii="Cambria Math" w:eastAsia="Times New Roman" w:hAnsi="Cambria Math" w:cs="Calibri"/>
                <w:lang w:eastAsia="en-GB"/>
              </w:rPr>
              <m:t>Y</m:t>
            </m:r>
          </m:e>
          <m:sub>
            <m:r>
              <w:rPr>
                <w:rFonts w:ascii="Cambria Math" w:eastAsia="Times New Roman" w:hAnsi="Cambria Math" w:cs="Calibri"/>
                <w:lang w:eastAsia="en-GB"/>
              </w:rPr>
              <m:t>ict</m:t>
            </m:r>
          </m:sub>
        </m:sSub>
        <m:r>
          <m:rPr>
            <m:sty m:val="p"/>
          </m:rPr>
          <w:rPr>
            <w:rFonts w:ascii="Cambria Math" w:eastAsia="Times New Roman" w:hAnsi="Cambria Math" w:cs="Calibri"/>
            <w:lang w:eastAsia="en-GB"/>
          </w:rPr>
          <m:t>=</m:t>
        </m:r>
        <m:r>
          <w:rPr>
            <w:rFonts w:ascii="Cambria Math" w:eastAsia="Times New Roman" w:hAnsi="Cambria Math" w:cs="Calibri"/>
            <w:lang w:eastAsia="en-GB"/>
          </w:rPr>
          <m:t>α</m:t>
        </m:r>
        <m:r>
          <m:rPr>
            <m:sty m:val="p"/>
          </m:rPr>
          <w:rPr>
            <w:rFonts w:ascii="Cambria Math" w:eastAsia="Times New Roman" w:hAnsi="Cambria Math" w:cs="Calibri"/>
            <w:lang w:eastAsia="en-GB"/>
          </w:rPr>
          <m:t>+</m:t>
        </m:r>
        <m:sSubSup>
          <m:sSubSupPr>
            <m:ctrlPr>
              <w:rPr>
                <w:rFonts w:ascii="Cambria Math" w:eastAsia="Times New Roman" w:hAnsi="Cambria Math" w:cs="Calibri"/>
                <w:lang w:eastAsia="en-GB"/>
              </w:rPr>
            </m:ctrlPr>
          </m:sSubSupPr>
          <m:e>
            <m:r>
              <w:rPr>
                <w:rFonts w:ascii="Cambria Math" w:eastAsia="Times New Roman" w:hAnsi="Cambria Math" w:cs="Calibri"/>
                <w:lang w:eastAsia="en-GB"/>
              </w:rPr>
              <m:t>X</m:t>
            </m:r>
            <m:ctrlPr>
              <w:rPr>
                <w:rFonts w:ascii="Cambria Math" w:eastAsia="Times New Roman" w:hAnsi="Cambria Math" w:cs="Calibri"/>
                <w:i/>
                <w:lang w:eastAsia="en-GB"/>
              </w:rPr>
            </m:ctrlPr>
          </m:e>
          <m:sub>
            <m:r>
              <w:rPr>
                <w:rFonts w:ascii="Cambria Math" w:eastAsia="Times New Roman" w:hAnsi="Cambria Math" w:cs="Calibri"/>
                <w:lang w:eastAsia="en-GB"/>
              </w:rPr>
              <m:t>it</m:t>
            </m:r>
            <m:ctrlPr>
              <w:rPr>
                <w:rFonts w:ascii="Cambria Math" w:eastAsia="Times New Roman" w:hAnsi="Cambria Math" w:cs="Calibri"/>
                <w:i/>
                <w:lang w:eastAsia="en-GB"/>
              </w:rPr>
            </m:ctrlPr>
          </m:sub>
          <m:sup>
            <m:r>
              <m:rPr>
                <m:sty m:val="p"/>
              </m:rPr>
              <w:rPr>
                <w:rFonts w:ascii="Cambria Math" w:eastAsia="Times New Roman" w:hAnsi="Cambria Math" w:cs="Calibri"/>
                <w:lang w:eastAsia="en-GB"/>
              </w:rPr>
              <m:t>'</m:t>
            </m:r>
          </m:sup>
        </m:sSubSup>
        <m:r>
          <w:rPr>
            <w:rFonts w:ascii="Cambria Math" w:eastAsia="Times New Roman" w:hAnsi="Cambria Math" w:cs="Calibri"/>
            <w:lang w:eastAsia="en-GB"/>
          </w:rPr>
          <m:t>β</m:t>
        </m:r>
        <m:r>
          <m:rPr>
            <m:sty m:val="p"/>
          </m:rPr>
          <w:rPr>
            <w:rFonts w:ascii="Cambria Math" w:eastAsia="Times New Roman" w:hAnsi="Cambria Math" w:cs="Calibri"/>
            <w:lang w:eastAsia="en-GB"/>
          </w:rPr>
          <m:t>+</m:t>
        </m:r>
        <m:sSub>
          <m:sSubPr>
            <m:ctrlPr>
              <w:rPr>
                <w:rFonts w:ascii="Cambria Math" w:eastAsia="Times New Roman" w:hAnsi="Cambria Math" w:cs="Calibri"/>
                <w:lang w:eastAsia="en-GB"/>
              </w:rPr>
            </m:ctrlPr>
          </m:sSubPr>
          <m:e>
            <m:r>
              <w:rPr>
                <w:rFonts w:ascii="Cambria Math" w:eastAsia="Times New Roman" w:hAnsi="Cambria Math" w:cs="Calibri"/>
                <w:lang w:eastAsia="en-GB"/>
              </w:rPr>
              <m:t>γ</m:t>
            </m:r>
          </m:e>
          <m:sub>
            <m:r>
              <w:rPr>
                <w:rFonts w:ascii="Cambria Math" w:eastAsia="Times New Roman" w:hAnsi="Cambria Math" w:cs="Calibri"/>
                <w:lang w:eastAsia="en-GB"/>
              </w:rPr>
              <m:t>c</m:t>
            </m:r>
          </m:sub>
        </m:sSub>
        <m:r>
          <m:rPr>
            <m:sty m:val="p"/>
          </m:rPr>
          <w:rPr>
            <w:rFonts w:ascii="Cambria Math" w:eastAsia="Times New Roman" w:hAnsi="Cambria Math" w:cs="Calibri"/>
            <w:lang w:eastAsia="en-GB"/>
          </w:rPr>
          <m:t>+</m:t>
        </m:r>
        <m:sSub>
          <m:sSubPr>
            <m:ctrlPr>
              <w:rPr>
                <w:rFonts w:ascii="Cambria Math" w:eastAsia="Times New Roman" w:hAnsi="Cambria Math" w:cs="Calibri"/>
                <w:lang w:eastAsia="en-GB"/>
              </w:rPr>
            </m:ctrlPr>
          </m:sSubPr>
          <m:e>
            <m:r>
              <w:rPr>
                <w:rFonts w:ascii="Cambria Math" w:eastAsia="Times New Roman" w:hAnsi="Cambria Math" w:cs="Calibri"/>
                <w:lang w:eastAsia="en-GB"/>
              </w:rPr>
              <m:t>δ</m:t>
            </m:r>
          </m:e>
          <m:sub>
            <m:r>
              <w:rPr>
                <w:rFonts w:ascii="Cambria Math" w:eastAsia="Times New Roman" w:hAnsi="Cambria Math" w:cs="Calibri"/>
                <w:lang w:eastAsia="en-GB"/>
              </w:rPr>
              <m:t>t</m:t>
            </m:r>
          </m:sub>
        </m:sSub>
        <m:r>
          <w:rPr>
            <w:rFonts w:ascii="Cambria Math" w:eastAsia="Times New Roman" w:hAnsi="Cambria Math" w:cs="Calibri"/>
            <w:lang w:eastAsia="en-GB"/>
          </w:rPr>
          <m:t>+</m:t>
        </m:r>
        <m:sSub>
          <m:sSubPr>
            <m:ctrlPr>
              <w:rPr>
                <w:rFonts w:ascii="Cambria Math" w:eastAsia="Times New Roman" w:hAnsi="Cambria Math" w:cs="Calibri"/>
                <w:lang w:eastAsia="en-GB"/>
              </w:rPr>
            </m:ctrlPr>
          </m:sSubPr>
          <m:e>
            <m:r>
              <m:rPr>
                <m:sty m:val="p"/>
              </m:rPr>
              <w:rPr>
                <w:rFonts w:ascii="Cambria Math" w:eastAsia="Times New Roman" w:hAnsi="Cambria Math" w:cs="Calibri"/>
                <w:lang w:eastAsia="en-GB"/>
              </w:rPr>
              <m:t>ε</m:t>
            </m:r>
          </m:e>
          <m:sub>
            <m:r>
              <w:rPr>
                <w:rFonts w:ascii="Cambria Math" w:eastAsia="Times New Roman" w:hAnsi="Cambria Math" w:cs="Calibri"/>
                <w:lang w:eastAsia="en-GB"/>
              </w:rPr>
              <m:t>i</m:t>
            </m:r>
          </m:sub>
        </m:sSub>
        <m:r>
          <m:rPr>
            <m:sty m:val="p"/>
          </m:rPr>
          <w:rPr>
            <w:rFonts w:ascii="Cambria Math" w:eastAsia="Times New Roman" w:hAnsi="Cambria Math" w:cs="Calibri"/>
            <w:lang w:eastAsia="en-GB"/>
          </w:rPr>
          <m:t>+</m:t>
        </m:r>
        <m:sSub>
          <m:sSubPr>
            <m:ctrlPr>
              <w:rPr>
                <w:rFonts w:ascii="Cambria Math" w:eastAsia="Times New Roman" w:hAnsi="Cambria Math" w:cs="Calibri"/>
                <w:lang w:eastAsia="en-GB"/>
              </w:rPr>
            </m:ctrlPr>
          </m:sSubPr>
          <m:e>
            <m:r>
              <w:rPr>
                <w:rFonts w:ascii="Cambria Math" w:eastAsia="Times New Roman" w:hAnsi="Cambria Math" w:cs="Calibri"/>
                <w:lang w:eastAsia="en-GB"/>
              </w:rPr>
              <m:t>ϵ</m:t>
            </m:r>
          </m:e>
          <m:sub>
            <m:r>
              <w:rPr>
                <w:rFonts w:ascii="Cambria Math" w:eastAsia="Times New Roman" w:hAnsi="Cambria Math" w:cs="Calibri"/>
                <w:lang w:eastAsia="en-GB"/>
              </w:rPr>
              <m:t>ict</m:t>
            </m:r>
          </m:sub>
        </m:sSub>
      </m:oMath>
      <w:r>
        <w:rPr>
          <w:rFonts w:ascii="Calibri" w:eastAsia="Times New Roman" w:hAnsi="Calibri" w:cs="Calibri"/>
          <w:lang w:eastAsia="en-GB"/>
        </w:rPr>
        <w:t xml:space="preserve"> </w:t>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lang w:eastAsia="en-GB"/>
        </w:rPr>
        <w:tab/>
        <w:t>(1)</w:t>
      </w:r>
    </w:p>
    <w:p w14:paraId="39D78936" w14:textId="77777777" w:rsidR="00244248" w:rsidRDefault="00244248" w:rsidP="00244248">
      <w:pPr>
        <w:rPr>
          <w:rFonts w:ascii="Calibri" w:eastAsia="Times New Roman" w:hAnsi="Calibri" w:cs="Calibri"/>
          <w:lang w:eastAsia="en-GB"/>
        </w:rPr>
      </w:pPr>
      <w:r>
        <w:rPr>
          <w:rFonts w:ascii="Calibri" w:eastAsia="Times New Roman" w:hAnsi="Calibri" w:cs="Calibri"/>
          <w:lang w:eastAsia="en-GB"/>
        </w:rPr>
        <w:t>w</w:t>
      </w:r>
      <w:r w:rsidRPr="00102C89">
        <w:rPr>
          <w:rFonts w:ascii="Calibri" w:eastAsia="Times New Roman" w:hAnsi="Calibri" w:cs="Calibri"/>
          <w:lang w:eastAsia="en-GB"/>
        </w:rPr>
        <w:t xml:space="preserve">here </w:t>
      </w:r>
      <m:oMath>
        <m:sSub>
          <m:sSubPr>
            <m:ctrlPr>
              <w:rPr>
                <w:rFonts w:ascii="Cambria Math" w:eastAsia="Times New Roman" w:hAnsi="Cambria Math" w:cs="Calibri"/>
                <w:lang w:eastAsia="en-GB"/>
              </w:rPr>
            </m:ctrlPr>
          </m:sSubPr>
          <m:e>
            <m:r>
              <w:rPr>
                <w:rFonts w:ascii="Cambria Math" w:eastAsia="Times New Roman" w:hAnsi="Cambria Math" w:cs="Calibri"/>
                <w:lang w:eastAsia="en-GB"/>
              </w:rPr>
              <m:t>Y</m:t>
            </m:r>
          </m:e>
          <m:sub>
            <m:r>
              <w:rPr>
                <w:rFonts w:ascii="Cambria Math" w:eastAsia="Times New Roman" w:hAnsi="Cambria Math" w:cs="Calibri"/>
                <w:lang w:eastAsia="en-GB"/>
              </w:rPr>
              <m:t>ict</m:t>
            </m:r>
          </m:sub>
        </m:sSub>
      </m:oMath>
      <w:r w:rsidRPr="00102C89">
        <w:rPr>
          <w:rFonts w:ascii="Calibri" w:eastAsia="Times New Roman" w:hAnsi="Calibri" w:cs="Calibri"/>
          <w:lang w:eastAsia="en-GB"/>
        </w:rPr>
        <w:t xml:space="preserve"> is an outcome of interest for woman </w:t>
      </w:r>
      <m:oMath>
        <m:r>
          <w:rPr>
            <w:rFonts w:ascii="Cambria Math" w:eastAsia="Times New Roman" w:hAnsi="Cambria Math" w:cs="Calibri"/>
            <w:lang w:eastAsia="en-GB"/>
          </w:rPr>
          <m:t>i</m:t>
        </m:r>
      </m:oMath>
      <w:r w:rsidRPr="00102C89">
        <w:rPr>
          <w:rFonts w:ascii="Calibri" w:eastAsia="Times New Roman" w:hAnsi="Calibri" w:cs="Calibri"/>
          <w:lang w:eastAsia="en-GB"/>
        </w:rPr>
        <w:t xml:space="preserve"> in cohort </w:t>
      </w:r>
      <m:oMath>
        <m:r>
          <w:rPr>
            <w:rFonts w:ascii="Cambria Math" w:eastAsia="Times New Roman" w:hAnsi="Cambria Math" w:cs="Calibri"/>
            <w:lang w:eastAsia="en-GB"/>
          </w:rPr>
          <m:t>c</m:t>
        </m:r>
      </m:oMath>
      <w:r w:rsidRPr="00102C89">
        <w:rPr>
          <w:rFonts w:ascii="Calibri" w:eastAsia="Times New Roman" w:hAnsi="Calibri" w:cs="Calibri"/>
          <w:lang w:eastAsia="en-GB"/>
        </w:rPr>
        <w:t xml:space="preserve"> at time </w:t>
      </w:r>
      <m:oMath>
        <m:r>
          <w:rPr>
            <w:rFonts w:ascii="Cambria Math" w:eastAsia="Times New Roman" w:hAnsi="Cambria Math" w:cs="Calibri"/>
            <w:lang w:eastAsia="en-GB"/>
          </w:rPr>
          <m:t>t</m:t>
        </m:r>
      </m:oMath>
      <w:r>
        <w:rPr>
          <w:rFonts w:ascii="Calibri" w:eastAsia="Times New Roman" w:hAnsi="Calibri" w:cs="Calibri"/>
          <w:lang w:eastAsia="en-GB"/>
        </w:rPr>
        <w:t xml:space="preserve">. Cohort refers to either the birth year or age and is measured in 5 year groupings. </w:t>
      </w:r>
      <w:r w:rsidRPr="00102C89">
        <w:rPr>
          <w:rFonts w:ascii="Calibri" w:eastAsia="Times New Roman" w:hAnsi="Calibri" w:cs="Calibri"/>
          <w:lang w:eastAsia="en-GB"/>
        </w:rPr>
        <w:t xml:space="preserve">We also allow the effect of different socio-economic variables to vary by cohort (that is we will allow </w:t>
      </w:r>
      <w:r w:rsidRPr="00102C89">
        <w:rPr>
          <w:rFonts w:ascii="Cambria Math" w:eastAsia="Times New Roman" w:hAnsi="Cambria Math" w:cs="Cambria Math"/>
          <w:lang w:eastAsia="en-GB"/>
        </w:rPr>
        <w:t>𝛽</w:t>
      </w:r>
      <w:r w:rsidRPr="00102C89">
        <w:rPr>
          <w:rFonts w:ascii="Calibri" w:eastAsia="Times New Roman" w:hAnsi="Calibri" w:cs="Calibri"/>
          <w:lang w:eastAsia="en-GB"/>
        </w:rPr>
        <w:t xml:space="preserve"> to vary by c.</w:t>
      </w:r>
      <w:r>
        <w:rPr>
          <w:rFonts w:ascii="Calibri" w:eastAsia="Times New Roman" w:hAnsi="Calibri" w:cs="Calibri"/>
          <w:lang w:eastAsia="en-GB"/>
        </w:rPr>
        <w:t xml:space="preserve">) </w:t>
      </w:r>
      <m:oMath>
        <m:sSub>
          <m:sSubPr>
            <m:ctrlPr>
              <w:rPr>
                <w:rFonts w:ascii="Cambria Math" w:eastAsia="Times New Roman" w:hAnsi="Cambria Math" w:cs="Calibri"/>
                <w:lang w:eastAsia="en-GB"/>
              </w:rPr>
            </m:ctrlPr>
          </m:sSubPr>
          <m:e>
            <m:r>
              <w:rPr>
                <w:rFonts w:ascii="Cambria Math" w:eastAsia="Times New Roman" w:hAnsi="Cambria Math" w:cs="Calibri"/>
                <w:lang w:eastAsia="en-GB"/>
              </w:rPr>
              <m:t>δ</m:t>
            </m:r>
          </m:e>
          <m:sub>
            <m:r>
              <w:rPr>
                <w:rFonts w:ascii="Cambria Math" w:eastAsia="Times New Roman" w:hAnsi="Cambria Math" w:cs="Calibri"/>
                <w:lang w:eastAsia="en-GB"/>
              </w:rPr>
              <m:t>t</m:t>
            </m:r>
          </m:sub>
        </m:sSub>
      </m:oMath>
      <w:r>
        <w:rPr>
          <w:rFonts w:ascii="Calibri" w:eastAsia="Times New Roman" w:hAnsi="Calibri" w:cs="Calibri"/>
          <w:lang w:eastAsia="en-GB"/>
        </w:rPr>
        <w:t xml:space="preserve"> captures time fixed effects while </w:t>
      </w:r>
      <m:oMath>
        <m:sSub>
          <m:sSubPr>
            <m:ctrlPr>
              <w:rPr>
                <w:rFonts w:ascii="Cambria Math" w:eastAsia="Times New Roman" w:hAnsi="Cambria Math" w:cs="Calibri"/>
                <w:lang w:eastAsia="en-GB"/>
              </w:rPr>
            </m:ctrlPr>
          </m:sSubPr>
          <m:e>
            <m:r>
              <m:rPr>
                <m:sty m:val="p"/>
              </m:rPr>
              <w:rPr>
                <w:rFonts w:ascii="Cambria Math" w:eastAsia="Times New Roman" w:hAnsi="Cambria Math" w:cs="Calibri"/>
                <w:lang w:eastAsia="en-GB"/>
              </w:rPr>
              <m:t>ε</m:t>
            </m:r>
          </m:e>
          <m:sub>
            <m:r>
              <w:rPr>
                <w:rFonts w:ascii="Cambria Math" w:eastAsia="Times New Roman" w:hAnsi="Cambria Math" w:cs="Calibri"/>
                <w:lang w:eastAsia="en-GB"/>
              </w:rPr>
              <m:t>i</m:t>
            </m:r>
          </m:sub>
        </m:sSub>
      </m:oMath>
      <w:r>
        <w:rPr>
          <w:rFonts w:ascii="Calibri" w:eastAsia="Times New Roman" w:hAnsi="Calibri" w:cs="Calibri"/>
          <w:lang w:eastAsia="en-GB"/>
        </w:rPr>
        <w:t xml:space="preserve"> makes used of the panel structure of the data and captures individual fixed effects.  </w:t>
      </w:r>
      <m:oMath>
        <m:sSubSup>
          <m:sSubSupPr>
            <m:ctrlPr>
              <w:rPr>
                <w:rFonts w:ascii="Cambria Math" w:eastAsia="Times New Roman" w:hAnsi="Cambria Math" w:cs="Calibri"/>
                <w:lang w:eastAsia="en-GB"/>
              </w:rPr>
            </m:ctrlPr>
          </m:sSubSupPr>
          <m:e>
            <m:r>
              <w:rPr>
                <w:rFonts w:ascii="Cambria Math" w:eastAsia="Times New Roman" w:hAnsi="Cambria Math" w:cs="Calibri"/>
                <w:lang w:eastAsia="en-GB"/>
              </w:rPr>
              <m:t>X</m:t>
            </m:r>
            <m:ctrlPr>
              <w:rPr>
                <w:rFonts w:ascii="Cambria Math" w:eastAsia="Times New Roman" w:hAnsi="Cambria Math" w:cs="Calibri"/>
                <w:i/>
                <w:lang w:eastAsia="en-GB"/>
              </w:rPr>
            </m:ctrlPr>
          </m:e>
          <m:sub>
            <m:r>
              <w:rPr>
                <w:rFonts w:ascii="Cambria Math" w:eastAsia="Times New Roman" w:hAnsi="Cambria Math" w:cs="Calibri"/>
                <w:lang w:eastAsia="en-GB"/>
              </w:rPr>
              <m:t>it</m:t>
            </m:r>
            <m:ctrlPr>
              <w:rPr>
                <w:rFonts w:ascii="Cambria Math" w:eastAsia="Times New Roman" w:hAnsi="Cambria Math" w:cs="Calibri"/>
                <w:i/>
                <w:lang w:eastAsia="en-GB"/>
              </w:rPr>
            </m:ctrlPr>
          </m:sub>
          <m:sup>
            <m:r>
              <m:rPr>
                <m:sty m:val="p"/>
              </m:rPr>
              <w:rPr>
                <w:rFonts w:ascii="Cambria Math" w:eastAsia="Times New Roman" w:hAnsi="Cambria Math" w:cs="Calibri"/>
                <w:lang w:eastAsia="en-GB"/>
              </w:rPr>
              <m:t>'</m:t>
            </m:r>
          </m:sup>
        </m:sSubSup>
        <m:r>
          <w:rPr>
            <w:rFonts w:ascii="Cambria Math" w:eastAsia="Times New Roman" w:hAnsi="Cambria Math" w:cs="Calibri"/>
            <w:lang w:eastAsia="en-GB"/>
          </w:rPr>
          <m:t xml:space="preserve"> </m:t>
        </m:r>
      </m:oMath>
      <w:r>
        <w:rPr>
          <w:rFonts w:ascii="Calibri" w:eastAsia="Times New Roman" w:hAnsi="Calibri" w:cs="Calibri"/>
          <w:lang w:eastAsia="en-GB"/>
        </w:rPr>
        <w:t xml:space="preserve">captures the socio-economic and demographic background of </w:t>
      </w:r>
      <w:r w:rsidRPr="00102C89">
        <w:rPr>
          <w:rFonts w:ascii="Calibri" w:eastAsia="Times New Roman" w:hAnsi="Calibri" w:cs="Calibri"/>
          <w:lang w:eastAsia="en-GB"/>
        </w:rPr>
        <w:t xml:space="preserve">woman </w:t>
      </w:r>
      <m:oMath>
        <m:r>
          <w:rPr>
            <w:rFonts w:ascii="Cambria Math" w:eastAsia="Times New Roman" w:hAnsi="Cambria Math" w:cs="Calibri"/>
            <w:lang w:eastAsia="en-GB"/>
          </w:rPr>
          <m:t>i</m:t>
        </m:r>
      </m:oMath>
      <w:r w:rsidRPr="00102C89">
        <w:rPr>
          <w:rFonts w:ascii="Calibri" w:eastAsia="Times New Roman" w:hAnsi="Calibri" w:cs="Calibri"/>
          <w:lang w:eastAsia="en-GB"/>
        </w:rPr>
        <w:t xml:space="preserve"> in cohort </w:t>
      </w:r>
      <m:oMath>
        <m:r>
          <w:rPr>
            <w:rFonts w:ascii="Cambria Math" w:eastAsia="Times New Roman" w:hAnsi="Cambria Math" w:cs="Calibri"/>
            <w:lang w:eastAsia="en-GB"/>
          </w:rPr>
          <m:t>c</m:t>
        </m:r>
      </m:oMath>
      <w:r w:rsidRPr="00102C89">
        <w:rPr>
          <w:rFonts w:ascii="Calibri" w:eastAsia="Times New Roman" w:hAnsi="Calibri" w:cs="Calibri"/>
          <w:lang w:eastAsia="en-GB"/>
        </w:rPr>
        <w:t xml:space="preserve"> at time </w:t>
      </w:r>
      <m:oMath>
        <m:r>
          <w:rPr>
            <w:rFonts w:ascii="Cambria Math" w:eastAsia="Times New Roman" w:hAnsi="Cambria Math" w:cs="Calibri"/>
            <w:lang w:eastAsia="en-GB"/>
          </w:rPr>
          <m:t>t</m:t>
        </m:r>
      </m:oMath>
      <w:r>
        <w:rPr>
          <w:rFonts w:ascii="Calibri" w:eastAsia="Times New Roman" w:hAnsi="Calibri" w:cs="Calibri"/>
          <w:lang w:eastAsia="en-GB"/>
        </w:rPr>
        <w:t xml:space="preserve">.  </w:t>
      </w:r>
      <m:oMath>
        <m:sSub>
          <m:sSubPr>
            <m:ctrlPr>
              <w:rPr>
                <w:rFonts w:ascii="Cambria Math" w:eastAsia="Times New Roman" w:hAnsi="Cambria Math" w:cs="Calibri"/>
                <w:lang w:eastAsia="en-GB"/>
              </w:rPr>
            </m:ctrlPr>
          </m:sSubPr>
          <m:e>
            <m:r>
              <w:rPr>
                <w:rFonts w:ascii="Cambria Math" w:eastAsia="Times New Roman" w:hAnsi="Cambria Math" w:cs="Calibri"/>
                <w:lang w:eastAsia="en-GB"/>
              </w:rPr>
              <m:t>ϵ</m:t>
            </m:r>
          </m:e>
          <m:sub>
            <m:r>
              <w:rPr>
                <w:rFonts w:ascii="Cambria Math" w:eastAsia="Times New Roman" w:hAnsi="Cambria Math" w:cs="Calibri"/>
                <w:lang w:eastAsia="en-GB"/>
              </w:rPr>
              <m:t>ict</m:t>
            </m:r>
          </m:sub>
        </m:sSub>
      </m:oMath>
      <w:r>
        <w:rPr>
          <w:rFonts w:ascii="Calibri" w:eastAsia="Times New Roman" w:hAnsi="Calibri" w:cs="Calibri"/>
          <w:lang w:eastAsia="en-GB"/>
        </w:rPr>
        <w:t xml:space="preserve"> captures all other unobserved factors that might impact on fertility outcomes and intentions for </w:t>
      </w:r>
      <w:r w:rsidRPr="00102C89">
        <w:rPr>
          <w:rFonts w:ascii="Calibri" w:eastAsia="Times New Roman" w:hAnsi="Calibri" w:cs="Calibri"/>
          <w:lang w:eastAsia="en-GB"/>
        </w:rPr>
        <w:t xml:space="preserve">woman </w:t>
      </w:r>
      <m:oMath>
        <m:r>
          <w:rPr>
            <w:rFonts w:ascii="Cambria Math" w:eastAsia="Times New Roman" w:hAnsi="Cambria Math" w:cs="Calibri"/>
            <w:lang w:eastAsia="en-GB"/>
          </w:rPr>
          <m:t>i</m:t>
        </m:r>
      </m:oMath>
      <w:r w:rsidRPr="00102C89">
        <w:rPr>
          <w:rFonts w:ascii="Calibri" w:eastAsia="Times New Roman" w:hAnsi="Calibri" w:cs="Calibri"/>
          <w:lang w:eastAsia="en-GB"/>
        </w:rPr>
        <w:t xml:space="preserve"> in cohort </w:t>
      </w:r>
      <m:oMath>
        <m:r>
          <w:rPr>
            <w:rFonts w:ascii="Cambria Math" w:eastAsia="Times New Roman" w:hAnsi="Cambria Math" w:cs="Calibri"/>
            <w:lang w:eastAsia="en-GB"/>
          </w:rPr>
          <m:t>c</m:t>
        </m:r>
      </m:oMath>
      <w:r w:rsidRPr="00102C89">
        <w:rPr>
          <w:rFonts w:ascii="Calibri" w:eastAsia="Times New Roman" w:hAnsi="Calibri" w:cs="Calibri"/>
          <w:lang w:eastAsia="en-GB"/>
        </w:rPr>
        <w:t xml:space="preserve"> at time </w:t>
      </w:r>
      <m:oMath>
        <m:r>
          <w:rPr>
            <w:rFonts w:ascii="Cambria Math" w:eastAsia="Times New Roman" w:hAnsi="Cambria Math" w:cs="Calibri"/>
            <w:lang w:eastAsia="en-GB"/>
          </w:rPr>
          <m:t>t</m:t>
        </m:r>
      </m:oMath>
      <w:r>
        <w:rPr>
          <w:rFonts w:ascii="Calibri" w:eastAsia="Times New Roman" w:hAnsi="Calibri" w:cs="Calibri"/>
          <w:lang w:eastAsia="en-GB"/>
        </w:rPr>
        <w:t xml:space="preserve">.  </w:t>
      </w:r>
    </w:p>
    <w:p w14:paraId="1CB7A753" w14:textId="77777777" w:rsidR="00244248" w:rsidRPr="00600AC9" w:rsidRDefault="00244248" w:rsidP="00244248">
      <w:pPr>
        <w:rPr>
          <w:rFonts w:ascii="Calibri" w:eastAsia="Times New Roman" w:hAnsi="Calibri" w:cs="Calibri"/>
          <w:b/>
          <w:iCs/>
          <w:lang w:eastAsia="en-GB"/>
        </w:rPr>
      </w:pPr>
      <w:r w:rsidRPr="00600AC9">
        <w:rPr>
          <w:rFonts w:ascii="Calibri" w:eastAsia="Times New Roman" w:hAnsi="Calibri" w:cs="Calibri"/>
          <w:b/>
          <w:iCs/>
          <w:lang w:eastAsia="en-GB"/>
        </w:rPr>
        <w:t>Outcome measures</w:t>
      </w:r>
    </w:p>
    <w:p w14:paraId="4C9AD24D" w14:textId="77777777" w:rsidR="00244248" w:rsidRPr="00102C89" w:rsidRDefault="00244248" w:rsidP="00244248">
      <w:pPr>
        <w:rPr>
          <w:rFonts w:ascii="Calibri" w:eastAsia="Times New Roman" w:hAnsi="Calibri" w:cs="Calibri"/>
          <w:lang w:eastAsia="en-GB"/>
        </w:rPr>
      </w:pPr>
      <w:r>
        <w:rPr>
          <w:rFonts w:ascii="Calibri" w:eastAsia="Times New Roman" w:hAnsi="Calibri" w:cs="Calibri"/>
          <w:lang w:eastAsia="en-GB"/>
        </w:rPr>
        <w:t xml:space="preserve">The different outcome measures </w:t>
      </w:r>
      <m:oMath>
        <m:sSub>
          <m:sSubPr>
            <m:ctrlPr>
              <w:rPr>
                <w:rFonts w:ascii="Cambria Math" w:eastAsia="Times New Roman" w:hAnsi="Cambria Math" w:cs="Calibri"/>
                <w:lang w:eastAsia="en-GB"/>
              </w:rPr>
            </m:ctrlPr>
          </m:sSubPr>
          <m:e>
            <m:r>
              <w:rPr>
                <w:rFonts w:ascii="Cambria Math" w:eastAsia="Times New Roman" w:hAnsi="Cambria Math" w:cs="Calibri"/>
                <w:lang w:eastAsia="en-GB"/>
              </w:rPr>
              <m:t>Y</m:t>
            </m:r>
          </m:e>
          <m:sub>
            <m:r>
              <w:rPr>
                <w:rFonts w:ascii="Cambria Math" w:eastAsia="Times New Roman" w:hAnsi="Cambria Math" w:cs="Calibri"/>
                <w:lang w:eastAsia="en-GB"/>
              </w:rPr>
              <m:t>ict</m:t>
            </m:r>
          </m:sub>
        </m:sSub>
      </m:oMath>
      <w:r>
        <w:rPr>
          <w:rFonts w:ascii="Calibri" w:eastAsia="Times New Roman" w:hAnsi="Calibri" w:cs="Calibri"/>
          <w:lang w:eastAsia="en-GB"/>
        </w:rPr>
        <w:t xml:space="preserve"> of fertility are actual</w:t>
      </w:r>
      <w:r>
        <w:t xml:space="preserve"> births, preferences for children, expectations to have children, number of intended children and the expected timing of next child.</w:t>
      </w:r>
      <w:r>
        <w:rPr>
          <w:rStyle w:val="FootnoteReference"/>
        </w:rPr>
        <w:footnoteReference w:id="28"/>
      </w:r>
      <w:r>
        <w:t xml:space="preserve"> </w:t>
      </w:r>
      <w:r>
        <w:rPr>
          <w:rFonts w:ascii="Calibri" w:eastAsia="Times New Roman" w:hAnsi="Calibri" w:cs="Calibri"/>
          <w:lang w:eastAsia="en-GB"/>
        </w:rPr>
        <w:t>Equation (1), for these different outcomes, is generally estimated using</w:t>
      </w:r>
      <w:r w:rsidRPr="00102C89">
        <w:rPr>
          <w:rFonts w:ascii="Calibri" w:eastAsia="Times New Roman" w:hAnsi="Calibri" w:cs="Calibri"/>
          <w:lang w:eastAsia="en-GB"/>
        </w:rPr>
        <w:t xml:space="preserve"> linear</w:t>
      </w:r>
      <w:r>
        <w:rPr>
          <w:rFonts w:ascii="Calibri" w:eastAsia="Times New Roman" w:hAnsi="Calibri" w:cs="Calibri"/>
          <w:lang w:eastAsia="en-GB"/>
        </w:rPr>
        <w:t>,</w:t>
      </w:r>
      <w:r w:rsidRPr="00102C89">
        <w:rPr>
          <w:rFonts w:ascii="Calibri" w:eastAsia="Times New Roman" w:hAnsi="Calibri" w:cs="Calibri"/>
          <w:lang w:eastAsia="en-GB"/>
        </w:rPr>
        <w:t xml:space="preserve"> </w:t>
      </w:r>
      <w:r>
        <w:rPr>
          <w:rFonts w:ascii="Calibri" w:eastAsia="Times New Roman" w:hAnsi="Calibri" w:cs="Calibri"/>
          <w:lang w:eastAsia="en-GB"/>
        </w:rPr>
        <w:t xml:space="preserve">ordinary least squares regression. We conduct robustness checks using probit </w:t>
      </w:r>
      <w:r w:rsidRPr="00102C89">
        <w:rPr>
          <w:rFonts w:ascii="Calibri" w:eastAsia="Times New Roman" w:hAnsi="Calibri" w:cs="Calibri"/>
          <w:lang w:eastAsia="en-GB"/>
        </w:rPr>
        <w:t>models for binary outcomes</w:t>
      </w:r>
      <w:r>
        <w:rPr>
          <w:rFonts w:ascii="Calibri" w:eastAsia="Times New Roman" w:hAnsi="Calibri" w:cs="Calibri"/>
          <w:lang w:eastAsia="en-GB"/>
        </w:rPr>
        <w:t>. We use p</w:t>
      </w:r>
      <w:r w:rsidRPr="00102C89">
        <w:rPr>
          <w:rFonts w:ascii="Calibri" w:eastAsia="Times New Roman" w:hAnsi="Calibri" w:cs="Calibri"/>
          <w:lang w:eastAsia="en-GB"/>
        </w:rPr>
        <w:t xml:space="preserve">oisson models for </w:t>
      </w:r>
      <w:r>
        <w:rPr>
          <w:rFonts w:ascii="Calibri" w:eastAsia="Times New Roman" w:hAnsi="Calibri" w:cs="Calibri"/>
          <w:lang w:eastAsia="en-GB"/>
        </w:rPr>
        <w:t xml:space="preserve">the count variable of stated </w:t>
      </w:r>
      <w:r w:rsidRPr="00102C89">
        <w:rPr>
          <w:rFonts w:ascii="Calibri" w:eastAsia="Times New Roman" w:hAnsi="Calibri" w:cs="Calibri"/>
          <w:lang w:eastAsia="en-GB"/>
        </w:rPr>
        <w:t xml:space="preserve">number of </w:t>
      </w:r>
      <w:r>
        <w:rPr>
          <w:rFonts w:ascii="Calibri" w:eastAsia="Times New Roman" w:hAnsi="Calibri" w:cs="Calibri"/>
          <w:lang w:eastAsia="en-GB"/>
        </w:rPr>
        <w:t xml:space="preserve">intended </w:t>
      </w:r>
      <w:r w:rsidRPr="00102C89">
        <w:rPr>
          <w:rFonts w:ascii="Calibri" w:eastAsia="Times New Roman" w:hAnsi="Calibri" w:cs="Calibri"/>
          <w:lang w:eastAsia="en-GB"/>
        </w:rPr>
        <w:t>children.</w:t>
      </w:r>
    </w:p>
    <w:p w14:paraId="6A82A1D2" w14:textId="77777777" w:rsidR="00244248" w:rsidRPr="002C3A8D" w:rsidRDefault="00244248" w:rsidP="00244248">
      <w:pPr>
        <w:shd w:val="clear" w:color="auto" w:fill="FFFFFF"/>
        <w:spacing w:after="0" w:line="240" w:lineRule="auto"/>
        <w:rPr>
          <w:rFonts w:ascii="Calibri" w:eastAsia="Times New Roman" w:hAnsi="Calibri" w:cs="Calibri"/>
          <w:lang w:eastAsia="en-AU"/>
        </w:rPr>
      </w:pPr>
      <w:r w:rsidRPr="002C3A8D">
        <w:rPr>
          <w:rFonts w:ascii="Calibri" w:eastAsia="Times New Roman" w:hAnsi="Calibri" w:cs="Calibri"/>
          <w:lang w:eastAsia="en-AU"/>
        </w:rPr>
        <w:t> </w:t>
      </w:r>
    </w:p>
    <w:p w14:paraId="3086EAEE" w14:textId="77777777" w:rsidR="00244248" w:rsidRPr="00600AC9" w:rsidRDefault="00244248" w:rsidP="00244248">
      <w:pPr>
        <w:rPr>
          <w:rFonts w:ascii="Calibri" w:eastAsia="Times New Roman" w:hAnsi="Calibri" w:cs="Calibri"/>
          <w:b/>
          <w:bCs/>
          <w:lang w:eastAsia="en-GB"/>
        </w:rPr>
      </w:pPr>
      <w:r w:rsidRPr="00600AC9">
        <w:rPr>
          <w:rFonts w:ascii="Calibri" w:eastAsia="Times New Roman" w:hAnsi="Calibri" w:cs="Calibri"/>
          <w:b/>
          <w:bCs/>
          <w:lang w:eastAsia="en-GB"/>
        </w:rPr>
        <w:t>Policy Changes</w:t>
      </w:r>
    </w:p>
    <w:p w14:paraId="42EF66AE" w14:textId="01695E26" w:rsidR="00244248" w:rsidRDefault="00244248" w:rsidP="00244248">
      <w:pPr>
        <w:rPr>
          <w:rFonts w:ascii="Calibri" w:eastAsia="Times New Roman" w:hAnsi="Calibri" w:cs="Calibri"/>
          <w:lang w:eastAsia="en-GB"/>
        </w:rPr>
      </w:pPr>
      <w:r>
        <w:rPr>
          <w:rFonts w:ascii="Calibri" w:eastAsia="Times New Roman" w:hAnsi="Calibri" w:cs="Calibri"/>
          <w:lang w:eastAsia="en-GB"/>
        </w:rPr>
        <w:t>We examine four</w:t>
      </w:r>
      <w:r w:rsidRPr="00102C89">
        <w:rPr>
          <w:rFonts w:ascii="Calibri" w:eastAsia="Times New Roman" w:hAnsi="Calibri" w:cs="Calibri"/>
          <w:lang w:eastAsia="en-GB"/>
        </w:rPr>
        <w:t xml:space="preserve"> polic</w:t>
      </w:r>
      <w:r>
        <w:rPr>
          <w:rFonts w:ascii="Calibri" w:eastAsia="Times New Roman" w:hAnsi="Calibri" w:cs="Calibri"/>
          <w:lang w:eastAsia="en-GB"/>
        </w:rPr>
        <w:t>y</w:t>
      </w:r>
      <w:r w:rsidRPr="00102C89">
        <w:rPr>
          <w:rFonts w:ascii="Calibri" w:eastAsia="Times New Roman" w:hAnsi="Calibri" w:cs="Calibri"/>
          <w:lang w:eastAsia="en-GB"/>
        </w:rPr>
        <w:t xml:space="preserve"> changes </w:t>
      </w:r>
      <w:r>
        <w:rPr>
          <w:rFonts w:ascii="Calibri" w:eastAsia="Times New Roman" w:hAnsi="Calibri" w:cs="Calibri"/>
          <w:lang w:eastAsia="en-GB"/>
        </w:rPr>
        <w:t xml:space="preserve">which </w:t>
      </w:r>
      <w:r w:rsidRPr="00102C89">
        <w:rPr>
          <w:rFonts w:ascii="Calibri" w:eastAsia="Times New Roman" w:hAnsi="Calibri" w:cs="Calibri"/>
          <w:lang w:eastAsia="en-GB"/>
        </w:rPr>
        <w:t>may have affected fertility or fertility intentions</w:t>
      </w:r>
      <w:r>
        <w:rPr>
          <w:rFonts w:ascii="Calibri" w:eastAsia="Times New Roman" w:hAnsi="Calibri" w:cs="Calibri"/>
          <w:lang w:eastAsia="en-GB"/>
        </w:rPr>
        <w:t xml:space="preserve"> and occur during our sample period. We investigate: (a)</w:t>
      </w:r>
      <w:r w:rsidRPr="00102C89">
        <w:rPr>
          <w:rFonts w:ascii="Calibri" w:eastAsia="Times New Roman" w:hAnsi="Calibri" w:cs="Calibri"/>
          <w:lang w:eastAsia="en-GB"/>
        </w:rPr>
        <w:t xml:space="preserve"> </w:t>
      </w:r>
      <w:r>
        <w:rPr>
          <w:rFonts w:ascii="Calibri" w:eastAsia="Times New Roman" w:hAnsi="Calibri" w:cs="Calibri"/>
          <w:lang w:eastAsia="en-GB"/>
        </w:rPr>
        <w:t>the baby bonus p</w:t>
      </w:r>
      <w:r w:rsidRPr="003B75B6">
        <w:rPr>
          <w:rFonts w:ascii="Calibri" w:eastAsia="Times New Roman" w:hAnsi="Calibri" w:cs="Calibri"/>
          <w:lang w:eastAsia="en-GB"/>
        </w:rPr>
        <w:t>rogram</w:t>
      </w:r>
      <w:r>
        <w:rPr>
          <w:rFonts w:ascii="Calibri" w:eastAsia="Times New Roman" w:hAnsi="Calibri" w:cs="Calibri"/>
          <w:lang w:eastAsia="en-GB"/>
        </w:rPr>
        <w:t xml:space="preserve"> which was introduced in </w:t>
      </w:r>
      <w:r>
        <w:rPr>
          <w:rFonts w:ascii="Calibri" w:eastAsia="Times New Roman" w:hAnsi="Calibri" w:cs="Calibri"/>
          <w:lang w:eastAsia="en-GB"/>
        </w:rPr>
        <w:lastRenderedPageBreak/>
        <w:t xml:space="preserve">2004; (b) </w:t>
      </w:r>
      <w:r w:rsidRPr="00102C89">
        <w:rPr>
          <w:rFonts w:ascii="Calibri" w:eastAsia="Times New Roman" w:hAnsi="Calibri" w:cs="Calibri"/>
          <w:lang w:eastAsia="en-GB"/>
        </w:rPr>
        <w:t>paid parental leave</w:t>
      </w:r>
      <w:r>
        <w:rPr>
          <w:rFonts w:ascii="Calibri" w:eastAsia="Times New Roman" w:hAnsi="Calibri" w:cs="Calibri"/>
          <w:lang w:eastAsia="en-GB"/>
        </w:rPr>
        <w:t>,</w:t>
      </w:r>
      <w:r w:rsidRPr="00102C89">
        <w:rPr>
          <w:rFonts w:ascii="Calibri" w:eastAsia="Times New Roman" w:hAnsi="Calibri" w:cs="Calibri"/>
          <w:lang w:eastAsia="en-GB"/>
        </w:rPr>
        <w:t xml:space="preserve"> </w:t>
      </w:r>
      <w:r>
        <w:rPr>
          <w:rFonts w:ascii="Calibri" w:eastAsia="Times New Roman" w:hAnsi="Calibri" w:cs="Calibri"/>
          <w:lang w:eastAsia="en-GB"/>
        </w:rPr>
        <w:t>announced in 2009 and implemented in 2009; (c) the extension of p</w:t>
      </w:r>
      <w:r w:rsidRPr="003B75B6">
        <w:rPr>
          <w:rFonts w:ascii="Calibri" w:eastAsia="Times New Roman" w:hAnsi="Calibri" w:cs="Calibri"/>
          <w:lang w:eastAsia="en-GB"/>
        </w:rPr>
        <w:t xml:space="preserve">aid </w:t>
      </w:r>
      <w:r w:rsidR="00BA1B81">
        <w:rPr>
          <w:rFonts w:ascii="Calibri" w:eastAsia="Times New Roman" w:hAnsi="Calibri" w:cs="Calibri"/>
          <w:lang w:eastAsia="en-GB"/>
        </w:rPr>
        <w:t xml:space="preserve">partner </w:t>
      </w:r>
      <w:r>
        <w:rPr>
          <w:rFonts w:ascii="Calibri" w:eastAsia="Times New Roman" w:hAnsi="Calibri" w:cs="Calibri"/>
          <w:lang w:eastAsia="en-GB"/>
        </w:rPr>
        <w:t>l</w:t>
      </w:r>
      <w:r w:rsidRPr="003B75B6">
        <w:rPr>
          <w:rFonts w:ascii="Calibri" w:eastAsia="Times New Roman" w:hAnsi="Calibri" w:cs="Calibri"/>
          <w:lang w:eastAsia="en-GB"/>
        </w:rPr>
        <w:t>eave</w:t>
      </w:r>
      <w:r>
        <w:rPr>
          <w:rFonts w:ascii="Calibri" w:eastAsia="Times New Roman" w:hAnsi="Calibri" w:cs="Calibri"/>
          <w:lang w:eastAsia="en-GB"/>
        </w:rPr>
        <w:t>,</w:t>
      </w:r>
      <w:r w:rsidRPr="003B75B6">
        <w:rPr>
          <w:rFonts w:ascii="Calibri" w:eastAsia="Times New Roman" w:hAnsi="Calibri" w:cs="Calibri"/>
          <w:lang w:eastAsia="en-GB"/>
        </w:rPr>
        <w:t xml:space="preserve"> </w:t>
      </w:r>
      <w:r>
        <w:rPr>
          <w:rFonts w:ascii="Calibri" w:eastAsia="Times New Roman" w:hAnsi="Calibri" w:cs="Calibri"/>
          <w:lang w:eastAsia="en-GB"/>
        </w:rPr>
        <w:t>was added in 2013; and</w:t>
      </w:r>
      <w:r w:rsidRPr="00102C89">
        <w:rPr>
          <w:rFonts w:ascii="Calibri" w:eastAsia="Times New Roman" w:hAnsi="Calibri" w:cs="Calibri"/>
          <w:lang w:eastAsia="en-GB"/>
        </w:rPr>
        <w:t xml:space="preserve"> </w:t>
      </w:r>
      <w:r>
        <w:rPr>
          <w:rFonts w:ascii="Calibri" w:eastAsia="Times New Roman" w:hAnsi="Calibri" w:cs="Calibri"/>
          <w:lang w:eastAsia="en-GB"/>
        </w:rPr>
        <w:t>(d) the family tax benefit r</w:t>
      </w:r>
      <w:r w:rsidRPr="003B75B6">
        <w:rPr>
          <w:rFonts w:ascii="Calibri" w:eastAsia="Times New Roman" w:hAnsi="Calibri" w:cs="Calibri"/>
          <w:lang w:eastAsia="en-GB"/>
        </w:rPr>
        <w:t>eform</w:t>
      </w:r>
      <w:r>
        <w:rPr>
          <w:rFonts w:ascii="Calibri" w:eastAsia="Times New Roman" w:hAnsi="Calibri" w:cs="Calibri"/>
          <w:lang w:eastAsia="en-GB"/>
        </w:rPr>
        <w:t xml:space="preserve"> of 2004</w:t>
      </w:r>
      <w:r w:rsidRPr="00102C89">
        <w:rPr>
          <w:rFonts w:ascii="Calibri" w:eastAsia="Times New Roman" w:hAnsi="Calibri" w:cs="Calibri"/>
          <w:lang w:eastAsia="en-GB"/>
        </w:rPr>
        <w:t>.</w:t>
      </w:r>
      <w:r>
        <w:rPr>
          <w:rFonts w:ascii="Calibri" w:eastAsia="Times New Roman" w:hAnsi="Calibri" w:cs="Calibri"/>
          <w:lang w:eastAsia="en-GB"/>
        </w:rPr>
        <w:t xml:space="preserve"> </w:t>
      </w:r>
    </w:p>
    <w:p w14:paraId="75430038" w14:textId="77777777" w:rsidR="00244248" w:rsidRDefault="00244248" w:rsidP="00244248">
      <w:pPr>
        <w:rPr>
          <w:rFonts w:ascii="Calibri" w:eastAsia="Times New Roman" w:hAnsi="Calibri" w:cs="Calibri"/>
          <w:lang w:eastAsia="en-GB"/>
        </w:rPr>
      </w:pPr>
      <w:r>
        <w:rPr>
          <w:rFonts w:ascii="Calibri" w:eastAsia="Times New Roman" w:hAnsi="Calibri" w:cs="Calibri"/>
          <w:lang w:eastAsia="en-GB"/>
        </w:rPr>
        <w:t>We expect that when a po</w:t>
      </w:r>
      <w:r w:rsidRPr="00102C89">
        <w:rPr>
          <w:rFonts w:ascii="Calibri" w:eastAsia="Times New Roman" w:hAnsi="Calibri" w:cs="Calibri"/>
          <w:lang w:eastAsia="en-GB"/>
        </w:rPr>
        <w:t>licy</w:t>
      </w:r>
      <w:r>
        <w:rPr>
          <w:rFonts w:ascii="Calibri" w:eastAsia="Times New Roman" w:hAnsi="Calibri" w:cs="Calibri"/>
          <w:lang w:eastAsia="en-GB"/>
        </w:rPr>
        <w:t xml:space="preserve"> reduces </w:t>
      </w:r>
      <w:r w:rsidRPr="00102C89">
        <w:rPr>
          <w:rFonts w:ascii="Calibri" w:eastAsia="Times New Roman" w:hAnsi="Calibri" w:cs="Calibri"/>
          <w:lang w:eastAsia="en-GB"/>
        </w:rPr>
        <w:t xml:space="preserve">the cost of raising a child </w:t>
      </w:r>
      <w:r>
        <w:rPr>
          <w:rFonts w:ascii="Calibri" w:eastAsia="Times New Roman" w:hAnsi="Calibri" w:cs="Calibri"/>
          <w:lang w:eastAsia="en-GB"/>
        </w:rPr>
        <w:t xml:space="preserve">that it </w:t>
      </w:r>
      <w:r w:rsidRPr="00102C89">
        <w:rPr>
          <w:rFonts w:ascii="Calibri" w:eastAsia="Times New Roman" w:hAnsi="Calibri" w:cs="Calibri"/>
          <w:lang w:eastAsia="en-GB"/>
        </w:rPr>
        <w:t>may lower the economic barrier</w:t>
      </w:r>
      <w:r>
        <w:rPr>
          <w:rFonts w:ascii="Calibri" w:eastAsia="Times New Roman" w:hAnsi="Calibri" w:cs="Calibri"/>
          <w:lang w:eastAsia="en-GB"/>
        </w:rPr>
        <w:t>s</w:t>
      </w:r>
      <w:r w:rsidRPr="00102C89">
        <w:rPr>
          <w:rFonts w:ascii="Calibri" w:eastAsia="Times New Roman" w:hAnsi="Calibri" w:cs="Calibri"/>
          <w:lang w:eastAsia="en-GB"/>
        </w:rPr>
        <w:t xml:space="preserve"> of fertility</w:t>
      </w:r>
      <w:r>
        <w:rPr>
          <w:rFonts w:ascii="Calibri" w:eastAsia="Times New Roman" w:hAnsi="Calibri" w:cs="Calibri"/>
          <w:lang w:eastAsia="en-GB"/>
        </w:rPr>
        <w:t>.  This may be observed in fertility outcomes and intentions.</w:t>
      </w:r>
      <w:r w:rsidRPr="00102C89">
        <w:rPr>
          <w:rFonts w:ascii="Calibri" w:eastAsia="Times New Roman" w:hAnsi="Calibri" w:cs="Calibri"/>
          <w:lang w:eastAsia="en-GB"/>
        </w:rPr>
        <w:t xml:space="preserve"> </w:t>
      </w:r>
      <w:r>
        <w:rPr>
          <w:rFonts w:ascii="Calibri" w:eastAsia="Times New Roman" w:hAnsi="Calibri" w:cs="Calibri"/>
          <w:lang w:eastAsia="en-GB"/>
        </w:rPr>
        <w:t xml:space="preserve">We identify who is affected by each policy (and who is not) to use </w:t>
      </w:r>
      <w:r w:rsidRPr="00102C89">
        <w:rPr>
          <w:rFonts w:ascii="Calibri" w:eastAsia="Times New Roman" w:hAnsi="Calibri" w:cs="Calibri"/>
          <w:lang w:eastAsia="en-GB"/>
        </w:rPr>
        <w:t xml:space="preserve">a </w:t>
      </w:r>
      <w:r>
        <w:rPr>
          <w:rFonts w:ascii="Calibri" w:eastAsia="Times New Roman" w:hAnsi="Calibri" w:cs="Calibri"/>
          <w:lang w:eastAsia="en-GB"/>
        </w:rPr>
        <w:t>d</w:t>
      </w:r>
      <w:r w:rsidRPr="00102C89">
        <w:rPr>
          <w:rFonts w:ascii="Calibri" w:eastAsia="Times New Roman" w:hAnsi="Calibri" w:cs="Calibri"/>
          <w:lang w:eastAsia="en-GB"/>
        </w:rPr>
        <w:t>ifference-in-</w:t>
      </w:r>
      <w:r>
        <w:rPr>
          <w:rFonts w:ascii="Calibri" w:eastAsia="Times New Roman" w:hAnsi="Calibri" w:cs="Calibri"/>
          <w:lang w:eastAsia="en-GB"/>
        </w:rPr>
        <w:t>d</w:t>
      </w:r>
      <w:r w:rsidRPr="00102C89">
        <w:rPr>
          <w:rFonts w:ascii="Calibri" w:eastAsia="Times New Roman" w:hAnsi="Calibri" w:cs="Calibri"/>
          <w:lang w:eastAsia="en-GB"/>
        </w:rPr>
        <w:t>if</w:t>
      </w:r>
      <w:r>
        <w:rPr>
          <w:rFonts w:ascii="Calibri" w:eastAsia="Times New Roman" w:hAnsi="Calibri" w:cs="Calibri"/>
          <w:lang w:eastAsia="en-GB"/>
        </w:rPr>
        <w:t>ference identification strategy for causal inference. In some cases, w</w:t>
      </w:r>
      <w:r w:rsidRPr="00102C89">
        <w:rPr>
          <w:rFonts w:ascii="Calibri" w:eastAsia="Times New Roman" w:hAnsi="Calibri" w:cs="Calibri"/>
          <w:lang w:eastAsia="en-GB"/>
        </w:rPr>
        <w:t xml:space="preserve">e exploit the variation </w:t>
      </w:r>
      <w:r>
        <w:rPr>
          <w:rFonts w:ascii="Calibri" w:eastAsia="Times New Roman" w:hAnsi="Calibri" w:cs="Calibri"/>
          <w:lang w:eastAsia="en-GB"/>
        </w:rPr>
        <w:t>in</w:t>
      </w:r>
      <w:r w:rsidRPr="00102C89">
        <w:rPr>
          <w:rFonts w:ascii="Calibri" w:eastAsia="Times New Roman" w:hAnsi="Calibri" w:cs="Calibri"/>
          <w:lang w:eastAsia="en-GB"/>
        </w:rPr>
        <w:t xml:space="preserve"> the scheme for women working in public and private sectors</w:t>
      </w:r>
      <w:r>
        <w:rPr>
          <w:rFonts w:ascii="Calibri" w:eastAsia="Times New Roman" w:hAnsi="Calibri" w:cs="Calibri"/>
          <w:lang w:eastAsia="en-GB"/>
        </w:rPr>
        <w:t xml:space="preserve">.  Or we </w:t>
      </w:r>
      <w:r w:rsidRPr="00102C89">
        <w:rPr>
          <w:rFonts w:ascii="Calibri" w:eastAsia="Times New Roman" w:hAnsi="Calibri" w:cs="Calibri"/>
          <w:lang w:eastAsia="en-GB"/>
        </w:rPr>
        <w:t xml:space="preserve">exploit </w:t>
      </w:r>
      <w:r>
        <w:rPr>
          <w:rFonts w:ascii="Calibri" w:eastAsia="Times New Roman" w:hAnsi="Calibri" w:cs="Calibri"/>
          <w:lang w:eastAsia="en-GB"/>
        </w:rPr>
        <w:t xml:space="preserve">changes for individuals in response to the policy to see if we obtain similar impacts. We use </w:t>
      </w:r>
      <w:r w:rsidRPr="00102C89">
        <w:rPr>
          <w:rFonts w:ascii="Calibri" w:eastAsia="Times New Roman" w:hAnsi="Calibri" w:cs="Calibri"/>
          <w:lang w:eastAsia="en-GB"/>
        </w:rPr>
        <w:t xml:space="preserve">the within person variation to see whether the results would change. </w:t>
      </w:r>
      <w:r>
        <w:rPr>
          <w:rFonts w:ascii="Calibri" w:eastAsia="Times New Roman" w:hAnsi="Calibri" w:cs="Calibri"/>
          <w:lang w:eastAsia="en-GB"/>
        </w:rPr>
        <w:t xml:space="preserve">The detailed identification strategies we propose for each policy are described in each relevant section. </w:t>
      </w:r>
    </w:p>
    <w:p w14:paraId="266C4A79" w14:textId="77777777" w:rsidR="00244248" w:rsidRPr="000803EB" w:rsidRDefault="00244248" w:rsidP="00244248">
      <w:pPr>
        <w:rPr>
          <w:rFonts w:ascii="Calibri" w:eastAsia="Times New Roman" w:hAnsi="Calibri"/>
          <w:lang w:eastAsia="en-GB"/>
        </w:rPr>
      </w:pPr>
      <w:r>
        <w:rPr>
          <w:rFonts w:ascii="Calibri" w:eastAsia="Times New Roman" w:hAnsi="Calibri" w:cs="Calibri"/>
          <w:lang w:eastAsia="en-GB"/>
        </w:rPr>
        <w:t>To attempt to identify the causal impact of these policy changes, we use</w:t>
      </w:r>
      <w:r w:rsidRPr="00102C89">
        <w:rPr>
          <w:rFonts w:ascii="Calibri" w:eastAsia="Times New Roman" w:hAnsi="Calibri" w:cs="Calibri"/>
          <w:lang w:eastAsia="en-GB"/>
        </w:rPr>
        <w:t xml:space="preserve"> a Difference-in-Difference identification strategy</w:t>
      </w:r>
      <w:r>
        <w:rPr>
          <w:rFonts w:ascii="Calibri" w:eastAsia="Times New Roman" w:hAnsi="Calibri" w:cs="Calibri"/>
          <w:lang w:eastAsia="en-GB"/>
        </w:rPr>
        <w:t xml:space="preserve"> (DiD). </w:t>
      </w:r>
      <w:r w:rsidRPr="000803EB">
        <w:rPr>
          <w:rFonts w:ascii="Calibri" w:eastAsia="Times New Roman" w:hAnsi="Calibri"/>
          <w:lang w:eastAsia="en-GB"/>
        </w:rPr>
        <w:t xml:space="preserve">The key feature of these strategies is our identification of a treatment group, affected by the policy, and a control group of individuals or households who are not affected by the policy. For each policy, we briefly describe the timing of the policy and the rationale behind the identification of the treatment and control groups. </w:t>
      </w:r>
    </w:p>
    <w:p w14:paraId="2371CD9D" w14:textId="29991C44" w:rsidR="00244248" w:rsidRDefault="00244248" w:rsidP="00244248">
      <w:pPr>
        <w:rPr>
          <w:rFonts w:ascii="Calibri" w:eastAsia="Times New Roman" w:hAnsi="Calibri"/>
          <w:lang w:eastAsia="en-GB"/>
        </w:rPr>
      </w:pPr>
      <w:r w:rsidRPr="000803EB">
        <w:rPr>
          <w:rFonts w:ascii="Calibri" w:eastAsia="Times New Roman" w:hAnsi="Calibri"/>
          <w:lang w:eastAsia="en-GB"/>
        </w:rPr>
        <w:t>For each policy, we present multiple possible identification strategies.  All of the presented identification strategies are potentially valid approaches to identify treatment and control groups and use the DiD methodology.  For clarity, we pick a preferred identification strategy for which we present results in the main section of the report. Results using (most of) the other identification strategies are reported in the Appendix</w:t>
      </w:r>
      <w:r w:rsidR="000803EB">
        <w:rPr>
          <w:rFonts w:ascii="Calibri" w:eastAsia="Times New Roman" w:hAnsi="Calibri"/>
          <w:lang w:eastAsia="en-GB"/>
        </w:rPr>
        <w:t>.</w:t>
      </w:r>
    </w:p>
    <w:p w14:paraId="71DE314B" w14:textId="3CFD3DC9" w:rsidR="00093B4C" w:rsidRDefault="00093B4C" w:rsidP="00244248">
      <w:pPr>
        <w:rPr>
          <w:rFonts w:ascii="Calibri" w:eastAsia="Times New Roman" w:hAnsi="Calibri"/>
          <w:lang w:eastAsia="en-GB"/>
        </w:rPr>
      </w:pPr>
      <w:r>
        <w:rPr>
          <w:rFonts w:ascii="Calibri" w:eastAsia="Times New Roman" w:hAnsi="Calibri"/>
          <w:lang w:eastAsia="en-GB"/>
        </w:rPr>
        <w:t xml:space="preserve">Identification through DiD requires two core things to hold in the data.  The first is that there are no other policy changes happening at the same time which could confound our treatment estimates.  The second thing that could go wrong is if the </w:t>
      </w:r>
      <w:r w:rsidR="00BC70D8">
        <w:rPr>
          <w:rFonts w:ascii="Calibri" w:eastAsia="Times New Roman" w:hAnsi="Calibri"/>
          <w:lang w:eastAsia="en-GB"/>
        </w:rPr>
        <w:t>treatment</w:t>
      </w:r>
      <w:r>
        <w:rPr>
          <w:rFonts w:ascii="Calibri" w:eastAsia="Times New Roman" w:hAnsi="Calibri"/>
          <w:lang w:eastAsia="en-GB"/>
        </w:rPr>
        <w:t xml:space="preserve"> and control groups have different underlying trends in the data.  DiD works by </w:t>
      </w:r>
      <w:r w:rsidR="00E911DF">
        <w:rPr>
          <w:rFonts w:ascii="Calibri" w:eastAsia="Times New Roman" w:hAnsi="Calibri"/>
          <w:lang w:eastAsia="en-GB"/>
        </w:rPr>
        <w:t>‘</w:t>
      </w:r>
      <w:r>
        <w:rPr>
          <w:rFonts w:ascii="Calibri" w:eastAsia="Times New Roman" w:hAnsi="Calibri"/>
          <w:lang w:eastAsia="en-GB"/>
        </w:rPr>
        <w:t>imputing</w:t>
      </w:r>
      <w:r w:rsidR="00E911DF">
        <w:rPr>
          <w:rFonts w:ascii="Calibri" w:eastAsia="Times New Roman" w:hAnsi="Calibri"/>
          <w:lang w:eastAsia="en-GB"/>
        </w:rPr>
        <w:t>’</w:t>
      </w:r>
      <w:r>
        <w:rPr>
          <w:rFonts w:ascii="Calibri" w:eastAsia="Times New Roman" w:hAnsi="Calibri"/>
          <w:lang w:eastAsia="en-GB"/>
        </w:rPr>
        <w:t xml:space="preserve"> the trend from the treatment group to the control group to create a counter-factual of what would have happened to the treatment group in the absence of treatment</w:t>
      </w:r>
      <w:r w:rsidR="002B6C94">
        <w:rPr>
          <w:rFonts w:ascii="Calibri" w:eastAsia="Times New Roman" w:hAnsi="Calibri"/>
          <w:lang w:eastAsia="en-GB"/>
        </w:rPr>
        <w:t xml:space="preserve">.  If the treatment and control groups are evolving similarly over time (often referred to in the literature as </w:t>
      </w:r>
      <w:r w:rsidR="00E911DF">
        <w:rPr>
          <w:rFonts w:ascii="Calibri" w:eastAsia="Times New Roman" w:hAnsi="Calibri"/>
          <w:lang w:eastAsia="en-GB"/>
        </w:rPr>
        <w:t>‘</w:t>
      </w:r>
      <w:r w:rsidR="002B6C94">
        <w:rPr>
          <w:rFonts w:ascii="Calibri" w:eastAsia="Times New Roman" w:hAnsi="Calibri"/>
          <w:lang w:eastAsia="en-GB"/>
        </w:rPr>
        <w:t>parallel trends</w:t>
      </w:r>
      <w:r w:rsidR="00E911DF">
        <w:rPr>
          <w:rFonts w:ascii="Calibri" w:eastAsia="Times New Roman" w:hAnsi="Calibri"/>
          <w:lang w:eastAsia="en-GB"/>
        </w:rPr>
        <w:t>’</w:t>
      </w:r>
      <w:r w:rsidR="002B6C94">
        <w:rPr>
          <w:rFonts w:ascii="Calibri" w:eastAsia="Times New Roman" w:hAnsi="Calibri"/>
          <w:lang w:eastAsia="en-GB"/>
        </w:rPr>
        <w:t>), then DiD will work well.  If parallel trends is violated, then DiD may not provide a valid methodology for estimating the impact of policy.</w:t>
      </w:r>
    </w:p>
    <w:p w14:paraId="338C0B8E" w14:textId="1D682EC4" w:rsidR="00ED74EC" w:rsidRDefault="002B6C94" w:rsidP="00244248">
      <w:pPr>
        <w:rPr>
          <w:rFonts w:ascii="Calibri" w:eastAsia="Times New Roman" w:hAnsi="Calibri"/>
          <w:lang w:eastAsia="en-GB"/>
        </w:rPr>
      </w:pPr>
      <w:r>
        <w:rPr>
          <w:rFonts w:ascii="Calibri" w:eastAsia="Times New Roman" w:hAnsi="Calibri"/>
          <w:lang w:eastAsia="en-GB"/>
        </w:rPr>
        <w:t xml:space="preserve">One way to informally test both of these assumptions is to estimate what are called </w:t>
      </w:r>
      <w:r w:rsidR="00E911DF">
        <w:rPr>
          <w:rFonts w:ascii="Calibri" w:eastAsia="Times New Roman" w:hAnsi="Calibri"/>
          <w:lang w:eastAsia="en-GB"/>
        </w:rPr>
        <w:t>‘</w:t>
      </w:r>
      <w:r>
        <w:rPr>
          <w:rFonts w:ascii="Calibri" w:eastAsia="Times New Roman" w:hAnsi="Calibri"/>
          <w:lang w:eastAsia="en-GB"/>
        </w:rPr>
        <w:t>placebo tests</w:t>
      </w:r>
      <w:r w:rsidR="00E911DF">
        <w:rPr>
          <w:rFonts w:ascii="Calibri" w:eastAsia="Times New Roman" w:hAnsi="Calibri"/>
          <w:lang w:eastAsia="en-GB"/>
        </w:rPr>
        <w:t>’</w:t>
      </w:r>
      <w:r>
        <w:rPr>
          <w:rFonts w:ascii="Calibri" w:eastAsia="Times New Roman" w:hAnsi="Calibri"/>
          <w:lang w:eastAsia="en-GB"/>
        </w:rPr>
        <w:t xml:space="preserve">—that is tests of a </w:t>
      </w:r>
      <w:r w:rsidR="00E911DF">
        <w:rPr>
          <w:rFonts w:ascii="Calibri" w:eastAsia="Times New Roman" w:hAnsi="Calibri"/>
          <w:lang w:eastAsia="en-GB"/>
        </w:rPr>
        <w:t>‘</w:t>
      </w:r>
      <w:r>
        <w:rPr>
          <w:rFonts w:ascii="Calibri" w:eastAsia="Times New Roman" w:hAnsi="Calibri"/>
          <w:lang w:eastAsia="en-GB"/>
        </w:rPr>
        <w:t>policy impact</w:t>
      </w:r>
      <w:r w:rsidR="00E911DF">
        <w:rPr>
          <w:rFonts w:ascii="Calibri" w:eastAsia="Times New Roman" w:hAnsi="Calibri"/>
          <w:lang w:eastAsia="en-GB"/>
        </w:rPr>
        <w:t>’</w:t>
      </w:r>
      <w:r>
        <w:rPr>
          <w:rFonts w:ascii="Calibri" w:eastAsia="Times New Roman" w:hAnsi="Calibri"/>
          <w:lang w:eastAsia="en-GB"/>
        </w:rPr>
        <w:t xml:space="preserve"> in years where there is no policy change.  Finding no policy effect in non-policy change years and a policy effect in the policy change year can provide evidence that DiD is working as intended.  If we find policy effects in years where there are no policy changes, then it could be that one or both of the assumptions are violated.  We present such placebo tests below for paid parental leave and the extension to </w:t>
      </w:r>
      <w:r w:rsidR="00791F6B">
        <w:rPr>
          <w:rFonts w:ascii="Calibri" w:eastAsia="Times New Roman" w:hAnsi="Calibri"/>
          <w:lang w:eastAsia="en-GB"/>
        </w:rPr>
        <w:t>partners</w:t>
      </w:r>
      <w:r>
        <w:rPr>
          <w:rFonts w:ascii="Calibri" w:eastAsia="Times New Roman" w:hAnsi="Calibri"/>
          <w:lang w:eastAsia="en-GB"/>
        </w:rPr>
        <w:t xml:space="preserve">.  </w:t>
      </w:r>
      <w:r w:rsidR="00ED74EC">
        <w:rPr>
          <w:rFonts w:ascii="Calibri" w:eastAsia="Times New Roman" w:hAnsi="Calibri"/>
          <w:lang w:eastAsia="en-GB"/>
        </w:rPr>
        <w:t xml:space="preserve">(Placebo tests for the two other policies provide a similar result—we have not included them for brevity.). </w:t>
      </w:r>
      <w:r>
        <w:rPr>
          <w:rFonts w:ascii="Calibri" w:eastAsia="Times New Roman" w:hAnsi="Calibri"/>
          <w:lang w:eastAsia="en-GB"/>
        </w:rPr>
        <w:t>In both cases, the placebo tests suggest that we may not be picking up a causal effect of these policies.  Lack of common trends and confounding effects from other policies or environmental factors threaten the internal validity of our estimates.</w:t>
      </w:r>
    </w:p>
    <w:p w14:paraId="724F9C09" w14:textId="77777777" w:rsidR="002B6C94" w:rsidRDefault="002B6C94" w:rsidP="00244248">
      <w:pPr>
        <w:rPr>
          <w:rFonts w:ascii="Calibri" w:eastAsia="Times New Roman" w:hAnsi="Calibri" w:cs="Calibri"/>
          <w:lang w:eastAsia="en-GB"/>
        </w:rPr>
      </w:pPr>
    </w:p>
    <w:p w14:paraId="5FE9C8B7" w14:textId="77777777" w:rsidR="00244248" w:rsidRPr="00600AC9" w:rsidRDefault="00244248" w:rsidP="00244248">
      <w:pPr>
        <w:pStyle w:val="Heading3"/>
        <w:numPr>
          <w:ilvl w:val="0"/>
          <w:numId w:val="0"/>
        </w:numPr>
      </w:pPr>
      <w:bookmarkStart w:id="164" w:name="_Toc87454637"/>
      <w:r w:rsidRPr="00600AC9">
        <w:t xml:space="preserve">Variable </w:t>
      </w:r>
      <w:r>
        <w:t xml:space="preserve">selection, </w:t>
      </w:r>
      <w:r w:rsidRPr="00600AC9">
        <w:t>description</w:t>
      </w:r>
      <w:r>
        <w:t xml:space="preserve"> and treatment</w:t>
      </w:r>
      <w:bookmarkEnd w:id="164"/>
    </w:p>
    <w:p w14:paraId="26C5F5AA" w14:textId="77777777" w:rsidR="00244248" w:rsidRDefault="00244248" w:rsidP="00244248">
      <w:pPr>
        <w:spacing w:after="0" w:line="240" w:lineRule="auto"/>
        <w:rPr>
          <w:rFonts w:ascii="Times New Roman" w:eastAsia="Times New Roman" w:hAnsi="Times New Roman" w:cs="Times New Roman"/>
          <w:b/>
          <w:bCs/>
          <w:sz w:val="24"/>
          <w:szCs w:val="24"/>
        </w:rPr>
      </w:pPr>
    </w:p>
    <w:p w14:paraId="136E44CA" w14:textId="77777777" w:rsidR="00244248" w:rsidRDefault="00244248" w:rsidP="00244248">
      <w:r>
        <w:t xml:space="preserve">This section describes the variables used in the analysis of the HILDA data. We first look at the different fertility measures used as outcome variables in the various analyses and then at the control </w:t>
      </w:r>
      <w:r>
        <w:lastRenderedPageBreak/>
        <w:t xml:space="preserve">variables which are possible correlates of fertility. We finish by describing the </w:t>
      </w:r>
      <w:r w:rsidRPr="008A559F">
        <w:t xml:space="preserve">measures </w:t>
      </w:r>
      <w:r>
        <w:t xml:space="preserve">used </w:t>
      </w:r>
      <w:r w:rsidRPr="008A559F">
        <w:t>for the policy evaluation analysis</w:t>
      </w:r>
      <w:r>
        <w:t>.</w:t>
      </w:r>
    </w:p>
    <w:p w14:paraId="0851BE8C" w14:textId="6F7EF3C3" w:rsidR="00244248" w:rsidRDefault="00244248" w:rsidP="00244248">
      <w:r>
        <w:fldChar w:fldCharType="begin"/>
      </w:r>
      <w:r>
        <w:instrText xml:space="preserve"> REF _Ref83982126 \h </w:instrText>
      </w:r>
      <w:r>
        <w:fldChar w:fldCharType="separate"/>
      </w:r>
      <w:r w:rsidR="00115E22">
        <w:t xml:space="preserve">Table </w:t>
      </w:r>
      <w:r w:rsidR="00115E22">
        <w:rPr>
          <w:noProof/>
        </w:rPr>
        <w:t>23</w:t>
      </w:r>
      <w:r>
        <w:fldChar w:fldCharType="end"/>
      </w:r>
      <w:r>
        <w:t xml:space="preserve"> describes the different outcome variables used. We use new birth (observed birth), preferences for children (how strong is the desires to have (more) children), expectations (how likely they think they will have (more) children), how many (more) children they want (intentions) and when they expect to have their first (or next) child. </w:t>
      </w:r>
    </w:p>
    <w:p w14:paraId="17A14FCF" w14:textId="05FBCCBC" w:rsidR="00244248" w:rsidRDefault="00244248" w:rsidP="00244248">
      <w:pPr>
        <w:pStyle w:val="Caption"/>
        <w:keepNext/>
      </w:pPr>
      <w:bookmarkStart w:id="165" w:name="_Ref83982126"/>
      <w:r>
        <w:t xml:space="preserve">Table </w:t>
      </w:r>
      <w:fldSimple w:instr=" SEQ Table \* ARABIC ">
        <w:r w:rsidR="00115E22">
          <w:rPr>
            <w:noProof/>
          </w:rPr>
          <w:t>23</w:t>
        </w:r>
      </w:fldSimple>
      <w:bookmarkEnd w:id="165"/>
      <w:r>
        <w:t xml:space="preserve"> Fertility o</w:t>
      </w:r>
      <w:r w:rsidRPr="00376FA0">
        <w:t>utcome variables</w:t>
      </w:r>
    </w:p>
    <w:tbl>
      <w:tblPr>
        <w:tblStyle w:val="TableGrid"/>
        <w:tblpPr w:leftFromText="180" w:rightFromText="180" w:vertAnchor="text" w:horzAnchor="margin" w:tblpYSpec="outside"/>
        <w:tblW w:w="9493"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1838"/>
        <w:gridCol w:w="7655"/>
      </w:tblGrid>
      <w:tr w:rsidR="00244248" w:rsidRPr="00145EBB" w14:paraId="23B83A99" w14:textId="77777777" w:rsidTr="00335B25">
        <w:tc>
          <w:tcPr>
            <w:tcW w:w="1838" w:type="dxa"/>
            <w:shd w:val="clear" w:color="auto" w:fill="FBE4D5"/>
          </w:tcPr>
          <w:p w14:paraId="227F6BC1" w14:textId="77777777" w:rsidR="00244248" w:rsidRPr="00145EBB" w:rsidRDefault="00244248" w:rsidP="00335B25">
            <w:pPr>
              <w:rPr>
                <w:rFonts w:ascii="Calibri Light" w:eastAsia="Times New Roman" w:hAnsi="Calibri Light" w:cs="Times New Roman"/>
                <w:b/>
                <w:bCs/>
                <w:sz w:val="20"/>
                <w:szCs w:val="20"/>
                <w:lang w:val="en-US"/>
              </w:rPr>
            </w:pPr>
            <w:r w:rsidRPr="00145EBB">
              <w:rPr>
                <w:rFonts w:ascii="Calibri Light" w:eastAsia="Times New Roman" w:hAnsi="Calibri Light" w:cs="Times New Roman"/>
                <w:b/>
                <w:bCs/>
                <w:sz w:val="20"/>
                <w:szCs w:val="20"/>
                <w:lang w:val="en-US"/>
              </w:rPr>
              <w:t>Fertility measures</w:t>
            </w:r>
          </w:p>
        </w:tc>
        <w:tc>
          <w:tcPr>
            <w:tcW w:w="7655" w:type="dxa"/>
            <w:shd w:val="clear" w:color="auto" w:fill="FBE4D5"/>
          </w:tcPr>
          <w:p w14:paraId="0D557D65" w14:textId="77777777" w:rsidR="00244248" w:rsidRPr="00145EBB" w:rsidRDefault="00244248" w:rsidP="00335B25">
            <w:pPr>
              <w:rPr>
                <w:rFonts w:ascii="Calibri Light" w:eastAsia="Times New Roman" w:hAnsi="Calibri Light" w:cs="Times New Roman"/>
                <w:b/>
                <w:bCs/>
                <w:sz w:val="20"/>
                <w:szCs w:val="20"/>
                <w:lang w:val="en-US"/>
              </w:rPr>
            </w:pPr>
            <w:r w:rsidRPr="00145EBB">
              <w:rPr>
                <w:rFonts w:ascii="Calibri Light" w:eastAsia="Times New Roman" w:hAnsi="Calibri Light" w:cs="Times New Roman"/>
                <w:b/>
                <w:bCs/>
                <w:sz w:val="20"/>
                <w:szCs w:val="20"/>
                <w:lang w:val="en-US"/>
              </w:rPr>
              <w:t>Description</w:t>
            </w:r>
          </w:p>
        </w:tc>
      </w:tr>
      <w:tr w:rsidR="00244248" w:rsidRPr="00145EBB" w14:paraId="1D895A06" w14:textId="77777777" w:rsidTr="00335B25">
        <w:tc>
          <w:tcPr>
            <w:tcW w:w="1838" w:type="dxa"/>
          </w:tcPr>
          <w:p w14:paraId="6DACCE2E"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Childbearing desires</w:t>
            </w:r>
          </w:p>
          <w:p w14:paraId="196EA94F"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(iclike)</w:t>
            </w:r>
          </w:p>
        </w:tc>
        <w:tc>
          <w:tcPr>
            <w:tcW w:w="7655" w:type="dxa"/>
          </w:tcPr>
          <w:p w14:paraId="4561F312" w14:textId="77777777" w:rsidR="00244248" w:rsidRDefault="00244248" w:rsidP="00335B25">
            <w:pPr>
              <w:rPr>
                <w:rFonts w:ascii="Calibri Light" w:eastAsia="Times New Roman" w:hAnsi="Calibri Light" w:cs="Times New Roman"/>
                <w:i/>
                <w:iCs/>
                <w:sz w:val="20"/>
                <w:szCs w:val="20"/>
                <w:lang w:val="en-US"/>
              </w:rPr>
            </w:pPr>
            <w:r w:rsidRPr="00145EBB">
              <w:rPr>
                <w:rFonts w:ascii="Calibri Light" w:eastAsia="Times New Roman" w:hAnsi="Calibri Light" w:cs="Times New Roman"/>
                <w:sz w:val="20"/>
                <w:szCs w:val="20"/>
                <w:lang w:val="en-US"/>
              </w:rPr>
              <w:t xml:space="preserve">Measured with the question: </w:t>
            </w:r>
            <w:r w:rsidRPr="00145EBB">
              <w:rPr>
                <w:rFonts w:ascii="Calibri Light" w:eastAsia="Times New Roman" w:hAnsi="Calibri Light" w:cs="Times New Roman"/>
                <w:i/>
                <w:iCs/>
                <w:sz w:val="20"/>
                <w:szCs w:val="20"/>
                <w:lang w:val="en-US"/>
              </w:rPr>
              <w:t>I now want you to pick a number between 0 and 10 to show how you feel about having (more) children /a child in the future. [The more definite you are that you would like to have (more) children /a child, the higher the number you should pick].</w:t>
            </w:r>
          </w:p>
          <w:p w14:paraId="59B6DC4B" w14:textId="77777777" w:rsidR="00244248" w:rsidRDefault="00244248" w:rsidP="00335B25">
            <w:pPr>
              <w:rPr>
                <w:rFonts w:ascii="Calibri Light" w:eastAsia="Times New Roman" w:hAnsi="Calibri Light" w:cs="Times New Roman"/>
                <w:i/>
                <w:iCs/>
                <w:sz w:val="20"/>
                <w:szCs w:val="20"/>
                <w:lang w:val="en-US"/>
              </w:rPr>
            </w:pPr>
          </w:p>
          <w:p w14:paraId="572E1285"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i/>
                <w:iCs/>
                <w:sz w:val="20"/>
                <w:szCs w:val="20"/>
                <w:lang w:val="en-US"/>
              </w:rPr>
              <w:t>We also refer to this measure as “</w:t>
            </w:r>
            <w:r w:rsidRPr="002F5799">
              <w:rPr>
                <w:rFonts w:ascii="Calibri Light" w:eastAsia="Times New Roman" w:hAnsi="Calibri Light" w:cs="Times New Roman"/>
                <w:i/>
                <w:iCs/>
                <w:sz w:val="20"/>
                <w:szCs w:val="20"/>
                <w:lang w:val="en-US"/>
              </w:rPr>
              <w:t>Preference for more children</w:t>
            </w:r>
            <w:r>
              <w:rPr>
                <w:rFonts w:ascii="Calibri Light" w:eastAsia="Times New Roman" w:hAnsi="Calibri Light" w:cs="Times New Roman"/>
                <w:i/>
                <w:iCs/>
                <w:sz w:val="20"/>
                <w:szCs w:val="20"/>
                <w:lang w:val="en-US"/>
              </w:rPr>
              <w:t>”</w:t>
            </w:r>
          </w:p>
        </w:tc>
      </w:tr>
      <w:tr w:rsidR="00244248" w:rsidRPr="00145EBB" w14:paraId="6BFC2F9C" w14:textId="77777777" w:rsidTr="00335B25">
        <w:tc>
          <w:tcPr>
            <w:tcW w:w="1838" w:type="dxa"/>
          </w:tcPr>
          <w:p w14:paraId="394F6CA0"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Childbearing expectations</w:t>
            </w:r>
          </w:p>
          <w:p w14:paraId="370704CD" w14:textId="77777777" w:rsidR="00244248"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(icexpt)</w:t>
            </w:r>
          </w:p>
          <w:p w14:paraId="234FFBAD" w14:textId="77777777" w:rsidR="00244248" w:rsidRPr="00145EBB" w:rsidRDefault="00244248" w:rsidP="00335B25">
            <w:pPr>
              <w:rPr>
                <w:rFonts w:ascii="Calibri Light" w:eastAsia="Times New Roman" w:hAnsi="Calibri Light" w:cs="Times New Roman"/>
                <w:sz w:val="20"/>
                <w:szCs w:val="20"/>
                <w:lang w:val="en-US"/>
              </w:rPr>
            </w:pPr>
          </w:p>
        </w:tc>
        <w:tc>
          <w:tcPr>
            <w:tcW w:w="7655" w:type="dxa"/>
          </w:tcPr>
          <w:p w14:paraId="4E76CF19"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 xml:space="preserve">Measured with the question: </w:t>
            </w:r>
            <w:r w:rsidRPr="00145EBB">
              <w:rPr>
                <w:rFonts w:ascii="Calibri Light" w:eastAsia="Times New Roman" w:hAnsi="Calibri Light" w:cs="Times New Roman"/>
                <w:i/>
                <w:iCs/>
                <w:sz w:val="20"/>
                <w:szCs w:val="20"/>
                <w:lang w:val="en-US"/>
              </w:rPr>
              <w:t>How likely are you to have [a child / more children] in the future? Pick a number between 0 and 10. [The more likely it is that you will have a child/ more children in the future, the higher the number you should pick].</w:t>
            </w:r>
          </w:p>
          <w:p w14:paraId="3EF3D536" w14:textId="77777777" w:rsidR="00244248" w:rsidRDefault="00244248" w:rsidP="00335B25">
            <w:pPr>
              <w:rPr>
                <w:rFonts w:ascii="Calibri Light" w:eastAsia="Times New Roman" w:hAnsi="Calibri Light" w:cs="Times New Roman"/>
                <w:sz w:val="20"/>
                <w:szCs w:val="20"/>
                <w:lang w:val="en-US"/>
              </w:rPr>
            </w:pPr>
          </w:p>
          <w:p w14:paraId="2B475E5F"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i/>
                <w:iCs/>
                <w:sz w:val="20"/>
                <w:szCs w:val="20"/>
                <w:lang w:val="en-US"/>
              </w:rPr>
              <w:t>We also refer to this measure as “</w:t>
            </w:r>
            <w:r w:rsidRPr="002F5799">
              <w:rPr>
                <w:rFonts w:ascii="Calibri Light" w:eastAsia="Times New Roman" w:hAnsi="Calibri Light" w:cs="Times New Roman"/>
                <w:i/>
                <w:iCs/>
                <w:sz w:val="20"/>
                <w:szCs w:val="20"/>
                <w:lang w:val="en-US"/>
              </w:rPr>
              <w:t>Likelihood of having more children</w:t>
            </w:r>
            <w:r>
              <w:rPr>
                <w:rFonts w:ascii="Calibri Light" w:eastAsia="Times New Roman" w:hAnsi="Calibri Light" w:cs="Times New Roman"/>
                <w:i/>
                <w:iCs/>
                <w:sz w:val="20"/>
                <w:szCs w:val="20"/>
                <w:lang w:val="en-US"/>
              </w:rPr>
              <w:t>”</w:t>
            </w:r>
          </w:p>
        </w:tc>
      </w:tr>
      <w:tr w:rsidR="00244248" w:rsidRPr="00145EBB" w14:paraId="7F7872C6" w14:textId="77777777" w:rsidTr="00335B25">
        <w:tc>
          <w:tcPr>
            <w:tcW w:w="1838" w:type="dxa"/>
          </w:tcPr>
          <w:p w14:paraId="44BB705A" w14:textId="77777777" w:rsidR="00244248" w:rsidRPr="00145EBB" w:rsidRDefault="00244248" w:rsidP="00335B25">
            <w:pPr>
              <w:contextualSpacing/>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Number of intended children</w:t>
            </w:r>
          </w:p>
          <w:p w14:paraId="65D21020"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(icn_v3)</w:t>
            </w:r>
          </w:p>
        </w:tc>
        <w:tc>
          <w:tcPr>
            <w:tcW w:w="7655" w:type="dxa"/>
          </w:tcPr>
          <w:p w14:paraId="46C176E3" w14:textId="77777777" w:rsidR="00244248" w:rsidRDefault="00244248" w:rsidP="00335B25">
            <w:pPr>
              <w:rPr>
                <w:rFonts w:ascii="Calibri Light" w:eastAsia="Times New Roman" w:hAnsi="Calibri Light" w:cs="Times New Roman"/>
                <w:i/>
                <w:iCs/>
                <w:sz w:val="20"/>
                <w:szCs w:val="20"/>
                <w:lang w:val="en-US"/>
              </w:rPr>
            </w:pPr>
            <w:r w:rsidRPr="00145EBB">
              <w:rPr>
                <w:rFonts w:ascii="Calibri Light" w:eastAsia="Times New Roman" w:hAnsi="Calibri Light" w:cs="Times New Roman"/>
                <w:sz w:val="20"/>
                <w:szCs w:val="20"/>
                <w:lang w:val="en-US"/>
              </w:rPr>
              <w:t xml:space="preserve">Measured with the questions: </w:t>
            </w:r>
            <w:r w:rsidRPr="00145EBB">
              <w:rPr>
                <w:rFonts w:ascii="Calibri Light" w:eastAsia="Times New Roman" w:hAnsi="Calibri Light" w:cs="Times New Roman"/>
                <w:i/>
                <w:iCs/>
                <w:sz w:val="20"/>
                <w:szCs w:val="20"/>
                <w:lang w:val="en-US"/>
              </w:rPr>
              <w:t>How many (more) children do you intend to have?</w:t>
            </w:r>
          </w:p>
          <w:p w14:paraId="06FAC573" w14:textId="77777777" w:rsidR="00244248" w:rsidRDefault="00244248" w:rsidP="00335B25">
            <w:pPr>
              <w:rPr>
                <w:rFonts w:ascii="Calibri Light" w:eastAsia="Times New Roman" w:hAnsi="Calibri Light" w:cs="Times New Roman"/>
                <w:i/>
                <w:iCs/>
                <w:sz w:val="20"/>
                <w:szCs w:val="20"/>
                <w:lang w:val="en-US"/>
              </w:rPr>
            </w:pPr>
          </w:p>
          <w:p w14:paraId="5D757E3B"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i/>
                <w:iCs/>
                <w:sz w:val="20"/>
                <w:szCs w:val="20"/>
                <w:lang w:val="en-US"/>
              </w:rPr>
              <w:t>We also refer to this measure as “Number of intended c</w:t>
            </w:r>
            <w:r w:rsidRPr="002F5799">
              <w:rPr>
                <w:rFonts w:ascii="Calibri Light" w:eastAsia="Times New Roman" w:hAnsi="Calibri Light" w:cs="Times New Roman"/>
                <w:i/>
                <w:iCs/>
                <w:sz w:val="20"/>
                <w:szCs w:val="20"/>
                <w:lang w:val="en-US"/>
              </w:rPr>
              <w:t>hildren</w:t>
            </w:r>
            <w:r>
              <w:rPr>
                <w:rFonts w:ascii="Calibri Light" w:eastAsia="Times New Roman" w:hAnsi="Calibri Light" w:cs="Times New Roman"/>
                <w:i/>
                <w:iCs/>
                <w:sz w:val="20"/>
                <w:szCs w:val="20"/>
                <w:lang w:val="en-US"/>
              </w:rPr>
              <w:t>”</w:t>
            </w:r>
          </w:p>
        </w:tc>
      </w:tr>
      <w:tr w:rsidR="00244248" w:rsidRPr="00145EBB" w14:paraId="1445327E" w14:textId="77777777" w:rsidTr="00335B25">
        <w:tc>
          <w:tcPr>
            <w:tcW w:w="1838" w:type="dxa"/>
          </w:tcPr>
          <w:p w14:paraId="4AD811DC"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Years until intended birth</w:t>
            </w:r>
          </w:p>
          <w:p w14:paraId="5E320F8B"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 xml:space="preserve">(delataicnV4)  </w:t>
            </w:r>
          </w:p>
        </w:tc>
        <w:tc>
          <w:tcPr>
            <w:tcW w:w="7655" w:type="dxa"/>
          </w:tcPr>
          <w:p w14:paraId="418B338B"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 xml:space="preserve">Provide information on a change in the number of years the respondent wishes to wait before having an intended child.  </w:t>
            </w:r>
          </w:p>
        </w:tc>
      </w:tr>
      <w:tr w:rsidR="00244248" w:rsidRPr="00145EBB" w14:paraId="6F2A7C09" w14:textId="77777777" w:rsidTr="00335B25">
        <w:tc>
          <w:tcPr>
            <w:tcW w:w="1838" w:type="dxa"/>
          </w:tcPr>
          <w:p w14:paraId="3DAEBAD4"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New birth</w:t>
            </w:r>
          </w:p>
          <w:p w14:paraId="7342338D"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(birthFY, newbirthR)</w:t>
            </w:r>
          </w:p>
        </w:tc>
        <w:tc>
          <w:tcPr>
            <w:tcW w:w="7655" w:type="dxa"/>
          </w:tcPr>
          <w:p w14:paraId="4DC08E93"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Identified by an increase in the total number of children born, either in the financial or calendar year.</w:t>
            </w:r>
          </w:p>
        </w:tc>
      </w:tr>
      <w:tr w:rsidR="00244248" w:rsidRPr="00145EBB" w14:paraId="325DCC88" w14:textId="77777777" w:rsidTr="00335B25">
        <w:tc>
          <w:tcPr>
            <w:tcW w:w="1838" w:type="dxa"/>
          </w:tcPr>
          <w:p w14:paraId="4BE54EEB"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Childless*</w:t>
            </w:r>
          </w:p>
        </w:tc>
        <w:tc>
          <w:tcPr>
            <w:tcW w:w="7655" w:type="dxa"/>
          </w:tcPr>
          <w:p w14:paraId="37116BB5"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Provide information on whether the respondent has never had children.</w:t>
            </w:r>
          </w:p>
        </w:tc>
      </w:tr>
      <w:tr w:rsidR="00244248" w:rsidRPr="00145EBB" w14:paraId="74EFD861" w14:textId="77777777" w:rsidTr="00335B25">
        <w:tc>
          <w:tcPr>
            <w:tcW w:w="1838" w:type="dxa"/>
          </w:tcPr>
          <w:p w14:paraId="537C45B6"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Conditional preference*</w:t>
            </w:r>
          </w:p>
          <w:p w14:paraId="618B3BD2"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(likelwexpct)</w:t>
            </w:r>
          </w:p>
        </w:tc>
        <w:tc>
          <w:tcPr>
            <w:tcW w:w="7655" w:type="dxa"/>
          </w:tcPr>
          <w:p w14:paraId="3582C5ED"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 xml:space="preserve">Provide information on whether the respondent has a low expectation to have children (5 or less), but a strong preference for children (6 or more). </w:t>
            </w:r>
          </w:p>
        </w:tc>
      </w:tr>
    </w:tbl>
    <w:p w14:paraId="304D05CA" w14:textId="77777777" w:rsidR="00244248" w:rsidRDefault="00244248" w:rsidP="00244248">
      <w:pPr>
        <w:spacing w:after="0" w:line="240" w:lineRule="auto"/>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*Outcomes for general correlation analysis only.</w:t>
      </w:r>
    </w:p>
    <w:p w14:paraId="15E3D64D" w14:textId="77777777" w:rsidR="00244248" w:rsidRDefault="00244248" w:rsidP="00244248">
      <w:pPr>
        <w:spacing w:after="0" w:line="240" w:lineRule="auto"/>
        <w:rPr>
          <w:rFonts w:ascii="Calibri Light" w:eastAsia="Times New Roman" w:hAnsi="Calibri Light" w:cs="Times New Roman"/>
          <w:sz w:val="20"/>
          <w:szCs w:val="20"/>
          <w:lang w:val="en-US"/>
        </w:rPr>
      </w:pPr>
    </w:p>
    <w:p w14:paraId="60A0F920" w14:textId="77777777" w:rsidR="00244248" w:rsidRDefault="00244248" w:rsidP="00244248">
      <w:pPr>
        <w:keepNext/>
        <w:rPr>
          <w:rFonts w:eastAsia="Times New Roman" w:cstheme="minorHAnsi"/>
          <w:lang w:val="en-US"/>
        </w:rPr>
      </w:pPr>
    </w:p>
    <w:p w14:paraId="1A822076" w14:textId="45745F81" w:rsidR="00244248" w:rsidRPr="00E72323" w:rsidRDefault="00244248" w:rsidP="00244248">
      <w:pPr>
        <w:rPr>
          <w:rFonts w:eastAsia="Times New Roman" w:cstheme="minorHAnsi"/>
          <w:lang w:val="en-US"/>
        </w:rPr>
      </w:pPr>
      <w:r>
        <w:rPr>
          <w:rFonts w:eastAsia="Times New Roman" w:cstheme="minorHAnsi"/>
          <w:lang w:val="en-US"/>
        </w:rPr>
        <w:fldChar w:fldCharType="begin"/>
      </w:r>
      <w:r>
        <w:rPr>
          <w:rFonts w:eastAsia="Times New Roman" w:cstheme="minorHAnsi"/>
          <w:lang w:val="en-US"/>
        </w:rPr>
        <w:instrText xml:space="preserve"> REF _Ref83982159 \h </w:instrText>
      </w:r>
      <w:r>
        <w:rPr>
          <w:rFonts w:eastAsia="Times New Roman" w:cstheme="minorHAnsi"/>
          <w:lang w:val="en-US"/>
        </w:rPr>
      </w:r>
      <w:r>
        <w:rPr>
          <w:rFonts w:eastAsia="Times New Roman" w:cstheme="minorHAnsi"/>
          <w:lang w:val="en-US"/>
        </w:rPr>
        <w:fldChar w:fldCharType="separate"/>
      </w:r>
      <w:r w:rsidR="00115E22">
        <w:t xml:space="preserve">Table </w:t>
      </w:r>
      <w:r w:rsidR="00115E22">
        <w:rPr>
          <w:noProof/>
        </w:rPr>
        <w:t>24</w:t>
      </w:r>
      <w:r>
        <w:rPr>
          <w:rFonts w:eastAsia="Times New Roman" w:cstheme="minorHAnsi"/>
          <w:lang w:val="en-US"/>
        </w:rPr>
        <w:fldChar w:fldCharType="end"/>
      </w:r>
      <w:r>
        <w:rPr>
          <w:rFonts w:eastAsia="Times New Roman" w:cstheme="minorHAnsi"/>
          <w:lang w:val="en-US"/>
        </w:rPr>
        <w:t xml:space="preserve"> </w:t>
      </w:r>
      <w:r w:rsidRPr="00E72323">
        <w:rPr>
          <w:rFonts w:eastAsia="Times New Roman" w:cstheme="minorHAnsi"/>
          <w:lang w:val="en-US"/>
        </w:rPr>
        <w:t xml:space="preserve">describes the variables from the HILDA data set </w:t>
      </w:r>
      <w:r>
        <w:rPr>
          <w:rFonts w:eastAsia="Times New Roman" w:cstheme="minorHAnsi"/>
          <w:lang w:val="en-US"/>
        </w:rPr>
        <w:t xml:space="preserve">that </w:t>
      </w:r>
      <w:r w:rsidRPr="00E72323">
        <w:rPr>
          <w:rFonts w:eastAsia="Times New Roman" w:cstheme="minorHAnsi"/>
          <w:lang w:val="en-US"/>
        </w:rPr>
        <w:t>we use as explanatory variables for the analys</w:t>
      </w:r>
      <w:r>
        <w:rPr>
          <w:rFonts w:eastAsia="Times New Roman" w:cstheme="minorHAnsi"/>
          <w:lang w:val="en-US"/>
        </w:rPr>
        <w:t>e</w:t>
      </w:r>
      <w:r w:rsidRPr="00E72323">
        <w:rPr>
          <w:rFonts w:eastAsia="Times New Roman" w:cstheme="minorHAnsi"/>
          <w:lang w:val="en-US"/>
        </w:rPr>
        <w:t>s.</w:t>
      </w:r>
      <w:r>
        <w:rPr>
          <w:rFonts w:eastAsia="Times New Roman" w:cstheme="minorHAnsi"/>
          <w:lang w:val="en-US"/>
        </w:rPr>
        <w:t xml:space="preserve"> T</w:t>
      </w:r>
      <w:r w:rsidRPr="00E72323">
        <w:rPr>
          <w:rFonts w:eastAsia="Times New Roman" w:cstheme="minorHAnsi"/>
          <w:lang w:val="en-US"/>
        </w:rPr>
        <w:t xml:space="preserve">hese variables are associated factors which correlated with fertility outcomes and stated fertility measures. When looking at policy analysis these variables will be controls to account for individual factors that contribute to fertility outcomes and preferences. The socio-demographic variables are arranged by time-varying and time-invariant nature. This is important for the inclusion of individual fixed effects, </w:t>
      </w:r>
      <w:r>
        <w:rPr>
          <w:rFonts w:eastAsia="Times New Roman" w:cstheme="minorHAnsi"/>
          <w:lang w:val="en-US"/>
        </w:rPr>
        <w:t>as</w:t>
      </w:r>
      <w:r w:rsidRPr="00E72323">
        <w:rPr>
          <w:rFonts w:eastAsia="Times New Roman" w:cstheme="minorHAnsi"/>
          <w:lang w:val="en-US"/>
        </w:rPr>
        <w:t xml:space="preserve"> only the time-varying socio-demographic variables can be used as covariates in the </w:t>
      </w:r>
      <w:r>
        <w:rPr>
          <w:rFonts w:eastAsia="Times New Roman" w:cstheme="minorHAnsi"/>
          <w:lang w:val="en-US"/>
        </w:rPr>
        <w:t xml:space="preserve">fixed-effects </w:t>
      </w:r>
      <w:r w:rsidRPr="00E72323">
        <w:rPr>
          <w:rFonts w:eastAsia="Times New Roman" w:cstheme="minorHAnsi"/>
          <w:lang w:val="en-US"/>
        </w:rPr>
        <w:t>regressions.</w:t>
      </w:r>
      <w:r>
        <w:rPr>
          <w:rFonts w:eastAsia="Times New Roman" w:cstheme="minorHAnsi"/>
          <w:lang w:val="en-US"/>
        </w:rPr>
        <w:t xml:space="preserve"> The non-time-varying variables are captured by the individual fixed effect and are thus omitted from the model.</w:t>
      </w:r>
      <w:r w:rsidRPr="00E72323">
        <w:rPr>
          <w:rFonts w:eastAsia="Times New Roman" w:cstheme="minorHAnsi"/>
          <w:lang w:val="en-US"/>
        </w:rPr>
        <w:t xml:space="preserve"> In the results reported for the policy analysis below</w:t>
      </w:r>
      <w:r>
        <w:rPr>
          <w:rFonts w:eastAsia="Times New Roman" w:cstheme="minorHAnsi"/>
          <w:lang w:val="en-US"/>
        </w:rPr>
        <w:t>,</w:t>
      </w:r>
      <w:r w:rsidRPr="00E72323">
        <w:rPr>
          <w:rFonts w:eastAsia="Times New Roman" w:cstheme="minorHAnsi"/>
          <w:lang w:val="en-US"/>
        </w:rPr>
        <w:t xml:space="preserve"> it states which variables </w:t>
      </w:r>
      <w:r>
        <w:rPr>
          <w:rFonts w:eastAsia="Times New Roman" w:cstheme="minorHAnsi"/>
          <w:lang w:val="en-US"/>
        </w:rPr>
        <w:t>are</w:t>
      </w:r>
      <w:r w:rsidRPr="00E72323">
        <w:rPr>
          <w:rFonts w:eastAsia="Times New Roman" w:cstheme="minorHAnsi"/>
          <w:lang w:val="en-US"/>
        </w:rPr>
        <w:t xml:space="preserve"> included in </w:t>
      </w:r>
      <w:r>
        <w:rPr>
          <w:rFonts w:eastAsia="Times New Roman" w:cstheme="minorHAnsi"/>
          <w:lang w:val="en-US"/>
        </w:rPr>
        <w:t>e</w:t>
      </w:r>
      <w:r w:rsidRPr="00E72323">
        <w:rPr>
          <w:rFonts w:eastAsia="Times New Roman" w:cstheme="minorHAnsi"/>
          <w:lang w:val="en-US"/>
        </w:rPr>
        <w:t>a</w:t>
      </w:r>
      <w:r>
        <w:rPr>
          <w:rFonts w:eastAsia="Times New Roman" w:cstheme="minorHAnsi"/>
          <w:lang w:val="en-US"/>
        </w:rPr>
        <w:t>ch</w:t>
      </w:r>
      <w:r w:rsidRPr="00E72323">
        <w:rPr>
          <w:rFonts w:eastAsia="Times New Roman" w:cstheme="minorHAnsi"/>
          <w:lang w:val="en-US"/>
        </w:rPr>
        <w:t xml:space="preserve"> specification. </w:t>
      </w:r>
    </w:p>
    <w:p w14:paraId="0D240E8F" w14:textId="2E9B3B35" w:rsidR="00244248" w:rsidRDefault="00244248" w:rsidP="00244248">
      <w:pPr>
        <w:spacing w:after="0" w:line="240" w:lineRule="auto"/>
        <w:rPr>
          <w:i/>
          <w:iCs/>
          <w:color w:val="44546A" w:themeColor="text2"/>
          <w:sz w:val="18"/>
          <w:szCs w:val="18"/>
        </w:rPr>
      </w:pPr>
    </w:p>
    <w:p w14:paraId="143B293D" w14:textId="3CA9B97D" w:rsidR="00807630" w:rsidRDefault="00807630" w:rsidP="00244248">
      <w:pPr>
        <w:spacing w:after="0" w:line="240" w:lineRule="auto"/>
        <w:rPr>
          <w:i/>
          <w:iCs/>
          <w:color w:val="44546A" w:themeColor="text2"/>
          <w:sz w:val="18"/>
          <w:szCs w:val="18"/>
        </w:rPr>
      </w:pPr>
    </w:p>
    <w:p w14:paraId="563DD051" w14:textId="09498F47" w:rsidR="00807630" w:rsidRDefault="00807630" w:rsidP="00244248">
      <w:pPr>
        <w:spacing w:after="0" w:line="240" w:lineRule="auto"/>
        <w:rPr>
          <w:i/>
          <w:iCs/>
          <w:color w:val="44546A" w:themeColor="text2"/>
          <w:sz w:val="18"/>
          <w:szCs w:val="18"/>
        </w:rPr>
      </w:pPr>
    </w:p>
    <w:p w14:paraId="660A51D6" w14:textId="77777777" w:rsidR="00807630" w:rsidRPr="0020342C" w:rsidRDefault="00807630" w:rsidP="00244248">
      <w:pPr>
        <w:spacing w:after="0" w:line="240" w:lineRule="auto"/>
        <w:rPr>
          <w:i/>
          <w:iCs/>
          <w:color w:val="44546A" w:themeColor="text2"/>
          <w:sz w:val="18"/>
          <w:szCs w:val="18"/>
        </w:rPr>
      </w:pPr>
    </w:p>
    <w:p w14:paraId="3B4F4690" w14:textId="0CF3868C" w:rsidR="00244248" w:rsidRDefault="00244248" w:rsidP="00244248">
      <w:pPr>
        <w:pStyle w:val="Caption"/>
      </w:pPr>
      <w:bookmarkStart w:id="166" w:name="_Ref83982159"/>
      <w:r>
        <w:t xml:space="preserve">Table </w:t>
      </w:r>
      <w:fldSimple w:instr=" SEQ Table \* ARABIC ">
        <w:r w:rsidR="00115E22">
          <w:rPr>
            <w:noProof/>
          </w:rPr>
          <w:t>24</w:t>
        </w:r>
      </w:fldSimple>
      <w:bookmarkEnd w:id="166"/>
      <w:r>
        <w:t xml:space="preserve"> Control variables</w:t>
      </w:r>
    </w:p>
    <w:tbl>
      <w:tblPr>
        <w:tblStyle w:val="TableGrid"/>
        <w:tblW w:w="9778"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1556"/>
        <w:gridCol w:w="1841"/>
        <w:gridCol w:w="6381"/>
      </w:tblGrid>
      <w:tr w:rsidR="00244248" w:rsidRPr="00145EBB" w14:paraId="025A3A19" w14:textId="77777777" w:rsidTr="00335B25">
        <w:trPr>
          <w:trHeight w:val="236"/>
        </w:trPr>
        <w:tc>
          <w:tcPr>
            <w:tcW w:w="1556" w:type="dxa"/>
            <w:shd w:val="clear" w:color="auto" w:fill="FBE4D5"/>
          </w:tcPr>
          <w:p w14:paraId="6B52C825" w14:textId="77777777" w:rsidR="00244248" w:rsidRPr="00145EBB" w:rsidRDefault="00244248" w:rsidP="00335B25">
            <w:pPr>
              <w:rPr>
                <w:rFonts w:ascii="Calibri Light" w:eastAsia="Times New Roman" w:hAnsi="Calibri Light" w:cs="Times New Roman"/>
                <w:b/>
                <w:bCs/>
                <w:sz w:val="20"/>
                <w:szCs w:val="20"/>
                <w:lang w:val="en-US"/>
              </w:rPr>
            </w:pPr>
            <w:r w:rsidRPr="00145EBB">
              <w:rPr>
                <w:rFonts w:ascii="Calibri Light" w:eastAsia="Times New Roman" w:hAnsi="Calibri Light" w:cs="Times New Roman"/>
                <w:b/>
                <w:bCs/>
                <w:sz w:val="20"/>
                <w:szCs w:val="20"/>
                <w:lang w:val="en-US"/>
              </w:rPr>
              <w:t>Type</w:t>
            </w:r>
          </w:p>
        </w:tc>
        <w:tc>
          <w:tcPr>
            <w:tcW w:w="1841" w:type="dxa"/>
            <w:shd w:val="clear" w:color="auto" w:fill="FBE4D5"/>
          </w:tcPr>
          <w:p w14:paraId="61D5185E" w14:textId="77777777" w:rsidR="00244248" w:rsidRPr="00145EBB" w:rsidRDefault="00244248" w:rsidP="00335B25">
            <w:pPr>
              <w:rPr>
                <w:rFonts w:ascii="Calibri Light" w:eastAsia="Times New Roman" w:hAnsi="Calibri Light" w:cs="Times New Roman"/>
                <w:b/>
                <w:bCs/>
                <w:sz w:val="20"/>
                <w:szCs w:val="20"/>
                <w:lang w:val="en-US"/>
              </w:rPr>
            </w:pPr>
            <w:r w:rsidRPr="00145EBB">
              <w:rPr>
                <w:rFonts w:ascii="Calibri Light" w:eastAsia="Times New Roman" w:hAnsi="Calibri Light" w:cs="Times New Roman"/>
                <w:b/>
                <w:bCs/>
                <w:sz w:val="20"/>
                <w:szCs w:val="20"/>
                <w:lang w:val="en-US"/>
              </w:rPr>
              <w:t>Variable name</w:t>
            </w:r>
          </w:p>
        </w:tc>
        <w:tc>
          <w:tcPr>
            <w:tcW w:w="6381" w:type="dxa"/>
            <w:shd w:val="clear" w:color="auto" w:fill="FBE4D5"/>
          </w:tcPr>
          <w:p w14:paraId="4714C1C3" w14:textId="77777777" w:rsidR="00244248" w:rsidRPr="00145EBB" w:rsidRDefault="00244248" w:rsidP="00335B25">
            <w:pPr>
              <w:rPr>
                <w:rFonts w:ascii="Calibri Light" w:eastAsia="Times New Roman" w:hAnsi="Calibri Light" w:cs="Times New Roman"/>
                <w:b/>
                <w:bCs/>
                <w:sz w:val="20"/>
                <w:szCs w:val="20"/>
                <w:lang w:val="en-US"/>
              </w:rPr>
            </w:pPr>
            <w:r w:rsidRPr="00145EBB">
              <w:rPr>
                <w:rFonts w:ascii="Calibri Light" w:eastAsia="Times New Roman" w:hAnsi="Calibri Light" w:cs="Times New Roman"/>
                <w:b/>
                <w:bCs/>
                <w:sz w:val="20"/>
                <w:szCs w:val="20"/>
                <w:lang w:val="en-US"/>
              </w:rPr>
              <w:t>Description</w:t>
            </w:r>
          </w:p>
        </w:tc>
      </w:tr>
      <w:tr w:rsidR="00244248" w:rsidRPr="00145EBB" w14:paraId="6A193184" w14:textId="77777777" w:rsidTr="00335B25">
        <w:trPr>
          <w:trHeight w:val="485"/>
        </w:trPr>
        <w:tc>
          <w:tcPr>
            <w:tcW w:w="1556" w:type="dxa"/>
            <w:vMerge w:val="restart"/>
          </w:tcPr>
          <w:p w14:paraId="5A7385E8"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Individual fixed effects</w:t>
            </w:r>
          </w:p>
        </w:tc>
        <w:tc>
          <w:tcPr>
            <w:tcW w:w="1841" w:type="dxa"/>
          </w:tcPr>
          <w:p w14:paraId="1CE4F14C"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Year</w:t>
            </w:r>
          </w:p>
          <w:p w14:paraId="1609BD30"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(i.year)</w:t>
            </w:r>
          </w:p>
        </w:tc>
        <w:tc>
          <w:tcPr>
            <w:tcW w:w="6381" w:type="dxa"/>
          </w:tcPr>
          <w:p w14:paraId="0EABA658"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Year of data collection</w:t>
            </w:r>
          </w:p>
        </w:tc>
      </w:tr>
      <w:tr w:rsidR="00244248" w:rsidRPr="00145EBB" w14:paraId="6CE0B673" w14:textId="77777777" w:rsidTr="00335B25">
        <w:trPr>
          <w:trHeight w:val="485"/>
        </w:trPr>
        <w:tc>
          <w:tcPr>
            <w:tcW w:w="1556" w:type="dxa"/>
            <w:vMerge/>
          </w:tcPr>
          <w:p w14:paraId="638D93F4"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4971F346"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State</w:t>
            </w:r>
          </w:p>
          <w:p w14:paraId="338E9308"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(i.state)</w:t>
            </w:r>
          </w:p>
        </w:tc>
        <w:tc>
          <w:tcPr>
            <w:tcW w:w="6381" w:type="dxa"/>
          </w:tcPr>
          <w:p w14:paraId="7FAB6222"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 xml:space="preserve">State of residency </w:t>
            </w:r>
          </w:p>
        </w:tc>
      </w:tr>
      <w:tr w:rsidR="00244248" w:rsidRPr="00145EBB" w14:paraId="19DEDA4B" w14:textId="77777777" w:rsidTr="00335B25">
        <w:trPr>
          <w:trHeight w:val="473"/>
        </w:trPr>
        <w:tc>
          <w:tcPr>
            <w:tcW w:w="1556" w:type="dxa"/>
            <w:vMerge w:val="restart"/>
          </w:tcPr>
          <w:p w14:paraId="03C43C9D"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Time-varying</w:t>
            </w:r>
          </w:p>
          <w:p w14:paraId="1A55F6A1"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demographics</w:t>
            </w:r>
          </w:p>
        </w:tc>
        <w:tc>
          <w:tcPr>
            <w:tcW w:w="1841" w:type="dxa"/>
          </w:tcPr>
          <w:p w14:paraId="6EE33CAD"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Age</w:t>
            </w:r>
          </w:p>
          <w:p w14:paraId="1E9BAFE9"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(hgage)</w:t>
            </w:r>
          </w:p>
        </w:tc>
        <w:tc>
          <w:tcPr>
            <w:tcW w:w="6381" w:type="dxa"/>
          </w:tcPr>
          <w:p w14:paraId="55B8493F"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Age of respondent, in years.</w:t>
            </w:r>
          </w:p>
        </w:tc>
      </w:tr>
      <w:tr w:rsidR="00244248" w:rsidRPr="00145EBB" w14:paraId="3BF095E1" w14:textId="77777777" w:rsidTr="00335B25">
        <w:trPr>
          <w:trHeight w:val="473"/>
        </w:trPr>
        <w:tc>
          <w:tcPr>
            <w:tcW w:w="1556" w:type="dxa"/>
            <w:vMerge/>
          </w:tcPr>
          <w:p w14:paraId="15693203"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7FB04A7E"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Age- squared</w:t>
            </w:r>
          </w:p>
          <w:p w14:paraId="2926C6D3"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(hgage2)</w:t>
            </w:r>
          </w:p>
        </w:tc>
        <w:tc>
          <w:tcPr>
            <w:tcW w:w="6381" w:type="dxa"/>
          </w:tcPr>
          <w:p w14:paraId="4FA65AA7" w14:textId="77777777" w:rsidR="00244248" w:rsidRPr="00145EBB" w:rsidRDefault="00244248" w:rsidP="00335B25">
            <w:pPr>
              <w:rPr>
                <w:rFonts w:ascii="Calibri Light" w:eastAsia="Times New Roman" w:hAnsi="Calibri Light" w:cs="Times New Roman"/>
                <w:sz w:val="20"/>
                <w:szCs w:val="20"/>
                <w:lang w:val="en-US"/>
              </w:rPr>
            </w:pPr>
          </w:p>
        </w:tc>
      </w:tr>
      <w:tr w:rsidR="00244248" w:rsidRPr="00145EBB" w14:paraId="5700D225" w14:textId="77777777" w:rsidTr="00335B25">
        <w:trPr>
          <w:trHeight w:val="473"/>
        </w:trPr>
        <w:tc>
          <w:tcPr>
            <w:tcW w:w="1556" w:type="dxa"/>
            <w:vMerge/>
          </w:tcPr>
          <w:p w14:paraId="17B2B115"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3D402C06"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Age band</w:t>
            </w:r>
          </w:p>
          <w:p w14:paraId="61E5C143"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(ageband)</w:t>
            </w:r>
          </w:p>
        </w:tc>
        <w:tc>
          <w:tcPr>
            <w:tcW w:w="6381" w:type="dxa"/>
          </w:tcPr>
          <w:p w14:paraId="4634146F"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W</w:t>
            </w:r>
            <w:r w:rsidRPr="00145EBB">
              <w:rPr>
                <w:rFonts w:ascii="Calibri Light" w:eastAsia="Times New Roman" w:hAnsi="Calibri Light" w:cs="Times New Roman"/>
                <w:sz w:val="20"/>
                <w:szCs w:val="20"/>
                <w:lang w:val="en-US"/>
              </w:rPr>
              <w:t>hether the respondent belongs to one of the following age groups: 18-24, 25-29, 30-34, 35-39, 40-44, 45-49.</w:t>
            </w:r>
          </w:p>
        </w:tc>
      </w:tr>
      <w:tr w:rsidR="00244248" w:rsidRPr="00145EBB" w14:paraId="1C976D70" w14:textId="77777777" w:rsidTr="00335B25">
        <w:trPr>
          <w:trHeight w:val="473"/>
        </w:trPr>
        <w:tc>
          <w:tcPr>
            <w:tcW w:w="1556" w:type="dxa"/>
            <w:vMerge/>
          </w:tcPr>
          <w:p w14:paraId="558ABDE4"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46A3B59C"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Education</w:t>
            </w:r>
          </w:p>
          <w:p w14:paraId="117AFD16"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(eduredef)</w:t>
            </w:r>
          </w:p>
        </w:tc>
        <w:tc>
          <w:tcPr>
            <w:tcW w:w="6381" w:type="dxa"/>
          </w:tcPr>
          <w:p w14:paraId="364BFF8C"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Re</w:t>
            </w:r>
            <w:r w:rsidRPr="00145EBB">
              <w:rPr>
                <w:rFonts w:ascii="Calibri Light" w:eastAsia="Times New Roman" w:hAnsi="Calibri Light" w:cs="Times New Roman"/>
                <w:sz w:val="20"/>
                <w:szCs w:val="20"/>
                <w:lang w:val="en-US"/>
              </w:rPr>
              <w:t>spondent’s highest educational attainment, classified in four categories: Bachelor Degree or Higher, Diploma or Certificate III/IV, Year 12, Year 11 or below.</w:t>
            </w:r>
          </w:p>
        </w:tc>
      </w:tr>
      <w:tr w:rsidR="00244248" w:rsidRPr="00145EBB" w14:paraId="216D6B8A" w14:textId="77777777" w:rsidTr="00335B25">
        <w:trPr>
          <w:trHeight w:val="473"/>
        </w:trPr>
        <w:tc>
          <w:tcPr>
            <w:tcW w:w="1556" w:type="dxa"/>
            <w:vMerge/>
          </w:tcPr>
          <w:p w14:paraId="784E116A"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65FF0465"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Marital status</w:t>
            </w:r>
          </w:p>
          <w:p w14:paraId="03587E52"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(marstat)</w:t>
            </w:r>
          </w:p>
        </w:tc>
        <w:tc>
          <w:tcPr>
            <w:tcW w:w="6381" w:type="dxa"/>
          </w:tcPr>
          <w:p w14:paraId="74F2CB47"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W</w:t>
            </w:r>
            <w:r w:rsidRPr="00145EBB">
              <w:rPr>
                <w:rFonts w:ascii="Calibri Light" w:eastAsia="Times New Roman" w:hAnsi="Calibri Light" w:cs="Times New Roman"/>
                <w:sz w:val="20"/>
                <w:szCs w:val="20"/>
                <w:lang w:val="en-US"/>
              </w:rPr>
              <w:t xml:space="preserve">hether the respondent was single, married or in a cohabiting relationship. </w:t>
            </w:r>
          </w:p>
        </w:tc>
      </w:tr>
      <w:tr w:rsidR="00244248" w:rsidRPr="00145EBB" w14:paraId="70D081C8" w14:textId="77777777" w:rsidTr="00335B25">
        <w:trPr>
          <w:trHeight w:val="473"/>
        </w:trPr>
        <w:tc>
          <w:tcPr>
            <w:tcW w:w="1556" w:type="dxa"/>
            <w:vMerge/>
          </w:tcPr>
          <w:p w14:paraId="7DC353A3"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496C917F" w14:textId="77777777" w:rsidR="00244248" w:rsidRPr="00145EBB" w:rsidRDefault="00244248" w:rsidP="00335B25">
            <w:pPr>
              <w:contextualSpacing/>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 xml:space="preserve">Employment </w:t>
            </w:r>
          </w:p>
          <w:p w14:paraId="65168396"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w:t>
            </w:r>
            <w:r>
              <w:rPr>
                <w:rFonts w:ascii="Calibri Light" w:eastAsia="Times New Roman" w:hAnsi="Calibri Light" w:cs="Times New Roman"/>
                <w:sz w:val="20"/>
                <w:szCs w:val="20"/>
                <w:lang w:val="en-US"/>
              </w:rPr>
              <w:t>work</w:t>
            </w:r>
            <w:r w:rsidRPr="00145EBB">
              <w:rPr>
                <w:rFonts w:ascii="Calibri Light" w:eastAsia="Times New Roman" w:hAnsi="Calibri Light" w:cs="Times New Roman"/>
                <w:sz w:val="20"/>
                <w:szCs w:val="20"/>
                <w:lang w:val="en-US"/>
              </w:rPr>
              <w:t>)</w:t>
            </w:r>
          </w:p>
        </w:tc>
        <w:tc>
          <w:tcPr>
            <w:tcW w:w="6381" w:type="dxa"/>
          </w:tcPr>
          <w:p w14:paraId="2BC2F227"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W</w:t>
            </w:r>
            <w:r w:rsidRPr="00145EBB">
              <w:rPr>
                <w:rFonts w:ascii="Calibri Light" w:eastAsia="Times New Roman" w:hAnsi="Calibri Light" w:cs="Times New Roman"/>
                <w:sz w:val="20"/>
                <w:szCs w:val="20"/>
                <w:lang w:val="en-US"/>
              </w:rPr>
              <w:t>hether the respondent is</w:t>
            </w:r>
            <w:r>
              <w:rPr>
                <w:rFonts w:ascii="Calibri Light" w:eastAsia="Times New Roman" w:hAnsi="Calibri Light" w:cs="Times New Roman"/>
                <w:sz w:val="20"/>
                <w:szCs w:val="20"/>
                <w:lang w:val="en-US"/>
              </w:rPr>
              <w:t xml:space="preserve"> permanent full-time, permanent part-time, casual full-time, casual  part-time, self-employed, or not working.</w:t>
            </w:r>
          </w:p>
        </w:tc>
      </w:tr>
      <w:tr w:rsidR="00244248" w:rsidRPr="00145EBB" w14:paraId="109A619B" w14:textId="77777777" w:rsidTr="00335B25">
        <w:trPr>
          <w:trHeight w:val="473"/>
        </w:trPr>
        <w:tc>
          <w:tcPr>
            <w:tcW w:w="1556" w:type="dxa"/>
            <w:vMerge/>
          </w:tcPr>
          <w:p w14:paraId="0A0FB7AB"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1805BEB7"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SEIFA index</w:t>
            </w:r>
          </w:p>
          <w:p w14:paraId="2F7230AC"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(seifa2cats)</w:t>
            </w:r>
          </w:p>
        </w:tc>
        <w:tc>
          <w:tcPr>
            <w:tcW w:w="6381" w:type="dxa"/>
          </w:tcPr>
          <w:p w14:paraId="4AC2072F"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Summary measure of socio-economic status by geographic are of residence of the respondent, based on the ABS Socio-economic Index for Areas (SEIFA).</w:t>
            </w:r>
          </w:p>
        </w:tc>
      </w:tr>
      <w:tr w:rsidR="00244248" w:rsidRPr="00145EBB" w14:paraId="1D457D82" w14:textId="77777777" w:rsidTr="00797EF7">
        <w:trPr>
          <w:trHeight w:val="473"/>
        </w:trPr>
        <w:tc>
          <w:tcPr>
            <w:tcW w:w="1556" w:type="dxa"/>
            <w:vMerge/>
          </w:tcPr>
          <w:p w14:paraId="0D9F2E62"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2EC32C7C"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Household disposable income</w:t>
            </w:r>
          </w:p>
          <w:p w14:paraId="108E6472"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(loghhinc)</w:t>
            </w:r>
          </w:p>
        </w:tc>
        <w:tc>
          <w:tcPr>
            <w:tcW w:w="6381" w:type="dxa"/>
            <w:vAlign w:val="center"/>
          </w:tcPr>
          <w:p w14:paraId="41B02342" w14:textId="47C161F1" w:rsidR="00244248" w:rsidRPr="00145EBB" w:rsidRDefault="006262AC" w:rsidP="006262AC">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Log of household disposable income</w:t>
            </w:r>
          </w:p>
        </w:tc>
      </w:tr>
      <w:tr w:rsidR="00244248" w:rsidRPr="00145EBB" w14:paraId="78815292" w14:textId="77777777" w:rsidTr="00335B25">
        <w:trPr>
          <w:trHeight w:val="485"/>
        </w:trPr>
        <w:tc>
          <w:tcPr>
            <w:tcW w:w="1556" w:type="dxa"/>
            <w:vMerge w:val="restart"/>
          </w:tcPr>
          <w:p w14:paraId="0DECB899"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Time-invariant</w:t>
            </w:r>
          </w:p>
          <w:p w14:paraId="4D728D4A"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demographics</w:t>
            </w:r>
          </w:p>
        </w:tc>
        <w:tc>
          <w:tcPr>
            <w:tcW w:w="1841" w:type="dxa"/>
          </w:tcPr>
          <w:p w14:paraId="3EA32334"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Born in Australia</w:t>
            </w:r>
          </w:p>
          <w:p w14:paraId="138A5B22"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(bornaus)</w:t>
            </w:r>
          </w:p>
        </w:tc>
        <w:tc>
          <w:tcPr>
            <w:tcW w:w="6381" w:type="dxa"/>
          </w:tcPr>
          <w:p w14:paraId="3DD6E7A4"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Wh</w:t>
            </w:r>
            <w:r w:rsidRPr="00145EBB">
              <w:rPr>
                <w:rFonts w:ascii="Calibri Light" w:eastAsia="Times New Roman" w:hAnsi="Calibri Light" w:cs="Times New Roman"/>
                <w:sz w:val="20"/>
                <w:szCs w:val="20"/>
                <w:lang w:val="en-US"/>
              </w:rPr>
              <w:t>ether the respondent was born in Australia</w:t>
            </w:r>
            <w:r>
              <w:rPr>
                <w:rFonts w:ascii="Calibri Light" w:eastAsia="Times New Roman" w:hAnsi="Calibri Light" w:cs="Times New Roman"/>
                <w:sz w:val="20"/>
                <w:szCs w:val="20"/>
                <w:lang w:val="en-US"/>
              </w:rPr>
              <w:t xml:space="preserve"> or overseas</w:t>
            </w:r>
          </w:p>
        </w:tc>
      </w:tr>
      <w:tr w:rsidR="00244248" w:rsidRPr="00145EBB" w14:paraId="1E9B015D" w14:textId="77777777" w:rsidTr="00335B25">
        <w:trPr>
          <w:trHeight w:val="746"/>
        </w:trPr>
        <w:tc>
          <w:tcPr>
            <w:tcW w:w="1556" w:type="dxa"/>
            <w:vMerge/>
          </w:tcPr>
          <w:p w14:paraId="14499CA2"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670AB469"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Aboriginal or Torres Strait Islander</w:t>
            </w:r>
          </w:p>
          <w:p w14:paraId="20B81DE0"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(atsi)</w:t>
            </w:r>
          </w:p>
        </w:tc>
        <w:tc>
          <w:tcPr>
            <w:tcW w:w="6381" w:type="dxa"/>
          </w:tcPr>
          <w:p w14:paraId="525EEC45"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W</w:t>
            </w:r>
            <w:r w:rsidRPr="00145EBB">
              <w:rPr>
                <w:rFonts w:ascii="Calibri Light" w:eastAsia="Times New Roman" w:hAnsi="Calibri Light" w:cs="Times New Roman"/>
                <w:sz w:val="20"/>
                <w:szCs w:val="20"/>
                <w:lang w:val="en-US"/>
              </w:rPr>
              <w:t>hether the respondent was of Aboriginal or Torres Strait Islander origin</w:t>
            </w:r>
          </w:p>
        </w:tc>
      </w:tr>
      <w:tr w:rsidR="00244248" w:rsidRPr="00145EBB" w14:paraId="1B81013F" w14:textId="77777777" w:rsidTr="00335B25">
        <w:trPr>
          <w:trHeight w:val="485"/>
        </w:trPr>
        <w:tc>
          <w:tcPr>
            <w:tcW w:w="1556" w:type="dxa"/>
            <w:vMerge/>
          </w:tcPr>
          <w:p w14:paraId="3B900EA6"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208EC32F"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Remoteness area</w:t>
            </w:r>
          </w:p>
          <w:p w14:paraId="1FE2A37D"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(remote)</w:t>
            </w:r>
          </w:p>
        </w:tc>
        <w:tc>
          <w:tcPr>
            <w:tcW w:w="6381" w:type="dxa"/>
          </w:tcPr>
          <w:p w14:paraId="54A6BBD7"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W</w:t>
            </w:r>
            <w:r w:rsidRPr="00145EBB">
              <w:rPr>
                <w:rFonts w:ascii="Calibri Light" w:eastAsia="Times New Roman" w:hAnsi="Calibri Light" w:cs="Times New Roman"/>
                <w:sz w:val="20"/>
                <w:szCs w:val="20"/>
                <w:lang w:val="en-US"/>
              </w:rPr>
              <w:t xml:space="preserve">hether the respondent live in a: major, regional or remote area and it is based on the 2011 Australian Statistical Geography Standard (ASGS) remoteness structure. </w:t>
            </w:r>
          </w:p>
        </w:tc>
      </w:tr>
      <w:tr w:rsidR="00244248" w:rsidRPr="00145EBB" w14:paraId="489098AB" w14:textId="77777777" w:rsidTr="00335B25">
        <w:trPr>
          <w:trHeight w:val="734"/>
        </w:trPr>
        <w:tc>
          <w:tcPr>
            <w:tcW w:w="1556" w:type="dxa"/>
            <w:vMerge w:val="restart"/>
          </w:tcPr>
          <w:p w14:paraId="3F199512"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 xml:space="preserve">Controls for other covariates </w:t>
            </w:r>
          </w:p>
        </w:tc>
        <w:tc>
          <w:tcPr>
            <w:tcW w:w="1841" w:type="dxa"/>
          </w:tcPr>
          <w:p w14:paraId="53789C72"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Number of children ever had</w:t>
            </w:r>
          </w:p>
          <w:p w14:paraId="55169123"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(tchad)</w:t>
            </w:r>
          </w:p>
        </w:tc>
        <w:tc>
          <w:tcPr>
            <w:tcW w:w="6381" w:type="dxa"/>
          </w:tcPr>
          <w:p w14:paraId="5DCACFBE"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 xml:space="preserve">Measured with the question: </w:t>
            </w:r>
            <w:r w:rsidRPr="00145EBB">
              <w:rPr>
                <w:rFonts w:ascii="Calibri Light" w:eastAsia="Times New Roman" w:hAnsi="Calibri Light" w:cs="Times New Roman"/>
                <w:i/>
                <w:iCs/>
                <w:sz w:val="20"/>
                <w:szCs w:val="20"/>
                <w:lang w:val="en-US"/>
              </w:rPr>
              <w:t>How many children in total have you ever had? That is, ever [fathered / given birth to] or adopted?</w:t>
            </w:r>
          </w:p>
        </w:tc>
      </w:tr>
      <w:tr w:rsidR="00244248" w:rsidRPr="00145EBB" w14:paraId="42EFC81E" w14:textId="77777777" w:rsidTr="00335B25">
        <w:trPr>
          <w:trHeight w:val="734"/>
        </w:trPr>
        <w:tc>
          <w:tcPr>
            <w:tcW w:w="1556" w:type="dxa"/>
            <w:vMerge/>
          </w:tcPr>
          <w:p w14:paraId="6E3DC07E"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520EA2F3"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Children ever had</w:t>
            </w:r>
          </w:p>
          <w:p w14:paraId="168E23D0"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(childever0, childever1)*</w:t>
            </w:r>
          </w:p>
        </w:tc>
        <w:tc>
          <w:tcPr>
            <w:tcW w:w="6381" w:type="dxa"/>
          </w:tcPr>
          <w:p w14:paraId="6600ACBD"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T</w:t>
            </w:r>
            <w:r w:rsidRPr="00145EBB">
              <w:rPr>
                <w:rFonts w:ascii="Calibri Light" w:eastAsia="Times New Roman" w:hAnsi="Calibri Light" w:cs="Times New Roman"/>
                <w:sz w:val="20"/>
                <w:szCs w:val="20"/>
                <w:lang w:val="en-US"/>
              </w:rPr>
              <w:t>otal number of children ever born to the respondent, excluding the very year of new birth. Children ever had 1 indicates that the respondent has had 1 child, and children ever had 0  indicates that the respondent has never had a child.</w:t>
            </w:r>
          </w:p>
        </w:tc>
      </w:tr>
      <w:tr w:rsidR="00244248" w:rsidRPr="00145EBB" w14:paraId="348B3E06" w14:textId="77777777" w:rsidTr="00335B25">
        <w:trPr>
          <w:trHeight w:val="734"/>
        </w:trPr>
        <w:tc>
          <w:tcPr>
            <w:tcW w:w="1556" w:type="dxa"/>
            <w:vMerge/>
          </w:tcPr>
          <w:p w14:paraId="03DD119A" w14:textId="77777777" w:rsidR="00244248" w:rsidRPr="00145EBB" w:rsidRDefault="00244248" w:rsidP="00335B25">
            <w:pPr>
              <w:contextualSpacing/>
              <w:rPr>
                <w:rFonts w:ascii="Calibri Light" w:eastAsia="Times New Roman" w:hAnsi="Calibri Light" w:cs="Times New Roman"/>
                <w:sz w:val="20"/>
                <w:szCs w:val="20"/>
                <w:lang w:val="en-US"/>
              </w:rPr>
            </w:pPr>
          </w:p>
        </w:tc>
        <w:tc>
          <w:tcPr>
            <w:tcW w:w="1841" w:type="dxa"/>
          </w:tcPr>
          <w:p w14:paraId="52F8E73C"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Parity</w:t>
            </w:r>
          </w:p>
          <w:p w14:paraId="31CBBBAB"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(parity0, parity1)*</w:t>
            </w:r>
          </w:p>
        </w:tc>
        <w:tc>
          <w:tcPr>
            <w:tcW w:w="6381" w:type="dxa"/>
          </w:tcPr>
          <w:p w14:paraId="6FEB64E9"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To</w:t>
            </w:r>
            <w:r w:rsidRPr="00145EBB">
              <w:rPr>
                <w:rFonts w:ascii="Calibri Light" w:eastAsia="Times New Roman" w:hAnsi="Calibri Light" w:cs="Times New Roman"/>
                <w:sz w:val="20"/>
                <w:szCs w:val="20"/>
                <w:lang w:val="en-US"/>
              </w:rPr>
              <w:t>tal number of children ever born to the respondent, including the very year of new birth. Par</w:t>
            </w:r>
            <w:r>
              <w:rPr>
                <w:rFonts w:ascii="Calibri Light" w:eastAsia="Times New Roman" w:hAnsi="Calibri Light" w:cs="Times New Roman"/>
                <w:sz w:val="20"/>
                <w:szCs w:val="20"/>
                <w:lang w:val="en-US"/>
              </w:rPr>
              <w:t>i</w:t>
            </w:r>
            <w:r w:rsidRPr="00145EBB">
              <w:rPr>
                <w:rFonts w:ascii="Calibri Light" w:eastAsia="Times New Roman" w:hAnsi="Calibri Light" w:cs="Times New Roman"/>
                <w:sz w:val="20"/>
                <w:szCs w:val="20"/>
                <w:lang w:val="en-US"/>
              </w:rPr>
              <w:t>ty</w:t>
            </w:r>
            <w:r>
              <w:rPr>
                <w:rFonts w:ascii="Calibri Light" w:eastAsia="Times New Roman" w:hAnsi="Calibri Light" w:cs="Times New Roman"/>
                <w:sz w:val="20"/>
                <w:szCs w:val="20"/>
                <w:lang w:val="en-US"/>
              </w:rPr>
              <w:t xml:space="preserve"> </w:t>
            </w:r>
            <w:r w:rsidRPr="00145EBB">
              <w:rPr>
                <w:rFonts w:ascii="Calibri Light" w:eastAsia="Times New Roman" w:hAnsi="Calibri Light" w:cs="Times New Roman"/>
                <w:sz w:val="20"/>
                <w:szCs w:val="20"/>
                <w:lang w:val="en-US"/>
              </w:rPr>
              <w:t>1 indicates that the respondent has had 1 child, and parity 0 indicates that the respondent has never had a child.</w:t>
            </w:r>
          </w:p>
        </w:tc>
      </w:tr>
    </w:tbl>
    <w:p w14:paraId="5CD73DED" w14:textId="77777777" w:rsidR="00244248" w:rsidRDefault="00244248" w:rsidP="00244248">
      <w:pPr>
        <w:spacing w:after="0" w:line="240" w:lineRule="auto"/>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*Control for general correlation analysis only.</w:t>
      </w:r>
    </w:p>
    <w:p w14:paraId="486F8D75" w14:textId="77777777" w:rsidR="00244248" w:rsidRDefault="00244248" w:rsidP="00244248">
      <w:pPr>
        <w:rPr>
          <w:rFonts w:eastAsia="Times New Roman" w:cstheme="minorHAnsi"/>
          <w:lang w:val="en-US"/>
        </w:rPr>
      </w:pPr>
    </w:p>
    <w:p w14:paraId="16DC4310" w14:textId="77777777" w:rsidR="007C5778" w:rsidRDefault="007C5778">
      <w:pPr>
        <w:rPr>
          <w:rFonts w:eastAsia="Times New Roman" w:cstheme="minorHAnsi"/>
          <w:lang w:val="en-US"/>
        </w:rPr>
      </w:pPr>
      <w:r>
        <w:rPr>
          <w:rFonts w:eastAsia="Times New Roman" w:cstheme="minorHAnsi"/>
          <w:lang w:val="en-US"/>
        </w:rPr>
        <w:br w:type="page"/>
      </w:r>
    </w:p>
    <w:p w14:paraId="7A928B9B" w14:textId="7BEB8F10" w:rsidR="00244248" w:rsidRPr="00E72323" w:rsidRDefault="00244248" w:rsidP="00244248">
      <w:pPr>
        <w:rPr>
          <w:rFonts w:eastAsia="Times New Roman" w:cstheme="minorHAnsi"/>
          <w:lang w:val="en-US"/>
        </w:rPr>
      </w:pPr>
      <w:r>
        <w:rPr>
          <w:rFonts w:eastAsia="Times New Roman" w:cstheme="minorHAnsi"/>
          <w:lang w:val="en-US"/>
        </w:rPr>
        <w:lastRenderedPageBreak/>
        <w:t xml:space="preserve">Table </w:t>
      </w:r>
      <w:r w:rsidR="000803EB">
        <w:rPr>
          <w:rFonts w:eastAsia="Times New Roman" w:cstheme="minorHAnsi"/>
          <w:lang w:val="en-US"/>
        </w:rPr>
        <w:t>25</w:t>
      </w:r>
      <w:r>
        <w:rPr>
          <w:rFonts w:eastAsia="Times New Roman" w:cstheme="minorHAnsi"/>
          <w:lang w:val="en-US"/>
        </w:rPr>
        <w:t xml:space="preserve"> </w:t>
      </w:r>
      <w:r w:rsidRPr="00E72323">
        <w:rPr>
          <w:rFonts w:eastAsia="Times New Roman" w:cstheme="minorHAnsi"/>
          <w:lang w:val="en-US"/>
        </w:rPr>
        <w:t xml:space="preserve">describes the HILDA variables used in the policy analyses to identify affected vs. not affected groups of individuals (treated vs. control groups). The table also states the year of the reform and for which years the policy was analyzed for. </w:t>
      </w:r>
    </w:p>
    <w:p w14:paraId="78859FED" w14:textId="25B86F68" w:rsidR="00244248" w:rsidRDefault="00244248" w:rsidP="00244248">
      <w:pPr>
        <w:pStyle w:val="Caption"/>
        <w:keepNext/>
      </w:pPr>
      <w:bookmarkStart w:id="167" w:name="_Ref83982201"/>
      <w:r>
        <w:t xml:space="preserve">Table </w:t>
      </w:r>
      <w:fldSimple w:instr=" SEQ Table \* ARABIC ">
        <w:r w:rsidR="00115E22">
          <w:rPr>
            <w:noProof/>
          </w:rPr>
          <w:t>25</w:t>
        </w:r>
      </w:fldSimple>
      <w:bookmarkEnd w:id="167"/>
      <w:r>
        <w:t xml:space="preserve"> </w:t>
      </w:r>
      <w:r w:rsidRPr="00135EFB">
        <w:t>Policy measures for the policy evaluation analysis</w:t>
      </w:r>
    </w:p>
    <w:tbl>
      <w:tblPr>
        <w:tblStyle w:val="TableGrid"/>
        <w:tblW w:w="9493"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1512"/>
        <w:gridCol w:w="1979"/>
        <w:gridCol w:w="6002"/>
      </w:tblGrid>
      <w:tr w:rsidR="00244248" w:rsidRPr="00145EBB" w14:paraId="7C9AE72E" w14:textId="77777777" w:rsidTr="00335B25">
        <w:tc>
          <w:tcPr>
            <w:tcW w:w="1512" w:type="dxa"/>
            <w:shd w:val="clear" w:color="auto" w:fill="FBE4D5"/>
          </w:tcPr>
          <w:p w14:paraId="395539BD" w14:textId="77777777" w:rsidR="00244248" w:rsidRPr="00145EBB" w:rsidRDefault="00244248" w:rsidP="00335B25">
            <w:pPr>
              <w:rPr>
                <w:rFonts w:ascii="Calibri Light" w:eastAsia="Times New Roman" w:hAnsi="Calibri Light" w:cs="Times New Roman"/>
                <w:b/>
                <w:bCs/>
                <w:sz w:val="20"/>
                <w:szCs w:val="20"/>
                <w:lang w:val="en-US"/>
              </w:rPr>
            </w:pPr>
            <w:r w:rsidRPr="00145EBB">
              <w:rPr>
                <w:rFonts w:ascii="Calibri Light" w:eastAsia="Times New Roman" w:hAnsi="Calibri Light" w:cs="Times New Roman"/>
                <w:b/>
                <w:bCs/>
                <w:sz w:val="20"/>
                <w:szCs w:val="20"/>
                <w:lang w:val="en-US"/>
              </w:rPr>
              <w:t>Measurement</w:t>
            </w:r>
          </w:p>
        </w:tc>
        <w:tc>
          <w:tcPr>
            <w:tcW w:w="1979" w:type="dxa"/>
            <w:shd w:val="clear" w:color="auto" w:fill="FBE4D5"/>
          </w:tcPr>
          <w:p w14:paraId="1594DE35" w14:textId="77777777" w:rsidR="00244248" w:rsidRPr="00145EBB" w:rsidRDefault="00244248" w:rsidP="00335B25">
            <w:pPr>
              <w:rPr>
                <w:rFonts w:ascii="Calibri Light" w:eastAsia="Times New Roman" w:hAnsi="Calibri Light" w:cs="Times New Roman"/>
                <w:b/>
                <w:bCs/>
                <w:sz w:val="20"/>
                <w:szCs w:val="20"/>
                <w:lang w:val="en-US"/>
              </w:rPr>
            </w:pPr>
            <w:r w:rsidRPr="00145EBB">
              <w:rPr>
                <w:rFonts w:ascii="Calibri Light" w:eastAsia="Times New Roman" w:hAnsi="Calibri Light" w:cs="Times New Roman"/>
                <w:b/>
                <w:bCs/>
                <w:sz w:val="20"/>
                <w:szCs w:val="20"/>
                <w:lang w:val="en-US"/>
              </w:rPr>
              <w:t>Variable name</w:t>
            </w:r>
          </w:p>
        </w:tc>
        <w:tc>
          <w:tcPr>
            <w:tcW w:w="6002" w:type="dxa"/>
            <w:shd w:val="clear" w:color="auto" w:fill="FBE4D5"/>
          </w:tcPr>
          <w:p w14:paraId="0B1D42DE" w14:textId="77777777" w:rsidR="00244248" w:rsidRPr="00145EBB" w:rsidRDefault="00244248" w:rsidP="00335B25">
            <w:pPr>
              <w:rPr>
                <w:rFonts w:ascii="Calibri Light" w:eastAsia="Times New Roman" w:hAnsi="Calibri Light" w:cs="Times New Roman"/>
                <w:b/>
                <w:bCs/>
                <w:sz w:val="20"/>
                <w:szCs w:val="20"/>
                <w:lang w:val="en-US"/>
              </w:rPr>
            </w:pPr>
            <w:r w:rsidRPr="00145EBB">
              <w:rPr>
                <w:rFonts w:ascii="Calibri Light" w:eastAsia="Times New Roman" w:hAnsi="Calibri Light" w:cs="Times New Roman"/>
                <w:b/>
                <w:bCs/>
                <w:sz w:val="20"/>
                <w:szCs w:val="20"/>
                <w:lang w:val="en-US"/>
              </w:rPr>
              <w:t>Description</w:t>
            </w:r>
          </w:p>
        </w:tc>
      </w:tr>
      <w:tr w:rsidR="00244248" w:rsidRPr="00145EBB" w14:paraId="6A113408" w14:textId="77777777" w:rsidTr="00335B25">
        <w:tc>
          <w:tcPr>
            <w:tcW w:w="1512" w:type="dxa"/>
            <w:vMerge w:val="restart"/>
          </w:tcPr>
          <w:p w14:paraId="5DA3DA2D"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Baby bonus</w:t>
            </w:r>
          </w:p>
          <w:p w14:paraId="71F5E3F6"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National</w:t>
            </w:r>
          </w:p>
        </w:tc>
        <w:tc>
          <w:tcPr>
            <w:tcW w:w="1979" w:type="dxa"/>
          </w:tcPr>
          <w:p w14:paraId="013738A0"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Program effective years</w:t>
            </w:r>
          </w:p>
        </w:tc>
        <w:tc>
          <w:tcPr>
            <w:tcW w:w="6002" w:type="dxa"/>
          </w:tcPr>
          <w:p w14:paraId="3E84071A"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Years during which the Baby Bonus Program was effective (2003-2013)</w:t>
            </w:r>
          </w:p>
        </w:tc>
      </w:tr>
      <w:tr w:rsidR="00244248" w:rsidRPr="00145EBB" w14:paraId="3AF765BA" w14:textId="77777777" w:rsidTr="00335B25">
        <w:tc>
          <w:tcPr>
            <w:tcW w:w="1512" w:type="dxa"/>
            <w:vMerge/>
          </w:tcPr>
          <w:p w14:paraId="3105F611" w14:textId="77777777" w:rsidR="00244248" w:rsidRPr="00145EBB" w:rsidRDefault="00244248" w:rsidP="00335B25">
            <w:pPr>
              <w:rPr>
                <w:rFonts w:ascii="Calibri Light" w:eastAsia="Times New Roman" w:hAnsi="Calibri Light" w:cs="Times New Roman"/>
                <w:sz w:val="20"/>
                <w:szCs w:val="20"/>
                <w:lang w:val="en-US"/>
              </w:rPr>
            </w:pPr>
          </w:p>
        </w:tc>
        <w:tc>
          <w:tcPr>
            <w:tcW w:w="1979" w:type="dxa"/>
          </w:tcPr>
          <w:p w14:paraId="4CBDB7E0"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Cohort comparison</w:t>
            </w:r>
          </w:p>
        </w:tc>
        <w:tc>
          <w:tcPr>
            <w:tcW w:w="6002" w:type="dxa"/>
          </w:tcPr>
          <w:p w14:paraId="2543F414"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Old and young cohorts of respondents are compared according to the following combinations: 18-24 vs 40-44,  25-29 vs 40-44,  18-29 vs 40-44,  18-22 vs 35-39.</w:t>
            </w:r>
          </w:p>
        </w:tc>
      </w:tr>
      <w:tr w:rsidR="00244248" w:rsidRPr="00145EBB" w14:paraId="7C90D39C" w14:textId="77777777" w:rsidTr="00335B25">
        <w:tc>
          <w:tcPr>
            <w:tcW w:w="1512" w:type="dxa"/>
            <w:vMerge w:val="restart"/>
          </w:tcPr>
          <w:p w14:paraId="40066ED5"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Paid parental leave</w:t>
            </w:r>
          </w:p>
        </w:tc>
        <w:tc>
          <w:tcPr>
            <w:tcW w:w="1979" w:type="dxa"/>
          </w:tcPr>
          <w:p w14:paraId="51D6A82F"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Announcement year</w:t>
            </w:r>
          </w:p>
        </w:tc>
        <w:tc>
          <w:tcPr>
            <w:tcW w:w="6002" w:type="dxa"/>
          </w:tcPr>
          <w:p w14:paraId="32FF05DE"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 xml:space="preserve">Year when the paid parental leave was first announced (2009) </w:t>
            </w:r>
          </w:p>
        </w:tc>
      </w:tr>
      <w:tr w:rsidR="00244248" w:rsidRPr="00145EBB" w14:paraId="43F6FD43" w14:textId="77777777" w:rsidTr="00335B25">
        <w:tc>
          <w:tcPr>
            <w:tcW w:w="1512" w:type="dxa"/>
            <w:vMerge/>
          </w:tcPr>
          <w:p w14:paraId="5B131031" w14:textId="77777777" w:rsidR="00244248" w:rsidRPr="00145EBB" w:rsidRDefault="00244248" w:rsidP="00335B25">
            <w:pPr>
              <w:rPr>
                <w:rFonts w:ascii="Calibri Light" w:eastAsia="Times New Roman" w:hAnsi="Calibri Light" w:cs="Times New Roman"/>
                <w:sz w:val="20"/>
                <w:szCs w:val="20"/>
                <w:lang w:val="en-US"/>
              </w:rPr>
            </w:pPr>
          </w:p>
        </w:tc>
        <w:tc>
          <w:tcPr>
            <w:tcW w:w="1979" w:type="dxa"/>
          </w:tcPr>
          <w:p w14:paraId="0560FFD8"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Enactment year</w:t>
            </w:r>
          </w:p>
        </w:tc>
        <w:tc>
          <w:tcPr>
            <w:tcW w:w="6002" w:type="dxa"/>
          </w:tcPr>
          <w:p w14:paraId="7543C55A"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Year when the paid parental leave was implemented (2011)</w:t>
            </w:r>
          </w:p>
        </w:tc>
      </w:tr>
      <w:tr w:rsidR="00244248" w:rsidRPr="00145EBB" w14:paraId="1729A411" w14:textId="77777777" w:rsidTr="00335B25">
        <w:tc>
          <w:tcPr>
            <w:tcW w:w="1512" w:type="dxa"/>
            <w:vMerge/>
          </w:tcPr>
          <w:p w14:paraId="755EDF02" w14:textId="77777777" w:rsidR="00244248" w:rsidRPr="00145EBB" w:rsidRDefault="00244248" w:rsidP="00335B25">
            <w:pPr>
              <w:rPr>
                <w:rFonts w:ascii="Calibri Light" w:eastAsia="Times New Roman" w:hAnsi="Calibri Light" w:cs="Times New Roman"/>
                <w:sz w:val="20"/>
                <w:szCs w:val="20"/>
                <w:lang w:val="en-US"/>
              </w:rPr>
            </w:pPr>
          </w:p>
        </w:tc>
        <w:tc>
          <w:tcPr>
            <w:tcW w:w="1979" w:type="dxa"/>
          </w:tcPr>
          <w:p w14:paraId="539E509A" w14:textId="77777777" w:rsidR="00244248" w:rsidRPr="00145EBB" w:rsidRDefault="00244248" w:rsidP="00335B25">
            <w:pPr>
              <w:contextualSpacing/>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Eligibility</w:t>
            </w:r>
          </w:p>
          <w:p w14:paraId="7B870DF7" w14:textId="77777777" w:rsidR="00244248" w:rsidRPr="00145EBB" w:rsidRDefault="00244248" w:rsidP="00335B25">
            <w:pPr>
              <w:contextualSpacing/>
              <w:rPr>
                <w:rFonts w:ascii="Calibri Light" w:eastAsia="Times New Roman" w:hAnsi="Calibri Light" w:cs="Times New Roman"/>
                <w:sz w:val="20"/>
                <w:szCs w:val="20"/>
                <w:lang w:val="en-US"/>
              </w:rPr>
            </w:pPr>
          </w:p>
          <w:p w14:paraId="072FBDC3" w14:textId="77777777" w:rsidR="00244248" w:rsidRPr="00145EBB" w:rsidRDefault="00244248" w:rsidP="00335B25">
            <w:pPr>
              <w:rPr>
                <w:rFonts w:ascii="Calibri Light" w:eastAsia="Times New Roman" w:hAnsi="Calibri Light" w:cs="Times New Roman"/>
                <w:sz w:val="20"/>
                <w:szCs w:val="20"/>
                <w:lang w:val="en-US"/>
              </w:rPr>
            </w:pPr>
          </w:p>
        </w:tc>
        <w:tc>
          <w:tcPr>
            <w:tcW w:w="6002" w:type="dxa"/>
          </w:tcPr>
          <w:p w14:paraId="4D8F8D39"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Provide</w:t>
            </w:r>
            <w:r>
              <w:rPr>
                <w:rFonts w:ascii="Calibri Light" w:eastAsia="Times New Roman" w:hAnsi="Calibri Light" w:cs="Times New Roman"/>
                <w:sz w:val="20"/>
                <w:szCs w:val="20"/>
                <w:lang w:val="en-US"/>
              </w:rPr>
              <w:t>s</w:t>
            </w:r>
            <w:r w:rsidRPr="00145EBB">
              <w:rPr>
                <w:rFonts w:ascii="Calibri Light" w:eastAsia="Times New Roman" w:hAnsi="Calibri Light" w:cs="Times New Roman"/>
                <w:sz w:val="20"/>
                <w:szCs w:val="20"/>
                <w:lang w:val="en-US"/>
              </w:rPr>
              <w:t xml:space="preserve"> information on whether the respondent is eligible to receive the paid parental leave.</w:t>
            </w:r>
          </w:p>
        </w:tc>
      </w:tr>
      <w:tr w:rsidR="00244248" w:rsidRPr="00145EBB" w14:paraId="1FDA731A" w14:textId="77777777" w:rsidTr="00335B25">
        <w:tc>
          <w:tcPr>
            <w:tcW w:w="1512" w:type="dxa"/>
            <w:vMerge/>
          </w:tcPr>
          <w:p w14:paraId="3387EA48" w14:textId="77777777" w:rsidR="00244248" w:rsidRPr="00145EBB" w:rsidRDefault="00244248" w:rsidP="00335B25">
            <w:pPr>
              <w:rPr>
                <w:rFonts w:ascii="Calibri Light" w:eastAsia="Times New Roman" w:hAnsi="Calibri Light" w:cs="Times New Roman"/>
                <w:sz w:val="20"/>
                <w:szCs w:val="20"/>
                <w:lang w:val="en-US"/>
              </w:rPr>
            </w:pPr>
          </w:p>
        </w:tc>
        <w:tc>
          <w:tcPr>
            <w:tcW w:w="1979" w:type="dxa"/>
          </w:tcPr>
          <w:p w14:paraId="0033984A"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Leave</w:t>
            </w:r>
          </w:p>
        </w:tc>
        <w:tc>
          <w:tcPr>
            <w:tcW w:w="6002" w:type="dxa"/>
          </w:tcPr>
          <w:p w14:paraId="5665F0F9"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"leave access including current access to paid maternal leave and anticipated access to the public scheme from the time of announcement in 2009 where women is eligible" (Bassford and Fisher, 2020)</w:t>
            </w:r>
          </w:p>
        </w:tc>
      </w:tr>
      <w:tr w:rsidR="00244248" w:rsidRPr="00145EBB" w14:paraId="169F38E4" w14:textId="77777777" w:rsidTr="00335B25">
        <w:tc>
          <w:tcPr>
            <w:tcW w:w="1512" w:type="dxa"/>
            <w:vMerge/>
          </w:tcPr>
          <w:p w14:paraId="1A7E6ADD" w14:textId="77777777" w:rsidR="00244248" w:rsidRPr="00145EBB" w:rsidRDefault="00244248" w:rsidP="00335B25">
            <w:pPr>
              <w:rPr>
                <w:rFonts w:ascii="Calibri Light" w:eastAsia="Times New Roman" w:hAnsi="Calibri Light" w:cs="Times New Roman"/>
                <w:sz w:val="20"/>
                <w:szCs w:val="20"/>
                <w:lang w:val="en-US"/>
              </w:rPr>
            </w:pPr>
          </w:p>
        </w:tc>
        <w:tc>
          <w:tcPr>
            <w:tcW w:w="1979" w:type="dxa"/>
          </w:tcPr>
          <w:p w14:paraId="7ED65F85"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Employer as private sector</w:t>
            </w:r>
          </w:p>
        </w:tc>
        <w:tc>
          <w:tcPr>
            <w:tcW w:w="6002" w:type="dxa"/>
          </w:tcPr>
          <w:p w14:paraId="011B7D36"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Provide</w:t>
            </w:r>
            <w:r>
              <w:rPr>
                <w:rFonts w:ascii="Calibri Light" w:eastAsia="Times New Roman" w:hAnsi="Calibri Light" w:cs="Times New Roman"/>
                <w:sz w:val="20"/>
                <w:szCs w:val="20"/>
                <w:lang w:val="en-US"/>
              </w:rPr>
              <w:t>s</w:t>
            </w:r>
            <w:r w:rsidRPr="00145EBB">
              <w:rPr>
                <w:rFonts w:ascii="Calibri Light" w:eastAsia="Times New Roman" w:hAnsi="Calibri Light" w:cs="Times New Roman"/>
                <w:sz w:val="20"/>
                <w:szCs w:val="20"/>
                <w:lang w:val="en-US"/>
              </w:rPr>
              <w:t xml:space="preserve"> information on whether the respondent is employed in the private sector. </w:t>
            </w:r>
          </w:p>
        </w:tc>
      </w:tr>
      <w:tr w:rsidR="00244248" w:rsidRPr="00145EBB" w14:paraId="3CB623EE" w14:textId="77777777" w:rsidTr="00335B25">
        <w:tc>
          <w:tcPr>
            <w:tcW w:w="1512" w:type="dxa"/>
            <w:vMerge w:val="restart"/>
          </w:tcPr>
          <w:p w14:paraId="7556461D"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FTB reform</w:t>
            </w:r>
          </w:p>
        </w:tc>
        <w:tc>
          <w:tcPr>
            <w:tcW w:w="1979" w:type="dxa"/>
          </w:tcPr>
          <w:p w14:paraId="09CCB03A"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Post 2005</w:t>
            </w:r>
          </w:p>
        </w:tc>
        <w:tc>
          <w:tcPr>
            <w:tcW w:w="6002" w:type="dxa"/>
          </w:tcPr>
          <w:p w14:paraId="0C91494F" w14:textId="77777777" w:rsidR="00244248" w:rsidRPr="00145EBB" w:rsidRDefault="00244248" w:rsidP="00335B25">
            <w:pPr>
              <w:rPr>
                <w:rFonts w:ascii="Calibri Light" w:eastAsia="Times New Roman" w:hAnsi="Calibri Light" w:cs="Times New Roman"/>
                <w:sz w:val="20"/>
                <w:szCs w:val="20"/>
                <w:lang w:val="en-US"/>
              </w:rPr>
            </w:pPr>
            <w:r>
              <w:rPr>
                <w:rFonts w:ascii="Calibri Light" w:eastAsia="Times New Roman" w:hAnsi="Calibri Light" w:cs="Times New Roman"/>
                <w:sz w:val="20"/>
                <w:szCs w:val="20"/>
                <w:lang w:val="en-US"/>
              </w:rPr>
              <w:t>Equal to one if in p</w:t>
            </w:r>
            <w:r w:rsidRPr="00145EBB">
              <w:rPr>
                <w:rFonts w:ascii="Calibri Light" w:eastAsia="Times New Roman" w:hAnsi="Calibri Light" w:cs="Times New Roman"/>
                <w:sz w:val="20"/>
                <w:szCs w:val="20"/>
                <w:lang w:val="en-US"/>
              </w:rPr>
              <w:t>ost</w:t>
            </w:r>
            <w:r>
              <w:rPr>
                <w:rFonts w:ascii="Calibri Light" w:eastAsia="Times New Roman" w:hAnsi="Calibri Light" w:cs="Times New Roman"/>
                <w:sz w:val="20"/>
                <w:szCs w:val="20"/>
                <w:lang w:val="en-US"/>
              </w:rPr>
              <w:t>-</w:t>
            </w:r>
            <w:r w:rsidRPr="00145EBB">
              <w:rPr>
                <w:rFonts w:ascii="Calibri Light" w:eastAsia="Times New Roman" w:hAnsi="Calibri Light" w:cs="Times New Roman"/>
                <w:sz w:val="20"/>
                <w:szCs w:val="20"/>
                <w:lang w:val="en-US"/>
              </w:rPr>
              <w:t>reform period (after 2005)</w:t>
            </w:r>
          </w:p>
        </w:tc>
      </w:tr>
      <w:tr w:rsidR="00244248" w:rsidRPr="00145EBB" w14:paraId="513AD6B9" w14:textId="77777777" w:rsidTr="00335B25">
        <w:tc>
          <w:tcPr>
            <w:tcW w:w="1512" w:type="dxa"/>
            <w:vMerge/>
          </w:tcPr>
          <w:p w14:paraId="328D3F33" w14:textId="77777777" w:rsidR="00244248" w:rsidRPr="00145EBB" w:rsidRDefault="00244248" w:rsidP="00335B25">
            <w:pPr>
              <w:rPr>
                <w:rFonts w:ascii="Calibri Light" w:eastAsia="Times New Roman" w:hAnsi="Calibri Light" w:cs="Times New Roman"/>
                <w:sz w:val="20"/>
                <w:szCs w:val="20"/>
                <w:lang w:val="en-US"/>
              </w:rPr>
            </w:pPr>
          </w:p>
        </w:tc>
        <w:tc>
          <w:tcPr>
            <w:tcW w:w="1979" w:type="dxa"/>
          </w:tcPr>
          <w:p w14:paraId="6FBE43EB"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A reform</w:t>
            </w:r>
          </w:p>
        </w:tc>
        <w:tc>
          <w:tcPr>
            <w:tcW w:w="6002" w:type="dxa"/>
          </w:tcPr>
          <w:p w14:paraId="714077A5"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Provide</w:t>
            </w:r>
            <w:r>
              <w:rPr>
                <w:rFonts w:ascii="Calibri Light" w:eastAsia="Times New Roman" w:hAnsi="Calibri Light" w:cs="Times New Roman"/>
                <w:sz w:val="20"/>
                <w:szCs w:val="20"/>
                <w:lang w:val="en-US"/>
              </w:rPr>
              <w:t>s</w:t>
            </w:r>
            <w:r w:rsidRPr="00145EBB">
              <w:rPr>
                <w:rFonts w:ascii="Calibri Light" w:eastAsia="Times New Roman" w:hAnsi="Calibri Light" w:cs="Times New Roman"/>
                <w:sz w:val="20"/>
                <w:szCs w:val="20"/>
                <w:lang w:val="en-US"/>
              </w:rPr>
              <w:t xml:space="preserve"> information on whether the family taxable income fell into the taper rate affected change.</w:t>
            </w:r>
          </w:p>
        </w:tc>
      </w:tr>
      <w:tr w:rsidR="00244248" w:rsidRPr="00145EBB" w14:paraId="596F154B" w14:textId="77777777" w:rsidTr="00335B25">
        <w:tc>
          <w:tcPr>
            <w:tcW w:w="1512" w:type="dxa"/>
            <w:vMerge/>
          </w:tcPr>
          <w:p w14:paraId="594C52B1" w14:textId="77777777" w:rsidR="00244248" w:rsidRPr="00145EBB" w:rsidRDefault="00244248" w:rsidP="00335B25">
            <w:pPr>
              <w:rPr>
                <w:rFonts w:ascii="Calibri Light" w:eastAsia="Times New Roman" w:hAnsi="Calibri Light" w:cs="Times New Roman"/>
                <w:sz w:val="20"/>
                <w:szCs w:val="20"/>
                <w:lang w:val="en-US"/>
              </w:rPr>
            </w:pPr>
          </w:p>
        </w:tc>
        <w:tc>
          <w:tcPr>
            <w:tcW w:w="1979" w:type="dxa"/>
          </w:tcPr>
          <w:p w14:paraId="600D482F"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Lone mother</w:t>
            </w:r>
          </w:p>
        </w:tc>
        <w:tc>
          <w:tcPr>
            <w:tcW w:w="6002" w:type="dxa"/>
          </w:tcPr>
          <w:p w14:paraId="789724E3"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Provide</w:t>
            </w:r>
            <w:r>
              <w:rPr>
                <w:rFonts w:ascii="Calibri Light" w:eastAsia="Times New Roman" w:hAnsi="Calibri Light" w:cs="Times New Roman"/>
                <w:sz w:val="20"/>
                <w:szCs w:val="20"/>
                <w:lang w:val="en-US"/>
              </w:rPr>
              <w:t>s</w:t>
            </w:r>
            <w:r w:rsidRPr="00145EBB">
              <w:rPr>
                <w:rFonts w:ascii="Calibri Light" w:eastAsia="Times New Roman" w:hAnsi="Calibri Light" w:cs="Times New Roman"/>
                <w:sz w:val="20"/>
                <w:szCs w:val="20"/>
                <w:lang w:val="en-US"/>
              </w:rPr>
              <w:t xml:space="preserve"> information on whether the respondent is a single mother, as opposed to a single woman.</w:t>
            </w:r>
          </w:p>
        </w:tc>
      </w:tr>
      <w:tr w:rsidR="00244248" w:rsidRPr="00145EBB" w14:paraId="2627042E" w14:textId="77777777" w:rsidTr="00335B25">
        <w:tc>
          <w:tcPr>
            <w:tcW w:w="1512" w:type="dxa"/>
            <w:vMerge w:val="restart"/>
          </w:tcPr>
          <w:p w14:paraId="1590CFC4"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DaPP Leave</w:t>
            </w:r>
          </w:p>
        </w:tc>
        <w:tc>
          <w:tcPr>
            <w:tcW w:w="1979" w:type="dxa"/>
          </w:tcPr>
          <w:p w14:paraId="6F7F4CCB"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Post 2013</w:t>
            </w:r>
          </w:p>
        </w:tc>
        <w:tc>
          <w:tcPr>
            <w:tcW w:w="6002" w:type="dxa"/>
          </w:tcPr>
          <w:p w14:paraId="01B2099A"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Post reform period (after 2013)</w:t>
            </w:r>
          </w:p>
        </w:tc>
      </w:tr>
      <w:tr w:rsidR="00244248" w:rsidRPr="00145EBB" w14:paraId="450958B7" w14:textId="77777777" w:rsidTr="00335B25">
        <w:tc>
          <w:tcPr>
            <w:tcW w:w="1512" w:type="dxa"/>
            <w:vMerge/>
          </w:tcPr>
          <w:p w14:paraId="41D82B22" w14:textId="77777777" w:rsidR="00244248" w:rsidRPr="00145EBB" w:rsidRDefault="00244248" w:rsidP="00335B25">
            <w:pPr>
              <w:rPr>
                <w:rFonts w:ascii="Calibri Light" w:eastAsia="Times New Roman" w:hAnsi="Calibri Light" w:cs="Times New Roman"/>
                <w:sz w:val="20"/>
                <w:szCs w:val="20"/>
                <w:lang w:val="en-US"/>
              </w:rPr>
            </w:pPr>
          </w:p>
        </w:tc>
        <w:tc>
          <w:tcPr>
            <w:tcW w:w="1979" w:type="dxa"/>
          </w:tcPr>
          <w:p w14:paraId="1CFBA0B4"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Eligibility</w:t>
            </w:r>
          </w:p>
        </w:tc>
        <w:tc>
          <w:tcPr>
            <w:tcW w:w="6002" w:type="dxa"/>
          </w:tcPr>
          <w:p w14:paraId="7C50DBB3" w14:textId="77777777" w:rsidR="00244248" w:rsidRPr="00145EBB" w:rsidRDefault="00244248" w:rsidP="00335B25">
            <w:pPr>
              <w:rPr>
                <w:rFonts w:ascii="Calibri Light" w:eastAsia="Times New Roman" w:hAnsi="Calibri Light" w:cs="Times New Roman"/>
                <w:sz w:val="20"/>
                <w:szCs w:val="20"/>
                <w:lang w:val="en-US"/>
              </w:rPr>
            </w:pPr>
            <w:r w:rsidRPr="00145EBB">
              <w:rPr>
                <w:rFonts w:ascii="Calibri Light" w:eastAsia="Times New Roman" w:hAnsi="Calibri Light" w:cs="Times New Roman"/>
                <w:sz w:val="20"/>
                <w:szCs w:val="20"/>
                <w:lang w:val="en-US"/>
              </w:rPr>
              <w:t>Provide</w:t>
            </w:r>
            <w:r>
              <w:rPr>
                <w:rFonts w:ascii="Calibri Light" w:eastAsia="Times New Roman" w:hAnsi="Calibri Light" w:cs="Times New Roman"/>
                <w:sz w:val="20"/>
                <w:szCs w:val="20"/>
                <w:lang w:val="en-US"/>
              </w:rPr>
              <w:t>s</w:t>
            </w:r>
            <w:r w:rsidRPr="00145EBB">
              <w:rPr>
                <w:rFonts w:ascii="Calibri Light" w:eastAsia="Times New Roman" w:hAnsi="Calibri Light" w:cs="Times New Roman"/>
                <w:sz w:val="20"/>
                <w:szCs w:val="20"/>
                <w:lang w:val="en-US"/>
              </w:rPr>
              <w:t xml:space="preserve"> information on whether the male partner is eligible to receive the paid parental leave.</w:t>
            </w:r>
          </w:p>
        </w:tc>
      </w:tr>
    </w:tbl>
    <w:p w14:paraId="129D3388" w14:textId="77777777" w:rsidR="00244248" w:rsidRDefault="00244248" w:rsidP="004C245B"/>
    <w:p w14:paraId="33CEB416" w14:textId="77777777" w:rsidR="00244248" w:rsidRDefault="00244248" w:rsidP="004C245B">
      <w:r>
        <w:br w:type="page"/>
      </w:r>
    </w:p>
    <w:p w14:paraId="1BDF7501" w14:textId="77777777" w:rsidR="00244248" w:rsidRPr="007074AB" w:rsidRDefault="00244248" w:rsidP="00244248">
      <w:pPr>
        <w:pStyle w:val="Heading2"/>
        <w:rPr>
          <w:sz w:val="32"/>
          <w:szCs w:val="32"/>
        </w:rPr>
      </w:pPr>
      <w:r>
        <w:rPr>
          <w:sz w:val="32"/>
          <w:szCs w:val="32"/>
        </w:rPr>
        <w:lastRenderedPageBreak/>
        <w:t xml:space="preserve"> </w:t>
      </w:r>
      <w:bookmarkStart w:id="168" w:name="_Toc87454638"/>
      <w:bookmarkStart w:id="169" w:name="_Toc98404983"/>
      <w:r w:rsidRPr="007074AB">
        <w:rPr>
          <w:sz w:val="32"/>
          <w:szCs w:val="32"/>
        </w:rPr>
        <w:t>Policy 1: Baby Bonus Program</w:t>
      </w:r>
      <w:bookmarkEnd w:id="168"/>
      <w:bookmarkEnd w:id="169"/>
    </w:p>
    <w:p w14:paraId="66986600" w14:textId="77777777" w:rsidR="00244248" w:rsidRDefault="00244248" w:rsidP="00244248">
      <w:pPr>
        <w:rPr>
          <w:lang w:eastAsia="en-GB"/>
        </w:rPr>
      </w:pPr>
      <w:r>
        <w:rPr>
          <w:lang w:eastAsia="en-GB"/>
        </w:rPr>
        <w:t>Key points</w:t>
      </w:r>
    </w:p>
    <w:p w14:paraId="7F8E0881" w14:textId="77777777" w:rsidR="00244248" w:rsidRDefault="00244248" w:rsidP="00244248">
      <w:pPr>
        <w:pStyle w:val="ListParagraph"/>
        <w:numPr>
          <w:ilvl w:val="0"/>
          <w:numId w:val="36"/>
        </w:numPr>
        <w:jc w:val="both"/>
        <w:rPr>
          <w:lang w:eastAsia="en-GB"/>
        </w:rPr>
      </w:pPr>
      <w:r>
        <w:rPr>
          <w:lang w:eastAsia="en-GB"/>
        </w:rPr>
        <w:t>Overall, it is estimated that the introduction of the baby bonus increased births by less than 2%</w:t>
      </w:r>
    </w:p>
    <w:p w14:paraId="06E93C65" w14:textId="77777777" w:rsidR="00244248" w:rsidRDefault="00244248" w:rsidP="00244248">
      <w:pPr>
        <w:pStyle w:val="ListParagraph"/>
        <w:numPr>
          <w:ilvl w:val="0"/>
          <w:numId w:val="36"/>
        </w:numPr>
        <w:jc w:val="both"/>
        <w:rPr>
          <w:lang w:eastAsia="en-GB"/>
        </w:rPr>
      </w:pPr>
      <w:r>
        <w:rPr>
          <w:lang w:eastAsia="en-GB"/>
        </w:rPr>
        <w:t>The effect of the baby bonus is most evident for first births</w:t>
      </w:r>
    </w:p>
    <w:p w14:paraId="3CBEA829" w14:textId="77777777" w:rsidR="00244248" w:rsidRDefault="00244248" w:rsidP="00244248">
      <w:pPr>
        <w:pStyle w:val="ListParagraph"/>
        <w:numPr>
          <w:ilvl w:val="0"/>
          <w:numId w:val="36"/>
        </w:numPr>
        <w:jc w:val="both"/>
        <w:rPr>
          <w:lang w:eastAsia="en-GB"/>
        </w:rPr>
      </w:pPr>
      <w:r>
        <w:rPr>
          <w:lang w:eastAsia="en-GB"/>
        </w:rPr>
        <w:t>It is estimated that there was an increase of around 3% in first births following the implementation of the baby bonus</w:t>
      </w:r>
    </w:p>
    <w:p w14:paraId="794612F2" w14:textId="77777777" w:rsidR="00244248" w:rsidRDefault="00244248" w:rsidP="00244248">
      <w:pPr>
        <w:pStyle w:val="ListParagraph"/>
        <w:numPr>
          <w:ilvl w:val="0"/>
          <w:numId w:val="36"/>
        </w:numPr>
        <w:jc w:val="both"/>
        <w:rPr>
          <w:lang w:eastAsia="en-GB"/>
        </w:rPr>
      </w:pPr>
      <w:r>
        <w:rPr>
          <w:lang w:eastAsia="en-GB"/>
        </w:rPr>
        <w:t>There was no significant increase for women who already had children</w:t>
      </w:r>
    </w:p>
    <w:p w14:paraId="1051B6E4" w14:textId="77777777" w:rsidR="00244248" w:rsidRDefault="00244248" w:rsidP="00244248">
      <w:pPr>
        <w:pStyle w:val="ListParagraph"/>
        <w:numPr>
          <w:ilvl w:val="0"/>
          <w:numId w:val="36"/>
        </w:numPr>
        <w:jc w:val="both"/>
        <w:rPr>
          <w:lang w:eastAsia="en-GB"/>
        </w:rPr>
      </w:pPr>
      <w:r>
        <w:rPr>
          <w:lang w:eastAsia="en-GB"/>
        </w:rPr>
        <w:t>There was also evidence of an increase in childbearing desires and expectations following the implementation of the policy</w:t>
      </w:r>
    </w:p>
    <w:p w14:paraId="29E20EBD" w14:textId="77777777" w:rsidR="00244248" w:rsidRDefault="00244248" w:rsidP="00244248"/>
    <w:p w14:paraId="605C2E31" w14:textId="77777777" w:rsidR="00244248" w:rsidRDefault="00244248" w:rsidP="00244248">
      <w:pPr>
        <w:rPr>
          <w:rFonts w:ascii="Open Sans" w:hAnsi="Open Sans" w:cs="Open Sans"/>
          <w:color w:val="222222"/>
          <w:sz w:val="23"/>
          <w:szCs w:val="23"/>
          <w:shd w:val="clear" w:color="auto" w:fill="FFFFFF"/>
        </w:rPr>
      </w:pPr>
      <w:r>
        <w:t>The ‘Baby Bonus’ was a cash grant of $3,000 payable on the birth of a child announced in the Commonwealth Budget on 11 May 2004.   Payments began from 1 July 2004.  The Baby Bonus was the largest increase in unconditional maternity payments in Australia since WWII. The program replaced the Maternity Allowance which was, on average, much less generous. Throughout its years of operation the Baby Bonus payment and payment restrictions changed a number of times. From 1</w:t>
      </w:r>
      <w:r w:rsidRPr="001F32DD">
        <w:rPr>
          <w:vertAlign w:val="superscript"/>
        </w:rPr>
        <w:t>st</w:t>
      </w:r>
      <w:r>
        <w:t xml:space="preserve"> January 2009 onwards it switched from being universal to being means tested with a $75,000 income limit and changed from being paid as a lump sum to fortnightly instalments.  </w:t>
      </w:r>
    </w:p>
    <w:p w14:paraId="4B64FD38" w14:textId="77777777" w:rsidR="00244248" w:rsidRDefault="00244248" w:rsidP="00244248">
      <w:r>
        <w:t xml:space="preserve">Because the policy was announced only a few months prior to its introduction, any children conceived in anticipation of the Bonus would have had a due date well into the following year.      </w:t>
      </w:r>
    </w:p>
    <w:p w14:paraId="7C532B00" w14:textId="77777777" w:rsidR="00244248" w:rsidRDefault="00244248" w:rsidP="00244248">
      <w:pPr>
        <w:pBdr>
          <w:bottom w:val="single" w:sz="4" w:space="1" w:color="ED7D31" w:themeColor="accent2"/>
        </w:pBdr>
      </w:pPr>
      <w:r>
        <w:t xml:space="preserve">The identification of the effect of the baby bonus on fertility draws on HILDA data from 2001 to 2013. Exclude data after 2013 when the program was abolished. </w:t>
      </w:r>
    </w:p>
    <w:p w14:paraId="1DA5A127" w14:textId="77777777" w:rsidR="00244248" w:rsidRPr="00815860" w:rsidRDefault="00244248" w:rsidP="00244248">
      <w:pPr>
        <w:pStyle w:val="Heading3"/>
        <w:numPr>
          <w:ilvl w:val="0"/>
          <w:numId w:val="0"/>
        </w:numPr>
        <w:pBdr>
          <w:bottom w:val="single" w:sz="4" w:space="1" w:color="ED7D31" w:themeColor="accent2"/>
        </w:pBdr>
      </w:pPr>
      <w:bookmarkStart w:id="170" w:name="_Toc87454639"/>
      <w:r w:rsidRPr="00815860">
        <w:t>Identification strategies</w:t>
      </w:r>
      <w:bookmarkEnd w:id="170"/>
    </w:p>
    <w:p w14:paraId="76241C46" w14:textId="77777777" w:rsidR="00244248" w:rsidRDefault="00244248" w:rsidP="00244248">
      <w:pPr>
        <w:pStyle w:val="Heading3"/>
        <w:numPr>
          <w:ilvl w:val="0"/>
          <w:numId w:val="0"/>
        </w:numPr>
      </w:pPr>
      <w:bookmarkStart w:id="171" w:name="_Toc87454640"/>
      <w:r>
        <w:t>Identification Strategy I: (preferred – included in the main report)</w:t>
      </w:r>
      <w:bookmarkEnd w:id="171"/>
    </w:p>
    <w:p w14:paraId="625D91BA" w14:textId="77777777" w:rsidR="00244248" w:rsidRDefault="00244248" w:rsidP="00244248">
      <w:r>
        <w:t>We use a DiD design.  Our approach uses the fact that young women who fall into the more active childbearing ages are more likely to be affected by the small monetary incentive of the baby bonus program compared to women in their later childbearing age who are generally more financially secure</w:t>
      </w:r>
      <w:r w:rsidRPr="004A6E0D">
        <w:rPr>
          <w:vertAlign w:val="superscript"/>
        </w:rPr>
        <w:footnoteReference w:id="29"/>
      </w:r>
      <w:r>
        <w:t>.  We set women who were 18-24</w:t>
      </w:r>
      <w:r w:rsidRPr="004A6E0D">
        <w:rPr>
          <w:vertAlign w:val="superscript"/>
        </w:rPr>
        <w:footnoteReference w:id="30"/>
      </w:r>
      <w:r w:rsidRPr="004A6E0D">
        <w:rPr>
          <w:vertAlign w:val="superscript"/>
        </w:rPr>
        <w:t xml:space="preserve"> </w:t>
      </w:r>
      <w:r>
        <w:t xml:space="preserve">years old at any time during the 13-year survey period as the treatment group and women who were 40-44 years old at any time during the period as the control. This strategy exploits the cross-sectional variation within a short panel.  </w:t>
      </w:r>
    </w:p>
    <w:p w14:paraId="3AAC86C7" w14:textId="77777777" w:rsidR="00244248" w:rsidRDefault="00244248" w:rsidP="00244248">
      <w:pPr>
        <w:pStyle w:val="Heading3"/>
        <w:numPr>
          <w:ilvl w:val="0"/>
          <w:numId w:val="0"/>
        </w:numPr>
      </w:pPr>
      <w:bookmarkStart w:id="172" w:name="_Toc87454641"/>
      <w:r>
        <w:t>Identification Strategy II (considered but not included)</w:t>
      </w:r>
      <w:bookmarkEnd w:id="172"/>
      <w:r>
        <w:t xml:space="preserve"> </w:t>
      </w:r>
    </w:p>
    <w:p w14:paraId="07BB63F4" w14:textId="77777777" w:rsidR="00244248" w:rsidRPr="00A0082E" w:rsidRDefault="00244248" w:rsidP="00244248">
      <w:r>
        <w:t xml:space="preserve">The second identification strategy also uses a DiD design. It focuses on two specific cohorts and follows them over the entire 13 years. This strategy sets women aged 18-22 in 2001 as the treatment group and women aged 35-39 in 2001 as the control group. Unlike identification I, where each individual appears at most five times in the data, this strategy makes the most use of the panel structure of HILDA. However, the use of the long-term panel does not come without cost. The main drawback of this strategy is that most women assigned to the control group may leave their </w:t>
      </w:r>
      <w:r>
        <w:lastRenderedPageBreak/>
        <w:t>childbearing ages five to six years after the policy becomes effective.  This implies that the average outcome for the control group tends towards zero over time.  More importantly, the strong, inverted U-shaped birth outcomes trend over the lifetime of a woman dwarfs any policy response and dominates the analysis. Controlling for this strong trend, which peaks in the early thirties for new births, is only partially feasible, such that this strategy is not viable.</w:t>
      </w:r>
    </w:p>
    <w:p w14:paraId="3AF62B15" w14:textId="77777777" w:rsidR="00244248" w:rsidRDefault="00244248" w:rsidP="00244248">
      <w:pPr>
        <w:pStyle w:val="Heading3"/>
        <w:numPr>
          <w:ilvl w:val="0"/>
          <w:numId w:val="0"/>
        </w:numPr>
      </w:pPr>
      <w:bookmarkStart w:id="173" w:name="_Toc87454642"/>
      <w:r>
        <w:t>Identification Strategy III (considered – included in the appendix)</w:t>
      </w:r>
      <w:bookmarkEnd w:id="173"/>
    </w:p>
    <w:p w14:paraId="10DF9B40" w14:textId="77777777" w:rsidR="00244248" w:rsidRPr="004A6E0D" w:rsidRDefault="00244248" w:rsidP="00244248">
      <w:pPr>
        <w:pBdr>
          <w:bottom w:val="single" w:sz="4" w:space="1" w:color="ED7D31" w:themeColor="accent2"/>
        </w:pBdr>
      </w:pPr>
      <w:r>
        <w:t xml:space="preserve">The third identification strategy also uses a DiD design.  Within age groups, women who are more disadvantaged are presumably more likely to react more to the small monetary incentive (relative to the cost of the upbringing of a child) compared to women who are more well-off. We set women who were in the lowest three SEIFA category in 2011 as the treatment group and all women in the top three SEIFA categories as the control group. This strategy again exploits the cross-sectional variation. </w:t>
      </w:r>
    </w:p>
    <w:p w14:paraId="6D5398D3" w14:textId="77777777" w:rsidR="00244248" w:rsidRDefault="00244248" w:rsidP="00244248"/>
    <w:p w14:paraId="3B1AC7CB" w14:textId="6D6258C0" w:rsidR="00244248" w:rsidRPr="004A6E0D" w:rsidRDefault="00244248" w:rsidP="00244248">
      <w:r>
        <w:fldChar w:fldCharType="begin"/>
      </w:r>
      <w:r>
        <w:instrText xml:space="preserve"> REF _Ref84937858 \h </w:instrText>
      </w:r>
      <w:r>
        <w:fldChar w:fldCharType="separate"/>
      </w:r>
      <w:r w:rsidR="00115E22">
        <w:t xml:space="preserve">Figure </w:t>
      </w:r>
      <w:r w:rsidR="00115E22">
        <w:rPr>
          <w:noProof/>
        </w:rPr>
        <w:t>27</w:t>
      </w:r>
      <w:r>
        <w:fldChar w:fldCharType="end"/>
      </w:r>
      <w:r>
        <w:t xml:space="preserve"> </w:t>
      </w:r>
      <w:r w:rsidRPr="004A6E0D">
        <w:t>shows the average birth rate for different age groups by year over the sample period. As expected, we do not observe much change for the older age groups, while the younger age groups show more variability across time. Looking at the birth rate changes around the introduction of the baby bonus policy in 2004 we see varying patterns for the different age groups. Some age groups have a slight dip, some increase and others stay fairly constant around the introduction of the policy. Overall, looking at this unconditional representation of the data, we could make out an upwards trend for some of the age groups over the period following the introduction of the baby bonus. We now turn to regression analysis to control for potential confounding effects.</w:t>
      </w:r>
    </w:p>
    <w:p w14:paraId="0D6F9B61" w14:textId="77777777" w:rsidR="00244248" w:rsidRPr="004A6E0D" w:rsidRDefault="00244248" w:rsidP="00244248"/>
    <w:p w14:paraId="0DA8898B" w14:textId="5D2B287A" w:rsidR="00244248" w:rsidRDefault="00244248" w:rsidP="00244248">
      <w:pPr>
        <w:pStyle w:val="Caption"/>
        <w:keepNext/>
      </w:pPr>
      <w:bookmarkStart w:id="174" w:name="_Ref84937858"/>
      <w:bookmarkStart w:id="175" w:name="_Ref84937825"/>
      <w:r>
        <w:t xml:space="preserve">Figure </w:t>
      </w:r>
      <w:fldSimple w:instr=" SEQ Figure \* ARABIC ">
        <w:r w:rsidR="00115E22">
          <w:rPr>
            <w:noProof/>
          </w:rPr>
          <w:t>27</w:t>
        </w:r>
      </w:fldSimple>
      <w:bookmarkEnd w:id="174"/>
      <w:r>
        <w:t xml:space="preserve"> Probability of birth, by age group</w:t>
      </w:r>
      <w:bookmarkEnd w:id="175"/>
    </w:p>
    <w:p w14:paraId="15B160E8" w14:textId="77777777" w:rsidR="00244248" w:rsidRDefault="00244248" w:rsidP="00244248">
      <w:r>
        <w:rPr>
          <w:noProof/>
          <w:lang w:eastAsia="en-AU"/>
        </w:rPr>
        <w:drawing>
          <wp:inline distT="0" distB="0" distL="0" distR="0" wp14:anchorId="614D211E" wp14:editId="66FC6AB7">
            <wp:extent cx="4716575" cy="3429000"/>
            <wp:effectExtent l="0" t="0" r="8255"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29928" cy="3438708"/>
                    </a:xfrm>
                    <a:prstGeom prst="rect">
                      <a:avLst/>
                    </a:prstGeom>
                  </pic:spPr>
                </pic:pic>
              </a:graphicData>
            </a:graphic>
          </wp:inline>
        </w:drawing>
      </w:r>
      <w:r>
        <w:t xml:space="preserve"> </w:t>
      </w:r>
    </w:p>
    <w:p w14:paraId="50DF5BBA" w14:textId="77777777" w:rsidR="00244248" w:rsidRDefault="00244248" w:rsidP="00244248">
      <w:pPr>
        <w:rPr>
          <w:u w:val="single"/>
        </w:rPr>
      </w:pPr>
    </w:p>
    <w:p w14:paraId="514C9A66" w14:textId="77777777" w:rsidR="00244248" w:rsidRDefault="00244248" w:rsidP="009D2483">
      <w:pPr>
        <w:pStyle w:val="Heading3"/>
        <w:numPr>
          <w:ilvl w:val="0"/>
          <w:numId w:val="0"/>
        </w:numPr>
        <w:ind w:left="720" w:hanging="720"/>
      </w:pPr>
      <w:bookmarkStart w:id="176" w:name="_Toc87454643"/>
      <w:r>
        <w:lastRenderedPageBreak/>
        <w:t>Results</w:t>
      </w:r>
      <w:bookmarkEnd w:id="176"/>
    </w:p>
    <w:p w14:paraId="02CC1D24" w14:textId="77777777" w:rsidR="00244248" w:rsidRDefault="00244248" w:rsidP="00244248">
      <w:r>
        <w:t xml:space="preserve">For this analysis we include 18,461 observations relating to 5,828 women. Of those 3,646 women are in the treatment group (18-24 years old at any time between 2001-2013) and 2,182 women are in the control group (40-44 at any time between 2001-2013). For some analysis, including the fixed effects or intended number of children cases are dropped so the total sample size for those models is lower. </w:t>
      </w:r>
    </w:p>
    <w:p w14:paraId="6B8698A3" w14:textId="1E7C33D3" w:rsidR="00244248" w:rsidRDefault="00244248" w:rsidP="00244248">
      <w:pPr>
        <w:pStyle w:val="Caption"/>
        <w:keepNext/>
      </w:pPr>
      <w:r>
        <w:t xml:space="preserve">Table </w:t>
      </w:r>
      <w:fldSimple w:instr=" SEQ Table \* ARABIC ">
        <w:r w:rsidR="00115E22">
          <w:rPr>
            <w:noProof/>
          </w:rPr>
          <w:t>26</w:t>
        </w:r>
      </w:fldSimple>
      <w:r>
        <w:t xml:space="preserve"> Descriptive statistics for treatment and control groups</w:t>
      </w:r>
    </w:p>
    <w:tbl>
      <w:tblPr>
        <w:tblW w:w="5245" w:type="dxa"/>
        <w:tblLook w:val="04A0" w:firstRow="1" w:lastRow="0" w:firstColumn="1" w:lastColumn="0" w:noHBand="0" w:noVBand="1"/>
      </w:tblPr>
      <w:tblGrid>
        <w:gridCol w:w="2480"/>
        <w:gridCol w:w="1267"/>
        <w:gridCol w:w="1498"/>
      </w:tblGrid>
      <w:tr w:rsidR="00244248" w:rsidRPr="00D93770" w14:paraId="491AAC13" w14:textId="77777777" w:rsidTr="00335B25">
        <w:trPr>
          <w:trHeight w:val="170"/>
        </w:trPr>
        <w:tc>
          <w:tcPr>
            <w:tcW w:w="2480"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259A85A7"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 </w:t>
            </w:r>
          </w:p>
        </w:tc>
        <w:tc>
          <w:tcPr>
            <w:tcW w:w="1267"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34061962"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Pr>
                <w:rFonts w:asciiTheme="majorHAnsi" w:eastAsia="Times New Roman" w:hAnsiTheme="majorHAnsi" w:cstheme="majorHAnsi"/>
                <w:b/>
                <w:bCs/>
                <w:color w:val="000000"/>
                <w:sz w:val="20"/>
                <w:szCs w:val="20"/>
                <w:lang w:eastAsia="en-AU"/>
              </w:rPr>
              <w:t>Aged 18-24</w:t>
            </w:r>
            <w:r w:rsidRPr="00D93770">
              <w:rPr>
                <w:rFonts w:asciiTheme="majorHAnsi" w:eastAsia="Times New Roman" w:hAnsiTheme="majorHAnsi" w:cstheme="majorHAnsi"/>
                <w:b/>
                <w:bCs/>
                <w:color w:val="000000"/>
                <w:sz w:val="20"/>
                <w:szCs w:val="20"/>
                <w:lang w:eastAsia="en-AU"/>
              </w:rPr>
              <w:t xml:space="preserve"> (treatment)</w:t>
            </w:r>
          </w:p>
          <w:p w14:paraId="6908838A" w14:textId="77777777" w:rsidR="00244248" w:rsidRPr="000D5997" w:rsidRDefault="00244248" w:rsidP="00335B25">
            <w:pPr>
              <w:spacing w:after="0" w:line="240" w:lineRule="auto"/>
              <w:rPr>
                <w:rFonts w:asciiTheme="majorHAnsi" w:eastAsia="Times New Roman" w:hAnsiTheme="majorHAnsi" w:cstheme="majorHAnsi"/>
                <w:b/>
                <w:bCs/>
                <w:color w:val="000000"/>
                <w:sz w:val="12"/>
                <w:szCs w:val="12"/>
                <w:lang w:eastAsia="en-AU"/>
              </w:rPr>
            </w:pPr>
          </w:p>
          <w:p w14:paraId="06AB3528"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Column %</w:t>
            </w:r>
          </w:p>
        </w:tc>
        <w:tc>
          <w:tcPr>
            <w:tcW w:w="1498" w:type="dxa"/>
            <w:tcBorders>
              <w:top w:val="single" w:sz="4" w:space="0" w:color="ED7D31" w:themeColor="accent2"/>
              <w:left w:val="nil"/>
              <w:bottom w:val="single" w:sz="4" w:space="0" w:color="ED7D31" w:themeColor="accent2"/>
              <w:right w:val="nil"/>
            </w:tcBorders>
            <w:shd w:val="clear" w:color="auto" w:fill="FBE4D5" w:themeFill="accent2" w:themeFillTint="33"/>
            <w:noWrap/>
            <w:hideMark/>
          </w:tcPr>
          <w:p w14:paraId="7122E1D9" w14:textId="77777777" w:rsidR="00244248" w:rsidRPr="00D93770"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r>
              <w:rPr>
                <w:rFonts w:asciiTheme="majorHAnsi" w:eastAsia="Times New Roman" w:hAnsiTheme="majorHAnsi" w:cstheme="majorHAnsi"/>
                <w:b/>
                <w:bCs/>
                <w:color w:val="000000"/>
                <w:sz w:val="20"/>
                <w:szCs w:val="20"/>
                <w:lang w:eastAsia="en-AU"/>
              </w:rPr>
              <w:t>Aged 40-44</w:t>
            </w:r>
            <w:r w:rsidRPr="00D93770">
              <w:rPr>
                <w:rFonts w:asciiTheme="majorHAnsi" w:eastAsia="Times New Roman" w:hAnsiTheme="majorHAnsi" w:cstheme="majorHAnsi"/>
                <w:b/>
                <w:bCs/>
                <w:color w:val="000000"/>
                <w:sz w:val="20"/>
                <w:szCs w:val="20"/>
                <w:lang w:eastAsia="en-AU"/>
              </w:rPr>
              <w:t xml:space="preserve"> (control)</w:t>
            </w:r>
          </w:p>
          <w:p w14:paraId="623F2303" w14:textId="77777777" w:rsidR="00244248" w:rsidRPr="000D5997" w:rsidRDefault="00244248" w:rsidP="00335B25">
            <w:pPr>
              <w:spacing w:after="0" w:line="240" w:lineRule="auto"/>
              <w:jc w:val="center"/>
              <w:rPr>
                <w:rFonts w:asciiTheme="majorHAnsi" w:eastAsia="Times New Roman" w:hAnsiTheme="majorHAnsi" w:cstheme="majorHAnsi"/>
                <w:b/>
                <w:bCs/>
                <w:color w:val="000000"/>
                <w:sz w:val="8"/>
                <w:szCs w:val="8"/>
                <w:lang w:eastAsia="en-AU"/>
              </w:rPr>
            </w:pPr>
          </w:p>
          <w:p w14:paraId="2B2F1A8F"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Column %</w:t>
            </w:r>
          </w:p>
        </w:tc>
      </w:tr>
      <w:tr w:rsidR="00244248" w:rsidRPr="00D93770" w14:paraId="612C4E15" w14:textId="77777777" w:rsidTr="00335B25">
        <w:trPr>
          <w:trHeight w:val="170"/>
        </w:trPr>
        <w:tc>
          <w:tcPr>
            <w:tcW w:w="2480" w:type="dxa"/>
            <w:tcBorders>
              <w:top w:val="single" w:sz="4" w:space="0" w:color="ED7D31" w:themeColor="accent2"/>
              <w:left w:val="nil"/>
              <w:bottom w:val="nil"/>
              <w:right w:val="nil"/>
            </w:tcBorders>
            <w:shd w:val="clear" w:color="auto" w:fill="auto"/>
            <w:noWrap/>
            <w:vAlign w:val="bottom"/>
            <w:hideMark/>
          </w:tcPr>
          <w:p w14:paraId="1F4843B9"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Number of children</w:t>
            </w:r>
          </w:p>
        </w:tc>
        <w:tc>
          <w:tcPr>
            <w:tcW w:w="1267" w:type="dxa"/>
            <w:tcBorders>
              <w:top w:val="single" w:sz="4" w:space="0" w:color="ED7D31" w:themeColor="accent2"/>
              <w:left w:val="nil"/>
              <w:bottom w:val="nil"/>
              <w:right w:val="nil"/>
            </w:tcBorders>
            <w:shd w:val="clear" w:color="auto" w:fill="auto"/>
            <w:noWrap/>
            <w:vAlign w:val="bottom"/>
            <w:hideMark/>
          </w:tcPr>
          <w:p w14:paraId="325ADC7C"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 xml:space="preserve"> </w:t>
            </w:r>
          </w:p>
        </w:tc>
        <w:tc>
          <w:tcPr>
            <w:tcW w:w="1498" w:type="dxa"/>
            <w:tcBorders>
              <w:top w:val="single" w:sz="4" w:space="0" w:color="ED7D31" w:themeColor="accent2"/>
              <w:left w:val="nil"/>
              <w:bottom w:val="nil"/>
              <w:right w:val="nil"/>
            </w:tcBorders>
            <w:shd w:val="clear" w:color="auto" w:fill="auto"/>
            <w:noWrap/>
            <w:vAlign w:val="bottom"/>
            <w:hideMark/>
          </w:tcPr>
          <w:p w14:paraId="62C95770"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p>
        </w:tc>
      </w:tr>
      <w:tr w:rsidR="00244248" w:rsidRPr="00D93770" w14:paraId="17738734" w14:textId="77777777" w:rsidTr="00335B25">
        <w:trPr>
          <w:trHeight w:val="170"/>
        </w:trPr>
        <w:tc>
          <w:tcPr>
            <w:tcW w:w="2480" w:type="dxa"/>
            <w:tcBorders>
              <w:top w:val="nil"/>
              <w:left w:val="nil"/>
              <w:bottom w:val="nil"/>
              <w:right w:val="nil"/>
            </w:tcBorders>
            <w:shd w:val="clear" w:color="auto" w:fill="auto"/>
            <w:noWrap/>
            <w:vAlign w:val="bottom"/>
            <w:hideMark/>
          </w:tcPr>
          <w:p w14:paraId="7BBC7921"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0</w:t>
            </w:r>
          </w:p>
        </w:tc>
        <w:tc>
          <w:tcPr>
            <w:tcW w:w="1267" w:type="dxa"/>
            <w:tcBorders>
              <w:top w:val="nil"/>
              <w:left w:val="nil"/>
              <w:bottom w:val="nil"/>
              <w:right w:val="nil"/>
            </w:tcBorders>
            <w:shd w:val="clear" w:color="auto" w:fill="auto"/>
            <w:noWrap/>
            <w:hideMark/>
          </w:tcPr>
          <w:p w14:paraId="087FF0B6"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hAnsiTheme="majorHAnsi" w:cstheme="majorHAnsi"/>
                <w:sz w:val="20"/>
                <w:szCs w:val="20"/>
              </w:rPr>
              <w:t>85</w:t>
            </w:r>
          </w:p>
        </w:tc>
        <w:tc>
          <w:tcPr>
            <w:tcW w:w="1498" w:type="dxa"/>
            <w:tcBorders>
              <w:top w:val="nil"/>
              <w:left w:val="nil"/>
              <w:bottom w:val="nil"/>
              <w:right w:val="nil"/>
            </w:tcBorders>
            <w:shd w:val="clear" w:color="auto" w:fill="auto"/>
            <w:noWrap/>
            <w:vAlign w:val="bottom"/>
            <w:hideMark/>
          </w:tcPr>
          <w:p w14:paraId="2F422433"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18</w:t>
            </w:r>
          </w:p>
        </w:tc>
      </w:tr>
      <w:tr w:rsidR="00244248" w:rsidRPr="00D93770" w14:paraId="34B54589" w14:textId="77777777" w:rsidTr="00335B25">
        <w:trPr>
          <w:trHeight w:val="170"/>
        </w:trPr>
        <w:tc>
          <w:tcPr>
            <w:tcW w:w="2480" w:type="dxa"/>
            <w:tcBorders>
              <w:top w:val="nil"/>
              <w:left w:val="nil"/>
              <w:bottom w:val="nil"/>
              <w:right w:val="nil"/>
            </w:tcBorders>
            <w:shd w:val="clear" w:color="auto" w:fill="auto"/>
            <w:noWrap/>
            <w:vAlign w:val="bottom"/>
            <w:hideMark/>
          </w:tcPr>
          <w:p w14:paraId="4616A517"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1</w:t>
            </w:r>
          </w:p>
        </w:tc>
        <w:tc>
          <w:tcPr>
            <w:tcW w:w="1267" w:type="dxa"/>
            <w:tcBorders>
              <w:top w:val="nil"/>
              <w:left w:val="nil"/>
              <w:bottom w:val="nil"/>
              <w:right w:val="nil"/>
            </w:tcBorders>
            <w:shd w:val="clear" w:color="auto" w:fill="auto"/>
            <w:noWrap/>
            <w:hideMark/>
          </w:tcPr>
          <w:p w14:paraId="6DC83CF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hAnsiTheme="majorHAnsi" w:cstheme="majorHAnsi"/>
                <w:sz w:val="20"/>
                <w:szCs w:val="20"/>
              </w:rPr>
              <w:t>10</w:t>
            </w:r>
          </w:p>
        </w:tc>
        <w:tc>
          <w:tcPr>
            <w:tcW w:w="1498" w:type="dxa"/>
            <w:tcBorders>
              <w:top w:val="nil"/>
              <w:left w:val="nil"/>
              <w:bottom w:val="nil"/>
              <w:right w:val="nil"/>
            </w:tcBorders>
            <w:shd w:val="clear" w:color="auto" w:fill="auto"/>
            <w:noWrap/>
            <w:vAlign w:val="bottom"/>
            <w:hideMark/>
          </w:tcPr>
          <w:p w14:paraId="35D7D93A"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15</w:t>
            </w:r>
          </w:p>
        </w:tc>
      </w:tr>
      <w:tr w:rsidR="00244248" w:rsidRPr="00D93770" w14:paraId="4E763909" w14:textId="77777777" w:rsidTr="00335B25">
        <w:trPr>
          <w:trHeight w:val="170"/>
        </w:trPr>
        <w:tc>
          <w:tcPr>
            <w:tcW w:w="2480" w:type="dxa"/>
            <w:tcBorders>
              <w:top w:val="nil"/>
              <w:left w:val="nil"/>
              <w:bottom w:val="nil"/>
              <w:right w:val="nil"/>
            </w:tcBorders>
            <w:shd w:val="clear" w:color="auto" w:fill="auto"/>
            <w:noWrap/>
            <w:vAlign w:val="bottom"/>
            <w:hideMark/>
          </w:tcPr>
          <w:p w14:paraId="29396CD7"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2</w:t>
            </w:r>
          </w:p>
        </w:tc>
        <w:tc>
          <w:tcPr>
            <w:tcW w:w="1267" w:type="dxa"/>
            <w:tcBorders>
              <w:top w:val="nil"/>
              <w:left w:val="nil"/>
              <w:bottom w:val="nil"/>
              <w:right w:val="nil"/>
            </w:tcBorders>
            <w:shd w:val="clear" w:color="auto" w:fill="auto"/>
            <w:noWrap/>
            <w:hideMark/>
          </w:tcPr>
          <w:p w14:paraId="1B11464E"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hAnsiTheme="majorHAnsi" w:cstheme="majorHAnsi"/>
                <w:sz w:val="20"/>
                <w:szCs w:val="20"/>
              </w:rPr>
              <w:t>4</w:t>
            </w:r>
          </w:p>
        </w:tc>
        <w:tc>
          <w:tcPr>
            <w:tcW w:w="1498" w:type="dxa"/>
            <w:tcBorders>
              <w:top w:val="nil"/>
              <w:left w:val="nil"/>
              <w:bottom w:val="nil"/>
              <w:right w:val="nil"/>
            </w:tcBorders>
            <w:shd w:val="clear" w:color="auto" w:fill="auto"/>
            <w:noWrap/>
            <w:vAlign w:val="bottom"/>
            <w:hideMark/>
          </w:tcPr>
          <w:p w14:paraId="00C2DBC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37</w:t>
            </w:r>
          </w:p>
        </w:tc>
      </w:tr>
      <w:tr w:rsidR="00244248" w:rsidRPr="00D93770" w14:paraId="1462FE79" w14:textId="77777777" w:rsidTr="00335B25">
        <w:trPr>
          <w:trHeight w:val="170"/>
        </w:trPr>
        <w:tc>
          <w:tcPr>
            <w:tcW w:w="2480" w:type="dxa"/>
            <w:tcBorders>
              <w:top w:val="nil"/>
              <w:left w:val="nil"/>
              <w:bottom w:val="nil"/>
              <w:right w:val="nil"/>
            </w:tcBorders>
            <w:shd w:val="clear" w:color="auto" w:fill="auto"/>
            <w:noWrap/>
            <w:vAlign w:val="bottom"/>
            <w:hideMark/>
          </w:tcPr>
          <w:p w14:paraId="2876DCA6"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3+</w:t>
            </w:r>
          </w:p>
        </w:tc>
        <w:tc>
          <w:tcPr>
            <w:tcW w:w="1267" w:type="dxa"/>
            <w:tcBorders>
              <w:top w:val="nil"/>
              <w:left w:val="nil"/>
              <w:bottom w:val="nil"/>
              <w:right w:val="nil"/>
            </w:tcBorders>
            <w:shd w:val="clear" w:color="auto" w:fill="auto"/>
            <w:noWrap/>
            <w:hideMark/>
          </w:tcPr>
          <w:p w14:paraId="72FB8B1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D93770">
              <w:rPr>
                <w:rFonts w:asciiTheme="majorHAnsi" w:hAnsiTheme="majorHAnsi" w:cstheme="majorHAnsi"/>
                <w:sz w:val="20"/>
                <w:szCs w:val="20"/>
              </w:rPr>
              <w:t>1</w:t>
            </w:r>
          </w:p>
        </w:tc>
        <w:tc>
          <w:tcPr>
            <w:tcW w:w="1498" w:type="dxa"/>
            <w:tcBorders>
              <w:top w:val="nil"/>
              <w:left w:val="nil"/>
              <w:bottom w:val="nil"/>
              <w:right w:val="nil"/>
            </w:tcBorders>
            <w:shd w:val="clear" w:color="auto" w:fill="auto"/>
            <w:noWrap/>
            <w:vAlign w:val="bottom"/>
            <w:hideMark/>
          </w:tcPr>
          <w:p w14:paraId="3713F9CD"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29</w:t>
            </w:r>
          </w:p>
        </w:tc>
      </w:tr>
      <w:tr w:rsidR="00244248" w:rsidRPr="00D93770" w14:paraId="20FB3179" w14:textId="77777777" w:rsidTr="00335B25">
        <w:trPr>
          <w:trHeight w:val="170"/>
        </w:trPr>
        <w:tc>
          <w:tcPr>
            <w:tcW w:w="2480" w:type="dxa"/>
            <w:tcBorders>
              <w:top w:val="nil"/>
              <w:left w:val="nil"/>
              <w:bottom w:val="nil"/>
              <w:right w:val="nil"/>
            </w:tcBorders>
            <w:shd w:val="clear" w:color="auto" w:fill="auto"/>
            <w:noWrap/>
            <w:vAlign w:val="bottom"/>
            <w:hideMark/>
          </w:tcPr>
          <w:p w14:paraId="34C928FF" w14:textId="77777777" w:rsidR="00244248" w:rsidRPr="00D93770" w:rsidRDefault="00244248" w:rsidP="00335B25">
            <w:pPr>
              <w:spacing w:after="0" w:line="240" w:lineRule="auto"/>
              <w:rPr>
                <w:rFonts w:asciiTheme="majorHAnsi" w:eastAsia="Times New Roman" w:hAnsiTheme="majorHAnsi" w:cstheme="majorHAnsi"/>
                <w:sz w:val="20"/>
                <w:szCs w:val="20"/>
                <w:lang w:eastAsia="en-AU"/>
              </w:rPr>
            </w:pPr>
          </w:p>
        </w:tc>
        <w:tc>
          <w:tcPr>
            <w:tcW w:w="1267" w:type="dxa"/>
            <w:tcBorders>
              <w:top w:val="nil"/>
              <w:left w:val="nil"/>
              <w:bottom w:val="nil"/>
              <w:right w:val="nil"/>
            </w:tcBorders>
            <w:shd w:val="clear" w:color="auto" w:fill="auto"/>
            <w:noWrap/>
            <w:vAlign w:val="bottom"/>
            <w:hideMark/>
          </w:tcPr>
          <w:p w14:paraId="24368B97"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5B95E83C"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4E7BF1BE" w14:textId="77777777" w:rsidTr="00335B25">
        <w:trPr>
          <w:trHeight w:val="170"/>
        </w:trPr>
        <w:tc>
          <w:tcPr>
            <w:tcW w:w="2480" w:type="dxa"/>
            <w:tcBorders>
              <w:top w:val="nil"/>
              <w:left w:val="nil"/>
              <w:bottom w:val="nil"/>
              <w:right w:val="nil"/>
            </w:tcBorders>
            <w:shd w:val="clear" w:color="auto" w:fill="auto"/>
            <w:noWrap/>
            <w:vAlign w:val="bottom"/>
            <w:hideMark/>
          </w:tcPr>
          <w:p w14:paraId="5FA5A31B"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Mean age</w:t>
            </w:r>
          </w:p>
        </w:tc>
        <w:tc>
          <w:tcPr>
            <w:tcW w:w="1267" w:type="dxa"/>
            <w:tcBorders>
              <w:top w:val="nil"/>
              <w:left w:val="nil"/>
              <w:bottom w:val="nil"/>
              <w:right w:val="nil"/>
            </w:tcBorders>
            <w:shd w:val="clear" w:color="auto" w:fill="auto"/>
            <w:noWrap/>
            <w:vAlign w:val="bottom"/>
            <w:hideMark/>
          </w:tcPr>
          <w:p w14:paraId="706F2CD4"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20.1</w:t>
            </w:r>
          </w:p>
        </w:tc>
        <w:tc>
          <w:tcPr>
            <w:tcW w:w="1498" w:type="dxa"/>
            <w:tcBorders>
              <w:top w:val="nil"/>
              <w:left w:val="nil"/>
              <w:bottom w:val="nil"/>
              <w:right w:val="nil"/>
            </w:tcBorders>
            <w:shd w:val="clear" w:color="auto" w:fill="auto"/>
            <w:noWrap/>
            <w:vAlign w:val="bottom"/>
            <w:hideMark/>
          </w:tcPr>
          <w:p w14:paraId="7417C20A"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42</w:t>
            </w:r>
          </w:p>
        </w:tc>
      </w:tr>
      <w:tr w:rsidR="00244248" w:rsidRPr="00D93770" w14:paraId="0241D4C4" w14:textId="77777777" w:rsidTr="00335B25">
        <w:trPr>
          <w:trHeight w:val="170"/>
        </w:trPr>
        <w:tc>
          <w:tcPr>
            <w:tcW w:w="2480" w:type="dxa"/>
            <w:tcBorders>
              <w:top w:val="nil"/>
              <w:left w:val="nil"/>
              <w:bottom w:val="nil"/>
              <w:right w:val="nil"/>
            </w:tcBorders>
            <w:shd w:val="clear" w:color="auto" w:fill="auto"/>
            <w:noWrap/>
            <w:vAlign w:val="bottom"/>
            <w:hideMark/>
          </w:tcPr>
          <w:p w14:paraId="03F5E676" w14:textId="77777777" w:rsidR="00244248" w:rsidRPr="00D93770"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0B96E794"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373EE0C6"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3186A711" w14:textId="77777777" w:rsidTr="00335B25">
        <w:trPr>
          <w:trHeight w:val="170"/>
        </w:trPr>
        <w:tc>
          <w:tcPr>
            <w:tcW w:w="2480" w:type="dxa"/>
            <w:tcBorders>
              <w:top w:val="nil"/>
              <w:left w:val="nil"/>
              <w:bottom w:val="nil"/>
              <w:right w:val="nil"/>
            </w:tcBorders>
            <w:shd w:val="clear" w:color="auto" w:fill="auto"/>
            <w:noWrap/>
            <w:vAlign w:val="bottom"/>
          </w:tcPr>
          <w:p w14:paraId="328C0599"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Pr>
                <w:rFonts w:asciiTheme="majorHAnsi" w:eastAsia="Times New Roman" w:hAnsiTheme="majorHAnsi" w:cstheme="majorHAnsi"/>
                <w:b/>
                <w:bCs/>
                <w:color w:val="000000"/>
                <w:sz w:val="20"/>
                <w:szCs w:val="20"/>
                <w:lang w:eastAsia="en-AU"/>
              </w:rPr>
              <w:t>Relationship status</w:t>
            </w:r>
          </w:p>
        </w:tc>
        <w:tc>
          <w:tcPr>
            <w:tcW w:w="1267" w:type="dxa"/>
            <w:tcBorders>
              <w:top w:val="nil"/>
              <w:left w:val="nil"/>
              <w:bottom w:val="nil"/>
              <w:right w:val="nil"/>
            </w:tcBorders>
            <w:shd w:val="clear" w:color="auto" w:fill="auto"/>
            <w:noWrap/>
            <w:vAlign w:val="bottom"/>
          </w:tcPr>
          <w:p w14:paraId="40BF805F" w14:textId="77777777" w:rsidR="00244248" w:rsidRPr="00D93770"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tcPr>
          <w:p w14:paraId="0DAC996D"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6819F57D" w14:textId="77777777" w:rsidTr="00335B25">
        <w:trPr>
          <w:trHeight w:val="170"/>
        </w:trPr>
        <w:tc>
          <w:tcPr>
            <w:tcW w:w="2480" w:type="dxa"/>
            <w:tcBorders>
              <w:top w:val="nil"/>
              <w:left w:val="nil"/>
              <w:bottom w:val="nil"/>
              <w:right w:val="nil"/>
            </w:tcBorders>
            <w:shd w:val="clear" w:color="auto" w:fill="auto"/>
            <w:noWrap/>
            <w:vAlign w:val="bottom"/>
          </w:tcPr>
          <w:p w14:paraId="15C4010F" w14:textId="77777777" w:rsidR="00244248" w:rsidRPr="001D67C0" w:rsidRDefault="00244248" w:rsidP="00335B25">
            <w:pPr>
              <w:spacing w:after="0" w:line="240" w:lineRule="auto"/>
              <w:rPr>
                <w:rFonts w:asciiTheme="majorHAnsi" w:eastAsia="Times New Roman" w:hAnsiTheme="majorHAnsi" w:cstheme="majorHAnsi"/>
                <w:color w:val="000000"/>
                <w:sz w:val="20"/>
                <w:szCs w:val="20"/>
                <w:lang w:eastAsia="en-AU"/>
              </w:rPr>
            </w:pPr>
            <w:r w:rsidRPr="001D67C0">
              <w:rPr>
                <w:rFonts w:asciiTheme="majorHAnsi" w:eastAsia="Times New Roman" w:hAnsiTheme="majorHAnsi" w:cstheme="majorHAnsi"/>
                <w:color w:val="000000"/>
                <w:sz w:val="20"/>
                <w:szCs w:val="20"/>
                <w:lang w:eastAsia="en-AU"/>
              </w:rPr>
              <w:t>Married</w:t>
            </w:r>
          </w:p>
        </w:tc>
        <w:tc>
          <w:tcPr>
            <w:tcW w:w="1267" w:type="dxa"/>
            <w:tcBorders>
              <w:top w:val="nil"/>
              <w:left w:val="nil"/>
              <w:bottom w:val="nil"/>
              <w:right w:val="nil"/>
            </w:tcBorders>
            <w:shd w:val="clear" w:color="auto" w:fill="auto"/>
            <w:noWrap/>
            <w:vAlign w:val="bottom"/>
          </w:tcPr>
          <w:p w14:paraId="1B6953AD" w14:textId="77777777" w:rsidR="00244248" w:rsidRPr="001D67C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8</w:t>
            </w:r>
          </w:p>
        </w:tc>
        <w:tc>
          <w:tcPr>
            <w:tcW w:w="1498" w:type="dxa"/>
            <w:tcBorders>
              <w:top w:val="nil"/>
              <w:left w:val="nil"/>
              <w:bottom w:val="nil"/>
              <w:right w:val="nil"/>
            </w:tcBorders>
            <w:shd w:val="clear" w:color="auto" w:fill="auto"/>
            <w:noWrap/>
            <w:vAlign w:val="bottom"/>
          </w:tcPr>
          <w:p w14:paraId="32BBC24E" w14:textId="77777777" w:rsidR="00244248" w:rsidRPr="001D67C0"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59</w:t>
            </w:r>
          </w:p>
        </w:tc>
      </w:tr>
      <w:tr w:rsidR="00244248" w:rsidRPr="00D93770" w14:paraId="563AEE1D" w14:textId="77777777" w:rsidTr="00335B25">
        <w:trPr>
          <w:trHeight w:val="170"/>
        </w:trPr>
        <w:tc>
          <w:tcPr>
            <w:tcW w:w="2480" w:type="dxa"/>
            <w:tcBorders>
              <w:top w:val="nil"/>
              <w:left w:val="nil"/>
              <w:bottom w:val="nil"/>
              <w:right w:val="nil"/>
            </w:tcBorders>
            <w:shd w:val="clear" w:color="auto" w:fill="auto"/>
            <w:noWrap/>
            <w:vAlign w:val="bottom"/>
          </w:tcPr>
          <w:p w14:paraId="46EB9D5E" w14:textId="77777777" w:rsidR="00244248" w:rsidRPr="001D67C0" w:rsidRDefault="00244248" w:rsidP="00335B25">
            <w:pPr>
              <w:spacing w:after="0" w:line="240" w:lineRule="auto"/>
              <w:rPr>
                <w:rFonts w:asciiTheme="majorHAnsi" w:eastAsia="Times New Roman" w:hAnsiTheme="majorHAnsi" w:cstheme="majorHAnsi"/>
                <w:color w:val="000000"/>
                <w:sz w:val="20"/>
                <w:szCs w:val="20"/>
                <w:lang w:eastAsia="en-AU"/>
              </w:rPr>
            </w:pPr>
            <w:r w:rsidRPr="001D67C0">
              <w:rPr>
                <w:rFonts w:asciiTheme="majorHAnsi" w:eastAsia="Times New Roman" w:hAnsiTheme="majorHAnsi" w:cstheme="majorHAnsi"/>
                <w:color w:val="000000"/>
                <w:sz w:val="20"/>
                <w:szCs w:val="20"/>
                <w:lang w:eastAsia="en-AU"/>
              </w:rPr>
              <w:t>Cohabiting</w:t>
            </w:r>
          </w:p>
        </w:tc>
        <w:tc>
          <w:tcPr>
            <w:tcW w:w="1267" w:type="dxa"/>
            <w:tcBorders>
              <w:top w:val="nil"/>
              <w:left w:val="nil"/>
              <w:bottom w:val="nil"/>
              <w:right w:val="nil"/>
            </w:tcBorders>
            <w:shd w:val="clear" w:color="auto" w:fill="auto"/>
            <w:noWrap/>
            <w:vAlign w:val="bottom"/>
          </w:tcPr>
          <w:p w14:paraId="5800FAA2" w14:textId="77777777" w:rsidR="00244248" w:rsidRPr="001D67C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26</w:t>
            </w:r>
          </w:p>
        </w:tc>
        <w:tc>
          <w:tcPr>
            <w:tcW w:w="1498" w:type="dxa"/>
            <w:tcBorders>
              <w:top w:val="nil"/>
              <w:left w:val="nil"/>
              <w:bottom w:val="nil"/>
              <w:right w:val="nil"/>
            </w:tcBorders>
            <w:shd w:val="clear" w:color="auto" w:fill="auto"/>
            <w:noWrap/>
            <w:vAlign w:val="bottom"/>
          </w:tcPr>
          <w:p w14:paraId="389C10BD" w14:textId="77777777" w:rsidR="00244248" w:rsidRPr="001D67C0"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13</w:t>
            </w:r>
          </w:p>
        </w:tc>
      </w:tr>
      <w:tr w:rsidR="00244248" w:rsidRPr="00D93770" w14:paraId="19726C5A" w14:textId="77777777" w:rsidTr="00335B25">
        <w:trPr>
          <w:trHeight w:val="170"/>
        </w:trPr>
        <w:tc>
          <w:tcPr>
            <w:tcW w:w="2480" w:type="dxa"/>
            <w:tcBorders>
              <w:top w:val="nil"/>
              <w:left w:val="nil"/>
              <w:bottom w:val="nil"/>
              <w:right w:val="nil"/>
            </w:tcBorders>
            <w:shd w:val="clear" w:color="auto" w:fill="auto"/>
            <w:noWrap/>
            <w:vAlign w:val="bottom"/>
          </w:tcPr>
          <w:p w14:paraId="2DCDA501" w14:textId="77777777" w:rsidR="00244248" w:rsidRPr="001D67C0" w:rsidRDefault="00244248" w:rsidP="00335B25">
            <w:pPr>
              <w:spacing w:after="0" w:line="240" w:lineRule="auto"/>
              <w:rPr>
                <w:rFonts w:asciiTheme="majorHAnsi" w:eastAsia="Times New Roman" w:hAnsiTheme="majorHAnsi" w:cstheme="majorHAnsi"/>
                <w:color w:val="000000"/>
                <w:sz w:val="20"/>
                <w:szCs w:val="20"/>
                <w:lang w:eastAsia="en-AU"/>
              </w:rPr>
            </w:pPr>
            <w:r w:rsidRPr="001D67C0">
              <w:rPr>
                <w:rFonts w:asciiTheme="majorHAnsi" w:eastAsia="Times New Roman" w:hAnsiTheme="majorHAnsi" w:cstheme="majorHAnsi"/>
                <w:color w:val="000000"/>
                <w:sz w:val="20"/>
                <w:szCs w:val="20"/>
                <w:lang w:eastAsia="en-AU"/>
              </w:rPr>
              <w:t>Single</w:t>
            </w:r>
          </w:p>
        </w:tc>
        <w:tc>
          <w:tcPr>
            <w:tcW w:w="1267" w:type="dxa"/>
            <w:tcBorders>
              <w:top w:val="nil"/>
              <w:left w:val="nil"/>
              <w:bottom w:val="nil"/>
              <w:right w:val="nil"/>
            </w:tcBorders>
            <w:shd w:val="clear" w:color="auto" w:fill="auto"/>
            <w:noWrap/>
            <w:vAlign w:val="bottom"/>
          </w:tcPr>
          <w:p w14:paraId="453FE25E" w14:textId="77777777" w:rsidR="00244248" w:rsidRPr="001D67C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1D67C0">
              <w:rPr>
                <w:rFonts w:asciiTheme="majorHAnsi" w:eastAsia="Times New Roman" w:hAnsiTheme="majorHAnsi" w:cstheme="majorHAnsi"/>
                <w:color w:val="000000"/>
                <w:sz w:val="20"/>
                <w:szCs w:val="20"/>
                <w:lang w:eastAsia="en-AU"/>
              </w:rPr>
              <w:t>66</w:t>
            </w:r>
          </w:p>
        </w:tc>
        <w:tc>
          <w:tcPr>
            <w:tcW w:w="1498" w:type="dxa"/>
            <w:tcBorders>
              <w:top w:val="nil"/>
              <w:left w:val="nil"/>
              <w:bottom w:val="nil"/>
              <w:right w:val="nil"/>
            </w:tcBorders>
            <w:shd w:val="clear" w:color="auto" w:fill="auto"/>
            <w:noWrap/>
            <w:vAlign w:val="bottom"/>
          </w:tcPr>
          <w:p w14:paraId="3EDC032B" w14:textId="77777777" w:rsidR="00244248" w:rsidRPr="001D67C0"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28</w:t>
            </w:r>
          </w:p>
        </w:tc>
      </w:tr>
      <w:tr w:rsidR="00244248" w:rsidRPr="00D93770" w14:paraId="710337BD" w14:textId="77777777" w:rsidTr="00335B25">
        <w:trPr>
          <w:trHeight w:val="170"/>
        </w:trPr>
        <w:tc>
          <w:tcPr>
            <w:tcW w:w="2480" w:type="dxa"/>
            <w:tcBorders>
              <w:top w:val="nil"/>
              <w:left w:val="nil"/>
              <w:bottom w:val="nil"/>
              <w:right w:val="nil"/>
            </w:tcBorders>
            <w:shd w:val="clear" w:color="auto" w:fill="auto"/>
            <w:noWrap/>
            <w:vAlign w:val="bottom"/>
          </w:tcPr>
          <w:p w14:paraId="55B38978" w14:textId="77777777" w:rsidR="00244248" w:rsidRDefault="00244248" w:rsidP="00335B25">
            <w:pPr>
              <w:spacing w:after="0" w:line="240" w:lineRule="auto"/>
              <w:rPr>
                <w:rFonts w:asciiTheme="majorHAnsi" w:eastAsia="Times New Roman" w:hAnsiTheme="majorHAnsi" w:cstheme="majorHAnsi"/>
                <w:b/>
                <w:bCs/>
                <w:color w:val="000000"/>
                <w:sz w:val="20"/>
                <w:szCs w:val="20"/>
                <w:lang w:eastAsia="en-AU"/>
              </w:rPr>
            </w:pPr>
          </w:p>
        </w:tc>
        <w:tc>
          <w:tcPr>
            <w:tcW w:w="1267" w:type="dxa"/>
            <w:tcBorders>
              <w:top w:val="nil"/>
              <w:left w:val="nil"/>
              <w:bottom w:val="nil"/>
              <w:right w:val="nil"/>
            </w:tcBorders>
            <w:shd w:val="clear" w:color="auto" w:fill="auto"/>
            <w:noWrap/>
            <w:vAlign w:val="bottom"/>
          </w:tcPr>
          <w:p w14:paraId="63AD9317" w14:textId="77777777" w:rsidR="00244248" w:rsidRPr="00D93770"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tcPr>
          <w:p w14:paraId="14F0B2AC"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638791BA" w14:textId="77777777" w:rsidTr="00335B25">
        <w:trPr>
          <w:trHeight w:val="170"/>
        </w:trPr>
        <w:tc>
          <w:tcPr>
            <w:tcW w:w="2480" w:type="dxa"/>
            <w:tcBorders>
              <w:top w:val="nil"/>
              <w:left w:val="nil"/>
              <w:bottom w:val="nil"/>
              <w:right w:val="nil"/>
            </w:tcBorders>
            <w:shd w:val="clear" w:color="auto" w:fill="auto"/>
            <w:noWrap/>
            <w:vAlign w:val="bottom"/>
            <w:hideMark/>
          </w:tcPr>
          <w:p w14:paraId="237E43E6"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Education level</w:t>
            </w:r>
          </w:p>
        </w:tc>
        <w:tc>
          <w:tcPr>
            <w:tcW w:w="1267" w:type="dxa"/>
            <w:tcBorders>
              <w:top w:val="nil"/>
              <w:left w:val="nil"/>
              <w:bottom w:val="nil"/>
              <w:right w:val="nil"/>
            </w:tcBorders>
            <w:shd w:val="clear" w:color="auto" w:fill="auto"/>
            <w:noWrap/>
            <w:vAlign w:val="bottom"/>
            <w:hideMark/>
          </w:tcPr>
          <w:p w14:paraId="3DFF9A4F" w14:textId="77777777" w:rsidR="00244248" w:rsidRPr="00D93770"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hideMark/>
          </w:tcPr>
          <w:p w14:paraId="11CF94AE"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07D86D39" w14:textId="77777777" w:rsidTr="00335B25">
        <w:trPr>
          <w:trHeight w:val="170"/>
        </w:trPr>
        <w:tc>
          <w:tcPr>
            <w:tcW w:w="2480" w:type="dxa"/>
            <w:tcBorders>
              <w:top w:val="nil"/>
              <w:left w:val="nil"/>
              <w:bottom w:val="nil"/>
              <w:right w:val="nil"/>
            </w:tcBorders>
            <w:shd w:val="clear" w:color="auto" w:fill="auto"/>
            <w:noWrap/>
            <w:vAlign w:val="bottom"/>
            <w:hideMark/>
          </w:tcPr>
          <w:p w14:paraId="62EE8773"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Bachelor degree or higher</w:t>
            </w:r>
          </w:p>
        </w:tc>
        <w:tc>
          <w:tcPr>
            <w:tcW w:w="1267" w:type="dxa"/>
            <w:tcBorders>
              <w:top w:val="nil"/>
              <w:left w:val="nil"/>
              <w:bottom w:val="nil"/>
              <w:right w:val="nil"/>
            </w:tcBorders>
            <w:shd w:val="clear" w:color="auto" w:fill="auto"/>
            <w:noWrap/>
            <w:vAlign w:val="bottom"/>
            <w:hideMark/>
          </w:tcPr>
          <w:p w14:paraId="73CF42C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13</w:t>
            </w:r>
          </w:p>
        </w:tc>
        <w:tc>
          <w:tcPr>
            <w:tcW w:w="1498" w:type="dxa"/>
            <w:tcBorders>
              <w:top w:val="nil"/>
              <w:left w:val="nil"/>
              <w:bottom w:val="nil"/>
              <w:right w:val="nil"/>
            </w:tcBorders>
            <w:shd w:val="clear" w:color="auto" w:fill="auto"/>
            <w:noWrap/>
            <w:vAlign w:val="bottom"/>
            <w:hideMark/>
          </w:tcPr>
          <w:p w14:paraId="7141E41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31</w:t>
            </w:r>
          </w:p>
        </w:tc>
      </w:tr>
      <w:tr w:rsidR="00244248" w:rsidRPr="00D93770" w14:paraId="6D27DD0C" w14:textId="77777777" w:rsidTr="00335B25">
        <w:trPr>
          <w:trHeight w:val="170"/>
        </w:trPr>
        <w:tc>
          <w:tcPr>
            <w:tcW w:w="2480" w:type="dxa"/>
            <w:tcBorders>
              <w:top w:val="nil"/>
              <w:left w:val="nil"/>
              <w:bottom w:val="nil"/>
              <w:right w:val="nil"/>
            </w:tcBorders>
            <w:shd w:val="clear" w:color="auto" w:fill="auto"/>
            <w:noWrap/>
            <w:vAlign w:val="bottom"/>
            <w:hideMark/>
          </w:tcPr>
          <w:p w14:paraId="14E2EAF7"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Diploma or Certificate III/IV</w:t>
            </w:r>
          </w:p>
        </w:tc>
        <w:tc>
          <w:tcPr>
            <w:tcW w:w="1267" w:type="dxa"/>
            <w:tcBorders>
              <w:top w:val="nil"/>
              <w:left w:val="nil"/>
              <w:bottom w:val="nil"/>
              <w:right w:val="nil"/>
            </w:tcBorders>
            <w:shd w:val="clear" w:color="auto" w:fill="auto"/>
            <w:noWrap/>
            <w:vAlign w:val="bottom"/>
            <w:hideMark/>
          </w:tcPr>
          <w:p w14:paraId="605CD59A"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21</w:t>
            </w:r>
          </w:p>
        </w:tc>
        <w:tc>
          <w:tcPr>
            <w:tcW w:w="1498" w:type="dxa"/>
            <w:tcBorders>
              <w:top w:val="nil"/>
              <w:left w:val="nil"/>
              <w:bottom w:val="nil"/>
              <w:right w:val="nil"/>
            </w:tcBorders>
            <w:shd w:val="clear" w:color="auto" w:fill="auto"/>
            <w:noWrap/>
            <w:vAlign w:val="bottom"/>
            <w:hideMark/>
          </w:tcPr>
          <w:p w14:paraId="647B66E9"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26</w:t>
            </w:r>
          </w:p>
        </w:tc>
      </w:tr>
      <w:tr w:rsidR="00244248" w:rsidRPr="00D93770" w14:paraId="05E412DB" w14:textId="77777777" w:rsidTr="00335B25">
        <w:trPr>
          <w:trHeight w:val="170"/>
        </w:trPr>
        <w:tc>
          <w:tcPr>
            <w:tcW w:w="2480" w:type="dxa"/>
            <w:tcBorders>
              <w:top w:val="nil"/>
              <w:left w:val="nil"/>
              <w:bottom w:val="nil"/>
              <w:right w:val="nil"/>
            </w:tcBorders>
            <w:shd w:val="clear" w:color="auto" w:fill="auto"/>
            <w:noWrap/>
            <w:vAlign w:val="bottom"/>
            <w:hideMark/>
          </w:tcPr>
          <w:p w14:paraId="2D57FE7C"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Year 12</w:t>
            </w:r>
          </w:p>
        </w:tc>
        <w:tc>
          <w:tcPr>
            <w:tcW w:w="1267" w:type="dxa"/>
            <w:tcBorders>
              <w:top w:val="nil"/>
              <w:left w:val="nil"/>
              <w:bottom w:val="nil"/>
              <w:right w:val="nil"/>
            </w:tcBorders>
            <w:shd w:val="clear" w:color="auto" w:fill="auto"/>
            <w:noWrap/>
            <w:vAlign w:val="bottom"/>
            <w:hideMark/>
          </w:tcPr>
          <w:p w14:paraId="23CAAEE5"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45</w:t>
            </w:r>
          </w:p>
        </w:tc>
        <w:tc>
          <w:tcPr>
            <w:tcW w:w="1498" w:type="dxa"/>
            <w:tcBorders>
              <w:top w:val="nil"/>
              <w:left w:val="nil"/>
              <w:bottom w:val="nil"/>
              <w:right w:val="nil"/>
            </w:tcBorders>
            <w:shd w:val="clear" w:color="auto" w:fill="auto"/>
            <w:noWrap/>
            <w:vAlign w:val="bottom"/>
            <w:hideMark/>
          </w:tcPr>
          <w:p w14:paraId="31A4447C"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14</w:t>
            </w:r>
          </w:p>
        </w:tc>
      </w:tr>
      <w:tr w:rsidR="00244248" w:rsidRPr="00D93770" w14:paraId="450A160F" w14:textId="77777777" w:rsidTr="00335B25">
        <w:trPr>
          <w:trHeight w:val="170"/>
        </w:trPr>
        <w:tc>
          <w:tcPr>
            <w:tcW w:w="2480" w:type="dxa"/>
            <w:tcBorders>
              <w:top w:val="nil"/>
              <w:left w:val="nil"/>
              <w:bottom w:val="nil"/>
              <w:right w:val="nil"/>
            </w:tcBorders>
            <w:shd w:val="clear" w:color="auto" w:fill="auto"/>
            <w:noWrap/>
            <w:vAlign w:val="bottom"/>
            <w:hideMark/>
          </w:tcPr>
          <w:p w14:paraId="19B40BD1"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Year 11 or below</w:t>
            </w:r>
          </w:p>
        </w:tc>
        <w:tc>
          <w:tcPr>
            <w:tcW w:w="1267" w:type="dxa"/>
            <w:tcBorders>
              <w:top w:val="nil"/>
              <w:left w:val="nil"/>
              <w:bottom w:val="nil"/>
              <w:right w:val="nil"/>
            </w:tcBorders>
            <w:shd w:val="clear" w:color="auto" w:fill="auto"/>
            <w:noWrap/>
            <w:vAlign w:val="bottom"/>
            <w:hideMark/>
          </w:tcPr>
          <w:p w14:paraId="2B360381"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21</w:t>
            </w:r>
          </w:p>
        </w:tc>
        <w:tc>
          <w:tcPr>
            <w:tcW w:w="1498" w:type="dxa"/>
            <w:tcBorders>
              <w:top w:val="nil"/>
              <w:left w:val="nil"/>
              <w:bottom w:val="nil"/>
              <w:right w:val="nil"/>
            </w:tcBorders>
            <w:shd w:val="clear" w:color="auto" w:fill="auto"/>
            <w:noWrap/>
            <w:vAlign w:val="bottom"/>
            <w:hideMark/>
          </w:tcPr>
          <w:p w14:paraId="523136A4"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29</w:t>
            </w:r>
          </w:p>
        </w:tc>
      </w:tr>
      <w:tr w:rsidR="00244248" w:rsidRPr="00D93770" w14:paraId="60372473" w14:textId="77777777" w:rsidTr="00335B25">
        <w:trPr>
          <w:trHeight w:val="170"/>
        </w:trPr>
        <w:tc>
          <w:tcPr>
            <w:tcW w:w="2480" w:type="dxa"/>
            <w:tcBorders>
              <w:top w:val="nil"/>
              <w:left w:val="nil"/>
              <w:bottom w:val="nil"/>
              <w:right w:val="nil"/>
            </w:tcBorders>
            <w:shd w:val="clear" w:color="auto" w:fill="auto"/>
            <w:noWrap/>
            <w:vAlign w:val="bottom"/>
            <w:hideMark/>
          </w:tcPr>
          <w:p w14:paraId="2EFD072E" w14:textId="77777777" w:rsidR="00244248" w:rsidRPr="00D93770"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3C093F5C"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49D0897C"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43B8B202" w14:textId="77777777" w:rsidTr="00335B25">
        <w:trPr>
          <w:trHeight w:val="170"/>
        </w:trPr>
        <w:tc>
          <w:tcPr>
            <w:tcW w:w="2480" w:type="dxa"/>
            <w:tcBorders>
              <w:top w:val="nil"/>
              <w:left w:val="nil"/>
              <w:bottom w:val="nil"/>
              <w:right w:val="nil"/>
            </w:tcBorders>
            <w:shd w:val="clear" w:color="auto" w:fill="auto"/>
            <w:noWrap/>
            <w:vAlign w:val="bottom"/>
            <w:hideMark/>
          </w:tcPr>
          <w:p w14:paraId="3E7E37C7"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Mean household income</w:t>
            </w:r>
          </w:p>
        </w:tc>
        <w:tc>
          <w:tcPr>
            <w:tcW w:w="1267" w:type="dxa"/>
            <w:tcBorders>
              <w:top w:val="nil"/>
              <w:left w:val="nil"/>
              <w:bottom w:val="nil"/>
              <w:right w:val="nil"/>
            </w:tcBorders>
            <w:shd w:val="clear" w:color="auto" w:fill="auto"/>
            <w:noWrap/>
            <w:vAlign w:val="bottom"/>
            <w:hideMark/>
          </w:tcPr>
          <w:p w14:paraId="0B2EABA2"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$84,674</w:t>
            </w:r>
          </w:p>
        </w:tc>
        <w:tc>
          <w:tcPr>
            <w:tcW w:w="1498" w:type="dxa"/>
            <w:tcBorders>
              <w:top w:val="nil"/>
              <w:left w:val="nil"/>
              <w:bottom w:val="nil"/>
              <w:right w:val="nil"/>
            </w:tcBorders>
            <w:shd w:val="clear" w:color="auto" w:fill="auto"/>
            <w:noWrap/>
            <w:vAlign w:val="bottom"/>
            <w:hideMark/>
          </w:tcPr>
          <w:p w14:paraId="187B0D44"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w:t>
            </w:r>
            <w:r>
              <w:rPr>
                <w:rFonts w:asciiTheme="majorHAnsi" w:eastAsia="Times New Roman" w:hAnsiTheme="majorHAnsi" w:cstheme="majorHAnsi"/>
                <w:color w:val="000000"/>
                <w:sz w:val="20"/>
                <w:szCs w:val="20"/>
                <w:lang w:eastAsia="en-AU"/>
              </w:rPr>
              <w:t>91,414</w:t>
            </w:r>
          </w:p>
        </w:tc>
      </w:tr>
      <w:tr w:rsidR="00244248" w:rsidRPr="00D93770" w14:paraId="70B403D5" w14:textId="77777777" w:rsidTr="00335B25">
        <w:trPr>
          <w:trHeight w:val="170"/>
        </w:trPr>
        <w:tc>
          <w:tcPr>
            <w:tcW w:w="2480" w:type="dxa"/>
            <w:tcBorders>
              <w:top w:val="nil"/>
              <w:left w:val="nil"/>
              <w:bottom w:val="nil"/>
              <w:right w:val="nil"/>
            </w:tcBorders>
            <w:shd w:val="clear" w:color="auto" w:fill="auto"/>
            <w:noWrap/>
            <w:vAlign w:val="bottom"/>
            <w:hideMark/>
          </w:tcPr>
          <w:p w14:paraId="1F91DB6F" w14:textId="77777777" w:rsidR="00244248" w:rsidRPr="00D93770"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399BE999"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2D5D55DE"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75A3FA26" w14:textId="77777777" w:rsidTr="00335B25">
        <w:trPr>
          <w:trHeight w:val="170"/>
        </w:trPr>
        <w:tc>
          <w:tcPr>
            <w:tcW w:w="2480" w:type="dxa"/>
            <w:tcBorders>
              <w:top w:val="nil"/>
              <w:left w:val="nil"/>
              <w:bottom w:val="nil"/>
              <w:right w:val="nil"/>
            </w:tcBorders>
            <w:shd w:val="clear" w:color="auto" w:fill="auto"/>
            <w:noWrap/>
            <w:vAlign w:val="bottom"/>
            <w:hideMark/>
          </w:tcPr>
          <w:p w14:paraId="4503E895"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Country of birth</w:t>
            </w:r>
          </w:p>
        </w:tc>
        <w:tc>
          <w:tcPr>
            <w:tcW w:w="1267" w:type="dxa"/>
            <w:tcBorders>
              <w:top w:val="nil"/>
              <w:left w:val="nil"/>
              <w:bottom w:val="nil"/>
              <w:right w:val="nil"/>
            </w:tcBorders>
            <w:shd w:val="clear" w:color="auto" w:fill="auto"/>
            <w:noWrap/>
            <w:vAlign w:val="bottom"/>
            <w:hideMark/>
          </w:tcPr>
          <w:p w14:paraId="41FE6CAD" w14:textId="77777777" w:rsidR="00244248" w:rsidRPr="00D93770"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hideMark/>
          </w:tcPr>
          <w:p w14:paraId="589C0CCD"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2950FA50" w14:textId="77777777" w:rsidTr="00335B25">
        <w:trPr>
          <w:trHeight w:val="170"/>
        </w:trPr>
        <w:tc>
          <w:tcPr>
            <w:tcW w:w="2480" w:type="dxa"/>
            <w:tcBorders>
              <w:top w:val="nil"/>
              <w:left w:val="nil"/>
              <w:bottom w:val="nil"/>
              <w:right w:val="nil"/>
            </w:tcBorders>
            <w:shd w:val="clear" w:color="auto" w:fill="auto"/>
            <w:noWrap/>
            <w:vAlign w:val="bottom"/>
            <w:hideMark/>
          </w:tcPr>
          <w:p w14:paraId="2EC0704D"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Born overseas</w:t>
            </w:r>
          </w:p>
        </w:tc>
        <w:tc>
          <w:tcPr>
            <w:tcW w:w="1267" w:type="dxa"/>
            <w:tcBorders>
              <w:top w:val="nil"/>
              <w:left w:val="nil"/>
              <w:bottom w:val="nil"/>
              <w:right w:val="nil"/>
            </w:tcBorders>
            <w:shd w:val="clear" w:color="auto" w:fill="auto"/>
            <w:noWrap/>
            <w:vAlign w:val="bottom"/>
            <w:hideMark/>
          </w:tcPr>
          <w:p w14:paraId="27A1146A"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10</w:t>
            </w:r>
          </w:p>
        </w:tc>
        <w:tc>
          <w:tcPr>
            <w:tcW w:w="1498" w:type="dxa"/>
            <w:tcBorders>
              <w:top w:val="nil"/>
              <w:left w:val="nil"/>
              <w:bottom w:val="nil"/>
              <w:right w:val="nil"/>
            </w:tcBorders>
            <w:shd w:val="clear" w:color="auto" w:fill="auto"/>
            <w:noWrap/>
            <w:vAlign w:val="bottom"/>
            <w:hideMark/>
          </w:tcPr>
          <w:p w14:paraId="6998E333"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26</w:t>
            </w:r>
          </w:p>
        </w:tc>
      </w:tr>
      <w:tr w:rsidR="00244248" w:rsidRPr="00D93770" w14:paraId="4E5CF8CB" w14:textId="77777777" w:rsidTr="00335B25">
        <w:trPr>
          <w:trHeight w:val="170"/>
        </w:trPr>
        <w:tc>
          <w:tcPr>
            <w:tcW w:w="2480" w:type="dxa"/>
            <w:tcBorders>
              <w:top w:val="nil"/>
              <w:left w:val="nil"/>
              <w:bottom w:val="nil"/>
              <w:right w:val="nil"/>
            </w:tcBorders>
            <w:shd w:val="clear" w:color="auto" w:fill="auto"/>
            <w:noWrap/>
            <w:vAlign w:val="bottom"/>
            <w:hideMark/>
          </w:tcPr>
          <w:p w14:paraId="229FA049"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Born in Australia</w:t>
            </w:r>
          </w:p>
        </w:tc>
        <w:tc>
          <w:tcPr>
            <w:tcW w:w="1267" w:type="dxa"/>
            <w:tcBorders>
              <w:top w:val="nil"/>
              <w:left w:val="nil"/>
              <w:bottom w:val="nil"/>
              <w:right w:val="nil"/>
            </w:tcBorders>
            <w:shd w:val="clear" w:color="auto" w:fill="auto"/>
            <w:noWrap/>
            <w:vAlign w:val="bottom"/>
            <w:hideMark/>
          </w:tcPr>
          <w:p w14:paraId="60D4E676"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90</w:t>
            </w:r>
          </w:p>
        </w:tc>
        <w:tc>
          <w:tcPr>
            <w:tcW w:w="1498" w:type="dxa"/>
            <w:tcBorders>
              <w:top w:val="nil"/>
              <w:left w:val="nil"/>
              <w:bottom w:val="nil"/>
              <w:right w:val="nil"/>
            </w:tcBorders>
            <w:shd w:val="clear" w:color="auto" w:fill="auto"/>
            <w:noWrap/>
            <w:vAlign w:val="bottom"/>
            <w:hideMark/>
          </w:tcPr>
          <w:p w14:paraId="629A23D1"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74</w:t>
            </w:r>
          </w:p>
        </w:tc>
      </w:tr>
      <w:tr w:rsidR="00244248" w:rsidRPr="00D93770" w14:paraId="309DA333" w14:textId="77777777" w:rsidTr="00335B25">
        <w:trPr>
          <w:trHeight w:val="170"/>
        </w:trPr>
        <w:tc>
          <w:tcPr>
            <w:tcW w:w="2480" w:type="dxa"/>
            <w:tcBorders>
              <w:top w:val="nil"/>
              <w:left w:val="nil"/>
              <w:bottom w:val="nil"/>
              <w:right w:val="nil"/>
            </w:tcBorders>
            <w:shd w:val="clear" w:color="auto" w:fill="auto"/>
            <w:noWrap/>
            <w:vAlign w:val="bottom"/>
            <w:hideMark/>
          </w:tcPr>
          <w:p w14:paraId="5FC164DA" w14:textId="77777777" w:rsidR="00244248" w:rsidRPr="00D93770"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1946E89F"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5056E50A"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229EAA41" w14:textId="77777777" w:rsidTr="00335B25">
        <w:trPr>
          <w:trHeight w:val="170"/>
        </w:trPr>
        <w:tc>
          <w:tcPr>
            <w:tcW w:w="2480" w:type="dxa"/>
            <w:tcBorders>
              <w:top w:val="nil"/>
              <w:left w:val="nil"/>
              <w:bottom w:val="nil"/>
              <w:right w:val="nil"/>
            </w:tcBorders>
            <w:shd w:val="clear" w:color="auto" w:fill="auto"/>
            <w:noWrap/>
            <w:vAlign w:val="bottom"/>
            <w:hideMark/>
          </w:tcPr>
          <w:p w14:paraId="2A8AAAF4"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Employment status</w:t>
            </w:r>
          </w:p>
        </w:tc>
        <w:tc>
          <w:tcPr>
            <w:tcW w:w="1267" w:type="dxa"/>
            <w:tcBorders>
              <w:top w:val="nil"/>
              <w:left w:val="nil"/>
              <w:bottom w:val="nil"/>
              <w:right w:val="nil"/>
            </w:tcBorders>
            <w:shd w:val="clear" w:color="auto" w:fill="auto"/>
            <w:noWrap/>
            <w:vAlign w:val="bottom"/>
            <w:hideMark/>
          </w:tcPr>
          <w:p w14:paraId="24CD1ACC" w14:textId="77777777" w:rsidR="00244248" w:rsidRPr="00D93770"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hideMark/>
          </w:tcPr>
          <w:p w14:paraId="6B89DAE0"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24127C16" w14:textId="77777777" w:rsidTr="00335B25">
        <w:trPr>
          <w:trHeight w:val="170"/>
        </w:trPr>
        <w:tc>
          <w:tcPr>
            <w:tcW w:w="2480" w:type="dxa"/>
            <w:tcBorders>
              <w:top w:val="nil"/>
              <w:left w:val="nil"/>
              <w:bottom w:val="nil"/>
              <w:right w:val="nil"/>
            </w:tcBorders>
            <w:shd w:val="clear" w:color="auto" w:fill="auto"/>
            <w:noWrap/>
            <w:vAlign w:val="bottom"/>
            <w:hideMark/>
          </w:tcPr>
          <w:p w14:paraId="3BF6423A"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Permanent ft</w:t>
            </w:r>
          </w:p>
        </w:tc>
        <w:tc>
          <w:tcPr>
            <w:tcW w:w="1267" w:type="dxa"/>
            <w:tcBorders>
              <w:top w:val="nil"/>
              <w:left w:val="nil"/>
              <w:bottom w:val="nil"/>
              <w:right w:val="nil"/>
            </w:tcBorders>
            <w:shd w:val="clear" w:color="auto" w:fill="auto"/>
            <w:noWrap/>
            <w:vAlign w:val="bottom"/>
            <w:hideMark/>
          </w:tcPr>
          <w:p w14:paraId="715770E7"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30</w:t>
            </w:r>
          </w:p>
        </w:tc>
        <w:tc>
          <w:tcPr>
            <w:tcW w:w="1498" w:type="dxa"/>
            <w:tcBorders>
              <w:top w:val="nil"/>
              <w:left w:val="nil"/>
              <w:bottom w:val="nil"/>
              <w:right w:val="nil"/>
            </w:tcBorders>
            <w:shd w:val="clear" w:color="auto" w:fill="auto"/>
            <w:noWrap/>
            <w:vAlign w:val="bottom"/>
            <w:hideMark/>
          </w:tcPr>
          <w:p w14:paraId="429332D9"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32</w:t>
            </w:r>
          </w:p>
        </w:tc>
      </w:tr>
      <w:tr w:rsidR="00244248" w:rsidRPr="00D93770" w14:paraId="3A68A100" w14:textId="77777777" w:rsidTr="00335B25">
        <w:trPr>
          <w:trHeight w:val="170"/>
        </w:trPr>
        <w:tc>
          <w:tcPr>
            <w:tcW w:w="2480" w:type="dxa"/>
            <w:tcBorders>
              <w:top w:val="nil"/>
              <w:left w:val="nil"/>
              <w:bottom w:val="nil"/>
              <w:right w:val="nil"/>
            </w:tcBorders>
            <w:shd w:val="clear" w:color="auto" w:fill="auto"/>
            <w:noWrap/>
            <w:vAlign w:val="bottom"/>
            <w:hideMark/>
          </w:tcPr>
          <w:p w14:paraId="742F15E1"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Permanent pt</w:t>
            </w:r>
          </w:p>
        </w:tc>
        <w:tc>
          <w:tcPr>
            <w:tcW w:w="1267" w:type="dxa"/>
            <w:tcBorders>
              <w:top w:val="nil"/>
              <w:left w:val="nil"/>
              <w:bottom w:val="nil"/>
              <w:right w:val="nil"/>
            </w:tcBorders>
            <w:shd w:val="clear" w:color="auto" w:fill="auto"/>
            <w:noWrap/>
            <w:vAlign w:val="bottom"/>
            <w:hideMark/>
          </w:tcPr>
          <w:p w14:paraId="4D675A4A"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9</w:t>
            </w:r>
          </w:p>
        </w:tc>
        <w:tc>
          <w:tcPr>
            <w:tcW w:w="1498" w:type="dxa"/>
            <w:tcBorders>
              <w:top w:val="nil"/>
              <w:left w:val="nil"/>
              <w:bottom w:val="nil"/>
              <w:right w:val="nil"/>
            </w:tcBorders>
            <w:shd w:val="clear" w:color="auto" w:fill="auto"/>
            <w:noWrap/>
            <w:vAlign w:val="bottom"/>
            <w:hideMark/>
          </w:tcPr>
          <w:p w14:paraId="10FFA4F9"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20</w:t>
            </w:r>
          </w:p>
        </w:tc>
      </w:tr>
      <w:tr w:rsidR="00244248" w:rsidRPr="00D93770" w14:paraId="643F4D77" w14:textId="77777777" w:rsidTr="00335B25">
        <w:trPr>
          <w:trHeight w:val="170"/>
        </w:trPr>
        <w:tc>
          <w:tcPr>
            <w:tcW w:w="2480" w:type="dxa"/>
            <w:tcBorders>
              <w:top w:val="nil"/>
              <w:left w:val="nil"/>
              <w:bottom w:val="nil"/>
              <w:right w:val="nil"/>
            </w:tcBorders>
            <w:shd w:val="clear" w:color="auto" w:fill="auto"/>
            <w:noWrap/>
            <w:vAlign w:val="bottom"/>
            <w:hideMark/>
          </w:tcPr>
          <w:p w14:paraId="5AF54DD9"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Casual  ft</w:t>
            </w:r>
          </w:p>
        </w:tc>
        <w:tc>
          <w:tcPr>
            <w:tcW w:w="1267" w:type="dxa"/>
            <w:tcBorders>
              <w:top w:val="nil"/>
              <w:left w:val="nil"/>
              <w:bottom w:val="nil"/>
              <w:right w:val="nil"/>
            </w:tcBorders>
            <w:shd w:val="clear" w:color="auto" w:fill="auto"/>
            <w:noWrap/>
            <w:vAlign w:val="bottom"/>
            <w:hideMark/>
          </w:tcPr>
          <w:p w14:paraId="0FB8574D"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w:t>
            </w:r>
          </w:p>
        </w:tc>
        <w:tc>
          <w:tcPr>
            <w:tcW w:w="1498" w:type="dxa"/>
            <w:tcBorders>
              <w:top w:val="nil"/>
              <w:left w:val="nil"/>
              <w:bottom w:val="nil"/>
              <w:right w:val="nil"/>
            </w:tcBorders>
            <w:shd w:val="clear" w:color="auto" w:fill="auto"/>
            <w:noWrap/>
            <w:vAlign w:val="bottom"/>
            <w:hideMark/>
          </w:tcPr>
          <w:p w14:paraId="2DF9D3CE"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w:t>
            </w:r>
          </w:p>
        </w:tc>
      </w:tr>
      <w:tr w:rsidR="00244248" w:rsidRPr="00D93770" w14:paraId="31095716" w14:textId="77777777" w:rsidTr="00335B25">
        <w:trPr>
          <w:trHeight w:val="170"/>
        </w:trPr>
        <w:tc>
          <w:tcPr>
            <w:tcW w:w="2480" w:type="dxa"/>
            <w:tcBorders>
              <w:top w:val="nil"/>
              <w:left w:val="nil"/>
              <w:bottom w:val="nil"/>
              <w:right w:val="nil"/>
            </w:tcBorders>
            <w:shd w:val="clear" w:color="auto" w:fill="auto"/>
            <w:noWrap/>
            <w:vAlign w:val="bottom"/>
            <w:hideMark/>
          </w:tcPr>
          <w:p w14:paraId="6B8BC0F1"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Casual pt</w:t>
            </w:r>
          </w:p>
        </w:tc>
        <w:tc>
          <w:tcPr>
            <w:tcW w:w="1267" w:type="dxa"/>
            <w:tcBorders>
              <w:top w:val="nil"/>
              <w:left w:val="nil"/>
              <w:bottom w:val="nil"/>
              <w:right w:val="nil"/>
            </w:tcBorders>
            <w:shd w:val="clear" w:color="auto" w:fill="auto"/>
            <w:noWrap/>
            <w:vAlign w:val="bottom"/>
            <w:hideMark/>
          </w:tcPr>
          <w:p w14:paraId="6B75E146"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27</w:t>
            </w:r>
          </w:p>
        </w:tc>
        <w:tc>
          <w:tcPr>
            <w:tcW w:w="1498" w:type="dxa"/>
            <w:tcBorders>
              <w:top w:val="nil"/>
              <w:left w:val="nil"/>
              <w:bottom w:val="nil"/>
              <w:right w:val="nil"/>
            </w:tcBorders>
            <w:shd w:val="clear" w:color="auto" w:fill="auto"/>
            <w:noWrap/>
            <w:vAlign w:val="bottom"/>
            <w:hideMark/>
          </w:tcPr>
          <w:p w14:paraId="245020DC"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12</w:t>
            </w:r>
          </w:p>
        </w:tc>
      </w:tr>
      <w:tr w:rsidR="00244248" w:rsidRPr="00D93770" w14:paraId="20042489" w14:textId="77777777" w:rsidTr="00335B25">
        <w:trPr>
          <w:trHeight w:val="170"/>
        </w:trPr>
        <w:tc>
          <w:tcPr>
            <w:tcW w:w="2480" w:type="dxa"/>
            <w:tcBorders>
              <w:top w:val="nil"/>
              <w:left w:val="nil"/>
              <w:bottom w:val="nil"/>
              <w:right w:val="nil"/>
            </w:tcBorders>
            <w:shd w:val="clear" w:color="auto" w:fill="auto"/>
            <w:noWrap/>
            <w:vAlign w:val="bottom"/>
            <w:hideMark/>
          </w:tcPr>
          <w:p w14:paraId="4E5EC58D"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Self-employed</w:t>
            </w:r>
          </w:p>
        </w:tc>
        <w:tc>
          <w:tcPr>
            <w:tcW w:w="1267" w:type="dxa"/>
            <w:tcBorders>
              <w:top w:val="nil"/>
              <w:left w:val="nil"/>
              <w:bottom w:val="nil"/>
              <w:right w:val="nil"/>
            </w:tcBorders>
            <w:shd w:val="clear" w:color="auto" w:fill="auto"/>
            <w:noWrap/>
            <w:vAlign w:val="bottom"/>
            <w:hideMark/>
          </w:tcPr>
          <w:p w14:paraId="24CD94E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w:t>
            </w:r>
          </w:p>
        </w:tc>
        <w:tc>
          <w:tcPr>
            <w:tcW w:w="1498" w:type="dxa"/>
            <w:tcBorders>
              <w:top w:val="nil"/>
              <w:left w:val="nil"/>
              <w:bottom w:val="nil"/>
              <w:right w:val="nil"/>
            </w:tcBorders>
            <w:shd w:val="clear" w:color="auto" w:fill="auto"/>
            <w:noWrap/>
            <w:vAlign w:val="bottom"/>
            <w:hideMark/>
          </w:tcPr>
          <w:p w14:paraId="7DD6443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w:t>
            </w:r>
          </w:p>
        </w:tc>
      </w:tr>
      <w:tr w:rsidR="00244248" w:rsidRPr="00D93770" w14:paraId="08DF9851" w14:textId="77777777" w:rsidTr="00335B25">
        <w:trPr>
          <w:trHeight w:val="170"/>
        </w:trPr>
        <w:tc>
          <w:tcPr>
            <w:tcW w:w="2480" w:type="dxa"/>
            <w:tcBorders>
              <w:top w:val="nil"/>
              <w:left w:val="nil"/>
              <w:bottom w:val="nil"/>
              <w:right w:val="nil"/>
            </w:tcBorders>
            <w:shd w:val="clear" w:color="auto" w:fill="auto"/>
            <w:noWrap/>
            <w:vAlign w:val="bottom"/>
            <w:hideMark/>
          </w:tcPr>
          <w:p w14:paraId="59FA6FEA"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Not working</w:t>
            </w:r>
          </w:p>
        </w:tc>
        <w:tc>
          <w:tcPr>
            <w:tcW w:w="1267" w:type="dxa"/>
            <w:tcBorders>
              <w:top w:val="nil"/>
              <w:left w:val="nil"/>
              <w:bottom w:val="nil"/>
              <w:right w:val="nil"/>
            </w:tcBorders>
            <w:shd w:val="clear" w:color="auto" w:fill="auto"/>
            <w:noWrap/>
            <w:vAlign w:val="bottom"/>
            <w:hideMark/>
          </w:tcPr>
          <w:p w14:paraId="77A43D2B"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28</w:t>
            </w:r>
          </w:p>
        </w:tc>
        <w:tc>
          <w:tcPr>
            <w:tcW w:w="1498" w:type="dxa"/>
            <w:tcBorders>
              <w:top w:val="nil"/>
              <w:left w:val="nil"/>
              <w:bottom w:val="nil"/>
              <w:right w:val="nil"/>
            </w:tcBorders>
            <w:shd w:val="clear" w:color="auto" w:fill="auto"/>
            <w:noWrap/>
            <w:vAlign w:val="bottom"/>
            <w:hideMark/>
          </w:tcPr>
          <w:p w14:paraId="72CBA0AA"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25</w:t>
            </w:r>
          </w:p>
        </w:tc>
      </w:tr>
      <w:tr w:rsidR="00244248" w:rsidRPr="00D93770" w14:paraId="110CC89F" w14:textId="77777777" w:rsidTr="00335B25">
        <w:trPr>
          <w:trHeight w:val="170"/>
        </w:trPr>
        <w:tc>
          <w:tcPr>
            <w:tcW w:w="2480" w:type="dxa"/>
            <w:tcBorders>
              <w:top w:val="nil"/>
              <w:left w:val="nil"/>
              <w:bottom w:val="nil"/>
              <w:right w:val="nil"/>
            </w:tcBorders>
            <w:shd w:val="clear" w:color="auto" w:fill="auto"/>
            <w:noWrap/>
            <w:vAlign w:val="bottom"/>
            <w:hideMark/>
          </w:tcPr>
          <w:p w14:paraId="04E306F7" w14:textId="77777777" w:rsidR="00244248" w:rsidRPr="00D93770"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148ED34D"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464CF2D6"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702CB0C6" w14:textId="77777777" w:rsidTr="00335B25">
        <w:trPr>
          <w:trHeight w:val="170"/>
        </w:trPr>
        <w:tc>
          <w:tcPr>
            <w:tcW w:w="5245" w:type="dxa"/>
            <w:gridSpan w:val="3"/>
            <w:tcBorders>
              <w:top w:val="nil"/>
              <w:left w:val="nil"/>
              <w:bottom w:val="nil"/>
              <w:right w:val="nil"/>
            </w:tcBorders>
            <w:shd w:val="clear" w:color="auto" w:fill="auto"/>
            <w:noWrap/>
            <w:vAlign w:val="bottom"/>
            <w:hideMark/>
          </w:tcPr>
          <w:p w14:paraId="32793D2D"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Aboriginal or Torres Strait Islander</w:t>
            </w:r>
          </w:p>
        </w:tc>
      </w:tr>
      <w:tr w:rsidR="00244248" w:rsidRPr="00D93770" w14:paraId="374962D6" w14:textId="77777777" w:rsidTr="00335B25">
        <w:trPr>
          <w:trHeight w:val="170"/>
        </w:trPr>
        <w:tc>
          <w:tcPr>
            <w:tcW w:w="2480" w:type="dxa"/>
            <w:tcBorders>
              <w:top w:val="nil"/>
              <w:left w:val="nil"/>
              <w:bottom w:val="nil"/>
              <w:right w:val="nil"/>
            </w:tcBorders>
            <w:shd w:val="clear" w:color="auto" w:fill="auto"/>
            <w:noWrap/>
            <w:vAlign w:val="bottom"/>
            <w:hideMark/>
          </w:tcPr>
          <w:p w14:paraId="7D869C6E"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Yes</w:t>
            </w:r>
          </w:p>
        </w:tc>
        <w:tc>
          <w:tcPr>
            <w:tcW w:w="1267" w:type="dxa"/>
            <w:tcBorders>
              <w:top w:val="nil"/>
              <w:left w:val="nil"/>
              <w:bottom w:val="nil"/>
              <w:right w:val="nil"/>
            </w:tcBorders>
            <w:shd w:val="clear" w:color="auto" w:fill="auto"/>
            <w:noWrap/>
            <w:vAlign w:val="bottom"/>
            <w:hideMark/>
          </w:tcPr>
          <w:p w14:paraId="302C1595"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w:t>
            </w:r>
          </w:p>
        </w:tc>
        <w:tc>
          <w:tcPr>
            <w:tcW w:w="1498" w:type="dxa"/>
            <w:tcBorders>
              <w:top w:val="nil"/>
              <w:left w:val="nil"/>
              <w:bottom w:val="nil"/>
              <w:right w:val="nil"/>
            </w:tcBorders>
            <w:shd w:val="clear" w:color="auto" w:fill="auto"/>
            <w:noWrap/>
            <w:vAlign w:val="bottom"/>
            <w:hideMark/>
          </w:tcPr>
          <w:p w14:paraId="2644C514"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5</w:t>
            </w:r>
          </w:p>
        </w:tc>
      </w:tr>
      <w:tr w:rsidR="00244248" w:rsidRPr="00D93770" w14:paraId="22E330F3" w14:textId="77777777" w:rsidTr="00335B25">
        <w:trPr>
          <w:trHeight w:val="170"/>
        </w:trPr>
        <w:tc>
          <w:tcPr>
            <w:tcW w:w="2480" w:type="dxa"/>
            <w:tcBorders>
              <w:top w:val="nil"/>
              <w:left w:val="nil"/>
              <w:bottom w:val="nil"/>
              <w:right w:val="nil"/>
            </w:tcBorders>
            <w:shd w:val="clear" w:color="auto" w:fill="auto"/>
            <w:noWrap/>
            <w:vAlign w:val="bottom"/>
            <w:hideMark/>
          </w:tcPr>
          <w:p w14:paraId="15618C07"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No</w:t>
            </w:r>
          </w:p>
        </w:tc>
        <w:tc>
          <w:tcPr>
            <w:tcW w:w="1267" w:type="dxa"/>
            <w:tcBorders>
              <w:top w:val="nil"/>
              <w:left w:val="nil"/>
              <w:bottom w:val="nil"/>
              <w:right w:val="nil"/>
            </w:tcBorders>
            <w:shd w:val="clear" w:color="auto" w:fill="auto"/>
            <w:noWrap/>
            <w:vAlign w:val="bottom"/>
            <w:hideMark/>
          </w:tcPr>
          <w:p w14:paraId="5A45ABAD"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97</w:t>
            </w:r>
          </w:p>
        </w:tc>
        <w:tc>
          <w:tcPr>
            <w:tcW w:w="1498" w:type="dxa"/>
            <w:tcBorders>
              <w:top w:val="nil"/>
              <w:left w:val="nil"/>
              <w:bottom w:val="nil"/>
              <w:right w:val="nil"/>
            </w:tcBorders>
            <w:shd w:val="clear" w:color="auto" w:fill="auto"/>
            <w:noWrap/>
            <w:vAlign w:val="bottom"/>
            <w:hideMark/>
          </w:tcPr>
          <w:p w14:paraId="3DD80276"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9</w:t>
            </w:r>
            <w:r>
              <w:rPr>
                <w:rFonts w:asciiTheme="majorHAnsi" w:eastAsia="Times New Roman" w:hAnsiTheme="majorHAnsi" w:cstheme="majorHAnsi"/>
                <w:color w:val="000000"/>
                <w:sz w:val="20"/>
                <w:szCs w:val="20"/>
                <w:lang w:eastAsia="en-AU"/>
              </w:rPr>
              <w:t>5</w:t>
            </w:r>
          </w:p>
        </w:tc>
      </w:tr>
      <w:tr w:rsidR="00244248" w:rsidRPr="00D93770" w14:paraId="11ED407C" w14:textId="77777777" w:rsidTr="00335B25">
        <w:trPr>
          <w:trHeight w:val="170"/>
        </w:trPr>
        <w:tc>
          <w:tcPr>
            <w:tcW w:w="2480" w:type="dxa"/>
            <w:tcBorders>
              <w:top w:val="nil"/>
              <w:left w:val="nil"/>
              <w:bottom w:val="nil"/>
              <w:right w:val="nil"/>
            </w:tcBorders>
            <w:shd w:val="clear" w:color="auto" w:fill="auto"/>
            <w:noWrap/>
            <w:vAlign w:val="bottom"/>
            <w:hideMark/>
          </w:tcPr>
          <w:p w14:paraId="00D9AA15" w14:textId="77777777" w:rsidR="00244248" w:rsidRPr="00D93770"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395E85E7"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7A43B114"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2699B9D5" w14:textId="77777777" w:rsidTr="00335B25">
        <w:trPr>
          <w:trHeight w:val="170"/>
        </w:trPr>
        <w:tc>
          <w:tcPr>
            <w:tcW w:w="2480" w:type="dxa"/>
            <w:tcBorders>
              <w:top w:val="nil"/>
              <w:left w:val="nil"/>
              <w:bottom w:val="nil"/>
              <w:right w:val="nil"/>
            </w:tcBorders>
            <w:shd w:val="clear" w:color="auto" w:fill="auto"/>
            <w:noWrap/>
            <w:vAlign w:val="bottom"/>
            <w:hideMark/>
          </w:tcPr>
          <w:p w14:paraId="55CF7E08" w14:textId="77777777" w:rsidR="00244248" w:rsidRPr="00D93770" w:rsidRDefault="00244248" w:rsidP="00335B25">
            <w:pPr>
              <w:spacing w:after="0" w:line="240" w:lineRule="auto"/>
              <w:rPr>
                <w:rFonts w:asciiTheme="majorHAnsi" w:eastAsia="Times New Roman" w:hAnsiTheme="majorHAnsi" w:cstheme="majorHAnsi"/>
                <w:b/>
                <w:bCs/>
                <w:color w:val="000000"/>
                <w:sz w:val="20"/>
                <w:szCs w:val="20"/>
                <w:lang w:eastAsia="en-AU"/>
              </w:rPr>
            </w:pPr>
            <w:r w:rsidRPr="00D93770">
              <w:rPr>
                <w:rFonts w:asciiTheme="majorHAnsi" w:eastAsia="Times New Roman" w:hAnsiTheme="majorHAnsi" w:cstheme="majorHAnsi"/>
                <w:b/>
                <w:bCs/>
                <w:color w:val="000000"/>
                <w:sz w:val="20"/>
                <w:szCs w:val="20"/>
                <w:lang w:eastAsia="en-AU"/>
              </w:rPr>
              <w:t>Remoteness</w:t>
            </w:r>
          </w:p>
        </w:tc>
        <w:tc>
          <w:tcPr>
            <w:tcW w:w="1267" w:type="dxa"/>
            <w:tcBorders>
              <w:top w:val="nil"/>
              <w:left w:val="nil"/>
              <w:bottom w:val="nil"/>
              <w:right w:val="nil"/>
            </w:tcBorders>
            <w:shd w:val="clear" w:color="auto" w:fill="auto"/>
            <w:noWrap/>
            <w:vAlign w:val="bottom"/>
            <w:hideMark/>
          </w:tcPr>
          <w:p w14:paraId="1422E076" w14:textId="77777777" w:rsidR="00244248" w:rsidRPr="00D93770"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hideMark/>
          </w:tcPr>
          <w:p w14:paraId="1909C365" w14:textId="77777777" w:rsidR="00244248" w:rsidRPr="00D93770"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D93770" w14:paraId="1B8AE8FB" w14:textId="77777777" w:rsidTr="00335B25">
        <w:trPr>
          <w:trHeight w:val="170"/>
        </w:trPr>
        <w:tc>
          <w:tcPr>
            <w:tcW w:w="2480" w:type="dxa"/>
            <w:tcBorders>
              <w:top w:val="nil"/>
              <w:left w:val="nil"/>
              <w:bottom w:val="nil"/>
              <w:right w:val="nil"/>
            </w:tcBorders>
            <w:shd w:val="clear" w:color="auto" w:fill="auto"/>
            <w:noWrap/>
            <w:vAlign w:val="bottom"/>
            <w:hideMark/>
          </w:tcPr>
          <w:p w14:paraId="727AE66F"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Major city</w:t>
            </w:r>
          </w:p>
        </w:tc>
        <w:tc>
          <w:tcPr>
            <w:tcW w:w="1267" w:type="dxa"/>
            <w:tcBorders>
              <w:top w:val="nil"/>
              <w:left w:val="nil"/>
              <w:bottom w:val="nil"/>
              <w:right w:val="nil"/>
            </w:tcBorders>
            <w:shd w:val="clear" w:color="auto" w:fill="auto"/>
            <w:noWrap/>
            <w:vAlign w:val="bottom"/>
            <w:hideMark/>
          </w:tcPr>
          <w:p w14:paraId="6FE72A2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68</w:t>
            </w:r>
          </w:p>
        </w:tc>
        <w:tc>
          <w:tcPr>
            <w:tcW w:w="1498" w:type="dxa"/>
            <w:tcBorders>
              <w:top w:val="nil"/>
              <w:left w:val="nil"/>
              <w:bottom w:val="nil"/>
              <w:right w:val="nil"/>
            </w:tcBorders>
            <w:shd w:val="clear" w:color="auto" w:fill="auto"/>
            <w:noWrap/>
            <w:vAlign w:val="bottom"/>
            <w:hideMark/>
          </w:tcPr>
          <w:p w14:paraId="124927DC"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68</w:t>
            </w:r>
          </w:p>
        </w:tc>
      </w:tr>
      <w:tr w:rsidR="00244248" w:rsidRPr="00D93770" w14:paraId="7481057B" w14:textId="77777777" w:rsidTr="00335B25">
        <w:trPr>
          <w:trHeight w:val="170"/>
        </w:trPr>
        <w:tc>
          <w:tcPr>
            <w:tcW w:w="2480" w:type="dxa"/>
            <w:tcBorders>
              <w:top w:val="nil"/>
              <w:left w:val="nil"/>
              <w:bottom w:val="nil"/>
              <w:right w:val="nil"/>
            </w:tcBorders>
            <w:shd w:val="clear" w:color="auto" w:fill="auto"/>
            <w:noWrap/>
            <w:vAlign w:val="bottom"/>
            <w:hideMark/>
          </w:tcPr>
          <w:p w14:paraId="3B18B8A8"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Inner regional</w:t>
            </w:r>
          </w:p>
        </w:tc>
        <w:tc>
          <w:tcPr>
            <w:tcW w:w="1267" w:type="dxa"/>
            <w:tcBorders>
              <w:top w:val="nil"/>
              <w:left w:val="nil"/>
              <w:bottom w:val="nil"/>
              <w:right w:val="nil"/>
            </w:tcBorders>
            <w:shd w:val="clear" w:color="auto" w:fill="auto"/>
            <w:noWrap/>
            <w:vAlign w:val="bottom"/>
            <w:hideMark/>
          </w:tcPr>
          <w:p w14:paraId="3E70C5D8"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20</w:t>
            </w:r>
          </w:p>
        </w:tc>
        <w:tc>
          <w:tcPr>
            <w:tcW w:w="1498" w:type="dxa"/>
            <w:tcBorders>
              <w:top w:val="nil"/>
              <w:left w:val="nil"/>
              <w:bottom w:val="nil"/>
              <w:right w:val="nil"/>
            </w:tcBorders>
            <w:shd w:val="clear" w:color="auto" w:fill="auto"/>
            <w:noWrap/>
            <w:vAlign w:val="bottom"/>
            <w:hideMark/>
          </w:tcPr>
          <w:p w14:paraId="0762CDE2"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19</w:t>
            </w:r>
          </w:p>
        </w:tc>
      </w:tr>
      <w:tr w:rsidR="00244248" w:rsidRPr="00D93770" w14:paraId="3F431C37" w14:textId="77777777" w:rsidTr="00335B25">
        <w:trPr>
          <w:trHeight w:val="170"/>
        </w:trPr>
        <w:tc>
          <w:tcPr>
            <w:tcW w:w="2480" w:type="dxa"/>
            <w:tcBorders>
              <w:top w:val="nil"/>
              <w:left w:val="nil"/>
              <w:right w:val="nil"/>
            </w:tcBorders>
            <w:shd w:val="clear" w:color="auto" w:fill="auto"/>
            <w:noWrap/>
            <w:vAlign w:val="bottom"/>
            <w:hideMark/>
          </w:tcPr>
          <w:p w14:paraId="14BC2A3C"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Outer regional or remote</w:t>
            </w:r>
          </w:p>
        </w:tc>
        <w:tc>
          <w:tcPr>
            <w:tcW w:w="1267" w:type="dxa"/>
            <w:tcBorders>
              <w:top w:val="nil"/>
              <w:left w:val="nil"/>
              <w:right w:val="nil"/>
            </w:tcBorders>
            <w:shd w:val="clear" w:color="auto" w:fill="auto"/>
            <w:noWrap/>
            <w:vAlign w:val="bottom"/>
            <w:hideMark/>
          </w:tcPr>
          <w:p w14:paraId="11ACFEAA"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13</w:t>
            </w:r>
          </w:p>
        </w:tc>
        <w:tc>
          <w:tcPr>
            <w:tcW w:w="1498" w:type="dxa"/>
            <w:tcBorders>
              <w:top w:val="nil"/>
              <w:left w:val="nil"/>
              <w:right w:val="nil"/>
            </w:tcBorders>
            <w:shd w:val="clear" w:color="auto" w:fill="auto"/>
            <w:noWrap/>
            <w:vAlign w:val="bottom"/>
            <w:hideMark/>
          </w:tcPr>
          <w:p w14:paraId="34B28272"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12</w:t>
            </w:r>
          </w:p>
        </w:tc>
      </w:tr>
      <w:tr w:rsidR="00244248" w:rsidRPr="00D93770" w14:paraId="098B5DA2" w14:textId="77777777" w:rsidTr="00335B25">
        <w:trPr>
          <w:trHeight w:val="170"/>
        </w:trPr>
        <w:tc>
          <w:tcPr>
            <w:tcW w:w="2480" w:type="dxa"/>
            <w:tcBorders>
              <w:top w:val="single" w:sz="4" w:space="0" w:color="ED7D31" w:themeColor="accent2"/>
              <w:left w:val="nil"/>
              <w:right w:val="nil"/>
            </w:tcBorders>
            <w:shd w:val="clear" w:color="auto" w:fill="auto"/>
            <w:noWrap/>
            <w:vAlign w:val="bottom"/>
            <w:hideMark/>
          </w:tcPr>
          <w:p w14:paraId="16816876"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Number of observations</w:t>
            </w:r>
          </w:p>
        </w:tc>
        <w:tc>
          <w:tcPr>
            <w:tcW w:w="1267" w:type="dxa"/>
            <w:tcBorders>
              <w:top w:val="single" w:sz="4" w:space="0" w:color="ED7D31" w:themeColor="accent2"/>
              <w:left w:val="nil"/>
              <w:right w:val="nil"/>
            </w:tcBorders>
            <w:shd w:val="clear" w:color="auto" w:fill="auto"/>
            <w:noWrap/>
            <w:vAlign w:val="bottom"/>
            <w:hideMark/>
          </w:tcPr>
          <w:p w14:paraId="7D9144B7"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11,787</w:t>
            </w:r>
          </w:p>
        </w:tc>
        <w:tc>
          <w:tcPr>
            <w:tcW w:w="1498" w:type="dxa"/>
            <w:tcBorders>
              <w:top w:val="single" w:sz="4" w:space="0" w:color="ED7D31" w:themeColor="accent2"/>
              <w:left w:val="nil"/>
              <w:right w:val="nil"/>
            </w:tcBorders>
            <w:shd w:val="clear" w:color="auto" w:fill="auto"/>
            <w:noWrap/>
            <w:vAlign w:val="bottom"/>
            <w:hideMark/>
          </w:tcPr>
          <w:p w14:paraId="4906161E"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6,674</w:t>
            </w:r>
          </w:p>
        </w:tc>
      </w:tr>
      <w:tr w:rsidR="00244248" w:rsidRPr="00D93770" w14:paraId="4AE98FF2" w14:textId="77777777" w:rsidTr="00335B25">
        <w:trPr>
          <w:trHeight w:val="170"/>
        </w:trPr>
        <w:tc>
          <w:tcPr>
            <w:tcW w:w="2480" w:type="dxa"/>
            <w:tcBorders>
              <w:top w:val="nil"/>
              <w:left w:val="nil"/>
              <w:bottom w:val="single" w:sz="4" w:space="0" w:color="ED7D31" w:themeColor="accent2"/>
              <w:right w:val="nil"/>
            </w:tcBorders>
            <w:shd w:val="clear" w:color="auto" w:fill="auto"/>
            <w:noWrap/>
            <w:vAlign w:val="bottom"/>
            <w:hideMark/>
          </w:tcPr>
          <w:p w14:paraId="4293D66F" w14:textId="77777777" w:rsidR="00244248" w:rsidRPr="00D93770" w:rsidRDefault="00244248" w:rsidP="00335B25">
            <w:pPr>
              <w:spacing w:after="0" w:line="240" w:lineRule="auto"/>
              <w:rPr>
                <w:rFonts w:asciiTheme="majorHAnsi" w:eastAsia="Times New Roman" w:hAnsiTheme="majorHAnsi" w:cstheme="majorHAnsi"/>
                <w:color w:val="000000"/>
                <w:sz w:val="20"/>
                <w:szCs w:val="20"/>
                <w:lang w:eastAsia="en-AU"/>
              </w:rPr>
            </w:pPr>
            <w:r w:rsidRPr="00D93770">
              <w:rPr>
                <w:rFonts w:asciiTheme="majorHAnsi" w:eastAsia="Times New Roman" w:hAnsiTheme="majorHAnsi" w:cstheme="majorHAnsi"/>
                <w:color w:val="000000"/>
                <w:sz w:val="20"/>
                <w:szCs w:val="20"/>
                <w:lang w:eastAsia="en-AU"/>
              </w:rPr>
              <w:t>Number of women</w:t>
            </w:r>
          </w:p>
        </w:tc>
        <w:tc>
          <w:tcPr>
            <w:tcW w:w="1267" w:type="dxa"/>
            <w:tcBorders>
              <w:top w:val="nil"/>
              <w:left w:val="nil"/>
              <w:bottom w:val="single" w:sz="4" w:space="0" w:color="ED7D31" w:themeColor="accent2"/>
              <w:right w:val="nil"/>
            </w:tcBorders>
            <w:shd w:val="clear" w:color="auto" w:fill="auto"/>
            <w:noWrap/>
            <w:vAlign w:val="bottom"/>
            <w:hideMark/>
          </w:tcPr>
          <w:p w14:paraId="3C963E36"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3,646</w:t>
            </w:r>
          </w:p>
        </w:tc>
        <w:tc>
          <w:tcPr>
            <w:tcW w:w="1498" w:type="dxa"/>
            <w:tcBorders>
              <w:top w:val="nil"/>
              <w:left w:val="nil"/>
              <w:bottom w:val="single" w:sz="4" w:space="0" w:color="ED7D31" w:themeColor="accent2"/>
              <w:right w:val="nil"/>
            </w:tcBorders>
            <w:shd w:val="clear" w:color="auto" w:fill="auto"/>
            <w:noWrap/>
            <w:vAlign w:val="bottom"/>
            <w:hideMark/>
          </w:tcPr>
          <w:p w14:paraId="6ADD67F2" w14:textId="77777777" w:rsidR="00244248" w:rsidRPr="00D93770"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2,182</w:t>
            </w:r>
          </w:p>
        </w:tc>
      </w:tr>
    </w:tbl>
    <w:p w14:paraId="7D441971" w14:textId="77777777" w:rsidR="00244248" w:rsidRDefault="00244248" w:rsidP="00244248"/>
    <w:p w14:paraId="3890FEC9" w14:textId="25382115" w:rsidR="00244248" w:rsidRDefault="00244248" w:rsidP="00244248">
      <w:pPr>
        <w:rPr>
          <w:lang w:val="en-US" w:eastAsia="en-AU"/>
        </w:rPr>
      </w:pPr>
      <w:r>
        <w:lastRenderedPageBreak/>
        <w:t xml:space="preserve">Figures  </w:t>
      </w:r>
      <w:r w:rsidR="000803EB">
        <w:t>28-31</w:t>
      </w:r>
      <w:r>
        <w:t xml:space="preserve"> plot the fertility outcomes of interest  within the control and treatment groups over time.  For the probability of having a child (Figure 1) we see a </w:t>
      </w:r>
      <w:r>
        <w:rPr>
          <w:lang w:val="en-US" w:eastAsia="en-AU"/>
        </w:rPr>
        <w:t xml:space="preserve">significant difference between the two age groups. The younger age group has a much higher birth rate which is also more variable over time. Both groups appear to have a higher average rate for the years after the reform compared to the years before the reform.   Prior </w:t>
      </w:r>
      <w:r w:rsidR="00817D2F">
        <w:rPr>
          <w:lang w:val="en-US" w:eastAsia="en-AU"/>
        </w:rPr>
        <w:t>to 2004</w:t>
      </w:r>
      <w:r>
        <w:rPr>
          <w:lang w:val="en-US" w:eastAsia="en-AU"/>
        </w:rPr>
        <w:t>, the probability of a 18-24 year old having a child was 3.7 %, increasing to 5.3% from 2004 onwards. For women in the control group the equivalent increase was 0.9% to 1.6%.</w:t>
      </w:r>
    </w:p>
    <w:p w14:paraId="2D8B2CE1" w14:textId="77777777" w:rsidR="00244248" w:rsidRDefault="00244248" w:rsidP="00244248">
      <w:pPr>
        <w:rPr>
          <w:lang w:val="en-US" w:eastAsia="en-AU"/>
        </w:rPr>
      </w:pPr>
      <w:r>
        <w:rPr>
          <w:lang w:val="en-US" w:eastAsia="en-AU"/>
        </w:rPr>
        <w:t>For childbearing desires (measured on a 0-10 scale), again we see a large difference between the two groups. As seen in Figure 2, the treatment group has a much higher percentage of women who are childless and therefore the childbearing desires are also higher.  Again both groups appear to have experienced an increase over the time period.  For women aged 18-24 the average childbearing desire increased from 7.7 pre 2004, to 7.9   from 2004 onwards. For women aged 40-44, the equivalent increase was 1.1 to 1.8.</w:t>
      </w:r>
    </w:p>
    <w:p w14:paraId="4F456EA2" w14:textId="77777777" w:rsidR="00244248" w:rsidRDefault="00244248" w:rsidP="00244248">
      <w:r>
        <w:t xml:space="preserve">For childbearing expectations (Figure 3) the pattern is very similar to childbearing desires, and on average both groups experienced an increase over the time period. Finally for additionally intended number of children (Figure 4) again there is a large difference between the two groups and an small increase on average for younger and older women.  For women aged 18-24 from 2.26 to 2.31 additional children and for women aged 40-44 from 0.04 to 0.09 additional children. </w:t>
      </w:r>
    </w:p>
    <w:p w14:paraId="35B20DDA" w14:textId="5BAD1223" w:rsidR="00244248" w:rsidRDefault="00244248" w:rsidP="00244248">
      <w:pPr>
        <w:sectPr w:rsidR="00244248">
          <w:footerReference w:type="default" r:id="rId46"/>
          <w:pgSz w:w="11906" w:h="16838"/>
          <w:pgMar w:top="1440" w:right="1440" w:bottom="1440" w:left="1440" w:header="708" w:footer="708" w:gutter="0"/>
          <w:cols w:space="708"/>
          <w:docGrid w:linePitch="360"/>
        </w:sectPr>
      </w:pPr>
      <w:r>
        <w:t xml:space="preserve">These figures </w:t>
      </w:r>
      <w:r w:rsidR="00817D2F">
        <w:t>are unconditional</w:t>
      </w:r>
      <w:r>
        <w:t xml:space="preserve"> in the sense that they do not control for any  differences between women in their socio-demographic characteristics which could have an effect on fertility outcomes.  To control </w:t>
      </w:r>
      <w:r w:rsidR="00817D2F">
        <w:t>for differences</w:t>
      </w:r>
      <w:r>
        <w:t xml:space="preserve"> we turn to the results of the regression analysis.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244248" w14:paraId="5656C6A9" w14:textId="77777777" w:rsidTr="00335B25">
        <w:tc>
          <w:tcPr>
            <w:tcW w:w="6974" w:type="dxa"/>
          </w:tcPr>
          <w:p w14:paraId="0ACA253D" w14:textId="32D76E74" w:rsidR="00244248" w:rsidRDefault="00244248" w:rsidP="00335B25">
            <w:pPr>
              <w:pStyle w:val="Caption"/>
              <w:keepNext/>
            </w:pPr>
            <w:bookmarkStart w:id="177" w:name="_Hlk84924125"/>
            <w:r>
              <w:lastRenderedPageBreak/>
              <w:t xml:space="preserve">Figure </w:t>
            </w:r>
            <w:fldSimple w:instr=" SEQ Figure \* ARABIC ">
              <w:r w:rsidR="00115E22">
                <w:rPr>
                  <w:noProof/>
                </w:rPr>
                <w:t>28</w:t>
              </w:r>
            </w:fldSimple>
            <w:r>
              <w:t xml:space="preserve"> Baby Bonus- Probability of new birth, by treatment and control groups</w:t>
            </w:r>
          </w:p>
          <w:p w14:paraId="08033BC1" w14:textId="77777777" w:rsidR="00244248" w:rsidRDefault="00244248" w:rsidP="00335B25">
            <w:r w:rsidRPr="00B311AE">
              <w:rPr>
                <w:noProof/>
                <w:lang w:eastAsia="en-AU"/>
              </w:rPr>
              <w:drawing>
                <wp:inline distT="0" distB="0" distL="0" distR="0" wp14:anchorId="7C96E11E" wp14:editId="434738A7">
                  <wp:extent cx="3645725" cy="26534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80900" cy="2679046"/>
                          </a:xfrm>
                          <a:prstGeom prst="rect">
                            <a:avLst/>
                          </a:prstGeom>
                          <a:noFill/>
                          <a:ln>
                            <a:noFill/>
                          </a:ln>
                        </pic:spPr>
                      </pic:pic>
                    </a:graphicData>
                  </a:graphic>
                </wp:inline>
              </w:drawing>
            </w:r>
          </w:p>
        </w:tc>
        <w:tc>
          <w:tcPr>
            <w:tcW w:w="6974" w:type="dxa"/>
          </w:tcPr>
          <w:p w14:paraId="7F17FD21" w14:textId="77777777" w:rsidR="00244248" w:rsidRDefault="00244248" w:rsidP="00335B25">
            <w:r w:rsidRPr="00B311AE">
              <w:rPr>
                <w:noProof/>
                <w:lang w:eastAsia="en-AU"/>
              </w:rPr>
              <w:drawing>
                <wp:anchor distT="0" distB="0" distL="114300" distR="114300" simplePos="0" relativeHeight="251658270" behindDoc="0" locked="0" layoutInCell="1" allowOverlap="1" wp14:anchorId="1E554925" wp14:editId="48E3C830">
                  <wp:simplePos x="0" y="0"/>
                  <wp:positionH relativeFrom="column">
                    <wp:posOffset>3175</wp:posOffset>
                  </wp:positionH>
                  <wp:positionV relativeFrom="paragraph">
                    <wp:posOffset>271780</wp:posOffset>
                  </wp:positionV>
                  <wp:extent cx="3662045" cy="2665095"/>
                  <wp:effectExtent l="0" t="0" r="0" b="190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62045" cy="2665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71" behindDoc="0" locked="0" layoutInCell="1" allowOverlap="1" wp14:anchorId="6583B8AB" wp14:editId="09507328">
                      <wp:simplePos x="0" y="0"/>
                      <wp:positionH relativeFrom="column">
                        <wp:posOffset>169545</wp:posOffset>
                      </wp:positionH>
                      <wp:positionV relativeFrom="paragraph">
                        <wp:posOffset>0</wp:posOffset>
                      </wp:positionV>
                      <wp:extent cx="3496310" cy="154305"/>
                      <wp:effectExtent l="0" t="0" r="8890" b="0"/>
                      <wp:wrapTopAndBottom/>
                      <wp:docPr id="11" name="Text Box 11"/>
                      <wp:cNvGraphicFramePr/>
                      <a:graphic xmlns:a="http://schemas.openxmlformats.org/drawingml/2006/main">
                        <a:graphicData uri="http://schemas.microsoft.com/office/word/2010/wordprocessingShape">
                          <wps:wsp>
                            <wps:cNvSpPr txBox="1"/>
                            <wps:spPr>
                              <a:xfrm>
                                <a:off x="0" y="0"/>
                                <a:ext cx="3496310" cy="154305"/>
                              </a:xfrm>
                              <a:prstGeom prst="rect">
                                <a:avLst/>
                              </a:prstGeom>
                              <a:solidFill>
                                <a:prstClr val="white"/>
                              </a:solidFill>
                              <a:ln>
                                <a:noFill/>
                              </a:ln>
                            </wps:spPr>
                            <wps:txbx>
                              <w:txbxContent>
                                <w:p w14:paraId="7B44AEB8" w14:textId="672CB46E" w:rsidR="00C33FAA" w:rsidRPr="009D2E24" w:rsidRDefault="00C33FAA" w:rsidP="00244248">
                                  <w:pPr>
                                    <w:pStyle w:val="Caption"/>
                                    <w:rPr>
                                      <w:noProof/>
                                      <w:sz w:val="24"/>
                                      <w:szCs w:val="24"/>
                                      <w:lang w:val="en-GB"/>
                                    </w:rPr>
                                  </w:pPr>
                                  <w:r>
                                    <w:t xml:space="preserve">Figure </w:t>
                                  </w:r>
                                  <w:fldSimple w:instr=" SEQ Figure \* ARABIC ">
                                    <w:r w:rsidR="00115E22">
                                      <w:rPr>
                                        <w:noProof/>
                                      </w:rPr>
                                      <w:t>29</w:t>
                                    </w:r>
                                  </w:fldSimple>
                                  <w:r>
                                    <w:t xml:space="preserve"> </w:t>
                                  </w:r>
                                  <w:r w:rsidRPr="00F523B5">
                                    <w:t xml:space="preserve">- </w:t>
                                  </w:r>
                                  <w:r>
                                    <w:t xml:space="preserve">Baby Bonus  Childbearing desires </w:t>
                                  </w:r>
                                  <w:r w:rsidRPr="00F523B5">
                                    <w:t>by treatment and control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3B8AB" id="Text Box 11" o:spid="_x0000_s1079" type="#_x0000_t202" style="position:absolute;margin-left:13.35pt;margin-top:0;width:275.3pt;height:12.1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" stroked="f">
                      <v:textbox inset="0,0,0,0">
                        <w:txbxContent>
                          <w:p w14:paraId="7B44AEB8" w14:textId="672CB46E" w:rsidR="00C33FAA" w:rsidRPr="009D2E24" w:rsidRDefault="00C33FAA" w:rsidP="00244248">
                            <w:pPr>
                              <w:pStyle w:val="Caption"/>
                              <w:rPr>
                                <w:noProof/>
                                <w:sz w:val="24"/>
                                <w:szCs w:val="24"/>
                                <w:lang w:val="en-GB"/>
                              </w:rPr>
                            </w:pPr>
                            <w:r>
                              <w:t xml:space="preserve">Figure </w:t>
                            </w:r>
                            <w:r w:rsidR="00166A92">
                              <w:fldChar w:fldCharType="begin"/>
                            </w:r>
                            <w:r w:rsidR="00166A92">
                              <w:instrText xml:space="preserve"> SEQ Figure \* ARABIC </w:instrText>
                            </w:r>
                            <w:r w:rsidR="00166A92">
                              <w:fldChar w:fldCharType="separate"/>
                            </w:r>
                            <w:r w:rsidR="00115E22">
                              <w:rPr>
                                <w:noProof/>
                              </w:rPr>
                              <w:t>29</w:t>
                            </w:r>
                            <w:r w:rsidR="00166A92">
                              <w:rPr>
                                <w:noProof/>
                              </w:rPr>
                              <w:fldChar w:fldCharType="end"/>
                            </w:r>
                            <w:r>
                              <w:t xml:space="preserve"> </w:t>
                            </w:r>
                            <w:r w:rsidRPr="00F523B5">
                              <w:t xml:space="preserve">- </w:t>
                            </w:r>
                            <w:r>
                              <w:t xml:space="preserve">Baby Bonus  Childbearing desires </w:t>
                            </w:r>
                            <w:r w:rsidRPr="00F523B5">
                              <w:t>by treatment and control group</w:t>
                            </w:r>
                          </w:p>
                        </w:txbxContent>
                      </v:textbox>
                      <w10:wrap type="topAndBottom"/>
                    </v:shape>
                  </w:pict>
                </mc:Fallback>
              </mc:AlternateContent>
            </w:r>
          </w:p>
        </w:tc>
      </w:tr>
      <w:tr w:rsidR="00244248" w14:paraId="3D195DE4" w14:textId="77777777" w:rsidTr="00335B25">
        <w:tc>
          <w:tcPr>
            <w:tcW w:w="6974" w:type="dxa"/>
          </w:tcPr>
          <w:p w14:paraId="5A101BFB" w14:textId="115DD59E" w:rsidR="00244248" w:rsidRDefault="00244248" w:rsidP="00335B25">
            <w:pPr>
              <w:pStyle w:val="Caption"/>
              <w:keepNext/>
            </w:pPr>
            <w:r>
              <w:t xml:space="preserve">Figure </w:t>
            </w:r>
            <w:fldSimple w:instr=" SEQ Figure \* ARABIC ">
              <w:r w:rsidR="00115E22">
                <w:rPr>
                  <w:noProof/>
                </w:rPr>
                <w:t>30</w:t>
              </w:r>
            </w:fldSimple>
            <w:r>
              <w:t xml:space="preserve"> Baby Bonus Childbearing expectation - by treatment and control group</w:t>
            </w:r>
            <w:r w:rsidRPr="00B311AE">
              <w:rPr>
                <w:noProof/>
                <w:lang w:eastAsia="en-AU"/>
              </w:rPr>
              <w:drawing>
                <wp:inline distT="0" distB="0" distL="0" distR="0" wp14:anchorId="6E5E82BF" wp14:editId="3ACAC296">
                  <wp:extent cx="3491345" cy="25410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2680" cy="2571168"/>
                          </a:xfrm>
                          <a:prstGeom prst="rect">
                            <a:avLst/>
                          </a:prstGeom>
                          <a:noFill/>
                          <a:ln>
                            <a:noFill/>
                          </a:ln>
                        </pic:spPr>
                      </pic:pic>
                    </a:graphicData>
                  </a:graphic>
                </wp:inline>
              </w:drawing>
            </w:r>
          </w:p>
        </w:tc>
        <w:tc>
          <w:tcPr>
            <w:tcW w:w="6974" w:type="dxa"/>
          </w:tcPr>
          <w:p w14:paraId="370E5D2D" w14:textId="2E742497" w:rsidR="00244248" w:rsidRDefault="00244248" w:rsidP="00335B25">
            <w:pPr>
              <w:pStyle w:val="Caption"/>
              <w:keepNext/>
            </w:pPr>
            <w:r>
              <w:t xml:space="preserve">Figure </w:t>
            </w:r>
            <w:fldSimple w:instr=" SEQ Figure \* ARABIC ">
              <w:r w:rsidR="00115E22">
                <w:rPr>
                  <w:noProof/>
                </w:rPr>
                <w:t>31</w:t>
              </w:r>
            </w:fldSimple>
            <w:r>
              <w:t xml:space="preserve"> Baby Bonus Additionally intended children- </w:t>
            </w:r>
            <w:r w:rsidRPr="00622B3A">
              <w:t xml:space="preserve"> by treatment and control group</w:t>
            </w:r>
            <w:r w:rsidRPr="00971866">
              <w:rPr>
                <w:noProof/>
                <w:lang w:eastAsia="en-AU"/>
              </w:rPr>
              <w:drawing>
                <wp:inline distT="0" distB="0" distL="0" distR="0" wp14:anchorId="0F97CF3C" wp14:editId="4DF5E300">
                  <wp:extent cx="3515096" cy="25564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0987" cy="2589808"/>
                          </a:xfrm>
                          <a:prstGeom prst="rect">
                            <a:avLst/>
                          </a:prstGeom>
                          <a:noFill/>
                          <a:ln>
                            <a:noFill/>
                          </a:ln>
                        </pic:spPr>
                      </pic:pic>
                    </a:graphicData>
                  </a:graphic>
                </wp:inline>
              </w:drawing>
            </w:r>
          </w:p>
        </w:tc>
      </w:tr>
      <w:bookmarkEnd w:id="177"/>
    </w:tbl>
    <w:p w14:paraId="1133C5CE" w14:textId="77777777" w:rsidR="00244248" w:rsidRDefault="00244248" w:rsidP="00244248"/>
    <w:p w14:paraId="0A381860" w14:textId="77777777" w:rsidR="00244248" w:rsidRDefault="00244248" w:rsidP="00244248">
      <w:pPr>
        <w:sectPr w:rsidR="00244248" w:rsidSect="00335B25">
          <w:pgSz w:w="16838" w:h="11906" w:orient="landscape"/>
          <w:pgMar w:top="993" w:right="1440" w:bottom="1276" w:left="1440" w:header="708" w:footer="708" w:gutter="0"/>
          <w:cols w:space="708"/>
          <w:docGrid w:linePitch="360"/>
        </w:sectPr>
      </w:pPr>
    </w:p>
    <w:p w14:paraId="250BD89E" w14:textId="77777777" w:rsidR="00244248" w:rsidRPr="0003205B" w:rsidRDefault="00244248" w:rsidP="00244248">
      <w:pPr>
        <w:rPr>
          <w:b/>
          <w:bCs/>
        </w:rPr>
      </w:pPr>
      <w:r w:rsidRPr="0003205B">
        <w:rPr>
          <w:b/>
          <w:bCs/>
        </w:rPr>
        <w:lastRenderedPageBreak/>
        <w:t>Regression results</w:t>
      </w:r>
    </w:p>
    <w:p w14:paraId="5281F2A6" w14:textId="77777777" w:rsidR="00244248" w:rsidRDefault="00244248" w:rsidP="00244248">
      <w:pPr>
        <w:rPr>
          <w:lang w:val="en-US" w:eastAsia="en-AU"/>
        </w:rPr>
      </w:pPr>
      <w:r>
        <w:t xml:space="preserve">The first outcome of interest is births.  This outcome variable is measured as 1 if there is a new birth that year and zero otherwise.  We examine women at all parities, as well as separately for women having a first birth and for women having a second birth. Due to the small number of women in the treatment group who have two children already we do not look at the progression to third or higher order births. </w:t>
      </w:r>
    </w:p>
    <w:p w14:paraId="5E46AE8F" w14:textId="6D459781" w:rsidR="00244248" w:rsidRDefault="00244248" w:rsidP="00244248">
      <w:pPr>
        <w:pStyle w:val="Caption"/>
        <w:keepNext/>
      </w:pPr>
      <w:r>
        <w:t xml:space="preserve">Table </w:t>
      </w:r>
      <w:fldSimple w:instr=" SEQ Table \* ARABIC ">
        <w:r w:rsidR="00115E22">
          <w:rPr>
            <w:noProof/>
          </w:rPr>
          <w:t>27</w:t>
        </w:r>
      </w:fldSimple>
      <w:r>
        <w:t xml:space="preserve"> </w:t>
      </w:r>
      <w:r w:rsidRPr="00EC194F">
        <w:t xml:space="preserve">Effect of Baby Bonus Program 2004-2013 on </w:t>
      </w:r>
      <w:r>
        <w:t>new births</w:t>
      </w:r>
      <w:r w:rsidRPr="00EC194F">
        <w:t>: DiD estimates</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287A95" w14:paraId="5D947554" w14:textId="77777777" w:rsidTr="00335B25">
        <w:tc>
          <w:tcPr>
            <w:tcW w:w="2977" w:type="dxa"/>
            <w:tcBorders>
              <w:top w:val="single" w:sz="4" w:space="0" w:color="ED7D31" w:themeColor="accent2"/>
              <w:left w:val="nil"/>
              <w:bottom w:val="nil"/>
              <w:right w:val="nil"/>
            </w:tcBorders>
            <w:shd w:val="clear" w:color="auto" w:fill="FBE4D5" w:themeFill="accent2" w:themeFillTint="33"/>
          </w:tcPr>
          <w:p w14:paraId="58A37F2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ED7D31" w:themeColor="accent2"/>
              <w:left w:val="nil"/>
              <w:bottom w:val="nil"/>
              <w:right w:val="nil"/>
            </w:tcBorders>
            <w:shd w:val="clear" w:color="auto" w:fill="FBE4D5" w:themeFill="accent2" w:themeFillTint="33"/>
          </w:tcPr>
          <w:p w14:paraId="13513DBB"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(1)</w:t>
            </w:r>
          </w:p>
        </w:tc>
        <w:tc>
          <w:tcPr>
            <w:tcW w:w="1417" w:type="dxa"/>
            <w:tcBorders>
              <w:top w:val="single" w:sz="4" w:space="0" w:color="ED7D31" w:themeColor="accent2"/>
              <w:left w:val="nil"/>
              <w:bottom w:val="nil"/>
              <w:right w:val="nil"/>
            </w:tcBorders>
            <w:shd w:val="clear" w:color="auto" w:fill="FBE4D5" w:themeFill="accent2" w:themeFillTint="33"/>
          </w:tcPr>
          <w:p w14:paraId="2EB9E482"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(2)</w:t>
            </w:r>
          </w:p>
        </w:tc>
        <w:tc>
          <w:tcPr>
            <w:tcW w:w="1666" w:type="dxa"/>
            <w:tcBorders>
              <w:top w:val="single" w:sz="4" w:space="0" w:color="ED7D31" w:themeColor="accent2"/>
              <w:left w:val="nil"/>
              <w:bottom w:val="nil"/>
              <w:right w:val="nil"/>
            </w:tcBorders>
            <w:shd w:val="clear" w:color="auto" w:fill="FBE4D5" w:themeFill="accent2" w:themeFillTint="33"/>
          </w:tcPr>
          <w:p w14:paraId="2C802432"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(3)</w:t>
            </w:r>
          </w:p>
        </w:tc>
        <w:tc>
          <w:tcPr>
            <w:tcW w:w="1984" w:type="dxa"/>
            <w:tcBorders>
              <w:top w:val="single" w:sz="4" w:space="0" w:color="ED7D31" w:themeColor="accent2"/>
              <w:left w:val="nil"/>
              <w:bottom w:val="nil"/>
              <w:right w:val="nil"/>
            </w:tcBorders>
            <w:shd w:val="clear" w:color="auto" w:fill="FBE4D5" w:themeFill="accent2" w:themeFillTint="33"/>
          </w:tcPr>
          <w:p w14:paraId="4AF96B41"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(4)</w:t>
            </w:r>
          </w:p>
        </w:tc>
      </w:tr>
      <w:tr w:rsidR="00244248" w:rsidRPr="00287A95" w14:paraId="339D9742"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2365F3C1"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1944FD98"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06C178D4"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474510DE"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3FA4E2CD"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r>
      <w:tr w:rsidR="00244248" w:rsidRPr="00287A95" w14:paraId="7E02F0A7"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3FC08F1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All new births</w:t>
            </w:r>
          </w:p>
        </w:tc>
        <w:tc>
          <w:tcPr>
            <w:tcW w:w="1531" w:type="dxa"/>
            <w:tcBorders>
              <w:top w:val="single" w:sz="4" w:space="0" w:color="ED7D31" w:themeColor="accent2"/>
              <w:left w:val="nil"/>
              <w:bottom w:val="single" w:sz="4" w:space="0" w:color="ED7D31" w:themeColor="accent2"/>
              <w:right w:val="nil"/>
            </w:tcBorders>
          </w:tcPr>
          <w:p w14:paraId="593DAC69"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2E0C1030"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1FD5C553"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66FFCA5B"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287A95" w14:paraId="5D8A68AE" w14:textId="77777777" w:rsidTr="00335B25">
        <w:tc>
          <w:tcPr>
            <w:tcW w:w="2977" w:type="dxa"/>
            <w:tcBorders>
              <w:top w:val="single" w:sz="4" w:space="0" w:color="ED7D31" w:themeColor="accent2"/>
              <w:left w:val="nil"/>
              <w:right w:val="nil"/>
            </w:tcBorders>
          </w:tcPr>
          <w:p w14:paraId="51D7309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476F659F"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0.008</w:t>
            </w:r>
          </w:p>
        </w:tc>
        <w:tc>
          <w:tcPr>
            <w:tcW w:w="1417" w:type="dxa"/>
            <w:tcBorders>
              <w:top w:val="single" w:sz="4" w:space="0" w:color="ED7D31" w:themeColor="accent2"/>
              <w:left w:val="nil"/>
              <w:right w:val="nil"/>
            </w:tcBorders>
          </w:tcPr>
          <w:p w14:paraId="179A6605"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0.004</w:t>
            </w:r>
          </w:p>
        </w:tc>
        <w:tc>
          <w:tcPr>
            <w:tcW w:w="1666" w:type="dxa"/>
            <w:tcBorders>
              <w:top w:val="single" w:sz="4" w:space="0" w:color="ED7D31" w:themeColor="accent2"/>
              <w:left w:val="nil"/>
              <w:right w:val="nil"/>
            </w:tcBorders>
          </w:tcPr>
          <w:p w14:paraId="19489ED1"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0.028***</w:t>
            </w:r>
          </w:p>
        </w:tc>
        <w:tc>
          <w:tcPr>
            <w:tcW w:w="1984" w:type="dxa"/>
            <w:tcBorders>
              <w:top w:val="single" w:sz="4" w:space="0" w:color="ED7D31" w:themeColor="accent2"/>
              <w:left w:val="nil"/>
              <w:right w:val="nil"/>
            </w:tcBorders>
          </w:tcPr>
          <w:p w14:paraId="120178F7"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0.017*</w:t>
            </w:r>
          </w:p>
        </w:tc>
      </w:tr>
      <w:tr w:rsidR="00244248" w:rsidRPr="00287A95" w14:paraId="08C80917" w14:textId="77777777" w:rsidTr="00335B25">
        <w:tc>
          <w:tcPr>
            <w:tcW w:w="2977" w:type="dxa"/>
            <w:tcBorders>
              <w:top w:val="nil"/>
              <w:left w:val="nil"/>
              <w:right w:val="nil"/>
            </w:tcBorders>
          </w:tcPr>
          <w:p w14:paraId="21DEC9F5"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7AF6814F"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(0.006)</w:t>
            </w:r>
          </w:p>
        </w:tc>
        <w:tc>
          <w:tcPr>
            <w:tcW w:w="1417" w:type="dxa"/>
            <w:tcBorders>
              <w:top w:val="nil"/>
              <w:left w:val="nil"/>
              <w:right w:val="nil"/>
            </w:tcBorders>
          </w:tcPr>
          <w:p w14:paraId="5DCBB493"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(0.005)</w:t>
            </w:r>
          </w:p>
        </w:tc>
        <w:tc>
          <w:tcPr>
            <w:tcW w:w="1666" w:type="dxa"/>
            <w:tcBorders>
              <w:top w:val="nil"/>
              <w:left w:val="nil"/>
              <w:right w:val="nil"/>
            </w:tcBorders>
          </w:tcPr>
          <w:p w14:paraId="6ADB556C"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(0.010)</w:t>
            </w:r>
          </w:p>
        </w:tc>
        <w:tc>
          <w:tcPr>
            <w:tcW w:w="1984" w:type="dxa"/>
            <w:tcBorders>
              <w:top w:val="nil"/>
              <w:left w:val="nil"/>
              <w:right w:val="nil"/>
            </w:tcBorders>
          </w:tcPr>
          <w:p w14:paraId="7B691142"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(0.010)</w:t>
            </w:r>
          </w:p>
        </w:tc>
      </w:tr>
      <w:tr w:rsidR="00244248" w:rsidRPr="00287A95" w14:paraId="0C75E85F" w14:textId="77777777" w:rsidTr="00335B25">
        <w:tc>
          <w:tcPr>
            <w:tcW w:w="2977" w:type="dxa"/>
            <w:tcBorders>
              <w:left w:val="nil"/>
              <w:right w:val="nil"/>
            </w:tcBorders>
          </w:tcPr>
          <w:p w14:paraId="7D11716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left w:val="nil"/>
              <w:right w:val="nil"/>
            </w:tcBorders>
          </w:tcPr>
          <w:p w14:paraId="213933AC"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18,461</w:t>
            </w:r>
          </w:p>
        </w:tc>
        <w:tc>
          <w:tcPr>
            <w:tcW w:w="1417" w:type="dxa"/>
            <w:tcBorders>
              <w:left w:val="nil"/>
              <w:right w:val="nil"/>
            </w:tcBorders>
          </w:tcPr>
          <w:p w14:paraId="2A8015A4"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18,085</w:t>
            </w:r>
          </w:p>
        </w:tc>
        <w:tc>
          <w:tcPr>
            <w:tcW w:w="1666" w:type="dxa"/>
            <w:tcBorders>
              <w:left w:val="nil"/>
              <w:right w:val="nil"/>
            </w:tcBorders>
          </w:tcPr>
          <w:p w14:paraId="0ECB0B59"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18,461</w:t>
            </w:r>
          </w:p>
        </w:tc>
        <w:tc>
          <w:tcPr>
            <w:tcW w:w="1984" w:type="dxa"/>
            <w:tcBorders>
              <w:left w:val="nil"/>
              <w:right w:val="nil"/>
            </w:tcBorders>
          </w:tcPr>
          <w:p w14:paraId="1E7F15D9"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18,086</w:t>
            </w:r>
          </w:p>
        </w:tc>
      </w:tr>
      <w:tr w:rsidR="00244248" w:rsidRPr="00287A95" w14:paraId="213B5002" w14:textId="77777777" w:rsidTr="00335B25">
        <w:trPr>
          <w:trHeight w:val="439"/>
        </w:trPr>
        <w:tc>
          <w:tcPr>
            <w:tcW w:w="2977" w:type="dxa"/>
            <w:tcBorders>
              <w:left w:val="nil"/>
              <w:bottom w:val="single" w:sz="4" w:space="0" w:color="ED7D31" w:themeColor="accent2"/>
              <w:right w:val="nil"/>
            </w:tcBorders>
            <w:vAlign w:val="bottom"/>
          </w:tcPr>
          <w:p w14:paraId="22604361"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First births</w:t>
            </w:r>
          </w:p>
        </w:tc>
        <w:tc>
          <w:tcPr>
            <w:tcW w:w="1531" w:type="dxa"/>
            <w:tcBorders>
              <w:left w:val="nil"/>
              <w:bottom w:val="single" w:sz="4" w:space="0" w:color="ED7D31" w:themeColor="accent2"/>
              <w:right w:val="nil"/>
            </w:tcBorders>
          </w:tcPr>
          <w:p w14:paraId="6205A2EC"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0D482AE7"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24A29A5D"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0D08AF57"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65C99408" w14:textId="77777777" w:rsidTr="00335B25">
        <w:tc>
          <w:tcPr>
            <w:tcW w:w="2977" w:type="dxa"/>
            <w:tcBorders>
              <w:top w:val="single" w:sz="4" w:space="0" w:color="ED7D31" w:themeColor="accent2"/>
              <w:left w:val="nil"/>
              <w:bottom w:val="nil"/>
              <w:right w:val="nil"/>
            </w:tcBorders>
          </w:tcPr>
          <w:p w14:paraId="7B79276D"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71EA8478"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&lt;</w:t>
            </w:r>
            <w:r w:rsidRPr="00E026ED">
              <w:rPr>
                <w:rFonts w:asciiTheme="majorHAnsi" w:hAnsiTheme="majorHAnsi" w:cstheme="majorHAnsi"/>
                <w:sz w:val="20"/>
                <w:szCs w:val="20"/>
              </w:rPr>
              <w:t>0.00</w:t>
            </w:r>
            <w:r>
              <w:rPr>
                <w:rFonts w:asciiTheme="majorHAnsi" w:hAnsiTheme="majorHAnsi" w:cstheme="majorHAnsi"/>
                <w:sz w:val="20"/>
                <w:szCs w:val="20"/>
              </w:rPr>
              <w:t>1</w:t>
            </w:r>
          </w:p>
        </w:tc>
        <w:tc>
          <w:tcPr>
            <w:tcW w:w="1417" w:type="dxa"/>
            <w:tcBorders>
              <w:top w:val="single" w:sz="4" w:space="0" w:color="ED7D31" w:themeColor="accent2"/>
              <w:left w:val="nil"/>
              <w:bottom w:val="nil"/>
              <w:right w:val="nil"/>
            </w:tcBorders>
          </w:tcPr>
          <w:p w14:paraId="4CE8E3CF"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0.002</w:t>
            </w:r>
          </w:p>
        </w:tc>
        <w:tc>
          <w:tcPr>
            <w:tcW w:w="1666" w:type="dxa"/>
            <w:tcBorders>
              <w:top w:val="single" w:sz="4" w:space="0" w:color="ED7D31" w:themeColor="accent2"/>
              <w:left w:val="nil"/>
              <w:bottom w:val="nil"/>
              <w:right w:val="nil"/>
            </w:tcBorders>
          </w:tcPr>
          <w:p w14:paraId="1D784B8D"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0.017</w:t>
            </w:r>
          </w:p>
        </w:tc>
        <w:tc>
          <w:tcPr>
            <w:tcW w:w="1984" w:type="dxa"/>
            <w:tcBorders>
              <w:top w:val="single" w:sz="4" w:space="0" w:color="ED7D31" w:themeColor="accent2"/>
              <w:left w:val="nil"/>
              <w:bottom w:val="nil"/>
              <w:right w:val="nil"/>
            </w:tcBorders>
          </w:tcPr>
          <w:p w14:paraId="2AF72169"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0.034**</w:t>
            </w:r>
          </w:p>
        </w:tc>
      </w:tr>
      <w:tr w:rsidR="00244248" w:rsidRPr="00287A95" w14:paraId="6B3A730A" w14:textId="77777777" w:rsidTr="00335B25">
        <w:tc>
          <w:tcPr>
            <w:tcW w:w="2977" w:type="dxa"/>
            <w:tcBorders>
              <w:top w:val="nil"/>
              <w:left w:val="nil"/>
              <w:right w:val="nil"/>
            </w:tcBorders>
          </w:tcPr>
          <w:p w14:paraId="0140DD6A"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307ACB34"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(0.008)</w:t>
            </w:r>
          </w:p>
        </w:tc>
        <w:tc>
          <w:tcPr>
            <w:tcW w:w="1417" w:type="dxa"/>
            <w:tcBorders>
              <w:top w:val="nil"/>
              <w:left w:val="nil"/>
              <w:right w:val="nil"/>
            </w:tcBorders>
          </w:tcPr>
          <w:p w14:paraId="71D25D5C"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(0.009)</w:t>
            </w:r>
          </w:p>
        </w:tc>
        <w:tc>
          <w:tcPr>
            <w:tcW w:w="1666" w:type="dxa"/>
            <w:tcBorders>
              <w:top w:val="nil"/>
              <w:left w:val="nil"/>
              <w:right w:val="nil"/>
            </w:tcBorders>
          </w:tcPr>
          <w:p w14:paraId="2E54851A"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(0.016)</w:t>
            </w:r>
          </w:p>
        </w:tc>
        <w:tc>
          <w:tcPr>
            <w:tcW w:w="1984" w:type="dxa"/>
            <w:tcBorders>
              <w:top w:val="nil"/>
              <w:left w:val="nil"/>
              <w:right w:val="nil"/>
            </w:tcBorders>
          </w:tcPr>
          <w:p w14:paraId="7B82FD40"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(0.015)</w:t>
            </w:r>
          </w:p>
        </w:tc>
      </w:tr>
      <w:tr w:rsidR="00244248" w:rsidRPr="00287A95" w14:paraId="504A4F4B" w14:textId="77777777" w:rsidTr="00335B25">
        <w:tc>
          <w:tcPr>
            <w:tcW w:w="2977" w:type="dxa"/>
            <w:tcBorders>
              <w:top w:val="nil"/>
              <w:left w:val="nil"/>
              <w:right w:val="nil"/>
            </w:tcBorders>
          </w:tcPr>
          <w:p w14:paraId="3C5C2AF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right w:val="nil"/>
            </w:tcBorders>
          </w:tcPr>
          <w:p w14:paraId="36E90199"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11</w:t>
            </w:r>
            <w:r>
              <w:rPr>
                <w:rFonts w:asciiTheme="majorHAnsi" w:hAnsiTheme="majorHAnsi" w:cstheme="majorHAnsi"/>
                <w:sz w:val="20"/>
                <w:szCs w:val="20"/>
              </w:rPr>
              <w:t>,</w:t>
            </w:r>
            <w:r w:rsidRPr="00E026ED">
              <w:rPr>
                <w:rFonts w:asciiTheme="majorHAnsi" w:hAnsiTheme="majorHAnsi" w:cstheme="majorHAnsi"/>
                <w:sz w:val="20"/>
                <w:szCs w:val="20"/>
              </w:rPr>
              <w:t>572</w:t>
            </w:r>
          </w:p>
        </w:tc>
        <w:tc>
          <w:tcPr>
            <w:tcW w:w="1417" w:type="dxa"/>
            <w:tcBorders>
              <w:top w:val="nil"/>
              <w:left w:val="nil"/>
              <w:right w:val="nil"/>
            </w:tcBorders>
          </w:tcPr>
          <w:p w14:paraId="23EF2971"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11</w:t>
            </w:r>
            <w:r>
              <w:rPr>
                <w:rFonts w:asciiTheme="majorHAnsi" w:hAnsiTheme="majorHAnsi" w:cstheme="majorHAnsi"/>
                <w:sz w:val="20"/>
                <w:szCs w:val="20"/>
              </w:rPr>
              <w:t>,</w:t>
            </w:r>
            <w:r w:rsidRPr="00E026ED">
              <w:rPr>
                <w:rFonts w:asciiTheme="majorHAnsi" w:hAnsiTheme="majorHAnsi" w:cstheme="majorHAnsi"/>
                <w:sz w:val="20"/>
                <w:szCs w:val="20"/>
              </w:rPr>
              <w:t>447</w:t>
            </w:r>
          </w:p>
        </w:tc>
        <w:tc>
          <w:tcPr>
            <w:tcW w:w="1666" w:type="dxa"/>
            <w:tcBorders>
              <w:top w:val="nil"/>
              <w:left w:val="nil"/>
              <w:right w:val="nil"/>
            </w:tcBorders>
          </w:tcPr>
          <w:p w14:paraId="2915AC3E"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11</w:t>
            </w:r>
            <w:r>
              <w:rPr>
                <w:rFonts w:asciiTheme="majorHAnsi" w:hAnsiTheme="majorHAnsi" w:cstheme="majorHAnsi"/>
                <w:sz w:val="20"/>
                <w:szCs w:val="20"/>
              </w:rPr>
              <w:t>,</w:t>
            </w:r>
            <w:r w:rsidRPr="00E026ED">
              <w:rPr>
                <w:rFonts w:asciiTheme="majorHAnsi" w:hAnsiTheme="majorHAnsi" w:cstheme="majorHAnsi"/>
                <w:sz w:val="20"/>
                <w:szCs w:val="20"/>
              </w:rPr>
              <w:t>572</w:t>
            </w:r>
          </w:p>
        </w:tc>
        <w:tc>
          <w:tcPr>
            <w:tcW w:w="1984" w:type="dxa"/>
            <w:tcBorders>
              <w:top w:val="nil"/>
              <w:left w:val="nil"/>
              <w:right w:val="nil"/>
            </w:tcBorders>
          </w:tcPr>
          <w:p w14:paraId="3F7D9858"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11</w:t>
            </w:r>
            <w:r>
              <w:rPr>
                <w:rFonts w:asciiTheme="majorHAnsi" w:hAnsiTheme="majorHAnsi" w:cstheme="majorHAnsi"/>
                <w:sz w:val="20"/>
                <w:szCs w:val="20"/>
              </w:rPr>
              <w:t>,</w:t>
            </w:r>
            <w:r w:rsidRPr="00E026ED">
              <w:rPr>
                <w:rFonts w:asciiTheme="majorHAnsi" w:hAnsiTheme="majorHAnsi" w:cstheme="majorHAnsi"/>
                <w:sz w:val="20"/>
                <w:szCs w:val="20"/>
              </w:rPr>
              <w:t>448</w:t>
            </w:r>
          </w:p>
        </w:tc>
      </w:tr>
      <w:tr w:rsidR="00244248" w:rsidRPr="00287A95" w14:paraId="07ADC144" w14:textId="77777777" w:rsidTr="00335B25">
        <w:trPr>
          <w:trHeight w:val="457"/>
        </w:trPr>
        <w:tc>
          <w:tcPr>
            <w:tcW w:w="2977" w:type="dxa"/>
            <w:tcBorders>
              <w:left w:val="nil"/>
              <w:bottom w:val="single" w:sz="4" w:space="0" w:color="ED7D31" w:themeColor="accent2"/>
              <w:right w:val="nil"/>
            </w:tcBorders>
            <w:vAlign w:val="center"/>
          </w:tcPr>
          <w:p w14:paraId="4DD0DC98"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Second births</w:t>
            </w:r>
          </w:p>
        </w:tc>
        <w:tc>
          <w:tcPr>
            <w:tcW w:w="1531" w:type="dxa"/>
            <w:tcBorders>
              <w:left w:val="nil"/>
              <w:bottom w:val="single" w:sz="4" w:space="0" w:color="ED7D31" w:themeColor="accent2"/>
              <w:right w:val="nil"/>
            </w:tcBorders>
          </w:tcPr>
          <w:p w14:paraId="60AB7FB8"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2E4FA124"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3FE5C01D"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6C07F0CC"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5A7FC2CD" w14:textId="77777777" w:rsidTr="00335B25">
        <w:tc>
          <w:tcPr>
            <w:tcW w:w="2977" w:type="dxa"/>
            <w:tcBorders>
              <w:top w:val="single" w:sz="4" w:space="0" w:color="ED7D31" w:themeColor="accent2"/>
              <w:left w:val="nil"/>
              <w:bottom w:val="nil"/>
              <w:right w:val="nil"/>
            </w:tcBorders>
          </w:tcPr>
          <w:p w14:paraId="2FDC0A9F"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27904317"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0.009</w:t>
            </w:r>
          </w:p>
        </w:tc>
        <w:tc>
          <w:tcPr>
            <w:tcW w:w="1417" w:type="dxa"/>
            <w:tcBorders>
              <w:top w:val="single" w:sz="4" w:space="0" w:color="ED7D31" w:themeColor="accent2"/>
              <w:left w:val="nil"/>
              <w:bottom w:val="nil"/>
              <w:right w:val="nil"/>
            </w:tcBorders>
          </w:tcPr>
          <w:p w14:paraId="646A8E36"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0.004</w:t>
            </w:r>
          </w:p>
        </w:tc>
        <w:tc>
          <w:tcPr>
            <w:tcW w:w="1666" w:type="dxa"/>
            <w:tcBorders>
              <w:top w:val="single" w:sz="4" w:space="0" w:color="ED7D31" w:themeColor="accent2"/>
              <w:left w:val="nil"/>
              <w:bottom w:val="nil"/>
              <w:right w:val="nil"/>
            </w:tcBorders>
          </w:tcPr>
          <w:p w14:paraId="66DEAB0C"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-0.033</w:t>
            </w:r>
          </w:p>
        </w:tc>
        <w:tc>
          <w:tcPr>
            <w:tcW w:w="1984" w:type="dxa"/>
            <w:tcBorders>
              <w:top w:val="single" w:sz="4" w:space="0" w:color="ED7D31" w:themeColor="accent2"/>
              <w:left w:val="nil"/>
              <w:bottom w:val="nil"/>
              <w:right w:val="nil"/>
            </w:tcBorders>
          </w:tcPr>
          <w:p w14:paraId="0754C7C0"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0.006</w:t>
            </w:r>
          </w:p>
        </w:tc>
      </w:tr>
      <w:tr w:rsidR="00244248" w:rsidRPr="00287A95" w14:paraId="5FECAF61" w14:textId="77777777" w:rsidTr="00335B25">
        <w:tc>
          <w:tcPr>
            <w:tcW w:w="2977" w:type="dxa"/>
            <w:tcBorders>
              <w:top w:val="nil"/>
              <w:left w:val="nil"/>
              <w:bottom w:val="nil"/>
              <w:right w:val="nil"/>
            </w:tcBorders>
          </w:tcPr>
          <w:p w14:paraId="72611932"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1210947E"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(0.034)</w:t>
            </w:r>
          </w:p>
        </w:tc>
        <w:tc>
          <w:tcPr>
            <w:tcW w:w="1417" w:type="dxa"/>
            <w:tcBorders>
              <w:top w:val="nil"/>
              <w:left w:val="nil"/>
              <w:bottom w:val="nil"/>
              <w:right w:val="nil"/>
            </w:tcBorders>
          </w:tcPr>
          <w:p w14:paraId="211D6D08"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(0.034)</w:t>
            </w:r>
          </w:p>
        </w:tc>
        <w:tc>
          <w:tcPr>
            <w:tcW w:w="1666" w:type="dxa"/>
            <w:tcBorders>
              <w:top w:val="nil"/>
              <w:left w:val="nil"/>
              <w:bottom w:val="nil"/>
              <w:right w:val="nil"/>
            </w:tcBorders>
          </w:tcPr>
          <w:p w14:paraId="00EC9BC9"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(0.087)</w:t>
            </w:r>
          </w:p>
        </w:tc>
        <w:tc>
          <w:tcPr>
            <w:tcW w:w="1984" w:type="dxa"/>
            <w:tcBorders>
              <w:top w:val="nil"/>
              <w:left w:val="nil"/>
              <w:bottom w:val="nil"/>
              <w:right w:val="nil"/>
            </w:tcBorders>
          </w:tcPr>
          <w:p w14:paraId="10211343"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026ED">
              <w:rPr>
                <w:rFonts w:asciiTheme="majorHAnsi" w:hAnsiTheme="majorHAnsi" w:cstheme="majorHAnsi"/>
                <w:color w:val="808080" w:themeColor="background1" w:themeShade="80"/>
                <w:sz w:val="20"/>
                <w:szCs w:val="20"/>
              </w:rPr>
              <w:t>(0.080)</w:t>
            </w:r>
          </w:p>
        </w:tc>
      </w:tr>
      <w:tr w:rsidR="00244248" w:rsidRPr="00287A95" w14:paraId="337D5042" w14:textId="77777777" w:rsidTr="00335B25">
        <w:tc>
          <w:tcPr>
            <w:tcW w:w="2977" w:type="dxa"/>
            <w:tcBorders>
              <w:top w:val="nil"/>
              <w:left w:val="nil"/>
              <w:bottom w:val="nil"/>
              <w:right w:val="nil"/>
            </w:tcBorders>
          </w:tcPr>
          <w:p w14:paraId="161110DE"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bottom w:val="nil"/>
              <w:right w:val="nil"/>
            </w:tcBorders>
          </w:tcPr>
          <w:p w14:paraId="27C0D0BE"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2</w:t>
            </w:r>
            <w:r>
              <w:rPr>
                <w:rFonts w:asciiTheme="majorHAnsi" w:hAnsiTheme="majorHAnsi" w:cstheme="majorHAnsi"/>
                <w:sz w:val="20"/>
                <w:szCs w:val="20"/>
              </w:rPr>
              <w:t>,</w:t>
            </w:r>
            <w:r w:rsidRPr="00E026ED">
              <w:rPr>
                <w:rFonts w:asciiTheme="majorHAnsi" w:hAnsiTheme="majorHAnsi" w:cstheme="majorHAnsi"/>
                <w:sz w:val="20"/>
                <w:szCs w:val="20"/>
              </w:rPr>
              <w:t>055</w:t>
            </w:r>
          </w:p>
        </w:tc>
        <w:tc>
          <w:tcPr>
            <w:tcW w:w="1417" w:type="dxa"/>
            <w:tcBorders>
              <w:top w:val="nil"/>
              <w:left w:val="nil"/>
              <w:bottom w:val="nil"/>
              <w:right w:val="nil"/>
            </w:tcBorders>
          </w:tcPr>
          <w:p w14:paraId="2B14D66D"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2</w:t>
            </w:r>
            <w:r>
              <w:rPr>
                <w:rFonts w:asciiTheme="majorHAnsi" w:hAnsiTheme="majorHAnsi" w:cstheme="majorHAnsi"/>
                <w:sz w:val="20"/>
                <w:szCs w:val="20"/>
              </w:rPr>
              <w:t>,</w:t>
            </w:r>
            <w:r w:rsidRPr="00E026ED">
              <w:rPr>
                <w:rFonts w:asciiTheme="majorHAnsi" w:hAnsiTheme="majorHAnsi" w:cstheme="majorHAnsi"/>
                <w:sz w:val="20"/>
                <w:szCs w:val="20"/>
              </w:rPr>
              <w:t>011</w:t>
            </w:r>
          </w:p>
        </w:tc>
        <w:tc>
          <w:tcPr>
            <w:tcW w:w="1666" w:type="dxa"/>
            <w:tcBorders>
              <w:top w:val="nil"/>
              <w:left w:val="nil"/>
              <w:bottom w:val="nil"/>
              <w:right w:val="nil"/>
            </w:tcBorders>
          </w:tcPr>
          <w:p w14:paraId="5972DF6D"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2</w:t>
            </w:r>
            <w:r>
              <w:rPr>
                <w:rFonts w:asciiTheme="majorHAnsi" w:hAnsiTheme="majorHAnsi" w:cstheme="majorHAnsi"/>
                <w:sz w:val="20"/>
                <w:szCs w:val="20"/>
              </w:rPr>
              <w:t>,</w:t>
            </w:r>
            <w:r w:rsidRPr="00E026ED">
              <w:rPr>
                <w:rFonts w:asciiTheme="majorHAnsi" w:hAnsiTheme="majorHAnsi" w:cstheme="majorHAnsi"/>
                <w:sz w:val="20"/>
                <w:szCs w:val="20"/>
              </w:rPr>
              <w:t>055</w:t>
            </w:r>
          </w:p>
        </w:tc>
        <w:tc>
          <w:tcPr>
            <w:tcW w:w="1984" w:type="dxa"/>
            <w:tcBorders>
              <w:top w:val="nil"/>
              <w:left w:val="nil"/>
              <w:bottom w:val="nil"/>
              <w:right w:val="nil"/>
            </w:tcBorders>
          </w:tcPr>
          <w:p w14:paraId="26F22B8C" w14:textId="77777777" w:rsidR="00244248" w:rsidRPr="00E026E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026ED">
              <w:rPr>
                <w:rFonts w:asciiTheme="majorHAnsi" w:hAnsiTheme="majorHAnsi" w:cstheme="majorHAnsi"/>
                <w:sz w:val="20"/>
                <w:szCs w:val="20"/>
              </w:rPr>
              <w:t>2</w:t>
            </w:r>
            <w:r>
              <w:rPr>
                <w:rFonts w:asciiTheme="majorHAnsi" w:hAnsiTheme="majorHAnsi" w:cstheme="majorHAnsi"/>
                <w:sz w:val="20"/>
                <w:szCs w:val="20"/>
              </w:rPr>
              <w:t>,</w:t>
            </w:r>
            <w:r w:rsidRPr="00E026ED">
              <w:rPr>
                <w:rFonts w:asciiTheme="majorHAnsi" w:hAnsiTheme="majorHAnsi" w:cstheme="majorHAnsi"/>
                <w:sz w:val="20"/>
                <w:szCs w:val="20"/>
              </w:rPr>
              <w:t>011</w:t>
            </w:r>
          </w:p>
        </w:tc>
      </w:tr>
      <w:tr w:rsidR="00244248" w:rsidRPr="00287A95" w14:paraId="66033CA2" w14:textId="77777777" w:rsidTr="00335B25">
        <w:tc>
          <w:tcPr>
            <w:tcW w:w="2977" w:type="dxa"/>
            <w:tcBorders>
              <w:top w:val="nil"/>
              <w:left w:val="nil"/>
              <w:right w:val="nil"/>
            </w:tcBorders>
            <w:vAlign w:val="bottom"/>
          </w:tcPr>
          <w:p w14:paraId="697CC8DE"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right w:val="nil"/>
            </w:tcBorders>
          </w:tcPr>
          <w:p w14:paraId="7332E521" w14:textId="77777777" w:rsidR="00244248" w:rsidRPr="00931E61" w:rsidRDefault="00244248" w:rsidP="00335B25">
            <w:pPr>
              <w:widowControl w:val="0"/>
              <w:autoSpaceDE w:val="0"/>
              <w:autoSpaceDN w:val="0"/>
              <w:adjustRightInd w:val="0"/>
              <w:spacing w:after="0" w:line="240" w:lineRule="auto"/>
              <w:jc w:val="center"/>
            </w:pPr>
          </w:p>
        </w:tc>
        <w:tc>
          <w:tcPr>
            <w:tcW w:w="1417" w:type="dxa"/>
            <w:tcBorders>
              <w:top w:val="nil"/>
              <w:left w:val="nil"/>
              <w:right w:val="nil"/>
            </w:tcBorders>
          </w:tcPr>
          <w:p w14:paraId="028D2631" w14:textId="77777777" w:rsidR="00244248" w:rsidRPr="00931E61" w:rsidRDefault="00244248" w:rsidP="00335B25">
            <w:pPr>
              <w:widowControl w:val="0"/>
              <w:autoSpaceDE w:val="0"/>
              <w:autoSpaceDN w:val="0"/>
              <w:adjustRightInd w:val="0"/>
              <w:spacing w:after="0" w:line="240" w:lineRule="auto"/>
              <w:jc w:val="center"/>
            </w:pPr>
          </w:p>
        </w:tc>
        <w:tc>
          <w:tcPr>
            <w:tcW w:w="1666" w:type="dxa"/>
            <w:tcBorders>
              <w:top w:val="nil"/>
              <w:left w:val="nil"/>
              <w:right w:val="nil"/>
            </w:tcBorders>
          </w:tcPr>
          <w:p w14:paraId="7BFEDB5F" w14:textId="77777777" w:rsidR="00244248" w:rsidRPr="00931E61" w:rsidRDefault="00244248" w:rsidP="00335B25">
            <w:pPr>
              <w:widowControl w:val="0"/>
              <w:autoSpaceDE w:val="0"/>
              <w:autoSpaceDN w:val="0"/>
              <w:adjustRightInd w:val="0"/>
              <w:spacing w:after="0" w:line="240" w:lineRule="auto"/>
              <w:jc w:val="center"/>
            </w:pPr>
          </w:p>
        </w:tc>
        <w:tc>
          <w:tcPr>
            <w:tcW w:w="1984" w:type="dxa"/>
            <w:tcBorders>
              <w:top w:val="nil"/>
              <w:left w:val="nil"/>
              <w:right w:val="nil"/>
            </w:tcBorders>
          </w:tcPr>
          <w:p w14:paraId="7B32C6D8" w14:textId="77777777" w:rsidR="00244248" w:rsidRPr="00931E61" w:rsidRDefault="00244248" w:rsidP="00335B25">
            <w:pPr>
              <w:widowControl w:val="0"/>
              <w:autoSpaceDE w:val="0"/>
              <w:autoSpaceDN w:val="0"/>
              <w:adjustRightInd w:val="0"/>
              <w:spacing w:after="0" w:line="240" w:lineRule="auto"/>
              <w:jc w:val="center"/>
            </w:pPr>
          </w:p>
        </w:tc>
      </w:tr>
      <w:tr w:rsidR="00244248" w:rsidRPr="00287A95" w14:paraId="1ADAE6E6" w14:textId="77777777" w:rsidTr="00335B25">
        <w:tc>
          <w:tcPr>
            <w:tcW w:w="2977" w:type="dxa"/>
            <w:tcBorders>
              <w:top w:val="nil"/>
              <w:left w:val="nil"/>
              <w:bottom w:val="single" w:sz="4" w:space="0" w:color="ED7D31" w:themeColor="accent2"/>
              <w:right w:val="nil"/>
            </w:tcBorders>
            <w:vAlign w:val="bottom"/>
          </w:tcPr>
          <w:p w14:paraId="253A0FE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b/>
                <w:bCs/>
                <w:sz w:val="20"/>
                <w:szCs w:val="20"/>
              </w:rPr>
              <w:t>Model specifications</w:t>
            </w:r>
          </w:p>
        </w:tc>
        <w:tc>
          <w:tcPr>
            <w:tcW w:w="1531" w:type="dxa"/>
            <w:tcBorders>
              <w:top w:val="nil"/>
              <w:left w:val="nil"/>
              <w:bottom w:val="single" w:sz="4" w:space="0" w:color="ED7D31" w:themeColor="accent2"/>
              <w:right w:val="nil"/>
            </w:tcBorders>
          </w:tcPr>
          <w:p w14:paraId="3F811731" w14:textId="77777777" w:rsidR="00244248" w:rsidRPr="00931E61" w:rsidRDefault="00244248" w:rsidP="00335B25">
            <w:pPr>
              <w:widowControl w:val="0"/>
              <w:autoSpaceDE w:val="0"/>
              <w:autoSpaceDN w:val="0"/>
              <w:adjustRightInd w:val="0"/>
              <w:spacing w:after="0" w:line="240" w:lineRule="auto"/>
              <w:jc w:val="center"/>
            </w:pPr>
          </w:p>
        </w:tc>
        <w:tc>
          <w:tcPr>
            <w:tcW w:w="1417" w:type="dxa"/>
            <w:tcBorders>
              <w:top w:val="nil"/>
              <w:left w:val="nil"/>
              <w:bottom w:val="single" w:sz="4" w:space="0" w:color="ED7D31" w:themeColor="accent2"/>
              <w:right w:val="nil"/>
            </w:tcBorders>
          </w:tcPr>
          <w:p w14:paraId="56637975" w14:textId="77777777" w:rsidR="00244248" w:rsidRPr="00931E61" w:rsidRDefault="00244248" w:rsidP="00335B25">
            <w:pPr>
              <w:widowControl w:val="0"/>
              <w:autoSpaceDE w:val="0"/>
              <w:autoSpaceDN w:val="0"/>
              <w:adjustRightInd w:val="0"/>
              <w:spacing w:after="0" w:line="240" w:lineRule="auto"/>
              <w:jc w:val="center"/>
            </w:pPr>
          </w:p>
        </w:tc>
        <w:tc>
          <w:tcPr>
            <w:tcW w:w="1666" w:type="dxa"/>
            <w:tcBorders>
              <w:top w:val="nil"/>
              <w:left w:val="nil"/>
              <w:bottom w:val="single" w:sz="4" w:space="0" w:color="ED7D31" w:themeColor="accent2"/>
              <w:right w:val="nil"/>
            </w:tcBorders>
          </w:tcPr>
          <w:p w14:paraId="4137625C" w14:textId="77777777" w:rsidR="00244248" w:rsidRPr="00931E61" w:rsidRDefault="00244248" w:rsidP="00335B25">
            <w:pPr>
              <w:widowControl w:val="0"/>
              <w:autoSpaceDE w:val="0"/>
              <w:autoSpaceDN w:val="0"/>
              <w:adjustRightInd w:val="0"/>
              <w:spacing w:after="0" w:line="240" w:lineRule="auto"/>
              <w:jc w:val="center"/>
            </w:pPr>
          </w:p>
        </w:tc>
        <w:tc>
          <w:tcPr>
            <w:tcW w:w="1984" w:type="dxa"/>
            <w:tcBorders>
              <w:top w:val="nil"/>
              <w:left w:val="nil"/>
              <w:bottom w:val="single" w:sz="4" w:space="0" w:color="ED7D31" w:themeColor="accent2"/>
              <w:right w:val="nil"/>
            </w:tcBorders>
          </w:tcPr>
          <w:p w14:paraId="04C529A2" w14:textId="77777777" w:rsidR="00244248" w:rsidRPr="00931E61" w:rsidRDefault="00244248" w:rsidP="00335B25">
            <w:pPr>
              <w:widowControl w:val="0"/>
              <w:autoSpaceDE w:val="0"/>
              <w:autoSpaceDN w:val="0"/>
              <w:adjustRightInd w:val="0"/>
              <w:spacing w:after="0" w:line="240" w:lineRule="auto"/>
              <w:jc w:val="center"/>
            </w:pPr>
          </w:p>
        </w:tc>
      </w:tr>
      <w:tr w:rsidR="00244248" w:rsidRPr="00287A95" w14:paraId="267AE70D" w14:textId="77777777" w:rsidTr="00335B25">
        <w:tc>
          <w:tcPr>
            <w:tcW w:w="2977" w:type="dxa"/>
            <w:tcBorders>
              <w:top w:val="single" w:sz="4" w:space="0" w:color="ED7D31" w:themeColor="accent2"/>
              <w:left w:val="nil"/>
              <w:right w:val="nil"/>
            </w:tcBorders>
          </w:tcPr>
          <w:p w14:paraId="5AD8BE20"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287A95">
              <w:rPr>
                <w:rFonts w:asciiTheme="majorHAnsi" w:hAnsiTheme="majorHAnsi" w:cstheme="majorHAnsi"/>
                <w:sz w:val="20"/>
                <w:szCs w:val="20"/>
              </w:rPr>
              <w:t>Year and State Fixed Effects</w:t>
            </w:r>
          </w:p>
        </w:tc>
        <w:tc>
          <w:tcPr>
            <w:tcW w:w="1531" w:type="dxa"/>
            <w:tcBorders>
              <w:top w:val="single" w:sz="4" w:space="0" w:color="ED7D31" w:themeColor="accent2"/>
              <w:left w:val="nil"/>
              <w:right w:val="nil"/>
            </w:tcBorders>
          </w:tcPr>
          <w:p w14:paraId="4802B0C9"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417" w:type="dxa"/>
            <w:tcBorders>
              <w:top w:val="single" w:sz="4" w:space="0" w:color="ED7D31" w:themeColor="accent2"/>
              <w:left w:val="nil"/>
              <w:right w:val="nil"/>
            </w:tcBorders>
          </w:tcPr>
          <w:p w14:paraId="2A44DCB9"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666" w:type="dxa"/>
            <w:tcBorders>
              <w:top w:val="single" w:sz="4" w:space="0" w:color="ED7D31" w:themeColor="accent2"/>
              <w:left w:val="nil"/>
              <w:right w:val="nil"/>
            </w:tcBorders>
          </w:tcPr>
          <w:p w14:paraId="2ED4668C"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984" w:type="dxa"/>
            <w:tcBorders>
              <w:top w:val="single" w:sz="4" w:space="0" w:color="ED7D31" w:themeColor="accent2"/>
              <w:left w:val="nil"/>
              <w:right w:val="nil"/>
            </w:tcBorders>
          </w:tcPr>
          <w:p w14:paraId="256ECB53"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r>
      <w:tr w:rsidR="00244248" w:rsidRPr="00287A95" w14:paraId="1BA9ACF9" w14:textId="77777777" w:rsidTr="00335B25">
        <w:tc>
          <w:tcPr>
            <w:tcW w:w="2977" w:type="dxa"/>
            <w:tcBorders>
              <w:top w:val="nil"/>
              <w:left w:val="nil"/>
              <w:right w:val="nil"/>
            </w:tcBorders>
          </w:tcPr>
          <w:p w14:paraId="53FEA48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Time-varying Demographics</w:t>
            </w:r>
          </w:p>
        </w:tc>
        <w:tc>
          <w:tcPr>
            <w:tcW w:w="1531" w:type="dxa"/>
            <w:tcBorders>
              <w:top w:val="nil"/>
              <w:left w:val="nil"/>
              <w:right w:val="nil"/>
            </w:tcBorders>
          </w:tcPr>
          <w:p w14:paraId="6AFAC1D5"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right w:val="nil"/>
            </w:tcBorders>
          </w:tcPr>
          <w:p w14:paraId="30EAECB6"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666" w:type="dxa"/>
            <w:tcBorders>
              <w:top w:val="nil"/>
              <w:left w:val="nil"/>
              <w:right w:val="nil"/>
            </w:tcBorders>
          </w:tcPr>
          <w:p w14:paraId="3F87BDFC"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984" w:type="dxa"/>
            <w:tcBorders>
              <w:top w:val="nil"/>
              <w:left w:val="nil"/>
              <w:right w:val="nil"/>
            </w:tcBorders>
          </w:tcPr>
          <w:p w14:paraId="55904B68"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r>
      <w:tr w:rsidR="00244248" w:rsidRPr="00287A95" w14:paraId="1618C261" w14:textId="77777777" w:rsidTr="00335B25">
        <w:tc>
          <w:tcPr>
            <w:tcW w:w="2977" w:type="dxa"/>
            <w:tcBorders>
              <w:top w:val="nil"/>
              <w:left w:val="nil"/>
              <w:right w:val="nil"/>
            </w:tcBorders>
          </w:tcPr>
          <w:p w14:paraId="575D9E4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Time-invariant Demographics</w:t>
            </w:r>
          </w:p>
        </w:tc>
        <w:tc>
          <w:tcPr>
            <w:tcW w:w="1531" w:type="dxa"/>
            <w:tcBorders>
              <w:top w:val="nil"/>
              <w:left w:val="nil"/>
              <w:right w:val="nil"/>
            </w:tcBorders>
          </w:tcPr>
          <w:p w14:paraId="3D8DF11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right w:val="nil"/>
            </w:tcBorders>
          </w:tcPr>
          <w:p w14:paraId="0967F840"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666" w:type="dxa"/>
            <w:tcBorders>
              <w:top w:val="nil"/>
              <w:left w:val="nil"/>
              <w:right w:val="nil"/>
            </w:tcBorders>
          </w:tcPr>
          <w:p w14:paraId="74AB5563"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984" w:type="dxa"/>
            <w:tcBorders>
              <w:top w:val="nil"/>
              <w:left w:val="nil"/>
              <w:right w:val="nil"/>
            </w:tcBorders>
          </w:tcPr>
          <w:p w14:paraId="6BF7A243"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r>
      <w:tr w:rsidR="00244248" w:rsidRPr="00287A95" w14:paraId="1999464C" w14:textId="77777777" w:rsidTr="00335B25">
        <w:tc>
          <w:tcPr>
            <w:tcW w:w="2977" w:type="dxa"/>
            <w:tcBorders>
              <w:top w:val="nil"/>
              <w:left w:val="nil"/>
              <w:bottom w:val="single" w:sz="4" w:space="0" w:color="ED7D31" w:themeColor="accent2"/>
              <w:right w:val="nil"/>
            </w:tcBorders>
          </w:tcPr>
          <w:p w14:paraId="4EE5B53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5D65DEBD"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281ED7B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4247811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4C3147B8"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r>
    </w:tbl>
    <w:p w14:paraId="282A8D07" w14:textId="77777777" w:rsidR="00244248" w:rsidRPr="004D198B" w:rsidRDefault="00244248" w:rsidP="00244248">
      <w:pPr>
        <w:keepNext/>
        <w:widowControl w:val="0"/>
        <w:autoSpaceDE w:val="0"/>
        <w:autoSpaceDN w:val="0"/>
        <w:adjustRightInd w:val="0"/>
        <w:spacing w:after="0" w:line="240" w:lineRule="auto"/>
        <w:rPr>
          <w:sz w:val="16"/>
          <w:szCs w:val="16"/>
        </w:rPr>
      </w:pPr>
      <w:r w:rsidRPr="004D198B">
        <w:rPr>
          <w:sz w:val="16"/>
          <w:szCs w:val="16"/>
        </w:rPr>
        <w:t xml:space="preserve">Treatment group is women aged 18-24 at any time during 2004-2013; women aged 40-44 years old any time during 2004-2013 served as a control; </w:t>
      </w:r>
    </w:p>
    <w:p w14:paraId="037120F6" w14:textId="77777777" w:rsidR="00244248" w:rsidRPr="004D198B" w:rsidRDefault="00244248" w:rsidP="00244248">
      <w:pPr>
        <w:keepNext/>
        <w:widowControl w:val="0"/>
        <w:autoSpaceDE w:val="0"/>
        <w:autoSpaceDN w:val="0"/>
        <w:adjustRightInd w:val="0"/>
        <w:spacing w:after="0" w:line="240" w:lineRule="auto"/>
        <w:rPr>
          <w:sz w:val="24"/>
          <w:szCs w:val="24"/>
          <w:lang w:val="en-US" w:eastAsia="en-AU"/>
        </w:rPr>
      </w:pPr>
      <w:r w:rsidRPr="004D198B">
        <w:rPr>
          <w:sz w:val="16"/>
          <w:szCs w:val="16"/>
        </w:rPr>
        <w:t>* p&lt;0.1, ** p&lt;0.05, *** p&lt;0.01</w:t>
      </w:r>
    </w:p>
    <w:p w14:paraId="260A218F" w14:textId="77777777" w:rsidR="00244248" w:rsidRDefault="00244248" w:rsidP="00244248"/>
    <w:p w14:paraId="6DB63A85" w14:textId="421421F1" w:rsidR="00244248" w:rsidRDefault="00244248" w:rsidP="00244248">
      <w:r w:rsidRPr="00212F0A">
        <w:t>The results show a significant positive effect for new births when we control for individual fixed effects</w:t>
      </w:r>
      <w:r>
        <w:t xml:space="preserve"> (Columns 3 and 4)</w:t>
      </w:r>
      <w:r w:rsidRPr="00212F0A">
        <w:t>. However, once we control for time-varying demographics this effect, although remaining significant becomes weaker.  Looking at the different parities we see a significant effect only for the full fixed effects model (Column 4) for first births. This could be due to bringing the birth forward</w:t>
      </w:r>
      <w:r>
        <w:t>, i.e. sooner than expected in comparison to the timing seen prior to the implementation of the policy</w:t>
      </w:r>
      <w:r w:rsidRPr="00212F0A">
        <w:t>.</w:t>
      </w:r>
      <w:r>
        <w:t xml:space="preserve"> The results suggest a 3% increase in first births compared to pre-baby bonus.</w:t>
      </w:r>
      <w:r w:rsidRPr="00212F0A">
        <w:t xml:space="preserve"> </w:t>
      </w:r>
    </w:p>
    <w:p w14:paraId="02EFFCC7" w14:textId="77777777" w:rsidR="00244248" w:rsidRPr="00212F0A" w:rsidRDefault="00244248" w:rsidP="00244248"/>
    <w:p w14:paraId="4BC10687" w14:textId="77777777" w:rsidR="00244248" w:rsidRDefault="00244248" w:rsidP="00244248">
      <w:pPr>
        <w:rPr>
          <w:color w:val="1F3864" w:themeColor="accent5" w:themeShade="80"/>
        </w:rPr>
      </w:pPr>
      <w:r w:rsidRPr="0003205B">
        <w:rPr>
          <w:color w:val="1F3864" w:themeColor="accent5" w:themeShade="80"/>
        </w:rPr>
        <w:br w:type="page"/>
      </w:r>
    </w:p>
    <w:p w14:paraId="472457A4" w14:textId="3CB87C32" w:rsidR="00244248" w:rsidRPr="00770977" w:rsidRDefault="00244248" w:rsidP="00244248">
      <w:pPr>
        <w:rPr>
          <w:i/>
          <w:iCs/>
          <w:sz w:val="18"/>
          <w:szCs w:val="18"/>
        </w:rPr>
      </w:pPr>
      <w:r w:rsidRPr="00770977">
        <w:lastRenderedPageBreak/>
        <w:t xml:space="preserve">Table </w:t>
      </w:r>
      <w:r w:rsidR="000803EB">
        <w:t>28</w:t>
      </w:r>
      <w:r w:rsidRPr="00770977">
        <w:t xml:space="preserve"> shows the results for three fertility preference outcomes: childbearing desires, expectations and additionally intended number of children. </w:t>
      </w:r>
      <w:r>
        <w:t xml:space="preserve">For childbearing desires in the OLS models for all parities we see a negative relationship. While we saw that childbearing desires for both the treatment and control group increased from 2004 onwards, the increase was larger for women aged 40-44 leading to a negative effect. However, this could in part be due to the change in the way the questions were asked and  when we look at the fixed effects model which looks at only differences in childbearing desires within the same women over time we see an increase (Columns 3 and 4). This increase is also evident when looking only at women who are childless, but not when looking at women who have only one child. For childbearing expectations we see no significant effects, whereas for intended number of children we see a revision downward although the effect is significant but small. </w:t>
      </w:r>
    </w:p>
    <w:p w14:paraId="1015105A" w14:textId="77777777" w:rsidR="00CD7C71" w:rsidRPr="00212F0A" w:rsidRDefault="00CD7C71" w:rsidP="00CD7C71">
      <w:r>
        <w:t>Using Identification Strategy III (reported in Appendix) we do not find any statistically significant results.  This suggests that the significant results found here are not robust to alternative ways of estimating the causal impact.</w:t>
      </w:r>
    </w:p>
    <w:p w14:paraId="5842FCF4" w14:textId="77777777" w:rsidR="00244248" w:rsidRDefault="00244248" w:rsidP="00244248">
      <w:pPr>
        <w:rPr>
          <w:i/>
          <w:iCs/>
          <w:color w:val="44546A" w:themeColor="text2"/>
          <w:sz w:val="18"/>
          <w:szCs w:val="18"/>
        </w:rPr>
      </w:pPr>
      <w:r>
        <w:br w:type="page"/>
      </w:r>
    </w:p>
    <w:p w14:paraId="1CEEF655" w14:textId="2A2D77BE" w:rsidR="00244248" w:rsidRDefault="00244248" w:rsidP="00244248">
      <w:pPr>
        <w:pStyle w:val="Caption"/>
        <w:keepNext/>
      </w:pPr>
      <w:r>
        <w:lastRenderedPageBreak/>
        <w:t xml:space="preserve">Table </w:t>
      </w:r>
      <w:fldSimple w:instr=" SEQ Table \* ARABIC ">
        <w:r w:rsidR="00115E22">
          <w:rPr>
            <w:noProof/>
          </w:rPr>
          <w:t>28</w:t>
        </w:r>
      </w:fldSimple>
      <w:r>
        <w:t xml:space="preserve"> </w:t>
      </w:r>
      <w:r w:rsidRPr="000B3BD0">
        <w:t xml:space="preserve">Effect of Baby Bonus Program 2004-2013 on </w:t>
      </w:r>
      <w:r>
        <w:t>childbearing desires, expectations and additionally intended number of children</w:t>
      </w:r>
      <w:r w:rsidRPr="000B3BD0">
        <w:t>: DiD estimates</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E50CFC" w14:paraId="432D69E5" w14:textId="77777777" w:rsidTr="00335B25">
        <w:tc>
          <w:tcPr>
            <w:tcW w:w="2977" w:type="dxa"/>
            <w:tcBorders>
              <w:top w:val="single" w:sz="4" w:space="0" w:color="ED7D31" w:themeColor="accent2"/>
              <w:left w:val="nil"/>
              <w:bottom w:val="nil"/>
              <w:right w:val="nil"/>
            </w:tcBorders>
            <w:shd w:val="clear" w:color="auto" w:fill="FBE4D5" w:themeFill="accent2" w:themeFillTint="33"/>
          </w:tcPr>
          <w:p w14:paraId="166CDE9E"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bookmarkStart w:id="178" w:name="_Hlk84779545"/>
          </w:p>
        </w:tc>
        <w:tc>
          <w:tcPr>
            <w:tcW w:w="1531" w:type="dxa"/>
            <w:tcBorders>
              <w:top w:val="single" w:sz="4" w:space="0" w:color="ED7D31" w:themeColor="accent2"/>
              <w:left w:val="nil"/>
              <w:bottom w:val="nil"/>
              <w:right w:val="nil"/>
            </w:tcBorders>
            <w:shd w:val="clear" w:color="auto" w:fill="FBE4D5" w:themeFill="accent2" w:themeFillTint="33"/>
          </w:tcPr>
          <w:p w14:paraId="69A50EAA"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w:t>
            </w:r>
          </w:p>
        </w:tc>
        <w:tc>
          <w:tcPr>
            <w:tcW w:w="1417" w:type="dxa"/>
            <w:tcBorders>
              <w:top w:val="single" w:sz="4" w:space="0" w:color="ED7D31" w:themeColor="accent2"/>
              <w:left w:val="nil"/>
              <w:bottom w:val="nil"/>
              <w:right w:val="nil"/>
            </w:tcBorders>
            <w:shd w:val="clear" w:color="auto" w:fill="FBE4D5" w:themeFill="accent2" w:themeFillTint="33"/>
          </w:tcPr>
          <w:p w14:paraId="7C30839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(2)</w:t>
            </w:r>
          </w:p>
        </w:tc>
        <w:tc>
          <w:tcPr>
            <w:tcW w:w="1666" w:type="dxa"/>
            <w:tcBorders>
              <w:top w:val="single" w:sz="4" w:space="0" w:color="ED7D31" w:themeColor="accent2"/>
              <w:left w:val="nil"/>
              <w:bottom w:val="nil"/>
              <w:right w:val="nil"/>
            </w:tcBorders>
            <w:shd w:val="clear" w:color="auto" w:fill="FBE4D5" w:themeFill="accent2" w:themeFillTint="33"/>
          </w:tcPr>
          <w:p w14:paraId="6C35576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(3)</w:t>
            </w:r>
          </w:p>
        </w:tc>
        <w:tc>
          <w:tcPr>
            <w:tcW w:w="1984" w:type="dxa"/>
            <w:tcBorders>
              <w:top w:val="single" w:sz="4" w:space="0" w:color="ED7D31" w:themeColor="accent2"/>
              <w:left w:val="nil"/>
              <w:bottom w:val="nil"/>
              <w:right w:val="nil"/>
            </w:tcBorders>
            <w:shd w:val="clear" w:color="auto" w:fill="FBE4D5" w:themeFill="accent2" w:themeFillTint="33"/>
          </w:tcPr>
          <w:p w14:paraId="5565F32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(4)</w:t>
            </w:r>
          </w:p>
        </w:tc>
      </w:tr>
      <w:tr w:rsidR="00244248" w:rsidRPr="00E50CFC" w14:paraId="3EDA526E"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40444A69"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16E77E4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49E4455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55458C8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682DC48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OLS-fixed effect</w:t>
            </w:r>
          </w:p>
        </w:tc>
      </w:tr>
      <w:tr w:rsidR="00244248" w:rsidRPr="00E50CFC" w14:paraId="02A58CD5" w14:textId="77777777" w:rsidTr="00335B25">
        <w:trPr>
          <w:trHeight w:val="357"/>
        </w:trPr>
        <w:tc>
          <w:tcPr>
            <w:tcW w:w="9575" w:type="dxa"/>
            <w:gridSpan w:val="5"/>
            <w:tcBorders>
              <w:top w:val="single" w:sz="4" w:space="0" w:color="ED7D31" w:themeColor="accent2"/>
              <w:left w:val="nil"/>
              <w:bottom w:val="single" w:sz="4" w:space="0" w:color="ED7D31" w:themeColor="accent2"/>
              <w:right w:val="nil"/>
            </w:tcBorders>
            <w:vAlign w:val="center"/>
          </w:tcPr>
          <w:p w14:paraId="58990D7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r w:rsidRPr="00E50CFC">
              <w:rPr>
                <w:rFonts w:asciiTheme="majorHAnsi" w:hAnsiTheme="majorHAnsi" w:cstheme="majorHAnsi"/>
                <w:b/>
                <w:bCs/>
                <w:sz w:val="20"/>
                <w:szCs w:val="20"/>
              </w:rPr>
              <w:t>Childbearing desires</w:t>
            </w:r>
          </w:p>
        </w:tc>
      </w:tr>
      <w:tr w:rsidR="00244248" w:rsidRPr="00E50CFC" w14:paraId="3953BC50"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2418869F"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b/>
                <w:bCs/>
                <w:sz w:val="20"/>
                <w:szCs w:val="20"/>
              </w:rPr>
              <w:t>All parities</w:t>
            </w:r>
          </w:p>
        </w:tc>
        <w:tc>
          <w:tcPr>
            <w:tcW w:w="1531" w:type="dxa"/>
            <w:tcBorders>
              <w:top w:val="single" w:sz="4" w:space="0" w:color="ED7D31" w:themeColor="accent2"/>
              <w:left w:val="nil"/>
              <w:bottom w:val="single" w:sz="4" w:space="0" w:color="ED7D31" w:themeColor="accent2"/>
              <w:right w:val="nil"/>
            </w:tcBorders>
          </w:tcPr>
          <w:p w14:paraId="5BF140E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5154B9A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3A63620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11B3C9D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E50CFC" w14:paraId="23337AC4" w14:textId="77777777" w:rsidTr="00335B25">
        <w:tc>
          <w:tcPr>
            <w:tcW w:w="2977" w:type="dxa"/>
            <w:tcBorders>
              <w:top w:val="single" w:sz="4" w:space="0" w:color="ED7D31" w:themeColor="accent2"/>
              <w:left w:val="nil"/>
              <w:right w:val="nil"/>
            </w:tcBorders>
          </w:tcPr>
          <w:p w14:paraId="5C6C162A"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399B1F9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-0.319**</w:t>
            </w:r>
          </w:p>
        </w:tc>
        <w:tc>
          <w:tcPr>
            <w:tcW w:w="1417" w:type="dxa"/>
            <w:tcBorders>
              <w:top w:val="single" w:sz="4" w:space="0" w:color="ED7D31" w:themeColor="accent2"/>
              <w:left w:val="nil"/>
              <w:right w:val="nil"/>
            </w:tcBorders>
          </w:tcPr>
          <w:p w14:paraId="0F172DD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-0.259**</w:t>
            </w:r>
          </w:p>
        </w:tc>
        <w:tc>
          <w:tcPr>
            <w:tcW w:w="1666" w:type="dxa"/>
            <w:tcBorders>
              <w:top w:val="single" w:sz="4" w:space="0" w:color="ED7D31" w:themeColor="accent2"/>
              <w:left w:val="nil"/>
              <w:right w:val="nil"/>
            </w:tcBorders>
          </w:tcPr>
          <w:p w14:paraId="07461FA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0.414***</w:t>
            </w:r>
          </w:p>
        </w:tc>
        <w:tc>
          <w:tcPr>
            <w:tcW w:w="1984" w:type="dxa"/>
            <w:tcBorders>
              <w:top w:val="single" w:sz="4" w:space="0" w:color="ED7D31" w:themeColor="accent2"/>
              <w:left w:val="nil"/>
              <w:right w:val="nil"/>
            </w:tcBorders>
          </w:tcPr>
          <w:p w14:paraId="2838B98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0.310**</w:t>
            </w:r>
          </w:p>
        </w:tc>
      </w:tr>
      <w:tr w:rsidR="00244248" w:rsidRPr="00E50CFC" w14:paraId="430013CD" w14:textId="77777777" w:rsidTr="00335B25">
        <w:tc>
          <w:tcPr>
            <w:tcW w:w="2977" w:type="dxa"/>
            <w:tcBorders>
              <w:top w:val="nil"/>
              <w:left w:val="nil"/>
              <w:right w:val="nil"/>
            </w:tcBorders>
          </w:tcPr>
          <w:p w14:paraId="08F9868D"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right w:val="nil"/>
            </w:tcBorders>
          </w:tcPr>
          <w:p w14:paraId="67AB7E6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(0.130)</w:t>
            </w:r>
          </w:p>
        </w:tc>
        <w:tc>
          <w:tcPr>
            <w:tcW w:w="1417" w:type="dxa"/>
            <w:tcBorders>
              <w:top w:val="nil"/>
              <w:left w:val="nil"/>
              <w:right w:val="nil"/>
            </w:tcBorders>
          </w:tcPr>
          <w:p w14:paraId="391E061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(0.130)</w:t>
            </w:r>
          </w:p>
        </w:tc>
        <w:tc>
          <w:tcPr>
            <w:tcW w:w="1666" w:type="dxa"/>
            <w:tcBorders>
              <w:top w:val="nil"/>
              <w:left w:val="nil"/>
              <w:right w:val="nil"/>
            </w:tcBorders>
          </w:tcPr>
          <w:p w14:paraId="4FDBBEA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(0.135)</w:t>
            </w:r>
          </w:p>
        </w:tc>
        <w:tc>
          <w:tcPr>
            <w:tcW w:w="1984" w:type="dxa"/>
            <w:tcBorders>
              <w:top w:val="nil"/>
              <w:left w:val="nil"/>
              <w:right w:val="nil"/>
            </w:tcBorders>
          </w:tcPr>
          <w:p w14:paraId="3C2DC58A"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(0.139)</w:t>
            </w:r>
          </w:p>
        </w:tc>
      </w:tr>
      <w:tr w:rsidR="00244248" w:rsidRPr="00E50CFC" w14:paraId="03E4FDE9" w14:textId="77777777" w:rsidTr="00335B25">
        <w:tc>
          <w:tcPr>
            <w:tcW w:w="2977" w:type="dxa"/>
            <w:tcBorders>
              <w:left w:val="nil"/>
              <w:right w:val="nil"/>
            </w:tcBorders>
          </w:tcPr>
          <w:p w14:paraId="7504830D"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left w:val="nil"/>
              <w:right w:val="nil"/>
            </w:tcBorders>
          </w:tcPr>
          <w:p w14:paraId="492472E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w:t>
            </w:r>
            <w:r>
              <w:rPr>
                <w:rFonts w:asciiTheme="majorHAnsi" w:hAnsiTheme="majorHAnsi" w:cstheme="majorHAnsi"/>
                <w:sz w:val="20"/>
                <w:szCs w:val="20"/>
              </w:rPr>
              <w:t>,</w:t>
            </w:r>
            <w:r w:rsidRPr="00E50CFC">
              <w:rPr>
                <w:rFonts w:asciiTheme="majorHAnsi" w:hAnsiTheme="majorHAnsi" w:cstheme="majorHAnsi"/>
                <w:sz w:val="20"/>
                <w:szCs w:val="20"/>
              </w:rPr>
              <w:t>800</w:t>
            </w:r>
          </w:p>
        </w:tc>
        <w:tc>
          <w:tcPr>
            <w:tcW w:w="1417" w:type="dxa"/>
            <w:tcBorders>
              <w:left w:val="nil"/>
              <w:right w:val="nil"/>
            </w:tcBorders>
          </w:tcPr>
          <w:p w14:paraId="1659A27A"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w:t>
            </w:r>
            <w:r>
              <w:rPr>
                <w:rFonts w:asciiTheme="majorHAnsi" w:hAnsiTheme="majorHAnsi" w:cstheme="majorHAnsi"/>
                <w:sz w:val="20"/>
                <w:szCs w:val="20"/>
              </w:rPr>
              <w:t>,</w:t>
            </w:r>
            <w:r w:rsidRPr="00E50CFC">
              <w:rPr>
                <w:rFonts w:asciiTheme="majorHAnsi" w:hAnsiTheme="majorHAnsi" w:cstheme="majorHAnsi"/>
                <w:sz w:val="20"/>
                <w:szCs w:val="20"/>
              </w:rPr>
              <w:t>461</w:t>
            </w:r>
          </w:p>
        </w:tc>
        <w:tc>
          <w:tcPr>
            <w:tcW w:w="1666" w:type="dxa"/>
            <w:tcBorders>
              <w:left w:val="nil"/>
              <w:right w:val="nil"/>
            </w:tcBorders>
          </w:tcPr>
          <w:p w14:paraId="07BAD487"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16800</w:t>
            </w:r>
          </w:p>
        </w:tc>
        <w:tc>
          <w:tcPr>
            <w:tcW w:w="1984" w:type="dxa"/>
            <w:tcBorders>
              <w:left w:val="nil"/>
              <w:right w:val="nil"/>
            </w:tcBorders>
          </w:tcPr>
          <w:p w14:paraId="2577E6F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16462</w:t>
            </w:r>
          </w:p>
        </w:tc>
      </w:tr>
      <w:tr w:rsidR="00244248" w:rsidRPr="00E50CFC" w14:paraId="17211398" w14:textId="77777777" w:rsidTr="00335B25">
        <w:trPr>
          <w:trHeight w:val="439"/>
        </w:trPr>
        <w:tc>
          <w:tcPr>
            <w:tcW w:w="2977" w:type="dxa"/>
            <w:tcBorders>
              <w:left w:val="nil"/>
              <w:bottom w:val="single" w:sz="4" w:space="0" w:color="ED7D31" w:themeColor="accent2"/>
              <w:right w:val="nil"/>
            </w:tcBorders>
            <w:vAlign w:val="bottom"/>
          </w:tcPr>
          <w:p w14:paraId="02ED7524"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b/>
                <w:bCs/>
                <w:sz w:val="20"/>
                <w:szCs w:val="20"/>
              </w:rPr>
              <w:t>Parity 0</w:t>
            </w:r>
          </w:p>
        </w:tc>
        <w:tc>
          <w:tcPr>
            <w:tcW w:w="1531" w:type="dxa"/>
            <w:tcBorders>
              <w:left w:val="nil"/>
              <w:bottom w:val="single" w:sz="4" w:space="0" w:color="ED7D31" w:themeColor="accent2"/>
              <w:right w:val="nil"/>
            </w:tcBorders>
          </w:tcPr>
          <w:p w14:paraId="6AB3A0F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0833417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3162FD8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3DA5A7B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1B34C9B7" w14:textId="77777777" w:rsidTr="00335B25">
        <w:tc>
          <w:tcPr>
            <w:tcW w:w="2977" w:type="dxa"/>
            <w:tcBorders>
              <w:top w:val="single" w:sz="4" w:space="0" w:color="ED7D31" w:themeColor="accent2"/>
              <w:left w:val="nil"/>
              <w:bottom w:val="nil"/>
              <w:right w:val="nil"/>
            </w:tcBorders>
          </w:tcPr>
          <w:p w14:paraId="6AF97373"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7ECEFCA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-0.474</w:t>
            </w:r>
          </w:p>
        </w:tc>
        <w:tc>
          <w:tcPr>
            <w:tcW w:w="1417" w:type="dxa"/>
            <w:tcBorders>
              <w:top w:val="single" w:sz="4" w:space="0" w:color="ED7D31" w:themeColor="accent2"/>
              <w:left w:val="nil"/>
              <w:bottom w:val="nil"/>
              <w:right w:val="nil"/>
            </w:tcBorders>
          </w:tcPr>
          <w:p w14:paraId="65C0B3C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-0.353</w:t>
            </w:r>
          </w:p>
        </w:tc>
        <w:tc>
          <w:tcPr>
            <w:tcW w:w="1666" w:type="dxa"/>
            <w:tcBorders>
              <w:top w:val="single" w:sz="4" w:space="0" w:color="ED7D31" w:themeColor="accent2"/>
              <w:left w:val="nil"/>
              <w:bottom w:val="nil"/>
              <w:right w:val="nil"/>
            </w:tcBorders>
          </w:tcPr>
          <w:p w14:paraId="2CBE541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0.709***</w:t>
            </w:r>
          </w:p>
        </w:tc>
        <w:tc>
          <w:tcPr>
            <w:tcW w:w="1984" w:type="dxa"/>
            <w:tcBorders>
              <w:top w:val="single" w:sz="4" w:space="0" w:color="ED7D31" w:themeColor="accent2"/>
              <w:left w:val="nil"/>
              <w:bottom w:val="nil"/>
              <w:right w:val="nil"/>
            </w:tcBorders>
          </w:tcPr>
          <w:p w14:paraId="1CAC5B3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0.664**</w:t>
            </w:r>
          </w:p>
        </w:tc>
      </w:tr>
      <w:tr w:rsidR="00244248" w:rsidRPr="00E50CFC" w14:paraId="70CA2269" w14:textId="77777777" w:rsidTr="00335B25">
        <w:tc>
          <w:tcPr>
            <w:tcW w:w="2977" w:type="dxa"/>
            <w:tcBorders>
              <w:top w:val="nil"/>
              <w:left w:val="nil"/>
              <w:right w:val="nil"/>
            </w:tcBorders>
          </w:tcPr>
          <w:p w14:paraId="532B3ECE"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right w:val="nil"/>
            </w:tcBorders>
          </w:tcPr>
          <w:p w14:paraId="3D15500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(0.339)</w:t>
            </w:r>
          </w:p>
        </w:tc>
        <w:tc>
          <w:tcPr>
            <w:tcW w:w="1417" w:type="dxa"/>
            <w:tcBorders>
              <w:top w:val="nil"/>
              <w:left w:val="nil"/>
              <w:right w:val="nil"/>
            </w:tcBorders>
          </w:tcPr>
          <w:p w14:paraId="75AD268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(0.349)</w:t>
            </w:r>
          </w:p>
        </w:tc>
        <w:tc>
          <w:tcPr>
            <w:tcW w:w="1666" w:type="dxa"/>
            <w:tcBorders>
              <w:top w:val="nil"/>
              <w:left w:val="nil"/>
              <w:right w:val="nil"/>
            </w:tcBorders>
          </w:tcPr>
          <w:p w14:paraId="0EAB725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(0.262)</w:t>
            </w:r>
          </w:p>
        </w:tc>
        <w:tc>
          <w:tcPr>
            <w:tcW w:w="1984" w:type="dxa"/>
            <w:tcBorders>
              <w:top w:val="nil"/>
              <w:left w:val="nil"/>
              <w:right w:val="nil"/>
            </w:tcBorders>
          </w:tcPr>
          <w:p w14:paraId="624E4C1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(0.270)</w:t>
            </w:r>
          </w:p>
        </w:tc>
      </w:tr>
      <w:tr w:rsidR="00244248" w:rsidRPr="00E50CFC" w14:paraId="4EC96483" w14:textId="77777777" w:rsidTr="00335B25">
        <w:tc>
          <w:tcPr>
            <w:tcW w:w="2977" w:type="dxa"/>
            <w:tcBorders>
              <w:top w:val="nil"/>
              <w:left w:val="nil"/>
              <w:right w:val="nil"/>
            </w:tcBorders>
          </w:tcPr>
          <w:p w14:paraId="1597135A"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top w:val="nil"/>
              <w:left w:val="nil"/>
              <w:right w:val="nil"/>
            </w:tcBorders>
          </w:tcPr>
          <w:p w14:paraId="5FCE2B4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10</w:t>
            </w:r>
            <w:r>
              <w:rPr>
                <w:rFonts w:asciiTheme="majorHAnsi" w:hAnsiTheme="majorHAnsi" w:cstheme="majorHAnsi"/>
                <w:sz w:val="20"/>
                <w:szCs w:val="20"/>
              </w:rPr>
              <w:t>,</w:t>
            </w:r>
            <w:r w:rsidRPr="00E50CFC">
              <w:rPr>
                <w:rFonts w:asciiTheme="majorHAnsi" w:hAnsiTheme="majorHAnsi" w:cstheme="majorHAnsi"/>
                <w:sz w:val="20"/>
                <w:szCs w:val="20"/>
              </w:rPr>
              <w:t>755</w:t>
            </w:r>
          </w:p>
        </w:tc>
        <w:tc>
          <w:tcPr>
            <w:tcW w:w="1417" w:type="dxa"/>
            <w:tcBorders>
              <w:top w:val="nil"/>
              <w:left w:val="nil"/>
              <w:right w:val="nil"/>
            </w:tcBorders>
          </w:tcPr>
          <w:p w14:paraId="035E220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10</w:t>
            </w:r>
            <w:r>
              <w:rPr>
                <w:rFonts w:asciiTheme="majorHAnsi" w:hAnsiTheme="majorHAnsi" w:cstheme="majorHAnsi"/>
                <w:sz w:val="20"/>
                <w:szCs w:val="20"/>
              </w:rPr>
              <w:t>,</w:t>
            </w:r>
            <w:r w:rsidRPr="00E50CFC">
              <w:rPr>
                <w:rFonts w:asciiTheme="majorHAnsi" w:hAnsiTheme="majorHAnsi" w:cstheme="majorHAnsi"/>
                <w:sz w:val="20"/>
                <w:szCs w:val="20"/>
              </w:rPr>
              <w:t>643</w:t>
            </w:r>
          </w:p>
        </w:tc>
        <w:tc>
          <w:tcPr>
            <w:tcW w:w="1666" w:type="dxa"/>
            <w:tcBorders>
              <w:top w:val="nil"/>
              <w:left w:val="nil"/>
              <w:right w:val="nil"/>
            </w:tcBorders>
          </w:tcPr>
          <w:p w14:paraId="4D4B151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10755</w:t>
            </w:r>
          </w:p>
        </w:tc>
        <w:tc>
          <w:tcPr>
            <w:tcW w:w="1984" w:type="dxa"/>
            <w:tcBorders>
              <w:top w:val="nil"/>
              <w:left w:val="nil"/>
              <w:right w:val="nil"/>
            </w:tcBorders>
          </w:tcPr>
          <w:p w14:paraId="547605C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10644</w:t>
            </w:r>
          </w:p>
        </w:tc>
      </w:tr>
      <w:tr w:rsidR="00244248" w:rsidRPr="00E50CFC" w14:paraId="080ABDAF" w14:textId="77777777" w:rsidTr="00335B25">
        <w:trPr>
          <w:trHeight w:val="457"/>
        </w:trPr>
        <w:tc>
          <w:tcPr>
            <w:tcW w:w="2977" w:type="dxa"/>
            <w:tcBorders>
              <w:left w:val="nil"/>
              <w:bottom w:val="single" w:sz="4" w:space="0" w:color="ED7D31" w:themeColor="accent2"/>
              <w:right w:val="nil"/>
            </w:tcBorders>
            <w:vAlign w:val="center"/>
          </w:tcPr>
          <w:p w14:paraId="1F21C3AB"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b/>
                <w:bCs/>
                <w:sz w:val="20"/>
                <w:szCs w:val="20"/>
              </w:rPr>
              <w:t>Parity 1</w:t>
            </w:r>
          </w:p>
        </w:tc>
        <w:tc>
          <w:tcPr>
            <w:tcW w:w="1531" w:type="dxa"/>
            <w:tcBorders>
              <w:left w:val="nil"/>
              <w:bottom w:val="single" w:sz="4" w:space="0" w:color="ED7D31" w:themeColor="accent2"/>
              <w:right w:val="nil"/>
            </w:tcBorders>
          </w:tcPr>
          <w:p w14:paraId="6D5C34E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0567AF6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75C108E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097FD49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758F79E5" w14:textId="77777777" w:rsidTr="00335B25">
        <w:tc>
          <w:tcPr>
            <w:tcW w:w="2977" w:type="dxa"/>
            <w:tcBorders>
              <w:top w:val="single" w:sz="4" w:space="0" w:color="ED7D31" w:themeColor="accent2"/>
              <w:left w:val="nil"/>
              <w:bottom w:val="nil"/>
              <w:right w:val="nil"/>
            </w:tcBorders>
          </w:tcPr>
          <w:p w14:paraId="1F1B917B"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7FA8EA4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-0.666</w:t>
            </w:r>
          </w:p>
        </w:tc>
        <w:tc>
          <w:tcPr>
            <w:tcW w:w="1417" w:type="dxa"/>
            <w:tcBorders>
              <w:top w:val="single" w:sz="4" w:space="0" w:color="ED7D31" w:themeColor="accent2"/>
              <w:left w:val="nil"/>
              <w:bottom w:val="nil"/>
              <w:right w:val="nil"/>
            </w:tcBorders>
          </w:tcPr>
          <w:p w14:paraId="0E30BAC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-0.666</w:t>
            </w:r>
          </w:p>
        </w:tc>
        <w:tc>
          <w:tcPr>
            <w:tcW w:w="1666" w:type="dxa"/>
            <w:tcBorders>
              <w:top w:val="single" w:sz="4" w:space="0" w:color="ED7D31" w:themeColor="accent2"/>
              <w:left w:val="nil"/>
              <w:bottom w:val="nil"/>
              <w:right w:val="nil"/>
            </w:tcBorders>
          </w:tcPr>
          <w:p w14:paraId="7E79357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0.760</w:t>
            </w:r>
          </w:p>
        </w:tc>
        <w:tc>
          <w:tcPr>
            <w:tcW w:w="1984" w:type="dxa"/>
            <w:tcBorders>
              <w:top w:val="single" w:sz="4" w:space="0" w:color="ED7D31" w:themeColor="accent2"/>
              <w:left w:val="nil"/>
              <w:bottom w:val="nil"/>
              <w:right w:val="nil"/>
            </w:tcBorders>
          </w:tcPr>
          <w:p w14:paraId="0B05B8C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0.833</w:t>
            </w:r>
          </w:p>
        </w:tc>
      </w:tr>
      <w:tr w:rsidR="00244248" w:rsidRPr="00E50CFC" w14:paraId="13700CDB" w14:textId="77777777" w:rsidTr="00335B25">
        <w:tc>
          <w:tcPr>
            <w:tcW w:w="2977" w:type="dxa"/>
            <w:tcBorders>
              <w:top w:val="nil"/>
              <w:left w:val="nil"/>
              <w:bottom w:val="nil"/>
              <w:right w:val="nil"/>
            </w:tcBorders>
          </w:tcPr>
          <w:p w14:paraId="1C4435D6"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7FD21F17"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(0.480)</w:t>
            </w:r>
          </w:p>
        </w:tc>
        <w:tc>
          <w:tcPr>
            <w:tcW w:w="1417" w:type="dxa"/>
            <w:tcBorders>
              <w:top w:val="nil"/>
              <w:left w:val="nil"/>
              <w:bottom w:val="nil"/>
              <w:right w:val="nil"/>
            </w:tcBorders>
          </w:tcPr>
          <w:p w14:paraId="3AFFB91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(0.480)</w:t>
            </w:r>
          </w:p>
        </w:tc>
        <w:tc>
          <w:tcPr>
            <w:tcW w:w="1666" w:type="dxa"/>
            <w:tcBorders>
              <w:top w:val="nil"/>
              <w:left w:val="nil"/>
              <w:bottom w:val="nil"/>
              <w:right w:val="nil"/>
            </w:tcBorders>
          </w:tcPr>
          <w:p w14:paraId="7F6C1AB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(0.828)</w:t>
            </w:r>
          </w:p>
        </w:tc>
        <w:tc>
          <w:tcPr>
            <w:tcW w:w="1984" w:type="dxa"/>
            <w:tcBorders>
              <w:top w:val="nil"/>
              <w:left w:val="nil"/>
              <w:bottom w:val="nil"/>
              <w:right w:val="nil"/>
            </w:tcBorders>
          </w:tcPr>
          <w:p w14:paraId="7148DDC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(0.768)</w:t>
            </w:r>
          </w:p>
        </w:tc>
      </w:tr>
      <w:tr w:rsidR="00244248" w:rsidRPr="00E50CFC" w14:paraId="24CFFCA8" w14:textId="77777777" w:rsidTr="00335B25">
        <w:tc>
          <w:tcPr>
            <w:tcW w:w="2977" w:type="dxa"/>
            <w:tcBorders>
              <w:top w:val="nil"/>
              <w:left w:val="nil"/>
              <w:bottom w:val="nil"/>
              <w:right w:val="nil"/>
            </w:tcBorders>
          </w:tcPr>
          <w:p w14:paraId="4CA9FC02"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top w:val="nil"/>
              <w:left w:val="nil"/>
              <w:bottom w:val="nil"/>
              <w:right w:val="nil"/>
            </w:tcBorders>
          </w:tcPr>
          <w:p w14:paraId="3035B96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w:t>
            </w:r>
            <w:r>
              <w:rPr>
                <w:rFonts w:asciiTheme="majorHAnsi" w:hAnsiTheme="majorHAnsi" w:cstheme="majorHAnsi"/>
                <w:sz w:val="20"/>
                <w:szCs w:val="20"/>
              </w:rPr>
              <w:t>,</w:t>
            </w:r>
            <w:r w:rsidRPr="00E50CFC">
              <w:rPr>
                <w:rFonts w:asciiTheme="majorHAnsi" w:hAnsiTheme="majorHAnsi" w:cstheme="majorHAnsi"/>
                <w:sz w:val="20"/>
                <w:szCs w:val="20"/>
              </w:rPr>
              <w:t>677</w:t>
            </w:r>
          </w:p>
        </w:tc>
        <w:tc>
          <w:tcPr>
            <w:tcW w:w="1417" w:type="dxa"/>
            <w:tcBorders>
              <w:top w:val="nil"/>
              <w:left w:val="nil"/>
              <w:bottom w:val="nil"/>
              <w:right w:val="nil"/>
            </w:tcBorders>
          </w:tcPr>
          <w:p w14:paraId="1815CA9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w:t>
            </w:r>
            <w:r>
              <w:rPr>
                <w:rFonts w:asciiTheme="majorHAnsi" w:hAnsiTheme="majorHAnsi" w:cstheme="majorHAnsi"/>
                <w:sz w:val="20"/>
                <w:szCs w:val="20"/>
              </w:rPr>
              <w:t>,</w:t>
            </w:r>
            <w:r w:rsidRPr="00E50CFC">
              <w:rPr>
                <w:rFonts w:asciiTheme="majorHAnsi" w:hAnsiTheme="majorHAnsi" w:cstheme="majorHAnsi"/>
                <w:sz w:val="20"/>
                <w:szCs w:val="20"/>
              </w:rPr>
              <w:t>638</w:t>
            </w:r>
          </w:p>
        </w:tc>
        <w:tc>
          <w:tcPr>
            <w:tcW w:w="1666" w:type="dxa"/>
            <w:tcBorders>
              <w:top w:val="nil"/>
              <w:left w:val="nil"/>
              <w:bottom w:val="nil"/>
              <w:right w:val="nil"/>
            </w:tcBorders>
          </w:tcPr>
          <w:p w14:paraId="170971C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w:t>
            </w:r>
            <w:r>
              <w:rPr>
                <w:rFonts w:asciiTheme="majorHAnsi" w:hAnsiTheme="majorHAnsi" w:cstheme="majorHAnsi"/>
                <w:sz w:val="20"/>
                <w:szCs w:val="20"/>
              </w:rPr>
              <w:t>,</w:t>
            </w:r>
            <w:r w:rsidRPr="00E50CFC">
              <w:rPr>
                <w:rFonts w:asciiTheme="majorHAnsi" w:hAnsiTheme="majorHAnsi" w:cstheme="majorHAnsi"/>
                <w:sz w:val="20"/>
                <w:szCs w:val="20"/>
              </w:rPr>
              <w:t>677</w:t>
            </w:r>
          </w:p>
        </w:tc>
        <w:tc>
          <w:tcPr>
            <w:tcW w:w="1984" w:type="dxa"/>
            <w:tcBorders>
              <w:top w:val="nil"/>
              <w:left w:val="nil"/>
              <w:bottom w:val="nil"/>
              <w:right w:val="nil"/>
            </w:tcBorders>
          </w:tcPr>
          <w:p w14:paraId="605E82E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w:t>
            </w:r>
            <w:r>
              <w:rPr>
                <w:rFonts w:asciiTheme="majorHAnsi" w:hAnsiTheme="majorHAnsi" w:cstheme="majorHAnsi"/>
                <w:sz w:val="20"/>
                <w:szCs w:val="20"/>
              </w:rPr>
              <w:t>,</w:t>
            </w:r>
            <w:r w:rsidRPr="00E50CFC">
              <w:rPr>
                <w:rFonts w:asciiTheme="majorHAnsi" w:hAnsiTheme="majorHAnsi" w:cstheme="majorHAnsi"/>
                <w:sz w:val="20"/>
                <w:szCs w:val="20"/>
              </w:rPr>
              <w:t>638</w:t>
            </w:r>
          </w:p>
        </w:tc>
      </w:tr>
      <w:tr w:rsidR="00244248" w:rsidRPr="00E50CFC" w14:paraId="13DC9677" w14:textId="77777777" w:rsidTr="00335B25">
        <w:trPr>
          <w:trHeight w:val="385"/>
        </w:trPr>
        <w:tc>
          <w:tcPr>
            <w:tcW w:w="9575" w:type="dxa"/>
            <w:gridSpan w:val="5"/>
            <w:tcBorders>
              <w:left w:val="nil"/>
              <w:right w:val="nil"/>
            </w:tcBorders>
            <w:vAlign w:val="bottom"/>
          </w:tcPr>
          <w:p w14:paraId="5A1C89BA"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r w:rsidRPr="00E50CFC">
              <w:rPr>
                <w:rFonts w:asciiTheme="majorHAnsi" w:hAnsiTheme="majorHAnsi" w:cstheme="majorHAnsi"/>
                <w:b/>
                <w:bCs/>
                <w:sz w:val="20"/>
                <w:szCs w:val="20"/>
              </w:rPr>
              <w:t>Childbearing expectations</w:t>
            </w:r>
          </w:p>
        </w:tc>
      </w:tr>
      <w:tr w:rsidR="00244248" w:rsidRPr="00E50CFC" w14:paraId="70A2A214" w14:textId="77777777" w:rsidTr="00335B25">
        <w:trPr>
          <w:trHeight w:val="283"/>
        </w:trPr>
        <w:tc>
          <w:tcPr>
            <w:tcW w:w="2977" w:type="dxa"/>
            <w:tcBorders>
              <w:left w:val="nil"/>
              <w:bottom w:val="single" w:sz="4" w:space="0" w:color="ED7D31" w:themeColor="accent2"/>
              <w:right w:val="nil"/>
            </w:tcBorders>
            <w:vAlign w:val="center"/>
          </w:tcPr>
          <w:p w14:paraId="10850A4E"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b/>
                <w:bCs/>
                <w:sz w:val="20"/>
                <w:szCs w:val="20"/>
              </w:rPr>
              <w:t>All parities</w:t>
            </w:r>
          </w:p>
        </w:tc>
        <w:tc>
          <w:tcPr>
            <w:tcW w:w="1531" w:type="dxa"/>
            <w:tcBorders>
              <w:left w:val="nil"/>
              <w:bottom w:val="single" w:sz="4" w:space="0" w:color="ED7D31" w:themeColor="accent2"/>
              <w:right w:val="nil"/>
            </w:tcBorders>
          </w:tcPr>
          <w:p w14:paraId="5AE91937"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left w:val="nil"/>
              <w:bottom w:val="single" w:sz="4" w:space="0" w:color="ED7D31" w:themeColor="accent2"/>
              <w:right w:val="nil"/>
            </w:tcBorders>
          </w:tcPr>
          <w:p w14:paraId="3B794CB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3781CED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09E9FD2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E50CFC" w14:paraId="29CF011D" w14:textId="77777777" w:rsidTr="00335B25">
        <w:tc>
          <w:tcPr>
            <w:tcW w:w="2977" w:type="dxa"/>
            <w:tcBorders>
              <w:top w:val="single" w:sz="4" w:space="0" w:color="ED7D31" w:themeColor="accent2"/>
              <w:left w:val="nil"/>
              <w:bottom w:val="nil"/>
              <w:right w:val="nil"/>
            </w:tcBorders>
          </w:tcPr>
          <w:p w14:paraId="2A30C756"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2C5C01A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-0.125</w:t>
            </w:r>
          </w:p>
        </w:tc>
        <w:tc>
          <w:tcPr>
            <w:tcW w:w="1417" w:type="dxa"/>
            <w:tcBorders>
              <w:top w:val="single" w:sz="4" w:space="0" w:color="ED7D31" w:themeColor="accent2"/>
              <w:left w:val="nil"/>
              <w:bottom w:val="nil"/>
              <w:right w:val="nil"/>
            </w:tcBorders>
          </w:tcPr>
          <w:p w14:paraId="60B7AA6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-0.081</w:t>
            </w:r>
          </w:p>
        </w:tc>
        <w:tc>
          <w:tcPr>
            <w:tcW w:w="1666" w:type="dxa"/>
            <w:tcBorders>
              <w:top w:val="single" w:sz="4" w:space="0" w:color="ED7D31" w:themeColor="accent2"/>
              <w:left w:val="nil"/>
              <w:bottom w:val="nil"/>
              <w:right w:val="nil"/>
            </w:tcBorders>
          </w:tcPr>
          <w:p w14:paraId="0111D3C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0.253**</w:t>
            </w:r>
          </w:p>
        </w:tc>
        <w:tc>
          <w:tcPr>
            <w:tcW w:w="1984" w:type="dxa"/>
            <w:tcBorders>
              <w:top w:val="single" w:sz="4" w:space="0" w:color="ED7D31" w:themeColor="accent2"/>
              <w:left w:val="nil"/>
              <w:bottom w:val="nil"/>
              <w:right w:val="nil"/>
            </w:tcBorders>
          </w:tcPr>
          <w:p w14:paraId="23F5DA9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0.180</w:t>
            </w:r>
          </w:p>
        </w:tc>
      </w:tr>
      <w:tr w:rsidR="00244248" w:rsidRPr="00E50CFC" w14:paraId="40748D1E" w14:textId="77777777" w:rsidTr="00335B25">
        <w:tc>
          <w:tcPr>
            <w:tcW w:w="2977" w:type="dxa"/>
            <w:tcBorders>
              <w:top w:val="nil"/>
              <w:left w:val="nil"/>
              <w:right w:val="nil"/>
            </w:tcBorders>
          </w:tcPr>
          <w:p w14:paraId="056A6DFF"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right w:val="nil"/>
            </w:tcBorders>
          </w:tcPr>
          <w:p w14:paraId="5F0A912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(0.107)</w:t>
            </w:r>
          </w:p>
        </w:tc>
        <w:tc>
          <w:tcPr>
            <w:tcW w:w="1417" w:type="dxa"/>
            <w:tcBorders>
              <w:top w:val="nil"/>
              <w:left w:val="nil"/>
              <w:right w:val="nil"/>
            </w:tcBorders>
          </w:tcPr>
          <w:p w14:paraId="336FB8F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(0.106)</w:t>
            </w:r>
          </w:p>
        </w:tc>
        <w:tc>
          <w:tcPr>
            <w:tcW w:w="1666" w:type="dxa"/>
            <w:tcBorders>
              <w:top w:val="nil"/>
              <w:left w:val="nil"/>
              <w:right w:val="nil"/>
            </w:tcBorders>
          </w:tcPr>
          <w:p w14:paraId="6017761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(0.111)</w:t>
            </w:r>
          </w:p>
        </w:tc>
        <w:tc>
          <w:tcPr>
            <w:tcW w:w="1984" w:type="dxa"/>
            <w:tcBorders>
              <w:top w:val="nil"/>
              <w:left w:val="nil"/>
              <w:right w:val="nil"/>
            </w:tcBorders>
          </w:tcPr>
          <w:p w14:paraId="7F1AC13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(0.115)</w:t>
            </w:r>
          </w:p>
        </w:tc>
      </w:tr>
      <w:tr w:rsidR="00244248" w:rsidRPr="00E50CFC" w14:paraId="21595C4C" w14:textId="77777777" w:rsidTr="00335B25">
        <w:tc>
          <w:tcPr>
            <w:tcW w:w="2977" w:type="dxa"/>
            <w:tcBorders>
              <w:top w:val="nil"/>
              <w:left w:val="nil"/>
              <w:right w:val="nil"/>
            </w:tcBorders>
          </w:tcPr>
          <w:p w14:paraId="52567BDC"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top w:val="nil"/>
              <w:left w:val="nil"/>
              <w:right w:val="nil"/>
            </w:tcBorders>
          </w:tcPr>
          <w:p w14:paraId="5ADA771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w:t>
            </w:r>
            <w:r>
              <w:rPr>
                <w:rFonts w:asciiTheme="majorHAnsi" w:hAnsiTheme="majorHAnsi" w:cstheme="majorHAnsi"/>
                <w:sz w:val="20"/>
                <w:szCs w:val="20"/>
              </w:rPr>
              <w:t>,</w:t>
            </w:r>
            <w:r w:rsidRPr="00E50CFC">
              <w:rPr>
                <w:rFonts w:asciiTheme="majorHAnsi" w:hAnsiTheme="majorHAnsi" w:cstheme="majorHAnsi"/>
                <w:sz w:val="20"/>
                <w:szCs w:val="20"/>
              </w:rPr>
              <w:t>774</w:t>
            </w:r>
          </w:p>
        </w:tc>
        <w:tc>
          <w:tcPr>
            <w:tcW w:w="1417" w:type="dxa"/>
            <w:tcBorders>
              <w:top w:val="nil"/>
              <w:left w:val="nil"/>
              <w:right w:val="nil"/>
            </w:tcBorders>
          </w:tcPr>
          <w:p w14:paraId="0A17BB3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w:t>
            </w:r>
            <w:r>
              <w:rPr>
                <w:rFonts w:asciiTheme="majorHAnsi" w:hAnsiTheme="majorHAnsi" w:cstheme="majorHAnsi"/>
                <w:sz w:val="20"/>
                <w:szCs w:val="20"/>
              </w:rPr>
              <w:t>,</w:t>
            </w:r>
            <w:r w:rsidRPr="00E50CFC">
              <w:rPr>
                <w:rFonts w:asciiTheme="majorHAnsi" w:hAnsiTheme="majorHAnsi" w:cstheme="majorHAnsi"/>
                <w:sz w:val="20"/>
                <w:szCs w:val="20"/>
              </w:rPr>
              <w:t>435</w:t>
            </w:r>
          </w:p>
        </w:tc>
        <w:tc>
          <w:tcPr>
            <w:tcW w:w="1666" w:type="dxa"/>
            <w:tcBorders>
              <w:top w:val="nil"/>
              <w:left w:val="nil"/>
              <w:right w:val="nil"/>
            </w:tcBorders>
          </w:tcPr>
          <w:p w14:paraId="4B75411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w:t>
            </w:r>
            <w:r>
              <w:rPr>
                <w:rFonts w:asciiTheme="majorHAnsi" w:hAnsiTheme="majorHAnsi" w:cstheme="majorHAnsi"/>
                <w:sz w:val="20"/>
                <w:szCs w:val="20"/>
              </w:rPr>
              <w:t>,</w:t>
            </w:r>
            <w:r w:rsidRPr="00E50CFC">
              <w:rPr>
                <w:rFonts w:asciiTheme="majorHAnsi" w:hAnsiTheme="majorHAnsi" w:cstheme="majorHAnsi"/>
                <w:sz w:val="20"/>
                <w:szCs w:val="20"/>
              </w:rPr>
              <w:t>774</w:t>
            </w:r>
          </w:p>
        </w:tc>
        <w:tc>
          <w:tcPr>
            <w:tcW w:w="1984" w:type="dxa"/>
            <w:tcBorders>
              <w:top w:val="nil"/>
              <w:left w:val="nil"/>
              <w:right w:val="nil"/>
            </w:tcBorders>
          </w:tcPr>
          <w:p w14:paraId="6C4EAD4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w:t>
            </w:r>
            <w:r>
              <w:rPr>
                <w:rFonts w:asciiTheme="majorHAnsi" w:hAnsiTheme="majorHAnsi" w:cstheme="majorHAnsi"/>
                <w:sz w:val="20"/>
                <w:szCs w:val="20"/>
              </w:rPr>
              <w:t>,</w:t>
            </w:r>
            <w:r w:rsidRPr="00E50CFC">
              <w:rPr>
                <w:rFonts w:asciiTheme="majorHAnsi" w:hAnsiTheme="majorHAnsi" w:cstheme="majorHAnsi"/>
                <w:sz w:val="20"/>
                <w:szCs w:val="20"/>
              </w:rPr>
              <w:t>436</w:t>
            </w:r>
          </w:p>
        </w:tc>
      </w:tr>
      <w:tr w:rsidR="00244248" w:rsidRPr="00E50CFC" w14:paraId="37C8803E" w14:textId="77777777" w:rsidTr="00335B25">
        <w:tc>
          <w:tcPr>
            <w:tcW w:w="2977" w:type="dxa"/>
            <w:tcBorders>
              <w:top w:val="nil"/>
              <w:left w:val="nil"/>
              <w:bottom w:val="single" w:sz="4" w:space="0" w:color="ED7D31" w:themeColor="accent2"/>
              <w:right w:val="nil"/>
            </w:tcBorders>
            <w:vAlign w:val="bottom"/>
          </w:tcPr>
          <w:p w14:paraId="7C36A6BF"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b/>
                <w:bCs/>
                <w:sz w:val="20"/>
                <w:szCs w:val="20"/>
              </w:rPr>
              <w:t>Parity 0</w:t>
            </w:r>
          </w:p>
        </w:tc>
        <w:tc>
          <w:tcPr>
            <w:tcW w:w="1531" w:type="dxa"/>
            <w:tcBorders>
              <w:top w:val="nil"/>
              <w:left w:val="nil"/>
              <w:bottom w:val="single" w:sz="4" w:space="0" w:color="ED7D31" w:themeColor="accent2"/>
              <w:right w:val="nil"/>
            </w:tcBorders>
          </w:tcPr>
          <w:p w14:paraId="57A7F71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61BF9B4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0EB3DB4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24F0751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73E2D380" w14:textId="77777777" w:rsidTr="00335B25">
        <w:tc>
          <w:tcPr>
            <w:tcW w:w="2977" w:type="dxa"/>
            <w:tcBorders>
              <w:top w:val="single" w:sz="4" w:space="0" w:color="ED7D31" w:themeColor="accent2"/>
              <w:left w:val="nil"/>
              <w:right w:val="nil"/>
            </w:tcBorders>
          </w:tcPr>
          <w:p w14:paraId="21ECADA8"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0FCEC56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-0.357</w:t>
            </w:r>
          </w:p>
        </w:tc>
        <w:tc>
          <w:tcPr>
            <w:tcW w:w="1417" w:type="dxa"/>
            <w:tcBorders>
              <w:top w:val="single" w:sz="4" w:space="0" w:color="ED7D31" w:themeColor="accent2"/>
              <w:left w:val="nil"/>
              <w:right w:val="nil"/>
            </w:tcBorders>
          </w:tcPr>
          <w:p w14:paraId="0A788D57"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-0.238</w:t>
            </w:r>
          </w:p>
        </w:tc>
        <w:tc>
          <w:tcPr>
            <w:tcW w:w="1666" w:type="dxa"/>
            <w:tcBorders>
              <w:top w:val="single" w:sz="4" w:space="0" w:color="ED7D31" w:themeColor="accent2"/>
              <w:left w:val="nil"/>
              <w:right w:val="nil"/>
            </w:tcBorders>
          </w:tcPr>
          <w:p w14:paraId="4DD2F28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0.314</w:t>
            </w:r>
          </w:p>
        </w:tc>
        <w:tc>
          <w:tcPr>
            <w:tcW w:w="1984" w:type="dxa"/>
            <w:tcBorders>
              <w:top w:val="single" w:sz="4" w:space="0" w:color="ED7D31" w:themeColor="accent2"/>
              <w:left w:val="nil"/>
              <w:right w:val="nil"/>
            </w:tcBorders>
          </w:tcPr>
          <w:p w14:paraId="30B03B6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0.282</w:t>
            </w:r>
          </w:p>
        </w:tc>
      </w:tr>
      <w:tr w:rsidR="00244248" w:rsidRPr="00E50CFC" w14:paraId="0538E682" w14:textId="77777777" w:rsidTr="00335B25">
        <w:tc>
          <w:tcPr>
            <w:tcW w:w="2977" w:type="dxa"/>
            <w:tcBorders>
              <w:top w:val="nil"/>
              <w:left w:val="nil"/>
              <w:right w:val="nil"/>
            </w:tcBorders>
          </w:tcPr>
          <w:p w14:paraId="5FD8B87B"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right w:val="nil"/>
            </w:tcBorders>
          </w:tcPr>
          <w:p w14:paraId="182A1E9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(0.249)</w:t>
            </w:r>
          </w:p>
        </w:tc>
        <w:tc>
          <w:tcPr>
            <w:tcW w:w="1417" w:type="dxa"/>
            <w:tcBorders>
              <w:top w:val="nil"/>
              <w:left w:val="nil"/>
              <w:right w:val="nil"/>
            </w:tcBorders>
          </w:tcPr>
          <w:p w14:paraId="22E3C9B7"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(0.257)</w:t>
            </w:r>
          </w:p>
        </w:tc>
        <w:tc>
          <w:tcPr>
            <w:tcW w:w="1666" w:type="dxa"/>
            <w:tcBorders>
              <w:top w:val="nil"/>
              <w:left w:val="nil"/>
              <w:right w:val="nil"/>
            </w:tcBorders>
          </w:tcPr>
          <w:p w14:paraId="17BE42E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(0.218)</w:t>
            </w:r>
          </w:p>
        </w:tc>
        <w:tc>
          <w:tcPr>
            <w:tcW w:w="1984" w:type="dxa"/>
            <w:tcBorders>
              <w:top w:val="nil"/>
              <w:left w:val="nil"/>
              <w:right w:val="nil"/>
            </w:tcBorders>
          </w:tcPr>
          <w:p w14:paraId="791A68F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(0.218)</w:t>
            </w:r>
          </w:p>
        </w:tc>
      </w:tr>
      <w:tr w:rsidR="00244248" w:rsidRPr="00E50CFC" w14:paraId="17CF7670" w14:textId="77777777" w:rsidTr="00335B25">
        <w:tc>
          <w:tcPr>
            <w:tcW w:w="2977" w:type="dxa"/>
            <w:tcBorders>
              <w:top w:val="nil"/>
              <w:left w:val="nil"/>
              <w:right w:val="nil"/>
            </w:tcBorders>
          </w:tcPr>
          <w:p w14:paraId="72EFAD90"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top w:val="nil"/>
              <w:left w:val="nil"/>
              <w:right w:val="nil"/>
            </w:tcBorders>
          </w:tcPr>
          <w:p w14:paraId="6FE2712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10</w:t>
            </w:r>
            <w:r>
              <w:rPr>
                <w:rFonts w:asciiTheme="majorHAnsi" w:hAnsiTheme="majorHAnsi" w:cstheme="majorHAnsi"/>
                <w:sz w:val="20"/>
                <w:szCs w:val="20"/>
              </w:rPr>
              <w:t>,</w:t>
            </w:r>
            <w:r w:rsidRPr="00E50CFC">
              <w:rPr>
                <w:rFonts w:asciiTheme="majorHAnsi" w:hAnsiTheme="majorHAnsi" w:cstheme="majorHAnsi"/>
                <w:sz w:val="20"/>
                <w:szCs w:val="20"/>
              </w:rPr>
              <w:t>733</w:t>
            </w:r>
          </w:p>
        </w:tc>
        <w:tc>
          <w:tcPr>
            <w:tcW w:w="1417" w:type="dxa"/>
            <w:tcBorders>
              <w:top w:val="nil"/>
              <w:left w:val="nil"/>
              <w:right w:val="nil"/>
            </w:tcBorders>
          </w:tcPr>
          <w:p w14:paraId="5D1D0C4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10</w:t>
            </w:r>
            <w:r>
              <w:rPr>
                <w:rFonts w:asciiTheme="majorHAnsi" w:hAnsiTheme="majorHAnsi" w:cstheme="majorHAnsi"/>
                <w:sz w:val="20"/>
                <w:szCs w:val="20"/>
              </w:rPr>
              <w:t>,</w:t>
            </w:r>
            <w:r w:rsidRPr="00E50CFC">
              <w:rPr>
                <w:rFonts w:asciiTheme="majorHAnsi" w:hAnsiTheme="majorHAnsi" w:cstheme="majorHAnsi"/>
                <w:sz w:val="20"/>
                <w:szCs w:val="20"/>
              </w:rPr>
              <w:t>621</w:t>
            </w:r>
          </w:p>
        </w:tc>
        <w:tc>
          <w:tcPr>
            <w:tcW w:w="1666" w:type="dxa"/>
            <w:tcBorders>
              <w:top w:val="nil"/>
              <w:left w:val="nil"/>
              <w:right w:val="nil"/>
            </w:tcBorders>
          </w:tcPr>
          <w:p w14:paraId="3E6D423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10</w:t>
            </w:r>
            <w:r>
              <w:rPr>
                <w:rFonts w:asciiTheme="majorHAnsi" w:hAnsiTheme="majorHAnsi" w:cstheme="majorHAnsi"/>
                <w:sz w:val="20"/>
                <w:szCs w:val="20"/>
              </w:rPr>
              <w:t>,</w:t>
            </w:r>
            <w:r w:rsidRPr="00E50CFC">
              <w:rPr>
                <w:rFonts w:asciiTheme="majorHAnsi" w:hAnsiTheme="majorHAnsi" w:cstheme="majorHAnsi"/>
                <w:sz w:val="20"/>
                <w:szCs w:val="20"/>
              </w:rPr>
              <w:t>733</w:t>
            </w:r>
          </w:p>
        </w:tc>
        <w:tc>
          <w:tcPr>
            <w:tcW w:w="1984" w:type="dxa"/>
            <w:tcBorders>
              <w:top w:val="nil"/>
              <w:left w:val="nil"/>
              <w:right w:val="nil"/>
            </w:tcBorders>
          </w:tcPr>
          <w:p w14:paraId="0092B8F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10</w:t>
            </w:r>
            <w:r>
              <w:rPr>
                <w:rFonts w:asciiTheme="majorHAnsi" w:hAnsiTheme="majorHAnsi" w:cstheme="majorHAnsi"/>
                <w:sz w:val="20"/>
                <w:szCs w:val="20"/>
              </w:rPr>
              <w:t>,</w:t>
            </w:r>
            <w:r w:rsidRPr="00E50CFC">
              <w:rPr>
                <w:rFonts w:asciiTheme="majorHAnsi" w:hAnsiTheme="majorHAnsi" w:cstheme="majorHAnsi"/>
                <w:sz w:val="20"/>
                <w:szCs w:val="20"/>
              </w:rPr>
              <w:t>622</w:t>
            </w:r>
          </w:p>
        </w:tc>
      </w:tr>
      <w:tr w:rsidR="00244248" w:rsidRPr="00E50CFC" w14:paraId="6C5B1F03" w14:textId="77777777" w:rsidTr="00335B25">
        <w:tc>
          <w:tcPr>
            <w:tcW w:w="2977" w:type="dxa"/>
            <w:tcBorders>
              <w:top w:val="nil"/>
              <w:left w:val="nil"/>
              <w:bottom w:val="single" w:sz="4" w:space="0" w:color="ED7D31" w:themeColor="accent2"/>
              <w:right w:val="nil"/>
            </w:tcBorders>
            <w:vAlign w:val="center"/>
          </w:tcPr>
          <w:p w14:paraId="0CFF66D5"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b/>
                <w:bCs/>
                <w:sz w:val="20"/>
                <w:szCs w:val="20"/>
              </w:rPr>
              <w:t>Parity 1</w:t>
            </w:r>
          </w:p>
        </w:tc>
        <w:tc>
          <w:tcPr>
            <w:tcW w:w="1531" w:type="dxa"/>
            <w:tcBorders>
              <w:top w:val="nil"/>
              <w:left w:val="nil"/>
              <w:bottom w:val="single" w:sz="4" w:space="0" w:color="ED7D31" w:themeColor="accent2"/>
              <w:right w:val="nil"/>
            </w:tcBorders>
          </w:tcPr>
          <w:p w14:paraId="3D18A49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756E7D8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2AD23ED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5EC2A5A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2F123501" w14:textId="77777777" w:rsidTr="00335B25">
        <w:tc>
          <w:tcPr>
            <w:tcW w:w="2977" w:type="dxa"/>
            <w:tcBorders>
              <w:top w:val="single" w:sz="4" w:space="0" w:color="ED7D31" w:themeColor="accent2"/>
              <w:left w:val="nil"/>
              <w:right w:val="nil"/>
            </w:tcBorders>
          </w:tcPr>
          <w:p w14:paraId="7EC19A44"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64481D5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-0.194</w:t>
            </w:r>
          </w:p>
        </w:tc>
        <w:tc>
          <w:tcPr>
            <w:tcW w:w="1417" w:type="dxa"/>
            <w:tcBorders>
              <w:top w:val="single" w:sz="4" w:space="0" w:color="ED7D31" w:themeColor="accent2"/>
              <w:left w:val="nil"/>
              <w:right w:val="nil"/>
            </w:tcBorders>
          </w:tcPr>
          <w:p w14:paraId="3D9B399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-0.314</w:t>
            </w:r>
          </w:p>
        </w:tc>
        <w:tc>
          <w:tcPr>
            <w:tcW w:w="1666" w:type="dxa"/>
            <w:tcBorders>
              <w:top w:val="single" w:sz="4" w:space="0" w:color="ED7D31" w:themeColor="accent2"/>
              <w:left w:val="nil"/>
              <w:right w:val="nil"/>
            </w:tcBorders>
          </w:tcPr>
          <w:p w14:paraId="06FD80F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0.226</w:t>
            </w:r>
          </w:p>
        </w:tc>
        <w:tc>
          <w:tcPr>
            <w:tcW w:w="1984" w:type="dxa"/>
            <w:tcBorders>
              <w:top w:val="single" w:sz="4" w:space="0" w:color="ED7D31" w:themeColor="accent2"/>
              <w:left w:val="nil"/>
              <w:right w:val="nil"/>
            </w:tcBorders>
          </w:tcPr>
          <w:p w14:paraId="464A650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0.487</w:t>
            </w:r>
          </w:p>
        </w:tc>
      </w:tr>
      <w:tr w:rsidR="00244248" w:rsidRPr="00E50CFC" w14:paraId="581FE603" w14:textId="77777777" w:rsidTr="00335B25">
        <w:tc>
          <w:tcPr>
            <w:tcW w:w="2977" w:type="dxa"/>
            <w:tcBorders>
              <w:top w:val="nil"/>
              <w:left w:val="nil"/>
              <w:right w:val="nil"/>
            </w:tcBorders>
          </w:tcPr>
          <w:p w14:paraId="68882613"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right w:val="nil"/>
            </w:tcBorders>
          </w:tcPr>
          <w:p w14:paraId="4A29A86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(0.409)</w:t>
            </w:r>
          </w:p>
        </w:tc>
        <w:tc>
          <w:tcPr>
            <w:tcW w:w="1417" w:type="dxa"/>
            <w:tcBorders>
              <w:top w:val="nil"/>
              <w:left w:val="nil"/>
              <w:right w:val="nil"/>
            </w:tcBorders>
          </w:tcPr>
          <w:p w14:paraId="3B2D664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(0.402)</w:t>
            </w:r>
          </w:p>
        </w:tc>
        <w:tc>
          <w:tcPr>
            <w:tcW w:w="1666" w:type="dxa"/>
            <w:tcBorders>
              <w:top w:val="nil"/>
              <w:left w:val="nil"/>
              <w:right w:val="nil"/>
            </w:tcBorders>
          </w:tcPr>
          <w:p w14:paraId="57B9B837"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(0.491)</w:t>
            </w:r>
          </w:p>
        </w:tc>
        <w:tc>
          <w:tcPr>
            <w:tcW w:w="1984" w:type="dxa"/>
            <w:tcBorders>
              <w:top w:val="nil"/>
              <w:left w:val="nil"/>
              <w:right w:val="nil"/>
            </w:tcBorders>
          </w:tcPr>
          <w:p w14:paraId="0ADCEA9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(0.452)</w:t>
            </w:r>
          </w:p>
        </w:tc>
      </w:tr>
      <w:tr w:rsidR="00244248" w:rsidRPr="00E50CFC" w14:paraId="70C85F03" w14:textId="77777777" w:rsidTr="00335B25">
        <w:tc>
          <w:tcPr>
            <w:tcW w:w="2977" w:type="dxa"/>
            <w:tcBorders>
              <w:left w:val="nil"/>
              <w:bottom w:val="nil"/>
              <w:right w:val="nil"/>
            </w:tcBorders>
          </w:tcPr>
          <w:p w14:paraId="5AC7EE69"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left w:val="nil"/>
              <w:bottom w:val="nil"/>
              <w:right w:val="nil"/>
            </w:tcBorders>
          </w:tcPr>
          <w:p w14:paraId="43120C8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1675</w:t>
            </w:r>
          </w:p>
        </w:tc>
        <w:tc>
          <w:tcPr>
            <w:tcW w:w="1417" w:type="dxa"/>
            <w:tcBorders>
              <w:left w:val="nil"/>
              <w:bottom w:val="nil"/>
              <w:right w:val="nil"/>
            </w:tcBorders>
          </w:tcPr>
          <w:p w14:paraId="2676B35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1636</w:t>
            </w:r>
          </w:p>
        </w:tc>
        <w:tc>
          <w:tcPr>
            <w:tcW w:w="1666" w:type="dxa"/>
            <w:tcBorders>
              <w:left w:val="nil"/>
              <w:bottom w:val="nil"/>
              <w:right w:val="nil"/>
            </w:tcBorders>
          </w:tcPr>
          <w:p w14:paraId="32C9E6F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w:t>
            </w:r>
            <w:r>
              <w:rPr>
                <w:rFonts w:asciiTheme="majorHAnsi" w:hAnsiTheme="majorHAnsi" w:cstheme="majorHAnsi"/>
                <w:sz w:val="20"/>
                <w:szCs w:val="20"/>
              </w:rPr>
              <w:t>,</w:t>
            </w:r>
            <w:r w:rsidRPr="00E50CFC">
              <w:rPr>
                <w:rFonts w:asciiTheme="majorHAnsi" w:hAnsiTheme="majorHAnsi" w:cstheme="majorHAnsi"/>
                <w:sz w:val="20"/>
                <w:szCs w:val="20"/>
              </w:rPr>
              <w:t>675</w:t>
            </w:r>
          </w:p>
        </w:tc>
        <w:tc>
          <w:tcPr>
            <w:tcW w:w="1984" w:type="dxa"/>
            <w:tcBorders>
              <w:left w:val="nil"/>
              <w:bottom w:val="nil"/>
              <w:right w:val="nil"/>
            </w:tcBorders>
          </w:tcPr>
          <w:p w14:paraId="06AE88F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w:t>
            </w:r>
            <w:r>
              <w:rPr>
                <w:rFonts w:asciiTheme="majorHAnsi" w:hAnsiTheme="majorHAnsi" w:cstheme="majorHAnsi"/>
                <w:sz w:val="20"/>
                <w:szCs w:val="20"/>
              </w:rPr>
              <w:t>,</w:t>
            </w:r>
            <w:r w:rsidRPr="00E50CFC">
              <w:rPr>
                <w:rFonts w:asciiTheme="majorHAnsi" w:hAnsiTheme="majorHAnsi" w:cstheme="majorHAnsi"/>
                <w:sz w:val="20"/>
                <w:szCs w:val="20"/>
              </w:rPr>
              <w:t>636</w:t>
            </w:r>
          </w:p>
        </w:tc>
      </w:tr>
      <w:tr w:rsidR="00244248" w:rsidRPr="00E50CFC" w14:paraId="49D03503" w14:textId="77777777" w:rsidTr="00335B25">
        <w:tc>
          <w:tcPr>
            <w:tcW w:w="9575" w:type="dxa"/>
            <w:gridSpan w:val="5"/>
            <w:tcBorders>
              <w:top w:val="nil"/>
              <w:left w:val="nil"/>
              <w:bottom w:val="single" w:sz="4" w:space="0" w:color="ED7D31" w:themeColor="accent2"/>
              <w:right w:val="nil"/>
            </w:tcBorders>
            <w:vAlign w:val="center"/>
          </w:tcPr>
          <w:p w14:paraId="51F1F1A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r w:rsidRPr="00E50CFC">
              <w:rPr>
                <w:rFonts w:asciiTheme="majorHAnsi" w:hAnsiTheme="majorHAnsi" w:cstheme="majorHAnsi"/>
                <w:b/>
                <w:bCs/>
                <w:sz w:val="20"/>
                <w:szCs w:val="20"/>
              </w:rPr>
              <w:t>Additionally intended number of children</w:t>
            </w:r>
          </w:p>
        </w:tc>
      </w:tr>
      <w:tr w:rsidR="00244248" w:rsidRPr="00E50CFC" w14:paraId="3393657B" w14:textId="77777777" w:rsidTr="00335B25">
        <w:tc>
          <w:tcPr>
            <w:tcW w:w="2977" w:type="dxa"/>
            <w:tcBorders>
              <w:top w:val="nil"/>
              <w:left w:val="nil"/>
              <w:right w:val="nil"/>
            </w:tcBorders>
            <w:vAlign w:val="center"/>
          </w:tcPr>
          <w:p w14:paraId="538E8769"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b/>
                <w:bCs/>
                <w:sz w:val="20"/>
                <w:szCs w:val="20"/>
              </w:rPr>
              <w:t>All parities</w:t>
            </w:r>
          </w:p>
        </w:tc>
        <w:tc>
          <w:tcPr>
            <w:tcW w:w="1531" w:type="dxa"/>
            <w:tcBorders>
              <w:top w:val="nil"/>
              <w:left w:val="nil"/>
              <w:right w:val="nil"/>
            </w:tcBorders>
          </w:tcPr>
          <w:p w14:paraId="1DEDA06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right w:val="nil"/>
            </w:tcBorders>
          </w:tcPr>
          <w:p w14:paraId="402EB64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right w:val="nil"/>
            </w:tcBorders>
          </w:tcPr>
          <w:p w14:paraId="5B12AF9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right w:val="nil"/>
            </w:tcBorders>
          </w:tcPr>
          <w:p w14:paraId="76E7BEE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7B550120" w14:textId="77777777" w:rsidTr="00335B25">
        <w:tc>
          <w:tcPr>
            <w:tcW w:w="2977" w:type="dxa"/>
            <w:tcBorders>
              <w:top w:val="nil"/>
              <w:left w:val="nil"/>
              <w:right w:val="nil"/>
            </w:tcBorders>
          </w:tcPr>
          <w:p w14:paraId="38A8F720"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sz w:val="20"/>
                <w:szCs w:val="20"/>
              </w:rPr>
              <w:t>Coefficient</w:t>
            </w:r>
          </w:p>
        </w:tc>
        <w:tc>
          <w:tcPr>
            <w:tcW w:w="1531" w:type="dxa"/>
            <w:tcBorders>
              <w:top w:val="nil"/>
              <w:left w:val="nil"/>
              <w:right w:val="nil"/>
            </w:tcBorders>
          </w:tcPr>
          <w:p w14:paraId="451D5F7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0.046</w:t>
            </w:r>
          </w:p>
        </w:tc>
        <w:tc>
          <w:tcPr>
            <w:tcW w:w="1417" w:type="dxa"/>
            <w:tcBorders>
              <w:top w:val="nil"/>
              <w:left w:val="nil"/>
              <w:right w:val="nil"/>
            </w:tcBorders>
          </w:tcPr>
          <w:p w14:paraId="12E5289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0.052</w:t>
            </w:r>
          </w:p>
        </w:tc>
        <w:tc>
          <w:tcPr>
            <w:tcW w:w="1666" w:type="dxa"/>
            <w:tcBorders>
              <w:top w:val="nil"/>
              <w:left w:val="nil"/>
              <w:right w:val="nil"/>
            </w:tcBorders>
          </w:tcPr>
          <w:p w14:paraId="7C52C4BA"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-0.050</w:t>
            </w:r>
          </w:p>
        </w:tc>
        <w:tc>
          <w:tcPr>
            <w:tcW w:w="1984" w:type="dxa"/>
            <w:tcBorders>
              <w:top w:val="nil"/>
              <w:left w:val="nil"/>
              <w:right w:val="nil"/>
            </w:tcBorders>
          </w:tcPr>
          <w:p w14:paraId="0E52034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-0.049</w:t>
            </w:r>
          </w:p>
        </w:tc>
      </w:tr>
      <w:tr w:rsidR="00244248" w:rsidRPr="00E50CFC" w14:paraId="7AA3BA74" w14:textId="77777777" w:rsidTr="00335B25">
        <w:tc>
          <w:tcPr>
            <w:tcW w:w="2977" w:type="dxa"/>
            <w:tcBorders>
              <w:top w:val="nil"/>
              <w:left w:val="nil"/>
              <w:right w:val="nil"/>
            </w:tcBorders>
          </w:tcPr>
          <w:p w14:paraId="07192143"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right w:val="nil"/>
            </w:tcBorders>
          </w:tcPr>
          <w:p w14:paraId="6A1DCBE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(0.037)</w:t>
            </w:r>
          </w:p>
        </w:tc>
        <w:tc>
          <w:tcPr>
            <w:tcW w:w="1417" w:type="dxa"/>
            <w:tcBorders>
              <w:top w:val="nil"/>
              <w:left w:val="nil"/>
              <w:right w:val="nil"/>
            </w:tcBorders>
          </w:tcPr>
          <w:p w14:paraId="1424181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(0.037)</w:t>
            </w:r>
          </w:p>
        </w:tc>
        <w:tc>
          <w:tcPr>
            <w:tcW w:w="1666" w:type="dxa"/>
            <w:tcBorders>
              <w:top w:val="nil"/>
              <w:left w:val="nil"/>
              <w:right w:val="nil"/>
            </w:tcBorders>
          </w:tcPr>
          <w:p w14:paraId="47BDD70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(0.034)</w:t>
            </w:r>
          </w:p>
        </w:tc>
        <w:tc>
          <w:tcPr>
            <w:tcW w:w="1984" w:type="dxa"/>
            <w:tcBorders>
              <w:top w:val="nil"/>
              <w:left w:val="nil"/>
              <w:right w:val="nil"/>
            </w:tcBorders>
          </w:tcPr>
          <w:p w14:paraId="58EF97E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(0.034)</w:t>
            </w:r>
          </w:p>
        </w:tc>
      </w:tr>
      <w:tr w:rsidR="00244248" w:rsidRPr="00E50CFC" w14:paraId="689051A4" w14:textId="77777777" w:rsidTr="00335B25">
        <w:tc>
          <w:tcPr>
            <w:tcW w:w="2977" w:type="dxa"/>
            <w:tcBorders>
              <w:left w:val="nil"/>
              <w:right w:val="nil"/>
            </w:tcBorders>
          </w:tcPr>
          <w:p w14:paraId="7634FB29"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left w:val="nil"/>
              <w:right w:val="nil"/>
            </w:tcBorders>
          </w:tcPr>
          <w:p w14:paraId="69943A0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13649</w:t>
            </w:r>
          </w:p>
        </w:tc>
        <w:tc>
          <w:tcPr>
            <w:tcW w:w="1417" w:type="dxa"/>
            <w:tcBorders>
              <w:left w:val="nil"/>
              <w:right w:val="nil"/>
            </w:tcBorders>
          </w:tcPr>
          <w:p w14:paraId="7682C1D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13375</w:t>
            </w:r>
          </w:p>
        </w:tc>
        <w:tc>
          <w:tcPr>
            <w:tcW w:w="1666" w:type="dxa"/>
            <w:tcBorders>
              <w:left w:val="nil"/>
              <w:right w:val="nil"/>
            </w:tcBorders>
          </w:tcPr>
          <w:p w14:paraId="1152F76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13649</w:t>
            </w:r>
          </w:p>
        </w:tc>
        <w:tc>
          <w:tcPr>
            <w:tcW w:w="1984" w:type="dxa"/>
            <w:tcBorders>
              <w:left w:val="nil"/>
              <w:right w:val="nil"/>
            </w:tcBorders>
          </w:tcPr>
          <w:p w14:paraId="36EACB9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13375</w:t>
            </w:r>
          </w:p>
        </w:tc>
      </w:tr>
      <w:tr w:rsidR="00244248" w:rsidRPr="00E50CFC" w14:paraId="3453AC5A" w14:textId="77777777" w:rsidTr="00335B25">
        <w:tc>
          <w:tcPr>
            <w:tcW w:w="2977" w:type="dxa"/>
            <w:tcBorders>
              <w:top w:val="nil"/>
              <w:left w:val="nil"/>
              <w:bottom w:val="single" w:sz="4" w:space="0" w:color="ED7D31" w:themeColor="accent2"/>
              <w:right w:val="nil"/>
            </w:tcBorders>
            <w:vAlign w:val="bottom"/>
          </w:tcPr>
          <w:p w14:paraId="0398E3DD"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b/>
                <w:bCs/>
                <w:sz w:val="20"/>
                <w:szCs w:val="20"/>
              </w:rPr>
              <w:t>Parity 0</w:t>
            </w:r>
          </w:p>
        </w:tc>
        <w:tc>
          <w:tcPr>
            <w:tcW w:w="1531" w:type="dxa"/>
            <w:tcBorders>
              <w:top w:val="nil"/>
              <w:left w:val="nil"/>
              <w:bottom w:val="single" w:sz="4" w:space="0" w:color="ED7D31" w:themeColor="accent2"/>
              <w:right w:val="nil"/>
            </w:tcBorders>
          </w:tcPr>
          <w:p w14:paraId="1B6A3C4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5596281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7C8D913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5E09AD8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7FA9EBF1" w14:textId="77777777" w:rsidTr="00335B25">
        <w:tc>
          <w:tcPr>
            <w:tcW w:w="2977" w:type="dxa"/>
            <w:tcBorders>
              <w:top w:val="single" w:sz="4" w:space="0" w:color="ED7D31" w:themeColor="accent2"/>
              <w:left w:val="nil"/>
              <w:right w:val="nil"/>
            </w:tcBorders>
          </w:tcPr>
          <w:p w14:paraId="0907C008"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095EA36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-0.027</w:t>
            </w:r>
          </w:p>
        </w:tc>
        <w:tc>
          <w:tcPr>
            <w:tcW w:w="1417" w:type="dxa"/>
            <w:tcBorders>
              <w:top w:val="single" w:sz="4" w:space="0" w:color="ED7D31" w:themeColor="accent2"/>
              <w:left w:val="nil"/>
              <w:right w:val="nil"/>
            </w:tcBorders>
          </w:tcPr>
          <w:p w14:paraId="0EAED47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0.003</w:t>
            </w:r>
          </w:p>
        </w:tc>
        <w:tc>
          <w:tcPr>
            <w:tcW w:w="1666" w:type="dxa"/>
            <w:tcBorders>
              <w:top w:val="single" w:sz="4" w:space="0" w:color="ED7D31" w:themeColor="accent2"/>
              <w:left w:val="nil"/>
              <w:right w:val="nil"/>
            </w:tcBorders>
          </w:tcPr>
          <w:p w14:paraId="6418FE31"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-0.085*</w:t>
            </w:r>
          </w:p>
        </w:tc>
        <w:tc>
          <w:tcPr>
            <w:tcW w:w="1984" w:type="dxa"/>
            <w:tcBorders>
              <w:top w:val="single" w:sz="4" w:space="0" w:color="ED7D31" w:themeColor="accent2"/>
              <w:left w:val="nil"/>
              <w:right w:val="nil"/>
            </w:tcBorders>
          </w:tcPr>
          <w:p w14:paraId="2DDC836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-0.070*</w:t>
            </w:r>
          </w:p>
        </w:tc>
      </w:tr>
      <w:tr w:rsidR="00244248" w:rsidRPr="00E50CFC" w14:paraId="51D33578" w14:textId="77777777" w:rsidTr="00335B25">
        <w:tc>
          <w:tcPr>
            <w:tcW w:w="2977" w:type="dxa"/>
            <w:tcBorders>
              <w:top w:val="nil"/>
              <w:left w:val="nil"/>
              <w:right w:val="nil"/>
            </w:tcBorders>
          </w:tcPr>
          <w:p w14:paraId="34CD8179"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right w:val="nil"/>
            </w:tcBorders>
          </w:tcPr>
          <w:p w14:paraId="4AECE1C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(0.076)</w:t>
            </w:r>
          </w:p>
        </w:tc>
        <w:tc>
          <w:tcPr>
            <w:tcW w:w="1417" w:type="dxa"/>
            <w:tcBorders>
              <w:top w:val="nil"/>
              <w:left w:val="nil"/>
              <w:right w:val="nil"/>
            </w:tcBorders>
          </w:tcPr>
          <w:p w14:paraId="7C9ECC4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(0.077)</w:t>
            </w:r>
          </w:p>
        </w:tc>
        <w:tc>
          <w:tcPr>
            <w:tcW w:w="1666" w:type="dxa"/>
            <w:tcBorders>
              <w:top w:val="nil"/>
              <w:left w:val="nil"/>
              <w:right w:val="nil"/>
            </w:tcBorders>
          </w:tcPr>
          <w:p w14:paraId="730F03E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(0.049)</w:t>
            </w:r>
          </w:p>
        </w:tc>
        <w:tc>
          <w:tcPr>
            <w:tcW w:w="1984" w:type="dxa"/>
            <w:tcBorders>
              <w:top w:val="nil"/>
              <w:left w:val="nil"/>
              <w:right w:val="nil"/>
            </w:tcBorders>
          </w:tcPr>
          <w:p w14:paraId="22166FF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(0.041)</w:t>
            </w:r>
          </w:p>
        </w:tc>
      </w:tr>
      <w:tr w:rsidR="00244248" w:rsidRPr="00E50CFC" w14:paraId="1CE80053" w14:textId="77777777" w:rsidTr="00335B25">
        <w:tc>
          <w:tcPr>
            <w:tcW w:w="2977" w:type="dxa"/>
            <w:tcBorders>
              <w:top w:val="nil"/>
              <w:left w:val="nil"/>
              <w:right w:val="nil"/>
            </w:tcBorders>
          </w:tcPr>
          <w:p w14:paraId="2EB72066"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top w:val="nil"/>
              <w:left w:val="nil"/>
              <w:right w:val="nil"/>
            </w:tcBorders>
          </w:tcPr>
          <w:p w14:paraId="4262C0C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8764</w:t>
            </w:r>
          </w:p>
        </w:tc>
        <w:tc>
          <w:tcPr>
            <w:tcW w:w="1417" w:type="dxa"/>
            <w:tcBorders>
              <w:top w:val="nil"/>
              <w:left w:val="nil"/>
              <w:right w:val="nil"/>
            </w:tcBorders>
          </w:tcPr>
          <w:p w14:paraId="618B207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8674</w:t>
            </w:r>
          </w:p>
        </w:tc>
        <w:tc>
          <w:tcPr>
            <w:tcW w:w="1666" w:type="dxa"/>
            <w:tcBorders>
              <w:top w:val="nil"/>
              <w:left w:val="nil"/>
              <w:right w:val="nil"/>
            </w:tcBorders>
          </w:tcPr>
          <w:p w14:paraId="316A0EB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8764</w:t>
            </w:r>
          </w:p>
        </w:tc>
        <w:tc>
          <w:tcPr>
            <w:tcW w:w="1984" w:type="dxa"/>
            <w:tcBorders>
              <w:top w:val="nil"/>
              <w:left w:val="nil"/>
              <w:right w:val="nil"/>
            </w:tcBorders>
          </w:tcPr>
          <w:p w14:paraId="4CC42C6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8674</w:t>
            </w:r>
          </w:p>
        </w:tc>
      </w:tr>
      <w:tr w:rsidR="00244248" w:rsidRPr="00E50CFC" w14:paraId="777EDD96" w14:textId="77777777" w:rsidTr="00335B25">
        <w:tc>
          <w:tcPr>
            <w:tcW w:w="2977" w:type="dxa"/>
            <w:tcBorders>
              <w:top w:val="nil"/>
              <w:left w:val="nil"/>
              <w:bottom w:val="single" w:sz="4" w:space="0" w:color="ED7D31" w:themeColor="accent2"/>
              <w:right w:val="nil"/>
            </w:tcBorders>
            <w:vAlign w:val="center"/>
          </w:tcPr>
          <w:p w14:paraId="0B613DA2"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b/>
                <w:bCs/>
                <w:sz w:val="20"/>
                <w:szCs w:val="20"/>
              </w:rPr>
              <w:t>Parity 1</w:t>
            </w:r>
          </w:p>
        </w:tc>
        <w:tc>
          <w:tcPr>
            <w:tcW w:w="1531" w:type="dxa"/>
            <w:tcBorders>
              <w:top w:val="nil"/>
              <w:left w:val="nil"/>
              <w:bottom w:val="single" w:sz="4" w:space="0" w:color="ED7D31" w:themeColor="accent2"/>
              <w:right w:val="nil"/>
            </w:tcBorders>
          </w:tcPr>
          <w:p w14:paraId="2C861C4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2FF7EB5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550C6C1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589C192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1438B596" w14:textId="77777777" w:rsidTr="00335B25">
        <w:tc>
          <w:tcPr>
            <w:tcW w:w="2977" w:type="dxa"/>
            <w:tcBorders>
              <w:top w:val="single" w:sz="4" w:space="0" w:color="ED7D31" w:themeColor="accent2"/>
              <w:left w:val="nil"/>
              <w:right w:val="nil"/>
            </w:tcBorders>
          </w:tcPr>
          <w:p w14:paraId="5907C890"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1AA62CE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-0.121</w:t>
            </w:r>
          </w:p>
        </w:tc>
        <w:tc>
          <w:tcPr>
            <w:tcW w:w="1417" w:type="dxa"/>
            <w:tcBorders>
              <w:top w:val="single" w:sz="4" w:space="0" w:color="ED7D31" w:themeColor="accent2"/>
              <w:left w:val="nil"/>
              <w:right w:val="nil"/>
            </w:tcBorders>
          </w:tcPr>
          <w:p w14:paraId="7416808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-0.142</w:t>
            </w:r>
          </w:p>
        </w:tc>
        <w:tc>
          <w:tcPr>
            <w:tcW w:w="1666" w:type="dxa"/>
            <w:tcBorders>
              <w:top w:val="single" w:sz="4" w:space="0" w:color="ED7D31" w:themeColor="accent2"/>
              <w:left w:val="nil"/>
              <w:right w:val="nil"/>
            </w:tcBorders>
          </w:tcPr>
          <w:p w14:paraId="1E4D7B4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-0.011</w:t>
            </w:r>
          </w:p>
        </w:tc>
        <w:tc>
          <w:tcPr>
            <w:tcW w:w="1984" w:type="dxa"/>
            <w:tcBorders>
              <w:top w:val="single" w:sz="4" w:space="0" w:color="ED7D31" w:themeColor="accent2"/>
              <w:left w:val="nil"/>
              <w:right w:val="nil"/>
            </w:tcBorders>
          </w:tcPr>
          <w:p w14:paraId="1D7E601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-0.034</w:t>
            </w:r>
          </w:p>
        </w:tc>
      </w:tr>
      <w:tr w:rsidR="00244248" w:rsidRPr="00E50CFC" w14:paraId="40412E84" w14:textId="77777777" w:rsidTr="00335B25">
        <w:tc>
          <w:tcPr>
            <w:tcW w:w="2977" w:type="dxa"/>
            <w:tcBorders>
              <w:top w:val="nil"/>
              <w:left w:val="nil"/>
              <w:right w:val="nil"/>
            </w:tcBorders>
          </w:tcPr>
          <w:p w14:paraId="5E9AF88F"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 xml:space="preserve">Standard error </w:t>
            </w:r>
          </w:p>
        </w:tc>
        <w:tc>
          <w:tcPr>
            <w:tcW w:w="1531" w:type="dxa"/>
            <w:tcBorders>
              <w:top w:val="nil"/>
              <w:left w:val="nil"/>
              <w:right w:val="nil"/>
            </w:tcBorders>
          </w:tcPr>
          <w:p w14:paraId="7A3E613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(0.125)</w:t>
            </w:r>
          </w:p>
        </w:tc>
        <w:tc>
          <w:tcPr>
            <w:tcW w:w="1417" w:type="dxa"/>
            <w:tcBorders>
              <w:top w:val="nil"/>
              <w:left w:val="nil"/>
              <w:right w:val="nil"/>
            </w:tcBorders>
          </w:tcPr>
          <w:p w14:paraId="46243799"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(0.124)</w:t>
            </w:r>
          </w:p>
        </w:tc>
        <w:tc>
          <w:tcPr>
            <w:tcW w:w="1666" w:type="dxa"/>
            <w:tcBorders>
              <w:top w:val="nil"/>
              <w:left w:val="nil"/>
              <w:right w:val="nil"/>
            </w:tcBorders>
          </w:tcPr>
          <w:p w14:paraId="7675C07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(0.187)</w:t>
            </w:r>
          </w:p>
        </w:tc>
        <w:tc>
          <w:tcPr>
            <w:tcW w:w="1984" w:type="dxa"/>
            <w:tcBorders>
              <w:top w:val="nil"/>
              <w:left w:val="nil"/>
              <w:right w:val="nil"/>
            </w:tcBorders>
          </w:tcPr>
          <w:p w14:paraId="1E65BE45"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E50CFC">
              <w:rPr>
                <w:rFonts w:asciiTheme="majorHAnsi" w:hAnsiTheme="majorHAnsi" w:cstheme="majorHAnsi"/>
                <w:color w:val="808080" w:themeColor="background1" w:themeShade="80"/>
                <w:sz w:val="20"/>
                <w:szCs w:val="20"/>
              </w:rPr>
              <w:t>(0.191)</w:t>
            </w:r>
          </w:p>
        </w:tc>
      </w:tr>
      <w:tr w:rsidR="00244248" w:rsidRPr="00E50CFC" w14:paraId="7C41D3C0" w14:textId="77777777" w:rsidTr="00335B25">
        <w:tc>
          <w:tcPr>
            <w:tcW w:w="2977" w:type="dxa"/>
            <w:tcBorders>
              <w:top w:val="nil"/>
              <w:left w:val="nil"/>
              <w:right w:val="nil"/>
            </w:tcBorders>
          </w:tcPr>
          <w:p w14:paraId="1FA24271"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Observations</w:t>
            </w:r>
          </w:p>
        </w:tc>
        <w:tc>
          <w:tcPr>
            <w:tcW w:w="1531" w:type="dxa"/>
            <w:tcBorders>
              <w:top w:val="nil"/>
              <w:left w:val="nil"/>
              <w:right w:val="nil"/>
            </w:tcBorders>
          </w:tcPr>
          <w:p w14:paraId="2EDB9D47"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1221</w:t>
            </w:r>
          </w:p>
        </w:tc>
        <w:tc>
          <w:tcPr>
            <w:tcW w:w="1417" w:type="dxa"/>
            <w:tcBorders>
              <w:top w:val="nil"/>
              <w:left w:val="nil"/>
              <w:right w:val="nil"/>
            </w:tcBorders>
          </w:tcPr>
          <w:p w14:paraId="3A2D776C"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1190</w:t>
            </w:r>
          </w:p>
        </w:tc>
        <w:tc>
          <w:tcPr>
            <w:tcW w:w="1666" w:type="dxa"/>
            <w:tcBorders>
              <w:top w:val="nil"/>
              <w:left w:val="nil"/>
              <w:right w:val="nil"/>
            </w:tcBorders>
          </w:tcPr>
          <w:p w14:paraId="7D4B40C6"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1221</w:t>
            </w:r>
          </w:p>
        </w:tc>
        <w:tc>
          <w:tcPr>
            <w:tcW w:w="1984" w:type="dxa"/>
            <w:tcBorders>
              <w:top w:val="nil"/>
              <w:left w:val="nil"/>
              <w:right w:val="nil"/>
            </w:tcBorders>
          </w:tcPr>
          <w:p w14:paraId="4B00E44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1190</w:t>
            </w:r>
          </w:p>
        </w:tc>
      </w:tr>
      <w:tr w:rsidR="00244248" w:rsidRPr="00E50CFC" w14:paraId="06DF4C52" w14:textId="77777777" w:rsidTr="00335B25">
        <w:tc>
          <w:tcPr>
            <w:tcW w:w="2977" w:type="dxa"/>
            <w:tcBorders>
              <w:top w:val="nil"/>
              <w:left w:val="nil"/>
              <w:right w:val="nil"/>
            </w:tcBorders>
            <w:vAlign w:val="bottom"/>
          </w:tcPr>
          <w:p w14:paraId="04655ECB"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right w:val="nil"/>
            </w:tcBorders>
          </w:tcPr>
          <w:p w14:paraId="3FF256E8"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right w:val="nil"/>
            </w:tcBorders>
          </w:tcPr>
          <w:p w14:paraId="4EFCCEDB"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right w:val="nil"/>
            </w:tcBorders>
          </w:tcPr>
          <w:p w14:paraId="539899D3"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right w:val="nil"/>
            </w:tcBorders>
          </w:tcPr>
          <w:p w14:paraId="20520D9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0AE4D7D1" w14:textId="77777777" w:rsidTr="00335B25">
        <w:tc>
          <w:tcPr>
            <w:tcW w:w="2977" w:type="dxa"/>
            <w:tcBorders>
              <w:top w:val="nil"/>
              <w:left w:val="nil"/>
              <w:bottom w:val="single" w:sz="4" w:space="0" w:color="ED7D31" w:themeColor="accent2"/>
              <w:right w:val="nil"/>
            </w:tcBorders>
            <w:vAlign w:val="bottom"/>
          </w:tcPr>
          <w:p w14:paraId="3F7F94B2"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b/>
                <w:bCs/>
                <w:sz w:val="20"/>
                <w:szCs w:val="20"/>
              </w:rPr>
              <w:t>Model specifications</w:t>
            </w:r>
          </w:p>
        </w:tc>
        <w:tc>
          <w:tcPr>
            <w:tcW w:w="1531" w:type="dxa"/>
            <w:tcBorders>
              <w:top w:val="nil"/>
              <w:left w:val="nil"/>
              <w:bottom w:val="single" w:sz="4" w:space="0" w:color="ED7D31" w:themeColor="accent2"/>
              <w:right w:val="nil"/>
            </w:tcBorders>
          </w:tcPr>
          <w:p w14:paraId="1C783F4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4C1FDBEF"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7D453D8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645779B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E50CFC" w14:paraId="2A5DA623" w14:textId="77777777" w:rsidTr="00335B25">
        <w:tc>
          <w:tcPr>
            <w:tcW w:w="2977" w:type="dxa"/>
            <w:tcBorders>
              <w:top w:val="single" w:sz="4" w:space="0" w:color="ED7D31" w:themeColor="accent2"/>
              <w:left w:val="nil"/>
              <w:right w:val="nil"/>
            </w:tcBorders>
          </w:tcPr>
          <w:p w14:paraId="08383636"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E50CFC">
              <w:rPr>
                <w:rFonts w:asciiTheme="majorHAnsi" w:hAnsiTheme="majorHAnsi" w:cstheme="majorHAnsi"/>
                <w:sz w:val="20"/>
                <w:szCs w:val="20"/>
              </w:rPr>
              <w:t>Year and State Fixed Effects</w:t>
            </w:r>
          </w:p>
        </w:tc>
        <w:tc>
          <w:tcPr>
            <w:tcW w:w="1531" w:type="dxa"/>
            <w:tcBorders>
              <w:top w:val="single" w:sz="4" w:space="0" w:color="ED7D31" w:themeColor="accent2"/>
              <w:left w:val="nil"/>
              <w:right w:val="nil"/>
            </w:tcBorders>
          </w:tcPr>
          <w:p w14:paraId="6F845B7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c>
          <w:tcPr>
            <w:tcW w:w="1417" w:type="dxa"/>
            <w:tcBorders>
              <w:top w:val="single" w:sz="4" w:space="0" w:color="ED7D31" w:themeColor="accent2"/>
              <w:left w:val="nil"/>
              <w:right w:val="nil"/>
            </w:tcBorders>
          </w:tcPr>
          <w:p w14:paraId="43B566E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c>
          <w:tcPr>
            <w:tcW w:w="1666" w:type="dxa"/>
            <w:tcBorders>
              <w:top w:val="single" w:sz="4" w:space="0" w:color="ED7D31" w:themeColor="accent2"/>
              <w:left w:val="nil"/>
              <w:right w:val="nil"/>
            </w:tcBorders>
          </w:tcPr>
          <w:p w14:paraId="213A809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c>
          <w:tcPr>
            <w:tcW w:w="1984" w:type="dxa"/>
            <w:tcBorders>
              <w:top w:val="single" w:sz="4" w:space="0" w:color="ED7D31" w:themeColor="accent2"/>
              <w:left w:val="nil"/>
              <w:right w:val="nil"/>
            </w:tcBorders>
          </w:tcPr>
          <w:p w14:paraId="5C65042A"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r>
      <w:tr w:rsidR="00244248" w:rsidRPr="00E50CFC" w14:paraId="7972E68F" w14:textId="77777777" w:rsidTr="00335B25">
        <w:tc>
          <w:tcPr>
            <w:tcW w:w="2977" w:type="dxa"/>
            <w:tcBorders>
              <w:top w:val="nil"/>
              <w:left w:val="nil"/>
              <w:right w:val="nil"/>
            </w:tcBorders>
          </w:tcPr>
          <w:p w14:paraId="65BB4F40"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Time-varying Demographics</w:t>
            </w:r>
          </w:p>
        </w:tc>
        <w:tc>
          <w:tcPr>
            <w:tcW w:w="1531" w:type="dxa"/>
            <w:tcBorders>
              <w:top w:val="nil"/>
              <w:left w:val="nil"/>
              <w:right w:val="nil"/>
            </w:tcBorders>
          </w:tcPr>
          <w:p w14:paraId="5DDC2F7A"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No</w:t>
            </w:r>
          </w:p>
        </w:tc>
        <w:tc>
          <w:tcPr>
            <w:tcW w:w="1417" w:type="dxa"/>
            <w:tcBorders>
              <w:top w:val="nil"/>
              <w:left w:val="nil"/>
              <w:right w:val="nil"/>
            </w:tcBorders>
          </w:tcPr>
          <w:p w14:paraId="6316445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c>
          <w:tcPr>
            <w:tcW w:w="1666" w:type="dxa"/>
            <w:tcBorders>
              <w:top w:val="nil"/>
              <w:left w:val="nil"/>
              <w:right w:val="nil"/>
            </w:tcBorders>
          </w:tcPr>
          <w:p w14:paraId="6849BD5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No</w:t>
            </w:r>
          </w:p>
        </w:tc>
        <w:tc>
          <w:tcPr>
            <w:tcW w:w="1984" w:type="dxa"/>
            <w:tcBorders>
              <w:top w:val="nil"/>
              <w:left w:val="nil"/>
              <w:right w:val="nil"/>
            </w:tcBorders>
          </w:tcPr>
          <w:p w14:paraId="6FF086D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r>
      <w:tr w:rsidR="00244248" w:rsidRPr="00E50CFC" w14:paraId="465BE07B" w14:textId="77777777" w:rsidTr="00335B25">
        <w:tc>
          <w:tcPr>
            <w:tcW w:w="2977" w:type="dxa"/>
            <w:tcBorders>
              <w:top w:val="nil"/>
              <w:left w:val="nil"/>
              <w:right w:val="nil"/>
            </w:tcBorders>
          </w:tcPr>
          <w:p w14:paraId="4803FC27"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Time-invariant Demographics</w:t>
            </w:r>
          </w:p>
        </w:tc>
        <w:tc>
          <w:tcPr>
            <w:tcW w:w="1531" w:type="dxa"/>
            <w:tcBorders>
              <w:top w:val="nil"/>
              <w:left w:val="nil"/>
              <w:right w:val="nil"/>
            </w:tcBorders>
          </w:tcPr>
          <w:p w14:paraId="5BED35EA"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No</w:t>
            </w:r>
          </w:p>
        </w:tc>
        <w:tc>
          <w:tcPr>
            <w:tcW w:w="1417" w:type="dxa"/>
            <w:tcBorders>
              <w:top w:val="nil"/>
              <w:left w:val="nil"/>
              <w:right w:val="nil"/>
            </w:tcBorders>
          </w:tcPr>
          <w:p w14:paraId="363A325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c>
          <w:tcPr>
            <w:tcW w:w="1666" w:type="dxa"/>
            <w:tcBorders>
              <w:top w:val="nil"/>
              <w:left w:val="nil"/>
              <w:right w:val="nil"/>
            </w:tcBorders>
          </w:tcPr>
          <w:p w14:paraId="71AB0A4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No</w:t>
            </w:r>
          </w:p>
        </w:tc>
        <w:tc>
          <w:tcPr>
            <w:tcW w:w="1984" w:type="dxa"/>
            <w:tcBorders>
              <w:top w:val="nil"/>
              <w:left w:val="nil"/>
              <w:right w:val="nil"/>
            </w:tcBorders>
          </w:tcPr>
          <w:p w14:paraId="49B52BBD"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No</w:t>
            </w:r>
          </w:p>
        </w:tc>
      </w:tr>
      <w:tr w:rsidR="00244248" w:rsidRPr="00E50CFC" w14:paraId="78541324" w14:textId="77777777" w:rsidTr="00335B25">
        <w:tc>
          <w:tcPr>
            <w:tcW w:w="2977" w:type="dxa"/>
            <w:tcBorders>
              <w:top w:val="nil"/>
              <w:left w:val="nil"/>
              <w:bottom w:val="single" w:sz="4" w:space="0" w:color="ED7D31" w:themeColor="accent2"/>
              <w:right w:val="nil"/>
            </w:tcBorders>
          </w:tcPr>
          <w:p w14:paraId="4DBF9AF6" w14:textId="77777777" w:rsidR="00244248" w:rsidRPr="00E50CFC"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E50CFC">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4AA8A5C2"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42EBEDE0"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70118184"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6AA2884E" w14:textId="77777777" w:rsidR="00244248" w:rsidRPr="00E50CFC"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E50CFC">
              <w:rPr>
                <w:rFonts w:asciiTheme="majorHAnsi" w:hAnsiTheme="majorHAnsi" w:cstheme="majorHAnsi"/>
                <w:sz w:val="20"/>
                <w:szCs w:val="20"/>
              </w:rPr>
              <w:t>Yes</w:t>
            </w:r>
          </w:p>
        </w:tc>
      </w:tr>
    </w:tbl>
    <w:bookmarkEnd w:id="178"/>
    <w:p w14:paraId="4C6F411E" w14:textId="77777777" w:rsidR="00244248" w:rsidRPr="004D198B" w:rsidRDefault="00244248" w:rsidP="00244248">
      <w:pPr>
        <w:keepNext/>
        <w:widowControl w:val="0"/>
        <w:autoSpaceDE w:val="0"/>
        <w:autoSpaceDN w:val="0"/>
        <w:adjustRightInd w:val="0"/>
        <w:spacing w:after="0" w:line="240" w:lineRule="auto"/>
        <w:rPr>
          <w:sz w:val="16"/>
          <w:szCs w:val="16"/>
        </w:rPr>
      </w:pPr>
      <w:r w:rsidRPr="004D198B">
        <w:rPr>
          <w:sz w:val="16"/>
          <w:szCs w:val="16"/>
        </w:rPr>
        <w:t xml:space="preserve">Treatment group is women aged 18-24 at any time during 2004-2013; women aged 40-44 years old any time during 2004-2013 served as a control; </w:t>
      </w:r>
    </w:p>
    <w:p w14:paraId="6321EB3F" w14:textId="77777777" w:rsidR="00244248" w:rsidRPr="004D198B" w:rsidRDefault="00244248" w:rsidP="00244248">
      <w:pPr>
        <w:keepNext/>
        <w:widowControl w:val="0"/>
        <w:autoSpaceDE w:val="0"/>
        <w:autoSpaceDN w:val="0"/>
        <w:adjustRightInd w:val="0"/>
        <w:spacing w:after="0" w:line="240" w:lineRule="auto"/>
        <w:rPr>
          <w:sz w:val="24"/>
          <w:szCs w:val="24"/>
          <w:lang w:val="en-US" w:eastAsia="en-AU"/>
        </w:rPr>
      </w:pPr>
      <w:r w:rsidRPr="004D198B">
        <w:rPr>
          <w:sz w:val="16"/>
          <w:szCs w:val="16"/>
        </w:rPr>
        <w:t>* p&lt;0.1, ** p&lt;0.05, *** p&lt;0.01</w:t>
      </w:r>
    </w:p>
    <w:p w14:paraId="274AB770" w14:textId="77777777" w:rsidR="00244248" w:rsidRDefault="00244248" w:rsidP="00244248">
      <w:r>
        <w:rPr>
          <w:i/>
          <w:iCs/>
          <w:color w:val="44546A" w:themeColor="text2"/>
          <w:sz w:val="18"/>
          <w:szCs w:val="18"/>
        </w:rPr>
        <w:br w:type="page"/>
      </w:r>
    </w:p>
    <w:p w14:paraId="786C1E93" w14:textId="77777777" w:rsidR="00244248" w:rsidRPr="00386033" w:rsidRDefault="00244248" w:rsidP="00244248">
      <w:pPr>
        <w:pStyle w:val="Heading2"/>
        <w:rPr>
          <w:sz w:val="36"/>
          <w:szCs w:val="36"/>
        </w:rPr>
      </w:pPr>
      <w:bookmarkStart w:id="179" w:name="_Toc87454644"/>
      <w:bookmarkStart w:id="180" w:name="_Toc98404984"/>
      <w:r w:rsidRPr="00386033">
        <w:rPr>
          <w:sz w:val="36"/>
          <w:szCs w:val="36"/>
        </w:rPr>
        <w:lastRenderedPageBreak/>
        <w:t>Policy 2: Paid Parental Leave</w:t>
      </w:r>
      <w:bookmarkEnd w:id="179"/>
      <w:bookmarkEnd w:id="180"/>
    </w:p>
    <w:p w14:paraId="66DDD3E7" w14:textId="77777777" w:rsidR="00244248" w:rsidRDefault="00244248" w:rsidP="00244248">
      <w:pPr>
        <w:rPr>
          <w:lang w:eastAsia="en-GB"/>
        </w:rPr>
      </w:pPr>
      <w:r>
        <w:rPr>
          <w:lang w:eastAsia="en-GB"/>
        </w:rPr>
        <w:t>Key points</w:t>
      </w:r>
    </w:p>
    <w:p w14:paraId="67173156" w14:textId="77777777" w:rsidR="00244248" w:rsidRDefault="00244248" w:rsidP="00244248">
      <w:pPr>
        <w:pStyle w:val="ListParagraph"/>
        <w:numPr>
          <w:ilvl w:val="0"/>
          <w:numId w:val="36"/>
        </w:numPr>
        <w:jc w:val="both"/>
        <w:rPr>
          <w:lang w:eastAsia="en-GB"/>
        </w:rPr>
      </w:pPr>
      <w:r>
        <w:t xml:space="preserve">The introduction of paid parental leave led to an estimated 5% increase in births </w:t>
      </w:r>
    </w:p>
    <w:p w14:paraId="7FCCAA12" w14:textId="77777777" w:rsidR="00244248" w:rsidRDefault="00244248" w:rsidP="00244248">
      <w:pPr>
        <w:pStyle w:val="ListParagraph"/>
        <w:numPr>
          <w:ilvl w:val="0"/>
          <w:numId w:val="36"/>
        </w:numPr>
        <w:jc w:val="both"/>
        <w:rPr>
          <w:lang w:eastAsia="en-GB"/>
        </w:rPr>
      </w:pPr>
      <w:r>
        <w:rPr>
          <w:lang w:eastAsia="en-GB"/>
        </w:rPr>
        <w:t>The implementation does not have a significant impact by the number of children already born, suggesting that it is a policy which equally applies to those starting or building their families</w:t>
      </w:r>
    </w:p>
    <w:p w14:paraId="69A58214" w14:textId="77777777" w:rsidR="00244248" w:rsidRDefault="00244248" w:rsidP="00244248">
      <w:pPr>
        <w:pStyle w:val="ListParagraph"/>
        <w:numPr>
          <w:ilvl w:val="0"/>
          <w:numId w:val="36"/>
        </w:numPr>
        <w:jc w:val="both"/>
        <w:rPr>
          <w:lang w:eastAsia="en-GB"/>
        </w:rPr>
      </w:pPr>
      <w:r>
        <w:rPr>
          <w:lang w:eastAsia="en-GB"/>
        </w:rPr>
        <w:t>There appears to be no effect of the introduction of paid parental leave on fertility desires, expectations or intentions</w:t>
      </w:r>
    </w:p>
    <w:p w14:paraId="0D7C17C1" w14:textId="77777777" w:rsidR="00244248" w:rsidRDefault="00244248" w:rsidP="00244248"/>
    <w:p w14:paraId="6CA7FC76" w14:textId="77777777" w:rsidR="00244248" w:rsidRDefault="00244248" w:rsidP="00244248">
      <w:r>
        <w:t>This policy was announced in 2009 and became effective from 2011. Paid parental leave provides a transfer to working women and the entitlement is subject to a complicated income and work test.</w:t>
      </w:r>
      <w:r>
        <w:rPr>
          <w:rStyle w:val="FootnoteReference"/>
        </w:rPr>
        <w:footnoteReference w:id="31"/>
      </w:r>
      <w:r>
        <w:t xml:space="preserve"> Given that paid paternity leave (DAPP) became effective in 2013, we restrict the years of analysis to 2001-2013.</w:t>
      </w:r>
    </w:p>
    <w:p w14:paraId="038D214C" w14:textId="77777777" w:rsidR="00244248" w:rsidRPr="001D6131" w:rsidRDefault="00244248" w:rsidP="00244248">
      <w:pPr>
        <w:pStyle w:val="Heading3"/>
        <w:numPr>
          <w:ilvl w:val="0"/>
          <w:numId w:val="0"/>
        </w:numPr>
        <w:pBdr>
          <w:bottom w:val="single" w:sz="4" w:space="1" w:color="ED7D31" w:themeColor="accent2"/>
        </w:pBdr>
      </w:pPr>
      <w:bookmarkStart w:id="181" w:name="_Toc87454645"/>
      <w:r w:rsidRPr="001D6131">
        <w:t>Identification strategies</w:t>
      </w:r>
      <w:bookmarkEnd w:id="181"/>
    </w:p>
    <w:p w14:paraId="58431FC6" w14:textId="77777777" w:rsidR="00244248" w:rsidRPr="00980275" w:rsidRDefault="00244248" w:rsidP="00244248">
      <w:pPr>
        <w:pStyle w:val="Heading3"/>
        <w:numPr>
          <w:ilvl w:val="0"/>
          <w:numId w:val="0"/>
        </w:numPr>
      </w:pPr>
      <w:bookmarkStart w:id="182" w:name="_Toc87454646"/>
      <w:r w:rsidRPr="00980275">
        <w:t>Identification Strategy I: (preferred – included in the main report)</w:t>
      </w:r>
      <w:bookmarkEnd w:id="182"/>
    </w:p>
    <w:p w14:paraId="2226CD7E" w14:textId="77777777" w:rsidR="00244248" w:rsidRDefault="00244248" w:rsidP="00244248">
      <w:r>
        <w:t>In the first identification strategy, we exploit the variation of leave eligibility, and set the year of introduction of this policy as 2011. W</w:t>
      </w:r>
      <w:r w:rsidRPr="00E66F7D">
        <w:t>e restrict the</w:t>
      </w:r>
      <w:r>
        <w:t xml:space="preserve"> years of analysis to 2001 to 2013</w:t>
      </w:r>
      <w:r w:rsidRPr="00786555">
        <w:t>. Treated women are those who pass the income and work test</w:t>
      </w:r>
      <w:r>
        <w:t>s</w:t>
      </w:r>
      <w:r w:rsidRPr="00786555">
        <w:t xml:space="preserve"> and women in the control group are those who do not pass </w:t>
      </w:r>
      <w:r>
        <w:t xml:space="preserve">both criteria. </w:t>
      </w:r>
      <w:r w:rsidRPr="00786555">
        <w:t xml:space="preserve"> </w:t>
      </w:r>
    </w:p>
    <w:p w14:paraId="45A61717" w14:textId="77777777" w:rsidR="00244248" w:rsidRDefault="00244248" w:rsidP="00244248">
      <w:r>
        <w:t>Treated women are those who pass the income and work test and women who do not pass them are assigned to the control group. Compared to the income test, for which 98% of women pass the test, the work test is a more binding condition of program eligibility.</w:t>
      </w:r>
      <w:r>
        <w:rPr>
          <w:rStyle w:val="FootnoteReference"/>
        </w:rPr>
        <w:footnoteReference w:id="32"/>
      </w:r>
    </w:p>
    <w:p w14:paraId="0FD0AFAA" w14:textId="77777777" w:rsidR="00244248" w:rsidRPr="00980275" w:rsidRDefault="00244248" w:rsidP="00244248">
      <w:pPr>
        <w:pStyle w:val="Heading3"/>
        <w:numPr>
          <w:ilvl w:val="0"/>
          <w:numId w:val="0"/>
        </w:numPr>
      </w:pPr>
      <w:bookmarkStart w:id="183" w:name="_Toc87454647"/>
      <w:r w:rsidRPr="00980275">
        <w:t>Identification Strategy II: (considered – included in the appendix)</w:t>
      </w:r>
      <w:bookmarkEnd w:id="183"/>
    </w:p>
    <w:p w14:paraId="53EFCC39" w14:textId="77777777" w:rsidR="00244248" w:rsidRDefault="00244248" w:rsidP="00244248">
      <w:r>
        <w:t xml:space="preserve">The second identification strategy exploits the policy being announced in May 2009 but only implemented in January 2011. We set the starting year of the post-policy period to 2009 and use the same criteria to determine the treatment and control groups. </w:t>
      </w:r>
    </w:p>
    <w:p w14:paraId="317A7AC7" w14:textId="77777777" w:rsidR="00244248" w:rsidRPr="00980275" w:rsidRDefault="00244248" w:rsidP="00244248">
      <w:pPr>
        <w:pStyle w:val="Heading3"/>
        <w:numPr>
          <w:ilvl w:val="0"/>
          <w:numId w:val="0"/>
        </w:numPr>
      </w:pPr>
      <w:bookmarkStart w:id="184" w:name="_Toc87454648"/>
      <w:r w:rsidRPr="00980275">
        <w:t>Identification Strategy III: (considered – included in the appendix)</w:t>
      </w:r>
      <w:bookmarkEnd w:id="184"/>
    </w:p>
    <w:p w14:paraId="42C4F67D" w14:textId="77777777" w:rsidR="00244248" w:rsidRDefault="00244248" w:rsidP="00244248">
      <w:pPr>
        <w:pBdr>
          <w:bottom w:val="single" w:sz="4" w:space="1" w:color="ED7D31" w:themeColor="accent2"/>
        </w:pBdr>
        <w:spacing w:after="0"/>
      </w:pPr>
      <w:r>
        <w:t xml:space="preserve">Unlike the first two strategies which employ the DiD research design and exploit variation in policy eligibility, a third possible identification strategy uses a DiD-instrumental variable (IV) research design and exploits the fact that women from the public and private sectors are differentially affected by this scheme. Prior to the introduction of this scheme, the public sector already granted very generous leave compared to the private sector. This policy will presumably act on women who work in the private sector as they are the group for whom maternity leave becomes more generous. This identification is conducted mainly in the spirit of Bassford and Fisher (2020) and involves two stages of estimation. The first predicts women’s leave access prior to the policy based upon the sector in which she works.  Leave access is defined as the entitlement to paid parental leave and anticipated access under the PLP scheme from 2009. Then in the second stage the strategy estimates the effect of predicted leave access on fertility outcomes. </w:t>
      </w:r>
    </w:p>
    <w:p w14:paraId="076EFEBA" w14:textId="77777777" w:rsidR="00244248" w:rsidRPr="008F1827" w:rsidRDefault="00244248" w:rsidP="00244248">
      <w:pPr>
        <w:pStyle w:val="Heading3"/>
        <w:numPr>
          <w:ilvl w:val="0"/>
          <w:numId w:val="0"/>
        </w:numPr>
        <w:rPr>
          <w:sz w:val="28"/>
          <w:szCs w:val="28"/>
        </w:rPr>
      </w:pPr>
      <w:bookmarkStart w:id="185" w:name="_Toc87454649"/>
      <w:r w:rsidRPr="008F1827">
        <w:rPr>
          <w:sz w:val="28"/>
          <w:szCs w:val="28"/>
        </w:rPr>
        <w:lastRenderedPageBreak/>
        <w:t>Results</w:t>
      </w:r>
      <w:bookmarkEnd w:id="185"/>
    </w:p>
    <w:p w14:paraId="482ECD95" w14:textId="77777777" w:rsidR="00244248" w:rsidRDefault="00244248" w:rsidP="00244248">
      <w:r>
        <w:t xml:space="preserve">For this analysis we include 35,881 observations relating to 9,678 women. Of those 5,804 women are in the treatment group (satisfy income and work requirement to be eligible) and 3,874 women are in the control group (do not satisfy income or work requirements). </w:t>
      </w:r>
    </w:p>
    <w:p w14:paraId="4691A6D1" w14:textId="77777777" w:rsidR="00244248" w:rsidRDefault="00244248" w:rsidP="00244248">
      <w:r>
        <w:t xml:space="preserve">The table below shows the descriptive statistics for the two groups. For some analysis, including the fixed effects or intended number of children cases are dropped so the total sample size is lower. </w:t>
      </w:r>
    </w:p>
    <w:p w14:paraId="5CB98A06" w14:textId="6DC1DA42" w:rsidR="00244248" w:rsidRDefault="00244248" w:rsidP="00244248">
      <w:pPr>
        <w:pStyle w:val="Caption"/>
        <w:keepNext/>
      </w:pPr>
      <w:r>
        <w:t xml:space="preserve">Table </w:t>
      </w:r>
      <w:fldSimple w:instr=" SEQ Table \* ARABIC ">
        <w:r w:rsidR="00115E22">
          <w:rPr>
            <w:noProof/>
          </w:rPr>
          <w:t>29</w:t>
        </w:r>
      </w:fldSimple>
      <w:r>
        <w:t xml:space="preserve"> Descriptive statistics of women included in parental leave pay analysis, column % or means</w:t>
      </w:r>
    </w:p>
    <w:tbl>
      <w:tblPr>
        <w:tblW w:w="6096" w:type="dxa"/>
        <w:tblLook w:val="04A0" w:firstRow="1" w:lastRow="0" w:firstColumn="1" w:lastColumn="0" w:noHBand="0" w:noVBand="1"/>
      </w:tblPr>
      <w:tblGrid>
        <w:gridCol w:w="2480"/>
        <w:gridCol w:w="1773"/>
        <w:gridCol w:w="1843"/>
      </w:tblGrid>
      <w:tr w:rsidR="00244248" w:rsidRPr="00A72CE9" w14:paraId="0C9522CA" w14:textId="77777777" w:rsidTr="00335B25">
        <w:trPr>
          <w:trHeight w:val="170"/>
        </w:trPr>
        <w:tc>
          <w:tcPr>
            <w:tcW w:w="2480"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54F0E9CF"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 </w:t>
            </w:r>
          </w:p>
        </w:tc>
        <w:tc>
          <w:tcPr>
            <w:tcW w:w="1773"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39469E0A"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Pr>
                <w:rFonts w:asciiTheme="majorHAnsi" w:eastAsia="Times New Roman" w:hAnsiTheme="majorHAnsi" w:cstheme="majorHAnsi"/>
                <w:b/>
                <w:bCs/>
                <w:color w:val="000000"/>
                <w:sz w:val="20"/>
                <w:szCs w:val="20"/>
                <w:lang w:eastAsia="en-AU"/>
              </w:rPr>
              <w:t>Eligible</w:t>
            </w:r>
            <w:r w:rsidRPr="002A0385">
              <w:rPr>
                <w:rFonts w:asciiTheme="majorHAnsi" w:eastAsia="Times New Roman" w:hAnsiTheme="majorHAnsi" w:cstheme="majorHAnsi"/>
                <w:b/>
                <w:bCs/>
                <w:color w:val="000000"/>
                <w:sz w:val="20"/>
                <w:szCs w:val="20"/>
                <w:lang w:eastAsia="en-AU"/>
              </w:rPr>
              <w:t xml:space="preserve"> </w:t>
            </w:r>
            <w:r>
              <w:rPr>
                <w:rFonts w:asciiTheme="majorHAnsi" w:eastAsia="Times New Roman" w:hAnsiTheme="majorHAnsi" w:cstheme="majorHAnsi"/>
                <w:b/>
                <w:bCs/>
                <w:color w:val="000000"/>
                <w:sz w:val="20"/>
                <w:szCs w:val="20"/>
                <w:lang w:eastAsia="en-AU"/>
              </w:rPr>
              <w:t xml:space="preserve">for parental leave pay </w:t>
            </w:r>
            <w:r w:rsidRPr="002A0385">
              <w:rPr>
                <w:rFonts w:asciiTheme="majorHAnsi" w:eastAsia="Times New Roman" w:hAnsiTheme="majorHAnsi" w:cstheme="majorHAnsi"/>
                <w:b/>
                <w:bCs/>
                <w:color w:val="000000"/>
                <w:sz w:val="20"/>
                <w:szCs w:val="20"/>
                <w:lang w:eastAsia="en-AU"/>
              </w:rPr>
              <w:t>(treatment)</w:t>
            </w:r>
          </w:p>
        </w:tc>
        <w:tc>
          <w:tcPr>
            <w:tcW w:w="1843" w:type="dxa"/>
            <w:tcBorders>
              <w:top w:val="single" w:sz="4" w:space="0" w:color="ED7D31" w:themeColor="accent2"/>
              <w:left w:val="nil"/>
              <w:bottom w:val="single" w:sz="4" w:space="0" w:color="ED7D31" w:themeColor="accent2"/>
              <w:right w:val="nil"/>
            </w:tcBorders>
            <w:shd w:val="clear" w:color="auto" w:fill="FBE4D5" w:themeFill="accent2" w:themeFillTint="33"/>
            <w:noWrap/>
            <w:hideMark/>
          </w:tcPr>
          <w:p w14:paraId="6529B86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b/>
                <w:bCs/>
                <w:color w:val="000000"/>
                <w:sz w:val="20"/>
                <w:szCs w:val="20"/>
                <w:lang w:eastAsia="en-AU"/>
              </w:rPr>
              <w:t>Not eligible</w:t>
            </w:r>
            <w:r w:rsidRPr="002A0385">
              <w:rPr>
                <w:rFonts w:asciiTheme="majorHAnsi" w:eastAsia="Times New Roman" w:hAnsiTheme="majorHAnsi" w:cstheme="majorHAnsi"/>
                <w:b/>
                <w:bCs/>
                <w:color w:val="000000"/>
                <w:sz w:val="20"/>
                <w:szCs w:val="20"/>
                <w:lang w:eastAsia="en-AU"/>
              </w:rPr>
              <w:t xml:space="preserve"> </w:t>
            </w:r>
            <w:r>
              <w:rPr>
                <w:rFonts w:asciiTheme="majorHAnsi" w:eastAsia="Times New Roman" w:hAnsiTheme="majorHAnsi" w:cstheme="majorHAnsi"/>
                <w:b/>
                <w:bCs/>
                <w:color w:val="000000"/>
                <w:sz w:val="20"/>
                <w:szCs w:val="20"/>
                <w:lang w:eastAsia="en-AU"/>
              </w:rPr>
              <w:t xml:space="preserve">for parental leave pay </w:t>
            </w:r>
            <w:r w:rsidRPr="002A0385">
              <w:rPr>
                <w:rFonts w:asciiTheme="majorHAnsi" w:eastAsia="Times New Roman" w:hAnsiTheme="majorHAnsi" w:cstheme="majorHAnsi"/>
                <w:b/>
                <w:bCs/>
                <w:color w:val="000000"/>
                <w:sz w:val="20"/>
                <w:szCs w:val="20"/>
                <w:lang w:eastAsia="en-AU"/>
              </w:rPr>
              <w:t>(control)</w:t>
            </w:r>
          </w:p>
        </w:tc>
      </w:tr>
      <w:tr w:rsidR="00244248" w:rsidRPr="00A72CE9" w14:paraId="755082D1" w14:textId="77777777" w:rsidTr="00335B25">
        <w:trPr>
          <w:trHeight w:val="170"/>
        </w:trPr>
        <w:tc>
          <w:tcPr>
            <w:tcW w:w="2480" w:type="dxa"/>
            <w:tcBorders>
              <w:top w:val="single" w:sz="4" w:space="0" w:color="ED7D31" w:themeColor="accent2"/>
              <w:left w:val="nil"/>
              <w:bottom w:val="nil"/>
              <w:right w:val="nil"/>
            </w:tcBorders>
            <w:shd w:val="clear" w:color="auto" w:fill="auto"/>
            <w:noWrap/>
            <w:vAlign w:val="bottom"/>
            <w:hideMark/>
          </w:tcPr>
          <w:p w14:paraId="50645628"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Number of children</w:t>
            </w:r>
          </w:p>
        </w:tc>
        <w:tc>
          <w:tcPr>
            <w:tcW w:w="1773" w:type="dxa"/>
            <w:tcBorders>
              <w:top w:val="single" w:sz="4" w:space="0" w:color="ED7D31" w:themeColor="accent2"/>
              <w:left w:val="nil"/>
              <w:bottom w:val="nil"/>
              <w:right w:val="nil"/>
            </w:tcBorders>
            <w:shd w:val="clear" w:color="auto" w:fill="auto"/>
            <w:noWrap/>
            <w:vAlign w:val="bottom"/>
            <w:hideMark/>
          </w:tcPr>
          <w:p w14:paraId="344A0DE8"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 xml:space="preserve"> </w:t>
            </w:r>
          </w:p>
        </w:tc>
        <w:tc>
          <w:tcPr>
            <w:tcW w:w="1843" w:type="dxa"/>
            <w:tcBorders>
              <w:top w:val="single" w:sz="4" w:space="0" w:color="ED7D31" w:themeColor="accent2"/>
              <w:left w:val="nil"/>
              <w:bottom w:val="nil"/>
              <w:right w:val="nil"/>
            </w:tcBorders>
            <w:shd w:val="clear" w:color="auto" w:fill="auto"/>
            <w:noWrap/>
            <w:vAlign w:val="bottom"/>
            <w:hideMark/>
          </w:tcPr>
          <w:p w14:paraId="18043ACD"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p>
        </w:tc>
      </w:tr>
      <w:tr w:rsidR="00244248" w:rsidRPr="00A72CE9" w14:paraId="66B4FFF5" w14:textId="77777777" w:rsidTr="00335B25">
        <w:trPr>
          <w:trHeight w:val="170"/>
        </w:trPr>
        <w:tc>
          <w:tcPr>
            <w:tcW w:w="2480" w:type="dxa"/>
            <w:tcBorders>
              <w:top w:val="nil"/>
              <w:left w:val="nil"/>
              <w:bottom w:val="nil"/>
              <w:right w:val="nil"/>
            </w:tcBorders>
            <w:shd w:val="clear" w:color="auto" w:fill="auto"/>
            <w:noWrap/>
            <w:vAlign w:val="bottom"/>
            <w:hideMark/>
          </w:tcPr>
          <w:p w14:paraId="2CB77C8B"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0</w:t>
            </w:r>
          </w:p>
        </w:tc>
        <w:tc>
          <w:tcPr>
            <w:tcW w:w="1773" w:type="dxa"/>
            <w:tcBorders>
              <w:top w:val="nil"/>
              <w:left w:val="nil"/>
              <w:bottom w:val="nil"/>
              <w:right w:val="nil"/>
            </w:tcBorders>
            <w:shd w:val="clear" w:color="auto" w:fill="auto"/>
            <w:noWrap/>
            <w:hideMark/>
          </w:tcPr>
          <w:p w14:paraId="1631BAA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6C4011">
              <w:rPr>
                <w:rFonts w:asciiTheme="majorHAnsi" w:hAnsiTheme="majorHAnsi" w:cstheme="majorHAnsi"/>
                <w:sz w:val="20"/>
                <w:szCs w:val="20"/>
              </w:rPr>
              <w:t>51</w:t>
            </w:r>
          </w:p>
        </w:tc>
        <w:tc>
          <w:tcPr>
            <w:tcW w:w="1843" w:type="dxa"/>
            <w:tcBorders>
              <w:top w:val="nil"/>
              <w:left w:val="nil"/>
              <w:bottom w:val="nil"/>
              <w:right w:val="nil"/>
            </w:tcBorders>
            <w:shd w:val="clear" w:color="auto" w:fill="auto"/>
            <w:noWrap/>
            <w:vAlign w:val="bottom"/>
            <w:hideMark/>
          </w:tcPr>
          <w:p w14:paraId="0CD1C66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23</w:t>
            </w:r>
          </w:p>
        </w:tc>
      </w:tr>
      <w:tr w:rsidR="00244248" w:rsidRPr="00A72CE9" w14:paraId="01151B44" w14:textId="77777777" w:rsidTr="00335B25">
        <w:trPr>
          <w:trHeight w:val="170"/>
        </w:trPr>
        <w:tc>
          <w:tcPr>
            <w:tcW w:w="2480" w:type="dxa"/>
            <w:tcBorders>
              <w:top w:val="nil"/>
              <w:left w:val="nil"/>
              <w:bottom w:val="nil"/>
              <w:right w:val="nil"/>
            </w:tcBorders>
            <w:shd w:val="clear" w:color="auto" w:fill="auto"/>
            <w:noWrap/>
            <w:vAlign w:val="bottom"/>
            <w:hideMark/>
          </w:tcPr>
          <w:p w14:paraId="48CC5017"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w:t>
            </w:r>
          </w:p>
        </w:tc>
        <w:tc>
          <w:tcPr>
            <w:tcW w:w="1773" w:type="dxa"/>
            <w:tcBorders>
              <w:top w:val="nil"/>
              <w:left w:val="nil"/>
              <w:bottom w:val="nil"/>
              <w:right w:val="nil"/>
            </w:tcBorders>
            <w:shd w:val="clear" w:color="auto" w:fill="auto"/>
            <w:noWrap/>
            <w:hideMark/>
          </w:tcPr>
          <w:p w14:paraId="6129666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6C4011">
              <w:rPr>
                <w:rFonts w:asciiTheme="majorHAnsi" w:hAnsiTheme="majorHAnsi" w:cstheme="majorHAnsi"/>
                <w:sz w:val="20"/>
                <w:szCs w:val="20"/>
              </w:rPr>
              <w:t>15</w:t>
            </w:r>
          </w:p>
        </w:tc>
        <w:tc>
          <w:tcPr>
            <w:tcW w:w="1843" w:type="dxa"/>
            <w:tcBorders>
              <w:top w:val="nil"/>
              <w:left w:val="nil"/>
              <w:bottom w:val="nil"/>
              <w:right w:val="nil"/>
            </w:tcBorders>
            <w:shd w:val="clear" w:color="auto" w:fill="auto"/>
            <w:noWrap/>
            <w:vAlign w:val="bottom"/>
            <w:hideMark/>
          </w:tcPr>
          <w:p w14:paraId="0C49AA4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22</w:t>
            </w:r>
          </w:p>
        </w:tc>
      </w:tr>
      <w:tr w:rsidR="00244248" w:rsidRPr="00A72CE9" w14:paraId="667EFA52" w14:textId="77777777" w:rsidTr="00335B25">
        <w:trPr>
          <w:trHeight w:val="170"/>
        </w:trPr>
        <w:tc>
          <w:tcPr>
            <w:tcW w:w="2480" w:type="dxa"/>
            <w:tcBorders>
              <w:top w:val="nil"/>
              <w:left w:val="nil"/>
              <w:bottom w:val="nil"/>
              <w:right w:val="nil"/>
            </w:tcBorders>
            <w:shd w:val="clear" w:color="auto" w:fill="auto"/>
            <w:noWrap/>
            <w:vAlign w:val="bottom"/>
            <w:hideMark/>
          </w:tcPr>
          <w:p w14:paraId="21C3B428"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w:t>
            </w:r>
          </w:p>
        </w:tc>
        <w:tc>
          <w:tcPr>
            <w:tcW w:w="1773" w:type="dxa"/>
            <w:tcBorders>
              <w:top w:val="nil"/>
              <w:left w:val="nil"/>
              <w:bottom w:val="nil"/>
              <w:right w:val="nil"/>
            </w:tcBorders>
            <w:shd w:val="clear" w:color="auto" w:fill="auto"/>
            <w:noWrap/>
            <w:hideMark/>
          </w:tcPr>
          <w:p w14:paraId="6BE31BB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6C4011">
              <w:rPr>
                <w:rFonts w:asciiTheme="majorHAnsi" w:hAnsiTheme="majorHAnsi" w:cstheme="majorHAnsi"/>
                <w:sz w:val="20"/>
                <w:szCs w:val="20"/>
              </w:rPr>
              <w:t>22</w:t>
            </w:r>
          </w:p>
        </w:tc>
        <w:tc>
          <w:tcPr>
            <w:tcW w:w="1843" w:type="dxa"/>
            <w:tcBorders>
              <w:top w:val="nil"/>
              <w:left w:val="nil"/>
              <w:bottom w:val="nil"/>
              <w:right w:val="nil"/>
            </w:tcBorders>
            <w:shd w:val="clear" w:color="auto" w:fill="auto"/>
            <w:noWrap/>
            <w:vAlign w:val="bottom"/>
            <w:hideMark/>
          </w:tcPr>
          <w:p w14:paraId="02AA9E1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30</w:t>
            </w:r>
          </w:p>
        </w:tc>
      </w:tr>
      <w:tr w:rsidR="00244248" w:rsidRPr="00A72CE9" w14:paraId="73276082" w14:textId="77777777" w:rsidTr="00335B25">
        <w:trPr>
          <w:trHeight w:val="170"/>
        </w:trPr>
        <w:tc>
          <w:tcPr>
            <w:tcW w:w="2480" w:type="dxa"/>
            <w:tcBorders>
              <w:top w:val="nil"/>
              <w:left w:val="nil"/>
              <w:bottom w:val="nil"/>
              <w:right w:val="nil"/>
            </w:tcBorders>
            <w:shd w:val="clear" w:color="auto" w:fill="auto"/>
            <w:noWrap/>
            <w:vAlign w:val="bottom"/>
            <w:hideMark/>
          </w:tcPr>
          <w:p w14:paraId="3055F735"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3+</w:t>
            </w:r>
          </w:p>
        </w:tc>
        <w:tc>
          <w:tcPr>
            <w:tcW w:w="1773" w:type="dxa"/>
            <w:tcBorders>
              <w:top w:val="nil"/>
              <w:left w:val="nil"/>
              <w:bottom w:val="nil"/>
              <w:right w:val="nil"/>
            </w:tcBorders>
            <w:shd w:val="clear" w:color="auto" w:fill="auto"/>
            <w:noWrap/>
            <w:hideMark/>
          </w:tcPr>
          <w:p w14:paraId="6CF9677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6C4011">
              <w:rPr>
                <w:rFonts w:asciiTheme="majorHAnsi" w:hAnsiTheme="majorHAnsi" w:cstheme="majorHAnsi"/>
                <w:sz w:val="20"/>
                <w:szCs w:val="20"/>
              </w:rPr>
              <w:t>12</w:t>
            </w:r>
          </w:p>
        </w:tc>
        <w:tc>
          <w:tcPr>
            <w:tcW w:w="1843" w:type="dxa"/>
            <w:tcBorders>
              <w:top w:val="nil"/>
              <w:left w:val="nil"/>
              <w:bottom w:val="nil"/>
              <w:right w:val="nil"/>
            </w:tcBorders>
            <w:shd w:val="clear" w:color="auto" w:fill="auto"/>
            <w:noWrap/>
            <w:vAlign w:val="bottom"/>
            <w:hideMark/>
          </w:tcPr>
          <w:p w14:paraId="37026D49"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25</w:t>
            </w:r>
          </w:p>
        </w:tc>
      </w:tr>
      <w:tr w:rsidR="00244248" w:rsidRPr="00A72CE9" w14:paraId="3A1678C9" w14:textId="77777777" w:rsidTr="00335B25">
        <w:trPr>
          <w:trHeight w:val="170"/>
        </w:trPr>
        <w:tc>
          <w:tcPr>
            <w:tcW w:w="2480" w:type="dxa"/>
            <w:tcBorders>
              <w:top w:val="nil"/>
              <w:left w:val="nil"/>
              <w:bottom w:val="nil"/>
              <w:right w:val="nil"/>
            </w:tcBorders>
            <w:shd w:val="clear" w:color="auto" w:fill="auto"/>
            <w:noWrap/>
            <w:vAlign w:val="bottom"/>
            <w:hideMark/>
          </w:tcPr>
          <w:p w14:paraId="48AE5702" w14:textId="77777777" w:rsidR="00244248" w:rsidRPr="00A72CE9" w:rsidRDefault="00244248" w:rsidP="00335B25">
            <w:pPr>
              <w:spacing w:after="0" w:line="240" w:lineRule="auto"/>
              <w:rPr>
                <w:rFonts w:asciiTheme="majorHAnsi" w:eastAsia="Times New Roman" w:hAnsiTheme="majorHAnsi" w:cstheme="majorHAnsi"/>
                <w:sz w:val="20"/>
                <w:szCs w:val="20"/>
                <w:lang w:eastAsia="en-AU"/>
              </w:rPr>
            </w:pPr>
          </w:p>
        </w:tc>
        <w:tc>
          <w:tcPr>
            <w:tcW w:w="1773" w:type="dxa"/>
            <w:tcBorders>
              <w:top w:val="nil"/>
              <w:left w:val="nil"/>
              <w:bottom w:val="nil"/>
              <w:right w:val="nil"/>
            </w:tcBorders>
            <w:shd w:val="clear" w:color="auto" w:fill="auto"/>
            <w:noWrap/>
            <w:vAlign w:val="bottom"/>
            <w:hideMark/>
          </w:tcPr>
          <w:p w14:paraId="634CC443"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131224B2"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6D7C4F8" w14:textId="77777777" w:rsidTr="00335B25">
        <w:trPr>
          <w:trHeight w:val="170"/>
        </w:trPr>
        <w:tc>
          <w:tcPr>
            <w:tcW w:w="2480" w:type="dxa"/>
            <w:tcBorders>
              <w:top w:val="nil"/>
              <w:left w:val="nil"/>
              <w:bottom w:val="nil"/>
              <w:right w:val="nil"/>
            </w:tcBorders>
            <w:shd w:val="clear" w:color="auto" w:fill="auto"/>
            <w:noWrap/>
            <w:vAlign w:val="bottom"/>
            <w:hideMark/>
          </w:tcPr>
          <w:p w14:paraId="0B2492BC"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Mean age</w:t>
            </w:r>
          </w:p>
        </w:tc>
        <w:tc>
          <w:tcPr>
            <w:tcW w:w="1773" w:type="dxa"/>
            <w:tcBorders>
              <w:top w:val="nil"/>
              <w:left w:val="nil"/>
              <w:bottom w:val="nil"/>
              <w:right w:val="nil"/>
            </w:tcBorders>
            <w:shd w:val="clear" w:color="auto" w:fill="auto"/>
            <w:noWrap/>
            <w:vAlign w:val="bottom"/>
            <w:hideMark/>
          </w:tcPr>
          <w:p w14:paraId="151DF65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32.5</w:t>
            </w:r>
          </w:p>
        </w:tc>
        <w:tc>
          <w:tcPr>
            <w:tcW w:w="1843" w:type="dxa"/>
            <w:tcBorders>
              <w:top w:val="nil"/>
              <w:left w:val="nil"/>
              <w:bottom w:val="nil"/>
              <w:right w:val="nil"/>
            </w:tcBorders>
            <w:shd w:val="clear" w:color="auto" w:fill="auto"/>
            <w:noWrap/>
            <w:vAlign w:val="bottom"/>
            <w:hideMark/>
          </w:tcPr>
          <w:p w14:paraId="39810CE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32.5</w:t>
            </w:r>
          </w:p>
        </w:tc>
      </w:tr>
      <w:tr w:rsidR="00244248" w:rsidRPr="00A72CE9" w14:paraId="0B2BD6AF" w14:textId="77777777" w:rsidTr="00335B25">
        <w:trPr>
          <w:trHeight w:val="170"/>
        </w:trPr>
        <w:tc>
          <w:tcPr>
            <w:tcW w:w="2480" w:type="dxa"/>
            <w:tcBorders>
              <w:top w:val="nil"/>
              <w:left w:val="nil"/>
              <w:bottom w:val="nil"/>
              <w:right w:val="nil"/>
            </w:tcBorders>
            <w:shd w:val="clear" w:color="auto" w:fill="auto"/>
            <w:noWrap/>
            <w:vAlign w:val="bottom"/>
            <w:hideMark/>
          </w:tcPr>
          <w:p w14:paraId="3EAC1E88"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6C1C2956"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0F6AB198"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095336D2" w14:textId="77777777" w:rsidTr="00335B25">
        <w:trPr>
          <w:trHeight w:val="170"/>
        </w:trPr>
        <w:tc>
          <w:tcPr>
            <w:tcW w:w="2480" w:type="dxa"/>
            <w:tcBorders>
              <w:top w:val="nil"/>
              <w:left w:val="nil"/>
              <w:bottom w:val="nil"/>
              <w:right w:val="nil"/>
            </w:tcBorders>
            <w:shd w:val="clear" w:color="auto" w:fill="auto"/>
            <w:noWrap/>
            <w:vAlign w:val="bottom"/>
            <w:hideMark/>
          </w:tcPr>
          <w:p w14:paraId="2BD7AF79"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Education level</w:t>
            </w:r>
          </w:p>
        </w:tc>
        <w:tc>
          <w:tcPr>
            <w:tcW w:w="1773" w:type="dxa"/>
            <w:tcBorders>
              <w:top w:val="nil"/>
              <w:left w:val="nil"/>
              <w:bottom w:val="nil"/>
              <w:right w:val="nil"/>
            </w:tcBorders>
            <w:shd w:val="clear" w:color="auto" w:fill="auto"/>
            <w:noWrap/>
            <w:vAlign w:val="bottom"/>
            <w:hideMark/>
          </w:tcPr>
          <w:p w14:paraId="0C737BC5"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843" w:type="dxa"/>
            <w:tcBorders>
              <w:top w:val="nil"/>
              <w:left w:val="nil"/>
              <w:bottom w:val="nil"/>
              <w:right w:val="nil"/>
            </w:tcBorders>
            <w:shd w:val="clear" w:color="auto" w:fill="auto"/>
            <w:noWrap/>
            <w:vAlign w:val="bottom"/>
            <w:hideMark/>
          </w:tcPr>
          <w:p w14:paraId="455FDAA1"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688712EF" w14:textId="77777777" w:rsidTr="00335B25">
        <w:trPr>
          <w:trHeight w:val="170"/>
        </w:trPr>
        <w:tc>
          <w:tcPr>
            <w:tcW w:w="2480" w:type="dxa"/>
            <w:tcBorders>
              <w:top w:val="nil"/>
              <w:left w:val="nil"/>
              <w:bottom w:val="nil"/>
              <w:right w:val="nil"/>
            </w:tcBorders>
            <w:shd w:val="clear" w:color="auto" w:fill="auto"/>
            <w:noWrap/>
            <w:vAlign w:val="bottom"/>
            <w:hideMark/>
          </w:tcPr>
          <w:p w14:paraId="586AD215"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Bachelor degree or higher</w:t>
            </w:r>
          </w:p>
        </w:tc>
        <w:tc>
          <w:tcPr>
            <w:tcW w:w="1773" w:type="dxa"/>
            <w:tcBorders>
              <w:top w:val="nil"/>
              <w:left w:val="nil"/>
              <w:bottom w:val="nil"/>
              <w:right w:val="nil"/>
            </w:tcBorders>
            <w:shd w:val="clear" w:color="auto" w:fill="auto"/>
            <w:noWrap/>
            <w:vAlign w:val="bottom"/>
            <w:hideMark/>
          </w:tcPr>
          <w:p w14:paraId="150A478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37</w:t>
            </w:r>
          </w:p>
        </w:tc>
        <w:tc>
          <w:tcPr>
            <w:tcW w:w="1843" w:type="dxa"/>
            <w:tcBorders>
              <w:top w:val="nil"/>
              <w:left w:val="nil"/>
              <w:bottom w:val="nil"/>
              <w:right w:val="nil"/>
            </w:tcBorders>
            <w:shd w:val="clear" w:color="auto" w:fill="auto"/>
            <w:noWrap/>
            <w:vAlign w:val="bottom"/>
            <w:hideMark/>
          </w:tcPr>
          <w:p w14:paraId="466695A1"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22</w:t>
            </w:r>
          </w:p>
        </w:tc>
      </w:tr>
      <w:tr w:rsidR="00244248" w:rsidRPr="00A72CE9" w14:paraId="60C230F2" w14:textId="77777777" w:rsidTr="00335B25">
        <w:trPr>
          <w:trHeight w:val="170"/>
        </w:trPr>
        <w:tc>
          <w:tcPr>
            <w:tcW w:w="2480" w:type="dxa"/>
            <w:tcBorders>
              <w:top w:val="nil"/>
              <w:left w:val="nil"/>
              <w:bottom w:val="nil"/>
              <w:right w:val="nil"/>
            </w:tcBorders>
            <w:shd w:val="clear" w:color="auto" w:fill="auto"/>
            <w:noWrap/>
            <w:vAlign w:val="bottom"/>
            <w:hideMark/>
          </w:tcPr>
          <w:p w14:paraId="20EE45AD"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Diploma or Certificate III/IV</w:t>
            </w:r>
          </w:p>
        </w:tc>
        <w:tc>
          <w:tcPr>
            <w:tcW w:w="1773" w:type="dxa"/>
            <w:tcBorders>
              <w:top w:val="nil"/>
              <w:left w:val="nil"/>
              <w:bottom w:val="nil"/>
              <w:right w:val="nil"/>
            </w:tcBorders>
            <w:shd w:val="clear" w:color="auto" w:fill="auto"/>
            <w:noWrap/>
            <w:vAlign w:val="bottom"/>
            <w:hideMark/>
          </w:tcPr>
          <w:p w14:paraId="6FF3B21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27</w:t>
            </w:r>
          </w:p>
        </w:tc>
        <w:tc>
          <w:tcPr>
            <w:tcW w:w="1843" w:type="dxa"/>
            <w:tcBorders>
              <w:top w:val="nil"/>
              <w:left w:val="nil"/>
              <w:bottom w:val="nil"/>
              <w:right w:val="nil"/>
            </w:tcBorders>
            <w:shd w:val="clear" w:color="auto" w:fill="auto"/>
            <w:noWrap/>
            <w:vAlign w:val="bottom"/>
            <w:hideMark/>
          </w:tcPr>
          <w:p w14:paraId="73034D87"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24</w:t>
            </w:r>
          </w:p>
        </w:tc>
      </w:tr>
      <w:tr w:rsidR="00244248" w:rsidRPr="00A72CE9" w14:paraId="30ED9B2D" w14:textId="77777777" w:rsidTr="00335B25">
        <w:trPr>
          <w:trHeight w:val="170"/>
        </w:trPr>
        <w:tc>
          <w:tcPr>
            <w:tcW w:w="2480" w:type="dxa"/>
            <w:tcBorders>
              <w:top w:val="nil"/>
              <w:left w:val="nil"/>
              <w:bottom w:val="nil"/>
              <w:right w:val="nil"/>
            </w:tcBorders>
            <w:shd w:val="clear" w:color="auto" w:fill="auto"/>
            <w:noWrap/>
            <w:vAlign w:val="bottom"/>
            <w:hideMark/>
          </w:tcPr>
          <w:p w14:paraId="14DCAC54"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Year 12</w:t>
            </w:r>
          </w:p>
        </w:tc>
        <w:tc>
          <w:tcPr>
            <w:tcW w:w="1773" w:type="dxa"/>
            <w:tcBorders>
              <w:top w:val="nil"/>
              <w:left w:val="nil"/>
              <w:bottom w:val="nil"/>
              <w:right w:val="nil"/>
            </w:tcBorders>
            <w:shd w:val="clear" w:color="auto" w:fill="auto"/>
            <w:noWrap/>
            <w:vAlign w:val="bottom"/>
            <w:hideMark/>
          </w:tcPr>
          <w:p w14:paraId="70CBC204"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19</w:t>
            </w:r>
          </w:p>
        </w:tc>
        <w:tc>
          <w:tcPr>
            <w:tcW w:w="1843" w:type="dxa"/>
            <w:tcBorders>
              <w:top w:val="nil"/>
              <w:left w:val="nil"/>
              <w:bottom w:val="nil"/>
              <w:right w:val="nil"/>
            </w:tcBorders>
            <w:shd w:val="clear" w:color="auto" w:fill="auto"/>
            <w:noWrap/>
            <w:vAlign w:val="bottom"/>
            <w:hideMark/>
          </w:tcPr>
          <w:p w14:paraId="53DF19C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21</w:t>
            </w:r>
          </w:p>
        </w:tc>
      </w:tr>
      <w:tr w:rsidR="00244248" w:rsidRPr="00A72CE9" w14:paraId="10E2CD3C" w14:textId="77777777" w:rsidTr="00335B25">
        <w:trPr>
          <w:trHeight w:val="170"/>
        </w:trPr>
        <w:tc>
          <w:tcPr>
            <w:tcW w:w="2480" w:type="dxa"/>
            <w:tcBorders>
              <w:top w:val="nil"/>
              <w:left w:val="nil"/>
              <w:bottom w:val="nil"/>
              <w:right w:val="nil"/>
            </w:tcBorders>
            <w:shd w:val="clear" w:color="auto" w:fill="auto"/>
            <w:noWrap/>
            <w:vAlign w:val="bottom"/>
            <w:hideMark/>
          </w:tcPr>
          <w:p w14:paraId="2666CEB0"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Year 11 or below</w:t>
            </w:r>
          </w:p>
        </w:tc>
        <w:tc>
          <w:tcPr>
            <w:tcW w:w="1773" w:type="dxa"/>
            <w:tcBorders>
              <w:top w:val="nil"/>
              <w:left w:val="nil"/>
              <w:bottom w:val="nil"/>
              <w:right w:val="nil"/>
            </w:tcBorders>
            <w:shd w:val="clear" w:color="auto" w:fill="auto"/>
            <w:noWrap/>
            <w:vAlign w:val="bottom"/>
            <w:hideMark/>
          </w:tcPr>
          <w:p w14:paraId="5113F86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16</w:t>
            </w:r>
          </w:p>
        </w:tc>
        <w:tc>
          <w:tcPr>
            <w:tcW w:w="1843" w:type="dxa"/>
            <w:tcBorders>
              <w:top w:val="nil"/>
              <w:left w:val="nil"/>
              <w:bottom w:val="nil"/>
              <w:right w:val="nil"/>
            </w:tcBorders>
            <w:shd w:val="clear" w:color="auto" w:fill="auto"/>
            <w:noWrap/>
            <w:vAlign w:val="bottom"/>
            <w:hideMark/>
          </w:tcPr>
          <w:p w14:paraId="062D3F51"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33</w:t>
            </w:r>
          </w:p>
        </w:tc>
      </w:tr>
      <w:tr w:rsidR="00244248" w:rsidRPr="00A72CE9" w14:paraId="28B3127E" w14:textId="77777777" w:rsidTr="00335B25">
        <w:trPr>
          <w:trHeight w:val="170"/>
        </w:trPr>
        <w:tc>
          <w:tcPr>
            <w:tcW w:w="2480" w:type="dxa"/>
            <w:tcBorders>
              <w:top w:val="nil"/>
              <w:left w:val="nil"/>
              <w:bottom w:val="nil"/>
              <w:right w:val="nil"/>
            </w:tcBorders>
            <w:shd w:val="clear" w:color="auto" w:fill="auto"/>
            <w:noWrap/>
            <w:vAlign w:val="bottom"/>
            <w:hideMark/>
          </w:tcPr>
          <w:p w14:paraId="67E84339"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5467C60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2C25296D"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016E0E6B" w14:textId="77777777" w:rsidTr="00335B25">
        <w:trPr>
          <w:trHeight w:val="170"/>
        </w:trPr>
        <w:tc>
          <w:tcPr>
            <w:tcW w:w="2480" w:type="dxa"/>
            <w:tcBorders>
              <w:top w:val="nil"/>
              <w:left w:val="nil"/>
              <w:bottom w:val="nil"/>
              <w:right w:val="nil"/>
            </w:tcBorders>
            <w:shd w:val="clear" w:color="auto" w:fill="auto"/>
            <w:noWrap/>
            <w:vAlign w:val="bottom"/>
          </w:tcPr>
          <w:p w14:paraId="78D921B8" w14:textId="77777777" w:rsidR="00244248" w:rsidRPr="001358F5" w:rsidRDefault="00244248" w:rsidP="00335B25">
            <w:pPr>
              <w:spacing w:after="0" w:line="240" w:lineRule="auto"/>
              <w:rPr>
                <w:rFonts w:asciiTheme="majorHAnsi" w:eastAsia="Times New Roman" w:hAnsiTheme="majorHAnsi" w:cstheme="majorHAnsi"/>
                <w:b/>
                <w:bCs/>
                <w:color w:val="000000"/>
                <w:sz w:val="20"/>
                <w:szCs w:val="20"/>
                <w:lang w:eastAsia="en-AU"/>
              </w:rPr>
            </w:pPr>
            <w:r w:rsidRPr="001358F5">
              <w:rPr>
                <w:rFonts w:asciiTheme="majorHAnsi" w:eastAsia="Times New Roman" w:hAnsiTheme="majorHAnsi" w:cstheme="majorHAnsi"/>
                <w:b/>
                <w:bCs/>
                <w:color w:val="000000"/>
                <w:sz w:val="20"/>
                <w:szCs w:val="20"/>
                <w:lang w:eastAsia="en-AU"/>
              </w:rPr>
              <w:t>Relationship status</w:t>
            </w:r>
          </w:p>
        </w:tc>
        <w:tc>
          <w:tcPr>
            <w:tcW w:w="1773" w:type="dxa"/>
            <w:tcBorders>
              <w:top w:val="nil"/>
              <w:left w:val="nil"/>
              <w:bottom w:val="nil"/>
              <w:right w:val="nil"/>
            </w:tcBorders>
            <w:shd w:val="clear" w:color="auto" w:fill="auto"/>
            <w:noWrap/>
            <w:vAlign w:val="bottom"/>
          </w:tcPr>
          <w:p w14:paraId="3CEF87A8"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tcPr>
          <w:p w14:paraId="4C33FC97"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1B8AB71C" w14:textId="77777777" w:rsidTr="00335B25">
        <w:trPr>
          <w:trHeight w:val="170"/>
        </w:trPr>
        <w:tc>
          <w:tcPr>
            <w:tcW w:w="2480" w:type="dxa"/>
            <w:tcBorders>
              <w:top w:val="nil"/>
              <w:left w:val="nil"/>
              <w:bottom w:val="nil"/>
              <w:right w:val="nil"/>
            </w:tcBorders>
            <w:shd w:val="clear" w:color="auto" w:fill="auto"/>
            <w:noWrap/>
            <w:vAlign w:val="bottom"/>
          </w:tcPr>
          <w:p w14:paraId="762BBF03"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Married</w:t>
            </w:r>
          </w:p>
        </w:tc>
        <w:tc>
          <w:tcPr>
            <w:tcW w:w="1773" w:type="dxa"/>
            <w:tcBorders>
              <w:top w:val="nil"/>
              <w:left w:val="nil"/>
              <w:bottom w:val="nil"/>
              <w:right w:val="nil"/>
            </w:tcBorders>
            <w:shd w:val="clear" w:color="auto" w:fill="auto"/>
            <w:noWrap/>
            <w:vAlign w:val="bottom"/>
          </w:tcPr>
          <w:p w14:paraId="074BD360"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33</w:t>
            </w:r>
          </w:p>
        </w:tc>
        <w:tc>
          <w:tcPr>
            <w:tcW w:w="1843" w:type="dxa"/>
            <w:tcBorders>
              <w:top w:val="nil"/>
              <w:left w:val="nil"/>
              <w:bottom w:val="nil"/>
              <w:right w:val="nil"/>
            </w:tcBorders>
            <w:shd w:val="clear" w:color="auto" w:fill="auto"/>
            <w:noWrap/>
            <w:vAlign w:val="bottom"/>
          </w:tcPr>
          <w:p w14:paraId="02F8BD81"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32</w:t>
            </w:r>
          </w:p>
        </w:tc>
      </w:tr>
      <w:tr w:rsidR="00244248" w:rsidRPr="00A72CE9" w14:paraId="251ADB93" w14:textId="77777777" w:rsidTr="00335B25">
        <w:trPr>
          <w:trHeight w:val="170"/>
        </w:trPr>
        <w:tc>
          <w:tcPr>
            <w:tcW w:w="2480" w:type="dxa"/>
            <w:tcBorders>
              <w:top w:val="nil"/>
              <w:left w:val="nil"/>
              <w:bottom w:val="nil"/>
              <w:right w:val="nil"/>
            </w:tcBorders>
            <w:shd w:val="clear" w:color="auto" w:fill="auto"/>
            <w:noWrap/>
            <w:vAlign w:val="bottom"/>
          </w:tcPr>
          <w:p w14:paraId="339F7E53"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Cohabiting</w:t>
            </w:r>
          </w:p>
        </w:tc>
        <w:tc>
          <w:tcPr>
            <w:tcW w:w="1773" w:type="dxa"/>
            <w:tcBorders>
              <w:top w:val="nil"/>
              <w:left w:val="nil"/>
              <w:bottom w:val="nil"/>
              <w:right w:val="nil"/>
            </w:tcBorders>
            <w:shd w:val="clear" w:color="auto" w:fill="auto"/>
            <w:noWrap/>
            <w:vAlign w:val="bottom"/>
          </w:tcPr>
          <w:p w14:paraId="08BDF5C5"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44</w:t>
            </w:r>
          </w:p>
        </w:tc>
        <w:tc>
          <w:tcPr>
            <w:tcW w:w="1843" w:type="dxa"/>
            <w:tcBorders>
              <w:top w:val="nil"/>
              <w:left w:val="nil"/>
              <w:bottom w:val="nil"/>
              <w:right w:val="nil"/>
            </w:tcBorders>
            <w:shd w:val="clear" w:color="auto" w:fill="auto"/>
            <w:noWrap/>
            <w:vAlign w:val="bottom"/>
          </w:tcPr>
          <w:p w14:paraId="7A8A4235"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47</w:t>
            </w:r>
          </w:p>
        </w:tc>
      </w:tr>
      <w:tr w:rsidR="00244248" w:rsidRPr="00A72CE9" w14:paraId="67449244" w14:textId="77777777" w:rsidTr="00335B25">
        <w:trPr>
          <w:trHeight w:val="170"/>
        </w:trPr>
        <w:tc>
          <w:tcPr>
            <w:tcW w:w="2480" w:type="dxa"/>
            <w:tcBorders>
              <w:top w:val="nil"/>
              <w:left w:val="nil"/>
              <w:bottom w:val="nil"/>
              <w:right w:val="nil"/>
            </w:tcBorders>
            <w:shd w:val="clear" w:color="auto" w:fill="auto"/>
            <w:noWrap/>
            <w:vAlign w:val="bottom"/>
          </w:tcPr>
          <w:p w14:paraId="126654AC"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Single</w:t>
            </w:r>
          </w:p>
        </w:tc>
        <w:tc>
          <w:tcPr>
            <w:tcW w:w="1773" w:type="dxa"/>
            <w:tcBorders>
              <w:top w:val="nil"/>
              <w:left w:val="nil"/>
              <w:bottom w:val="nil"/>
              <w:right w:val="nil"/>
            </w:tcBorders>
            <w:shd w:val="clear" w:color="auto" w:fill="auto"/>
            <w:noWrap/>
            <w:vAlign w:val="bottom"/>
          </w:tcPr>
          <w:p w14:paraId="7ACAFBC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23</w:t>
            </w:r>
          </w:p>
        </w:tc>
        <w:tc>
          <w:tcPr>
            <w:tcW w:w="1843" w:type="dxa"/>
            <w:tcBorders>
              <w:top w:val="nil"/>
              <w:left w:val="nil"/>
              <w:bottom w:val="nil"/>
              <w:right w:val="nil"/>
            </w:tcBorders>
            <w:shd w:val="clear" w:color="auto" w:fill="auto"/>
            <w:noWrap/>
            <w:vAlign w:val="bottom"/>
          </w:tcPr>
          <w:p w14:paraId="582A3BCA"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20</w:t>
            </w:r>
          </w:p>
        </w:tc>
      </w:tr>
      <w:tr w:rsidR="00244248" w:rsidRPr="00A72CE9" w14:paraId="2612C829" w14:textId="77777777" w:rsidTr="00335B25">
        <w:trPr>
          <w:trHeight w:val="170"/>
        </w:trPr>
        <w:tc>
          <w:tcPr>
            <w:tcW w:w="2480" w:type="dxa"/>
            <w:tcBorders>
              <w:top w:val="nil"/>
              <w:left w:val="nil"/>
              <w:bottom w:val="nil"/>
              <w:right w:val="nil"/>
            </w:tcBorders>
            <w:shd w:val="clear" w:color="auto" w:fill="auto"/>
            <w:noWrap/>
            <w:vAlign w:val="bottom"/>
          </w:tcPr>
          <w:p w14:paraId="4CAC2B65"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tcPr>
          <w:p w14:paraId="0409A2BA"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tcPr>
          <w:p w14:paraId="00B475AB"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53CBB582" w14:textId="77777777" w:rsidTr="00335B25">
        <w:trPr>
          <w:trHeight w:val="170"/>
        </w:trPr>
        <w:tc>
          <w:tcPr>
            <w:tcW w:w="2480" w:type="dxa"/>
            <w:tcBorders>
              <w:top w:val="nil"/>
              <w:left w:val="nil"/>
              <w:bottom w:val="nil"/>
              <w:right w:val="nil"/>
            </w:tcBorders>
            <w:shd w:val="clear" w:color="auto" w:fill="auto"/>
            <w:noWrap/>
            <w:vAlign w:val="bottom"/>
            <w:hideMark/>
          </w:tcPr>
          <w:p w14:paraId="399598B9"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Mean household income</w:t>
            </w:r>
          </w:p>
        </w:tc>
        <w:tc>
          <w:tcPr>
            <w:tcW w:w="1773" w:type="dxa"/>
            <w:tcBorders>
              <w:top w:val="nil"/>
              <w:left w:val="nil"/>
              <w:bottom w:val="nil"/>
              <w:right w:val="nil"/>
            </w:tcBorders>
            <w:shd w:val="clear" w:color="auto" w:fill="auto"/>
            <w:noWrap/>
            <w:vAlign w:val="bottom"/>
            <w:hideMark/>
          </w:tcPr>
          <w:p w14:paraId="3B10CFA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$96,440</w:t>
            </w:r>
          </w:p>
        </w:tc>
        <w:tc>
          <w:tcPr>
            <w:tcW w:w="1843" w:type="dxa"/>
            <w:tcBorders>
              <w:top w:val="nil"/>
              <w:left w:val="nil"/>
              <w:bottom w:val="nil"/>
              <w:right w:val="nil"/>
            </w:tcBorders>
            <w:shd w:val="clear" w:color="auto" w:fill="auto"/>
            <w:noWrap/>
            <w:vAlign w:val="bottom"/>
            <w:hideMark/>
          </w:tcPr>
          <w:p w14:paraId="0EFB251E"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$68,425</w:t>
            </w:r>
          </w:p>
        </w:tc>
      </w:tr>
      <w:tr w:rsidR="00244248" w:rsidRPr="00A72CE9" w14:paraId="585BE785" w14:textId="77777777" w:rsidTr="00335B25">
        <w:trPr>
          <w:trHeight w:val="170"/>
        </w:trPr>
        <w:tc>
          <w:tcPr>
            <w:tcW w:w="2480" w:type="dxa"/>
            <w:tcBorders>
              <w:top w:val="nil"/>
              <w:left w:val="nil"/>
              <w:bottom w:val="nil"/>
              <w:right w:val="nil"/>
            </w:tcBorders>
            <w:shd w:val="clear" w:color="auto" w:fill="auto"/>
            <w:noWrap/>
            <w:vAlign w:val="bottom"/>
            <w:hideMark/>
          </w:tcPr>
          <w:p w14:paraId="48FF0C40"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7B85CCC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570E3D8B"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74686D9C" w14:textId="77777777" w:rsidTr="00335B25">
        <w:trPr>
          <w:trHeight w:val="170"/>
        </w:trPr>
        <w:tc>
          <w:tcPr>
            <w:tcW w:w="2480" w:type="dxa"/>
            <w:tcBorders>
              <w:top w:val="nil"/>
              <w:left w:val="nil"/>
              <w:bottom w:val="nil"/>
              <w:right w:val="nil"/>
            </w:tcBorders>
            <w:shd w:val="clear" w:color="auto" w:fill="auto"/>
            <w:noWrap/>
            <w:vAlign w:val="bottom"/>
            <w:hideMark/>
          </w:tcPr>
          <w:p w14:paraId="58CDB3FA"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Country of birth</w:t>
            </w:r>
          </w:p>
        </w:tc>
        <w:tc>
          <w:tcPr>
            <w:tcW w:w="1773" w:type="dxa"/>
            <w:tcBorders>
              <w:top w:val="nil"/>
              <w:left w:val="nil"/>
              <w:bottom w:val="nil"/>
              <w:right w:val="nil"/>
            </w:tcBorders>
            <w:shd w:val="clear" w:color="auto" w:fill="auto"/>
            <w:noWrap/>
            <w:vAlign w:val="bottom"/>
            <w:hideMark/>
          </w:tcPr>
          <w:p w14:paraId="667E75C7"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843" w:type="dxa"/>
            <w:tcBorders>
              <w:top w:val="nil"/>
              <w:left w:val="nil"/>
              <w:bottom w:val="nil"/>
              <w:right w:val="nil"/>
            </w:tcBorders>
            <w:shd w:val="clear" w:color="auto" w:fill="auto"/>
            <w:noWrap/>
            <w:vAlign w:val="bottom"/>
            <w:hideMark/>
          </w:tcPr>
          <w:p w14:paraId="1C794C1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F5279A0" w14:textId="77777777" w:rsidTr="00335B25">
        <w:trPr>
          <w:trHeight w:val="170"/>
        </w:trPr>
        <w:tc>
          <w:tcPr>
            <w:tcW w:w="2480" w:type="dxa"/>
            <w:tcBorders>
              <w:top w:val="nil"/>
              <w:left w:val="nil"/>
              <w:bottom w:val="nil"/>
              <w:right w:val="nil"/>
            </w:tcBorders>
            <w:shd w:val="clear" w:color="auto" w:fill="auto"/>
            <w:noWrap/>
            <w:vAlign w:val="bottom"/>
            <w:hideMark/>
          </w:tcPr>
          <w:p w14:paraId="6541EB69"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Born overseas</w:t>
            </w:r>
          </w:p>
        </w:tc>
        <w:tc>
          <w:tcPr>
            <w:tcW w:w="1773" w:type="dxa"/>
            <w:tcBorders>
              <w:top w:val="nil"/>
              <w:left w:val="nil"/>
              <w:bottom w:val="nil"/>
              <w:right w:val="nil"/>
            </w:tcBorders>
            <w:shd w:val="clear" w:color="auto" w:fill="auto"/>
            <w:noWrap/>
            <w:vAlign w:val="bottom"/>
            <w:hideMark/>
          </w:tcPr>
          <w:p w14:paraId="2CF1112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17</w:t>
            </w:r>
          </w:p>
        </w:tc>
        <w:tc>
          <w:tcPr>
            <w:tcW w:w="1843" w:type="dxa"/>
            <w:tcBorders>
              <w:top w:val="nil"/>
              <w:left w:val="nil"/>
              <w:bottom w:val="nil"/>
              <w:right w:val="nil"/>
            </w:tcBorders>
            <w:shd w:val="clear" w:color="auto" w:fill="auto"/>
            <w:noWrap/>
            <w:vAlign w:val="bottom"/>
            <w:hideMark/>
          </w:tcPr>
          <w:p w14:paraId="372C089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13</w:t>
            </w:r>
          </w:p>
        </w:tc>
      </w:tr>
      <w:tr w:rsidR="00244248" w:rsidRPr="00A72CE9" w14:paraId="33CDEEEF" w14:textId="77777777" w:rsidTr="00335B25">
        <w:trPr>
          <w:trHeight w:val="170"/>
        </w:trPr>
        <w:tc>
          <w:tcPr>
            <w:tcW w:w="2480" w:type="dxa"/>
            <w:tcBorders>
              <w:top w:val="nil"/>
              <w:left w:val="nil"/>
              <w:bottom w:val="nil"/>
              <w:right w:val="nil"/>
            </w:tcBorders>
            <w:shd w:val="clear" w:color="auto" w:fill="auto"/>
            <w:noWrap/>
            <w:vAlign w:val="bottom"/>
            <w:hideMark/>
          </w:tcPr>
          <w:p w14:paraId="0A10B0C4"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Born in Australia</w:t>
            </w:r>
          </w:p>
        </w:tc>
        <w:tc>
          <w:tcPr>
            <w:tcW w:w="1773" w:type="dxa"/>
            <w:tcBorders>
              <w:top w:val="nil"/>
              <w:left w:val="nil"/>
              <w:bottom w:val="nil"/>
              <w:right w:val="nil"/>
            </w:tcBorders>
            <w:shd w:val="clear" w:color="auto" w:fill="auto"/>
            <w:noWrap/>
            <w:vAlign w:val="bottom"/>
            <w:hideMark/>
          </w:tcPr>
          <w:p w14:paraId="3D5A072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83</w:t>
            </w:r>
          </w:p>
        </w:tc>
        <w:tc>
          <w:tcPr>
            <w:tcW w:w="1843" w:type="dxa"/>
            <w:tcBorders>
              <w:top w:val="nil"/>
              <w:left w:val="nil"/>
              <w:bottom w:val="nil"/>
              <w:right w:val="nil"/>
            </w:tcBorders>
            <w:shd w:val="clear" w:color="auto" w:fill="auto"/>
            <w:noWrap/>
            <w:vAlign w:val="bottom"/>
            <w:hideMark/>
          </w:tcPr>
          <w:p w14:paraId="41D2172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87</w:t>
            </w:r>
          </w:p>
        </w:tc>
      </w:tr>
      <w:tr w:rsidR="00244248" w:rsidRPr="00A72CE9" w14:paraId="31109474" w14:textId="77777777" w:rsidTr="00335B25">
        <w:trPr>
          <w:trHeight w:val="170"/>
        </w:trPr>
        <w:tc>
          <w:tcPr>
            <w:tcW w:w="2480" w:type="dxa"/>
            <w:tcBorders>
              <w:top w:val="nil"/>
              <w:left w:val="nil"/>
              <w:bottom w:val="nil"/>
              <w:right w:val="nil"/>
            </w:tcBorders>
            <w:shd w:val="clear" w:color="auto" w:fill="auto"/>
            <w:noWrap/>
            <w:vAlign w:val="bottom"/>
            <w:hideMark/>
          </w:tcPr>
          <w:p w14:paraId="7E540529"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7856FAE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3BE3E68D"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6F7984D8" w14:textId="77777777" w:rsidTr="00335B25">
        <w:trPr>
          <w:trHeight w:val="170"/>
        </w:trPr>
        <w:tc>
          <w:tcPr>
            <w:tcW w:w="2480" w:type="dxa"/>
            <w:tcBorders>
              <w:top w:val="nil"/>
              <w:left w:val="nil"/>
              <w:bottom w:val="nil"/>
              <w:right w:val="nil"/>
            </w:tcBorders>
            <w:shd w:val="clear" w:color="auto" w:fill="auto"/>
            <w:noWrap/>
            <w:vAlign w:val="bottom"/>
            <w:hideMark/>
          </w:tcPr>
          <w:p w14:paraId="641BE8D3"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Employment status</w:t>
            </w:r>
          </w:p>
        </w:tc>
        <w:tc>
          <w:tcPr>
            <w:tcW w:w="1773" w:type="dxa"/>
            <w:tcBorders>
              <w:top w:val="nil"/>
              <w:left w:val="nil"/>
              <w:bottom w:val="nil"/>
              <w:right w:val="nil"/>
            </w:tcBorders>
            <w:shd w:val="clear" w:color="auto" w:fill="auto"/>
            <w:noWrap/>
            <w:vAlign w:val="bottom"/>
            <w:hideMark/>
          </w:tcPr>
          <w:p w14:paraId="1DBFD9D2"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843" w:type="dxa"/>
            <w:tcBorders>
              <w:top w:val="nil"/>
              <w:left w:val="nil"/>
              <w:bottom w:val="nil"/>
              <w:right w:val="nil"/>
            </w:tcBorders>
            <w:shd w:val="clear" w:color="auto" w:fill="auto"/>
            <w:noWrap/>
            <w:vAlign w:val="bottom"/>
            <w:hideMark/>
          </w:tcPr>
          <w:p w14:paraId="641407BB"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75BBCB1" w14:textId="77777777" w:rsidTr="00335B25">
        <w:trPr>
          <w:trHeight w:val="170"/>
        </w:trPr>
        <w:tc>
          <w:tcPr>
            <w:tcW w:w="2480" w:type="dxa"/>
            <w:tcBorders>
              <w:top w:val="nil"/>
              <w:left w:val="nil"/>
              <w:bottom w:val="nil"/>
              <w:right w:val="nil"/>
            </w:tcBorders>
            <w:shd w:val="clear" w:color="auto" w:fill="auto"/>
            <w:noWrap/>
            <w:vAlign w:val="bottom"/>
            <w:hideMark/>
          </w:tcPr>
          <w:p w14:paraId="23EA5299"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Permanent ft</w:t>
            </w:r>
          </w:p>
        </w:tc>
        <w:tc>
          <w:tcPr>
            <w:tcW w:w="1773" w:type="dxa"/>
            <w:tcBorders>
              <w:top w:val="nil"/>
              <w:left w:val="nil"/>
              <w:bottom w:val="nil"/>
              <w:right w:val="nil"/>
            </w:tcBorders>
            <w:shd w:val="clear" w:color="auto" w:fill="auto"/>
            <w:noWrap/>
            <w:vAlign w:val="bottom"/>
            <w:hideMark/>
          </w:tcPr>
          <w:p w14:paraId="6F6F826F"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49</w:t>
            </w:r>
          </w:p>
        </w:tc>
        <w:tc>
          <w:tcPr>
            <w:tcW w:w="1843" w:type="dxa"/>
            <w:tcBorders>
              <w:top w:val="nil"/>
              <w:left w:val="nil"/>
              <w:bottom w:val="nil"/>
              <w:right w:val="nil"/>
            </w:tcBorders>
            <w:shd w:val="clear" w:color="auto" w:fill="auto"/>
            <w:noWrap/>
            <w:vAlign w:val="bottom"/>
            <w:hideMark/>
          </w:tcPr>
          <w:p w14:paraId="23EBC7C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w:t>
            </w:r>
          </w:p>
        </w:tc>
      </w:tr>
      <w:tr w:rsidR="00244248" w:rsidRPr="00A72CE9" w14:paraId="36078BA4" w14:textId="77777777" w:rsidTr="00335B25">
        <w:trPr>
          <w:trHeight w:val="170"/>
        </w:trPr>
        <w:tc>
          <w:tcPr>
            <w:tcW w:w="2480" w:type="dxa"/>
            <w:tcBorders>
              <w:top w:val="nil"/>
              <w:left w:val="nil"/>
              <w:bottom w:val="nil"/>
              <w:right w:val="nil"/>
            </w:tcBorders>
            <w:shd w:val="clear" w:color="auto" w:fill="auto"/>
            <w:noWrap/>
            <w:vAlign w:val="bottom"/>
            <w:hideMark/>
          </w:tcPr>
          <w:p w14:paraId="056289E7"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Permanent pt</w:t>
            </w:r>
          </w:p>
        </w:tc>
        <w:tc>
          <w:tcPr>
            <w:tcW w:w="1773" w:type="dxa"/>
            <w:tcBorders>
              <w:top w:val="nil"/>
              <w:left w:val="nil"/>
              <w:bottom w:val="nil"/>
              <w:right w:val="nil"/>
            </w:tcBorders>
            <w:shd w:val="clear" w:color="auto" w:fill="auto"/>
            <w:noWrap/>
            <w:vAlign w:val="bottom"/>
            <w:hideMark/>
          </w:tcPr>
          <w:p w14:paraId="30510DD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19</w:t>
            </w:r>
          </w:p>
        </w:tc>
        <w:tc>
          <w:tcPr>
            <w:tcW w:w="1843" w:type="dxa"/>
            <w:tcBorders>
              <w:top w:val="nil"/>
              <w:left w:val="nil"/>
              <w:bottom w:val="nil"/>
              <w:right w:val="nil"/>
            </w:tcBorders>
            <w:shd w:val="clear" w:color="auto" w:fill="auto"/>
            <w:noWrap/>
            <w:vAlign w:val="bottom"/>
            <w:hideMark/>
          </w:tcPr>
          <w:p w14:paraId="308D411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w:t>
            </w:r>
          </w:p>
        </w:tc>
      </w:tr>
      <w:tr w:rsidR="00244248" w:rsidRPr="00A72CE9" w14:paraId="152BB681" w14:textId="77777777" w:rsidTr="00335B25">
        <w:trPr>
          <w:trHeight w:val="170"/>
        </w:trPr>
        <w:tc>
          <w:tcPr>
            <w:tcW w:w="2480" w:type="dxa"/>
            <w:tcBorders>
              <w:top w:val="nil"/>
              <w:left w:val="nil"/>
              <w:bottom w:val="nil"/>
              <w:right w:val="nil"/>
            </w:tcBorders>
            <w:shd w:val="clear" w:color="auto" w:fill="auto"/>
            <w:noWrap/>
            <w:vAlign w:val="bottom"/>
            <w:hideMark/>
          </w:tcPr>
          <w:p w14:paraId="5A84DC75"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Casual  ft</w:t>
            </w:r>
          </w:p>
        </w:tc>
        <w:tc>
          <w:tcPr>
            <w:tcW w:w="1773" w:type="dxa"/>
            <w:tcBorders>
              <w:top w:val="nil"/>
              <w:left w:val="nil"/>
              <w:bottom w:val="nil"/>
              <w:right w:val="nil"/>
            </w:tcBorders>
            <w:shd w:val="clear" w:color="auto" w:fill="auto"/>
            <w:noWrap/>
            <w:vAlign w:val="bottom"/>
            <w:hideMark/>
          </w:tcPr>
          <w:p w14:paraId="360A5217"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5</w:t>
            </w:r>
          </w:p>
        </w:tc>
        <w:tc>
          <w:tcPr>
            <w:tcW w:w="1843" w:type="dxa"/>
            <w:tcBorders>
              <w:top w:val="nil"/>
              <w:left w:val="nil"/>
              <w:bottom w:val="nil"/>
              <w:right w:val="nil"/>
            </w:tcBorders>
            <w:shd w:val="clear" w:color="auto" w:fill="auto"/>
            <w:noWrap/>
            <w:vAlign w:val="bottom"/>
            <w:hideMark/>
          </w:tcPr>
          <w:p w14:paraId="44FC112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w:t>
            </w:r>
          </w:p>
        </w:tc>
      </w:tr>
      <w:tr w:rsidR="00244248" w:rsidRPr="00A72CE9" w14:paraId="3041B690" w14:textId="77777777" w:rsidTr="00335B25">
        <w:trPr>
          <w:trHeight w:val="170"/>
        </w:trPr>
        <w:tc>
          <w:tcPr>
            <w:tcW w:w="2480" w:type="dxa"/>
            <w:tcBorders>
              <w:top w:val="nil"/>
              <w:left w:val="nil"/>
              <w:bottom w:val="nil"/>
              <w:right w:val="nil"/>
            </w:tcBorders>
            <w:shd w:val="clear" w:color="auto" w:fill="auto"/>
            <w:noWrap/>
            <w:vAlign w:val="bottom"/>
            <w:hideMark/>
          </w:tcPr>
          <w:p w14:paraId="49052D75"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Casual pt</w:t>
            </w:r>
          </w:p>
        </w:tc>
        <w:tc>
          <w:tcPr>
            <w:tcW w:w="1773" w:type="dxa"/>
            <w:tcBorders>
              <w:top w:val="nil"/>
              <w:left w:val="nil"/>
              <w:bottom w:val="nil"/>
              <w:right w:val="nil"/>
            </w:tcBorders>
            <w:shd w:val="clear" w:color="auto" w:fill="auto"/>
            <w:noWrap/>
            <w:vAlign w:val="bottom"/>
            <w:hideMark/>
          </w:tcPr>
          <w:p w14:paraId="66ADBCF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16</w:t>
            </w:r>
          </w:p>
        </w:tc>
        <w:tc>
          <w:tcPr>
            <w:tcW w:w="1843" w:type="dxa"/>
            <w:tcBorders>
              <w:top w:val="nil"/>
              <w:left w:val="nil"/>
              <w:bottom w:val="nil"/>
              <w:right w:val="nil"/>
            </w:tcBorders>
            <w:shd w:val="clear" w:color="auto" w:fill="auto"/>
            <w:noWrap/>
            <w:vAlign w:val="bottom"/>
            <w:hideMark/>
          </w:tcPr>
          <w:p w14:paraId="32382DC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w:t>
            </w:r>
          </w:p>
        </w:tc>
      </w:tr>
      <w:tr w:rsidR="00244248" w:rsidRPr="00A72CE9" w14:paraId="6382573C" w14:textId="77777777" w:rsidTr="00335B25">
        <w:trPr>
          <w:trHeight w:val="170"/>
        </w:trPr>
        <w:tc>
          <w:tcPr>
            <w:tcW w:w="2480" w:type="dxa"/>
            <w:tcBorders>
              <w:top w:val="nil"/>
              <w:left w:val="nil"/>
              <w:bottom w:val="nil"/>
              <w:right w:val="nil"/>
            </w:tcBorders>
            <w:shd w:val="clear" w:color="auto" w:fill="auto"/>
            <w:noWrap/>
            <w:vAlign w:val="bottom"/>
            <w:hideMark/>
          </w:tcPr>
          <w:p w14:paraId="640588C7"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Self-employed</w:t>
            </w:r>
          </w:p>
        </w:tc>
        <w:tc>
          <w:tcPr>
            <w:tcW w:w="1773" w:type="dxa"/>
            <w:tcBorders>
              <w:top w:val="nil"/>
              <w:left w:val="nil"/>
              <w:bottom w:val="nil"/>
              <w:right w:val="nil"/>
            </w:tcBorders>
            <w:shd w:val="clear" w:color="auto" w:fill="auto"/>
            <w:noWrap/>
            <w:vAlign w:val="bottom"/>
            <w:hideMark/>
          </w:tcPr>
          <w:p w14:paraId="435D2BA9"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w:t>
            </w:r>
          </w:p>
        </w:tc>
        <w:tc>
          <w:tcPr>
            <w:tcW w:w="1843" w:type="dxa"/>
            <w:tcBorders>
              <w:top w:val="nil"/>
              <w:left w:val="nil"/>
              <w:bottom w:val="nil"/>
              <w:right w:val="nil"/>
            </w:tcBorders>
            <w:shd w:val="clear" w:color="auto" w:fill="auto"/>
            <w:noWrap/>
            <w:vAlign w:val="bottom"/>
            <w:hideMark/>
          </w:tcPr>
          <w:p w14:paraId="6860C56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w:t>
            </w:r>
          </w:p>
        </w:tc>
      </w:tr>
      <w:tr w:rsidR="00244248" w:rsidRPr="00A72CE9" w14:paraId="65635010" w14:textId="77777777" w:rsidTr="00335B25">
        <w:trPr>
          <w:trHeight w:val="170"/>
        </w:trPr>
        <w:tc>
          <w:tcPr>
            <w:tcW w:w="2480" w:type="dxa"/>
            <w:tcBorders>
              <w:top w:val="nil"/>
              <w:left w:val="nil"/>
              <w:bottom w:val="nil"/>
              <w:right w:val="nil"/>
            </w:tcBorders>
            <w:shd w:val="clear" w:color="auto" w:fill="auto"/>
            <w:noWrap/>
            <w:vAlign w:val="bottom"/>
            <w:hideMark/>
          </w:tcPr>
          <w:p w14:paraId="1A598FEF"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Not working</w:t>
            </w:r>
          </w:p>
        </w:tc>
        <w:tc>
          <w:tcPr>
            <w:tcW w:w="1773" w:type="dxa"/>
            <w:tcBorders>
              <w:top w:val="nil"/>
              <w:left w:val="nil"/>
              <w:bottom w:val="nil"/>
              <w:right w:val="nil"/>
            </w:tcBorders>
            <w:shd w:val="clear" w:color="auto" w:fill="auto"/>
            <w:noWrap/>
            <w:vAlign w:val="bottom"/>
            <w:hideMark/>
          </w:tcPr>
          <w:p w14:paraId="78F39651"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5</w:t>
            </w:r>
          </w:p>
        </w:tc>
        <w:tc>
          <w:tcPr>
            <w:tcW w:w="1843" w:type="dxa"/>
            <w:tcBorders>
              <w:top w:val="nil"/>
              <w:left w:val="nil"/>
              <w:bottom w:val="nil"/>
              <w:right w:val="nil"/>
            </w:tcBorders>
            <w:shd w:val="clear" w:color="auto" w:fill="auto"/>
            <w:noWrap/>
            <w:vAlign w:val="bottom"/>
            <w:hideMark/>
          </w:tcPr>
          <w:p w14:paraId="33DAA11B"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80</w:t>
            </w:r>
          </w:p>
        </w:tc>
      </w:tr>
      <w:tr w:rsidR="00244248" w:rsidRPr="00A72CE9" w14:paraId="2F17FEB6" w14:textId="77777777" w:rsidTr="00335B25">
        <w:trPr>
          <w:trHeight w:val="170"/>
        </w:trPr>
        <w:tc>
          <w:tcPr>
            <w:tcW w:w="2480" w:type="dxa"/>
            <w:tcBorders>
              <w:top w:val="nil"/>
              <w:left w:val="nil"/>
              <w:bottom w:val="nil"/>
              <w:right w:val="nil"/>
            </w:tcBorders>
            <w:shd w:val="clear" w:color="auto" w:fill="auto"/>
            <w:noWrap/>
            <w:vAlign w:val="bottom"/>
            <w:hideMark/>
          </w:tcPr>
          <w:p w14:paraId="2E036C0D"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5454FA53"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5B14268E"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1ED26427" w14:textId="77777777" w:rsidTr="00335B25">
        <w:trPr>
          <w:trHeight w:val="170"/>
        </w:trPr>
        <w:tc>
          <w:tcPr>
            <w:tcW w:w="6096" w:type="dxa"/>
            <w:gridSpan w:val="3"/>
            <w:tcBorders>
              <w:top w:val="nil"/>
              <w:left w:val="nil"/>
              <w:bottom w:val="nil"/>
              <w:right w:val="nil"/>
            </w:tcBorders>
            <w:shd w:val="clear" w:color="auto" w:fill="auto"/>
            <w:noWrap/>
            <w:vAlign w:val="bottom"/>
            <w:hideMark/>
          </w:tcPr>
          <w:p w14:paraId="46935FE3"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Aboriginal or Torres Strait Islander</w:t>
            </w:r>
          </w:p>
        </w:tc>
      </w:tr>
      <w:tr w:rsidR="00244248" w:rsidRPr="00A72CE9" w14:paraId="0BDC1967" w14:textId="77777777" w:rsidTr="00335B25">
        <w:trPr>
          <w:trHeight w:val="170"/>
        </w:trPr>
        <w:tc>
          <w:tcPr>
            <w:tcW w:w="2480" w:type="dxa"/>
            <w:tcBorders>
              <w:top w:val="nil"/>
              <w:left w:val="nil"/>
              <w:bottom w:val="nil"/>
              <w:right w:val="nil"/>
            </w:tcBorders>
            <w:shd w:val="clear" w:color="auto" w:fill="auto"/>
            <w:noWrap/>
            <w:vAlign w:val="bottom"/>
            <w:hideMark/>
          </w:tcPr>
          <w:p w14:paraId="0858FA19"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Yes</w:t>
            </w:r>
          </w:p>
        </w:tc>
        <w:tc>
          <w:tcPr>
            <w:tcW w:w="1773" w:type="dxa"/>
            <w:tcBorders>
              <w:top w:val="nil"/>
              <w:left w:val="nil"/>
              <w:bottom w:val="nil"/>
              <w:right w:val="nil"/>
            </w:tcBorders>
            <w:shd w:val="clear" w:color="auto" w:fill="auto"/>
            <w:noWrap/>
            <w:vAlign w:val="bottom"/>
            <w:hideMark/>
          </w:tcPr>
          <w:p w14:paraId="587F40F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w:t>
            </w:r>
          </w:p>
        </w:tc>
        <w:tc>
          <w:tcPr>
            <w:tcW w:w="1843" w:type="dxa"/>
            <w:tcBorders>
              <w:top w:val="nil"/>
              <w:left w:val="nil"/>
              <w:bottom w:val="nil"/>
              <w:right w:val="nil"/>
            </w:tcBorders>
            <w:shd w:val="clear" w:color="auto" w:fill="auto"/>
            <w:noWrap/>
            <w:vAlign w:val="bottom"/>
            <w:hideMark/>
          </w:tcPr>
          <w:p w14:paraId="24EBF9D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w:t>
            </w:r>
          </w:p>
        </w:tc>
      </w:tr>
      <w:tr w:rsidR="00244248" w:rsidRPr="00A72CE9" w14:paraId="365BE2CC" w14:textId="77777777" w:rsidTr="00335B25">
        <w:trPr>
          <w:trHeight w:val="170"/>
        </w:trPr>
        <w:tc>
          <w:tcPr>
            <w:tcW w:w="2480" w:type="dxa"/>
            <w:tcBorders>
              <w:top w:val="nil"/>
              <w:left w:val="nil"/>
              <w:bottom w:val="nil"/>
              <w:right w:val="nil"/>
            </w:tcBorders>
            <w:shd w:val="clear" w:color="auto" w:fill="auto"/>
            <w:noWrap/>
            <w:vAlign w:val="bottom"/>
            <w:hideMark/>
          </w:tcPr>
          <w:p w14:paraId="15C740AA"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No</w:t>
            </w:r>
          </w:p>
        </w:tc>
        <w:tc>
          <w:tcPr>
            <w:tcW w:w="1773" w:type="dxa"/>
            <w:tcBorders>
              <w:top w:val="nil"/>
              <w:left w:val="nil"/>
              <w:bottom w:val="nil"/>
              <w:right w:val="nil"/>
            </w:tcBorders>
            <w:shd w:val="clear" w:color="auto" w:fill="auto"/>
            <w:noWrap/>
            <w:vAlign w:val="bottom"/>
            <w:hideMark/>
          </w:tcPr>
          <w:p w14:paraId="18086EB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98</w:t>
            </w:r>
          </w:p>
        </w:tc>
        <w:tc>
          <w:tcPr>
            <w:tcW w:w="1843" w:type="dxa"/>
            <w:tcBorders>
              <w:top w:val="nil"/>
              <w:left w:val="nil"/>
              <w:bottom w:val="nil"/>
              <w:right w:val="nil"/>
            </w:tcBorders>
            <w:shd w:val="clear" w:color="auto" w:fill="auto"/>
            <w:noWrap/>
            <w:vAlign w:val="bottom"/>
            <w:hideMark/>
          </w:tcPr>
          <w:p w14:paraId="168CE5E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94</w:t>
            </w:r>
          </w:p>
        </w:tc>
      </w:tr>
      <w:tr w:rsidR="00244248" w:rsidRPr="00A72CE9" w14:paraId="0B345611" w14:textId="77777777" w:rsidTr="00335B25">
        <w:trPr>
          <w:trHeight w:val="170"/>
        </w:trPr>
        <w:tc>
          <w:tcPr>
            <w:tcW w:w="2480" w:type="dxa"/>
            <w:tcBorders>
              <w:top w:val="nil"/>
              <w:left w:val="nil"/>
              <w:bottom w:val="nil"/>
              <w:right w:val="nil"/>
            </w:tcBorders>
            <w:shd w:val="clear" w:color="auto" w:fill="auto"/>
            <w:noWrap/>
            <w:vAlign w:val="bottom"/>
            <w:hideMark/>
          </w:tcPr>
          <w:p w14:paraId="7E1881D3"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0D397411"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70265FC1"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566FA39F" w14:textId="77777777" w:rsidTr="00335B25">
        <w:trPr>
          <w:trHeight w:val="170"/>
        </w:trPr>
        <w:tc>
          <w:tcPr>
            <w:tcW w:w="2480" w:type="dxa"/>
            <w:tcBorders>
              <w:top w:val="nil"/>
              <w:left w:val="nil"/>
              <w:bottom w:val="nil"/>
              <w:right w:val="nil"/>
            </w:tcBorders>
            <w:shd w:val="clear" w:color="auto" w:fill="auto"/>
            <w:noWrap/>
            <w:vAlign w:val="bottom"/>
            <w:hideMark/>
          </w:tcPr>
          <w:p w14:paraId="71D693D4"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Remoteness</w:t>
            </w:r>
          </w:p>
        </w:tc>
        <w:tc>
          <w:tcPr>
            <w:tcW w:w="1773" w:type="dxa"/>
            <w:tcBorders>
              <w:top w:val="nil"/>
              <w:left w:val="nil"/>
              <w:bottom w:val="nil"/>
              <w:right w:val="nil"/>
            </w:tcBorders>
            <w:shd w:val="clear" w:color="auto" w:fill="auto"/>
            <w:noWrap/>
            <w:vAlign w:val="bottom"/>
            <w:hideMark/>
          </w:tcPr>
          <w:p w14:paraId="4FF21B0F"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843" w:type="dxa"/>
            <w:tcBorders>
              <w:top w:val="nil"/>
              <w:left w:val="nil"/>
              <w:bottom w:val="nil"/>
              <w:right w:val="nil"/>
            </w:tcBorders>
            <w:shd w:val="clear" w:color="auto" w:fill="auto"/>
            <w:noWrap/>
            <w:vAlign w:val="bottom"/>
            <w:hideMark/>
          </w:tcPr>
          <w:p w14:paraId="1604EFC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4EBB7C28" w14:textId="77777777" w:rsidTr="00335B25">
        <w:trPr>
          <w:trHeight w:val="170"/>
        </w:trPr>
        <w:tc>
          <w:tcPr>
            <w:tcW w:w="2480" w:type="dxa"/>
            <w:tcBorders>
              <w:top w:val="nil"/>
              <w:left w:val="nil"/>
              <w:bottom w:val="nil"/>
              <w:right w:val="nil"/>
            </w:tcBorders>
            <w:shd w:val="clear" w:color="auto" w:fill="auto"/>
            <w:noWrap/>
            <w:vAlign w:val="bottom"/>
            <w:hideMark/>
          </w:tcPr>
          <w:p w14:paraId="13E4EE0B"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Major city</w:t>
            </w:r>
          </w:p>
        </w:tc>
        <w:tc>
          <w:tcPr>
            <w:tcW w:w="1773" w:type="dxa"/>
            <w:tcBorders>
              <w:top w:val="nil"/>
              <w:left w:val="nil"/>
              <w:bottom w:val="nil"/>
              <w:right w:val="nil"/>
            </w:tcBorders>
            <w:shd w:val="clear" w:color="auto" w:fill="auto"/>
            <w:noWrap/>
            <w:vAlign w:val="bottom"/>
            <w:hideMark/>
          </w:tcPr>
          <w:p w14:paraId="508CE95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71</w:t>
            </w:r>
          </w:p>
        </w:tc>
        <w:tc>
          <w:tcPr>
            <w:tcW w:w="1843" w:type="dxa"/>
            <w:tcBorders>
              <w:top w:val="nil"/>
              <w:left w:val="nil"/>
              <w:bottom w:val="nil"/>
              <w:right w:val="nil"/>
            </w:tcBorders>
            <w:shd w:val="clear" w:color="auto" w:fill="auto"/>
            <w:noWrap/>
            <w:vAlign w:val="bottom"/>
            <w:hideMark/>
          </w:tcPr>
          <w:p w14:paraId="48DFDA0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68</w:t>
            </w:r>
          </w:p>
        </w:tc>
      </w:tr>
      <w:tr w:rsidR="00244248" w:rsidRPr="00A72CE9" w14:paraId="06F9906E" w14:textId="77777777" w:rsidTr="00335B25">
        <w:trPr>
          <w:trHeight w:val="170"/>
        </w:trPr>
        <w:tc>
          <w:tcPr>
            <w:tcW w:w="2480" w:type="dxa"/>
            <w:tcBorders>
              <w:top w:val="nil"/>
              <w:left w:val="nil"/>
              <w:bottom w:val="nil"/>
              <w:right w:val="nil"/>
            </w:tcBorders>
            <w:shd w:val="clear" w:color="auto" w:fill="auto"/>
            <w:noWrap/>
            <w:vAlign w:val="bottom"/>
            <w:hideMark/>
          </w:tcPr>
          <w:p w14:paraId="0996E6EC"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Inner regional</w:t>
            </w:r>
          </w:p>
        </w:tc>
        <w:tc>
          <w:tcPr>
            <w:tcW w:w="1773" w:type="dxa"/>
            <w:tcBorders>
              <w:top w:val="nil"/>
              <w:left w:val="nil"/>
              <w:bottom w:val="nil"/>
              <w:right w:val="nil"/>
            </w:tcBorders>
            <w:shd w:val="clear" w:color="auto" w:fill="auto"/>
            <w:noWrap/>
            <w:vAlign w:val="bottom"/>
            <w:hideMark/>
          </w:tcPr>
          <w:p w14:paraId="7D259DC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18</w:t>
            </w:r>
          </w:p>
        </w:tc>
        <w:tc>
          <w:tcPr>
            <w:tcW w:w="1843" w:type="dxa"/>
            <w:tcBorders>
              <w:top w:val="nil"/>
              <w:left w:val="nil"/>
              <w:bottom w:val="nil"/>
              <w:right w:val="nil"/>
            </w:tcBorders>
            <w:shd w:val="clear" w:color="auto" w:fill="auto"/>
            <w:noWrap/>
            <w:vAlign w:val="bottom"/>
            <w:hideMark/>
          </w:tcPr>
          <w:p w14:paraId="27230EC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20</w:t>
            </w:r>
          </w:p>
        </w:tc>
      </w:tr>
      <w:tr w:rsidR="00244248" w:rsidRPr="00A72CE9" w14:paraId="190008F5" w14:textId="77777777" w:rsidTr="00335B25">
        <w:trPr>
          <w:trHeight w:val="170"/>
        </w:trPr>
        <w:tc>
          <w:tcPr>
            <w:tcW w:w="2480" w:type="dxa"/>
            <w:tcBorders>
              <w:top w:val="nil"/>
              <w:left w:val="nil"/>
              <w:right w:val="nil"/>
            </w:tcBorders>
            <w:shd w:val="clear" w:color="auto" w:fill="auto"/>
            <w:noWrap/>
            <w:vAlign w:val="bottom"/>
            <w:hideMark/>
          </w:tcPr>
          <w:p w14:paraId="2F2673AD"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Outer regional or remote</w:t>
            </w:r>
          </w:p>
        </w:tc>
        <w:tc>
          <w:tcPr>
            <w:tcW w:w="1773" w:type="dxa"/>
            <w:tcBorders>
              <w:top w:val="nil"/>
              <w:left w:val="nil"/>
              <w:right w:val="nil"/>
            </w:tcBorders>
            <w:shd w:val="clear" w:color="auto" w:fill="auto"/>
            <w:noWrap/>
            <w:vAlign w:val="bottom"/>
            <w:hideMark/>
          </w:tcPr>
          <w:p w14:paraId="713071A9"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11</w:t>
            </w:r>
          </w:p>
        </w:tc>
        <w:tc>
          <w:tcPr>
            <w:tcW w:w="1843" w:type="dxa"/>
            <w:tcBorders>
              <w:top w:val="nil"/>
              <w:left w:val="nil"/>
              <w:right w:val="nil"/>
            </w:tcBorders>
            <w:shd w:val="clear" w:color="auto" w:fill="auto"/>
            <w:noWrap/>
            <w:vAlign w:val="bottom"/>
            <w:hideMark/>
          </w:tcPr>
          <w:p w14:paraId="6A855AF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13</w:t>
            </w:r>
          </w:p>
        </w:tc>
      </w:tr>
      <w:tr w:rsidR="00244248" w:rsidRPr="00A72CE9" w14:paraId="38CF24AB" w14:textId="77777777" w:rsidTr="00335B25">
        <w:trPr>
          <w:trHeight w:val="170"/>
        </w:trPr>
        <w:tc>
          <w:tcPr>
            <w:tcW w:w="2480" w:type="dxa"/>
            <w:tcBorders>
              <w:top w:val="single" w:sz="4" w:space="0" w:color="ED7D31" w:themeColor="accent2"/>
              <w:left w:val="nil"/>
              <w:right w:val="nil"/>
            </w:tcBorders>
            <w:shd w:val="clear" w:color="auto" w:fill="auto"/>
            <w:noWrap/>
            <w:vAlign w:val="bottom"/>
            <w:hideMark/>
          </w:tcPr>
          <w:p w14:paraId="31645434"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Number of observations</w:t>
            </w:r>
          </w:p>
        </w:tc>
        <w:tc>
          <w:tcPr>
            <w:tcW w:w="1773" w:type="dxa"/>
            <w:tcBorders>
              <w:top w:val="single" w:sz="4" w:space="0" w:color="ED7D31" w:themeColor="accent2"/>
              <w:left w:val="nil"/>
              <w:right w:val="nil"/>
            </w:tcBorders>
            <w:shd w:val="clear" w:color="auto" w:fill="auto"/>
            <w:noWrap/>
            <w:vAlign w:val="bottom"/>
            <w:hideMark/>
          </w:tcPr>
          <w:p w14:paraId="70FF2761"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25,254</w:t>
            </w:r>
          </w:p>
        </w:tc>
        <w:tc>
          <w:tcPr>
            <w:tcW w:w="1843" w:type="dxa"/>
            <w:tcBorders>
              <w:top w:val="single" w:sz="4" w:space="0" w:color="ED7D31" w:themeColor="accent2"/>
              <w:left w:val="nil"/>
              <w:right w:val="nil"/>
            </w:tcBorders>
            <w:shd w:val="clear" w:color="auto" w:fill="auto"/>
            <w:noWrap/>
            <w:vAlign w:val="bottom"/>
            <w:hideMark/>
          </w:tcPr>
          <w:p w14:paraId="0796A1F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10,627</w:t>
            </w:r>
          </w:p>
        </w:tc>
      </w:tr>
      <w:tr w:rsidR="00244248" w:rsidRPr="00A72CE9" w14:paraId="0B8A4F9A" w14:textId="77777777" w:rsidTr="00335B25">
        <w:trPr>
          <w:trHeight w:val="170"/>
        </w:trPr>
        <w:tc>
          <w:tcPr>
            <w:tcW w:w="2480" w:type="dxa"/>
            <w:tcBorders>
              <w:top w:val="nil"/>
              <w:left w:val="nil"/>
              <w:bottom w:val="single" w:sz="4" w:space="0" w:color="ED7D31" w:themeColor="accent2"/>
              <w:right w:val="nil"/>
            </w:tcBorders>
            <w:shd w:val="clear" w:color="auto" w:fill="auto"/>
            <w:noWrap/>
            <w:vAlign w:val="bottom"/>
            <w:hideMark/>
          </w:tcPr>
          <w:p w14:paraId="7DBE7B99"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Number of women</w:t>
            </w:r>
          </w:p>
        </w:tc>
        <w:tc>
          <w:tcPr>
            <w:tcW w:w="1773" w:type="dxa"/>
            <w:tcBorders>
              <w:top w:val="nil"/>
              <w:left w:val="nil"/>
              <w:bottom w:val="single" w:sz="4" w:space="0" w:color="ED7D31" w:themeColor="accent2"/>
              <w:right w:val="nil"/>
            </w:tcBorders>
            <w:shd w:val="clear" w:color="auto" w:fill="auto"/>
            <w:noWrap/>
            <w:vAlign w:val="bottom"/>
            <w:hideMark/>
          </w:tcPr>
          <w:p w14:paraId="0F98A7B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5,804</w:t>
            </w:r>
          </w:p>
        </w:tc>
        <w:tc>
          <w:tcPr>
            <w:tcW w:w="1843" w:type="dxa"/>
            <w:tcBorders>
              <w:top w:val="nil"/>
              <w:left w:val="nil"/>
              <w:bottom w:val="single" w:sz="4" w:space="0" w:color="ED7D31" w:themeColor="accent2"/>
              <w:right w:val="nil"/>
            </w:tcBorders>
            <w:shd w:val="clear" w:color="auto" w:fill="auto"/>
            <w:noWrap/>
            <w:vAlign w:val="bottom"/>
            <w:hideMark/>
          </w:tcPr>
          <w:p w14:paraId="6E6749E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3,874</w:t>
            </w:r>
          </w:p>
        </w:tc>
      </w:tr>
    </w:tbl>
    <w:p w14:paraId="541C7B05" w14:textId="77777777" w:rsidR="00244248" w:rsidRDefault="00244248" w:rsidP="00244248"/>
    <w:p w14:paraId="14FA7171" w14:textId="0FA2BA60" w:rsidR="001B7D3F" w:rsidRDefault="001B7D3F" w:rsidP="001B7D3F">
      <w:pPr>
        <w:rPr>
          <w:lang w:val="en-US" w:eastAsia="en-AU"/>
        </w:rPr>
      </w:pPr>
      <w:r>
        <w:lastRenderedPageBreak/>
        <w:t xml:space="preserve">Figures 32-35 plot the fertility outcomes of interest within the control and treatment groups over time.  For the probability of having a child (Figure 32) we see a </w:t>
      </w:r>
      <w:r>
        <w:rPr>
          <w:lang w:val="en-US" w:eastAsia="en-AU"/>
        </w:rPr>
        <w:t xml:space="preserve">significant difference between the two groups. Women in the treatment group (eligible) had an average probability of having a child of 4.2% in pre-2011, and 4.5% from 2011 onwards. This is driven by a gradual increase over the sample period rather than a discrete step up at 2011. For women in the control group, their probability of having a child increased slightly over this time period, but fluctuated quite a bit, particularly in the second part of the sample period.   </w:t>
      </w:r>
    </w:p>
    <w:p w14:paraId="4B59B6CC" w14:textId="77777777" w:rsidR="00244248" w:rsidRDefault="00244248" w:rsidP="00244248">
      <w:pPr>
        <w:rPr>
          <w:lang w:val="en-US" w:eastAsia="en-AU"/>
        </w:rPr>
      </w:pPr>
      <w:r>
        <w:rPr>
          <w:lang w:val="en-US" w:eastAsia="en-AU"/>
        </w:rPr>
        <w:t xml:space="preserve">For childbearing desires (measured on a 0-10 scale) again the treatment group had higher desires overall which is consistent with their lower number of children already had on average. For both groups, their childbearing desires increased over time although they both fell after 2011. </w:t>
      </w:r>
    </w:p>
    <w:p w14:paraId="4BC68155" w14:textId="6085BF09" w:rsidR="00244248" w:rsidRDefault="00244248" w:rsidP="00244248">
      <w:r>
        <w:t xml:space="preserve">For childbearing expectations (Figure </w:t>
      </w:r>
      <w:r w:rsidR="002770F1">
        <w:t>34</w:t>
      </w:r>
      <w:r>
        <w:t xml:space="preserve">) and additionally intended children the pattern is very similar to childbearing desires. </w:t>
      </w:r>
    </w:p>
    <w:p w14:paraId="195C6FD3" w14:textId="77777777" w:rsidR="00244248" w:rsidRDefault="00244248" w:rsidP="00244248">
      <w:pPr>
        <w:sectPr w:rsidR="00244248">
          <w:footerReference w:type="default" r:id="rId51"/>
          <w:pgSz w:w="11906" w:h="16838"/>
          <w:pgMar w:top="1440" w:right="1440" w:bottom="1440" w:left="1440" w:header="708" w:footer="708" w:gutter="0"/>
          <w:cols w:space="708"/>
          <w:docGrid w:linePitch="360"/>
        </w:sectPr>
      </w:pPr>
      <w:r>
        <w:t xml:space="preserve">As before, these figures are  unconditional in the sense that they do not control for any differences between women in their socio-demographic characteristics which could have an effect on fertility outcomes.  To control for  differences we turn to the results of the regression analysis.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244248" w14:paraId="41B210BB" w14:textId="77777777" w:rsidTr="00335B25">
        <w:tc>
          <w:tcPr>
            <w:tcW w:w="6974" w:type="dxa"/>
          </w:tcPr>
          <w:p w14:paraId="0A3AB23F" w14:textId="464F914B" w:rsidR="00244248" w:rsidRDefault="00244248" w:rsidP="00335B25">
            <w:pPr>
              <w:pStyle w:val="Caption"/>
              <w:keepNext/>
            </w:pPr>
            <w:r>
              <w:lastRenderedPageBreak/>
              <w:t xml:space="preserve">Figure </w:t>
            </w:r>
            <w:fldSimple w:instr=" SEQ Figure \* ARABIC ">
              <w:r w:rsidR="00115E22">
                <w:rPr>
                  <w:noProof/>
                </w:rPr>
                <w:t>32</w:t>
              </w:r>
            </w:fldSimple>
            <w:r>
              <w:t xml:space="preserve"> Paid Parental Leave- Probability of new birth, by treatment and control groups</w:t>
            </w:r>
          </w:p>
          <w:p w14:paraId="08D4BE08" w14:textId="77777777" w:rsidR="00244248" w:rsidRDefault="00244248" w:rsidP="00335B25">
            <w:r w:rsidRPr="00D34DB6">
              <w:rPr>
                <w:noProof/>
                <w:lang w:eastAsia="en-AU"/>
              </w:rPr>
              <w:drawing>
                <wp:inline distT="0" distB="0" distL="0" distR="0" wp14:anchorId="6D12454C" wp14:editId="70F96DB1">
                  <wp:extent cx="3502325" cy="2547146"/>
                  <wp:effectExtent l="0" t="0" r="317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8928" cy="2551948"/>
                          </a:xfrm>
                          <a:prstGeom prst="rect">
                            <a:avLst/>
                          </a:prstGeom>
                          <a:noFill/>
                          <a:ln>
                            <a:noFill/>
                          </a:ln>
                        </pic:spPr>
                      </pic:pic>
                    </a:graphicData>
                  </a:graphic>
                </wp:inline>
              </w:drawing>
            </w:r>
          </w:p>
        </w:tc>
        <w:tc>
          <w:tcPr>
            <w:tcW w:w="6974" w:type="dxa"/>
          </w:tcPr>
          <w:p w14:paraId="648AF3A6" w14:textId="77777777" w:rsidR="00244248" w:rsidRDefault="00244248" w:rsidP="00335B25">
            <w:r w:rsidRPr="00D34DB6">
              <w:rPr>
                <w:noProof/>
                <w:lang w:eastAsia="en-AU"/>
              </w:rPr>
              <w:drawing>
                <wp:inline distT="0" distB="0" distL="0" distR="0" wp14:anchorId="2BF20D86" wp14:editId="7FFD88A5">
                  <wp:extent cx="3614468" cy="2628704"/>
                  <wp:effectExtent l="0" t="0" r="508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22838" cy="2634791"/>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8272" behindDoc="0" locked="0" layoutInCell="1" allowOverlap="1" wp14:anchorId="3C702045" wp14:editId="3492DA7F">
                      <wp:simplePos x="0" y="0"/>
                      <wp:positionH relativeFrom="column">
                        <wp:posOffset>169545</wp:posOffset>
                      </wp:positionH>
                      <wp:positionV relativeFrom="paragraph">
                        <wp:posOffset>0</wp:posOffset>
                      </wp:positionV>
                      <wp:extent cx="3496310" cy="154305"/>
                      <wp:effectExtent l="0" t="0" r="8890" b="0"/>
                      <wp:wrapTopAndBottom/>
                      <wp:docPr id="12" name="Text Box 12"/>
                      <wp:cNvGraphicFramePr/>
                      <a:graphic xmlns:a="http://schemas.openxmlformats.org/drawingml/2006/main">
                        <a:graphicData uri="http://schemas.microsoft.com/office/word/2010/wordprocessingShape">
                          <wps:wsp>
                            <wps:cNvSpPr txBox="1"/>
                            <wps:spPr>
                              <a:xfrm>
                                <a:off x="0" y="0"/>
                                <a:ext cx="3496310" cy="154305"/>
                              </a:xfrm>
                              <a:prstGeom prst="rect">
                                <a:avLst/>
                              </a:prstGeom>
                              <a:solidFill>
                                <a:prstClr val="white"/>
                              </a:solidFill>
                              <a:ln>
                                <a:noFill/>
                              </a:ln>
                            </wps:spPr>
                            <wps:txbx>
                              <w:txbxContent>
                                <w:p w14:paraId="4BE9FB29" w14:textId="4B654BE7" w:rsidR="00C33FAA" w:rsidRPr="009D2E24" w:rsidRDefault="00C33FAA" w:rsidP="00244248">
                                  <w:pPr>
                                    <w:pStyle w:val="Caption"/>
                                    <w:rPr>
                                      <w:noProof/>
                                      <w:sz w:val="24"/>
                                      <w:szCs w:val="24"/>
                                      <w:lang w:val="en-GB"/>
                                    </w:rPr>
                                  </w:pPr>
                                  <w:r>
                                    <w:t xml:space="preserve">Figure </w:t>
                                  </w:r>
                                  <w:fldSimple w:instr=" SEQ Figure \* ARABIC ">
                                    <w:r w:rsidR="00115E22">
                                      <w:rPr>
                                        <w:noProof/>
                                      </w:rPr>
                                      <w:t>33</w:t>
                                    </w:r>
                                  </w:fldSimple>
                                  <w:r>
                                    <w:t xml:space="preserve"> </w:t>
                                  </w:r>
                                  <w:r w:rsidRPr="00F523B5">
                                    <w:t xml:space="preserve">- </w:t>
                                  </w:r>
                                  <w:r>
                                    <w:t xml:space="preserve">Paid Parental Leave Childbearing desires </w:t>
                                  </w:r>
                                  <w:r w:rsidRPr="00F523B5">
                                    <w:t>by treatment and control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02045" id="Text Box 12" o:spid="_x0000_s1080" type="#_x0000_t202" style="position:absolute;margin-left:13.35pt;margin-top:0;width:275.3pt;height:12.1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" stroked="f">
                      <v:textbox inset="0,0,0,0">
                        <w:txbxContent>
                          <w:p w14:paraId="4BE9FB29" w14:textId="4B654BE7" w:rsidR="00C33FAA" w:rsidRPr="009D2E24" w:rsidRDefault="00C33FAA" w:rsidP="00244248">
                            <w:pPr>
                              <w:pStyle w:val="Caption"/>
                              <w:rPr>
                                <w:noProof/>
                                <w:sz w:val="24"/>
                                <w:szCs w:val="24"/>
                                <w:lang w:val="en-GB"/>
                              </w:rPr>
                            </w:pPr>
                            <w:r>
                              <w:t xml:space="preserve">Figure </w:t>
                            </w:r>
                            <w:r w:rsidR="00166A92">
                              <w:fldChar w:fldCharType="begin"/>
                            </w:r>
                            <w:r w:rsidR="00166A92">
                              <w:instrText xml:space="preserve"> SEQ Figure \* ARABIC </w:instrText>
                            </w:r>
                            <w:r w:rsidR="00166A92">
                              <w:fldChar w:fldCharType="separate"/>
                            </w:r>
                            <w:r w:rsidR="00115E22">
                              <w:rPr>
                                <w:noProof/>
                              </w:rPr>
                              <w:t>33</w:t>
                            </w:r>
                            <w:r w:rsidR="00166A92">
                              <w:rPr>
                                <w:noProof/>
                              </w:rPr>
                              <w:fldChar w:fldCharType="end"/>
                            </w:r>
                            <w:r>
                              <w:t xml:space="preserve"> </w:t>
                            </w:r>
                            <w:r w:rsidRPr="00F523B5">
                              <w:t xml:space="preserve">- </w:t>
                            </w:r>
                            <w:r>
                              <w:t xml:space="preserve">Paid Parental Leave Childbearing desires </w:t>
                            </w:r>
                            <w:r w:rsidRPr="00F523B5">
                              <w:t>by treatment and control group</w:t>
                            </w:r>
                          </w:p>
                        </w:txbxContent>
                      </v:textbox>
                      <w10:wrap type="topAndBottom"/>
                    </v:shape>
                  </w:pict>
                </mc:Fallback>
              </mc:AlternateContent>
            </w:r>
          </w:p>
        </w:tc>
      </w:tr>
      <w:tr w:rsidR="00244248" w14:paraId="673AA3CA" w14:textId="77777777" w:rsidTr="00335B25">
        <w:trPr>
          <w:trHeight w:val="3851"/>
        </w:trPr>
        <w:tc>
          <w:tcPr>
            <w:tcW w:w="6974" w:type="dxa"/>
          </w:tcPr>
          <w:p w14:paraId="67389F36" w14:textId="79FB7AE7" w:rsidR="00244248" w:rsidRDefault="00244248" w:rsidP="00335B25">
            <w:pPr>
              <w:pStyle w:val="Caption"/>
              <w:keepNext/>
            </w:pPr>
            <w:r>
              <w:t xml:space="preserve">Figure </w:t>
            </w:r>
            <w:fldSimple w:instr=" SEQ Figure \* ARABIC ">
              <w:r w:rsidR="00115E22">
                <w:rPr>
                  <w:noProof/>
                </w:rPr>
                <w:t>34</w:t>
              </w:r>
            </w:fldSimple>
            <w:r>
              <w:t xml:space="preserve"> Paid Parental Leave Childbearing expectation - by treatment and control group</w:t>
            </w:r>
          </w:p>
          <w:p w14:paraId="0240CD30" w14:textId="77777777" w:rsidR="00244248" w:rsidRPr="00FD3E05" w:rsidRDefault="00244248" w:rsidP="00335B25">
            <w:r w:rsidRPr="00D34DB6">
              <w:rPr>
                <w:noProof/>
                <w:lang w:eastAsia="en-AU"/>
              </w:rPr>
              <w:drawing>
                <wp:inline distT="0" distB="0" distL="0" distR="0" wp14:anchorId="00D51567" wp14:editId="09A2CD0A">
                  <wp:extent cx="3416061" cy="24844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2054" cy="2488767"/>
                          </a:xfrm>
                          <a:prstGeom prst="rect">
                            <a:avLst/>
                          </a:prstGeom>
                          <a:noFill/>
                          <a:ln>
                            <a:noFill/>
                          </a:ln>
                        </pic:spPr>
                      </pic:pic>
                    </a:graphicData>
                  </a:graphic>
                </wp:inline>
              </w:drawing>
            </w:r>
          </w:p>
        </w:tc>
        <w:tc>
          <w:tcPr>
            <w:tcW w:w="6974" w:type="dxa"/>
          </w:tcPr>
          <w:p w14:paraId="0B0C5380" w14:textId="4C06C6C3" w:rsidR="00244248" w:rsidRDefault="00244248" w:rsidP="00335B25">
            <w:pPr>
              <w:pStyle w:val="Caption"/>
              <w:keepNext/>
            </w:pPr>
            <w:r>
              <w:t xml:space="preserve">Figure </w:t>
            </w:r>
            <w:fldSimple w:instr=" SEQ Figure \* ARABIC ">
              <w:r w:rsidR="00115E22">
                <w:rPr>
                  <w:noProof/>
                </w:rPr>
                <w:t>35</w:t>
              </w:r>
            </w:fldSimple>
            <w:r>
              <w:t xml:space="preserve"> Paid Parental Leave Additionally intended children- </w:t>
            </w:r>
            <w:r w:rsidRPr="00622B3A">
              <w:t xml:space="preserve"> by treatment and control group</w:t>
            </w:r>
          </w:p>
          <w:p w14:paraId="72EC1DA8" w14:textId="77777777" w:rsidR="00244248" w:rsidRPr="00FD3E05" w:rsidRDefault="00244248" w:rsidP="00335B25">
            <w:r w:rsidRPr="00D34DB6">
              <w:rPr>
                <w:noProof/>
                <w:lang w:eastAsia="en-AU"/>
              </w:rPr>
              <w:drawing>
                <wp:inline distT="0" distB="0" distL="0" distR="0" wp14:anchorId="45A0AA16" wp14:editId="3FA9EED6">
                  <wp:extent cx="3398808" cy="247186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18407" cy="2486115"/>
                          </a:xfrm>
                          <a:prstGeom prst="rect">
                            <a:avLst/>
                          </a:prstGeom>
                          <a:noFill/>
                          <a:ln>
                            <a:noFill/>
                          </a:ln>
                        </pic:spPr>
                      </pic:pic>
                    </a:graphicData>
                  </a:graphic>
                </wp:inline>
              </w:drawing>
            </w:r>
          </w:p>
        </w:tc>
      </w:tr>
    </w:tbl>
    <w:p w14:paraId="4FAA7158" w14:textId="77777777" w:rsidR="00244248" w:rsidRDefault="00244248" w:rsidP="00244248"/>
    <w:p w14:paraId="58CB2B90" w14:textId="77777777" w:rsidR="00244248" w:rsidRDefault="00244248" w:rsidP="00244248">
      <w:pPr>
        <w:sectPr w:rsidR="00244248" w:rsidSect="00335B25">
          <w:pgSz w:w="16838" w:h="11906" w:orient="landscape"/>
          <w:pgMar w:top="993" w:right="1440" w:bottom="993" w:left="1440" w:header="708" w:footer="708" w:gutter="0"/>
          <w:cols w:space="708"/>
          <w:docGrid w:linePitch="360"/>
        </w:sectPr>
      </w:pPr>
    </w:p>
    <w:p w14:paraId="0553110D" w14:textId="17BB342C" w:rsidR="00244248" w:rsidRDefault="00244248" w:rsidP="00244248">
      <w:r>
        <w:lastRenderedPageBreak/>
        <w:t xml:space="preserve">Table </w:t>
      </w:r>
      <w:r w:rsidR="00CE06A6">
        <w:t>30</w:t>
      </w:r>
      <w:r>
        <w:t xml:space="preserve"> presents the results for births.</w:t>
      </w:r>
    </w:p>
    <w:p w14:paraId="5EC1DC1D" w14:textId="22AEAB28" w:rsidR="00244248" w:rsidRDefault="00244248" w:rsidP="00244248">
      <w:r>
        <w:t xml:space="preserve">Although the results for the OLS </w:t>
      </w:r>
      <w:r w:rsidR="004D5B81">
        <w:t xml:space="preserve">models </w:t>
      </w:r>
      <w:r>
        <w:t>are not significant, for the fixed effects we find a positive result on the probability of having a birth which persists after controlling for time-varying demographics (Column 4). This suggest</w:t>
      </w:r>
      <w:r w:rsidR="00F54FFB">
        <w:t>s</w:t>
      </w:r>
      <w:r>
        <w:t xml:space="preserve"> that the introduction of this policy </w:t>
      </w:r>
      <w:r w:rsidR="004D5B81">
        <w:t>coincided with</w:t>
      </w:r>
      <w:r w:rsidR="00F54FFB">
        <w:t xml:space="preserve"> an estimated 4.5-5% increase in the difference between births </w:t>
      </w:r>
      <w:r w:rsidR="004D5B81">
        <w:t>in</w:t>
      </w:r>
      <w:r w:rsidR="00F54FFB">
        <w:t xml:space="preserve"> the treatment group </w:t>
      </w:r>
      <w:r w:rsidR="00F54FFB">
        <w:rPr>
          <w:lang w:eastAsia="en-GB"/>
        </w:rPr>
        <w:t>compared to the control group</w:t>
      </w:r>
      <w:r w:rsidR="004D5B81">
        <w:rPr>
          <w:lang w:eastAsia="en-GB"/>
        </w:rPr>
        <w:t xml:space="preserve">.  Inspection of the graph shows that </w:t>
      </w:r>
      <w:r w:rsidR="00F54FFB">
        <w:t xml:space="preserve">this is due to a decline in births </w:t>
      </w:r>
      <w:r w:rsidR="004D5B81">
        <w:t>in</w:t>
      </w:r>
      <w:r w:rsidR="00F54FFB">
        <w:t xml:space="preserve"> the control group rather than an increase in births </w:t>
      </w:r>
      <w:r w:rsidR="004D5B81">
        <w:t>for</w:t>
      </w:r>
      <w:r w:rsidR="00F54FFB">
        <w:t xml:space="preserve"> the treatment group</w:t>
      </w:r>
      <w:r>
        <w:t xml:space="preserve"> compared to pre-policy implementation. </w:t>
      </w:r>
    </w:p>
    <w:p w14:paraId="4E262DCF" w14:textId="4DF40A1C" w:rsidR="00244248" w:rsidRPr="00786555" w:rsidRDefault="00244248" w:rsidP="00244248">
      <w:r>
        <w:t>When comparing the results by parity we see some significant effects for first births for the models w</w:t>
      </w:r>
      <w:r w:rsidR="004D5B81">
        <w:t>hen</w:t>
      </w:r>
      <w:r>
        <w:t xml:space="preserve"> </w:t>
      </w:r>
      <w:r w:rsidR="004D5B81">
        <w:t xml:space="preserve">we </w:t>
      </w:r>
      <w:r>
        <w:t xml:space="preserve">do not control for time-varying demographics. However, there are no significant effects for second or third births. This suggests that paid parental leave is associated with </w:t>
      </w:r>
      <w:r w:rsidR="004D5B81">
        <w:t xml:space="preserve">a difference in the number for births </w:t>
      </w:r>
      <w:r w:rsidR="00F54FFB">
        <w:t>for the treatment group compared to the control group</w:t>
      </w:r>
      <w:r>
        <w:t xml:space="preserve"> , but there are no differences by the number of children women </w:t>
      </w:r>
      <w:r w:rsidR="004D5B81">
        <w:t xml:space="preserve">already </w:t>
      </w:r>
      <w:r>
        <w:t>have.</w:t>
      </w:r>
    </w:p>
    <w:p w14:paraId="29B83FE8" w14:textId="77777777" w:rsidR="00244248" w:rsidRDefault="00244248" w:rsidP="00244248"/>
    <w:p w14:paraId="1C787BBA" w14:textId="2FAB4CF4" w:rsidR="00244248" w:rsidRDefault="00244248" w:rsidP="00244248">
      <w:pPr>
        <w:pStyle w:val="Caption"/>
        <w:keepNext/>
      </w:pPr>
      <w:r>
        <w:t xml:space="preserve">Table </w:t>
      </w:r>
      <w:fldSimple w:instr=" SEQ Table \* ARABIC ">
        <w:r w:rsidR="00115E22">
          <w:rPr>
            <w:noProof/>
          </w:rPr>
          <w:t>30</w:t>
        </w:r>
      </w:fldSimple>
      <w:r>
        <w:t xml:space="preserve"> </w:t>
      </w:r>
      <w:r w:rsidRPr="00EC194F">
        <w:t xml:space="preserve">Effect of </w:t>
      </w:r>
      <w:r>
        <w:t xml:space="preserve">Parental Leave Pay </w:t>
      </w:r>
      <w:r w:rsidRPr="00EC194F">
        <w:t xml:space="preserve"> on </w:t>
      </w:r>
      <w:r>
        <w:t>new births</w:t>
      </w:r>
      <w:r w:rsidRPr="00EC194F">
        <w:t>: DiD estimates</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287A95" w14:paraId="07C8A907" w14:textId="77777777" w:rsidTr="00335B25">
        <w:tc>
          <w:tcPr>
            <w:tcW w:w="2977" w:type="dxa"/>
            <w:tcBorders>
              <w:top w:val="single" w:sz="4" w:space="0" w:color="ED7D31" w:themeColor="accent2"/>
              <w:left w:val="nil"/>
              <w:bottom w:val="nil"/>
              <w:right w:val="nil"/>
            </w:tcBorders>
            <w:shd w:val="clear" w:color="auto" w:fill="FBE4D5" w:themeFill="accent2" w:themeFillTint="33"/>
          </w:tcPr>
          <w:p w14:paraId="552F5D3E"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ED7D31" w:themeColor="accent2"/>
              <w:left w:val="nil"/>
              <w:bottom w:val="nil"/>
              <w:right w:val="nil"/>
            </w:tcBorders>
            <w:shd w:val="clear" w:color="auto" w:fill="FBE4D5" w:themeFill="accent2" w:themeFillTint="33"/>
          </w:tcPr>
          <w:p w14:paraId="1519091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(1)</w:t>
            </w:r>
          </w:p>
        </w:tc>
        <w:tc>
          <w:tcPr>
            <w:tcW w:w="1417" w:type="dxa"/>
            <w:tcBorders>
              <w:top w:val="single" w:sz="4" w:space="0" w:color="ED7D31" w:themeColor="accent2"/>
              <w:left w:val="nil"/>
              <w:bottom w:val="nil"/>
              <w:right w:val="nil"/>
            </w:tcBorders>
            <w:shd w:val="clear" w:color="auto" w:fill="FBE4D5" w:themeFill="accent2" w:themeFillTint="33"/>
          </w:tcPr>
          <w:p w14:paraId="7C7E6A9A"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(2)</w:t>
            </w:r>
          </w:p>
        </w:tc>
        <w:tc>
          <w:tcPr>
            <w:tcW w:w="1666" w:type="dxa"/>
            <w:tcBorders>
              <w:top w:val="single" w:sz="4" w:space="0" w:color="ED7D31" w:themeColor="accent2"/>
              <w:left w:val="nil"/>
              <w:bottom w:val="nil"/>
              <w:right w:val="nil"/>
            </w:tcBorders>
            <w:shd w:val="clear" w:color="auto" w:fill="FBE4D5" w:themeFill="accent2" w:themeFillTint="33"/>
          </w:tcPr>
          <w:p w14:paraId="18CC9F71"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(3)</w:t>
            </w:r>
          </w:p>
        </w:tc>
        <w:tc>
          <w:tcPr>
            <w:tcW w:w="1984" w:type="dxa"/>
            <w:tcBorders>
              <w:top w:val="single" w:sz="4" w:space="0" w:color="ED7D31" w:themeColor="accent2"/>
              <w:left w:val="nil"/>
              <w:bottom w:val="nil"/>
              <w:right w:val="nil"/>
            </w:tcBorders>
            <w:shd w:val="clear" w:color="auto" w:fill="FBE4D5" w:themeFill="accent2" w:themeFillTint="33"/>
          </w:tcPr>
          <w:p w14:paraId="7D0D7183"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(4)</w:t>
            </w:r>
          </w:p>
        </w:tc>
      </w:tr>
      <w:tr w:rsidR="00244248" w:rsidRPr="00287A95" w14:paraId="1B76C3FE"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38091D8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50BE8F6C"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3990F1BC"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0896886D"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11FC69E2"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r>
      <w:tr w:rsidR="00244248" w:rsidRPr="00287A95" w14:paraId="427D3581" w14:textId="77777777" w:rsidTr="00335B25">
        <w:trPr>
          <w:trHeight w:val="357"/>
        </w:trPr>
        <w:tc>
          <w:tcPr>
            <w:tcW w:w="9575" w:type="dxa"/>
            <w:gridSpan w:val="5"/>
            <w:tcBorders>
              <w:top w:val="single" w:sz="4" w:space="0" w:color="ED7D31" w:themeColor="accent2"/>
              <w:left w:val="nil"/>
              <w:bottom w:val="single" w:sz="4" w:space="0" w:color="ED7D31" w:themeColor="accent2"/>
              <w:right w:val="nil"/>
            </w:tcBorders>
            <w:vAlign w:val="center"/>
          </w:tcPr>
          <w:p w14:paraId="3649A64A"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r>
              <w:rPr>
                <w:rFonts w:asciiTheme="majorHAnsi" w:hAnsiTheme="majorHAnsi" w:cstheme="majorHAnsi"/>
                <w:b/>
                <w:bCs/>
                <w:sz w:val="20"/>
                <w:szCs w:val="20"/>
              </w:rPr>
              <w:t>Births</w:t>
            </w:r>
          </w:p>
        </w:tc>
      </w:tr>
      <w:tr w:rsidR="00244248" w:rsidRPr="00287A95" w14:paraId="3A6F8F34"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587A80C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All new births</w:t>
            </w:r>
          </w:p>
        </w:tc>
        <w:tc>
          <w:tcPr>
            <w:tcW w:w="1531" w:type="dxa"/>
            <w:tcBorders>
              <w:top w:val="single" w:sz="4" w:space="0" w:color="ED7D31" w:themeColor="accent2"/>
              <w:left w:val="nil"/>
              <w:bottom w:val="single" w:sz="4" w:space="0" w:color="ED7D31" w:themeColor="accent2"/>
              <w:right w:val="nil"/>
            </w:tcBorders>
          </w:tcPr>
          <w:p w14:paraId="6EAB8093"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44707446"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2929786C"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36FD9CA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287A95" w14:paraId="6959465F" w14:textId="77777777" w:rsidTr="00335B25">
        <w:tc>
          <w:tcPr>
            <w:tcW w:w="2977" w:type="dxa"/>
            <w:tcBorders>
              <w:top w:val="single" w:sz="4" w:space="0" w:color="ED7D31" w:themeColor="accent2"/>
              <w:left w:val="nil"/>
              <w:right w:val="nil"/>
            </w:tcBorders>
          </w:tcPr>
          <w:p w14:paraId="64D5A43E"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730ABD01"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&lt;</w:t>
            </w:r>
            <w:r w:rsidRPr="00317B0D">
              <w:rPr>
                <w:rFonts w:asciiTheme="majorHAnsi" w:hAnsiTheme="majorHAnsi" w:cstheme="majorHAnsi"/>
                <w:sz w:val="20"/>
                <w:szCs w:val="20"/>
              </w:rPr>
              <w:t>0.00</w:t>
            </w:r>
            <w:r>
              <w:rPr>
                <w:rFonts w:asciiTheme="majorHAnsi" w:hAnsiTheme="majorHAnsi" w:cstheme="majorHAnsi"/>
                <w:sz w:val="20"/>
                <w:szCs w:val="20"/>
              </w:rPr>
              <w:t>1</w:t>
            </w:r>
          </w:p>
        </w:tc>
        <w:tc>
          <w:tcPr>
            <w:tcW w:w="1417" w:type="dxa"/>
            <w:tcBorders>
              <w:top w:val="single" w:sz="4" w:space="0" w:color="ED7D31" w:themeColor="accent2"/>
              <w:left w:val="nil"/>
              <w:right w:val="nil"/>
            </w:tcBorders>
          </w:tcPr>
          <w:p w14:paraId="7E01D16F"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&lt;0</w:t>
            </w:r>
            <w:r w:rsidRPr="00317B0D">
              <w:rPr>
                <w:rFonts w:asciiTheme="majorHAnsi" w:hAnsiTheme="majorHAnsi" w:cstheme="majorHAnsi"/>
                <w:sz w:val="20"/>
                <w:szCs w:val="20"/>
              </w:rPr>
              <w:t>.00</w:t>
            </w:r>
            <w:r>
              <w:rPr>
                <w:rFonts w:asciiTheme="majorHAnsi" w:hAnsiTheme="majorHAnsi" w:cstheme="majorHAnsi"/>
                <w:sz w:val="20"/>
                <w:szCs w:val="20"/>
              </w:rPr>
              <w:t>1</w:t>
            </w:r>
          </w:p>
        </w:tc>
        <w:tc>
          <w:tcPr>
            <w:tcW w:w="1666" w:type="dxa"/>
            <w:tcBorders>
              <w:top w:val="single" w:sz="4" w:space="0" w:color="ED7D31" w:themeColor="accent2"/>
              <w:left w:val="nil"/>
              <w:right w:val="nil"/>
            </w:tcBorders>
          </w:tcPr>
          <w:p w14:paraId="26CC9C1E"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317B0D">
              <w:rPr>
                <w:rFonts w:asciiTheme="majorHAnsi" w:hAnsiTheme="majorHAnsi" w:cstheme="majorHAnsi"/>
                <w:sz w:val="20"/>
                <w:szCs w:val="20"/>
              </w:rPr>
              <w:t>0.050***</w:t>
            </w:r>
          </w:p>
        </w:tc>
        <w:tc>
          <w:tcPr>
            <w:tcW w:w="1984" w:type="dxa"/>
            <w:tcBorders>
              <w:top w:val="single" w:sz="4" w:space="0" w:color="ED7D31" w:themeColor="accent2"/>
              <w:left w:val="nil"/>
              <w:right w:val="nil"/>
            </w:tcBorders>
          </w:tcPr>
          <w:p w14:paraId="128DEA11"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317B0D">
              <w:rPr>
                <w:rFonts w:asciiTheme="majorHAnsi" w:hAnsiTheme="majorHAnsi" w:cstheme="majorHAnsi"/>
                <w:sz w:val="20"/>
                <w:szCs w:val="20"/>
              </w:rPr>
              <w:t>0.046***</w:t>
            </w:r>
          </w:p>
        </w:tc>
      </w:tr>
      <w:tr w:rsidR="00244248" w:rsidRPr="00287A95" w14:paraId="74C06B48" w14:textId="77777777" w:rsidTr="00335B25">
        <w:tc>
          <w:tcPr>
            <w:tcW w:w="2977" w:type="dxa"/>
            <w:tcBorders>
              <w:top w:val="nil"/>
              <w:left w:val="nil"/>
              <w:right w:val="nil"/>
            </w:tcBorders>
          </w:tcPr>
          <w:p w14:paraId="20ED8D32"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544E731B" w14:textId="77777777" w:rsidR="00244248" w:rsidRPr="004E156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E1561">
              <w:rPr>
                <w:rFonts w:asciiTheme="majorHAnsi" w:hAnsiTheme="majorHAnsi" w:cstheme="majorHAnsi"/>
                <w:color w:val="808080" w:themeColor="background1" w:themeShade="80"/>
                <w:sz w:val="20"/>
                <w:szCs w:val="20"/>
              </w:rPr>
              <w:t>(0.008)</w:t>
            </w:r>
          </w:p>
        </w:tc>
        <w:tc>
          <w:tcPr>
            <w:tcW w:w="1417" w:type="dxa"/>
            <w:tcBorders>
              <w:top w:val="nil"/>
              <w:left w:val="nil"/>
              <w:right w:val="nil"/>
            </w:tcBorders>
          </w:tcPr>
          <w:p w14:paraId="60A2B8A2" w14:textId="77777777" w:rsidR="00244248" w:rsidRPr="004E156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E1561">
              <w:rPr>
                <w:rFonts w:asciiTheme="majorHAnsi" w:hAnsiTheme="majorHAnsi" w:cstheme="majorHAnsi"/>
                <w:color w:val="808080" w:themeColor="background1" w:themeShade="80"/>
                <w:sz w:val="20"/>
                <w:szCs w:val="20"/>
              </w:rPr>
              <w:t>(0.008)</w:t>
            </w:r>
          </w:p>
        </w:tc>
        <w:tc>
          <w:tcPr>
            <w:tcW w:w="1666" w:type="dxa"/>
            <w:tcBorders>
              <w:top w:val="nil"/>
              <w:left w:val="nil"/>
              <w:right w:val="nil"/>
            </w:tcBorders>
          </w:tcPr>
          <w:p w14:paraId="5D921948" w14:textId="77777777" w:rsidR="00244248" w:rsidRPr="004E156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E1561">
              <w:rPr>
                <w:rFonts w:asciiTheme="majorHAnsi" w:hAnsiTheme="majorHAnsi" w:cstheme="majorHAnsi"/>
                <w:color w:val="808080" w:themeColor="background1" w:themeShade="80"/>
                <w:sz w:val="20"/>
                <w:szCs w:val="20"/>
              </w:rPr>
              <w:t>(0.010)</w:t>
            </w:r>
          </w:p>
        </w:tc>
        <w:tc>
          <w:tcPr>
            <w:tcW w:w="1984" w:type="dxa"/>
            <w:tcBorders>
              <w:top w:val="nil"/>
              <w:left w:val="nil"/>
              <w:right w:val="nil"/>
            </w:tcBorders>
          </w:tcPr>
          <w:p w14:paraId="48E0D7B7" w14:textId="77777777" w:rsidR="00244248" w:rsidRPr="004E156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E1561">
              <w:rPr>
                <w:rFonts w:asciiTheme="majorHAnsi" w:hAnsiTheme="majorHAnsi" w:cstheme="majorHAnsi"/>
                <w:color w:val="808080" w:themeColor="background1" w:themeShade="80"/>
                <w:sz w:val="20"/>
                <w:szCs w:val="20"/>
              </w:rPr>
              <w:t>(0.010)</w:t>
            </w:r>
          </w:p>
        </w:tc>
      </w:tr>
      <w:tr w:rsidR="00244248" w:rsidRPr="00287A95" w14:paraId="41B1D52A" w14:textId="77777777" w:rsidTr="00335B25">
        <w:tc>
          <w:tcPr>
            <w:tcW w:w="2977" w:type="dxa"/>
            <w:tcBorders>
              <w:left w:val="nil"/>
              <w:right w:val="nil"/>
            </w:tcBorders>
          </w:tcPr>
          <w:p w14:paraId="14E0A74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left w:val="nil"/>
              <w:right w:val="nil"/>
            </w:tcBorders>
          </w:tcPr>
          <w:p w14:paraId="097D83CB"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317B0D">
              <w:rPr>
                <w:rFonts w:asciiTheme="majorHAnsi" w:hAnsiTheme="majorHAnsi" w:cstheme="majorHAnsi"/>
                <w:sz w:val="20"/>
                <w:szCs w:val="20"/>
              </w:rPr>
              <w:t>35</w:t>
            </w:r>
            <w:r>
              <w:rPr>
                <w:rFonts w:asciiTheme="majorHAnsi" w:hAnsiTheme="majorHAnsi" w:cstheme="majorHAnsi"/>
                <w:sz w:val="20"/>
                <w:szCs w:val="20"/>
              </w:rPr>
              <w:t>,</w:t>
            </w:r>
            <w:r w:rsidRPr="00317B0D">
              <w:rPr>
                <w:rFonts w:asciiTheme="majorHAnsi" w:hAnsiTheme="majorHAnsi" w:cstheme="majorHAnsi"/>
                <w:sz w:val="20"/>
                <w:szCs w:val="20"/>
              </w:rPr>
              <w:t>881</w:t>
            </w:r>
          </w:p>
        </w:tc>
        <w:tc>
          <w:tcPr>
            <w:tcW w:w="1417" w:type="dxa"/>
            <w:tcBorders>
              <w:left w:val="nil"/>
              <w:right w:val="nil"/>
            </w:tcBorders>
          </w:tcPr>
          <w:p w14:paraId="2F35BD0B"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317B0D">
              <w:rPr>
                <w:rFonts w:asciiTheme="majorHAnsi" w:hAnsiTheme="majorHAnsi" w:cstheme="majorHAnsi"/>
                <w:sz w:val="20"/>
                <w:szCs w:val="20"/>
              </w:rPr>
              <w:t>34</w:t>
            </w:r>
            <w:r>
              <w:rPr>
                <w:rFonts w:asciiTheme="majorHAnsi" w:hAnsiTheme="majorHAnsi" w:cstheme="majorHAnsi"/>
                <w:sz w:val="20"/>
                <w:szCs w:val="20"/>
              </w:rPr>
              <w:t>,</w:t>
            </w:r>
            <w:r w:rsidRPr="00317B0D">
              <w:rPr>
                <w:rFonts w:asciiTheme="majorHAnsi" w:hAnsiTheme="majorHAnsi" w:cstheme="majorHAnsi"/>
                <w:sz w:val="20"/>
                <w:szCs w:val="20"/>
              </w:rPr>
              <w:t>927</w:t>
            </w:r>
          </w:p>
        </w:tc>
        <w:tc>
          <w:tcPr>
            <w:tcW w:w="1666" w:type="dxa"/>
            <w:tcBorders>
              <w:left w:val="nil"/>
              <w:right w:val="nil"/>
            </w:tcBorders>
          </w:tcPr>
          <w:p w14:paraId="3BA20E9C"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317B0D">
              <w:rPr>
                <w:rFonts w:asciiTheme="majorHAnsi" w:hAnsiTheme="majorHAnsi" w:cstheme="majorHAnsi"/>
                <w:sz w:val="20"/>
                <w:szCs w:val="20"/>
              </w:rPr>
              <w:t>35</w:t>
            </w:r>
            <w:r>
              <w:rPr>
                <w:rFonts w:asciiTheme="majorHAnsi" w:hAnsiTheme="majorHAnsi" w:cstheme="majorHAnsi"/>
                <w:sz w:val="20"/>
                <w:szCs w:val="20"/>
              </w:rPr>
              <w:t>,</w:t>
            </w:r>
            <w:r w:rsidRPr="00317B0D">
              <w:rPr>
                <w:rFonts w:asciiTheme="majorHAnsi" w:hAnsiTheme="majorHAnsi" w:cstheme="majorHAnsi"/>
                <w:sz w:val="20"/>
                <w:szCs w:val="20"/>
              </w:rPr>
              <w:t>881</w:t>
            </w:r>
          </w:p>
        </w:tc>
        <w:tc>
          <w:tcPr>
            <w:tcW w:w="1984" w:type="dxa"/>
            <w:tcBorders>
              <w:left w:val="nil"/>
              <w:right w:val="nil"/>
            </w:tcBorders>
          </w:tcPr>
          <w:p w14:paraId="531758AD"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317B0D">
              <w:rPr>
                <w:rFonts w:asciiTheme="majorHAnsi" w:hAnsiTheme="majorHAnsi" w:cstheme="majorHAnsi"/>
                <w:sz w:val="20"/>
                <w:szCs w:val="20"/>
              </w:rPr>
              <w:t>34</w:t>
            </w:r>
            <w:r>
              <w:rPr>
                <w:rFonts w:asciiTheme="majorHAnsi" w:hAnsiTheme="majorHAnsi" w:cstheme="majorHAnsi"/>
                <w:sz w:val="20"/>
                <w:szCs w:val="20"/>
              </w:rPr>
              <w:t>,</w:t>
            </w:r>
            <w:r w:rsidRPr="00317B0D">
              <w:rPr>
                <w:rFonts w:asciiTheme="majorHAnsi" w:hAnsiTheme="majorHAnsi" w:cstheme="majorHAnsi"/>
                <w:sz w:val="20"/>
                <w:szCs w:val="20"/>
              </w:rPr>
              <w:t>927</w:t>
            </w:r>
          </w:p>
        </w:tc>
      </w:tr>
      <w:tr w:rsidR="00244248" w:rsidRPr="00287A95" w14:paraId="0EDED5C6" w14:textId="77777777" w:rsidTr="00335B25">
        <w:trPr>
          <w:trHeight w:val="439"/>
        </w:trPr>
        <w:tc>
          <w:tcPr>
            <w:tcW w:w="2977" w:type="dxa"/>
            <w:tcBorders>
              <w:left w:val="nil"/>
              <w:bottom w:val="single" w:sz="4" w:space="0" w:color="ED7D31" w:themeColor="accent2"/>
              <w:right w:val="nil"/>
            </w:tcBorders>
            <w:vAlign w:val="bottom"/>
          </w:tcPr>
          <w:p w14:paraId="5E4B90CF"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First births</w:t>
            </w:r>
          </w:p>
        </w:tc>
        <w:tc>
          <w:tcPr>
            <w:tcW w:w="1531" w:type="dxa"/>
            <w:tcBorders>
              <w:left w:val="nil"/>
              <w:bottom w:val="single" w:sz="4" w:space="0" w:color="ED7D31" w:themeColor="accent2"/>
              <w:right w:val="nil"/>
            </w:tcBorders>
          </w:tcPr>
          <w:p w14:paraId="13FF4C43"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441D71DE"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38A62F16"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5A6925E0" w14:textId="77777777" w:rsidR="00244248" w:rsidRPr="00317B0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161DAC56" w14:textId="77777777" w:rsidTr="00335B25">
        <w:tc>
          <w:tcPr>
            <w:tcW w:w="2977" w:type="dxa"/>
            <w:tcBorders>
              <w:top w:val="single" w:sz="4" w:space="0" w:color="ED7D31" w:themeColor="accent2"/>
              <w:left w:val="nil"/>
              <w:bottom w:val="nil"/>
              <w:right w:val="nil"/>
            </w:tcBorders>
          </w:tcPr>
          <w:p w14:paraId="15BBC6C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5FC57C75"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0.029**</w:t>
            </w:r>
          </w:p>
        </w:tc>
        <w:tc>
          <w:tcPr>
            <w:tcW w:w="1417" w:type="dxa"/>
            <w:tcBorders>
              <w:top w:val="single" w:sz="4" w:space="0" w:color="ED7D31" w:themeColor="accent2"/>
              <w:left w:val="nil"/>
              <w:bottom w:val="nil"/>
              <w:right w:val="nil"/>
            </w:tcBorders>
          </w:tcPr>
          <w:p w14:paraId="36448F3D"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0.019</w:t>
            </w:r>
          </w:p>
        </w:tc>
        <w:tc>
          <w:tcPr>
            <w:tcW w:w="1666" w:type="dxa"/>
            <w:tcBorders>
              <w:top w:val="single" w:sz="4" w:space="0" w:color="ED7D31" w:themeColor="accent2"/>
              <w:left w:val="nil"/>
              <w:bottom w:val="nil"/>
              <w:right w:val="nil"/>
            </w:tcBorders>
          </w:tcPr>
          <w:p w14:paraId="7F37DEDD"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0.038**</w:t>
            </w:r>
          </w:p>
        </w:tc>
        <w:tc>
          <w:tcPr>
            <w:tcW w:w="1984" w:type="dxa"/>
            <w:tcBorders>
              <w:top w:val="single" w:sz="4" w:space="0" w:color="ED7D31" w:themeColor="accent2"/>
              <w:left w:val="nil"/>
              <w:bottom w:val="nil"/>
              <w:right w:val="nil"/>
            </w:tcBorders>
          </w:tcPr>
          <w:p w14:paraId="1D6DBDF9"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0.018</w:t>
            </w:r>
          </w:p>
        </w:tc>
      </w:tr>
      <w:tr w:rsidR="00244248" w:rsidRPr="00287A95" w14:paraId="64C01A59" w14:textId="77777777" w:rsidTr="00335B25">
        <w:tc>
          <w:tcPr>
            <w:tcW w:w="2977" w:type="dxa"/>
            <w:tcBorders>
              <w:top w:val="nil"/>
              <w:left w:val="nil"/>
              <w:right w:val="nil"/>
            </w:tcBorders>
          </w:tcPr>
          <w:p w14:paraId="0B691F8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5AEB786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(0.013)</w:t>
            </w:r>
          </w:p>
        </w:tc>
        <w:tc>
          <w:tcPr>
            <w:tcW w:w="1417" w:type="dxa"/>
            <w:tcBorders>
              <w:top w:val="nil"/>
              <w:left w:val="nil"/>
              <w:right w:val="nil"/>
            </w:tcBorders>
          </w:tcPr>
          <w:p w14:paraId="1676D2A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(0.013)</w:t>
            </w:r>
          </w:p>
        </w:tc>
        <w:tc>
          <w:tcPr>
            <w:tcW w:w="1666" w:type="dxa"/>
            <w:tcBorders>
              <w:top w:val="nil"/>
              <w:left w:val="nil"/>
              <w:right w:val="nil"/>
            </w:tcBorders>
          </w:tcPr>
          <w:p w14:paraId="677BEBDD"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(0.016)</w:t>
            </w:r>
          </w:p>
        </w:tc>
        <w:tc>
          <w:tcPr>
            <w:tcW w:w="1984" w:type="dxa"/>
            <w:tcBorders>
              <w:top w:val="nil"/>
              <w:left w:val="nil"/>
              <w:right w:val="nil"/>
            </w:tcBorders>
          </w:tcPr>
          <w:p w14:paraId="18147B05"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(0.015)</w:t>
            </w:r>
          </w:p>
        </w:tc>
      </w:tr>
      <w:tr w:rsidR="00244248" w:rsidRPr="00287A95" w14:paraId="3CD2C133" w14:textId="77777777" w:rsidTr="00335B25">
        <w:tc>
          <w:tcPr>
            <w:tcW w:w="2977" w:type="dxa"/>
            <w:tcBorders>
              <w:top w:val="nil"/>
              <w:left w:val="nil"/>
              <w:right w:val="nil"/>
            </w:tcBorders>
          </w:tcPr>
          <w:p w14:paraId="38BFB6A1"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right w:val="nil"/>
            </w:tcBorders>
          </w:tcPr>
          <w:p w14:paraId="2DCE005A"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16</w:t>
            </w:r>
            <w:r>
              <w:rPr>
                <w:rFonts w:asciiTheme="majorHAnsi" w:hAnsiTheme="majorHAnsi" w:cstheme="majorHAnsi"/>
                <w:sz w:val="20"/>
                <w:szCs w:val="20"/>
              </w:rPr>
              <w:t>,</w:t>
            </w:r>
            <w:r w:rsidRPr="00231533">
              <w:rPr>
                <w:rFonts w:asciiTheme="majorHAnsi" w:hAnsiTheme="majorHAnsi" w:cstheme="majorHAnsi"/>
                <w:sz w:val="20"/>
                <w:szCs w:val="20"/>
              </w:rPr>
              <w:t>297</w:t>
            </w:r>
          </w:p>
        </w:tc>
        <w:tc>
          <w:tcPr>
            <w:tcW w:w="1417" w:type="dxa"/>
            <w:tcBorders>
              <w:top w:val="nil"/>
              <w:left w:val="nil"/>
              <w:right w:val="nil"/>
            </w:tcBorders>
          </w:tcPr>
          <w:p w14:paraId="52F04992"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16</w:t>
            </w:r>
            <w:r>
              <w:rPr>
                <w:rFonts w:asciiTheme="majorHAnsi" w:hAnsiTheme="majorHAnsi" w:cstheme="majorHAnsi"/>
                <w:sz w:val="20"/>
                <w:szCs w:val="20"/>
              </w:rPr>
              <w:t>,</w:t>
            </w:r>
            <w:r w:rsidRPr="00231533">
              <w:rPr>
                <w:rFonts w:asciiTheme="majorHAnsi" w:hAnsiTheme="majorHAnsi" w:cstheme="majorHAnsi"/>
                <w:sz w:val="20"/>
                <w:szCs w:val="20"/>
              </w:rPr>
              <w:t>038</w:t>
            </w:r>
          </w:p>
        </w:tc>
        <w:tc>
          <w:tcPr>
            <w:tcW w:w="1666" w:type="dxa"/>
            <w:tcBorders>
              <w:top w:val="nil"/>
              <w:left w:val="nil"/>
              <w:right w:val="nil"/>
            </w:tcBorders>
          </w:tcPr>
          <w:p w14:paraId="67434DD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16</w:t>
            </w:r>
            <w:r>
              <w:rPr>
                <w:rFonts w:asciiTheme="majorHAnsi" w:hAnsiTheme="majorHAnsi" w:cstheme="majorHAnsi"/>
                <w:sz w:val="20"/>
                <w:szCs w:val="20"/>
              </w:rPr>
              <w:t>,</w:t>
            </w:r>
            <w:r w:rsidRPr="00231533">
              <w:rPr>
                <w:rFonts w:asciiTheme="majorHAnsi" w:hAnsiTheme="majorHAnsi" w:cstheme="majorHAnsi"/>
                <w:sz w:val="20"/>
                <w:szCs w:val="20"/>
              </w:rPr>
              <w:t>297</w:t>
            </w:r>
          </w:p>
        </w:tc>
        <w:tc>
          <w:tcPr>
            <w:tcW w:w="1984" w:type="dxa"/>
            <w:tcBorders>
              <w:top w:val="nil"/>
              <w:left w:val="nil"/>
              <w:right w:val="nil"/>
            </w:tcBorders>
          </w:tcPr>
          <w:p w14:paraId="1C0D145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16</w:t>
            </w:r>
            <w:r>
              <w:rPr>
                <w:rFonts w:asciiTheme="majorHAnsi" w:hAnsiTheme="majorHAnsi" w:cstheme="majorHAnsi"/>
                <w:sz w:val="20"/>
                <w:szCs w:val="20"/>
              </w:rPr>
              <w:t>,</w:t>
            </w:r>
            <w:r w:rsidRPr="00231533">
              <w:rPr>
                <w:rFonts w:asciiTheme="majorHAnsi" w:hAnsiTheme="majorHAnsi" w:cstheme="majorHAnsi"/>
                <w:sz w:val="20"/>
                <w:szCs w:val="20"/>
              </w:rPr>
              <w:t>038</w:t>
            </w:r>
          </w:p>
        </w:tc>
      </w:tr>
      <w:tr w:rsidR="00244248" w:rsidRPr="00287A95" w14:paraId="48400F87" w14:textId="77777777" w:rsidTr="00335B25">
        <w:trPr>
          <w:trHeight w:val="457"/>
        </w:trPr>
        <w:tc>
          <w:tcPr>
            <w:tcW w:w="2977" w:type="dxa"/>
            <w:tcBorders>
              <w:left w:val="nil"/>
              <w:bottom w:val="single" w:sz="4" w:space="0" w:color="ED7D31" w:themeColor="accent2"/>
              <w:right w:val="nil"/>
            </w:tcBorders>
            <w:vAlign w:val="center"/>
          </w:tcPr>
          <w:p w14:paraId="7C4A88B5"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Second births</w:t>
            </w:r>
          </w:p>
        </w:tc>
        <w:tc>
          <w:tcPr>
            <w:tcW w:w="1531" w:type="dxa"/>
            <w:tcBorders>
              <w:left w:val="nil"/>
              <w:bottom w:val="single" w:sz="4" w:space="0" w:color="ED7D31" w:themeColor="accent2"/>
              <w:right w:val="nil"/>
            </w:tcBorders>
          </w:tcPr>
          <w:p w14:paraId="526B770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7FC1F0FA"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4E4691D1"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0454E774"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21CAD66A" w14:textId="77777777" w:rsidTr="00335B25">
        <w:tc>
          <w:tcPr>
            <w:tcW w:w="2977" w:type="dxa"/>
            <w:tcBorders>
              <w:top w:val="single" w:sz="4" w:space="0" w:color="ED7D31" w:themeColor="accent2"/>
              <w:left w:val="nil"/>
              <w:bottom w:val="nil"/>
              <w:right w:val="nil"/>
            </w:tcBorders>
          </w:tcPr>
          <w:p w14:paraId="5CA08555"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1527FF2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0.008</w:t>
            </w:r>
          </w:p>
        </w:tc>
        <w:tc>
          <w:tcPr>
            <w:tcW w:w="1417" w:type="dxa"/>
            <w:tcBorders>
              <w:top w:val="single" w:sz="4" w:space="0" w:color="ED7D31" w:themeColor="accent2"/>
              <w:left w:val="nil"/>
              <w:bottom w:val="nil"/>
              <w:right w:val="nil"/>
            </w:tcBorders>
          </w:tcPr>
          <w:p w14:paraId="3A75070A"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0.006</w:t>
            </w:r>
          </w:p>
        </w:tc>
        <w:tc>
          <w:tcPr>
            <w:tcW w:w="1666" w:type="dxa"/>
            <w:tcBorders>
              <w:top w:val="single" w:sz="4" w:space="0" w:color="ED7D31" w:themeColor="accent2"/>
              <w:left w:val="nil"/>
              <w:bottom w:val="nil"/>
              <w:right w:val="nil"/>
            </w:tcBorders>
          </w:tcPr>
          <w:p w14:paraId="369BCC1F"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-0.031</w:t>
            </w:r>
          </w:p>
        </w:tc>
        <w:tc>
          <w:tcPr>
            <w:tcW w:w="1984" w:type="dxa"/>
            <w:tcBorders>
              <w:top w:val="single" w:sz="4" w:space="0" w:color="ED7D31" w:themeColor="accent2"/>
              <w:left w:val="nil"/>
              <w:bottom w:val="nil"/>
              <w:right w:val="nil"/>
            </w:tcBorders>
          </w:tcPr>
          <w:p w14:paraId="11F291AA"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-0.024</w:t>
            </w:r>
          </w:p>
        </w:tc>
      </w:tr>
      <w:tr w:rsidR="00244248" w:rsidRPr="00287A95" w14:paraId="7C957C22" w14:textId="77777777" w:rsidTr="00335B25">
        <w:tc>
          <w:tcPr>
            <w:tcW w:w="2977" w:type="dxa"/>
            <w:tcBorders>
              <w:top w:val="nil"/>
              <w:left w:val="nil"/>
              <w:bottom w:val="nil"/>
              <w:right w:val="nil"/>
            </w:tcBorders>
          </w:tcPr>
          <w:p w14:paraId="7D906810"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27F5199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(0.023)</w:t>
            </w:r>
          </w:p>
        </w:tc>
        <w:tc>
          <w:tcPr>
            <w:tcW w:w="1417" w:type="dxa"/>
            <w:tcBorders>
              <w:top w:val="nil"/>
              <w:left w:val="nil"/>
              <w:bottom w:val="nil"/>
              <w:right w:val="nil"/>
            </w:tcBorders>
          </w:tcPr>
          <w:p w14:paraId="00E2649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(0.022)</w:t>
            </w:r>
          </w:p>
        </w:tc>
        <w:tc>
          <w:tcPr>
            <w:tcW w:w="1666" w:type="dxa"/>
            <w:tcBorders>
              <w:top w:val="nil"/>
              <w:left w:val="nil"/>
              <w:bottom w:val="nil"/>
              <w:right w:val="nil"/>
            </w:tcBorders>
          </w:tcPr>
          <w:p w14:paraId="0839759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(0.031)</w:t>
            </w:r>
          </w:p>
        </w:tc>
        <w:tc>
          <w:tcPr>
            <w:tcW w:w="1984" w:type="dxa"/>
            <w:tcBorders>
              <w:top w:val="nil"/>
              <w:left w:val="nil"/>
              <w:bottom w:val="nil"/>
              <w:right w:val="nil"/>
            </w:tcBorders>
          </w:tcPr>
          <w:p w14:paraId="1F618E1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(0.030)</w:t>
            </w:r>
          </w:p>
        </w:tc>
      </w:tr>
      <w:tr w:rsidR="00244248" w:rsidRPr="00287A95" w14:paraId="7A191F83" w14:textId="77777777" w:rsidTr="00335B25">
        <w:tc>
          <w:tcPr>
            <w:tcW w:w="2977" w:type="dxa"/>
            <w:tcBorders>
              <w:top w:val="nil"/>
              <w:left w:val="nil"/>
              <w:bottom w:val="nil"/>
              <w:right w:val="nil"/>
            </w:tcBorders>
          </w:tcPr>
          <w:p w14:paraId="0DC81024"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bottom w:val="nil"/>
              <w:right w:val="nil"/>
            </w:tcBorders>
          </w:tcPr>
          <w:p w14:paraId="4F1FE09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6</w:t>
            </w:r>
            <w:r>
              <w:rPr>
                <w:rFonts w:asciiTheme="majorHAnsi" w:hAnsiTheme="majorHAnsi" w:cstheme="majorHAnsi"/>
                <w:sz w:val="20"/>
                <w:szCs w:val="20"/>
              </w:rPr>
              <w:t>,</w:t>
            </w:r>
            <w:r w:rsidRPr="00231533">
              <w:rPr>
                <w:rFonts w:asciiTheme="majorHAnsi" w:hAnsiTheme="majorHAnsi" w:cstheme="majorHAnsi"/>
                <w:sz w:val="20"/>
                <w:szCs w:val="20"/>
              </w:rPr>
              <w:t>201</w:t>
            </w:r>
          </w:p>
        </w:tc>
        <w:tc>
          <w:tcPr>
            <w:tcW w:w="1417" w:type="dxa"/>
            <w:tcBorders>
              <w:top w:val="nil"/>
              <w:left w:val="nil"/>
              <w:bottom w:val="nil"/>
              <w:right w:val="nil"/>
            </w:tcBorders>
          </w:tcPr>
          <w:p w14:paraId="14F8AEF8"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6</w:t>
            </w:r>
            <w:r>
              <w:rPr>
                <w:rFonts w:asciiTheme="majorHAnsi" w:hAnsiTheme="majorHAnsi" w:cstheme="majorHAnsi"/>
                <w:sz w:val="20"/>
                <w:szCs w:val="20"/>
              </w:rPr>
              <w:t>,</w:t>
            </w:r>
            <w:r w:rsidRPr="00231533">
              <w:rPr>
                <w:rFonts w:asciiTheme="majorHAnsi" w:hAnsiTheme="majorHAnsi" w:cstheme="majorHAnsi"/>
                <w:sz w:val="20"/>
                <w:szCs w:val="20"/>
              </w:rPr>
              <w:t>044</w:t>
            </w:r>
          </w:p>
        </w:tc>
        <w:tc>
          <w:tcPr>
            <w:tcW w:w="1666" w:type="dxa"/>
            <w:tcBorders>
              <w:top w:val="nil"/>
              <w:left w:val="nil"/>
              <w:bottom w:val="nil"/>
              <w:right w:val="nil"/>
            </w:tcBorders>
          </w:tcPr>
          <w:p w14:paraId="235D21F5"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6</w:t>
            </w:r>
            <w:r>
              <w:rPr>
                <w:rFonts w:asciiTheme="majorHAnsi" w:hAnsiTheme="majorHAnsi" w:cstheme="majorHAnsi"/>
                <w:sz w:val="20"/>
                <w:szCs w:val="20"/>
              </w:rPr>
              <w:t>,</w:t>
            </w:r>
            <w:r w:rsidRPr="00231533">
              <w:rPr>
                <w:rFonts w:asciiTheme="majorHAnsi" w:hAnsiTheme="majorHAnsi" w:cstheme="majorHAnsi"/>
                <w:sz w:val="20"/>
                <w:szCs w:val="20"/>
              </w:rPr>
              <w:t>201</w:t>
            </w:r>
          </w:p>
        </w:tc>
        <w:tc>
          <w:tcPr>
            <w:tcW w:w="1984" w:type="dxa"/>
            <w:tcBorders>
              <w:top w:val="nil"/>
              <w:left w:val="nil"/>
              <w:bottom w:val="nil"/>
              <w:right w:val="nil"/>
            </w:tcBorders>
          </w:tcPr>
          <w:p w14:paraId="46EC80E1"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6</w:t>
            </w:r>
            <w:r>
              <w:rPr>
                <w:rFonts w:asciiTheme="majorHAnsi" w:hAnsiTheme="majorHAnsi" w:cstheme="majorHAnsi"/>
                <w:sz w:val="20"/>
                <w:szCs w:val="20"/>
              </w:rPr>
              <w:t>,</w:t>
            </w:r>
            <w:r w:rsidRPr="00231533">
              <w:rPr>
                <w:rFonts w:asciiTheme="majorHAnsi" w:hAnsiTheme="majorHAnsi" w:cstheme="majorHAnsi"/>
                <w:sz w:val="20"/>
                <w:szCs w:val="20"/>
              </w:rPr>
              <w:t>044</w:t>
            </w:r>
          </w:p>
        </w:tc>
      </w:tr>
      <w:tr w:rsidR="00244248" w:rsidRPr="00287A95" w14:paraId="75859C6D" w14:textId="77777777" w:rsidTr="00335B25">
        <w:tc>
          <w:tcPr>
            <w:tcW w:w="2977" w:type="dxa"/>
            <w:tcBorders>
              <w:top w:val="nil"/>
              <w:left w:val="nil"/>
              <w:right w:val="nil"/>
            </w:tcBorders>
            <w:vAlign w:val="bottom"/>
          </w:tcPr>
          <w:p w14:paraId="30DAD462"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right w:val="nil"/>
            </w:tcBorders>
          </w:tcPr>
          <w:p w14:paraId="56128DBD"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right w:val="nil"/>
            </w:tcBorders>
          </w:tcPr>
          <w:p w14:paraId="20D47935"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right w:val="nil"/>
            </w:tcBorders>
          </w:tcPr>
          <w:p w14:paraId="123AAF2A"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right w:val="nil"/>
            </w:tcBorders>
          </w:tcPr>
          <w:p w14:paraId="705E879E"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746E0F7B" w14:textId="77777777" w:rsidTr="00335B25">
        <w:tc>
          <w:tcPr>
            <w:tcW w:w="2977" w:type="dxa"/>
            <w:tcBorders>
              <w:top w:val="nil"/>
              <w:left w:val="nil"/>
              <w:bottom w:val="single" w:sz="4" w:space="0" w:color="ED7D31" w:themeColor="accent2"/>
              <w:right w:val="nil"/>
            </w:tcBorders>
            <w:vAlign w:val="center"/>
          </w:tcPr>
          <w:p w14:paraId="21CEEE52"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Pr>
                <w:rFonts w:asciiTheme="majorHAnsi" w:hAnsiTheme="majorHAnsi" w:cstheme="majorHAnsi"/>
                <w:b/>
                <w:bCs/>
                <w:sz w:val="20"/>
                <w:szCs w:val="20"/>
              </w:rPr>
              <w:t>Third births</w:t>
            </w:r>
          </w:p>
        </w:tc>
        <w:tc>
          <w:tcPr>
            <w:tcW w:w="1531" w:type="dxa"/>
            <w:tcBorders>
              <w:top w:val="nil"/>
              <w:left w:val="nil"/>
              <w:bottom w:val="single" w:sz="4" w:space="0" w:color="ED7D31" w:themeColor="accent2"/>
              <w:right w:val="nil"/>
            </w:tcBorders>
          </w:tcPr>
          <w:p w14:paraId="1A9988D9"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0F23A422"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655C61C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241FD654"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7DEFC203" w14:textId="77777777" w:rsidTr="00335B25">
        <w:tc>
          <w:tcPr>
            <w:tcW w:w="2977" w:type="dxa"/>
            <w:tcBorders>
              <w:top w:val="single" w:sz="4" w:space="0" w:color="ED7D31" w:themeColor="accent2"/>
              <w:left w:val="nil"/>
              <w:right w:val="nil"/>
            </w:tcBorders>
          </w:tcPr>
          <w:p w14:paraId="3D54E00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7C22B684"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-0.022</w:t>
            </w:r>
          </w:p>
        </w:tc>
        <w:tc>
          <w:tcPr>
            <w:tcW w:w="1417" w:type="dxa"/>
            <w:tcBorders>
              <w:top w:val="single" w:sz="4" w:space="0" w:color="ED7D31" w:themeColor="accent2"/>
              <w:left w:val="nil"/>
              <w:right w:val="nil"/>
            </w:tcBorders>
          </w:tcPr>
          <w:p w14:paraId="5AC0E794"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-0.009</w:t>
            </w:r>
          </w:p>
        </w:tc>
        <w:tc>
          <w:tcPr>
            <w:tcW w:w="1666" w:type="dxa"/>
            <w:tcBorders>
              <w:top w:val="single" w:sz="4" w:space="0" w:color="ED7D31" w:themeColor="accent2"/>
              <w:left w:val="nil"/>
              <w:right w:val="nil"/>
            </w:tcBorders>
          </w:tcPr>
          <w:p w14:paraId="3580FBE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-0.011</w:t>
            </w:r>
          </w:p>
        </w:tc>
        <w:tc>
          <w:tcPr>
            <w:tcW w:w="1984" w:type="dxa"/>
            <w:tcBorders>
              <w:top w:val="single" w:sz="4" w:space="0" w:color="ED7D31" w:themeColor="accent2"/>
              <w:left w:val="nil"/>
              <w:right w:val="nil"/>
            </w:tcBorders>
          </w:tcPr>
          <w:p w14:paraId="304C65F2"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-0.014</w:t>
            </w:r>
          </w:p>
        </w:tc>
      </w:tr>
      <w:tr w:rsidR="00244248" w:rsidRPr="00287A95" w14:paraId="4E04BF0A" w14:textId="77777777" w:rsidTr="00335B25">
        <w:tc>
          <w:tcPr>
            <w:tcW w:w="2977" w:type="dxa"/>
            <w:tcBorders>
              <w:top w:val="nil"/>
              <w:left w:val="nil"/>
              <w:right w:val="nil"/>
            </w:tcBorders>
          </w:tcPr>
          <w:p w14:paraId="71F2E9C5"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0EFF0E0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(0.016)</w:t>
            </w:r>
          </w:p>
        </w:tc>
        <w:tc>
          <w:tcPr>
            <w:tcW w:w="1417" w:type="dxa"/>
            <w:tcBorders>
              <w:top w:val="nil"/>
              <w:left w:val="nil"/>
              <w:right w:val="nil"/>
            </w:tcBorders>
          </w:tcPr>
          <w:p w14:paraId="69C8CAF9"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(0.016)</w:t>
            </w:r>
          </w:p>
        </w:tc>
        <w:tc>
          <w:tcPr>
            <w:tcW w:w="1666" w:type="dxa"/>
            <w:tcBorders>
              <w:top w:val="nil"/>
              <w:left w:val="nil"/>
              <w:right w:val="nil"/>
            </w:tcBorders>
          </w:tcPr>
          <w:p w14:paraId="571F9C68"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(0.021)</w:t>
            </w:r>
          </w:p>
        </w:tc>
        <w:tc>
          <w:tcPr>
            <w:tcW w:w="1984" w:type="dxa"/>
            <w:tcBorders>
              <w:top w:val="nil"/>
              <w:left w:val="nil"/>
              <w:right w:val="nil"/>
            </w:tcBorders>
          </w:tcPr>
          <w:p w14:paraId="72C01579"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(0.022)</w:t>
            </w:r>
          </w:p>
        </w:tc>
      </w:tr>
      <w:tr w:rsidR="00244248" w:rsidRPr="00287A95" w14:paraId="47B31EC1" w14:textId="77777777" w:rsidTr="00335B25">
        <w:tc>
          <w:tcPr>
            <w:tcW w:w="2977" w:type="dxa"/>
            <w:tcBorders>
              <w:top w:val="nil"/>
              <w:left w:val="nil"/>
              <w:right w:val="nil"/>
            </w:tcBorders>
          </w:tcPr>
          <w:p w14:paraId="2721B4AE"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right w:val="nil"/>
            </w:tcBorders>
          </w:tcPr>
          <w:p w14:paraId="531D4D14"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8</w:t>
            </w:r>
            <w:r>
              <w:rPr>
                <w:rFonts w:asciiTheme="majorHAnsi" w:hAnsiTheme="majorHAnsi" w:cstheme="majorHAnsi"/>
                <w:sz w:val="20"/>
                <w:szCs w:val="20"/>
              </w:rPr>
              <w:t>,</w:t>
            </w:r>
            <w:r w:rsidRPr="00231533">
              <w:rPr>
                <w:rFonts w:asciiTheme="majorHAnsi" w:hAnsiTheme="majorHAnsi" w:cstheme="majorHAnsi"/>
                <w:sz w:val="20"/>
                <w:szCs w:val="20"/>
              </w:rPr>
              <w:t>079</w:t>
            </w:r>
          </w:p>
        </w:tc>
        <w:tc>
          <w:tcPr>
            <w:tcW w:w="1417" w:type="dxa"/>
            <w:tcBorders>
              <w:top w:val="nil"/>
              <w:left w:val="nil"/>
              <w:right w:val="nil"/>
            </w:tcBorders>
          </w:tcPr>
          <w:p w14:paraId="2622D84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7</w:t>
            </w:r>
            <w:r>
              <w:rPr>
                <w:rFonts w:asciiTheme="majorHAnsi" w:hAnsiTheme="majorHAnsi" w:cstheme="majorHAnsi"/>
                <w:sz w:val="20"/>
                <w:szCs w:val="20"/>
              </w:rPr>
              <w:t>,</w:t>
            </w:r>
            <w:r w:rsidRPr="00231533">
              <w:rPr>
                <w:rFonts w:asciiTheme="majorHAnsi" w:hAnsiTheme="majorHAnsi" w:cstheme="majorHAnsi"/>
                <w:sz w:val="20"/>
                <w:szCs w:val="20"/>
              </w:rPr>
              <w:t>781</w:t>
            </w:r>
          </w:p>
        </w:tc>
        <w:tc>
          <w:tcPr>
            <w:tcW w:w="1666" w:type="dxa"/>
            <w:tcBorders>
              <w:top w:val="nil"/>
              <w:left w:val="nil"/>
              <w:right w:val="nil"/>
            </w:tcBorders>
          </w:tcPr>
          <w:p w14:paraId="21CEDCE1"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8</w:t>
            </w:r>
            <w:r>
              <w:rPr>
                <w:rFonts w:asciiTheme="majorHAnsi" w:hAnsiTheme="majorHAnsi" w:cstheme="majorHAnsi"/>
                <w:sz w:val="20"/>
                <w:szCs w:val="20"/>
              </w:rPr>
              <w:t>,</w:t>
            </w:r>
            <w:r w:rsidRPr="00231533">
              <w:rPr>
                <w:rFonts w:asciiTheme="majorHAnsi" w:hAnsiTheme="majorHAnsi" w:cstheme="majorHAnsi"/>
                <w:sz w:val="20"/>
                <w:szCs w:val="20"/>
              </w:rPr>
              <w:t>079</w:t>
            </w:r>
          </w:p>
        </w:tc>
        <w:tc>
          <w:tcPr>
            <w:tcW w:w="1984" w:type="dxa"/>
            <w:tcBorders>
              <w:top w:val="nil"/>
              <w:left w:val="nil"/>
              <w:right w:val="nil"/>
            </w:tcBorders>
          </w:tcPr>
          <w:p w14:paraId="17FC5E1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7</w:t>
            </w:r>
            <w:r>
              <w:rPr>
                <w:rFonts w:asciiTheme="majorHAnsi" w:hAnsiTheme="majorHAnsi" w:cstheme="majorHAnsi"/>
                <w:sz w:val="20"/>
                <w:szCs w:val="20"/>
              </w:rPr>
              <w:t>,</w:t>
            </w:r>
            <w:r w:rsidRPr="00231533">
              <w:rPr>
                <w:rFonts w:asciiTheme="majorHAnsi" w:hAnsiTheme="majorHAnsi" w:cstheme="majorHAnsi"/>
                <w:sz w:val="20"/>
                <w:szCs w:val="20"/>
              </w:rPr>
              <w:t>781</w:t>
            </w:r>
          </w:p>
        </w:tc>
      </w:tr>
      <w:tr w:rsidR="00244248" w:rsidRPr="00287A95" w14:paraId="14AF72D9" w14:textId="77777777" w:rsidTr="00335B25">
        <w:tc>
          <w:tcPr>
            <w:tcW w:w="2977" w:type="dxa"/>
            <w:tcBorders>
              <w:top w:val="nil"/>
              <w:left w:val="nil"/>
              <w:right w:val="nil"/>
            </w:tcBorders>
            <w:vAlign w:val="bottom"/>
          </w:tcPr>
          <w:p w14:paraId="3DAFB000"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right w:val="nil"/>
            </w:tcBorders>
          </w:tcPr>
          <w:p w14:paraId="17FFBA55"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right w:val="nil"/>
            </w:tcBorders>
          </w:tcPr>
          <w:p w14:paraId="489C098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right w:val="nil"/>
            </w:tcBorders>
          </w:tcPr>
          <w:p w14:paraId="25272251"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right w:val="nil"/>
            </w:tcBorders>
          </w:tcPr>
          <w:p w14:paraId="695C4AD3"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5AB9A90B" w14:textId="77777777" w:rsidTr="00335B25">
        <w:tc>
          <w:tcPr>
            <w:tcW w:w="2977" w:type="dxa"/>
            <w:tcBorders>
              <w:top w:val="nil"/>
              <w:left w:val="nil"/>
              <w:bottom w:val="single" w:sz="4" w:space="0" w:color="ED7D31" w:themeColor="accent2"/>
              <w:right w:val="nil"/>
            </w:tcBorders>
            <w:vAlign w:val="bottom"/>
          </w:tcPr>
          <w:p w14:paraId="29D59B6B"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b/>
                <w:bCs/>
                <w:sz w:val="20"/>
                <w:szCs w:val="20"/>
              </w:rPr>
              <w:t>Model specifications</w:t>
            </w:r>
          </w:p>
        </w:tc>
        <w:tc>
          <w:tcPr>
            <w:tcW w:w="1531" w:type="dxa"/>
            <w:tcBorders>
              <w:top w:val="nil"/>
              <w:left w:val="nil"/>
              <w:bottom w:val="single" w:sz="4" w:space="0" w:color="ED7D31" w:themeColor="accent2"/>
              <w:right w:val="nil"/>
            </w:tcBorders>
          </w:tcPr>
          <w:p w14:paraId="02B80E46" w14:textId="77777777" w:rsidR="00244248" w:rsidRPr="00931E61" w:rsidRDefault="00244248" w:rsidP="00335B25">
            <w:pPr>
              <w:widowControl w:val="0"/>
              <w:autoSpaceDE w:val="0"/>
              <w:autoSpaceDN w:val="0"/>
              <w:adjustRightInd w:val="0"/>
              <w:spacing w:after="0" w:line="240" w:lineRule="auto"/>
              <w:jc w:val="center"/>
            </w:pPr>
          </w:p>
        </w:tc>
        <w:tc>
          <w:tcPr>
            <w:tcW w:w="1417" w:type="dxa"/>
            <w:tcBorders>
              <w:top w:val="nil"/>
              <w:left w:val="nil"/>
              <w:bottom w:val="single" w:sz="4" w:space="0" w:color="ED7D31" w:themeColor="accent2"/>
              <w:right w:val="nil"/>
            </w:tcBorders>
          </w:tcPr>
          <w:p w14:paraId="6A0841F5" w14:textId="77777777" w:rsidR="00244248" w:rsidRPr="00931E61" w:rsidRDefault="00244248" w:rsidP="00335B25">
            <w:pPr>
              <w:widowControl w:val="0"/>
              <w:autoSpaceDE w:val="0"/>
              <w:autoSpaceDN w:val="0"/>
              <w:adjustRightInd w:val="0"/>
              <w:spacing w:after="0" w:line="240" w:lineRule="auto"/>
              <w:jc w:val="center"/>
            </w:pPr>
          </w:p>
        </w:tc>
        <w:tc>
          <w:tcPr>
            <w:tcW w:w="1666" w:type="dxa"/>
            <w:tcBorders>
              <w:top w:val="nil"/>
              <w:left w:val="nil"/>
              <w:bottom w:val="single" w:sz="4" w:space="0" w:color="ED7D31" w:themeColor="accent2"/>
              <w:right w:val="nil"/>
            </w:tcBorders>
          </w:tcPr>
          <w:p w14:paraId="59D74C7D" w14:textId="77777777" w:rsidR="00244248" w:rsidRPr="00931E61" w:rsidRDefault="00244248" w:rsidP="00335B25">
            <w:pPr>
              <w:widowControl w:val="0"/>
              <w:autoSpaceDE w:val="0"/>
              <w:autoSpaceDN w:val="0"/>
              <w:adjustRightInd w:val="0"/>
              <w:spacing w:after="0" w:line="240" w:lineRule="auto"/>
              <w:jc w:val="center"/>
            </w:pPr>
          </w:p>
        </w:tc>
        <w:tc>
          <w:tcPr>
            <w:tcW w:w="1984" w:type="dxa"/>
            <w:tcBorders>
              <w:top w:val="nil"/>
              <w:left w:val="nil"/>
              <w:bottom w:val="single" w:sz="4" w:space="0" w:color="ED7D31" w:themeColor="accent2"/>
              <w:right w:val="nil"/>
            </w:tcBorders>
          </w:tcPr>
          <w:p w14:paraId="339E4B40" w14:textId="77777777" w:rsidR="00244248" w:rsidRPr="00931E61" w:rsidRDefault="00244248" w:rsidP="00335B25">
            <w:pPr>
              <w:widowControl w:val="0"/>
              <w:autoSpaceDE w:val="0"/>
              <w:autoSpaceDN w:val="0"/>
              <w:adjustRightInd w:val="0"/>
              <w:spacing w:after="0" w:line="240" w:lineRule="auto"/>
              <w:jc w:val="center"/>
            </w:pPr>
          </w:p>
        </w:tc>
      </w:tr>
      <w:tr w:rsidR="00244248" w:rsidRPr="00287A95" w14:paraId="61E92FC1" w14:textId="77777777" w:rsidTr="00335B25">
        <w:tc>
          <w:tcPr>
            <w:tcW w:w="2977" w:type="dxa"/>
            <w:tcBorders>
              <w:top w:val="single" w:sz="4" w:space="0" w:color="ED7D31" w:themeColor="accent2"/>
              <w:left w:val="nil"/>
              <w:right w:val="nil"/>
            </w:tcBorders>
          </w:tcPr>
          <w:p w14:paraId="1F970030"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287A95">
              <w:rPr>
                <w:rFonts w:asciiTheme="majorHAnsi" w:hAnsiTheme="majorHAnsi" w:cstheme="majorHAnsi"/>
                <w:sz w:val="20"/>
                <w:szCs w:val="20"/>
              </w:rPr>
              <w:t>Year and State Fixed Effects</w:t>
            </w:r>
          </w:p>
        </w:tc>
        <w:tc>
          <w:tcPr>
            <w:tcW w:w="1531" w:type="dxa"/>
            <w:tcBorders>
              <w:top w:val="single" w:sz="4" w:space="0" w:color="ED7D31" w:themeColor="accent2"/>
              <w:left w:val="nil"/>
              <w:right w:val="nil"/>
            </w:tcBorders>
          </w:tcPr>
          <w:p w14:paraId="7EEEE835"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417" w:type="dxa"/>
            <w:tcBorders>
              <w:top w:val="single" w:sz="4" w:space="0" w:color="ED7D31" w:themeColor="accent2"/>
              <w:left w:val="nil"/>
              <w:right w:val="nil"/>
            </w:tcBorders>
          </w:tcPr>
          <w:p w14:paraId="2E4F30FE"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666" w:type="dxa"/>
            <w:tcBorders>
              <w:top w:val="single" w:sz="4" w:space="0" w:color="ED7D31" w:themeColor="accent2"/>
              <w:left w:val="nil"/>
              <w:right w:val="nil"/>
            </w:tcBorders>
          </w:tcPr>
          <w:p w14:paraId="2F173DF1"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984" w:type="dxa"/>
            <w:tcBorders>
              <w:top w:val="single" w:sz="4" w:space="0" w:color="ED7D31" w:themeColor="accent2"/>
              <w:left w:val="nil"/>
              <w:right w:val="nil"/>
            </w:tcBorders>
          </w:tcPr>
          <w:p w14:paraId="29B00CD6"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r>
      <w:tr w:rsidR="00244248" w:rsidRPr="00287A95" w14:paraId="4E6664AE" w14:textId="77777777" w:rsidTr="00335B25">
        <w:tc>
          <w:tcPr>
            <w:tcW w:w="2977" w:type="dxa"/>
            <w:tcBorders>
              <w:top w:val="nil"/>
              <w:left w:val="nil"/>
              <w:right w:val="nil"/>
            </w:tcBorders>
          </w:tcPr>
          <w:p w14:paraId="49D9D9ED"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Time-varying Demographics</w:t>
            </w:r>
          </w:p>
        </w:tc>
        <w:tc>
          <w:tcPr>
            <w:tcW w:w="1531" w:type="dxa"/>
            <w:tcBorders>
              <w:top w:val="nil"/>
              <w:left w:val="nil"/>
              <w:right w:val="nil"/>
            </w:tcBorders>
          </w:tcPr>
          <w:p w14:paraId="458A38A2"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right w:val="nil"/>
            </w:tcBorders>
          </w:tcPr>
          <w:p w14:paraId="62AB690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666" w:type="dxa"/>
            <w:tcBorders>
              <w:top w:val="nil"/>
              <w:left w:val="nil"/>
              <w:right w:val="nil"/>
            </w:tcBorders>
          </w:tcPr>
          <w:p w14:paraId="64E92B00"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984" w:type="dxa"/>
            <w:tcBorders>
              <w:top w:val="nil"/>
              <w:left w:val="nil"/>
              <w:right w:val="nil"/>
            </w:tcBorders>
          </w:tcPr>
          <w:p w14:paraId="602389B2"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r>
      <w:tr w:rsidR="00244248" w:rsidRPr="00287A95" w14:paraId="042237F5" w14:textId="77777777" w:rsidTr="00335B25">
        <w:tc>
          <w:tcPr>
            <w:tcW w:w="2977" w:type="dxa"/>
            <w:tcBorders>
              <w:top w:val="nil"/>
              <w:left w:val="nil"/>
              <w:right w:val="nil"/>
            </w:tcBorders>
          </w:tcPr>
          <w:p w14:paraId="49313A15"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Time-invariant Demographics</w:t>
            </w:r>
          </w:p>
        </w:tc>
        <w:tc>
          <w:tcPr>
            <w:tcW w:w="1531" w:type="dxa"/>
            <w:tcBorders>
              <w:top w:val="nil"/>
              <w:left w:val="nil"/>
              <w:right w:val="nil"/>
            </w:tcBorders>
          </w:tcPr>
          <w:p w14:paraId="008E0D6D"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right w:val="nil"/>
            </w:tcBorders>
          </w:tcPr>
          <w:p w14:paraId="64A5C13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666" w:type="dxa"/>
            <w:tcBorders>
              <w:top w:val="nil"/>
              <w:left w:val="nil"/>
              <w:right w:val="nil"/>
            </w:tcBorders>
          </w:tcPr>
          <w:p w14:paraId="45F385F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984" w:type="dxa"/>
            <w:tcBorders>
              <w:top w:val="nil"/>
              <w:left w:val="nil"/>
              <w:right w:val="nil"/>
            </w:tcBorders>
          </w:tcPr>
          <w:p w14:paraId="2A687376"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r>
      <w:tr w:rsidR="00244248" w:rsidRPr="00287A95" w14:paraId="3046EFF6" w14:textId="77777777" w:rsidTr="00335B25">
        <w:tc>
          <w:tcPr>
            <w:tcW w:w="2977" w:type="dxa"/>
            <w:tcBorders>
              <w:top w:val="nil"/>
              <w:left w:val="nil"/>
              <w:bottom w:val="single" w:sz="4" w:space="0" w:color="ED7D31" w:themeColor="accent2"/>
              <w:right w:val="nil"/>
            </w:tcBorders>
          </w:tcPr>
          <w:p w14:paraId="2FC96D6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5D77A3A5"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51CDE1DC"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625E847E"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5F0DD23A"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r>
    </w:tbl>
    <w:p w14:paraId="2C7071A2" w14:textId="77777777" w:rsidR="00244248" w:rsidRPr="00630A65" w:rsidRDefault="00244248" w:rsidP="00244248">
      <w:pPr>
        <w:widowControl w:val="0"/>
        <w:autoSpaceDE w:val="0"/>
        <w:autoSpaceDN w:val="0"/>
        <w:adjustRightInd w:val="0"/>
        <w:spacing w:after="0" w:line="240" w:lineRule="auto"/>
        <w:rPr>
          <w:rFonts w:asciiTheme="majorHAnsi" w:hAnsiTheme="majorHAnsi" w:cstheme="majorHAnsi"/>
          <w:sz w:val="20"/>
          <w:szCs w:val="20"/>
        </w:rPr>
      </w:pPr>
      <w:r w:rsidRPr="00630A65">
        <w:rPr>
          <w:rFonts w:asciiTheme="majorHAnsi" w:hAnsiTheme="majorHAnsi" w:cstheme="majorHAnsi"/>
          <w:sz w:val="20"/>
          <w:szCs w:val="20"/>
        </w:rPr>
        <w:t>* p&lt;0.1, ** p&lt;0.05, *** p&lt;0.01</w:t>
      </w:r>
    </w:p>
    <w:p w14:paraId="70C40F58" w14:textId="77777777" w:rsidR="00244248"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2C8D855A" w14:textId="77777777" w:rsidR="00244248"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4C419434" w14:textId="77777777" w:rsidR="00244248" w:rsidRDefault="00244248" w:rsidP="00244248">
      <w:pPr>
        <w:rPr>
          <w:rFonts w:ascii="Tw Cen MT Condensed" w:hAnsi="Tw Cen MT Condensed"/>
          <w:sz w:val="28"/>
          <w:szCs w:val="28"/>
        </w:rPr>
      </w:pPr>
      <w:r>
        <w:rPr>
          <w:rFonts w:ascii="Tw Cen MT Condensed" w:hAnsi="Tw Cen MT Condensed"/>
          <w:sz w:val="28"/>
          <w:szCs w:val="28"/>
        </w:rPr>
        <w:br w:type="page"/>
      </w:r>
    </w:p>
    <w:p w14:paraId="0ADF65D0" w14:textId="07DA6ADD" w:rsidR="00244248" w:rsidRDefault="00244248" w:rsidP="00244248">
      <w:r>
        <w:lastRenderedPageBreak/>
        <w:t xml:space="preserve">Table </w:t>
      </w:r>
      <w:r w:rsidR="00CE06A6">
        <w:t xml:space="preserve">31 </w:t>
      </w:r>
      <w:r>
        <w:t xml:space="preserve">shows the results for the additional fertility outcomes: childbearing desires, expectations and additionally intended children. In line with what was seen in the Figures above, we find no significant difference between the control and treatment group in terms of their fertility preferences before and after the introduction of Paid Parental Leave. </w:t>
      </w:r>
    </w:p>
    <w:p w14:paraId="375184A6" w14:textId="77777777" w:rsidR="00244248" w:rsidRDefault="00244248" w:rsidP="00244248">
      <w:r>
        <w:t xml:space="preserve">For this reason, results by parity (also not significant) are not shown. </w:t>
      </w:r>
    </w:p>
    <w:p w14:paraId="4D5AB4F6" w14:textId="0A06CF87" w:rsidR="00244248" w:rsidRDefault="00244248" w:rsidP="00244248">
      <w:pPr>
        <w:pStyle w:val="Caption"/>
        <w:keepNext/>
      </w:pPr>
      <w:r>
        <w:t xml:space="preserve">Table </w:t>
      </w:r>
      <w:fldSimple w:instr=" SEQ Table \* ARABIC ">
        <w:r w:rsidR="00115E22">
          <w:rPr>
            <w:noProof/>
          </w:rPr>
          <w:t>31</w:t>
        </w:r>
      </w:fldSimple>
      <w:r>
        <w:t xml:space="preserve"> </w:t>
      </w:r>
      <w:r w:rsidRPr="00EC194F">
        <w:t xml:space="preserve">Effect of </w:t>
      </w:r>
      <w:r>
        <w:t xml:space="preserve">Parental Leave Pay </w:t>
      </w:r>
      <w:r w:rsidRPr="00EC194F">
        <w:t xml:space="preserve"> on </w:t>
      </w:r>
      <w:r>
        <w:t>childbearing desires, expectations and additionally intended children</w:t>
      </w:r>
      <w:r w:rsidRPr="00EC194F">
        <w:t>: DiD estimates</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287A95" w14:paraId="1CC567FE" w14:textId="77777777" w:rsidTr="00335B25">
        <w:tc>
          <w:tcPr>
            <w:tcW w:w="2977" w:type="dxa"/>
            <w:tcBorders>
              <w:top w:val="single" w:sz="4" w:space="0" w:color="ED7D31" w:themeColor="accent2"/>
              <w:left w:val="nil"/>
              <w:bottom w:val="nil"/>
              <w:right w:val="nil"/>
            </w:tcBorders>
            <w:shd w:val="clear" w:color="auto" w:fill="FBE4D5" w:themeFill="accent2" w:themeFillTint="33"/>
          </w:tcPr>
          <w:p w14:paraId="2BDD275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ED7D31" w:themeColor="accent2"/>
              <w:left w:val="nil"/>
              <w:bottom w:val="nil"/>
              <w:right w:val="nil"/>
            </w:tcBorders>
            <w:shd w:val="clear" w:color="auto" w:fill="FBE4D5" w:themeFill="accent2" w:themeFillTint="33"/>
          </w:tcPr>
          <w:p w14:paraId="5E3B3CF9"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(1)</w:t>
            </w:r>
          </w:p>
        </w:tc>
        <w:tc>
          <w:tcPr>
            <w:tcW w:w="1417" w:type="dxa"/>
            <w:tcBorders>
              <w:top w:val="single" w:sz="4" w:space="0" w:color="ED7D31" w:themeColor="accent2"/>
              <w:left w:val="nil"/>
              <w:bottom w:val="nil"/>
              <w:right w:val="nil"/>
            </w:tcBorders>
            <w:shd w:val="clear" w:color="auto" w:fill="FBE4D5" w:themeFill="accent2" w:themeFillTint="33"/>
          </w:tcPr>
          <w:p w14:paraId="219F0CC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(2)</w:t>
            </w:r>
          </w:p>
        </w:tc>
        <w:tc>
          <w:tcPr>
            <w:tcW w:w="1666" w:type="dxa"/>
            <w:tcBorders>
              <w:top w:val="single" w:sz="4" w:space="0" w:color="ED7D31" w:themeColor="accent2"/>
              <w:left w:val="nil"/>
              <w:bottom w:val="nil"/>
              <w:right w:val="nil"/>
            </w:tcBorders>
            <w:shd w:val="clear" w:color="auto" w:fill="FBE4D5" w:themeFill="accent2" w:themeFillTint="33"/>
          </w:tcPr>
          <w:p w14:paraId="6DB9EC7B"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(3)</w:t>
            </w:r>
          </w:p>
        </w:tc>
        <w:tc>
          <w:tcPr>
            <w:tcW w:w="1984" w:type="dxa"/>
            <w:tcBorders>
              <w:top w:val="single" w:sz="4" w:space="0" w:color="ED7D31" w:themeColor="accent2"/>
              <w:left w:val="nil"/>
              <w:bottom w:val="nil"/>
              <w:right w:val="nil"/>
            </w:tcBorders>
            <w:shd w:val="clear" w:color="auto" w:fill="FBE4D5" w:themeFill="accent2" w:themeFillTint="33"/>
          </w:tcPr>
          <w:p w14:paraId="10B221B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(4)</w:t>
            </w:r>
          </w:p>
        </w:tc>
      </w:tr>
      <w:tr w:rsidR="00244248" w:rsidRPr="00287A95" w14:paraId="35E61690"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5C333950"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342A9B30"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61905435"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78FB51F0"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5C83587A"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r>
      <w:tr w:rsidR="00244248" w:rsidRPr="00287A95" w14:paraId="13F5DED7"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56FC6EC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Childbearing desires</w:t>
            </w:r>
          </w:p>
        </w:tc>
        <w:tc>
          <w:tcPr>
            <w:tcW w:w="1531" w:type="dxa"/>
            <w:tcBorders>
              <w:top w:val="single" w:sz="4" w:space="0" w:color="ED7D31" w:themeColor="accent2"/>
              <w:left w:val="nil"/>
              <w:bottom w:val="single" w:sz="4" w:space="0" w:color="ED7D31" w:themeColor="accent2"/>
              <w:right w:val="nil"/>
            </w:tcBorders>
          </w:tcPr>
          <w:p w14:paraId="2D328151"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0597BCAC"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292DC776"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5C49BD73"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287A95" w14:paraId="53309BDF" w14:textId="77777777" w:rsidTr="00335B25">
        <w:tc>
          <w:tcPr>
            <w:tcW w:w="2977" w:type="dxa"/>
            <w:tcBorders>
              <w:top w:val="single" w:sz="4" w:space="0" w:color="ED7D31" w:themeColor="accent2"/>
              <w:left w:val="nil"/>
              <w:right w:val="nil"/>
            </w:tcBorders>
          </w:tcPr>
          <w:p w14:paraId="5A728D75"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77A9B9E9"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0.011</w:t>
            </w:r>
          </w:p>
        </w:tc>
        <w:tc>
          <w:tcPr>
            <w:tcW w:w="1417" w:type="dxa"/>
            <w:tcBorders>
              <w:top w:val="single" w:sz="4" w:space="0" w:color="ED7D31" w:themeColor="accent2"/>
              <w:left w:val="nil"/>
              <w:right w:val="nil"/>
            </w:tcBorders>
          </w:tcPr>
          <w:p w14:paraId="454E1BE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0.064</w:t>
            </w:r>
          </w:p>
        </w:tc>
        <w:tc>
          <w:tcPr>
            <w:tcW w:w="1666" w:type="dxa"/>
            <w:tcBorders>
              <w:top w:val="single" w:sz="4" w:space="0" w:color="ED7D31" w:themeColor="accent2"/>
              <w:left w:val="nil"/>
              <w:right w:val="nil"/>
            </w:tcBorders>
          </w:tcPr>
          <w:p w14:paraId="60904082"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0.036</w:t>
            </w:r>
          </w:p>
        </w:tc>
        <w:tc>
          <w:tcPr>
            <w:tcW w:w="1984" w:type="dxa"/>
            <w:tcBorders>
              <w:top w:val="single" w:sz="4" w:space="0" w:color="ED7D31" w:themeColor="accent2"/>
              <w:left w:val="nil"/>
              <w:right w:val="nil"/>
            </w:tcBorders>
          </w:tcPr>
          <w:p w14:paraId="190796CB"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0.002</w:t>
            </w:r>
          </w:p>
        </w:tc>
      </w:tr>
      <w:tr w:rsidR="00244248" w:rsidRPr="00287A95" w14:paraId="3E7B0FE7" w14:textId="77777777" w:rsidTr="00335B25">
        <w:tc>
          <w:tcPr>
            <w:tcW w:w="2977" w:type="dxa"/>
            <w:tcBorders>
              <w:top w:val="nil"/>
              <w:left w:val="nil"/>
              <w:right w:val="nil"/>
            </w:tcBorders>
          </w:tcPr>
          <w:p w14:paraId="0AD8A7B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34A6A199"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(0.124)</w:t>
            </w:r>
          </w:p>
        </w:tc>
        <w:tc>
          <w:tcPr>
            <w:tcW w:w="1417" w:type="dxa"/>
            <w:tcBorders>
              <w:top w:val="nil"/>
              <w:left w:val="nil"/>
              <w:right w:val="nil"/>
            </w:tcBorders>
          </w:tcPr>
          <w:p w14:paraId="7792321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(0.112)</w:t>
            </w:r>
          </w:p>
        </w:tc>
        <w:tc>
          <w:tcPr>
            <w:tcW w:w="1666" w:type="dxa"/>
            <w:tcBorders>
              <w:top w:val="nil"/>
              <w:left w:val="nil"/>
              <w:right w:val="nil"/>
            </w:tcBorders>
          </w:tcPr>
          <w:p w14:paraId="3E977497"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(0.111)</w:t>
            </w:r>
          </w:p>
        </w:tc>
        <w:tc>
          <w:tcPr>
            <w:tcW w:w="1984" w:type="dxa"/>
            <w:tcBorders>
              <w:top w:val="nil"/>
              <w:left w:val="nil"/>
              <w:right w:val="nil"/>
            </w:tcBorders>
          </w:tcPr>
          <w:p w14:paraId="5360AA88"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(0.109)</w:t>
            </w:r>
          </w:p>
        </w:tc>
      </w:tr>
      <w:tr w:rsidR="00244248" w:rsidRPr="00287A95" w14:paraId="3082D9DC" w14:textId="77777777" w:rsidTr="00335B25">
        <w:tc>
          <w:tcPr>
            <w:tcW w:w="2977" w:type="dxa"/>
            <w:tcBorders>
              <w:left w:val="nil"/>
              <w:right w:val="nil"/>
            </w:tcBorders>
          </w:tcPr>
          <w:p w14:paraId="121DEB5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left w:val="nil"/>
              <w:right w:val="nil"/>
            </w:tcBorders>
          </w:tcPr>
          <w:p w14:paraId="20DAE51E"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30</w:t>
            </w:r>
            <w:r>
              <w:rPr>
                <w:rFonts w:asciiTheme="majorHAnsi" w:hAnsiTheme="majorHAnsi" w:cstheme="majorHAnsi"/>
                <w:sz w:val="20"/>
                <w:szCs w:val="20"/>
              </w:rPr>
              <w:t>,</w:t>
            </w:r>
            <w:r w:rsidRPr="00231533">
              <w:rPr>
                <w:rFonts w:asciiTheme="majorHAnsi" w:hAnsiTheme="majorHAnsi" w:cstheme="majorHAnsi"/>
                <w:sz w:val="20"/>
                <w:szCs w:val="20"/>
              </w:rPr>
              <w:t>482</w:t>
            </w:r>
          </w:p>
        </w:tc>
        <w:tc>
          <w:tcPr>
            <w:tcW w:w="1417" w:type="dxa"/>
            <w:tcBorders>
              <w:left w:val="nil"/>
              <w:right w:val="nil"/>
            </w:tcBorders>
          </w:tcPr>
          <w:p w14:paraId="08946853"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29</w:t>
            </w:r>
            <w:r>
              <w:rPr>
                <w:rFonts w:asciiTheme="majorHAnsi" w:hAnsiTheme="majorHAnsi" w:cstheme="majorHAnsi"/>
                <w:sz w:val="20"/>
                <w:szCs w:val="20"/>
              </w:rPr>
              <w:t>,</w:t>
            </w:r>
            <w:r w:rsidRPr="00231533">
              <w:rPr>
                <w:rFonts w:asciiTheme="majorHAnsi" w:hAnsiTheme="majorHAnsi" w:cstheme="majorHAnsi"/>
                <w:sz w:val="20"/>
                <w:szCs w:val="20"/>
              </w:rPr>
              <w:t>695</w:t>
            </w:r>
          </w:p>
        </w:tc>
        <w:tc>
          <w:tcPr>
            <w:tcW w:w="1666" w:type="dxa"/>
            <w:tcBorders>
              <w:left w:val="nil"/>
              <w:right w:val="nil"/>
            </w:tcBorders>
          </w:tcPr>
          <w:p w14:paraId="4072E303"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30</w:t>
            </w:r>
            <w:r>
              <w:rPr>
                <w:rFonts w:asciiTheme="majorHAnsi" w:hAnsiTheme="majorHAnsi" w:cstheme="majorHAnsi"/>
                <w:sz w:val="20"/>
                <w:szCs w:val="20"/>
              </w:rPr>
              <w:t>,</w:t>
            </w:r>
            <w:r w:rsidRPr="00231533">
              <w:rPr>
                <w:rFonts w:asciiTheme="majorHAnsi" w:hAnsiTheme="majorHAnsi" w:cstheme="majorHAnsi"/>
                <w:sz w:val="20"/>
                <w:szCs w:val="20"/>
              </w:rPr>
              <w:t>482</w:t>
            </w:r>
          </w:p>
        </w:tc>
        <w:tc>
          <w:tcPr>
            <w:tcW w:w="1984" w:type="dxa"/>
            <w:tcBorders>
              <w:left w:val="nil"/>
              <w:right w:val="nil"/>
            </w:tcBorders>
          </w:tcPr>
          <w:p w14:paraId="127BC009"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29</w:t>
            </w:r>
            <w:r>
              <w:rPr>
                <w:rFonts w:asciiTheme="majorHAnsi" w:hAnsiTheme="majorHAnsi" w:cstheme="majorHAnsi"/>
                <w:sz w:val="20"/>
                <w:szCs w:val="20"/>
              </w:rPr>
              <w:t>,</w:t>
            </w:r>
            <w:r w:rsidRPr="00231533">
              <w:rPr>
                <w:rFonts w:asciiTheme="majorHAnsi" w:hAnsiTheme="majorHAnsi" w:cstheme="majorHAnsi"/>
                <w:sz w:val="20"/>
                <w:szCs w:val="20"/>
              </w:rPr>
              <w:t>695</w:t>
            </w:r>
          </w:p>
        </w:tc>
      </w:tr>
      <w:tr w:rsidR="00244248" w:rsidRPr="00287A95" w14:paraId="656451AB" w14:textId="77777777" w:rsidTr="00335B25">
        <w:tc>
          <w:tcPr>
            <w:tcW w:w="2977" w:type="dxa"/>
            <w:tcBorders>
              <w:top w:val="nil"/>
              <w:left w:val="nil"/>
              <w:bottom w:val="nil"/>
              <w:right w:val="nil"/>
            </w:tcBorders>
          </w:tcPr>
          <w:p w14:paraId="26EC966E"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nil"/>
              <w:right w:val="nil"/>
            </w:tcBorders>
          </w:tcPr>
          <w:p w14:paraId="5D53B4B4"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nil"/>
              <w:right w:val="nil"/>
            </w:tcBorders>
          </w:tcPr>
          <w:p w14:paraId="6F4846D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nil"/>
              <w:right w:val="nil"/>
            </w:tcBorders>
          </w:tcPr>
          <w:p w14:paraId="42D18935"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nil"/>
              <w:right w:val="nil"/>
            </w:tcBorders>
          </w:tcPr>
          <w:p w14:paraId="7B89829A"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1D775708" w14:textId="77777777" w:rsidTr="00335B25">
        <w:trPr>
          <w:trHeight w:val="283"/>
        </w:trPr>
        <w:tc>
          <w:tcPr>
            <w:tcW w:w="2977" w:type="dxa"/>
            <w:tcBorders>
              <w:left w:val="nil"/>
              <w:bottom w:val="single" w:sz="4" w:space="0" w:color="ED7D31" w:themeColor="accent2"/>
              <w:right w:val="nil"/>
            </w:tcBorders>
            <w:vAlign w:val="bottom"/>
          </w:tcPr>
          <w:p w14:paraId="549DF38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8A6572">
              <w:rPr>
                <w:rFonts w:asciiTheme="majorHAnsi" w:hAnsiTheme="majorHAnsi" w:cstheme="majorHAnsi"/>
                <w:b/>
                <w:bCs/>
                <w:sz w:val="20"/>
                <w:szCs w:val="20"/>
              </w:rPr>
              <w:t>Childbearing expectations</w:t>
            </w:r>
          </w:p>
        </w:tc>
        <w:tc>
          <w:tcPr>
            <w:tcW w:w="1531" w:type="dxa"/>
            <w:tcBorders>
              <w:left w:val="nil"/>
              <w:bottom w:val="single" w:sz="4" w:space="0" w:color="ED7D31" w:themeColor="accent2"/>
              <w:right w:val="nil"/>
            </w:tcBorders>
          </w:tcPr>
          <w:p w14:paraId="4A95275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left w:val="nil"/>
              <w:bottom w:val="single" w:sz="4" w:space="0" w:color="ED7D31" w:themeColor="accent2"/>
              <w:right w:val="nil"/>
            </w:tcBorders>
          </w:tcPr>
          <w:p w14:paraId="5711FFA7"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68899078"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00782D87"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287A95" w14:paraId="19E80749" w14:textId="77777777" w:rsidTr="00335B25">
        <w:tc>
          <w:tcPr>
            <w:tcW w:w="2977" w:type="dxa"/>
            <w:tcBorders>
              <w:top w:val="single" w:sz="4" w:space="0" w:color="ED7D31" w:themeColor="accent2"/>
              <w:left w:val="nil"/>
              <w:bottom w:val="nil"/>
              <w:right w:val="nil"/>
            </w:tcBorders>
          </w:tcPr>
          <w:p w14:paraId="0652903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2873902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lang w:val="en-US"/>
              </w:rPr>
              <w:t>0.042</w:t>
            </w:r>
          </w:p>
        </w:tc>
        <w:tc>
          <w:tcPr>
            <w:tcW w:w="1417" w:type="dxa"/>
            <w:tcBorders>
              <w:top w:val="single" w:sz="4" w:space="0" w:color="ED7D31" w:themeColor="accent2"/>
              <w:left w:val="nil"/>
              <w:bottom w:val="nil"/>
              <w:right w:val="nil"/>
            </w:tcBorders>
          </w:tcPr>
          <w:p w14:paraId="746E9F51"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lang w:val="en-US"/>
              </w:rPr>
              <w:t>0.096</w:t>
            </w:r>
          </w:p>
        </w:tc>
        <w:tc>
          <w:tcPr>
            <w:tcW w:w="1666" w:type="dxa"/>
            <w:tcBorders>
              <w:top w:val="single" w:sz="4" w:space="0" w:color="ED7D31" w:themeColor="accent2"/>
              <w:left w:val="nil"/>
              <w:bottom w:val="nil"/>
              <w:right w:val="nil"/>
            </w:tcBorders>
          </w:tcPr>
          <w:p w14:paraId="52E2D8E1"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lang w:val="en-US"/>
              </w:rPr>
              <w:t>-0.021</w:t>
            </w:r>
          </w:p>
        </w:tc>
        <w:tc>
          <w:tcPr>
            <w:tcW w:w="1984" w:type="dxa"/>
            <w:tcBorders>
              <w:top w:val="single" w:sz="4" w:space="0" w:color="ED7D31" w:themeColor="accent2"/>
              <w:left w:val="nil"/>
              <w:bottom w:val="nil"/>
              <w:right w:val="nil"/>
            </w:tcBorders>
          </w:tcPr>
          <w:p w14:paraId="63A707ED"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lang w:val="en-US"/>
              </w:rPr>
              <w:t>-0.054</w:t>
            </w:r>
          </w:p>
        </w:tc>
      </w:tr>
      <w:tr w:rsidR="00244248" w:rsidRPr="00287A95" w14:paraId="23DE2663" w14:textId="77777777" w:rsidTr="00335B25">
        <w:tc>
          <w:tcPr>
            <w:tcW w:w="2977" w:type="dxa"/>
            <w:tcBorders>
              <w:top w:val="nil"/>
              <w:left w:val="nil"/>
              <w:right w:val="nil"/>
            </w:tcBorders>
          </w:tcPr>
          <w:p w14:paraId="756C3C7B"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54592707"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lang w:val="en-US"/>
              </w:rPr>
              <w:t>(0.119)</w:t>
            </w:r>
          </w:p>
        </w:tc>
        <w:tc>
          <w:tcPr>
            <w:tcW w:w="1417" w:type="dxa"/>
            <w:tcBorders>
              <w:top w:val="nil"/>
              <w:left w:val="nil"/>
              <w:right w:val="nil"/>
            </w:tcBorders>
          </w:tcPr>
          <w:p w14:paraId="7B3B2A8E"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lang w:val="en-US"/>
              </w:rPr>
              <w:t>(0.103)</w:t>
            </w:r>
          </w:p>
        </w:tc>
        <w:tc>
          <w:tcPr>
            <w:tcW w:w="1666" w:type="dxa"/>
            <w:tcBorders>
              <w:top w:val="nil"/>
              <w:left w:val="nil"/>
              <w:right w:val="nil"/>
            </w:tcBorders>
          </w:tcPr>
          <w:p w14:paraId="27DC82D2"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lang w:val="en-US"/>
              </w:rPr>
              <w:t>(0.103)</w:t>
            </w:r>
          </w:p>
        </w:tc>
        <w:tc>
          <w:tcPr>
            <w:tcW w:w="1984" w:type="dxa"/>
            <w:tcBorders>
              <w:top w:val="nil"/>
              <w:left w:val="nil"/>
              <w:right w:val="nil"/>
            </w:tcBorders>
          </w:tcPr>
          <w:p w14:paraId="5193883B"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lang w:val="en-US"/>
              </w:rPr>
              <w:t>(0.102)</w:t>
            </w:r>
          </w:p>
        </w:tc>
      </w:tr>
      <w:tr w:rsidR="00244248" w:rsidRPr="00287A95" w14:paraId="2D9F7ADB" w14:textId="77777777" w:rsidTr="00335B25">
        <w:tc>
          <w:tcPr>
            <w:tcW w:w="2977" w:type="dxa"/>
            <w:tcBorders>
              <w:top w:val="nil"/>
              <w:left w:val="nil"/>
              <w:right w:val="nil"/>
            </w:tcBorders>
          </w:tcPr>
          <w:p w14:paraId="1C736D7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right w:val="nil"/>
            </w:tcBorders>
          </w:tcPr>
          <w:p w14:paraId="133B75B4"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lang w:val="en-US"/>
              </w:rPr>
              <w:t>30</w:t>
            </w:r>
            <w:r>
              <w:rPr>
                <w:rFonts w:asciiTheme="majorHAnsi" w:hAnsiTheme="majorHAnsi" w:cstheme="majorHAnsi"/>
                <w:sz w:val="20"/>
                <w:szCs w:val="20"/>
                <w:lang w:val="en-US"/>
              </w:rPr>
              <w:t>,</w:t>
            </w:r>
            <w:r w:rsidRPr="00231533">
              <w:rPr>
                <w:rFonts w:asciiTheme="majorHAnsi" w:hAnsiTheme="majorHAnsi" w:cstheme="majorHAnsi"/>
                <w:sz w:val="20"/>
                <w:szCs w:val="20"/>
                <w:lang w:val="en-US"/>
              </w:rPr>
              <w:t>442</w:t>
            </w:r>
          </w:p>
        </w:tc>
        <w:tc>
          <w:tcPr>
            <w:tcW w:w="1417" w:type="dxa"/>
            <w:tcBorders>
              <w:top w:val="nil"/>
              <w:left w:val="nil"/>
              <w:right w:val="nil"/>
            </w:tcBorders>
          </w:tcPr>
          <w:p w14:paraId="6B1F3D73"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lang w:val="en-US"/>
              </w:rPr>
              <w:t>29</w:t>
            </w:r>
            <w:r>
              <w:rPr>
                <w:rFonts w:asciiTheme="majorHAnsi" w:hAnsiTheme="majorHAnsi" w:cstheme="majorHAnsi"/>
                <w:sz w:val="20"/>
                <w:szCs w:val="20"/>
                <w:lang w:val="en-US"/>
              </w:rPr>
              <w:t>,</w:t>
            </w:r>
            <w:r w:rsidRPr="00231533">
              <w:rPr>
                <w:rFonts w:asciiTheme="majorHAnsi" w:hAnsiTheme="majorHAnsi" w:cstheme="majorHAnsi"/>
                <w:sz w:val="20"/>
                <w:szCs w:val="20"/>
                <w:lang w:val="en-US"/>
              </w:rPr>
              <w:t>657</w:t>
            </w:r>
          </w:p>
        </w:tc>
        <w:tc>
          <w:tcPr>
            <w:tcW w:w="1666" w:type="dxa"/>
            <w:tcBorders>
              <w:top w:val="nil"/>
              <w:left w:val="nil"/>
              <w:right w:val="nil"/>
            </w:tcBorders>
          </w:tcPr>
          <w:p w14:paraId="2885546C"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lang w:val="en-US"/>
              </w:rPr>
              <w:t>30</w:t>
            </w:r>
            <w:r>
              <w:rPr>
                <w:rFonts w:asciiTheme="majorHAnsi" w:hAnsiTheme="majorHAnsi" w:cstheme="majorHAnsi"/>
                <w:sz w:val="20"/>
                <w:szCs w:val="20"/>
                <w:lang w:val="en-US"/>
              </w:rPr>
              <w:t>,</w:t>
            </w:r>
            <w:r w:rsidRPr="00231533">
              <w:rPr>
                <w:rFonts w:asciiTheme="majorHAnsi" w:hAnsiTheme="majorHAnsi" w:cstheme="majorHAnsi"/>
                <w:sz w:val="20"/>
                <w:szCs w:val="20"/>
                <w:lang w:val="en-US"/>
              </w:rPr>
              <w:t>442</w:t>
            </w:r>
          </w:p>
        </w:tc>
        <w:tc>
          <w:tcPr>
            <w:tcW w:w="1984" w:type="dxa"/>
            <w:tcBorders>
              <w:top w:val="nil"/>
              <w:left w:val="nil"/>
              <w:right w:val="nil"/>
            </w:tcBorders>
          </w:tcPr>
          <w:p w14:paraId="1E047F97"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lang w:val="en-US"/>
              </w:rPr>
              <w:t>29</w:t>
            </w:r>
            <w:r>
              <w:rPr>
                <w:rFonts w:asciiTheme="majorHAnsi" w:hAnsiTheme="majorHAnsi" w:cstheme="majorHAnsi"/>
                <w:sz w:val="20"/>
                <w:szCs w:val="20"/>
                <w:lang w:val="en-US"/>
              </w:rPr>
              <w:t>,</w:t>
            </w:r>
            <w:r w:rsidRPr="00231533">
              <w:rPr>
                <w:rFonts w:asciiTheme="majorHAnsi" w:hAnsiTheme="majorHAnsi" w:cstheme="majorHAnsi"/>
                <w:sz w:val="20"/>
                <w:szCs w:val="20"/>
                <w:lang w:val="en-US"/>
              </w:rPr>
              <w:t>657</w:t>
            </w:r>
          </w:p>
        </w:tc>
      </w:tr>
      <w:tr w:rsidR="00244248" w:rsidRPr="00287A95" w14:paraId="055306CF" w14:textId="77777777" w:rsidTr="00335B25">
        <w:tc>
          <w:tcPr>
            <w:tcW w:w="2977" w:type="dxa"/>
            <w:tcBorders>
              <w:top w:val="nil"/>
              <w:left w:val="nil"/>
              <w:bottom w:val="single" w:sz="4" w:space="0" w:color="ED7D31" w:themeColor="accent2"/>
              <w:right w:val="nil"/>
            </w:tcBorders>
            <w:vAlign w:val="center"/>
          </w:tcPr>
          <w:p w14:paraId="5A38E37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8A6572">
              <w:rPr>
                <w:rFonts w:asciiTheme="majorHAnsi" w:hAnsiTheme="majorHAnsi" w:cstheme="majorHAnsi"/>
                <w:b/>
                <w:bCs/>
                <w:sz w:val="20"/>
                <w:szCs w:val="20"/>
              </w:rPr>
              <w:t>Additionally intended number of children</w:t>
            </w:r>
          </w:p>
        </w:tc>
        <w:tc>
          <w:tcPr>
            <w:tcW w:w="1531" w:type="dxa"/>
            <w:tcBorders>
              <w:top w:val="nil"/>
              <w:left w:val="nil"/>
              <w:bottom w:val="single" w:sz="4" w:space="0" w:color="ED7D31" w:themeColor="accent2"/>
              <w:right w:val="nil"/>
            </w:tcBorders>
          </w:tcPr>
          <w:p w14:paraId="537B7079"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4196B1CA"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4D2F786F"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312C234D"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746BA735" w14:textId="77777777" w:rsidTr="00335B25">
        <w:tc>
          <w:tcPr>
            <w:tcW w:w="2977" w:type="dxa"/>
            <w:tcBorders>
              <w:top w:val="single" w:sz="4" w:space="0" w:color="ED7D31" w:themeColor="accent2"/>
              <w:left w:val="nil"/>
              <w:right w:val="nil"/>
            </w:tcBorders>
          </w:tcPr>
          <w:p w14:paraId="5D38F1C3" w14:textId="77777777" w:rsidR="00244248"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6C9FB96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0.031</w:t>
            </w:r>
          </w:p>
        </w:tc>
        <w:tc>
          <w:tcPr>
            <w:tcW w:w="1417" w:type="dxa"/>
            <w:tcBorders>
              <w:top w:val="single" w:sz="4" w:space="0" w:color="ED7D31" w:themeColor="accent2"/>
              <w:left w:val="nil"/>
              <w:right w:val="nil"/>
            </w:tcBorders>
          </w:tcPr>
          <w:p w14:paraId="46979B8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0.042</w:t>
            </w:r>
          </w:p>
        </w:tc>
        <w:tc>
          <w:tcPr>
            <w:tcW w:w="1666" w:type="dxa"/>
            <w:tcBorders>
              <w:top w:val="single" w:sz="4" w:space="0" w:color="ED7D31" w:themeColor="accent2"/>
              <w:left w:val="nil"/>
              <w:right w:val="nil"/>
            </w:tcBorders>
          </w:tcPr>
          <w:p w14:paraId="41364310"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-0.006</w:t>
            </w:r>
          </w:p>
        </w:tc>
        <w:tc>
          <w:tcPr>
            <w:tcW w:w="1984" w:type="dxa"/>
            <w:tcBorders>
              <w:top w:val="single" w:sz="4" w:space="0" w:color="ED7D31" w:themeColor="accent2"/>
              <w:left w:val="nil"/>
              <w:right w:val="nil"/>
            </w:tcBorders>
          </w:tcPr>
          <w:p w14:paraId="59B79F6B"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-0.006</w:t>
            </w:r>
          </w:p>
        </w:tc>
      </w:tr>
      <w:tr w:rsidR="00244248" w:rsidRPr="00287A95" w14:paraId="4B68C8D9" w14:textId="77777777" w:rsidTr="00335B25">
        <w:tc>
          <w:tcPr>
            <w:tcW w:w="2977" w:type="dxa"/>
            <w:tcBorders>
              <w:top w:val="nil"/>
              <w:left w:val="nil"/>
              <w:right w:val="nil"/>
            </w:tcBorders>
          </w:tcPr>
          <w:p w14:paraId="60FA863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05FB4CBD"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(0.036)</w:t>
            </w:r>
          </w:p>
        </w:tc>
        <w:tc>
          <w:tcPr>
            <w:tcW w:w="1417" w:type="dxa"/>
            <w:tcBorders>
              <w:top w:val="nil"/>
              <w:left w:val="nil"/>
              <w:right w:val="nil"/>
            </w:tcBorders>
          </w:tcPr>
          <w:p w14:paraId="14BBABF4"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(0.032)</w:t>
            </w:r>
          </w:p>
        </w:tc>
        <w:tc>
          <w:tcPr>
            <w:tcW w:w="1666" w:type="dxa"/>
            <w:tcBorders>
              <w:top w:val="nil"/>
              <w:left w:val="nil"/>
              <w:right w:val="nil"/>
            </w:tcBorders>
          </w:tcPr>
          <w:p w14:paraId="7EC07971"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(0.027)</w:t>
            </w:r>
          </w:p>
        </w:tc>
        <w:tc>
          <w:tcPr>
            <w:tcW w:w="1984" w:type="dxa"/>
            <w:tcBorders>
              <w:top w:val="nil"/>
              <w:left w:val="nil"/>
              <w:right w:val="nil"/>
            </w:tcBorders>
          </w:tcPr>
          <w:p w14:paraId="38FFE108"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231533">
              <w:rPr>
                <w:rFonts w:asciiTheme="majorHAnsi" w:hAnsiTheme="majorHAnsi" w:cstheme="majorHAnsi"/>
                <w:color w:val="808080" w:themeColor="background1" w:themeShade="80"/>
                <w:sz w:val="20"/>
                <w:szCs w:val="20"/>
              </w:rPr>
              <w:t>(0.027)</w:t>
            </w:r>
          </w:p>
        </w:tc>
      </w:tr>
      <w:tr w:rsidR="00244248" w:rsidRPr="00287A95" w14:paraId="6C3BEA0B" w14:textId="77777777" w:rsidTr="00335B25">
        <w:tc>
          <w:tcPr>
            <w:tcW w:w="2977" w:type="dxa"/>
            <w:tcBorders>
              <w:left w:val="nil"/>
              <w:right w:val="nil"/>
            </w:tcBorders>
          </w:tcPr>
          <w:p w14:paraId="0DEDF79D"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left w:val="nil"/>
              <w:right w:val="nil"/>
            </w:tcBorders>
          </w:tcPr>
          <w:p w14:paraId="7D41002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23</w:t>
            </w:r>
            <w:r>
              <w:rPr>
                <w:rFonts w:asciiTheme="majorHAnsi" w:hAnsiTheme="majorHAnsi" w:cstheme="majorHAnsi"/>
                <w:sz w:val="20"/>
                <w:szCs w:val="20"/>
              </w:rPr>
              <w:t>,</w:t>
            </w:r>
            <w:r w:rsidRPr="00231533">
              <w:rPr>
                <w:rFonts w:asciiTheme="majorHAnsi" w:hAnsiTheme="majorHAnsi" w:cstheme="majorHAnsi"/>
                <w:sz w:val="20"/>
                <w:szCs w:val="20"/>
              </w:rPr>
              <w:t>191</w:t>
            </w:r>
          </w:p>
        </w:tc>
        <w:tc>
          <w:tcPr>
            <w:tcW w:w="1417" w:type="dxa"/>
            <w:tcBorders>
              <w:left w:val="nil"/>
              <w:right w:val="nil"/>
            </w:tcBorders>
          </w:tcPr>
          <w:p w14:paraId="41AFA1E6"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22</w:t>
            </w:r>
            <w:r>
              <w:rPr>
                <w:rFonts w:asciiTheme="majorHAnsi" w:hAnsiTheme="majorHAnsi" w:cstheme="majorHAnsi"/>
                <w:sz w:val="20"/>
                <w:szCs w:val="20"/>
              </w:rPr>
              <w:t>,</w:t>
            </w:r>
            <w:r w:rsidRPr="00231533">
              <w:rPr>
                <w:rFonts w:asciiTheme="majorHAnsi" w:hAnsiTheme="majorHAnsi" w:cstheme="majorHAnsi"/>
                <w:sz w:val="20"/>
                <w:szCs w:val="20"/>
              </w:rPr>
              <w:t>624</w:t>
            </w:r>
          </w:p>
        </w:tc>
        <w:tc>
          <w:tcPr>
            <w:tcW w:w="1666" w:type="dxa"/>
            <w:tcBorders>
              <w:left w:val="nil"/>
              <w:right w:val="nil"/>
            </w:tcBorders>
          </w:tcPr>
          <w:p w14:paraId="09E2C435"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23</w:t>
            </w:r>
            <w:r>
              <w:rPr>
                <w:rFonts w:asciiTheme="majorHAnsi" w:hAnsiTheme="majorHAnsi" w:cstheme="majorHAnsi"/>
                <w:sz w:val="20"/>
                <w:szCs w:val="20"/>
              </w:rPr>
              <w:t>,</w:t>
            </w:r>
            <w:r w:rsidRPr="00231533">
              <w:rPr>
                <w:rFonts w:asciiTheme="majorHAnsi" w:hAnsiTheme="majorHAnsi" w:cstheme="majorHAnsi"/>
                <w:sz w:val="20"/>
                <w:szCs w:val="20"/>
              </w:rPr>
              <w:t>191</w:t>
            </w:r>
          </w:p>
        </w:tc>
        <w:tc>
          <w:tcPr>
            <w:tcW w:w="1984" w:type="dxa"/>
            <w:tcBorders>
              <w:left w:val="nil"/>
              <w:right w:val="nil"/>
            </w:tcBorders>
          </w:tcPr>
          <w:p w14:paraId="5B8DDBF3"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31533">
              <w:rPr>
                <w:rFonts w:asciiTheme="majorHAnsi" w:hAnsiTheme="majorHAnsi" w:cstheme="majorHAnsi"/>
                <w:sz w:val="20"/>
                <w:szCs w:val="20"/>
              </w:rPr>
              <w:t>22</w:t>
            </w:r>
            <w:r>
              <w:rPr>
                <w:rFonts w:asciiTheme="majorHAnsi" w:hAnsiTheme="majorHAnsi" w:cstheme="majorHAnsi"/>
                <w:sz w:val="20"/>
                <w:szCs w:val="20"/>
              </w:rPr>
              <w:t>,</w:t>
            </w:r>
            <w:r w:rsidRPr="00231533">
              <w:rPr>
                <w:rFonts w:asciiTheme="majorHAnsi" w:hAnsiTheme="majorHAnsi" w:cstheme="majorHAnsi"/>
                <w:sz w:val="20"/>
                <w:szCs w:val="20"/>
              </w:rPr>
              <w:t>624</w:t>
            </w:r>
          </w:p>
        </w:tc>
      </w:tr>
      <w:tr w:rsidR="00244248" w:rsidRPr="00287A95" w14:paraId="0E96B571" w14:textId="77777777" w:rsidTr="00335B25">
        <w:tc>
          <w:tcPr>
            <w:tcW w:w="2977" w:type="dxa"/>
            <w:tcBorders>
              <w:top w:val="nil"/>
              <w:left w:val="nil"/>
              <w:right w:val="nil"/>
            </w:tcBorders>
            <w:vAlign w:val="bottom"/>
          </w:tcPr>
          <w:p w14:paraId="518E8FFF"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right w:val="nil"/>
            </w:tcBorders>
          </w:tcPr>
          <w:p w14:paraId="653707F8"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right w:val="nil"/>
            </w:tcBorders>
          </w:tcPr>
          <w:p w14:paraId="0B39A93C"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right w:val="nil"/>
            </w:tcBorders>
          </w:tcPr>
          <w:p w14:paraId="3E1E2B1A"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right w:val="nil"/>
            </w:tcBorders>
          </w:tcPr>
          <w:p w14:paraId="26686927"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0EF970A2" w14:textId="77777777" w:rsidTr="00335B25">
        <w:tc>
          <w:tcPr>
            <w:tcW w:w="2977" w:type="dxa"/>
            <w:tcBorders>
              <w:top w:val="nil"/>
              <w:left w:val="nil"/>
              <w:bottom w:val="single" w:sz="4" w:space="0" w:color="ED7D31" w:themeColor="accent2"/>
              <w:right w:val="nil"/>
            </w:tcBorders>
            <w:vAlign w:val="bottom"/>
          </w:tcPr>
          <w:p w14:paraId="46BB735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b/>
                <w:bCs/>
                <w:sz w:val="20"/>
                <w:szCs w:val="20"/>
              </w:rPr>
              <w:t>Model specifications</w:t>
            </w:r>
          </w:p>
        </w:tc>
        <w:tc>
          <w:tcPr>
            <w:tcW w:w="1531" w:type="dxa"/>
            <w:tcBorders>
              <w:top w:val="nil"/>
              <w:left w:val="nil"/>
              <w:bottom w:val="single" w:sz="4" w:space="0" w:color="ED7D31" w:themeColor="accent2"/>
              <w:right w:val="nil"/>
            </w:tcBorders>
          </w:tcPr>
          <w:p w14:paraId="2044886E"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0032A3CE"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31C2C00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174D63C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1F548265" w14:textId="77777777" w:rsidTr="00335B25">
        <w:tc>
          <w:tcPr>
            <w:tcW w:w="2977" w:type="dxa"/>
            <w:tcBorders>
              <w:top w:val="single" w:sz="4" w:space="0" w:color="ED7D31" w:themeColor="accent2"/>
              <w:left w:val="nil"/>
              <w:right w:val="nil"/>
            </w:tcBorders>
          </w:tcPr>
          <w:p w14:paraId="1262B831"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287A95">
              <w:rPr>
                <w:rFonts w:asciiTheme="majorHAnsi" w:hAnsiTheme="majorHAnsi" w:cstheme="majorHAnsi"/>
                <w:sz w:val="20"/>
                <w:szCs w:val="20"/>
              </w:rPr>
              <w:t>Year and State Fixed Effects</w:t>
            </w:r>
          </w:p>
        </w:tc>
        <w:tc>
          <w:tcPr>
            <w:tcW w:w="1531" w:type="dxa"/>
            <w:tcBorders>
              <w:top w:val="single" w:sz="4" w:space="0" w:color="ED7D31" w:themeColor="accent2"/>
              <w:left w:val="nil"/>
              <w:right w:val="nil"/>
            </w:tcBorders>
          </w:tcPr>
          <w:p w14:paraId="7040F242"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417" w:type="dxa"/>
            <w:tcBorders>
              <w:top w:val="single" w:sz="4" w:space="0" w:color="ED7D31" w:themeColor="accent2"/>
              <w:left w:val="nil"/>
              <w:right w:val="nil"/>
            </w:tcBorders>
          </w:tcPr>
          <w:p w14:paraId="069AD29A"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666" w:type="dxa"/>
            <w:tcBorders>
              <w:top w:val="single" w:sz="4" w:space="0" w:color="ED7D31" w:themeColor="accent2"/>
              <w:left w:val="nil"/>
              <w:right w:val="nil"/>
            </w:tcBorders>
          </w:tcPr>
          <w:p w14:paraId="7C8E24E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984" w:type="dxa"/>
            <w:tcBorders>
              <w:top w:val="single" w:sz="4" w:space="0" w:color="ED7D31" w:themeColor="accent2"/>
              <w:left w:val="nil"/>
              <w:right w:val="nil"/>
            </w:tcBorders>
          </w:tcPr>
          <w:p w14:paraId="742A8C47"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r>
      <w:tr w:rsidR="00244248" w:rsidRPr="00287A95" w14:paraId="418C0012" w14:textId="77777777" w:rsidTr="00335B25">
        <w:tc>
          <w:tcPr>
            <w:tcW w:w="2977" w:type="dxa"/>
            <w:tcBorders>
              <w:top w:val="nil"/>
              <w:left w:val="nil"/>
              <w:right w:val="nil"/>
            </w:tcBorders>
          </w:tcPr>
          <w:p w14:paraId="081B2740"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Time-varying Demographics</w:t>
            </w:r>
          </w:p>
        </w:tc>
        <w:tc>
          <w:tcPr>
            <w:tcW w:w="1531" w:type="dxa"/>
            <w:tcBorders>
              <w:top w:val="nil"/>
              <w:left w:val="nil"/>
              <w:right w:val="nil"/>
            </w:tcBorders>
          </w:tcPr>
          <w:p w14:paraId="14BD6B77"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417" w:type="dxa"/>
            <w:tcBorders>
              <w:top w:val="nil"/>
              <w:left w:val="nil"/>
              <w:right w:val="nil"/>
            </w:tcBorders>
          </w:tcPr>
          <w:p w14:paraId="41D063F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666" w:type="dxa"/>
            <w:tcBorders>
              <w:top w:val="nil"/>
              <w:left w:val="nil"/>
              <w:right w:val="nil"/>
            </w:tcBorders>
          </w:tcPr>
          <w:p w14:paraId="7297A2E4"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984" w:type="dxa"/>
            <w:tcBorders>
              <w:top w:val="nil"/>
              <w:left w:val="nil"/>
              <w:right w:val="nil"/>
            </w:tcBorders>
          </w:tcPr>
          <w:p w14:paraId="3E50EC74"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r>
      <w:tr w:rsidR="00244248" w:rsidRPr="00287A95" w14:paraId="12224071" w14:textId="77777777" w:rsidTr="00335B25">
        <w:tc>
          <w:tcPr>
            <w:tcW w:w="2977" w:type="dxa"/>
            <w:tcBorders>
              <w:top w:val="nil"/>
              <w:left w:val="nil"/>
              <w:right w:val="nil"/>
            </w:tcBorders>
          </w:tcPr>
          <w:p w14:paraId="32EB9BE4"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Time-invariant Demographics</w:t>
            </w:r>
          </w:p>
        </w:tc>
        <w:tc>
          <w:tcPr>
            <w:tcW w:w="1531" w:type="dxa"/>
            <w:tcBorders>
              <w:top w:val="nil"/>
              <w:left w:val="nil"/>
              <w:right w:val="nil"/>
            </w:tcBorders>
          </w:tcPr>
          <w:p w14:paraId="13C83C25"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417" w:type="dxa"/>
            <w:tcBorders>
              <w:top w:val="nil"/>
              <w:left w:val="nil"/>
              <w:right w:val="nil"/>
            </w:tcBorders>
          </w:tcPr>
          <w:p w14:paraId="03B80168"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666" w:type="dxa"/>
            <w:tcBorders>
              <w:top w:val="nil"/>
              <w:left w:val="nil"/>
              <w:right w:val="nil"/>
            </w:tcBorders>
          </w:tcPr>
          <w:p w14:paraId="451A9B78"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984" w:type="dxa"/>
            <w:tcBorders>
              <w:top w:val="nil"/>
              <w:left w:val="nil"/>
              <w:right w:val="nil"/>
            </w:tcBorders>
          </w:tcPr>
          <w:p w14:paraId="28CB164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r>
      <w:tr w:rsidR="00244248" w:rsidRPr="00287A95" w14:paraId="76C8A0EA" w14:textId="77777777" w:rsidTr="00335B25">
        <w:tc>
          <w:tcPr>
            <w:tcW w:w="2977" w:type="dxa"/>
            <w:tcBorders>
              <w:top w:val="nil"/>
              <w:left w:val="nil"/>
              <w:bottom w:val="single" w:sz="4" w:space="0" w:color="ED7D31" w:themeColor="accent2"/>
              <w:right w:val="nil"/>
            </w:tcBorders>
          </w:tcPr>
          <w:p w14:paraId="470EEDB1"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22C17373"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7276B593"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4F20CE73"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389CE9F8"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r>
    </w:tbl>
    <w:p w14:paraId="09D21856" w14:textId="77777777" w:rsidR="00244248" w:rsidRPr="00630A65" w:rsidRDefault="00244248" w:rsidP="00244248">
      <w:pPr>
        <w:widowControl w:val="0"/>
        <w:autoSpaceDE w:val="0"/>
        <w:autoSpaceDN w:val="0"/>
        <w:adjustRightInd w:val="0"/>
        <w:spacing w:after="0" w:line="240" w:lineRule="auto"/>
        <w:rPr>
          <w:rFonts w:asciiTheme="majorHAnsi" w:hAnsiTheme="majorHAnsi" w:cstheme="majorHAnsi"/>
          <w:sz w:val="20"/>
          <w:szCs w:val="20"/>
        </w:rPr>
      </w:pPr>
      <w:r w:rsidRPr="00630A65">
        <w:rPr>
          <w:rFonts w:asciiTheme="majorHAnsi" w:hAnsiTheme="majorHAnsi" w:cstheme="majorHAnsi"/>
          <w:sz w:val="20"/>
          <w:szCs w:val="20"/>
        </w:rPr>
        <w:t>* p&lt;0.1, ** p&lt;0.05, *** p&lt;0.01</w:t>
      </w:r>
    </w:p>
    <w:p w14:paraId="5BFC614C" w14:textId="77777777" w:rsidR="00244248"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7C2D9A70" w14:textId="251BE52A" w:rsidR="00244248"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3A333940" w14:textId="77777777" w:rsidR="00E55341" w:rsidRDefault="00E55341" w:rsidP="00244248">
      <w:pPr>
        <w:keepNext/>
        <w:widowControl w:val="0"/>
        <w:autoSpaceDE w:val="0"/>
        <w:autoSpaceDN w:val="0"/>
        <w:adjustRightInd w:val="0"/>
        <w:spacing w:after="0" w:line="240" w:lineRule="auto"/>
        <w:rPr>
          <w:rFonts w:ascii="Tw Cen MT Condensed" w:hAnsi="Tw Cen MT Condensed"/>
          <w:sz w:val="28"/>
          <w:szCs w:val="28"/>
        </w:rPr>
      </w:pPr>
    </w:p>
    <w:p w14:paraId="33D0DDAD" w14:textId="5A47B1ED" w:rsidR="00E55341" w:rsidRDefault="00E55341" w:rsidP="00CD7C71">
      <w:r>
        <w:t xml:space="preserve">As an additional check on internal validity, we conducted placebo tests.  In these tests we treat the policy change as happening in every year in the data set and define the treatment and control groups as above.  If parallel trends hold and there are no other confounding factors, we should expect these tests to reveal a positive policy effect in the year of the policy and zero (or statistically insignificant) effects in non-policy change years.  In </w:t>
      </w:r>
      <w:r w:rsidR="004177FF">
        <w:fldChar w:fldCharType="begin"/>
      </w:r>
      <w:r w:rsidR="004177FF">
        <w:instrText xml:space="preserve"> REF _Ref88566177 \h </w:instrText>
      </w:r>
      <w:r w:rsidR="004177FF">
        <w:fldChar w:fldCharType="separate"/>
      </w:r>
      <w:r w:rsidR="00115E22">
        <w:t xml:space="preserve">Figure </w:t>
      </w:r>
      <w:r w:rsidR="00115E22">
        <w:rPr>
          <w:noProof/>
        </w:rPr>
        <w:t>58</w:t>
      </w:r>
      <w:r w:rsidR="004177FF">
        <w:fldChar w:fldCharType="end"/>
      </w:r>
      <w:r w:rsidR="001244DA">
        <w:t xml:space="preserve"> </w:t>
      </w:r>
      <w:r>
        <w:t>in the appendix, we can see that we find statistically significant effects for every year</w:t>
      </w:r>
      <w:r w:rsidR="004177FF">
        <w:t>.</w:t>
      </w:r>
      <w:r>
        <w:t xml:space="preserve">  This casts serious doubt on the internal validity of our estimates.</w:t>
      </w:r>
    </w:p>
    <w:p w14:paraId="7E09ED24" w14:textId="77777777" w:rsidR="00E55341" w:rsidRDefault="00E55341" w:rsidP="00CD7C71"/>
    <w:p w14:paraId="75B416C6" w14:textId="2634C1CB" w:rsidR="00CD7C71" w:rsidRDefault="00CD7C71" w:rsidP="00CD7C71">
      <w:r>
        <w:t xml:space="preserve">Identification strategy II (described in the appendix) produces results that are quite similar to what is presented here.  Identification strategy III (described in the appendix) fails to produce any statistically significant results.  Again, results are not stable across different identification strategies.  </w:t>
      </w:r>
    </w:p>
    <w:p w14:paraId="7C8AC839" w14:textId="77777777" w:rsidR="00244248" w:rsidRPr="00985827"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7330378D" w14:textId="77777777" w:rsidR="00244248" w:rsidRDefault="00244248" w:rsidP="00244248"/>
    <w:p w14:paraId="1BD01E60" w14:textId="77777777" w:rsidR="00244248" w:rsidRDefault="00244248" w:rsidP="00244248">
      <w:pPr>
        <w:rPr>
          <w:rStyle w:val="fontstyle01"/>
          <w:rFonts w:eastAsiaTheme="majorEastAsia" w:cstheme="minorHAnsi"/>
          <w:b/>
          <w:bCs/>
          <w:i/>
          <w:iCs/>
          <w:color w:val="auto"/>
          <w:sz w:val="24"/>
          <w:szCs w:val="24"/>
        </w:rPr>
      </w:pPr>
      <w:r>
        <w:rPr>
          <w:rStyle w:val="fontstyle01"/>
          <w:rFonts w:cstheme="minorHAnsi"/>
          <w:b/>
          <w:bCs/>
          <w:i/>
          <w:iCs/>
          <w:color w:val="auto"/>
          <w:sz w:val="24"/>
        </w:rPr>
        <w:br w:type="page"/>
      </w:r>
    </w:p>
    <w:p w14:paraId="1A2A0FFC" w14:textId="1D3CC349" w:rsidR="00244248" w:rsidRPr="00B009BE" w:rsidRDefault="00244248" w:rsidP="00244248">
      <w:pPr>
        <w:pStyle w:val="Heading2"/>
        <w:rPr>
          <w:sz w:val="32"/>
          <w:szCs w:val="32"/>
        </w:rPr>
      </w:pPr>
      <w:r>
        <w:rPr>
          <w:sz w:val="32"/>
          <w:szCs w:val="32"/>
        </w:rPr>
        <w:lastRenderedPageBreak/>
        <w:t xml:space="preserve">  </w:t>
      </w:r>
      <w:bookmarkStart w:id="186" w:name="_Toc87454650"/>
      <w:bookmarkStart w:id="187" w:name="_Toc98404985"/>
      <w:r w:rsidRPr="00B009BE">
        <w:rPr>
          <w:sz w:val="32"/>
          <w:szCs w:val="32"/>
        </w:rPr>
        <w:t xml:space="preserve">Policy 3: </w:t>
      </w:r>
      <w:r>
        <w:rPr>
          <w:sz w:val="32"/>
          <w:szCs w:val="32"/>
        </w:rPr>
        <w:t>Dad and Partner Pay</w:t>
      </w:r>
      <w:bookmarkEnd w:id="186"/>
      <w:bookmarkEnd w:id="187"/>
      <w:r w:rsidRPr="00B009BE">
        <w:rPr>
          <w:sz w:val="32"/>
          <w:szCs w:val="32"/>
        </w:rPr>
        <w:t xml:space="preserve"> </w:t>
      </w:r>
    </w:p>
    <w:p w14:paraId="5AB3F87C" w14:textId="77777777" w:rsidR="00244248" w:rsidRDefault="00244248" w:rsidP="00244248">
      <w:pPr>
        <w:rPr>
          <w:lang w:eastAsia="en-GB"/>
        </w:rPr>
      </w:pPr>
      <w:r>
        <w:rPr>
          <w:lang w:eastAsia="en-GB"/>
        </w:rPr>
        <w:t>Key points</w:t>
      </w:r>
    </w:p>
    <w:p w14:paraId="455080E4" w14:textId="77777777" w:rsidR="00244248" w:rsidRDefault="00244248" w:rsidP="00244248">
      <w:pPr>
        <w:pStyle w:val="ListParagraph"/>
        <w:numPr>
          <w:ilvl w:val="0"/>
          <w:numId w:val="36"/>
        </w:numPr>
        <w:jc w:val="both"/>
        <w:rPr>
          <w:lang w:eastAsia="en-GB"/>
        </w:rPr>
      </w:pPr>
      <w:r>
        <w:rPr>
          <w:lang w:eastAsia="en-GB"/>
        </w:rPr>
        <w:t>This policy provides a short period of leave for the father or partner to spend time with the new baby and support the primary caregiver and other children</w:t>
      </w:r>
    </w:p>
    <w:p w14:paraId="3C6D8E7C" w14:textId="56A6C924" w:rsidR="00244248" w:rsidRDefault="00C33FAA" w:rsidP="00244248">
      <w:pPr>
        <w:pStyle w:val="ListParagraph"/>
        <w:numPr>
          <w:ilvl w:val="0"/>
          <w:numId w:val="36"/>
        </w:numPr>
        <w:jc w:val="both"/>
        <w:rPr>
          <w:lang w:eastAsia="en-GB"/>
        </w:rPr>
      </w:pPr>
      <w:r>
        <w:rPr>
          <w:lang w:eastAsia="en-GB"/>
        </w:rPr>
        <w:t>The results are inconclusive as to whether the implementation of Dad and Partner Pay had a positive impact on births</w:t>
      </w:r>
    </w:p>
    <w:p w14:paraId="51FFF4DA" w14:textId="77777777" w:rsidR="00244248" w:rsidRDefault="00244248" w:rsidP="00244248">
      <w:pPr>
        <w:pStyle w:val="ListParagraph"/>
        <w:rPr>
          <w:lang w:eastAsia="en-GB"/>
        </w:rPr>
      </w:pPr>
    </w:p>
    <w:p w14:paraId="636125D0" w14:textId="77777777" w:rsidR="00244248" w:rsidRPr="00C16E73" w:rsidRDefault="00244248" w:rsidP="00244248">
      <w:r>
        <w:t xml:space="preserve">Dad and Partner Pay (DaPP), was introduced in 2013 </w:t>
      </w:r>
      <w:r w:rsidRPr="00C16E73">
        <w:t>follow</w:t>
      </w:r>
      <w:r>
        <w:t>ing</w:t>
      </w:r>
      <w:r w:rsidRPr="00C16E73">
        <w:t xml:space="preserve"> paid </w:t>
      </w:r>
      <w:r>
        <w:t>parent</w:t>
      </w:r>
      <w:r w:rsidRPr="00C16E73">
        <w:t>al leave</w:t>
      </w:r>
      <w:r>
        <w:t xml:space="preserve"> (PPL)</w:t>
      </w:r>
      <w:r w:rsidRPr="00C16E73">
        <w:t xml:space="preserve">. </w:t>
      </w:r>
    </w:p>
    <w:p w14:paraId="20F47581" w14:textId="77777777" w:rsidR="00244248" w:rsidRDefault="00244248" w:rsidP="00244248">
      <w:r>
        <w:t>This scheme came as a follow-up to paid maternal leave and was effective from 2013. To isolate the effect of this scheme separately from the previously enacted maternal leave, we restrict the years of analysis to 2011 to 2019 with 2013 and onwards as the post-policy period</w:t>
      </w:r>
      <w:r w:rsidRPr="00C16E73">
        <w:t>.</w:t>
      </w:r>
    </w:p>
    <w:p w14:paraId="5D4CA0A4" w14:textId="77777777" w:rsidR="00244248" w:rsidRPr="00F62A9A" w:rsidRDefault="00244248" w:rsidP="00244248">
      <w:pPr>
        <w:pStyle w:val="Heading3"/>
        <w:numPr>
          <w:ilvl w:val="0"/>
          <w:numId w:val="0"/>
        </w:numPr>
        <w:pBdr>
          <w:bottom w:val="single" w:sz="4" w:space="1" w:color="ED7D31" w:themeColor="accent2"/>
        </w:pBdr>
      </w:pPr>
      <w:bookmarkStart w:id="188" w:name="_Toc87454651"/>
      <w:r w:rsidRPr="00F62A9A">
        <w:t>Identification strategies</w:t>
      </w:r>
      <w:bookmarkEnd w:id="188"/>
    </w:p>
    <w:p w14:paraId="5FBB980E" w14:textId="77777777" w:rsidR="00244248" w:rsidRPr="00815860" w:rsidRDefault="00244248" w:rsidP="00244248">
      <w:pPr>
        <w:pStyle w:val="Heading3"/>
        <w:numPr>
          <w:ilvl w:val="0"/>
          <w:numId w:val="0"/>
        </w:numPr>
      </w:pPr>
      <w:bookmarkStart w:id="189" w:name="_Toc87454652"/>
      <w:r w:rsidRPr="00815860">
        <w:t>Identification Strategy I: (preferred – included in the main report)</w:t>
      </w:r>
      <w:bookmarkEnd w:id="189"/>
      <w:r w:rsidRPr="00815860">
        <w:t xml:space="preserve"> </w:t>
      </w:r>
    </w:p>
    <w:p w14:paraId="3AC5412E" w14:textId="77777777" w:rsidR="00244248" w:rsidRDefault="00244248" w:rsidP="00244248">
      <w:r>
        <w:t>The DiD design sets the post-policy beginning year as 2013 and women with partners eligible for DaPP as the treatment group. Women with non-eligible partners are used to form the control group. Given that over the course of the effective years for DaPP, PLP was also in effect, we control for women’s eligibility of PLP when examining the effect of DaPP.</w:t>
      </w:r>
    </w:p>
    <w:p w14:paraId="3C62515C" w14:textId="77777777" w:rsidR="00244248" w:rsidRPr="00815860" w:rsidRDefault="00244248" w:rsidP="00244248">
      <w:pPr>
        <w:pStyle w:val="Heading3"/>
        <w:numPr>
          <w:ilvl w:val="0"/>
          <w:numId w:val="0"/>
        </w:numPr>
      </w:pPr>
      <w:bookmarkStart w:id="190" w:name="_Toc87454653"/>
      <w:r w:rsidRPr="00815860">
        <w:t>Identification Strategy II (Treasury suggestion): (considered – included in the appendix)</w:t>
      </w:r>
      <w:bookmarkEnd w:id="190"/>
    </w:p>
    <w:p w14:paraId="22D8137C" w14:textId="77777777" w:rsidR="00244248" w:rsidRPr="00590027" w:rsidRDefault="00244248" w:rsidP="00244248">
      <w:pPr>
        <w:pBdr>
          <w:bottom w:val="single" w:sz="4" w:space="1" w:color="ED7D31" w:themeColor="accent2"/>
        </w:pBdr>
      </w:pPr>
      <w:r>
        <w:t xml:space="preserve">The identification strategy is similar to the first one but we limit the analysis to women who were unemployed or out of labour force. This subsample of women should, in theory, be more affected by their partner’s access to DaPP compared to working women. However, this sample restriction leads to a large sample reduction and less precise estimates.  Further, women’s labour force status might itself be a function of this scheme.  If this is true, then this strategy may be subject to an issue of selecting on an endogenous condition, leading to biased estimates.      </w:t>
      </w:r>
    </w:p>
    <w:p w14:paraId="56704673" w14:textId="77777777" w:rsidR="00244248" w:rsidRPr="00867C63" w:rsidRDefault="00244248" w:rsidP="00244248">
      <w:pPr>
        <w:pStyle w:val="Heading3"/>
        <w:numPr>
          <w:ilvl w:val="0"/>
          <w:numId w:val="0"/>
        </w:numPr>
        <w:rPr>
          <w:sz w:val="28"/>
          <w:szCs w:val="28"/>
        </w:rPr>
      </w:pPr>
      <w:bookmarkStart w:id="191" w:name="_Toc87454654"/>
      <w:r w:rsidRPr="00867C63">
        <w:rPr>
          <w:sz w:val="28"/>
          <w:szCs w:val="28"/>
        </w:rPr>
        <w:t>Results</w:t>
      </w:r>
      <w:bookmarkEnd w:id="191"/>
    </w:p>
    <w:p w14:paraId="2C4B91C8" w14:textId="77777777" w:rsidR="00244248" w:rsidRDefault="00244248" w:rsidP="00244248">
      <w:r>
        <w:t xml:space="preserve">For this analysis we include 19,881 observations relating to 5,247 women. Of those 3,613 women are in the treatment group (their partners satisfy income and work requirement to be eligible for DaPP) and 1,634 women are in the control group (their partners do not satisfy income or work requirements). </w:t>
      </w:r>
    </w:p>
    <w:p w14:paraId="6A245DA0" w14:textId="77777777" w:rsidR="00244248" w:rsidRDefault="00244248" w:rsidP="00244248">
      <w:r>
        <w:t xml:space="preserve">The table below shows the descriptive statistics for the two groups. For some analysis, including the fixed effects or intended number of children cases are dropped so the total sample size is lower. </w:t>
      </w:r>
    </w:p>
    <w:p w14:paraId="1028B744" w14:textId="77777777" w:rsidR="00244248" w:rsidRDefault="00244248" w:rsidP="00244248">
      <w:pPr>
        <w:keepNext/>
        <w:widowControl w:val="0"/>
        <w:autoSpaceDE w:val="0"/>
        <w:autoSpaceDN w:val="0"/>
        <w:adjustRightInd w:val="0"/>
        <w:spacing w:after="0" w:line="240" w:lineRule="auto"/>
      </w:pPr>
    </w:p>
    <w:p w14:paraId="050B7403" w14:textId="77777777" w:rsidR="00244248" w:rsidRDefault="00244248" w:rsidP="00244248">
      <w:pPr>
        <w:keepNext/>
        <w:widowControl w:val="0"/>
        <w:autoSpaceDE w:val="0"/>
        <w:autoSpaceDN w:val="0"/>
        <w:adjustRightInd w:val="0"/>
        <w:spacing w:after="0" w:line="240" w:lineRule="auto"/>
      </w:pPr>
    </w:p>
    <w:p w14:paraId="236E556F" w14:textId="77777777" w:rsidR="00244248" w:rsidRDefault="00244248" w:rsidP="00244248">
      <w:pPr>
        <w:keepNext/>
        <w:widowControl w:val="0"/>
        <w:autoSpaceDE w:val="0"/>
        <w:autoSpaceDN w:val="0"/>
        <w:adjustRightInd w:val="0"/>
        <w:spacing w:after="0" w:line="240" w:lineRule="auto"/>
      </w:pPr>
    </w:p>
    <w:p w14:paraId="5AD03B98" w14:textId="77777777" w:rsidR="00244248" w:rsidRDefault="00244248" w:rsidP="00244248">
      <w:pPr>
        <w:keepNext/>
        <w:widowControl w:val="0"/>
        <w:autoSpaceDE w:val="0"/>
        <w:autoSpaceDN w:val="0"/>
        <w:adjustRightInd w:val="0"/>
        <w:spacing w:after="0" w:line="240" w:lineRule="auto"/>
      </w:pPr>
    </w:p>
    <w:p w14:paraId="018B1FDF" w14:textId="77777777" w:rsidR="00244248" w:rsidRDefault="00244248" w:rsidP="00244248">
      <w:pPr>
        <w:keepNext/>
        <w:widowControl w:val="0"/>
        <w:autoSpaceDE w:val="0"/>
        <w:autoSpaceDN w:val="0"/>
        <w:adjustRightInd w:val="0"/>
        <w:spacing w:after="0" w:line="240" w:lineRule="auto"/>
      </w:pPr>
    </w:p>
    <w:p w14:paraId="515265D5" w14:textId="77777777" w:rsidR="00244248" w:rsidRDefault="00244248" w:rsidP="00244248">
      <w:pPr>
        <w:keepNext/>
        <w:widowControl w:val="0"/>
        <w:autoSpaceDE w:val="0"/>
        <w:autoSpaceDN w:val="0"/>
        <w:adjustRightInd w:val="0"/>
        <w:spacing w:after="0" w:line="240" w:lineRule="auto"/>
      </w:pPr>
    </w:p>
    <w:p w14:paraId="61198295" w14:textId="77777777" w:rsidR="00244248" w:rsidRDefault="00244248" w:rsidP="00244248">
      <w:pPr>
        <w:keepNext/>
        <w:widowControl w:val="0"/>
        <w:autoSpaceDE w:val="0"/>
        <w:autoSpaceDN w:val="0"/>
        <w:adjustRightInd w:val="0"/>
        <w:spacing w:after="0" w:line="240" w:lineRule="auto"/>
      </w:pPr>
    </w:p>
    <w:p w14:paraId="2AB36A24" w14:textId="77777777" w:rsidR="00244248" w:rsidRDefault="00244248" w:rsidP="00244248">
      <w:pPr>
        <w:keepNext/>
        <w:widowControl w:val="0"/>
        <w:autoSpaceDE w:val="0"/>
        <w:autoSpaceDN w:val="0"/>
        <w:adjustRightInd w:val="0"/>
        <w:spacing w:after="0" w:line="240" w:lineRule="auto"/>
      </w:pPr>
    </w:p>
    <w:p w14:paraId="3FFBC304" w14:textId="77777777" w:rsidR="00244248" w:rsidRDefault="00244248" w:rsidP="00244248">
      <w:pPr>
        <w:keepNext/>
        <w:widowControl w:val="0"/>
        <w:autoSpaceDE w:val="0"/>
        <w:autoSpaceDN w:val="0"/>
        <w:adjustRightInd w:val="0"/>
        <w:spacing w:after="0" w:line="240" w:lineRule="auto"/>
      </w:pPr>
    </w:p>
    <w:p w14:paraId="3875456C" w14:textId="77777777" w:rsidR="00244248" w:rsidRDefault="00244248" w:rsidP="00244248"/>
    <w:p w14:paraId="05F51954" w14:textId="77777777" w:rsidR="00244248" w:rsidRDefault="00244248" w:rsidP="00244248"/>
    <w:p w14:paraId="26D95DDF" w14:textId="77777777" w:rsidR="00244248" w:rsidRDefault="00244248" w:rsidP="00244248"/>
    <w:p w14:paraId="7BF2E9E2" w14:textId="77777777" w:rsidR="00244248" w:rsidRDefault="00244248" w:rsidP="00244248">
      <w:pPr>
        <w:keepNext/>
        <w:widowControl w:val="0"/>
        <w:autoSpaceDE w:val="0"/>
        <w:autoSpaceDN w:val="0"/>
        <w:adjustRightInd w:val="0"/>
        <w:spacing w:after="0" w:line="240" w:lineRule="auto"/>
        <w:rPr>
          <w:i/>
          <w:iCs/>
          <w:color w:val="44546A" w:themeColor="text2"/>
          <w:sz w:val="18"/>
          <w:szCs w:val="18"/>
        </w:rPr>
      </w:pPr>
    </w:p>
    <w:p w14:paraId="310373F2" w14:textId="6517AF85" w:rsidR="00244248" w:rsidRDefault="00244248" w:rsidP="00244248">
      <w:pPr>
        <w:pStyle w:val="Caption"/>
        <w:keepNext/>
      </w:pPr>
      <w:r>
        <w:t xml:space="preserve">Table </w:t>
      </w:r>
      <w:fldSimple w:instr=" SEQ Table \* ARABIC ">
        <w:r w:rsidR="00115E22">
          <w:rPr>
            <w:noProof/>
          </w:rPr>
          <w:t>32</w:t>
        </w:r>
      </w:fldSimple>
      <w:r w:rsidRPr="00CE2E7F">
        <w:t xml:space="preserve"> Descriptive statistics for treatment and control group, </w:t>
      </w:r>
      <w:r>
        <w:t xml:space="preserve">DaPP </w:t>
      </w:r>
      <w:r w:rsidRPr="00CE2E7F">
        <w:t>analysis. Column % or means</w:t>
      </w:r>
    </w:p>
    <w:tbl>
      <w:tblPr>
        <w:tblW w:w="6096" w:type="dxa"/>
        <w:tblLook w:val="04A0" w:firstRow="1" w:lastRow="0" w:firstColumn="1" w:lastColumn="0" w:noHBand="0" w:noVBand="1"/>
      </w:tblPr>
      <w:tblGrid>
        <w:gridCol w:w="2480"/>
        <w:gridCol w:w="1773"/>
        <w:gridCol w:w="1843"/>
      </w:tblGrid>
      <w:tr w:rsidR="00244248" w:rsidRPr="00A72CE9" w14:paraId="2698CCE2" w14:textId="77777777" w:rsidTr="00335B25">
        <w:trPr>
          <w:trHeight w:val="170"/>
        </w:trPr>
        <w:tc>
          <w:tcPr>
            <w:tcW w:w="2480"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6C83D3AB"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 </w:t>
            </w:r>
          </w:p>
        </w:tc>
        <w:tc>
          <w:tcPr>
            <w:tcW w:w="1773"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185C2F46"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Pr>
                <w:rFonts w:asciiTheme="majorHAnsi" w:eastAsia="Times New Roman" w:hAnsiTheme="majorHAnsi" w:cstheme="majorHAnsi"/>
                <w:b/>
                <w:bCs/>
                <w:color w:val="000000"/>
                <w:sz w:val="20"/>
                <w:szCs w:val="20"/>
                <w:lang w:eastAsia="en-AU"/>
              </w:rPr>
              <w:t>Male partner eligible</w:t>
            </w:r>
            <w:r w:rsidRPr="002A0385">
              <w:rPr>
                <w:rFonts w:asciiTheme="majorHAnsi" w:eastAsia="Times New Roman" w:hAnsiTheme="majorHAnsi" w:cstheme="majorHAnsi"/>
                <w:b/>
                <w:bCs/>
                <w:color w:val="000000"/>
                <w:sz w:val="20"/>
                <w:szCs w:val="20"/>
                <w:lang w:eastAsia="en-AU"/>
              </w:rPr>
              <w:t xml:space="preserve"> </w:t>
            </w:r>
            <w:r>
              <w:rPr>
                <w:rFonts w:asciiTheme="majorHAnsi" w:eastAsia="Times New Roman" w:hAnsiTheme="majorHAnsi" w:cstheme="majorHAnsi"/>
                <w:b/>
                <w:bCs/>
                <w:color w:val="000000"/>
                <w:sz w:val="20"/>
                <w:szCs w:val="20"/>
                <w:lang w:eastAsia="en-AU"/>
              </w:rPr>
              <w:t xml:space="preserve">for paternity leave </w:t>
            </w:r>
            <w:r w:rsidRPr="002A0385">
              <w:rPr>
                <w:rFonts w:asciiTheme="majorHAnsi" w:eastAsia="Times New Roman" w:hAnsiTheme="majorHAnsi" w:cstheme="majorHAnsi"/>
                <w:b/>
                <w:bCs/>
                <w:color w:val="000000"/>
                <w:sz w:val="20"/>
                <w:szCs w:val="20"/>
                <w:lang w:eastAsia="en-AU"/>
              </w:rPr>
              <w:t>(treatment)</w:t>
            </w:r>
          </w:p>
        </w:tc>
        <w:tc>
          <w:tcPr>
            <w:tcW w:w="1843" w:type="dxa"/>
            <w:tcBorders>
              <w:top w:val="single" w:sz="4" w:space="0" w:color="ED7D31" w:themeColor="accent2"/>
              <w:left w:val="nil"/>
              <w:bottom w:val="single" w:sz="4" w:space="0" w:color="ED7D31" w:themeColor="accent2"/>
              <w:right w:val="nil"/>
            </w:tcBorders>
            <w:shd w:val="clear" w:color="auto" w:fill="FBE4D5" w:themeFill="accent2" w:themeFillTint="33"/>
            <w:noWrap/>
            <w:hideMark/>
          </w:tcPr>
          <w:p w14:paraId="238E567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b/>
                <w:bCs/>
                <w:color w:val="000000"/>
                <w:sz w:val="20"/>
                <w:szCs w:val="20"/>
                <w:lang w:eastAsia="en-AU"/>
              </w:rPr>
              <w:t>Male partner not eligible</w:t>
            </w:r>
            <w:r w:rsidRPr="002A0385">
              <w:rPr>
                <w:rFonts w:asciiTheme="majorHAnsi" w:eastAsia="Times New Roman" w:hAnsiTheme="majorHAnsi" w:cstheme="majorHAnsi"/>
                <w:b/>
                <w:bCs/>
                <w:color w:val="000000"/>
                <w:sz w:val="20"/>
                <w:szCs w:val="20"/>
                <w:lang w:eastAsia="en-AU"/>
              </w:rPr>
              <w:t xml:space="preserve"> </w:t>
            </w:r>
            <w:r>
              <w:rPr>
                <w:rFonts w:asciiTheme="majorHAnsi" w:eastAsia="Times New Roman" w:hAnsiTheme="majorHAnsi" w:cstheme="majorHAnsi"/>
                <w:b/>
                <w:bCs/>
                <w:color w:val="000000"/>
                <w:sz w:val="20"/>
                <w:szCs w:val="20"/>
                <w:lang w:eastAsia="en-AU"/>
              </w:rPr>
              <w:t xml:space="preserve">for paternity leave </w:t>
            </w:r>
            <w:r w:rsidRPr="002A0385">
              <w:rPr>
                <w:rFonts w:asciiTheme="majorHAnsi" w:eastAsia="Times New Roman" w:hAnsiTheme="majorHAnsi" w:cstheme="majorHAnsi"/>
                <w:b/>
                <w:bCs/>
                <w:color w:val="000000"/>
                <w:sz w:val="20"/>
                <w:szCs w:val="20"/>
                <w:lang w:eastAsia="en-AU"/>
              </w:rPr>
              <w:t>(control)</w:t>
            </w:r>
          </w:p>
        </w:tc>
      </w:tr>
      <w:tr w:rsidR="00244248" w:rsidRPr="00A72CE9" w14:paraId="74B00395" w14:textId="77777777" w:rsidTr="00335B25">
        <w:trPr>
          <w:trHeight w:val="170"/>
        </w:trPr>
        <w:tc>
          <w:tcPr>
            <w:tcW w:w="2480" w:type="dxa"/>
            <w:tcBorders>
              <w:top w:val="single" w:sz="4" w:space="0" w:color="ED7D31" w:themeColor="accent2"/>
              <w:left w:val="nil"/>
              <w:bottom w:val="nil"/>
              <w:right w:val="nil"/>
            </w:tcBorders>
            <w:shd w:val="clear" w:color="auto" w:fill="auto"/>
            <w:noWrap/>
            <w:vAlign w:val="bottom"/>
            <w:hideMark/>
          </w:tcPr>
          <w:p w14:paraId="4EF8BAEA"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Number of children</w:t>
            </w:r>
          </w:p>
        </w:tc>
        <w:tc>
          <w:tcPr>
            <w:tcW w:w="1773" w:type="dxa"/>
            <w:tcBorders>
              <w:top w:val="single" w:sz="4" w:space="0" w:color="ED7D31" w:themeColor="accent2"/>
              <w:left w:val="nil"/>
              <w:bottom w:val="nil"/>
              <w:right w:val="nil"/>
            </w:tcBorders>
            <w:shd w:val="clear" w:color="auto" w:fill="auto"/>
            <w:noWrap/>
            <w:vAlign w:val="bottom"/>
            <w:hideMark/>
          </w:tcPr>
          <w:p w14:paraId="3727816B"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 xml:space="preserve"> </w:t>
            </w:r>
          </w:p>
        </w:tc>
        <w:tc>
          <w:tcPr>
            <w:tcW w:w="1843" w:type="dxa"/>
            <w:tcBorders>
              <w:top w:val="single" w:sz="4" w:space="0" w:color="ED7D31" w:themeColor="accent2"/>
              <w:left w:val="nil"/>
              <w:bottom w:val="nil"/>
              <w:right w:val="nil"/>
            </w:tcBorders>
            <w:shd w:val="clear" w:color="auto" w:fill="auto"/>
            <w:noWrap/>
            <w:vAlign w:val="bottom"/>
            <w:hideMark/>
          </w:tcPr>
          <w:p w14:paraId="019CBA9E"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p>
        </w:tc>
      </w:tr>
      <w:tr w:rsidR="00244248" w:rsidRPr="00A72CE9" w14:paraId="056F7011" w14:textId="77777777" w:rsidTr="00335B25">
        <w:trPr>
          <w:trHeight w:val="170"/>
        </w:trPr>
        <w:tc>
          <w:tcPr>
            <w:tcW w:w="2480" w:type="dxa"/>
            <w:tcBorders>
              <w:top w:val="nil"/>
              <w:left w:val="nil"/>
              <w:bottom w:val="nil"/>
              <w:right w:val="nil"/>
            </w:tcBorders>
            <w:shd w:val="clear" w:color="auto" w:fill="auto"/>
            <w:noWrap/>
            <w:vAlign w:val="bottom"/>
            <w:hideMark/>
          </w:tcPr>
          <w:p w14:paraId="1F865036"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0</w:t>
            </w:r>
          </w:p>
        </w:tc>
        <w:tc>
          <w:tcPr>
            <w:tcW w:w="1773" w:type="dxa"/>
            <w:tcBorders>
              <w:top w:val="nil"/>
              <w:left w:val="nil"/>
              <w:bottom w:val="nil"/>
              <w:right w:val="nil"/>
            </w:tcBorders>
            <w:shd w:val="clear" w:color="auto" w:fill="auto"/>
            <w:noWrap/>
            <w:hideMark/>
          </w:tcPr>
          <w:p w14:paraId="7EBFE7F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hAnsiTheme="majorHAnsi" w:cstheme="majorHAnsi"/>
                <w:sz w:val="20"/>
                <w:szCs w:val="20"/>
              </w:rPr>
              <w:t>35</w:t>
            </w:r>
          </w:p>
        </w:tc>
        <w:tc>
          <w:tcPr>
            <w:tcW w:w="1843" w:type="dxa"/>
            <w:tcBorders>
              <w:top w:val="nil"/>
              <w:left w:val="nil"/>
              <w:bottom w:val="nil"/>
              <w:right w:val="nil"/>
            </w:tcBorders>
            <w:shd w:val="clear" w:color="auto" w:fill="auto"/>
            <w:noWrap/>
            <w:vAlign w:val="bottom"/>
            <w:hideMark/>
          </w:tcPr>
          <w:p w14:paraId="2333632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24</w:t>
            </w:r>
          </w:p>
        </w:tc>
      </w:tr>
      <w:tr w:rsidR="00244248" w:rsidRPr="00A72CE9" w14:paraId="213DB6E5" w14:textId="77777777" w:rsidTr="00335B25">
        <w:trPr>
          <w:trHeight w:val="170"/>
        </w:trPr>
        <w:tc>
          <w:tcPr>
            <w:tcW w:w="2480" w:type="dxa"/>
            <w:tcBorders>
              <w:top w:val="nil"/>
              <w:left w:val="nil"/>
              <w:bottom w:val="nil"/>
              <w:right w:val="nil"/>
            </w:tcBorders>
            <w:shd w:val="clear" w:color="auto" w:fill="auto"/>
            <w:noWrap/>
            <w:vAlign w:val="bottom"/>
            <w:hideMark/>
          </w:tcPr>
          <w:p w14:paraId="1F2AE5B0"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w:t>
            </w:r>
          </w:p>
        </w:tc>
        <w:tc>
          <w:tcPr>
            <w:tcW w:w="1773" w:type="dxa"/>
            <w:tcBorders>
              <w:top w:val="nil"/>
              <w:left w:val="nil"/>
              <w:bottom w:val="nil"/>
              <w:right w:val="nil"/>
            </w:tcBorders>
            <w:shd w:val="clear" w:color="auto" w:fill="auto"/>
            <w:noWrap/>
            <w:hideMark/>
          </w:tcPr>
          <w:p w14:paraId="4BBA5C8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20</w:t>
            </w:r>
          </w:p>
        </w:tc>
        <w:tc>
          <w:tcPr>
            <w:tcW w:w="1843" w:type="dxa"/>
            <w:tcBorders>
              <w:top w:val="nil"/>
              <w:left w:val="nil"/>
              <w:bottom w:val="nil"/>
              <w:right w:val="nil"/>
            </w:tcBorders>
            <w:shd w:val="clear" w:color="auto" w:fill="auto"/>
            <w:noWrap/>
            <w:vAlign w:val="bottom"/>
            <w:hideMark/>
          </w:tcPr>
          <w:p w14:paraId="477CFE89"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20</w:t>
            </w:r>
          </w:p>
        </w:tc>
      </w:tr>
      <w:tr w:rsidR="00244248" w:rsidRPr="00A72CE9" w14:paraId="3BC58855" w14:textId="77777777" w:rsidTr="00335B25">
        <w:trPr>
          <w:trHeight w:val="170"/>
        </w:trPr>
        <w:tc>
          <w:tcPr>
            <w:tcW w:w="2480" w:type="dxa"/>
            <w:tcBorders>
              <w:top w:val="nil"/>
              <w:left w:val="nil"/>
              <w:bottom w:val="nil"/>
              <w:right w:val="nil"/>
            </w:tcBorders>
            <w:shd w:val="clear" w:color="auto" w:fill="auto"/>
            <w:noWrap/>
            <w:vAlign w:val="bottom"/>
            <w:hideMark/>
          </w:tcPr>
          <w:p w14:paraId="579E42F6"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w:t>
            </w:r>
          </w:p>
        </w:tc>
        <w:tc>
          <w:tcPr>
            <w:tcW w:w="1773" w:type="dxa"/>
            <w:tcBorders>
              <w:top w:val="nil"/>
              <w:left w:val="nil"/>
              <w:bottom w:val="nil"/>
              <w:right w:val="nil"/>
            </w:tcBorders>
            <w:shd w:val="clear" w:color="auto" w:fill="auto"/>
            <w:noWrap/>
            <w:hideMark/>
          </w:tcPr>
          <w:p w14:paraId="6D7BB40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6C4011">
              <w:rPr>
                <w:rFonts w:asciiTheme="majorHAnsi" w:hAnsiTheme="majorHAnsi" w:cstheme="majorHAnsi"/>
                <w:sz w:val="20"/>
                <w:szCs w:val="20"/>
              </w:rPr>
              <w:t>2</w:t>
            </w:r>
            <w:r>
              <w:rPr>
                <w:rFonts w:asciiTheme="majorHAnsi" w:hAnsiTheme="majorHAnsi" w:cstheme="majorHAnsi"/>
                <w:sz w:val="20"/>
                <w:szCs w:val="20"/>
              </w:rPr>
              <w:t>8</w:t>
            </w:r>
          </w:p>
        </w:tc>
        <w:tc>
          <w:tcPr>
            <w:tcW w:w="1843" w:type="dxa"/>
            <w:tcBorders>
              <w:top w:val="nil"/>
              <w:left w:val="nil"/>
              <w:bottom w:val="nil"/>
              <w:right w:val="nil"/>
            </w:tcBorders>
            <w:shd w:val="clear" w:color="auto" w:fill="auto"/>
            <w:noWrap/>
            <w:vAlign w:val="bottom"/>
            <w:hideMark/>
          </w:tcPr>
          <w:p w14:paraId="3DB74B0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28</w:t>
            </w:r>
          </w:p>
        </w:tc>
      </w:tr>
      <w:tr w:rsidR="00244248" w:rsidRPr="00A72CE9" w14:paraId="6E7FEC4A" w14:textId="77777777" w:rsidTr="00335B25">
        <w:trPr>
          <w:trHeight w:val="170"/>
        </w:trPr>
        <w:tc>
          <w:tcPr>
            <w:tcW w:w="2480" w:type="dxa"/>
            <w:tcBorders>
              <w:top w:val="nil"/>
              <w:left w:val="nil"/>
              <w:bottom w:val="nil"/>
              <w:right w:val="nil"/>
            </w:tcBorders>
            <w:shd w:val="clear" w:color="auto" w:fill="auto"/>
            <w:noWrap/>
            <w:vAlign w:val="bottom"/>
            <w:hideMark/>
          </w:tcPr>
          <w:p w14:paraId="240C0158"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3+</w:t>
            </w:r>
          </w:p>
        </w:tc>
        <w:tc>
          <w:tcPr>
            <w:tcW w:w="1773" w:type="dxa"/>
            <w:tcBorders>
              <w:top w:val="nil"/>
              <w:left w:val="nil"/>
              <w:bottom w:val="nil"/>
              <w:right w:val="nil"/>
            </w:tcBorders>
            <w:shd w:val="clear" w:color="auto" w:fill="auto"/>
            <w:noWrap/>
            <w:hideMark/>
          </w:tcPr>
          <w:p w14:paraId="7B9C45F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6C4011">
              <w:rPr>
                <w:rFonts w:asciiTheme="majorHAnsi" w:hAnsiTheme="majorHAnsi" w:cstheme="majorHAnsi"/>
                <w:sz w:val="20"/>
                <w:szCs w:val="20"/>
              </w:rPr>
              <w:t>1</w:t>
            </w:r>
            <w:r>
              <w:rPr>
                <w:rFonts w:asciiTheme="majorHAnsi" w:hAnsiTheme="majorHAnsi" w:cstheme="majorHAnsi"/>
                <w:sz w:val="20"/>
                <w:szCs w:val="20"/>
              </w:rPr>
              <w:t>7</w:t>
            </w:r>
          </w:p>
        </w:tc>
        <w:tc>
          <w:tcPr>
            <w:tcW w:w="1843" w:type="dxa"/>
            <w:tcBorders>
              <w:top w:val="nil"/>
              <w:left w:val="nil"/>
              <w:bottom w:val="nil"/>
              <w:right w:val="nil"/>
            </w:tcBorders>
            <w:shd w:val="clear" w:color="auto" w:fill="auto"/>
            <w:noWrap/>
            <w:vAlign w:val="bottom"/>
            <w:hideMark/>
          </w:tcPr>
          <w:p w14:paraId="3535DD84"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17</w:t>
            </w:r>
          </w:p>
        </w:tc>
      </w:tr>
      <w:tr w:rsidR="00244248" w:rsidRPr="00A72CE9" w14:paraId="76385296" w14:textId="77777777" w:rsidTr="00335B25">
        <w:trPr>
          <w:trHeight w:val="170"/>
        </w:trPr>
        <w:tc>
          <w:tcPr>
            <w:tcW w:w="2480" w:type="dxa"/>
            <w:tcBorders>
              <w:top w:val="nil"/>
              <w:left w:val="nil"/>
              <w:bottom w:val="nil"/>
              <w:right w:val="nil"/>
            </w:tcBorders>
            <w:shd w:val="clear" w:color="auto" w:fill="auto"/>
            <w:noWrap/>
            <w:vAlign w:val="bottom"/>
            <w:hideMark/>
          </w:tcPr>
          <w:p w14:paraId="3C98BCD5" w14:textId="77777777" w:rsidR="00244248" w:rsidRPr="00A72CE9" w:rsidRDefault="00244248" w:rsidP="00335B25">
            <w:pPr>
              <w:spacing w:after="0" w:line="240" w:lineRule="auto"/>
              <w:rPr>
                <w:rFonts w:asciiTheme="majorHAnsi" w:eastAsia="Times New Roman" w:hAnsiTheme="majorHAnsi" w:cstheme="majorHAnsi"/>
                <w:sz w:val="20"/>
                <w:szCs w:val="20"/>
                <w:lang w:eastAsia="en-AU"/>
              </w:rPr>
            </w:pPr>
          </w:p>
        </w:tc>
        <w:tc>
          <w:tcPr>
            <w:tcW w:w="1773" w:type="dxa"/>
            <w:tcBorders>
              <w:top w:val="nil"/>
              <w:left w:val="nil"/>
              <w:bottom w:val="nil"/>
              <w:right w:val="nil"/>
            </w:tcBorders>
            <w:shd w:val="clear" w:color="auto" w:fill="auto"/>
            <w:noWrap/>
            <w:vAlign w:val="bottom"/>
            <w:hideMark/>
          </w:tcPr>
          <w:p w14:paraId="4A910B3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39686D5D"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6D972A5B" w14:textId="77777777" w:rsidTr="00335B25">
        <w:trPr>
          <w:trHeight w:val="170"/>
        </w:trPr>
        <w:tc>
          <w:tcPr>
            <w:tcW w:w="2480" w:type="dxa"/>
            <w:tcBorders>
              <w:top w:val="nil"/>
              <w:left w:val="nil"/>
              <w:bottom w:val="nil"/>
              <w:right w:val="nil"/>
            </w:tcBorders>
            <w:shd w:val="clear" w:color="auto" w:fill="auto"/>
            <w:noWrap/>
            <w:vAlign w:val="bottom"/>
            <w:hideMark/>
          </w:tcPr>
          <w:p w14:paraId="69C54178"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Mean age</w:t>
            </w:r>
          </w:p>
        </w:tc>
        <w:tc>
          <w:tcPr>
            <w:tcW w:w="1773" w:type="dxa"/>
            <w:tcBorders>
              <w:top w:val="nil"/>
              <w:left w:val="nil"/>
              <w:bottom w:val="nil"/>
              <w:right w:val="nil"/>
            </w:tcBorders>
            <w:shd w:val="clear" w:color="auto" w:fill="auto"/>
            <w:noWrap/>
            <w:vAlign w:val="bottom"/>
            <w:hideMark/>
          </w:tcPr>
          <w:p w14:paraId="4F6D97E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32.5</w:t>
            </w:r>
          </w:p>
        </w:tc>
        <w:tc>
          <w:tcPr>
            <w:tcW w:w="1843" w:type="dxa"/>
            <w:tcBorders>
              <w:top w:val="nil"/>
              <w:left w:val="nil"/>
              <w:bottom w:val="nil"/>
              <w:right w:val="nil"/>
            </w:tcBorders>
            <w:shd w:val="clear" w:color="auto" w:fill="auto"/>
            <w:noWrap/>
            <w:vAlign w:val="bottom"/>
            <w:hideMark/>
          </w:tcPr>
          <w:p w14:paraId="3A691D5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34.2</w:t>
            </w:r>
          </w:p>
        </w:tc>
      </w:tr>
      <w:tr w:rsidR="00244248" w:rsidRPr="00A72CE9" w14:paraId="26AFB251" w14:textId="77777777" w:rsidTr="00335B25">
        <w:trPr>
          <w:trHeight w:val="170"/>
        </w:trPr>
        <w:tc>
          <w:tcPr>
            <w:tcW w:w="2480" w:type="dxa"/>
            <w:tcBorders>
              <w:top w:val="nil"/>
              <w:left w:val="nil"/>
              <w:bottom w:val="nil"/>
              <w:right w:val="nil"/>
            </w:tcBorders>
            <w:shd w:val="clear" w:color="auto" w:fill="auto"/>
            <w:noWrap/>
            <w:vAlign w:val="bottom"/>
            <w:hideMark/>
          </w:tcPr>
          <w:p w14:paraId="5B40D526"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613E08D1"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23E516FD"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F586E70" w14:textId="77777777" w:rsidTr="00335B25">
        <w:trPr>
          <w:trHeight w:val="170"/>
        </w:trPr>
        <w:tc>
          <w:tcPr>
            <w:tcW w:w="2480" w:type="dxa"/>
            <w:tcBorders>
              <w:top w:val="nil"/>
              <w:left w:val="nil"/>
              <w:bottom w:val="nil"/>
              <w:right w:val="nil"/>
            </w:tcBorders>
            <w:shd w:val="clear" w:color="auto" w:fill="auto"/>
            <w:noWrap/>
            <w:vAlign w:val="bottom"/>
            <w:hideMark/>
          </w:tcPr>
          <w:p w14:paraId="3D588F10"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Education level</w:t>
            </w:r>
          </w:p>
        </w:tc>
        <w:tc>
          <w:tcPr>
            <w:tcW w:w="1773" w:type="dxa"/>
            <w:tcBorders>
              <w:top w:val="nil"/>
              <w:left w:val="nil"/>
              <w:bottom w:val="nil"/>
              <w:right w:val="nil"/>
            </w:tcBorders>
            <w:shd w:val="clear" w:color="auto" w:fill="auto"/>
            <w:noWrap/>
            <w:vAlign w:val="bottom"/>
            <w:hideMark/>
          </w:tcPr>
          <w:p w14:paraId="09753727"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843" w:type="dxa"/>
            <w:tcBorders>
              <w:top w:val="nil"/>
              <w:left w:val="nil"/>
              <w:bottom w:val="nil"/>
              <w:right w:val="nil"/>
            </w:tcBorders>
            <w:shd w:val="clear" w:color="auto" w:fill="auto"/>
            <w:noWrap/>
            <w:vAlign w:val="bottom"/>
            <w:hideMark/>
          </w:tcPr>
          <w:p w14:paraId="70D17A9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12590407" w14:textId="77777777" w:rsidTr="00335B25">
        <w:trPr>
          <w:trHeight w:val="170"/>
        </w:trPr>
        <w:tc>
          <w:tcPr>
            <w:tcW w:w="2480" w:type="dxa"/>
            <w:tcBorders>
              <w:top w:val="nil"/>
              <w:left w:val="nil"/>
              <w:bottom w:val="nil"/>
              <w:right w:val="nil"/>
            </w:tcBorders>
            <w:shd w:val="clear" w:color="auto" w:fill="auto"/>
            <w:noWrap/>
            <w:vAlign w:val="bottom"/>
            <w:hideMark/>
          </w:tcPr>
          <w:p w14:paraId="6E917D1A"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Bachelor degree or higher</w:t>
            </w:r>
          </w:p>
        </w:tc>
        <w:tc>
          <w:tcPr>
            <w:tcW w:w="1773" w:type="dxa"/>
            <w:tcBorders>
              <w:top w:val="nil"/>
              <w:left w:val="nil"/>
              <w:bottom w:val="nil"/>
              <w:right w:val="nil"/>
            </w:tcBorders>
            <w:shd w:val="clear" w:color="auto" w:fill="auto"/>
            <w:noWrap/>
            <w:vAlign w:val="bottom"/>
            <w:hideMark/>
          </w:tcPr>
          <w:p w14:paraId="5E79340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41</w:t>
            </w:r>
          </w:p>
        </w:tc>
        <w:tc>
          <w:tcPr>
            <w:tcW w:w="1843" w:type="dxa"/>
            <w:tcBorders>
              <w:top w:val="nil"/>
              <w:left w:val="nil"/>
              <w:bottom w:val="nil"/>
              <w:right w:val="nil"/>
            </w:tcBorders>
            <w:shd w:val="clear" w:color="auto" w:fill="auto"/>
            <w:noWrap/>
            <w:vAlign w:val="bottom"/>
            <w:hideMark/>
          </w:tcPr>
          <w:p w14:paraId="6ACE95E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45</w:t>
            </w:r>
          </w:p>
        </w:tc>
      </w:tr>
      <w:tr w:rsidR="00244248" w:rsidRPr="00A72CE9" w14:paraId="72A87FC5" w14:textId="77777777" w:rsidTr="00335B25">
        <w:trPr>
          <w:trHeight w:val="170"/>
        </w:trPr>
        <w:tc>
          <w:tcPr>
            <w:tcW w:w="2480" w:type="dxa"/>
            <w:tcBorders>
              <w:top w:val="nil"/>
              <w:left w:val="nil"/>
              <w:bottom w:val="nil"/>
              <w:right w:val="nil"/>
            </w:tcBorders>
            <w:shd w:val="clear" w:color="auto" w:fill="auto"/>
            <w:noWrap/>
            <w:vAlign w:val="bottom"/>
            <w:hideMark/>
          </w:tcPr>
          <w:p w14:paraId="7BFC3D02"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Diploma or Certificate III/IV</w:t>
            </w:r>
          </w:p>
        </w:tc>
        <w:tc>
          <w:tcPr>
            <w:tcW w:w="1773" w:type="dxa"/>
            <w:tcBorders>
              <w:top w:val="nil"/>
              <w:left w:val="nil"/>
              <w:bottom w:val="nil"/>
              <w:right w:val="nil"/>
            </w:tcBorders>
            <w:shd w:val="clear" w:color="auto" w:fill="auto"/>
            <w:noWrap/>
            <w:vAlign w:val="bottom"/>
            <w:hideMark/>
          </w:tcPr>
          <w:p w14:paraId="16BD65F9"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32</w:t>
            </w:r>
          </w:p>
        </w:tc>
        <w:tc>
          <w:tcPr>
            <w:tcW w:w="1843" w:type="dxa"/>
            <w:tcBorders>
              <w:top w:val="nil"/>
              <w:left w:val="nil"/>
              <w:bottom w:val="nil"/>
              <w:right w:val="nil"/>
            </w:tcBorders>
            <w:shd w:val="clear" w:color="auto" w:fill="auto"/>
            <w:noWrap/>
            <w:vAlign w:val="bottom"/>
            <w:hideMark/>
          </w:tcPr>
          <w:p w14:paraId="7AFDB8D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25</w:t>
            </w:r>
          </w:p>
        </w:tc>
      </w:tr>
      <w:tr w:rsidR="00244248" w:rsidRPr="00A72CE9" w14:paraId="5E329BD9" w14:textId="77777777" w:rsidTr="00335B25">
        <w:trPr>
          <w:trHeight w:val="170"/>
        </w:trPr>
        <w:tc>
          <w:tcPr>
            <w:tcW w:w="2480" w:type="dxa"/>
            <w:tcBorders>
              <w:top w:val="nil"/>
              <w:left w:val="nil"/>
              <w:bottom w:val="nil"/>
              <w:right w:val="nil"/>
            </w:tcBorders>
            <w:shd w:val="clear" w:color="auto" w:fill="auto"/>
            <w:noWrap/>
            <w:vAlign w:val="bottom"/>
            <w:hideMark/>
          </w:tcPr>
          <w:p w14:paraId="453A91FE"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Year 12</w:t>
            </w:r>
          </w:p>
        </w:tc>
        <w:tc>
          <w:tcPr>
            <w:tcW w:w="1773" w:type="dxa"/>
            <w:tcBorders>
              <w:top w:val="nil"/>
              <w:left w:val="nil"/>
              <w:bottom w:val="nil"/>
              <w:right w:val="nil"/>
            </w:tcBorders>
            <w:shd w:val="clear" w:color="auto" w:fill="auto"/>
            <w:noWrap/>
            <w:vAlign w:val="bottom"/>
            <w:hideMark/>
          </w:tcPr>
          <w:p w14:paraId="72FF86A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17</w:t>
            </w:r>
          </w:p>
        </w:tc>
        <w:tc>
          <w:tcPr>
            <w:tcW w:w="1843" w:type="dxa"/>
            <w:tcBorders>
              <w:top w:val="nil"/>
              <w:left w:val="nil"/>
              <w:bottom w:val="nil"/>
              <w:right w:val="nil"/>
            </w:tcBorders>
            <w:shd w:val="clear" w:color="auto" w:fill="auto"/>
            <w:noWrap/>
            <w:vAlign w:val="bottom"/>
            <w:hideMark/>
          </w:tcPr>
          <w:p w14:paraId="4FDCA1A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15</w:t>
            </w:r>
          </w:p>
        </w:tc>
      </w:tr>
      <w:tr w:rsidR="00244248" w:rsidRPr="00A72CE9" w14:paraId="770DE6D5" w14:textId="77777777" w:rsidTr="00335B25">
        <w:trPr>
          <w:trHeight w:val="170"/>
        </w:trPr>
        <w:tc>
          <w:tcPr>
            <w:tcW w:w="2480" w:type="dxa"/>
            <w:tcBorders>
              <w:top w:val="nil"/>
              <w:left w:val="nil"/>
              <w:bottom w:val="nil"/>
              <w:right w:val="nil"/>
            </w:tcBorders>
            <w:shd w:val="clear" w:color="auto" w:fill="auto"/>
            <w:noWrap/>
            <w:vAlign w:val="bottom"/>
            <w:hideMark/>
          </w:tcPr>
          <w:p w14:paraId="5691AA4C"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Year 11 or below</w:t>
            </w:r>
          </w:p>
        </w:tc>
        <w:tc>
          <w:tcPr>
            <w:tcW w:w="1773" w:type="dxa"/>
            <w:tcBorders>
              <w:top w:val="nil"/>
              <w:left w:val="nil"/>
              <w:bottom w:val="nil"/>
              <w:right w:val="nil"/>
            </w:tcBorders>
            <w:shd w:val="clear" w:color="auto" w:fill="auto"/>
            <w:noWrap/>
            <w:vAlign w:val="bottom"/>
            <w:hideMark/>
          </w:tcPr>
          <w:p w14:paraId="2D3F16F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10</w:t>
            </w:r>
          </w:p>
        </w:tc>
        <w:tc>
          <w:tcPr>
            <w:tcW w:w="1843" w:type="dxa"/>
            <w:tcBorders>
              <w:top w:val="nil"/>
              <w:left w:val="nil"/>
              <w:bottom w:val="nil"/>
              <w:right w:val="nil"/>
            </w:tcBorders>
            <w:shd w:val="clear" w:color="auto" w:fill="auto"/>
            <w:noWrap/>
            <w:vAlign w:val="bottom"/>
            <w:hideMark/>
          </w:tcPr>
          <w:p w14:paraId="686147D7"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15</w:t>
            </w:r>
          </w:p>
        </w:tc>
      </w:tr>
      <w:tr w:rsidR="00244248" w:rsidRPr="00A72CE9" w14:paraId="7549CEB3" w14:textId="77777777" w:rsidTr="00335B25">
        <w:trPr>
          <w:trHeight w:val="170"/>
        </w:trPr>
        <w:tc>
          <w:tcPr>
            <w:tcW w:w="2480" w:type="dxa"/>
            <w:tcBorders>
              <w:top w:val="nil"/>
              <w:left w:val="nil"/>
              <w:bottom w:val="nil"/>
              <w:right w:val="nil"/>
            </w:tcBorders>
            <w:shd w:val="clear" w:color="auto" w:fill="auto"/>
            <w:noWrap/>
            <w:vAlign w:val="bottom"/>
            <w:hideMark/>
          </w:tcPr>
          <w:p w14:paraId="6B5D7083"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7AB24A9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24E4B6E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4FF4D44C" w14:textId="77777777" w:rsidTr="00335B25">
        <w:trPr>
          <w:trHeight w:val="170"/>
        </w:trPr>
        <w:tc>
          <w:tcPr>
            <w:tcW w:w="2480" w:type="dxa"/>
            <w:tcBorders>
              <w:top w:val="nil"/>
              <w:left w:val="nil"/>
              <w:bottom w:val="nil"/>
              <w:right w:val="nil"/>
            </w:tcBorders>
            <w:shd w:val="clear" w:color="auto" w:fill="auto"/>
            <w:noWrap/>
            <w:vAlign w:val="bottom"/>
          </w:tcPr>
          <w:p w14:paraId="2B8BA2DD" w14:textId="77777777" w:rsidR="00244248" w:rsidRPr="001358F5" w:rsidRDefault="00244248" w:rsidP="00335B25">
            <w:pPr>
              <w:spacing w:after="0" w:line="240" w:lineRule="auto"/>
              <w:rPr>
                <w:rFonts w:asciiTheme="majorHAnsi" w:eastAsia="Times New Roman" w:hAnsiTheme="majorHAnsi" w:cstheme="majorHAnsi"/>
                <w:b/>
                <w:bCs/>
                <w:color w:val="000000"/>
                <w:sz w:val="20"/>
                <w:szCs w:val="20"/>
                <w:lang w:eastAsia="en-AU"/>
              </w:rPr>
            </w:pPr>
            <w:r w:rsidRPr="001358F5">
              <w:rPr>
                <w:rFonts w:asciiTheme="majorHAnsi" w:eastAsia="Times New Roman" w:hAnsiTheme="majorHAnsi" w:cstheme="majorHAnsi"/>
                <w:b/>
                <w:bCs/>
                <w:color w:val="000000"/>
                <w:sz w:val="20"/>
                <w:szCs w:val="20"/>
                <w:lang w:eastAsia="en-AU"/>
              </w:rPr>
              <w:t>Relationship status</w:t>
            </w:r>
          </w:p>
        </w:tc>
        <w:tc>
          <w:tcPr>
            <w:tcW w:w="1773" w:type="dxa"/>
            <w:tcBorders>
              <w:top w:val="nil"/>
              <w:left w:val="nil"/>
              <w:bottom w:val="nil"/>
              <w:right w:val="nil"/>
            </w:tcBorders>
            <w:shd w:val="clear" w:color="auto" w:fill="auto"/>
            <w:noWrap/>
            <w:vAlign w:val="bottom"/>
          </w:tcPr>
          <w:p w14:paraId="26F3B940"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tcPr>
          <w:p w14:paraId="6F16923B"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35FAA4C" w14:textId="77777777" w:rsidTr="00335B25">
        <w:trPr>
          <w:trHeight w:val="170"/>
        </w:trPr>
        <w:tc>
          <w:tcPr>
            <w:tcW w:w="2480" w:type="dxa"/>
            <w:tcBorders>
              <w:top w:val="nil"/>
              <w:left w:val="nil"/>
              <w:bottom w:val="nil"/>
              <w:right w:val="nil"/>
            </w:tcBorders>
            <w:shd w:val="clear" w:color="auto" w:fill="auto"/>
            <w:noWrap/>
            <w:vAlign w:val="bottom"/>
          </w:tcPr>
          <w:p w14:paraId="7E8152FA"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Married</w:t>
            </w:r>
          </w:p>
        </w:tc>
        <w:tc>
          <w:tcPr>
            <w:tcW w:w="1773" w:type="dxa"/>
            <w:tcBorders>
              <w:top w:val="nil"/>
              <w:left w:val="nil"/>
              <w:bottom w:val="nil"/>
              <w:right w:val="nil"/>
            </w:tcBorders>
            <w:shd w:val="clear" w:color="auto" w:fill="auto"/>
            <w:noWrap/>
            <w:vAlign w:val="bottom"/>
          </w:tcPr>
          <w:p w14:paraId="42594C30"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33</w:t>
            </w:r>
          </w:p>
        </w:tc>
        <w:tc>
          <w:tcPr>
            <w:tcW w:w="1843" w:type="dxa"/>
            <w:tcBorders>
              <w:top w:val="nil"/>
              <w:left w:val="nil"/>
              <w:bottom w:val="nil"/>
              <w:right w:val="nil"/>
            </w:tcBorders>
            <w:shd w:val="clear" w:color="auto" w:fill="auto"/>
            <w:noWrap/>
            <w:vAlign w:val="bottom"/>
          </w:tcPr>
          <w:p w14:paraId="76CCA19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32</w:t>
            </w:r>
          </w:p>
        </w:tc>
      </w:tr>
      <w:tr w:rsidR="00244248" w:rsidRPr="00A72CE9" w14:paraId="6529B940" w14:textId="77777777" w:rsidTr="00335B25">
        <w:trPr>
          <w:trHeight w:val="170"/>
        </w:trPr>
        <w:tc>
          <w:tcPr>
            <w:tcW w:w="2480" w:type="dxa"/>
            <w:tcBorders>
              <w:top w:val="nil"/>
              <w:left w:val="nil"/>
              <w:bottom w:val="nil"/>
              <w:right w:val="nil"/>
            </w:tcBorders>
            <w:shd w:val="clear" w:color="auto" w:fill="auto"/>
            <w:noWrap/>
            <w:vAlign w:val="bottom"/>
          </w:tcPr>
          <w:p w14:paraId="2814DF15"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Cohabiting</w:t>
            </w:r>
          </w:p>
        </w:tc>
        <w:tc>
          <w:tcPr>
            <w:tcW w:w="1773" w:type="dxa"/>
            <w:tcBorders>
              <w:top w:val="nil"/>
              <w:left w:val="nil"/>
              <w:bottom w:val="nil"/>
              <w:right w:val="nil"/>
            </w:tcBorders>
            <w:shd w:val="clear" w:color="auto" w:fill="auto"/>
            <w:noWrap/>
            <w:vAlign w:val="bottom"/>
          </w:tcPr>
          <w:p w14:paraId="43BEE851"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44</w:t>
            </w:r>
          </w:p>
        </w:tc>
        <w:tc>
          <w:tcPr>
            <w:tcW w:w="1843" w:type="dxa"/>
            <w:tcBorders>
              <w:top w:val="nil"/>
              <w:left w:val="nil"/>
              <w:bottom w:val="nil"/>
              <w:right w:val="nil"/>
            </w:tcBorders>
            <w:shd w:val="clear" w:color="auto" w:fill="auto"/>
            <w:noWrap/>
            <w:vAlign w:val="bottom"/>
          </w:tcPr>
          <w:p w14:paraId="0DE35467"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eastAsia="en-AU"/>
              </w:rPr>
              <w:t>47</w:t>
            </w:r>
          </w:p>
        </w:tc>
      </w:tr>
      <w:tr w:rsidR="00244248" w:rsidRPr="00A72CE9" w14:paraId="1889D010" w14:textId="77777777" w:rsidTr="00335B25">
        <w:trPr>
          <w:trHeight w:val="170"/>
        </w:trPr>
        <w:tc>
          <w:tcPr>
            <w:tcW w:w="2480" w:type="dxa"/>
            <w:tcBorders>
              <w:top w:val="nil"/>
              <w:left w:val="nil"/>
              <w:bottom w:val="nil"/>
              <w:right w:val="nil"/>
            </w:tcBorders>
            <w:shd w:val="clear" w:color="auto" w:fill="auto"/>
            <w:noWrap/>
            <w:vAlign w:val="bottom"/>
          </w:tcPr>
          <w:p w14:paraId="0CB4B12F"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tcPr>
          <w:p w14:paraId="0AFDFEE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tcPr>
          <w:p w14:paraId="4D2827C0"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43989EA7" w14:textId="77777777" w:rsidTr="00335B25">
        <w:trPr>
          <w:trHeight w:val="170"/>
        </w:trPr>
        <w:tc>
          <w:tcPr>
            <w:tcW w:w="2480" w:type="dxa"/>
            <w:tcBorders>
              <w:top w:val="nil"/>
              <w:left w:val="nil"/>
              <w:bottom w:val="nil"/>
              <w:right w:val="nil"/>
            </w:tcBorders>
            <w:shd w:val="clear" w:color="auto" w:fill="auto"/>
            <w:noWrap/>
            <w:vAlign w:val="bottom"/>
            <w:hideMark/>
          </w:tcPr>
          <w:p w14:paraId="79FFAB15"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Mean household income</w:t>
            </w:r>
          </w:p>
        </w:tc>
        <w:tc>
          <w:tcPr>
            <w:tcW w:w="1773" w:type="dxa"/>
            <w:tcBorders>
              <w:top w:val="nil"/>
              <w:left w:val="nil"/>
              <w:bottom w:val="nil"/>
              <w:right w:val="nil"/>
            </w:tcBorders>
            <w:shd w:val="clear" w:color="auto" w:fill="auto"/>
            <w:noWrap/>
            <w:vAlign w:val="bottom"/>
            <w:hideMark/>
          </w:tcPr>
          <w:p w14:paraId="60534A7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$120,597</w:t>
            </w:r>
          </w:p>
        </w:tc>
        <w:tc>
          <w:tcPr>
            <w:tcW w:w="1843" w:type="dxa"/>
            <w:tcBorders>
              <w:top w:val="nil"/>
              <w:left w:val="nil"/>
              <w:bottom w:val="nil"/>
              <w:right w:val="nil"/>
            </w:tcBorders>
            <w:shd w:val="clear" w:color="auto" w:fill="auto"/>
            <w:noWrap/>
            <w:vAlign w:val="bottom"/>
            <w:hideMark/>
          </w:tcPr>
          <w:p w14:paraId="765C078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$172,037</w:t>
            </w:r>
          </w:p>
        </w:tc>
      </w:tr>
      <w:tr w:rsidR="00244248" w:rsidRPr="00A72CE9" w14:paraId="610442D9" w14:textId="77777777" w:rsidTr="00335B25">
        <w:trPr>
          <w:trHeight w:val="170"/>
        </w:trPr>
        <w:tc>
          <w:tcPr>
            <w:tcW w:w="2480" w:type="dxa"/>
            <w:tcBorders>
              <w:top w:val="nil"/>
              <w:left w:val="nil"/>
              <w:bottom w:val="nil"/>
              <w:right w:val="nil"/>
            </w:tcBorders>
            <w:shd w:val="clear" w:color="auto" w:fill="auto"/>
            <w:noWrap/>
            <w:vAlign w:val="bottom"/>
            <w:hideMark/>
          </w:tcPr>
          <w:p w14:paraId="510B4EE6"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39DEAC6A"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2E8936B3"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64807B32" w14:textId="77777777" w:rsidTr="00335B25">
        <w:trPr>
          <w:trHeight w:val="170"/>
        </w:trPr>
        <w:tc>
          <w:tcPr>
            <w:tcW w:w="2480" w:type="dxa"/>
            <w:tcBorders>
              <w:top w:val="nil"/>
              <w:left w:val="nil"/>
              <w:bottom w:val="nil"/>
              <w:right w:val="nil"/>
            </w:tcBorders>
            <w:shd w:val="clear" w:color="auto" w:fill="auto"/>
            <w:noWrap/>
            <w:vAlign w:val="bottom"/>
            <w:hideMark/>
          </w:tcPr>
          <w:p w14:paraId="7B856628"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Country of birth</w:t>
            </w:r>
          </w:p>
        </w:tc>
        <w:tc>
          <w:tcPr>
            <w:tcW w:w="1773" w:type="dxa"/>
            <w:tcBorders>
              <w:top w:val="nil"/>
              <w:left w:val="nil"/>
              <w:bottom w:val="nil"/>
              <w:right w:val="nil"/>
            </w:tcBorders>
            <w:shd w:val="clear" w:color="auto" w:fill="auto"/>
            <w:noWrap/>
            <w:vAlign w:val="bottom"/>
            <w:hideMark/>
          </w:tcPr>
          <w:p w14:paraId="47ACF8E1"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843" w:type="dxa"/>
            <w:tcBorders>
              <w:top w:val="nil"/>
              <w:left w:val="nil"/>
              <w:bottom w:val="nil"/>
              <w:right w:val="nil"/>
            </w:tcBorders>
            <w:shd w:val="clear" w:color="auto" w:fill="auto"/>
            <w:noWrap/>
            <w:vAlign w:val="bottom"/>
            <w:hideMark/>
          </w:tcPr>
          <w:p w14:paraId="51D49C6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5C0FA37C" w14:textId="77777777" w:rsidTr="00335B25">
        <w:trPr>
          <w:trHeight w:val="170"/>
        </w:trPr>
        <w:tc>
          <w:tcPr>
            <w:tcW w:w="2480" w:type="dxa"/>
            <w:tcBorders>
              <w:top w:val="nil"/>
              <w:left w:val="nil"/>
              <w:bottom w:val="nil"/>
              <w:right w:val="nil"/>
            </w:tcBorders>
            <w:shd w:val="clear" w:color="auto" w:fill="auto"/>
            <w:noWrap/>
            <w:vAlign w:val="bottom"/>
            <w:hideMark/>
          </w:tcPr>
          <w:p w14:paraId="30032952"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Born overseas</w:t>
            </w:r>
          </w:p>
        </w:tc>
        <w:tc>
          <w:tcPr>
            <w:tcW w:w="1773" w:type="dxa"/>
            <w:tcBorders>
              <w:top w:val="nil"/>
              <w:left w:val="nil"/>
              <w:bottom w:val="nil"/>
              <w:right w:val="nil"/>
            </w:tcBorders>
            <w:shd w:val="clear" w:color="auto" w:fill="auto"/>
            <w:noWrap/>
            <w:vAlign w:val="bottom"/>
            <w:hideMark/>
          </w:tcPr>
          <w:p w14:paraId="045507CF"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20</w:t>
            </w:r>
          </w:p>
        </w:tc>
        <w:tc>
          <w:tcPr>
            <w:tcW w:w="1843" w:type="dxa"/>
            <w:tcBorders>
              <w:top w:val="nil"/>
              <w:left w:val="nil"/>
              <w:bottom w:val="nil"/>
              <w:right w:val="nil"/>
            </w:tcBorders>
            <w:shd w:val="clear" w:color="auto" w:fill="auto"/>
            <w:noWrap/>
            <w:vAlign w:val="bottom"/>
            <w:hideMark/>
          </w:tcPr>
          <w:p w14:paraId="4D193B9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23</w:t>
            </w:r>
          </w:p>
        </w:tc>
      </w:tr>
      <w:tr w:rsidR="00244248" w:rsidRPr="00A72CE9" w14:paraId="2CE46E45" w14:textId="77777777" w:rsidTr="00335B25">
        <w:trPr>
          <w:trHeight w:val="170"/>
        </w:trPr>
        <w:tc>
          <w:tcPr>
            <w:tcW w:w="2480" w:type="dxa"/>
            <w:tcBorders>
              <w:top w:val="nil"/>
              <w:left w:val="nil"/>
              <w:bottom w:val="nil"/>
              <w:right w:val="nil"/>
            </w:tcBorders>
            <w:shd w:val="clear" w:color="auto" w:fill="auto"/>
            <w:noWrap/>
            <w:vAlign w:val="bottom"/>
            <w:hideMark/>
          </w:tcPr>
          <w:p w14:paraId="5EFFBC83"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Born in Australia</w:t>
            </w:r>
          </w:p>
        </w:tc>
        <w:tc>
          <w:tcPr>
            <w:tcW w:w="1773" w:type="dxa"/>
            <w:tcBorders>
              <w:top w:val="nil"/>
              <w:left w:val="nil"/>
              <w:bottom w:val="nil"/>
              <w:right w:val="nil"/>
            </w:tcBorders>
            <w:shd w:val="clear" w:color="auto" w:fill="auto"/>
            <w:noWrap/>
            <w:vAlign w:val="bottom"/>
            <w:hideMark/>
          </w:tcPr>
          <w:p w14:paraId="13EFE01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8</w:t>
            </w:r>
            <w:r>
              <w:rPr>
                <w:rFonts w:asciiTheme="majorHAnsi" w:eastAsia="Times New Roman" w:hAnsiTheme="majorHAnsi" w:cstheme="majorHAnsi"/>
                <w:color w:val="000000"/>
                <w:sz w:val="20"/>
                <w:szCs w:val="20"/>
                <w:lang w:eastAsia="en-AU"/>
              </w:rPr>
              <w:t>0</w:t>
            </w:r>
          </w:p>
        </w:tc>
        <w:tc>
          <w:tcPr>
            <w:tcW w:w="1843" w:type="dxa"/>
            <w:tcBorders>
              <w:top w:val="nil"/>
              <w:left w:val="nil"/>
              <w:bottom w:val="nil"/>
              <w:right w:val="nil"/>
            </w:tcBorders>
            <w:shd w:val="clear" w:color="auto" w:fill="auto"/>
            <w:noWrap/>
            <w:vAlign w:val="bottom"/>
            <w:hideMark/>
          </w:tcPr>
          <w:p w14:paraId="74744E1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77</w:t>
            </w:r>
          </w:p>
        </w:tc>
      </w:tr>
      <w:tr w:rsidR="00244248" w:rsidRPr="00A72CE9" w14:paraId="68B07535" w14:textId="77777777" w:rsidTr="00335B25">
        <w:trPr>
          <w:trHeight w:val="170"/>
        </w:trPr>
        <w:tc>
          <w:tcPr>
            <w:tcW w:w="2480" w:type="dxa"/>
            <w:tcBorders>
              <w:top w:val="nil"/>
              <w:left w:val="nil"/>
              <w:bottom w:val="nil"/>
              <w:right w:val="nil"/>
            </w:tcBorders>
            <w:shd w:val="clear" w:color="auto" w:fill="auto"/>
            <w:noWrap/>
            <w:vAlign w:val="bottom"/>
            <w:hideMark/>
          </w:tcPr>
          <w:p w14:paraId="5267239C"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59CDE9A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4B892DD7"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6B63DD3" w14:textId="77777777" w:rsidTr="00335B25">
        <w:trPr>
          <w:trHeight w:val="170"/>
        </w:trPr>
        <w:tc>
          <w:tcPr>
            <w:tcW w:w="2480" w:type="dxa"/>
            <w:tcBorders>
              <w:top w:val="nil"/>
              <w:left w:val="nil"/>
              <w:bottom w:val="nil"/>
              <w:right w:val="nil"/>
            </w:tcBorders>
            <w:shd w:val="clear" w:color="auto" w:fill="auto"/>
            <w:noWrap/>
            <w:vAlign w:val="bottom"/>
            <w:hideMark/>
          </w:tcPr>
          <w:p w14:paraId="548D65DE"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Employment status</w:t>
            </w:r>
          </w:p>
        </w:tc>
        <w:tc>
          <w:tcPr>
            <w:tcW w:w="1773" w:type="dxa"/>
            <w:tcBorders>
              <w:top w:val="nil"/>
              <w:left w:val="nil"/>
              <w:bottom w:val="nil"/>
              <w:right w:val="nil"/>
            </w:tcBorders>
            <w:shd w:val="clear" w:color="auto" w:fill="auto"/>
            <w:noWrap/>
            <w:vAlign w:val="bottom"/>
            <w:hideMark/>
          </w:tcPr>
          <w:p w14:paraId="4F89D9E7"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843" w:type="dxa"/>
            <w:tcBorders>
              <w:top w:val="nil"/>
              <w:left w:val="nil"/>
              <w:bottom w:val="nil"/>
              <w:right w:val="nil"/>
            </w:tcBorders>
            <w:shd w:val="clear" w:color="auto" w:fill="auto"/>
            <w:noWrap/>
            <w:vAlign w:val="bottom"/>
            <w:hideMark/>
          </w:tcPr>
          <w:p w14:paraId="76794E1A"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51330ED" w14:textId="77777777" w:rsidTr="00335B25">
        <w:trPr>
          <w:trHeight w:val="170"/>
        </w:trPr>
        <w:tc>
          <w:tcPr>
            <w:tcW w:w="2480" w:type="dxa"/>
            <w:tcBorders>
              <w:top w:val="nil"/>
              <w:left w:val="nil"/>
              <w:bottom w:val="nil"/>
              <w:right w:val="nil"/>
            </w:tcBorders>
            <w:shd w:val="clear" w:color="auto" w:fill="auto"/>
            <w:noWrap/>
            <w:vAlign w:val="bottom"/>
            <w:hideMark/>
          </w:tcPr>
          <w:p w14:paraId="386E7D3A"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Permanent ft</w:t>
            </w:r>
          </w:p>
        </w:tc>
        <w:tc>
          <w:tcPr>
            <w:tcW w:w="1773" w:type="dxa"/>
            <w:tcBorders>
              <w:top w:val="nil"/>
              <w:left w:val="nil"/>
              <w:bottom w:val="nil"/>
              <w:right w:val="nil"/>
            </w:tcBorders>
            <w:shd w:val="clear" w:color="auto" w:fill="auto"/>
            <w:noWrap/>
            <w:vAlign w:val="bottom"/>
            <w:hideMark/>
          </w:tcPr>
          <w:p w14:paraId="01C6EF0B"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49</w:t>
            </w:r>
          </w:p>
        </w:tc>
        <w:tc>
          <w:tcPr>
            <w:tcW w:w="1843" w:type="dxa"/>
            <w:tcBorders>
              <w:top w:val="nil"/>
              <w:left w:val="nil"/>
              <w:bottom w:val="nil"/>
              <w:right w:val="nil"/>
            </w:tcBorders>
            <w:shd w:val="clear" w:color="auto" w:fill="auto"/>
            <w:noWrap/>
            <w:vAlign w:val="bottom"/>
            <w:hideMark/>
          </w:tcPr>
          <w:p w14:paraId="47CD2BB9"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w:t>
            </w:r>
          </w:p>
        </w:tc>
      </w:tr>
      <w:tr w:rsidR="00244248" w:rsidRPr="00A72CE9" w14:paraId="16BD6E15" w14:textId="77777777" w:rsidTr="00335B25">
        <w:trPr>
          <w:trHeight w:val="170"/>
        </w:trPr>
        <w:tc>
          <w:tcPr>
            <w:tcW w:w="2480" w:type="dxa"/>
            <w:tcBorders>
              <w:top w:val="nil"/>
              <w:left w:val="nil"/>
              <w:bottom w:val="nil"/>
              <w:right w:val="nil"/>
            </w:tcBorders>
            <w:shd w:val="clear" w:color="auto" w:fill="auto"/>
            <w:noWrap/>
            <w:vAlign w:val="bottom"/>
            <w:hideMark/>
          </w:tcPr>
          <w:p w14:paraId="6C48C0F9"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Permanent pt</w:t>
            </w:r>
          </w:p>
        </w:tc>
        <w:tc>
          <w:tcPr>
            <w:tcW w:w="1773" w:type="dxa"/>
            <w:tcBorders>
              <w:top w:val="nil"/>
              <w:left w:val="nil"/>
              <w:bottom w:val="nil"/>
              <w:right w:val="nil"/>
            </w:tcBorders>
            <w:shd w:val="clear" w:color="auto" w:fill="auto"/>
            <w:noWrap/>
            <w:vAlign w:val="bottom"/>
            <w:hideMark/>
          </w:tcPr>
          <w:p w14:paraId="3E1FF83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19</w:t>
            </w:r>
          </w:p>
        </w:tc>
        <w:tc>
          <w:tcPr>
            <w:tcW w:w="1843" w:type="dxa"/>
            <w:tcBorders>
              <w:top w:val="nil"/>
              <w:left w:val="nil"/>
              <w:bottom w:val="nil"/>
              <w:right w:val="nil"/>
            </w:tcBorders>
            <w:shd w:val="clear" w:color="auto" w:fill="auto"/>
            <w:noWrap/>
            <w:vAlign w:val="bottom"/>
            <w:hideMark/>
          </w:tcPr>
          <w:p w14:paraId="6B82DF4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w:t>
            </w:r>
          </w:p>
        </w:tc>
      </w:tr>
      <w:tr w:rsidR="00244248" w:rsidRPr="00A72CE9" w14:paraId="2A4A490C" w14:textId="77777777" w:rsidTr="00335B25">
        <w:trPr>
          <w:trHeight w:val="170"/>
        </w:trPr>
        <w:tc>
          <w:tcPr>
            <w:tcW w:w="2480" w:type="dxa"/>
            <w:tcBorders>
              <w:top w:val="nil"/>
              <w:left w:val="nil"/>
              <w:bottom w:val="nil"/>
              <w:right w:val="nil"/>
            </w:tcBorders>
            <w:shd w:val="clear" w:color="auto" w:fill="auto"/>
            <w:noWrap/>
            <w:vAlign w:val="bottom"/>
            <w:hideMark/>
          </w:tcPr>
          <w:p w14:paraId="7C34DEB0"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Casual  ft</w:t>
            </w:r>
          </w:p>
        </w:tc>
        <w:tc>
          <w:tcPr>
            <w:tcW w:w="1773" w:type="dxa"/>
            <w:tcBorders>
              <w:top w:val="nil"/>
              <w:left w:val="nil"/>
              <w:bottom w:val="nil"/>
              <w:right w:val="nil"/>
            </w:tcBorders>
            <w:shd w:val="clear" w:color="auto" w:fill="auto"/>
            <w:noWrap/>
            <w:vAlign w:val="bottom"/>
            <w:hideMark/>
          </w:tcPr>
          <w:p w14:paraId="134FF59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5</w:t>
            </w:r>
          </w:p>
        </w:tc>
        <w:tc>
          <w:tcPr>
            <w:tcW w:w="1843" w:type="dxa"/>
            <w:tcBorders>
              <w:top w:val="nil"/>
              <w:left w:val="nil"/>
              <w:bottom w:val="nil"/>
              <w:right w:val="nil"/>
            </w:tcBorders>
            <w:shd w:val="clear" w:color="auto" w:fill="auto"/>
            <w:noWrap/>
            <w:vAlign w:val="bottom"/>
            <w:hideMark/>
          </w:tcPr>
          <w:p w14:paraId="7D8D217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w:t>
            </w:r>
          </w:p>
        </w:tc>
      </w:tr>
      <w:tr w:rsidR="00244248" w:rsidRPr="00A72CE9" w14:paraId="4AD5E596" w14:textId="77777777" w:rsidTr="00335B25">
        <w:trPr>
          <w:trHeight w:val="170"/>
        </w:trPr>
        <w:tc>
          <w:tcPr>
            <w:tcW w:w="2480" w:type="dxa"/>
            <w:tcBorders>
              <w:top w:val="nil"/>
              <w:left w:val="nil"/>
              <w:bottom w:val="nil"/>
              <w:right w:val="nil"/>
            </w:tcBorders>
            <w:shd w:val="clear" w:color="auto" w:fill="auto"/>
            <w:noWrap/>
            <w:vAlign w:val="bottom"/>
            <w:hideMark/>
          </w:tcPr>
          <w:p w14:paraId="7EE1116B"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Casual pt</w:t>
            </w:r>
          </w:p>
        </w:tc>
        <w:tc>
          <w:tcPr>
            <w:tcW w:w="1773" w:type="dxa"/>
            <w:tcBorders>
              <w:top w:val="nil"/>
              <w:left w:val="nil"/>
              <w:bottom w:val="nil"/>
              <w:right w:val="nil"/>
            </w:tcBorders>
            <w:shd w:val="clear" w:color="auto" w:fill="auto"/>
            <w:noWrap/>
            <w:vAlign w:val="bottom"/>
            <w:hideMark/>
          </w:tcPr>
          <w:p w14:paraId="1B6641B1"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16</w:t>
            </w:r>
          </w:p>
        </w:tc>
        <w:tc>
          <w:tcPr>
            <w:tcW w:w="1843" w:type="dxa"/>
            <w:tcBorders>
              <w:top w:val="nil"/>
              <w:left w:val="nil"/>
              <w:bottom w:val="nil"/>
              <w:right w:val="nil"/>
            </w:tcBorders>
            <w:shd w:val="clear" w:color="auto" w:fill="auto"/>
            <w:noWrap/>
            <w:vAlign w:val="bottom"/>
            <w:hideMark/>
          </w:tcPr>
          <w:p w14:paraId="3CF2D4AE"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w:t>
            </w:r>
          </w:p>
        </w:tc>
      </w:tr>
      <w:tr w:rsidR="00244248" w:rsidRPr="00A72CE9" w14:paraId="36F99DDB" w14:textId="77777777" w:rsidTr="00335B25">
        <w:trPr>
          <w:trHeight w:val="170"/>
        </w:trPr>
        <w:tc>
          <w:tcPr>
            <w:tcW w:w="2480" w:type="dxa"/>
            <w:tcBorders>
              <w:top w:val="nil"/>
              <w:left w:val="nil"/>
              <w:bottom w:val="nil"/>
              <w:right w:val="nil"/>
            </w:tcBorders>
            <w:shd w:val="clear" w:color="auto" w:fill="auto"/>
            <w:noWrap/>
            <w:vAlign w:val="bottom"/>
            <w:hideMark/>
          </w:tcPr>
          <w:p w14:paraId="0AD5852F"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Self-employed</w:t>
            </w:r>
          </w:p>
        </w:tc>
        <w:tc>
          <w:tcPr>
            <w:tcW w:w="1773" w:type="dxa"/>
            <w:tcBorders>
              <w:top w:val="nil"/>
              <w:left w:val="nil"/>
              <w:bottom w:val="nil"/>
              <w:right w:val="nil"/>
            </w:tcBorders>
            <w:shd w:val="clear" w:color="auto" w:fill="auto"/>
            <w:noWrap/>
            <w:vAlign w:val="bottom"/>
            <w:hideMark/>
          </w:tcPr>
          <w:p w14:paraId="3C631FCF"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w:t>
            </w:r>
          </w:p>
        </w:tc>
        <w:tc>
          <w:tcPr>
            <w:tcW w:w="1843" w:type="dxa"/>
            <w:tcBorders>
              <w:top w:val="nil"/>
              <w:left w:val="nil"/>
              <w:bottom w:val="nil"/>
              <w:right w:val="nil"/>
            </w:tcBorders>
            <w:shd w:val="clear" w:color="auto" w:fill="auto"/>
            <w:noWrap/>
            <w:vAlign w:val="bottom"/>
            <w:hideMark/>
          </w:tcPr>
          <w:p w14:paraId="41C829D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w:t>
            </w:r>
          </w:p>
        </w:tc>
      </w:tr>
      <w:tr w:rsidR="00244248" w:rsidRPr="00A72CE9" w14:paraId="52F9FE88" w14:textId="77777777" w:rsidTr="00335B25">
        <w:trPr>
          <w:trHeight w:val="170"/>
        </w:trPr>
        <w:tc>
          <w:tcPr>
            <w:tcW w:w="2480" w:type="dxa"/>
            <w:tcBorders>
              <w:top w:val="nil"/>
              <w:left w:val="nil"/>
              <w:bottom w:val="nil"/>
              <w:right w:val="nil"/>
            </w:tcBorders>
            <w:shd w:val="clear" w:color="auto" w:fill="auto"/>
            <w:noWrap/>
            <w:vAlign w:val="bottom"/>
            <w:hideMark/>
          </w:tcPr>
          <w:p w14:paraId="2129AD5B"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Not working</w:t>
            </w:r>
          </w:p>
        </w:tc>
        <w:tc>
          <w:tcPr>
            <w:tcW w:w="1773" w:type="dxa"/>
            <w:tcBorders>
              <w:top w:val="nil"/>
              <w:left w:val="nil"/>
              <w:bottom w:val="nil"/>
              <w:right w:val="nil"/>
            </w:tcBorders>
            <w:shd w:val="clear" w:color="auto" w:fill="auto"/>
            <w:noWrap/>
            <w:vAlign w:val="bottom"/>
            <w:hideMark/>
          </w:tcPr>
          <w:p w14:paraId="56EC4AE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5</w:t>
            </w:r>
          </w:p>
        </w:tc>
        <w:tc>
          <w:tcPr>
            <w:tcW w:w="1843" w:type="dxa"/>
            <w:tcBorders>
              <w:top w:val="nil"/>
              <w:left w:val="nil"/>
              <w:bottom w:val="nil"/>
              <w:right w:val="nil"/>
            </w:tcBorders>
            <w:shd w:val="clear" w:color="auto" w:fill="auto"/>
            <w:noWrap/>
            <w:vAlign w:val="bottom"/>
            <w:hideMark/>
          </w:tcPr>
          <w:p w14:paraId="42019D3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80</w:t>
            </w:r>
          </w:p>
        </w:tc>
      </w:tr>
      <w:tr w:rsidR="00244248" w:rsidRPr="00A72CE9" w14:paraId="6A45F500" w14:textId="77777777" w:rsidTr="00335B25">
        <w:trPr>
          <w:trHeight w:val="170"/>
        </w:trPr>
        <w:tc>
          <w:tcPr>
            <w:tcW w:w="2480" w:type="dxa"/>
            <w:tcBorders>
              <w:top w:val="nil"/>
              <w:left w:val="nil"/>
              <w:bottom w:val="nil"/>
              <w:right w:val="nil"/>
            </w:tcBorders>
            <w:shd w:val="clear" w:color="auto" w:fill="auto"/>
            <w:noWrap/>
            <w:vAlign w:val="bottom"/>
            <w:hideMark/>
          </w:tcPr>
          <w:p w14:paraId="5BA68B49"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1F3A4E3B"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1AD7F7B1"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3AC4E5CB" w14:textId="77777777" w:rsidTr="00335B25">
        <w:trPr>
          <w:trHeight w:val="170"/>
        </w:trPr>
        <w:tc>
          <w:tcPr>
            <w:tcW w:w="6096" w:type="dxa"/>
            <w:gridSpan w:val="3"/>
            <w:tcBorders>
              <w:top w:val="nil"/>
              <w:left w:val="nil"/>
              <w:bottom w:val="nil"/>
              <w:right w:val="nil"/>
            </w:tcBorders>
            <w:shd w:val="clear" w:color="auto" w:fill="auto"/>
            <w:noWrap/>
            <w:vAlign w:val="bottom"/>
            <w:hideMark/>
          </w:tcPr>
          <w:p w14:paraId="18D4E794"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Aboriginal or Torres Strait Islander</w:t>
            </w:r>
          </w:p>
        </w:tc>
      </w:tr>
      <w:tr w:rsidR="00244248" w:rsidRPr="00A72CE9" w14:paraId="142AE025" w14:textId="77777777" w:rsidTr="00335B25">
        <w:trPr>
          <w:trHeight w:val="170"/>
        </w:trPr>
        <w:tc>
          <w:tcPr>
            <w:tcW w:w="2480" w:type="dxa"/>
            <w:tcBorders>
              <w:top w:val="nil"/>
              <w:left w:val="nil"/>
              <w:bottom w:val="nil"/>
              <w:right w:val="nil"/>
            </w:tcBorders>
            <w:shd w:val="clear" w:color="auto" w:fill="auto"/>
            <w:noWrap/>
            <w:vAlign w:val="bottom"/>
            <w:hideMark/>
          </w:tcPr>
          <w:p w14:paraId="2EB06C19"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Yes</w:t>
            </w:r>
          </w:p>
        </w:tc>
        <w:tc>
          <w:tcPr>
            <w:tcW w:w="1773" w:type="dxa"/>
            <w:tcBorders>
              <w:top w:val="nil"/>
              <w:left w:val="nil"/>
              <w:bottom w:val="nil"/>
              <w:right w:val="nil"/>
            </w:tcBorders>
            <w:shd w:val="clear" w:color="auto" w:fill="auto"/>
            <w:noWrap/>
            <w:vAlign w:val="bottom"/>
            <w:hideMark/>
          </w:tcPr>
          <w:p w14:paraId="412FBC4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w:t>
            </w:r>
          </w:p>
        </w:tc>
        <w:tc>
          <w:tcPr>
            <w:tcW w:w="1843" w:type="dxa"/>
            <w:tcBorders>
              <w:top w:val="nil"/>
              <w:left w:val="nil"/>
              <w:bottom w:val="nil"/>
              <w:right w:val="nil"/>
            </w:tcBorders>
            <w:shd w:val="clear" w:color="auto" w:fill="auto"/>
            <w:noWrap/>
            <w:vAlign w:val="bottom"/>
            <w:hideMark/>
          </w:tcPr>
          <w:p w14:paraId="5F567DF4"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w:t>
            </w:r>
          </w:p>
        </w:tc>
      </w:tr>
      <w:tr w:rsidR="00244248" w:rsidRPr="00A72CE9" w14:paraId="676FA079" w14:textId="77777777" w:rsidTr="00335B25">
        <w:trPr>
          <w:trHeight w:val="170"/>
        </w:trPr>
        <w:tc>
          <w:tcPr>
            <w:tcW w:w="2480" w:type="dxa"/>
            <w:tcBorders>
              <w:top w:val="nil"/>
              <w:left w:val="nil"/>
              <w:bottom w:val="nil"/>
              <w:right w:val="nil"/>
            </w:tcBorders>
            <w:shd w:val="clear" w:color="auto" w:fill="auto"/>
            <w:noWrap/>
            <w:vAlign w:val="bottom"/>
            <w:hideMark/>
          </w:tcPr>
          <w:p w14:paraId="4BE5B180"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No</w:t>
            </w:r>
          </w:p>
        </w:tc>
        <w:tc>
          <w:tcPr>
            <w:tcW w:w="1773" w:type="dxa"/>
            <w:tcBorders>
              <w:top w:val="nil"/>
              <w:left w:val="nil"/>
              <w:bottom w:val="nil"/>
              <w:right w:val="nil"/>
            </w:tcBorders>
            <w:shd w:val="clear" w:color="auto" w:fill="auto"/>
            <w:noWrap/>
            <w:vAlign w:val="bottom"/>
            <w:hideMark/>
          </w:tcPr>
          <w:p w14:paraId="45D74EF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98</w:t>
            </w:r>
          </w:p>
        </w:tc>
        <w:tc>
          <w:tcPr>
            <w:tcW w:w="1843" w:type="dxa"/>
            <w:tcBorders>
              <w:top w:val="nil"/>
              <w:left w:val="nil"/>
              <w:bottom w:val="nil"/>
              <w:right w:val="nil"/>
            </w:tcBorders>
            <w:shd w:val="clear" w:color="auto" w:fill="auto"/>
            <w:noWrap/>
            <w:vAlign w:val="bottom"/>
            <w:hideMark/>
          </w:tcPr>
          <w:p w14:paraId="6FFD6744"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94</w:t>
            </w:r>
          </w:p>
        </w:tc>
      </w:tr>
      <w:tr w:rsidR="00244248" w:rsidRPr="00A72CE9" w14:paraId="3F80409D" w14:textId="77777777" w:rsidTr="00335B25">
        <w:trPr>
          <w:trHeight w:val="170"/>
        </w:trPr>
        <w:tc>
          <w:tcPr>
            <w:tcW w:w="2480" w:type="dxa"/>
            <w:tcBorders>
              <w:top w:val="nil"/>
              <w:left w:val="nil"/>
              <w:bottom w:val="nil"/>
              <w:right w:val="nil"/>
            </w:tcBorders>
            <w:shd w:val="clear" w:color="auto" w:fill="auto"/>
            <w:noWrap/>
            <w:vAlign w:val="bottom"/>
            <w:hideMark/>
          </w:tcPr>
          <w:p w14:paraId="406C3D11"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773" w:type="dxa"/>
            <w:tcBorders>
              <w:top w:val="nil"/>
              <w:left w:val="nil"/>
              <w:bottom w:val="nil"/>
              <w:right w:val="nil"/>
            </w:tcBorders>
            <w:shd w:val="clear" w:color="auto" w:fill="auto"/>
            <w:noWrap/>
            <w:vAlign w:val="bottom"/>
            <w:hideMark/>
          </w:tcPr>
          <w:p w14:paraId="136F795D"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843" w:type="dxa"/>
            <w:tcBorders>
              <w:top w:val="nil"/>
              <w:left w:val="nil"/>
              <w:bottom w:val="nil"/>
              <w:right w:val="nil"/>
            </w:tcBorders>
            <w:shd w:val="clear" w:color="auto" w:fill="auto"/>
            <w:noWrap/>
            <w:vAlign w:val="bottom"/>
            <w:hideMark/>
          </w:tcPr>
          <w:p w14:paraId="368FA380"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40925300" w14:textId="77777777" w:rsidTr="00335B25">
        <w:trPr>
          <w:trHeight w:val="170"/>
        </w:trPr>
        <w:tc>
          <w:tcPr>
            <w:tcW w:w="2480" w:type="dxa"/>
            <w:tcBorders>
              <w:top w:val="nil"/>
              <w:left w:val="nil"/>
              <w:bottom w:val="nil"/>
              <w:right w:val="nil"/>
            </w:tcBorders>
            <w:shd w:val="clear" w:color="auto" w:fill="auto"/>
            <w:noWrap/>
            <w:vAlign w:val="bottom"/>
            <w:hideMark/>
          </w:tcPr>
          <w:p w14:paraId="363B9C14"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Remoteness</w:t>
            </w:r>
          </w:p>
        </w:tc>
        <w:tc>
          <w:tcPr>
            <w:tcW w:w="1773" w:type="dxa"/>
            <w:tcBorders>
              <w:top w:val="nil"/>
              <w:left w:val="nil"/>
              <w:bottom w:val="nil"/>
              <w:right w:val="nil"/>
            </w:tcBorders>
            <w:shd w:val="clear" w:color="auto" w:fill="auto"/>
            <w:noWrap/>
            <w:vAlign w:val="bottom"/>
            <w:hideMark/>
          </w:tcPr>
          <w:p w14:paraId="27DF8B53"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843" w:type="dxa"/>
            <w:tcBorders>
              <w:top w:val="nil"/>
              <w:left w:val="nil"/>
              <w:bottom w:val="nil"/>
              <w:right w:val="nil"/>
            </w:tcBorders>
            <w:shd w:val="clear" w:color="auto" w:fill="auto"/>
            <w:noWrap/>
            <w:vAlign w:val="bottom"/>
            <w:hideMark/>
          </w:tcPr>
          <w:p w14:paraId="45F0C3BF"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3F8E44C7" w14:textId="77777777" w:rsidTr="00335B25">
        <w:trPr>
          <w:trHeight w:val="170"/>
        </w:trPr>
        <w:tc>
          <w:tcPr>
            <w:tcW w:w="2480" w:type="dxa"/>
            <w:tcBorders>
              <w:top w:val="nil"/>
              <w:left w:val="nil"/>
              <w:bottom w:val="nil"/>
              <w:right w:val="nil"/>
            </w:tcBorders>
            <w:shd w:val="clear" w:color="auto" w:fill="auto"/>
            <w:noWrap/>
            <w:vAlign w:val="bottom"/>
            <w:hideMark/>
          </w:tcPr>
          <w:p w14:paraId="4886EDF5"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Major city</w:t>
            </w:r>
          </w:p>
        </w:tc>
        <w:tc>
          <w:tcPr>
            <w:tcW w:w="1773" w:type="dxa"/>
            <w:tcBorders>
              <w:top w:val="nil"/>
              <w:left w:val="nil"/>
              <w:bottom w:val="nil"/>
              <w:right w:val="nil"/>
            </w:tcBorders>
            <w:shd w:val="clear" w:color="auto" w:fill="auto"/>
            <w:noWrap/>
            <w:vAlign w:val="bottom"/>
            <w:hideMark/>
          </w:tcPr>
          <w:p w14:paraId="7B63AA5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71</w:t>
            </w:r>
          </w:p>
        </w:tc>
        <w:tc>
          <w:tcPr>
            <w:tcW w:w="1843" w:type="dxa"/>
            <w:tcBorders>
              <w:top w:val="nil"/>
              <w:left w:val="nil"/>
              <w:bottom w:val="nil"/>
              <w:right w:val="nil"/>
            </w:tcBorders>
            <w:shd w:val="clear" w:color="auto" w:fill="auto"/>
            <w:noWrap/>
            <w:vAlign w:val="bottom"/>
            <w:hideMark/>
          </w:tcPr>
          <w:p w14:paraId="398BB43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69</w:t>
            </w:r>
          </w:p>
        </w:tc>
      </w:tr>
      <w:tr w:rsidR="00244248" w:rsidRPr="00A72CE9" w14:paraId="73F836F0" w14:textId="77777777" w:rsidTr="00335B25">
        <w:trPr>
          <w:trHeight w:val="170"/>
        </w:trPr>
        <w:tc>
          <w:tcPr>
            <w:tcW w:w="2480" w:type="dxa"/>
            <w:tcBorders>
              <w:top w:val="nil"/>
              <w:left w:val="nil"/>
              <w:bottom w:val="nil"/>
              <w:right w:val="nil"/>
            </w:tcBorders>
            <w:shd w:val="clear" w:color="auto" w:fill="auto"/>
            <w:noWrap/>
            <w:vAlign w:val="bottom"/>
            <w:hideMark/>
          </w:tcPr>
          <w:p w14:paraId="4FF15E1C"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Inner regional</w:t>
            </w:r>
          </w:p>
        </w:tc>
        <w:tc>
          <w:tcPr>
            <w:tcW w:w="1773" w:type="dxa"/>
            <w:tcBorders>
              <w:top w:val="nil"/>
              <w:left w:val="nil"/>
              <w:bottom w:val="nil"/>
              <w:right w:val="nil"/>
            </w:tcBorders>
            <w:shd w:val="clear" w:color="auto" w:fill="auto"/>
            <w:noWrap/>
            <w:vAlign w:val="bottom"/>
            <w:hideMark/>
          </w:tcPr>
          <w:p w14:paraId="79B42D8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18</w:t>
            </w:r>
          </w:p>
        </w:tc>
        <w:tc>
          <w:tcPr>
            <w:tcW w:w="1843" w:type="dxa"/>
            <w:tcBorders>
              <w:top w:val="nil"/>
              <w:left w:val="nil"/>
              <w:bottom w:val="nil"/>
              <w:right w:val="nil"/>
            </w:tcBorders>
            <w:shd w:val="clear" w:color="auto" w:fill="auto"/>
            <w:noWrap/>
            <w:vAlign w:val="bottom"/>
            <w:hideMark/>
          </w:tcPr>
          <w:p w14:paraId="1042F68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20</w:t>
            </w:r>
          </w:p>
        </w:tc>
      </w:tr>
      <w:tr w:rsidR="00244248" w:rsidRPr="00A72CE9" w14:paraId="678ED3CA" w14:textId="77777777" w:rsidTr="00335B25">
        <w:trPr>
          <w:trHeight w:val="170"/>
        </w:trPr>
        <w:tc>
          <w:tcPr>
            <w:tcW w:w="2480" w:type="dxa"/>
            <w:tcBorders>
              <w:top w:val="nil"/>
              <w:left w:val="nil"/>
              <w:right w:val="nil"/>
            </w:tcBorders>
            <w:shd w:val="clear" w:color="auto" w:fill="auto"/>
            <w:noWrap/>
            <w:vAlign w:val="bottom"/>
            <w:hideMark/>
          </w:tcPr>
          <w:p w14:paraId="1460813D"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Outer regional or remote</w:t>
            </w:r>
          </w:p>
        </w:tc>
        <w:tc>
          <w:tcPr>
            <w:tcW w:w="1773" w:type="dxa"/>
            <w:tcBorders>
              <w:top w:val="nil"/>
              <w:left w:val="nil"/>
              <w:right w:val="nil"/>
            </w:tcBorders>
            <w:shd w:val="clear" w:color="auto" w:fill="auto"/>
            <w:noWrap/>
            <w:vAlign w:val="bottom"/>
            <w:hideMark/>
          </w:tcPr>
          <w:p w14:paraId="554AB1F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11</w:t>
            </w:r>
          </w:p>
        </w:tc>
        <w:tc>
          <w:tcPr>
            <w:tcW w:w="1843" w:type="dxa"/>
            <w:tcBorders>
              <w:top w:val="nil"/>
              <w:left w:val="nil"/>
              <w:right w:val="nil"/>
            </w:tcBorders>
            <w:shd w:val="clear" w:color="auto" w:fill="auto"/>
            <w:noWrap/>
            <w:vAlign w:val="bottom"/>
            <w:hideMark/>
          </w:tcPr>
          <w:p w14:paraId="2D99278B"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11</w:t>
            </w:r>
          </w:p>
        </w:tc>
      </w:tr>
      <w:tr w:rsidR="00244248" w:rsidRPr="00A72CE9" w14:paraId="20A9F67A" w14:textId="77777777" w:rsidTr="00335B25">
        <w:trPr>
          <w:trHeight w:val="170"/>
        </w:trPr>
        <w:tc>
          <w:tcPr>
            <w:tcW w:w="2480" w:type="dxa"/>
            <w:tcBorders>
              <w:top w:val="single" w:sz="4" w:space="0" w:color="ED7D31" w:themeColor="accent2"/>
              <w:left w:val="nil"/>
              <w:right w:val="nil"/>
            </w:tcBorders>
            <w:shd w:val="clear" w:color="auto" w:fill="auto"/>
            <w:noWrap/>
            <w:vAlign w:val="bottom"/>
            <w:hideMark/>
          </w:tcPr>
          <w:p w14:paraId="6D5FD37B"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Number of observations</w:t>
            </w:r>
          </w:p>
        </w:tc>
        <w:tc>
          <w:tcPr>
            <w:tcW w:w="1773" w:type="dxa"/>
            <w:tcBorders>
              <w:top w:val="single" w:sz="4" w:space="0" w:color="ED7D31" w:themeColor="accent2"/>
              <w:left w:val="nil"/>
              <w:right w:val="nil"/>
            </w:tcBorders>
            <w:shd w:val="clear" w:color="auto" w:fill="auto"/>
            <w:noWrap/>
            <w:vAlign w:val="bottom"/>
            <w:hideMark/>
          </w:tcPr>
          <w:p w14:paraId="1041137E"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15,987</w:t>
            </w:r>
          </w:p>
        </w:tc>
        <w:tc>
          <w:tcPr>
            <w:tcW w:w="1843" w:type="dxa"/>
            <w:tcBorders>
              <w:top w:val="single" w:sz="4" w:space="0" w:color="ED7D31" w:themeColor="accent2"/>
              <w:left w:val="nil"/>
              <w:right w:val="nil"/>
            </w:tcBorders>
            <w:shd w:val="clear" w:color="auto" w:fill="auto"/>
            <w:noWrap/>
            <w:vAlign w:val="bottom"/>
            <w:hideMark/>
          </w:tcPr>
          <w:p w14:paraId="2B957B5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3,894</w:t>
            </w:r>
          </w:p>
        </w:tc>
      </w:tr>
      <w:tr w:rsidR="00244248" w:rsidRPr="00A72CE9" w14:paraId="4CB3D960" w14:textId="77777777" w:rsidTr="00335B25">
        <w:trPr>
          <w:trHeight w:val="170"/>
        </w:trPr>
        <w:tc>
          <w:tcPr>
            <w:tcW w:w="2480" w:type="dxa"/>
            <w:tcBorders>
              <w:top w:val="nil"/>
              <w:left w:val="nil"/>
              <w:bottom w:val="single" w:sz="4" w:space="0" w:color="ED7D31" w:themeColor="accent2"/>
              <w:right w:val="nil"/>
            </w:tcBorders>
            <w:shd w:val="clear" w:color="auto" w:fill="auto"/>
            <w:noWrap/>
            <w:vAlign w:val="bottom"/>
            <w:hideMark/>
          </w:tcPr>
          <w:p w14:paraId="33616470"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Number of women</w:t>
            </w:r>
          </w:p>
        </w:tc>
        <w:tc>
          <w:tcPr>
            <w:tcW w:w="1773" w:type="dxa"/>
            <w:tcBorders>
              <w:top w:val="nil"/>
              <w:left w:val="nil"/>
              <w:bottom w:val="single" w:sz="4" w:space="0" w:color="ED7D31" w:themeColor="accent2"/>
              <w:right w:val="nil"/>
            </w:tcBorders>
            <w:shd w:val="clear" w:color="auto" w:fill="auto"/>
            <w:noWrap/>
            <w:vAlign w:val="bottom"/>
            <w:hideMark/>
          </w:tcPr>
          <w:p w14:paraId="3A56E66B"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3,613</w:t>
            </w:r>
          </w:p>
        </w:tc>
        <w:tc>
          <w:tcPr>
            <w:tcW w:w="1843" w:type="dxa"/>
            <w:tcBorders>
              <w:top w:val="nil"/>
              <w:left w:val="nil"/>
              <w:bottom w:val="single" w:sz="4" w:space="0" w:color="ED7D31" w:themeColor="accent2"/>
              <w:right w:val="nil"/>
            </w:tcBorders>
            <w:shd w:val="clear" w:color="auto" w:fill="auto"/>
            <w:noWrap/>
            <w:vAlign w:val="bottom"/>
            <w:hideMark/>
          </w:tcPr>
          <w:p w14:paraId="32D2668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1,634</w:t>
            </w:r>
          </w:p>
        </w:tc>
      </w:tr>
    </w:tbl>
    <w:p w14:paraId="2AA728A5" w14:textId="77777777" w:rsidR="00244248" w:rsidRDefault="00244248" w:rsidP="00244248">
      <w:pPr>
        <w:keepNext/>
        <w:widowControl w:val="0"/>
        <w:autoSpaceDE w:val="0"/>
        <w:autoSpaceDN w:val="0"/>
        <w:adjustRightInd w:val="0"/>
        <w:spacing w:after="0" w:line="240" w:lineRule="auto"/>
        <w:rPr>
          <w:i/>
          <w:iCs/>
          <w:color w:val="44546A" w:themeColor="text2"/>
          <w:sz w:val="18"/>
          <w:szCs w:val="18"/>
        </w:rPr>
      </w:pPr>
    </w:p>
    <w:p w14:paraId="69CF0394" w14:textId="77777777" w:rsidR="00244248" w:rsidRDefault="00244248" w:rsidP="00244248">
      <w:pPr>
        <w:keepNext/>
        <w:widowControl w:val="0"/>
        <w:autoSpaceDE w:val="0"/>
        <w:autoSpaceDN w:val="0"/>
        <w:adjustRightInd w:val="0"/>
        <w:spacing w:after="0" w:line="240" w:lineRule="auto"/>
        <w:rPr>
          <w:i/>
          <w:iCs/>
          <w:color w:val="44546A" w:themeColor="text2"/>
          <w:sz w:val="18"/>
          <w:szCs w:val="18"/>
        </w:rPr>
      </w:pPr>
    </w:p>
    <w:p w14:paraId="45C9231A" w14:textId="77777777" w:rsidR="00244248" w:rsidRDefault="00244248" w:rsidP="00244248">
      <w:pPr>
        <w:keepNext/>
        <w:widowControl w:val="0"/>
        <w:autoSpaceDE w:val="0"/>
        <w:autoSpaceDN w:val="0"/>
        <w:adjustRightInd w:val="0"/>
        <w:spacing w:after="0" w:line="240" w:lineRule="auto"/>
        <w:rPr>
          <w:i/>
          <w:iCs/>
          <w:color w:val="44546A" w:themeColor="text2"/>
          <w:sz w:val="18"/>
          <w:szCs w:val="18"/>
        </w:rPr>
      </w:pPr>
    </w:p>
    <w:p w14:paraId="50546A38" w14:textId="77777777" w:rsidR="00244248" w:rsidRDefault="00244248" w:rsidP="00244248">
      <w:pPr>
        <w:rPr>
          <w:i/>
          <w:iCs/>
          <w:color w:val="44546A" w:themeColor="text2"/>
          <w:sz w:val="18"/>
          <w:szCs w:val="18"/>
        </w:rPr>
        <w:sectPr w:rsidR="00244248" w:rsidSect="00335B25">
          <w:footerReference w:type="default" r:id="rId56"/>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244248" w14:paraId="4B58CCE3" w14:textId="77777777" w:rsidTr="00335B25">
        <w:tc>
          <w:tcPr>
            <w:tcW w:w="6974" w:type="dxa"/>
          </w:tcPr>
          <w:p w14:paraId="517BD503" w14:textId="43D141DF" w:rsidR="00244248" w:rsidRDefault="00244248" w:rsidP="00335B25">
            <w:pPr>
              <w:pStyle w:val="Caption"/>
              <w:keepNext/>
            </w:pPr>
            <w:r>
              <w:lastRenderedPageBreak/>
              <w:t xml:space="preserve">Figure </w:t>
            </w:r>
            <w:fldSimple w:instr=" SEQ Figure \* ARABIC ">
              <w:r w:rsidR="00115E22">
                <w:rPr>
                  <w:noProof/>
                </w:rPr>
                <w:t>36</w:t>
              </w:r>
            </w:fldSimple>
            <w:r>
              <w:t xml:space="preserve"> Paid Paternity Leave- Probability of new birth, by treatment and control groups</w:t>
            </w:r>
          </w:p>
          <w:p w14:paraId="16A7B8CC" w14:textId="77777777" w:rsidR="00244248" w:rsidRDefault="00244248" w:rsidP="00335B25">
            <w:r w:rsidRPr="006E03EF">
              <w:rPr>
                <w:noProof/>
                <w:lang w:eastAsia="en-AU"/>
              </w:rPr>
              <w:drawing>
                <wp:inline distT="0" distB="0" distL="0" distR="0" wp14:anchorId="753C6BFE" wp14:editId="2A07F0D3">
                  <wp:extent cx="3316671" cy="241212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25521" cy="2418560"/>
                          </a:xfrm>
                          <a:prstGeom prst="rect">
                            <a:avLst/>
                          </a:prstGeom>
                          <a:noFill/>
                          <a:ln>
                            <a:noFill/>
                          </a:ln>
                        </pic:spPr>
                      </pic:pic>
                    </a:graphicData>
                  </a:graphic>
                </wp:inline>
              </w:drawing>
            </w:r>
          </w:p>
        </w:tc>
        <w:tc>
          <w:tcPr>
            <w:tcW w:w="6974" w:type="dxa"/>
          </w:tcPr>
          <w:p w14:paraId="3B692262" w14:textId="77777777" w:rsidR="00244248" w:rsidRDefault="00244248" w:rsidP="00335B25">
            <w:r>
              <w:rPr>
                <w:noProof/>
                <w:lang w:eastAsia="en-AU"/>
              </w:rPr>
              <mc:AlternateContent>
                <mc:Choice Requires="wps">
                  <w:drawing>
                    <wp:anchor distT="0" distB="0" distL="114300" distR="114300" simplePos="0" relativeHeight="251658273" behindDoc="0" locked="0" layoutInCell="1" allowOverlap="1" wp14:anchorId="0DAEAABE" wp14:editId="00D8F792">
                      <wp:simplePos x="0" y="0"/>
                      <wp:positionH relativeFrom="column">
                        <wp:posOffset>169545</wp:posOffset>
                      </wp:positionH>
                      <wp:positionV relativeFrom="paragraph">
                        <wp:posOffset>0</wp:posOffset>
                      </wp:positionV>
                      <wp:extent cx="4002405" cy="2673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4002405" cy="267335"/>
                              </a:xfrm>
                              <a:prstGeom prst="rect">
                                <a:avLst/>
                              </a:prstGeom>
                              <a:solidFill>
                                <a:prstClr val="white"/>
                              </a:solidFill>
                              <a:ln>
                                <a:noFill/>
                              </a:ln>
                            </wps:spPr>
                            <wps:txbx>
                              <w:txbxContent>
                                <w:p w14:paraId="61A5AD02" w14:textId="1983FF88" w:rsidR="00C33FAA" w:rsidRPr="009D2E24" w:rsidRDefault="00C33FAA" w:rsidP="00244248">
                                  <w:pPr>
                                    <w:pStyle w:val="Caption"/>
                                    <w:rPr>
                                      <w:noProof/>
                                      <w:sz w:val="24"/>
                                      <w:szCs w:val="24"/>
                                      <w:lang w:val="en-GB"/>
                                    </w:rPr>
                                  </w:pPr>
                                  <w:r>
                                    <w:t xml:space="preserve">Figure </w:t>
                                  </w:r>
                                  <w:fldSimple w:instr=" SEQ Figure \* ARABIC ">
                                    <w:r w:rsidR="00115E22">
                                      <w:rPr>
                                        <w:noProof/>
                                      </w:rPr>
                                      <w:t>37</w:t>
                                    </w:r>
                                  </w:fldSimple>
                                  <w:r>
                                    <w:t xml:space="preserve"> </w:t>
                                  </w:r>
                                  <w:r w:rsidRPr="00F523B5">
                                    <w:t xml:space="preserve">- </w:t>
                                  </w:r>
                                  <w:r>
                                    <w:t>Paid Paternity Leave</w:t>
                                  </w:r>
                                  <w:r w:rsidDel="006E03EF">
                                    <w:t xml:space="preserve"> </w:t>
                                  </w:r>
                                  <w:r>
                                    <w:t xml:space="preserve">-Childbearing desires </w:t>
                                  </w:r>
                                  <w:r w:rsidRPr="00F523B5">
                                    <w:t>by treatment and control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AABE" id="Text Box 16" o:spid="_x0000_s1081" type="#_x0000_t202" style="position:absolute;margin-left:13.35pt;margin-top:0;width:315.15pt;height:21.0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" stroked="f">
                      <v:textbox inset="0,0,0,0">
                        <w:txbxContent>
                          <w:p w14:paraId="61A5AD02" w14:textId="1983FF88" w:rsidR="00C33FAA" w:rsidRPr="009D2E24" w:rsidRDefault="00C33FAA" w:rsidP="00244248">
                            <w:pPr>
                              <w:pStyle w:val="Caption"/>
                              <w:rPr>
                                <w:noProof/>
                                <w:sz w:val="24"/>
                                <w:szCs w:val="24"/>
                                <w:lang w:val="en-GB"/>
                              </w:rPr>
                            </w:pPr>
                            <w:r>
                              <w:t xml:space="preserve">Figure </w:t>
                            </w:r>
                            <w:r w:rsidR="00166A92">
                              <w:fldChar w:fldCharType="begin"/>
                            </w:r>
                            <w:r w:rsidR="00166A92">
                              <w:instrText xml:space="preserve"> SEQ Figure \* ARABIC </w:instrText>
                            </w:r>
                            <w:r w:rsidR="00166A92">
                              <w:fldChar w:fldCharType="separate"/>
                            </w:r>
                            <w:r w:rsidR="00115E22">
                              <w:rPr>
                                <w:noProof/>
                              </w:rPr>
                              <w:t>37</w:t>
                            </w:r>
                            <w:r w:rsidR="00166A92">
                              <w:rPr>
                                <w:noProof/>
                              </w:rPr>
                              <w:fldChar w:fldCharType="end"/>
                            </w:r>
                            <w:r>
                              <w:t xml:space="preserve"> </w:t>
                            </w:r>
                            <w:r w:rsidRPr="00F523B5">
                              <w:t xml:space="preserve">- </w:t>
                            </w:r>
                            <w:r>
                              <w:t>Paid Paternity Leave</w:t>
                            </w:r>
                            <w:r w:rsidDel="006E03EF">
                              <w:t xml:space="preserve"> </w:t>
                            </w:r>
                            <w:r>
                              <w:t xml:space="preserve">-Childbearing desires </w:t>
                            </w:r>
                            <w:r w:rsidRPr="00F523B5">
                              <w:t>by treatment and control group</w:t>
                            </w:r>
                          </w:p>
                        </w:txbxContent>
                      </v:textbox>
                      <w10:wrap type="topAndBottom"/>
                    </v:shape>
                  </w:pict>
                </mc:Fallback>
              </mc:AlternateContent>
            </w:r>
            <w:r w:rsidRPr="006E03EF">
              <w:rPr>
                <w:noProof/>
                <w:lang w:eastAsia="en-AU"/>
              </w:rPr>
              <w:drawing>
                <wp:inline distT="0" distB="0" distL="0" distR="0" wp14:anchorId="1E9E4687" wp14:editId="39045C25">
                  <wp:extent cx="3389587" cy="2465154"/>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97376" cy="2470819"/>
                          </a:xfrm>
                          <a:prstGeom prst="rect">
                            <a:avLst/>
                          </a:prstGeom>
                          <a:noFill/>
                          <a:ln>
                            <a:noFill/>
                          </a:ln>
                        </pic:spPr>
                      </pic:pic>
                    </a:graphicData>
                  </a:graphic>
                </wp:inline>
              </w:drawing>
            </w:r>
            <w:r w:rsidRPr="006E03EF">
              <w:t xml:space="preserve"> </w:t>
            </w:r>
          </w:p>
        </w:tc>
      </w:tr>
      <w:tr w:rsidR="00244248" w14:paraId="0D3ED5C8" w14:textId="77777777" w:rsidTr="00335B25">
        <w:trPr>
          <w:trHeight w:val="3851"/>
        </w:trPr>
        <w:tc>
          <w:tcPr>
            <w:tcW w:w="6974" w:type="dxa"/>
          </w:tcPr>
          <w:p w14:paraId="28B8FEA7" w14:textId="367AC5DB" w:rsidR="00244248" w:rsidRDefault="00244248" w:rsidP="00335B25">
            <w:pPr>
              <w:pStyle w:val="Caption"/>
              <w:keepNext/>
            </w:pPr>
            <w:r>
              <w:t xml:space="preserve">Figure </w:t>
            </w:r>
            <w:fldSimple w:instr=" SEQ Figure \* ARABIC ">
              <w:r w:rsidR="00115E22">
                <w:rPr>
                  <w:noProof/>
                </w:rPr>
                <w:t>38</w:t>
              </w:r>
            </w:fldSimple>
            <w:r>
              <w:t xml:space="preserve"> Paid Paternity Leave -Childbearing expectation, by treatment and control group</w:t>
            </w:r>
          </w:p>
          <w:p w14:paraId="5C0E0C81" w14:textId="77777777" w:rsidR="00244248" w:rsidRPr="00FD3E05" w:rsidRDefault="00244248" w:rsidP="00335B25">
            <w:r w:rsidRPr="006E03EF">
              <w:rPr>
                <w:noProof/>
                <w:lang w:eastAsia="en-AU"/>
              </w:rPr>
              <w:drawing>
                <wp:inline distT="0" distB="0" distL="0" distR="0" wp14:anchorId="774FD822" wp14:editId="4D238D08">
                  <wp:extent cx="3704897" cy="26944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12090" cy="2699702"/>
                          </a:xfrm>
                          <a:prstGeom prst="rect">
                            <a:avLst/>
                          </a:prstGeom>
                          <a:noFill/>
                          <a:ln>
                            <a:noFill/>
                          </a:ln>
                        </pic:spPr>
                      </pic:pic>
                    </a:graphicData>
                  </a:graphic>
                </wp:inline>
              </w:drawing>
            </w:r>
          </w:p>
        </w:tc>
        <w:tc>
          <w:tcPr>
            <w:tcW w:w="6974" w:type="dxa"/>
          </w:tcPr>
          <w:p w14:paraId="2202A7C7" w14:textId="557D9E62" w:rsidR="00244248" w:rsidRDefault="00244248" w:rsidP="00335B25">
            <w:pPr>
              <w:pStyle w:val="Caption"/>
              <w:keepNext/>
            </w:pPr>
            <w:r>
              <w:t xml:space="preserve">Figure </w:t>
            </w:r>
            <w:fldSimple w:instr=" SEQ Figure \* ARABIC ">
              <w:r w:rsidR="00115E22">
                <w:rPr>
                  <w:noProof/>
                </w:rPr>
                <w:t>39</w:t>
              </w:r>
            </w:fldSimple>
            <w:r>
              <w:t xml:space="preserve"> Paid Paternity Leave- Additionally intended children- </w:t>
            </w:r>
            <w:r w:rsidRPr="00622B3A">
              <w:t xml:space="preserve"> by treatment and control group</w:t>
            </w:r>
          </w:p>
          <w:p w14:paraId="5AEB3AE2" w14:textId="77777777" w:rsidR="00244248" w:rsidRPr="00FD3E05" w:rsidRDefault="00244248" w:rsidP="00335B25">
            <w:r w:rsidRPr="00F9169E">
              <w:rPr>
                <w:noProof/>
                <w:lang w:eastAsia="en-AU"/>
              </w:rPr>
              <w:drawing>
                <wp:inline distT="0" distB="0" distL="0" distR="0" wp14:anchorId="67E64F55" wp14:editId="097E7182">
                  <wp:extent cx="3515711" cy="255688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22030" cy="2561476"/>
                          </a:xfrm>
                          <a:prstGeom prst="rect">
                            <a:avLst/>
                          </a:prstGeom>
                          <a:noFill/>
                          <a:ln>
                            <a:noFill/>
                          </a:ln>
                        </pic:spPr>
                      </pic:pic>
                    </a:graphicData>
                  </a:graphic>
                </wp:inline>
              </w:drawing>
            </w:r>
          </w:p>
        </w:tc>
      </w:tr>
    </w:tbl>
    <w:p w14:paraId="3E9C1FCA" w14:textId="77777777" w:rsidR="00244248" w:rsidRDefault="00244248" w:rsidP="00244248">
      <w:pPr>
        <w:keepNext/>
        <w:widowControl w:val="0"/>
        <w:autoSpaceDE w:val="0"/>
        <w:autoSpaceDN w:val="0"/>
        <w:adjustRightInd w:val="0"/>
        <w:spacing w:after="0" w:line="240" w:lineRule="auto"/>
        <w:rPr>
          <w:rFonts w:ascii="Tw Cen MT Condensed" w:hAnsi="Tw Cen MT Condensed"/>
          <w:sz w:val="28"/>
          <w:szCs w:val="28"/>
        </w:rPr>
        <w:sectPr w:rsidR="00244248" w:rsidSect="00335B25">
          <w:pgSz w:w="16838" w:h="11906" w:orient="landscape"/>
          <w:pgMar w:top="1440" w:right="1440" w:bottom="1440" w:left="1440" w:header="708" w:footer="708" w:gutter="0"/>
          <w:cols w:space="708"/>
          <w:docGrid w:linePitch="360"/>
        </w:sectPr>
      </w:pPr>
    </w:p>
    <w:p w14:paraId="6CE7F558" w14:textId="6317AD8F" w:rsidR="00244248" w:rsidRDefault="00244248" w:rsidP="00244248">
      <w:r>
        <w:lastRenderedPageBreak/>
        <w:t xml:space="preserve">Table </w:t>
      </w:r>
      <w:r w:rsidR="00FB68F0">
        <w:t>33</w:t>
      </w:r>
      <w:r>
        <w:t xml:space="preserve"> presents the results for four fertility outcomes: births, childbearing desires, childbearing expectations and intended number of children.  Column 1 presents unconditional OLS estimation including year and state fixed effects only. Column 2 adds time varying and non-time-varying demographic controls to the regression. Columns 3 and 4 are similar to Columns 1 and 2 but with individual fixed effects added. </w:t>
      </w:r>
      <w:r w:rsidR="007235F6">
        <w:t>The results show</w:t>
      </w:r>
      <w:r w:rsidR="00F54FFB">
        <w:t xml:space="preserve"> an estimated 3% increase in the difference between births of the treatment group </w:t>
      </w:r>
      <w:r w:rsidR="00F54FFB">
        <w:rPr>
          <w:lang w:eastAsia="en-GB"/>
        </w:rPr>
        <w:t>compared to the control group</w:t>
      </w:r>
      <w:r w:rsidR="00F54FFB">
        <w:t xml:space="preserve">, but this is due to a decline in births </w:t>
      </w:r>
      <w:r w:rsidR="004D5B81">
        <w:t>in</w:t>
      </w:r>
      <w:r w:rsidR="00F54FFB">
        <w:t xml:space="preserve"> the control group rather than an increase in births </w:t>
      </w:r>
      <w:r w:rsidR="004D5B81">
        <w:t>for</w:t>
      </w:r>
      <w:r w:rsidR="00F54FFB">
        <w:t xml:space="preserve"> the treatment group</w:t>
      </w:r>
      <w:r w:rsidR="007235F6">
        <w:t xml:space="preserve"> following the introduction of DaPP (column 4).</w:t>
      </w:r>
    </w:p>
    <w:p w14:paraId="5EB53069" w14:textId="133EEECA" w:rsidR="00244248" w:rsidRPr="00985827"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680F090E" w14:textId="6E205E39" w:rsidR="00244248" w:rsidRDefault="00244248" w:rsidP="00244248">
      <w:pPr>
        <w:pStyle w:val="Caption"/>
        <w:keepNext/>
      </w:pPr>
      <w:bookmarkStart w:id="192" w:name="_Ref83982557"/>
      <w:r>
        <w:t xml:space="preserve">Table </w:t>
      </w:r>
      <w:fldSimple w:instr=" SEQ Table \* ARABIC ">
        <w:r w:rsidR="00115E22">
          <w:rPr>
            <w:noProof/>
          </w:rPr>
          <w:t>33</w:t>
        </w:r>
      </w:fldSimple>
      <w:bookmarkEnd w:id="192"/>
      <w:r>
        <w:t xml:space="preserve"> </w:t>
      </w:r>
      <w:r w:rsidRPr="00FA731D">
        <w:t xml:space="preserve">Effect of </w:t>
      </w:r>
      <w:r w:rsidR="007235F6">
        <w:t xml:space="preserve">DaPP </w:t>
      </w:r>
      <w:r w:rsidRPr="00FA731D">
        <w:t xml:space="preserve"> on selected fertility outcomes: DiD estimates</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DE6E2E" w14:paraId="2C662430" w14:textId="77777777" w:rsidTr="00335B25">
        <w:tc>
          <w:tcPr>
            <w:tcW w:w="2977" w:type="dxa"/>
            <w:tcBorders>
              <w:top w:val="single" w:sz="4" w:space="0" w:color="auto"/>
              <w:left w:val="nil"/>
              <w:bottom w:val="nil"/>
              <w:right w:val="nil"/>
            </w:tcBorders>
            <w:shd w:val="clear" w:color="auto" w:fill="FBE4D5" w:themeFill="accent2" w:themeFillTint="33"/>
          </w:tcPr>
          <w:p w14:paraId="23DB40EB"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bookmarkStart w:id="193" w:name="_Hlk84924520"/>
          </w:p>
        </w:tc>
        <w:tc>
          <w:tcPr>
            <w:tcW w:w="1531" w:type="dxa"/>
            <w:tcBorders>
              <w:top w:val="single" w:sz="4" w:space="0" w:color="auto"/>
              <w:left w:val="nil"/>
              <w:bottom w:val="nil"/>
              <w:right w:val="nil"/>
            </w:tcBorders>
            <w:shd w:val="clear" w:color="auto" w:fill="FBE4D5" w:themeFill="accent2" w:themeFillTint="33"/>
          </w:tcPr>
          <w:p w14:paraId="2D56414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(1)</w:t>
            </w:r>
          </w:p>
        </w:tc>
        <w:tc>
          <w:tcPr>
            <w:tcW w:w="1417" w:type="dxa"/>
            <w:tcBorders>
              <w:top w:val="single" w:sz="4" w:space="0" w:color="auto"/>
              <w:left w:val="nil"/>
              <w:bottom w:val="nil"/>
              <w:right w:val="nil"/>
            </w:tcBorders>
            <w:shd w:val="clear" w:color="auto" w:fill="FBE4D5" w:themeFill="accent2" w:themeFillTint="33"/>
          </w:tcPr>
          <w:p w14:paraId="611211D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(2)</w:t>
            </w:r>
          </w:p>
        </w:tc>
        <w:tc>
          <w:tcPr>
            <w:tcW w:w="1666" w:type="dxa"/>
            <w:tcBorders>
              <w:top w:val="single" w:sz="4" w:space="0" w:color="auto"/>
              <w:left w:val="nil"/>
              <w:bottom w:val="nil"/>
              <w:right w:val="nil"/>
            </w:tcBorders>
            <w:shd w:val="clear" w:color="auto" w:fill="FBE4D5" w:themeFill="accent2" w:themeFillTint="33"/>
          </w:tcPr>
          <w:p w14:paraId="0D43139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(3)</w:t>
            </w:r>
          </w:p>
        </w:tc>
        <w:tc>
          <w:tcPr>
            <w:tcW w:w="1984" w:type="dxa"/>
            <w:tcBorders>
              <w:top w:val="single" w:sz="4" w:space="0" w:color="auto"/>
              <w:left w:val="nil"/>
              <w:bottom w:val="nil"/>
              <w:right w:val="nil"/>
            </w:tcBorders>
            <w:shd w:val="clear" w:color="auto" w:fill="FBE4D5" w:themeFill="accent2" w:themeFillTint="33"/>
          </w:tcPr>
          <w:p w14:paraId="6152467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(4)</w:t>
            </w:r>
          </w:p>
        </w:tc>
      </w:tr>
      <w:tr w:rsidR="00244248" w:rsidRPr="00DE6E2E" w14:paraId="1877E4AF"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658720EC"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0C06F5A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0209A03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4654347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276CEAC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OLS-fixed effect</w:t>
            </w:r>
          </w:p>
        </w:tc>
      </w:tr>
      <w:tr w:rsidR="00244248" w:rsidRPr="00DE6E2E" w14:paraId="5FAB1A02"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4A8CC1E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Births</w:t>
            </w:r>
          </w:p>
        </w:tc>
        <w:tc>
          <w:tcPr>
            <w:tcW w:w="1531" w:type="dxa"/>
            <w:tcBorders>
              <w:top w:val="single" w:sz="4" w:space="0" w:color="ED7D31" w:themeColor="accent2"/>
              <w:left w:val="nil"/>
              <w:bottom w:val="single" w:sz="4" w:space="0" w:color="ED7D31" w:themeColor="accent2"/>
              <w:right w:val="nil"/>
            </w:tcBorders>
          </w:tcPr>
          <w:p w14:paraId="14F67FF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4F9845E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1FBD9B1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47F3665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52A51FB8" w14:textId="77777777" w:rsidTr="00335B25">
        <w:tc>
          <w:tcPr>
            <w:tcW w:w="2977" w:type="dxa"/>
            <w:tcBorders>
              <w:top w:val="single" w:sz="4" w:space="0" w:color="ED7D31" w:themeColor="accent2"/>
              <w:left w:val="nil"/>
              <w:right w:val="nil"/>
            </w:tcBorders>
          </w:tcPr>
          <w:p w14:paraId="4211B43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3C3B74A0"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-0.002</w:t>
            </w:r>
          </w:p>
        </w:tc>
        <w:tc>
          <w:tcPr>
            <w:tcW w:w="1417" w:type="dxa"/>
            <w:tcBorders>
              <w:top w:val="single" w:sz="4" w:space="0" w:color="ED7D31" w:themeColor="accent2"/>
              <w:left w:val="nil"/>
              <w:right w:val="nil"/>
            </w:tcBorders>
          </w:tcPr>
          <w:p w14:paraId="4FF60560"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0.024*</w:t>
            </w:r>
          </w:p>
        </w:tc>
        <w:tc>
          <w:tcPr>
            <w:tcW w:w="1666" w:type="dxa"/>
            <w:tcBorders>
              <w:top w:val="single" w:sz="4" w:space="0" w:color="ED7D31" w:themeColor="accent2"/>
              <w:left w:val="nil"/>
              <w:right w:val="nil"/>
            </w:tcBorders>
          </w:tcPr>
          <w:p w14:paraId="2C391941"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0.006</w:t>
            </w:r>
          </w:p>
        </w:tc>
        <w:tc>
          <w:tcPr>
            <w:tcW w:w="1984" w:type="dxa"/>
            <w:tcBorders>
              <w:top w:val="single" w:sz="4" w:space="0" w:color="ED7D31" w:themeColor="accent2"/>
              <w:left w:val="nil"/>
              <w:right w:val="nil"/>
            </w:tcBorders>
          </w:tcPr>
          <w:p w14:paraId="258AA33D"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0.033**</w:t>
            </w:r>
          </w:p>
        </w:tc>
      </w:tr>
      <w:tr w:rsidR="00244248" w:rsidRPr="00DE6E2E" w14:paraId="77000960" w14:textId="77777777" w:rsidTr="00335B25">
        <w:tc>
          <w:tcPr>
            <w:tcW w:w="2977" w:type="dxa"/>
            <w:tcBorders>
              <w:top w:val="nil"/>
              <w:left w:val="nil"/>
              <w:right w:val="nil"/>
            </w:tcBorders>
          </w:tcPr>
          <w:p w14:paraId="23BEB76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668EB0EC"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(0.013)</w:t>
            </w:r>
          </w:p>
        </w:tc>
        <w:tc>
          <w:tcPr>
            <w:tcW w:w="1417" w:type="dxa"/>
            <w:tcBorders>
              <w:top w:val="nil"/>
              <w:left w:val="nil"/>
              <w:right w:val="nil"/>
            </w:tcBorders>
          </w:tcPr>
          <w:p w14:paraId="0B264B05"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(0.013)</w:t>
            </w:r>
          </w:p>
        </w:tc>
        <w:tc>
          <w:tcPr>
            <w:tcW w:w="1666" w:type="dxa"/>
            <w:tcBorders>
              <w:top w:val="nil"/>
              <w:left w:val="nil"/>
              <w:right w:val="nil"/>
            </w:tcBorders>
          </w:tcPr>
          <w:p w14:paraId="5718A6E7"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(0.015)</w:t>
            </w:r>
          </w:p>
        </w:tc>
        <w:tc>
          <w:tcPr>
            <w:tcW w:w="1984" w:type="dxa"/>
            <w:tcBorders>
              <w:top w:val="nil"/>
              <w:left w:val="nil"/>
              <w:right w:val="nil"/>
            </w:tcBorders>
          </w:tcPr>
          <w:p w14:paraId="67C7CC93"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(0.015)</w:t>
            </w:r>
          </w:p>
        </w:tc>
      </w:tr>
      <w:tr w:rsidR="00244248" w:rsidRPr="00DE6E2E" w14:paraId="24ECBC53" w14:textId="77777777" w:rsidTr="00335B25">
        <w:tc>
          <w:tcPr>
            <w:tcW w:w="2977" w:type="dxa"/>
            <w:tcBorders>
              <w:left w:val="nil"/>
              <w:right w:val="nil"/>
            </w:tcBorders>
          </w:tcPr>
          <w:p w14:paraId="5774B03E"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left w:val="nil"/>
              <w:right w:val="nil"/>
            </w:tcBorders>
          </w:tcPr>
          <w:p w14:paraId="329A2AD8"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19</w:t>
            </w:r>
            <w:r>
              <w:rPr>
                <w:rFonts w:asciiTheme="majorHAnsi" w:hAnsiTheme="majorHAnsi" w:cstheme="majorHAnsi"/>
                <w:sz w:val="20"/>
                <w:szCs w:val="20"/>
              </w:rPr>
              <w:t>,</w:t>
            </w:r>
            <w:r w:rsidRPr="004C00BF">
              <w:rPr>
                <w:rFonts w:asciiTheme="majorHAnsi" w:hAnsiTheme="majorHAnsi" w:cstheme="majorHAnsi"/>
                <w:sz w:val="20"/>
                <w:szCs w:val="20"/>
              </w:rPr>
              <w:t>881</w:t>
            </w:r>
          </w:p>
        </w:tc>
        <w:tc>
          <w:tcPr>
            <w:tcW w:w="1417" w:type="dxa"/>
            <w:tcBorders>
              <w:left w:val="nil"/>
              <w:right w:val="nil"/>
            </w:tcBorders>
          </w:tcPr>
          <w:p w14:paraId="5F6A5EA8"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19</w:t>
            </w:r>
            <w:r>
              <w:rPr>
                <w:rFonts w:asciiTheme="majorHAnsi" w:hAnsiTheme="majorHAnsi" w:cstheme="majorHAnsi"/>
                <w:sz w:val="20"/>
                <w:szCs w:val="20"/>
              </w:rPr>
              <w:t>,</w:t>
            </w:r>
            <w:r w:rsidRPr="004C00BF">
              <w:rPr>
                <w:rFonts w:asciiTheme="majorHAnsi" w:hAnsiTheme="majorHAnsi" w:cstheme="majorHAnsi"/>
                <w:sz w:val="20"/>
                <w:szCs w:val="20"/>
              </w:rPr>
              <w:t>363</w:t>
            </w:r>
          </w:p>
        </w:tc>
        <w:tc>
          <w:tcPr>
            <w:tcW w:w="1666" w:type="dxa"/>
            <w:tcBorders>
              <w:left w:val="nil"/>
              <w:right w:val="nil"/>
            </w:tcBorders>
          </w:tcPr>
          <w:p w14:paraId="0EBE4A18"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19</w:t>
            </w:r>
            <w:r>
              <w:rPr>
                <w:rFonts w:asciiTheme="majorHAnsi" w:hAnsiTheme="majorHAnsi" w:cstheme="majorHAnsi"/>
                <w:sz w:val="20"/>
                <w:szCs w:val="20"/>
              </w:rPr>
              <w:t>,</w:t>
            </w:r>
            <w:r w:rsidRPr="004C00BF">
              <w:rPr>
                <w:rFonts w:asciiTheme="majorHAnsi" w:hAnsiTheme="majorHAnsi" w:cstheme="majorHAnsi"/>
                <w:sz w:val="20"/>
                <w:szCs w:val="20"/>
              </w:rPr>
              <w:t>881</w:t>
            </w:r>
          </w:p>
        </w:tc>
        <w:tc>
          <w:tcPr>
            <w:tcW w:w="1984" w:type="dxa"/>
            <w:tcBorders>
              <w:left w:val="nil"/>
              <w:right w:val="nil"/>
            </w:tcBorders>
          </w:tcPr>
          <w:p w14:paraId="352D463F" w14:textId="77777777" w:rsidR="00244248" w:rsidRPr="008A4CAA"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19</w:t>
            </w:r>
            <w:r>
              <w:rPr>
                <w:rFonts w:asciiTheme="majorHAnsi" w:hAnsiTheme="majorHAnsi" w:cstheme="majorHAnsi"/>
                <w:sz w:val="20"/>
                <w:szCs w:val="20"/>
              </w:rPr>
              <w:t>,</w:t>
            </w:r>
            <w:r w:rsidRPr="004C00BF">
              <w:rPr>
                <w:rFonts w:asciiTheme="majorHAnsi" w:hAnsiTheme="majorHAnsi" w:cstheme="majorHAnsi"/>
                <w:sz w:val="20"/>
                <w:szCs w:val="20"/>
              </w:rPr>
              <w:t>364</w:t>
            </w:r>
          </w:p>
        </w:tc>
      </w:tr>
      <w:tr w:rsidR="00244248" w:rsidRPr="00DE6E2E" w14:paraId="618E39D2" w14:textId="77777777" w:rsidTr="00335B25">
        <w:trPr>
          <w:trHeight w:val="439"/>
        </w:trPr>
        <w:tc>
          <w:tcPr>
            <w:tcW w:w="2977" w:type="dxa"/>
            <w:tcBorders>
              <w:left w:val="nil"/>
              <w:bottom w:val="single" w:sz="4" w:space="0" w:color="ED7D31" w:themeColor="accent2"/>
              <w:right w:val="nil"/>
            </w:tcBorders>
            <w:vAlign w:val="bottom"/>
          </w:tcPr>
          <w:p w14:paraId="2901830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 xml:space="preserve">Childbearing desire </w:t>
            </w:r>
          </w:p>
        </w:tc>
        <w:tc>
          <w:tcPr>
            <w:tcW w:w="1531" w:type="dxa"/>
            <w:tcBorders>
              <w:left w:val="nil"/>
              <w:bottom w:val="single" w:sz="4" w:space="0" w:color="ED7D31" w:themeColor="accent2"/>
              <w:right w:val="nil"/>
            </w:tcBorders>
          </w:tcPr>
          <w:p w14:paraId="3A0CC3A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16BB30F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2652564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3FC41CB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291ADDCB" w14:textId="77777777" w:rsidTr="00335B25">
        <w:tc>
          <w:tcPr>
            <w:tcW w:w="2977" w:type="dxa"/>
            <w:tcBorders>
              <w:top w:val="single" w:sz="4" w:space="0" w:color="ED7D31" w:themeColor="accent2"/>
              <w:left w:val="nil"/>
              <w:bottom w:val="nil"/>
              <w:right w:val="nil"/>
            </w:tcBorders>
          </w:tcPr>
          <w:p w14:paraId="284D26F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32DCF7B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-0.187</w:t>
            </w:r>
          </w:p>
        </w:tc>
        <w:tc>
          <w:tcPr>
            <w:tcW w:w="1417" w:type="dxa"/>
            <w:tcBorders>
              <w:top w:val="single" w:sz="4" w:space="0" w:color="ED7D31" w:themeColor="accent2"/>
              <w:left w:val="nil"/>
              <w:bottom w:val="nil"/>
              <w:right w:val="nil"/>
            </w:tcBorders>
          </w:tcPr>
          <w:p w14:paraId="62174E5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-0.276*</w:t>
            </w:r>
          </w:p>
        </w:tc>
        <w:tc>
          <w:tcPr>
            <w:tcW w:w="1666" w:type="dxa"/>
            <w:tcBorders>
              <w:top w:val="single" w:sz="4" w:space="0" w:color="ED7D31" w:themeColor="accent2"/>
              <w:left w:val="nil"/>
              <w:bottom w:val="nil"/>
              <w:right w:val="nil"/>
            </w:tcBorders>
          </w:tcPr>
          <w:p w14:paraId="33244D6C"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-0.219</w:t>
            </w:r>
          </w:p>
        </w:tc>
        <w:tc>
          <w:tcPr>
            <w:tcW w:w="1984" w:type="dxa"/>
            <w:tcBorders>
              <w:top w:val="single" w:sz="4" w:space="0" w:color="ED7D31" w:themeColor="accent2"/>
              <w:left w:val="nil"/>
              <w:bottom w:val="nil"/>
              <w:right w:val="nil"/>
            </w:tcBorders>
          </w:tcPr>
          <w:p w14:paraId="12BAF37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-0.256*</w:t>
            </w:r>
          </w:p>
        </w:tc>
      </w:tr>
      <w:tr w:rsidR="00244248" w:rsidRPr="00DE6E2E" w14:paraId="007A7DF7" w14:textId="77777777" w:rsidTr="00335B25">
        <w:tc>
          <w:tcPr>
            <w:tcW w:w="2977" w:type="dxa"/>
            <w:tcBorders>
              <w:top w:val="nil"/>
              <w:left w:val="nil"/>
              <w:right w:val="nil"/>
            </w:tcBorders>
          </w:tcPr>
          <w:p w14:paraId="06BB8C1E"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63FB066E"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(0.166)</w:t>
            </w:r>
          </w:p>
        </w:tc>
        <w:tc>
          <w:tcPr>
            <w:tcW w:w="1417" w:type="dxa"/>
            <w:tcBorders>
              <w:top w:val="nil"/>
              <w:left w:val="nil"/>
              <w:right w:val="nil"/>
            </w:tcBorders>
          </w:tcPr>
          <w:p w14:paraId="30329842"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(0.166)</w:t>
            </w:r>
          </w:p>
        </w:tc>
        <w:tc>
          <w:tcPr>
            <w:tcW w:w="1666" w:type="dxa"/>
            <w:tcBorders>
              <w:top w:val="nil"/>
              <w:left w:val="nil"/>
              <w:right w:val="nil"/>
            </w:tcBorders>
          </w:tcPr>
          <w:p w14:paraId="2007DDD7"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(0.150)</w:t>
            </w:r>
          </w:p>
        </w:tc>
        <w:tc>
          <w:tcPr>
            <w:tcW w:w="1984" w:type="dxa"/>
            <w:tcBorders>
              <w:top w:val="nil"/>
              <w:left w:val="nil"/>
              <w:right w:val="nil"/>
            </w:tcBorders>
          </w:tcPr>
          <w:p w14:paraId="68D64DFB"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(0.152)</w:t>
            </w:r>
          </w:p>
        </w:tc>
      </w:tr>
      <w:tr w:rsidR="00244248" w:rsidRPr="00DE6E2E" w14:paraId="087985E3" w14:textId="77777777" w:rsidTr="00335B25">
        <w:tc>
          <w:tcPr>
            <w:tcW w:w="2977" w:type="dxa"/>
            <w:tcBorders>
              <w:top w:val="nil"/>
              <w:left w:val="nil"/>
              <w:right w:val="nil"/>
            </w:tcBorders>
          </w:tcPr>
          <w:p w14:paraId="763F0FCB"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6C4DDF3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18</w:t>
            </w:r>
            <w:r>
              <w:rPr>
                <w:rFonts w:asciiTheme="majorHAnsi" w:hAnsiTheme="majorHAnsi" w:cstheme="majorHAnsi"/>
                <w:sz w:val="20"/>
                <w:szCs w:val="20"/>
              </w:rPr>
              <w:t>,</w:t>
            </w:r>
            <w:r w:rsidRPr="004C00BF">
              <w:rPr>
                <w:rFonts w:asciiTheme="majorHAnsi" w:hAnsiTheme="majorHAnsi" w:cstheme="majorHAnsi"/>
                <w:sz w:val="20"/>
                <w:szCs w:val="20"/>
              </w:rPr>
              <w:t>484</w:t>
            </w:r>
          </w:p>
        </w:tc>
        <w:tc>
          <w:tcPr>
            <w:tcW w:w="1417" w:type="dxa"/>
            <w:tcBorders>
              <w:top w:val="nil"/>
              <w:left w:val="nil"/>
              <w:right w:val="nil"/>
            </w:tcBorders>
          </w:tcPr>
          <w:p w14:paraId="027A6D0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18</w:t>
            </w:r>
            <w:r>
              <w:rPr>
                <w:rFonts w:asciiTheme="majorHAnsi" w:hAnsiTheme="majorHAnsi" w:cstheme="majorHAnsi"/>
                <w:sz w:val="20"/>
                <w:szCs w:val="20"/>
              </w:rPr>
              <w:t>,</w:t>
            </w:r>
            <w:r w:rsidRPr="004C00BF">
              <w:rPr>
                <w:rFonts w:asciiTheme="majorHAnsi" w:hAnsiTheme="majorHAnsi" w:cstheme="majorHAnsi"/>
                <w:sz w:val="20"/>
                <w:szCs w:val="20"/>
              </w:rPr>
              <w:t>020</w:t>
            </w:r>
          </w:p>
        </w:tc>
        <w:tc>
          <w:tcPr>
            <w:tcW w:w="1666" w:type="dxa"/>
            <w:tcBorders>
              <w:top w:val="nil"/>
              <w:left w:val="nil"/>
              <w:right w:val="nil"/>
            </w:tcBorders>
          </w:tcPr>
          <w:p w14:paraId="2DB6344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18</w:t>
            </w:r>
            <w:r>
              <w:rPr>
                <w:rFonts w:asciiTheme="majorHAnsi" w:hAnsiTheme="majorHAnsi" w:cstheme="majorHAnsi"/>
                <w:sz w:val="20"/>
                <w:szCs w:val="20"/>
              </w:rPr>
              <w:t>,</w:t>
            </w:r>
            <w:r w:rsidRPr="004C00BF">
              <w:rPr>
                <w:rFonts w:asciiTheme="majorHAnsi" w:hAnsiTheme="majorHAnsi" w:cstheme="majorHAnsi"/>
                <w:sz w:val="20"/>
                <w:szCs w:val="20"/>
              </w:rPr>
              <w:t>484</w:t>
            </w:r>
          </w:p>
        </w:tc>
        <w:tc>
          <w:tcPr>
            <w:tcW w:w="1984" w:type="dxa"/>
            <w:tcBorders>
              <w:top w:val="nil"/>
              <w:left w:val="nil"/>
              <w:right w:val="nil"/>
            </w:tcBorders>
          </w:tcPr>
          <w:p w14:paraId="41FFAC1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18</w:t>
            </w:r>
            <w:r>
              <w:rPr>
                <w:rFonts w:asciiTheme="majorHAnsi" w:hAnsiTheme="majorHAnsi" w:cstheme="majorHAnsi"/>
                <w:sz w:val="20"/>
                <w:szCs w:val="20"/>
              </w:rPr>
              <w:t>,</w:t>
            </w:r>
            <w:r w:rsidRPr="004C00BF">
              <w:rPr>
                <w:rFonts w:asciiTheme="majorHAnsi" w:hAnsiTheme="majorHAnsi" w:cstheme="majorHAnsi"/>
                <w:sz w:val="20"/>
                <w:szCs w:val="20"/>
              </w:rPr>
              <w:t>021</w:t>
            </w:r>
          </w:p>
        </w:tc>
      </w:tr>
      <w:tr w:rsidR="00244248" w:rsidRPr="00DE6E2E" w14:paraId="4D9DEC82" w14:textId="77777777" w:rsidTr="00335B25">
        <w:trPr>
          <w:trHeight w:val="457"/>
        </w:trPr>
        <w:tc>
          <w:tcPr>
            <w:tcW w:w="2977" w:type="dxa"/>
            <w:tcBorders>
              <w:left w:val="nil"/>
              <w:bottom w:val="single" w:sz="4" w:space="0" w:color="ED7D31" w:themeColor="accent2"/>
              <w:right w:val="nil"/>
            </w:tcBorders>
            <w:vAlign w:val="center"/>
          </w:tcPr>
          <w:p w14:paraId="39120A4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Childbearing expectation</w:t>
            </w:r>
          </w:p>
        </w:tc>
        <w:tc>
          <w:tcPr>
            <w:tcW w:w="1531" w:type="dxa"/>
            <w:tcBorders>
              <w:left w:val="nil"/>
              <w:bottom w:val="single" w:sz="4" w:space="0" w:color="ED7D31" w:themeColor="accent2"/>
              <w:right w:val="nil"/>
            </w:tcBorders>
          </w:tcPr>
          <w:p w14:paraId="042194E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1759F122"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708453F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1F95B71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356BE90D" w14:textId="77777777" w:rsidTr="00335B25">
        <w:tc>
          <w:tcPr>
            <w:tcW w:w="2977" w:type="dxa"/>
            <w:tcBorders>
              <w:top w:val="single" w:sz="4" w:space="0" w:color="ED7D31" w:themeColor="accent2"/>
              <w:left w:val="nil"/>
              <w:bottom w:val="nil"/>
              <w:right w:val="nil"/>
            </w:tcBorders>
          </w:tcPr>
          <w:p w14:paraId="3E871A6F"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600DDAA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-0.332*</w:t>
            </w:r>
          </w:p>
        </w:tc>
        <w:tc>
          <w:tcPr>
            <w:tcW w:w="1417" w:type="dxa"/>
            <w:tcBorders>
              <w:top w:val="single" w:sz="4" w:space="0" w:color="ED7D31" w:themeColor="accent2"/>
              <w:left w:val="nil"/>
              <w:bottom w:val="nil"/>
              <w:right w:val="nil"/>
            </w:tcBorders>
          </w:tcPr>
          <w:p w14:paraId="0E8B348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-0.333**</w:t>
            </w:r>
          </w:p>
        </w:tc>
        <w:tc>
          <w:tcPr>
            <w:tcW w:w="1666" w:type="dxa"/>
            <w:tcBorders>
              <w:top w:val="single" w:sz="4" w:space="0" w:color="ED7D31" w:themeColor="accent2"/>
              <w:left w:val="nil"/>
              <w:bottom w:val="nil"/>
              <w:right w:val="nil"/>
            </w:tcBorders>
          </w:tcPr>
          <w:p w14:paraId="0D6C024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-0.127</w:t>
            </w:r>
          </w:p>
        </w:tc>
        <w:tc>
          <w:tcPr>
            <w:tcW w:w="1984" w:type="dxa"/>
            <w:tcBorders>
              <w:top w:val="single" w:sz="4" w:space="0" w:color="ED7D31" w:themeColor="accent2"/>
              <w:left w:val="nil"/>
              <w:bottom w:val="nil"/>
              <w:right w:val="nil"/>
            </w:tcBorders>
          </w:tcPr>
          <w:p w14:paraId="03A03DB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-0.156</w:t>
            </w:r>
          </w:p>
        </w:tc>
      </w:tr>
      <w:tr w:rsidR="00244248" w:rsidRPr="00DE6E2E" w14:paraId="1A357278" w14:textId="77777777" w:rsidTr="00335B25">
        <w:tc>
          <w:tcPr>
            <w:tcW w:w="2977" w:type="dxa"/>
            <w:tcBorders>
              <w:top w:val="nil"/>
              <w:left w:val="nil"/>
              <w:bottom w:val="nil"/>
              <w:right w:val="nil"/>
            </w:tcBorders>
          </w:tcPr>
          <w:p w14:paraId="07D8563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11704231"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(0.185)</w:t>
            </w:r>
          </w:p>
        </w:tc>
        <w:tc>
          <w:tcPr>
            <w:tcW w:w="1417" w:type="dxa"/>
            <w:tcBorders>
              <w:top w:val="nil"/>
              <w:left w:val="nil"/>
              <w:bottom w:val="nil"/>
              <w:right w:val="nil"/>
            </w:tcBorders>
          </w:tcPr>
          <w:p w14:paraId="1AA80CD9"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(0.160)</w:t>
            </w:r>
          </w:p>
        </w:tc>
        <w:tc>
          <w:tcPr>
            <w:tcW w:w="1666" w:type="dxa"/>
            <w:tcBorders>
              <w:top w:val="nil"/>
              <w:left w:val="nil"/>
              <w:bottom w:val="nil"/>
              <w:right w:val="nil"/>
            </w:tcBorders>
          </w:tcPr>
          <w:p w14:paraId="3C019967"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(0.143)</w:t>
            </w:r>
          </w:p>
        </w:tc>
        <w:tc>
          <w:tcPr>
            <w:tcW w:w="1984" w:type="dxa"/>
            <w:tcBorders>
              <w:top w:val="nil"/>
              <w:left w:val="nil"/>
              <w:bottom w:val="nil"/>
              <w:right w:val="nil"/>
            </w:tcBorders>
          </w:tcPr>
          <w:p w14:paraId="2466E394"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(0.145)</w:t>
            </w:r>
          </w:p>
        </w:tc>
      </w:tr>
      <w:tr w:rsidR="00244248" w:rsidRPr="00DE6E2E" w14:paraId="194FBC5E" w14:textId="77777777" w:rsidTr="00335B25">
        <w:tc>
          <w:tcPr>
            <w:tcW w:w="2977" w:type="dxa"/>
            <w:tcBorders>
              <w:top w:val="nil"/>
              <w:left w:val="nil"/>
              <w:bottom w:val="nil"/>
              <w:right w:val="nil"/>
            </w:tcBorders>
          </w:tcPr>
          <w:p w14:paraId="0F7526EF"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bottom w:val="nil"/>
              <w:right w:val="nil"/>
            </w:tcBorders>
          </w:tcPr>
          <w:p w14:paraId="1C63614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18</w:t>
            </w:r>
            <w:r>
              <w:rPr>
                <w:rFonts w:asciiTheme="majorHAnsi" w:hAnsiTheme="majorHAnsi" w:cstheme="majorHAnsi"/>
                <w:sz w:val="20"/>
                <w:szCs w:val="20"/>
              </w:rPr>
              <w:t>,</w:t>
            </w:r>
            <w:r w:rsidRPr="004C00BF">
              <w:rPr>
                <w:rFonts w:asciiTheme="majorHAnsi" w:hAnsiTheme="majorHAnsi" w:cstheme="majorHAnsi"/>
                <w:sz w:val="20"/>
                <w:szCs w:val="20"/>
              </w:rPr>
              <w:t>442</w:t>
            </w:r>
          </w:p>
        </w:tc>
        <w:tc>
          <w:tcPr>
            <w:tcW w:w="1417" w:type="dxa"/>
            <w:tcBorders>
              <w:top w:val="nil"/>
              <w:left w:val="nil"/>
              <w:bottom w:val="nil"/>
              <w:right w:val="nil"/>
            </w:tcBorders>
          </w:tcPr>
          <w:p w14:paraId="2B980BC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17</w:t>
            </w:r>
            <w:r>
              <w:rPr>
                <w:rFonts w:asciiTheme="majorHAnsi" w:hAnsiTheme="majorHAnsi" w:cstheme="majorHAnsi"/>
                <w:sz w:val="20"/>
                <w:szCs w:val="20"/>
              </w:rPr>
              <w:t>,</w:t>
            </w:r>
            <w:r w:rsidRPr="004C00BF">
              <w:rPr>
                <w:rFonts w:asciiTheme="majorHAnsi" w:hAnsiTheme="majorHAnsi" w:cstheme="majorHAnsi"/>
                <w:sz w:val="20"/>
                <w:szCs w:val="20"/>
              </w:rPr>
              <w:t>978</w:t>
            </w:r>
          </w:p>
        </w:tc>
        <w:tc>
          <w:tcPr>
            <w:tcW w:w="1666" w:type="dxa"/>
            <w:tcBorders>
              <w:top w:val="nil"/>
              <w:left w:val="nil"/>
              <w:bottom w:val="nil"/>
              <w:right w:val="nil"/>
            </w:tcBorders>
          </w:tcPr>
          <w:p w14:paraId="0308BE7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18</w:t>
            </w:r>
            <w:r>
              <w:rPr>
                <w:rFonts w:asciiTheme="majorHAnsi" w:hAnsiTheme="majorHAnsi" w:cstheme="majorHAnsi"/>
                <w:sz w:val="20"/>
                <w:szCs w:val="20"/>
              </w:rPr>
              <w:t>,</w:t>
            </w:r>
            <w:r w:rsidRPr="004C00BF">
              <w:rPr>
                <w:rFonts w:asciiTheme="majorHAnsi" w:hAnsiTheme="majorHAnsi" w:cstheme="majorHAnsi"/>
                <w:sz w:val="20"/>
                <w:szCs w:val="20"/>
              </w:rPr>
              <w:t>442</w:t>
            </w:r>
          </w:p>
        </w:tc>
        <w:tc>
          <w:tcPr>
            <w:tcW w:w="1984" w:type="dxa"/>
            <w:tcBorders>
              <w:top w:val="nil"/>
              <w:left w:val="nil"/>
              <w:bottom w:val="nil"/>
              <w:right w:val="nil"/>
            </w:tcBorders>
          </w:tcPr>
          <w:p w14:paraId="017FA7A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17</w:t>
            </w:r>
            <w:r>
              <w:rPr>
                <w:rFonts w:asciiTheme="majorHAnsi" w:hAnsiTheme="majorHAnsi" w:cstheme="majorHAnsi"/>
                <w:sz w:val="20"/>
                <w:szCs w:val="20"/>
              </w:rPr>
              <w:t>,</w:t>
            </w:r>
            <w:r w:rsidRPr="004C00BF">
              <w:rPr>
                <w:rFonts w:asciiTheme="majorHAnsi" w:hAnsiTheme="majorHAnsi" w:cstheme="majorHAnsi"/>
                <w:sz w:val="20"/>
                <w:szCs w:val="20"/>
              </w:rPr>
              <w:t>979</w:t>
            </w:r>
          </w:p>
        </w:tc>
      </w:tr>
      <w:tr w:rsidR="00244248" w:rsidRPr="00DE6E2E" w14:paraId="1582ED02" w14:textId="77777777" w:rsidTr="00335B25">
        <w:trPr>
          <w:trHeight w:val="474"/>
        </w:trPr>
        <w:tc>
          <w:tcPr>
            <w:tcW w:w="2977" w:type="dxa"/>
            <w:tcBorders>
              <w:top w:val="nil"/>
              <w:left w:val="nil"/>
              <w:bottom w:val="single" w:sz="4" w:space="0" w:color="ED7D31" w:themeColor="accent2"/>
              <w:right w:val="nil"/>
            </w:tcBorders>
            <w:vAlign w:val="bottom"/>
          </w:tcPr>
          <w:p w14:paraId="22FA0E9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 xml:space="preserve">Intended number of children </w:t>
            </w:r>
          </w:p>
        </w:tc>
        <w:tc>
          <w:tcPr>
            <w:tcW w:w="1531" w:type="dxa"/>
            <w:tcBorders>
              <w:top w:val="nil"/>
              <w:left w:val="nil"/>
              <w:bottom w:val="single" w:sz="4" w:space="0" w:color="ED7D31" w:themeColor="accent2"/>
              <w:right w:val="nil"/>
            </w:tcBorders>
          </w:tcPr>
          <w:p w14:paraId="6E0DFF7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2A0E510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0247101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7B415C6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43170AF6" w14:textId="77777777" w:rsidTr="00335B25">
        <w:tc>
          <w:tcPr>
            <w:tcW w:w="2977" w:type="dxa"/>
            <w:tcBorders>
              <w:top w:val="single" w:sz="4" w:space="0" w:color="ED7D31" w:themeColor="accent2"/>
              <w:left w:val="nil"/>
              <w:right w:val="nil"/>
            </w:tcBorders>
          </w:tcPr>
          <w:p w14:paraId="5ACB2D6E"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3F9ACEA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-0.045</w:t>
            </w:r>
          </w:p>
        </w:tc>
        <w:tc>
          <w:tcPr>
            <w:tcW w:w="1417" w:type="dxa"/>
            <w:tcBorders>
              <w:top w:val="single" w:sz="4" w:space="0" w:color="ED7D31" w:themeColor="accent2"/>
              <w:left w:val="nil"/>
              <w:right w:val="nil"/>
            </w:tcBorders>
          </w:tcPr>
          <w:p w14:paraId="30F6692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-0.027</w:t>
            </w:r>
          </w:p>
        </w:tc>
        <w:tc>
          <w:tcPr>
            <w:tcW w:w="1666" w:type="dxa"/>
            <w:tcBorders>
              <w:top w:val="single" w:sz="4" w:space="0" w:color="ED7D31" w:themeColor="accent2"/>
              <w:left w:val="nil"/>
              <w:right w:val="nil"/>
            </w:tcBorders>
          </w:tcPr>
          <w:p w14:paraId="782DF05C"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-0.040</w:t>
            </w:r>
          </w:p>
        </w:tc>
        <w:tc>
          <w:tcPr>
            <w:tcW w:w="1984" w:type="dxa"/>
            <w:tcBorders>
              <w:top w:val="single" w:sz="4" w:space="0" w:color="ED7D31" w:themeColor="accent2"/>
              <w:left w:val="nil"/>
              <w:right w:val="nil"/>
            </w:tcBorders>
          </w:tcPr>
          <w:p w14:paraId="156AF3C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-0.031</w:t>
            </w:r>
          </w:p>
        </w:tc>
      </w:tr>
      <w:tr w:rsidR="00244248" w:rsidRPr="00DE6E2E" w14:paraId="2D34FEDB" w14:textId="77777777" w:rsidTr="00335B25">
        <w:tc>
          <w:tcPr>
            <w:tcW w:w="2977" w:type="dxa"/>
            <w:tcBorders>
              <w:top w:val="nil"/>
              <w:left w:val="nil"/>
              <w:right w:val="nil"/>
            </w:tcBorders>
          </w:tcPr>
          <w:p w14:paraId="660C47E5"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002F15CE"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(0.050)</w:t>
            </w:r>
          </w:p>
        </w:tc>
        <w:tc>
          <w:tcPr>
            <w:tcW w:w="1417" w:type="dxa"/>
            <w:tcBorders>
              <w:top w:val="nil"/>
              <w:left w:val="nil"/>
              <w:right w:val="nil"/>
            </w:tcBorders>
          </w:tcPr>
          <w:p w14:paraId="29642BBF"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(0.046)</w:t>
            </w:r>
          </w:p>
        </w:tc>
        <w:tc>
          <w:tcPr>
            <w:tcW w:w="1666" w:type="dxa"/>
            <w:tcBorders>
              <w:top w:val="nil"/>
              <w:left w:val="nil"/>
              <w:right w:val="nil"/>
            </w:tcBorders>
          </w:tcPr>
          <w:p w14:paraId="02EF02CD"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(0.042)</w:t>
            </w:r>
          </w:p>
        </w:tc>
        <w:tc>
          <w:tcPr>
            <w:tcW w:w="1984" w:type="dxa"/>
            <w:tcBorders>
              <w:top w:val="nil"/>
              <w:left w:val="nil"/>
              <w:right w:val="nil"/>
            </w:tcBorders>
          </w:tcPr>
          <w:p w14:paraId="264B2E1E" w14:textId="77777777" w:rsidR="00244248" w:rsidRPr="00556560"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(0.043)</w:t>
            </w:r>
          </w:p>
        </w:tc>
      </w:tr>
      <w:tr w:rsidR="00244248" w:rsidRPr="00DE6E2E" w14:paraId="5B9F243C" w14:textId="77777777" w:rsidTr="00335B25">
        <w:tc>
          <w:tcPr>
            <w:tcW w:w="2977" w:type="dxa"/>
            <w:tcBorders>
              <w:top w:val="nil"/>
              <w:left w:val="nil"/>
              <w:right w:val="nil"/>
            </w:tcBorders>
          </w:tcPr>
          <w:p w14:paraId="6521ECC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61846FB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12560</w:t>
            </w:r>
          </w:p>
        </w:tc>
        <w:tc>
          <w:tcPr>
            <w:tcW w:w="1417" w:type="dxa"/>
            <w:tcBorders>
              <w:top w:val="nil"/>
              <w:left w:val="nil"/>
              <w:right w:val="nil"/>
            </w:tcBorders>
          </w:tcPr>
          <w:p w14:paraId="30BFBEB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12250</w:t>
            </w:r>
          </w:p>
        </w:tc>
        <w:tc>
          <w:tcPr>
            <w:tcW w:w="1666" w:type="dxa"/>
            <w:tcBorders>
              <w:top w:val="nil"/>
              <w:left w:val="nil"/>
              <w:right w:val="nil"/>
            </w:tcBorders>
          </w:tcPr>
          <w:p w14:paraId="4705360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12560</w:t>
            </w:r>
          </w:p>
        </w:tc>
        <w:tc>
          <w:tcPr>
            <w:tcW w:w="1984" w:type="dxa"/>
            <w:tcBorders>
              <w:top w:val="nil"/>
              <w:left w:val="nil"/>
              <w:right w:val="nil"/>
            </w:tcBorders>
          </w:tcPr>
          <w:p w14:paraId="2DF6441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12250</w:t>
            </w:r>
          </w:p>
        </w:tc>
      </w:tr>
      <w:tr w:rsidR="00244248" w:rsidRPr="00DE6E2E" w14:paraId="40EAB3DB" w14:textId="77777777" w:rsidTr="00335B25">
        <w:trPr>
          <w:trHeight w:val="385"/>
        </w:trPr>
        <w:tc>
          <w:tcPr>
            <w:tcW w:w="2977" w:type="dxa"/>
            <w:tcBorders>
              <w:left w:val="nil"/>
              <w:bottom w:val="single" w:sz="4" w:space="0" w:color="ED7D31" w:themeColor="accent2"/>
              <w:right w:val="nil"/>
            </w:tcBorders>
            <w:vAlign w:val="bottom"/>
          </w:tcPr>
          <w:p w14:paraId="033DF1A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Model specifications</w:t>
            </w:r>
          </w:p>
        </w:tc>
        <w:tc>
          <w:tcPr>
            <w:tcW w:w="1531" w:type="dxa"/>
            <w:tcBorders>
              <w:left w:val="nil"/>
              <w:bottom w:val="single" w:sz="4" w:space="0" w:color="ED7D31" w:themeColor="accent2"/>
              <w:right w:val="nil"/>
            </w:tcBorders>
          </w:tcPr>
          <w:p w14:paraId="7A6B938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left w:val="nil"/>
              <w:bottom w:val="single" w:sz="4" w:space="0" w:color="ED7D31" w:themeColor="accent2"/>
              <w:right w:val="nil"/>
            </w:tcBorders>
          </w:tcPr>
          <w:p w14:paraId="0C07FE1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29AC5502"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5346099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372BC83A" w14:textId="77777777" w:rsidTr="00335B25">
        <w:tc>
          <w:tcPr>
            <w:tcW w:w="2977" w:type="dxa"/>
            <w:tcBorders>
              <w:top w:val="single" w:sz="4" w:space="0" w:color="ED7D31" w:themeColor="accent2"/>
              <w:left w:val="nil"/>
              <w:bottom w:val="nil"/>
              <w:right w:val="nil"/>
            </w:tcBorders>
          </w:tcPr>
          <w:p w14:paraId="0702B5C6"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Year and State Fixed Effects</w:t>
            </w:r>
          </w:p>
        </w:tc>
        <w:tc>
          <w:tcPr>
            <w:tcW w:w="1531" w:type="dxa"/>
            <w:tcBorders>
              <w:top w:val="single" w:sz="4" w:space="0" w:color="ED7D31" w:themeColor="accent2"/>
              <w:left w:val="nil"/>
              <w:bottom w:val="nil"/>
              <w:right w:val="nil"/>
            </w:tcBorders>
          </w:tcPr>
          <w:p w14:paraId="0E041EE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417" w:type="dxa"/>
            <w:tcBorders>
              <w:top w:val="single" w:sz="4" w:space="0" w:color="ED7D31" w:themeColor="accent2"/>
              <w:left w:val="nil"/>
              <w:bottom w:val="nil"/>
              <w:right w:val="nil"/>
            </w:tcBorders>
          </w:tcPr>
          <w:p w14:paraId="4F228A0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single" w:sz="4" w:space="0" w:color="ED7D31" w:themeColor="accent2"/>
              <w:left w:val="nil"/>
              <w:bottom w:val="nil"/>
              <w:right w:val="nil"/>
            </w:tcBorders>
          </w:tcPr>
          <w:p w14:paraId="7B1680B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single" w:sz="4" w:space="0" w:color="ED7D31" w:themeColor="accent2"/>
              <w:left w:val="nil"/>
              <w:bottom w:val="nil"/>
              <w:right w:val="nil"/>
            </w:tcBorders>
          </w:tcPr>
          <w:p w14:paraId="2954D99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0CD45960" w14:textId="77777777" w:rsidTr="00335B25">
        <w:tc>
          <w:tcPr>
            <w:tcW w:w="2977" w:type="dxa"/>
            <w:tcBorders>
              <w:top w:val="nil"/>
              <w:left w:val="nil"/>
              <w:bottom w:val="nil"/>
              <w:right w:val="nil"/>
            </w:tcBorders>
          </w:tcPr>
          <w:p w14:paraId="25AD1B2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Time-varying Demographics</w:t>
            </w:r>
          </w:p>
        </w:tc>
        <w:tc>
          <w:tcPr>
            <w:tcW w:w="1531" w:type="dxa"/>
            <w:tcBorders>
              <w:top w:val="nil"/>
              <w:left w:val="nil"/>
              <w:bottom w:val="nil"/>
              <w:right w:val="nil"/>
            </w:tcBorders>
          </w:tcPr>
          <w:p w14:paraId="7CF7AF4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nil"/>
              <w:right w:val="nil"/>
            </w:tcBorders>
          </w:tcPr>
          <w:p w14:paraId="450D6B7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bottom w:val="nil"/>
              <w:right w:val="nil"/>
            </w:tcBorders>
          </w:tcPr>
          <w:p w14:paraId="2EE0F1E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bottom w:val="nil"/>
              <w:right w:val="nil"/>
            </w:tcBorders>
          </w:tcPr>
          <w:p w14:paraId="06ABEDF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36C10F75" w14:textId="77777777" w:rsidTr="00335B25">
        <w:tc>
          <w:tcPr>
            <w:tcW w:w="2977" w:type="dxa"/>
            <w:tcBorders>
              <w:top w:val="nil"/>
              <w:left w:val="nil"/>
              <w:right w:val="nil"/>
            </w:tcBorders>
          </w:tcPr>
          <w:p w14:paraId="4975600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Time-invariant Demographics</w:t>
            </w:r>
          </w:p>
        </w:tc>
        <w:tc>
          <w:tcPr>
            <w:tcW w:w="1531" w:type="dxa"/>
            <w:tcBorders>
              <w:top w:val="nil"/>
              <w:left w:val="nil"/>
              <w:right w:val="nil"/>
            </w:tcBorders>
          </w:tcPr>
          <w:p w14:paraId="36F220E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right w:val="nil"/>
            </w:tcBorders>
          </w:tcPr>
          <w:p w14:paraId="01E4D30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right w:val="nil"/>
            </w:tcBorders>
          </w:tcPr>
          <w:p w14:paraId="428155B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right w:val="nil"/>
            </w:tcBorders>
          </w:tcPr>
          <w:p w14:paraId="76C3207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r>
      <w:tr w:rsidR="00244248" w:rsidRPr="00DE6E2E" w14:paraId="6247A3AE" w14:textId="77777777" w:rsidTr="00335B25">
        <w:tc>
          <w:tcPr>
            <w:tcW w:w="2977" w:type="dxa"/>
            <w:tcBorders>
              <w:top w:val="nil"/>
              <w:left w:val="nil"/>
              <w:bottom w:val="single" w:sz="4" w:space="0" w:color="ED7D31" w:themeColor="accent2"/>
              <w:right w:val="nil"/>
            </w:tcBorders>
          </w:tcPr>
          <w:p w14:paraId="277AC52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2BEA7E9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5E06AE9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41647A8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46BD2BD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bl>
    <w:bookmarkEnd w:id="193"/>
    <w:p w14:paraId="715F3C79" w14:textId="77777777" w:rsidR="00244248" w:rsidRPr="00630A65" w:rsidRDefault="00244248" w:rsidP="00244248">
      <w:pPr>
        <w:widowControl w:val="0"/>
        <w:autoSpaceDE w:val="0"/>
        <w:autoSpaceDN w:val="0"/>
        <w:adjustRightInd w:val="0"/>
        <w:spacing w:after="0" w:line="240" w:lineRule="auto"/>
        <w:rPr>
          <w:rFonts w:asciiTheme="majorHAnsi" w:hAnsiTheme="majorHAnsi" w:cstheme="majorHAnsi"/>
          <w:sz w:val="20"/>
          <w:szCs w:val="20"/>
        </w:rPr>
      </w:pPr>
      <w:r w:rsidRPr="00630A65">
        <w:rPr>
          <w:rFonts w:asciiTheme="majorHAnsi" w:hAnsiTheme="majorHAnsi" w:cstheme="majorHAnsi"/>
          <w:sz w:val="20"/>
          <w:szCs w:val="20"/>
        </w:rPr>
        <w:t>* p&lt;0.1, ** p&lt;0.05, *** p&lt;0.01</w:t>
      </w:r>
    </w:p>
    <w:p w14:paraId="6D9FEE3B" w14:textId="77777777" w:rsidR="00244248" w:rsidRPr="006E7DF6" w:rsidRDefault="00244248" w:rsidP="00244248">
      <w:pPr>
        <w:widowControl w:val="0"/>
        <w:autoSpaceDE w:val="0"/>
        <w:autoSpaceDN w:val="0"/>
        <w:adjustRightInd w:val="0"/>
        <w:spacing w:after="0" w:line="240" w:lineRule="auto"/>
      </w:pPr>
    </w:p>
    <w:p w14:paraId="5A5289B3" w14:textId="77777777" w:rsidR="00F54FFB" w:rsidRDefault="00F54FFB" w:rsidP="00E55341"/>
    <w:p w14:paraId="69FEBE9E" w14:textId="7AD5038E" w:rsidR="00E55341" w:rsidRDefault="00E55341" w:rsidP="00E55341">
      <w:r>
        <w:t xml:space="preserve">As an additional check on internal validity, we conducted placebo tests.  In these tests we treat the policy change as happening in every year in the data set and define the treatment and control groups as above.  If parallel trends hold and there are no other confounding factors, we should expect these tests to reveal a positive policy effect in the year of the policy and zero (or statistically insignificant) effects in non-policy change years.  In </w:t>
      </w:r>
      <w:r w:rsidR="004177FF">
        <w:fldChar w:fldCharType="begin"/>
      </w:r>
      <w:r w:rsidR="004177FF">
        <w:instrText xml:space="preserve"> REF _Ref88566238 \h </w:instrText>
      </w:r>
      <w:r w:rsidR="004177FF">
        <w:fldChar w:fldCharType="separate"/>
      </w:r>
      <w:r w:rsidR="00115E22">
        <w:t xml:space="preserve">Figure </w:t>
      </w:r>
      <w:r w:rsidR="00115E22">
        <w:rPr>
          <w:noProof/>
        </w:rPr>
        <w:t>63</w:t>
      </w:r>
      <w:r w:rsidR="004177FF">
        <w:fldChar w:fldCharType="end"/>
      </w:r>
      <w:r w:rsidR="001244DA">
        <w:t xml:space="preserve"> </w:t>
      </w:r>
      <w:r>
        <w:t>in the appendix, we can see that in the years just before and just after the policy change, we also find statistically significant policy effects.  This means that the parallel trends assumption fails to hold in that other unobserved factors are differentially impacting the treatment and control groups.   This casts serious doubt on the internal validity of our estimates.</w:t>
      </w:r>
      <w:r w:rsidR="00223C3A">
        <w:t xml:space="preserve"> The</w:t>
      </w:r>
      <w:r w:rsidR="00C33FAA">
        <w:t xml:space="preserve"> results of this analysis are therefore inconclusive as to </w:t>
      </w:r>
      <w:r w:rsidR="00223C3A">
        <w:t xml:space="preserve">any impact of </w:t>
      </w:r>
      <w:r w:rsidR="00C33FAA">
        <w:t xml:space="preserve">DaPP </w:t>
      </w:r>
      <w:r w:rsidR="00223C3A">
        <w:t>on births.</w:t>
      </w:r>
    </w:p>
    <w:p w14:paraId="67183A07" w14:textId="1E6A4116" w:rsidR="00244248" w:rsidRDefault="00CD7C71" w:rsidP="004C245B">
      <w:pPr>
        <w:rPr>
          <w:rFonts w:asciiTheme="majorHAnsi" w:eastAsiaTheme="majorEastAsia" w:hAnsiTheme="majorHAnsi" w:cstheme="majorBidi"/>
          <w:color w:val="2E74B5" w:themeColor="accent1" w:themeShade="BF"/>
        </w:rPr>
      </w:pPr>
      <w:r>
        <w:lastRenderedPageBreak/>
        <w:t>Identification strategy II (results in appendix) uses a subsample of women who should, in theory, be more affected by their partner’s access to DaPP compared to working women. However, this sample restriction leads to a large sample reduction and less precise estimates.  It also leads to estimates that are not different than zero.  This would seem to cast some doubts on the reliability of the fairly large estimates that we find in this section.</w:t>
      </w:r>
      <w:r w:rsidR="00244248">
        <w:br w:type="page"/>
      </w:r>
    </w:p>
    <w:p w14:paraId="27771A7A" w14:textId="77777777" w:rsidR="00244248" w:rsidRPr="00B009BE" w:rsidRDefault="00244248" w:rsidP="00244248">
      <w:pPr>
        <w:pStyle w:val="Heading2"/>
        <w:rPr>
          <w:sz w:val="32"/>
          <w:szCs w:val="32"/>
        </w:rPr>
      </w:pPr>
      <w:r>
        <w:rPr>
          <w:sz w:val="32"/>
          <w:szCs w:val="32"/>
        </w:rPr>
        <w:lastRenderedPageBreak/>
        <w:t xml:space="preserve">  </w:t>
      </w:r>
      <w:bookmarkStart w:id="194" w:name="_Toc87454655"/>
      <w:bookmarkStart w:id="195" w:name="_Toc98404986"/>
      <w:r w:rsidRPr="00B009BE">
        <w:rPr>
          <w:sz w:val="32"/>
          <w:szCs w:val="32"/>
        </w:rPr>
        <w:t>Policy 4: Family Tax Benefit Reform</w:t>
      </w:r>
      <w:bookmarkEnd w:id="194"/>
      <w:bookmarkEnd w:id="195"/>
      <w:r w:rsidRPr="00B009BE">
        <w:rPr>
          <w:sz w:val="32"/>
          <w:szCs w:val="32"/>
        </w:rPr>
        <w:t xml:space="preserve"> </w:t>
      </w:r>
    </w:p>
    <w:p w14:paraId="1F3F7E6F" w14:textId="77777777" w:rsidR="00244248" w:rsidRDefault="00244248" w:rsidP="00244248"/>
    <w:p w14:paraId="61E22012" w14:textId="77777777" w:rsidR="00244248" w:rsidRPr="00FB68F0" w:rsidRDefault="00244248" w:rsidP="00244248">
      <w:pPr>
        <w:rPr>
          <w:b/>
          <w:bCs/>
          <w:lang w:eastAsia="en-GB"/>
        </w:rPr>
      </w:pPr>
      <w:r w:rsidRPr="00FB68F0">
        <w:rPr>
          <w:b/>
          <w:bCs/>
          <w:lang w:eastAsia="en-GB"/>
        </w:rPr>
        <w:t>Key points</w:t>
      </w:r>
    </w:p>
    <w:p w14:paraId="3AF531C6" w14:textId="77777777" w:rsidR="00244248" w:rsidRDefault="00244248" w:rsidP="00244248">
      <w:pPr>
        <w:pStyle w:val="ListParagraph"/>
        <w:numPr>
          <w:ilvl w:val="0"/>
          <w:numId w:val="36"/>
        </w:numPr>
        <w:jc w:val="both"/>
        <w:rPr>
          <w:lang w:eastAsia="en-GB"/>
        </w:rPr>
      </w:pPr>
      <w:r>
        <w:rPr>
          <w:lang w:eastAsia="en-GB"/>
        </w:rPr>
        <w:t>It is estimated that the change to family tax benefit had an effect of increasing childbearing desires, expectations and intentions</w:t>
      </w:r>
    </w:p>
    <w:p w14:paraId="6B834D99" w14:textId="77777777" w:rsidR="00244248" w:rsidRDefault="00244248" w:rsidP="00244248">
      <w:pPr>
        <w:pStyle w:val="ListParagraph"/>
        <w:numPr>
          <w:ilvl w:val="0"/>
          <w:numId w:val="36"/>
        </w:numPr>
        <w:jc w:val="both"/>
        <w:rPr>
          <w:lang w:eastAsia="en-GB"/>
        </w:rPr>
      </w:pPr>
      <w:r>
        <w:rPr>
          <w:lang w:eastAsia="en-GB"/>
        </w:rPr>
        <w:t>Due to the eligibility of FTB, it is not possible to measure whether it would have an impact on having a birth</w:t>
      </w:r>
    </w:p>
    <w:p w14:paraId="2744CA2A" w14:textId="77777777" w:rsidR="00244248" w:rsidRDefault="00244248" w:rsidP="00244248">
      <w:pPr>
        <w:pBdr>
          <w:bottom w:val="single" w:sz="4" w:space="1" w:color="ED7D31" w:themeColor="accent2"/>
        </w:pBdr>
      </w:pPr>
    </w:p>
    <w:p w14:paraId="150C702C" w14:textId="77777777" w:rsidR="00244248" w:rsidRDefault="00244248" w:rsidP="00244248">
      <w:pPr>
        <w:pBdr>
          <w:bottom w:val="single" w:sz="4" w:space="1" w:color="ED7D31" w:themeColor="accent2"/>
        </w:pBdr>
      </w:pPr>
      <w:r>
        <w:t>From 2004, the taper rate (</w:t>
      </w:r>
      <w:r w:rsidRPr="00396FFD">
        <w:t xml:space="preserve">the rate at which benefits </w:t>
      </w:r>
      <w:r>
        <w:t>a</w:t>
      </w:r>
      <w:r w:rsidRPr="00396FFD">
        <w:t>re reduced as income increases</w:t>
      </w:r>
      <w:r>
        <w:t>) for the income test for Family Tax Benefit-A reduced from 30 per cent to 20 per cent. As such, there is an income implication (albeit small) for families whose taxable income fell into the affected range.</w:t>
      </w:r>
    </w:p>
    <w:p w14:paraId="14E481F6" w14:textId="77777777" w:rsidR="00244248" w:rsidRPr="00F62A9A" w:rsidRDefault="00244248" w:rsidP="00244248">
      <w:pPr>
        <w:pStyle w:val="Heading3"/>
        <w:numPr>
          <w:ilvl w:val="0"/>
          <w:numId w:val="0"/>
        </w:numPr>
        <w:pBdr>
          <w:bottom w:val="single" w:sz="4" w:space="1" w:color="ED7D31" w:themeColor="accent2"/>
        </w:pBdr>
      </w:pPr>
      <w:bookmarkStart w:id="196" w:name="_Toc87454656"/>
      <w:r w:rsidRPr="00F62A9A">
        <w:t>Identification strategies</w:t>
      </w:r>
      <w:bookmarkEnd w:id="196"/>
    </w:p>
    <w:p w14:paraId="1D5A890B" w14:textId="77777777" w:rsidR="00244248" w:rsidRPr="00156230" w:rsidRDefault="00244248" w:rsidP="00244248">
      <w:pPr>
        <w:pStyle w:val="Heading3"/>
        <w:numPr>
          <w:ilvl w:val="0"/>
          <w:numId w:val="0"/>
        </w:numPr>
      </w:pPr>
      <w:bookmarkStart w:id="197" w:name="_Toc87454657"/>
      <w:r w:rsidRPr="00815860">
        <w:t>Identification Strategy I: (considered – included in the appendix)</w:t>
      </w:r>
      <w:bookmarkEnd w:id="197"/>
    </w:p>
    <w:p w14:paraId="35483A32" w14:textId="77777777" w:rsidR="00244248" w:rsidRDefault="00244248" w:rsidP="00244248">
      <w:r>
        <w:t xml:space="preserve">In the first identification strategy, we restrict the sample to FTB-A recipients, set as the treated women those with family taxable income fell into the taper rate affected range and as control women those family taxable fell out of the affected range. </w:t>
      </w:r>
    </w:p>
    <w:p w14:paraId="2EED69C8" w14:textId="77777777" w:rsidR="00244248" w:rsidRPr="00B009BE" w:rsidRDefault="00244248" w:rsidP="00244248">
      <w:pPr>
        <w:pStyle w:val="Heading3"/>
        <w:numPr>
          <w:ilvl w:val="0"/>
          <w:numId w:val="0"/>
        </w:numPr>
      </w:pPr>
      <w:bookmarkStart w:id="198" w:name="_Toc87454658"/>
      <w:bookmarkStart w:id="199" w:name="_Hlk84670973"/>
      <w:r w:rsidRPr="00B009BE">
        <w:t>Identification Strategy II: (preferred – included in the main report)</w:t>
      </w:r>
      <w:bookmarkEnd w:id="198"/>
    </w:p>
    <w:p w14:paraId="64FFDA6C" w14:textId="77777777" w:rsidR="00244248" w:rsidRDefault="00244248" w:rsidP="00244248">
      <w:pPr>
        <w:pBdr>
          <w:bottom w:val="single" w:sz="4" w:space="1" w:color="ED7D31" w:themeColor="accent2"/>
        </w:pBdr>
      </w:pPr>
      <w:r>
        <w:t>The second identification strategy is conducted in the spirit of Gong and Breunig (2014).</w:t>
      </w:r>
      <w:r>
        <w:rPr>
          <w:rStyle w:val="FootnoteReference"/>
        </w:rPr>
        <w:footnoteReference w:id="33"/>
      </w:r>
      <w:r>
        <w:t xml:space="preserve"> The sample is restricted to single childless women and lone mothers, with lone mothers set as the treatment group and single women as control. Since the FTB scheme only applies to families with children, this DiD design draws on the fact that single childless women’s fertility intentions and preferences should not be affected by this change of taper rate. In this strategy, we do not examine the outcome of new births.  </w:t>
      </w:r>
      <w:bookmarkEnd w:id="199"/>
      <w:r>
        <w:t xml:space="preserve"> Instead, we examine stated fertility preferences, specifically childbearing desires, childbearing expectations and number of additional intended children. </w:t>
      </w:r>
    </w:p>
    <w:p w14:paraId="466B46FD" w14:textId="77777777" w:rsidR="00244248" w:rsidRDefault="00244248" w:rsidP="00244248">
      <w:pPr>
        <w:rPr>
          <w:sz w:val="32"/>
          <w:szCs w:val="32"/>
        </w:rPr>
      </w:pPr>
    </w:p>
    <w:p w14:paraId="1C8F2504" w14:textId="77777777" w:rsidR="00244248" w:rsidRPr="006C48CB" w:rsidRDefault="00244248" w:rsidP="00244248">
      <w:pPr>
        <w:pStyle w:val="Heading3"/>
        <w:numPr>
          <w:ilvl w:val="0"/>
          <w:numId w:val="0"/>
        </w:numPr>
        <w:rPr>
          <w:sz w:val="28"/>
          <w:szCs w:val="28"/>
        </w:rPr>
      </w:pPr>
      <w:bookmarkStart w:id="200" w:name="_Toc87454659"/>
      <w:r w:rsidRPr="006C48CB">
        <w:rPr>
          <w:sz w:val="28"/>
          <w:szCs w:val="28"/>
        </w:rPr>
        <w:t>Results</w:t>
      </w:r>
      <w:bookmarkEnd w:id="200"/>
    </w:p>
    <w:p w14:paraId="3A8BBA68" w14:textId="77777777" w:rsidR="00244248" w:rsidRDefault="00244248" w:rsidP="00244248">
      <w:r>
        <w:t xml:space="preserve">For this analysis we include 10,087 observations relating to 3,135 women. Of those 2,357 women are in the control group (single childless) and 778 women are in the treatment group (lone mothers). </w:t>
      </w:r>
    </w:p>
    <w:p w14:paraId="1D7B0B37" w14:textId="77777777" w:rsidR="00244248" w:rsidRPr="002A0385" w:rsidRDefault="00244248" w:rsidP="00244248">
      <w:r>
        <w:t xml:space="preserve">For some analysis, including the fixed effects or intended number of children cases are dropped so the total sample size is lower. </w:t>
      </w:r>
    </w:p>
    <w:p w14:paraId="1469F1E2" w14:textId="77777777" w:rsidR="00244248" w:rsidRDefault="00244248" w:rsidP="00244248">
      <w:r>
        <w:t>The table below shows the descriptive statistics for the treatment and control group.</w:t>
      </w:r>
    </w:p>
    <w:p w14:paraId="3F7127B8" w14:textId="77777777" w:rsidR="00244248" w:rsidRDefault="00244248" w:rsidP="00244248">
      <w:pPr>
        <w:rPr>
          <w:i/>
          <w:iCs/>
          <w:color w:val="44546A" w:themeColor="text2"/>
          <w:sz w:val="18"/>
          <w:szCs w:val="18"/>
        </w:rPr>
      </w:pPr>
      <w:r>
        <w:br w:type="page"/>
      </w:r>
    </w:p>
    <w:p w14:paraId="730D95A8" w14:textId="65FFA40E" w:rsidR="00244248" w:rsidRDefault="00244248" w:rsidP="00244248">
      <w:pPr>
        <w:pStyle w:val="Caption"/>
        <w:keepNext/>
      </w:pPr>
      <w:r>
        <w:lastRenderedPageBreak/>
        <w:t xml:space="preserve">Table </w:t>
      </w:r>
      <w:fldSimple w:instr=" SEQ Table \* ARABIC ">
        <w:r w:rsidR="00115E22">
          <w:rPr>
            <w:noProof/>
          </w:rPr>
          <w:t>34</w:t>
        </w:r>
      </w:fldSimple>
      <w:r>
        <w:t xml:space="preserve"> Descriptive statistics for treatment and control group, FTB analysis. Column % or means</w:t>
      </w:r>
    </w:p>
    <w:tbl>
      <w:tblPr>
        <w:tblW w:w="5245" w:type="dxa"/>
        <w:tblLook w:val="04A0" w:firstRow="1" w:lastRow="0" w:firstColumn="1" w:lastColumn="0" w:noHBand="0" w:noVBand="1"/>
      </w:tblPr>
      <w:tblGrid>
        <w:gridCol w:w="2480"/>
        <w:gridCol w:w="1267"/>
        <w:gridCol w:w="1498"/>
      </w:tblGrid>
      <w:tr w:rsidR="00244248" w:rsidRPr="00A72CE9" w14:paraId="7727205D" w14:textId="77777777" w:rsidTr="00335B25">
        <w:trPr>
          <w:trHeight w:val="20"/>
        </w:trPr>
        <w:tc>
          <w:tcPr>
            <w:tcW w:w="2480"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6B3349BC"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 </w:t>
            </w:r>
          </w:p>
        </w:tc>
        <w:tc>
          <w:tcPr>
            <w:tcW w:w="1267"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29A0AD4E"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b/>
                <w:bCs/>
                <w:color w:val="000000"/>
                <w:sz w:val="20"/>
                <w:szCs w:val="20"/>
                <w:lang w:eastAsia="en-AU"/>
              </w:rPr>
              <w:t>Lone mothers</w:t>
            </w:r>
            <w:r w:rsidRPr="002A0385">
              <w:rPr>
                <w:rFonts w:asciiTheme="majorHAnsi" w:eastAsia="Times New Roman" w:hAnsiTheme="majorHAnsi" w:cstheme="majorHAnsi"/>
                <w:b/>
                <w:bCs/>
                <w:color w:val="000000"/>
                <w:sz w:val="20"/>
                <w:szCs w:val="20"/>
                <w:lang w:eastAsia="en-AU"/>
              </w:rPr>
              <w:t xml:space="preserve"> (treatment)</w:t>
            </w:r>
          </w:p>
        </w:tc>
        <w:tc>
          <w:tcPr>
            <w:tcW w:w="1498"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1425547E"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b/>
                <w:bCs/>
                <w:color w:val="000000"/>
                <w:sz w:val="20"/>
                <w:szCs w:val="20"/>
                <w:lang w:eastAsia="en-AU"/>
              </w:rPr>
              <w:t>Single childless women</w:t>
            </w:r>
            <w:r w:rsidRPr="002A0385">
              <w:rPr>
                <w:rFonts w:asciiTheme="majorHAnsi" w:eastAsia="Times New Roman" w:hAnsiTheme="majorHAnsi" w:cstheme="majorHAnsi"/>
                <w:b/>
                <w:bCs/>
                <w:color w:val="000000"/>
                <w:sz w:val="20"/>
                <w:szCs w:val="20"/>
                <w:lang w:eastAsia="en-AU"/>
              </w:rPr>
              <w:t xml:space="preserve"> (control)</w:t>
            </w:r>
          </w:p>
        </w:tc>
      </w:tr>
      <w:tr w:rsidR="00244248" w:rsidRPr="00A72CE9" w14:paraId="4E5F01E4" w14:textId="77777777" w:rsidTr="00335B25">
        <w:trPr>
          <w:trHeight w:val="113"/>
        </w:trPr>
        <w:tc>
          <w:tcPr>
            <w:tcW w:w="2480" w:type="dxa"/>
            <w:tcBorders>
              <w:top w:val="single" w:sz="4" w:space="0" w:color="ED7D31" w:themeColor="accent2"/>
              <w:left w:val="nil"/>
              <w:bottom w:val="nil"/>
              <w:right w:val="nil"/>
            </w:tcBorders>
            <w:shd w:val="clear" w:color="auto" w:fill="auto"/>
            <w:noWrap/>
            <w:vAlign w:val="bottom"/>
            <w:hideMark/>
          </w:tcPr>
          <w:p w14:paraId="331191A3"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Number of children</w:t>
            </w:r>
          </w:p>
        </w:tc>
        <w:tc>
          <w:tcPr>
            <w:tcW w:w="1267" w:type="dxa"/>
            <w:tcBorders>
              <w:top w:val="single" w:sz="4" w:space="0" w:color="ED7D31" w:themeColor="accent2"/>
              <w:left w:val="nil"/>
              <w:bottom w:val="nil"/>
              <w:right w:val="nil"/>
            </w:tcBorders>
            <w:shd w:val="clear" w:color="auto" w:fill="auto"/>
            <w:noWrap/>
            <w:vAlign w:val="bottom"/>
            <w:hideMark/>
          </w:tcPr>
          <w:p w14:paraId="440CEBD0"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 xml:space="preserve"> </w:t>
            </w:r>
          </w:p>
        </w:tc>
        <w:tc>
          <w:tcPr>
            <w:tcW w:w="1498" w:type="dxa"/>
            <w:tcBorders>
              <w:top w:val="single" w:sz="4" w:space="0" w:color="ED7D31" w:themeColor="accent2"/>
              <w:left w:val="nil"/>
              <w:bottom w:val="nil"/>
              <w:right w:val="nil"/>
            </w:tcBorders>
            <w:shd w:val="clear" w:color="auto" w:fill="auto"/>
            <w:noWrap/>
            <w:vAlign w:val="bottom"/>
            <w:hideMark/>
          </w:tcPr>
          <w:p w14:paraId="3EBF5CFC"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p>
        </w:tc>
      </w:tr>
      <w:tr w:rsidR="00244248" w:rsidRPr="00A72CE9" w14:paraId="67BDAC9F" w14:textId="77777777" w:rsidTr="00335B25">
        <w:trPr>
          <w:trHeight w:val="113"/>
        </w:trPr>
        <w:tc>
          <w:tcPr>
            <w:tcW w:w="2480" w:type="dxa"/>
            <w:tcBorders>
              <w:top w:val="nil"/>
              <w:left w:val="nil"/>
              <w:bottom w:val="nil"/>
              <w:right w:val="nil"/>
            </w:tcBorders>
            <w:shd w:val="clear" w:color="auto" w:fill="auto"/>
            <w:noWrap/>
            <w:vAlign w:val="bottom"/>
            <w:hideMark/>
          </w:tcPr>
          <w:p w14:paraId="2DD87992"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0</w:t>
            </w:r>
          </w:p>
        </w:tc>
        <w:tc>
          <w:tcPr>
            <w:tcW w:w="1267" w:type="dxa"/>
            <w:tcBorders>
              <w:top w:val="nil"/>
              <w:left w:val="nil"/>
              <w:bottom w:val="nil"/>
              <w:right w:val="nil"/>
            </w:tcBorders>
            <w:shd w:val="clear" w:color="auto" w:fill="auto"/>
            <w:noWrap/>
            <w:vAlign w:val="bottom"/>
            <w:hideMark/>
          </w:tcPr>
          <w:p w14:paraId="64BCA589"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w:t>
            </w:r>
          </w:p>
        </w:tc>
        <w:tc>
          <w:tcPr>
            <w:tcW w:w="1498" w:type="dxa"/>
            <w:tcBorders>
              <w:top w:val="nil"/>
              <w:left w:val="nil"/>
              <w:bottom w:val="nil"/>
              <w:right w:val="nil"/>
            </w:tcBorders>
            <w:shd w:val="clear" w:color="auto" w:fill="auto"/>
            <w:noWrap/>
            <w:vAlign w:val="bottom"/>
            <w:hideMark/>
          </w:tcPr>
          <w:p w14:paraId="34276E4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100</w:t>
            </w:r>
          </w:p>
        </w:tc>
      </w:tr>
      <w:tr w:rsidR="00244248" w:rsidRPr="00A72CE9" w14:paraId="23DF4FC7" w14:textId="77777777" w:rsidTr="00335B25">
        <w:trPr>
          <w:trHeight w:val="113"/>
        </w:trPr>
        <w:tc>
          <w:tcPr>
            <w:tcW w:w="2480" w:type="dxa"/>
            <w:tcBorders>
              <w:top w:val="nil"/>
              <w:left w:val="nil"/>
              <w:bottom w:val="nil"/>
              <w:right w:val="nil"/>
            </w:tcBorders>
            <w:shd w:val="clear" w:color="auto" w:fill="auto"/>
            <w:noWrap/>
            <w:vAlign w:val="bottom"/>
            <w:hideMark/>
          </w:tcPr>
          <w:p w14:paraId="72943703"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w:t>
            </w:r>
          </w:p>
        </w:tc>
        <w:tc>
          <w:tcPr>
            <w:tcW w:w="1267" w:type="dxa"/>
            <w:tcBorders>
              <w:top w:val="nil"/>
              <w:left w:val="nil"/>
              <w:bottom w:val="nil"/>
              <w:right w:val="nil"/>
            </w:tcBorders>
            <w:shd w:val="clear" w:color="auto" w:fill="auto"/>
            <w:noWrap/>
            <w:vAlign w:val="bottom"/>
            <w:hideMark/>
          </w:tcPr>
          <w:p w14:paraId="3B0F537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3</w:t>
            </w:r>
            <w:r>
              <w:rPr>
                <w:rFonts w:asciiTheme="majorHAnsi" w:eastAsia="Times New Roman" w:hAnsiTheme="majorHAnsi" w:cstheme="majorHAnsi"/>
                <w:color w:val="000000"/>
                <w:sz w:val="20"/>
                <w:szCs w:val="20"/>
                <w:lang w:eastAsia="en-AU"/>
              </w:rPr>
              <w:t>7</w:t>
            </w:r>
          </w:p>
        </w:tc>
        <w:tc>
          <w:tcPr>
            <w:tcW w:w="1498" w:type="dxa"/>
            <w:tcBorders>
              <w:top w:val="nil"/>
              <w:left w:val="nil"/>
              <w:bottom w:val="nil"/>
              <w:right w:val="nil"/>
            </w:tcBorders>
            <w:shd w:val="clear" w:color="auto" w:fill="auto"/>
            <w:noWrap/>
            <w:vAlign w:val="bottom"/>
            <w:hideMark/>
          </w:tcPr>
          <w:p w14:paraId="5601F34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w:t>
            </w:r>
          </w:p>
        </w:tc>
      </w:tr>
      <w:tr w:rsidR="00244248" w:rsidRPr="00A72CE9" w14:paraId="344A492E" w14:textId="77777777" w:rsidTr="00335B25">
        <w:trPr>
          <w:trHeight w:val="113"/>
        </w:trPr>
        <w:tc>
          <w:tcPr>
            <w:tcW w:w="2480" w:type="dxa"/>
            <w:tcBorders>
              <w:top w:val="nil"/>
              <w:left w:val="nil"/>
              <w:bottom w:val="nil"/>
              <w:right w:val="nil"/>
            </w:tcBorders>
            <w:shd w:val="clear" w:color="auto" w:fill="auto"/>
            <w:noWrap/>
            <w:vAlign w:val="bottom"/>
            <w:hideMark/>
          </w:tcPr>
          <w:p w14:paraId="49043C5D"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w:t>
            </w:r>
          </w:p>
        </w:tc>
        <w:tc>
          <w:tcPr>
            <w:tcW w:w="1267" w:type="dxa"/>
            <w:tcBorders>
              <w:top w:val="nil"/>
              <w:left w:val="nil"/>
              <w:bottom w:val="nil"/>
              <w:right w:val="nil"/>
            </w:tcBorders>
            <w:shd w:val="clear" w:color="auto" w:fill="auto"/>
            <w:noWrap/>
            <w:vAlign w:val="bottom"/>
            <w:hideMark/>
          </w:tcPr>
          <w:p w14:paraId="428CA90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36</w:t>
            </w:r>
          </w:p>
        </w:tc>
        <w:tc>
          <w:tcPr>
            <w:tcW w:w="1498" w:type="dxa"/>
            <w:tcBorders>
              <w:top w:val="nil"/>
              <w:left w:val="nil"/>
              <w:bottom w:val="nil"/>
              <w:right w:val="nil"/>
            </w:tcBorders>
            <w:shd w:val="clear" w:color="auto" w:fill="auto"/>
            <w:noWrap/>
            <w:vAlign w:val="bottom"/>
            <w:hideMark/>
          </w:tcPr>
          <w:p w14:paraId="293D6B4E"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w:t>
            </w:r>
          </w:p>
        </w:tc>
      </w:tr>
      <w:tr w:rsidR="00244248" w:rsidRPr="00A72CE9" w14:paraId="273E0CE0" w14:textId="77777777" w:rsidTr="00335B25">
        <w:trPr>
          <w:trHeight w:val="113"/>
        </w:trPr>
        <w:tc>
          <w:tcPr>
            <w:tcW w:w="2480" w:type="dxa"/>
            <w:tcBorders>
              <w:top w:val="nil"/>
              <w:left w:val="nil"/>
              <w:bottom w:val="nil"/>
              <w:right w:val="nil"/>
            </w:tcBorders>
            <w:shd w:val="clear" w:color="auto" w:fill="auto"/>
            <w:noWrap/>
            <w:vAlign w:val="bottom"/>
            <w:hideMark/>
          </w:tcPr>
          <w:p w14:paraId="20E64C3E"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3+</w:t>
            </w:r>
          </w:p>
        </w:tc>
        <w:tc>
          <w:tcPr>
            <w:tcW w:w="1267" w:type="dxa"/>
            <w:tcBorders>
              <w:top w:val="nil"/>
              <w:left w:val="nil"/>
              <w:bottom w:val="nil"/>
              <w:right w:val="nil"/>
            </w:tcBorders>
            <w:shd w:val="clear" w:color="auto" w:fill="auto"/>
            <w:noWrap/>
            <w:vAlign w:val="bottom"/>
            <w:hideMark/>
          </w:tcPr>
          <w:p w14:paraId="3E07BAE5"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28</w:t>
            </w:r>
          </w:p>
        </w:tc>
        <w:tc>
          <w:tcPr>
            <w:tcW w:w="1498" w:type="dxa"/>
            <w:tcBorders>
              <w:top w:val="nil"/>
              <w:left w:val="nil"/>
              <w:bottom w:val="nil"/>
              <w:right w:val="nil"/>
            </w:tcBorders>
            <w:shd w:val="clear" w:color="auto" w:fill="auto"/>
            <w:noWrap/>
            <w:vAlign w:val="bottom"/>
            <w:hideMark/>
          </w:tcPr>
          <w:p w14:paraId="4999AAE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w:t>
            </w:r>
          </w:p>
        </w:tc>
      </w:tr>
      <w:tr w:rsidR="00244248" w:rsidRPr="00A72CE9" w14:paraId="7A469620" w14:textId="77777777" w:rsidTr="00335B25">
        <w:trPr>
          <w:trHeight w:val="113"/>
        </w:trPr>
        <w:tc>
          <w:tcPr>
            <w:tcW w:w="2480" w:type="dxa"/>
            <w:tcBorders>
              <w:top w:val="nil"/>
              <w:left w:val="nil"/>
              <w:bottom w:val="nil"/>
              <w:right w:val="nil"/>
            </w:tcBorders>
            <w:shd w:val="clear" w:color="auto" w:fill="auto"/>
            <w:noWrap/>
            <w:vAlign w:val="bottom"/>
            <w:hideMark/>
          </w:tcPr>
          <w:p w14:paraId="1280C69E" w14:textId="77777777" w:rsidR="00244248" w:rsidRPr="00A72CE9" w:rsidRDefault="00244248" w:rsidP="00335B25">
            <w:pPr>
              <w:spacing w:after="0" w:line="240" w:lineRule="auto"/>
              <w:rPr>
                <w:rFonts w:asciiTheme="majorHAnsi" w:eastAsia="Times New Roman" w:hAnsiTheme="majorHAnsi" w:cstheme="majorHAnsi"/>
                <w:sz w:val="20"/>
                <w:szCs w:val="20"/>
                <w:lang w:eastAsia="en-AU"/>
              </w:rPr>
            </w:pPr>
          </w:p>
        </w:tc>
        <w:tc>
          <w:tcPr>
            <w:tcW w:w="1267" w:type="dxa"/>
            <w:tcBorders>
              <w:top w:val="nil"/>
              <w:left w:val="nil"/>
              <w:bottom w:val="nil"/>
              <w:right w:val="nil"/>
            </w:tcBorders>
            <w:shd w:val="clear" w:color="auto" w:fill="auto"/>
            <w:noWrap/>
            <w:vAlign w:val="bottom"/>
            <w:hideMark/>
          </w:tcPr>
          <w:p w14:paraId="71505BAF"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32DA42EF"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349DF967" w14:textId="77777777" w:rsidTr="00335B25">
        <w:trPr>
          <w:trHeight w:val="113"/>
        </w:trPr>
        <w:tc>
          <w:tcPr>
            <w:tcW w:w="2480" w:type="dxa"/>
            <w:tcBorders>
              <w:top w:val="nil"/>
              <w:left w:val="nil"/>
              <w:bottom w:val="nil"/>
              <w:right w:val="nil"/>
            </w:tcBorders>
            <w:shd w:val="clear" w:color="auto" w:fill="auto"/>
            <w:noWrap/>
            <w:vAlign w:val="bottom"/>
            <w:hideMark/>
          </w:tcPr>
          <w:p w14:paraId="00FA3886"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Mean age</w:t>
            </w:r>
          </w:p>
        </w:tc>
        <w:tc>
          <w:tcPr>
            <w:tcW w:w="1267" w:type="dxa"/>
            <w:tcBorders>
              <w:top w:val="nil"/>
              <w:left w:val="nil"/>
              <w:bottom w:val="nil"/>
              <w:right w:val="nil"/>
            </w:tcBorders>
            <w:shd w:val="clear" w:color="auto" w:fill="auto"/>
            <w:noWrap/>
            <w:vAlign w:val="bottom"/>
            <w:hideMark/>
          </w:tcPr>
          <w:p w14:paraId="1A57199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25</w:t>
            </w:r>
          </w:p>
        </w:tc>
        <w:tc>
          <w:tcPr>
            <w:tcW w:w="1498" w:type="dxa"/>
            <w:tcBorders>
              <w:top w:val="nil"/>
              <w:left w:val="nil"/>
              <w:bottom w:val="nil"/>
              <w:right w:val="nil"/>
            </w:tcBorders>
            <w:shd w:val="clear" w:color="auto" w:fill="auto"/>
            <w:noWrap/>
            <w:vAlign w:val="bottom"/>
            <w:hideMark/>
          </w:tcPr>
          <w:p w14:paraId="1A7C7B9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3</w:t>
            </w:r>
            <w:r>
              <w:rPr>
                <w:rFonts w:asciiTheme="majorHAnsi" w:eastAsia="Times New Roman" w:hAnsiTheme="majorHAnsi" w:cstheme="majorHAnsi"/>
                <w:color w:val="000000"/>
                <w:sz w:val="20"/>
                <w:szCs w:val="20"/>
                <w:lang w:eastAsia="en-AU"/>
              </w:rPr>
              <w:t>5</w:t>
            </w:r>
          </w:p>
        </w:tc>
      </w:tr>
      <w:tr w:rsidR="00244248" w:rsidRPr="00A72CE9" w14:paraId="478CC1AA" w14:textId="77777777" w:rsidTr="00335B25">
        <w:trPr>
          <w:trHeight w:val="113"/>
        </w:trPr>
        <w:tc>
          <w:tcPr>
            <w:tcW w:w="2480" w:type="dxa"/>
            <w:tcBorders>
              <w:top w:val="nil"/>
              <w:left w:val="nil"/>
              <w:bottom w:val="nil"/>
              <w:right w:val="nil"/>
            </w:tcBorders>
            <w:shd w:val="clear" w:color="auto" w:fill="auto"/>
            <w:noWrap/>
            <w:vAlign w:val="bottom"/>
            <w:hideMark/>
          </w:tcPr>
          <w:p w14:paraId="2B75C6B0"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60541D1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15ED3166"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C6238FC" w14:textId="77777777" w:rsidTr="00335B25">
        <w:trPr>
          <w:trHeight w:val="113"/>
        </w:trPr>
        <w:tc>
          <w:tcPr>
            <w:tcW w:w="2480" w:type="dxa"/>
            <w:tcBorders>
              <w:top w:val="nil"/>
              <w:left w:val="nil"/>
              <w:bottom w:val="nil"/>
              <w:right w:val="nil"/>
            </w:tcBorders>
            <w:shd w:val="clear" w:color="auto" w:fill="auto"/>
            <w:noWrap/>
            <w:vAlign w:val="bottom"/>
            <w:hideMark/>
          </w:tcPr>
          <w:p w14:paraId="7DEE65A7"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Education level</w:t>
            </w:r>
          </w:p>
        </w:tc>
        <w:tc>
          <w:tcPr>
            <w:tcW w:w="1267" w:type="dxa"/>
            <w:tcBorders>
              <w:top w:val="nil"/>
              <w:left w:val="nil"/>
              <w:bottom w:val="nil"/>
              <w:right w:val="nil"/>
            </w:tcBorders>
            <w:shd w:val="clear" w:color="auto" w:fill="auto"/>
            <w:noWrap/>
            <w:vAlign w:val="bottom"/>
            <w:hideMark/>
          </w:tcPr>
          <w:p w14:paraId="3DBEC223"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hideMark/>
          </w:tcPr>
          <w:p w14:paraId="5A2A85F7"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41CE022F" w14:textId="77777777" w:rsidTr="00335B25">
        <w:trPr>
          <w:trHeight w:val="113"/>
        </w:trPr>
        <w:tc>
          <w:tcPr>
            <w:tcW w:w="2480" w:type="dxa"/>
            <w:tcBorders>
              <w:top w:val="nil"/>
              <w:left w:val="nil"/>
              <w:bottom w:val="nil"/>
              <w:right w:val="nil"/>
            </w:tcBorders>
            <w:shd w:val="clear" w:color="auto" w:fill="auto"/>
            <w:noWrap/>
            <w:vAlign w:val="bottom"/>
            <w:hideMark/>
          </w:tcPr>
          <w:p w14:paraId="4F30F6BC"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Bachelor degree or higher</w:t>
            </w:r>
          </w:p>
        </w:tc>
        <w:tc>
          <w:tcPr>
            <w:tcW w:w="1267" w:type="dxa"/>
            <w:tcBorders>
              <w:top w:val="nil"/>
              <w:left w:val="nil"/>
              <w:bottom w:val="nil"/>
              <w:right w:val="nil"/>
            </w:tcBorders>
            <w:shd w:val="clear" w:color="auto" w:fill="auto"/>
            <w:noWrap/>
            <w:vAlign w:val="bottom"/>
            <w:hideMark/>
          </w:tcPr>
          <w:p w14:paraId="2476665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14</w:t>
            </w:r>
          </w:p>
        </w:tc>
        <w:tc>
          <w:tcPr>
            <w:tcW w:w="1498" w:type="dxa"/>
            <w:tcBorders>
              <w:top w:val="nil"/>
              <w:left w:val="nil"/>
              <w:bottom w:val="nil"/>
              <w:right w:val="nil"/>
            </w:tcBorders>
            <w:shd w:val="clear" w:color="auto" w:fill="auto"/>
            <w:noWrap/>
            <w:vAlign w:val="bottom"/>
            <w:hideMark/>
          </w:tcPr>
          <w:p w14:paraId="6D3FC0A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24</w:t>
            </w:r>
          </w:p>
        </w:tc>
      </w:tr>
      <w:tr w:rsidR="00244248" w:rsidRPr="00A72CE9" w14:paraId="4EE0A48C" w14:textId="77777777" w:rsidTr="00335B25">
        <w:trPr>
          <w:trHeight w:val="113"/>
        </w:trPr>
        <w:tc>
          <w:tcPr>
            <w:tcW w:w="2480" w:type="dxa"/>
            <w:tcBorders>
              <w:top w:val="nil"/>
              <w:left w:val="nil"/>
              <w:bottom w:val="nil"/>
              <w:right w:val="nil"/>
            </w:tcBorders>
            <w:shd w:val="clear" w:color="auto" w:fill="auto"/>
            <w:noWrap/>
            <w:vAlign w:val="bottom"/>
            <w:hideMark/>
          </w:tcPr>
          <w:p w14:paraId="17369E51"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Diploma or Certificate III/IV</w:t>
            </w:r>
          </w:p>
        </w:tc>
        <w:tc>
          <w:tcPr>
            <w:tcW w:w="1267" w:type="dxa"/>
            <w:tcBorders>
              <w:top w:val="nil"/>
              <w:left w:val="nil"/>
              <w:bottom w:val="nil"/>
              <w:right w:val="nil"/>
            </w:tcBorders>
            <w:shd w:val="clear" w:color="auto" w:fill="auto"/>
            <w:noWrap/>
            <w:vAlign w:val="bottom"/>
            <w:hideMark/>
          </w:tcPr>
          <w:p w14:paraId="256449B7"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29</w:t>
            </w:r>
          </w:p>
        </w:tc>
        <w:tc>
          <w:tcPr>
            <w:tcW w:w="1498" w:type="dxa"/>
            <w:tcBorders>
              <w:top w:val="nil"/>
              <w:left w:val="nil"/>
              <w:bottom w:val="nil"/>
              <w:right w:val="nil"/>
            </w:tcBorders>
            <w:shd w:val="clear" w:color="auto" w:fill="auto"/>
            <w:noWrap/>
            <w:vAlign w:val="bottom"/>
            <w:hideMark/>
          </w:tcPr>
          <w:p w14:paraId="136CC57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21</w:t>
            </w:r>
          </w:p>
        </w:tc>
      </w:tr>
      <w:tr w:rsidR="00244248" w:rsidRPr="00A72CE9" w14:paraId="32F80538" w14:textId="77777777" w:rsidTr="00335B25">
        <w:trPr>
          <w:trHeight w:val="113"/>
        </w:trPr>
        <w:tc>
          <w:tcPr>
            <w:tcW w:w="2480" w:type="dxa"/>
            <w:tcBorders>
              <w:top w:val="nil"/>
              <w:left w:val="nil"/>
              <w:bottom w:val="nil"/>
              <w:right w:val="nil"/>
            </w:tcBorders>
            <w:shd w:val="clear" w:color="auto" w:fill="auto"/>
            <w:noWrap/>
            <w:vAlign w:val="bottom"/>
            <w:hideMark/>
          </w:tcPr>
          <w:p w14:paraId="1B1576CA"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Year 12</w:t>
            </w:r>
          </w:p>
        </w:tc>
        <w:tc>
          <w:tcPr>
            <w:tcW w:w="1267" w:type="dxa"/>
            <w:tcBorders>
              <w:top w:val="nil"/>
              <w:left w:val="nil"/>
              <w:bottom w:val="nil"/>
              <w:right w:val="nil"/>
            </w:tcBorders>
            <w:shd w:val="clear" w:color="auto" w:fill="auto"/>
            <w:noWrap/>
            <w:vAlign w:val="bottom"/>
            <w:hideMark/>
          </w:tcPr>
          <w:p w14:paraId="217AD46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16</w:t>
            </w:r>
          </w:p>
        </w:tc>
        <w:tc>
          <w:tcPr>
            <w:tcW w:w="1498" w:type="dxa"/>
            <w:tcBorders>
              <w:top w:val="nil"/>
              <w:left w:val="nil"/>
              <w:bottom w:val="nil"/>
              <w:right w:val="nil"/>
            </w:tcBorders>
            <w:shd w:val="clear" w:color="auto" w:fill="auto"/>
            <w:noWrap/>
            <w:vAlign w:val="bottom"/>
            <w:hideMark/>
          </w:tcPr>
          <w:p w14:paraId="0032ABDE"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40</w:t>
            </w:r>
          </w:p>
        </w:tc>
      </w:tr>
      <w:tr w:rsidR="00244248" w:rsidRPr="00A72CE9" w14:paraId="06D92976" w14:textId="77777777" w:rsidTr="00335B25">
        <w:trPr>
          <w:trHeight w:val="113"/>
        </w:trPr>
        <w:tc>
          <w:tcPr>
            <w:tcW w:w="2480" w:type="dxa"/>
            <w:tcBorders>
              <w:top w:val="nil"/>
              <w:left w:val="nil"/>
              <w:bottom w:val="nil"/>
              <w:right w:val="nil"/>
            </w:tcBorders>
            <w:shd w:val="clear" w:color="auto" w:fill="auto"/>
            <w:noWrap/>
            <w:vAlign w:val="bottom"/>
            <w:hideMark/>
          </w:tcPr>
          <w:p w14:paraId="6FECF734"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Year 11 or below</w:t>
            </w:r>
          </w:p>
        </w:tc>
        <w:tc>
          <w:tcPr>
            <w:tcW w:w="1267" w:type="dxa"/>
            <w:tcBorders>
              <w:top w:val="nil"/>
              <w:left w:val="nil"/>
              <w:bottom w:val="nil"/>
              <w:right w:val="nil"/>
            </w:tcBorders>
            <w:shd w:val="clear" w:color="auto" w:fill="auto"/>
            <w:noWrap/>
            <w:vAlign w:val="bottom"/>
            <w:hideMark/>
          </w:tcPr>
          <w:p w14:paraId="70D48784"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41</w:t>
            </w:r>
          </w:p>
        </w:tc>
        <w:tc>
          <w:tcPr>
            <w:tcW w:w="1498" w:type="dxa"/>
            <w:tcBorders>
              <w:top w:val="nil"/>
              <w:left w:val="nil"/>
              <w:bottom w:val="nil"/>
              <w:right w:val="nil"/>
            </w:tcBorders>
            <w:shd w:val="clear" w:color="auto" w:fill="auto"/>
            <w:noWrap/>
            <w:vAlign w:val="bottom"/>
            <w:hideMark/>
          </w:tcPr>
          <w:p w14:paraId="245FB61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15</w:t>
            </w:r>
          </w:p>
        </w:tc>
      </w:tr>
      <w:tr w:rsidR="00244248" w:rsidRPr="00A72CE9" w14:paraId="61F740B4" w14:textId="77777777" w:rsidTr="00335B25">
        <w:trPr>
          <w:trHeight w:val="113"/>
        </w:trPr>
        <w:tc>
          <w:tcPr>
            <w:tcW w:w="2480" w:type="dxa"/>
            <w:tcBorders>
              <w:top w:val="nil"/>
              <w:left w:val="nil"/>
              <w:bottom w:val="nil"/>
              <w:right w:val="nil"/>
            </w:tcBorders>
            <w:shd w:val="clear" w:color="auto" w:fill="auto"/>
            <w:noWrap/>
            <w:vAlign w:val="bottom"/>
            <w:hideMark/>
          </w:tcPr>
          <w:p w14:paraId="54184193"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41987699"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110AAF6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6E3B2C8B" w14:textId="77777777" w:rsidTr="00335B25">
        <w:trPr>
          <w:trHeight w:val="113"/>
        </w:trPr>
        <w:tc>
          <w:tcPr>
            <w:tcW w:w="2480" w:type="dxa"/>
            <w:tcBorders>
              <w:top w:val="nil"/>
              <w:left w:val="nil"/>
              <w:bottom w:val="nil"/>
              <w:right w:val="nil"/>
            </w:tcBorders>
            <w:shd w:val="clear" w:color="auto" w:fill="auto"/>
            <w:noWrap/>
            <w:vAlign w:val="bottom"/>
            <w:hideMark/>
          </w:tcPr>
          <w:p w14:paraId="657A2E20"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Mean household income</w:t>
            </w:r>
          </w:p>
        </w:tc>
        <w:tc>
          <w:tcPr>
            <w:tcW w:w="1267" w:type="dxa"/>
            <w:tcBorders>
              <w:top w:val="nil"/>
              <w:left w:val="nil"/>
              <w:bottom w:val="nil"/>
              <w:right w:val="nil"/>
            </w:tcBorders>
            <w:shd w:val="clear" w:color="auto" w:fill="auto"/>
            <w:noWrap/>
            <w:vAlign w:val="bottom"/>
            <w:hideMark/>
          </w:tcPr>
          <w:p w14:paraId="1B4881AE"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$23</w:t>
            </w:r>
            <w:r w:rsidRPr="002A0385">
              <w:rPr>
                <w:rFonts w:asciiTheme="majorHAnsi" w:eastAsia="Times New Roman" w:hAnsiTheme="majorHAnsi" w:cstheme="majorHAnsi"/>
                <w:color w:val="000000"/>
                <w:sz w:val="20"/>
                <w:szCs w:val="20"/>
                <w:lang w:eastAsia="en-AU"/>
              </w:rPr>
              <w:t>,</w:t>
            </w:r>
            <w:r>
              <w:rPr>
                <w:rFonts w:asciiTheme="majorHAnsi" w:eastAsia="Times New Roman" w:hAnsiTheme="majorHAnsi" w:cstheme="majorHAnsi"/>
                <w:color w:val="000000"/>
                <w:sz w:val="20"/>
                <w:szCs w:val="20"/>
                <w:lang w:eastAsia="en-AU"/>
              </w:rPr>
              <w:t>679</w:t>
            </w:r>
          </w:p>
        </w:tc>
        <w:tc>
          <w:tcPr>
            <w:tcW w:w="1498" w:type="dxa"/>
            <w:tcBorders>
              <w:top w:val="nil"/>
              <w:left w:val="nil"/>
              <w:bottom w:val="nil"/>
              <w:right w:val="nil"/>
            </w:tcBorders>
            <w:shd w:val="clear" w:color="auto" w:fill="auto"/>
            <w:noWrap/>
            <w:vAlign w:val="bottom"/>
            <w:hideMark/>
          </w:tcPr>
          <w:p w14:paraId="47A3B3F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w:t>
            </w:r>
            <w:r w:rsidRPr="00A72CE9">
              <w:rPr>
                <w:rFonts w:asciiTheme="majorHAnsi" w:eastAsia="Times New Roman" w:hAnsiTheme="majorHAnsi" w:cstheme="majorHAnsi"/>
                <w:color w:val="000000"/>
                <w:sz w:val="20"/>
                <w:szCs w:val="20"/>
                <w:lang w:eastAsia="en-AU"/>
              </w:rPr>
              <w:t>80</w:t>
            </w:r>
            <w:r w:rsidRPr="002A0385">
              <w:rPr>
                <w:rFonts w:asciiTheme="majorHAnsi" w:eastAsia="Times New Roman" w:hAnsiTheme="majorHAnsi" w:cstheme="majorHAnsi"/>
                <w:color w:val="000000"/>
                <w:sz w:val="20"/>
                <w:szCs w:val="20"/>
                <w:lang w:eastAsia="en-AU"/>
              </w:rPr>
              <w:t>,</w:t>
            </w:r>
            <w:r>
              <w:rPr>
                <w:rFonts w:asciiTheme="majorHAnsi" w:eastAsia="Times New Roman" w:hAnsiTheme="majorHAnsi" w:cstheme="majorHAnsi"/>
                <w:color w:val="000000"/>
                <w:sz w:val="20"/>
                <w:szCs w:val="20"/>
                <w:lang w:eastAsia="en-AU"/>
              </w:rPr>
              <w:t>520</w:t>
            </w:r>
          </w:p>
        </w:tc>
      </w:tr>
      <w:tr w:rsidR="00244248" w:rsidRPr="00A72CE9" w14:paraId="08EE294C" w14:textId="77777777" w:rsidTr="00335B25">
        <w:trPr>
          <w:trHeight w:val="113"/>
        </w:trPr>
        <w:tc>
          <w:tcPr>
            <w:tcW w:w="2480" w:type="dxa"/>
            <w:tcBorders>
              <w:top w:val="nil"/>
              <w:left w:val="nil"/>
              <w:bottom w:val="nil"/>
              <w:right w:val="nil"/>
            </w:tcBorders>
            <w:shd w:val="clear" w:color="auto" w:fill="auto"/>
            <w:noWrap/>
            <w:vAlign w:val="bottom"/>
            <w:hideMark/>
          </w:tcPr>
          <w:p w14:paraId="6F28C455"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0A00EA31"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60251046"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72A5D811" w14:textId="77777777" w:rsidTr="00335B25">
        <w:trPr>
          <w:trHeight w:val="113"/>
        </w:trPr>
        <w:tc>
          <w:tcPr>
            <w:tcW w:w="2480" w:type="dxa"/>
            <w:tcBorders>
              <w:top w:val="nil"/>
              <w:left w:val="nil"/>
              <w:bottom w:val="nil"/>
              <w:right w:val="nil"/>
            </w:tcBorders>
            <w:shd w:val="clear" w:color="auto" w:fill="auto"/>
            <w:noWrap/>
            <w:vAlign w:val="bottom"/>
            <w:hideMark/>
          </w:tcPr>
          <w:p w14:paraId="33B2F03F"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Country of birth</w:t>
            </w:r>
          </w:p>
        </w:tc>
        <w:tc>
          <w:tcPr>
            <w:tcW w:w="1267" w:type="dxa"/>
            <w:tcBorders>
              <w:top w:val="nil"/>
              <w:left w:val="nil"/>
              <w:bottom w:val="nil"/>
              <w:right w:val="nil"/>
            </w:tcBorders>
            <w:shd w:val="clear" w:color="auto" w:fill="auto"/>
            <w:noWrap/>
            <w:vAlign w:val="bottom"/>
            <w:hideMark/>
          </w:tcPr>
          <w:p w14:paraId="72B77E18"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hideMark/>
          </w:tcPr>
          <w:p w14:paraId="046D5D6D"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73EA9682" w14:textId="77777777" w:rsidTr="00335B25">
        <w:trPr>
          <w:trHeight w:val="113"/>
        </w:trPr>
        <w:tc>
          <w:tcPr>
            <w:tcW w:w="2480" w:type="dxa"/>
            <w:tcBorders>
              <w:top w:val="nil"/>
              <w:left w:val="nil"/>
              <w:bottom w:val="nil"/>
              <w:right w:val="nil"/>
            </w:tcBorders>
            <w:shd w:val="clear" w:color="auto" w:fill="auto"/>
            <w:noWrap/>
            <w:vAlign w:val="bottom"/>
            <w:hideMark/>
          </w:tcPr>
          <w:p w14:paraId="5F5EEA3A"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Born overseas</w:t>
            </w:r>
          </w:p>
        </w:tc>
        <w:tc>
          <w:tcPr>
            <w:tcW w:w="1267" w:type="dxa"/>
            <w:tcBorders>
              <w:top w:val="nil"/>
              <w:left w:val="nil"/>
              <w:bottom w:val="nil"/>
              <w:right w:val="nil"/>
            </w:tcBorders>
            <w:shd w:val="clear" w:color="auto" w:fill="auto"/>
            <w:noWrap/>
            <w:vAlign w:val="bottom"/>
            <w:hideMark/>
          </w:tcPr>
          <w:p w14:paraId="574C9C3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17</w:t>
            </w:r>
          </w:p>
        </w:tc>
        <w:tc>
          <w:tcPr>
            <w:tcW w:w="1498" w:type="dxa"/>
            <w:tcBorders>
              <w:top w:val="nil"/>
              <w:left w:val="nil"/>
              <w:bottom w:val="nil"/>
              <w:right w:val="nil"/>
            </w:tcBorders>
            <w:shd w:val="clear" w:color="auto" w:fill="auto"/>
            <w:noWrap/>
            <w:vAlign w:val="bottom"/>
            <w:hideMark/>
          </w:tcPr>
          <w:p w14:paraId="3110FDEF"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13</w:t>
            </w:r>
          </w:p>
        </w:tc>
      </w:tr>
      <w:tr w:rsidR="00244248" w:rsidRPr="00A72CE9" w14:paraId="5A603A82" w14:textId="77777777" w:rsidTr="00335B25">
        <w:trPr>
          <w:trHeight w:val="113"/>
        </w:trPr>
        <w:tc>
          <w:tcPr>
            <w:tcW w:w="2480" w:type="dxa"/>
            <w:tcBorders>
              <w:top w:val="nil"/>
              <w:left w:val="nil"/>
              <w:bottom w:val="nil"/>
              <w:right w:val="nil"/>
            </w:tcBorders>
            <w:shd w:val="clear" w:color="auto" w:fill="auto"/>
            <w:noWrap/>
            <w:vAlign w:val="bottom"/>
            <w:hideMark/>
          </w:tcPr>
          <w:p w14:paraId="099CED85"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Born in Australia</w:t>
            </w:r>
          </w:p>
        </w:tc>
        <w:tc>
          <w:tcPr>
            <w:tcW w:w="1267" w:type="dxa"/>
            <w:tcBorders>
              <w:top w:val="nil"/>
              <w:left w:val="nil"/>
              <w:bottom w:val="nil"/>
              <w:right w:val="nil"/>
            </w:tcBorders>
            <w:shd w:val="clear" w:color="auto" w:fill="auto"/>
            <w:noWrap/>
            <w:vAlign w:val="bottom"/>
            <w:hideMark/>
          </w:tcPr>
          <w:p w14:paraId="6450B73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83</w:t>
            </w:r>
          </w:p>
        </w:tc>
        <w:tc>
          <w:tcPr>
            <w:tcW w:w="1498" w:type="dxa"/>
            <w:tcBorders>
              <w:top w:val="nil"/>
              <w:left w:val="nil"/>
              <w:bottom w:val="nil"/>
              <w:right w:val="nil"/>
            </w:tcBorders>
            <w:shd w:val="clear" w:color="auto" w:fill="auto"/>
            <w:noWrap/>
            <w:vAlign w:val="bottom"/>
            <w:hideMark/>
          </w:tcPr>
          <w:p w14:paraId="0790D5A1"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87</w:t>
            </w:r>
          </w:p>
        </w:tc>
      </w:tr>
      <w:tr w:rsidR="00244248" w:rsidRPr="00A72CE9" w14:paraId="4B0D2EA8" w14:textId="77777777" w:rsidTr="00335B25">
        <w:trPr>
          <w:trHeight w:val="113"/>
        </w:trPr>
        <w:tc>
          <w:tcPr>
            <w:tcW w:w="2480" w:type="dxa"/>
            <w:tcBorders>
              <w:top w:val="nil"/>
              <w:left w:val="nil"/>
              <w:bottom w:val="nil"/>
              <w:right w:val="nil"/>
            </w:tcBorders>
            <w:shd w:val="clear" w:color="auto" w:fill="auto"/>
            <w:noWrap/>
            <w:vAlign w:val="bottom"/>
            <w:hideMark/>
          </w:tcPr>
          <w:p w14:paraId="38B16FD5"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0A1C19B8"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73136B6D"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52423901" w14:textId="77777777" w:rsidTr="00335B25">
        <w:trPr>
          <w:trHeight w:val="113"/>
        </w:trPr>
        <w:tc>
          <w:tcPr>
            <w:tcW w:w="2480" w:type="dxa"/>
            <w:tcBorders>
              <w:top w:val="nil"/>
              <w:left w:val="nil"/>
              <w:bottom w:val="nil"/>
              <w:right w:val="nil"/>
            </w:tcBorders>
            <w:shd w:val="clear" w:color="auto" w:fill="auto"/>
            <w:noWrap/>
            <w:vAlign w:val="bottom"/>
            <w:hideMark/>
          </w:tcPr>
          <w:p w14:paraId="53C3B8D3"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Employment status</w:t>
            </w:r>
          </w:p>
        </w:tc>
        <w:tc>
          <w:tcPr>
            <w:tcW w:w="1267" w:type="dxa"/>
            <w:tcBorders>
              <w:top w:val="nil"/>
              <w:left w:val="nil"/>
              <w:bottom w:val="nil"/>
              <w:right w:val="nil"/>
            </w:tcBorders>
            <w:shd w:val="clear" w:color="auto" w:fill="auto"/>
            <w:noWrap/>
            <w:vAlign w:val="bottom"/>
            <w:hideMark/>
          </w:tcPr>
          <w:p w14:paraId="16964FAC"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hideMark/>
          </w:tcPr>
          <w:p w14:paraId="1F7B24DF"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717902D9" w14:textId="77777777" w:rsidTr="00335B25">
        <w:trPr>
          <w:trHeight w:val="113"/>
        </w:trPr>
        <w:tc>
          <w:tcPr>
            <w:tcW w:w="2480" w:type="dxa"/>
            <w:tcBorders>
              <w:top w:val="nil"/>
              <w:left w:val="nil"/>
              <w:bottom w:val="nil"/>
              <w:right w:val="nil"/>
            </w:tcBorders>
            <w:shd w:val="clear" w:color="auto" w:fill="auto"/>
            <w:noWrap/>
            <w:vAlign w:val="bottom"/>
            <w:hideMark/>
          </w:tcPr>
          <w:p w14:paraId="5191CBD4"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Permanent ft</w:t>
            </w:r>
          </w:p>
        </w:tc>
        <w:tc>
          <w:tcPr>
            <w:tcW w:w="1267" w:type="dxa"/>
            <w:tcBorders>
              <w:top w:val="nil"/>
              <w:left w:val="nil"/>
              <w:bottom w:val="nil"/>
              <w:right w:val="nil"/>
            </w:tcBorders>
            <w:shd w:val="clear" w:color="auto" w:fill="auto"/>
            <w:noWrap/>
            <w:vAlign w:val="bottom"/>
            <w:hideMark/>
          </w:tcPr>
          <w:p w14:paraId="61457681"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22</w:t>
            </w:r>
          </w:p>
        </w:tc>
        <w:tc>
          <w:tcPr>
            <w:tcW w:w="1498" w:type="dxa"/>
            <w:tcBorders>
              <w:top w:val="nil"/>
              <w:left w:val="nil"/>
              <w:bottom w:val="nil"/>
              <w:right w:val="nil"/>
            </w:tcBorders>
            <w:shd w:val="clear" w:color="auto" w:fill="auto"/>
            <w:noWrap/>
            <w:vAlign w:val="bottom"/>
            <w:hideMark/>
          </w:tcPr>
          <w:p w14:paraId="40E021AF"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40</w:t>
            </w:r>
          </w:p>
        </w:tc>
      </w:tr>
      <w:tr w:rsidR="00244248" w:rsidRPr="00A72CE9" w14:paraId="6A937F56" w14:textId="77777777" w:rsidTr="00335B25">
        <w:trPr>
          <w:trHeight w:val="113"/>
        </w:trPr>
        <w:tc>
          <w:tcPr>
            <w:tcW w:w="2480" w:type="dxa"/>
            <w:tcBorders>
              <w:top w:val="nil"/>
              <w:left w:val="nil"/>
              <w:bottom w:val="nil"/>
              <w:right w:val="nil"/>
            </w:tcBorders>
            <w:shd w:val="clear" w:color="auto" w:fill="auto"/>
            <w:noWrap/>
            <w:vAlign w:val="bottom"/>
            <w:hideMark/>
          </w:tcPr>
          <w:p w14:paraId="4A6F3B96"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Permanent pt</w:t>
            </w:r>
          </w:p>
        </w:tc>
        <w:tc>
          <w:tcPr>
            <w:tcW w:w="1267" w:type="dxa"/>
            <w:tcBorders>
              <w:top w:val="nil"/>
              <w:left w:val="nil"/>
              <w:bottom w:val="nil"/>
              <w:right w:val="nil"/>
            </w:tcBorders>
            <w:shd w:val="clear" w:color="auto" w:fill="auto"/>
            <w:noWrap/>
            <w:vAlign w:val="bottom"/>
            <w:hideMark/>
          </w:tcPr>
          <w:p w14:paraId="284DD3F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13</w:t>
            </w:r>
          </w:p>
        </w:tc>
        <w:tc>
          <w:tcPr>
            <w:tcW w:w="1498" w:type="dxa"/>
            <w:tcBorders>
              <w:top w:val="nil"/>
              <w:left w:val="nil"/>
              <w:bottom w:val="nil"/>
              <w:right w:val="nil"/>
            </w:tcBorders>
            <w:shd w:val="clear" w:color="auto" w:fill="auto"/>
            <w:noWrap/>
            <w:vAlign w:val="bottom"/>
            <w:hideMark/>
          </w:tcPr>
          <w:p w14:paraId="4CC988D7"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9</w:t>
            </w:r>
          </w:p>
        </w:tc>
      </w:tr>
      <w:tr w:rsidR="00244248" w:rsidRPr="00A72CE9" w14:paraId="3D47CDD6" w14:textId="77777777" w:rsidTr="00335B25">
        <w:trPr>
          <w:trHeight w:val="113"/>
        </w:trPr>
        <w:tc>
          <w:tcPr>
            <w:tcW w:w="2480" w:type="dxa"/>
            <w:tcBorders>
              <w:top w:val="nil"/>
              <w:left w:val="nil"/>
              <w:bottom w:val="nil"/>
              <w:right w:val="nil"/>
            </w:tcBorders>
            <w:shd w:val="clear" w:color="auto" w:fill="auto"/>
            <w:noWrap/>
            <w:vAlign w:val="bottom"/>
            <w:hideMark/>
          </w:tcPr>
          <w:p w14:paraId="37890146"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Casual  ft</w:t>
            </w:r>
          </w:p>
        </w:tc>
        <w:tc>
          <w:tcPr>
            <w:tcW w:w="1267" w:type="dxa"/>
            <w:tcBorders>
              <w:top w:val="nil"/>
              <w:left w:val="nil"/>
              <w:bottom w:val="nil"/>
              <w:right w:val="nil"/>
            </w:tcBorders>
            <w:shd w:val="clear" w:color="auto" w:fill="auto"/>
            <w:noWrap/>
            <w:vAlign w:val="bottom"/>
            <w:hideMark/>
          </w:tcPr>
          <w:p w14:paraId="1E02BE03"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3</w:t>
            </w:r>
          </w:p>
        </w:tc>
        <w:tc>
          <w:tcPr>
            <w:tcW w:w="1498" w:type="dxa"/>
            <w:tcBorders>
              <w:top w:val="nil"/>
              <w:left w:val="nil"/>
              <w:bottom w:val="nil"/>
              <w:right w:val="nil"/>
            </w:tcBorders>
            <w:shd w:val="clear" w:color="auto" w:fill="auto"/>
            <w:noWrap/>
            <w:vAlign w:val="bottom"/>
            <w:hideMark/>
          </w:tcPr>
          <w:p w14:paraId="6A403BEC"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6</w:t>
            </w:r>
          </w:p>
        </w:tc>
      </w:tr>
      <w:tr w:rsidR="00244248" w:rsidRPr="00A72CE9" w14:paraId="70F14710" w14:textId="77777777" w:rsidTr="00335B25">
        <w:trPr>
          <w:trHeight w:val="113"/>
        </w:trPr>
        <w:tc>
          <w:tcPr>
            <w:tcW w:w="2480" w:type="dxa"/>
            <w:tcBorders>
              <w:top w:val="nil"/>
              <w:left w:val="nil"/>
              <w:bottom w:val="nil"/>
              <w:right w:val="nil"/>
            </w:tcBorders>
            <w:shd w:val="clear" w:color="auto" w:fill="auto"/>
            <w:noWrap/>
            <w:vAlign w:val="bottom"/>
            <w:hideMark/>
          </w:tcPr>
          <w:p w14:paraId="06B06350"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Casual pt</w:t>
            </w:r>
          </w:p>
        </w:tc>
        <w:tc>
          <w:tcPr>
            <w:tcW w:w="1267" w:type="dxa"/>
            <w:tcBorders>
              <w:top w:val="nil"/>
              <w:left w:val="nil"/>
              <w:bottom w:val="nil"/>
              <w:right w:val="nil"/>
            </w:tcBorders>
            <w:shd w:val="clear" w:color="auto" w:fill="auto"/>
            <w:noWrap/>
            <w:vAlign w:val="bottom"/>
            <w:hideMark/>
          </w:tcPr>
          <w:p w14:paraId="37DE9C0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16</w:t>
            </w:r>
          </w:p>
        </w:tc>
        <w:tc>
          <w:tcPr>
            <w:tcW w:w="1498" w:type="dxa"/>
            <w:tcBorders>
              <w:top w:val="nil"/>
              <w:left w:val="nil"/>
              <w:bottom w:val="nil"/>
              <w:right w:val="nil"/>
            </w:tcBorders>
            <w:shd w:val="clear" w:color="auto" w:fill="auto"/>
            <w:noWrap/>
            <w:vAlign w:val="bottom"/>
            <w:hideMark/>
          </w:tcPr>
          <w:p w14:paraId="72137EB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25</w:t>
            </w:r>
          </w:p>
        </w:tc>
      </w:tr>
      <w:tr w:rsidR="00244248" w:rsidRPr="00A72CE9" w14:paraId="727D86F9" w14:textId="77777777" w:rsidTr="00335B25">
        <w:trPr>
          <w:trHeight w:val="113"/>
        </w:trPr>
        <w:tc>
          <w:tcPr>
            <w:tcW w:w="2480" w:type="dxa"/>
            <w:tcBorders>
              <w:top w:val="nil"/>
              <w:left w:val="nil"/>
              <w:bottom w:val="nil"/>
              <w:right w:val="nil"/>
            </w:tcBorders>
            <w:shd w:val="clear" w:color="auto" w:fill="auto"/>
            <w:noWrap/>
            <w:vAlign w:val="bottom"/>
            <w:hideMark/>
          </w:tcPr>
          <w:p w14:paraId="73401224"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Self-employed</w:t>
            </w:r>
          </w:p>
        </w:tc>
        <w:tc>
          <w:tcPr>
            <w:tcW w:w="1267" w:type="dxa"/>
            <w:tcBorders>
              <w:top w:val="nil"/>
              <w:left w:val="nil"/>
              <w:bottom w:val="nil"/>
              <w:right w:val="nil"/>
            </w:tcBorders>
            <w:shd w:val="clear" w:color="auto" w:fill="auto"/>
            <w:noWrap/>
            <w:vAlign w:val="bottom"/>
            <w:hideMark/>
          </w:tcPr>
          <w:p w14:paraId="7C04ED7B"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3</w:t>
            </w:r>
          </w:p>
        </w:tc>
        <w:tc>
          <w:tcPr>
            <w:tcW w:w="1498" w:type="dxa"/>
            <w:tcBorders>
              <w:top w:val="nil"/>
              <w:left w:val="nil"/>
              <w:bottom w:val="nil"/>
              <w:right w:val="nil"/>
            </w:tcBorders>
            <w:shd w:val="clear" w:color="auto" w:fill="auto"/>
            <w:noWrap/>
            <w:vAlign w:val="bottom"/>
            <w:hideMark/>
          </w:tcPr>
          <w:p w14:paraId="64177201"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w:t>
            </w:r>
          </w:p>
        </w:tc>
      </w:tr>
      <w:tr w:rsidR="00244248" w:rsidRPr="00A72CE9" w14:paraId="1CC2D0C7" w14:textId="77777777" w:rsidTr="00335B25">
        <w:trPr>
          <w:trHeight w:val="113"/>
        </w:trPr>
        <w:tc>
          <w:tcPr>
            <w:tcW w:w="2480" w:type="dxa"/>
            <w:tcBorders>
              <w:top w:val="nil"/>
              <w:left w:val="nil"/>
              <w:bottom w:val="nil"/>
              <w:right w:val="nil"/>
            </w:tcBorders>
            <w:shd w:val="clear" w:color="auto" w:fill="auto"/>
            <w:noWrap/>
            <w:vAlign w:val="bottom"/>
            <w:hideMark/>
          </w:tcPr>
          <w:p w14:paraId="54AFECE7"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Not working</w:t>
            </w:r>
          </w:p>
        </w:tc>
        <w:tc>
          <w:tcPr>
            <w:tcW w:w="1267" w:type="dxa"/>
            <w:tcBorders>
              <w:top w:val="nil"/>
              <w:left w:val="nil"/>
              <w:bottom w:val="nil"/>
              <w:right w:val="nil"/>
            </w:tcBorders>
            <w:shd w:val="clear" w:color="auto" w:fill="auto"/>
            <w:noWrap/>
            <w:vAlign w:val="bottom"/>
            <w:hideMark/>
          </w:tcPr>
          <w:p w14:paraId="7C2029DD"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43</w:t>
            </w:r>
          </w:p>
        </w:tc>
        <w:tc>
          <w:tcPr>
            <w:tcW w:w="1498" w:type="dxa"/>
            <w:tcBorders>
              <w:top w:val="nil"/>
              <w:left w:val="nil"/>
              <w:bottom w:val="nil"/>
              <w:right w:val="nil"/>
            </w:tcBorders>
            <w:shd w:val="clear" w:color="auto" w:fill="auto"/>
            <w:noWrap/>
            <w:vAlign w:val="bottom"/>
            <w:hideMark/>
          </w:tcPr>
          <w:p w14:paraId="78F2FC37"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18</w:t>
            </w:r>
          </w:p>
        </w:tc>
      </w:tr>
      <w:tr w:rsidR="00244248" w:rsidRPr="00A72CE9" w14:paraId="0AB0607D" w14:textId="77777777" w:rsidTr="00335B25">
        <w:trPr>
          <w:trHeight w:val="113"/>
        </w:trPr>
        <w:tc>
          <w:tcPr>
            <w:tcW w:w="2480" w:type="dxa"/>
            <w:tcBorders>
              <w:top w:val="nil"/>
              <w:left w:val="nil"/>
              <w:bottom w:val="nil"/>
              <w:right w:val="nil"/>
            </w:tcBorders>
            <w:shd w:val="clear" w:color="auto" w:fill="auto"/>
            <w:noWrap/>
            <w:vAlign w:val="bottom"/>
            <w:hideMark/>
          </w:tcPr>
          <w:p w14:paraId="78D03370"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66524506"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7D2EE266"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5BB0A77B" w14:textId="77777777" w:rsidTr="00335B25">
        <w:trPr>
          <w:trHeight w:val="113"/>
        </w:trPr>
        <w:tc>
          <w:tcPr>
            <w:tcW w:w="5245" w:type="dxa"/>
            <w:gridSpan w:val="3"/>
            <w:tcBorders>
              <w:top w:val="nil"/>
              <w:left w:val="nil"/>
              <w:bottom w:val="nil"/>
              <w:right w:val="nil"/>
            </w:tcBorders>
            <w:shd w:val="clear" w:color="auto" w:fill="auto"/>
            <w:noWrap/>
            <w:vAlign w:val="bottom"/>
            <w:hideMark/>
          </w:tcPr>
          <w:p w14:paraId="2B725196"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Aboriginal or Torres Strait Islander</w:t>
            </w:r>
          </w:p>
        </w:tc>
      </w:tr>
      <w:tr w:rsidR="00244248" w:rsidRPr="00A72CE9" w14:paraId="77C919C9" w14:textId="77777777" w:rsidTr="00335B25">
        <w:trPr>
          <w:trHeight w:val="113"/>
        </w:trPr>
        <w:tc>
          <w:tcPr>
            <w:tcW w:w="2480" w:type="dxa"/>
            <w:tcBorders>
              <w:top w:val="nil"/>
              <w:left w:val="nil"/>
              <w:bottom w:val="nil"/>
              <w:right w:val="nil"/>
            </w:tcBorders>
            <w:shd w:val="clear" w:color="auto" w:fill="auto"/>
            <w:noWrap/>
            <w:vAlign w:val="bottom"/>
            <w:hideMark/>
          </w:tcPr>
          <w:p w14:paraId="2315F82C"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Yes</w:t>
            </w:r>
          </w:p>
        </w:tc>
        <w:tc>
          <w:tcPr>
            <w:tcW w:w="1267" w:type="dxa"/>
            <w:tcBorders>
              <w:top w:val="nil"/>
              <w:left w:val="nil"/>
              <w:bottom w:val="nil"/>
              <w:right w:val="nil"/>
            </w:tcBorders>
            <w:shd w:val="clear" w:color="auto" w:fill="auto"/>
            <w:noWrap/>
            <w:vAlign w:val="bottom"/>
            <w:hideMark/>
          </w:tcPr>
          <w:p w14:paraId="1CDE655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8</w:t>
            </w:r>
          </w:p>
        </w:tc>
        <w:tc>
          <w:tcPr>
            <w:tcW w:w="1498" w:type="dxa"/>
            <w:tcBorders>
              <w:top w:val="nil"/>
              <w:left w:val="nil"/>
              <w:bottom w:val="nil"/>
              <w:right w:val="nil"/>
            </w:tcBorders>
            <w:shd w:val="clear" w:color="auto" w:fill="auto"/>
            <w:noWrap/>
            <w:vAlign w:val="bottom"/>
            <w:hideMark/>
          </w:tcPr>
          <w:p w14:paraId="1AE2544F"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w:t>
            </w:r>
          </w:p>
        </w:tc>
      </w:tr>
      <w:tr w:rsidR="00244248" w:rsidRPr="00A72CE9" w14:paraId="55F8AC64" w14:textId="77777777" w:rsidTr="00335B25">
        <w:trPr>
          <w:trHeight w:val="113"/>
        </w:trPr>
        <w:tc>
          <w:tcPr>
            <w:tcW w:w="2480" w:type="dxa"/>
            <w:tcBorders>
              <w:top w:val="nil"/>
              <w:left w:val="nil"/>
              <w:bottom w:val="nil"/>
              <w:right w:val="nil"/>
            </w:tcBorders>
            <w:shd w:val="clear" w:color="auto" w:fill="auto"/>
            <w:noWrap/>
            <w:vAlign w:val="bottom"/>
            <w:hideMark/>
          </w:tcPr>
          <w:p w14:paraId="78EF31F9"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No</w:t>
            </w:r>
          </w:p>
        </w:tc>
        <w:tc>
          <w:tcPr>
            <w:tcW w:w="1267" w:type="dxa"/>
            <w:tcBorders>
              <w:top w:val="nil"/>
              <w:left w:val="nil"/>
              <w:bottom w:val="nil"/>
              <w:right w:val="nil"/>
            </w:tcBorders>
            <w:shd w:val="clear" w:color="auto" w:fill="auto"/>
            <w:noWrap/>
            <w:vAlign w:val="bottom"/>
            <w:hideMark/>
          </w:tcPr>
          <w:p w14:paraId="0B5D0456"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9</w:t>
            </w:r>
            <w:r>
              <w:rPr>
                <w:rFonts w:asciiTheme="majorHAnsi" w:eastAsia="Times New Roman" w:hAnsiTheme="majorHAnsi" w:cstheme="majorHAnsi"/>
                <w:color w:val="000000"/>
                <w:sz w:val="20"/>
                <w:szCs w:val="20"/>
                <w:lang w:eastAsia="en-AU"/>
              </w:rPr>
              <w:t>2</w:t>
            </w:r>
          </w:p>
        </w:tc>
        <w:tc>
          <w:tcPr>
            <w:tcW w:w="1498" w:type="dxa"/>
            <w:tcBorders>
              <w:top w:val="nil"/>
              <w:left w:val="nil"/>
              <w:bottom w:val="nil"/>
              <w:right w:val="nil"/>
            </w:tcBorders>
            <w:shd w:val="clear" w:color="auto" w:fill="auto"/>
            <w:noWrap/>
            <w:vAlign w:val="bottom"/>
            <w:hideMark/>
          </w:tcPr>
          <w:p w14:paraId="0A7C19DB"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98</w:t>
            </w:r>
          </w:p>
        </w:tc>
      </w:tr>
      <w:tr w:rsidR="00244248" w:rsidRPr="00A72CE9" w14:paraId="4BD1CC74" w14:textId="77777777" w:rsidTr="00335B25">
        <w:trPr>
          <w:trHeight w:val="113"/>
        </w:trPr>
        <w:tc>
          <w:tcPr>
            <w:tcW w:w="2480" w:type="dxa"/>
            <w:tcBorders>
              <w:top w:val="nil"/>
              <w:left w:val="nil"/>
              <w:bottom w:val="nil"/>
              <w:right w:val="nil"/>
            </w:tcBorders>
            <w:shd w:val="clear" w:color="auto" w:fill="auto"/>
            <w:noWrap/>
            <w:vAlign w:val="bottom"/>
            <w:hideMark/>
          </w:tcPr>
          <w:p w14:paraId="3FFA5D42" w14:textId="77777777" w:rsidR="00244248" w:rsidRPr="00A72CE9" w:rsidRDefault="00244248" w:rsidP="00335B25">
            <w:pPr>
              <w:spacing w:after="0" w:line="240" w:lineRule="auto"/>
              <w:jc w:val="right"/>
              <w:rPr>
                <w:rFonts w:asciiTheme="majorHAnsi" w:eastAsia="Times New Roman" w:hAnsiTheme="majorHAnsi" w:cstheme="majorHAnsi"/>
                <w:color w:val="000000"/>
                <w:sz w:val="20"/>
                <w:szCs w:val="20"/>
                <w:lang w:eastAsia="en-AU"/>
              </w:rPr>
            </w:pPr>
          </w:p>
        </w:tc>
        <w:tc>
          <w:tcPr>
            <w:tcW w:w="1267" w:type="dxa"/>
            <w:tcBorders>
              <w:top w:val="nil"/>
              <w:left w:val="nil"/>
              <w:bottom w:val="nil"/>
              <w:right w:val="nil"/>
            </w:tcBorders>
            <w:shd w:val="clear" w:color="auto" w:fill="auto"/>
            <w:noWrap/>
            <w:vAlign w:val="bottom"/>
            <w:hideMark/>
          </w:tcPr>
          <w:p w14:paraId="02D87A28"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c>
          <w:tcPr>
            <w:tcW w:w="1498" w:type="dxa"/>
            <w:tcBorders>
              <w:top w:val="nil"/>
              <w:left w:val="nil"/>
              <w:bottom w:val="nil"/>
              <w:right w:val="nil"/>
            </w:tcBorders>
            <w:shd w:val="clear" w:color="auto" w:fill="auto"/>
            <w:noWrap/>
            <w:vAlign w:val="bottom"/>
            <w:hideMark/>
          </w:tcPr>
          <w:p w14:paraId="45D30774"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AE856CE" w14:textId="77777777" w:rsidTr="00335B25">
        <w:trPr>
          <w:trHeight w:val="113"/>
        </w:trPr>
        <w:tc>
          <w:tcPr>
            <w:tcW w:w="2480" w:type="dxa"/>
            <w:tcBorders>
              <w:top w:val="nil"/>
              <w:left w:val="nil"/>
              <w:bottom w:val="nil"/>
              <w:right w:val="nil"/>
            </w:tcBorders>
            <w:shd w:val="clear" w:color="auto" w:fill="auto"/>
            <w:noWrap/>
            <w:vAlign w:val="bottom"/>
            <w:hideMark/>
          </w:tcPr>
          <w:p w14:paraId="4A9D4A6B" w14:textId="77777777" w:rsidR="00244248" w:rsidRPr="00A72CE9" w:rsidRDefault="00244248" w:rsidP="00335B25">
            <w:pPr>
              <w:spacing w:after="0" w:line="240" w:lineRule="auto"/>
              <w:rPr>
                <w:rFonts w:asciiTheme="majorHAnsi" w:eastAsia="Times New Roman" w:hAnsiTheme="majorHAnsi" w:cstheme="majorHAnsi"/>
                <w:b/>
                <w:bCs/>
                <w:color w:val="000000"/>
                <w:sz w:val="20"/>
                <w:szCs w:val="20"/>
                <w:lang w:eastAsia="en-AU"/>
              </w:rPr>
            </w:pPr>
            <w:r w:rsidRPr="00A72CE9">
              <w:rPr>
                <w:rFonts w:asciiTheme="majorHAnsi" w:eastAsia="Times New Roman" w:hAnsiTheme="majorHAnsi" w:cstheme="majorHAnsi"/>
                <w:b/>
                <w:bCs/>
                <w:color w:val="000000"/>
                <w:sz w:val="20"/>
                <w:szCs w:val="20"/>
                <w:lang w:eastAsia="en-AU"/>
              </w:rPr>
              <w:t>Remoteness</w:t>
            </w:r>
          </w:p>
        </w:tc>
        <w:tc>
          <w:tcPr>
            <w:tcW w:w="1267" w:type="dxa"/>
            <w:tcBorders>
              <w:top w:val="nil"/>
              <w:left w:val="nil"/>
              <w:bottom w:val="nil"/>
              <w:right w:val="nil"/>
            </w:tcBorders>
            <w:shd w:val="clear" w:color="auto" w:fill="auto"/>
            <w:noWrap/>
            <w:vAlign w:val="bottom"/>
            <w:hideMark/>
          </w:tcPr>
          <w:p w14:paraId="0F3CC144" w14:textId="77777777" w:rsidR="00244248" w:rsidRPr="00A72CE9" w:rsidRDefault="00244248" w:rsidP="00335B25">
            <w:pPr>
              <w:spacing w:after="0" w:line="240" w:lineRule="auto"/>
              <w:jc w:val="center"/>
              <w:rPr>
                <w:rFonts w:asciiTheme="majorHAnsi" w:eastAsia="Times New Roman" w:hAnsiTheme="majorHAnsi" w:cstheme="majorHAnsi"/>
                <w:b/>
                <w:bCs/>
                <w:color w:val="000000"/>
                <w:sz w:val="20"/>
                <w:szCs w:val="20"/>
                <w:lang w:eastAsia="en-AU"/>
              </w:rPr>
            </w:pPr>
          </w:p>
        </w:tc>
        <w:tc>
          <w:tcPr>
            <w:tcW w:w="1498" w:type="dxa"/>
            <w:tcBorders>
              <w:top w:val="nil"/>
              <w:left w:val="nil"/>
              <w:bottom w:val="nil"/>
              <w:right w:val="nil"/>
            </w:tcBorders>
            <w:shd w:val="clear" w:color="auto" w:fill="auto"/>
            <w:noWrap/>
            <w:vAlign w:val="bottom"/>
            <w:hideMark/>
          </w:tcPr>
          <w:p w14:paraId="28CF11BD" w14:textId="77777777" w:rsidR="00244248" w:rsidRPr="00A72CE9"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A72CE9" w14:paraId="256996EA" w14:textId="77777777" w:rsidTr="00335B25">
        <w:trPr>
          <w:trHeight w:val="113"/>
        </w:trPr>
        <w:tc>
          <w:tcPr>
            <w:tcW w:w="2480" w:type="dxa"/>
            <w:tcBorders>
              <w:top w:val="nil"/>
              <w:left w:val="nil"/>
              <w:bottom w:val="nil"/>
              <w:right w:val="nil"/>
            </w:tcBorders>
            <w:shd w:val="clear" w:color="auto" w:fill="auto"/>
            <w:noWrap/>
            <w:vAlign w:val="bottom"/>
            <w:hideMark/>
          </w:tcPr>
          <w:p w14:paraId="2E56D9D4"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Major city</w:t>
            </w:r>
          </w:p>
        </w:tc>
        <w:tc>
          <w:tcPr>
            <w:tcW w:w="1267" w:type="dxa"/>
            <w:tcBorders>
              <w:top w:val="nil"/>
              <w:left w:val="nil"/>
              <w:bottom w:val="nil"/>
              <w:right w:val="nil"/>
            </w:tcBorders>
            <w:shd w:val="clear" w:color="auto" w:fill="auto"/>
            <w:noWrap/>
            <w:vAlign w:val="bottom"/>
            <w:hideMark/>
          </w:tcPr>
          <w:p w14:paraId="54EF6E4F"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62</w:t>
            </w:r>
          </w:p>
        </w:tc>
        <w:tc>
          <w:tcPr>
            <w:tcW w:w="1498" w:type="dxa"/>
            <w:tcBorders>
              <w:top w:val="nil"/>
              <w:left w:val="nil"/>
              <w:bottom w:val="nil"/>
              <w:right w:val="nil"/>
            </w:tcBorders>
            <w:shd w:val="clear" w:color="auto" w:fill="auto"/>
            <w:noWrap/>
            <w:vAlign w:val="bottom"/>
            <w:hideMark/>
          </w:tcPr>
          <w:p w14:paraId="0067B3CE"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75</w:t>
            </w:r>
          </w:p>
        </w:tc>
      </w:tr>
      <w:tr w:rsidR="00244248" w:rsidRPr="00A72CE9" w14:paraId="5AEE2835" w14:textId="77777777" w:rsidTr="00335B25">
        <w:trPr>
          <w:trHeight w:val="113"/>
        </w:trPr>
        <w:tc>
          <w:tcPr>
            <w:tcW w:w="2480" w:type="dxa"/>
            <w:tcBorders>
              <w:top w:val="nil"/>
              <w:left w:val="nil"/>
              <w:bottom w:val="nil"/>
              <w:right w:val="nil"/>
            </w:tcBorders>
            <w:shd w:val="clear" w:color="auto" w:fill="auto"/>
            <w:noWrap/>
            <w:vAlign w:val="bottom"/>
            <w:hideMark/>
          </w:tcPr>
          <w:p w14:paraId="5ECF67DF"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Inner regional</w:t>
            </w:r>
          </w:p>
        </w:tc>
        <w:tc>
          <w:tcPr>
            <w:tcW w:w="1267" w:type="dxa"/>
            <w:tcBorders>
              <w:top w:val="nil"/>
              <w:left w:val="nil"/>
              <w:bottom w:val="nil"/>
              <w:right w:val="nil"/>
            </w:tcBorders>
            <w:shd w:val="clear" w:color="auto" w:fill="auto"/>
            <w:noWrap/>
            <w:vAlign w:val="bottom"/>
            <w:hideMark/>
          </w:tcPr>
          <w:p w14:paraId="55D0CE92"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25</w:t>
            </w:r>
          </w:p>
        </w:tc>
        <w:tc>
          <w:tcPr>
            <w:tcW w:w="1498" w:type="dxa"/>
            <w:tcBorders>
              <w:top w:val="nil"/>
              <w:left w:val="nil"/>
              <w:bottom w:val="nil"/>
              <w:right w:val="nil"/>
            </w:tcBorders>
            <w:shd w:val="clear" w:color="auto" w:fill="auto"/>
            <w:noWrap/>
            <w:vAlign w:val="bottom"/>
            <w:hideMark/>
          </w:tcPr>
          <w:p w14:paraId="46919AD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15</w:t>
            </w:r>
          </w:p>
        </w:tc>
      </w:tr>
      <w:tr w:rsidR="00244248" w:rsidRPr="00A72CE9" w14:paraId="4F95F3BB" w14:textId="77777777" w:rsidTr="00335B25">
        <w:trPr>
          <w:trHeight w:val="113"/>
        </w:trPr>
        <w:tc>
          <w:tcPr>
            <w:tcW w:w="2480" w:type="dxa"/>
            <w:tcBorders>
              <w:top w:val="nil"/>
              <w:left w:val="nil"/>
              <w:right w:val="nil"/>
            </w:tcBorders>
            <w:shd w:val="clear" w:color="auto" w:fill="auto"/>
            <w:noWrap/>
            <w:vAlign w:val="bottom"/>
            <w:hideMark/>
          </w:tcPr>
          <w:p w14:paraId="7D896DFD"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Outer regional or remote</w:t>
            </w:r>
          </w:p>
        </w:tc>
        <w:tc>
          <w:tcPr>
            <w:tcW w:w="1267" w:type="dxa"/>
            <w:tcBorders>
              <w:top w:val="nil"/>
              <w:left w:val="nil"/>
              <w:right w:val="nil"/>
            </w:tcBorders>
            <w:shd w:val="clear" w:color="auto" w:fill="auto"/>
            <w:noWrap/>
            <w:vAlign w:val="bottom"/>
            <w:hideMark/>
          </w:tcPr>
          <w:p w14:paraId="1C4D82F7"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14</w:t>
            </w:r>
          </w:p>
        </w:tc>
        <w:tc>
          <w:tcPr>
            <w:tcW w:w="1498" w:type="dxa"/>
            <w:tcBorders>
              <w:top w:val="nil"/>
              <w:left w:val="nil"/>
              <w:right w:val="nil"/>
            </w:tcBorders>
            <w:shd w:val="clear" w:color="auto" w:fill="auto"/>
            <w:noWrap/>
            <w:vAlign w:val="bottom"/>
            <w:hideMark/>
          </w:tcPr>
          <w:p w14:paraId="64A6018A"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9</w:t>
            </w:r>
          </w:p>
        </w:tc>
      </w:tr>
      <w:tr w:rsidR="00244248" w:rsidRPr="00A72CE9" w14:paraId="763A28AC" w14:textId="77777777" w:rsidTr="00335B25">
        <w:trPr>
          <w:trHeight w:val="113"/>
        </w:trPr>
        <w:tc>
          <w:tcPr>
            <w:tcW w:w="2480" w:type="dxa"/>
            <w:tcBorders>
              <w:top w:val="nil"/>
              <w:left w:val="nil"/>
              <w:bottom w:val="single" w:sz="4" w:space="0" w:color="ED7D31" w:themeColor="accent2"/>
              <w:right w:val="nil"/>
            </w:tcBorders>
            <w:shd w:val="clear" w:color="auto" w:fill="auto"/>
            <w:noWrap/>
            <w:vAlign w:val="bottom"/>
            <w:hideMark/>
          </w:tcPr>
          <w:p w14:paraId="46B43CA7"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 </w:t>
            </w:r>
          </w:p>
        </w:tc>
        <w:tc>
          <w:tcPr>
            <w:tcW w:w="1267" w:type="dxa"/>
            <w:tcBorders>
              <w:top w:val="nil"/>
              <w:left w:val="nil"/>
              <w:bottom w:val="single" w:sz="4" w:space="0" w:color="ED7D31" w:themeColor="accent2"/>
              <w:right w:val="nil"/>
            </w:tcBorders>
            <w:shd w:val="clear" w:color="auto" w:fill="auto"/>
            <w:noWrap/>
            <w:vAlign w:val="bottom"/>
            <w:hideMark/>
          </w:tcPr>
          <w:p w14:paraId="0B87A5D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498" w:type="dxa"/>
            <w:tcBorders>
              <w:top w:val="nil"/>
              <w:left w:val="nil"/>
              <w:bottom w:val="single" w:sz="4" w:space="0" w:color="ED7D31" w:themeColor="accent2"/>
              <w:right w:val="nil"/>
            </w:tcBorders>
            <w:shd w:val="clear" w:color="auto" w:fill="auto"/>
            <w:noWrap/>
            <w:vAlign w:val="bottom"/>
            <w:hideMark/>
          </w:tcPr>
          <w:p w14:paraId="6DF1F468"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A72CE9" w14:paraId="63D61D15" w14:textId="77777777" w:rsidTr="00335B25">
        <w:trPr>
          <w:trHeight w:val="113"/>
        </w:trPr>
        <w:tc>
          <w:tcPr>
            <w:tcW w:w="2480" w:type="dxa"/>
            <w:tcBorders>
              <w:top w:val="single" w:sz="4" w:space="0" w:color="ED7D31" w:themeColor="accent2"/>
              <w:left w:val="nil"/>
              <w:right w:val="nil"/>
            </w:tcBorders>
            <w:shd w:val="clear" w:color="auto" w:fill="auto"/>
            <w:noWrap/>
            <w:vAlign w:val="bottom"/>
            <w:hideMark/>
          </w:tcPr>
          <w:p w14:paraId="30374818"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Number of observations</w:t>
            </w:r>
          </w:p>
        </w:tc>
        <w:tc>
          <w:tcPr>
            <w:tcW w:w="1267" w:type="dxa"/>
            <w:tcBorders>
              <w:top w:val="single" w:sz="4" w:space="0" w:color="ED7D31" w:themeColor="accent2"/>
              <w:left w:val="nil"/>
              <w:right w:val="nil"/>
            </w:tcBorders>
            <w:shd w:val="clear" w:color="auto" w:fill="auto"/>
            <w:noWrap/>
            <w:vAlign w:val="bottom"/>
            <w:hideMark/>
          </w:tcPr>
          <w:p w14:paraId="53D59310"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w:t>
            </w:r>
            <w:r>
              <w:rPr>
                <w:rFonts w:asciiTheme="majorHAnsi" w:eastAsia="Times New Roman" w:hAnsiTheme="majorHAnsi" w:cstheme="majorHAnsi"/>
                <w:color w:val="000000"/>
                <w:sz w:val="20"/>
                <w:szCs w:val="20"/>
                <w:lang w:eastAsia="en-AU"/>
              </w:rPr>
              <w:t>387</w:t>
            </w:r>
          </w:p>
        </w:tc>
        <w:tc>
          <w:tcPr>
            <w:tcW w:w="1498" w:type="dxa"/>
            <w:tcBorders>
              <w:top w:val="single" w:sz="4" w:space="0" w:color="ED7D31" w:themeColor="accent2"/>
              <w:left w:val="nil"/>
              <w:right w:val="nil"/>
            </w:tcBorders>
            <w:shd w:val="clear" w:color="auto" w:fill="auto"/>
            <w:noWrap/>
            <w:vAlign w:val="bottom"/>
            <w:hideMark/>
          </w:tcPr>
          <w:p w14:paraId="4377BE8E"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7</w:t>
            </w:r>
            <w:r>
              <w:rPr>
                <w:rFonts w:asciiTheme="majorHAnsi" w:eastAsia="Times New Roman" w:hAnsiTheme="majorHAnsi" w:cstheme="majorHAnsi"/>
                <w:color w:val="000000"/>
                <w:sz w:val="20"/>
                <w:szCs w:val="20"/>
                <w:lang w:eastAsia="en-AU"/>
              </w:rPr>
              <w:t>,770</w:t>
            </w:r>
          </w:p>
        </w:tc>
      </w:tr>
      <w:tr w:rsidR="00244248" w:rsidRPr="00A72CE9" w14:paraId="157340EB" w14:textId="77777777" w:rsidTr="00335B25">
        <w:trPr>
          <w:trHeight w:val="113"/>
        </w:trPr>
        <w:tc>
          <w:tcPr>
            <w:tcW w:w="2480" w:type="dxa"/>
            <w:tcBorders>
              <w:top w:val="nil"/>
              <w:left w:val="nil"/>
              <w:bottom w:val="single" w:sz="4" w:space="0" w:color="ED7D31" w:themeColor="accent2"/>
              <w:right w:val="nil"/>
            </w:tcBorders>
            <w:shd w:val="clear" w:color="auto" w:fill="auto"/>
            <w:noWrap/>
            <w:vAlign w:val="bottom"/>
            <w:hideMark/>
          </w:tcPr>
          <w:p w14:paraId="2826A41E" w14:textId="77777777" w:rsidR="00244248" w:rsidRPr="00A72CE9" w:rsidRDefault="00244248" w:rsidP="00335B25">
            <w:pPr>
              <w:spacing w:after="0" w:line="240" w:lineRule="auto"/>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Number of women</w:t>
            </w:r>
          </w:p>
        </w:tc>
        <w:tc>
          <w:tcPr>
            <w:tcW w:w="1267" w:type="dxa"/>
            <w:tcBorders>
              <w:top w:val="nil"/>
              <w:left w:val="nil"/>
              <w:bottom w:val="single" w:sz="4" w:space="0" w:color="ED7D31" w:themeColor="accent2"/>
              <w:right w:val="nil"/>
            </w:tcBorders>
            <w:shd w:val="clear" w:color="auto" w:fill="auto"/>
            <w:noWrap/>
            <w:vAlign w:val="bottom"/>
            <w:hideMark/>
          </w:tcPr>
          <w:p w14:paraId="6D72E58B"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Pr>
                <w:rFonts w:asciiTheme="majorHAnsi" w:eastAsia="Times New Roman" w:hAnsiTheme="majorHAnsi" w:cstheme="majorHAnsi"/>
                <w:color w:val="000000"/>
                <w:sz w:val="20"/>
                <w:szCs w:val="20"/>
                <w:lang w:eastAsia="en-AU"/>
              </w:rPr>
              <w:t>778</w:t>
            </w:r>
          </w:p>
        </w:tc>
        <w:tc>
          <w:tcPr>
            <w:tcW w:w="1498" w:type="dxa"/>
            <w:tcBorders>
              <w:top w:val="nil"/>
              <w:left w:val="nil"/>
              <w:bottom w:val="single" w:sz="4" w:space="0" w:color="ED7D31" w:themeColor="accent2"/>
              <w:right w:val="nil"/>
            </w:tcBorders>
            <w:shd w:val="clear" w:color="auto" w:fill="auto"/>
            <w:noWrap/>
            <w:vAlign w:val="bottom"/>
            <w:hideMark/>
          </w:tcPr>
          <w:p w14:paraId="6BDCECBF" w14:textId="77777777" w:rsidR="00244248" w:rsidRPr="00A72CE9"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A72CE9">
              <w:rPr>
                <w:rFonts w:asciiTheme="majorHAnsi" w:eastAsia="Times New Roman" w:hAnsiTheme="majorHAnsi" w:cstheme="majorHAnsi"/>
                <w:color w:val="000000"/>
                <w:sz w:val="20"/>
                <w:szCs w:val="20"/>
                <w:lang w:eastAsia="en-AU"/>
              </w:rPr>
              <w:t>2,3</w:t>
            </w:r>
            <w:r>
              <w:rPr>
                <w:rFonts w:asciiTheme="majorHAnsi" w:eastAsia="Times New Roman" w:hAnsiTheme="majorHAnsi" w:cstheme="majorHAnsi"/>
                <w:color w:val="000000"/>
                <w:sz w:val="20"/>
                <w:szCs w:val="20"/>
                <w:lang w:eastAsia="en-AU"/>
              </w:rPr>
              <w:t>57</w:t>
            </w:r>
          </w:p>
        </w:tc>
      </w:tr>
    </w:tbl>
    <w:p w14:paraId="018E2FA5" w14:textId="77777777" w:rsidR="00244248" w:rsidRDefault="00244248" w:rsidP="00244248">
      <w:pPr>
        <w:rPr>
          <w:i/>
          <w:iCs/>
          <w:color w:val="44546A" w:themeColor="text2"/>
          <w:sz w:val="18"/>
          <w:szCs w:val="18"/>
        </w:rPr>
      </w:pPr>
      <w:r>
        <w:rPr>
          <w:i/>
          <w:iCs/>
          <w:color w:val="44546A" w:themeColor="text2"/>
          <w:sz w:val="18"/>
          <w:szCs w:val="18"/>
        </w:rPr>
        <w:t>Note: column percentages may not add up to 100% due to rounding</w:t>
      </w:r>
    </w:p>
    <w:p w14:paraId="46C6903A" w14:textId="77777777" w:rsidR="00244248" w:rsidRDefault="00244248" w:rsidP="00244248">
      <w:r>
        <w:t xml:space="preserve">The figures below show, for the treatment and control group, the distribution of fertility desires, expectations and number of additional intended children for the time period in consideration with 2004 signalling the start of the reform to FTB Part A and B.  As expected, single childless women have significantly higher childbearing desires, expectations and number of additionally intended children compared to lone mothers. In terms of the patterns before and after the reform, both groups appear to follow a similar trajectory for each of the outcomes. </w:t>
      </w:r>
    </w:p>
    <w:p w14:paraId="4A97DF42" w14:textId="77777777" w:rsidR="00244248" w:rsidRDefault="00244248" w:rsidP="00244248">
      <w:r>
        <w:t xml:space="preserve">For lone mothers the childbearing desires appear to increase in 2005 and 2008. It is important to note that in 2005 and 2008 the questions on future fertility preferences were asked to a slightly different subsample of women, and also in a different order.  In particular, women who had believed they had a physical problem which would make it difficult or impossible to have a child, or who had had an operation (e.g. hysterectomy) were specifically not asked about their future childbearing intentions in 2005 and 2008. This difference would particularly affect the treatment group (lone </w:t>
      </w:r>
      <w:r>
        <w:lastRenderedPageBreak/>
        <w:t xml:space="preserve">mothers) as they are on average older than the control group.  In part due to these differences we can observe a peak in childbearing expectations and preferences in 2008. </w:t>
      </w:r>
    </w:p>
    <w:p w14:paraId="3F5CB248" w14:textId="77777777" w:rsidR="00244248" w:rsidRDefault="00244248" w:rsidP="00244248">
      <w:r>
        <w:t xml:space="preserve">To mitigate some of the issues regarding the change in the sample asked in 2005 and 2008 we exclude observations for women from the year that they stated they had an operation making it impossible to have a child onwards. We also excluded women aged over 45, as prior to 2005 women aged 45-49 where asked about future fertility preferences however after 2005 they were not asked. </w:t>
      </w:r>
    </w:p>
    <w:p w14:paraId="62303CAF" w14:textId="77777777" w:rsidR="00244248" w:rsidRDefault="00244248" w:rsidP="00244248">
      <w:r>
        <w:t xml:space="preserve">However we do not exclude women who believed they had a health problem which would make it difficult or impossible to have a child (these women were not asked about fertility preferences in 2005 and 2008) and this may also be contributing to the observed increase in 2005 and 2008. </w:t>
      </w:r>
    </w:p>
    <w:p w14:paraId="6F94FF2E" w14:textId="77777777" w:rsidR="00244248" w:rsidRDefault="00244248" w:rsidP="00244248"/>
    <w:p w14:paraId="420E8058" w14:textId="77777777" w:rsidR="00244248" w:rsidRDefault="00244248" w:rsidP="002442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4248" w14:paraId="324412E0" w14:textId="77777777" w:rsidTr="00335B25">
        <w:tc>
          <w:tcPr>
            <w:tcW w:w="9016" w:type="dxa"/>
          </w:tcPr>
          <w:p w14:paraId="415E9AE4" w14:textId="69DC637B" w:rsidR="00244248" w:rsidRDefault="00244248" w:rsidP="00335B25">
            <w:pPr>
              <w:pStyle w:val="Caption"/>
              <w:keepNext/>
            </w:pPr>
            <w:r>
              <w:lastRenderedPageBreak/>
              <w:t xml:space="preserve">Figure </w:t>
            </w:r>
            <w:fldSimple w:instr=" SEQ Figure \* ARABIC ">
              <w:r w:rsidR="00115E22">
                <w:rPr>
                  <w:noProof/>
                </w:rPr>
                <w:t>40</w:t>
              </w:r>
            </w:fldSimple>
            <w:r>
              <w:t xml:space="preserve"> Childbearing desires before and after FTB reform, by treatment and control groups </w:t>
            </w:r>
          </w:p>
          <w:p w14:paraId="6568FE62" w14:textId="77777777" w:rsidR="00244248" w:rsidRPr="00815860" w:rsidRDefault="00244248" w:rsidP="00335B25">
            <w:r w:rsidRPr="00200A25">
              <w:rPr>
                <w:noProof/>
                <w:lang w:eastAsia="en-AU"/>
              </w:rPr>
              <w:drawing>
                <wp:inline distT="0" distB="0" distL="0" distR="0" wp14:anchorId="52D544D8" wp14:editId="5ABEEA49">
                  <wp:extent cx="3572540" cy="2598211"/>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79445" cy="2603233"/>
                          </a:xfrm>
                          <a:prstGeom prst="rect">
                            <a:avLst/>
                          </a:prstGeom>
                          <a:noFill/>
                          <a:ln>
                            <a:noFill/>
                          </a:ln>
                        </pic:spPr>
                      </pic:pic>
                    </a:graphicData>
                  </a:graphic>
                </wp:inline>
              </w:drawing>
            </w:r>
          </w:p>
          <w:p w14:paraId="07F3E27A" w14:textId="77777777" w:rsidR="00244248" w:rsidRDefault="00244248" w:rsidP="00335B25"/>
        </w:tc>
      </w:tr>
      <w:tr w:rsidR="00244248" w14:paraId="090CD0D5" w14:textId="77777777" w:rsidTr="00335B25">
        <w:tc>
          <w:tcPr>
            <w:tcW w:w="9016" w:type="dxa"/>
          </w:tcPr>
          <w:p w14:paraId="7894E9D2" w14:textId="30680DC1" w:rsidR="00244248" w:rsidRDefault="00244248" w:rsidP="00335B25">
            <w:pPr>
              <w:pStyle w:val="Caption"/>
              <w:keepNext/>
            </w:pPr>
            <w:r>
              <w:t xml:space="preserve">Figure </w:t>
            </w:r>
            <w:fldSimple w:instr=" SEQ Figure \* ARABIC ">
              <w:r w:rsidR="00115E22">
                <w:rPr>
                  <w:noProof/>
                </w:rPr>
                <w:t>41</w:t>
              </w:r>
            </w:fldSimple>
            <w:r>
              <w:t xml:space="preserve"> </w:t>
            </w:r>
            <w:r w:rsidRPr="00750BAB">
              <w:t xml:space="preserve">Childbearing </w:t>
            </w:r>
            <w:r>
              <w:t>expectations</w:t>
            </w:r>
            <w:r w:rsidRPr="00750BAB">
              <w:t xml:space="preserve"> before and after FTB reform, by treatment and control groups</w:t>
            </w:r>
          </w:p>
          <w:p w14:paraId="03DB2450" w14:textId="77777777" w:rsidR="00244248" w:rsidRDefault="00244248" w:rsidP="00335B25">
            <w:r>
              <w:t xml:space="preserve"> </w:t>
            </w:r>
            <w:r w:rsidRPr="00200A25">
              <w:rPr>
                <w:noProof/>
                <w:lang w:eastAsia="en-AU"/>
              </w:rPr>
              <w:drawing>
                <wp:inline distT="0" distB="0" distL="0" distR="0" wp14:anchorId="692EC7DC" wp14:editId="42B63EDA">
                  <wp:extent cx="3657600" cy="2660073"/>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6487" cy="2666536"/>
                          </a:xfrm>
                          <a:prstGeom prst="rect">
                            <a:avLst/>
                          </a:prstGeom>
                          <a:noFill/>
                          <a:ln>
                            <a:noFill/>
                          </a:ln>
                        </pic:spPr>
                      </pic:pic>
                    </a:graphicData>
                  </a:graphic>
                </wp:inline>
              </w:drawing>
            </w:r>
          </w:p>
        </w:tc>
      </w:tr>
      <w:tr w:rsidR="00244248" w14:paraId="0F9A438D" w14:textId="77777777" w:rsidTr="00335B25">
        <w:tc>
          <w:tcPr>
            <w:tcW w:w="9016" w:type="dxa"/>
          </w:tcPr>
          <w:p w14:paraId="4BB41E98" w14:textId="00B70D69" w:rsidR="00244248" w:rsidRDefault="00244248" w:rsidP="00335B25">
            <w:pPr>
              <w:pStyle w:val="Caption"/>
              <w:keepNext/>
            </w:pPr>
            <w:r>
              <w:t xml:space="preserve">Figure </w:t>
            </w:r>
            <w:fldSimple w:instr=" SEQ Figure \* ARABIC ">
              <w:r w:rsidR="00115E22">
                <w:rPr>
                  <w:noProof/>
                </w:rPr>
                <w:t>42</w:t>
              </w:r>
            </w:fldSimple>
            <w:r>
              <w:t xml:space="preserve"> Additionally intended children before and after FTB reform</w:t>
            </w:r>
            <w:r w:rsidRPr="00DF40E9">
              <w:t>, by treatment and control groups</w:t>
            </w:r>
          </w:p>
          <w:p w14:paraId="5806954B" w14:textId="77777777" w:rsidR="00244248" w:rsidRDefault="00244248" w:rsidP="00335B25">
            <w:r>
              <w:t xml:space="preserve"> </w:t>
            </w:r>
            <w:r w:rsidRPr="00200A25">
              <w:rPr>
                <w:noProof/>
                <w:lang w:eastAsia="en-AU"/>
              </w:rPr>
              <w:drawing>
                <wp:inline distT="0" distB="0" distL="0" distR="0" wp14:anchorId="64961BAB" wp14:editId="6DB04D3B">
                  <wp:extent cx="3572539" cy="259821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81105" cy="2604440"/>
                          </a:xfrm>
                          <a:prstGeom prst="rect">
                            <a:avLst/>
                          </a:prstGeom>
                          <a:noFill/>
                          <a:ln>
                            <a:noFill/>
                          </a:ln>
                        </pic:spPr>
                      </pic:pic>
                    </a:graphicData>
                  </a:graphic>
                </wp:inline>
              </w:drawing>
            </w:r>
          </w:p>
        </w:tc>
      </w:tr>
    </w:tbl>
    <w:p w14:paraId="2C1E41E1" w14:textId="77777777" w:rsidR="00244248" w:rsidRDefault="00244248" w:rsidP="00244248"/>
    <w:p w14:paraId="1FD21D6C" w14:textId="0D7EF30E" w:rsidR="00244248" w:rsidRDefault="00244248" w:rsidP="00244248">
      <w:r>
        <w:fldChar w:fldCharType="begin"/>
      </w:r>
      <w:r>
        <w:instrText xml:space="preserve"> REF _Ref84796136 \h </w:instrText>
      </w:r>
      <w:r>
        <w:fldChar w:fldCharType="separate"/>
      </w:r>
      <w:r w:rsidR="00115E22">
        <w:t xml:space="preserve">Table </w:t>
      </w:r>
      <w:r w:rsidR="00115E22">
        <w:rPr>
          <w:noProof/>
        </w:rPr>
        <w:t>35</w:t>
      </w:r>
      <w:r>
        <w:fldChar w:fldCharType="end"/>
      </w:r>
      <w:r>
        <w:t xml:space="preserve"> presents the results for childbearing desires, childbearing expectations, and intended number of children. As expected from the pattern seen in Figure </w:t>
      </w:r>
      <w:r w:rsidR="002770F1">
        <w:t>41</w:t>
      </w:r>
      <w:r>
        <w:t xml:space="preserve">, for childbearing desire and expectation, we see a treatment effect of the FTB reform. Childbearing desires and expectations increase by approximately 0.4. </w:t>
      </w:r>
    </w:p>
    <w:p w14:paraId="5ABF730D" w14:textId="77777777" w:rsidR="00244248" w:rsidRDefault="00244248" w:rsidP="00244248">
      <w:r>
        <w:t xml:space="preserve">For additional intended number of children the results from the fixed effects (Column 4), there is an increase of 0.13 children on average after the implementation of the policy. </w:t>
      </w:r>
    </w:p>
    <w:p w14:paraId="7DADAA1D" w14:textId="77777777" w:rsidR="00244248" w:rsidRDefault="00244248" w:rsidP="00244248">
      <w:pPr>
        <w:pStyle w:val="Caption"/>
        <w:keepNext/>
      </w:pPr>
    </w:p>
    <w:p w14:paraId="0A640610" w14:textId="0F36AD1B" w:rsidR="00244248" w:rsidRDefault="00244248" w:rsidP="00244248">
      <w:pPr>
        <w:pStyle w:val="Caption"/>
        <w:keepNext/>
      </w:pPr>
      <w:bookmarkStart w:id="201" w:name="_Ref84796136"/>
      <w:r>
        <w:t xml:space="preserve">Table </w:t>
      </w:r>
      <w:fldSimple w:instr=" SEQ Table \* ARABIC ">
        <w:r w:rsidR="00115E22">
          <w:rPr>
            <w:noProof/>
          </w:rPr>
          <w:t>35</w:t>
        </w:r>
      </w:fldSimple>
      <w:bookmarkEnd w:id="201"/>
      <w:r>
        <w:t xml:space="preserve"> Effect of FTB reform on selected fertility preferences</w:t>
      </w:r>
    </w:p>
    <w:tbl>
      <w:tblPr>
        <w:tblW w:w="9746" w:type="dxa"/>
        <w:tblLayout w:type="fixed"/>
        <w:tblLook w:val="0000" w:firstRow="0" w:lastRow="0" w:firstColumn="0" w:lastColumn="0" w:noHBand="0" w:noVBand="0"/>
      </w:tblPr>
      <w:tblGrid>
        <w:gridCol w:w="2977"/>
        <w:gridCol w:w="1531"/>
        <w:gridCol w:w="1588"/>
        <w:gridCol w:w="1666"/>
        <w:gridCol w:w="1984"/>
      </w:tblGrid>
      <w:tr w:rsidR="00244248" w:rsidRPr="00DE6E2E" w14:paraId="1B8B4CFB" w14:textId="77777777" w:rsidTr="00335B25">
        <w:tc>
          <w:tcPr>
            <w:tcW w:w="2977" w:type="dxa"/>
            <w:tcBorders>
              <w:top w:val="single" w:sz="4" w:space="0" w:color="auto"/>
              <w:left w:val="nil"/>
              <w:bottom w:val="nil"/>
              <w:right w:val="nil"/>
            </w:tcBorders>
            <w:shd w:val="clear" w:color="auto" w:fill="FBE4D5" w:themeFill="accent2" w:themeFillTint="33"/>
          </w:tcPr>
          <w:p w14:paraId="3A493A1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auto"/>
              <w:left w:val="nil"/>
              <w:bottom w:val="nil"/>
              <w:right w:val="nil"/>
            </w:tcBorders>
            <w:shd w:val="clear" w:color="auto" w:fill="FBE4D5" w:themeFill="accent2" w:themeFillTint="33"/>
          </w:tcPr>
          <w:p w14:paraId="2646CA5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(1)</w:t>
            </w:r>
          </w:p>
        </w:tc>
        <w:tc>
          <w:tcPr>
            <w:tcW w:w="1588" w:type="dxa"/>
            <w:tcBorders>
              <w:top w:val="single" w:sz="4" w:space="0" w:color="auto"/>
              <w:left w:val="nil"/>
              <w:bottom w:val="nil"/>
              <w:right w:val="nil"/>
            </w:tcBorders>
            <w:shd w:val="clear" w:color="auto" w:fill="FBE4D5" w:themeFill="accent2" w:themeFillTint="33"/>
          </w:tcPr>
          <w:p w14:paraId="04CC5B3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(2)</w:t>
            </w:r>
          </w:p>
        </w:tc>
        <w:tc>
          <w:tcPr>
            <w:tcW w:w="1666" w:type="dxa"/>
            <w:tcBorders>
              <w:top w:val="single" w:sz="4" w:space="0" w:color="auto"/>
              <w:left w:val="nil"/>
              <w:bottom w:val="nil"/>
              <w:right w:val="nil"/>
            </w:tcBorders>
            <w:shd w:val="clear" w:color="auto" w:fill="FBE4D5" w:themeFill="accent2" w:themeFillTint="33"/>
          </w:tcPr>
          <w:p w14:paraId="2ED44C5C"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(3)</w:t>
            </w:r>
          </w:p>
        </w:tc>
        <w:tc>
          <w:tcPr>
            <w:tcW w:w="1984" w:type="dxa"/>
            <w:tcBorders>
              <w:top w:val="single" w:sz="4" w:space="0" w:color="auto"/>
              <w:left w:val="nil"/>
              <w:bottom w:val="nil"/>
              <w:right w:val="nil"/>
            </w:tcBorders>
            <w:shd w:val="clear" w:color="auto" w:fill="FBE4D5" w:themeFill="accent2" w:themeFillTint="33"/>
          </w:tcPr>
          <w:p w14:paraId="2182372C"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(4)</w:t>
            </w:r>
          </w:p>
        </w:tc>
      </w:tr>
      <w:tr w:rsidR="00244248" w:rsidRPr="00DE6E2E" w14:paraId="7D081734"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4A15034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232BFA0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588" w:type="dxa"/>
            <w:tcBorders>
              <w:top w:val="nil"/>
              <w:left w:val="nil"/>
              <w:bottom w:val="single" w:sz="4" w:space="0" w:color="ED7D31" w:themeColor="accent2"/>
              <w:right w:val="nil"/>
            </w:tcBorders>
            <w:shd w:val="clear" w:color="auto" w:fill="FBE4D5" w:themeFill="accent2" w:themeFillTint="33"/>
          </w:tcPr>
          <w:p w14:paraId="69230D8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00CB802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Fixed effects</w:t>
            </w:r>
          </w:p>
        </w:tc>
        <w:tc>
          <w:tcPr>
            <w:tcW w:w="1984" w:type="dxa"/>
            <w:tcBorders>
              <w:top w:val="nil"/>
              <w:left w:val="nil"/>
              <w:bottom w:val="single" w:sz="4" w:space="0" w:color="ED7D31" w:themeColor="accent2"/>
              <w:right w:val="nil"/>
            </w:tcBorders>
            <w:shd w:val="clear" w:color="auto" w:fill="FBE4D5" w:themeFill="accent2" w:themeFillTint="33"/>
          </w:tcPr>
          <w:p w14:paraId="19FF951C"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Fixed effects</w:t>
            </w:r>
          </w:p>
        </w:tc>
      </w:tr>
      <w:tr w:rsidR="00244248" w:rsidRPr="00DE6E2E" w14:paraId="576CD1C8"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3A6F2EE6"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Childbearing desire</w:t>
            </w:r>
          </w:p>
        </w:tc>
        <w:tc>
          <w:tcPr>
            <w:tcW w:w="1531" w:type="dxa"/>
            <w:tcBorders>
              <w:top w:val="single" w:sz="4" w:space="0" w:color="ED7D31" w:themeColor="accent2"/>
              <w:left w:val="nil"/>
              <w:bottom w:val="single" w:sz="4" w:space="0" w:color="ED7D31" w:themeColor="accent2"/>
              <w:right w:val="nil"/>
            </w:tcBorders>
          </w:tcPr>
          <w:p w14:paraId="5666F94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588" w:type="dxa"/>
            <w:tcBorders>
              <w:top w:val="single" w:sz="4" w:space="0" w:color="ED7D31" w:themeColor="accent2"/>
              <w:left w:val="nil"/>
              <w:bottom w:val="single" w:sz="4" w:space="0" w:color="ED7D31" w:themeColor="accent2"/>
              <w:right w:val="nil"/>
            </w:tcBorders>
          </w:tcPr>
          <w:p w14:paraId="477717A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3ED428B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6C2B627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2E931804" w14:textId="77777777" w:rsidTr="00335B25">
        <w:tc>
          <w:tcPr>
            <w:tcW w:w="2977" w:type="dxa"/>
            <w:tcBorders>
              <w:top w:val="single" w:sz="4" w:space="0" w:color="ED7D31" w:themeColor="accent2"/>
              <w:left w:val="nil"/>
              <w:right w:val="nil"/>
            </w:tcBorders>
          </w:tcPr>
          <w:p w14:paraId="04B8D72D"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422393F1"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0.097</w:t>
            </w:r>
          </w:p>
        </w:tc>
        <w:tc>
          <w:tcPr>
            <w:tcW w:w="1588" w:type="dxa"/>
            <w:tcBorders>
              <w:top w:val="single" w:sz="4" w:space="0" w:color="ED7D31" w:themeColor="accent2"/>
              <w:left w:val="nil"/>
              <w:right w:val="nil"/>
            </w:tcBorders>
          </w:tcPr>
          <w:p w14:paraId="69EF6009"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0.471**</w:t>
            </w:r>
          </w:p>
        </w:tc>
        <w:tc>
          <w:tcPr>
            <w:tcW w:w="1666" w:type="dxa"/>
            <w:tcBorders>
              <w:top w:val="single" w:sz="4" w:space="0" w:color="ED7D31" w:themeColor="accent2"/>
              <w:left w:val="nil"/>
              <w:right w:val="nil"/>
            </w:tcBorders>
          </w:tcPr>
          <w:p w14:paraId="1F443128"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-0.328</w:t>
            </w:r>
          </w:p>
        </w:tc>
        <w:tc>
          <w:tcPr>
            <w:tcW w:w="1984" w:type="dxa"/>
            <w:tcBorders>
              <w:top w:val="single" w:sz="4" w:space="0" w:color="ED7D31" w:themeColor="accent2"/>
              <w:left w:val="nil"/>
              <w:right w:val="nil"/>
            </w:tcBorders>
          </w:tcPr>
          <w:p w14:paraId="161E96FD"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0.440*</w:t>
            </w:r>
          </w:p>
        </w:tc>
      </w:tr>
      <w:tr w:rsidR="00244248" w:rsidRPr="002148EB" w14:paraId="2880C7DB" w14:textId="77777777" w:rsidTr="00335B25">
        <w:tc>
          <w:tcPr>
            <w:tcW w:w="2977" w:type="dxa"/>
            <w:tcBorders>
              <w:top w:val="nil"/>
              <w:left w:val="nil"/>
              <w:right w:val="nil"/>
            </w:tcBorders>
          </w:tcPr>
          <w:p w14:paraId="5C0D1C7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7E098785"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(0.183)</w:t>
            </w:r>
          </w:p>
        </w:tc>
        <w:tc>
          <w:tcPr>
            <w:tcW w:w="1588" w:type="dxa"/>
            <w:tcBorders>
              <w:top w:val="nil"/>
              <w:left w:val="nil"/>
              <w:right w:val="nil"/>
            </w:tcBorders>
          </w:tcPr>
          <w:p w14:paraId="4EA10369"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(0.195)</w:t>
            </w:r>
          </w:p>
        </w:tc>
        <w:tc>
          <w:tcPr>
            <w:tcW w:w="1666" w:type="dxa"/>
            <w:tcBorders>
              <w:top w:val="nil"/>
              <w:left w:val="nil"/>
              <w:right w:val="nil"/>
            </w:tcBorders>
          </w:tcPr>
          <w:p w14:paraId="120CA3FF"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(0.202)</w:t>
            </w:r>
          </w:p>
        </w:tc>
        <w:tc>
          <w:tcPr>
            <w:tcW w:w="1984" w:type="dxa"/>
            <w:tcBorders>
              <w:top w:val="nil"/>
              <w:left w:val="nil"/>
              <w:right w:val="nil"/>
            </w:tcBorders>
          </w:tcPr>
          <w:p w14:paraId="09FC20BE"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(0.262)</w:t>
            </w:r>
          </w:p>
        </w:tc>
      </w:tr>
      <w:tr w:rsidR="00244248" w:rsidRPr="00DE6E2E" w14:paraId="3954D2D6" w14:textId="77777777" w:rsidTr="00335B25">
        <w:tc>
          <w:tcPr>
            <w:tcW w:w="2977" w:type="dxa"/>
            <w:tcBorders>
              <w:left w:val="nil"/>
              <w:right w:val="nil"/>
            </w:tcBorders>
          </w:tcPr>
          <w:p w14:paraId="6F7FE43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left w:val="nil"/>
              <w:right w:val="nil"/>
            </w:tcBorders>
          </w:tcPr>
          <w:p w14:paraId="1861F828"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10,087</w:t>
            </w:r>
          </w:p>
        </w:tc>
        <w:tc>
          <w:tcPr>
            <w:tcW w:w="1588" w:type="dxa"/>
            <w:tcBorders>
              <w:left w:val="nil"/>
              <w:right w:val="nil"/>
            </w:tcBorders>
          </w:tcPr>
          <w:p w14:paraId="0179CD9C"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9,105</w:t>
            </w:r>
          </w:p>
        </w:tc>
        <w:tc>
          <w:tcPr>
            <w:tcW w:w="1666" w:type="dxa"/>
            <w:tcBorders>
              <w:left w:val="nil"/>
              <w:right w:val="nil"/>
            </w:tcBorders>
          </w:tcPr>
          <w:p w14:paraId="38D17A31"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10,087</w:t>
            </w:r>
          </w:p>
        </w:tc>
        <w:tc>
          <w:tcPr>
            <w:tcW w:w="1984" w:type="dxa"/>
            <w:tcBorders>
              <w:left w:val="nil"/>
              <w:right w:val="nil"/>
            </w:tcBorders>
          </w:tcPr>
          <w:p w14:paraId="57497D32"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9,106</w:t>
            </w:r>
          </w:p>
        </w:tc>
      </w:tr>
      <w:tr w:rsidR="00244248" w:rsidRPr="00DE6E2E" w14:paraId="7D4729E2" w14:textId="77777777" w:rsidTr="00335B25">
        <w:trPr>
          <w:trHeight w:val="439"/>
        </w:trPr>
        <w:tc>
          <w:tcPr>
            <w:tcW w:w="2977" w:type="dxa"/>
            <w:tcBorders>
              <w:left w:val="nil"/>
              <w:bottom w:val="single" w:sz="4" w:space="0" w:color="ED7D31" w:themeColor="accent2"/>
              <w:right w:val="nil"/>
            </w:tcBorders>
            <w:vAlign w:val="bottom"/>
          </w:tcPr>
          <w:p w14:paraId="0629364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Childbearing expectation</w:t>
            </w:r>
          </w:p>
        </w:tc>
        <w:tc>
          <w:tcPr>
            <w:tcW w:w="1531" w:type="dxa"/>
            <w:tcBorders>
              <w:left w:val="nil"/>
              <w:bottom w:val="single" w:sz="4" w:space="0" w:color="ED7D31" w:themeColor="accent2"/>
              <w:right w:val="nil"/>
            </w:tcBorders>
          </w:tcPr>
          <w:p w14:paraId="761345A2"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588" w:type="dxa"/>
            <w:tcBorders>
              <w:left w:val="nil"/>
              <w:bottom w:val="single" w:sz="4" w:space="0" w:color="ED7D31" w:themeColor="accent2"/>
              <w:right w:val="nil"/>
            </w:tcBorders>
          </w:tcPr>
          <w:p w14:paraId="5C6358E0"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6A55817C"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6D555267"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423552C3" w14:textId="77777777" w:rsidTr="00335B25">
        <w:tc>
          <w:tcPr>
            <w:tcW w:w="2977" w:type="dxa"/>
            <w:tcBorders>
              <w:top w:val="single" w:sz="4" w:space="0" w:color="ED7D31" w:themeColor="accent2"/>
              <w:left w:val="nil"/>
              <w:bottom w:val="nil"/>
              <w:right w:val="nil"/>
            </w:tcBorders>
          </w:tcPr>
          <w:p w14:paraId="2E1EB5AB"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6B2C309E"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0.057</w:t>
            </w:r>
          </w:p>
        </w:tc>
        <w:tc>
          <w:tcPr>
            <w:tcW w:w="1588" w:type="dxa"/>
            <w:tcBorders>
              <w:top w:val="single" w:sz="4" w:space="0" w:color="ED7D31" w:themeColor="accent2"/>
              <w:left w:val="nil"/>
              <w:bottom w:val="nil"/>
              <w:right w:val="nil"/>
            </w:tcBorders>
          </w:tcPr>
          <w:p w14:paraId="195212E4"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0.229</w:t>
            </w:r>
          </w:p>
        </w:tc>
        <w:tc>
          <w:tcPr>
            <w:tcW w:w="1666" w:type="dxa"/>
            <w:tcBorders>
              <w:top w:val="single" w:sz="4" w:space="0" w:color="ED7D31" w:themeColor="accent2"/>
              <w:left w:val="nil"/>
              <w:bottom w:val="nil"/>
              <w:right w:val="nil"/>
            </w:tcBorders>
          </w:tcPr>
          <w:p w14:paraId="7CAB611B"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-0.193</w:t>
            </w:r>
          </w:p>
        </w:tc>
        <w:tc>
          <w:tcPr>
            <w:tcW w:w="1984" w:type="dxa"/>
            <w:tcBorders>
              <w:top w:val="single" w:sz="4" w:space="0" w:color="ED7D31" w:themeColor="accent2"/>
              <w:left w:val="nil"/>
              <w:bottom w:val="nil"/>
              <w:right w:val="nil"/>
            </w:tcBorders>
          </w:tcPr>
          <w:p w14:paraId="55B9566C"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0.383*</w:t>
            </w:r>
          </w:p>
        </w:tc>
      </w:tr>
      <w:tr w:rsidR="00244248" w:rsidRPr="00DE6E2E" w14:paraId="7E4A8131" w14:textId="77777777" w:rsidTr="00335B25">
        <w:tc>
          <w:tcPr>
            <w:tcW w:w="2977" w:type="dxa"/>
            <w:tcBorders>
              <w:top w:val="nil"/>
              <w:left w:val="nil"/>
              <w:right w:val="nil"/>
            </w:tcBorders>
          </w:tcPr>
          <w:p w14:paraId="12B4E16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4037E8BC"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(0.156)</w:t>
            </w:r>
          </w:p>
        </w:tc>
        <w:tc>
          <w:tcPr>
            <w:tcW w:w="1588" w:type="dxa"/>
            <w:tcBorders>
              <w:top w:val="nil"/>
              <w:left w:val="nil"/>
              <w:right w:val="nil"/>
            </w:tcBorders>
          </w:tcPr>
          <w:p w14:paraId="3BE8569A"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(0.153)</w:t>
            </w:r>
          </w:p>
        </w:tc>
        <w:tc>
          <w:tcPr>
            <w:tcW w:w="1666" w:type="dxa"/>
            <w:tcBorders>
              <w:top w:val="nil"/>
              <w:left w:val="nil"/>
              <w:right w:val="nil"/>
            </w:tcBorders>
          </w:tcPr>
          <w:p w14:paraId="5B4F37C6"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(0.170)</w:t>
            </w:r>
          </w:p>
        </w:tc>
        <w:tc>
          <w:tcPr>
            <w:tcW w:w="1984" w:type="dxa"/>
            <w:tcBorders>
              <w:top w:val="nil"/>
              <w:left w:val="nil"/>
              <w:right w:val="nil"/>
            </w:tcBorders>
          </w:tcPr>
          <w:p w14:paraId="091B7B01"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(0.198)</w:t>
            </w:r>
          </w:p>
        </w:tc>
      </w:tr>
      <w:tr w:rsidR="00244248" w:rsidRPr="00DE6E2E" w14:paraId="71B7857C" w14:textId="77777777" w:rsidTr="00335B25">
        <w:tc>
          <w:tcPr>
            <w:tcW w:w="2977" w:type="dxa"/>
            <w:tcBorders>
              <w:top w:val="nil"/>
              <w:left w:val="nil"/>
              <w:right w:val="nil"/>
            </w:tcBorders>
          </w:tcPr>
          <w:p w14:paraId="0B4B3EF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60BB87D5"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10</w:t>
            </w:r>
            <w:r w:rsidRPr="001A2716">
              <w:rPr>
                <w:rFonts w:asciiTheme="majorHAnsi" w:hAnsiTheme="majorHAnsi" w:cstheme="majorHAnsi"/>
                <w:sz w:val="20"/>
                <w:szCs w:val="20"/>
              </w:rPr>
              <w:t>,</w:t>
            </w:r>
            <w:r w:rsidRPr="006C48CB">
              <w:rPr>
                <w:rFonts w:asciiTheme="majorHAnsi" w:hAnsiTheme="majorHAnsi" w:cstheme="majorHAnsi"/>
                <w:sz w:val="20"/>
                <w:szCs w:val="20"/>
              </w:rPr>
              <w:t>078</w:t>
            </w:r>
          </w:p>
        </w:tc>
        <w:tc>
          <w:tcPr>
            <w:tcW w:w="1588" w:type="dxa"/>
            <w:tcBorders>
              <w:top w:val="nil"/>
              <w:left w:val="nil"/>
              <w:right w:val="nil"/>
            </w:tcBorders>
          </w:tcPr>
          <w:p w14:paraId="1556EB1F"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9</w:t>
            </w:r>
            <w:r w:rsidRPr="001A2716">
              <w:rPr>
                <w:rFonts w:asciiTheme="majorHAnsi" w:hAnsiTheme="majorHAnsi" w:cstheme="majorHAnsi"/>
                <w:sz w:val="20"/>
                <w:szCs w:val="20"/>
              </w:rPr>
              <w:t>,</w:t>
            </w:r>
            <w:r w:rsidRPr="006C48CB">
              <w:rPr>
                <w:rFonts w:asciiTheme="majorHAnsi" w:hAnsiTheme="majorHAnsi" w:cstheme="majorHAnsi"/>
                <w:sz w:val="20"/>
                <w:szCs w:val="20"/>
              </w:rPr>
              <w:t>095</w:t>
            </w:r>
          </w:p>
        </w:tc>
        <w:tc>
          <w:tcPr>
            <w:tcW w:w="1666" w:type="dxa"/>
            <w:tcBorders>
              <w:top w:val="nil"/>
              <w:left w:val="nil"/>
              <w:right w:val="nil"/>
            </w:tcBorders>
          </w:tcPr>
          <w:p w14:paraId="4286B796"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10</w:t>
            </w:r>
            <w:r w:rsidRPr="001A2716">
              <w:rPr>
                <w:rFonts w:asciiTheme="majorHAnsi" w:hAnsiTheme="majorHAnsi" w:cstheme="majorHAnsi"/>
                <w:sz w:val="20"/>
                <w:szCs w:val="20"/>
              </w:rPr>
              <w:t>,</w:t>
            </w:r>
            <w:r w:rsidRPr="006C48CB">
              <w:rPr>
                <w:rFonts w:asciiTheme="majorHAnsi" w:hAnsiTheme="majorHAnsi" w:cstheme="majorHAnsi"/>
                <w:sz w:val="20"/>
                <w:szCs w:val="20"/>
              </w:rPr>
              <w:t>078</w:t>
            </w:r>
          </w:p>
        </w:tc>
        <w:tc>
          <w:tcPr>
            <w:tcW w:w="1984" w:type="dxa"/>
            <w:tcBorders>
              <w:top w:val="nil"/>
              <w:left w:val="nil"/>
              <w:right w:val="nil"/>
            </w:tcBorders>
          </w:tcPr>
          <w:p w14:paraId="453DDF97"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9</w:t>
            </w:r>
            <w:r w:rsidRPr="001A2716">
              <w:rPr>
                <w:rFonts w:asciiTheme="majorHAnsi" w:hAnsiTheme="majorHAnsi" w:cstheme="majorHAnsi"/>
                <w:sz w:val="20"/>
                <w:szCs w:val="20"/>
              </w:rPr>
              <w:t>,</w:t>
            </w:r>
            <w:r w:rsidRPr="006C48CB">
              <w:rPr>
                <w:rFonts w:asciiTheme="majorHAnsi" w:hAnsiTheme="majorHAnsi" w:cstheme="majorHAnsi"/>
                <w:sz w:val="20"/>
                <w:szCs w:val="20"/>
              </w:rPr>
              <w:t>096</w:t>
            </w:r>
          </w:p>
        </w:tc>
      </w:tr>
      <w:tr w:rsidR="00244248" w:rsidRPr="00DE6E2E" w14:paraId="1008AD6F" w14:textId="77777777" w:rsidTr="00335B25">
        <w:trPr>
          <w:trHeight w:val="752"/>
        </w:trPr>
        <w:tc>
          <w:tcPr>
            <w:tcW w:w="2977" w:type="dxa"/>
            <w:tcBorders>
              <w:left w:val="nil"/>
              <w:bottom w:val="single" w:sz="4" w:space="0" w:color="ED7D31" w:themeColor="accent2"/>
              <w:right w:val="nil"/>
            </w:tcBorders>
            <w:vAlign w:val="bottom"/>
          </w:tcPr>
          <w:p w14:paraId="2888D9E3"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Additional i</w:t>
            </w:r>
            <w:r w:rsidRPr="00DE6E2E">
              <w:rPr>
                <w:rFonts w:asciiTheme="majorHAnsi" w:hAnsiTheme="majorHAnsi" w:cstheme="majorHAnsi"/>
                <w:b/>
                <w:bCs/>
                <w:sz w:val="20"/>
                <w:szCs w:val="20"/>
              </w:rPr>
              <w:t>ntended number of children</w:t>
            </w:r>
          </w:p>
        </w:tc>
        <w:tc>
          <w:tcPr>
            <w:tcW w:w="1531" w:type="dxa"/>
            <w:tcBorders>
              <w:left w:val="nil"/>
              <w:bottom w:val="single" w:sz="4" w:space="0" w:color="ED7D31" w:themeColor="accent2"/>
              <w:right w:val="nil"/>
            </w:tcBorders>
          </w:tcPr>
          <w:p w14:paraId="251BAC6A"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588" w:type="dxa"/>
            <w:tcBorders>
              <w:left w:val="nil"/>
              <w:bottom w:val="single" w:sz="4" w:space="0" w:color="ED7D31" w:themeColor="accent2"/>
              <w:right w:val="nil"/>
            </w:tcBorders>
          </w:tcPr>
          <w:p w14:paraId="31B214E8"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17D8DD2E"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75A9D977"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4A75262B" w14:textId="77777777" w:rsidTr="00335B25">
        <w:tc>
          <w:tcPr>
            <w:tcW w:w="2977" w:type="dxa"/>
            <w:tcBorders>
              <w:top w:val="single" w:sz="4" w:space="0" w:color="ED7D31" w:themeColor="accent2"/>
              <w:left w:val="nil"/>
              <w:bottom w:val="nil"/>
              <w:right w:val="nil"/>
            </w:tcBorders>
          </w:tcPr>
          <w:p w14:paraId="37F230E6"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614ABC86"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0.039</w:t>
            </w:r>
          </w:p>
        </w:tc>
        <w:tc>
          <w:tcPr>
            <w:tcW w:w="1588" w:type="dxa"/>
            <w:tcBorders>
              <w:top w:val="single" w:sz="4" w:space="0" w:color="ED7D31" w:themeColor="accent2"/>
              <w:left w:val="nil"/>
              <w:bottom w:val="nil"/>
              <w:right w:val="nil"/>
            </w:tcBorders>
          </w:tcPr>
          <w:p w14:paraId="0B2F39C6"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0.080*</w:t>
            </w:r>
          </w:p>
        </w:tc>
        <w:tc>
          <w:tcPr>
            <w:tcW w:w="1666" w:type="dxa"/>
            <w:tcBorders>
              <w:top w:val="single" w:sz="4" w:space="0" w:color="ED7D31" w:themeColor="accent2"/>
              <w:left w:val="nil"/>
              <w:bottom w:val="nil"/>
              <w:right w:val="nil"/>
            </w:tcBorders>
          </w:tcPr>
          <w:p w14:paraId="2DC81348"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0.013</w:t>
            </w:r>
          </w:p>
        </w:tc>
        <w:tc>
          <w:tcPr>
            <w:tcW w:w="1984" w:type="dxa"/>
            <w:tcBorders>
              <w:top w:val="single" w:sz="4" w:space="0" w:color="ED7D31" w:themeColor="accent2"/>
              <w:left w:val="nil"/>
              <w:bottom w:val="nil"/>
              <w:right w:val="nil"/>
            </w:tcBorders>
          </w:tcPr>
          <w:p w14:paraId="6F988D64"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0.132**</w:t>
            </w:r>
          </w:p>
        </w:tc>
      </w:tr>
      <w:tr w:rsidR="00244248" w:rsidRPr="00DE6E2E" w14:paraId="5D9A68C0" w14:textId="77777777" w:rsidTr="00335B25">
        <w:tc>
          <w:tcPr>
            <w:tcW w:w="2977" w:type="dxa"/>
            <w:tcBorders>
              <w:top w:val="nil"/>
              <w:left w:val="nil"/>
              <w:bottom w:val="nil"/>
              <w:right w:val="nil"/>
            </w:tcBorders>
          </w:tcPr>
          <w:p w14:paraId="0B462EBE"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1E7BF0D0"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(0.047)</w:t>
            </w:r>
          </w:p>
        </w:tc>
        <w:tc>
          <w:tcPr>
            <w:tcW w:w="1588" w:type="dxa"/>
            <w:tcBorders>
              <w:top w:val="nil"/>
              <w:left w:val="nil"/>
              <w:bottom w:val="nil"/>
              <w:right w:val="nil"/>
            </w:tcBorders>
          </w:tcPr>
          <w:p w14:paraId="13D22179"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(0.042)</w:t>
            </w:r>
          </w:p>
        </w:tc>
        <w:tc>
          <w:tcPr>
            <w:tcW w:w="1666" w:type="dxa"/>
            <w:tcBorders>
              <w:top w:val="nil"/>
              <w:left w:val="nil"/>
              <w:bottom w:val="nil"/>
              <w:right w:val="nil"/>
            </w:tcBorders>
          </w:tcPr>
          <w:p w14:paraId="7F5AE47D"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(0.055)</w:t>
            </w:r>
          </w:p>
        </w:tc>
        <w:tc>
          <w:tcPr>
            <w:tcW w:w="1984" w:type="dxa"/>
            <w:tcBorders>
              <w:top w:val="nil"/>
              <w:left w:val="nil"/>
              <w:bottom w:val="nil"/>
              <w:right w:val="nil"/>
            </w:tcBorders>
          </w:tcPr>
          <w:p w14:paraId="5CFC7ED4"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6C48CB">
              <w:rPr>
                <w:rFonts w:asciiTheme="majorHAnsi" w:hAnsiTheme="majorHAnsi" w:cstheme="majorHAnsi"/>
                <w:color w:val="808080" w:themeColor="background1" w:themeShade="80"/>
                <w:sz w:val="20"/>
                <w:szCs w:val="20"/>
              </w:rPr>
              <w:t>(0.053)</w:t>
            </w:r>
          </w:p>
        </w:tc>
      </w:tr>
      <w:tr w:rsidR="00244248" w:rsidRPr="00DE6E2E" w14:paraId="2BD6D9AA" w14:textId="77777777" w:rsidTr="00335B25">
        <w:tc>
          <w:tcPr>
            <w:tcW w:w="2977" w:type="dxa"/>
            <w:tcBorders>
              <w:top w:val="nil"/>
              <w:left w:val="nil"/>
              <w:bottom w:val="nil"/>
              <w:right w:val="nil"/>
            </w:tcBorders>
          </w:tcPr>
          <w:p w14:paraId="07B1708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bottom w:val="nil"/>
              <w:right w:val="nil"/>
            </w:tcBorders>
          </w:tcPr>
          <w:p w14:paraId="3D35EE23"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7</w:t>
            </w:r>
            <w:r>
              <w:rPr>
                <w:rFonts w:asciiTheme="majorHAnsi" w:hAnsiTheme="majorHAnsi" w:cstheme="majorHAnsi"/>
                <w:sz w:val="20"/>
                <w:szCs w:val="20"/>
              </w:rPr>
              <w:t>,</w:t>
            </w:r>
            <w:r w:rsidRPr="006C48CB">
              <w:rPr>
                <w:rFonts w:asciiTheme="majorHAnsi" w:hAnsiTheme="majorHAnsi" w:cstheme="majorHAnsi"/>
                <w:sz w:val="20"/>
                <w:szCs w:val="20"/>
              </w:rPr>
              <w:t>495</w:t>
            </w:r>
          </w:p>
        </w:tc>
        <w:tc>
          <w:tcPr>
            <w:tcW w:w="1588" w:type="dxa"/>
            <w:tcBorders>
              <w:top w:val="nil"/>
              <w:left w:val="nil"/>
              <w:bottom w:val="nil"/>
              <w:right w:val="nil"/>
            </w:tcBorders>
          </w:tcPr>
          <w:p w14:paraId="58FD966C"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6</w:t>
            </w:r>
            <w:r>
              <w:rPr>
                <w:rFonts w:asciiTheme="majorHAnsi" w:hAnsiTheme="majorHAnsi" w:cstheme="majorHAnsi"/>
                <w:sz w:val="20"/>
                <w:szCs w:val="20"/>
              </w:rPr>
              <w:t>,</w:t>
            </w:r>
            <w:r w:rsidRPr="006C48CB">
              <w:rPr>
                <w:rFonts w:asciiTheme="majorHAnsi" w:hAnsiTheme="majorHAnsi" w:cstheme="majorHAnsi"/>
                <w:sz w:val="20"/>
                <w:szCs w:val="20"/>
              </w:rPr>
              <w:t>803</w:t>
            </w:r>
          </w:p>
        </w:tc>
        <w:tc>
          <w:tcPr>
            <w:tcW w:w="1666" w:type="dxa"/>
            <w:tcBorders>
              <w:top w:val="nil"/>
              <w:left w:val="nil"/>
              <w:bottom w:val="nil"/>
              <w:right w:val="nil"/>
            </w:tcBorders>
          </w:tcPr>
          <w:p w14:paraId="138081AE"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7</w:t>
            </w:r>
            <w:r>
              <w:rPr>
                <w:rFonts w:asciiTheme="majorHAnsi" w:hAnsiTheme="majorHAnsi" w:cstheme="majorHAnsi"/>
                <w:sz w:val="20"/>
                <w:szCs w:val="20"/>
              </w:rPr>
              <w:t>,</w:t>
            </w:r>
            <w:r w:rsidRPr="006C48CB">
              <w:rPr>
                <w:rFonts w:asciiTheme="majorHAnsi" w:hAnsiTheme="majorHAnsi" w:cstheme="majorHAnsi"/>
                <w:sz w:val="20"/>
                <w:szCs w:val="20"/>
              </w:rPr>
              <w:t>495</w:t>
            </w:r>
          </w:p>
        </w:tc>
        <w:tc>
          <w:tcPr>
            <w:tcW w:w="1984" w:type="dxa"/>
            <w:tcBorders>
              <w:top w:val="nil"/>
              <w:left w:val="nil"/>
              <w:bottom w:val="nil"/>
              <w:right w:val="nil"/>
            </w:tcBorders>
          </w:tcPr>
          <w:p w14:paraId="43FBBEE3" w14:textId="77777777" w:rsidR="00244248" w:rsidRPr="001A2716"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6C48CB">
              <w:rPr>
                <w:rFonts w:asciiTheme="majorHAnsi" w:hAnsiTheme="majorHAnsi" w:cstheme="majorHAnsi"/>
                <w:sz w:val="20"/>
                <w:szCs w:val="20"/>
              </w:rPr>
              <w:t>6</w:t>
            </w:r>
            <w:r>
              <w:rPr>
                <w:rFonts w:asciiTheme="majorHAnsi" w:hAnsiTheme="majorHAnsi" w:cstheme="majorHAnsi"/>
                <w:sz w:val="20"/>
                <w:szCs w:val="20"/>
              </w:rPr>
              <w:t>,</w:t>
            </w:r>
            <w:r w:rsidRPr="006C48CB">
              <w:rPr>
                <w:rFonts w:asciiTheme="majorHAnsi" w:hAnsiTheme="majorHAnsi" w:cstheme="majorHAnsi"/>
                <w:sz w:val="20"/>
                <w:szCs w:val="20"/>
              </w:rPr>
              <w:t>803</w:t>
            </w:r>
          </w:p>
        </w:tc>
      </w:tr>
      <w:tr w:rsidR="00244248" w:rsidRPr="00DE6E2E" w14:paraId="0F9E6E23" w14:textId="77777777" w:rsidTr="00335B25">
        <w:trPr>
          <w:trHeight w:val="385"/>
        </w:trPr>
        <w:tc>
          <w:tcPr>
            <w:tcW w:w="2977" w:type="dxa"/>
            <w:tcBorders>
              <w:left w:val="nil"/>
              <w:bottom w:val="single" w:sz="4" w:space="0" w:color="ED7D31" w:themeColor="accent2"/>
              <w:right w:val="nil"/>
            </w:tcBorders>
            <w:vAlign w:val="bottom"/>
          </w:tcPr>
          <w:p w14:paraId="6C69285F"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Model specifications</w:t>
            </w:r>
          </w:p>
        </w:tc>
        <w:tc>
          <w:tcPr>
            <w:tcW w:w="1531" w:type="dxa"/>
            <w:tcBorders>
              <w:left w:val="nil"/>
              <w:bottom w:val="single" w:sz="4" w:space="0" w:color="ED7D31" w:themeColor="accent2"/>
              <w:right w:val="nil"/>
            </w:tcBorders>
          </w:tcPr>
          <w:p w14:paraId="193EA7A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588" w:type="dxa"/>
            <w:tcBorders>
              <w:left w:val="nil"/>
              <w:bottom w:val="single" w:sz="4" w:space="0" w:color="ED7D31" w:themeColor="accent2"/>
              <w:right w:val="nil"/>
            </w:tcBorders>
          </w:tcPr>
          <w:p w14:paraId="13B2246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342B7DD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0387E66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23CC94FD" w14:textId="77777777" w:rsidTr="00335B25">
        <w:tc>
          <w:tcPr>
            <w:tcW w:w="2977" w:type="dxa"/>
            <w:tcBorders>
              <w:top w:val="single" w:sz="4" w:space="0" w:color="ED7D31" w:themeColor="accent2"/>
              <w:left w:val="nil"/>
              <w:bottom w:val="nil"/>
              <w:right w:val="nil"/>
            </w:tcBorders>
          </w:tcPr>
          <w:p w14:paraId="4BF3E61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Year and State Fixed Effects</w:t>
            </w:r>
          </w:p>
        </w:tc>
        <w:tc>
          <w:tcPr>
            <w:tcW w:w="1531" w:type="dxa"/>
            <w:tcBorders>
              <w:top w:val="single" w:sz="4" w:space="0" w:color="ED7D31" w:themeColor="accent2"/>
              <w:left w:val="nil"/>
              <w:bottom w:val="nil"/>
              <w:right w:val="nil"/>
            </w:tcBorders>
          </w:tcPr>
          <w:p w14:paraId="66CEF51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588" w:type="dxa"/>
            <w:tcBorders>
              <w:top w:val="single" w:sz="4" w:space="0" w:color="ED7D31" w:themeColor="accent2"/>
              <w:left w:val="nil"/>
              <w:bottom w:val="nil"/>
              <w:right w:val="nil"/>
            </w:tcBorders>
          </w:tcPr>
          <w:p w14:paraId="2C9D736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single" w:sz="4" w:space="0" w:color="ED7D31" w:themeColor="accent2"/>
              <w:left w:val="nil"/>
              <w:bottom w:val="nil"/>
              <w:right w:val="nil"/>
            </w:tcBorders>
          </w:tcPr>
          <w:p w14:paraId="2F6146E2"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single" w:sz="4" w:space="0" w:color="ED7D31" w:themeColor="accent2"/>
              <w:left w:val="nil"/>
              <w:bottom w:val="nil"/>
              <w:right w:val="nil"/>
            </w:tcBorders>
          </w:tcPr>
          <w:p w14:paraId="41E9075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254FD04B" w14:textId="77777777" w:rsidTr="00335B25">
        <w:tc>
          <w:tcPr>
            <w:tcW w:w="2977" w:type="dxa"/>
            <w:tcBorders>
              <w:top w:val="nil"/>
              <w:left w:val="nil"/>
              <w:bottom w:val="nil"/>
              <w:right w:val="nil"/>
            </w:tcBorders>
          </w:tcPr>
          <w:p w14:paraId="7A7C80B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Time-varying Demographics</w:t>
            </w:r>
          </w:p>
        </w:tc>
        <w:tc>
          <w:tcPr>
            <w:tcW w:w="1531" w:type="dxa"/>
            <w:tcBorders>
              <w:top w:val="nil"/>
              <w:left w:val="nil"/>
              <w:bottom w:val="nil"/>
              <w:right w:val="nil"/>
            </w:tcBorders>
          </w:tcPr>
          <w:p w14:paraId="15626E9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588" w:type="dxa"/>
            <w:tcBorders>
              <w:top w:val="nil"/>
              <w:left w:val="nil"/>
              <w:bottom w:val="nil"/>
              <w:right w:val="nil"/>
            </w:tcBorders>
          </w:tcPr>
          <w:p w14:paraId="7C3900E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bottom w:val="nil"/>
              <w:right w:val="nil"/>
            </w:tcBorders>
          </w:tcPr>
          <w:p w14:paraId="31E46F4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bottom w:val="nil"/>
              <w:right w:val="nil"/>
            </w:tcBorders>
          </w:tcPr>
          <w:p w14:paraId="238E4DE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47C6AC8F" w14:textId="77777777" w:rsidTr="00335B25">
        <w:tc>
          <w:tcPr>
            <w:tcW w:w="2977" w:type="dxa"/>
            <w:tcBorders>
              <w:top w:val="nil"/>
              <w:left w:val="nil"/>
              <w:right w:val="nil"/>
            </w:tcBorders>
          </w:tcPr>
          <w:p w14:paraId="01F68F43"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Time-invariant Demographics</w:t>
            </w:r>
          </w:p>
        </w:tc>
        <w:tc>
          <w:tcPr>
            <w:tcW w:w="1531" w:type="dxa"/>
            <w:tcBorders>
              <w:top w:val="nil"/>
              <w:left w:val="nil"/>
              <w:right w:val="nil"/>
            </w:tcBorders>
          </w:tcPr>
          <w:p w14:paraId="6AE2B1C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588" w:type="dxa"/>
            <w:tcBorders>
              <w:top w:val="nil"/>
              <w:left w:val="nil"/>
              <w:right w:val="nil"/>
            </w:tcBorders>
          </w:tcPr>
          <w:p w14:paraId="15CB71EC"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right w:val="nil"/>
            </w:tcBorders>
          </w:tcPr>
          <w:p w14:paraId="38DE258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right w:val="nil"/>
            </w:tcBorders>
          </w:tcPr>
          <w:p w14:paraId="3D53829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r>
      <w:tr w:rsidR="00244248" w:rsidRPr="00DE6E2E" w14:paraId="798F4C92" w14:textId="77777777" w:rsidTr="00335B25">
        <w:tc>
          <w:tcPr>
            <w:tcW w:w="2977" w:type="dxa"/>
            <w:tcBorders>
              <w:top w:val="nil"/>
              <w:left w:val="nil"/>
              <w:bottom w:val="single" w:sz="4" w:space="0" w:color="ED7D31" w:themeColor="accent2"/>
              <w:right w:val="nil"/>
            </w:tcBorders>
          </w:tcPr>
          <w:p w14:paraId="2BD6B68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672524F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588" w:type="dxa"/>
            <w:tcBorders>
              <w:top w:val="nil"/>
              <w:left w:val="nil"/>
              <w:bottom w:val="single" w:sz="4" w:space="0" w:color="ED7D31" w:themeColor="accent2"/>
              <w:right w:val="nil"/>
            </w:tcBorders>
          </w:tcPr>
          <w:p w14:paraId="170731D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0A0F6AA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0C7B844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bl>
    <w:p w14:paraId="09796BA3" w14:textId="77777777" w:rsidR="00244248" w:rsidRDefault="00244248" w:rsidP="00244248"/>
    <w:p w14:paraId="270042B5" w14:textId="7CAD548D" w:rsidR="00CD7C71" w:rsidRDefault="00CD7C71" w:rsidP="00CD7C71">
      <w:r>
        <w:t xml:space="preserve">Identification strategy I (results in appendix) produces estimates that are not statistically significant.  Again, this indicates that the findings in this section are not robust to alternative identification strategies.  </w:t>
      </w:r>
    </w:p>
    <w:p w14:paraId="12230397" w14:textId="77777777" w:rsidR="00244248" w:rsidRDefault="00244248" w:rsidP="00244248">
      <w:r>
        <w:br w:type="page"/>
      </w:r>
    </w:p>
    <w:p w14:paraId="644D743F" w14:textId="77777777" w:rsidR="00244248" w:rsidRPr="007945DF" w:rsidRDefault="00244248" w:rsidP="00244248">
      <w:pPr>
        <w:pStyle w:val="Heading2"/>
        <w:spacing w:line="276" w:lineRule="auto"/>
        <w:rPr>
          <w:sz w:val="36"/>
          <w:szCs w:val="36"/>
        </w:rPr>
      </w:pPr>
      <w:bookmarkStart w:id="202" w:name="_Toc87454660"/>
      <w:bookmarkStart w:id="203" w:name="_Toc98404987"/>
      <w:r w:rsidRPr="007945DF">
        <w:rPr>
          <w:sz w:val="36"/>
          <w:szCs w:val="36"/>
        </w:rPr>
        <w:lastRenderedPageBreak/>
        <w:t>Analysis of fertility measures</w:t>
      </w:r>
      <w:bookmarkEnd w:id="202"/>
      <w:bookmarkEnd w:id="203"/>
    </w:p>
    <w:p w14:paraId="0A717E2A" w14:textId="77777777" w:rsidR="00244248" w:rsidRDefault="00244248" w:rsidP="00244248"/>
    <w:p w14:paraId="3F01CC9A" w14:textId="77777777" w:rsidR="00244248" w:rsidRDefault="00244248" w:rsidP="00244248">
      <w:r>
        <w:t>In this section we look at a broad range of correlations between different fertility measures available in HILDA and a wide variety of variables which are thought to have an effect on fertility. The structure of this part of the report is as follows:</w:t>
      </w:r>
    </w:p>
    <w:p w14:paraId="43130464" w14:textId="77777777" w:rsidR="00244248" w:rsidRDefault="00244248" w:rsidP="00244248">
      <w:pPr>
        <w:pStyle w:val="ListParagraph"/>
        <w:numPr>
          <w:ilvl w:val="0"/>
          <w:numId w:val="34"/>
        </w:numPr>
        <w:jc w:val="both"/>
      </w:pPr>
      <w:r>
        <w:t xml:space="preserve">childbearing desire or preference to have more children; </w:t>
      </w:r>
    </w:p>
    <w:p w14:paraId="4B9C3F01" w14:textId="77777777" w:rsidR="00244248" w:rsidRDefault="00244248" w:rsidP="00244248">
      <w:pPr>
        <w:pStyle w:val="ListParagraph"/>
        <w:numPr>
          <w:ilvl w:val="0"/>
          <w:numId w:val="34"/>
        </w:numPr>
        <w:jc w:val="both"/>
      </w:pPr>
      <w:r>
        <w:t>childbearing expectation or assessment of the probability of having more children;</w:t>
      </w:r>
    </w:p>
    <w:p w14:paraId="4429D890" w14:textId="77777777" w:rsidR="00244248" w:rsidRDefault="00244248" w:rsidP="00244248">
      <w:pPr>
        <w:pStyle w:val="ListParagraph"/>
        <w:numPr>
          <w:ilvl w:val="0"/>
          <w:numId w:val="34"/>
        </w:numPr>
        <w:jc w:val="both"/>
      </w:pPr>
      <w:r>
        <w:t>the perception of barriers for those women who think that it is unlikely that they will have more children despite expressing a preference for more children</w:t>
      </w:r>
    </w:p>
    <w:p w14:paraId="1465E5EE" w14:textId="77777777" w:rsidR="00244248" w:rsidRDefault="00244248" w:rsidP="00244248">
      <w:pPr>
        <w:pStyle w:val="ListParagraph"/>
        <w:numPr>
          <w:ilvl w:val="0"/>
          <w:numId w:val="34"/>
        </w:numPr>
        <w:jc w:val="both"/>
      </w:pPr>
      <w:r>
        <w:t xml:space="preserve">the number of additionally intended children </w:t>
      </w:r>
    </w:p>
    <w:p w14:paraId="2432983B" w14:textId="77777777" w:rsidR="00244248" w:rsidRDefault="00244248" w:rsidP="00244248">
      <w:pPr>
        <w:pStyle w:val="ListParagraph"/>
        <w:numPr>
          <w:ilvl w:val="0"/>
          <w:numId w:val="34"/>
        </w:numPr>
        <w:jc w:val="both"/>
      </w:pPr>
      <w:r>
        <w:t>the intended timing to next child, and</w:t>
      </w:r>
    </w:p>
    <w:p w14:paraId="4406CED3" w14:textId="77777777" w:rsidR="00244248" w:rsidRDefault="00244248" w:rsidP="00244248">
      <w:pPr>
        <w:pStyle w:val="ListParagraph"/>
        <w:numPr>
          <w:ilvl w:val="0"/>
          <w:numId w:val="34"/>
        </w:numPr>
        <w:jc w:val="both"/>
      </w:pPr>
      <w:r>
        <w:t>who doesn’t have children?</w:t>
      </w:r>
    </w:p>
    <w:p w14:paraId="339C5F6F" w14:textId="77777777" w:rsidR="00244248" w:rsidRDefault="00244248" w:rsidP="007C5778">
      <w:pPr>
        <w:pStyle w:val="Heading3"/>
      </w:pPr>
      <w:bookmarkStart w:id="204" w:name="_Toc87454661"/>
      <w:r w:rsidRPr="00C3521C">
        <w:t>Determinants of childbearing desires</w:t>
      </w:r>
      <w:r>
        <w:t xml:space="preserve"> and</w:t>
      </w:r>
      <w:r w:rsidRPr="00C3521C">
        <w:t xml:space="preserve"> expectations</w:t>
      </w:r>
      <w:bookmarkEnd w:id="204"/>
      <w:r w:rsidRPr="00C3521C">
        <w:t xml:space="preserve"> </w:t>
      </w:r>
    </w:p>
    <w:p w14:paraId="1105E265" w14:textId="365DBB35" w:rsidR="00244248" w:rsidRDefault="00244248" w:rsidP="00244248">
      <w:r w:rsidRPr="006C48CB">
        <w:t>We start by looking at the determinants of childbearing desires (</w:t>
      </w:r>
      <w:r w:rsidRPr="006C48CB">
        <w:fldChar w:fldCharType="begin"/>
      </w:r>
      <w:r w:rsidRPr="006C48CB">
        <w:instrText xml:space="preserve"> REF _Ref83983111 \h  \* MERGEFORMAT </w:instrText>
      </w:r>
      <w:r w:rsidRPr="006C48CB">
        <w:fldChar w:fldCharType="separate"/>
      </w:r>
      <w:r w:rsidR="00115E22">
        <w:t>Table 36</w:t>
      </w:r>
      <w:r w:rsidRPr="006C48CB">
        <w:fldChar w:fldCharType="end"/>
      </w:r>
      <w:r w:rsidRPr="006C48CB">
        <w:t>) and childbearing</w:t>
      </w:r>
      <w:r>
        <w:t xml:space="preserve"> </w:t>
      </w:r>
      <w:r w:rsidRPr="006C48CB">
        <w:t>expectations or the perceived likelihood of having (additional) children  (</w:t>
      </w:r>
      <w:r w:rsidRPr="006C48CB">
        <w:fldChar w:fldCharType="begin"/>
      </w:r>
      <w:r w:rsidRPr="006C48CB">
        <w:instrText xml:space="preserve"> REF _Ref84579555 \h  \* MERGEFORMAT </w:instrText>
      </w:r>
      <w:r w:rsidRPr="006C48CB">
        <w:fldChar w:fldCharType="separate"/>
      </w:r>
      <w:r w:rsidR="00115E22">
        <w:t>Table 37</w:t>
      </w:r>
      <w:r w:rsidRPr="006C48CB">
        <w:fldChar w:fldCharType="end"/>
      </w:r>
      <w:r w:rsidRPr="006C48CB">
        <w:t>).  Childbearing desires is measured on a 0-10 scale where 0 indicates ‘definitely doesn’t want children’ and  10 indicates ‘very much wants to have children’.  Similarly for expectations this is the perceived likelihood of having children in the future, on a 0-10 scale with 0 meaning ‘very unlikely’ and 10 meaning ‘very likely’. The analysis is run using random effects, taking into account that there are multiple observations per woman. We also conducted fixed effects modelling for childbearing desires and expectations, with the results presented in</w:t>
      </w:r>
      <w:r>
        <w:t xml:space="preserve"> the Appendix </w:t>
      </w:r>
      <w:r>
        <w:fldChar w:fldCharType="begin"/>
      </w:r>
      <w:r>
        <w:instrText xml:space="preserve"> REF _Ref84939265 \h  \* MERGEFORMAT </w:instrText>
      </w:r>
      <w:r>
        <w:fldChar w:fldCharType="separate"/>
      </w:r>
      <w:r w:rsidR="00115E22">
        <w:t>Table 56</w:t>
      </w:r>
      <w:r>
        <w:fldChar w:fldCharType="end"/>
      </w:r>
      <w:r w:rsidR="00CE06A6">
        <w:t xml:space="preserve"> and</w:t>
      </w:r>
      <w:r w:rsidRPr="006C48CB">
        <w:t xml:space="preserve"> </w:t>
      </w:r>
      <w:r w:rsidRPr="006C48CB">
        <w:fldChar w:fldCharType="begin"/>
      </w:r>
      <w:r w:rsidRPr="006C48CB">
        <w:instrText xml:space="preserve"> REF _Ref84579649 \h  \* MERGEFORMAT </w:instrText>
      </w:r>
      <w:r w:rsidRPr="006C48CB">
        <w:fldChar w:fldCharType="separate"/>
      </w:r>
      <w:r w:rsidR="00115E22">
        <w:t>Table 57</w:t>
      </w:r>
      <w:r w:rsidRPr="006C48CB">
        <w:fldChar w:fldCharType="end"/>
      </w:r>
      <w:r w:rsidRPr="006C48CB">
        <w:t xml:space="preserve"> respectively. The results are presented for the full sample of women, as well as by parity. </w:t>
      </w:r>
    </w:p>
    <w:p w14:paraId="29CAF198" w14:textId="77777777" w:rsidR="00244248" w:rsidRDefault="00244248" w:rsidP="00244248"/>
    <w:p w14:paraId="69A310D5" w14:textId="4BE4D6FD" w:rsidR="007C5778" w:rsidRDefault="00244248" w:rsidP="00244248">
      <w:r>
        <w:t xml:space="preserve">For both childbearing desires and expectations we see a strong two child norm. Childless women, and those with one child already show a strong desire for (additional) children, and a strong expectation of achieving this. However, for women with two or three children already there is large decline in their childbearing desires and expectations, as shown in </w:t>
      </w:r>
      <w:r>
        <w:fldChar w:fldCharType="begin"/>
      </w:r>
      <w:r>
        <w:instrText xml:space="preserve"> REF _Ref84579900 \h  \* MERGEFORMAT </w:instrText>
      </w:r>
      <w:r>
        <w:fldChar w:fldCharType="separate"/>
      </w:r>
      <w:r w:rsidR="00115E22">
        <w:t xml:space="preserve">Figure </w:t>
      </w:r>
      <w:r w:rsidR="00115E22">
        <w:rPr>
          <w:noProof/>
        </w:rPr>
        <w:t>43</w:t>
      </w:r>
      <w:r>
        <w:fldChar w:fldCharType="end"/>
      </w:r>
      <w:r>
        <w:t xml:space="preserve"> which shows the predicted values for these two outcomes, controlling for the other variables in the model.</w:t>
      </w:r>
    </w:p>
    <w:p w14:paraId="44618D51" w14:textId="77777777" w:rsidR="007C5778" w:rsidRDefault="007C5778">
      <w:r>
        <w:br w:type="page"/>
      </w:r>
    </w:p>
    <w:p w14:paraId="40CD7172" w14:textId="77777777" w:rsidR="00244248" w:rsidRDefault="00244248" w:rsidP="00244248"/>
    <w:p w14:paraId="2FC9B98F" w14:textId="51DBF1AA" w:rsidR="00244248" w:rsidRDefault="00244248" w:rsidP="00244248">
      <w:pPr>
        <w:pStyle w:val="Caption"/>
      </w:pPr>
      <w:bookmarkStart w:id="205" w:name="_Ref84579900"/>
      <w:r>
        <w:t xml:space="preserve">Figure </w:t>
      </w:r>
      <w:fldSimple w:instr=" SEQ Figure \* ARABIC ">
        <w:r w:rsidR="00115E22">
          <w:rPr>
            <w:noProof/>
          </w:rPr>
          <w:t>43</w:t>
        </w:r>
      </w:fldSimple>
      <w:bookmarkEnd w:id="205"/>
      <w:r>
        <w:t xml:space="preserve"> Predicted childbearing desires and expectations, by parity</w:t>
      </w:r>
    </w:p>
    <w:p w14:paraId="68E0784A" w14:textId="77777777" w:rsidR="00244248" w:rsidRDefault="00244248" w:rsidP="00244248">
      <w:pPr>
        <w:pStyle w:val="Caption"/>
        <w:keepNext/>
      </w:pPr>
    </w:p>
    <w:p w14:paraId="0673AAD1" w14:textId="77777777" w:rsidR="00244248" w:rsidRDefault="00244248" w:rsidP="00244248">
      <w:pPr>
        <w:keepNext/>
      </w:pPr>
      <w:r w:rsidRPr="00055F1C">
        <w:rPr>
          <w:noProof/>
          <w:lang w:eastAsia="en-AU"/>
        </w:rPr>
        <w:drawing>
          <wp:inline distT="0" distB="0" distL="0" distR="0" wp14:anchorId="1F8FAFAB" wp14:editId="665307DD">
            <wp:extent cx="3971925" cy="288867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81524" cy="2895655"/>
                    </a:xfrm>
                    <a:prstGeom prst="rect">
                      <a:avLst/>
                    </a:prstGeom>
                    <a:noFill/>
                    <a:ln>
                      <a:noFill/>
                    </a:ln>
                  </pic:spPr>
                </pic:pic>
              </a:graphicData>
            </a:graphic>
          </wp:inline>
        </w:drawing>
      </w:r>
    </w:p>
    <w:p w14:paraId="1E6CD80A" w14:textId="4D83D81E" w:rsidR="00244248" w:rsidRDefault="00244248" w:rsidP="00244248">
      <w:r>
        <w:rPr>
          <w:noProof/>
        </w:rPr>
        <w:t>For the full sample, as well as at each parity</w:t>
      </w:r>
      <w:r>
        <w:t xml:space="preserve">, age is one of the most important determinants of each of the future childbearing measures. This can also be seen visually in </w:t>
      </w:r>
      <w:r>
        <w:fldChar w:fldCharType="begin"/>
      </w:r>
      <w:r>
        <w:instrText xml:space="preserve"> REF _Ref84580428 \h </w:instrText>
      </w:r>
      <w:r>
        <w:fldChar w:fldCharType="separate"/>
      </w:r>
      <w:r w:rsidR="00115E22">
        <w:t xml:space="preserve">Figure </w:t>
      </w:r>
      <w:r w:rsidR="00115E22">
        <w:rPr>
          <w:noProof/>
        </w:rPr>
        <w:t>44</w:t>
      </w:r>
      <w:r>
        <w:fldChar w:fldCharType="end"/>
      </w:r>
      <w:r>
        <w:t xml:space="preserve"> and </w:t>
      </w:r>
      <w:r>
        <w:fldChar w:fldCharType="begin"/>
      </w:r>
      <w:r>
        <w:instrText xml:space="preserve"> REF _Ref84580430 \h </w:instrText>
      </w:r>
      <w:r>
        <w:fldChar w:fldCharType="separate"/>
      </w:r>
      <w:r w:rsidR="00115E22">
        <w:t xml:space="preserve">Figure </w:t>
      </w:r>
      <w:r w:rsidR="00115E22">
        <w:rPr>
          <w:noProof/>
        </w:rPr>
        <w:t>45</w:t>
      </w:r>
      <w:r>
        <w:fldChar w:fldCharType="end"/>
      </w:r>
      <w:r>
        <w:t xml:space="preserve">, for desires and expectations respectively. </w:t>
      </w:r>
    </w:p>
    <w:p w14:paraId="50A8AF61" w14:textId="77777777" w:rsidR="00244248" w:rsidRDefault="00244248" w:rsidP="00244248">
      <w:r>
        <w:t>For childbearing desires the predicted desire for children falls declines with age. At all parities we see a decline at each increasing age group, however the decline is more rapid from after the mid-30s.</w:t>
      </w:r>
    </w:p>
    <w:p w14:paraId="725CFB78" w14:textId="77777777" w:rsidR="00244248" w:rsidRDefault="00244248" w:rsidP="00244248">
      <w:pPr>
        <w:keepNext/>
        <w:widowControl w:val="0"/>
        <w:autoSpaceDE w:val="0"/>
        <w:autoSpaceDN w:val="0"/>
        <w:adjustRightInd w:val="0"/>
        <w:rPr>
          <w:noProof/>
        </w:rPr>
      </w:pPr>
    </w:p>
    <w:p w14:paraId="742825A0" w14:textId="054AA254" w:rsidR="00244248" w:rsidRDefault="00244248" w:rsidP="00244248">
      <w:pPr>
        <w:pStyle w:val="Caption"/>
        <w:keepNext/>
      </w:pPr>
      <w:bookmarkStart w:id="206" w:name="_Ref84580428"/>
      <w:r>
        <w:t xml:space="preserve">Figure </w:t>
      </w:r>
      <w:fldSimple w:instr=" SEQ Figure \* ARABIC ">
        <w:r w:rsidR="00115E22">
          <w:rPr>
            <w:noProof/>
          </w:rPr>
          <w:t>44</w:t>
        </w:r>
      </w:fldSimple>
      <w:bookmarkEnd w:id="206"/>
      <w:r>
        <w:t xml:space="preserve"> Predicted childbearing desires, by age and parity with 95% confidence intervals</w:t>
      </w:r>
    </w:p>
    <w:p w14:paraId="43384EDB" w14:textId="77777777" w:rsidR="00244248" w:rsidRDefault="00244248" w:rsidP="00244248">
      <w:pPr>
        <w:keepNext/>
        <w:widowControl w:val="0"/>
        <w:autoSpaceDE w:val="0"/>
        <w:autoSpaceDN w:val="0"/>
        <w:adjustRightInd w:val="0"/>
        <w:rPr>
          <w:noProof/>
        </w:rPr>
      </w:pPr>
      <w:r w:rsidRPr="000D5E48">
        <w:rPr>
          <w:noProof/>
          <w:lang w:eastAsia="en-AU"/>
        </w:rPr>
        <w:drawing>
          <wp:inline distT="0" distB="0" distL="0" distR="0" wp14:anchorId="1A6193D6" wp14:editId="2C713775">
            <wp:extent cx="3471649" cy="252483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76749" cy="2528545"/>
                    </a:xfrm>
                    <a:prstGeom prst="rect">
                      <a:avLst/>
                    </a:prstGeom>
                    <a:noFill/>
                    <a:ln>
                      <a:noFill/>
                    </a:ln>
                  </pic:spPr>
                </pic:pic>
              </a:graphicData>
            </a:graphic>
          </wp:inline>
        </w:drawing>
      </w:r>
    </w:p>
    <w:p w14:paraId="6235F868" w14:textId="23B9025B" w:rsidR="00244248" w:rsidRDefault="00244248" w:rsidP="00244248">
      <w:pPr>
        <w:pStyle w:val="Caption"/>
        <w:keepNext/>
      </w:pPr>
      <w:bookmarkStart w:id="207" w:name="_Ref84580430"/>
      <w:r>
        <w:t xml:space="preserve">Figure </w:t>
      </w:r>
      <w:fldSimple w:instr=" SEQ Figure \* ARABIC ">
        <w:r w:rsidR="00115E22">
          <w:rPr>
            <w:noProof/>
          </w:rPr>
          <w:t>45</w:t>
        </w:r>
      </w:fldSimple>
      <w:bookmarkEnd w:id="207"/>
      <w:r>
        <w:t xml:space="preserve"> Predicted childbearing expectations, by age and parity with 95% confidence intervals</w:t>
      </w:r>
    </w:p>
    <w:p w14:paraId="4B87873F" w14:textId="77777777" w:rsidR="00244248" w:rsidRDefault="00244248" w:rsidP="00244248">
      <w:pPr>
        <w:keepNext/>
        <w:widowControl w:val="0"/>
        <w:autoSpaceDE w:val="0"/>
        <w:autoSpaceDN w:val="0"/>
        <w:adjustRightInd w:val="0"/>
        <w:rPr>
          <w:noProof/>
        </w:rPr>
      </w:pPr>
      <w:r w:rsidRPr="00A32633">
        <w:rPr>
          <w:noProof/>
          <w:lang w:eastAsia="en-AU"/>
        </w:rPr>
        <w:drawing>
          <wp:inline distT="0" distB="0" distL="0" distR="0" wp14:anchorId="0E695E9F" wp14:editId="7B5FA870">
            <wp:extent cx="3405116" cy="2476448"/>
            <wp:effectExtent l="0" t="0" r="508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09348" cy="2479526"/>
                    </a:xfrm>
                    <a:prstGeom prst="rect">
                      <a:avLst/>
                    </a:prstGeom>
                    <a:noFill/>
                    <a:ln>
                      <a:noFill/>
                    </a:ln>
                  </pic:spPr>
                </pic:pic>
              </a:graphicData>
            </a:graphic>
          </wp:inline>
        </w:drawing>
      </w:r>
    </w:p>
    <w:p w14:paraId="295C5115" w14:textId="77777777" w:rsidR="00244248" w:rsidRDefault="00244248" w:rsidP="00244248">
      <w:pPr>
        <w:keepNext/>
        <w:widowControl w:val="0"/>
        <w:autoSpaceDE w:val="0"/>
        <w:autoSpaceDN w:val="0"/>
        <w:adjustRightInd w:val="0"/>
        <w:spacing w:line="240" w:lineRule="auto"/>
      </w:pPr>
      <w:r>
        <w:rPr>
          <w:noProof/>
        </w:rPr>
        <w:t xml:space="preserve">In terms of education we observe a strong positive relationship between education level and childbearing desires and expectations. Compared to women with Year 11 or below education, for both childbearing desires and expectations, after controlling for other variables, women with a university degree or a diploma or higher certificate are more likely to have a stronger preference for and higher perceived probability of having children. </w:t>
      </w:r>
      <w:r>
        <w:t xml:space="preserve">This relationship is true at all parities but is stronger at parities 1 and 2. For example, for childless women those with a university degree have an average predicted childbearing desire of 7.35, compared to 7.12 for those with Year 11 education or below only. This difference is statistically significant, but small in terms of overall size. However, for women with one child already, the educational differentials in desires (and expectations) are larger in magnitude. A university educated woman with one child is predicted to have childbearing desire of 6.7 compared to 5.23 for women with Year 11 education or below. </w:t>
      </w:r>
    </w:p>
    <w:p w14:paraId="559F5A42" w14:textId="77777777" w:rsidR="00244248" w:rsidRDefault="00244248" w:rsidP="00244248">
      <w:pPr>
        <w:rPr>
          <w:noProof/>
        </w:rPr>
      </w:pPr>
      <w:r>
        <w:rPr>
          <w:noProof/>
        </w:rPr>
        <w:t xml:space="preserve">Relationship status is also an important correlate for fertility. </w:t>
      </w:r>
      <w:r>
        <w:t xml:space="preserve">Not surprisingly, being in a relationship (whether married or cohabiting) is associated with higher childbearing desires and expectations. </w:t>
      </w:r>
    </w:p>
    <w:p w14:paraId="5D5688B1" w14:textId="77777777" w:rsidR="00244248" w:rsidRDefault="00244248" w:rsidP="00244248">
      <w:r>
        <w:t xml:space="preserve">A woman’s employment status is also an important factor related to her childbearing desires and expectations; however the influence of employment varies by parity. For childless women, </w:t>
      </w:r>
      <w:r>
        <w:lastRenderedPageBreak/>
        <w:t xml:space="preserve">compared to women in permanent full-time employment, those not working at all have lower childbearing desires and lower childbearing expectations.  However, for women with one child already this relationship switches and it is those not working that have a higher childbearing desire and expectation.  In fact, at parity 1, women working in a full-time role have the lowest childbearing desire. </w:t>
      </w:r>
    </w:p>
    <w:p w14:paraId="5BC6CBA9" w14:textId="4A870E25" w:rsidR="00244248" w:rsidRDefault="00244248" w:rsidP="00244248">
      <w:r>
        <w:t xml:space="preserve">The relationship between childbearing desires and employment status is shown in </w:t>
      </w:r>
      <w:r>
        <w:fldChar w:fldCharType="begin"/>
      </w:r>
      <w:r>
        <w:instrText xml:space="preserve"> REF _Ref84581682 \h </w:instrText>
      </w:r>
      <w:r>
        <w:fldChar w:fldCharType="separate"/>
      </w:r>
      <w:r w:rsidR="00115E22">
        <w:t xml:space="preserve">Figure </w:t>
      </w:r>
      <w:r w:rsidR="00115E22">
        <w:rPr>
          <w:noProof/>
        </w:rPr>
        <w:t>46</w:t>
      </w:r>
      <w:r>
        <w:fldChar w:fldCharType="end"/>
      </w:r>
      <w:r>
        <w:t xml:space="preserve"> . Although the differences discussed above are significant, compared to age and relationship status the effect is much smaller. For example, a woman with one child working in a permanent full-time role is predicted to have a childbearing desire of 5.63 [5.44 to 5.83</w:t>
      </w:r>
      <w:r>
        <w:rPr>
          <w:rStyle w:val="FootnoteReference"/>
        </w:rPr>
        <w:footnoteReference w:id="34"/>
      </w:r>
      <w:r>
        <w:t xml:space="preserve">]  compared to 6.1 [5.9 to 6.23] for a women with one child who is not working. </w:t>
      </w:r>
    </w:p>
    <w:p w14:paraId="747FF8AB" w14:textId="55CD5ED3" w:rsidR="00244248" w:rsidRDefault="00244248" w:rsidP="00244248">
      <w:pPr>
        <w:pStyle w:val="Caption"/>
        <w:keepNext/>
      </w:pPr>
      <w:bookmarkStart w:id="208" w:name="_Ref84581682"/>
      <w:r>
        <w:t xml:space="preserve">Figure </w:t>
      </w:r>
      <w:fldSimple w:instr=" SEQ Figure \* ARABIC ">
        <w:r w:rsidR="00115E22">
          <w:rPr>
            <w:noProof/>
          </w:rPr>
          <w:t>46</w:t>
        </w:r>
      </w:fldSimple>
      <w:bookmarkEnd w:id="208"/>
      <w:r>
        <w:t xml:space="preserve"> Predicted childbearing desires by parity and employment status, with 95% confidence intervals</w:t>
      </w:r>
    </w:p>
    <w:p w14:paraId="6C73B600" w14:textId="77777777" w:rsidR="00244248" w:rsidRDefault="00244248" w:rsidP="00244248">
      <w:r w:rsidRPr="006219AE">
        <w:rPr>
          <w:noProof/>
          <w:lang w:eastAsia="en-AU"/>
        </w:rPr>
        <w:drawing>
          <wp:inline distT="0" distB="0" distL="0" distR="0" wp14:anchorId="1FCDD71C" wp14:editId="36C221EB">
            <wp:extent cx="3914775" cy="284710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4813" cy="2861682"/>
                    </a:xfrm>
                    <a:prstGeom prst="rect">
                      <a:avLst/>
                    </a:prstGeom>
                    <a:noFill/>
                    <a:ln>
                      <a:noFill/>
                    </a:ln>
                  </pic:spPr>
                </pic:pic>
              </a:graphicData>
            </a:graphic>
          </wp:inline>
        </w:drawing>
      </w:r>
    </w:p>
    <w:p w14:paraId="362BBA82" w14:textId="39B37E1E" w:rsidR="00244248" w:rsidRDefault="00244248" w:rsidP="00244248">
      <w:r>
        <w:t xml:space="preserve">Household income shows a minimal relationship with childbearing desires, with no significant association except at Parity 1 where there is a positive relationship with higher income associated with a higher childbearing desire. In contrast, income is related to childbearing expectations particularly among childless women who have not yet started a family. This could be related to the importance attached to feelings of economic security before entering a parenthood.Being in a remote area has a negative effect on fertility desires and expectations, particularly for those women with two children already, while compared to women born overseas, women born in Australia show a higher childbearing desire and expectation at all parities.  Having an </w:t>
      </w:r>
      <w:r w:rsidRPr="00797C8A">
        <w:t xml:space="preserve">Aboriginal </w:t>
      </w:r>
      <w:r>
        <w:t>or</w:t>
      </w:r>
      <w:r w:rsidRPr="00797C8A">
        <w:t xml:space="preserve"> Torres Strait Islander background</w:t>
      </w:r>
      <w:r>
        <w:t xml:space="preserve"> is associated with a lower childbearing desire and expectation among childless women. </w:t>
      </w:r>
    </w:p>
    <w:p w14:paraId="469ED6CE" w14:textId="658518D6" w:rsidR="00244248" w:rsidRDefault="00244248" w:rsidP="00244248">
      <w:pPr>
        <w:spacing w:line="240" w:lineRule="auto"/>
        <w:sectPr w:rsidR="00244248" w:rsidSect="00335B25">
          <w:footerReference w:type="default" r:id="rId68"/>
          <w:pgSz w:w="11906" w:h="16838"/>
          <w:pgMar w:top="1440" w:right="1440" w:bottom="1440" w:left="1440" w:header="708" w:footer="708" w:gutter="0"/>
          <w:cols w:space="708"/>
          <w:docGrid w:linePitch="360"/>
        </w:sectPr>
      </w:pPr>
      <w:r>
        <w:t xml:space="preserve">While the results discussed above look at differences between women in their characteristics, the equivalent fixed effects results in the Appendix, Table </w:t>
      </w:r>
      <w:r w:rsidR="000D5997">
        <w:t>55-</w:t>
      </w:r>
      <w:r>
        <w:t xml:space="preserve"> </w:t>
      </w:r>
      <w:r>
        <w:fldChar w:fldCharType="begin"/>
      </w:r>
      <w:r>
        <w:instrText xml:space="preserve"> REF _Ref84579649 \h  \* MERGEFORMAT </w:instrText>
      </w:r>
      <w:r>
        <w:fldChar w:fldCharType="separate"/>
      </w:r>
      <w:r w:rsidR="00115E22">
        <w:t xml:space="preserve">Table </w:t>
      </w:r>
      <w:r w:rsidR="00115E22">
        <w:rPr>
          <w:noProof/>
        </w:rPr>
        <w:t>57</w:t>
      </w:r>
      <w:r>
        <w:fldChar w:fldCharType="end"/>
      </w:r>
      <w:r>
        <w:t xml:space="preserve">   show the  effect of changes in characteristics within women. The results are largely consistent,  and we see that for individual women movements into or out of marriage and cohabitation  are particularly strongly related to their childbearing desires and expectations. The effect of the employment status variable  which in this case captures  the childbearing desires and expectations for women as they change employment status and hours worked is generally less significant.  </w:t>
      </w:r>
    </w:p>
    <w:p w14:paraId="56A384E9" w14:textId="2A165C91" w:rsidR="00244248" w:rsidRDefault="00244248" w:rsidP="00244248">
      <w:pPr>
        <w:pStyle w:val="Caption"/>
        <w:keepNext/>
      </w:pPr>
      <w:bookmarkStart w:id="209" w:name="_Ref83983111"/>
      <w:r>
        <w:lastRenderedPageBreak/>
        <w:t xml:space="preserve">Table </w:t>
      </w:r>
      <w:fldSimple w:instr=" SEQ Table \* ARABIC ">
        <w:r w:rsidR="00115E22">
          <w:rPr>
            <w:noProof/>
          </w:rPr>
          <w:t>36</w:t>
        </w:r>
      </w:fldSimple>
      <w:bookmarkEnd w:id="209"/>
      <w:r>
        <w:t xml:space="preserve"> Determinants of childbearing desires, OLS</w:t>
      </w:r>
    </w:p>
    <w:tbl>
      <w:tblPr>
        <w:tblW w:w="12606" w:type="dxa"/>
        <w:tblLook w:val="04A0" w:firstRow="1" w:lastRow="0" w:firstColumn="1" w:lastColumn="0" w:noHBand="0" w:noVBand="1"/>
      </w:tblPr>
      <w:tblGrid>
        <w:gridCol w:w="3837"/>
        <w:gridCol w:w="1276"/>
        <w:gridCol w:w="840"/>
        <w:gridCol w:w="1277"/>
        <w:gridCol w:w="959"/>
        <w:gridCol w:w="1332"/>
        <w:gridCol w:w="959"/>
        <w:gridCol w:w="1167"/>
        <w:gridCol w:w="959"/>
      </w:tblGrid>
      <w:tr w:rsidR="00244248" w:rsidRPr="008D4339" w14:paraId="4C758E2A" w14:textId="77777777" w:rsidTr="00335B25">
        <w:trPr>
          <w:trHeight w:val="20"/>
        </w:trPr>
        <w:tc>
          <w:tcPr>
            <w:tcW w:w="3837" w:type="dxa"/>
            <w:tcBorders>
              <w:top w:val="nil"/>
              <w:left w:val="nil"/>
              <w:bottom w:val="nil"/>
              <w:right w:val="nil"/>
            </w:tcBorders>
            <w:shd w:val="clear" w:color="000000" w:fill="FBE4D5"/>
            <w:vAlign w:val="center"/>
            <w:hideMark/>
          </w:tcPr>
          <w:p w14:paraId="5A2EC3F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w:t>
            </w:r>
          </w:p>
        </w:tc>
        <w:tc>
          <w:tcPr>
            <w:tcW w:w="1276" w:type="dxa"/>
            <w:tcBorders>
              <w:top w:val="nil"/>
              <w:left w:val="nil"/>
              <w:bottom w:val="nil"/>
              <w:right w:val="nil"/>
            </w:tcBorders>
            <w:shd w:val="clear" w:color="000000" w:fill="FBE4D5"/>
            <w:vAlign w:val="center"/>
            <w:hideMark/>
          </w:tcPr>
          <w:p w14:paraId="4F200AE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Full sample</w:t>
            </w:r>
          </w:p>
        </w:tc>
        <w:tc>
          <w:tcPr>
            <w:tcW w:w="840" w:type="dxa"/>
            <w:tcBorders>
              <w:top w:val="nil"/>
              <w:left w:val="nil"/>
              <w:bottom w:val="nil"/>
              <w:right w:val="nil"/>
            </w:tcBorders>
            <w:shd w:val="clear" w:color="000000" w:fill="FBE4D5"/>
            <w:vAlign w:val="center"/>
            <w:hideMark/>
          </w:tcPr>
          <w:p w14:paraId="1B503B8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w:t>
            </w:r>
          </w:p>
        </w:tc>
        <w:tc>
          <w:tcPr>
            <w:tcW w:w="1277" w:type="dxa"/>
            <w:tcBorders>
              <w:top w:val="nil"/>
              <w:left w:val="nil"/>
              <w:bottom w:val="nil"/>
              <w:right w:val="nil"/>
            </w:tcBorders>
            <w:shd w:val="clear" w:color="000000" w:fill="FBE4D5"/>
            <w:vAlign w:val="center"/>
            <w:hideMark/>
          </w:tcPr>
          <w:p w14:paraId="7007A50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Parity 0 </w:t>
            </w:r>
          </w:p>
        </w:tc>
        <w:tc>
          <w:tcPr>
            <w:tcW w:w="959" w:type="dxa"/>
            <w:tcBorders>
              <w:top w:val="nil"/>
              <w:left w:val="nil"/>
              <w:bottom w:val="nil"/>
              <w:right w:val="nil"/>
            </w:tcBorders>
            <w:shd w:val="clear" w:color="000000" w:fill="FBE4D5"/>
            <w:vAlign w:val="center"/>
            <w:hideMark/>
          </w:tcPr>
          <w:p w14:paraId="7053876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w:t>
            </w:r>
          </w:p>
        </w:tc>
        <w:tc>
          <w:tcPr>
            <w:tcW w:w="1332" w:type="dxa"/>
            <w:tcBorders>
              <w:top w:val="nil"/>
              <w:left w:val="nil"/>
              <w:bottom w:val="nil"/>
              <w:right w:val="nil"/>
            </w:tcBorders>
            <w:shd w:val="clear" w:color="000000" w:fill="FBE4D5"/>
            <w:vAlign w:val="center"/>
            <w:hideMark/>
          </w:tcPr>
          <w:p w14:paraId="4F7DCC7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Parity 1</w:t>
            </w:r>
          </w:p>
        </w:tc>
        <w:tc>
          <w:tcPr>
            <w:tcW w:w="959" w:type="dxa"/>
            <w:tcBorders>
              <w:top w:val="nil"/>
              <w:left w:val="nil"/>
              <w:bottom w:val="nil"/>
              <w:right w:val="nil"/>
            </w:tcBorders>
            <w:shd w:val="clear" w:color="000000" w:fill="FBE4D5"/>
            <w:vAlign w:val="center"/>
            <w:hideMark/>
          </w:tcPr>
          <w:p w14:paraId="281AA41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w:t>
            </w:r>
          </w:p>
        </w:tc>
        <w:tc>
          <w:tcPr>
            <w:tcW w:w="1167" w:type="dxa"/>
            <w:tcBorders>
              <w:top w:val="nil"/>
              <w:left w:val="nil"/>
              <w:bottom w:val="nil"/>
              <w:right w:val="nil"/>
            </w:tcBorders>
            <w:shd w:val="clear" w:color="000000" w:fill="FBE4D5"/>
            <w:vAlign w:val="center"/>
            <w:hideMark/>
          </w:tcPr>
          <w:p w14:paraId="2114CCA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Parity 2</w:t>
            </w:r>
          </w:p>
        </w:tc>
        <w:tc>
          <w:tcPr>
            <w:tcW w:w="959" w:type="dxa"/>
            <w:tcBorders>
              <w:top w:val="nil"/>
              <w:left w:val="nil"/>
              <w:bottom w:val="nil"/>
              <w:right w:val="nil"/>
            </w:tcBorders>
            <w:shd w:val="clear" w:color="000000" w:fill="FBE4D5"/>
            <w:vAlign w:val="center"/>
            <w:hideMark/>
          </w:tcPr>
          <w:p w14:paraId="35FD2B5E" w14:textId="77777777" w:rsidR="00244248" w:rsidRPr="008D4339" w:rsidRDefault="00244248" w:rsidP="00335B25">
            <w:pPr>
              <w:spacing w:after="0" w:line="240" w:lineRule="auto"/>
              <w:jc w:val="center"/>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r>
      <w:tr w:rsidR="00244248" w:rsidRPr="008D4339" w14:paraId="6198448A" w14:textId="77777777" w:rsidTr="00335B25">
        <w:trPr>
          <w:trHeight w:val="20"/>
        </w:trPr>
        <w:tc>
          <w:tcPr>
            <w:tcW w:w="3837" w:type="dxa"/>
            <w:tcBorders>
              <w:top w:val="nil"/>
              <w:left w:val="nil"/>
              <w:bottom w:val="single" w:sz="4" w:space="0" w:color="ED7D31"/>
              <w:right w:val="nil"/>
            </w:tcBorders>
            <w:shd w:val="clear" w:color="000000" w:fill="FBE4D5"/>
            <w:vAlign w:val="center"/>
            <w:hideMark/>
          </w:tcPr>
          <w:p w14:paraId="54DBB30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w:t>
            </w:r>
          </w:p>
        </w:tc>
        <w:tc>
          <w:tcPr>
            <w:tcW w:w="1276" w:type="dxa"/>
            <w:tcBorders>
              <w:top w:val="nil"/>
              <w:left w:val="nil"/>
              <w:bottom w:val="single" w:sz="4" w:space="0" w:color="ED7D31"/>
              <w:right w:val="nil"/>
            </w:tcBorders>
            <w:shd w:val="clear" w:color="000000" w:fill="FBE4D5"/>
            <w:vAlign w:val="center"/>
            <w:hideMark/>
          </w:tcPr>
          <w:p w14:paraId="0B6F0DB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840" w:type="dxa"/>
            <w:tcBorders>
              <w:top w:val="nil"/>
              <w:left w:val="nil"/>
              <w:bottom w:val="single" w:sz="4" w:space="0" w:color="ED7D31"/>
              <w:right w:val="nil"/>
            </w:tcBorders>
            <w:shd w:val="clear" w:color="000000" w:fill="FBE4D5"/>
            <w:vAlign w:val="center"/>
            <w:hideMark/>
          </w:tcPr>
          <w:p w14:paraId="3E6E3C5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c>
          <w:tcPr>
            <w:tcW w:w="1277" w:type="dxa"/>
            <w:tcBorders>
              <w:top w:val="nil"/>
              <w:left w:val="nil"/>
              <w:bottom w:val="single" w:sz="4" w:space="0" w:color="ED7D31"/>
              <w:right w:val="nil"/>
            </w:tcBorders>
            <w:shd w:val="clear" w:color="000000" w:fill="FBE4D5"/>
            <w:vAlign w:val="center"/>
            <w:hideMark/>
          </w:tcPr>
          <w:p w14:paraId="260C953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4BC4414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c>
          <w:tcPr>
            <w:tcW w:w="1332" w:type="dxa"/>
            <w:tcBorders>
              <w:top w:val="nil"/>
              <w:left w:val="nil"/>
              <w:bottom w:val="single" w:sz="4" w:space="0" w:color="ED7D31"/>
              <w:right w:val="nil"/>
            </w:tcBorders>
            <w:shd w:val="clear" w:color="000000" w:fill="FBE4D5"/>
            <w:vAlign w:val="center"/>
            <w:hideMark/>
          </w:tcPr>
          <w:p w14:paraId="43084D4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30888D0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c>
          <w:tcPr>
            <w:tcW w:w="1167" w:type="dxa"/>
            <w:tcBorders>
              <w:top w:val="nil"/>
              <w:left w:val="nil"/>
              <w:bottom w:val="single" w:sz="4" w:space="0" w:color="ED7D31"/>
              <w:right w:val="nil"/>
            </w:tcBorders>
            <w:shd w:val="clear" w:color="000000" w:fill="FBE4D5"/>
            <w:vAlign w:val="center"/>
            <w:hideMark/>
          </w:tcPr>
          <w:p w14:paraId="019649C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7D9894F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r>
      <w:tr w:rsidR="00244248" w:rsidRPr="008D4339" w14:paraId="2CA2C52F" w14:textId="77777777" w:rsidTr="00335B25">
        <w:trPr>
          <w:trHeight w:val="20"/>
        </w:trPr>
        <w:tc>
          <w:tcPr>
            <w:tcW w:w="3837" w:type="dxa"/>
            <w:tcBorders>
              <w:top w:val="nil"/>
              <w:left w:val="nil"/>
              <w:bottom w:val="nil"/>
              <w:right w:val="nil"/>
            </w:tcBorders>
            <w:shd w:val="clear" w:color="auto" w:fill="auto"/>
            <w:vAlign w:val="center"/>
            <w:hideMark/>
          </w:tcPr>
          <w:p w14:paraId="298A41F8"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Number of children </w:t>
            </w:r>
            <w:r w:rsidRPr="008D4339">
              <w:rPr>
                <w:rFonts w:ascii="Calibri Light" w:eastAsia="Times New Roman" w:hAnsi="Calibri Light" w:cs="Calibri Light"/>
                <w:color w:val="000000"/>
                <w:sz w:val="20"/>
                <w:szCs w:val="20"/>
                <w:lang w:eastAsia="en-AU"/>
              </w:rPr>
              <w:t>(ref: childless)</w:t>
            </w:r>
          </w:p>
        </w:tc>
        <w:tc>
          <w:tcPr>
            <w:tcW w:w="1276" w:type="dxa"/>
            <w:tcBorders>
              <w:top w:val="nil"/>
              <w:left w:val="nil"/>
              <w:bottom w:val="nil"/>
              <w:right w:val="nil"/>
            </w:tcBorders>
            <w:shd w:val="clear" w:color="auto" w:fill="auto"/>
            <w:vAlign w:val="center"/>
            <w:hideMark/>
          </w:tcPr>
          <w:p w14:paraId="381186C9"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136C8FA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46CEFFAF"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E33C18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332" w:type="dxa"/>
            <w:tcBorders>
              <w:top w:val="nil"/>
              <w:left w:val="nil"/>
              <w:bottom w:val="nil"/>
              <w:right w:val="nil"/>
            </w:tcBorders>
            <w:shd w:val="clear" w:color="auto" w:fill="auto"/>
            <w:vAlign w:val="center"/>
            <w:hideMark/>
          </w:tcPr>
          <w:p w14:paraId="72933F0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15E63FEC"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3D2EF9C1"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E3043B8"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4F1F594C" w14:textId="77777777" w:rsidTr="00335B25">
        <w:trPr>
          <w:trHeight w:val="20"/>
        </w:trPr>
        <w:tc>
          <w:tcPr>
            <w:tcW w:w="3837" w:type="dxa"/>
            <w:tcBorders>
              <w:top w:val="nil"/>
              <w:left w:val="nil"/>
              <w:bottom w:val="nil"/>
              <w:right w:val="nil"/>
            </w:tcBorders>
            <w:shd w:val="clear" w:color="auto" w:fill="auto"/>
            <w:vAlign w:val="center"/>
            <w:hideMark/>
          </w:tcPr>
          <w:p w14:paraId="7B735FA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 child</w:t>
            </w:r>
          </w:p>
        </w:tc>
        <w:tc>
          <w:tcPr>
            <w:tcW w:w="1276" w:type="dxa"/>
            <w:tcBorders>
              <w:top w:val="nil"/>
              <w:left w:val="nil"/>
              <w:bottom w:val="nil"/>
              <w:right w:val="nil"/>
            </w:tcBorders>
            <w:shd w:val="clear" w:color="auto" w:fill="auto"/>
            <w:vAlign w:val="center"/>
            <w:hideMark/>
          </w:tcPr>
          <w:p w14:paraId="1429AA1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-0.596***</w:t>
            </w:r>
          </w:p>
        </w:tc>
        <w:tc>
          <w:tcPr>
            <w:tcW w:w="840" w:type="dxa"/>
            <w:tcBorders>
              <w:top w:val="nil"/>
              <w:left w:val="nil"/>
              <w:bottom w:val="nil"/>
              <w:right w:val="nil"/>
            </w:tcBorders>
            <w:shd w:val="clear" w:color="auto" w:fill="auto"/>
            <w:vAlign w:val="center"/>
            <w:hideMark/>
          </w:tcPr>
          <w:p w14:paraId="1D6F0A2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(0.063)</w:t>
            </w:r>
          </w:p>
        </w:tc>
        <w:tc>
          <w:tcPr>
            <w:tcW w:w="1277" w:type="dxa"/>
            <w:tcBorders>
              <w:top w:val="nil"/>
              <w:left w:val="nil"/>
              <w:bottom w:val="nil"/>
              <w:right w:val="nil"/>
            </w:tcBorders>
            <w:shd w:val="clear" w:color="auto" w:fill="auto"/>
            <w:vAlign w:val="center"/>
            <w:hideMark/>
          </w:tcPr>
          <w:p w14:paraId="47E52CD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tcBorders>
              <w:top w:val="nil"/>
              <w:left w:val="nil"/>
              <w:bottom w:val="nil"/>
              <w:right w:val="nil"/>
            </w:tcBorders>
            <w:shd w:val="clear" w:color="auto" w:fill="auto"/>
            <w:vAlign w:val="center"/>
            <w:hideMark/>
          </w:tcPr>
          <w:p w14:paraId="3DF5460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332" w:type="dxa"/>
            <w:tcBorders>
              <w:top w:val="nil"/>
              <w:left w:val="nil"/>
              <w:bottom w:val="nil"/>
              <w:right w:val="nil"/>
            </w:tcBorders>
            <w:shd w:val="clear" w:color="auto" w:fill="auto"/>
            <w:vAlign w:val="center"/>
            <w:hideMark/>
          </w:tcPr>
          <w:p w14:paraId="058CA7A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007959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3E02B45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8CD82CB"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01A22EDC" w14:textId="77777777" w:rsidTr="00335B25">
        <w:trPr>
          <w:trHeight w:val="20"/>
        </w:trPr>
        <w:tc>
          <w:tcPr>
            <w:tcW w:w="3837" w:type="dxa"/>
            <w:tcBorders>
              <w:top w:val="nil"/>
              <w:left w:val="nil"/>
              <w:bottom w:val="nil"/>
              <w:right w:val="nil"/>
            </w:tcBorders>
            <w:shd w:val="clear" w:color="auto" w:fill="auto"/>
            <w:vAlign w:val="center"/>
            <w:hideMark/>
          </w:tcPr>
          <w:p w14:paraId="00B1914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2 children</w:t>
            </w:r>
          </w:p>
        </w:tc>
        <w:tc>
          <w:tcPr>
            <w:tcW w:w="1276" w:type="dxa"/>
            <w:tcBorders>
              <w:top w:val="nil"/>
              <w:left w:val="nil"/>
              <w:bottom w:val="nil"/>
              <w:right w:val="nil"/>
            </w:tcBorders>
            <w:shd w:val="clear" w:color="auto" w:fill="auto"/>
            <w:vAlign w:val="center"/>
            <w:hideMark/>
          </w:tcPr>
          <w:p w14:paraId="371E198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-3.898***</w:t>
            </w:r>
          </w:p>
        </w:tc>
        <w:tc>
          <w:tcPr>
            <w:tcW w:w="840" w:type="dxa"/>
            <w:tcBorders>
              <w:top w:val="nil"/>
              <w:left w:val="nil"/>
              <w:bottom w:val="nil"/>
              <w:right w:val="nil"/>
            </w:tcBorders>
            <w:shd w:val="clear" w:color="auto" w:fill="auto"/>
            <w:vAlign w:val="center"/>
            <w:hideMark/>
          </w:tcPr>
          <w:p w14:paraId="18C5D1E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(0.080)</w:t>
            </w:r>
          </w:p>
        </w:tc>
        <w:tc>
          <w:tcPr>
            <w:tcW w:w="1277" w:type="dxa"/>
            <w:tcBorders>
              <w:top w:val="nil"/>
              <w:left w:val="nil"/>
              <w:bottom w:val="nil"/>
              <w:right w:val="nil"/>
            </w:tcBorders>
            <w:shd w:val="clear" w:color="auto" w:fill="auto"/>
            <w:vAlign w:val="center"/>
            <w:hideMark/>
          </w:tcPr>
          <w:p w14:paraId="7812F81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tcBorders>
              <w:top w:val="nil"/>
              <w:left w:val="nil"/>
              <w:bottom w:val="nil"/>
              <w:right w:val="nil"/>
            </w:tcBorders>
            <w:shd w:val="clear" w:color="auto" w:fill="auto"/>
            <w:vAlign w:val="center"/>
            <w:hideMark/>
          </w:tcPr>
          <w:p w14:paraId="0AC379E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332" w:type="dxa"/>
            <w:tcBorders>
              <w:top w:val="nil"/>
              <w:left w:val="nil"/>
              <w:bottom w:val="nil"/>
              <w:right w:val="nil"/>
            </w:tcBorders>
            <w:shd w:val="clear" w:color="auto" w:fill="auto"/>
            <w:vAlign w:val="center"/>
            <w:hideMark/>
          </w:tcPr>
          <w:p w14:paraId="0828183E"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536B208"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1E58968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79386AB"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3967831E"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45EC4E2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 children</w:t>
            </w:r>
          </w:p>
        </w:tc>
        <w:tc>
          <w:tcPr>
            <w:tcW w:w="1276" w:type="dxa"/>
            <w:tcBorders>
              <w:top w:val="nil"/>
              <w:left w:val="nil"/>
              <w:bottom w:val="single" w:sz="4" w:space="0" w:color="ED7D31"/>
              <w:right w:val="nil"/>
            </w:tcBorders>
            <w:shd w:val="clear" w:color="auto" w:fill="auto"/>
            <w:vAlign w:val="center"/>
            <w:hideMark/>
          </w:tcPr>
          <w:p w14:paraId="157E98F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-5.391***</w:t>
            </w:r>
          </w:p>
        </w:tc>
        <w:tc>
          <w:tcPr>
            <w:tcW w:w="840" w:type="dxa"/>
            <w:tcBorders>
              <w:top w:val="nil"/>
              <w:left w:val="nil"/>
              <w:bottom w:val="single" w:sz="4" w:space="0" w:color="ED7D31"/>
              <w:right w:val="nil"/>
            </w:tcBorders>
            <w:shd w:val="clear" w:color="auto" w:fill="auto"/>
            <w:vAlign w:val="center"/>
            <w:hideMark/>
          </w:tcPr>
          <w:p w14:paraId="34BF118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(0.095)</w:t>
            </w:r>
          </w:p>
        </w:tc>
        <w:tc>
          <w:tcPr>
            <w:tcW w:w="1277" w:type="dxa"/>
            <w:tcBorders>
              <w:top w:val="nil"/>
              <w:left w:val="nil"/>
              <w:bottom w:val="single" w:sz="4" w:space="0" w:color="ED7D31"/>
              <w:right w:val="nil"/>
            </w:tcBorders>
            <w:shd w:val="clear" w:color="auto" w:fill="auto"/>
            <w:vAlign w:val="center"/>
            <w:hideMark/>
          </w:tcPr>
          <w:p w14:paraId="21101AB2" w14:textId="77777777" w:rsidR="00244248" w:rsidRPr="008D4339" w:rsidRDefault="00244248" w:rsidP="00335B25">
            <w:pPr>
              <w:spacing w:after="0" w:line="240" w:lineRule="auto"/>
              <w:rPr>
                <w:rFonts w:ascii="Calibri" w:eastAsia="Times New Roman" w:hAnsi="Calibri" w:cs="Calibri"/>
                <w:color w:val="000000"/>
                <w:lang w:eastAsia="en-AU"/>
              </w:rPr>
            </w:pPr>
            <w:r w:rsidRPr="008D4339">
              <w:rPr>
                <w:rFonts w:ascii="Calibri" w:eastAsia="Times New Roman" w:hAnsi="Calibri" w:cs="Calibri"/>
                <w:color w:val="000000"/>
                <w:lang w:eastAsia="en-AU"/>
              </w:rPr>
              <w:t> </w:t>
            </w:r>
          </w:p>
        </w:tc>
        <w:tc>
          <w:tcPr>
            <w:tcW w:w="959" w:type="dxa"/>
            <w:tcBorders>
              <w:top w:val="nil"/>
              <w:left w:val="nil"/>
              <w:bottom w:val="single" w:sz="4" w:space="0" w:color="ED7D31"/>
              <w:right w:val="nil"/>
            </w:tcBorders>
            <w:shd w:val="clear" w:color="auto" w:fill="auto"/>
            <w:vAlign w:val="center"/>
            <w:hideMark/>
          </w:tcPr>
          <w:p w14:paraId="01DCF06A" w14:textId="77777777" w:rsidR="00244248" w:rsidRPr="008D4339" w:rsidRDefault="00244248" w:rsidP="00335B25">
            <w:pPr>
              <w:spacing w:after="0" w:line="240" w:lineRule="auto"/>
              <w:rPr>
                <w:rFonts w:ascii="Calibri" w:eastAsia="Times New Roman" w:hAnsi="Calibri" w:cs="Calibri"/>
                <w:color w:val="808080"/>
                <w:lang w:eastAsia="en-AU"/>
              </w:rPr>
            </w:pPr>
            <w:r w:rsidRPr="008D4339">
              <w:rPr>
                <w:rFonts w:ascii="Calibri" w:eastAsia="Times New Roman" w:hAnsi="Calibri" w:cs="Calibri"/>
                <w:color w:val="808080"/>
                <w:lang w:eastAsia="en-AU"/>
              </w:rPr>
              <w:t> </w:t>
            </w:r>
          </w:p>
        </w:tc>
        <w:tc>
          <w:tcPr>
            <w:tcW w:w="1332" w:type="dxa"/>
            <w:tcBorders>
              <w:top w:val="nil"/>
              <w:left w:val="nil"/>
              <w:bottom w:val="single" w:sz="4" w:space="0" w:color="ED7D31"/>
              <w:right w:val="nil"/>
            </w:tcBorders>
            <w:shd w:val="clear" w:color="auto" w:fill="auto"/>
            <w:vAlign w:val="center"/>
            <w:hideMark/>
          </w:tcPr>
          <w:p w14:paraId="13FFCC81" w14:textId="77777777" w:rsidR="00244248" w:rsidRPr="008D4339" w:rsidRDefault="00244248" w:rsidP="00335B25">
            <w:pPr>
              <w:spacing w:after="0" w:line="240" w:lineRule="auto"/>
              <w:rPr>
                <w:rFonts w:ascii="Calibri" w:eastAsia="Times New Roman" w:hAnsi="Calibri" w:cs="Calibri"/>
                <w:color w:val="000000"/>
                <w:lang w:eastAsia="en-AU"/>
              </w:rPr>
            </w:pPr>
            <w:r w:rsidRPr="008D4339">
              <w:rPr>
                <w:rFonts w:ascii="Calibri" w:eastAsia="Times New Roman" w:hAnsi="Calibri" w:cs="Calibri"/>
                <w:color w:val="000000"/>
                <w:lang w:eastAsia="en-AU"/>
              </w:rPr>
              <w:t> </w:t>
            </w:r>
          </w:p>
        </w:tc>
        <w:tc>
          <w:tcPr>
            <w:tcW w:w="959" w:type="dxa"/>
            <w:tcBorders>
              <w:top w:val="nil"/>
              <w:left w:val="nil"/>
              <w:bottom w:val="single" w:sz="4" w:space="0" w:color="ED7D31"/>
              <w:right w:val="nil"/>
            </w:tcBorders>
            <w:shd w:val="clear" w:color="auto" w:fill="auto"/>
            <w:vAlign w:val="center"/>
            <w:hideMark/>
          </w:tcPr>
          <w:p w14:paraId="57553AF8" w14:textId="77777777" w:rsidR="00244248" w:rsidRPr="008D4339" w:rsidRDefault="00244248" w:rsidP="00335B25">
            <w:pPr>
              <w:spacing w:after="0" w:line="240" w:lineRule="auto"/>
              <w:rPr>
                <w:rFonts w:ascii="Calibri" w:eastAsia="Times New Roman" w:hAnsi="Calibri" w:cs="Calibri"/>
                <w:color w:val="808080"/>
                <w:lang w:eastAsia="en-AU"/>
              </w:rPr>
            </w:pPr>
            <w:r w:rsidRPr="008D4339">
              <w:rPr>
                <w:rFonts w:ascii="Calibri" w:eastAsia="Times New Roman" w:hAnsi="Calibri" w:cs="Calibri"/>
                <w:color w:val="808080"/>
                <w:lang w:eastAsia="en-AU"/>
              </w:rPr>
              <w:t> </w:t>
            </w:r>
          </w:p>
        </w:tc>
        <w:tc>
          <w:tcPr>
            <w:tcW w:w="1167" w:type="dxa"/>
            <w:tcBorders>
              <w:top w:val="nil"/>
              <w:left w:val="nil"/>
              <w:bottom w:val="single" w:sz="4" w:space="0" w:color="ED7D31"/>
              <w:right w:val="nil"/>
            </w:tcBorders>
            <w:shd w:val="clear" w:color="auto" w:fill="auto"/>
            <w:vAlign w:val="center"/>
            <w:hideMark/>
          </w:tcPr>
          <w:p w14:paraId="7BC41F38" w14:textId="77777777" w:rsidR="00244248" w:rsidRPr="008D4339" w:rsidRDefault="00244248" w:rsidP="00335B25">
            <w:pPr>
              <w:spacing w:after="0" w:line="240" w:lineRule="auto"/>
              <w:rPr>
                <w:rFonts w:ascii="Calibri" w:eastAsia="Times New Roman" w:hAnsi="Calibri" w:cs="Calibri"/>
                <w:color w:val="000000"/>
                <w:lang w:eastAsia="en-AU"/>
              </w:rPr>
            </w:pPr>
            <w:r w:rsidRPr="008D4339">
              <w:rPr>
                <w:rFonts w:ascii="Calibri" w:eastAsia="Times New Roman" w:hAnsi="Calibri" w:cs="Calibri"/>
                <w:color w:val="000000"/>
                <w:lang w:eastAsia="en-AU"/>
              </w:rPr>
              <w:t> </w:t>
            </w:r>
          </w:p>
        </w:tc>
        <w:tc>
          <w:tcPr>
            <w:tcW w:w="959" w:type="dxa"/>
            <w:tcBorders>
              <w:top w:val="nil"/>
              <w:left w:val="nil"/>
              <w:bottom w:val="single" w:sz="4" w:space="0" w:color="ED7D31"/>
              <w:right w:val="nil"/>
            </w:tcBorders>
            <w:shd w:val="clear" w:color="auto" w:fill="auto"/>
            <w:vAlign w:val="center"/>
            <w:hideMark/>
          </w:tcPr>
          <w:p w14:paraId="2DEEB376" w14:textId="77777777" w:rsidR="00244248" w:rsidRPr="008D4339" w:rsidRDefault="00244248" w:rsidP="00335B25">
            <w:pPr>
              <w:spacing w:after="0" w:line="240" w:lineRule="auto"/>
              <w:rPr>
                <w:rFonts w:ascii="Calibri" w:eastAsia="Times New Roman" w:hAnsi="Calibri" w:cs="Calibri"/>
                <w:color w:val="808080"/>
                <w:lang w:eastAsia="en-AU"/>
              </w:rPr>
            </w:pPr>
            <w:r w:rsidRPr="008D4339">
              <w:rPr>
                <w:rFonts w:ascii="Calibri" w:eastAsia="Times New Roman" w:hAnsi="Calibri" w:cs="Calibri"/>
                <w:color w:val="808080"/>
                <w:lang w:eastAsia="en-AU"/>
              </w:rPr>
              <w:t> </w:t>
            </w:r>
          </w:p>
        </w:tc>
      </w:tr>
      <w:tr w:rsidR="00244248" w:rsidRPr="008D4339" w14:paraId="324BA20B" w14:textId="77777777" w:rsidTr="00335B25">
        <w:trPr>
          <w:trHeight w:val="20"/>
        </w:trPr>
        <w:tc>
          <w:tcPr>
            <w:tcW w:w="3837" w:type="dxa"/>
            <w:tcBorders>
              <w:top w:val="nil"/>
              <w:left w:val="nil"/>
              <w:bottom w:val="nil"/>
              <w:right w:val="nil"/>
            </w:tcBorders>
            <w:shd w:val="clear" w:color="auto" w:fill="auto"/>
            <w:vAlign w:val="center"/>
            <w:hideMark/>
          </w:tcPr>
          <w:p w14:paraId="531DFA27"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Age group </w:t>
            </w:r>
            <w:r w:rsidRPr="008D4339">
              <w:rPr>
                <w:rFonts w:ascii="Calibri Light" w:eastAsia="Times New Roman" w:hAnsi="Calibri Light" w:cs="Calibri Light"/>
                <w:color w:val="000000"/>
                <w:sz w:val="20"/>
                <w:szCs w:val="20"/>
                <w:lang w:eastAsia="en-AU"/>
              </w:rPr>
              <w:t>(ref: 25-29)</w:t>
            </w:r>
          </w:p>
        </w:tc>
        <w:tc>
          <w:tcPr>
            <w:tcW w:w="1276" w:type="dxa"/>
            <w:tcBorders>
              <w:top w:val="nil"/>
              <w:left w:val="nil"/>
              <w:bottom w:val="nil"/>
              <w:right w:val="nil"/>
            </w:tcBorders>
            <w:shd w:val="clear" w:color="auto" w:fill="auto"/>
            <w:vAlign w:val="center"/>
            <w:hideMark/>
          </w:tcPr>
          <w:p w14:paraId="4012855B"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2192D013"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18451E7B"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EAF034A"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332" w:type="dxa"/>
            <w:tcBorders>
              <w:top w:val="nil"/>
              <w:left w:val="nil"/>
              <w:bottom w:val="nil"/>
              <w:right w:val="nil"/>
            </w:tcBorders>
            <w:shd w:val="clear" w:color="auto" w:fill="auto"/>
            <w:vAlign w:val="center"/>
            <w:hideMark/>
          </w:tcPr>
          <w:p w14:paraId="0B1E06FA"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19FE572D"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4D630F38"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C4BC82F"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7B308550" w14:textId="77777777" w:rsidTr="00335B25">
        <w:trPr>
          <w:trHeight w:val="20"/>
        </w:trPr>
        <w:tc>
          <w:tcPr>
            <w:tcW w:w="3837" w:type="dxa"/>
            <w:tcBorders>
              <w:top w:val="nil"/>
              <w:left w:val="nil"/>
              <w:bottom w:val="nil"/>
              <w:right w:val="nil"/>
            </w:tcBorders>
            <w:shd w:val="clear" w:color="auto" w:fill="auto"/>
            <w:vAlign w:val="center"/>
            <w:hideMark/>
          </w:tcPr>
          <w:p w14:paraId="1A945A4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 18-24</w:t>
            </w:r>
          </w:p>
        </w:tc>
        <w:tc>
          <w:tcPr>
            <w:tcW w:w="1276" w:type="dxa"/>
            <w:tcBorders>
              <w:top w:val="nil"/>
              <w:left w:val="nil"/>
              <w:bottom w:val="nil"/>
              <w:right w:val="nil"/>
            </w:tcBorders>
            <w:shd w:val="clear" w:color="auto" w:fill="auto"/>
            <w:vAlign w:val="center"/>
            <w:hideMark/>
          </w:tcPr>
          <w:p w14:paraId="485877A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0.207***</w:t>
            </w:r>
          </w:p>
        </w:tc>
        <w:tc>
          <w:tcPr>
            <w:tcW w:w="840" w:type="dxa"/>
            <w:tcBorders>
              <w:top w:val="nil"/>
              <w:left w:val="nil"/>
              <w:bottom w:val="nil"/>
              <w:right w:val="nil"/>
            </w:tcBorders>
            <w:shd w:val="clear" w:color="auto" w:fill="auto"/>
            <w:vAlign w:val="center"/>
            <w:hideMark/>
          </w:tcPr>
          <w:p w14:paraId="04F28F3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(0.046)</w:t>
            </w:r>
          </w:p>
        </w:tc>
        <w:tc>
          <w:tcPr>
            <w:tcW w:w="1277" w:type="dxa"/>
            <w:tcBorders>
              <w:top w:val="nil"/>
              <w:left w:val="nil"/>
              <w:bottom w:val="nil"/>
              <w:right w:val="nil"/>
            </w:tcBorders>
            <w:shd w:val="clear" w:color="auto" w:fill="auto"/>
            <w:vAlign w:val="center"/>
            <w:hideMark/>
          </w:tcPr>
          <w:p w14:paraId="686E0DF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0.222***</w:t>
            </w:r>
          </w:p>
        </w:tc>
        <w:tc>
          <w:tcPr>
            <w:tcW w:w="959" w:type="dxa"/>
            <w:tcBorders>
              <w:top w:val="nil"/>
              <w:left w:val="nil"/>
              <w:bottom w:val="nil"/>
              <w:right w:val="nil"/>
            </w:tcBorders>
            <w:shd w:val="clear" w:color="auto" w:fill="auto"/>
            <w:vAlign w:val="center"/>
            <w:hideMark/>
          </w:tcPr>
          <w:p w14:paraId="611BCC9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(0.054)</w:t>
            </w:r>
          </w:p>
        </w:tc>
        <w:tc>
          <w:tcPr>
            <w:tcW w:w="1332" w:type="dxa"/>
            <w:tcBorders>
              <w:top w:val="nil"/>
              <w:left w:val="nil"/>
              <w:bottom w:val="nil"/>
              <w:right w:val="nil"/>
            </w:tcBorders>
            <w:shd w:val="clear" w:color="auto" w:fill="auto"/>
            <w:vAlign w:val="center"/>
            <w:hideMark/>
          </w:tcPr>
          <w:p w14:paraId="0285D99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0.750***</w:t>
            </w:r>
          </w:p>
        </w:tc>
        <w:tc>
          <w:tcPr>
            <w:tcW w:w="959" w:type="dxa"/>
            <w:tcBorders>
              <w:top w:val="nil"/>
              <w:left w:val="nil"/>
              <w:bottom w:val="nil"/>
              <w:right w:val="nil"/>
            </w:tcBorders>
            <w:shd w:val="clear" w:color="auto" w:fill="auto"/>
            <w:vAlign w:val="center"/>
            <w:hideMark/>
          </w:tcPr>
          <w:p w14:paraId="63F82F1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(0.150)</w:t>
            </w:r>
          </w:p>
        </w:tc>
        <w:tc>
          <w:tcPr>
            <w:tcW w:w="1167" w:type="dxa"/>
            <w:tcBorders>
              <w:top w:val="nil"/>
              <w:left w:val="nil"/>
              <w:bottom w:val="nil"/>
              <w:right w:val="nil"/>
            </w:tcBorders>
            <w:shd w:val="clear" w:color="auto" w:fill="auto"/>
            <w:vAlign w:val="center"/>
            <w:hideMark/>
          </w:tcPr>
          <w:p w14:paraId="4332A38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0.350</w:t>
            </w:r>
          </w:p>
        </w:tc>
        <w:tc>
          <w:tcPr>
            <w:tcW w:w="959" w:type="dxa"/>
            <w:tcBorders>
              <w:top w:val="nil"/>
              <w:left w:val="nil"/>
              <w:bottom w:val="nil"/>
              <w:right w:val="nil"/>
            </w:tcBorders>
            <w:shd w:val="clear" w:color="auto" w:fill="auto"/>
            <w:vAlign w:val="center"/>
            <w:hideMark/>
          </w:tcPr>
          <w:p w14:paraId="08B74DC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(0.046)</w:t>
            </w:r>
          </w:p>
        </w:tc>
      </w:tr>
      <w:tr w:rsidR="00244248" w:rsidRPr="008D4339" w14:paraId="496D2A44" w14:textId="77777777" w:rsidTr="00335B25">
        <w:trPr>
          <w:trHeight w:val="20"/>
        </w:trPr>
        <w:tc>
          <w:tcPr>
            <w:tcW w:w="3837" w:type="dxa"/>
            <w:tcBorders>
              <w:top w:val="nil"/>
              <w:left w:val="nil"/>
              <w:bottom w:val="nil"/>
              <w:right w:val="nil"/>
            </w:tcBorders>
            <w:shd w:val="clear" w:color="auto" w:fill="auto"/>
            <w:vAlign w:val="center"/>
            <w:hideMark/>
          </w:tcPr>
          <w:p w14:paraId="0F77581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30-34</w:t>
            </w:r>
          </w:p>
        </w:tc>
        <w:tc>
          <w:tcPr>
            <w:tcW w:w="1276" w:type="dxa"/>
            <w:tcBorders>
              <w:top w:val="nil"/>
              <w:left w:val="nil"/>
              <w:bottom w:val="nil"/>
              <w:right w:val="nil"/>
            </w:tcBorders>
            <w:shd w:val="clear" w:color="auto" w:fill="auto"/>
            <w:vAlign w:val="center"/>
            <w:hideMark/>
          </w:tcPr>
          <w:p w14:paraId="707AE79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-0.546***</w:t>
            </w:r>
          </w:p>
        </w:tc>
        <w:tc>
          <w:tcPr>
            <w:tcW w:w="840" w:type="dxa"/>
            <w:tcBorders>
              <w:top w:val="nil"/>
              <w:left w:val="nil"/>
              <w:bottom w:val="nil"/>
              <w:right w:val="nil"/>
            </w:tcBorders>
            <w:shd w:val="clear" w:color="auto" w:fill="auto"/>
            <w:vAlign w:val="center"/>
            <w:hideMark/>
          </w:tcPr>
          <w:p w14:paraId="361323A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(0.052)</w:t>
            </w:r>
          </w:p>
        </w:tc>
        <w:tc>
          <w:tcPr>
            <w:tcW w:w="1277" w:type="dxa"/>
            <w:tcBorders>
              <w:top w:val="nil"/>
              <w:left w:val="nil"/>
              <w:bottom w:val="nil"/>
              <w:right w:val="nil"/>
            </w:tcBorders>
            <w:shd w:val="clear" w:color="auto" w:fill="auto"/>
            <w:vAlign w:val="center"/>
            <w:hideMark/>
          </w:tcPr>
          <w:p w14:paraId="174CC16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-0.387***</w:t>
            </w:r>
          </w:p>
        </w:tc>
        <w:tc>
          <w:tcPr>
            <w:tcW w:w="959" w:type="dxa"/>
            <w:tcBorders>
              <w:top w:val="nil"/>
              <w:left w:val="nil"/>
              <w:bottom w:val="nil"/>
              <w:right w:val="nil"/>
            </w:tcBorders>
            <w:shd w:val="clear" w:color="auto" w:fill="auto"/>
            <w:vAlign w:val="center"/>
            <w:hideMark/>
          </w:tcPr>
          <w:p w14:paraId="76A525B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(0.074)</w:t>
            </w:r>
          </w:p>
        </w:tc>
        <w:tc>
          <w:tcPr>
            <w:tcW w:w="1332" w:type="dxa"/>
            <w:tcBorders>
              <w:top w:val="nil"/>
              <w:left w:val="nil"/>
              <w:bottom w:val="nil"/>
              <w:right w:val="nil"/>
            </w:tcBorders>
            <w:shd w:val="clear" w:color="auto" w:fill="auto"/>
            <w:vAlign w:val="center"/>
            <w:hideMark/>
          </w:tcPr>
          <w:p w14:paraId="38A4193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-0.616***</w:t>
            </w:r>
          </w:p>
        </w:tc>
        <w:tc>
          <w:tcPr>
            <w:tcW w:w="959" w:type="dxa"/>
            <w:tcBorders>
              <w:top w:val="nil"/>
              <w:left w:val="nil"/>
              <w:bottom w:val="nil"/>
              <w:right w:val="nil"/>
            </w:tcBorders>
            <w:shd w:val="clear" w:color="auto" w:fill="auto"/>
            <w:vAlign w:val="center"/>
            <w:hideMark/>
          </w:tcPr>
          <w:p w14:paraId="0A68676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(0.124)</w:t>
            </w:r>
          </w:p>
        </w:tc>
        <w:tc>
          <w:tcPr>
            <w:tcW w:w="1167" w:type="dxa"/>
            <w:tcBorders>
              <w:top w:val="nil"/>
              <w:left w:val="nil"/>
              <w:bottom w:val="nil"/>
              <w:right w:val="nil"/>
            </w:tcBorders>
            <w:shd w:val="clear" w:color="auto" w:fill="auto"/>
            <w:vAlign w:val="center"/>
            <w:hideMark/>
          </w:tcPr>
          <w:p w14:paraId="625420D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-0.809***</w:t>
            </w:r>
          </w:p>
        </w:tc>
        <w:tc>
          <w:tcPr>
            <w:tcW w:w="959" w:type="dxa"/>
            <w:tcBorders>
              <w:top w:val="nil"/>
              <w:left w:val="nil"/>
              <w:bottom w:val="nil"/>
              <w:right w:val="nil"/>
            </w:tcBorders>
            <w:shd w:val="clear" w:color="auto" w:fill="auto"/>
            <w:vAlign w:val="center"/>
            <w:hideMark/>
          </w:tcPr>
          <w:p w14:paraId="507C3E4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(0.052)</w:t>
            </w:r>
          </w:p>
        </w:tc>
      </w:tr>
      <w:tr w:rsidR="00244248" w:rsidRPr="008D4339" w14:paraId="6900F286" w14:textId="77777777" w:rsidTr="00335B25">
        <w:trPr>
          <w:trHeight w:val="20"/>
        </w:trPr>
        <w:tc>
          <w:tcPr>
            <w:tcW w:w="3837" w:type="dxa"/>
            <w:tcBorders>
              <w:top w:val="nil"/>
              <w:left w:val="nil"/>
              <w:bottom w:val="nil"/>
              <w:right w:val="nil"/>
            </w:tcBorders>
            <w:shd w:val="clear" w:color="auto" w:fill="auto"/>
            <w:vAlign w:val="center"/>
            <w:hideMark/>
          </w:tcPr>
          <w:p w14:paraId="7BFB46B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35-39</w:t>
            </w:r>
          </w:p>
        </w:tc>
        <w:tc>
          <w:tcPr>
            <w:tcW w:w="1276" w:type="dxa"/>
            <w:tcBorders>
              <w:top w:val="nil"/>
              <w:left w:val="nil"/>
              <w:bottom w:val="nil"/>
              <w:right w:val="nil"/>
            </w:tcBorders>
            <w:shd w:val="clear" w:color="auto" w:fill="auto"/>
            <w:vAlign w:val="center"/>
            <w:hideMark/>
          </w:tcPr>
          <w:p w14:paraId="71D40C4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-1.795***</w:t>
            </w:r>
          </w:p>
        </w:tc>
        <w:tc>
          <w:tcPr>
            <w:tcW w:w="840" w:type="dxa"/>
            <w:tcBorders>
              <w:top w:val="nil"/>
              <w:left w:val="nil"/>
              <w:bottom w:val="nil"/>
              <w:right w:val="nil"/>
            </w:tcBorders>
            <w:shd w:val="clear" w:color="auto" w:fill="auto"/>
            <w:vAlign w:val="center"/>
            <w:hideMark/>
          </w:tcPr>
          <w:p w14:paraId="6EE7018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(0.069)</w:t>
            </w:r>
          </w:p>
        </w:tc>
        <w:tc>
          <w:tcPr>
            <w:tcW w:w="1277" w:type="dxa"/>
            <w:tcBorders>
              <w:top w:val="nil"/>
              <w:left w:val="nil"/>
              <w:bottom w:val="nil"/>
              <w:right w:val="nil"/>
            </w:tcBorders>
            <w:shd w:val="clear" w:color="auto" w:fill="auto"/>
            <w:vAlign w:val="center"/>
            <w:hideMark/>
          </w:tcPr>
          <w:p w14:paraId="2F32E29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-1.693***</w:t>
            </w:r>
          </w:p>
        </w:tc>
        <w:tc>
          <w:tcPr>
            <w:tcW w:w="959" w:type="dxa"/>
            <w:tcBorders>
              <w:top w:val="nil"/>
              <w:left w:val="nil"/>
              <w:bottom w:val="nil"/>
              <w:right w:val="nil"/>
            </w:tcBorders>
            <w:shd w:val="clear" w:color="auto" w:fill="auto"/>
            <w:vAlign w:val="center"/>
            <w:hideMark/>
          </w:tcPr>
          <w:p w14:paraId="4E2AFA5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(0.130)</w:t>
            </w:r>
          </w:p>
        </w:tc>
        <w:tc>
          <w:tcPr>
            <w:tcW w:w="1332" w:type="dxa"/>
            <w:tcBorders>
              <w:top w:val="nil"/>
              <w:left w:val="nil"/>
              <w:bottom w:val="nil"/>
              <w:right w:val="nil"/>
            </w:tcBorders>
            <w:shd w:val="clear" w:color="auto" w:fill="auto"/>
            <w:vAlign w:val="center"/>
            <w:hideMark/>
          </w:tcPr>
          <w:p w14:paraId="61D2CCB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-2.076***</w:t>
            </w:r>
          </w:p>
        </w:tc>
        <w:tc>
          <w:tcPr>
            <w:tcW w:w="959" w:type="dxa"/>
            <w:tcBorders>
              <w:top w:val="nil"/>
              <w:left w:val="nil"/>
              <w:bottom w:val="nil"/>
              <w:right w:val="nil"/>
            </w:tcBorders>
            <w:shd w:val="clear" w:color="auto" w:fill="auto"/>
            <w:vAlign w:val="center"/>
            <w:hideMark/>
          </w:tcPr>
          <w:p w14:paraId="6F059FD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(0.171)</w:t>
            </w:r>
          </w:p>
        </w:tc>
        <w:tc>
          <w:tcPr>
            <w:tcW w:w="1167" w:type="dxa"/>
            <w:tcBorders>
              <w:top w:val="nil"/>
              <w:left w:val="nil"/>
              <w:bottom w:val="nil"/>
              <w:right w:val="nil"/>
            </w:tcBorders>
            <w:shd w:val="clear" w:color="auto" w:fill="auto"/>
            <w:vAlign w:val="center"/>
            <w:hideMark/>
          </w:tcPr>
          <w:p w14:paraId="45D2D16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-2.015***</w:t>
            </w:r>
          </w:p>
        </w:tc>
        <w:tc>
          <w:tcPr>
            <w:tcW w:w="959" w:type="dxa"/>
            <w:tcBorders>
              <w:top w:val="nil"/>
              <w:left w:val="nil"/>
              <w:bottom w:val="nil"/>
              <w:right w:val="nil"/>
            </w:tcBorders>
            <w:shd w:val="clear" w:color="auto" w:fill="auto"/>
            <w:vAlign w:val="center"/>
            <w:hideMark/>
          </w:tcPr>
          <w:p w14:paraId="43B745E3"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(0.069)</w:t>
            </w:r>
          </w:p>
        </w:tc>
      </w:tr>
      <w:tr w:rsidR="00244248" w:rsidRPr="008D4339" w14:paraId="3F1C7AB5" w14:textId="77777777" w:rsidTr="00335B25">
        <w:trPr>
          <w:trHeight w:val="20"/>
        </w:trPr>
        <w:tc>
          <w:tcPr>
            <w:tcW w:w="3837" w:type="dxa"/>
            <w:tcBorders>
              <w:top w:val="nil"/>
              <w:left w:val="nil"/>
              <w:bottom w:val="nil"/>
              <w:right w:val="nil"/>
            </w:tcBorders>
            <w:shd w:val="clear" w:color="auto" w:fill="auto"/>
            <w:vAlign w:val="center"/>
            <w:hideMark/>
          </w:tcPr>
          <w:p w14:paraId="6464EF7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40-44</w:t>
            </w:r>
          </w:p>
        </w:tc>
        <w:tc>
          <w:tcPr>
            <w:tcW w:w="1276" w:type="dxa"/>
            <w:tcBorders>
              <w:top w:val="nil"/>
              <w:left w:val="nil"/>
              <w:bottom w:val="nil"/>
              <w:right w:val="nil"/>
            </w:tcBorders>
            <w:shd w:val="clear" w:color="auto" w:fill="auto"/>
            <w:vAlign w:val="center"/>
            <w:hideMark/>
          </w:tcPr>
          <w:p w14:paraId="0F42D06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-3.146***</w:t>
            </w:r>
          </w:p>
        </w:tc>
        <w:tc>
          <w:tcPr>
            <w:tcW w:w="840" w:type="dxa"/>
            <w:tcBorders>
              <w:top w:val="nil"/>
              <w:left w:val="nil"/>
              <w:bottom w:val="nil"/>
              <w:right w:val="nil"/>
            </w:tcBorders>
            <w:shd w:val="clear" w:color="auto" w:fill="auto"/>
            <w:vAlign w:val="center"/>
            <w:hideMark/>
          </w:tcPr>
          <w:p w14:paraId="114250D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(0.075)</w:t>
            </w:r>
          </w:p>
        </w:tc>
        <w:tc>
          <w:tcPr>
            <w:tcW w:w="1277" w:type="dxa"/>
            <w:tcBorders>
              <w:top w:val="nil"/>
              <w:left w:val="nil"/>
              <w:bottom w:val="nil"/>
              <w:right w:val="nil"/>
            </w:tcBorders>
            <w:shd w:val="clear" w:color="auto" w:fill="auto"/>
            <w:vAlign w:val="center"/>
            <w:hideMark/>
          </w:tcPr>
          <w:p w14:paraId="38243C3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-3.608***</w:t>
            </w:r>
          </w:p>
        </w:tc>
        <w:tc>
          <w:tcPr>
            <w:tcW w:w="959" w:type="dxa"/>
            <w:tcBorders>
              <w:top w:val="nil"/>
              <w:left w:val="nil"/>
              <w:bottom w:val="nil"/>
              <w:right w:val="nil"/>
            </w:tcBorders>
            <w:shd w:val="clear" w:color="auto" w:fill="auto"/>
            <w:vAlign w:val="center"/>
            <w:hideMark/>
          </w:tcPr>
          <w:p w14:paraId="6128053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(0.168)</w:t>
            </w:r>
          </w:p>
        </w:tc>
        <w:tc>
          <w:tcPr>
            <w:tcW w:w="1332" w:type="dxa"/>
            <w:tcBorders>
              <w:top w:val="nil"/>
              <w:left w:val="nil"/>
              <w:bottom w:val="nil"/>
              <w:right w:val="nil"/>
            </w:tcBorders>
            <w:shd w:val="clear" w:color="auto" w:fill="auto"/>
            <w:vAlign w:val="center"/>
            <w:hideMark/>
          </w:tcPr>
          <w:p w14:paraId="575C0D8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-4.178***</w:t>
            </w:r>
          </w:p>
        </w:tc>
        <w:tc>
          <w:tcPr>
            <w:tcW w:w="959" w:type="dxa"/>
            <w:tcBorders>
              <w:top w:val="nil"/>
              <w:left w:val="nil"/>
              <w:bottom w:val="nil"/>
              <w:right w:val="nil"/>
            </w:tcBorders>
            <w:shd w:val="clear" w:color="auto" w:fill="auto"/>
            <w:vAlign w:val="center"/>
            <w:hideMark/>
          </w:tcPr>
          <w:p w14:paraId="017EEC8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(0.187)</w:t>
            </w:r>
          </w:p>
        </w:tc>
        <w:tc>
          <w:tcPr>
            <w:tcW w:w="1167" w:type="dxa"/>
            <w:tcBorders>
              <w:top w:val="nil"/>
              <w:left w:val="nil"/>
              <w:bottom w:val="nil"/>
              <w:right w:val="nil"/>
            </w:tcBorders>
            <w:shd w:val="clear" w:color="auto" w:fill="auto"/>
            <w:vAlign w:val="center"/>
            <w:hideMark/>
          </w:tcPr>
          <w:p w14:paraId="7D43ADC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-3.036***</w:t>
            </w:r>
          </w:p>
        </w:tc>
        <w:tc>
          <w:tcPr>
            <w:tcW w:w="959" w:type="dxa"/>
            <w:tcBorders>
              <w:top w:val="nil"/>
              <w:left w:val="nil"/>
              <w:bottom w:val="nil"/>
              <w:right w:val="nil"/>
            </w:tcBorders>
            <w:shd w:val="clear" w:color="auto" w:fill="auto"/>
            <w:vAlign w:val="center"/>
            <w:hideMark/>
          </w:tcPr>
          <w:p w14:paraId="286ED63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(0.075)</w:t>
            </w:r>
          </w:p>
        </w:tc>
      </w:tr>
      <w:tr w:rsidR="00244248" w:rsidRPr="008D4339" w14:paraId="31FF3C42"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429C483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45-49</w:t>
            </w:r>
          </w:p>
        </w:tc>
        <w:tc>
          <w:tcPr>
            <w:tcW w:w="1276" w:type="dxa"/>
            <w:tcBorders>
              <w:top w:val="nil"/>
              <w:left w:val="nil"/>
              <w:bottom w:val="single" w:sz="4" w:space="0" w:color="ED7D31"/>
              <w:right w:val="nil"/>
            </w:tcBorders>
            <w:shd w:val="clear" w:color="auto" w:fill="auto"/>
            <w:vAlign w:val="center"/>
            <w:hideMark/>
          </w:tcPr>
          <w:p w14:paraId="008B7DB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-3.831***</w:t>
            </w:r>
          </w:p>
        </w:tc>
        <w:tc>
          <w:tcPr>
            <w:tcW w:w="840" w:type="dxa"/>
            <w:tcBorders>
              <w:top w:val="nil"/>
              <w:left w:val="nil"/>
              <w:bottom w:val="single" w:sz="4" w:space="0" w:color="ED7D31"/>
              <w:right w:val="nil"/>
            </w:tcBorders>
            <w:shd w:val="clear" w:color="auto" w:fill="auto"/>
            <w:vAlign w:val="center"/>
            <w:hideMark/>
          </w:tcPr>
          <w:p w14:paraId="0262822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(0.080)</w:t>
            </w:r>
          </w:p>
        </w:tc>
        <w:tc>
          <w:tcPr>
            <w:tcW w:w="1277" w:type="dxa"/>
            <w:tcBorders>
              <w:top w:val="nil"/>
              <w:left w:val="nil"/>
              <w:bottom w:val="single" w:sz="4" w:space="0" w:color="ED7D31"/>
              <w:right w:val="nil"/>
            </w:tcBorders>
            <w:shd w:val="clear" w:color="auto" w:fill="auto"/>
            <w:vAlign w:val="center"/>
            <w:hideMark/>
          </w:tcPr>
          <w:p w14:paraId="18275C7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-5.130***</w:t>
            </w:r>
          </w:p>
        </w:tc>
        <w:tc>
          <w:tcPr>
            <w:tcW w:w="959" w:type="dxa"/>
            <w:tcBorders>
              <w:top w:val="nil"/>
              <w:left w:val="nil"/>
              <w:bottom w:val="single" w:sz="4" w:space="0" w:color="ED7D31"/>
              <w:right w:val="nil"/>
            </w:tcBorders>
            <w:shd w:val="clear" w:color="auto" w:fill="auto"/>
            <w:vAlign w:val="center"/>
            <w:hideMark/>
          </w:tcPr>
          <w:p w14:paraId="39125DB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(0.206)</w:t>
            </w:r>
          </w:p>
        </w:tc>
        <w:tc>
          <w:tcPr>
            <w:tcW w:w="1332" w:type="dxa"/>
            <w:tcBorders>
              <w:top w:val="nil"/>
              <w:left w:val="nil"/>
              <w:bottom w:val="single" w:sz="4" w:space="0" w:color="ED7D31"/>
              <w:right w:val="nil"/>
            </w:tcBorders>
            <w:shd w:val="clear" w:color="auto" w:fill="auto"/>
            <w:vAlign w:val="center"/>
            <w:hideMark/>
          </w:tcPr>
          <w:p w14:paraId="10A0F31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-5.546***</w:t>
            </w:r>
          </w:p>
        </w:tc>
        <w:tc>
          <w:tcPr>
            <w:tcW w:w="959" w:type="dxa"/>
            <w:tcBorders>
              <w:top w:val="nil"/>
              <w:left w:val="nil"/>
              <w:bottom w:val="single" w:sz="4" w:space="0" w:color="ED7D31"/>
              <w:right w:val="nil"/>
            </w:tcBorders>
            <w:shd w:val="clear" w:color="auto" w:fill="auto"/>
            <w:vAlign w:val="center"/>
            <w:hideMark/>
          </w:tcPr>
          <w:p w14:paraId="099A290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(0.198)</w:t>
            </w:r>
          </w:p>
        </w:tc>
        <w:tc>
          <w:tcPr>
            <w:tcW w:w="1167" w:type="dxa"/>
            <w:tcBorders>
              <w:top w:val="nil"/>
              <w:left w:val="nil"/>
              <w:bottom w:val="single" w:sz="4" w:space="0" w:color="ED7D31"/>
              <w:right w:val="nil"/>
            </w:tcBorders>
            <w:shd w:val="clear" w:color="auto" w:fill="auto"/>
            <w:vAlign w:val="center"/>
            <w:hideMark/>
          </w:tcPr>
          <w:p w14:paraId="7A248E16"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-3.549***</w:t>
            </w:r>
          </w:p>
        </w:tc>
        <w:tc>
          <w:tcPr>
            <w:tcW w:w="959" w:type="dxa"/>
            <w:tcBorders>
              <w:top w:val="nil"/>
              <w:left w:val="nil"/>
              <w:bottom w:val="single" w:sz="4" w:space="0" w:color="ED7D31"/>
              <w:right w:val="nil"/>
            </w:tcBorders>
            <w:shd w:val="clear" w:color="auto" w:fill="auto"/>
            <w:vAlign w:val="center"/>
            <w:hideMark/>
          </w:tcPr>
          <w:p w14:paraId="676BEA0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(0.080)</w:t>
            </w:r>
          </w:p>
        </w:tc>
      </w:tr>
      <w:tr w:rsidR="00244248" w:rsidRPr="008D4339" w14:paraId="0C9F63A2" w14:textId="77777777" w:rsidTr="00335B25">
        <w:trPr>
          <w:trHeight w:val="20"/>
        </w:trPr>
        <w:tc>
          <w:tcPr>
            <w:tcW w:w="3837" w:type="dxa"/>
            <w:tcBorders>
              <w:top w:val="nil"/>
              <w:left w:val="nil"/>
              <w:bottom w:val="nil"/>
              <w:right w:val="nil"/>
            </w:tcBorders>
            <w:shd w:val="clear" w:color="auto" w:fill="auto"/>
            <w:vAlign w:val="center"/>
            <w:hideMark/>
          </w:tcPr>
          <w:p w14:paraId="27B77EA7"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Education level </w:t>
            </w:r>
            <w:r w:rsidRPr="008D4339">
              <w:rPr>
                <w:rFonts w:ascii="Calibri Light" w:eastAsia="Times New Roman" w:hAnsi="Calibri Light" w:cs="Calibri Light"/>
                <w:color w:val="000000"/>
                <w:sz w:val="20"/>
                <w:szCs w:val="20"/>
                <w:lang w:eastAsia="en-AU"/>
              </w:rPr>
              <w:t>(ref: Year 11 or below)</w:t>
            </w:r>
          </w:p>
        </w:tc>
        <w:tc>
          <w:tcPr>
            <w:tcW w:w="1276" w:type="dxa"/>
            <w:tcBorders>
              <w:top w:val="nil"/>
              <w:left w:val="nil"/>
              <w:bottom w:val="nil"/>
              <w:right w:val="nil"/>
            </w:tcBorders>
            <w:shd w:val="clear" w:color="auto" w:fill="auto"/>
            <w:vAlign w:val="center"/>
            <w:hideMark/>
          </w:tcPr>
          <w:p w14:paraId="45829BDE"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3EA26D43"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78468678"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4A18F5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332" w:type="dxa"/>
            <w:tcBorders>
              <w:top w:val="nil"/>
              <w:left w:val="nil"/>
              <w:bottom w:val="nil"/>
              <w:right w:val="nil"/>
            </w:tcBorders>
            <w:shd w:val="clear" w:color="auto" w:fill="auto"/>
            <w:vAlign w:val="center"/>
            <w:hideMark/>
          </w:tcPr>
          <w:p w14:paraId="0505169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F40366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4D7328CA"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55F0A965"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4B35CE87" w14:textId="77777777" w:rsidTr="00335B25">
        <w:trPr>
          <w:trHeight w:val="20"/>
        </w:trPr>
        <w:tc>
          <w:tcPr>
            <w:tcW w:w="3837" w:type="dxa"/>
            <w:tcBorders>
              <w:top w:val="nil"/>
              <w:left w:val="nil"/>
              <w:bottom w:val="nil"/>
              <w:right w:val="nil"/>
            </w:tcBorders>
            <w:shd w:val="clear" w:color="auto" w:fill="auto"/>
            <w:vAlign w:val="center"/>
            <w:hideMark/>
          </w:tcPr>
          <w:p w14:paraId="59BDEC7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Bachelor Degree or higher</w:t>
            </w:r>
          </w:p>
        </w:tc>
        <w:tc>
          <w:tcPr>
            <w:tcW w:w="1276" w:type="dxa"/>
            <w:tcBorders>
              <w:top w:val="nil"/>
              <w:left w:val="nil"/>
              <w:bottom w:val="nil"/>
              <w:right w:val="nil"/>
            </w:tcBorders>
            <w:shd w:val="clear" w:color="auto" w:fill="auto"/>
            <w:vAlign w:val="center"/>
            <w:hideMark/>
          </w:tcPr>
          <w:p w14:paraId="66251D9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0.405***</w:t>
            </w:r>
          </w:p>
        </w:tc>
        <w:tc>
          <w:tcPr>
            <w:tcW w:w="840" w:type="dxa"/>
            <w:tcBorders>
              <w:top w:val="nil"/>
              <w:left w:val="nil"/>
              <w:bottom w:val="nil"/>
              <w:right w:val="nil"/>
            </w:tcBorders>
            <w:shd w:val="clear" w:color="auto" w:fill="auto"/>
            <w:vAlign w:val="center"/>
            <w:hideMark/>
          </w:tcPr>
          <w:p w14:paraId="38ED28E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(0.073)</w:t>
            </w:r>
          </w:p>
        </w:tc>
        <w:tc>
          <w:tcPr>
            <w:tcW w:w="1277" w:type="dxa"/>
            <w:tcBorders>
              <w:top w:val="nil"/>
              <w:left w:val="nil"/>
              <w:bottom w:val="nil"/>
              <w:right w:val="nil"/>
            </w:tcBorders>
            <w:shd w:val="clear" w:color="auto" w:fill="auto"/>
            <w:vAlign w:val="center"/>
            <w:hideMark/>
          </w:tcPr>
          <w:p w14:paraId="7D48350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0.223**</w:t>
            </w:r>
          </w:p>
        </w:tc>
        <w:tc>
          <w:tcPr>
            <w:tcW w:w="959" w:type="dxa"/>
            <w:tcBorders>
              <w:top w:val="nil"/>
              <w:left w:val="nil"/>
              <w:bottom w:val="nil"/>
              <w:right w:val="nil"/>
            </w:tcBorders>
            <w:shd w:val="clear" w:color="auto" w:fill="auto"/>
            <w:vAlign w:val="center"/>
            <w:hideMark/>
          </w:tcPr>
          <w:p w14:paraId="5628714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(0.107)</w:t>
            </w:r>
          </w:p>
        </w:tc>
        <w:tc>
          <w:tcPr>
            <w:tcW w:w="1332" w:type="dxa"/>
            <w:tcBorders>
              <w:top w:val="nil"/>
              <w:left w:val="nil"/>
              <w:bottom w:val="nil"/>
              <w:right w:val="nil"/>
            </w:tcBorders>
            <w:shd w:val="clear" w:color="auto" w:fill="auto"/>
            <w:vAlign w:val="center"/>
            <w:hideMark/>
          </w:tcPr>
          <w:p w14:paraId="688F130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1.444***</w:t>
            </w:r>
          </w:p>
        </w:tc>
        <w:tc>
          <w:tcPr>
            <w:tcW w:w="959" w:type="dxa"/>
            <w:tcBorders>
              <w:top w:val="nil"/>
              <w:left w:val="nil"/>
              <w:bottom w:val="nil"/>
              <w:right w:val="nil"/>
            </w:tcBorders>
            <w:shd w:val="clear" w:color="auto" w:fill="auto"/>
            <w:vAlign w:val="center"/>
            <w:hideMark/>
          </w:tcPr>
          <w:p w14:paraId="53D8CF2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(0.198)</w:t>
            </w:r>
          </w:p>
        </w:tc>
        <w:tc>
          <w:tcPr>
            <w:tcW w:w="1167" w:type="dxa"/>
            <w:tcBorders>
              <w:top w:val="nil"/>
              <w:left w:val="nil"/>
              <w:bottom w:val="nil"/>
              <w:right w:val="nil"/>
            </w:tcBorders>
            <w:shd w:val="clear" w:color="auto" w:fill="auto"/>
            <w:vAlign w:val="center"/>
            <w:hideMark/>
          </w:tcPr>
          <w:p w14:paraId="3F8FD11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0.977***</w:t>
            </w:r>
          </w:p>
        </w:tc>
        <w:tc>
          <w:tcPr>
            <w:tcW w:w="959" w:type="dxa"/>
            <w:tcBorders>
              <w:top w:val="nil"/>
              <w:left w:val="nil"/>
              <w:bottom w:val="nil"/>
              <w:right w:val="nil"/>
            </w:tcBorders>
            <w:shd w:val="clear" w:color="auto" w:fill="auto"/>
            <w:vAlign w:val="center"/>
            <w:hideMark/>
          </w:tcPr>
          <w:p w14:paraId="0B54B1C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(0.073)</w:t>
            </w:r>
          </w:p>
        </w:tc>
      </w:tr>
      <w:tr w:rsidR="00244248" w:rsidRPr="008D4339" w14:paraId="608B7FE1" w14:textId="77777777" w:rsidTr="00335B25">
        <w:trPr>
          <w:trHeight w:val="20"/>
        </w:trPr>
        <w:tc>
          <w:tcPr>
            <w:tcW w:w="3837" w:type="dxa"/>
            <w:tcBorders>
              <w:top w:val="nil"/>
              <w:left w:val="nil"/>
              <w:bottom w:val="nil"/>
              <w:right w:val="nil"/>
            </w:tcBorders>
            <w:shd w:val="clear" w:color="auto" w:fill="auto"/>
            <w:vAlign w:val="center"/>
            <w:hideMark/>
          </w:tcPr>
          <w:p w14:paraId="6A40EEB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Diploma/ Cert III/IV</w:t>
            </w:r>
          </w:p>
        </w:tc>
        <w:tc>
          <w:tcPr>
            <w:tcW w:w="1276" w:type="dxa"/>
            <w:tcBorders>
              <w:top w:val="nil"/>
              <w:left w:val="nil"/>
              <w:bottom w:val="nil"/>
              <w:right w:val="nil"/>
            </w:tcBorders>
            <w:shd w:val="clear" w:color="auto" w:fill="auto"/>
            <w:vAlign w:val="center"/>
            <w:hideMark/>
          </w:tcPr>
          <w:p w14:paraId="58124B2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0.295***</w:t>
            </w:r>
          </w:p>
        </w:tc>
        <w:tc>
          <w:tcPr>
            <w:tcW w:w="840" w:type="dxa"/>
            <w:tcBorders>
              <w:top w:val="nil"/>
              <w:left w:val="nil"/>
              <w:bottom w:val="nil"/>
              <w:right w:val="nil"/>
            </w:tcBorders>
            <w:shd w:val="clear" w:color="auto" w:fill="auto"/>
            <w:vAlign w:val="center"/>
            <w:hideMark/>
          </w:tcPr>
          <w:p w14:paraId="50DAEAB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(0.069)</w:t>
            </w:r>
          </w:p>
        </w:tc>
        <w:tc>
          <w:tcPr>
            <w:tcW w:w="1277" w:type="dxa"/>
            <w:tcBorders>
              <w:top w:val="nil"/>
              <w:left w:val="nil"/>
              <w:bottom w:val="nil"/>
              <w:right w:val="nil"/>
            </w:tcBorders>
            <w:shd w:val="clear" w:color="auto" w:fill="auto"/>
            <w:vAlign w:val="center"/>
            <w:hideMark/>
          </w:tcPr>
          <w:p w14:paraId="796C5C5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0.310***</w:t>
            </w:r>
          </w:p>
        </w:tc>
        <w:tc>
          <w:tcPr>
            <w:tcW w:w="959" w:type="dxa"/>
            <w:tcBorders>
              <w:top w:val="nil"/>
              <w:left w:val="nil"/>
              <w:bottom w:val="nil"/>
              <w:right w:val="nil"/>
            </w:tcBorders>
            <w:shd w:val="clear" w:color="auto" w:fill="auto"/>
            <w:vAlign w:val="center"/>
            <w:hideMark/>
          </w:tcPr>
          <w:p w14:paraId="4D1FE70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(0.107)</w:t>
            </w:r>
          </w:p>
        </w:tc>
        <w:tc>
          <w:tcPr>
            <w:tcW w:w="1332" w:type="dxa"/>
            <w:tcBorders>
              <w:top w:val="nil"/>
              <w:left w:val="nil"/>
              <w:bottom w:val="nil"/>
              <w:right w:val="nil"/>
            </w:tcBorders>
            <w:shd w:val="clear" w:color="auto" w:fill="auto"/>
            <w:vAlign w:val="center"/>
            <w:hideMark/>
          </w:tcPr>
          <w:p w14:paraId="5BEEB49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0.546***</w:t>
            </w:r>
          </w:p>
        </w:tc>
        <w:tc>
          <w:tcPr>
            <w:tcW w:w="959" w:type="dxa"/>
            <w:tcBorders>
              <w:top w:val="nil"/>
              <w:left w:val="nil"/>
              <w:bottom w:val="nil"/>
              <w:right w:val="nil"/>
            </w:tcBorders>
            <w:shd w:val="clear" w:color="auto" w:fill="auto"/>
            <w:vAlign w:val="center"/>
            <w:hideMark/>
          </w:tcPr>
          <w:p w14:paraId="6F939FE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(0.183)</w:t>
            </w:r>
          </w:p>
        </w:tc>
        <w:tc>
          <w:tcPr>
            <w:tcW w:w="1167" w:type="dxa"/>
            <w:tcBorders>
              <w:top w:val="nil"/>
              <w:left w:val="nil"/>
              <w:bottom w:val="nil"/>
              <w:right w:val="nil"/>
            </w:tcBorders>
            <w:shd w:val="clear" w:color="auto" w:fill="auto"/>
            <w:vAlign w:val="center"/>
            <w:hideMark/>
          </w:tcPr>
          <w:p w14:paraId="0D6B76C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0.491***</w:t>
            </w:r>
          </w:p>
        </w:tc>
        <w:tc>
          <w:tcPr>
            <w:tcW w:w="959" w:type="dxa"/>
            <w:tcBorders>
              <w:top w:val="nil"/>
              <w:left w:val="nil"/>
              <w:bottom w:val="nil"/>
              <w:right w:val="nil"/>
            </w:tcBorders>
            <w:shd w:val="clear" w:color="auto" w:fill="auto"/>
            <w:vAlign w:val="center"/>
            <w:hideMark/>
          </w:tcPr>
          <w:p w14:paraId="6EB994B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(0.069)</w:t>
            </w:r>
          </w:p>
        </w:tc>
      </w:tr>
      <w:tr w:rsidR="00244248" w:rsidRPr="008D4339" w14:paraId="6BEF9F42"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62B5D28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Year 12</w:t>
            </w:r>
          </w:p>
        </w:tc>
        <w:tc>
          <w:tcPr>
            <w:tcW w:w="1276" w:type="dxa"/>
            <w:tcBorders>
              <w:top w:val="nil"/>
              <w:left w:val="nil"/>
              <w:bottom w:val="single" w:sz="4" w:space="0" w:color="ED7D31"/>
              <w:right w:val="nil"/>
            </w:tcBorders>
            <w:shd w:val="clear" w:color="auto" w:fill="auto"/>
            <w:vAlign w:val="center"/>
            <w:hideMark/>
          </w:tcPr>
          <w:p w14:paraId="745B2FB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0.244***</w:t>
            </w:r>
          </w:p>
        </w:tc>
        <w:tc>
          <w:tcPr>
            <w:tcW w:w="840" w:type="dxa"/>
            <w:tcBorders>
              <w:top w:val="nil"/>
              <w:left w:val="nil"/>
              <w:bottom w:val="single" w:sz="4" w:space="0" w:color="ED7D31"/>
              <w:right w:val="nil"/>
            </w:tcBorders>
            <w:shd w:val="clear" w:color="auto" w:fill="auto"/>
            <w:vAlign w:val="center"/>
            <w:hideMark/>
          </w:tcPr>
          <w:p w14:paraId="69420D5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(0.069)</w:t>
            </w:r>
          </w:p>
        </w:tc>
        <w:tc>
          <w:tcPr>
            <w:tcW w:w="1277" w:type="dxa"/>
            <w:tcBorders>
              <w:top w:val="nil"/>
              <w:left w:val="nil"/>
              <w:bottom w:val="single" w:sz="4" w:space="0" w:color="ED7D31"/>
              <w:right w:val="nil"/>
            </w:tcBorders>
            <w:shd w:val="clear" w:color="auto" w:fill="auto"/>
            <w:vAlign w:val="center"/>
            <w:hideMark/>
          </w:tcPr>
          <w:p w14:paraId="2606B3A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0.198**</w:t>
            </w:r>
          </w:p>
        </w:tc>
        <w:tc>
          <w:tcPr>
            <w:tcW w:w="959" w:type="dxa"/>
            <w:tcBorders>
              <w:top w:val="nil"/>
              <w:left w:val="nil"/>
              <w:bottom w:val="single" w:sz="4" w:space="0" w:color="ED7D31"/>
              <w:right w:val="nil"/>
            </w:tcBorders>
            <w:shd w:val="clear" w:color="auto" w:fill="auto"/>
            <w:vAlign w:val="center"/>
            <w:hideMark/>
          </w:tcPr>
          <w:p w14:paraId="6A27AAF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(0.096)</w:t>
            </w:r>
          </w:p>
        </w:tc>
        <w:tc>
          <w:tcPr>
            <w:tcW w:w="1332" w:type="dxa"/>
            <w:tcBorders>
              <w:top w:val="nil"/>
              <w:left w:val="nil"/>
              <w:bottom w:val="single" w:sz="4" w:space="0" w:color="ED7D31"/>
              <w:right w:val="nil"/>
            </w:tcBorders>
            <w:shd w:val="clear" w:color="auto" w:fill="auto"/>
            <w:vAlign w:val="center"/>
            <w:hideMark/>
          </w:tcPr>
          <w:p w14:paraId="0ED7C67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0.559***</w:t>
            </w:r>
          </w:p>
        </w:tc>
        <w:tc>
          <w:tcPr>
            <w:tcW w:w="959" w:type="dxa"/>
            <w:tcBorders>
              <w:top w:val="nil"/>
              <w:left w:val="nil"/>
              <w:bottom w:val="single" w:sz="4" w:space="0" w:color="ED7D31"/>
              <w:right w:val="nil"/>
            </w:tcBorders>
            <w:shd w:val="clear" w:color="auto" w:fill="auto"/>
            <w:vAlign w:val="center"/>
            <w:hideMark/>
          </w:tcPr>
          <w:p w14:paraId="06E678B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(0.200)</w:t>
            </w:r>
          </w:p>
        </w:tc>
        <w:tc>
          <w:tcPr>
            <w:tcW w:w="1167" w:type="dxa"/>
            <w:tcBorders>
              <w:top w:val="nil"/>
              <w:left w:val="nil"/>
              <w:bottom w:val="single" w:sz="4" w:space="0" w:color="ED7D31"/>
              <w:right w:val="nil"/>
            </w:tcBorders>
            <w:shd w:val="clear" w:color="auto" w:fill="auto"/>
            <w:vAlign w:val="center"/>
            <w:hideMark/>
          </w:tcPr>
          <w:p w14:paraId="52B0B22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0.606***</w:t>
            </w:r>
          </w:p>
        </w:tc>
        <w:tc>
          <w:tcPr>
            <w:tcW w:w="959" w:type="dxa"/>
            <w:tcBorders>
              <w:top w:val="nil"/>
              <w:left w:val="nil"/>
              <w:bottom w:val="single" w:sz="4" w:space="0" w:color="ED7D31"/>
              <w:right w:val="nil"/>
            </w:tcBorders>
            <w:shd w:val="clear" w:color="auto" w:fill="auto"/>
            <w:vAlign w:val="center"/>
            <w:hideMark/>
          </w:tcPr>
          <w:p w14:paraId="5FAF878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(0.069)</w:t>
            </w:r>
          </w:p>
        </w:tc>
      </w:tr>
      <w:tr w:rsidR="00244248" w:rsidRPr="008D4339" w14:paraId="1ADFBE92" w14:textId="77777777" w:rsidTr="00335B25">
        <w:trPr>
          <w:trHeight w:val="20"/>
        </w:trPr>
        <w:tc>
          <w:tcPr>
            <w:tcW w:w="3837" w:type="dxa"/>
            <w:tcBorders>
              <w:top w:val="nil"/>
              <w:left w:val="nil"/>
              <w:bottom w:val="nil"/>
              <w:right w:val="nil"/>
            </w:tcBorders>
            <w:shd w:val="clear" w:color="auto" w:fill="auto"/>
            <w:vAlign w:val="center"/>
            <w:hideMark/>
          </w:tcPr>
          <w:p w14:paraId="62BD96EB"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Relationship status </w:t>
            </w:r>
            <w:r w:rsidRPr="008D4339">
              <w:rPr>
                <w:rFonts w:ascii="Calibri Light" w:eastAsia="Times New Roman" w:hAnsi="Calibri Light" w:cs="Calibri Light"/>
                <w:color w:val="000000"/>
                <w:sz w:val="20"/>
                <w:szCs w:val="20"/>
                <w:lang w:eastAsia="en-AU"/>
              </w:rPr>
              <w:t>(ref: Single)</w:t>
            </w:r>
          </w:p>
        </w:tc>
        <w:tc>
          <w:tcPr>
            <w:tcW w:w="1276" w:type="dxa"/>
            <w:tcBorders>
              <w:top w:val="nil"/>
              <w:left w:val="nil"/>
              <w:bottom w:val="nil"/>
              <w:right w:val="nil"/>
            </w:tcBorders>
            <w:shd w:val="clear" w:color="auto" w:fill="auto"/>
            <w:vAlign w:val="center"/>
            <w:hideMark/>
          </w:tcPr>
          <w:p w14:paraId="1E539D99"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08D1C37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7244474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06F5E9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332" w:type="dxa"/>
            <w:tcBorders>
              <w:top w:val="nil"/>
              <w:left w:val="nil"/>
              <w:bottom w:val="nil"/>
              <w:right w:val="nil"/>
            </w:tcBorders>
            <w:shd w:val="clear" w:color="auto" w:fill="auto"/>
            <w:vAlign w:val="center"/>
            <w:hideMark/>
          </w:tcPr>
          <w:p w14:paraId="0B8C7AA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749600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44F6022D"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CBE4813"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684A24F9" w14:textId="77777777" w:rsidTr="00335B25">
        <w:trPr>
          <w:trHeight w:val="20"/>
        </w:trPr>
        <w:tc>
          <w:tcPr>
            <w:tcW w:w="3837" w:type="dxa"/>
            <w:tcBorders>
              <w:top w:val="nil"/>
              <w:left w:val="nil"/>
              <w:bottom w:val="nil"/>
              <w:right w:val="nil"/>
            </w:tcBorders>
            <w:shd w:val="clear" w:color="auto" w:fill="auto"/>
            <w:vAlign w:val="center"/>
            <w:hideMark/>
          </w:tcPr>
          <w:p w14:paraId="149EAD5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Married</w:t>
            </w:r>
          </w:p>
        </w:tc>
        <w:tc>
          <w:tcPr>
            <w:tcW w:w="1276" w:type="dxa"/>
            <w:tcBorders>
              <w:top w:val="nil"/>
              <w:left w:val="nil"/>
              <w:bottom w:val="nil"/>
              <w:right w:val="nil"/>
            </w:tcBorders>
            <w:shd w:val="clear" w:color="auto" w:fill="auto"/>
            <w:vAlign w:val="center"/>
            <w:hideMark/>
          </w:tcPr>
          <w:p w14:paraId="266C0B2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0.850***</w:t>
            </w:r>
          </w:p>
        </w:tc>
        <w:tc>
          <w:tcPr>
            <w:tcW w:w="840" w:type="dxa"/>
            <w:tcBorders>
              <w:top w:val="nil"/>
              <w:left w:val="nil"/>
              <w:bottom w:val="nil"/>
              <w:right w:val="nil"/>
            </w:tcBorders>
            <w:shd w:val="clear" w:color="auto" w:fill="auto"/>
            <w:vAlign w:val="center"/>
            <w:hideMark/>
          </w:tcPr>
          <w:p w14:paraId="19F52513"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(0.054)</w:t>
            </w:r>
          </w:p>
        </w:tc>
        <w:tc>
          <w:tcPr>
            <w:tcW w:w="1277" w:type="dxa"/>
            <w:tcBorders>
              <w:top w:val="nil"/>
              <w:left w:val="nil"/>
              <w:bottom w:val="nil"/>
              <w:right w:val="nil"/>
            </w:tcBorders>
            <w:shd w:val="clear" w:color="auto" w:fill="auto"/>
            <w:vAlign w:val="center"/>
            <w:hideMark/>
          </w:tcPr>
          <w:p w14:paraId="6C9C031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0.810***</w:t>
            </w:r>
          </w:p>
        </w:tc>
        <w:tc>
          <w:tcPr>
            <w:tcW w:w="959" w:type="dxa"/>
            <w:tcBorders>
              <w:top w:val="nil"/>
              <w:left w:val="nil"/>
              <w:bottom w:val="nil"/>
              <w:right w:val="nil"/>
            </w:tcBorders>
            <w:shd w:val="clear" w:color="auto" w:fill="auto"/>
            <w:vAlign w:val="center"/>
            <w:hideMark/>
          </w:tcPr>
          <w:p w14:paraId="382EBA1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(0.088)</w:t>
            </w:r>
          </w:p>
        </w:tc>
        <w:tc>
          <w:tcPr>
            <w:tcW w:w="1332" w:type="dxa"/>
            <w:tcBorders>
              <w:top w:val="nil"/>
              <w:left w:val="nil"/>
              <w:bottom w:val="nil"/>
              <w:right w:val="nil"/>
            </w:tcBorders>
            <w:shd w:val="clear" w:color="auto" w:fill="auto"/>
            <w:vAlign w:val="center"/>
            <w:hideMark/>
          </w:tcPr>
          <w:p w14:paraId="73A58AD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1.639***</w:t>
            </w:r>
          </w:p>
        </w:tc>
        <w:tc>
          <w:tcPr>
            <w:tcW w:w="959" w:type="dxa"/>
            <w:tcBorders>
              <w:top w:val="nil"/>
              <w:left w:val="nil"/>
              <w:bottom w:val="nil"/>
              <w:right w:val="nil"/>
            </w:tcBorders>
            <w:shd w:val="clear" w:color="auto" w:fill="auto"/>
            <w:vAlign w:val="center"/>
            <w:hideMark/>
          </w:tcPr>
          <w:p w14:paraId="30CD85A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(0.159)</w:t>
            </w:r>
          </w:p>
        </w:tc>
        <w:tc>
          <w:tcPr>
            <w:tcW w:w="1167" w:type="dxa"/>
            <w:tcBorders>
              <w:top w:val="nil"/>
              <w:left w:val="nil"/>
              <w:bottom w:val="nil"/>
              <w:right w:val="nil"/>
            </w:tcBorders>
            <w:shd w:val="clear" w:color="auto" w:fill="auto"/>
            <w:vAlign w:val="center"/>
            <w:hideMark/>
          </w:tcPr>
          <w:p w14:paraId="578CF5D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0.351**</w:t>
            </w:r>
          </w:p>
        </w:tc>
        <w:tc>
          <w:tcPr>
            <w:tcW w:w="959" w:type="dxa"/>
            <w:tcBorders>
              <w:top w:val="nil"/>
              <w:left w:val="nil"/>
              <w:bottom w:val="nil"/>
              <w:right w:val="nil"/>
            </w:tcBorders>
            <w:shd w:val="clear" w:color="auto" w:fill="auto"/>
            <w:vAlign w:val="center"/>
            <w:hideMark/>
          </w:tcPr>
          <w:p w14:paraId="55C100D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(0.054)</w:t>
            </w:r>
          </w:p>
        </w:tc>
      </w:tr>
      <w:tr w:rsidR="00244248" w:rsidRPr="008D4339" w14:paraId="42D430BA"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7F7961B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Cohabiting</w:t>
            </w:r>
          </w:p>
        </w:tc>
        <w:tc>
          <w:tcPr>
            <w:tcW w:w="1276" w:type="dxa"/>
            <w:tcBorders>
              <w:top w:val="nil"/>
              <w:left w:val="nil"/>
              <w:bottom w:val="single" w:sz="4" w:space="0" w:color="ED7D31"/>
              <w:right w:val="nil"/>
            </w:tcBorders>
            <w:shd w:val="clear" w:color="auto" w:fill="auto"/>
            <w:vAlign w:val="center"/>
            <w:hideMark/>
          </w:tcPr>
          <w:p w14:paraId="6EA75E1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0.860***</w:t>
            </w:r>
          </w:p>
        </w:tc>
        <w:tc>
          <w:tcPr>
            <w:tcW w:w="840" w:type="dxa"/>
            <w:tcBorders>
              <w:top w:val="nil"/>
              <w:left w:val="nil"/>
              <w:bottom w:val="single" w:sz="4" w:space="0" w:color="ED7D31"/>
              <w:right w:val="nil"/>
            </w:tcBorders>
            <w:shd w:val="clear" w:color="auto" w:fill="auto"/>
            <w:vAlign w:val="center"/>
            <w:hideMark/>
          </w:tcPr>
          <w:p w14:paraId="25D238E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(0.045)</w:t>
            </w:r>
          </w:p>
        </w:tc>
        <w:tc>
          <w:tcPr>
            <w:tcW w:w="1277" w:type="dxa"/>
            <w:tcBorders>
              <w:top w:val="nil"/>
              <w:left w:val="nil"/>
              <w:bottom w:val="single" w:sz="4" w:space="0" w:color="ED7D31"/>
              <w:right w:val="nil"/>
            </w:tcBorders>
            <w:shd w:val="clear" w:color="auto" w:fill="auto"/>
            <w:vAlign w:val="center"/>
            <w:hideMark/>
          </w:tcPr>
          <w:p w14:paraId="0CDDE2F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0.591***</w:t>
            </w:r>
          </w:p>
        </w:tc>
        <w:tc>
          <w:tcPr>
            <w:tcW w:w="959" w:type="dxa"/>
            <w:tcBorders>
              <w:top w:val="nil"/>
              <w:left w:val="nil"/>
              <w:bottom w:val="single" w:sz="4" w:space="0" w:color="ED7D31"/>
              <w:right w:val="nil"/>
            </w:tcBorders>
            <w:shd w:val="clear" w:color="auto" w:fill="auto"/>
            <w:vAlign w:val="center"/>
            <w:hideMark/>
          </w:tcPr>
          <w:p w14:paraId="3757F60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(0.056)</w:t>
            </w:r>
          </w:p>
        </w:tc>
        <w:tc>
          <w:tcPr>
            <w:tcW w:w="1332" w:type="dxa"/>
            <w:tcBorders>
              <w:top w:val="nil"/>
              <w:left w:val="nil"/>
              <w:bottom w:val="single" w:sz="4" w:space="0" w:color="ED7D31"/>
              <w:right w:val="nil"/>
            </w:tcBorders>
            <w:shd w:val="clear" w:color="auto" w:fill="auto"/>
            <w:vAlign w:val="center"/>
            <w:hideMark/>
          </w:tcPr>
          <w:p w14:paraId="4486CA3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1.518***</w:t>
            </w:r>
          </w:p>
        </w:tc>
        <w:tc>
          <w:tcPr>
            <w:tcW w:w="959" w:type="dxa"/>
            <w:tcBorders>
              <w:top w:val="nil"/>
              <w:left w:val="nil"/>
              <w:bottom w:val="single" w:sz="4" w:space="0" w:color="ED7D31"/>
              <w:right w:val="nil"/>
            </w:tcBorders>
            <w:shd w:val="clear" w:color="auto" w:fill="auto"/>
            <w:vAlign w:val="center"/>
            <w:hideMark/>
          </w:tcPr>
          <w:p w14:paraId="02080E4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(0.152)</w:t>
            </w:r>
          </w:p>
        </w:tc>
        <w:tc>
          <w:tcPr>
            <w:tcW w:w="1167" w:type="dxa"/>
            <w:tcBorders>
              <w:top w:val="nil"/>
              <w:left w:val="nil"/>
              <w:bottom w:val="single" w:sz="4" w:space="0" w:color="ED7D31"/>
              <w:right w:val="nil"/>
            </w:tcBorders>
            <w:shd w:val="clear" w:color="auto" w:fill="auto"/>
            <w:vAlign w:val="center"/>
            <w:hideMark/>
          </w:tcPr>
          <w:p w14:paraId="0A19588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0.744***</w:t>
            </w:r>
          </w:p>
        </w:tc>
        <w:tc>
          <w:tcPr>
            <w:tcW w:w="959" w:type="dxa"/>
            <w:tcBorders>
              <w:top w:val="nil"/>
              <w:left w:val="nil"/>
              <w:bottom w:val="single" w:sz="4" w:space="0" w:color="ED7D31"/>
              <w:right w:val="nil"/>
            </w:tcBorders>
            <w:shd w:val="clear" w:color="auto" w:fill="auto"/>
            <w:vAlign w:val="center"/>
            <w:hideMark/>
          </w:tcPr>
          <w:p w14:paraId="0966ABA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(0.045)</w:t>
            </w:r>
          </w:p>
        </w:tc>
      </w:tr>
      <w:tr w:rsidR="00244248" w:rsidRPr="008D4339" w14:paraId="3D3C1BCB" w14:textId="77777777" w:rsidTr="00335B25">
        <w:trPr>
          <w:trHeight w:val="20"/>
        </w:trPr>
        <w:tc>
          <w:tcPr>
            <w:tcW w:w="3837" w:type="dxa"/>
            <w:tcBorders>
              <w:top w:val="nil"/>
              <w:left w:val="nil"/>
              <w:bottom w:val="nil"/>
              <w:right w:val="nil"/>
            </w:tcBorders>
            <w:shd w:val="clear" w:color="auto" w:fill="auto"/>
            <w:vAlign w:val="center"/>
            <w:hideMark/>
          </w:tcPr>
          <w:p w14:paraId="615E1EF2"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Employment </w:t>
            </w:r>
            <w:r w:rsidRPr="008D4339">
              <w:rPr>
                <w:rFonts w:ascii="Calibri Light" w:eastAsia="Times New Roman" w:hAnsi="Calibri Light" w:cs="Calibri Light"/>
                <w:color w:val="000000"/>
                <w:sz w:val="20"/>
                <w:szCs w:val="20"/>
                <w:lang w:eastAsia="en-AU"/>
              </w:rPr>
              <w:t>(ref: Permanent full-time)</w:t>
            </w:r>
          </w:p>
        </w:tc>
        <w:tc>
          <w:tcPr>
            <w:tcW w:w="1276" w:type="dxa"/>
            <w:tcBorders>
              <w:top w:val="nil"/>
              <w:left w:val="nil"/>
              <w:bottom w:val="nil"/>
              <w:right w:val="nil"/>
            </w:tcBorders>
            <w:shd w:val="clear" w:color="auto" w:fill="auto"/>
            <w:vAlign w:val="center"/>
            <w:hideMark/>
          </w:tcPr>
          <w:p w14:paraId="72D618E1"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1A857051"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0C32A194"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D6D6F8E"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332" w:type="dxa"/>
            <w:tcBorders>
              <w:top w:val="nil"/>
              <w:left w:val="nil"/>
              <w:bottom w:val="nil"/>
              <w:right w:val="nil"/>
            </w:tcBorders>
            <w:shd w:val="clear" w:color="auto" w:fill="auto"/>
            <w:vAlign w:val="center"/>
            <w:hideMark/>
          </w:tcPr>
          <w:p w14:paraId="3A5D445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712DE4C"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19E6E1A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96B878E"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5BD74B7D" w14:textId="77777777" w:rsidTr="00335B25">
        <w:trPr>
          <w:trHeight w:val="20"/>
        </w:trPr>
        <w:tc>
          <w:tcPr>
            <w:tcW w:w="3837" w:type="dxa"/>
            <w:tcBorders>
              <w:top w:val="nil"/>
              <w:left w:val="nil"/>
              <w:bottom w:val="nil"/>
              <w:right w:val="nil"/>
            </w:tcBorders>
            <w:shd w:val="clear" w:color="auto" w:fill="auto"/>
            <w:vAlign w:val="center"/>
            <w:hideMark/>
          </w:tcPr>
          <w:p w14:paraId="4602FFF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Permanent part-time</w:t>
            </w:r>
          </w:p>
        </w:tc>
        <w:tc>
          <w:tcPr>
            <w:tcW w:w="1276" w:type="dxa"/>
            <w:tcBorders>
              <w:top w:val="nil"/>
              <w:left w:val="nil"/>
              <w:bottom w:val="nil"/>
              <w:right w:val="nil"/>
            </w:tcBorders>
            <w:shd w:val="clear" w:color="auto" w:fill="auto"/>
            <w:vAlign w:val="center"/>
            <w:hideMark/>
          </w:tcPr>
          <w:p w14:paraId="7C2313B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-0.070</w:t>
            </w:r>
          </w:p>
        </w:tc>
        <w:tc>
          <w:tcPr>
            <w:tcW w:w="840" w:type="dxa"/>
            <w:tcBorders>
              <w:top w:val="nil"/>
              <w:left w:val="nil"/>
              <w:bottom w:val="nil"/>
              <w:right w:val="nil"/>
            </w:tcBorders>
            <w:shd w:val="clear" w:color="auto" w:fill="auto"/>
            <w:vAlign w:val="center"/>
            <w:hideMark/>
          </w:tcPr>
          <w:p w14:paraId="68B8B4B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(0.044)</w:t>
            </w:r>
          </w:p>
        </w:tc>
        <w:tc>
          <w:tcPr>
            <w:tcW w:w="1277" w:type="dxa"/>
            <w:tcBorders>
              <w:top w:val="nil"/>
              <w:left w:val="nil"/>
              <w:bottom w:val="nil"/>
              <w:right w:val="nil"/>
            </w:tcBorders>
            <w:shd w:val="clear" w:color="auto" w:fill="auto"/>
            <w:vAlign w:val="center"/>
            <w:hideMark/>
          </w:tcPr>
          <w:p w14:paraId="10F9AAE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0.001</w:t>
            </w:r>
          </w:p>
        </w:tc>
        <w:tc>
          <w:tcPr>
            <w:tcW w:w="959" w:type="dxa"/>
            <w:tcBorders>
              <w:top w:val="nil"/>
              <w:left w:val="nil"/>
              <w:bottom w:val="nil"/>
              <w:right w:val="nil"/>
            </w:tcBorders>
            <w:shd w:val="clear" w:color="auto" w:fill="auto"/>
            <w:vAlign w:val="center"/>
            <w:hideMark/>
          </w:tcPr>
          <w:p w14:paraId="551EDC6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(0.063)</w:t>
            </w:r>
          </w:p>
        </w:tc>
        <w:tc>
          <w:tcPr>
            <w:tcW w:w="1332" w:type="dxa"/>
            <w:tcBorders>
              <w:top w:val="nil"/>
              <w:left w:val="nil"/>
              <w:bottom w:val="nil"/>
              <w:right w:val="nil"/>
            </w:tcBorders>
            <w:shd w:val="clear" w:color="auto" w:fill="auto"/>
            <w:vAlign w:val="center"/>
            <w:hideMark/>
          </w:tcPr>
          <w:p w14:paraId="1BFB206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0.310**</w:t>
            </w:r>
          </w:p>
        </w:tc>
        <w:tc>
          <w:tcPr>
            <w:tcW w:w="959" w:type="dxa"/>
            <w:tcBorders>
              <w:top w:val="nil"/>
              <w:left w:val="nil"/>
              <w:bottom w:val="nil"/>
              <w:right w:val="nil"/>
            </w:tcBorders>
            <w:shd w:val="clear" w:color="auto" w:fill="auto"/>
            <w:vAlign w:val="center"/>
            <w:hideMark/>
          </w:tcPr>
          <w:p w14:paraId="0C1620D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(0.124)</w:t>
            </w:r>
          </w:p>
        </w:tc>
        <w:tc>
          <w:tcPr>
            <w:tcW w:w="1167" w:type="dxa"/>
            <w:tcBorders>
              <w:top w:val="nil"/>
              <w:left w:val="nil"/>
              <w:bottom w:val="nil"/>
              <w:right w:val="nil"/>
            </w:tcBorders>
            <w:shd w:val="clear" w:color="auto" w:fill="auto"/>
            <w:vAlign w:val="center"/>
            <w:hideMark/>
          </w:tcPr>
          <w:p w14:paraId="47F6149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0.062</w:t>
            </w:r>
          </w:p>
        </w:tc>
        <w:tc>
          <w:tcPr>
            <w:tcW w:w="959" w:type="dxa"/>
            <w:tcBorders>
              <w:top w:val="nil"/>
              <w:left w:val="nil"/>
              <w:bottom w:val="nil"/>
              <w:right w:val="nil"/>
            </w:tcBorders>
            <w:shd w:val="clear" w:color="auto" w:fill="auto"/>
            <w:vAlign w:val="center"/>
            <w:hideMark/>
          </w:tcPr>
          <w:p w14:paraId="4680F22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(0.044)</w:t>
            </w:r>
          </w:p>
        </w:tc>
      </w:tr>
      <w:tr w:rsidR="00244248" w:rsidRPr="008D4339" w14:paraId="37BF1EF7" w14:textId="77777777" w:rsidTr="00335B25">
        <w:trPr>
          <w:trHeight w:val="20"/>
        </w:trPr>
        <w:tc>
          <w:tcPr>
            <w:tcW w:w="3837" w:type="dxa"/>
            <w:tcBorders>
              <w:top w:val="nil"/>
              <w:left w:val="nil"/>
              <w:bottom w:val="nil"/>
              <w:right w:val="nil"/>
            </w:tcBorders>
            <w:shd w:val="clear" w:color="auto" w:fill="auto"/>
            <w:vAlign w:val="center"/>
            <w:hideMark/>
          </w:tcPr>
          <w:p w14:paraId="6D77DB8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Casual full-time</w:t>
            </w:r>
          </w:p>
        </w:tc>
        <w:tc>
          <w:tcPr>
            <w:tcW w:w="1276" w:type="dxa"/>
            <w:tcBorders>
              <w:top w:val="nil"/>
              <w:left w:val="nil"/>
              <w:bottom w:val="nil"/>
              <w:right w:val="nil"/>
            </w:tcBorders>
            <w:shd w:val="clear" w:color="auto" w:fill="auto"/>
            <w:vAlign w:val="center"/>
            <w:hideMark/>
          </w:tcPr>
          <w:p w14:paraId="2A2D406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0.051</w:t>
            </w:r>
          </w:p>
        </w:tc>
        <w:tc>
          <w:tcPr>
            <w:tcW w:w="840" w:type="dxa"/>
            <w:tcBorders>
              <w:top w:val="nil"/>
              <w:left w:val="nil"/>
              <w:bottom w:val="nil"/>
              <w:right w:val="nil"/>
            </w:tcBorders>
            <w:shd w:val="clear" w:color="auto" w:fill="auto"/>
            <w:vAlign w:val="center"/>
            <w:hideMark/>
          </w:tcPr>
          <w:p w14:paraId="250B929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(0.057)</w:t>
            </w:r>
          </w:p>
        </w:tc>
        <w:tc>
          <w:tcPr>
            <w:tcW w:w="1277" w:type="dxa"/>
            <w:tcBorders>
              <w:top w:val="nil"/>
              <w:left w:val="nil"/>
              <w:bottom w:val="nil"/>
              <w:right w:val="nil"/>
            </w:tcBorders>
            <w:shd w:val="clear" w:color="auto" w:fill="auto"/>
            <w:vAlign w:val="center"/>
            <w:hideMark/>
          </w:tcPr>
          <w:p w14:paraId="4803A46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0.094</w:t>
            </w:r>
          </w:p>
        </w:tc>
        <w:tc>
          <w:tcPr>
            <w:tcW w:w="959" w:type="dxa"/>
            <w:tcBorders>
              <w:top w:val="nil"/>
              <w:left w:val="nil"/>
              <w:bottom w:val="nil"/>
              <w:right w:val="nil"/>
            </w:tcBorders>
            <w:shd w:val="clear" w:color="auto" w:fill="auto"/>
            <w:vAlign w:val="center"/>
            <w:hideMark/>
          </w:tcPr>
          <w:p w14:paraId="4EC65BA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(0.072)</w:t>
            </w:r>
          </w:p>
        </w:tc>
        <w:tc>
          <w:tcPr>
            <w:tcW w:w="1332" w:type="dxa"/>
            <w:tcBorders>
              <w:top w:val="nil"/>
              <w:left w:val="nil"/>
              <w:bottom w:val="nil"/>
              <w:right w:val="nil"/>
            </w:tcBorders>
            <w:shd w:val="clear" w:color="auto" w:fill="auto"/>
            <w:vAlign w:val="center"/>
            <w:hideMark/>
          </w:tcPr>
          <w:p w14:paraId="2AB61E6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0.150</w:t>
            </w:r>
          </w:p>
        </w:tc>
        <w:tc>
          <w:tcPr>
            <w:tcW w:w="959" w:type="dxa"/>
            <w:tcBorders>
              <w:top w:val="nil"/>
              <w:left w:val="nil"/>
              <w:bottom w:val="nil"/>
              <w:right w:val="nil"/>
            </w:tcBorders>
            <w:shd w:val="clear" w:color="auto" w:fill="auto"/>
            <w:vAlign w:val="center"/>
            <w:hideMark/>
          </w:tcPr>
          <w:p w14:paraId="27B868D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(0.256)</w:t>
            </w:r>
          </w:p>
        </w:tc>
        <w:tc>
          <w:tcPr>
            <w:tcW w:w="1167" w:type="dxa"/>
            <w:tcBorders>
              <w:top w:val="nil"/>
              <w:left w:val="nil"/>
              <w:bottom w:val="nil"/>
              <w:right w:val="nil"/>
            </w:tcBorders>
            <w:shd w:val="clear" w:color="auto" w:fill="auto"/>
            <w:vAlign w:val="center"/>
            <w:hideMark/>
          </w:tcPr>
          <w:p w14:paraId="689B1F1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-0.042</w:t>
            </w:r>
          </w:p>
        </w:tc>
        <w:tc>
          <w:tcPr>
            <w:tcW w:w="959" w:type="dxa"/>
            <w:tcBorders>
              <w:top w:val="nil"/>
              <w:left w:val="nil"/>
              <w:bottom w:val="nil"/>
              <w:right w:val="nil"/>
            </w:tcBorders>
            <w:shd w:val="clear" w:color="auto" w:fill="auto"/>
            <w:vAlign w:val="center"/>
            <w:hideMark/>
          </w:tcPr>
          <w:p w14:paraId="2205133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(0.057)</w:t>
            </w:r>
          </w:p>
        </w:tc>
      </w:tr>
      <w:tr w:rsidR="00244248" w:rsidRPr="008D4339" w14:paraId="21974CAE" w14:textId="77777777" w:rsidTr="00335B25">
        <w:trPr>
          <w:trHeight w:val="20"/>
        </w:trPr>
        <w:tc>
          <w:tcPr>
            <w:tcW w:w="3837" w:type="dxa"/>
            <w:tcBorders>
              <w:top w:val="nil"/>
              <w:left w:val="nil"/>
              <w:bottom w:val="nil"/>
              <w:right w:val="nil"/>
            </w:tcBorders>
            <w:shd w:val="clear" w:color="auto" w:fill="auto"/>
            <w:vAlign w:val="center"/>
            <w:hideMark/>
          </w:tcPr>
          <w:p w14:paraId="3A13B87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Casual part-time</w:t>
            </w:r>
          </w:p>
        </w:tc>
        <w:tc>
          <w:tcPr>
            <w:tcW w:w="1276" w:type="dxa"/>
            <w:tcBorders>
              <w:top w:val="nil"/>
              <w:left w:val="nil"/>
              <w:bottom w:val="nil"/>
              <w:right w:val="nil"/>
            </w:tcBorders>
            <w:shd w:val="clear" w:color="auto" w:fill="auto"/>
            <w:vAlign w:val="center"/>
            <w:hideMark/>
          </w:tcPr>
          <w:p w14:paraId="21991CD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0.057</w:t>
            </w:r>
          </w:p>
        </w:tc>
        <w:tc>
          <w:tcPr>
            <w:tcW w:w="840" w:type="dxa"/>
            <w:tcBorders>
              <w:top w:val="nil"/>
              <w:left w:val="nil"/>
              <w:bottom w:val="nil"/>
              <w:right w:val="nil"/>
            </w:tcBorders>
            <w:shd w:val="clear" w:color="auto" w:fill="auto"/>
            <w:vAlign w:val="center"/>
            <w:hideMark/>
          </w:tcPr>
          <w:p w14:paraId="09F4ACB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(0.041)</w:t>
            </w:r>
          </w:p>
        </w:tc>
        <w:tc>
          <w:tcPr>
            <w:tcW w:w="1277" w:type="dxa"/>
            <w:tcBorders>
              <w:top w:val="nil"/>
              <w:left w:val="nil"/>
              <w:bottom w:val="nil"/>
              <w:right w:val="nil"/>
            </w:tcBorders>
            <w:shd w:val="clear" w:color="auto" w:fill="auto"/>
            <w:vAlign w:val="center"/>
            <w:hideMark/>
          </w:tcPr>
          <w:p w14:paraId="0A91BF7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0.024</w:t>
            </w:r>
          </w:p>
        </w:tc>
        <w:tc>
          <w:tcPr>
            <w:tcW w:w="959" w:type="dxa"/>
            <w:tcBorders>
              <w:top w:val="nil"/>
              <w:left w:val="nil"/>
              <w:bottom w:val="nil"/>
              <w:right w:val="nil"/>
            </w:tcBorders>
            <w:shd w:val="clear" w:color="auto" w:fill="auto"/>
            <w:vAlign w:val="center"/>
            <w:hideMark/>
          </w:tcPr>
          <w:p w14:paraId="146A344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(0.052)</w:t>
            </w:r>
          </w:p>
        </w:tc>
        <w:tc>
          <w:tcPr>
            <w:tcW w:w="1332" w:type="dxa"/>
            <w:tcBorders>
              <w:top w:val="nil"/>
              <w:left w:val="nil"/>
              <w:bottom w:val="nil"/>
              <w:right w:val="nil"/>
            </w:tcBorders>
            <w:shd w:val="clear" w:color="auto" w:fill="auto"/>
            <w:vAlign w:val="center"/>
            <w:hideMark/>
          </w:tcPr>
          <w:p w14:paraId="49648D0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0.575***</w:t>
            </w:r>
          </w:p>
        </w:tc>
        <w:tc>
          <w:tcPr>
            <w:tcW w:w="959" w:type="dxa"/>
            <w:tcBorders>
              <w:top w:val="nil"/>
              <w:left w:val="nil"/>
              <w:bottom w:val="nil"/>
              <w:right w:val="nil"/>
            </w:tcBorders>
            <w:shd w:val="clear" w:color="auto" w:fill="auto"/>
            <w:vAlign w:val="center"/>
            <w:hideMark/>
          </w:tcPr>
          <w:p w14:paraId="3182AAA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(0.148)</w:t>
            </w:r>
          </w:p>
        </w:tc>
        <w:tc>
          <w:tcPr>
            <w:tcW w:w="1167" w:type="dxa"/>
            <w:tcBorders>
              <w:top w:val="nil"/>
              <w:left w:val="nil"/>
              <w:bottom w:val="nil"/>
              <w:right w:val="nil"/>
            </w:tcBorders>
            <w:shd w:val="clear" w:color="auto" w:fill="auto"/>
            <w:vAlign w:val="center"/>
            <w:hideMark/>
          </w:tcPr>
          <w:p w14:paraId="7CD94DC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0.275**</w:t>
            </w:r>
          </w:p>
        </w:tc>
        <w:tc>
          <w:tcPr>
            <w:tcW w:w="959" w:type="dxa"/>
            <w:tcBorders>
              <w:top w:val="nil"/>
              <w:left w:val="nil"/>
              <w:bottom w:val="nil"/>
              <w:right w:val="nil"/>
            </w:tcBorders>
            <w:shd w:val="clear" w:color="auto" w:fill="auto"/>
            <w:vAlign w:val="center"/>
            <w:hideMark/>
          </w:tcPr>
          <w:p w14:paraId="3789192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(0.041)</w:t>
            </w:r>
          </w:p>
        </w:tc>
      </w:tr>
      <w:tr w:rsidR="00244248" w:rsidRPr="008D4339" w14:paraId="17F4128F" w14:textId="77777777" w:rsidTr="00335B25">
        <w:trPr>
          <w:trHeight w:val="20"/>
        </w:trPr>
        <w:tc>
          <w:tcPr>
            <w:tcW w:w="3837" w:type="dxa"/>
            <w:tcBorders>
              <w:top w:val="nil"/>
              <w:left w:val="nil"/>
              <w:bottom w:val="nil"/>
              <w:right w:val="nil"/>
            </w:tcBorders>
            <w:shd w:val="clear" w:color="auto" w:fill="auto"/>
            <w:vAlign w:val="center"/>
            <w:hideMark/>
          </w:tcPr>
          <w:p w14:paraId="446582A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Self-employed</w:t>
            </w:r>
          </w:p>
        </w:tc>
        <w:tc>
          <w:tcPr>
            <w:tcW w:w="1276" w:type="dxa"/>
            <w:tcBorders>
              <w:top w:val="nil"/>
              <w:left w:val="nil"/>
              <w:bottom w:val="nil"/>
              <w:right w:val="nil"/>
            </w:tcBorders>
            <w:shd w:val="clear" w:color="auto" w:fill="auto"/>
            <w:vAlign w:val="center"/>
            <w:hideMark/>
          </w:tcPr>
          <w:p w14:paraId="0553346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0.065</w:t>
            </w:r>
          </w:p>
        </w:tc>
        <w:tc>
          <w:tcPr>
            <w:tcW w:w="840" w:type="dxa"/>
            <w:tcBorders>
              <w:top w:val="nil"/>
              <w:left w:val="nil"/>
              <w:bottom w:val="nil"/>
              <w:right w:val="nil"/>
            </w:tcBorders>
            <w:shd w:val="clear" w:color="auto" w:fill="auto"/>
            <w:vAlign w:val="center"/>
            <w:hideMark/>
          </w:tcPr>
          <w:p w14:paraId="640D985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(0.079)</w:t>
            </w:r>
          </w:p>
        </w:tc>
        <w:tc>
          <w:tcPr>
            <w:tcW w:w="1277" w:type="dxa"/>
            <w:tcBorders>
              <w:top w:val="nil"/>
              <w:left w:val="nil"/>
              <w:bottom w:val="nil"/>
              <w:right w:val="nil"/>
            </w:tcBorders>
            <w:shd w:val="clear" w:color="auto" w:fill="auto"/>
            <w:vAlign w:val="center"/>
            <w:hideMark/>
          </w:tcPr>
          <w:p w14:paraId="789B6F9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-0.161</w:t>
            </w:r>
          </w:p>
        </w:tc>
        <w:tc>
          <w:tcPr>
            <w:tcW w:w="959" w:type="dxa"/>
            <w:tcBorders>
              <w:top w:val="nil"/>
              <w:left w:val="nil"/>
              <w:bottom w:val="nil"/>
              <w:right w:val="nil"/>
            </w:tcBorders>
            <w:shd w:val="clear" w:color="auto" w:fill="auto"/>
            <w:vAlign w:val="center"/>
            <w:hideMark/>
          </w:tcPr>
          <w:p w14:paraId="7E15EAF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(0.142)</w:t>
            </w:r>
          </w:p>
        </w:tc>
        <w:tc>
          <w:tcPr>
            <w:tcW w:w="1332" w:type="dxa"/>
            <w:tcBorders>
              <w:top w:val="nil"/>
              <w:left w:val="nil"/>
              <w:bottom w:val="nil"/>
              <w:right w:val="nil"/>
            </w:tcBorders>
            <w:shd w:val="clear" w:color="auto" w:fill="auto"/>
            <w:vAlign w:val="center"/>
            <w:hideMark/>
          </w:tcPr>
          <w:p w14:paraId="29E32B2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0.471**</w:t>
            </w:r>
          </w:p>
        </w:tc>
        <w:tc>
          <w:tcPr>
            <w:tcW w:w="959" w:type="dxa"/>
            <w:tcBorders>
              <w:top w:val="nil"/>
              <w:left w:val="nil"/>
              <w:bottom w:val="nil"/>
              <w:right w:val="nil"/>
            </w:tcBorders>
            <w:shd w:val="clear" w:color="auto" w:fill="auto"/>
            <w:vAlign w:val="center"/>
            <w:hideMark/>
          </w:tcPr>
          <w:p w14:paraId="0AFAED3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(0.230)</w:t>
            </w:r>
          </w:p>
        </w:tc>
        <w:tc>
          <w:tcPr>
            <w:tcW w:w="1167" w:type="dxa"/>
            <w:tcBorders>
              <w:top w:val="nil"/>
              <w:left w:val="nil"/>
              <w:bottom w:val="nil"/>
              <w:right w:val="nil"/>
            </w:tcBorders>
            <w:shd w:val="clear" w:color="auto" w:fill="auto"/>
            <w:vAlign w:val="center"/>
            <w:hideMark/>
          </w:tcPr>
          <w:p w14:paraId="576AB7A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0.157</w:t>
            </w:r>
          </w:p>
        </w:tc>
        <w:tc>
          <w:tcPr>
            <w:tcW w:w="959" w:type="dxa"/>
            <w:tcBorders>
              <w:top w:val="nil"/>
              <w:left w:val="nil"/>
              <w:bottom w:val="nil"/>
              <w:right w:val="nil"/>
            </w:tcBorders>
            <w:shd w:val="clear" w:color="auto" w:fill="auto"/>
            <w:vAlign w:val="center"/>
            <w:hideMark/>
          </w:tcPr>
          <w:p w14:paraId="3414AB1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(0.079)</w:t>
            </w:r>
          </w:p>
        </w:tc>
      </w:tr>
      <w:tr w:rsidR="00244248" w:rsidRPr="008D4339" w14:paraId="6A230A2D"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0978A7D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Not working</w:t>
            </w:r>
          </w:p>
        </w:tc>
        <w:tc>
          <w:tcPr>
            <w:tcW w:w="1276" w:type="dxa"/>
            <w:tcBorders>
              <w:top w:val="nil"/>
              <w:left w:val="nil"/>
              <w:bottom w:val="single" w:sz="4" w:space="0" w:color="ED7D31"/>
              <w:right w:val="nil"/>
            </w:tcBorders>
            <w:shd w:val="clear" w:color="auto" w:fill="auto"/>
            <w:vAlign w:val="center"/>
            <w:hideMark/>
          </w:tcPr>
          <w:p w14:paraId="74CB4C7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0.090**</w:t>
            </w:r>
          </w:p>
        </w:tc>
        <w:tc>
          <w:tcPr>
            <w:tcW w:w="840" w:type="dxa"/>
            <w:tcBorders>
              <w:top w:val="nil"/>
              <w:left w:val="nil"/>
              <w:bottom w:val="single" w:sz="4" w:space="0" w:color="ED7D31"/>
              <w:right w:val="nil"/>
            </w:tcBorders>
            <w:shd w:val="clear" w:color="auto" w:fill="auto"/>
            <w:vAlign w:val="center"/>
            <w:hideMark/>
          </w:tcPr>
          <w:p w14:paraId="3641C3B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(0.044)</w:t>
            </w:r>
          </w:p>
        </w:tc>
        <w:tc>
          <w:tcPr>
            <w:tcW w:w="1277" w:type="dxa"/>
            <w:tcBorders>
              <w:top w:val="nil"/>
              <w:left w:val="nil"/>
              <w:bottom w:val="single" w:sz="4" w:space="0" w:color="ED7D31"/>
              <w:right w:val="nil"/>
            </w:tcBorders>
            <w:shd w:val="clear" w:color="auto" w:fill="auto"/>
            <w:vAlign w:val="center"/>
            <w:hideMark/>
          </w:tcPr>
          <w:p w14:paraId="13FDB31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-0.119*</w:t>
            </w:r>
          </w:p>
        </w:tc>
        <w:tc>
          <w:tcPr>
            <w:tcW w:w="959" w:type="dxa"/>
            <w:tcBorders>
              <w:top w:val="nil"/>
              <w:left w:val="nil"/>
              <w:bottom w:val="single" w:sz="4" w:space="0" w:color="ED7D31"/>
              <w:right w:val="nil"/>
            </w:tcBorders>
            <w:shd w:val="clear" w:color="auto" w:fill="auto"/>
            <w:vAlign w:val="center"/>
            <w:hideMark/>
          </w:tcPr>
          <w:p w14:paraId="06CB9BD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(0.064)</w:t>
            </w:r>
          </w:p>
        </w:tc>
        <w:tc>
          <w:tcPr>
            <w:tcW w:w="1332" w:type="dxa"/>
            <w:tcBorders>
              <w:top w:val="nil"/>
              <w:left w:val="nil"/>
              <w:bottom w:val="single" w:sz="4" w:space="0" w:color="ED7D31"/>
              <w:right w:val="nil"/>
            </w:tcBorders>
            <w:shd w:val="clear" w:color="auto" w:fill="auto"/>
            <w:vAlign w:val="center"/>
            <w:hideMark/>
          </w:tcPr>
          <w:p w14:paraId="4C26934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0.436***</w:t>
            </w:r>
          </w:p>
        </w:tc>
        <w:tc>
          <w:tcPr>
            <w:tcW w:w="959" w:type="dxa"/>
            <w:tcBorders>
              <w:top w:val="nil"/>
              <w:left w:val="nil"/>
              <w:bottom w:val="single" w:sz="4" w:space="0" w:color="ED7D31"/>
              <w:right w:val="nil"/>
            </w:tcBorders>
            <w:shd w:val="clear" w:color="auto" w:fill="auto"/>
            <w:vAlign w:val="center"/>
            <w:hideMark/>
          </w:tcPr>
          <w:p w14:paraId="7EED9EA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(0.125)</w:t>
            </w:r>
          </w:p>
        </w:tc>
        <w:tc>
          <w:tcPr>
            <w:tcW w:w="1167" w:type="dxa"/>
            <w:tcBorders>
              <w:top w:val="nil"/>
              <w:left w:val="nil"/>
              <w:bottom w:val="single" w:sz="4" w:space="0" w:color="ED7D31"/>
              <w:right w:val="nil"/>
            </w:tcBorders>
            <w:shd w:val="clear" w:color="auto" w:fill="auto"/>
            <w:vAlign w:val="center"/>
            <w:hideMark/>
          </w:tcPr>
          <w:p w14:paraId="7CED4B6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0.430***</w:t>
            </w:r>
          </w:p>
        </w:tc>
        <w:tc>
          <w:tcPr>
            <w:tcW w:w="959" w:type="dxa"/>
            <w:tcBorders>
              <w:top w:val="nil"/>
              <w:left w:val="nil"/>
              <w:bottom w:val="single" w:sz="4" w:space="0" w:color="ED7D31"/>
              <w:right w:val="nil"/>
            </w:tcBorders>
            <w:shd w:val="clear" w:color="auto" w:fill="auto"/>
            <w:vAlign w:val="center"/>
            <w:hideMark/>
          </w:tcPr>
          <w:p w14:paraId="3672B8A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(0.044)</w:t>
            </w:r>
          </w:p>
        </w:tc>
      </w:tr>
      <w:tr w:rsidR="00244248" w:rsidRPr="008D4339" w14:paraId="3DD836B9"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5D4A57EF"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Household income (log)</w:t>
            </w:r>
          </w:p>
        </w:tc>
        <w:tc>
          <w:tcPr>
            <w:tcW w:w="1276" w:type="dxa"/>
            <w:tcBorders>
              <w:top w:val="nil"/>
              <w:left w:val="nil"/>
              <w:bottom w:val="single" w:sz="4" w:space="0" w:color="ED7D31"/>
              <w:right w:val="nil"/>
            </w:tcBorders>
            <w:shd w:val="clear" w:color="auto" w:fill="auto"/>
            <w:vAlign w:val="center"/>
            <w:hideMark/>
          </w:tcPr>
          <w:p w14:paraId="081C41C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0.032</w:t>
            </w:r>
          </w:p>
        </w:tc>
        <w:tc>
          <w:tcPr>
            <w:tcW w:w="840" w:type="dxa"/>
            <w:tcBorders>
              <w:top w:val="nil"/>
              <w:left w:val="nil"/>
              <w:bottom w:val="single" w:sz="4" w:space="0" w:color="ED7D31"/>
              <w:right w:val="nil"/>
            </w:tcBorders>
            <w:shd w:val="clear" w:color="auto" w:fill="auto"/>
            <w:vAlign w:val="center"/>
            <w:hideMark/>
          </w:tcPr>
          <w:p w14:paraId="3F13E32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(0.024)</w:t>
            </w:r>
          </w:p>
        </w:tc>
        <w:tc>
          <w:tcPr>
            <w:tcW w:w="1277" w:type="dxa"/>
            <w:tcBorders>
              <w:top w:val="nil"/>
              <w:left w:val="nil"/>
              <w:bottom w:val="single" w:sz="4" w:space="0" w:color="ED7D31"/>
              <w:right w:val="nil"/>
            </w:tcBorders>
            <w:shd w:val="clear" w:color="auto" w:fill="auto"/>
            <w:vAlign w:val="center"/>
            <w:hideMark/>
          </w:tcPr>
          <w:p w14:paraId="78FE3F0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0.038</w:t>
            </w:r>
          </w:p>
        </w:tc>
        <w:tc>
          <w:tcPr>
            <w:tcW w:w="959" w:type="dxa"/>
            <w:tcBorders>
              <w:top w:val="nil"/>
              <w:left w:val="nil"/>
              <w:bottom w:val="single" w:sz="4" w:space="0" w:color="ED7D31"/>
              <w:right w:val="nil"/>
            </w:tcBorders>
            <w:shd w:val="clear" w:color="auto" w:fill="auto"/>
            <w:vAlign w:val="center"/>
            <w:hideMark/>
          </w:tcPr>
          <w:p w14:paraId="4CC51D6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(0.028)</w:t>
            </w:r>
          </w:p>
        </w:tc>
        <w:tc>
          <w:tcPr>
            <w:tcW w:w="1332" w:type="dxa"/>
            <w:tcBorders>
              <w:top w:val="nil"/>
              <w:left w:val="nil"/>
              <w:bottom w:val="single" w:sz="4" w:space="0" w:color="ED7D31"/>
              <w:right w:val="nil"/>
            </w:tcBorders>
            <w:shd w:val="clear" w:color="auto" w:fill="auto"/>
            <w:vAlign w:val="center"/>
            <w:hideMark/>
          </w:tcPr>
          <w:p w14:paraId="4104D54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0.149*</w:t>
            </w:r>
          </w:p>
        </w:tc>
        <w:tc>
          <w:tcPr>
            <w:tcW w:w="959" w:type="dxa"/>
            <w:tcBorders>
              <w:top w:val="nil"/>
              <w:left w:val="nil"/>
              <w:bottom w:val="single" w:sz="4" w:space="0" w:color="ED7D31"/>
              <w:right w:val="nil"/>
            </w:tcBorders>
            <w:shd w:val="clear" w:color="auto" w:fill="auto"/>
            <w:vAlign w:val="center"/>
            <w:hideMark/>
          </w:tcPr>
          <w:p w14:paraId="7177B44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(0.086)</w:t>
            </w:r>
          </w:p>
        </w:tc>
        <w:tc>
          <w:tcPr>
            <w:tcW w:w="1167" w:type="dxa"/>
            <w:tcBorders>
              <w:top w:val="nil"/>
              <w:left w:val="nil"/>
              <w:bottom w:val="single" w:sz="4" w:space="0" w:color="ED7D31"/>
              <w:right w:val="nil"/>
            </w:tcBorders>
            <w:shd w:val="clear" w:color="auto" w:fill="auto"/>
            <w:vAlign w:val="center"/>
            <w:hideMark/>
          </w:tcPr>
          <w:p w14:paraId="184AEDD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0.037</w:t>
            </w:r>
          </w:p>
        </w:tc>
        <w:tc>
          <w:tcPr>
            <w:tcW w:w="959" w:type="dxa"/>
            <w:tcBorders>
              <w:top w:val="nil"/>
              <w:left w:val="nil"/>
              <w:bottom w:val="single" w:sz="4" w:space="0" w:color="ED7D31"/>
              <w:right w:val="nil"/>
            </w:tcBorders>
            <w:shd w:val="clear" w:color="auto" w:fill="auto"/>
            <w:vAlign w:val="center"/>
            <w:hideMark/>
          </w:tcPr>
          <w:p w14:paraId="0D923A6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(0.024)</w:t>
            </w:r>
          </w:p>
        </w:tc>
      </w:tr>
      <w:tr w:rsidR="00244248" w:rsidRPr="008D4339" w14:paraId="00597A0E"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2AB829DB"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Remote area</w:t>
            </w:r>
          </w:p>
        </w:tc>
        <w:tc>
          <w:tcPr>
            <w:tcW w:w="1276" w:type="dxa"/>
            <w:tcBorders>
              <w:top w:val="nil"/>
              <w:left w:val="nil"/>
              <w:bottom w:val="single" w:sz="4" w:space="0" w:color="ED7D31"/>
              <w:right w:val="nil"/>
            </w:tcBorders>
            <w:shd w:val="clear" w:color="auto" w:fill="auto"/>
            <w:vAlign w:val="center"/>
            <w:hideMark/>
          </w:tcPr>
          <w:p w14:paraId="762A777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-0.127**</w:t>
            </w:r>
          </w:p>
        </w:tc>
        <w:tc>
          <w:tcPr>
            <w:tcW w:w="840" w:type="dxa"/>
            <w:tcBorders>
              <w:top w:val="nil"/>
              <w:left w:val="nil"/>
              <w:bottom w:val="single" w:sz="4" w:space="0" w:color="ED7D31"/>
              <w:right w:val="nil"/>
            </w:tcBorders>
            <w:shd w:val="clear" w:color="auto" w:fill="auto"/>
            <w:vAlign w:val="center"/>
            <w:hideMark/>
          </w:tcPr>
          <w:p w14:paraId="563535C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(0.050)</w:t>
            </w:r>
          </w:p>
        </w:tc>
        <w:tc>
          <w:tcPr>
            <w:tcW w:w="1277" w:type="dxa"/>
            <w:tcBorders>
              <w:top w:val="nil"/>
              <w:left w:val="nil"/>
              <w:bottom w:val="single" w:sz="4" w:space="0" w:color="ED7D31"/>
              <w:right w:val="nil"/>
            </w:tcBorders>
            <w:shd w:val="clear" w:color="auto" w:fill="auto"/>
            <w:vAlign w:val="center"/>
            <w:hideMark/>
          </w:tcPr>
          <w:p w14:paraId="525D7D7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-0.126*</w:t>
            </w:r>
          </w:p>
        </w:tc>
        <w:tc>
          <w:tcPr>
            <w:tcW w:w="959" w:type="dxa"/>
            <w:tcBorders>
              <w:top w:val="nil"/>
              <w:left w:val="nil"/>
              <w:bottom w:val="single" w:sz="4" w:space="0" w:color="ED7D31"/>
              <w:right w:val="nil"/>
            </w:tcBorders>
            <w:shd w:val="clear" w:color="auto" w:fill="auto"/>
            <w:vAlign w:val="center"/>
            <w:hideMark/>
          </w:tcPr>
          <w:p w14:paraId="67A249F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(0.076)</w:t>
            </w:r>
          </w:p>
        </w:tc>
        <w:tc>
          <w:tcPr>
            <w:tcW w:w="1332" w:type="dxa"/>
            <w:tcBorders>
              <w:top w:val="nil"/>
              <w:left w:val="nil"/>
              <w:bottom w:val="single" w:sz="4" w:space="0" w:color="ED7D31"/>
              <w:right w:val="nil"/>
            </w:tcBorders>
            <w:shd w:val="clear" w:color="auto" w:fill="auto"/>
            <w:vAlign w:val="center"/>
            <w:hideMark/>
          </w:tcPr>
          <w:p w14:paraId="57FB7FF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-0.169</w:t>
            </w:r>
          </w:p>
        </w:tc>
        <w:tc>
          <w:tcPr>
            <w:tcW w:w="959" w:type="dxa"/>
            <w:tcBorders>
              <w:top w:val="nil"/>
              <w:left w:val="nil"/>
              <w:bottom w:val="single" w:sz="4" w:space="0" w:color="ED7D31"/>
              <w:right w:val="nil"/>
            </w:tcBorders>
            <w:shd w:val="clear" w:color="auto" w:fill="auto"/>
            <w:vAlign w:val="center"/>
            <w:hideMark/>
          </w:tcPr>
          <w:p w14:paraId="6669D3C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(0.131)</w:t>
            </w:r>
          </w:p>
        </w:tc>
        <w:tc>
          <w:tcPr>
            <w:tcW w:w="1167" w:type="dxa"/>
            <w:tcBorders>
              <w:top w:val="nil"/>
              <w:left w:val="nil"/>
              <w:bottom w:val="single" w:sz="4" w:space="0" w:color="ED7D31"/>
              <w:right w:val="nil"/>
            </w:tcBorders>
            <w:shd w:val="clear" w:color="auto" w:fill="auto"/>
            <w:vAlign w:val="center"/>
            <w:hideMark/>
          </w:tcPr>
          <w:p w14:paraId="04EEE62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-0.353***</w:t>
            </w:r>
          </w:p>
        </w:tc>
        <w:tc>
          <w:tcPr>
            <w:tcW w:w="959" w:type="dxa"/>
            <w:tcBorders>
              <w:top w:val="nil"/>
              <w:left w:val="nil"/>
              <w:bottom w:val="single" w:sz="4" w:space="0" w:color="ED7D31"/>
              <w:right w:val="nil"/>
            </w:tcBorders>
            <w:shd w:val="clear" w:color="auto" w:fill="auto"/>
            <w:vAlign w:val="center"/>
            <w:hideMark/>
          </w:tcPr>
          <w:p w14:paraId="5BFFD34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(0.050)</w:t>
            </w:r>
          </w:p>
        </w:tc>
      </w:tr>
      <w:tr w:rsidR="00244248" w:rsidRPr="008D4339" w14:paraId="2CD44A3A"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03AC1919"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Born in Australia</w:t>
            </w:r>
          </w:p>
        </w:tc>
        <w:tc>
          <w:tcPr>
            <w:tcW w:w="1276" w:type="dxa"/>
            <w:tcBorders>
              <w:top w:val="nil"/>
              <w:left w:val="nil"/>
              <w:bottom w:val="single" w:sz="4" w:space="0" w:color="ED7D31"/>
              <w:right w:val="nil"/>
            </w:tcBorders>
            <w:shd w:val="clear" w:color="auto" w:fill="auto"/>
            <w:vAlign w:val="center"/>
            <w:hideMark/>
          </w:tcPr>
          <w:p w14:paraId="7C4B756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0.336***</w:t>
            </w:r>
          </w:p>
        </w:tc>
        <w:tc>
          <w:tcPr>
            <w:tcW w:w="840" w:type="dxa"/>
            <w:tcBorders>
              <w:top w:val="nil"/>
              <w:left w:val="nil"/>
              <w:bottom w:val="single" w:sz="4" w:space="0" w:color="ED7D31"/>
              <w:right w:val="nil"/>
            </w:tcBorders>
            <w:shd w:val="clear" w:color="auto" w:fill="auto"/>
            <w:vAlign w:val="center"/>
            <w:hideMark/>
          </w:tcPr>
          <w:p w14:paraId="75E4B84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(0.066)</w:t>
            </w:r>
          </w:p>
        </w:tc>
        <w:tc>
          <w:tcPr>
            <w:tcW w:w="1277" w:type="dxa"/>
            <w:tcBorders>
              <w:top w:val="nil"/>
              <w:left w:val="nil"/>
              <w:bottom w:val="single" w:sz="4" w:space="0" w:color="ED7D31"/>
              <w:right w:val="nil"/>
            </w:tcBorders>
            <w:shd w:val="clear" w:color="auto" w:fill="auto"/>
            <w:vAlign w:val="center"/>
            <w:hideMark/>
          </w:tcPr>
          <w:p w14:paraId="627ED2E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0.361***</w:t>
            </w:r>
          </w:p>
        </w:tc>
        <w:tc>
          <w:tcPr>
            <w:tcW w:w="959" w:type="dxa"/>
            <w:tcBorders>
              <w:top w:val="nil"/>
              <w:left w:val="nil"/>
              <w:bottom w:val="single" w:sz="4" w:space="0" w:color="ED7D31"/>
              <w:right w:val="nil"/>
            </w:tcBorders>
            <w:shd w:val="clear" w:color="auto" w:fill="auto"/>
            <w:vAlign w:val="center"/>
            <w:hideMark/>
          </w:tcPr>
          <w:p w14:paraId="366E215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(0.108)</w:t>
            </w:r>
          </w:p>
        </w:tc>
        <w:tc>
          <w:tcPr>
            <w:tcW w:w="1332" w:type="dxa"/>
            <w:tcBorders>
              <w:top w:val="nil"/>
              <w:left w:val="nil"/>
              <w:bottom w:val="single" w:sz="4" w:space="0" w:color="ED7D31"/>
              <w:right w:val="nil"/>
            </w:tcBorders>
            <w:shd w:val="clear" w:color="auto" w:fill="auto"/>
            <w:vAlign w:val="center"/>
            <w:hideMark/>
          </w:tcPr>
          <w:p w14:paraId="3A02DC2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0.734***</w:t>
            </w:r>
          </w:p>
        </w:tc>
        <w:tc>
          <w:tcPr>
            <w:tcW w:w="959" w:type="dxa"/>
            <w:tcBorders>
              <w:top w:val="nil"/>
              <w:left w:val="nil"/>
              <w:bottom w:val="single" w:sz="4" w:space="0" w:color="ED7D31"/>
              <w:right w:val="nil"/>
            </w:tcBorders>
            <w:shd w:val="clear" w:color="auto" w:fill="auto"/>
            <w:vAlign w:val="center"/>
            <w:hideMark/>
          </w:tcPr>
          <w:p w14:paraId="1AC3B4A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(0.160)</w:t>
            </w:r>
          </w:p>
        </w:tc>
        <w:tc>
          <w:tcPr>
            <w:tcW w:w="1167" w:type="dxa"/>
            <w:tcBorders>
              <w:top w:val="nil"/>
              <w:left w:val="nil"/>
              <w:bottom w:val="single" w:sz="4" w:space="0" w:color="ED7D31"/>
              <w:right w:val="nil"/>
            </w:tcBorders>
            <w:shd w:val="clear" w:color="auto" w:fill="auto"/>
            <w:vAlign w:val="center"/>
            <w:hideMark/>
          </w:tcPr>
          <w:p w14:paraId="60F7571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0.643***</w:t>
            </w:r>
          </w:p>
        </w:tc>
        <w:tc>
          <w:tcPr>
            <w:tcW w:w="959" w:type="dxa"/>
            <w:tcBorders>
              <w:top w:val="nil"/>
              <w:left w:val="nil"/>
              <w:bottom w:val="single" w:sz="4" w:space="0" w:color="ED7D31"/>
              <w:right w:val="nil"/>
            </w:tcBorders>
            <w:shd w:val="clear" w:color="auto" w:fill="auto"/>
            <w:vAlign w:val="center"/>
            <w:hideMark/>
          </w:tcPr>
          <w:p w14:paraId="0BD606E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(0.066)</w:t>
            </w:r>
          </w:p>
        </w:tc>
      </w:tr>
      <w:tr w:rsidR="00244248" w:rsidRPr="008D4339" w14:paraId="662ABD75"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67305947"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Aboriginal or Torres Strait Islander</w:t>
            </w:r>
          </w:p>
        </w:tc>
        <w:tc>
          <w:tcPr>
            <w:tcW w:w="1276" w:type="dxa"/>
            <w:tcBorders>
              <w:top w:val="nil"/>
              <w:left w:val="nil"/>
              <w:bottom w:val="single" w:sz="4" w:space="0" w:color="ED7D31"/>
              <w:right w:val="nil"/>
            </w:tcBorders>
            <w:shd w:val="clear" w:color="auto" w:fill="auto"/>
            <w:vAlign w:val="center"/>
            <w:hideMark/>
          </w:tcPr>
          <w:p w14:paraId="44DDDA3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0.289**</w:t>
            </w:r>
          </w:p>
        </w:tc>
        <w:tc>
          <w:tcPr>
            <w:tcW w:w="840" w:type="dxa"/>
            <w:tcBorders>
              <w:top w:val="nil"/>
              <w:left w:val="nil"/>
              <w:bottom w:val="single" w:sz="4" w:space="0" w:color="ED7D31"/>
              <w:right w:val="nil"/>
            </w:tcBorders>
            <w:shd w:val="clear" w:color="auto" w:fill="auto"/>
            <w:vAlign w:val="center"/>
            <w:hideMark/>
          </w:tcPr>
          <w:p w14:paraId="0E08B57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(0.133)</w:t>
            </w:r>
          </w:p>
        </w:tc>
        <w:tc>
          <w:tcPr>
            <w:tcW w:w="1277" w:type="dxa"/>
            <w:tcBorders>
              <w:top w:val="nil"/>
              <w:left w:val="nil"/>
              <w:bottom w:val="single" w:sz="4" w:space="0" w:color="ED7D31"/>
              <w:right w:val="nil"/>
            </w:tcBorders>
            <w:shd w:val="clear" w:color="auto" w:fill="auto"/>
            <w:vAlign w:val="center"/>
            <w:hideMark/>
          </w:tcPr>
          <w:p w14:paraId="7F264F06"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-0.381*</w:t>
            </w:r>
          </w:p>
        </w:tc>
        <w:tc>
          <w:tcPr>
            <w:tcW w:w="959" w:type="dxa"/>
            <w:tcBorders>
              <w:top w:val="nil"/>
              <w:left w:val="nil"/>
              <w:bottom w:val="single" w:sz="4" w:space="0" w:color="ED7D31"/>
              <w:right w:val="nil"/>
            </w:tcBorders>
            <w:shd w:val="clear" w:color="auto" w:fill="auto"/>
            <w:vAlign w:val="center"/>
            <w:hideMark/>
          </w:tcPr>
          <w:p w14:paraId="7BB28D3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(0.221)</w:t>
            </w:r>
          </w:p>
        </w:tc>
        <w:tc>
          <w:tcPr>
            <w:tcW w:w="1332" w:type="dxa"/>
            <w:tcBorders>
              <w:top w:val="nil"/>
              <w:left w:val="nil"/>
              <w:bottom w:val="single" w:sz="4" w:space="0" w:color="ED7D31"/>
              <w:right w:val="nil"/>
            </w:tcBorders>
            <w:shd w:val="clear" w:color="auto" w:fill="auto"/>
            <w:vAlign w:val="center"/>
            <w:hideMark/>
          </w:tcPr>
          <w:p w14:paraId="0BE16B4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-0.145</w:t>
            </w:r>
          </w:p>
        </w:tc>
        <w:tc>
          <w:tcPr>
            <w:tcW w:w="959" w:type="dxa"/>
            <w:tcBorders>
              <w:top w:val="nil"/>
              <w:left w:val="nil"/>
              <w:bottom w:val="single" w:sz="4" w:space="0" w:color="ED7D31"/>
              <w:right w:val="nil"/>
            </w:tcBorders>
            <w:shd w:val="clear" w:color="auto" w:fill="auto"/>
            <w:vAlign w:val="center"/>
            <w:hideMark/>
          </w:tcPr>
          <w:p w14:paraId="61DE327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(0.284)</w:t>
            </w:r>
          </w:p>
        </w:tc>
        <w:tc>
          <w:tcPr>
            <w:tcW w:w="1167" w:type="dxa"/>
            <w:tcBorders>
              <w:top w:val="nil"/>
              <w:left w:val="nil"/>
              <w:bottom w:val="single" w:sz="4" w:space="0" w:color="ED7D31"/>
              <w:right w:val="nil"/>
            </w:tcBorders>
            <w:shd w:val="clear" w:color="auto" w:fill="auto"/>
            <w:vAlign w:val="center"/>
            <w:hideMark/>
          </w:tcPr>
          <w:p w14:paraId="2443536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0.157</w:t>
            </w:r>
          </w:p>
        </w:tc>
        <w:tc>
          <w:tcPr>
            <w:tcW w:w="959" w:type="dxa"/>
            <w:tcBorders>
              <w:top w:val="nil"/>
              <w:left w:val="nil"/>
              <w:bottom w:val="single" w:sz="4" w:space="0" w:color="ED7D31"/>
              <w:right w:val="nil"/>
            </w:tcBorders>
            <w:shd w:val="clear" w:color="auto" w:fill="auto"/>
            <w:vAlign w:val="center"/>
            <w:hideMark/>
          </w:tcPr>
          <w:p w14:paraId="45E4660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(0.133)</w:t>
            </w:r>
          </w:p>
        </w:tc>
      </w:tr>
      <w:tr w:rsidR="00244248" w:rsidRPr="008D4339" w14:paraId="05313959"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10B3241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Observations</w:t>
            </w:r>
          </w:p>
        </w:tc>
        <w:tc>
          <w:tcPr>
            <w:tcW w:w="1276" w:type="dxa"/>
            <w:tcBorders>
              <w:top w:val="nil"/>
              <w:left w:val="nil"/>
              <w:bottom w:val="single" w:sz="4" w:space="0" w:color="ED7D31"/>
              <w:right w:val="nil"/>
            </w:tcBorders>
            <w:shd w:val="clear" w:color="auto" w:fill="auto"/>
            <w:vAlign w:val="center"/>
            <w:hideMark/>
          </w:tcPr>
          <w:p w14:paraId="437B95F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65520</w:t>
            </w:r>
          </w:p>
        </w:tc>
        <w:tc>
          <w:tcPr>
            <w:tcW w:w="840" w:type="dxa"/>
            <w:tcBorders>
              <w:top w:val="nil"/>
              <w:left w:val="nil"/>
              <w:bottom w:val="single" w:sz="4" w:space="0" w:color="ED7D31"/>
              <w:right w:val="nil"/>
            </w:tcBorders>
            <w:shd w:val="clear" w:color="auto" w:fill="auto"/>
            <w:vAlign w:val="center"/>
            <w:hideMark/>
          </w:tcPr>
          <w:p w14:paraId="7734ECE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c>
          <w:tcPr>
            <w:tcW w:w="1277" w:type="dxa"/>
            <w:tcBorders>
              <w:top w:val="nil"/>
              <w:left w:val="nil"/>
              <w:bottom w:val="single" w:sz="4" w:space="0" w:color="ED7D31"/>
              <w:right w:val="nil"/>
            </w:tcBorders>
            <w:shd w:val="clear" w:color="auto" w:fill="auto"/>
            <w:vAlign w:val="center"/>
            <w:hideMark/>
          </w:tcPr>
          <w:p w14:paraId="4470973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24528</w:t>
            </w:r>
          </w:p>
        </w:tc>
        <w:tc>
          <w:tcPr>
            <w:tcW w:w="959" w:type="dxa"/>
            <w:tcBorders>
              <w:top w:val="nil"/>
              <w:left w:val="nil"/>
              <w:bottom w:val="single" w:sz="4" w:space="0" w:color="ED7D31"/>
              <w:right w:val="nil"/>
            </w:tcBorders>
            <w:shd w:val="clear" w:color="auto" w:fill="auto"/>
            <w:vAlign w:val="center"/>
            <w:hideMark/>
          </w:tcPr>
          <w:p w14:paraId="2E66997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c>
          <w:tcPr>
            <w:tcW w:w="1332" w:type="dxa"/>
            <w:tcBorders>
              <w:top w:val="nil"/>
              <w:left w:val="nil"/>
              <w:bottom w:val="single" w:sz="4" w:space="0" w:color="ED7D31"/>
              <w:right w:val="nil"/>
            </w:tcBorders>
            <w:shd w:val="clear" w:color="auto" w:fill="auto"/>
            <w:vAlign w:val="center"/>
            <w:hideMark/>
          </w:tcPr>
          <w:p w14:paraId="311A145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7422</w:t>
            </w:r>
          </w:p>
        </w:tc>
        <w:tc>
          <w:tcPr>
            <w:tcW w:w="959" w:type="dxa"/>
            <w:tcBorders>
              <w:top w:val="nil"/>
              <w:left w:val="nil"/>
              <w:bottom w:val="single" w:sz="4" w:space="0" w:color="ED7D31"/>
              <w:right w:val="nil"/>
            </w:tcBorders>
            <w:shd w:val="clear" w:color="auto" w:fill="auto"/>
            <w:vAlign w:val="center"/>
            <w:hideMark/>
          </w:tcPr>
          <w:p w14:paraId="508B2A9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c>
          <w:tcPr>
            <w:tcW w:w="1167" w:type="dxa"/>
            <w:tcBorders>
              <w:top w:val="nil"/>
              <w:left w:val="nil"/>
              <w:bottom w:val="single" w:sz="4" w:space="0" w:color="ED7D31"/>
              <w:right w:val="nil"/>
            </w:tcBorders>
            <w:shd w:val="clear" w:color="auto" w:fill="auto"/>
            <w:vAlign w:val="center"/>
            <w:hideMark/>
          </w:tcPr>
          <w:p w14:paraId="05EDCCA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11426</w:t>
            </w:r>
          </w:p>
        </w:tc>
        <w:tc>
          <w:tcPr>
            <w:tcW w:w="959" w:type="dxa"/>
            <w:tcBorders>
              <w:top w:val="nil"/>
              <w:left w:val="nil"/>
              <w:bottom w:val="single" w:sz="4" w:space="0" w:color="ED7D31"/>
              <w:right w:val="nil"/>
            </w:tcBorders>
            <w:shd w:val="clear" w:color="auto" w:fill="auto"/>
            <w:vAlign w:val="center"/>
            <w:hideMark/>
          </w:tcPr>
          <w:p w14:paraId="0ED10EC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r>
    </w:tbl>
    <w:p w14:paraId="4C71B644" w14:textId="77777777" w:rsidR="00244248" w:rsidRDefault="00244248" w:rsidP="00244248">
      <w:pPr>
        <w:widowControl w:val="0"/>
        <w:autoSpaceDE w:val="0"/>
        <w:autoSpaceDN w:val="0"/>
        <w:adjustRightInd w:val="0"/>
        <w:spacing w:after="0" w:line="240" w:lineRule="auto"/>
        <w:rPr>
          <w:rFonts w:asciiTheme="majorHAnsi" w:hAnsiTheme="majorHAnsi" w:cstheme="majorHAnsi"/>
          <w:sz w:val="20"/>
          <w:szCs w:val="20"/>
        </w:rPr>
      </w:pPr>
    </w:p>
    <w:p w14:paraId="416A2B9D" w14:textId="77777777" w:rsidR="00244248" w:rsidRPr="00314B6D" w:rsidRDefault="00244248" w:rsidP="00244248">
      <w:pPr>
        <w:widowControl w:val="0"/>
        <w:autoSpaceDE w:val="0"/>
        <w:autoSpaceDN w:val="0"/>
        <w:adjustRightInd w:val="0"/>
        <w:spacing w:after="0" w:line="240" w:lineRule="auto"/>
        <w:rPr>
          <w:sz w:val="20"/>
          <w:szCs w:val="20"/>
        </w:rPr>
        <w:sectPr w:rsidR="00244248" w:rsidRPr="00314B6D" w:rsidSect="00335B25">
          <w:pgSz w:w="16838" w:h="11906" w:orient="landscape"/>
          <w:pgMar w:top="1440" w:right="1440" w:bottom="1440" w:left="1440" w:header="708" w:footer="708" w:gutter="0"/>
          <w:cols w:space="708"/>
          <w:docGrid w:linePitch="360"/>
        </w:sectPr>
      </w:pPr>
      <w:r w:rsidRPr="00314B6D">
        <w:rPr>
          <w:rFonts w:asciiTheme="majorHAnsi" w:hAnsiTheme="majorHAnsi" w:cstheme="majorHAnsi"/>
          <w:sz w:val="20"/>
          <w:szCs w:val="20"/>
        </w:rPr>
        <w:t>Note: robust standard errors, year and state fixed effects not reported; * p&lt;0.1, ** p&lt;0.05, *** p&lt;0.01</w:t>
      </w:r>
    </w:p>
    <w:p w14:paraId="211808DE" w14:textId="274BD431" w:rsidR="00244248" w:rsidRDefault="00244248" w:rsidP="00244248">
      <w:pPr>
        <w:pStyle w:val="Caption"/>
        <w:keepNext/>
      </w:pPr>
      <w:bookmarkStart w:id="210" w:name="_Ref84579555"/>
      <w:r>
        <w:lastRenderedPageBreak/>
        <w:t xml:space="preserve">Table </w:t>
      </w:r>
      <w:fldSimple w:instr=" SEQ Table \* ARABIC ">
        <w:r w:rsidR="00115E22">
          <w:rPr>
            <w:noProof/>
          </w:rPr>
          <w:t>37</w:t>
        </w:r>
      </w:fldSimple>
      <w:bookmarkEnd w:id="210"/>
      <w:r>
        <w:t xml:space="preserve"> Determinants of childbearing expectations, OLS</w:t>
      </w:r>
    </w:p>
    <w:tbl>
      <w:tblPr>
        <w:tblW w:w="12441" w:type="dxa"/>
        <w:tblLook w:val="04A0" w:firstRow="1" w:lastRow="0" w:firstColumn="1" w:lastColumn="0" w:noHBand="0" w:noVBand="1"/>
      </w:tblPr>
      <w:tblGrid>
        <w:gridCol w:w="3837"/>
        <w:gridCol w:w="1276"/>
        <w:gridCol w:w="840"/>
        <w:gridCol w:w="1277"/>
        <w:gridCol w:w="959"/>
        <w:gridCol w:w="1167"/>
        <w:gridCol w:w="959"/>
        <w:gridCol w:w="1167"/>
        <w:gridCol w:w="959"/>
      </w:tblGrid>
      <w:tr w:rsidR="00244248" w:rsidRPr="007A3658" w14:paraId="7710D2CC" w14:textId="77777777" w:rsidTr="00335B25">
        <w:trPr>
          <w:trHeight w:val="20"/>
        </w:trPr>
        <w:tc>
          <w:tcPr>
            <w:tcW w:w="3837" w:type="dxa"/>
            <w:tcBorders>
              <w:top w:val="nil"/>
              <w:left w:val="nil"/>
              <w:bottom w:val="nil"/>
              <w:right w:val="nil"/>
            </w:tcBorders>
            <w:shd w:val="clear" w:color="000000" w:fill="FBE4D5"/>
            <w:vAlign w:val="center"/>
            <w:hideMark/>
          </w:tcPr>
          <w:p w14:paraId="3218F68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276" w:type="dxa"/>
            <w:tcBorders>
              <w:top w:val="nil"/>
              <w:left w:val="nil"/>
              <w:bottom w:val="nil"/>
              <w:right w:val="nil"/>
            </w:tcBorders>
            <w:shd w:val="clear" w:color="000000" w:fill="FBE4D5"/>
            <w:vAlign w:val="center"/>
            <w:hideMark/>
          </w:tcPr>
          <w:p w14:paraId="02B676A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Full sample</w:t>
            </w:r>
          </w:p>
        </w:tc>
        <w:tc>
          <w:tcPr>
            <w:tcW w:w="840" w:type="dxa"/>
            <w:tcBorders>
              <w:top w:val="nil"/>
              <w:left w:val="nil"/>
              <w:bottom w:val="nil"/>
              <w:right w:val="nil"/>
            </w:tcBorders>
            <w:shd w:val="clear" w:color="000000" w:fill="FBE4D5"/>
            <w:vAlign w:val="center"/>
            <w:hideMark/>
          </w:tcPr>
          <w:p w14:paraId="2CF1D34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277" w:type="dxa"/>
            <w:tcBorders>
              <w:top w:val="nil"/>
              <w:left w:val="nil"/>
              <w:bottom w:val="nil"/>
              <w:right w:val="nil"/>
            </w:tcBorders>
            <w:shd w:val="clear" w:color="000000" w:fill="FBE4D5"/>
            <w:vAlign w:val="center"/>
            <w:hideMark/>
          </w:tcPr>
          <w:p w14:paraId="544448D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Parity 0 </w:t>
            </w:r>
          </w:p>
        </w:tc>
        <w:tc>
          <w:tcPr>
            <w:tcW w:w="959" w:type="dxa"/>
            <w:tcBorders>
              <w:top w:val="nil"/>
              <w:left w:val="nil"/>
              <w:bottom w:val="nil"/>
              <w:right w:val="nil"/>
            </w:tcBorders>
            <w:shd w:val="clear" w:color="000000" w:fill="FBE4D5"/>
            <w:vAlign w:val="center"/>
            <w:hideMark/>
          </w:tcPr>
          <w:p w14:paraId="5AABCB2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167" w:type="dxa"/>
            <w:tcBorders>
              <w:top w:val="nil"/>
              <w:left w:val="nil"/>
              <w:bottom w:val="nil"/>
              <w:right w:val="nil"/>
            </w:tcBorders>
            <w:shd w:val="clear" w:color="000000" w:fill="FBE4D5"/>
            <w:vAlign w:val="center"/>
            <w:hideMark/>
          </w:tcPr>
          <w:p w14:paraId="0B9D8FF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Parity 1</w:t>
            </w:r>
          </w:p>
        </w:tc>
        <w:tc>
          <w:tcPr>
            <w:tcW w:w="959" w:type="dxa"/>
            <w:tcBorders>
              <w:top w:val="nil"/>
              <w:left w:val="nil"/>
              <w:bottom w:val="nil"/>
              <w:right w:val="nil"/>
            </w:tcBorders>
            <w:shd w:val="clear" w:color="000000" w:fill="FBE4D5"/>
            <w:vAlign w:val="center"/>
            <w:hideMark/>
          </w:tcPr>
          <w:p w14:paraId="36A855F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167" w:type="dxa"/>
            <w:tcBorders>
              <w:top w:val="nil"/>
              <w:left w:val="nil"/>
              <w:bottom w:val="nil"/>
              <w:right w:val="nil"/>
            </w:tcBorders>
            <w:shd w:val="clear" w:color="000000" w:fill="FBE4D5"/>
            <w:vAlign w:val="center"/>
            <w:hideMark/>
          </w:tcPr>
          <w:p w14:paraId="72F7964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Parity 2</w:t>
            </w:r>
          </w:p>
        </w:tc>
        <w:tc>
          <w:tcPr>
            <w:tcW w:w="959" w:type="dxa"/>
            <w:tcBorders>
              <w:top w:val="nil"/>
              <w:left w:val="nil"/>
              <w:bottom w:val="nil"/>
              <w:right w:val="nil"/>
            </w:tcBorders>
            <w:shd w:val="clear" w:color="000000" w:fill="FBE4D5"/>
            <w:vAlign w:val="center"/>
            <w:hideMark/>
          </w:tcPr>
          <w:p w14:paraId="1F4D6462" w14:textId="77777777" w:rsidR="00244248" w:rsidRPr="007A3658" w:rsidRDefault="00244248" w:rsidP="00335B25">
            <w:pPr>
              <w:spacing w:after="0" w:line="240" w:lineRule="auto"/>
              <w:jc w:val="center"/>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r>
      <w:tr w:rsidR="00244248" w:rsidRPr="007A3658" w14:paraId="385D0DD0" w14:textId="77777777" w:rsidTr="00335B25">
        <w:trPr>
          <w:trHeight w:val="20"/>
        </w:trPr>
        <w:tc>
          <w:tcPr>
            <w:tcW w:w="3837" w:type="dxa"/>
            <w:tcBorders>
              <w:top w:val="nil"/>
              <w:left w:val="nil"/>
              <w:bottom w:val="single" w:sz="4" w:space="0" w:color="ED7D31"/>
              <w:right w:val="nil"/>
            </w:tcBorders>
            <w:shd w:val="clear" w:color="000000" w:fill="FBE4D5"/>
            <w:vAlign w:val="center"/>
            <w:hideMark/>
          </w:tcPr>
          <w:p w14:paraId="5B73DC1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276" w:type="dxa"/>
            <w:tcBorders>
              <w:top w:val="nil"/>
              <w:left w:val="nil"/>
              <w:bottom w:val="single" w:sz="4" w:space="0" w:color="ED7D31"/>
              <w:right w:val="nil"/>
            </w:tcBorders>
            <w:shd w:val="clear" w:color="000000" w:fill="FBE4D5"/>
            <w:vAlign w:val="center"/>
            <w:hideMark/>
          </w:tcPr>
          <w:p w14:paraId="06CF1B2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Coef. </w:t>
            </w:r>
          </w:p>
        </w:tc>
        <w:tc>
          <w:tcPr>
            <w:tcW w:w="840" w:type="dxa"/>
            <w:tcBorders>
              <w:top w:val="nil"/>
              <w:left w:val="nil"/>
              <w:bottom w:val="single" w:sz="4" w:space="0" w:color="ED7D31"/>
              <w:right w:val="nil"/>
            </w:tcBorders>
            <w:shd w:val="clear" w:color="000000" w:fill="FBE4D5"/>
            <w:vAlign w:val="center"/>
            <w:hideMark/>
          </w:tcPr>
          <w:p w14:paraId="52505A0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Se</w:t>
            </w:r>
          </w:p>
        </w:tc>
        <w:tc>
          <w:tcPr>
            <w:tcW w:w="1277" w:type="dxa"/>
            <w:tcBorders>
              <w:top w:val="nil"/>
              <w:left w:val="nil"/>
              <w:bottom w:val="single" w:sz="4" w:space="0" w:color="ED7D31"/>
              <w:right w:val="nil"/>
            </w:tcBorders>
            <w:shd w:val="clear" w:color="000000" w:fill="FBE4D5"/>
            <w:vAlign w:val="center"/>
            <w:hideMark/>
          </w:tcPr>
          <w:p w14:paraId="6F9A188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05ACD5E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Se</w:t>
            </w:r>
          </w:p>
        </w:tc>
        <w:tc>
          <w:tcPr>
            <w:tcW w:w="1167" w:type="dxa"/>
            <w:tcBorders>
              <w:top w:val="nil"/>
              <w:left w:val="nil"/>
              <w:bottom w:val="single" w:sz="4" w:space="0" w:color="ED7D31"/>
              <w:right w:val="nil"/>
            </w:tcBorders>
            <w:shd w:val="clear" w:color="000000" w:fill="FBE4D5"/>
            <w:vAlign w:val="center"/>
            <w:hideMark/>
          </w:tcPr>
          <w:p w14:paraId="5296E25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01764B9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Se</w:t>
            </w:r>
          </w:p>
        </w:tc>
        <w:tc>
          <w:tcPr>
            <w:tcW w:w="1167" w:type="dxa"/>
            <w:tcBorders>
              <w:top w:val="nil"/>
              <w:left w:val="nil"/>
              <w:bottom w:val="single" w:sz="4" w:space="0" w:color="ED7D31"/>
              <w:right w:val="nil"/>
            </w:tcBorders>
            <w:shd w:val="clear" w:color="000000" w:fill="FBE4D5"/>
            <w:vAlign w:val="center"/>
            <w:hideMark/>
          </w:tcPr>
          <w:p w14:paraId="323EE93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3285215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Se</w:t>
            </w:r>
          </w:p>
        </w:tc>
      </w:tr>
      <w:tr w:rsidR="00244248" w:rsidRPr="007A3658" w14:paraId="17DCF949" w14:textId="77777777" w:rsidTr="00335B25">
        <w:trPr>
          <w:trHeight w:val="20"/>
        </w:trPr>
        <w:tc>
          <w:tcPr>
            <w:tcW w:w="3837" w:type="dxa"/>
            <w:tcBorders>
              <w:top w:val="nil"/>
              <w:left w:val="nil"/>
              <w:bottom w:val="nil"/>
              <w:right w:val="nil"/>
            </w:tcBorders>
            <w:shd w:val="clear" w:color="auto" w:fill="auto"/>
            <w:vAlign w:val="center"/>
            <w:hideMark/>
          </w:tcPr>
          <w:p w14:paraId="64E7C8C7"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Number of children </w:t>
            </w:r>
            <w:r w:rsidRPr="007A3658">
              <w:rPr>
                <w:rFonts w:ascii="Calibri Light" w:eastAsia="Times New Roman" w:hAnsi="Calibri Light" w:cs="Calibri Light"/>
                <w:color w:val="000000"/>
                <w:sz w:val="20"/>
                <w:szCs w:val="20"/>
                <w:lang w:eastAsia="en-AU"/>
              </w:rPr>
              <w:t>(ref: childless)</w:t>
            </w:r>
          </w:p>
        </w:tc>
        <w:tc>
          <w:tcPr>
            <w:tcW w:w="1276" w:type="dxa"/>
            <w:tcBorders>
              <w:top w:val="nil"/>
              <w:left w:val="nil"/>
              <w:bottom w:val="nil"/>
              <w:right w:val="nil"/>
            </w:tcBorders>
            <w:shd w:val="clear" w:color="auto" w:fill="auto"/>
            <w:vAlign w:val="center"/>
            <w:hideMark/>
          </w:tcPr>
          <w:p w14:paraId="2B0E6524"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624AF0AA"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6FFF9AB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3BE08E4B"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30BFA54B"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335041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63EBAC84"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34637F1"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5E2B9E91" w14:textId="77777777" w:rsidTr="00335B25">
        <w:trPr>
          <w:trHeight w:val="20"/>
        </w:trPr>
        <w:tc>
          <w:tcPr>
            <w:tcW w:w="3837" w:type="dxa"/>
            <w:tcBorders>
              <w:top w:val="nil"/>
              <w:left w:val="nil"/>
              <w:bottom w:val="nil"/>
              <w:right w:val="nil"/>
            </w:tcBorders>
            <w:shd w:val="clear" w:color="auto" w:fill="auto"/>
            <w:vAlign w:val="center"/>
            <w:hideMark/>
          </w:tcPr>
          <w:p w14:paraId="13542C1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 child</w:t>
            </w:r>
          </w:p>
        </w:tc>
        <w:tc>
          <w:tcPr>
            <w:tcW w:w="1276" w:type="dxa"/>
            <w:tcBorders>
              <w:top w:val="nil"/>
              <w:left w:val="nil"/>
              <w:bottom w:val="nil"/>
              <w:right w:val="nil"/>
            </w:tcBorders>
            <w:shd w:val="clear" w:color="auto" w:fill="auto"/>
            <w:vAlign w:val="center"/>
            <w:hideMark/>
          </w:tcPr>
          <w:p w14:paraId="1F2CBF5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-0.616***</w:t>
            </w:r>
          </w:p>
        </w:tc>
        <w:tc>
          <w:tcPr>
            <w:tcW w:w="840" w:type="dxa"/>
            <w:tcBorders>
              <w:top w:val="nil"/>
              <w:left w:val="nil"/>
              <w:bottom w:val="nil"/>
              <w:right w:val="nil"/>
            </w:tcBorders>
            <w:shd w:val="clear" w:color="auto" w:fill="auto"/>
            <w:vAlign w:val="center"/>
            <w:hideMark/>
          </w:tcPr>
          <w:p w14:paraId="12B4EA36"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(0.063)</w:t>
            </w:r>
          </w:p>
        </w:tc>
        <w:tc>
          <w:tcPr>
            <w:tcW w:w="1277" w:type="dxa"/>
            <w:tcBorders>
              <w:top w:val="nil"/>
              <w:left w:val="nil"/>
              <w:bottom w:val="nil"/>
              <w:right w:val="nil"/>
            </w:tcBorders>
            <w:shd w:val="clear" w:color="auto" w:fill="auto"/>
            <w:vAlign w:val="center"/>
            <w:hideMark/>
          </w:tcPr>
          <w:p w14:paraId="4189D44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tcBorders>
              <w:top w:val="nil"/>
              <w:left w:val="nil"/>
              <w:bottom w:val="nil"/>
              <w:right w:val="nil"/>
            </w:tcBorders>
            <w:shd w:val="clear" w:color="auto" w:fill="auto"/>
            <w:vAlign w:val="center"/>
            <w:hideMark/>
          </w:tcPr>
          <w:p w14:paraId="5FA1D6F9"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5EC10238"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D7F1089"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7EAA2AB6"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1358B3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5E629591" w14:textId="77777777" w:rsidTr="00335B25">
        <w:trPr>
          <w:trHeight w:val="20"/>
        </w:trPr>
        <w:tc>
          <w:tcPr>
            <w:tcW w:w="3837" w:type="dxa"/>
            <w:tcBorders>
              <w:top w:val="nil"/>
              <w:left w:val="nil"/>
              <w:bottom w:val="nil"/>
              <w:right w:val="nil"/>
            </w:tcBorders>
            <w:shd w:val="clear" w:color="auto" w:fill="auto"/>
            <w:vAlign w:val="center"/>
            <w:hideMark/>
          </w:tcPr>
          <w:p w14:paraId="4A6F00B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 children</w:t>
            </w:r>
          </w:p>
        </w:tc>
        <w:tc>
          <w:tcPr>
            <w:tcW w:w="1276" w:type="dxa"/>
            <w:tcBorders>
              <w:top w:val="nil"/>
              <w:left w:val="nil"/>
              <w:bottom w:val="nil"/>
              <w:right w:val="nil"/>
            </w:tcBorders>
            <w:shd w:val="clear" w:color="auto" w:fill="auto"/>
            <w:vAlign w:val="center"/>
            <w:hideMark/>
          </w:tcPr>
          <w:p w14:paraId="1F7C00E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-3.996***</w:t>
            </w:r>
          </w:p>
        </w:tc>
        <w:tc>
          <w:tcPr>
            <w:tcW w:w="840" w:type="dxa"/>
            <w:tcBorders>
              <w:top w:val="nil"/>
              <w:left w:val="nil"/>
              <w:bottom w:val="nil"/>
              <w:right w:val="nil"/>
            </w:tcBorders>
            <w:shd w:val="clear" w:color="auto" w:fill="auto"/>
            <w:vAlign w:val="center"/>
            <w:hideMark/>
          </w:tcPr>
          <w:p w14:paraId="733B077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(0.075)</w:t>
            </w:r>
          </w:p>
        </w:tc>
        <w:tc>
          <w:tcPr>
            <w:tcW w:w="1277" w:type="dxa"/>
            <w:tcBorders>
              <w:top w:val="nil"/>
              <w:left w:val="nil"/>
              <w:bottom w:val="nil"/>
              <w:right w:val="nil"/>
            </w:tcBorders>
            <w:shd w:val="clear" w:color="auto" w:fill="auto"/>
            <w:vAlign w:val="center"/>
            <w:hideMark/>
          </w:tcPr>
          <w:p w14:paraId="3A99410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tcBorders>
              <w:top w:val="nil"/>
              <w:left w:val="nil"/>
              <w:bottom w:val="nil"/>
              <w:right w:val="nil"/>
            </w:tcBorders>
            <w:shd w:val="clear" w:color="auto" w:fill="auto"/>
            <w:vAlign w:val="center"/>
            <w:hideMark/>
          </w:tcPr>
          <w:p w14:paraId="245FC42B"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08F56251"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8C975D9"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73BAD70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1D90A07"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6504153D"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0710D28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 children</w:t>
            </w:r>
          </w:p>
        </w:tc>
        <w:tc>
          <w:tcPr>
            <w:tcW w:w="1276" w:type="dxa"/>
            <w:tcBorders>
              <w:top w:val="nil"/>
              <w:left w:val="nil"/>
              <w:bottom w:val="single" w:sz="8" w:space="0" w:color="ED7D31"/>
              <w:right w:val="nil"/>
            </w:tcBorders>
            <w:shd w:val="clear" w:color="auto" w:fill="auto"/>
            <w:vAlign w:val="center"/>
            <w:hideMark/>
          </w:tcPr>
          <w:p w14:paraId="2B68C89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-5.219***</w:t>
            </w:r>
          </w:p>
        </w:tc>
        <w:tc>
          <w:tcPr>
            <w:tcW w:w="840" w:type="dxa"/>
            <w:tcBorders>
              <w:top w:val="nil"/>
              <w:left w:val="nil"/>
              <w:bottom w:val="single" w:sz="8" w:space="0" w:color="ED7D31"/>
              <w:right w:val="nil"/>
            </w:tcBorders>
            <w:shd w:val="clear" w:color="auto" w:fill="auto"/>
            <w:vAlign w:val="center"/>
            <w:hideMark/>
          </w:tcPr>
          <w:p w14:paraId="6DE3993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(0.088)</w:t>
            </w:r>
          </w:p>
        </w:tc>
        <w:tc>
          <w:tcPr>
            <w:tcW w:w="1277" w:type="dxa"/>
            <w:tcBorders>
              <w:top w:val="nil"/>
              <w:left w:val="nil"/>
              <w:bottom w:val="single" w:sz="8" w:space="0" w:color="ED7D31"/>
              <w:right w:val="nil"/>
            </w:tcBorders>
            <w:shd w:val="clear" w:color="auto" w:fill="auto"/>
            <w:vAlign w:val="center"/>
            <w:hideMark/>
          </w:tcPr>
          <w:p w14:paraId="4F7925A6" w14:textId="77777777" w:rsidR="00244248" w:rsidRPr="007A3658" w:rsidRDefault="00244248" w:rsidP="00335B25">
            <w:pPr>
              <w:spacing w:after="0" w:line="240" w:lineRule="auto"/>
              <w:rPr>
                <w:rFonts w:ascii="Calibri" w:eastAsia="Times New Roman" w:hAnsi="Calibri" w:cs="Calibri"/>
                <w:color w:val="000000"/>
                <w:lang w:eastAsia="en-AU"/>
              </w:rPr>
            </w:pPr>
            <w:r w:rsidRPr="007A3658">
              <w:rPr>
                <w:rFonts w:ascii="Calibri" w:eastAsia="Times New Roman" w:hAnsi="Calibri" w:cs="Calibri"/>
                <w:color w:val="000000"/>
                <w:lang w:eastAsia="en-AU"/>
              </w:rPr>
              <w:t> </w:t>
            </w:r>
          </w:p>
        </w:tc>
        <w:tc>
          <w:tcPr>
            <w:tcW w:w="959" w:type="dxa"/>
            <w:tcBorders>
              <w:top w:val="nil"/>
              <w:left w:val="nil"/>
              <w:bottom w:val="single" w:sz="8" w:space="0" w:color="ED7D31"/>
              <w:right w:val="nil"/>
            </w:tcBorders>
            <w:shd w:val="clear" w:color="auto" w:fill="auto"/>
            <w:vAlign w:val="center"/>
            <w:hideMark/>
          </w:tcPr>
          <w:p w14:paraId="75A62F56" w14:textId="77777777" w:rsidR="00244248" w:rsidRPr="007A3658" w:rsidRDefault="00244248" w:rsidP="00335B25">
            <w:pPr>
              <w:spacing w:after="0" w:line="240" w:lineRule="auto"/>
              <w:rPr>
                <w:rFonts w:ascii="Calibri" w:eastAsia="Times New Roman" w:hAnsi="Calibri" w:cs="Calibri"/>
                <w:color w:val="808080"/>
                <w:lang w:eastAsia="en-AU"/>
              </w:rPr>
            </w:pPr>
            <w:r w:rsidRPr="007A3658">
              <w:rPr>
                <w:rFonts w:ascii="Calibri" w:eastAsia="Times New Roman" w:hAnsi="Calibri" w:cs="Calibri"/>
                <w:color w:val="808080"/>
                <w:lang w:eastAsia="en-AU"/>
              </w:rPr>
              <w:t> </w:t>
            </w:r>
          </w:p>
        </w:tc>
        <w:tc>
          <w:tcPr>
            <w:tcW w:w="1167" w:type="dxa"/>
            <w:tcBorders>
              <w:top w:val="nil"/>
              <w:left w:val="nil"/>
              <w:bottom w:val="single" w:sz="8" w:space="0" w:color="ED7D31"/>
              <w:right w:val="nil"/>
            </w:tcBorders>
            <w:shd w:val="clear" w:color="auto" w:fill="auto"/>
            <w:vAlign w:val="center"/>
            <w:hideMark/>
          </w:tcPr>
          <w:p w14:paraId="0372F4E0" w14:textId="77777777" w:rsidR="00244248" w:rsidRPr="007A3658" w:rsidRDefault="00244248" w:rsidP="00335B25">
            <w:pPr>
              <w:spacing w:after="0" w:line="240" w:lineRule="auto"/>
              <w:rPr>
                <w:rFonts w:ascii="Calibri" w:eastAsia="Times New Roman" w:hAnsi="Calibri" w:cs="Calibri"/>
                <w:color w:val="000000"/>
                <w:lang w:eastAsia="en-AU"/>
              </w:rPr>
            </w:pPr>
            <w:r w:rsidRPr="007A3658">
              <w:rPr>
                <w:rFonts w:ascii="Calibri" w:eastAsia="Times New Roman" w:hAnsi="Calibri" w:cs="Calibri"/>
                <w:color w:val="000000"/>
                <w:lang w:eastAsia="en-AU"/>
              </w:rPr>
              <w:t> </w:t>
            </w:r>
          </w:p>
        </w:tc>
        <w:tc>
          <w:tcPr>
            <w:tcW w:w="959" w:type="dxa"/>
            <w:tcBorders>
              <w:top w:val="nil"/>
              <w:left w:val="nil"/>
              <w:bottom w:val="single" w:sz="8" w:space="0" w:color="ED7D31"/>
              <w:right w:val="nil"/>
            </w:tcBorders>
            <w:shd w:val="clear" w:color="auto" w:fill="auto"/>
            <w:vAlign w:val="center"/>
            <w:hideMark/>
          </w:tcPr>
          <w:p w14:paraId="6C28E7F3" w14:textId="77777777" w:rsidR="00244248" w:rsidRPr="007A3658" w:rsidRDefault="00244248" w:rsidP="00335B25">
            <w:pPr>
              <w:spacing w:after="0" w:line="240" w:lineRule="auto"/>
              <w:rPr>
                <w:rFonts w:ascii="Calibri" w:eastAsia="Times New Roman" w:hAnsi="Calibri" w:cs="Calibri"/>
                <w:color w:val="808080"/>
                <w:lang w:eastAsia="en-AU"/>
              </w:rPr>
            </w:pPr>
            <w:r w:rsidRPr="007A3658">
              <w:rPr>
                <w:rFonts w:ascii="Calibri" w:eastAsia="Times New Roman" w:hAnsi="Calibri" w:cs="Calibri"/>
                <w:color w:val="808080"/>
                <w:lang w:eastAsia="en-AU"/>
              </w:rPr>
              <w:t> </w:t>
            </w:r>
          </w:p>
        </w:tc>
        <w:tc>
          <w:tcPr>
            <w:tcW w:w="1167" w:type="dxa"/>
            <w:tcBorders>
              <w:top w:val="nil"/>
              <w:left w:val="nil"/>
              <w:bottom w:val="single" w:sz="8" w:space="0" w:color="ED7D31"/>
              <w:right w:val="nil"/>
            </w:tcBorders>
            <w:shd w:val="clear" w:color="auto" w:fill="auto"/>
            <w:vAlign w:val="center"/>
            <w:hideMark/>
          </w:tcPr>
          <w:p w14:paraId="7857466A" w14:textId="77777777" w:rsidR="00244248" w:rsidRPr="007A3658" w:rsidRDefault="00244248" w:rsidP="00335B25">
            <w:pPr>
              <w:spacing w:after="0" w:line="240" w:lineRule="auto"/>
              <w:rPr>
                <w:rFonts w:ascii="Calibri" w:eastAsia="Times New Roman" w:hAnsi="Calibri" w:cs="Calibri"/>
                <w:color w:val="000000"/>
                <w:lang w:eastAsia="en-AU"/>
              </w:rPr>
            </w:pPr>
            <w:r w:rsidRPr="007A3658">
              <w:rPr>
                <w:rFonts w:ascii="Calibri" w:eastAsia="Times New Roman" w:hAnsi="Calibri" w:cs="Calibri"/>
                <w:color w:val="000000"/>
                <w:lang w:eastAsia="en-AU"/>
              </w:rPr>
              <w:t> </w:t>
            </w:r>
          </w:p>
        </w:tc>
        <w:tc>
          <w:tcPr>
            <w:tcW w:w="959" w:type="dxa"/>
            <w:tcBorders>
              <w:top w:val="nil"/>
              <w:left w:val="nil"/>
              <w:bottom w:val="single" w:sz="8" w:space="0" w:color="ED7D31"/>
              <w:right w:val="nil"/>
            </w:tcBorders>
            <w:shd w:val="clear" w:color="auto" w:fill="auto"/>
            <w:vAlign w:val="center"/>
            <w:hideMark/>
          </w:tcPr>
          <w:p w14:paraId="47355B80" w14:textId="77777777" w:rsidR="00244248" w:rsidRPr="007A3658" w:rsidRDefault="00244248" w:rsidP="00335B25">
            <w:pPr>
              <w:spacing w:after="0" w:line="240" w:lineRule="auto"/>
              <w:rPr>
                <w:rFonts w:ascii="Calibri" w:eastAsia="Times New Roman" w:hAnsi="Calibri" w:cs="Calibri"/>
                <w:color w:val="808080"/>
                <w:lang w:eastAsia="en-AU"/>
              </w:rPr>
            </w:pPr>
            <w:r w:rsidRPr="007A3658">
              <w:rPr>
                <w:rFonts w:ascii="Calibri" w:eastAsia="Times New Roman" w:hAnsi="Calibri" w:cs="Calibri"/>
                <w:color w:val="808080"/>
                <w:lang w:eastAsia="en-AU"/>
              </w:rPr>
              <w:t> </w:t>
            </w:r>
          </w:p>
        </w:tc>
      </w:tr>
      <w:tr w:rsidR="00244248" w:rsidRPr="007A3658" w14:paraId="3F8199A9" w14:textId="77777777" w:rsidTr="00335B25">
        <w:trPr>
          <w:trHeight w:val="20"/>
        </w:trPr>
        <w:tc>
          <w:tcPr>
            <w:tcW w:w="3837" w:type="dxa"/>
            <w:tcBorders>
              <w:top w:val="nil"/>
              <w:left w:val="nil"/>
              <w:bottom w:val="nil"/>
              <w:right w:val="nil"/>
            </w:tcBorders>
            <w:shd w:val="clear" w:color="auto" w:fill="auto"/>
            <w:vAlign w:val="center"/>
            <w:hideMark/>
          </w:tcPr>
          <w:p w14:paraId="68AFB9E5"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Age group </w:t>
            </w:r>
            <w:r w:rsidRPr="007A3658">
              <w:rPr>
                <w:rFonts w:ascii="Calibri Light" w:eastAsia="Times New Roman" w:hAnsi="Calibri Light" w:cs="Calibri Light"/>
                <w:color w:val="000000"/>
                <w:sz w:val="20"/>
                <w:szCs w:val="20"/>
                <w:lang w:eastAsia="en-AU"/>
              </w:rPr>
              <w:t>(ref: 25-29)</w:t>
            </w:r>
          </w:p>
        </w:tc>
        <w:tc>
          <w:tcPr>
            <w:tcW w:w="1276" w:type="dxa"/>
            <w:tcBorders>
              <w:top w:val="nil"/>
              <w:left w:val="nil"/>
              <w:bottom w:val="nil"/>
              <w:right w:val="nil"/>
            </w:tcBorders>
            <w:shd w:val="clear" w:color="auto" w:fill="auto"/>
            <w:vAlign w:val="center"/>
            <w:hideMark/>
          </w:tcPr>
          <w:p w14:paraId="387B863F"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75D9E29E"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42D7CF65"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C3C233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5A20DB49"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398970B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68B6C7BE"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719AFF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2E259A13" w14:textId="77777777" w:rsidTr="00335B25">
        <w:trPr>
          <w:trHeight w:val="20"/>
        </w:trPr>
        <w:tc>
          <w:tcPr>
            <w:tcW w:w="3837" w:type="dxa"/>
            <w:tcBorders>
              <w:top w:val="nil"/>
              <w:left w:val="nil"/>
              <w:bottom w:val="nil"/>
              <w:right w:val="nil"/>
            </w:tcBorders>
            <w:shd w:val="clear" w:color="auto" w:fill="auto"/>
            <w:vAlign w:val="center"/>
            <w:hideMark/>
          </w:tcPr>
          <w:p w14:paraId="69F0C1E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 18-24</w:t>
            </w:r>
          </w:p>
        </w:tc>
        <w:tc>
          <w:tcPr>
            <w:tcW w:w="1276" w:type="dxa"/>
            <w:tcBorders>
              <w:top w:val="nil"/>
              <w:left w:val="nil"/>
              <w:bottom w:val="nil"/>
              <w:right w:val="nil"/>
            </w:tcBorders>
            <w:shd w:val="clear" w:color="auto" w:fill="auto"/>
            <w:vAlign w:val="center"/>
            <w:hideMark/>
          </w:tcPr>
          <w:p w14:paraId="544CC9F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0.454***</w:t>
            </w:r>
          </w:p>
        </w:tc>
        <w:tc>
          <w:tcPr>
            <w:tcW w:w="840" w:type="dxa"/>
            <w:tcBorders>
              <w:top w:val="nil"/>
              <w:left w:val="nil"/>
              <w:bottom w:val="nil"/>
              <w:right w:val="nil"/>
            </w:tcBorders>
            <w:shd w:val="clear" w:color="auto" w:fill="auto"/>
            <w:vAlign w:val="center"/>
            <w:hideMark/>
          </w:tcPr>
          <w:p w14:paraId="20EDB26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(0.045)</w:t>
            </w:r>
          </w:p>
        </w:tc>
        <w:tc>
          <w:tcPr>
            <w:tcW w:w="1277" w:type="dxa"/>
            <w:tcBorders>
              <w:top w:val="nil"/>
              <w:left w:val="nil"/>
              <w:bottom w:val="nil"/>
              <w:right w:val="nil"/>
            </w:tcBorders>
            <w:shd w:val="clear" w:color="auto" w:fill="auto"/>
            <w:vAlign w:val="center"/>
            <w:hideMark/>
          </w:tcPr>
          <w:p w14:paraId="59E2A5F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0.483***</w:t>
            </w:r>
          </w:p>
        </w:tc>
        <w:tc>
          <w:tcPr>
            <w:tcW w:w="959" w:type="dxa"/>
            <w:tcBorders>
              <w:top w:val="nil"/>
              <w:left w:val="nil"/>
              <w:bottom w:val="nil"/>
              <w:right w:val="nil"/>
            </w:tcBorders>
            <w:shd w:val="clear" w:color="auto" w:fill="auto"/>
            <w:vAlign w:val="center"/>
            <w:hideMark/>
          </w:tcPr>
          <w:p w14:paraId="6705A83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(0.052)</w:t>
            </w:r>
          </w:p>
        </w:tc>
        <w:tc>
          <w:tcPr>
            <w:tcW w:w="1167" w:type="dxa"/>
            <w:tcBorders>
              <w:top w:val="nil"/>
              <w:left w:val="nil"/>
              <w:bottom w:val="nil"/>
              <w:right w:val="nil"/>
            </w:tcBorders>
            <w:shd w:val="clear" w:color="auto" w:fill="auto"/>
            <w:vAlign w:val="center"/>
            <w:hideMark/>
          </w:tcPr>
          <w:p w14:paraId="5F12CAE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0.928***</w:t>
            </w:r>
          </w:p>
        </w:tc>
        <w:tc>
          <w:tcPr>
            <w:tcW w:w="959" w:type="dxa"/>
            <w:tcBorders>
              <w:top w:val="nil"/>
              <w:left w:val="nil"/>
              <w:bottom w:val="nil"/>
              <w:right w:val="nil"/>
            </w:tcBorders>
            <w:shd w:val="clear" w:color="auto" w:fill="auto"/>
            <w:vAlign w:val="center"/>
            <w:hideMark/>
          </w:tcPr>
          <w:p w14:paraId="6EFFBF7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(0.142)</w:t>
            </w:r>
          </w:p>
        </w:tc>
        <w:tc>
          <w:tcPr>
            <w:tcW w:w="1167" w:type="dxa"/>
            <w:tcBorders>
              <w:top w:val="nil"/>
              <w:left w:val="nil"/>
              <w:bottom w:val="nil"/>
              <w:right w:val="nil"/>
            </w:tcBorders>
            <w:shd w:val="clear" w:color="auto" w:fill="auto"/>
            <w:vAlign w:val="center"/>
            <w:hideMark/>
          </w:tcPr>
          <w:p w14:paraId="6461ECA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0.753***</w:t>
            </w:r>
          </w:p>
        </w:tc>
        <w:tc>
          <w:tcPr>
            <w:tcW w:w="959" w:type="dxa"/>
            <w:tcBorders>
              <w:top w:val="nil"/>
              <w:left w:val="nil"/>
              <w:bottom w:val="nil"/>
              <w:right w:val="nil"/>
            </w:tcBorders>
            <w:shd w:val="clear" w:color="auto" w:fill="auto"/>
            <w:vAlign w:val="center"/>
            <w:hideMark/>
          </w:tcPr>
          <w:p w14:paraId="1BBFF4F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(0.045)</w:t>
            </w:r>
          </w:p>
        </w:tc>
      </w:tr>
      <w:tr w:rsidR="00244248" w:rsidRPr="007A3658" w14:paraId="4349B6CD" w14:textId="77777777" w:rsidTr="00335B25">
        <w:trPr>
          <w:trHeight w:val="20"/>
        </w:trPr>
        <w:tc>
          <w:tcPr>
            <w:tcW w:w="3837" w:type="dxa"/>
            <w:tcBorders>
              <w:top w:val="nil"/>
              <w:left w:val="nil"/>
              <w:bottom w:val="nil"/>
              <w:right w:val="nil"/>
            </w:tcBorders>
            <w:shd w:val="clear" w:color="auto" w:fill="auto"/>
            <w:vAlign w:val="center"/>
            <w:hideMark/>
          </w:tcPr>
          <w:p w14:paraId="7394856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30-34</w:t>
            </w:r>
          </w:p>
        </w:tc>
        <w:tc>
          <w:tcPr>
            <w:tcW w:w="1276" w:type="dxa"/>
            <w:tcBorders>
              <w:top w:val="nil"/>
              <w:left w:val="nil"/>
              <w:bottom w:val="nil"/>
              <w:right w:val="nil"/>
            </w:tcBorders>
            <w:shd w:val="clear" w:color="auto" w:fill="auto"/>
            <w:vAlign w:val="center"/>
            <w:hideMark/>
          </w:tcPr>
          <w:p w14:paraId="23CF54C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-0.847***</w:t>
            </w:r>
          </w:p>
        </w:tc>
        <w:tc>
          <w:tcPr>
            <w:tcW w:w="840" w:type="dxa"/>
            <w:tcBorders>
              <w:top w:val="nil"/>
              <w:left w:val="nil"/>
              <w:bottom w:val="nil"/>
              <w:right w:val="nil"/>
            </w:tcBorders>
            <w:shd w:val="clear" w:color="auto" w:fill="auto"/>
            <w:vAlign w:val="center"/>
            <w:hideMark/>
          </w:tcPr>
          <w:p w14:paraId="63F345C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(0.051)</w:t>
            </w:r>
          </w:p>
        </w:tc>
        <w:tc>
          <w:tcPr>
            <w:tcW w:w="1277" w:type="dxa"/>
            <w:tcBorders>
              <w:top w:val="nil"/>
              <w:left w:val="nil"/>
              <w:bottom w:val="nil"/>
              <w:right w:val="nil"/>
            </w:tcBorders>
            <w:shd w:val="clear" w:color="auto" w:fill="auto"/>
            <w:vAlign w:val="center"/>
            <w:hideMark/>
          </w:tcPr>
          <w:p w14:paraId="06C7EE8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-0.796***</w:t>
            </w:r>
          </w:p>
        </w:tc>
        <w:tc>
          <w:tcPr>
            <w:tcW w:w="959" w:type="dxa"/>
            <w:tcBorders>
              <w:top w:val="nil"/>
              <w:left w:val="nil"/>
              <w:bottom w:val="nil"/>
              <w:right w:val="nil"/>
            </w:tcBorders>
            <w:shd w:val="clear" w:color="auto" w:fill="auto"/>
            <w:vAlign w:val="center"/>
            <w:hideMark/>
          </w:tcPr>
          <w:p w14:paraId="3F17979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(0.075)</w:t>
            </w:r>
          </w:p>
        </w:tc>
        <w:tc>
          <w:tcPr>
            <w:tcW w:w="1167" w:type="dxa"/>
            <w:tcBorders>
              <w:top w:val="nil"/>
              <w:left w:val="nil"/>
              <w:bottom w:val="nil"/>
              <w:right w:val="nil"/>
            </w:tcBorders>
            <w:shd w:val="clear" w:color="auto" w:fill="auto"/>
            <w:vAlign w:val="center"/>
            <w:hideMark/>
          </w:tcPr>
          <w:p w14:paraId="071EC20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-0.986***</w:t>
            </w:r>
          </w:p>
        </w:tc>
        <w:tc>
          <w:tcPr>
            <w:tcW w:w="959" w:type="dxa"/>
            <w:tcBorders>
              <w:top w:val="nil"/>
              <w:left w:val="nil"/>
              <w:bottom w:val="nil"/>
              <w:right w:val="nil"/>
            </w:tcBorders>
            <w:shd w:val="clear" w:color="auto" w:fill="auto"/>
            <w:vAlign w:val="center"/>
            <w:hideMark/>
          </w:tcPr>
          <w:p w14:paraId="4205BE3D"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(0.127)</w:t>
            </w:r>
          </w:p>
        </w:tc>
        <w:tc>
          <w:tcPr>
            <w:tcW w:w="1167" w:type="dxa"/>
            <w:tcBorders>
              <w:top w:val="nil"/>
              <w:left w:val="nil"/>
              <w:bottom w:val="nil"/>
              <w:right w:val="nil"/>
            </w:tcBorders>
            <w:shd w:val="clear" w:color="auto" w:fill="auto"/>
            <w:vAlign w:val="center"/>
            <w:hideMark/>
          </w:tcPr>
          <w:p w14:paraId="715FF92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-0.929***</w:t>
            </w:r>
          </w:p>
        </w:tc>
        <w:tc>
          <w:tcPr>
            <w:tcW w:w="959" w:type="dxa"/>
            <w:tcBorders>
              <w:top w:val="nil"/>
              <w:left w:val="nil"/>
              <w:bottom w:val="nil"/>
              <w:right w:val="nil"/>
            </w:tcBorders>
            <w:shd w:val="clear" w:color="auto" w:fill="auto"/>
            <w:vAlign w:val="center"/>
            <w:hideMark/>
          </w:tcPr>
          <w:p w14:paraId="09E5786D"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(0.051)</w:t>
            </w:r>
          </w:p>
        </w:tc>
      </w:tr>
      <w:tr w:rsidR="00244248" w:rsidRPr="007A3658" w14:paraId="439EF5B1" w14:textId="77777777" w:rsidTr="00335B25">
        <w:trPr>
          <w:trHeight w:val="20"/>
        </w:trPr>
        <w:tc>
          <w:tcPr>
            <w:tcW w:w="3837" w:type="dxa"/>
            <w:tcBorders>
              <w:top w:val="nil"/>
              <w:left w:val="nil"/>
              <w:bottom w:val="nil"/>
              <w:right w:val="nil"/>
            </w:tcBorders>
            <w:shd w:val="clear" w:color="auto" w:fill="auto"/>
            <w:vAlign w:val="center"/>
            <w:hideMark/>
          </w:tcPr>
          <w:p w14:paraId="7DF6C21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35-39</w:t>
            </w:r>
          </w:p>
        </w:tc>
        <w:tc>
          <w:tcPr>
            <w:tcW w:w="1276" w:type="dxa"/>
            <w:tcBorders>
              <w:top w:val="nil"/>
              <w:left w:val="nil"/>
              <w:bottom w:val="nil"/>
              <w:right w:val="nil"/>
            </w:tcBorders>
            <w:shd w:val="clear" w:color="auto" w:fill="auto"/>
            <w:vAlign w:val="center"/>
            <w:hideMark/>
          </w:tcPr>
          <w:p w14:paraId="7E80001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-2.320***</w:t>
            </w:r>
          </w:p>
        </w:tc>
        <w:tc>
          <w:tcPr>
            <w:tcW w:w="840" w:type="dxa"/>
            <w:tcBorders>
              <w:top w:val="nil"/>
              <w:left w:val="nil"/>
              <w:bottom w:val="nil"/>
              <w:right w:val="nil"/>
            </w:tcBorders>
            <w:shd w:val="clear" w:color="auto" w:fill="auto"/>
            <w:vAlign w:val="center"/>
            <w:hideMark/>
          </w:tcPr>
          <w:p w14:paraId="0F9013D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(0.067)</w:t>
            </w:r>
          </w:p>
        </w:tc>
        <w:tc>
          <w:tcPr>
            <w:tcW w:w="1277" w:type="dxa"/>
            <w:tcBorders>
              <w:top w:val="nil"/>
              <w:left w:val="nil"/>
              <w:bottom w:val="nil"/>
              <w:right w:val="nil"/>
            </w:tcBorders>
            <w:shd w:val="clear" w:color="auto" w:fill="auto"/>
            <w:vAlign w:val="center"/>
            <w:hideMark/>
          </w:tcPr>
          <w:p w14:paraId="25564D2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-2.523***</w:t>
            </w:r>
          </w:p>
        </w:tc>
        <w:tc>
          <w:tcPr>
            <w:tcW w:w="959" w:type="dxa"/>
            <w:tcBorders>
              <w:top w:val="nil"/>
              <w:left w:val="nil"/>
              <w:bottom w:val="nil"/>
              <w:right w:val="nil"/>
            </w:tcBorders>
            <w:shd w:val="clear" w:color="auto" w:fill="auto"/>
            <w:vAlign w:val="center"/>
            <w:hideMark/>
          </w:tcPr>
          <w:p w14:paraId="7ADB1C3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(0.125)</w:t>
            </w:r>
          </w:p>
        </w:tc>
        <w:tc>
          <w:tcPr>
            <w:tcW w:w="1167" w:type="dxa"/>
            <w:tcBorders>
              <w:top w:val="nil"/>
              <w:left w:val="nil"/>
              <w:bottom w:val="nil"/>
              <w:right w:val="nil"/>
            </w:tcBorders>
            <w:shd w:val="clear" w:color="auto" w:fill="auto"/>
            <w:vAlign w:val="center"/>
            <w:hideMark/>
          </w:tcPr>
          <w:p w14:paraId="42D699F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-2.747***</w:t>
            </w:r>
          </w:p>
        </w:tc>
        <w:tc>
          <w:tcPr>
            <w:tcW w:w="959" w:type="dxa"/>
            <w:tcBorders>
              <w:top w:val="nil"/>
              <w:left w:val="nil"/>
              <w:bottom w:val="nil"/>
              <w:right w:val="nil"/>
            </w:tcBorders>
            <w:shd w:val="clear" w:color="auto" w:fill="auto"/>
            <w:vAlign w:val="center"/>
            <w:hideMark/>
          </w:tcPr>
          <w:p w14:paraId="3DDE4C5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(0.165)</w:t>
            </w:r>
          </w:p>
        </w:tc>
        <w:tc>
          <w:tcPr>
            <w:tcW w:w="1167" w:type="dxa"/>
            <w:tcBorders>
              <w:top w:val="nil"/>
              <w:left w:val="nil"/>
              <w:bottom w:val="nil"/>
              <w:right w:val="nil"/>
            </w:tcBorders>
            <w:shd w:val="clear" w:color="auto" w:fill="auto"/>
            <w:vAlign w:val="center"/>
            <w:hideMark/>
          </w:tcPr>
          <w:p w14:paraId="142264E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-2.076***</w:t>
            </w:r>
          </w:p>
        </w:tc>
        <w:tc>
          <w:tcPr>
            <w:tcW w:w="959" w:type="dxa"/>
            <w:tcBorders>
              <w:top w:val="nil"/>
              <w:left w:val="nil"/>
              <w:bottom w:val="nil"/>
              <w:right w:val="nil"/>
            </w:tcBorders>
            <w:shd w:val="clear" w:color="auto" w:fill="auto"/>
            <w:vAlign w:val="center"/>
            <w:hideMark/>
          </w:tcPr>
          <w:p w14:paraId="068551C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(0.067)</w:t>
            </w:r>
          </w:p>
        </w:tc>
      </w:tr>
      <w:tr w:rsidR="00244248" w:rsidRPr="007A3658" w14:paraId="70B14365" w14:textId="77777777" w:rsidTr="00335B25">
        <w:trPr>
          <w:trHeight w:val="20"/>
        </w:trPr>
        <w:tc>
          <w:tcPr>
            <w:tcW w:w="3837" w:type="dxa"/>
            <w:tcBorders>
              <w:top w:val="nil"/>
              <w:left w:val="nil"/>
              <w:bottom w:val="nil"/>
              <w:right w:val="nil"/>
            </w:tcBorders>
            <w:shd w:val="clear" w:color="auto" w:fill="auto"/>
            <w:vAlign w:val="center"/>
            <w:hideMark/>
          </w:tcPr>
          <w:p w14:paraId="44445C3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40-44</w:t>
            </w:r>
          </w:p>
        </w:tc>
        <w:tc>
          <w:tcPr>
            <w:tcW w:w="1276" w:type="dxa"/>
            <w:tcBorders>
              <w:top w:val="nil"/>
              <w:left w:val="nil"/>
              <w:bottom w:val="nil"/>
              <w:right w:val="nil"/>
            </w:tcBorders>
            <w:shd w:val="clear" w:color="auto" w:fill="auto"/>
            <w:vAlign w:val="center"/>
            <w:hideMark/>
          </w:tcPr>
          <w:p w14:paraId="0D91BC4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-3.502***</w:t>
            </w:r>
          </w:p>
        </w:tc>
        <w:tc>
          <w:tcPr>
            <w:tcW w:w="840" w:type="dxa"/>
            <w:tcBorders>
              <w:top w:val="nil"/>
              <w:left w:val="nil"/>
              <w:bottom w:val="nil"/>
              <w:right w:val="nil"/>
            </w:tcBorders>
            <w:shd w:val="clear" w:color="auto" w:fill="auto"/>
            <w:vAlign w:val="center"/>
            <w:hideMark/>
          </w:tcPr>
          <w:p w14:paraId="2AF1195B"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(0.068)</w:t>
            </w:r>
          </w:p>
        </w:tc>
        <w:tc>
          <w:tcPr>
            <w:tcW w:w="1277" w:type="dxa"/>
            <w:tcBorders>
              <w:top w:val="nil"/>
              <w:left w:val="nil"/>
              <w:bottom w:val="nil"/>
              <w:right w:val="nil"/>
            </w:tcBorders>
            <w:shd w:val="clear" w:color="auto" w:fill="auto"/>
            <w:vAlign w:val="center"/>
            <w:hideMark/>
          </w:tcPr>
          <w:p w14:paraId="7E6693E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-4.353***</w:t>
            </w:r>
          </w:p>
        </w:tc>
        <w:tc>
          <w:tcPr>
            <w:tcW w:w="959" w:type="dxa"/>
            <w:tcBorders>
              <w:top w:val="nil"/>
              <w:left w:val="nil"/>
              <w:bottom w:val="nil"/>
              <w:right w:val="nil"/>
            </w:tcBorders>
            <w:shd w:val="clear" w:color="auto" w:fill="auto"/>
            <w:vAlign w:val="center"/>
            <w:hideMark/>
          </w:tcPr>
          <w:p w14:paraId="404592B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(0.133)</w:t>
            </w:r>
          </w:p>
        </w:tc>
        <w:tc>
          <w:tcPr>
            <w:tcW w:w="1167" w:type="dxa"/>
            <w:tcBorders>
              <w:top w:val="nil"/>
              <w:left w:val="nil"/>
              <w:bottom w:val="nil"/>
              <w:right w:val="nil"/>
            </w:tcBorders>
            <w:shd w:val="clear" w:color="auto" w:fill="auto"/>
            <w:vAlign w:val="center"/>
            <w:hideMark/>
          </w:tcPr>
          <w:p w14:paraId="481B139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-4.749***</w:t>
            </w:r>
          </w:p>
        </w:tc>
        <w:tc>
          <w:tcPr>
            <w:tcW w:w="959" w:type="dxa"/>
            <w:tcBorders>
              <w:top w:val="nil"/>
              <w:left w:val="nil"/>
              <w:bottom w:val="nil"/>
              <w:right w:val="nil"/>
            </w:tcBorders>
            <w:shd w:val="clear" w:color="auto" w:fill="auto"/>
            <w:vAlign w:val="center"/>
            <w:hideMark/>
          </w:tcPr>
          <w:p w14:paraId="51CB1A7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(0.158)</w:t>
            </w:r>
          </w:p>
        </w:tc>
        <w:tc>
          <w:tcPr>
            <w:tcW w:w="1167" w:type="dxa"/>
            <w:tcBorders>
              <w:top w:val="nil"/>
              <w:left w:val="nil"/>
              <w:bottom w:val="nil"/>
              <w:right w:val="nil"/>
            </w:tcBorders>
            <w:shd w:val="clear" w:color="auto" w:fill="auto"/>
            <w:vAlign w:val="center"/>
            <w:hideMark/>
          </w:tcPr>
          <w:p w14:paraId="77C2165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-2.762***</w:t>
            </w:r>
          </w:p>
        </w:tc>
        <w:tc>
          <w:tcPr>
            <w:tcW w:w="959" w:type="dxa"/>
            <w:tcBorders>
              <w:top w:val="nil"/>
              <w:left w:val="nil"/>
              <w:bottom w:val="nil"/>
              <w:right w:val="nil"/>
            </w:tcBorders>
            <w:shd w:val="clear" w:color="auto" w:fill="auto"/>
            <w:vAlign w:val="center"/>
            <w:hideMark/>
          </w:tcPr>
          <w:p w14:paraId="6BDF4D9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(0.068)</w:t>
            </w:r>
          </w:p>
        </w:tc>
      </w:tr>
      <w:tr w:rsidR="00244248" w:rsidRPr="007A3658" w14:paraId="2CE98C53"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5B735EE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45-49</w:t>
            </w:r>
          </w:p>
        </w:tc>
        <w:tc>
          <w:tcPr>
            <w:tcW w:w="1276" w:type="dxa"/>
            <w:tcBorders>
              <w:top w:val="nil"/>
              <w:left w:val="nil"/>
              <w:bottom w:val="single" w:sz="8" w:space="0" w:color="ED7D31"/>
              <w:right w:val="nil"/>
            </w:tcBorders>
            <w:shd w:val="clear" w:color="auto" w:fill="auto"/>
            <w:vAlign w:val="center"/>
            <w:hideMark/>
          </w:tcPr>
          <w:p w14:paraId="740D467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-3.875***</w:t>
            </w:r>
          </w:p>
        </w:tc>
        <w:tc>
          <w:tcPr>
            <w:tcW w:w="840" w:type="dxa"/>
            <w:tcBorders>
              <w:top w:val="nil"/>
              <w:left w:val="nil"/>
              <w:bottom w:val="single" w:sz="8" w:space="0" w:color="ED7D31"/>
              <w:right w:val="nil"/>
            </w:tcBorders>
            <w:shd w:val="clear" w:color="auto" w:fill="auto"/>
            <w:vAlign w:val="center"/>
            <w:hideMark/>
          </w:tcPr>
          <w:p w14:paraId="3C5649E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(0.072)</w:t>
            </w:r>
          </w:p>
        </w:tc>
        <w:tc>
          <w:tcPr>
            <w:tcW w:w="1277" w:type="dxa"/>
            <w:tcBorders>
              <w:top w:val="nil"/>
              <w:left w:val="nil"/>
              <w:bottom w:val="single" w:sz="8" w:space="0" w:color="ED7D31"/>
              <w:right w:val="nil"/>
            </w:tcBorders>
            <w:shd w:val="clear" w:color="auto" w:fill="auto"/>
            <w:vAlign w:val="center"/>
            <w:hideMark/>
          </w:tcPr>
          <w:p w14:paraId="555E261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-5.404***</w:t>
            </w:r>
          </w:p>
        </w:tc>
        <w:tc>
          <w:tcPr>
            <w:tcW w:w="959" w:type="dxa"/>
            <w:tcBorders>
              <w:top w:val="nil"/>
              <w:left w:val="nil"/>
              <w:bottom w:val="single" w:sz="8" w:space="0" w:color="ED7D31"/>
              <w:right w:val="nil"/>
            </w:tcBorders>
            <w:shd w:val="clear" w:color="auto" w:fill="auto"/>
            <w:vAlign w:val="center"/>
            <w:hideMark/>
          </w:tcPr>
          <w:p w14:paraId="17E928C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(0.154)</w:t>
            </w:r>
          </w:p>
        </w:tc>
        <w:tc>
          <w:tcPr>
            <w:tcW w:w="1167" w:type="dxa"/>
            <w:tcBorders>
              <w:top w:val="nil"/>
              <w:left w:val="nil"/>
              <w:bottom w:val="single" w:sz="8" w:space="0" w:color="ED7D31"/>
              <w:right w:val="nil"/>
            </w:tcBorders>
            <w:shd w:val="clear" w:color="auto" w:fill="auto"/>
            <w:vAlign w:val="center"/>
            <w:hideMark/>
          </w:tcPr>
          <w:p w14:paraId="66CD8ED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-5.695***</w:t>
            </w:r>
          </w:p>
        </w:tc>
        <w:tc>
          <w:tcPr>
            <w:tcW w:w="959" w:type="dxa"/>
            <w:tcBorders>
              <w:top w:val="nil"/>
              <w:left w:val="nil"/>
              <w:bottom w:val="single" w:sz="8" w:space="0" w:color="ED7D31"/>
              <w:right w:val="nil"/>
            </w:tcBorders>
            <w:shd w:val="clear" w:color="auto" w:fill="auto"/>
            <w:vAlign w:val="center"/>
            <w:hideMark/>
          </w:tcPr>
          <w:p w14:paraId="76EDAB5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(0.165)</w:t>
            </w:r>
          </w:p>
        </w:tc>
        <w:tc>
          <w:tcPr>
            <w:tcW w:w="1167" w:type="dxa"/>
            <w:tcBorders>
              <w:top w:val="nil"/>
              <w:left w:val="nil"/>
              <w:bottom w:val="single" w:sz="8" w:space="0" w:color="ED7D31"/>
              <w:right w:val="nil"/>
            </w:tcBorders>
            <w:shd w:val="clear" w:color="auto" w:fill="auto"/>
            <w:vAlign w:val="center"/>
            <w:hideMark/>
          </w:tcPr>
          <w:p w14:paraId="16D21AC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-3.025***</w:t>
            </w:r>
          </w:p>
        </w:tc>
        <w:tc>
          <w:tcPr>
            <w:tcW w:w="959" w:type="dxa"/>
            <w:tcBorders>
              <w:top w:val="nil"/>
              <w:left w:val="nil"/>
              <w:bottom w:val="single" w:sz="8" w:space="0" w:color="ED7D31"/>
              <w:right w:val="nil"/>
            </w:tcBorders>
            <w:shd w:val="clear" w:color="auto" w:fill="auto"/>
            <w:vAlign w:val="center"/>
            <w:hideMark/>
          </w:tcPr>
          <w:p w14:paraId="1559B10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(0.072)</w:t>
            </w:r>
          </w:p>
        </w:tc>
      </w:tr>
      <w:tr w:rsidR="00244248" w:rsidRPr="007A3658" w14:paraId="775AD60F" w14:textId="77777777" w:rsidTr="00335B25">
        <w:trPr>
          <w:trHeight w:val="20"/>
        </w:trPr>
        <w:tc>
          <w:tcPr>
            <w:tcW w:w="3837" w:type="dxa"/>
            <w:tcBorders>
              <w:top w:val="nil"/>
              <w:left w:val="nil"/>
              <w:bottom w:val="nil"/>
              <w:right w:val="nil"/>
            </w:tcBorders>
            <w:shd w:val="clear" w:color="auto" w:fill="auto"/>
            <w:vAlign w:val="center"/>
            <w:hideMark/>
          </w:tcPr>
          <w:p w14:paraId="16B90EC4"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Education level </w:t>
            </w:r>
            <w:r w:rsidRPr="007A3658">
              <w:rPr>
                <w:rFonts w:ascii="Calibri Light" w:eastAsia="Times New Roman" w:hAnsi="Calibri Light" w:cs="Calibri Light"/>
                <w:color w:val="000000"/>
                <w:sz w:val="20"/>
                <w:szCs w:val="20"/>
                <w:lang w:eastAsia="en-AU"/>
              </w:rPr>
              <w:t>(ref: Year 11 or below)</w:t>
            </w:r>
          </w:p>
        </w:tc>
        <w:tc>
          <w:tcPr>
            <w:tcW w:w="1276" w:type="dxa"/>
            <w:tcBorders>
              <w:top w:val="nil"/>
              <w:left w:val="nil"/>
              <w:bottom w:val="nil"/>
              <w:right w:val="nil"/>
            </w:tcBorders>
            <w:shd w:val="clear" w:color="auto" w:fill="auto"/>
            <w:vAlign w:val="center"/>
            <w:hideMark/>
          </w:tcPr>
          <w:p w14:paraId="54783B09"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237DAD33"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276A4AB5"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33C0B8A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0379A429"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C9B6E2B"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21DE4715"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759B3F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240AC650" w14:textId="77777777" w:rsidTr="00335B25">
        <w:trPr>
          <w:trHeight w:val="20"/>
        </w:trPr>
        <w:tc>
          <w:tcPr>
            <w:tcW w:w="3837" w:type="dxa"/>
            <w:tcBorders>
              <w:top w:val="nil"/>
              <w:left w:val="nil"/>
              <w:bottom w:val="nil"/>
              <w:right w:val="nil"/>
            </w:tcBorders>
            <w:shd w:val="clear" w:color="auto" w:fill="auto"/>
            <w:vAlign w:val="center"/>
            <w:hideMark/>
          </w:tcPr>
          <w:p w14:paraId="72D305E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Bachelor Degree or higher</w:t>
            </w:r>
          </w:p>
        </w:tc>
        <w:tc>
          <w:tcPr>
            <w:tcW w:w="1276" w:type="dxa"/>
            <w:tcBorders>
              <w:top w:val="nil"/>
              <w:left w:val="nil"/>
              <w:bottom w:val="nil"/>
              <w:right w:val="nil"/>
            </w:tcBorders>
            <w:shd w:val="clear" w:color="auto" w:fill="auto"/>
            <w:vAlign w:val="center"/>
            <w:hideMark/>
          </w:tcPr>
          <w:p w14:paraId="2495F33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0.320***</w:t>
            </w:r>
          </w:p>
        </w:tc>
        <w:tc>
          <w:tcPr>
            <w:tcW w:w="840" w:type="dxa"/>
            <w:tcBorders>
              <w:top w:val="nil"/>
              <w:left w:val="nil"/>
              <w:bottom w:val="nil"/>
              <w:right w:val="nil"/>
            </w:tcBorders>
            <w:shd w:val="clear" w:color="auto" w:fill="auto"/>
            <w:vAlign w:val="center"/>
            <w:hideMark/>
          </w:tcPr>
          <w:p w14:paraId="279F5FE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(0.068)</w:t>
            </w:r>
          </w:p>
        </w:tc>
        <w:tc>
          <w:tcPr>
            <w:tcW w:w="1277" w:type="dxa"/>
            <w:tcBorders>
              <w:top w:val="nil"/>
              <w:left w:val="nil"/>
              <w:bottom w:val="nil"/>
              <w:right w:val="nil"/>
            </w:tcBorders>
            <w:shd w:val="clear" w:color="auto" w:fill="auto"/>
            <w:vAlign w:val="center"/>
            <w:hideMark/>
          </w:tcPr>
          <w:p w14:paraId="282F67E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0.194*</w:t>
            </w:r>
          </w:p>
        </w:tc>
        <w:tc>
          <w:tcPr>
            <w:tcW w:w="959" w:type="dxa"/>
            <w:tcBorders>
              <w:top w:val="nil"/>
              <w:left w:val="nil"/>
              <w:bottom w:val="nil"/>
              <w:right w:val="nil"/>
            </w:tcBorders>
            <w:shd w:val="clear" w:color="auto" w:fill="auto"/>
            <w:vAlign w:val="center"/>
            <w:hideMark/>
          </w:tcPr>
          <w:p w14:paraId="3DB2D9B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(0.103)</w:t>
            </w:r>
          </w:p>
        </w:tc>
        <w:tc>
          <w:tcPr>
            <w:tcW w:w="1167" w:type="dxa"/>
            <w:tcBorders>
              <w:top w:val="nil"/>
              <w:left w:val="nil"/>
              <w:bottom w:val="nil"/>
              <w:right w:val="nil"/>
            </w:tcBorders>
            <w:shd w:val="clear" w:color="auto" w:fill="auto"/>
            <w:vAlign w:val="center"/>
            <w:hideMark/>
          </w:tcPr>
          <w:p w14:paraId="115753E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1.437***</w:t>
            </w:r>
          </w:p>
        </w:tc>
        <w:tc>
          <w:tcPr>
            <w:tcW w:w="959" w:type="dxa"/>
            <w:tcBorders>
              <w:top w:val="nil"/>
              <w:left w:val="nil"/>
              <w:bottom w:val="nil"/>
              <w:right w:val="nil"/>
            </w:tcBorders>
            <w:shd w:val="clear" w:color="auto" w:fill="auto"/>
            <w:vAlign w:val="center"/>
            <w:hideMark/>
          </w:tcPr>
          <w:p w14:paraId="5E3A28D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(0.183)</w:t>
            </w:r>
          </w:p>
        </w:tc>
        <w:tc>
          <w:tcPr>
            <w:tcW w:w="1167" w:type="dxa"/>
            <w:tcBorders>
              <w:top w:val="nil"/>
              <w:left w:val="nil"/>
              <w:bottom w:val="nil"/>
              <w:right w:val="nil"/>
            </w:tcBorders>
            <w:shd w:val="clear" w:color="auto" w:fill="auto"/>
            <w:vAlign w:val="center"/>
            <w:hideMark/>
          </w:tcPr>
          <w:p w14:paraId="783CD5B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0.817***</w:t>
            </w:r>
          </w:p>
        </w:tc>
        <w:tc>
          <w:tcPr>
            <w:tcW w:w="959" w:type="dxa"/>
            <w:tcBorders>
              <w:top w:val="nil"/>
              <w:left w:val="nil"/>
              <w:bottom w:val="nil"/>
              <w:right w:val="nil"/>
            </w:tcBorders>
            <w:shd w:val="clear" w:color="auto" w:fill="auto"/>
            <w:vAlign w:val="center"/>
            <w:hideMark/>
          </w:tcPr>
          <w:p w14:paraId="50DF5D4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(0.068)</w:t>
            </w:r>
          </w:p>
        </w:tc>
      </w:tr>
      <w:tr w:rsidR="00244248" w:rsidRPr="007A3658" w14:paraId="11DE7BC0" w14:textId="77777777" w:rsidTr="00335B25">
        <w:trPr>
          <w:trHeight w:val="20"/>
        </w:trPr>
        <w:tc>
          <w:tcPr>
            <w:tcW w:w="3837" w:type="dxa"/>
            <w:tcBorders>
              <w:top w:val="nil"/>
              <w:left w:val="nil"/>
              <w:bottom w:val="nil"/>
              <w:right w:val="nil"/>
            </w:tcBorders>
            <w:shd w:val="clear" w:color="auto" w:fill="auto"/>
            <w:vAlign w:val="center"/>
            <w:hideMark/>
          </w:tcPr>
          <w:p w14:paraId="4C66AA2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Diploma/ Cert III/IV</w:t>
            </w:r>
          </w:p>
        </w:tc>
        <w:tc>
          <w:tcPr>
            <w:tcW w:w="1276" w:type="dxa"/>
            <w:tcBorders>
              <w:top w:val="nil"/>
              <w:left w:val="nil"/>
              <w:bottom w:val="nil"/>
              <w:right w:val="nil"/>
            </w:tcBorders>
            <w:shd w:val="clear" w:color="auto" w:fill="auto"/>
            <w:vAlign w:val="center"/>
            <w:hideMark/>
          </w:tcPr>
          <w:p w14:paraId="199A71C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0.237***</w:t>
            </w:r>
          </w:p>
        </w:tc>
        <w:tc>
          <w:tcPr>
            <w:tcW w:w="840" w:type="dxa"/>
            <w:tcBorders>
              <w:top w:val="nil"/>
              <w:left w:val="nil"/>
              <w:bottom w:val="nil"/>
              <w:right w:val="nil"/>
            </w:tcBorders>
            <w:shd w:val="clear" w:color="auto" w:fill="auto"/>
            <w:vAlign w:val="center"/>
            <w:hideMark/>
          </w:tcPr>
          <w:p w14:paraId="550B064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(0.064)</w:t>
            </w:r>
          </w:p>
        </w:tc>
        <w:tc>
          <w:tcPr>
            <w:tcW w:w="1277" w:type="dxa"/>
            <w:tcBorders>
              <w:top w:val="nil"/>
              <w:left w:val="nil"/>
              <w:bottom w:val="nil"/>
              <w:right w:val="nil"/>
            </w:tcBorders>
            <w:shd w:val="clear" w:color="auto" w:fill="auto"/>
            <w:vAlign w:val="center"/>
            <w:hideMark/>
          </w:tcPr>
          <w:p w14:paraId="22FCB3B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0.316***</w:t>
            </w:r>
          </w:p>
        </w:tc>
        <w:tc>
          <w:tcPr>
            <w:tcW w:w="959" w:type="dxa"/>
            <w:tcBorders>
              <w:top w:val="nil"/>
              <w:left w:val="nil"/>
              <w:bottom w:val="nil"/>
              <w:right w:val="nil"/>
            </w:tcBorders>
            <w:shd w:val="clear" w:color="auto" w:fill="auto"/>
            <w:vAlign w:val="center"/>
            <w:hideMark/>
          </w:tcPr>
          <w:p w14:paraId="5387A98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(0.105)</w:t>
            </w:r>
          </w:p>
        </w:tc>
        <w:tc>
          <w:tcPr>
            <w:tcW w:w="1167" w:type="dxa"/>
            <w:tcBorders>
              <w:top w:val="nil"/>
              <w:left w:val="nil"/>
              <w:bottom w:val="nil"/>
              <w:right w:val="nil"/>
            </w:tcBorders>
            <w:shd w:val="clear" w:color="auto" w:fill="auto"/>
            <w:vAlign w:val="center"/>
            <w:hideMark/>
          </w:tcPr>
          <w:p w14:paraId="1680954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0.532***</w:t>
            </w:r>
          </w:p>
        </w:tc>
        <w:tc>
          <w:tcPr>
            <w:tcW w:w="959" w:type="dxa"/>
            <w:tcBorders>
              <w:top w:val="nil"/>
              <w:left w:val="nil"/>
              <w:bottom w:val="nil"/>
              <w:right w:val="nil"/>
            </w:tcBorders>
            <w:shd w:val="clear" w:color="auto" w:fill="auto"/>
            <w:vAlign w:val="center"/>
            <w:hideMark/>
          </w:tcPr>
          <w:p w14:paraId="5DEAFBA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(0.172)</w:t>
            </w:r>
          </w:p>
        </w:tc>
        <w:tc>
          <w:tcPr>
            <w:tcW w:w="1167" w:type="dxa"/>
            <w:tcBorders>
              <w:top w:val="nil"/>
              <w:left w:val="nil"/>
              <w:bottom w:val="nil"/>
              <w:right w:val="nil"/>
            </w:tcBorders>
            <w:shd w:val="clear" w:color="auto" w:fill="auto"/>
            <w:vAlign w:val="center"/>
            <w:hideMark/>
          </w:tcPr>
          <w:p w14:paraId="1AC577C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0.436***</w:t>
            </w:r>
          </w:p>
        </w:tc>
        <w:tc>
          <w:tcPr>
            <w:tcW w:w="959" w:type="dxa"/>
            <w:tcBorders>
              <w:top w:val="nil"/>
              <w:left w:val="nil"/>
              <w:bottom w:val="nil"/>
              <w:right w:val="nil"/>
            </w:tcBorders>
            <w:shd w:val="clear" w:color="auto" w:fill="auto"/>
            <w:vAlign w:val="center"/>
            <w:hideMark/>
          </w:tcPr>
          <w:p w14:paraId="24920BE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(0.064)</w:t>
            </w:r>
          </w:p>
        </w:tc>
      </w:tr>
      <w:tr w:rsidR="00244248" w:rsidRPr="007A3658" w14:paraId="06494BB5"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1F3E336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Year 12</w:t>
            </w:r>
          </w:p>
        </w:tc>
        <w:tc>
          <w:tcPr>
            <w:tcW w:w="1276" w:type="dxa"/>
            <w:tcBorders>
              <w:top w:val="nil"/>
              <w:left w:val="nil"/>
              <w:bottom w:val="single" w:sz="8" w:space="0" w:color="ED7D31"/>
              <w:right w:val="nil"/>
            </w:tcBorders>
            <w:shd w:val="clear" w:color="auto" w:fill="auto"/>
            <w:vAlign w:val="center"/>
            <w:hideMark/>
          </w:tcPr>
          <w:p w14:paraId="3046577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0.247***</w:t>
            </w:r>
          </w:p>
        </w:tc>
        <w:tc>
          <w:tcPr>
            <w:tcW w:w="840" w:type="dxa"/>
            <w:tcBorders>
              <w:top w:val="nil"/>
              <w:left w:val="nil"/>
              <w:bottom w:val="single" w:sz="8" w:space="0" w:color="ED7D31"/>
              <w:right w:val="nil"/>
            </w:tcBorders>
            <w:shd w:val="clear" w:color="auto" w:fill="auto"/>
            <w:vAlign w:val="center"/>
            <w:hideMark/>
          </w:tcPr>
          <w:p w14:paraId="1596962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(0.065)</w:t>
            </w:r>
          </w:p>
        </w:tc>
        <w:tc>
          <w:tcPr>
            <w:tcW w:w="1277" w:type="dxa"/>
            <w:tcBorders>
              <w:top w:val="nil"/>
              <w:left w:val="nil"/>
              <w:bottom w:val="single" w:sz="8" w:space="0" w:color="ED7D31"/>
              <w:right w:val="nil"/>
            </w:tcBorders>
            <w:shd w:val="clear" w:color="auto" w:fill="auto"/>
            <w:vAlign w:val="center"/>
            <w:hideMark/>
          </w:tcPr>
          <w:p w14:paraId="4D0A02F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0.270***</w:t>
            </w:r>
          </w:p>
        </w:tc>
        <w:tc>
          <w:tcPr>
            <w:tcW w:w="959" w:type="dxa"/>
            <w:tcBorders>
              <w:top w:val="nil"/>
              <w:left w:val="nil"/>
              <w:bottom w:val="single" w:sz="8" w:space="0" w:color="ED7D31"/>
              <w:right w:val="nil"/>
            </w:tcBorders>
            <w:shd w:val="clear" w:color="auto" w:fill="auto"/>
            <w:vAlign w:val="center"/>
            <w:hideMark/>
          </w:tcPr>
          <w:p w14:paraId="141FD60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(0.093)</w:t>
            </w:r>
          </w:p>
        </w:tc>
        <w:tc>
          <w:tcPr>
            <w:tcW w:w="1167" w:type="dxa"/>
            <w:tcBorders>
              <w:top w:val="nil"/>
              <w:left w:val="nil"/>
              <w:bottom w:val="single" w:sz="8" w:space="0" w:color="ED7D31"/>
              <w:right w:val="nil"/>
            </w:tcBorders>
            <w:shd w:val="clear" w:color="auto" w:fill="auto"/>
            <w:vAlign w:val="center"/>
            <w:hideMark/>
          </w:tcPr>
          <w:p w14:paraId="2462BBC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0.676***</w:t>
            </w:r>
          </w:p>
        </w:tc>
        <w:tc>
          <w:tcPr>
            <w:tcW w:w="959" w:type="dxa"/>
            <w:tcBorders>
              <w:top w:val="nil"/>
              <w:left w:val="nil"/>
              <w:bottom w:val="single" w:sz="8" w:space="0" w:color="ED7D31"/>
              <w:right w:val="nil"/>
            </w:tcBorders>
            <w:shd w:val="clear" w:color="auto" w:fill="auto"/>
            <w:vAlign w:val="center"/>
            <w:hideMark/>
          </w:tcPr>
          <w:p w14:paraId="7AC9ECE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(0.190)</w:t>
            </w:r>
          </w:p>
        </w:tc>
        <w:tc>
          <w:tcPr>
            <w:tcW w:w="1167" w:type="dxa"/>
            <w:tcBorders>
              <w:top w:val="nil"/>
              <w:left w:val="nil"/>
              <w:bottom w:val="single" w:sz="8" w:space="0" w:color="ED7D31"/>
              <w:right w:val="nil"/>
            </w:tcBorders>
            <w:shd w:val="clear" w:color="auto" w:fill="auto"/>
            <w:vAlign w:val="center"/>
            <w:hideMark/>
          </w:tcPr>
          <w:p w14:paraId="2F9305B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0.461***</w:t>
            </w:r>
          </w:p>
        </w:tc>
        <w:tc>
          <w:tcPr>
            <w:tcW w:w="959" w:type="dxa"/>
            <w:tcBorders>
              <w:top w:val="nil"/>
              <w:left w:val="nil"/>
              <w:bottom w:val="single" w:sz="8" w:space="0" w:color="ED7D31"/>
              <w:right w:val="nil"/>
            </w:tcBorders>
            <w:shd w:val="clear" w:color="auto" w:fill="auto"/>
            <w:vAlign w:val="center"/>
            <w:hideMark/>
          </w:tcPr>
          <w:p w14:paraId="364EC0D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(0.065)</w:t>
            </w:r>
          </w:p>
        </w:tc>
      </w:tr>
      <w:tr w:rsidR="00244248" w:rsidRPr="007A3658" w14:paraId="0A6A1814" w14:textId="77777777" w:rsidTr="00335B25">
        <w:trPr>
          <w:trHeight w:val="20"/>
        </w:trPr>
        <w:tc>
          <w:tcPr>
            <w:tcW w:w="3837" w:type="dxa"/>
            <w:tcBorders>
              <w:top w:val="nil"/>
              <w:left w:val="nil"/>
              <w:bottom w:val="nil"/>
              <w:right w:val="nil"/>
            </w:tcBorders>
            <w:shd w:val="clear" w:color="auto" w:fill="auto"/>
            <w:vAlign w:val="center"/>
            <w:hideMark/>
          </w:tcPr>
          <w:p w14:paraId="44EA106E"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Relationship status </w:t>
            </w:r>
            <w:r w:rsidRPr="007A3658">
              <w:rPr>
                <w:rFonts w:ascii="Calibri Light" w:eastAsia="Times New Roman" w:hAnsi="Calibri Light" w:cs="Calibri Light"/>
                <w:color w:val="000000"/>
                <w:sz w:val="20"/>
                <w:szCs w:val="20"/>
                <w:lang w:eastAsia="en-AU"/>
              </w:rPr>
              <w:t>(ref: Single)</w:t>
            </w:r>
          </w:p>
        </w:tc>
        <w:tc>
          <w:tcPr>
            <w:tcW w:w="1276" w:type="dxa"/>
            <w:tcBorders>
              <w:top w:val="nil"/>
              <w:left w:val="nil"/>
              <w:bottom w:val="nil"/>
              <w:right w:val="nil"/>
            </w:tcBorders>
            <w:shd w:val="clear" w:color="auto" w:fill="auto"/>
            <w:vAlign w:val="center"/>
            <w:hideMark/>
          </w:tcPr>
          <w:p w14:paraId="62853635"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2B7D7ED3"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087729E4"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5E8EBD02"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24F5E3E0"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833BC4E"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43CBAB17"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776F7861"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25A6685F" w14:textId="77777777" w:rsidTr="00335B25">
        <w:trPr>
          <w:trHeight w:val="20"/>
        </w:trPr>
        <w:tc>
          <w:tcPr>
            <w:tcW w:w="3837" w:type="dxa"/>
            <w:tcBorders>
              <w:top w:val="nil"/>
              <w:left w:val="nil"/>
              <w:bottom w:val="nil"/>
              <w:right w:val="nil"/>
            </w:tcBorders>
            <w:shd w:val="clear" w:color="auto" w:fill="auto"/>
            <w:vAlign w:val="center"/>
            <w:hideMark/>
          </w:tcPr>
          <w:p w14:paraId="232A6E0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Married</w:t>
            </w:r>
          </w:p>
        </w:tc>
        <w:tc>
          <w:tcPr>
            <w:tcW w:w="1276" w:type="dxa"/>
            <w:tcBorders>
              <w:top w:val="nil"/>
              <w:left w:val="nil"/>
              <w:bottom w:val="nil"/>
              <w:right w:val="nil"/>
            </w:tcBorders>
            <w:shd w:val="clear" w:color="auto" w:fill="auto"/>
            <w:vAlign w:val="center"/>
            <w:hideMark/>
          </w:tcPr>
          <w:p w14:paraId="2DCC470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0.990***</w:t>
            </w:r>
          </w:p>
        </w:tc>
        <w:tc>
          <w:tcPr>
            <w:tcW w:w="840" w:type="dxa"/>
            <w:tcBorders>
              <w:top w:val="nil"/>
              <w:left w:val="nil"/>
              <w:bottom w:val="nil"/>
              <w:right w:val="nil"/>
            </w:tcBorders>
            <w:shd w:val="clear" w:color="auto" w:fill="auto"/>
            <w:vAlign w:val="center"/>
            <w:hideMark/>
          </w:tcPr>
          <w:p w14:paraId="10CCD53F"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(0.051)</w:t>
            </w:r>
          </w:p>
        </w:tc>
        <w:tc>
          <w:tcPr>
            <w:tcW w:w="1277" w:type="dxa"/>
            <w:tcBorders>
              <w:top w:val="nil"/>
              <w:left w:val="nil"/>
              <w:bottom w:val="nil"/>
              <w:right w:val="nil"/>
            </w:tcBorders>
            <w:shd w:val="clear" w:color="auto" w:fill="auto"/>
            <w:vAlign w:val="center"/>
            <w:hideMark/>
          </w:tcPr>
          <w:p w14:paraId="1D1D8A3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0.984***</w:t>
            </w:r>
          </w:p>
        </w:tc>
        <w:tc>
          <w:tcPr>
            <w:tcW w:w="959" w:type="dxa"/>
            <w:tcBorders>
              <w:top w:val="nil"/>
              <w:left w:val="nil"/>
              <w:bottom w:val="nil"/>
              <w:right w:val="nil"/>
            </w:tcBorders>
            <w:shd w:val="clear" w:color="auto" w:fill="auto"/>
            <w:vAlign w:val="center"/>
            <w:hideMark/>
          </w:tcPr>
          <w:p w14:paraId="114CEA0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(0.082)</w:t>
            </w:r>
          </w:p>
        </w:tc>
        <w:tc>
          <w:tcPr>
            <w:tcW w:w="1167" w:type="dxa"/>
            <w:tcBorders>
              <w:top w:val="nil"/>
              <w:left w:val="nil"/>
              <w:bottom w:val="nil"/>
              <w:right w:val="nil"/>
            </w:tcBorders>
            <w:shd w:val="clear" w:color="auto" w:fill="auto"/>
            <w:vAlign w:val="center"/>
            <w:hideMark/>
          </w:tcPr>
          <w:p w14:paraId="4EBBCEC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1.996***</w:t>
            </w:r>
          </w:p>
        </w:tc>
        <w:tc>
          <w:tcPr>
            <w:tcW w:w="959" w:type="dxa"/>
            <w:tcBorders>
              <w:top w:val="nil"/>
              <w:left w:val="nil"/>
              <w:bottom w:val="nil"/>
              <w:right w:val="nil"/>
            </w:tcBorders>
            <w:shd w:val="clear" w:color="auto" w:fill="auto"/>
            <w:vAlign w:val="center"/>
            <w:hideMark/>
          </w:tcPr>
          <w:p w14:paraId="15F8DB9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(0.149)</w:t>
            </w:r>
          </w:p>
        </w:tc>
        <w:tc>
          <w:tcPr>
            <w:tcW w:w="1167" w:type="dxa"/>
            <w:tcBorders>
              <w:top w:val="nil"/>
              <w:left w:val="nil"/>
              <w:bottom w:val="nil"/>
              <w:right w:val="nil"/>
            </w:tcBorders>
            <w:shd w:val="clear" w:color="auto" w:fill="auto"/>
            <w:vAlign w:val="center"/>
            <w:hideMark/>
          </w:tcPr>
          <w:p w14:paraId="070D499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0.204</w:t>
            </w:r>
          </w:p>
        </w:tc>
        <w:tc>
          <w:tcPr>
            <w:tcW w:w="959" w:type="dxa"/>
            <w:tcBorders>
              <w:top w:val="nil"/>
              <w:left w:val="nil"/>
              <w:bottom w:val="nil"/>
              <w:right w:val="nil"/>
            </w:tcBorders>
            <w:shd w:val="clear" w:color="auto" w:fill="auto"/>
            <w:vAlign w:val="center"/>
            <w:hideMark/>
          </w:tcPr>
          <w:p w14:paraId="23CDB506"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(0.051)</w:t>
            </w:r>
          </w:p>
        </w:tc>
      </w:tr>
      <w:tr w:rsidR="00244248" w:rsidRPr="007A3658" w14:paraId="717C6C4B"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7BFEB908"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Cohabiting</w:t>
            </w:r>
          </w:p>
        </w:tc>
        <w:tc>
          <w:tcPr>
            <w:tcW w:w="1276" w:type="dxa"/>
            <w:tcBorders>
              <w:top w:val="nil"/>
              <w:left w:val="nil"/>
              <w:bottom w:val="single" w:sz="8" w:space="0" w:color="ED7D31"/>
              <w:right w:val="nil"/>
            </w:tcBorders>
            <w:shd w:val="clear" w:color="auto" w:fill="auto"/>
            <w:vAlign w:val="center"/>
            <w:hideMark/>
          </w:tcPr>
          <w:p w14:paraId="760D74C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1.063***</w:t>
            </w:r>
          </w:p>
        </w:tc>
        <w:tc>
          <w:tcPr>
            <w:tcW w:w="840" w:type="dxa"/>
            <w:tcBorders>
              <w:top w:val="nil"/>
              <w:left w:val="nil"/>
              <w:bottom w:val="single" w:sz="8" w:space="0" w:color="ED7D31"/>
              <w:right w:val="nil"/>
            </w:tcBorders>
            <w:shd w:val="clear" w:color="auto" w:fill="auto"/>
            <w:vAlign w:val="center"/>
            <w:hideMark/>
          </w:tcPr>
          <w:p w14:paraId="7D4595F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(0.043)</w:t>
            </w:r>
          </w:p>
        </w:tc>
        <w:tc>
          <w:tcPr>
            <w:tcW w:w="1277" w:type="dxa"/>
            <w:tcBorders>
              <w:top w:val="nil"/>
              <w:left w:val="nil"/>
              <w:bottom w:val="single" w:sz="8" w:space="0" w:color="ED7D31"/>
              <w:right w:val="nil"/>
            </w:tcBorders>
            <w:shd w:val="clear" w:color="auto" w:fill="auto"/>
            <w:vAlign w:val="center"/>
            <w:hideMark/>
          </w:tcPr>
          <w:p w14:paraId="7197DE7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0.813***</w:t>
            </w:r>
          </w:p>
        </w:tc>
        <w:tc>
          <w:tcPr>
            <w:tcW w:w="959" w:type="dxa"/>
            <w:tcBorders>
              <w:top w:val="nil"/>
              <w:left w:val="nil"/>
              <w:bottom w:val="single" w:sz="8" w:space="0" w:color="ED7D31"/>
              <w:right w:val="nil"/>
            </w:tcBorders>
            <w:shd w:val="clear" w:color="auto" w:fill="auto"/>
            <w:vAlign w:val="center"/>
            <w:hideMark/>
          </w:tcPr>
          <w:p w14:paraId="6A3DF65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(0.054)</w:t>
            </w:r>
          </w:p>
        </w:tc>
        <w:tc>
          <w:tcPr>
            <w:tcW w:w="1167" w:type="dxa"/>
            <w:tcBorders>
              <w:top w:val="nil"/>
              <w:left w:val="nil"/>
              <w:bottom w:val="single" w:sz="8" w:space="0" w:color="ED7D31"/>
              <w:right w:val="nil"/>
            </w:tcBorders>
            <w:shd w:val="clear" w:color="auto" w:fill="auto"/>
            <w:vAlign w:val="center"/>
            <w:hideMark/>
          </w:tcPr>
          <w:p w14:paraId="662108C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1.841***</w:t>
            </w:r>
          </w:p>
        </w:tc>
        <w:tc>
          <w:tcPr>
            <w:tcW w:w="959" w:type="dxa"/>
            <w:tcBorders>
              <w:top w:val="nil"/>
              <w:left w:val="nil"/>
              <w:bottom w:val="single" w:sz="8" w:space="0" w:color="ED7D31"/>
              <w:right w:val="nil"/>
            </w:tcBorders>
            <w:shd w:val="clear" w:color="auto" w:fill="auto"/>
            <w:vAlign w:val="center"/>
            <w:hideMark/>
          </w:tcPr>
          <w:p w14:paraId="1C59AC1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(0.143)</w:t>
            </w:r>
          </w:p>
        </w:tc>
        <w:tc>
          <w:tcPr>
            <w:tcW w:w="1167" w:type="dxa"/>
            <w:tcBorders>
              <w:top w:val="nil"/>
              <w:left w:val="nil"/>
              <w:bottom w:val="single" w:sz="8" w:space="0" w:color="ED7D31"/>
              <w:right w:val="nil"/>
            </w:tcBorders>
            <w:shd w:val="clear" w:color="auto" w:fill="auto"/>
            <w:vAlign w:val="center"/>
            <w:hideMark/>
          </w:tcPr>
          <w:p w14:paraId="372B5E8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0.550***</w:t>
            </w:r>
          </w:p>
        </w:tc>
        <w:tc>
          <w:tcPr>
            <w:tcW w:w="959" w:type="dxa"/>
            <w:tcBorders>
              <w:top w:val="nil"/>
              <w:left w:val="nil"/>
              <w:bottom w:val="single" w:sz="8" w:space="0" w:color="ED7D31"/>
              <w:right w:val="nil"/>
            </w:tcBorders>
            <w:shd w:val="clear" w:color="auto" w:fill="auto"/>
            <w:vAlign w:val="center"/>
            <w:hideMark/>
          </w:tcPr>
          <w:p w14:paraId="15D6EE3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(0.043)</w:t>
            </w:r>
          </w:p>
        </w:tc>
      </w:tr>
      <w:tr w:rsidR="00244248" w:rsidRPr="007A3658" w14:paraId="6B2327D5" w14:textId="77777777" w:rsidTr="00335B25">
        <w:trPr>
          <w:trHeight w:val="20"/>
        </w:trPr>
        <w:tc>
          <w:tcPr>
            <w:tcW w:w="3837" w:type="dxa"/>
            <w:tcBorders>
              <w:top w:val="nil"/>
              <w:left w:val="nil"/>
              <w:bottom w:val="nil"/>
              <w:right w:val="nil"/>
            </w:tcBorders>
            <w:shd w:val="clear" w:color="auto" w:fill="auto"/>
            <w:vAlign w:val="center"/>
            <w:hideMark/>
          </w:tcPr>
          <w:p w14:paraId="4D5376AD"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Employment </w:t>
            </w:r>
            <w:r w:rsidRPr="007A3658">
              <w:rPr>
                <w:rFonts w:ascii="Calibri Light" w:eastAsia="Times New Roman" w:hAnsi="Calibri Light" w:cs="Calibri Light"/>
                <w:color w:val="000000"/>
                <w:sz w:val="20"/>
                <w:szCs w:val="20"/>
                <w:lang w:eastAsia="en-AU"/>
              </w:rPr>
              <w:t>(ref: Permanent full-time)</w:t>
            </w:r>
          </w:p>
        </w:tc>
        <w:tc>
          <w:tcPr>
            <w:tcW w:w="1276" w:type="dxa"/>
            <w:tcBorders>
              <w:top w:val="nil"/>
              <w:left w:val="nil"/>
              <w:bottom w:val="nil"/>
              <w:right w:val="nil"/>
            </w:tcBorders>
            <w:shd w:val="clear" w:color="auto" w:fill="auto"/>
            <w:vAlign w:val="center"/>
            <w:hideMark/>
          </w:tcPr>
          <w:p w14:paraId="15FCA763"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18AE40F5"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6FFEAF1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18913A57"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1677DBAC"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F331494"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167" w:type="dxa"/>
            <w:tcBorders>
              <w:top w:val="nil"/>
              <w:left w:val="nil"/>
              <w:bottom w:val="nil"/>
              <w:right w:val="nil"/>
            </w:tcBorders>
            <w:shd w:val="clear" w:color="auto" w:fill="auto"/>
            <w:vAlign w:val="center"/>
            <w:hideMark/>
          </w:tcPr>
          <w:p w14:paraId="35A922F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34B05113"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0A601908" w14:textId="77777777" w:rsidTr="00335B25">
        <w:trPr>
          <w:trHeight w:val="20"/>
        </w:trPr>
        <w:tc>
          <w:tcPr>
            <w:tcW w:w="3837" w:type="dxa"/>
            <w:tcBorders>
              <w:top w:val="nil"/>
              <w:left w:val="nil"/>
              <w:bottom w:val="nil"/>
              <w:right w:val="nil"/>
            </w:tcBorders>
            <w:shd w:val="clear" w:color="auto" w:fill="auto"/>
            <w:vAlign w:val="center"/>
            <w:hideMark/>
          </w:tcPr>
          <w:p w14:paraId="3EBBFFB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Permanent part-time</w:t>
            </w:r>
          </w:p>
        </w:tc>
        <w:tc>
          <w:tcPr>
            <w:tcW w:w="1276" w:type="dxa"/>
            <w:tcBorders>
              <w:top w:val="nil"/>
              <w:left w:val="nil"/>
              <w:bottom w:val="nil"/>
              <w:right w:val="nil"/>
            </w:tcBorders>
            <w:shd w:val="clear" w:color="auto" w:fill="auto"/>
            <w:vAlign w:val="center"/>
            <w:hideMark/>
          </w:tcPr>
          <w:p w14:paraId="4D4E6B6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-0.098**</w:t>
            </w:r>
          </w:p>
        </w:tc>
        <w:tc>
          <w:tcPr>
            <w:tcW w:w="840" w:type="dxa"/>
            <w:tcBorders>
              <w:top w:val="nil"/>
              <w:left w:val="nil"/>
              <w:bottom w:val="nil"/>
              <w:right w:val="nil"/>
            </w:tcBorders>
            <w:shd w:val="clear" w:color="auto" w:fill="auto"/>
            <w:vAlign w:val="center"/>
            <w:hideMark/>
          </w:tcPr>
          <w:p w14:paraId="547ADFF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(0.040)</w:t>
            </w:r>
          </w:p>
        </w:tc>
        <w:tc>
          <w:tcPr>
            <w:tcW w:w="1277" w:type="dxa"/>
            <w:tcBorders>
              <w:top w:val="nil"/>
              <w:left w:val="nil"/>
              <w:bottom w:val="nil"/>
              <w:right w:val="nil"/>
            </w:tcBorders>
            <w:shd w:val="clear" w:color="auto" w:fill="auto"/>
            <w:vAlign w:val="center"/>
            <w:hideMark/>
          </w:tcPr>
          <w:p w14:paraId="08EE5A7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-0.084</w:t>
            </w:r>
          </w:p>
        </w:tc>
        <w:tc>
          <w:tcPr>
            <w:tcW w:w="959" w:type="dxa"/>
            <w:tcBorders>
              <w:top w:val="nil"/>
              <w:left w:val="nil"/>
              <w:bottom w:val="nil"/>
              <w:right w:val="nil"/>
            </w:tcBorders>
            <w:shd w:val="clear" w:color="auto" w:fill="auto"/>
            <w:vAlign w:val="center"/>
            <w:hideMark/>
          </w:tcPr>
          <w:p w14:paraId="3B10BA3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(0.063)</w:t>
            </w:r>
          </w:p>
        </w:tc>
        <w:tc>
          <w:tcPr>
            <w:tcW w:w="1167" w:type="dxa"/>
            <w:tcBorders>
              <w:top w:val="nil"/>
              <w:left w:val="nil"/>
              <w:bottom w:val="nil"/>
              <w:right w:val="nil"/>
            </w:tcBorders>
            <w:shd w:val="clear" w:color="auto" w:fill="auto"/>
            <w:vAlign w:val="center"/>
            <w:hideMark/>
          </w:tcPr>
          <w:p w14:paraId="0BC4413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0.110</w:t>
            </w:r>
          </w:p>
        </w:tc>
        <w:tc>
          <w:tcPr>
            <w:tcW w:w="959" w:type="dxa"/>
            <w:tcBorders>
              <w:top w:val="nil"/>
              <w:left w:val="nil"/>
              <w:bottom w:val="nil"/>
              <w:right w:val="nil"/>
            </w:tcBorders>
            <w:shd w:val="clear" w:color="auto" w:fill="auto"/>
            <w:vAlign w:val="center"/>
            <w:hideMark/>
          </w:tcPr>
          <w:p w14:paraId="0306E38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(0.117)</w:t>
            </w:r>
          </w:p>
        </w:tc>
        <w:tc>
          <w:tcPr>
            <w:tcW w:w="1167" w:type="dxa"/>
            <w:tcBorders>
              <w:top w:val="nil"/>
              <w:left w:val="nil"/>
              <w:bottom w:val="nil"/>
              <w:right w:val="nil"/>
            </w:tcBorders>
            <w:shd w:val="clear" w:color="auto" w:fill="auto"/>
            <w:vAlign w:val="center"/>
            <w:hideMark/>
          </w:tcPr>
          <w:p w14:paraId="3A527D6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0.168***</w:t>
            </w:r>
          </w:p>
        </w:tc>
        <w:tc>
          <w:tcPr>
            <w:tcW w:w="959" w:type="dxa"/>
            <w:tcBorders>
              <w:top w:val="nil"/>
              <w:left w:val="nil"/>
              <w:bottom w:val="nil"/>
              <w:right w:val="nil"/>
            </w:tcBorders>
            <w:shd w:val="clear" w:color="auto" w:fill="auto"/>
            <w:vAlign w:val="center"/>
            <w:hideMark/>
          </w:tcPr>
          <w:p w14:paraId="09A141A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(0.040)</w:t>
            </w:r>
          </w:p>
        </w:tc>
      </w:tr>
      <w:tr w:rsidR="00244248" w:rsidRPr="007A3658" w14:paraId="508FEDEC" w14:textId="77777777" w:rsidTr="00335B25">
        <w:trPr>
          <w:trHeight w:val="20"/>
        </w:trPr>
        <w:tc>
          <w:tcPr>
            <w:tcW w:w="3837" w:type="dxa"/>
            <w:tcBorders>
              <w:top w:val="nil"/>
              <w:left w:val="nil"/>
              <w:bottom w:val="nil"/>
              <w:right w:val="nil"/>
            </w:tcBorders>
            <w:shd w:val="clear" w:color="auto" w:fill="auto"/>
            <w:vAlign w:val="center"/>
            <w:hideMark/>
          </w:tcPr>
          <w:p w14:paraId="23AD035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Casual full-time</w:t>
            </w:r>
          </w:p>
        </w:tc>
        <w:tc>
          <w:tcPr>
            <w:tcW w:w="1276" w:type="dxa"/>
            <w:tcBorders>
              <w:top w:val="nil"/>
              <w:left w:val="nil"/>
              <w:bottom w:val="nil"/>
              <w:right w:val="nil"/>
            </w:tcBorders>
            <w:shd w:val="clear" w:color="auto" w:fill="auto"/>
            <w:vAlign w:val="center"/>
            <w:hideMark/>
          </w:tcPr>
          <w:p w14:paraId="3F65629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0.005</w:t>
            </w:r>
          </w:p>
        </w:tc>
        <w:tc>
          <w:tcPr>
            <w:tcW w:w="840" w:type="dxa"/>
            <w:tcBorders>
              <w:top w:val="nil"/>
              <w:left w:val="nil"/>
              <w:bottom w:val="nil"/>
              <w:right w:val="nil"/>
            </w:tcBorders>
            <w:shd w:val="clear" w:color="auto" w:fill="auto"/>
            <w:vAlign w:val="center"/>
            <w:hideMark/>
          </w:tcPr>
          <w:p w14:paraId="2F831F3B"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(0.054)</w:t>
            </w:r>
          </w:p>
        </w:tc>
        <w:tc>
          <w:tcPr>
            <w:tcW w:w="1277" w:type="dxa"/>
            <w:tcBorders>
              <w:top w:val="nil"/>
              <w:left w:val="nil"/>
              <w:bottom w:val="nil"/>
              <w:right w:val="nil"/>
            </w:tcBorders>
            <w:shd w:val="clear" w:color="auto" w:fill="auto"/>
            <w:vAlign w:val="center"/>
            <w:hideMark/>
          </w:tcPr>
          <w:p w14:paraId="5451EA0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0.043</w:t>
            </w:r>
          </w:p>
        </w:tc>
        <w:tc>
          <w:tcPr>
            <w:tcW w:w="959" w:type="dxa"/>
            <w:tcBorders>
              <w:top w:val="nil"/>
              <w:left w:val="nil"/>
              <w:bottom w:val="nil"/>
              <w:right w:val="nil"/>
            </w:tcBorders>
            <w:shd w:val="clear" w:color="auto" w:fill="auto"/>
            <w:vAlign w:val="center"/>
            <w:hideMark/>
          </w:tcPr>
          <w:p w14:paraId="658B24D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(0.070)</w:t>
            </w:r>
          </w:p>
        </w:tc>
        <w:tc>
          <w:tcPr>
            <w:tcW w:w="1167" w:type="dxa"/>
            <w:tcBorders>
              <w:top w:val="nil"/>
              <w:left w:val="nil"/>
              <w:bottom w:val="nil"/>
              <w:right w:val="nil"/>
            </w:tcBorders>
            <w:shd w:val="clear" w:color="auto" w:fill="auto"/>
            <w:vAlign w:val="center"/>
            <w:hideMark/>
          </w:tcPr>
          <w:p w14:paraId="26105AD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-0.197</w:t>
            </w:r>
          </w:p>
        </w:tc>
        <w:tc>
          <w:tcPr>
            <w:tcW w:w="959" w:type="dxa"/>
            <w:tcBorders>
              <w:top w:val="nil"/>
              <w:left w:val="nil"/>
              <w:bottom w:val="nil"/>
              <w:right w:val="nil"/>
            </w:tcBorders>
            <w:shd w:val="clear" w:color="auto" w:fill="auto"/>
            <w:vAlign w:val="center"/>
            <w:hideMark/>
          </w:tcPr>
          <w:p w14:paraId="5C78C53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(0.228)</w:t>
            </w:r>
          </w:p>
        </w:tc>
        <w:tc>
          <w:tcPr>
            <w:tcW w:w="1167" w:type="dxa"/>
            <w:tcBorders>
              <w:top w:val="nil"/>
              <w:left w:val="nil"/>
              <w:bottom w:val="nil"/>
              <w:right w:val="nil"/>
            </w:tcBorders>
            <w:shd w:val="clear" w:color="auto" w:fill="auto"/>
            <w:vAlign w:val="center"/>
            <w:hideMark/>
          </w:tcPr>
          <w:p w14:paraId="2031A44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0.168</w:t>
            </w:r>
          </w:p>
        </w:tc>
        <w:tc>
          <w:tcPr>
            <w:tcW w:w="959" w:type="dxa"/>
            <w:tcBorders>
              <w:top w:val="nil"/>
              <w:left w:val="nil"/>
              <w:bottom w:val="nil"/>
              <w:right w:val="nil"/>
            </w:tcBorders>
            <w:shd w:val="clear" w:color="auto" w:fill="auto"/>
            <w:vAlign w:val="center"/>
            <w:hideMark/>
          </w:tcPr>
          <w:p w14:paraId="2B78B3A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(0.054)</w:t>
            </w:r>
          </w:p>
        </w:tc>
      </w:tr>
      <w:tr w:rsidR="00244248" w:rsidRPr="007A3658" w14:paraId="40F845DB" w14:textId="77777777" w:rsidTr="00335B25">
        <w:trPr>
          <w:trHeight w:val="20"/>
        </w:trPr>
        <w:tc>
          <w:tcPr>
            <w:tcW w:w="3837" w:type="dxa"/>
            <w:tcBorders>
              <w:top w:val="nil"/>
              <w:left w:val="nil"/>
              <w:bottom w:val="nil"/>
              <w:right w:val="nil"/>
            </w:tcBorders>
            <w:shd w:val="clear" w:color="auto" w:fill="auto"/>
            <w:vAlign w:val="center"/>
            <w:hideMark/>
          </w:tcPr>
          <w:p w14:paraId="3CA746A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Casual part-time</w:t>
            </w:r>
          </w:p>
        </w:tc>
        <w:tc>
          <w:tcPr>
            <w:tcW w:w="1276" w:type="dxa"/>
            <w:tcBorders>
              <w:top w:val="nil"/>
              <w:left w:val="nil"/>
              <w:bottom w:val="nil"/>
              <w:right w:val="nil"/>
            </w:tcBorders>
            <w:shd w:val="clear" w:color="auto" w:fill="auto"/>
            <w:vAlign w:val="center"/>
            <w:hideMark/>
          </w:tcPr>
          <w:p w14:paraId="784F7A2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0.027</w:t>
            </w:r>
          </w:p>
        </w:tc>
        <w:tc>
          <w:tcPr>
            <w:tcW w:w="840" w:type="dxa"/>
            <w:tcBorders>
              <w:top w:val="nil"/>
              <w:left w:val="nil"/>
              <w:bottom w:val="nil"/>
              <w:right w:val="nil"/>
            </w:tcBorders>
            <w:shd w:val="clear" w:color="auto" w:fill="auto"/>
            <w:vAlign w:val="center"/>
            <w:hideMark/>
          </w:tcPr>
          <w:p w14:paraId="1C0DBDB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(0.039)</w:t>
            </w:r>
          </w:p>
        </w:tc>
        <w:tc>
          <w:tcPr>
            <w:tcW w:w="1277" w:type="dxa"/>
            <w:tcBorders>
              <w:top w:val="nil"/>
              <w:left w:val="nil"/>
              <w:bottom w:val="nil"/>
              <w:right w:val="nil"/>
            </w:tcBorders>
            <w:shd w:val="clear" w:color="auto" w:fill="auto"/>
            <w:vAlign w:val="center"/>
            <w:hideMark/>
          </w:tcPr>
          <w:p w14:paraId="56344BC8"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-0.008</w:t>
            </w:r>
          </w:p>
        </w:tc>
        <w:tc>
          <w:tcPr>
            <w:tcW w:w="959" w:type="dxa"/>
            <w:tcBorders>
              <w:top w:val="nil"/>
              <w:left w:val="nil"/>
              <w:bottom w:val="nil"/>
              <w:right w:val="nil"/>
            </w:tcBorders>
            <w:shd w:val="clear" w:color="auto" w:fill="auto"/>
            <w:vAlign w:val="center"/>
            <w:hideMark/>
          </w:tcPr>
          <w:p w14:paraId="2F4C0EE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(0.052)</w:t>
            </w:r>
          </w:p>
        </w:tc>
        <w:tc>
          <w:tcPr>
            <w:tcW w:w="1167" w:type="dxa"/>
            <w:tcBorders>
              <w:top w:val="nil"/>
              <w:left w:val="nil"/>
              <w:bottom w:val="nil"/>
              <w:right w:val="nil"/>
            </w:tcBorders>
            <w:shd w:val="clear" w:color="auto" w:fill="auto"/>
            <w:vAlign w:val="center"/>
            <w:hideMark/>
          </w:tcPr>
          <w:p w14:paraId="13E36B5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0.375***</w:t>
            </w:r>
          </w:p>
        </w:tc>
        <w:tc>
          <w:tcPr>
            <w:tcW w:w="959" w:type="dxa"/>
            <w:tcBorders>
              <w:top w:val="nil"/>
              <w:left w:val="nil"/>
              <w:bottom w:val="nil"/>
              <w:right w:val="nil"/>
            </w:tcBorders>
            <w:shd w:val="clear" w:color="auto" w:fill="auto"/>
            <w:vAlign w:val="center"/>
            <w:hideMark/>
          </w:tcPr>
          <w:p w14:paraId="1699926B"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(0.136)</w:t>
            </w:r>
          </w:p>
        </w:tc>
        <w:tc>
          <w:tcPr>
            <w:tcW w:w="1167" w:type="dxa"/>
            <w:tcBorders>
              <w:top w:val="nil"/>
              <w:left w:val="nil"/>
              <w:bottom w:val="nil"/>
              <w:right w:val="nil"/>
            </w:tcBorders>
            <w:shd w:val="clear" w:color="auto" w:fill="auto"/>
            <w:vAlign w:val="center"/>
            <w:hideMark/>
          </w:tcPr>
          <w:p w14:paraId="1C92D3F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0.296***</w:t>
            </w:r>
          </w:p>
        </w:tc>
        <w:tc>
          <w:tcPr>
            <w:tcW w:w="959" w:type="dxa"/>
            <w:tcBorders>
              <w:top w:val="nil"/>
              <w:left w:val="nil"/>
              <w:bottom w:val="nil"/>
              <w:right w:val="nil"/>
            </w:tcBorders>
            <w:shd w:val="clear" w:color="auto" w:fill="auto"/>
            <w:vAlign w:val="center"/>
            <w:hideMark/>
          </w:tcPr>
          <w:p w14:paraId="47DB3E7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(0.039)</w:t>
            </w:r>
          </w:p>
        </w:tc>
      </w:tr>
      <w:tr w:rsidR="00244248" w:rsidRPr="007A3658" w14:paraId="12D54981" w14:textId="77777777" w:rsidTr="00335B25">
        <w:trPr>
          <w:trHeight w:val="20"/>
        </w:trPr>
        <w:tc>
          <w:tcPr>
            <w:tcW w:w="3837" w:type="dxa"/>
            <w:tcBorders>
              <w:top w:val="nil"/>
              <w:left w:val="nil"/>
              <w:bottom w:val="nil"/>
              <w:right w:val="nil"/>
            </w:tcBorders>
            <w:shd w:val="clear" w:color="auto" w:fill="auto"/>
            <w:vAlign w:val="center"/>
            <w:hideMark/>
          </w:tcPr>
          <w:p w14:paraId="0F9CA83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Self-employed</w:t>
            </w:r>
          </w:p>
        </w:tc>
        <w:tc>
          <w:tcPr>
            <w:tcW w:w="1276" w:type="dxa"/>
            <w:tcBorders>
              <w:top w:val="nil"/>
              <w:left w:val="nil"/>
              <w:bottom w:val="nil"/>
              <w:right w:val="nil"/>
            </w:tcBorders>
            <w:shd w:val="clear" w:color="auto" w:fill="auto"/>
            <w:vAlign w:val="center"/>
            <w:hideMark/>
          </w:tcPr>
          <w:p w14:paraId="07EF298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-0.020</w:t>
            </w:r>
          </w:p>
        </w:tc>
        <w:tc>
          <w:tcPr>
            <w:tcW w:w="840" w:type="dxa"/>
            <w:tcBorders>
              <w:top w:val="nil"/>
              <w:left w:val="nil"/>
              <w:bottom w:val="nil"/>
              <w:right w:val="nil"/>
            </w:tcBorders>
            <w:shd w:val="clear" w:color="auto" w:fill="auto"/>
            <w:vAlign w:val="center"/>
            <w:hideMark/>
          </w:tcPr>
          <w:p w14:paraId="7D18825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(0.070)</w:t>
            </w:r>
          </w:p>
        </w:tc>
        <w:tc>
          <w:tcPr>
            <w:tcW w:w="1277" w:type="dxa"/>
            <w:tcBorders>
              <w:top w:val="nil"/>
              <w:left w:val="nil"/>
              <w:bottom w:val="nil"/>
              <w:right w:val="nil"/>
            </w:tcBorders>
            <w:shd w:val="clear" w:color="auto" w:fill="auto"/>
            <w:vAlign w:val="center"/>
            <w:hideMark/>
          </w:tcPr>
          <w:p w14:paraId="304E530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-0.144</w:t>
            </w:r>
          </w:p>
        </w:tc>
        <w:tc>
          <w:tcPr>
            <w:tcW w:w="959" w:type="dxa"/>
            <w:tcBorders>
              <w:top w:val="nil"/>
              <w:left w:val="nil"/>
              <w:bottom w:val="nil"/>
              <w:right w:val="nil"/>
            </w:tcBorders>
            <w:shd w:val="clear" w:color="auto" w:fill="auto"/>
            <w:vAlign w:val="center"/>
            <w:hideMark/>
          </w:tcPr>
          <w:p w14:paraId="47D4D9C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(0.120)</w:t>
            </w:r>
          </w:p>
        </w:tc>
        <w:tc>
          <w:tcPr>
            <w:tcW w:w="1167" w:type="dxa"/>
            <w:tcBorders>
              <w:top w:val="nil"/>
              <w:left w:val="nil"/>
              <w:bottom w:val="nil"/>
              <w:right w:val="nil"/>
            </w:tcBorders>
            <w:shd w:val="clear" w:color="auto" w:fill="auto"/>
            <w:vAlign w:val="center"/>
            <w:hideMark/>
          </w:tcPr>
          <w:p w14:paraId="4BB3D97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0.219</w:t>
            </w:r>
          </w:p>
        </w:tc>
        <w:tc>
          <w:tcPr>
            <w:tcW w:w="959" w:type="dxa"/>
            <w:tcBorders>
              <w:top w:val="nil"/>
              <w:left w:val="nil"/>
              <w:bottom w:val="nil"/>
              <w:right w:val="nil"/>
            </w:tcBorders>
            <w:shd w:val="clear" w:color="auto" w:fill="auto"/>
            <w:vAlign w:val="center"/>
            <w:hideMark/>
          </w:tcPr>
          <w:p w14:paraId="4DAACE8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(0.214)</w:t>
            </w:r>
          </w:p>
        </w:tc>
        <w:tc>
          <w:tcPr>
            <w:tcW w:w="1167" w:type="dxa"/>
            <w:tcBorders>
              <w:top w:val="nil"/>
              <w:left w:val="nil"/>
              <w:bottom w:val="nil"/>
              <w:right w:val="nil"/>
            </w:tcBorders>
            <w:shd w:val="clear" w:color="auto" w:fill="auto"/>
            <w:vAlign w:val="center"/>
            <w:hideMark/>
          </w:tcPr>
          <w:p w14:paraId="2CC2B7A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0.145</w:t>
            </w:r>
          </w:p>
        </w:tc>
        <w:tc>
          <w:tcPr>
            <w:tcW w:w="959" w:type="dxa"/>
            <w:tcBorders>
              <w:top w:val="nil"/>
              <w:left w:val="nil"/>
              <w:bottom w:val="nil"/>
              <w:right w:val="nil"/>
            </w:tcBorders>
            <w:shd w:val="clear" w:color="auto" w:fill="auto"/>
            <w:vAlign w:val="center"/>
            <w:hideMark/>
          </w:tcPr>
          <w:p w14:paraId="450CB05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(0.070)</w:t>
            </w:r>
          </w:p>
        </w:tc>
      </w:tr>
      <w:tr w:rsidR="00244248" w:rsidRPr="007A3658" w14:paraId="2A8DE672"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1B719C2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Not working</w:t>
            </w:r>
          </w:p>
        </w:tc>
        <w:tc>
          <w:tcPr>
            <w:tcW w:w="1276" w:type="dxa"/>
            <w:tcBorders>
              <w:top w:val="nil"/>
              <w:left w:val="nil"/>
              <w:bottom w:val="single" w:sz="8" w:space="0" w:color="ED7D31"/>
              <w:right w:val="nil"/>
            </w:tcBorders>
            <w:shd w:val="clear" w:color="auto" w:fill="auto"/>
            <w:vAlign w:val="center"/>
            <w:hideMark/>
          </w:tcPr>
          <w:p w14:paraId="70813AA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0.099**</w:t>
            </w:r>
          </w:p>
        </w:tc>
        <w:tc>
          <w:tcPr>
            <w:tcW w:w="840" w:type="dxa"/>
            <w:tcBorders>
              <w:top w:val="nil"/>
              <w:left w:val="nil"/>
              <w:bottom w:val="single" w:sz="8" w:space="0" w:color="ED7D31"/>
              <w:right w:val="nil"/>
            </w:tcBorders>
            <w:shd w:val="clear" w:color="auto" w:fill="auto"/>
            <w:vAlign w:val="center"/>
            <w:hideMark/>
          </w:tcPr>
          <w:p w14:paraId="28B4A78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(0.041)</w:t>
            </w:r>
          </w:p>
        </w:tc>
        <w:tc>
          <w:tcPr>
            <w:tcW w:w="1277" w:type="dxa"/>
            <w:tcBorders>
              <w:top w:val="nil"/>
              <w:left w:val="nil"/>
              <w:bottom w:val="single" w:sz="8" w:space="0" w:color="ED7D31"/>
              <w:right w:val="nil"/>
            </w:tcBorders>
            <w:shd w:val="clear" w:color="auto" w:fill="auto"/>
            <w:vAlign w:val="center"/>
            <w:hideMark/>
          </w:tcPr>
          <w:p w14:paraId="358BFE8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-0.109*</w:t>
            </w:r>
          </w:p>
        </w:tc>
        <w:tc>
          <w:tcPr>
            <w:tcW w:w="959" w:type="dxa"/>
            <w:tcBorders>
              <w:top w:val="nil"/>
              <w:left w:val="nil"/>
              <w:bottom w:val="single" w:sz="8" w:space="0" w:color="ED7D31"/>
              <w:right w:val="nil"/>
            </w:tcBorders>
            <w:shd w:val="clear" w:color="auto" w:fill="auto"/>
            <w:vAlign w:val="center"/>
            <w:hideMark/>
          </w:tcPr>
          <w:p w14:paraId="56B026A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(0.061)</w:t>
            </w:r>
          </w:p>
        </w:tc>
        <w:tc>
          <w:tcPr>
            <w:tcW w:w="1167" w:type="dxa"/>
            <w:tcBorders>
              <w:top w:val="nil"/>
              <w:left w:val="nil"/>
              <w:bottom w:val="single" w:sz="8" w:space="0" w:color="ED7D31"/>
              <w:right w:val="nil"/>
            </w:tcBorders>
            <w:shd w:val="clear" w:color="auto" w:fill="auto"/>
            <w:vAlign w:val="center"/>
            <w:hideMark/>
          </w:tcPr>
          <w:p w14:paraId="3EC7DBE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0.475***</w:t>
            </w:r>
          </w:p>
        </w:tc>
        <w:tc>
          <w:tcPr>
            <w:tcW w:w="959" w:type="dxa"/>
            <w:tcBorders>
              <w:top w:val="nil"/>
              <w:left w:val="nil"/>
              <w:bottom w:val="single" w:sz="8" w:space="0" w:color="ED7D31"/>
              <w:right w:val="nil"/>
            </w:tcBorders>
            <w:shd w:val="clear" w:color="auto" w:fill="auto"/>
            <w:vAlign w:val="center"/>
            <w:hideMark/>
          </w:tcPr>
          <w:p w14:paraId="144C748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(0.111)</w:t>
            </w:r>
          </w:p>
        </w:tc>
        <w:tc>
          <w:tcPr>
            <w:tcW w:w="1167" w:type="dxa"/>
            <w:tcBorders>
              <w:top w:val="nil"/>
              <w:left w:val="nil"/>
              <w:bottom w:val="single" w:sz="8" w:space="0" w:color="ED7D31"/>
              <w:right w:val="nil"/>
            </w:tcBorders>
            <w:shd w:val="clear" w:color="auto" w:fill="auto"/>
            <w:vAlign w:val="center"/>
            <w:hideMark/>
          </w:tcPr>
          <w:p w14:paraId="541F34A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0.484***</w:t>
            </w:r>
          </w:p>
        </w:tc>
        <w:tc>
          <w:tcPr>
            <w:tcW w:w="959" w:type="dxa"/>
            <w:tcBorders>
              <w:top w:val="nil"/>
              <w:left w:val="nil"/>
              <w:bottom w:val="single" w:sz="8" w:space="0" w:color="ED7D31"/>
              <w:right w:val="nil"/>
            </w:tcBorders>
            <w:shd w:val="clear" w:color="auto" w:fill="auto"/>
            <w:vAlign w:val="center"/>
            <w:hideMark/>
          </w:tcPr>
          <w:p w14:paraId="4C350F0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(0.041)</w:t>
            </w:r>
          </w:p>
        </w:tc>
      </w:tr>
      <w:tr w:rsidR="00244248" w:rsidRPr="007A3658" w14:paraId="06EB7665"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20CE5CA9"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Household income (log)</w:t>
            </w:r>
          </w:p>
        </w:tc>
        <w:tc>
          <w:tcPr>
            <w:tcW w:w="1276" w:type="dxa"/>
            <w:tcBorders>
              <w:top w:val="nil"/>
              <w:left w:val="nil"/>
              <w:bottom w:val="single" w:sz="8" w:space="0" w:color="ED7D31"/>
              <w:right w:val="nil"/>
            </w:tcBorders>
            <w:shd w:val="clear" w:color="auto" w:fill="auto"/>
            <w:vAlign w:val="center"/>
            <w:hideMark/>
          </w:tcPr>
          <w:p w14:paraId="27C5908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0.060***</w:t>
            </w:r>
          </w:p>
        </w:tc>
        <w:tc>
          <w:tcPr>
            <w:tcW w:w="840" w:type="dxa"/>
            <w:tcBorders>
              <w:top w:val="nil"/>
              <w:left w:val="nil"/>
              <w:bottom w:val="single" w:sz="8" w:space="0" w:color="ED7D31"/>
              <w:right w:val="nil"/>
            </w:tcBorders>
            <w:shd w:val="clear" w:color="auto" w:fill="auto"/>
            <w:vAlign w:val="center"/>
            <w:hideMark/>
          </w:tcPr>
          <w:p w14:paraId="6146F37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(0.023)</w:t>
            </w:r>
          </w:p>
        </w:tc>
        <w:tc>
          <w:tcPr>
            <w:tcW w:w="1277" w:type="dxa"/>
            <w:tcBorders>
              <w:top w:val="nil"/>
              <w:left w:val="nil"/>
              <w:bottom w:val="single" w:sz="8" w:space="0" w:color="ED7D31"/>
              <w:right w:val="nil"/>
            </w:tcBorders>
            <w:shd w:val="clear" w:color="auto" w:fill="auto"/>
            <w:vAlign w:val="center"/>
            <w:hideMark/>
          </w:tcPr>
          <w:p w14:paraId="79F72DA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0.085***</w:t>
            </w:r>
          </w:p>
        </w:tc>
        <w:tc>
          <w:tcPr>
            <w:tcW w:w="959" w:type="dxa"/>
            <w:tcBorders>
              <w:top w:val="nil"/>
              <w:left w:val="nil"/>
              <w:bottom w:val="single" w:sz="8" w:space="0" w:color="ED7D31"/>
              <w:right w:val="nil"/>
            </w:tcBorders>
            <w:shd w:val="clear" w:color="auto" w:fill="auto"/>
            <w:vAlign w:val="center"/>
            <w:hideMark/>
          </w:tcPr>
          <w:p w14:paraId="1A9FC24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(0.027)</w:t>
            </w:r>
          </w:p>
        </w:tc>
        <w:tc>
          <w:tcPr>
            <w:tcW w:w="1167" w:type="dxa"/>
            <w:tcBorders>
              <w:top w:val="nil"/>
              <w:left w:val="nil"/>
              <w:bottom w:val="single" w:sz="8" w:space="0" w:color="ED7D31"/>
              <w:right w:val="nil"/>
            </w:tcBorders>
            <w:shd w:val="clear" w:color="auto" w:fill="auto"/>
            <w:vAlign w:val="center"/>
            <w:hideMark/>
          </w:tcPr>
          <w:p w14:paraId="7DEBF5E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0.149*</w:t>
            </w:r>
          </w:p>
        </w:tc>
        <w:tc>
          <w:tcPr>
            <w:tcW w:w="959" w:type="dxa"/>
            <w:tcBorders>
              <w:top w:val="nil"/>
              <w:left w:val="nil"/>
              <w:bottom w:val="single" w:sz="8" w:space="0" w:color="ED7D31"/>
              <w:right w:val="nil"/>
            </w:tcBorders>
            <w:shd w:val="clear" w:color="auto" w:fill="auto"/>
            <w:vAlign w:val="center"/>
            <w:hideMark/>
          </w:tcPr>
          <w:p w14:paraId="6044906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(0.083)</w:t>
            </w:r>
          </w:p>
        </w:tc>
        <w:tc>
          <w:tcPr>
            <w:tcW w:w="1167" w:type="dxa"/>
            <w:tcBorders>
              <w:top w:val="nil"/>
              <w:left w:val="nil"/>
              <w:bottom w:val="single" w:sz="8" w:space="0" w:color="ED7D31"/>
              <w:right w:val="nil"/>
            </w:tcBorders>
            <w:shd w:val="clear" w:color="auto" w:fill="auto"/>
            <w:vAlign w:val="center"/>
            <w:hideMark/>
          </w:tcPr>
          <w:p w14:paraId="4164AD5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0.046</w:t>
            </w:r>
          </w:p>
        </w:tc>
        <w:tc>
          <w:tcPr>
            <w:tcW w:w="959" w:type="dxa"/>
            <w:tcBorders>
              <w:top w:val="nil"/>
              <w:left w:val="nil"/>
              <w:bottom w:val="single" w:sz="8" w:space="0" w:color="ED7D31"/>
              <w:right w:val="nil"/>
            </w:tcBorders>
            <w:shd w:val="clear" w:color="auto" w:fill="auto"/>
            <w:vAlign w:val="center"/>
            <w:hideMark/>
          </w:tcPr>
          <w:p w14:paraId="4E5AA7FD"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(0.023)</w:t>
            </w:r>
          </w:p>
        </w:tc>
      </w:tr>
      <w:tr w:rsidR="00244248" w:rsidRPr="007A3658" w14:paraId="162FB11F"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1229C03C"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Remote area</w:t>
            </w:r>
          </w:p>
        </w:tc>
        <w:tc>
          <w:tcPr>
            <w:tcW w:w="1276" w:type="dxa"/>
            <w:tcBorders>
              <w:top w:val="nil"/>
              <w:left w:val="nil"/>
              <w:bottom w:val="single" w:sz="8" w:space="0" w:color="ED7D31"/>
              <w:right w:val="nil"/>
            </w:tcBorders>
            <w:shd w:val="clear" w:color="auto" w:fill="auto"/>
            <w:vAlign w:val="center"/>
            <w:hideMark/>
          </w:tcPr>
          <w:p w14:paraId="66C07278"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-0.050</w:t>
            </w:r>
          </w:p>
        </w:tc>
        <w:tc>
          <w:tcPr>
            <w:tcW w:w="840" w:type="dxa"/>
            <w:tcBorders>
              <w:top w:val="nil"/>
              <w:left w:val="nil"/>
              <w:bottom w:val="single" w:sz="8" w:space="0" w:color="ED7D31"/>
              <w:right w:val="nil"/>
            </w:tcBorders>
            <w:shd w:val="clear" w:color="auto" w:fill="auto"/>
            <w:vAlign w:val="center"/>
            <w:hideMark/>
          </w:tcPr>
          <w:p w14:paraId="7FF45A0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(0.048)</w:t>
            </w:r>
          </w:p>
        </w:tc>
        <w:tc>
          <w:tcPr>
            <w:tcW w:w="1277" w:type="dxa"/>
            <w:tcBorders>
              <w:top w:val="nil"/>
              <w:left w:val="nil"/>
              <w:bottom w:val="single" w:sz="8" w:space="0" w:color="ED7D31"/>
              <w:right w:val="nil"/>
            </w:tcBorders>
            <w:shd w:val="clear" w:color="auto" w:fill="auto"/>
            <w:vAlign w:val="center"/>
            <w:hideMark/>
          </w:tcPr>
          <w:p w14:paraId="5C2EC91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-0.086</w:t>
            </w:r>
          </w:p>
        </w:tc>
        <w:tc>
          <w:tcPr>
            <w:tcW w:w="959" w:type="dxa"/>
            <w:tcBorders>
              <w:top w:val="nil"/>
              <w:left w:val="nil"/>
              <w:bottom w:val="single" w:sz="8" w:space="0" w:color="ED7D31"/>
              <w:right w:val="nil"/>
            </w:tcBorders>
            <w:shd w:val="clear" w:color="auto" w:fill="auto"/>
            <w:vAlign w:val="center"/>
            <w:hideMark/>
          </w:tcPr>
          <w:p w14:paraId="09E5254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(0.072)</w:t>
            </w:r>
          </w:p>
        </w:tc>
        <w:tc>
          <w:tcPr>
            <w:tcW w:w="1167" w:type="dxa"/>
            <w:tcBorders>
              <w:top w:val="nil"/>
              <w:left w:val="nil"/>
              <w:bottom w:val="single" w:sz="8" w:space="0" w:color="ED7D31"/>
              <w:right w:val="nil"/>
            </w:tcBorders>
            <w:shd w:val="clear" w:color="auto" w:fill="auto"/>
            <w:vAlign w:val="center"/>
            <w:hideMark/>
          </w:tcPr>
          <w:p w14:paraId="36D4489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0.014</w:t>
            </w:r>
          </w:p>
        </w:tc>
        <w:tc>
          <w:tcPr>
            <w:tcW w:w="959" w:type="dxa"/>
            <w:tcBorders>
              <w:top w:val="nil"/>
              <w:left w:val="nil"/>
              <w:bottom w:val="single" w:sz="8" w:space="0" w:color="ED7D31"/>
              <w:right w:val="nil"/>
            </w:tcBorders>
            <w:shd w:val="clear" w:color="auto" w:fill="auto"/>
            <w:vAlign w:val="center"/>
            <w:hideMark/>
          </w:tcPr>
          <w:p w14:paraId="08F2D33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(0.128)</w:t>
            </w:r>
          </w:p>
        </w:tc>
        <w:tc>
          <w:tcPr>
            <w:tcW w:w="1167" w:type="dxa"/>
            <w:tcBorders>
              <w:top w:val="nil"/>
              <w:left w:val="nil"/>
              <w:bottom w:val="single" w:sz="8" w:space="0" w:color="ED7D31"/>
              <w:right w:val="nil"/>
            </w:tcBorders>
            <w:shd w:val="clear" w:color="auto" w:fill="auto"/>
            <w:vAlign w:val="center"/>
            <w:hideMark/>
          </w:tcPr>
          <w:p w14:paraId="669D4AC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-0.285***</w:t>
            </w:r>
          </w:p>
        </w:tc>
        <w:tc>
          <w:tcPr>
            <w:tcW w:w="959" w:type="dxa"/>
            <w:tcBorders>
              <w:top w:val="nil"/>
              <w:left w:val="nil"/>
              <w:bottom w:val="single" w:sz="8" w:space="0" w:color="ED7D31"/>
              <w:right w:val="nil"/>
            </w:tcBorders>
            <w:shd w:val="clear" w:color="auto" w:fill="auto"/>
            <w:vAlign w:val="center"/>
            <w:hideMark/>
          </w:tcPr>
          <w:p w14:paraId="3B49B84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(0.048)</w:t>
            </w:r>
          </w:p>
        </w:tc>
      </w:tr>
      <w:tr w:rsidR="00244248" w:rsidRPr="007A3658" w14:paraId="70B41EAB"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3EAABB9E"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Born in Australia</w:t>
            </w:r>
          </w:p>
        </w:tc>
        <w:tc>
          <w:tcPr>
            <w:tcW w:w="1276" w:type="dxa"/>
            <w:tcBorders>
              <w:top w:val="nil"/>
              <w:left w:val="nil"/>
              <w:bottom w:val="single" w:sz="8" w:space="0" w:color="ED7D31"/>
              <w:right w:val="nil"/>
            </w:tcBorders>
            <w:shd w:val="clear" w:color="auto" w:fill="auto"/>
            <w:vAlign w:val="center"/>
            <w:hideMark/>
          </w:tcPr>
          <w:p w14:paraId="36EC6F9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0.104*</w:t>
            </w:r>
          </w:p>
        </w:tc>
        <w:tc>
          <w:tcPr>
            <w:tcW w:w="840" w:type="dxa"/>
            <w:tcBorders>
              <w:top w:val="nil"/>
              <w:left w:val="nil"/>
              <w:bottom w:val="single" w:sz="8" w:space="0" w:color="ED7D31"/>
              <w:right w:val="nil"/>
            </w:tcBorders>
            <w:shd w:val="clear" w:color="auto" w:fill="auto"/>
            <w:vAlign w:val="center"/>
            <w:hideMark/>
          </w:tcPr>
          <w:p w14:paraId="2780FF5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(0.061)</w:t>
            </w:r>
          </w:p>
        </w:tc>
        <w:tc>
          <w:tcPr>
            <w:tcW w:w="1277" w:type="dxa"/>
            <w:tcBorders>
              <w:top w:val="nil"/>
              <w:left w:val="nil"/>
              <w:bottom w:val="single" w:sz="8" w:space="0" w:color="ED7D31"/>
              <w:right w:val="nil"/>
            </w:tcBorders>
            <w:shd w:val="clear" w:color="auto" w:fill="auto"/>
            <w:vAlign w:val="center"/>
            <w:hideMark/>
          </w:tcPr>
          <w:p w14:paraId="1AD09B8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0.166*</w:t>
            </w:r>
          </w:p>
        </w:tc>
        <w:tc>
          <w:tcPr>
            <w:tcW w:w="959" w:type="dxa"/>
            <w:tcBorders>
              <w:top w:val="nil"/>
              <w:left w:val="nil"/>
              <w:bottom w:val="single" w:sz="8" w:space="0" w:color="ED7D31"/>
              <w:right w:val="nil"/>
            </w:tcBorders>
            <w:shd w:val="clear" w:color="auto" w:fill="auto"/>
            <w:vAlign w:val="center"/>
            <w:hideMark/>
          </w:tcPr>
          <w:p w14:paraId="4FEA50BF"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(0.101)</w:t>
            </w:r>
          </w:p>
        </w:tc>
        <w:tc>
          <w:tcPr>
            <w:tcW w:w="1167" w:type="dxa"/>
            <w:tcBorders>
              <w:top w:val="nil"/>
              <w:left w:val="nil"/>
              <w:bottom w:val="single" w:sz="8" w:space="0" w:color="ED7D31"/>
              <w:right w:val="nil"/>
            </w:tcBorders>
            <w:shd w:val="clear" w:color="auto" w:fill="auto"/>
            <w:vAlign w:val="center"/>
            <w:hideMark/>
          </w:tcPr>
          <w:p w14:paraId="6B2881A8"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0.445***</w:t>
            </w:r>
          </w:p>
        </w:tc>
        <w:tc>
          <w:tcPr>
            <w:tcW w:w="959" w:type="dxa"/>
            <w:tcBorders>
              <w:top w:val="nil"/>
              <w:left w:val="nil"/>
              <w:bottom w:val="single" w:sz="8" w:space="0" w:color="ED7D31"/>
              <w:right w:val="nil"/>
            </w:tcBorders>
            <w:shd w:val="clear" w:color="auto" w:fill="auto"/>
            <w:vAlign w:val="center"/>
            <w:hideMark/>
          </w:tcPr>
          <w:p w14:paraId="0C02F4CF"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(0.147)</w:t>
            </w:r>
          </w:p>
        </w:tc>
        <w:tc>
          <w:tcPr>
            <w:tcW w:w="1167" w:type="dxa"/>
            <w:tcBorders>
              <w:top w:val="nil"/>
              <w:left w:val="nil"/>
              <w:bottom w:val="single" w:sz="8" w:space="0" w:color="ED7D31"/>
              <w:right w:val="nil"/>
            </w:tcBorders>
            <w:shd w:val="clear" w:color="auto" w:fill="auto"/>
            <w:vAlign w:val="center"/>
            <w:hideMark/>
          </w:tcPr>
          <w:p w14:paraId="6876568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0.365***</w:t>
            </w:r>
          </w:p>
        </w:tc>
        <w:tc>
          <w:tcPr>
            <w:tcW w:w="959" w:type="dxa"/>
            <w:tcBorders>
              <w:top w:val="nil"/>
              <w:left w:val="nil"/>
              <w:bottom w:val="single" w:sz="8" w:space="0" w:color="ED7D31"/>
              <w:right w:val="nil"/>
            </w:tcBorders>
            <w:shd w:val="clear" w:color="auto" w:fill="auto"/>
            <w:vAlign w:val="center"/>
            <w:hideMark/>
          </w:tcPr>
          <w:p w14:paraId="1EE2752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(0.061)</w:t>
            </w:r>
          </w:p>
        </w:tc>
      </w:tr>
      <w:tr w:rsidR="00244248" w:rsidRPr="007A3658" w14:paraId="45DBF9CE"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4909825A"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Aboriginal or Torres Strait Islander</w:t>
            </w:r>
          </w:p>
        </w:tc>
        <w:tc>
          <w:tcPr>
            <w:tcW w:w="1276" w:type="dxa"/>
            <w:tcBorders>
              <w:top w:val="nil"/>
              <w:left w:val="nil"/>
              <w:bottom w:val="single" w:sz="8" w:space="0" w:color="ED7D31"/>
              <w:right w:val="nil"/>
            </w:tcBorders>
            <w:shd w:val="clear" w:color="auto" w:fill="auto"/>
            <w:vAlign w:val="center"/>
            <w:hideMark/>
          </w:tcPr>
          <w:p w14:paraId="0CDA96D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0.196</w:t>
            </w:r>
          </w:p>
        </w:tc>
        <w:tc>
          <w:tcPr>
            <w:tcW w:w="840" w:type="dxa"/>
            <w:tcBorders>
              <w:top w:val="nil"/>
              <w:left w:val="nil"/>
              <w:bottom w:val="single" w:sz="8" w:space="0" w:color="ED7D31"/>
              <w:right w:val="nil"/>
            </w:tcBorders>
            <w:shd w:val="clear" w:color="auto" w:fill="auto"/>
            <w:vAlign w:val="center"/>
            <w:hideMark/>
          </w:tcPr>
          <w:p w14:paraId="38D91E9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(0.129)</w:t>
            </w:r>
          </w:p>
        </w:tc>
        <w:tc>
          <w:tcPr>
            <w:tcW w:w="1277" w:type="dxa"/>
            <w:tcBorders>
              <w:top w:val="nil"/>
              <w:left w:val="nil"/>
              <w:bottom w:val="single" w:sz="8" w:space="0" w:color="ED7D31"/>
              <w:right w:val="nil"/>
            </w:tcBorders>
            <w:shd w:val="clear" w:color="auto" w:fill="auto"/>
            <w:vAlign w:val="center"/>
            <w:hideMark/>
          </w:tcPr>
          <w:p w14:paraId="7C76EC4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-0.610***</w:t>
            </w:r>
          </w:p>
        </w:tc>
        <w:tc>
          <w:tcPr>
            <w:tcW w:w="959" w:type="dxa"/>
            <w:tcBorders>
              <w:top w:val="nil"/>
              <w:left w:val="nil"/>
              <w:bottom w:val="single" w:sz="8" w:space="0" w:color="ED7D31"/>
              <w:right w:val="nil"/>
            </w:tcBorders>
            <w:shd w:val="clear" w:color="auto" w:fill="auto"/>
            <w:vAlign w:val="center"/>
            <w:hideMark/>
          </w:tcPr>
          <w:p w14:paraId="7952674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(0.215)</w:t>
            </w:r>
          </w:p>
        </w:tc>
        <w:tc>
          <w:tcPr>
            <w:tcW w:w="1167" w:type="dxa"/>
            <w:tcBorders>
              <w:top w:val="nil"/>
              <w:left w:val="nil"/>
              <w:bottom w:val="single" w:sz="8" w:space="0" w:color="ED7D31"/>
              <w:right w:val="nil"/>
            </w:tcBorders>
            <w:shd w:val="clear" w:color="auto" w:fill="auto"/>
            <w:vAlign w:val="center"/>
            <w:hideMark/>
          </w:tcPr>
          <w:p w14:paraId="6952188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-0.358</w:t>
            </w:r>
          </w:p>
        </w:tc>
        <w:tc>
          <w:tcPr>
            <w:tcW w:w="959" w:type="dxa"/>
            <w:tcBorders>
              <w:top w:val="nil"/>
              <w:left w:val="nil"/>
              <w:bottom w:val="single" w:sz="8" w:space="0" w:color="ED7D31"/>
              <w:right w:val="nil"/>
            </w:tcBorders>
            <w:shd w:val="clear" w:color="auto" w:fill="auto"/>
            <w:vAlign w:val="center"/>
            <w:hideMark/>
          </w:tcPr>
          <w:p w14:paraId="0D84540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(0.299)</w:t>
            </w:r>
          </w:p>
        </w:tc>
        <w:tc>
          <w:tcPr>
            <w:tcW w:w="1167" w:type="dxa"/>
            <w:tcBorders>
              <w:top w:val="nil"/>
              <w:left w:val="nil"/>
              <w:bottom w:val="single" w:sz="8" w:space="0" w:color="ED7D31"/>
              <w:right w:val="nil"/>
            </w:tcBorders>
            <w:shd w:val="clear" w:color="auto" w:fill="auto"/>
            <w:vAlign w:val="center"/>
            <w:hideMark/>
          </w:tcPr>
          <w:p w14:paraId="2899627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0.221</w:t>
            </w:r>
          </w:p>
        </w:tc>
        <w:tc>
          <w:tcPr>
            <w:tcW w:w="959" w:type="dxa"/>
            <w:tcBorders>
              <w:top w:val="nil"/>
              <w:left w:val="nil"/>
              <w:bottom w:val="single" w:sz="8" w:space="0" w:color="ED7D31"/>
              <w:right w:val="nil"/>
            </w:tcBorders>
            <w:shd w:val="clear" w:color="auto" w:fill="auto"/>
            <w:vAlign w:val="center"/>
            <w:hideMark/>
          </w:tcPr>
          <w:p w14:paraId="1F63771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(0.129)</w:t>
            </w:r>
          </w:p>
        </w:tc>
      </w:tr>
      <w:tr w:rsidR="00244248" w:rsidRPr="007A3658" w14:paraId="1A5F8EDC"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230B2EE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Observations</w:t>
            </w:r>
          </w:p>
        </w:tc>
        <w:tc>
          <w:tcPr>
            <w:tcW w:w="1276" w:type="dxa"/>
            <w:tcBorders>
              <w:top w:val="nil"/>
              <w:left w:val="nil"/>
              <w:bottom w:val="single" w:sz="8" w:space="0" w:color="ED7D31"/>
              <w:right w:val="nil"/>
            </w:tcBorders>
            <w:shd w:val="clear" w:color="auto" w:fill="auto"/>
            <w:vAlign w:val="center"/>
            <w:hideMark/>
          </w:tcPr>
          <w:p w14:paraId="7F12157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65352</w:t>
            </w:r>
          </w:p>
        </w:tc>
        <w:tc>
          <w:tcPr>
            <w:tcW w:w="840" w:type="dxa"/>
            <w:tcBorders>
              <w:top w:val="nil"/>
              <w:left w:val="nil"/>
              <w:bottom w:val="single" w:sz="8" w:space="0" w:color="ED7D31"/>
              <w:right w:val="nil"/>
            </w:tcBorders>
            <w:shd w:val="clear" w:color="auto" w:fill="auto"/>
            <w:vAlign w:val="center"/>
            <w:hideMark/>
          </w:tcPr>
          <w:p w14:paraId="73CDC0F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c>
          <w:tcPr>
            <w:tcW w:w="1277" w:type="dxa"/>
            <w:tcBorders>
              <w:top w:val="nil"/>
              <w:left w:val="nil"/>
              <w:bottom w:val="single" w:sz="8" w:space="0" w:color="ED7D31"/>
              <w:right w:val="nil"/>
            </w:tcBorders>
            <w:shd w:val="clear" w:color="auto" w:fill="auto"/>
            <w:vAlign w:val="center"/>
            <w:hideMark/>
          </w:tcPr>
          <w:p w14:paraId="37704B4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24452</w:t>
            </w:r>
          </w:p>
        </w:tc>
        <w:tc>
          <w:tcPr>
            <w:tcW w:w="959" w:type="dxa"/>
            <w:tcBorders>
              <w:top w:val="nil"/>
              <w:left w:val="nil"/>
              <w:bottom w:val="single" w:sz="8" w:space="0" w:color="ED7D31"/>
              <w:right w:val="nil"/>
            </w:tcBorders>
            <w:shd w:val="clear" w:color="auto" w:fill="auto"/>
            <w:vAlign w:val="center"/>
            <w:hideMark/>
          </w:tcPr>
          <w:p w14:paraId="6A0589C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c>
          <w:tcPr>
            <w:tcW w:w="1167" w:type="dxa"/>
            <w:tcBorders>
              <w:top w:val="nil"/>
              <w:left w:val="nil"/>
              <w:bottom w:val="single" w:sz="8" w:space="0" w:color="ED7D31"/>
              <w:right w:val="nil"/>
            </w:tcBorders>
            <w:shd w:val="clear" w:color="auto" w:fill="auto"/>
            <w:vAlign w:val="center"/>
            <w:hideMark/>
          </w:tcPr>
          <w:p w14:paraId="7183C26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7404</w:t>
            </w:r>
          </w:p>
        </w:tc>
        <w:tc>
          <w:tcPr>
            <w:tcW w:w="959" w:type="dxa"/>
            <w:tcBorders>
              <w:top w:val="nil"/>
              <w:left w:val="nil"/>
              <w:bottom w:val="single" w:sz="8" w:space="0" w:color="ED7D31"/>
              <w:right w:val="nil"/>
            </w:tcBorders>
            <w:shd w:val="clear" w:color="auto" w:fill="auto"/>
            <w:vAlign w:val="center"/>
            <w:hideMark/>
          </w:tcPr>
          <w:p w14:paraId="66C6CAB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c>
          <w:tcPr>
            <w:tcW w:w="1167" w:type="dxa"/>
            <w:tcBorders>
              <w:top w:val="nil"/>
              <w:left w:val="nil"/>
              <w:bottom w:val="single" w:sz="8" w:space="0" w:color="ED7D31"/>
              <w:right w:val="nil"/>
            </w:tcBorders>
            <w:shd w:val="clear" w:color="auto" w:fill="auto"/>
            <w:vAlign w:val="center"/>
            <w:hideMark/>
          </w:tcPr>
          <w:p w14:paraId="735B460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11414</w:t>
            </w:r>
          </w:p>
        </w:tc>
        <w:tc>
          <w:tcPr>
            <w:tcW w:w="959" w:type="dxa"/>
            <w:tcBorders>
              <w:top w:val="nil"/>
              <w:left w:val="nil"/>
              <w:bottom w:val="single" w:sz="8" w:space="0" w:color="ED7D31"/>
              <w:right w:val="nil"/>
            </w:tcBorders>
            <w:shd w:val="clear" w:color="auto" w:fill="auto"/>
            <w:vAlign w:val="center"/>
            <w:hideMark/>
          </w:tcPr>
          <w:p w14:paraId="0F99CD2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r>
    </w:tbl>
    <w:p w14:paraId="5EF84AE9" w14:textId="77777777" w:rsidR="00244248" w:rsidRDefault="00244248" w:rsidP="00244248">
      <w:pPr>
        <w:widowControl w:val="0"/>
        <w:autoSpaceDE w:val="0"/>
        <w:autoSpaceDN w:val="0"/>
        <w:adjustRightInd w:val="0"/>
        <w:spacing w:after="0" w:line="240" w:lineRule="auto"/>
        <w:rPr>
          <w:rFonts w:asciiTheme="majorHAnsi" w:hAnsiTheme="majorHAnsi" w:cstheme="majorHAnsi"/>
        </w:rPr>
      </w:pPr>
    </w:p>
    <w:p w14:paraId="765EC74D" w14:textId="77777777" w:rsidR="00244248" w:rsidRPr="00314B6D" w:rsidRDefault="00244248" w:rsidP="00244248">
      <w:pPr>
        <w:widowControl w:val="0"/>
        <w:autoSpaceDE w:val="0"/>
        <w:autoSpaceDN w:val="0"/>
        <w:adjustRightInd w:val="0"/>
        <w:spacing w:after="0" w:line="240" w:lineRule="auto"/>
        <w:rPr>
          <w:sz w:val="20"/>
          <w:szCs w:val="20"/>
        </w:rPr>
        <w:sectPr w:rsidR="00244248" w:rsidRPr="00314B6D" w:rsidSect="00335B25">
          <w:pgSz w:w="16838" w:h="11906" w:orient="landscape"/>
          <w:pgMar w:top="1440" w:right="1440" w:bottom="1440" w:left="1440" w:header="708" w:footer="708" w:gutter="0"/>
          <w:cols w:space="708"/>
          <w:docGrid w:linePitch="360"/>
        </w:sectPr>
      </w:pPr>
      <w:r w:rsidRPr="00314B6D">
        <w:rPr>
          <w:rFonts w:asciiTheme="majorHAnsi" w:hAnsiTheme="majorHAnsi" w:cstheme="majorHAnsi"/>
          <w:sz w:val="20"/>
          <w:szCs w:val="20"/>
        </w:rPr>
        <w:t>Note: robust standard errors, year and state fixed effects not reported; * p&lt;0.1, ** p&lt;0.05, *** p&lt;0.01</w:t>
      </w:r>
    </w:p>
    <w:p w14:paraId="2D10BC13" w14:textId="77777777" w:rsidR="00244248" w:rsidRDefault="00244248" w:rsidP="007C5778">
      <w:pPr>
        <w:pStyle w:val="Heading3"/>
      </w:pPr>
      <w:bookmarkStart w:id="211" w:name="_Toc87454662"/>
      <w:r w:rsidRPr="00C3521C">
        <w:lastRenderedPageBreak/>
        <w:t xml:space="preserve">Determinants of </w:t>
      </w:r>
      <w:r>
        <w:t>perceived barriers, high desire but low expectation</w:t>
      </w:r>
      <w:bookmarkEnd w:id="211"/>
    </w:p>
    <w:p w14:paraId="760BFC57" w14:textId="77777777" w:rsidR="00244248" w:rsidRPr="00457DB7" w:rsidRDefault="00244248" w:rsidP="00244248">
      <w:pPr>
        <w:rPr>
          <w:color w:val="44546A" w:themeColor="text2"/>
          <w:sz w:val="18"/>
          <w:szCs w:val="18"/>
        </w:rPr>
      </w:pPr>
    </w:p>
    <w:p w14:paraId="44DC94D5" w14:textId="1ABB275F" w:rsidR="00244248" w:rsidRPr="00B65F8B" w:rsidRDefault="00244248" w:rsidP="00244248">
      <w:pPr>
        <w:rPr>
          <w:noProof/>
        </w:rPr>
      </w:pPr>
      <w:r>
        <w:rPr>
          <w:noProof/>
        </w:rPr>
        <w:t xml:space="preserve">In this section we examine the determinants of stating a wish to have children </w:t>
      </w:r>
      <w:r w:rsidRPr="00B65F8B">
        <w:rPr>
          <w:noProof/>
        </w:rPr>
        <w:t xml:space="preserve">but </w:t>
      </w:r>
      <w:r>
        <w:rPr>
          <w:noProof/>
        </w:rPr>
        <w:t>who also believe that i</w:t>
      </w:r>
      <w:r w:rsidRPr="00B65F8B">
        <w:rPr>
          <w:noProof/>
        </w:rPr>
        <w:t xml:space="preserve">t is unlikely </w:t>
      </w:r>
      <w:r>
        <w:rPr>
          <w:noProof/>
        </w:rPr>
        <w:t>to happen. That is having a high desire for childbearing, but a low expectation</w:t>
      </w:r>
      <w:r w:rsidRPr="00B65F8B">
        <w:rPr>
          <w:noProof/>
        </w:rPr>
        <w:t>.</w:t>
      </w:r>
      <w:r>
        <w:rPr>
          <w:noProof/>
        </w:rPr>
        <w:t xml:space="preserve"> </w:t>
      </w:r>
      <w:r>
        <w:rPr>
          <w:rFonts w:ascii="Calibri" w:eastAsia="Times New Roman" w:hAnsi="Calibri" w:cs="Calibri"/>
          <w:lang w:eastAsia="en-GB"/>
        </w:rPr>
        <w:t xml:space="preserve">We construct an outcome variable equal to one when a woman expresses a desire for children (a statement of 6 or higher out of 10) </w:t>
      </w:r>
      <w:r w:rsidRPr="00E40797">
        <w:rPr>
          <w:rFonts w:ascii="Calibri" w:eastAsia="Times New Roman" w:hAnsi="Calibri" w:cs="Calibri"/>
          <w:i/>
          <w:lang w:eastAsia="en-GB"/>
        </w:rPr>
        <w:t>and</w:t>
      </w:r>
      <w:r>
        <w:rPr>
          <w:rFonts w:ascii="Calibri" w:eastAsia="Times New Roman" w:hAnsi="Calibri" w:cs="Calibri"/>
          <w:lang w:eastAsia="en-GB"/>
        </w:rPr>
        <w:t xml:space="preserve"> simultaneously expresses a low expectation of having children in the future (a perceived likelihood of 5 or less out of 10). Factors that correlated with this outcome can be interpreted as potential barriers to fertility. </w:t>
      </w:r>
      <w:r>
        <w:rPr>
          <w:noProof/>
        </w:rPr>
        <w:t>Women in this category are ones who may</w:t>
      </w:r>
      <w:r w:rsidRPr="00B65F8B">
        <w:rPr>
          <w:noProof/>
        </w:rPr>
        <w:t xml:space="preserve">  perceive barriers for their child-bearing preferences.</w:t>
      </w:r>
      <w:r>
        <w:rPr>
          <w:noProof/>
        </w:rPr>
        <w:t xml:space="preserve"> Given that this is a binary variable we conducted a logit regression, as presented in </w:t>
      </w:r>
      <w:r>
        <w:rPr>
          <w:noProof/>
        </w:rPr>
        <w:fldChar w:fldCharType="begin"/>
      </w:r>
      <w:r>
        <w:rPr>
          <w:noProof/>
        </w:rPr>
        <w:instrText xml:space="preserve"> REF _Ref84582798 \h </w:instrText>
      </w:r>
      <w:r>
        <w:rPr>
          <w:noProof/>
        </w:rPr>
      </w:r>
      <w:r>
        <w:rPr>
          <w:noProof/>
        </w:rPr>
        <w:fldChar w:fldCharType="separate"/>
      </w:r>
      <w:r w:rsidR="00115E22">
        <w:t xml:space="preserve">Table </w:t>
      </w:r>
      <w:r w:rsidR="00115E22">
        <w:rPr>
          <w:noProof/>
        </w:rPr>
        <w:t>38</w:t>
      </w:r>
      <w:r>
        <w:rPr>
          <w:noProof/>
        </w:rPr>
        <w:fldChar w:fldCharType="end"/>
      </w:r>
      <w:r>
        <w:rPr>
          <w:noProof/>
        </w:rPr>
        <w:t xml:space="preserve">. The fixed effects equivalent is shown in Appendix </w:t>
      </w:r>
      <w:r>
        <w:rPr>
          <w:noProof/>
        </w:rPr>
        <w:fldChar w:fldCharType="begin"/>
      </w:r>
      <w:r>
        <w:rPr>
          <w:noProof/>
        </w:rPr>
        <w:instrText xml:space="preserve"> REF _Ref84582805 \h </w:instrText>
      </w:r>
      <w:r>
        <w:rPr>
          <w:noProof/>
        </w:rPr>
      </w:r>
      <w:r>
        <w:rPr>
          <w:noProof/>
        </w:rPr>
        <w:fldChar w:fldCharType="separate"/>
      </w:r>
      <w:r w:rsidR="00115E22">
        <w:t xml:space="preserve">Table </w:t>
      </w:r>
      <w:r w:rsidR="00115E22">
        <w:rPr>
          <w:noProof/>
        </w:rPr>
        <w:t>58</w:t>
      </w:r>
      <w:r>
        <w:rPr>
          <w:noProof/>
        </w:rPr>
        <w:fldChar w:fldCharType="end"/>
      </w:r>
      <w:r>
        <w:rPr>
          <w:noProof/>
        </w:rPr>
        <w:t xml:space="preserve">. As before the results are presented for the overall sample, as well as separately by parity. </w:t>
      </w:r>
    </w:p>
    <w:p w14:paraId="5D4699B3" w14:textId="77777777" w:rsidR="00244248" w:rsidRDefault="00244248" w:rsidP="00244248">
      <w:pPr>
        <w:rPr>
          <w:noProof/>
        </w:rPr>
      </w:pPr>
      <w:r>
        <w:rPr>
          <w:noProof/>
        </w:rPr>
        <w:t xml:space="preserve">Compared to childless women, those who already have children are more likely to experience a high childbearing desire but a low expectation. </w:t>
      </w:r>
    </w:p>
    <w:p w14:paraId="78835E90" w14:textId="14818438" w:rsidR="00244248" w:rsidRDefault="00244248" w:rsidP="00244248">
      <w:pPr>
        <w:rPr>
          <w:noProof/>
        </w:rPr>
      </w:pPr>
      <w:r>
        <w:rPr>
          <w:noProof/>
        </w:rPr>
        <w:t xml:space="preserve">The importance of age is evident. Women are more likely to see barriers as they get older which can be seen in the increasing positive coefficients for older age groups, as seen also in </w:t>
      </w:r>
      <w:r>
        <w:rPr>
          <w:noProof/>
        </w:rPr>
        <w:fldChar w:fldCharType="begin"/>
      </w:r>
      <w:r>
        <w:rPr>
          <w:noProof/>
        </w:rPr>
        <w:instrText xml:space="preserve"> REF _Ref84582928 \h </w:instrText>
      </w:r>
      <w:r>
        <w:rPr>
          <w:noProof/>
        </w:rPr>
      </w:r>
      <w:r>
        <w:rPr>
          <w:noProof/>
        </w:rPr>
        <w:fldChar w:fldCharType="separate"/>
      </w:r>
      <w:r w:rsidR="00115E22">
        <w:t xml:space="preserve">Figure </w:t>
      </w:r>
      <w:r w:rsidR="00115E22">
        <w:rPr>
          <w:noProof/>
        </w:rPr>
        <w:t>47</w:t>
      </w:r>
      <w:r>
        <w:rPr>
          <w:noProof/>
        </w:rPr>
        <w:fldChar w:fldCharType="end"/>
      </w:r>
      <w:r>
        <w:rPr>
          <w:noProof/>
        </w:rPr>
        <w:t>. This is consistent with people who have not been able to achieve their preferred fertility outcome before reaching an age where they believe that child-bearing is either unlikely or undesirable.</w:t>
      </w:r>
    </w:p>
    <w:p w14:paraId="62CFA1C9" w14:textId="4E324619" w:rsidR="00244248" w:rsidRDefault="00244248" w:rsidP="00244248">
      <w:pPr>
        <w:pStyle w:val="Caption"/>
        <w:keepNext/>
      </w:pPr>
      <w:bookmarkStart w:id="212" w:name="_Ref84582928"/>
      <w:r>
        <w:t xml:space="preserve">Figure </w:t>
      </w:r>
      <w:fldSimple w:instr=" SEQ Figure \* ARABIC ">
        <w:r w:rsidR="00115E22">
          <w:rPr>
            <w:noProof/>
          </w:rPr>
          <w:t>47</w:t>
        </w:r>
      </w:fldSimple>
      <w:bookmarkEnd w:id="212"/>
      <w:r>
        <w:t xml:space="preserve"> Predicted probability of high desire but low expectation for children, by parity</w:t>
      </w:r>
    </w:p>
    <w:p w14:paraId="527E9660" w14:textId="77777777" w:rsidR="00244248" w:rsidRDefault="00244248" w:rsidP="00244248">
      <w:pPr>
        <w:rPr>
          <w:i/>
          <w:iCs/>
          <w:color w:val="44546A" w:themeColor="text2"/>
          <w:sz w:val="18"/>
          <w:szCs w:val="18"/>
        </w:rPr>
      </w:pPr>
      <w:r w:rsidRPr="00B219B1">
        <w:rPr>
          <w:noProof/>
          <w:lang w:eastAsia="en-AU"/>
        </w:rPr>
        <w:drawing>
          <wp:inline distT="0" distB="0" distL="0" distR="0" wp14:anchorId="509BF88E" wp14:editId="0A9B44AB">
            <wp:extent cx="4382135" cy="2910780"/>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8667"/>
                    <a:stretch/>
                  </pic:blipFill>
                  <pic:spPr bwMode="auto">
                    <a:xfrm>
                      <a:off x="0" y="0"/>
                      <a:ext cx="4387850" cy="2914576"/>
                    </a:xfrm>
                    <a:prstGeom prst="rect">
                      <a:avLst/>
                    </a:prstGeom>
                    <a:noFill/>
                    <a:ln>
                      <a:noFill/>
                    </a:ln>
                    <a:extLst>
                      <a:ext uri="{53640926-AAD7-44D8-BBD7-CCE9431645EC}">
                        <a14:shadowObscured xmlns:a14="http://schemas.microsoft.com/office/drawing/2010/main"/>
                      </a:ext>
                    </a:extLst>
                  </pic:spPr>
                </pic:pic>
              </a:graphicData>
            </a:graphic>
          </wp:inline>
        </w:drawing>
      </w:r>
    </w:p>
    <w:p w14:paraId="5D5BD277" w14:textId="77777777" w:rsidR="00244248" w:rsidRDefault="00244248" w:rsidP="00244248">
      <w:pPr>
        <w:keepNext/>
        <w:widowControl w:val="0"/>
        <w:autoSpaceDE w:val="0"/>
        <w:autoSpaceDN w:val="0"/>
        <w:adjustRightInd w:val="0"/>
        <w:spacing w:line="240" w:lineRule="auto"/>
        <w:sectPr w:rsidR="00244248" w:rsidSect="00335B25">
          <w:pgSz w:w="11906" w:h="16838"/>
          <w:pgMar w:top="1134" w:right="1440" w:bottom="1440" w:left="1440" w:header="708" w:footer="708" w:gutter="0"/>
          <w:cols w:space="708"/>
          <w:docGrid w:linePitch="360"/>
        </w:sectPr>
      </w:pPr>
      <w:bookmarkStart w:id="213" w:name="_Ref83993801"/>
      <w:r>
        <w:t xml:space="preserve">Among childless women, those with higher levels of education are less likely to experience a high childbearing desire but a low expectation. In other words, among those women who desire children, those with higher levels of education also feel more confident that they will achieve their childbearing goals. For women who have already achieved parenthood and have one or two children, education is less clearly related to having a high desire but low expectation. </w:t>
      </w:r>
    </w:p>
    <w:p w14:paraId="26A60728" w14:textId="77777777" w:rsidR="00244248" w:rsidRDefault="00244248" w:rsidP="00244248">
      <w:r>
        <w:t xml:space="preserve">Not surprisingly women with a partner, whether married or cohabiting are significantly less likely than their single peers to express perceived barriers to achieving their childbearing desires. </w:t>
      </w:r>
    </w:p>
    <w:p w14:paraId="4A6D60E6" w14:textId="77777777" w:rsidR="00244248" w:rsidRDefault="00244248" w:rsidP="00244248">
      <w:r>
        <w:t xml:space="preserve">Employment hours and type of contract has a mixed effect. Childless women not working are more likely to express a feeling of barriers compared to women who are in a permanent full-time role. In contrast at parity 2, women who are not working express a lower likelihood of feeling they will not </w:t>
      </w:r>
      <w:r>
        <w:lastRenderedPageBreak/>
        <w:t xml:space="preserve">achieve their childbearing desires compared to their peers working in a permanent full-time role.  At Parity 2, women who work in a permanent full-time role are the most likely to experience a high desire for another child coupled with a low expectation of this occurring. </w:t>
      </w:r>
    </w:p>
    <w:p w14:paraId="612B2973" w14:textId="77777777" w:rsidR="00244248" w:rsidRDefault="00244248" w:rsidP="00244248">
      <w:r>
        <w:t xml:space="preserve">A lower household income is associated with higher perceived barriers to achieving childbearing goals at all parities, except for women with 2 children already. </w:t>
      </w:r>
    </w:p>
    <w:p w14:paraId="4FE20F12" w14:textId="77777777" w:rsidR="00244248" w:rsidRDefault="00244248" w:rsidP="00244248">
      <w:r>
        <w:t xml:space="preserve">Living in a remote area is associated with higher barriers as is being born in Australia (but only for parity 2). Finally being of Aboriginal or Torres Strait Islander descent is also associated with higher perceived barriers, at all parities except parity 2. </w:t>
      </w:r>
    </w:p>
    <w:p w14:paraId="2E690DC4" w14:textId="77777777" w:rsidR="00244248" w:rsidRDefault="00244248" w:rsidP="00244248"/>
    <w:p w14:paraId="0F41E515" w14:textId="77777777" w:rsidR="00244248" w:rsidRDefault="00244248" w:rsidP="00244248">
      <w:pPr>
        <w:rPr>
          <w:i/>
          <w:iCs/>
          <w:color w:val="44546A" w:themeColor="text2"/>
          <w:sz w:val="18"/>
          <w:szCs w:val="18"/>
        </w:rPr>
      </w:pPr>
    </w:p>
    <w:p w14:paraId="6DFE180A" w14:textId="77777777" w:rsidR="00244248" w:rsidRDefault="00244248" w:rsidP="00244248">
      <w:pPr>
        <w:pStyle w:val="Caption"/>
        <w:keepNext/>
        <w:sectPr w:rsidR="00244248" w:rsidSect="00335B25">
          <w:type w:val="continuous"/>
          <w:pgSz w:w="11906" w:h="16838"/>
          <w:pgMar w:top="1134" w:right="1440" w:bottom="1440" w:left="1440" w:header="708" w:footer="708" w:gutter="0"/>
          <w:cols w:space="708"/>
          <w:docGrid w:linePitch="360"/>
        </w:sectPr>
      </w:pPr>
      <w:bookmarkStart w:id="214" w:name="_Ref84436199"/>
    </w:p>
    <w:p w14:paraId="47ED276D" w14:textId="66FBBA0B" w:rsidR="00244248" w:rsidRDefault="00244248" w:rsidP="00244248">
      <w:pPr>
        <w:pStyle w:val="Caption"/>
        <w:keepNext/>
      </w:pPr>
      <w:bookmarkStart w:id="215" w:name="_Ref84582798"/>
      <w:r>
        <w:lastRenderedPageBreak/>
        <w:t xml:space="preserve">Table </w:t>
      </w:r>
      <w:fldSimple w:instr=" SEQ Table \* ARABIC ">
        <w:r w:rsidR="00115E22">
          <w:rPr>
            <w:noProof/>
          </w:rPr>
          <w:t>38</w:t>
        </w:r>
      </w:fldSimple>
      <w:bookmarkEnd w:id="213"/>
      <w:bookmarkEnd w:id="214"/>
      <w:bookmarkEnd w:id="215"/>
      <w:r>
        <w:t xml:space="preserve"> </w:t>
      </w:r>
      <w:r w:rsidRPr="00F06CA5">
        <w:t xml:space="preserve">Determinants of </w:t>
      </w:r>
      <w:r>
        <w:t>high childbearing desire but low childbearing expectation, logit regression by parity</w:t>
      </w:r>
    </w:p>
    <w:tbl>
      <w:tblPr>
        <w:tblW w:w="14340" w:type="dxa"/>
        <w:tblLook w:val="04A0" w:firstRow="1" w:lastRow="0" w:firstColumn="1" w:lastColumn="0" w:noHBand="0" w:noVBand="1"/>
      </w:tblPr>
      <w:tblGrid>
        <w:gridCol w:w="3860"/>
        <w:gridCol w:w="1520"/>
        <w:gridCol w:w="1480"/>
        <w:gridCol w:w="1340"/>
        <w:gridCol w:w="960"/>
        <w:gridCol w:w="1540"/>
        <w:gridCol w:w="960"/>
        <w:gridCol w:w="1720"/>
        <w:gridCol w:w="960"/>
      </w:tblGrid>
      <w:tr w:rsidR="00244248" w:rsidRPr="009C0314" w14:paraId="23A8049E" w14:textId="77777777" w:rsidTr="00335B25">
        <w:trPr>
          <w:trHeight w:val="20"/>
        </w:trPr>
        <w:tc>
          <w:tcPr>
            <w:tcW w:w="3860" w:type="dxa"/>
            <w:tcBorders>
              <w:top w:val="nil"/>
              <w:left w:val="nil"/>
              <w:bottom w:val="nil"/>
              <w:right w:val="nil"/>
            </w:tcBorders>
            <w:shd w:val="clear" w:color="000000" w:fill="FBE4D5"/>
            <w:vAlign w:val="center"/>
            <w:hideMark/>
          </w:tcPr>
          <w:p w14:paraId="700E5ABC"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 </w:t>
            </w:r>
          </w:p>
        </w:tc>
        <w:tc>
          <w:tcPr>
            <w:tcW w:w="3000" w:type="dxa"/>
            <w:gridSpan w:val="2"/>
            <w:tcBorders>
              <w:top w:val="nil"/>
              <w:left w:val="nil"/>
              <w:bottom w:val="nil"/>
              <w:right w:val="nil"/>
            </w:tcBorders>
            <w:shd w:val="clear" w:color="000000" w:fill="FBE4D5"/>
            <w:vAlign w:val="center"/>
            <w:hideMark/>
          </w:tcPr>
          <w:p w14:paraId="71BBCBD7" w14:textId="77777777" w:rsidR="00244248" w:rsidRPr="009C0314" w:rsidRDefault="00244248" w:rsidP="00335B25">
            <w:pPr>
              <w:spacing w:after="0" w:line="240" w:lineRule="auto"/>
              <w:jc w:val="center"/>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Full sample</w:t>
            </w:r>
          </w:p>
        </w:tc>
        <w:tc>
          <w:tcPr>
            <w:tcW w:w="2300" w:type="dxa"/>
            <w:gridSpan w:val="2"/>
            <w:tcBorders>
              <w:top w:val="nil"/>
              <w:left w:val="nil"/>
              <w:bottom w:val="nil"/>
              <w:right w:val="nil"/>
            </w:tcBorders>
            <w:shd w:val="clear" w:color="000000" w:fill="FBE4D5"/>
            <w:vAlign w:val="center"/>
            <w:hideMark/>
          </w:tcPr>
          <w:p w14:paraId="4C87E686" w14:textId="77777777" w:rsidR="00244248" w:rsidRPr="009C0314" w:rsidRDefault="00244248" w:rsidP="00335B25">
            <w:pPr>
              <w:spacing w:after="0" w:line="240" w:lineRule="auto"/>
              <w:jc w:val="center"/>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 xml:space="preserve">Parity 0 </w:t>
            </w:r>
          </w:p>
        </w:tc>
        <w:tc>
          <w:tcPr>
            <w:tcW w:w="2500" w:type="dxa"/>
            <w:gridSpan w:val="2"/>
            <w:tcBorders>
              <w:top w:val="nil"/>
              <w:left w:val="nil"/>
              <w:bottom w:val="nil"/>
              <w:right w:val="nil"/>
            </w:tcBorders>
            <w:shd w:val="clear" w:color="000000" w:fill="FBE4D5"/>
            <w:vAlign w:val="center"/>
            <w:hideMark/>
          </w:tcPr>
          <w:p w14:paraId="14A3806B" w14:textId="77777777" w:rsidR="00244248" w:rsidRPr="009C0314" w:rsidRDefault="00244248" w:rsidP="00335B25">
            <w:pPr>
              <w:spacing w:after="0" w:line="240" w:lineRule="auto"/>
              <w:jc w:val="center"/>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Parity 1</w:t>
            </w:r>
          </w:p>
        </w:tc>
        <w:tc>
          <w:tcPr>
            <w:tcW w:w="2680" w:type="dxa"/>
            <w:gridSpan w:val="2"/>
            <w:tcBorders>
              <w:top w:val="nil"/>
              <w:left w:val="nil"/>
              <w:bottom w:val="nil"/>
              <w:right w:val="nil"/>
            </w:tcBorders>
            <w:shd w:val="clear" w:color="000000" w:fill="FBE4D5"/>
            <w:vAlign w:val="center"/>
            <w:hideMark/>
          </w:tcPr>
          <w:p w14:paraId="5F824543" w14:textId="77777777" w:rsidR="00244248" w:rsidRPr="009C0314" w:rsidRDefault="00244248" w:rsidP="00335B25">
            <w:pPr>
              <w:spacing w:after="0" w:line="240" w:lineRule="auto"/>
              <w:jc w:val="center"/>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Parity 2</w:t>
            </w:r>
          </w:p>
        </w:tc>
      </w:tr>
      <w:tr w:rsidR="00244248" w:rsidRPr="009C0314" w14:paraId="35F890A2" w14:textId="77777777" w:rsidTr="00335B25">
        <w:trPr>
          <w:trHeight w:val="20"/>
        </w:trPr>
        <w:tc>
          <w:tcPr>
            <w:tcW w:w="3860" w:type="dxa"/>
            <w:tcBorders>
              <w:top w:val="nil"/>
              <w:left w:val="nil"/>
              <w:bottom w:val="single" w:sz="4" w:space="0" w:color="ED7D31"/>
              <w:right w:val="nil"/>
            </w:tcBorders>
            <w:shd w:val="clear" w:color="000000" w:fill="FBE4D5"/>
            <w:vAlign w:val="center"/>
            <w:hideMark/>
          </w:tcPr>
          <w:p w14:paraId="7FC5DCBD"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 </w:t>
            </w:r>
          </w:p>
        </w:tc>
        <w:tc>
          <w:tcPr>
            <w:tcW w:w="1520" w:type="dxa"/>
            <w:tcBorders>
              <w:top w:val="nil"/>
              <w:left w:val="nil"/>
              <w:bottom w:val="single" w:sz="4" w:space="0" w:color="ED7D31"/>
              <w:right w:val="nil"/>
            </w:tcBorders>
            <w:shd w:val="clear" w:color="000000" w:fill="FBE4D5"/>
            <w:vAlign w:val="center"/>
            <w:hideMark/>
          </w:tcPr>
          <w:p w14:paraId="64B23977"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 xml:space="preserve">Coef. </w:t>
            </w:r>
          </w:p>
        </w:tc>
        <w:tc>
          <w:tcPr>
            <w:tcW w:w="1480" w:type="dxa"/>
            <w:tcBorders>
              <w:top w:val="nil"/>
              <w:left w:val="nil"/>
              <w:bottom w:val="single" w:sz="4" w:space="0" w:color="ED7D31"/>
              <w:right w:val="nil"/>
            </w:tcBorders>
            <w:shd w:val="clear" w:color="000000" w:fill="FBE4D5"/>
            <w:vAlign w:val="center"/>
            <w:hideMark/>
          </w:tcPr>
          <w:p w14:paraId="24537F58"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Se</w:t>
            </w:r>
          </w:p>
        </w:tc>
        <w:tc>
          <w:tcPr>
            <w:tcW w:w="1340" w:type="dxa"/>
            <w:tcBorders>
              <w:top w:val="nil"/>
              <w:left w:val="nil"/>
              <w:bottom w:val="single" w:sz="4" w:space="0" w:color="ED7D31"/>
              <w:right w:val="nil"/>
            </w:tcBorders>
            <w:shd w:val="clear" w:color="000000" w:fill="FBE4D5"/>
            <w:vAlign w:val="center"/>
            <w:hideMark/>
          </w:tcPr>
          <w:p w14:paraId="3249292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 xml:space="preserve">Coef. </w:t>
            </w:r>
          </w:p>
        </w:tc>
        <w:tc>
          <w:tcPr>
            <w:tcW w:w="960" w:type="dxa"/>
            <w:tcBorders>
              <w:top w:val="nil"/>
              <w:left w:val="nil"/>
              <w:bottom w:val="single" w:sz="4" w:space="0" w:color="ED7D31"/>
              <w:right w:val="nil"/>
            </w:tcBorders>
            <w:shd w:val="clear" w:color="000000" w:fill="FBE4D5"/>
            <w:vAlign w:val="center"/>
            <w:hideMark/>
          </w:tcPr>
          <w:p w14:paraId="3BBBF935"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Se</w:t>
            </w:r>
          </w:p>
        </w:tc>
        <w:tc>
          <w:tcPr>
            <w:tcW w:w="1540" w:type="dxa"/>
            <w:tcBorders>
              <w:top w:val="nil"/>
              <w:left w:val="nil"/>
              <w:bottom w:val="single" w:sz="4" w:space="0" w:color="ED7D31"/>
              <w:right w:val="nil"/>
            </w:tcBorders>
            <w:shd w:val="clear" w:color="000000" w:fill="FBE4D5"/>
            <w:vAlign w:val="center"/>
            <w:hideMark/>
          </w:tcPr>
          <w:p w14:paraId="355449C2"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 xml:space="preserve">Coef. </w:t>
            </w:r>
          </w:p>
        </w:tc>
        <w:tc>
          <w:tcPr>
            <w:tcW w:w="960" w:type="dxa"/>
            <w:tcBorders>
              <w:top w:val="nil"/>
              <w:left w:val="nil"/>
              <w:bottom w:val="single" w:sz="4" w:space="0" w:color="ED7D31"/>
              <w:right w:val="nil"/>
            </w:tcBorders>
            <w:shd w:val="clear" w:color="000000" w:fill="FBE4D5"/>
            <w:vAlign w:val="center"/>
            <w:hideMark/>
          </w:tcPr>
          <w:p w14:paraId="7D9E79B4"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Se</w:t>
            </w:r>
          </w:p>
        </w:tc>
        <w:tc>
          <w:tcPr>
            <w:tcW w:w="1720" w:type="dxa"/>
            <w:tcBorders>
              <w:top w:val="nil"/>
              <w:left w:val="nil"/>
              <w:bottom w:val="single" w:sz="4" w:space="0" w:color="ED7D31"/>
              <w:right w:val="nil"/>
            </w:tcBorders>
            <w:shd w:val="clear" w:color="000000" w:fill="FBE4D5"/>
            <w:vAlign w:val="center"/>
            <w:hideMark/>
          </w:tcPr>
          <w:p w14:paraId="43AFF39D"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 xml:space="preserve">Coef. </w:t>
            </w:r>
          </w:p>
        </w:tc>
        <w:tc>
          <w:tcPr>
            <w:tcW w:w="960" w:type="dxa"/>
            <w:tcBorders>
              <w:top w:val="nil"/>
              <w:left w:val="nil"/>
              <w:bottom w:val="single" w:sz="4" w:space="0" w:color="ED7D31"/>
              <w:right w:val="nil"/>
            </w:tcBorders>
            <w:shd w:val="clear" w:color="000000" w:fill="FBE4D5"/>
            <w:vAlign w:val="center"/>
            <w:hideMark/>
          </w:tcPr>
          <w:p w14:paraId="5021A660"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Se</w:t>
            </w:r>
          </w:p>
        </w:tc>
      </w:tr>
      <w:tr w:rsidR="00244248" w:rsidRPr="009C0314" w14:paraId="4925829A" w14:textId="77777777" w:rsidTr="00335B25">
        <w:trPr>
          <w:trHeight w:val="20"/>
        </w:trPr>
        <w:tc>
          <w:tcPr>
            <w:tcW w:w="3860" w:type="dxa"/>
            <w:tcBorders>
              <w:top w:val="nil"/>
              <w:left w:val="nil"/>
              <w:bottom w:val="nil"/>
              <w:right w:val="nil"/>
            </w:tcBorders>
            <w:shd w:val="clear" w:color="auto" w:fill="auto"/>
            <w:vAlign w:val="center"/>
            <w:hideMark/>
          </w:tcPr>
          <w:p w14:paraId="1BD175F0"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 xml:space="preserve">Number of children </w:t>
            </w:r>
            <w:r w:rsidRPr="009C0314">
              <w:rPr>
                <w:rFonts w:ascii="Calibri Light" w:eastAsia="Times New Roman" w:hAnsi="Calibri Light" w:cs="Calibri Light"/>
                <w:color w:val="000000"/>
                <w:sz w:val="20"/>
                <w:szCs w:val="20"/>
                <w:lang w:eastAsia="en-AU"/>
              </w:rPr>
              <w:t>(ref: childless)</w:t>
            </w:r>
          </w:p>
        </w:tc>
        <w:tc>
          <w:tcPr>
            <w:tcW w:w="1520" w:type="dxa"/>
            <w:tcBorders>
              <w:top w:val="nil"/>
              <w:left w:val="nil"/>
              <w:bottom w:val="nil"/>
              <w:right w:val="nil"/>
            </w:tcBorders>
            <w:shd w:val="clear" w:color="auto" w:fill="auto"/>
            <w:vAlign w:val="center"/>
            <w:hideMark/>
          </w:tcPr>
          <w:p w14:paraId="4DA63EEB"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480" w:type="dxa"/>
            <w:tcBorders>
              <w:top w:val="nil"/>
              <w:left w:val="nil"/>
              <w:bottom w:val="nil"/>
              <w:right w:val="nil"/>
            </w:tcBorders>
            <w:shd w:val="clear" w:color="auto" w:fill="auto"/>
            <w:vAlign w:val="center"/>
            <w:hideMark/>
          </w:tcPr>
          <w:p w14:paraId="7DC8A931"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340" w:type="dxa"/>
            <w:tcBorders>
              <w:top w:val="nil"/>
              <w:left w:val="nil"/>
              <w:bottom w:val="nil"/>
              <w:right w:val="nil"/>
            </w:tcBorders>
            <w:shd w:val="clear" w:color="auto" w:fill="auto"/>
            <w:vAlign w:val="center"/>
            <w:hideMark/>
          </w:tcPr>
          <w:p w14:paraId="160FA541"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71436A2E"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540" w:type="dxa"/>
            <w:tcBorders>
              <w:top w:val="nil"/>
              <w:left w:val="nil"/>
              <w:bottom w:val="nil"/>
              <w:right w:val="nil"/>
            </w:tcBorders>
            <w:shd w:val="clear" w:color="auto" w:fill="auto"/>
            <w:vAlign w:val="center"/>
            <w:hideMark/>
          </w:tcPr>
          <w:p w14:paraId="424D500F"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2B053847"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720" w:type="dxa"/>
            <w:tcBorders>
              <w:top w:val="nil"/>
              <w:left w:val="nil"/>
              <w:bottom w:val="nil"/>
              <w:right w:val="nil"/>
            </w:tcBorders>
            <w:shd w:val="clear" w:color="auto" w:fill="auto"/>
            <w:vAlign w:val="center"/>
            <w:hideMark/>
          </w:tcPr>
          <w:p w14:paraId="024CB3B2"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5396541B"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r>
      <w:tr w:rsidR="00244248" w:rsidRPr="009C0314" w14:paraId="43352EEB" w14:textId="77777777" w:rsidTr="00335B25">
        <w:trPr>
          <w:trHeight w:val="20"/>
        </w:trPr>
        <w:tc>
          <w:tcPr>
            <w:tcW w:w="3860" w:type="dxa"/>
            <w:tcBorders>
              <w:top w:val="nil"/>
              <w:left w:val="nil"/>
              <w:bottom w:val="nil"/>
              <w:right w:val="nil"/>
            </w:tcBorders>
            <w:shd w:val="clear" w:color="auto" w:fill="auto"/>
            <w:vAlign w:val="center"/>
            <w:hideMark/>
          </w:tcPr>
          <w:p w14:paraId="3F1022EA"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 child</w:t>
            </w:r>
          </w:p>
        </w:tc>
        <w:tc>
          <w:tcPr>
            <w:tcW w:w="1520" w:type="dxa"/>
            <w:tcBorders>
              <w:top w:val="nil"/>
              <w:left w:val="nil"/>
              <w:bottom w:val="nil"/>
              <w:right w:val="nil"/>
            </w:tcBorders>
            <w:shd w:val="clear" w:color="auto" w:fill="auto"/>
            <w:vAlign w:val="center"/>
            <w:hideMark/>
          </w:tcPr>
          <w:p w14:paraId="69184418"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0.515***</w:t>
            </w:r>
          </w:p>
        </w:tc>
        <w:tc>
          <w:tcPr>
            <w:tcW w:w="1480" w:type="dxa"/>
            <w:tcBorders>
              <w:top w:val="nil"/>
              <w:left w:val="nil"/>
              <w:bottom w:val="nil"/>
              <w:right w:val="nil"/>
            </w:tcBorders>
            <w:shd w:val="clear" w:color="auto" w:fill="auto"/>
            <w:vAlign w:val="center"/>
            <w:hideMark/>
          </w:tcPr>
          <w:p w14:paraId="62F94BCC"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(0.088)</w:t>
            </w:r>
          </w:p>
        </w:tc>
        <w:tc>
          <w:tcPr>
            <w:tcW w:w="1340" w:type="dxa"/>
            <w:tcBorders>
              <w:top w:val="nil"/>
              <w:left w:val="nil"/>
              <w:bottom w:val="nil"/>
              <w:right w:val="nil"/>
            </w:tcBorders>
            <w:shd w:val="clear" w:color="auto" w:fill="auto"/>
            <w:vAlign w:val="center"/>
            <w:hideMark/>
          </w:tcPr>
          <w:p w14:paraId="10DDAD59"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p>
        </w:tc>
        <w:tc>
          <w:tcPr>
            <w:tcW w:w="960" w:type="dxa"/>
            <w:tcBorders>
              <w:top w:val="nil"/>
              <w:left w:val="nil"/>
              <w:bottom w:val="nil"/>
              <w:right w:val="nil"/>
            </w:tcBorders>
            <w:shd w:val="clear" w:color="auto" w:fill="auto"/>
            <w:vAlign w:val="center"/>
            <w:hideMark/>
          </w:tcPr>
          <w:p w14:paraId="234FF9D0"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540" w:type="dxa"/>
            <w:tcBorders>
              <w:top w:val="nil"/>
              <w:left w:val="nil"/>
              <w:bottom w:val="nil"/>
              <w:right w:val="nil"/>
            </w:tcBorders>
            <w:shd w:val="clear" w:color="auto" w:fill="auto"/>
            <w:vAlign w:val="center"/>
            <w:hideMark/>
          </w:tcPr>
          <w:p w14:paraId="4E2F692B"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0BE270D7"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720" w:type="dxa"/>
            <w:tcBorders>
              <w:top w:val="nil"/>
              <w:left w:val="nil"/>
              <w:bottom w:val="nil"/>
              <w:right w:val="nil"/>
            </w:tcBorders>
            <w:shd w:val="clear" w:color="auto" w:fill="auto"/>
            <w:vAlign w:val="center"/>
            <w:hideMark/>
          </w:tcPr>
          <w:p w14:paraId="090F8FE5"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351008FA"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r>
      <w:tr w:rsidR="00244248" w:rsidRPr="009C0314" w14:paraId="73AE40CF" w14:textId="77777777" w:rsidTr="00335B25">
        <w:trPr>
          <w:trHeight w:val="20"/>
        </w:trPr>
        <w:tc>
          <w:tcPr>
            <w:tcW w:w="3860" w:type="dxa"/>
            <w:tcBorders>
              <w:top w:val="nil"/>
              <w:left w:val="nil"/>
              <w:bottom w:val="nil"/>
              <w:right w:val="nil"/>
            </w:tcBorders>
            <w:shd w:val="clear" w:color="auto" w:fill="auto"/>
            <w:vAlign w:val="center"/>
            <w:hideMark/>
          </w:tcPr>
          <w:p w14:paraId="6A55CDE0"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 children</w:t>
            </w:r>
          </w:p>
        </w:tc>
        <w:tc>
          <w:tcPr>
            <w:tcW w:w="1520" w:type="dxa"/>
            <w:tcBorders>
              <w:top w:val="nil"/>
              <w:left w:val="nil"/>
              <w:bottom w:val="nil"/>
              <w:right w:val="nil"/>
            </w:tcBorders>
            <w:shd w:val="clear" w:color="auto" w:fill="auto"/>
            <w:vAlign w:val="center"/>
            <w:hideMark/>
          </w:tcPr>
          <w:p w14:paraId="78C808C7"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2.135***</w:t>
            </w:r>
          </w:p>
        </w:tc>
        <w:tc>
          <w:tcPr>
            <w:tcW w:w="1480" w:type="dxa"/>
            <w:tcBorders>
              <w:top w:val="nil"/>
              <w:left w:val="nil"/>
              <w:bottom w:val="nil"/>
              <w:right w:val="nil"/>
            </w:tcBorders>
            <w:shd w:val="clear" w:color="auto" w:fill="auto"/>
            <w:vAlign w:val="center"/>
            <w:hideMark/>
          </w:tcPr>
          <w:p w14:paraId="2D05A48B"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(0.115)</w:t>
            </w:r>
          </w:p>
        </w:tc>
        <w:tc>
          <w:tcPr>
            <w:tcW w:w="1340" w:type="dxa"/>
            <w:tcBorders>
              <w:top w:val="nil"/>
              <w:left w:val="nil"/>
              <w:bottom w:val="nil"/>
              <w:right w:val="nil"/>
            </w:tcBorders>
            <w:shd w:val="clear" w:color="auto" w:fill="auto"/>
            <w:vAlign w:val="center"/>
            <w:hideMark/>
          </w:tcPr>
          <w:p w14:paraId="4C8631D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p>
        </w:tc>
        <w:tc>
          <w:tcPr>
            <w:tcW w:w="960" w:type="dxa"/>
            <w:tcBorders>
              <w:top w:val="nil"/>
              <w:left w:val="nil"/>
              <w:bottom w:val="nil"/>
              <w:right w:val="nil"/>
            </w:tcBorders>
            <w:shd w:val="clear" w:color="auto" w:fill="auto"/>
            <w:vAlign w:val="center"/>
            <w:hideMark/>
          </w:tcPr>
          <w:p w14:paraId="53334B5D"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540" w:type="dxa"/>
            <w:tcBorders>
              <w:top w:val="nil"/>
              <w:left w:val="nil"/>
              <w:bottom w:val="nil"/>
              <w:right w:val="nil"/>
            </w:tcBorders>
            <w:shd w:val="clear" w:color="auto" w:fill="auto"/>
            <w:vAlign w:val="center"/>
            <w:hideMark/>
          </w:tcPr>
          <w:p w14:paraId="71DF2073"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17ECCAAD"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720" w:type="dxa"/>
            <w:tcBorders>
              <w:top w:val="nil"/>
              <w:left w:val="nil"/>
              <w:bottom w:val="nil"/>
              <w:right w:val="nil"/>
            </w:tcBorders>
            <w:shd w:val="clear" w:color="auto" w:fill="auto"/>
            <w:vAlign w:val="center"/>
            <w:hideMark/>
          </w:tcPr>
          <w:p w14:paraId="7227FBBA"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02F10735"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r>
      <w:tr w:rsidR="00244248" w:rsidRPr="009C0314" w14:paraId="2EFACBAB"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7EF94D1E"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3 children</w:t>
            </w:r>
          </w:p>
        </w:tc>
        <w:tc>
          <w:tcPr>
            <w:tcW w:w="1520" w:type="dxa"/>
            <w:tcBorders>
              <w:top w:val="nil"/>
              <w:left w:val="nil"/>
              <w:bottom w:val="single" w:sz="4" w:space="0" w:color="ED7D31"/>
              <w:right w:val="nil"/>
            </w:tcBorders>
            <w:shd w:val="clear" w:color="auto" w:fill="auto"/>
            <w:vAlign w:val="center"/>
            <w:hideMark/>
          </w:tcPr>
          <w:p w14:paraId="3D107BD9"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2.269***</w:t>
            </w:r>
          </w:p>
        </w:tc>
        <w:tc>
          <w:tcPr>
            <w:tcW w:w="1480" w:type="dxa"/>
            <w:tcBorders>
              <w:top w:val="nil"/>
              <w:left w:val="nil"/>
              <w:bottom w:val="single" w:sz="4" w:space="0" w:color="ED7D31"/>
              <w:right w:val="nil"/>
            </w:tcBorders>
            <w:shd w:val="clear" w:color="auto" w:fill="auto"/>
            <w:vAlign w:val="center"/>
            <w:hideMark/>
          </w:tcPr>
          <w:p w14:paraId="3C6C08B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(0.171)</w:t>
            </w:r>
          </w:p>
        </w:tc>
        <w:tc>
          <w:tcPr>
            <w:tcW w:w="1340" w:type="dxa"/>
            <w:tcBorders>
              <w:top w:val="nil"/>
              <w:left w:val="nil"/>
              <w:bottom w:val="single" w:sz="4" w:space="0" w:color="ED7D31"/>
              <w:right w:val="nil"/>
            </w:tcBorders>
            <w:shd w:val="clear" w:color="auto" w:fill="auto"/>
            <w:vAlign w:val="center"/>
            <w:hideMark/>
          </w:tcPr>
          <w:p w14:paraId="179799B2" w14:textId="77777777" w:rsidR="00244248" w:rsidRPr="009C0314" w:rsidRDefault="00244248" w:rsidP="00335B25">
            <w:pPr>
              <w:spacing w:after="0" w:line="240" w:lineRule="auto"/>
              <w:rPr>
                <w:rFonts w:ascii="Calibri" w:eastAsia="Times New Roman" w:hAnsi="Calibri" w:cs="Calibri"/>
                <w:color w:val="000000"/>
                <w:lang w:eastAsia="en-AU"/>
              </w:rPr>
            </w:pPr>
            <w:r w:rsidRPr="009C0314">
              <w:rPr>
                <w:rFonts w:ascii="Calibri" w:eastAsia="Times New Roman" w:hAnsi="Calibri" w:cs="Calibri"/>
                <w:color w:val="000000"/>
                <w:lang w:eastAsia="en-AU"/>
              </w:rPr>
              <w:t> </w:t>
            </w:r>
          </w:p>
        </w:tc>
        <w:tc>
          <w:tcPr>
            <w:tcW w:w="960" w:type="dxa"/>
            <w:tcBorders>
              <w:top w:val="nil"/>
              <w:left w:val="nil"/>
              <w:bottom w:val="single" w:sz="4" w:space="0" w:color="ED7D31"/>
              <w:right w:val="nil"/>
            </w:tcBorders>
            <w:shd w:val="clear" w:color="auto" w:fill="auto"/>
            <w:vAlign w:val="center"/>
            <w:hideMark/>
          </w:tcPr>
          <w:p w14:paraId="2DEFF823" w14:textId="77777777" w:rsidR="00244248" w:rsidRPr="009C0314" w:rsidRDefault="00244248" w:rsidP="00335B25">
            <w:pPr>
              <w:spacing w:after="0" w:line="240" w:lineRule="auto"/>
              <w:rPr>
                <w:rFonts w:ascii="Calibri" w:eastAsia="Times New Roman" w:hAnsi="Calibri" w:cs="Calibri"/>
                <w:color w:val="808080"/>
                <w:lang w:eastAsia="en-AU"/>
              </w:rPr>
            </w:pPr>
            <w:r w:rsidRPr="009C0314">
              <w:rPr>
                <w:rFonts w:ascii="Calibri" w:eastAsia="Times New Roman" w:hAnsi="Calibri" w:cs="Calibri"/>
                <w:color w:val="808080"/>
                <w:lang w:eastAsia="en-AU"/>
              </w:rPr>
              <w:t> </w:t>
            </w:r>
          </w:p>
        </w:tc>
        <w:tc>
          <w:tcPr>
            <w:tcW w:w="1540" w:type="dxa"/>
            <w:tcBorders>
              <w:top w:val="nil"/>
              <w:left w:val="nil"/>
              <w:bottom w:val="single" w:sz="4" w:space="0" w:color="ED7D31"/>
              <w:right w:val="nil"/>
            </w:tcBorders>
            <w:shd w:val="clear" w:color="auto" w:fill="auto"/>
            <w:vAlign w:val="center"/>
            <w:hideMark/>
          </w:tcPr>
          <w:p w14:paraId="6A0F3293" w14:textId="77777777" w:rsidR="00244248" w:rsidRPr="009C0314" w:rsidRDefault="00244248" w:rsidP="00335B25">
            <w:pPr>
              <w:spacing w:after="0" w:line="240" w:lineRule="auto"/>
              <w:rPr>
                <w:rFonts w:ascii="Calibri" w:eastAsia="Times New Roman" w:hAnsi="Calibri" w:cs="Calibri"/>
                <w:color w:val="000000"/>
                <w:lang w:eastAsia="en-AU"/>
              </w:rPr>
            </w:pPr>
            <w:r w:rsidRPr="009C0314">
              <w:rPr>
                <w:rFonts w:ascii="Calibri" w:eastAsia="Times New Roman" w:hAnsi="Calibri" w:cs="Calibri"/>
                <w:color w:val="000000"/>
                <w:lang w:eastAsia="en-AU"/>
              </w:rPr>
              <w:t> </w:t>
            </w:r>
          </w:p>
        </w:tc>
        <w:tc>
          <w:tcPr>
            <w:tcW w:w="960" w:type="dxa"/>
            <w:tcBorders>
              <w:top w:val="nil"/>
              <w:left w:val="nil"/>
              <w:bottom w:val="single" w:sz="4" w:space="0" w:color="ED7D31"/>
              <w:right w:val="nil"/>
            </w:tcBorders>
            <w:shd w:val="clear" w:color="auto" w:fill="auto"/>
            <w:vAlign w:val="center"/>
            <w:hideMark/>
          </w:tcPr>
          <w:p w14:paraId="641425C4" w14:textId="77777777" w:rsidR="00244248" w:rsidRPr="009C0314" w:rsidRDefault="00244248" w:rsidP="00335B25">
            <w:pPr>
              <w:spacing w:after="0" w:line="240" w:lineRule="auto"/>
              <w:rPr>
                <w:rFonts w:ascii="Calibri" w:eastAsia="Times New Roman" w:hAnsi="Calibri" w:cs="Calibri"/>
                <w:color w:val="808080"/>
                <w:lang w:eastAsia="en-AU"/>
              </w:rPr>
            </w:pPr>
            <w:r w:rsidRPr="009C0314">
              <w:rPr>
                <w:rFonts w:ascii="Calibri" w:eastAsia="Times New Roman" w:hAnsi="Calibri" w:cs="Calibri"/>
                <w:color w:val="808080"/>
                <w:lang w:eastAsia="en-AU"/>
              </w:rPr>
              <w:t> </w:t>
            </w:r>
          </w:p>
        </w:tc>
        <w:tc>
          <w:tcPr>
            <w:tcW w:w="1720" w:type="dxa"/>
            <w:tcBorders>
              <w:top w:val="nil"/>
              <w:left w:val="nil"/>
              <w:bottom w:val="single" w:sz="4" w:space="0" w:color="ED7D31"/>
              <w:right w:val="nil"/>
            </w:tcBorders>
            <w:shd w:val="clear" w:color="auto" w:fill="auto"/>
            <w:vAlign w:val="center"/>
            <w:hideMark/>
          </w:tcPr>
          <w:p w14:paraId="73F9AD69" w14:textId="77777777" w:rsidR="00244248" w:rsidRPr="009C0314" w:rsidRDefault="00244248" w:rsidP="00335B25">
            <w:pPr>
              <w:spacing w:after="0" w:line="240" w:lineRule="auto"/>
              <w:rPr>
                <w:rFonts w:ascii="Calibri" w:eastAsia="Times New Roman" w:hAnsi="Calibri" w:cs="Calibri"/>
                <w:color w:val="000000"/>
                <w:lang w:eastAsia="en-AU"/>
              </w:rPr>
            </w:pPr>
            <w:r w:rsidRPr="009C0314">
              <w:rPr>
                <w:rFonts w:ascii="Calibri" w:eastAsia="Times New Roman" w:hAnsi="Calibri" w:cs="Calibri"/>
                <w:color w:val="000000"/>
                <w:lang w:eastAsia="en-AU"/>
              </w:rPr>
              <w:t> </w:t>
            </w:r>
          </w:p>
        </w:tc>
        <w:tc>
          <w:tcPr>
            <w:tcW w:w="960" w:type="dxa"/>
            <w:tcBorders>
              <w:top w:val="nil"/>
              <w:left w:val="nil"/>
              <w:bottom w:val="single" w:sz="4" w:space="0" w:color="ED7D31"/>
              <w:right w:val="nil"/>
            </w:tcBorders>
            <w:shd w:val="clear" w:color="auto" w:fill="auto"/>
            <w:vAlign w:val="center"/>
            <w:hideMark/>
          </w:tcPr>
          <w:p w14:paraId="4C7E93D9" w14:textId="77777777" w:rsidR="00244248" w:rsidRPr="009C0314" w:rsidRDefault="00244248" w:rsidP="00335B25">
            <w:pPr>
              <w:spacing w:after="0" w:line="240" w:lineRule="auto"/>
              <w:rPr>
                <w:rFonts w:ascii="Calibri" w:eastAsia="Times New Roman" w:hAnsi="Calibri" w:cs="Calibri"/>
                <w:color w:val="808080"/>
                <w:lang w:eastAsia="en-AU"/>
              </w:rPr>
            </w:pPr>
            <w:r w:rsidRPr="009C0314">
              <w:rPr>
                <w:rFonts w:ascii="Calibri" w:eastAsia="Times New Roman" w:hAnsi="Calibri" w:cs="Calibri"/>
                <w:color w:val="808080"/>
                <w:lang w:eastAsia="en-AU"/>
              </w:rPr>
              <w:t> </w:t>
            </w:r>
          </w:p>
        </w:tc>
      </w:tr>
      <w:tr w:rsidR="00244248" w:rsidRPr="009C0314" w14:paraId="3D4F52BF" w14:textId="77777777" w:rsidTr="00335B25">
        <w:trPr>
          <w:trHeight w:val="20"/>
        </w:trPr>
        <w:tc>
          <w:tcPr>
            <w:tcW w:w="3860" w:type="dxa"/>
            <w:tcBorders>
              <w:top w:val="nil"/>
              <w:left w:val="nil"/>
              <w:bottom w:val="nil"/>
              <w:right w:val="nil"/>
            </w:tcBorders>
            <w:shd w:val="clear" w:color="auto" w:fill="auto"/>
            <w:vAlign w:val="center"/>
            <w:hideMark/>
          </w:tcPr>
          <w:p w14:paraId="66641ECF"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 xml:space="preserve">Age group </w:t>
            </w:r>
            <w:r w:rsidRPr="009C0314">
              <w:rPr>
                <w:rFonts w:ascii="Calibri Light" w:eastAsia="Times New Roman" w:hAnsi="Calibri Light" w:cs="Calibri Light"/>
                <w:color w:val="000000"/>
                <w:sz w:val="20"/>
                <w:szCs w:val="20"/>
                <w:lang w:eastAsia="en-AU"/>
              </w:rPr>
              <w:t>(ref: 25-29)</w:t>
            </w:r>
          </w:p>
        </w:tc>
        <w:tc>
          <w:tcPr>
            <w:tcW w:w="1520" w:type="dxa"/>
            <w:tcBorders>
              <w:top w:val="nil"/>
              <w:left w:val="nil"/>
              <w:bottom w:val="nil"/>
              <w:right w:val="nil"/>
            </w:tcBorders>
            <w:shd w:val="clear" w:color="auto" w:fill="auto"/>
            <w:vAlign w:val="center"/>
            <w:hideMark/>
          </w:tcPr>
          <w:p w14:paraId="29FED42D"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480" w:type="dxa"/>
            <w:tcBorders>
              <w:top w:val="nil"/>
              <w:left w:val="nil"/>
              <w:bottom w:val="nil"/>
              <w:right w:val="nil"/>
            </w:tcBorders>
            <w:shd w:val="clear" w:color="auto" w:fill="auto"/>
            <w:vAlign w:val="center"/>
            <w:hideMark/>
          </w:tcPr>
          <w:p w14:paraId="301E882F"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340" w:type="dxa"/>
            <w:tcBorders>
              <w:top w:val="nil"/>
              <w:left w:val="nil"/>
              <w:bottom w:val="nil"/>
              <w:right w:val="nil"/>
            </w:tcBorders>
            <w:shd w:val="clear" w:color="auto" w:fill="auto"/>
            <w:vAlign w:val="center"/>
            <w:hideMark/>
          </w:tcPr>
          <w:p w14:paraId="1E5B31A4"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2B8C2DC1"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540" w:type="dxa"/>
            <w:tcBorders>
              <w:top w:val="nil"/>
              <w:left w:val="nil"/>
              <w:bottom w:val="nil"/>
              <w:right w:val="nil"/>
            </w:tcBorders>
            <w:shd w:val="clear" w:color="auto" w:fill="auto"/>
            <w:vAlign w:val="center"/>
            <w:hideMark/>
          </w:tcPr>
          <w:p w14:paraId="3BC42266"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6E68825C"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720" w:type="dxa"/>
            <w:tcBorders>
              <w:top w:val="nil"/>
              <w:left w:val="nil"/>
              <w:bottom w:val="nil"/>
              <w:right w:val="nil"/>
            </w:tcBorders>
            <w:shd w:val="clear" w:color="auto" w:fill="auto"/>
            <w:vAlign w:val="center"/>
            <w:hideMark/>
          </w:tcPr>
          <w:p w14:paraId="3A5E056C"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4402DFC5"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r>
      <w:tr w:rsidR="00244248" w:rsidRPr="009C0314" w14:paraId="73CF60A1" w14:textId="77777777" w:rsidTr="00335B25">
        <w:trPr>
          <w:trHeight w:val="20"/>
        </w:trPr>
        <w:tc>
          <w:tcPr>
            <w:tcW w:w="3860" w:type="dxa"/>
            <w:tcBorders>
              <w:top w:val="nil"/>
              <w:left w:val="nil"/>
              <w:bottom w:val="nil"/>
              <w:right w:val="nil"/>
            </w:tcBorders>
            <w:shd w:val="clear" w:color="auto" w:fill="auto"/>
            <w:vAlign w:val="center"/>
            <w:hideMark/>
          </w:tcPr>
          <w:p w14:paraId="27263C7C"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 xml:space="preserve"> 18-24</w:t>
            </w:r>
          </w:p>
        </w:tc>
        <w:tc>
          <w:tcPr>
            <w:tcW w:w="1520" w:type="dxa"/>
            <w:tcBorders>
              <w:top w:val="nil"/>
              <w:left w:val="nil"/>
              <w:bottom w:val="nil"/>
              <w:right w:val="nil"/>
            </w:tcBorders>
            <w:shd w:val="clear" w:color="auto" w:fill="auto"/>
            <w:vAlign w:val="center"/>
            <w:hideMark/>
          </w:tcPr>
          <w:p w14:paraId="00EB256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-0.873***</w:t>
            </w:r>
          </w:p>
        </w:tc>
        <w:tc>
          <w:tcPr>
            <w:tcW w:w="1480" w:type="dxa"/>
            <w:tcBorders>
              <w:top w:val="nil"/>
              <w:left w:val="nil"/>
              <w:bottom w:val="nil"/>
              <w:right w:val="nil"/>
            </w:tcBorders>
            <w:shd w:val="clear" w:color="auto" w:fill="auto"/>
            <w:vAlign w:val="center"/>
            <w:hideMark/>
          </w:tcPr>
          <w:p w14:paraId="5805ED41"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(0.084)</w:t>
            </w:r>
          </w:p>
        </w:tc>
        <w:tc>
          <w:tcPr>
            <w:tcW w:w="1340" w:type="dxa"/>
            <w:tcBorders>
              <w:top w:val="nil"/>
              <w:left w:val="nil"/>
              <w:bottom w:val="nil"/>
              <w:right w:val="nil"/>
            </w:tcBorders>
            <w:shd w:val="clear" w:color="auto" w:fill="auto"/>
            <w:vAlign w:val="center"/>
            <w:hideMark/>
          </w:tcPr>
          <w:p w14:paraId="766BA97B"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-1.138***</w:t>
            </w:r>
          </w:p>
        </w:tc>
        <w:tc>
          <w:tcPr>
            <w:tcW w:w="960" w:type="dxa"/>
            <w:tcBorders>
              <w:top w:val="nil"/>
              <w:left w:val="nil"/>
              <w:bottom w:val="nil"/>
              <w:right w:val="nil"/>
            </w:tcBorders>
            <w:shd w:val="clear" w:color="auto" w:fill="auto"/>
            <w:vAlign w:val="center"/>
            <w:hideMark/>
          </w:tcPr>
          <w:p w14:paraId="1B51DB4E"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(0.124)</w:t>
            </w:r>
          </w:p>
        </w:tc>
        <w:tc>
          <w:tcPr>
            <w:tcW w:w="1540" w:type="dxa"/>
            <w:tcBorders>
              <w:top w:val="nil"/>
              <w:left w:val="nil"/>
              <w:bottom w:val="nil"/>
              <w:right w:val="nil"/>
            </w:tcBorders>
            <w:shd w:val="clear" w:color="auto" w:fill="auto"/>
            <w:vAlign w:val="center"/>
            <w:hideMark/>
          </w:tcPr>
          <w:p w14:paraId="2E57107C"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-0.543**</w:t>
            </w:r>
          </w:p>
        </w:tc>
        <w:tc>
          <w:tcPr>
            <w:tcW w:w="960" w:type="dxa"/>
            <w:tcBorders>
              <w:top w:val="nil"/>
              <w:left w:val="nil"/>
              <w:bottom w:val="nil"/>
              <w:right w:val="nil"/>
            </w:tcBorders>
            <w:shd w:val="clear" w:color="auto" w:fill="auto"/>
            <w:vAlign w:val="center"/>
            <w:hideMark/>
          </w:tcPr>
          <w:p w14:paraId="5D203405"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(0.232)</w:t>
            </w:r>
          </w:p>
        </w:tc>
        <w:tc>
          <w:tcPr>
            <w:tcW w:w="1720" w:type="dxa"/>
            <w:tcBorders>
              <w:top w:val="nil"/>
              <w:left w:val="nil"/>
              <w:bottom w:val="nil"/>
              <w:right w:val="nil"/>
            </w:tcBorders>
            <w:shd w:val="clear" w:color="auto" w:fill="auto"/>
            <w:vAlign w:val="center"/>
            <w:hideMark/>
          </w:tcPr>
          <w:p w14:paraId="37788EE4"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-1.005***</w:t>
            </w:r>
          </w:p>
        </w:tc>
        <w:tc>
          <w:tcPr>
            <w:tcW w:w="960" w:type="dxa"/>
            <w:tcBorders>
              <w:top w:val="nil"/>
              <w:left w:val="nil"/>
              <w:bottom w:val="nil"/>
              <w:right w:val="nil"/>
            </w:tcBorders>
            <w:shd w:val="clear" w:color="auto" w:fill="auto"/>
            <w:vAlign w:val="center"/>
            <w:hideMark/>
          </w:tcPr>
          <w:p w14:paraId="270E89F6"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(0.084)</w:t>
            </w:r>
          </w:p>
        </w:tc>
      </w:tr>
      <w:tr w:rsidR="00244248" w:rsidRPr="009C0314" w14:paraId="025B7BBA" w14:textId="77777777" w:rsidTr="00335B25">
        <w:trPr>
          <w:trHeight w:val="20"/>
        </w:trPr>
        <w:tc>
          <w:tcPr>
            <w:tcW w:w="3860" w:type="dxa"/>
            <w:tcBorders>
              <w:top w:val="nil"/>
              <w:left w:val="nil"/>
              <w:bottom w:val="nil"/>
              <w:right w:val="nil"/>
            </w:tcBorders>
            <w:shd w:val="clear" w:color="auto" w:fill="auto"/>
            <w:vAlign w:val="center"/>
            <w:hideMark/>
          </w:tcPr>
          <w:p w14:paraId="75BAFE84"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30-34</w:t>
            </w:r>
          </w:p>
        </w:tc>
        <w:tc>
          <w:tcPr>
            <w:tcW w:w="1520" w:type="dxa"/>
            <w:tcBorders>
              <w:top w:val="nil"/>
              <w:left w:val="nil"/>
              <w:bottom w:val="nil"/>
              <w:right w:val="nil"/>
            </w:tcBorders>
            <w:shd w:val="clear" w:color="auto" w:fill="auto"/>
            <w:vAlign w:val="center"/>
            <w:hideMark/>
          </w:tcPr>
          <w:p w14:paraId="21C2FBE0"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1.036***</w:t>
            </w:r>
          </w:p>
        </w:tc>
        <w:tc>
          <w:tcPr>
            <w:tcW w:w="1480" w:type="dxa"/>
            <w:tcBorders>
              <w:top w:val="nil"/>
              <w:left w:val="nil"/>
              <w:bottom w:val="nil"/>
              <w:right w:val="nil"/>
            </w:tcBorders>
            <w:shd w:val="clear" w:color="auto" w:fill="auto"/>
            <w:vAlign w:val="center"/>
            <w:hideMark/>
          </w:tcPr>
          <w:p w14:paraId="504585D5"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(0.077)</w:t>
            </w:r>
          </w:p>
        </w:tc>
        <w:tc>
          <w:tcPr>
            <w:tcW w:w="1340" w:type="dxa"/>
            <w:tcBorders>
              <w:top w:val="nil"/>
              <w:left w:val="nil"/>
              <w:bottom w:val="nil"/>
              <w:right w:val="nil"/>
            </w:tcBorders>
            <w:shd w:val="clear" w:color="auto" w:fill="auto"/>
            <w:vAlign w:val="center"/>
            <w:hideMark/>
          </w:tcPr>
          <w:p w14:paraId="162C24D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1.347***</w:t>
            </w:r>
          </w:p>
        </w:tc>
        <w:tc>
          <w:tcPr>
            <w:tcW w:w="960" w:type="dxa"/>
            <w:tcBorders>
              <w:top w:val="nil"/>
              <w:left w:val="nil"/>
              <w:bottom w:val="nil"/>
              <w:right w:val="nil"/>
            </w:tcBorders>
            <w:shd w:val="clear" w:color="auto" w:fill="auto"/>
            <w:vAlign w:val="center"/>
            <w:hideMark/>
          </w:tcPr>
          <w:p w14:paraId="368DBACC"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(0.128)</w:t>
            </w:r>
          </w:p>
        </w:tc>
        <w:tc>
          <w:tcPr>
            <w:tcW w:w="1540" w:type="dxa"/>
            <w:tcBorders>
              <w:top w:val="nil"/>
              <w:left w:val="nil"/>
              <w:bottom w:val="nil"/>
              <w:right w:val="nil"/>
            </w:tcBorders>
            <w:shd w:val="clear" w:color="auto" w:fill="auto"/>
            <w:vAlign w:val="center"/>
            <w:hideMark/>
          </w:tcPr>
          <w:p w14:paraId="7643FF8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1.019***</w:t>
            </w:r>
          </w:p>
        </w:tc>
        <w:tc>
          <w:tcPr>
            <w:tcW w:w="960" w:type="dxa"/>
            <w:tcBorders>
              <w:top w:val="nil"/>
              <w:left w:val="nil"/>
              <w:bottom w:val="nil"/>
              <w:right w:val="nil"/>
            </w:tcBorders>
            <w:shd w:val="clear" w:color="auto" w:fill="auto"/>
            <w:vAlign w:val="center"/>
            <w:hideMark/>
          </w:tcPr>
          <w:p w14:paraId="29AE823C"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(0.184)</w:t>
            </w:r>
          </w:p>
        </w:tc>
        <w:tc>
          <w:tcPr>
            <w:tcW w:w="1720" w:type="dxa"/>
            <w:tcBorders>
              <w:top w:val="nil"/>
              <w:left w:val="nil"/>
              <w:bottom w:val="nil"/>
              <w:right w:val="nil"/>
            </w:tcBorders>
            <w:shd w:val="clear" w:color="auto" w:fill="auto"/>
            <w:vAlign w:val="center"/>
            <w:hideMark/>
          </w:tcPr>
          <w:p w14:paraId="26C7077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0.912***</w:t>
            </w:r>
          </w:p>
        </w:tc>
        <w:tc>
          <w:tcPr>
            <w:tcW w:w="960" w:type="dxa"/>
            <w:tcBorders>
              <w:top w:val="nil"/>
              <w:left w:val="nil"/>
              <w:bottom w:val="nil"/>
              <w:right w:val="nil"/>
            </w:tcBorders>
            <w:shd w:val="clear" w:color="auto" w:fill="auto"/>
            <w:vAlign w:val="center"/>
            <w:hideMark/>
          </w:tcPr>
          <w:p w14:paraId="3C757D7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(0.077)</w:t>
            </w:r>
          </w:p>
        </w:tc>
      </w:tr>
      <w:tr w:rsidR="00244248" w:rsidRPr="009C0314" w14:paraId="1B4DCDA4" w14:textId="77777777" w:rsidTr="00335B25">
        <w:trPr>
          <w:trHeight w:val="20"/>
        </w:trPr>
        <w:tc>
          <w:tcPr>
            <w:tcW w:w="3860" w:type="dxa"/>
            <w:tcBorders>
              <w:top w:val="nil"/>
              <w:left w:val="nil"/>
              <w:bottom w:val="nil"/>
              <w:right w:val="nil"/>
            </w:tcBorders>
            <w:shd w:val="clear" w:color="auto" w:fill="auto"/>
            <w:vAlign w:val="center"/>
            <w:hideMark/>
          </w:tcPr>
          <w:p w14:paraId="0AA65036"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35-39</w:t>
            </w:r>
          </w:p>
        </w:tc>
        <w:tc>
          <w:tcPr>
            <w:tcW w:w="1520" w:type="dxa"/>
            <w:tcBorders>
              <w:top w:val="nil"/>
              <w:left w:val="nil"/>
              <w:bottom w:val="nil"/>
              <w:right w:val="nil"/>
            </w:tcBorders>
            <w:shd w:val="clear" w:color="auto" w:fill="auto"/>
            <w:vAlign w:val="center"/>
            <w:hideMark/>
          </w:tcPr>
          <w:p w14:paraId="295FDF98"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2.267***</w:t>
            </w:r>
          </w:p>
        </w:tc>
        <w:tc>
          <w:tcPr>
            <w:tcW w:w="1480" w:type="dxa"/>
            <w:tcBorders>
              <w:top w:val="nil"/>
              <w:left w:val="nil"/>
              <w:bottom w:val="nil"/>
              <w:right w:val="nil"/>
            </w:tcBorders>
            <w:shd w:val="clear" w:color="auto" w:fill="auto"/>
            <w:vAlign w:val="center"/>
            <w:hideMark/>
          </w:tcPr>
          <w:p w14:paraId="5E1188A0"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(0.097)</w:t>
            </w:r>
          </w:p>
        </w:tc>
        <w:tc>
          <w:tcPr>
            <w:tcW w:w="1340" w:type="dxa"/>
            <w:tcBorders>
              <w:top w:val="nil"/>
              <w:left w:val="nil"/>
              <w:bottom w:val="nil"/>
              <w:right w:val="nil"/>
            </w:tcBorders>
            <w:shd w:val="clear" w:color="auto" w:fill="auto"/>
            <w:vAlign w:val="center"/>
            <w:hideMark/>
          </w:tcPr>
          <w:p w14:paraId="61B3387A"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3.036***</w:t>
            </w:r>
          </w:p>
        </w:tc>
        <w:tc>
          <w:tcPr>
            <w:tcW w:w="960" w:type="dxa"/>
            <w:tcBorders>
              <w:top w:val="nil"/>
              <w:left w:val="nil"/>
              <w:bottom w:val="nil"/>
              <w:right w:val="nil"/>
            </w:tcBorders>
            <w:shd w:val="clear" w:color="auto" w:fill="auto"/>
            <w:vAlign w:val="center"/>
            <w:hideMark/>
          </w:tcPr>
          <w:p w14:paraId="338A9A74"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(0.177)</w:t>
            </w:r>
          </w:p>
        </w:tc>
        <w:tc>
          <w:tcPr>
            <w:tcW w:w="1540" w:type="dxa"/>
            <w:tcBorders>
              <w:top w:val="nil"/>
              <w:left w:val="nil"/>
              <w:bottom w:val="nil"/>
              <w:right w:val="nil"/>
            </w:tcBorders>
            <w:shd w:val="clear" w:color="auto" w:fill="auto"/>
            <w:vAlign w:val="center"/>
            <w:hideMark/>
          </w:tcPr>
          <w:p w14:paraId="675430D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2.432***</w:t>
            </w:r>
          </w:p>
        </w:tc>
        <w:tc>
          <w:tcPr>
            <w:tcW w:w="960" w:type="dxa"/>
            <w:tcBorders>
              <w:top w:val="nil"/>
              <w:left w:val="nil"/>
              <w:bottom w:val="nil"/>
              <w:right w:val="nil"/>
            </w:tcBorders>
            <w:shd w:val="clear" w:color="auto" w:fill="auto"/>
            <w:vAlign w:val="center"/>
            <w:hideMark/>
          </w:tcPr>
          <w:p w14:paraId="23E202F1"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(0.227)</w:t>
            </w:r>
          </w:p>
        </w:tc>
        <w:tc>
          <w:tcPr>
            <w:tcW w:w="1720" w:type="dxa"/>
            <w:tcBorders>
              <w:top w:val="nil"/>
              <w:left w:val="nil"/>
              <w:bottom w:val="nil"/>
              <w:right w:val="nil"/>
            </w:tcBorders>
            <w:shd w:val="clear" w:color="auto" w:fill="auto"/>
            <w:vAlign w:val="center"/>
            <w:hideMark/>
          </w:tcPr>
          <w:p w14:paraId="3097ADCB"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2.150***</w:t>
            </w:r>
          </w:p>
        </w:tc>
        <w:tc>
          <w:tcPr>
            <w:tcW w:w="960" w:type="dxa"/>
            <w:tcBorders>
              <w:top w:val="nil"/>
              <w:left w:val="nil"/>
              <w:bottom w:val="nil"/>
              <w:right w:val="nil"/>
            </w:tcBorders>
            <w:shd w:val="clear" w:color="auto" w:fill="auto"/>
            <w:vAlign w:val="center"/>
            <w:hideMark/>
          </w:tcPr>
          <w:p w14:paraId="45F32135"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(0.097)</w:t>
            </w:r>
          </w:p>
        </w:tc>
      </w:tr>
      <w:tr w:rsidR="00244248" w:rsidRPr="009C0314" w14:paraId="2F90DF23" w14:textId="77777777" w:rsidTr="00335B25">
        <w:trPr>
          <w:trHeight w:val="20"/>
        </w:trPr>
        <w:tc>
          <w:tcPr>
            <w:tcW w:w="3860" w:type="dxa"/>
            <w:tcBorders>
              <w:top w:val="nil"/>
              <w:left w:val="nil"/>
              <w:bottom w:val="nil"/>
              <w:right w:val="nil"/>
            </w:tcBorders>
            <w:shd w:val="clear" w:color="auto" w:fill="auto"/>
            <w:vAlign w:val="center"/>
            <w:hideMark/>
          </w:tcPr>
          <w:p w14:paraId="12D6C8D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40-44</w:t>
            </w:r>
          </w:p>
        </w:tc>
        <w:tc>
          <w:tcPr>
            <w:tcW w:w="1520" w:type="dxa"/>
            <w:tcBorders>
              <w:top w:val="nil"/>
              <w:left w:val="nil"/>
              <w:bottom w:val="nil"/>
              <w:right w:val="nil"/>
            </w:tcBorders>
            <w:shd w:val="clear" w:color="auto" w:fill="auto"/>
            <w:vAlign w:val="center"/>
            <w:hideMark/>
          </w:tcPr>
          <w:p w14:paraId="54E2FBA0"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4.061***</w:t>
            </w:r>
          </w:p>
        </w:tc>
        <w:tc>
          <w:tcPr>
            <w:tcW w:w="1480" w:type="dxa"/>
            <w:tcBorders>
              <w:top w:val="nil"/>
              <w:left w:val="nil"/>
              <w:bottom w:val="nil"/>
              <w:right w:val="nil"/>
            </w:tcBorders>
            <w:shd w:val="clear" w:color="auto" w:fill="auto"/>
            <w:vAlign w:val="center"/>
            <w:hideMark/>
          </w:tcPr>
          <w:p w14:paraId="22DC1313"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(0.148)</w:t>
            </w:r>
          </w:p>
        </w:tc>
        <w:tc>
          <w:tcPr>
            <w:tcW w:w="1340" w:type="dxa"/>
            <w:tcBorders>
              <w:top w:val="nil"/>
              <w:left w:val="nil"/>
              <w:bottom w:val="nil"/>
              <w:right w:val="nil"/>
            </w:tcBorders>
            <w:shd w:val="clear" w:color="auto" w:fill="auto"/>
            <w:vAlign w:val="center"/>
            <w:hideMark/>
          </w:tcPr>
          <w:p w14:paraId="6FD49398"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4.713***</w:t>
            </w:r>
          </w:p>
        </w:tc>
        <w:tc>
          <w:tcPr>
            <w:tcW w:w="960" w:type="dxa"/>
            <w:tcBorders>
              <w:top w:val="nil"/>
              <w:left w:val="nil"/>
              <w:bottom w:val="nil"/>
              <w:right w:val="nil"/>
            </w:tcBorders>
            <w:shd w:val="clear" w:color="auto" w:fill="auto"/>
            <w:vAlign w:val="center"/>
            <w:hideMark/>
          </w:tcPr>
          <w:p w14:paraId="492F2A4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(0.238)</w:t>
            </w:r>
          </w:p>
        </w:tc>
        <w:tc>
          <w:tcPr>
            <w:tcW w:w="1540" w:type="dxa"/>
            <w:tcBorders>
              <w:top w:val="nil"/>
              <w:left w:val="nil"/>
              <w:bottom w:val="nil"/>
              <w:right w:val="nil"/>
            </w:tcBorders>
            <w:shd w:val="clear" w:color="auto" w:fill="auto"/>
            <w:vAlign w:val="center"/>
            <w:hideMark/>
          </w:tcPr>
          <w:p w14:paraId="31769E0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4.605***</w:t>
            </w:r>
          </w:p>
        </w:tc>
        <w:tc>
          <w:tcPr>
            <w:tcW w:w="960" w:type="dxa"/>
            <w:tcBorders>
              <w:top w:val="nil"/>
              <w:left w:val="nil"/>
              <w:bottom w:val="nil"/>
              <w:right w:val="nil"/>
            </w:tcBorders>
            <w:shd w:val="clear" w:color="auto" w:fill="auto"/>
            <w:vAlign w:val="center"/>
            <w:hideMark/>
          </w:tcPr>
          <w:p w14:paraId="2E98FBB0"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(0.338)</w:t>
            </w:r>
          </w:p>
        </w:tc>
        <w:tc>
          <w:tcPr>
            <w:tcW w:w="1720" w:type="dxa"/>
            <w:tcBorders>
              <w:top w:val="nil"/>
              <w:left w:val="nil"/>
              <w:bottom w:val="nil"/>
              <w:right w:val="nil"/>
            </w:tcBorders>
            <w:shd w:val="clear" w:color="auto" w:fill="auto"/>
            <w:vAlign w:val="center"/>
            <w:hideMark/>
          </w:tcPr>
          <w:p w14:paraId="3DFC488F"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4.931***</w:t>
            </w:r>
          </w:p>
        </w:tc>
        <w:tc>
          <w:tcPr>
            <w:tcW w:w="960" w:type="dxa"/>
            <w:tcBorders>
              <w:top w:val="nil"/>
              <w:left w:val="nil"/>
              <w:bottom w:val="nil"/>
              <w:right w:val="nil"/>
            </w:tcBorders>
            <w:shd w:val="clear" w:color="auto" w:fill="auto"/>
            <w:vAlign w:val="center"/>
            <w:hideMark/>
          </w:tcPr>
          <w:p w14:paraId="12786394"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(0.148)</w:t>
            </w:r>
          </w:p>
        </w:tc>
      </w:tr>
      <w:tr w:rsidR="00244248" w:rsidRPr="009C0314" w14:paraId="564D191A"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63CD084C"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45-49</w:t>
            </w:r>
          </w:p>
        </w:tc>
        <w:tc>
          <w:tcPr>
            <w:tcW w:w="1520" w:type="dxa"/>
            <w:tcBorders>
              <w:top w:val="nil"/>
              <w:left w:val="nil"/>
              <w:bottom w:val="single" w:sz="8" w:space="0" w:color="ED7D31"/>
              <w:right w:val="nil"/>
            </w:tcBorders>
            <w:shd w:val="clear" w:color="auto" w:fill="auto"/>
            <w:vAlign w:val="center"/>
            <w:hideMark/>
          </w:tcPr>
          <w:p w14:paraId="4BC4297E"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5.562***</w:t>
            </w:r>
          </w:p>
        </w:tc>
        <w:tc>
          <w:tcPr>
            <w:tcW w:w="1480" w:type="dxa"/>
            <w:tcBorders>
              <w:top w:val="nil"/>
              <w:left w:val="nil"/>
              <w:bottom w:val="single" w:sz="8" w:space="0" w:color="ED7D31"/>
              <w:right w:val="nil"/>
            </w:tcBorders>
            <w:shd w:val="clear" w:color="auto" w:fill="auto"/>
            <w:vAlign w:val="center"/>
            <w:hideMark/>
          </w:tcPr>
          <w:p w14:paraId="3F78B777"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(0.321)</w:t>
            </w:r>
          </w:p>
        </w:tc>
        <w:tc>
          <w:tcPr>
            <w:tcW w:w="1340" w:type="dxa"/>
            <w:tcBorders>
              <w:top w:val="nil"/>
              <w:left w:val="nil"/>
              <w:bottom w:val="single" w:sz="8" w:space="0" w:color="ED7D31"/>
              <w:right w:val="nil"/>
            </w:tcBorders>
            <w:shd w:val="clear" w:color="auto" w:fill="auto"/>
            <w:vAlign w:val="center"/>
            <w:hideMark/>
          </w:tcPr>
          <w:p w14:paraId="15233144"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5.927***</w:t>
            </w:r>
          </w:p>
        </w:tc>
        <w:tc>
          <w:tcPr>
            <w:tcW w:w="960" w:type="dxa"/>
            <w:tcBorders>
              <w:top w:val="nil"/>
              <w:left w:val="nil"/>
              <w:bottom w:val="single" w:sz="8" w:space="0" w:color="ED7D31"/>
              <w:right w:val="nil"/>
            </w:tcBorders>
            <w:shd w:val="clear" w:color="auto" w:fill="auto"/>
            <w:vAlign w:val="center"/>
            <w:hideMark/>
          </w:tcPr>
          <w:p w14:paraId="0225B9C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(0.511)</w:t>
            </w:r>
          </w:p>
        </w:tc>
        <w:tc>
          <w:tcPr>
            <w:tcW w:w="1540" w:type="dxa"/>
            <w:tcBorders>
              <w:top w:val="nil"/>
              <w:left w:val="nil"/>
              <w:bottom w:val="single" w:sz="8" w:space="0" w:color="ED7D31"/>
              <w:right w:val="nil"/>
            </w:tcBorders>
            <w:shd w:val="clear" w:color="auto" w:fill="auto"/>
            <w:vAlign w:val="center"/>
            <w:hideMark/>
          </w:tcPr>
          <w:p w14:paraId="7C559482"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6.944***</w:t>
            </w:r>
          </w:p>
        </w:tc>
        <w:tc>
          <w:tcPr>
            <w:tcW w:w="960" w:type="dxa"/>
            <w:tcBorders>
              <w:top w:val="nil"/>
              <w:left w:val="nil"/>
              <w:bottom w:val="single" w:sz="8" w:space="0" w:color="ED7D31"/>
              <w:right w:val="nil"/>
            </w:tcBorders>
            <w:shd w:val="clear" w:color="auto" w:fill="auto"/>
            <w:vAlign w:val="center"/>
            <w:hideMark/>
          </w:tcPr>
          <w:p w14:paraId="7A2F316B"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(1.105)</w:t>
            </w:r>
          </w:p>
        </w:tc>
        <w:tc>
          <w:tcPr>
            <w:tcW w:w="1720" w:type="dxa"/>
            <w:tcBorders>
              <w:top w:val="nil"/>
              <w:left w:val="nil"/>
              <w:bottom w:val="single" w:sz="8" w:space="0" w:color="ED7D31"/>
              <w:right w:val="nil"/>
            </w:tcBorders>
            <w:shd w:val="clear" w:color="auto" w:fill="auto"/>
            <w:vAlign w:val="center"/>
            <w:hideMark/>
          </w:tcPr>
          <w:p w14:paraId="7F87BFE4"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6.313***</w:t>
            </w:r>
          </w:p>
        </w:tc>
        <w:tc>
          <w:tcPr>
            <w:tcW w:w="960" w:type="dxa"/>
            <w:tcBorders>
              <w:top w:val="nil"/>
              <w:left w:val="nil"/>
              <w:bottom w:val="single" w:sz="8" w:space="0" w:color="ED7D31"/>
              <w:right w:val="nil"/>
            </w:tcBorders>
            <w:shd w:val="clear" w:color="auto" w:fill="auto"/>
            <w:vAlign w:val="center"/>
            <w:hideMark/>
          </w:tcPr>
          <w:p w14:paraId="15D98EEF"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(0.321)</w:t>
            </w:r>
          </w:p>
        </w:tc>
      </w:tr>
      <w:tr w:rsidR="00244248" w:rsidRPr="009C0314" w14:paraId="27BC9B52" w14:textId="77777777" w:rsidTr="00335B25">
        <w:trPr>
          <w:trHeight w:val="20"/>
        </w:trPr>
        <w:tc>
          <w:tcPr>
            <w:tcW w:w="3860" w:type="dxa"/>
            <w:tcBorders>
              <w:top w:val="nil"/>
              <w:left w:val="nil"/>
              <w:bottom w:val="nil"/>
              <w:right w:val="nil"/>
            </w:tcBorders>
            <w:shd w:val="clear" w:color="auto" w:fill="auto"/>
            <w:vAlign w:val="center"/>
            <w:hideMark/>
          </w:tcPr>
          <w:p w14:paraId="66C8CFB6"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 xml:space="preserve">Education level </w:t>
            </w:r>
            <w:r w:rsidRPr="009C0314">
              <w:rPr>
                <w:rFonts w:ascii="Calibri Light" w:eastAsia="Times New Roman" w:hAnsi="Calibri Light" w:cs="Calibri Light"/>
                <w:color w:val="000000"/>
                <w:sz w:val="20"/>
                <w:szCs w:val="20"/>
                <w:lang w:eastAsia="en-AU"/>
              </w:rPr>
              <w:t>(ref: Year 11 or below)</w:t>
            </w:r>
          </w:p>
        </w:tc>
        <w:tc>
          <w:tcPr>
            <w:tcW w:w="1520" w:type="dxa"/>
            <w:tcBorders>
              <w:top w:val="nil"/>
              <w:left w:val="nil"/>
              <w:bottom w:val="nil"/>
              <w:right w:val="nil"/>
            </w:tcBorders>
            <w:shd w:val="clear" w:color="auto" w:fill="auto"/>
            <w:vAlign w:val="center"/>
            <w:hideMark/>
          </w:tcPr>
          <w:p w14:paraId="40D56E15"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480" w:type="dxa"/>
            <w:tcBorders>
              <w:top w:val="nil"/>
              <w:left w:val="nil"/>
              <w:bottom w:val="nil"/>
              <w:right w:val="nil"/>
            </w:tcBorders>
            <w:shd w:val="clear" w:color="auto" w:fill="auto"/>
            <w:vAlign w:val="center"/>
            <w:hideMark/>
          </w:tcPr>
          <w:p w14:paraId="56ECE3DC"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340" w:type="dxa"/>
            <w:tcBorders>
              <w:top w:val="nil"/>
              <w:left w:val="nil"/>
              <w:bottom w:val="nil"/>
              <w:right w:val="nil"/>
            </w:tcBorders>
            <w:shd w:val="clear" w:color="auto" w:fill="auto"/>
            <w:vAlign w:val="center"/>
            <w:hideMark/>
          </w:tcPr>
          <w:p w14:paraId="58EE4CA8"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48FFABC9"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540" w:type="dxa"/>
            <w:tcBorders>
              <w:top w:val="nil"/>
              <w:left w:val="nil"/>
              <w:bottom w:val="nil"/>
              <w:right w:val="nil"/>
            </w:tcBorders>
            <w:shd w:val="clear" w:color="auto" w:fill="auto"/>
            <w:vAlign w:val="center"/>
            <w:hideMark/>
          </w:tcPr>
          <w:p w14:paraId="136E274C"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03E649F5"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720" w:type="dxa"/>
            <w:tcBorders>
              <w:top w:val="nil"/>
              <w:left w:val="nil"/>
              <w:bottom w:val="nil"/>
              <w:right w:val="nil"/>
            </w:tcBorders>
            <w:shd w:val="clear" w:color="auto" w:fill="auto"/>
            <w:vAlign w:val="center"/>
            <w:hideMark/>
          </w:tcPr>
          <w:p w14:paraId="34AFEA16"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5BB41CAA"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r>
      <w:tr w:rsidR="00244248" w:rsidRPr="009C0314" w14:paraId="2886D123" w14:textId="77777777" w:rsidTr="00335B25">
        <w:trPr>
          <w:trHeight w:val="20"/>
        </w:trPr>
        <w:tc>
          <w:tcPr>
            <w:tcW w:w="3860" w:type="dxa"/>
            <w:tcBorders>
              <w:top w:val="nil"/>
              <w:left w:val="nil"/>
              <w:bottom w:val="nil"/>
              <w:right w:val="nil"/>
            </w:tcBorders>
            <w:shd w:val="clear" w:color="auto" w:fill="auto"/>
            <w:vAlign w:val="center"/>
            <w:hideMark/>
          </w:tcPr>
          <w:p w14:paraId="099F7268"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Bachelor Degree or higher</w:t>
            </w:r>
          </w:p>
        </w:tc>
        <w:tc>
          <w:tcPr>
            <w:tcW w:w="1520" w:type="dxa"/>
            <w:tcBorders>
              <w:top w:val="nil"/>
              <w:left w:val="nil"/>
              <w:bottom w:val="nil"/>
              <w:right w:val="nil"/>
            </w:tcBorders>
            <w:shd w:val="clear" w:color="auto" w:fill="auto"/>
            <w:vAlign w:val="center"/>
            <w:hideMark/>
          </w:tcPr>
          <w:p w14:paraId="44F4BC8C"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-0.675***</w:t>
            </w:r>
          </w:p>
        </w:tc>
        <w:tc>
          <w:tcPr>
            <w:tcW w:w="1480" w:type="dxa"/>
            <w:tcBorders>
              <w:top w:val="nil"/>
              <w:left w:val="nil"/>
              <w:bottom w:val="nil"/>
              <w:right w:val="nil"/>
            </w:tcBorders>
            <w:shd w:val="clear" w:color="auto" w:fill="auto"/>
            <w:vAlign w:val="center"/>
            <w:hideMark/>
          </w:tcPr>
          <w:p w14:paraId="7BF22C9C"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(0.114)</w:t>
            </w:r>
          </w:p>
        </w:tc>
        <w:tc>
          <w:tcPr>
            <w:tcW w:w="1340" w:type="dxa"/>
            <w:tcBorders>
              <w:top w:val="nil"/>
              <w:left w:val="nil"/>
              <w:bottom w:val="nil"/>
              <w:right w:val="nil"/>
            </w:tcBorders>
            <w:shd w:val="clear" w:color="auto" w:fill="auto"/>
            <w:vAlign w:val="center"/>
            <w:hideMark/>
          </w:tcPr>
          <w:p w14:paraId="14A65024"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-0.890***</w:t>
            </w:r>
          </w:p>
        </w:tc>
        <w:tc>
          <w:tcPr>
            <w:tcW w:w="960" w:type="dxa"/>
            <w:tcBorders>
              <w:top w:val="nil"/>
              <w:left w:val="nil"/>
              <w:bottom w:val="nil"/>
              <w:right w:val="nil"/>
            </w:tcBorders>
            <w:shd w:val="clear" w:color="auto" w:fill="auto"/>
            <w:vAlign w:val="center"/>
            <w:hideMark/>
          </w:tcPr>
          <w:p w14:paraId="4B5D251B"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(0.179)</w:t>
            </w:r>
          </w:p>
        </w:tc>
        <w:tc>
          <w:tcPr>
            <w:tcW w:w="1540" w:type="dxa"/>
            <w:tcBorders>
              <w:top w:val="nil"/>
              <w:left w:val="nil"/>
              <w:bottom w:val="nil"/>
              <w:right w:val="nil"/>
            </w:tcBorders>
            <w:shd w:val="clear" w:color="auto" w:fill="auto"/>
            <w:vAlign w:val="center"/>
            <w:hideMark/>
          </w:tcPr>
          <w:p w14:paraId="4F65673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-1.167***</w:t>
            </w:r>
          </w:p>
        </w:tc>
        <w:tc>
          <w:tcPr>
            <w:tcW w:w="960" w:type="dxa"/>
            <w:tcBorders>
              <w:top w:val="nil"/>
              <w:left w:val="nil"/>
              <w:bottom w:val="nil"/>
              <w:right w:val="nil"/>
            </w:tcBorders>
            <w:shd w:val="clear" w:color="auto" w:fill="auto"/>
            <w:vAlign w:val="center"/>
            <w:hideMark/>
          </w:tcPr>
          <w:p w14:paraId="00353366"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(0.285)</w:t>
            </w:r>
          </w:p>
        </w:tc>
        <w:tc>
          <w:tcPr>
            <w:tcW w:w="1720" w:type="dxa"/>
            <w:tcBorders>
              <w:top w:val="nil"/>
              <w:left w:val="nil"/>
              <w:bottom w:val="nil"/>
              <w:right w:val="nil"/>
            </w:tcBorders>
            <w:shd w:val="clear" w:color="auto" w:fill="auto"/>
            <w:vAlign w:val="center"/>
            <w:hideMark/>
          </w:tcPr>
          <w:p w14:paraId="14018D0D"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-0.812**</w:t>
            </w:r>
          </w:p>
        </w:tc>
        <w:tc>
          <w:tcPr>
            <w:tcW w:w="960" w:type="dxa"/>
            <w:tcBorders>
              <w:top w:val="nil"/>
              <w:left w:val="nil"/>
              <w:bottom w:val="nil"/>
              <w:right w:val="nil"/>
            </w:tcBorders>
            <w:shd w:val="clear" w:color="auto" w:fill="auto"/>
            <w:vAlign w:val="center"/>
            <w:hideMark/>
          </w:tcPr>
          <w:p w14:paraId="1A8CD9A8"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(0.114)</w:t>
            </w:r>
          </w:p>
        </w:tc>
      </w:tr>
      <w:tr w:rsidR="00244248" w:rsidRPr="009C0314" w14:paraId="114CA8FE" w14:textId="77777777" w:rsidTr="00335B25">
        <w:trPr>
          <w:trHeight w:val="20"/>
        </w:trPr>
        <w:tc>
          <w:tcPr>
            <w:tcW w:w="3860" w:type="dxa"/>
            <w:tcBorders>
              <w:top w:val="nil"/>
              <w:left w:val="nil"/>
              <w:bottom w:val="nil"/>
              <w:right w:val="nil"/>
            </w:tcBorders>
            <w:shd w:val="clear" w:color="auto" w:fill="auto"/>
            <w:vAlign w:val="center"/>
            <w:hideMark/>
          </w:tcPr>
          <w:p w14:paraId="5712063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Diploma/ Cert III/IV</w:t>
            </w:r>
          </w:p>
        </w:tc>
        <w:tc>
          <w:tcPr>
            <w:tcW w:w="1520" w:type="dxa"/>
            <w:tcBorders>
              <w:top w:val="nil"/>
              <w:left w:val="nil"/>
              <w:bottom w:val="nil"/>
              <w:right w:val="nil"/>
            </w:tcBorders>
            <w:shd w:val="clear" w:color="auto" w:fill="auto"/>
            <w:vAlign w:val="center"/>
            <w:hideMark/>
          </w:tcPr>
          <w:p w14:paraId="6985112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-0.312***</w:t>
            </w:r>
          </w:p>
        </w:tc>
        <w:tc>
          <w:tcPr>
            <w:tcW w:w="1480" w:type="dxa"/>
            <w:tcBorders>
              <w:top w:val="nil"/>
              <w:left w:val="nil"/>
              <w:bottom w:val="nil"/>
              <w:right w:val="nil"/>
            </w:tcBorders>
            <w:shd w:val="clear" w:color="auto" w:fill="auto"/>
            <w:vAlign w:val="center"/>
            <w:hideMark/>
          </w:tcPr>
          <w:p w14:paraId="30EF95E1"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(0.107)</w:t>
            </w:r>
          </w:p>
        </w:tc>
        <w:tc>
          <w:tcPr>
            <w:tcW w:w="1340" w:type="dxa"/>
            <w:tcBorders>
              <w:top w:val="nil"/>
              <w:left w:val="nil"/>
              <w:bottom w:val="nil"/>
              <w:right w:val="nil"/>
            </w:tcBorders>
            <w:shd w:val="clear" w:color="auto" w:fill="auto"/>
            <w:vAlign w:val="center"/>
            <w:hideMark/>
          </w:tcPr>
          <w:p w14:paraId="72559F9E"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-0.645***</w:t>
            </w:r>
          </w:p>
        </w:tc>
        <w:tc>
          <w:tcPr>
            <w:tcW w:w="960" w:type="dxa"/>
            <w:tcBorders>
              <w:top w:val="nil"/>
              <w:left w:val="nil"/>
              <w:bottom w:val="nil"/>
              <w:right w:val="nil"/>
            </w:tcBorders>
            <w:shd w:val="clear" w:color="auto" w:fill="auto"/>
            <w:vAlign w:val="center"/>
            <w:hideMark/>
          </w:tcPr>
          <w:p w14:paraId="59D96A28"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(0.177)</w:t>
            </w:r>
          </w:p>
        </w:tc>
        <w:tc>
          <w:tcPr>
            <w:tcW w:w="1540" w:type="dxa"/>
            <w:tcBorders>
              <w:top w:val="nil"/>
              <w:left w:val="nil"/>
              <w:bottom w:val="nil"/>
              <w:right w:val="nil"/>
            </w:tcBorders>
            <w:shd w:val="clear" w:color="auto" w:fill="auto"/>
            <w:vAlign w:val="center"/>
            <w:hideMark/>
          </w:tcPr>
          <w:p w14:paraId="04CA60D1"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-0.340</w:t>
            </w:r>
          </w:p>
        </w:tc>
        <w:tc>
          <w:tcPr>
            <w:tcW w:w="960" w:type="dxa"/>
            <w:tcBorders>
              <w:top w:val="nil"/>
              <w:left w:val="nil"/>
              <w:bottom w:val="nil"/>
              <w:right w:val="nil"/>
            </w:tcBorders>
            <w:shd w:val="clear" w:color="auto" w:fill="auto"/>
            <w:vAlign w:val="center"/>
            <w:hideMark/>
          </w:tcPr>
          <w:p w14:paraId="62F0F50F"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(0.251)</w:t>
            </w:r>
          </w:p>
        </w:tc>
        <w:tc>
          <w:tcPr>
            <w:tcW w:w="1720" w:type="dxa"/>
            <w:tcBorders>
              <w:top w:val="nil"/>
              <w:left w:val="nil"/>
              <w:bottom w:val="nil"/>
              <w:right w:val="nil"/>
            </w:tcBorders>
            <w:shd w:val="clear" w:color="auto" w:fill="auto"/>
            <w:vAlign w:val="center"/>
            <w:hideMark/>
          </w:tcPr>
          <w:p w14:paraId="50F6370F"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-0.326</w:t>
            </w:r>
          </w:p>
        </w:tc>
        <w:tc>
          <w:tcPr>
            <w:tcW w:w="960" w:type="dxa"/>
            <w:tcBorders>
              <w:top w:val="nil"/>
              <w:left w:val="nil"/>
              <w:bottom w:val="nil"/>
              <w:right w:val="nil"/>
            </w:tcBorders>
            <w:shd w:val="clear" w:color="auto" w:fill="auto"/>
            <w:vAlign w:val="center"/>
            <w:hideMark/>
          </w:tcPr>
          <w:p w14:paraId="10AB28E6"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(0.107)</w:t>
            </w:r>
          </w:p>
        </w:tc>
      </w:tr>
      <w:tr w:rsidR="00244248" w:rsidRPr="009C0314" w14:paraId="42EB9A3E"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44FBDCE8"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Year 12</w:t>
            </w:r>
          </w:p>
        </w:tc>
        <w:tc>
          <w:tcPr>
            <w:tcW w:w="1520" w:type="dxa"/>
            <w:tcBorders>
              <w:top w:val="nil"/>
              <w:left w:val="nil"/>
              <w:bottom w:val="single" w:sz="8" w:space="0" w:color="ED7D31"/>
              <w:right w:val="nil"/>
            </w:tcBorders>
            <w:shd w:val="clear" w:color="auto" w:fill="auto"/>
            <w:vAlign w:val="center"/>
            <w:hideMark/>
          </w:tcPr>
          <w:p w14:paraId="0D5698CF"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-0.481***</w:t>
            </w:r>
          </w:p>
        </w:tc>
        <w:tc>
          <w:tcPr>
            <w:tcW w:w="1480" w:type="dxa"/>
            <w:tcBorders>
              <w:top w:val="nil"/>
              <w:left w:val="nil"/>
              <w:bottom w:val="single" w:sz="8" w:space="0" w:color="ED7D31"/>
              <w:right w:val="nil"/>
            </w:tcBorders>
            <w:shd w:val="clear" w:color="auto" w:fill="auto"/>
            <w:vAlign w:val="center"/>
            <w:hideMark/>
          </w:tcPr>
          <w:p w14:paraId="4E30FF96"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(0.108)</w:t>
            </w:r>
          </w:p>
        </w:tc>
        <w:tc>
          <w:tcPr>
            <w:tcW w:w="1340" w:type="dxa"/>
            <w:tcBorders>
              <w:top w:val="nil"/>
              <w:left w:val="nil"/>
              <w:bottom w:val="single" w:sz="8" w:space="0" w:color="ED7D31"/>
              <w:right w:val="nil"/>
            </w:tcBorders>
            <w:shd w:val="clear" w:color="auto" w:fill="auto"/>
            <w:vAlign w:val="center"/>
            <w:hideMark/>
          </w:tcPr>
          <w:p w14:paraId="48C9F4C9"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-0.719***</w:t>
            </w:r>
          </w:p>
        </w:tc>
        <w:tc>
          <w:tcPr>
            <w:tcW w:w="960" w:type="dxa"/>
            <w:tcBorders>
              <w:top w:val="nil"/>
              <w:left w:val="nil"/>
              <w:bottom w:val="single" w:sz="8" w:space="0" w:color="ED7D31"/>
              <w:right w:val="nil"/>
            </w:tcBorders>
            <w:shd w:val="clear" w:color="auto" w:fill="auto"/>
            <w:vAlign w:val="center"/>
            <w:hideMark/>
          </w:tcPr>
          <w:p w14:paraId="06C08DF4"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(0.164)</w:t>
            </w:r>
          </w:p>
        </w:tc>
        <w:tc>
          <w:tcPr>
            <w:tcW w:w="1540" w:type="dxa"/>
            <w:tcBorders>
              <w:top w:val="nil"/>
              <w:left w:val="nil"/>
              <w:bottom w:val="single" w:sz="8" w:space="0" w:color="ED7D31"/>
              <w:right w:val="nil"/>
            </w:tcBorders>
            <w:shd w:val="clear" w:color="auto" w:fill="auto"/>
            <w:vAlign w:val="center"/>
            <w:hideMark/>
          </w:tcPr>
          <w:p w14:paraId="24126F5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-0.329</w:t>
            </w:r>
          </w:p>
        </w:tc>
        <w:tc>
          <w:tcPr>
            <w:tcW w:w="960" w:type="dxa"/>
            <w:tcBorders>
              <w:top w:val="nil"/>
              <w:left w:val="nil"/>
              <w:bottom w:val="single" w:sz="8" w:space="0" w:color="ED7D31"/>
              <w:right w:val="nil"/>
            </w:tcBorders>
            <w:shd w:val="clear" w:color="auto" w:fill="auto"/>
            <w:vAlign w:val="center"/>
            <w:hideMark/>
          </w:tcPr>
          <w:p w14:paraId="7245D15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(0.266)</w:t>
            </w:r>
          </w:p>
        </w:tc>
        <w:tc>
          <w:tcPr>
            <w:tcW w:w="1720" w:type="dxa"/>
            <w:tcBorders>
              <w:top w:val="nil"/>
              <w:left w:val="nil"/>
              <w:bottom w:val="single" w:sz="8" w:space="0" w:color="ED7D31"/>
              <w:right w:val="nil"/>
            </w:tcBorders>
            <w:shd w:val="clear" w:color="auto" w:fill="auto"/>
            <w:vAlign w:val="center"/>
            <w:hideMark/>
          </w:tcPr>
          <w:p w14:paraId="7B7DD38B"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-0.296</w:t>
            </w:r>
          </w:p>
        </w:tc>
        <w:tc>
          <w:tcPr>
            <w:tcW w:w="960" w:type="dxa"/>
            <w:tcBorders>
              <w:top w:val="nil"/>
              <w:left w:val="nil"/>
              <w:bottom w:val="single" w:sz="8" w:space="0" w:color="ED7D31"/>
              <w:right w:val="nil"/>
            </w:tcBorders>
            <w:shd w:val="clear" w:color="auto" w:fill="auto"/>
            <w:vAlign w:val="center"/>
            <w:hideMark/>
          </w:tcPr>
          <w:p w14:paraId="252977F4"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(0.108)</w:t>
            </w:r>
          </w:p>
        </w:tc>
      </w:tr>
      <w:tr w:rsidR="00244248" w:rsidRPr="009C0314" w14:paraId="7BBBC703" w14:textId="77777777" w:rsidTr="00335B25">
        <w:trPr>
          <w:trHeight w:val="20"/>
        </w:trPr>
        <w:tc>
          <w:tcPr>
            <w:tcW w:w="3860" w:type="dxa"/>
            <w:tcBorders>
              <w:top w:val="nil"/>
              <w:left w:val="nil"/>
              <w:bottom w:val="nil"/>
              <w:right w:val="nil"/>
            </w:tcBorders>
            <w:shd w:val="clear" w:color="auto" w:fill="auto"/>
            <w:vAlign w:val="center"/>
            <w:hideMark/>
          </w:tcPr>
          <w:p w14:paraId="638904C1"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 xml:space="preserve">Relationship status </w:t>
            </w:r>
            <w:r w:rsidRPr="009C0314">
              <w:rPr>
                <w:rFonts w:ascii="Calibri Light" w:eastAsia="Times New Roman" w:hAnsi="Calibri Light" w:cs="Calibri Light"/>
                <w:color w:val="000000"/>
                <w:sz w:val="20"/>
                <w:szCs w:val="20"/>
                <w:lang w:eastAsia="en-AU"/>
              </w:rPr>
              <w:t>(ref: Single)</w:t>
            </w:r>
          </w:p>
        </w:tc>
        <w:tc>
          <w:tcPr>
            <w:tcW w:w="1520" w:type="dxa"/>
            <w:tcBorders>
              <w:top w:val="nil"/>
              <w:left w:val="nil"/>
              <w:bottom w:val="nil"/>
              <w:right w:val="nil"/>
            </w:tcBorders>
            <w:shd w:val="clear" w:color="auto" w:fill="auto"/>
            <w:vAlign w:val="center"/>
            <w:hideMark/>
          </w:tcPr>
          <w:p w14:paraId="1A883DDA"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480" w:type="dxa"/>
            <w:tcBorders>
              <w:top w:val="nil"/>
              <w:left w:val="nil"/>
              <w:bottom w:val="nil"/>
              <w:right w:val="nil"/>
            </w:tcBorders>
            <w:shd w:val="clear" w:color="auto" w:fill="auto"/>
            <w:vAlign w:val="center"/>
            <w:hideMark/>
          </w:tcPr>
          <w:p w14:paraId="77B99096"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340" w:type="dxa"/>
            <w:tcBorders>
              <w:top w:val="nil"/>
              <w:left w:val="nil"/>
              <w:bottom w:val="nil"/>
              <w:right w:val="nil"/>
            </w:tcBorders>
            <w:shd w:val="clear" w:color="auto" w:fill="auto"/>
            <w:vAlign w:val="center"/>
            <w:hideMark/>
          </w:tcPr>
          <w:p w14:paraId="24ECB3C5"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27B947FD"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540" w:type="dxa"/>
            <w:tcBorders>
              <w:top w:val="nil"/>
              <w:left w:val="nil"/>
              <w:bottom w:val="nil"/>
              <w:right w:val="nil"/>
            </w:tcBorders>
            <w:shd w:val="clear" w:color="auto" w:fill="auto"/>
            <w:vAlign w:val="center"/>
            <w:hideMark/>
          </w:tcPr>
          <w:p w14:paraId="0A0B69F7"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72ECCCEB"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720" w:type="dxa"/>
            <w:tcBorders>
              <w:top w:val="nil"/>
              <w:left w:val="nil"/>
              <w:bottom w:val="nil"/>
              <w:right w:val="nil"/>
            </w:tcBorders>
            <w:shd w:val="clear" w:color="auto" w:fill="auto"/>
            <w:vAlign w:val="center"/>
            <w:hideMark/>
          </w:tcPr>
          <w:p w14:paraId="017E4950"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64CF31F1"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r>
      <w:tr w:rsidR="00244248" w:rsidRPr="009C0314" w14:paraId="359D9C66" w14:textId="77777777" w:rsidTr="00335B25">
        <w:trPr>
          <w:trHeight w:val="20"/>
        </w:trPr>
        <w:tc>
          <w:tcPr>
            <w:tcW w:w="3860" w:type="dxa"/>
            <w:tcBorders>
              <w:top w:val="nil"/>
              <w:left w:val="nil"/>
              <w:bottom w:val="nil"/>
              <w:right w:val="nil"/>
            </w:tcBorders>
            <w:shd w:val="clear" w:color="auto" w:fill="auto"/>
            <w:vAlign w:val="center"/>
            <w:hideMark/>
          </w:tcPr>
          <w:p w14:paraId="6DCEA8EF"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Married</w:t>
            </w:r>
          </w:p>
        </w:tc>
        <w:tc>
          <w:tcPr>
            <w:tcW w:w="1520" w:type="dxa"/>
            <w:tcBorders>
              <w:top w:val="nil"/>
              <w:left w:val="nil"/>
              <w:bottom w:val="nil"/>
              <w:right w:val="nil"/>
            </w:tcBorders>
            <w:shd w:val="clear" w:color="auto" w:fill="auto"/>
            <w:vAlign w:val="center"/>
            <w:hideMark/>
          </w:tcPr>
          <w:p w14:paraId="2C33D9ED"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-1.365***</w:t>
            </w:r>
          </w:p>
        </w:tc>
        <w:tc>
          <w:tcPr>
            <w:tcW w:w="1480" w:type="dxa"/>
            <w:tcBorders>
              <w:top w:val="nil"/>
              <w:left w:val="nil"/>
              <w:bottom w:val="nil"/>
              <w:right w:val="nil"/>
            </w:tcBorders>
            <w:shd w:val="clear" w:color="auto" w:fill="auto"/>
            <w:vAlign w:val="center"/>
            <w:hideMark/>
          </w:tcPr>
          <w:p w14:paraId="5C3C31B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(0.092)</w:t>
            </w:r>
          </w:p>
        </w:tc>
        <w:tc>
          <w:tcPr>
            <w:tcW w:w="1340" w:type="dxa"/>
            <w:tcBorders>
              <w:top w:val="nil"/>
              <w:left w:val="nil"/>
              <w:bottom w:val="nil"/>
              <w:right w:val="nil"/>
            </w:tcBorders>
            <w:shd w:val="clear" w:color="auto" w:fill="auto"/>
            <w:vAlign w:val="center"/>
            <w:hideMark/>
          </w:tcPr>
          <w:p w14:paraId="0C4CF4EF"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-1.180***</w:t>
            </w:r>
          </w:p>
        </w:tc>
        <w:tc>
          <w:tcPr>
            <w:tcW w:w="960" w:type="dxa"/>
            <w:tcBorders>
              <w:top w:val="nil"/>
              <w:left w:val="nil"/>
              <w:bottom w:val="nil"/>
              <w:right w:val="nil"/>
            </w:tcBorders>
            <w:shd w:val="clear" w:color="auto" w:fill="auto"/>
            <w:vAlign w:val="center"/>
            <w:hideMark/>
          </w:tcPr>
          <w:p w14:paraId="7F5D1D0F"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(0.146)</w:t>
            </w:r>
          </w:p>
        </w:tc>
        <w:tc>
          <w:tcPr>
            <w:tcW w:w="1540" w:type="dxa"/>
            <w:tcBorders>
              <w:top w:val="nil"/>
              <w:left w:val="nil"/>
              <w:bottom w:val="nil"/>
              <w:right w:val="nil"/>
            </w:tcBorders>
            <w:shd w:val="clear" w:color="auto" w:fill="auto"/>
            <w:vAlign w:val="center"/>
            <w:hideMark/>
          </w:tcPr>
          <w:p w14:paraId="3230B70B"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-2.406***</w:t>
            </w:r>
          </w:p>
        </w:tc>
        <w:tc>
          <w:tcPr>
            <w:tcW w:w="960" w:type="dxa"/>
            <w:tcBorders>
              <w:top w:val="nil"/>
              <w:left w:val="nil"/>
              <w:bottom w:val="nil"/>
              <w:right w:val="nil"/>
            </w:tcBorders>
            <w:shd w:val="clear" w:color="auto" w:fill="auto"/>
            <w:vAlign w:val="center"/>
            <w:hideMark/>
          </w:tcPr>
          <w:p w14:paraId="11EAFEBC"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(0.243)</w:t>
            </w:r>
          </w:p>
        </w:tc>
        <w:tc>
          <w:tcPr>
            <w:tcW w:w="1720" w:type="dxa"/>
            <w:tcBorders>
              <w:top w:val="nil"/>
              <w:left w:val="nil"/>
              <w:bottom w:val="nil"/>
              <w:right w:val="nil"/>
            </w:tcBorders>
            <w:shd w:val="clear" w:color="auto" w:fill="auto"/>
            <w:vAlign w:val="center"/>
            <w:hideMark/>
          </w:tcPr>
          <w:p w14:paraId="7F3B2EB0"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-1.084***</w:t>
            </w:r>
          </w:p>
        </w:tc>
        <w:tc>
          <w:tcPr>
            <w:tcW w:w="960" w:type="dxa"/>
            <w:tcBorders>
              <w:top w:val="nil"/>
              <w:left w:val="nil"/>
              <w:bottom w:val="nil"/>
              <w:right w:val="nil"/>
            </w:tcBorders>
            <w:shd w:val="clear" w:color="auto" w:fill="auto"/>
            <w:vAlign w:val="center"/>
            <w:hideMark/>
          </w:tcPr>
          <w:p w14:paraId="1C7AFF37"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(0.092)</w:t>
            </w:r>
          </w:p>
        </w:tc>
      </w:tr>
      <w:tr w:rsidR="00244248" w:rsidRPr="009C0314" w14:paraId="3812656D"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7A85D077"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Cohabiting</w:t>
            </w:r>
          </w:p>
        </w:tc>
        <w:tc>
          <w:tcPr>
            <w:tcW w:w="1520" w:type="dxa"/>
            <w:tcBorders>
              <w:top w:val="nil"/>
              <w:left w:val="nil"/>
              <w:bottom w:val="single" w:sz="8" w:space="0" w:color="ED7D31"/>
              <w:right w:val="nil"/>
            </w:tcBorders>
            <w:shd w:val="clear" w:color="auto" w:fill="auto"/>
            <w:vAlign w:val="center"/>
            <w:hideMark/>
          </w:tcPr>
          <w:p w14:paraId="7A9B562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-1.362***</w:t>
            </w:r>
          </w:p>
        </w:tc>
        <w:tc>
          <w:tcPr>
            <w:tcW w:w="1480" w:type="dxa"/>
            <w:tcBorders>
              <w:top w:val="nil"/>
              <w:left w:val="nil"/>
              <w:bottom w:val="single" w:sz="8" w:space="0" w:color="ED7D31"/>
              <w:right w:val="nil"/>
            </w:tcBorders>
            <w:shd w:val="clear" w:color="auto" w:fill="auto"/>
            <w:vAlign w:val="center"/>
            <w:hideMark/>
          </w:tcPr>
          <w:p w14:paraId="3444BF74"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(0.083)</w:t>
            </w:r>
          </w:p>
        </w:tc>
        <w:tc>
          <w:tcPr>
            <w:tcW w:w="1340" w:type="dxa"/>
            <w:tcBorders>
              <w:top w:val="nil"/>
              <w:left w:val="nil"/>
              <w:bottom w:val="single" w:sz="8" w:space="0" w:color="ED7D31"/>
              <w:right w:val="nil"/>
            </w:tcBorders>
            <w:shd w:val="clear" w:color="auto" w:fill="auto"/>
            <w:vAlign w:val="center"/>
            <w:hideMark/>
          </w:tcPr>
          <w:p w14:paraId="4C71A247"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-1.345***</w:t>
            </w:r>
          </w:p>
        </w:tc>
        <w:tc>
          <w:tcPr>
            <w:tcW w:w="960" w:type="dxa"/>
            <w:tcBorders>
              <w:top w:val="nil"/>
              <w:left w:val="nil"/>
              <w:bottom w:val="single" w:sz="8" w:space="0" w:color="ED7D31"/>
              <w:right w:val="nil"/>
            </w:tcBorders>
            <w:shd w:val="clear" w:color="auto" w:fill="auto"/>
            <w:vAlign w:val="center"/>
            <w:hideMark/>
          </w:tcPr>
          <w:p w14:paraId="3E6B4F2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(0.122)</w:t>
            </w:r>
          </w:p>
        </w:tc>
        <w:tc>
          <w:tcPr>
            <w:tcW w:w="1540" w:type="dxa"/>
            <w:tcBorders>
              <w:top w:val="nil"/>
              <w:left w:val="nil"/>
              <w:bottom w:val="single" w:sz="8" w:space="0" w:color="ED7D31"/>
              <w:right w:val="nil"/>
            </w:tcBorders>
            <w:shd w:val="clear" w:color="auto" w:fill="auto"/>
            <w:vAlign w:val="center"/>
            <w:hideMark/>
          </w:tcPr>
          <w:p w14:paraId="35C8E22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-2.056***</w:t>
            </w:r>
          </w:p>
        </w:tc>
        <w:tc>
          <w:tcPr>
            <w:tcW w:w="960" w:type="dxa"/>
            <w:tcBorders>
              <w:top w:val="nil"/>
              <w:left w:val="nil"/>
              <w:bottom w:val="single" w:sz="8" w:space="0" w:color="ED7D31"/>
              <w:right w:val="nil"/>
            </w:tcBorders>
            <w:shd w:val="clear" w:color="auto" w:fill="auto"/>
            <w:vAlign w:val="center"/>
            <w:hideMark/>
          </w:tcPr>
          <w:p w14:paraId="7698376C"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(0.234)</w:t>
            </w:r>
          </w:p>
        </w:tc>
        <w:tc>
          <w:tcPr>
            <w:tcW w:w="1720" w:type="dxa"/>
            <w:tcBorders>
              <w:top w:val="nil"/>
              <w:left w:val="nil"/>
              <w:bottom w:val="single" w:sz="8" w:space="0" w:color="ED7D31"/>
              <w:right w:val="nil"/>
            </w:tcBorders>
            <w:shd w:val="clear" w:color="auto" w:fill="auto"/>
            <w:vAlign w:val="center"/>
            <w:hideMark/>
          </w:tcPr>
          <w:p w14:paraId="48931ADA"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-1.361***</w:t>
            </w:r>
          </w:p>
        </w:tc>
        <w:tc>
          <w:tcPr>
            <w:tcW w:w="960" w:type="dxa"/>
            <w:tcBorders>
              <w:top w:val="nil"/>
              <w:left w:val="nil"/>
              <w:bottom w:val="single" w:sz="8" w:space="0" w:color="ED7D31"/>
              <w:right w:val="nil"/>
            </w:tcBorders>
            <w:shd w:val="clear" w:color="auto" w:fill="auto"/>
            <w:vAlign w:val="center"/>
            <w:hideMark/>
          </w:tcPr>
          <w:p w14:paraId="4E79F755"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(0.083)</w:t>
            </w:r>
          </w:p>
        </w:tc>
      </w:tr>
      <w:tr w:rsidR="00244248" w:rsidRPr="009C0314" w14:paraId="12B8E7EC" w14:textId="77777777" w:rsidTr="00335B25">
        <w:trPr>
          <w:trHeight w:val="20"/>
        </w:trPr>
        <w:tc>
          <w:tcPr>
            <w:tcW w:w="3860" w:type="dxa"/>
            <w:tcBorders>
              <w:top w:val="nil"/>
              <w:left w:val="nil"/>
              <w:bottom w:val="nil"/>
              <w:right w:val="nil"/>
            </w:tcBorders>
            <w:shd w:val="clear" w:color="auto" w:fill="auto"/>
            <w:vAlign w:val="center"/>
            <w:hideMark/>
          </w:tcPr>
          <w:p w14:paraId="34C9CF81"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 xml:space="preserve">Employment </w:t>
            </w:r>
            <w:r w:rsidRPr="009C0314">
              <w:rPr>
                <w:rFonts w:ascii="Calibri Light" w:eastAsia="Times New Roman" w:hAnsi="Calibri Light" w:cs="Calibri Light"/>
                <w:color w:val="000000"/>
                <w:sz w:val="20"/>
                <w:szCs w:val="20"/>
                <w:lang w:eastAsia="en-AU"/>
              </w:rPr>
              <w:t>(ref: Permanent full-time)</w:t>
            </w:r>
          </w:p>
        </w:tc>
        <w:tc>
          <w:tcPr>
            <w:tcW w:w="1520" w:type="dxa"/>
            <w:tcBorders>
              <w:top w:val="nil"/>
              <w:left w:val="nil"/>
              <w:bottom w:val="nil"/>
              <w:right w:val="nil"/>
            </w:tcBorders>
            <w:shd w:val="clear" w:color="auto" w:fill="auto"/>
            <w:vAlign w:val="center"/>
            <w:hideMark/>
          </w:tcPr>
          <w:p w14:paraId="3D2A5796"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480" w:type="dxa"/>
            <w:tcBorders>
              <w:top w:val="nil"/>
              <w:left w:val="nil"/>
              <w:bottom w:val="nil"/>
              <w:right w:val="nil"/>
            </w:tcBorders>
            <w:shd w:val="clear" w:color="auto" w:fill="auto"/>
            <w:vAlign w:val="center"/>
            <w:hideMark/>
          </w:tcPr>
          <w:p w14:paraId="1C6EF986"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340" w:type="dxa"/>
            <w:tcBorders>
              <w:top w:val="nil"/>
              <w:left w:val="nil"/>
              <w:bottom w:val="nil"/>
              <w:right w:val="nil"/>
            </w:tcBorders>
            <w:shd w:val="clear" w:color="auto" w:fill="auto"/>
            <w:vAlign w:val="center"/>
            <w:hideMark/>
          </w:tcPr>
          <w:p w14:paraId="68674FF6"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5E7378BE"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540" w:type="dxa"/>
            <w:tcBorders>
              <w:top w:val="nil"/>
              <w:left w:val="nil"/>
              <w:bottom w:val="nil"/>
              <w:right w:val="nil"/>
            </w:tcBorders>
            <w:shd w:val="clear" w:color="auto" w:fill="auto"/>
            <w:vAlign w:val="center"/>
            <w:hideMark/>
          </w:tcPr>
          <w:p w14:paraId="0EEBEBD7"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0BC35047"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1720" w:type="dxa"/>
            <w:tcBorders>
              <w:top w:val="nil"/>
              <w:left w:val="nil"/>
              <w:bottom w:val="nil"/>
              <w:right w:val="nil"/>
            </w:tcBorders>
            <w:shd w:val="clear" w:color="auto" w:fill="auto"/>
            <w:vAlign w:val="center"/>
            <w:hideMark/>
          </w:tcPr>
          <w:p w14:paraId="5EEB7DF8"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0B4C8C8E" w14:textId="77777777" w:rsidR="00244248" w:rsidRPr="009C0314" w:rsidRDefault="00244248" w:rsidP="00335B25">
            <w:pPr>
              <w:spacing w:after="0" w:line="240" w:lineRule="auto"/>
              <w:rPr>
                <w:rFonts w:ascii="Times New Roman" w:eastAsia="Times New Roman" w:hAnsi="Times New Roman" w:cs="Times New Roman"/>
                <w:sz w:val="20"/>
                <w:szCs w:val="20"/>
                <w:lang w:eastAsia="en-AU"/>
              </w:rPr>
            </w:pPr>
          </w:p>
        </w:tc>
      </w:tr>
      <w:tr w:rsidR="00244248" w:rsidRPr="009C0314" w14:paraId="1438EAC9" w14:textId="77777777" w:rsidTr="00335B25">
        <w:trPr>
          <w:trHeight w:val="20"/>
        </w:trPr>
        <w:tc>
          <w:tcPr>
            <w:tcW w:w="3860" w:type="dxa"/>
            <w:tcBorders>
              <w:top w:val="nil"/>
              <w:left w:val="nil"/>
              <w:bottom w:val="nil"/>
              <w:right w:val="nil"/>
            </w:tcBorders>
            <w:shd w:val="clear" w:color="auto" w:fill="auto"/>
            <w:vAlign w:val="center"/>
            <w:hideMark/>
          </w:tcPr>
          <w:p w14:paraId="5AA61562"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Permanent part-time</w:t>
            </w:r>
          </w:p>
        </w:tc>
        <w:tc>
          <w:tcPr>
            <w:tcW w:w="1520" w:type="dxa"/>
            <w:tcBorders>
              <w:top w:val="nil"/>
              <w:left w:val="nil"/>
              <w:bottom w:val="nil"/>
              <w:right w:val="nil"/>
            </w:tcBorders>
            <w:shd w:val="clear" w:color="auto" w:fill="auto"/>
            <w:vAlign w:val="center"/>
            <w:hideMark/>
          </w:tcPr>
          <w:p w14:paraId="308F49D6"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0.081</w:t>
            </w:r>
          </w:p>
        </w:tc>
        <w:tc>
          <w:tcPr>
            <w:tcW w:w="1480" w:type="dxa"/>
            <w:tcBorders>
              <w:top w:val="nil"/>
              <w:left w:val="nil"/>
              <w:bottom w:val="nil"/>
              <w:right w:val="nil"/>
            </w:tcBorders>
            <w:shd w:val="clear" w:color="auto" w:fill="auto"/>
            <w:vAlign w:val="center"/>
            <w:hideMark/>
          </w:tcPr>
          <w:p w14:paraId="04106C8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(0.083)</w:t>
            </w:r>
          </w:p>
        </w:tc>
        <w:tc>
          <w:tcPr>
            <w:tcW w:w="1340" w:type="dxa"/>
            <w:tcBorders>
              <w:top w:val="nil"/>
              <w:left w:val="nil"/>
              <w:bottom w:val="nil"/>
              <w:right w:val="nil"/>
            </w:tcBorders>
            <w:shd w:val="clear" w:color="auto" w:fill="auto"/>
            <w:vAlign w:val="center"/>
            <w:hideMark/>
          </w:tcPr>
          <w:p w14:paraId="05209CCA"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0.174</w:t>
            </w:r>
          </w:p>
        </w:tc>
        <w:tc>
          <w:tcPr>
            <w:tcW w:w="960" w:type="dxa"/>
            <w:tcBorders>
              <w:top w:val="nil"/>
              <w:left w:val="nil"/>
              <w:bottom w:val="nil"/>
              <w:right w:val="nil"/>
            </w:tcBorders>
            <w:shd w:val="clear" w:color="auto" w:fill="auto"/>
            <w:vAlign w:val="center"/>
            <w:hideMark/>
          </w:tcPr>
          <w:p w14:paraId="4F2B9CC4"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(0.139)</w:t>
            </w:r>
          </w:p>
        </w:tc>
        <w:tc>
          <w:tcPr>
            <w:tcW w:w="1540" w:type="dxa"/>
            <w:tcBorders>
              <w:top w:val="nil"/>
              <w:left w:val="nil"/>
              <w:bottom w:val="nil"/>
              <w:right w:val="nil"/>
            </w:tcBorders>
            <w:shd w:val="clear" w:color="auto" w:fill="auto"/>
            <w:vAlign w:val="center"/>
            <w:hideMark/>
          </w:tcPr>
          <w:p w14:paraId="5729EB8F"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0.117</w:t>
            </w:r>
          </w:p>
        </w:tc>
        <w:tc>
          <w:tcPr>
            <w:tcW w:w="960" w:type="dxa"/>
            <w:tcBorders>
              <w:top w:val="nil"/>
              <w:left w:val="nil"/>
              <w:bottom w:val="nil"/>
              <w:right w:val="nil"/>
            </w:tcBorders>
            <w:shd w:val="clear" w:color="auto" w:fill="auto"/>
            <w:vAlign w:val="center"/>
            <w:hideMark/>
          </w:tcPr>
          <w:p w14:paraId="7E3EBD6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(0.212)</w:t>
            </w:r>
          </w:p>
        </w:tc>
        <w:tc>
          <w:tcPr>
            <w:tcW w:w="1720" w:type="dxa"/>
            <w:tcBorders>
              <w:top w:val="nil"/>
              <w:left w:val="nil"/>
              <w:bottom w:val="nil"/>
              <w:right w:val="nil"/>
            </w:tcBorders>
            <w:shd w:val="clear" w:color="auto" w:fill="auto"/>
            <w:vAlign w:val="center"/>
            <w:hideMark/>
          </w:tcPr>
          <w:p w14:paraId="47F57E00"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-0.784**</w:t>
            </w:r>
          </w:p>
        </w:tc>
        <w:tc>
          <w:tcPr>
            <w:tcW w:w="960" w:type="dxa"/>
            <w:tcBorders>
              <w:top w:val="nil"/>
              <w:left w:val="nil"/>
              <w:bottom w:val="nil"/>
              <w:right w:val="nil"/>
            </w:tcBorders>
            <w:shd w:val="clear" w:color="auto" w:fill="auto"/>
            <w:vAlign w:val="center"/>
            <w:hideMark/>
          </w:tcPr>
          <w:p w14:paraId="2FEF8E75"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(0.083)</w:t>
            </w:r>
          </w:p>
        </w:tc>
      </w:tr>
      <w:tr w:rsidR="00244248" w:rsidRPr="009C0314" w14:paraId="60AEC0E4" w14:textId="77777777" w:rsidTr="00335B25">
        <w:trPr>
          <w:trHeight w:val="20"/>
        </w:trPr>
        <w:tc>
          <w:tcPr>
            <w:tcW w:w="3860" w:type="dxa"/>
            <w:tcBorders>
              <w:top w:val="nil"/>
              <w:left w:val="nil"/>
              <w:bottom w:val="nil"/>
              <w:right w:val="nil"/>
            </w:tcBorders>
            <w:shd w:val="clear" w:color="auto" w:fill="auto"/>
            <w:vAlign w:val="center"/>
            <w:hideMark/>
          </w:tcPr>
          <w:p w14:paraId="6693D10C"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Casual full-time</w:t>
            </w:r>
          </w:p>
        </w:tc>
        <w:tc>
          <w:tcPr>
            <w:tcW w:w="1520" w:type="dxa"/>
            <w:tcBorders>
              <w:top w:val="nil"/>
              <w:left w:val="nil"/>
              <w:bottom w:val="nil"/>
              <w:right w:val="nil"/>
            </w:tcBorders>
            <w:shd w:val="clear" w:color="auto" w:fill="auto"/>
            <w:vAlign w:val="center"/>
            <w:hideMark/>
          </w:tcPr>
          <w:p w14:paraId="4FC7A3C2"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0.036</w:t>
            </w:r>
          </w:p>
        </w:tc>
        <w:tc>
          <w:tcPr>
            <w:tcW w:w="1480" w:type="dxa"/>
            <w:tcBorders>
              <w:top w:val="nil"/>
              <w:left w:val="nil"/>
              <w:bottom w:val="nil"/>
              <w:right w:val="nil"/>
            </w:tcBorders>
            <w:shd w:val="clear" w:color="auto" w:fill="auto"/>
            <w:vAlign w:val="center"/>
            <w:hideMark/>
          </w:tcPr>
          <w:p w14:paraId="38E2209E"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(0.113)</w:t>
            </w:r>
          </w:p>
        </w:tc>
        <w:tc>
          <w:tcPr>
            <w:tcW w:w="1340" w:type="dxa"/>
            <w:tcBorders>
              <w:top w:val="nil"/>
              <w:left w:val="nil"/>
              <w:bottom w:val="nil"/>
              <w:right w:val="nil"/>
            </w:tcBorders>
            <w:shd w:val="clear" w:color="auto" w:fill="auto"/>
            <w:vAlign w:val="center"/>
            <w:hideMark/>
          </w:tcPr>
          <w:p w14:paraId="560A30C1"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0.195</w:t>
            </w:r>
          </w:p>
        </w:tc>
        <w:tc>
          <w:tcPr>
            <w:tcW w:w="960" w:type="dxa"/>
            <w:tcBorders>
              <w:top w:val="nil"/>
              <w:left w:val="nil"/>
              <w:bottom w:val="nil"/>
              <w:right w:val="nil"/>
            </w:tcBorders>
            <w:shd w:val="clear" w:color="auto" w:fill="auto"/>
            <w:vAlign w:val="center"/>
            <w:hideMark/>
          </w:tcPr>
          <w:p w14:paraId="5FFD3068"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(0.152)</w:t>
            </w:r>
          </w:p>
        </w:tc>
        <w:tc>
          <w:tcPr>
            <w:tcW w:w="1540" w:type="dxa"/>
            <w:tcBorders>
              <w:top w:val="nil"/>
              <w:left w:val="nil"/>
              <w:bottom w:val="nil"/>
              <w:right w:val="nil"/>
            </w:tcBorders>
            <w:shd w:val="clear" w:color="auto" w:fill="auto"/>
            <w:vAlign w:val="center"/>
            <w:hideMark/>
          </w:tcPr>
          <w:p w14:paraId="0F36ECE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0.558</w:t>
            </w:r>
          </w:p>
        </w:tc>
        <w:tc>
          <w:tcPr>
            <w:tcW w:w="960" w:type="dxa"/>
            <w:tcBorders>
              <w:top w:val="nil"/>
              <w:left w:val="nil"/>
              <w:bottom w:val="nil"/>
              <w:right w:val="nil"/>
            </w:tcBorders>
            <w:shd w:val="clear" w:color="auto" w:fill="auto"/>
            <w:vAlign w:val="center"/>
            <w:hideMark/>
          </w:tcPr>
          <w:p w14:paraId="492A718B"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(0.454)</w:t>
            </w:r>
          </w:p>
        </w:tc>
        <w:tc>
          <w:tcPr>
            <w:tcW w:w="1720" w:type="dxa"/>
            <w:tcBorders>
              <w:top w:val="nil"/>
              <w:left w:val="nil"/>
              <w:bottom w:val="nil"/>
              <w:right w:val="nil"/>
            </w:tcBorders>
            <w:shd w:val="clear" w:color="auto" w:fill="auto"/>
            <w:vAlign w:val="center"/>
            <w:hideMark/>
          </w:tcPr>
          <w:p w14:paraId="7C52BA5C"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-2.572***</w:t>
            </w:r>
          </w:p>
        </w:tc>
        <w:tc>
          <w:tcPr>
            <w:tcW w:w="960" w:type="dxa"/>
            <w:tcBorders>
              <w:top w:val="nil"/>
              <w:left w:val="nil"/>
              <w:bottom w:val="nil"/>
              <w:right w:val="nil"/>
            </w:tcBorders>
            <w:shd w:val="clear" w:color="auto" w:fill="auto"/>
            <w:vAlign w:val="center"/>
            <w:hideMark/>
          </w:tcPr>
          <w:p w14:paraId="0CC44599"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(0.113)</w:t>
            </w:r>
          </w:p>
        </w:tc>
      </w:tr>
      <w:tr w:rsidR="00244248" w:rsidRPr="009C0314" w14:paraId="1E39B769" w14:textId="77777777" w:rsidTr="00335B25">
        <w:trPr>
          <w:trHeight w:val="20"/>
        </w:trPr>
        <w:tc>
          <w:tcPr>
            <w:tcW w:w="3860" w:type="dxa"/>
            <w:tcBorders>
              <w:top w:val="nil"/>
              <w:left w:val="nil"/>
              <w:bottom w:val="nil"/>
              <w:right w:val="nil"/>
            </w:tcBorders>
            <w:shd w:val="clear" w:color="auto" w:fill="auto"/>
            <w:vAlign w:val="center"/>
            <w:hideMark/>
          </w:tcPr>
          <w:p w14:paraId="2B2AE184"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Casual part-time</w:t>
            </w:r>
          </w:p>
        </w:tc>
        <w:tc>
          <w:tcPr>
            <w:tcW w:w="1520" w:type="dxa"/>
            <w:tcBorders>
              <w:top w:val="nil"/>
              <w:left w:val="nil"/>
              <w:bottom w:val="nil"/>
              <w:right w:val="nil"/>
            </w:tcBorders>
            <w:shd w:val="clear" w:color="auto" w:fill="auto"/>
            <w:vAlign w:val="center"/>
            <w:hideMark/>
          </w:tcPr>
          <w:p w14:paraId="271A5401"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-0.157*</w:t>
            </w:r>
          </w:p>
        </w:tc>
        <w:tc>
          <w:tcPr>
            <w:tcW w:w="1480" w:type="dxa"/>
            <w:tcBorders>
              <w:top w:val="nil"/>
              <w:left w:val="nil"/>
              <w:bottom w:val="nil"/>
              <w:right w:val="nil"/>
            </w:tcBorders>
            <w:shd w:val="clear" w:color="auto" w:fill="auto"/>
            <w:vAlign w:val="center"/>
            <w:hideMark/>
          </w:tcPr>
          <w:p w14:paraId="3815760B"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(0.084)</w:t>
            </w:r>
          </w:p>
        </w:tc>
        <w:tc>
          <w:tcPr>
            <w:tcW w:w="1340" w:type="dxa"/>
            <w:tcBorders>
              <w:top w:val="nil"/>
              <w:left w:val="nil"/>
              <w:bottom w:val="nil"/>
              <w:right w:val="nil"/>
            </w:tcBorders>
            <w:shd w:val="clear" w:color="auto" w:fill="auto"/>
            <w:vAlign w:val="center"/>
            <w:hideMark/>
          </w:tcPr>
          <w:p w14:paraId="2A5E4902"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0.015</w:t>
            </w:r>
          </w:p>
        </w:tc>
        <w:tc>
          <w:tcPr>
            <w:tcW w:w="960" w:type="dxa"/>
            <w:tcBorders>
              <w:top w:val="nil"/>
              <w:left w:val="nil"/>
              <w:bottom w:val="nil"/>
              <w:right w:val="nil"/>
            </w:tcBorders>
            <w:shd w:val="clear" w:color="auto" w:fill="auto"/>
            <w:vAlign w:val="center"/>
            <w:hideMark/>
          </w:tcPr>
          <w:p w14:paraId="7E23905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(0.124)</w:t>
            </w:r>
          </w:p>
        </w:tc>
        <w:tc>
          <w:tcPr>
            <w:tcW w:w="1540" w:type="dxa"/>
            <w:tcBorders>
              <w:top w:val="nil"/>
              <w:left w:val="nil"/>
              <w:bottom w:val="nil"/>
              <w:right w:val="nil"/>
            </w:tcBorders>
            <w:shd w:val="clear" w:color="auto" w:fill="auto"/>
            <w:vAlign w:val="center"/>
            <w:hideMark/>
          </w:tcPr>
          <w:p w14:paraId="35663A4B"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0.137</w:t>
            </w:r>
          </w:p>
        </w:tc>
        <w:tc>
          <w:tcPr>
            <w:tcW w:w="960" w:type="dxa"/>
            <w:tcBorders>
              <w:top w:val="nil"/>
              <w:left w:val="nil"/>
              <w:bottom w:val="nil"/>
              <w:right w:val="nil"/>
            </w:tcBorders>
            <w:shd w:val="clear" w:color="auto" w:fill="auto"/>
            <w:vAlign w:val="center"/>
            <w:hideMark/>
          </w:tcPr>
          <w:p w14:paraId="2DD7287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(0.246)</w:t>
            </w:r>
          </w:p>
        </w:tc>
        <w:tc>
          <w:tcPr>
            <w:tcW w:w="1720" w:type="dxa"/>
            <w:tcBorders>
              <w:top w:val="nil"/>
              <w:left w:val="nil"/>
              <w:bottom w:val="nil"/>
              <w:right w:val="nil"/>
            </w:tcBorders>
            <w:shd w:val="clear" w:color="auto" w:fill="auto"/>
            <w:vAlign w:val="center"/>
            <w:hideMark/>
          </w:tcPr>
          <w:p w14:paraId="323903B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-1.336***</w:t>
            </w:r>
          </w:p>
        </w:tc>
        <w:tc>
          <w:tcPr>
            <w:tcW w:w="960" w:type="dxa"/>
            <w:tcBorders>
              <w:top w:val="nil"/>
              <w:left w:val="nil"/>
              <w:bottom w:val="nil"/>
              <w:right w:val="nil"/>
            </w:tcBorders>
            <w:shd w:val="clear" w:color="auto" w:fill="auto"/>
            <w:vAlign w:val="center"/>
            <w:hideMark/>
          </w:tcPr>
          <w:p w14:paraId="504FBE05"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(0.084)</w:t>
            </w:r>
          </w:p>
        </w:tc>
      </w:tr>
      <w:tr w:rsidR="00244248" w:rsidRPr="009C0314" w14:paraId="69C01618" w14:textId="77777777" w:rsidTr="00335B25">
        <w:trPr>
          <w:trHeight w:val="20"/>
        </w:trPr>
        <w:tc>
          <w:tcPr>
            <w:tcW w:w="3860" w:type="dxa"/>
            <w:tcBorders>
              <w:top w:val="nil"/>
              <w:left w:val="nil"/>
              <w:bottom w:val="nil"/>
              <w:right w:val="nil"/>
            </w:tcBorders>
            <w:shd w:val="clear" w:color="auto" w:fill="auto"/>
            <w:vAlign w:val="center"/>
            <w:hideMark/>
          </w:tcPr>
          <w:p w14:paraId="273DF8B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Self-employed</w:t>
            </w:r>
          </w:p>
        </w:tc>
        <w:tc>
          <w:tcPr>
            <w:tcW w:w="1520" w:type="dxa"/>
            <w:tcBorders>
              <w:top w:val="nil"/>
              <w:left w:val="nil"/>
              <w:bottom w:val="nil"/>
              <w:right w:val="nil"/>
            </w:tcBorders>
            <w:shd w:val="clear" w:color="auto" w:fill="auto"/>
            <w:vAlign w:val="center"/>
            <w:hideMark/>
          </w:tcPr>
          <w:p w14:paraId="0F7B0F20"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0.091</w:t>
            </w:r>
          </w:p>
        </w:tc>
        <w:tc>
          <w:tcPr>
            <w:tcW w:w="1480" w:type="dxa"/>
            <w:tcBorders>
              <w:top w:val="nil"/>
              <w:left w:val="nil"/>
              <w:bottom w:val="nil"/>
              <w:right w:val="nil"/>
            </w:tcBorders>
            <w:shd w:val="clear" w:color="auto" w:fill="auto"/>
            <w:vAlign w:val="center"/>
            <w:hideMark/>
          </w:tcPr>
          <w:p w14:paraId="7EFFEA28"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(0.130)</w:t>
            </w:r>
          </w:p>
        </w:tc>
        <w:tc>
          <w:tcPr>
            <w:tcW w:w="1340" w:type="dxa"/>
            <w:tcBorders>
              <w:top w:val="nil"/>
              <w:left w:val="nil"/>
              <w:bottom w:val="nil"/>
              <w:right w:val="nil"/>
            </w:tcBorders>
            <w:shd w:val="clear" w:color="auto" w:fill="auto"/>
            <w:vAlign w:val="center"/>
            <w:hideMark/>
          </w:tcPr>
          <w:p w14:paraId="3AC6EED4"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-0.074</w:t>
            </w:r>
          </w:p>
        </w:tc>
        <w:tc>
          <w:tcPr>
            <w:tcW w:w="960" w:type="dxa"/>
            <w:tcBorders>
              <w:top w:val="nil"/>
              <w:left w:val="nil"/>
              <w:bottom w:val="nil"/>
              <w:right w:val="nil"/>
            </w:tcBorders>
            <w:shd w:val="clear" w:color="auto" w:fill="auto"/>
            <w:vAlign w:val="center"/>
            <w:hideMark/>
          </w:tcPr>
          <w:p w14:paraId="7CC4FCE0"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(0.219)</w:t>
            </w:r>
          </w:p>
        </w:tc>
        <w:tc>
          <w:tcPr>
            <w:tcW w:w="1540" w:type="dxa"/>
            <w:tcBorders>
              <w:top w:val="nil"/>
              <w:left w:val="nil"/>
              <w:bottom w:val="nil"/>
              <w:right w:val="nil"/>
            </w:tcBorders>
            <w:shd w:val="clear" w:color="auto" w:fill="auto"/>
            <w:vAlign w:val="center"/>
            <w:hideMark/>
          </w:tcPr>
          <w:p w14:paraId="2C26109E"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0.281</w:t>
            </w:r>
          </w:p>
        </w:tc>
        <w:tc>
          <w:tcPr>
            <w:tcW w:w="960" w:type="dxa"/>
            <w:tcBorders>
              <w:top w:val="nil"/>
              <w:left w:val="nil"/>
              <w:bottom w:val="nil"/>
              <w:right w:val="nil"/>
            </w:tcBorders>
            <w:shd w:val="clear" w:color="auto" w:fill="auto"/>
            <w:vAlign w:val="center"/>
            <w:hideMark/>
          </w:tcPr>
          <w:p w14:paraId="4B583EF6"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(0.365)</w:t>
            </w:r>
          </w:p>
        </w:tc>
        <w:tc>
          <w:tcPr>
            <w:tcW w:w="1720" w:type="dxa"/>
            <w:tcBorders>
              <w:top w:val="nil"/>
              <w:left w:val="nil"/>
              <w:bottom w:val="nil"/>
              <w:right w:val="nil"/>
            </w:tcBorders>
            <w:shd w:val="clear" w:color="auto" w:fill="auto"/>
            <w:vAlign w:val="center"/>
            <w:hideMark/>
          </w:tcPr>
          <w:p w14:paraId="13743ABD"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-0.307</w:t>
            </w:r>
          </w:p>
        </w:tc>
        <w:tc>
          <w:tcPr>
            <w:tcW w:w="960" w:type="dxa"/>
            <w:tcBorders>
              <w:top w:val="nil"/>
              <w:left w:val="nil"/>
              <w:bottom w:val="nil"/>
              <w:right w:val="nil"/>
            </w:tcBorders>
            <w:shd w:val="clear" w:color="auto" w:fill="auto"/>
            <w:vAlign w:val="center"/>
            <w:hideMark/>
          </w:tcPr>
          <w:p w14:paraId="6CFE1031"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(0.130)</w:t>
            </w:r>
          </w:p>
        </w:tc>
      </w:tr>
      <w:tr w:rsidR="00244248" w:rsidRPr="009C0314" w14:paraId="01148DC8"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091C7EF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Not working</w:t>
            </w:r>
          </w:p>
        </w:tc>
        <w:tc>
          <w:tcPr>
            <w:tcW w:w="1520" w:type="dxa"/>
            <w:tcBorders>
              <w:top w:val="nil"/>
              <w:left w:val="nil"/>
              <w:bottom w:val="single" w:sz="8" w:space="0" w:color="ED7D31"/>
              <w:right w:val="nil"/>
            </w:tcBorders>
            <w:shd w:val="clear" w:color="auto" w:fill="auto"/>
            <w:vAlign w:val="center"/>
            <w:hideMark/>
          </w:tcPr>
          <w:p w14:paraId="253ED6CB"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-0.020</w:t>
            </w:r>
          </w:p>
        </w:tc>
        <w:tc>
          <w:tcPr>
            <w:tcW w:w="1480" w:type="dxa"/>
            <w:tcBorders>
              <w:top w:val="nil"/>
              <w:left w:val="nil"/>
              <w:bottom w:val="single" w:sz="8" w:space="0" w:color="ED7D31"/>
              <w:right w:val="nil"/>
            </w:tcBorders>
            <w:shd w:val="clear" w:color="auto" w:fill="auto"/>
            <w:vAlign w:val="center"/>
            <w:hideMark/>
          </w:tcPr>
          <w:p w14:paraId="76C2EB28"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(0.081)</w:t>
            </w:r>
          </w:p>
        </w:tc>
        <w:tc>
          <w:tcPr>
            <w:tcW w:w="1340" w:type="dxa"/>
            <w:tcBorders>
              <w:top w:val="nil"/>
              <w:left w:val="nil"/>
              <w:bottom w:val="single" w:sz="8" w:space="0" w:color="ED7D31"/>
              <w:right w:val="nil"/>
            </w:tcBorders>
            <w:shd w:val="clear" w:color="auto" w:fill="auto"/>
            <w:vAlign w:val="center"/>
            <w:hideMark/>
          </w:tcPr>
          <w:p w14:paraId="2EC44D5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0.454***</w:t>
            </w:r>
          </w:p>
        </w:tc>
        <w:tc>
          <w:tcPr>
            <w:tcW w:w="960" w:type="dxa"/>
            <w:tcBorders>
              <w:top w:val="nil"/>
              <w:left w:val="nil"/>
              <w:bottom w:val="single" w:sz="8" w:space="0" w:color="ED7D31"/>
              <w:right w:val="nil"/>
            </w:tcBorders>
            <w:shd w:val="clear" w:color="auto" w:fill="auto"/>
            <w:vAlign w:val="center"/>
            <w:hideMark/>
          </w:tcPr>
          <w:p w14:paraId="3BD7434B"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(0.129)</w:t>
            </w:r>
          </w:p>
        </w:tc>
        <w:tc>
          <w:tcPr>
            <w:tcW w:w="1540" w:type="dxa"/>
            <w:tcBorders>
              <w:top w:val="nil"/>
              <w:left w:val="nil"/>
              <w:bottom w:val="single" w:sz="8" w:space="0" w:color="ED7D31"/>
              <w:right w:val="nil"/>
            </w:tcBorders>
            <w:shd w:val="clear" w:color="auto" w:fill="auto"/>
            <w:vAlign w:val="center"/>
            <w:hideMark/>
          </w:tcPr>
          <w:p w14:paraId="4C3D5B6D"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-0.246</w:t>
            </w:r>
          </w:p>
        </w:tc>
        <w:tc>
          <w:tcPr>
            <w:tcW w:w="960" w:type="dxa"/>
            <w:tcBorders>
              <w:top w:val="nil"/>
              <w:left w:val="nil"/>
              <w:bottom w:val="single" w:sz="8" w:space="0" w:color="ED7D31"/>
              <w:right w:val="nil"/>
            </w:tcBorders>
            <w:shd w:val="clear" w:color="auto" w:fill="auto"/>
            <w:vAlign w:val="center"/>
            <w:hideMark/>
          </w:tcPr>
          <w:p w14:paraId="68E953D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(0.204)</w:t>
            </w:r>
          </w:p>
        </w:tc>
        <w:tc>
          <w:tcPr>
            <w:tcW w:w="1720" w:type="dxa"/>
            <w:tcBorders>
              <w:top w:val="nil"/>
              <w:left w:val="nil"/>
              <w:bottom w:val="single" w:sz="8" w:space="0" w:color="ED7D31"/>
              <w:right w:val="nil"/>
            </w:tcBorders>
            <w:shd w:val="clear" w:color="auto" w:fill="auto"/>
            <w:vAlign w:val="center"/>
            <w:hideMark/>
          </w:tcPr>
          <w:p w14:paraId="5A433B5F"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-1.378***</w:t>
            </w:r>
          </w:p>
        </w:tc>
        <w:tc>
          <w:tcPr>
            <w:tcW w:w="960" w:type="dxa"/>
            <w:tcBorders>
              <w:top w:val="nil"/>
              <w:left w:val="nil"/>
              <w:bottom w:val="single" w:sz="8" w:space="0" w:color="ED7D31"/>
              <w:right w:val="nil"/>
            </w:tcBorders>
            <w:shd w:val="clear" w:color="auto" w:fill="auto"/>
            <w:vAlign w:val="center"/>
            <w:hideMark/>
          </w:tcPr>
          <w:p w14:paraId="60498F8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(0.081)</w:t>
            </w:r>
          </w:p>
        </w:tc>
      </w:tr>
      <w:tr w:rsidR="00244248" w:rsidRPr="009C0314" w14:paraId="7CCBCD41"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0C8FF3AC"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Household income (log)</w:t>
            </w:r>
          </w:p>
        </w:tc>
        <w:tc>
          <w:tcPr>
            <w:tcW w:w="1520" w:type="dxa"/>
            <w:tcBorders>
              <w:top w:val="nil"/>
              <w:left w:val="nil"/>
              <w:bottom w:val="single" w:sz="8" w:space="0" w:color="ED7D31"/>
              <w:right w:val="nil"/>
            </w:tcBorders>
            <w:shd w:val="clear" w:color="auto" w:fill="auto"/>
            <w:vAlign w:val="center"/>
            <w:hideMark/>
          </w:tcPr>
          <w:p w14:paraId="0983C1F0"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-0.137***</w:t>
            </w:r>
          </w:p>
        </w:tc>
        <w:tc>
          <w:tcPr>
            <w:tcW w:w="1480" w:type="dxa"/>
            <w:tcBorders>
              <w:top w:val="nil"/>
              <w:left w:val="nil"/>
              <w:bottom w:val="single" w:sz="8" w:space="0" w:color="ED7D31"/>
              <w:right w:val="nil"/>
            </w:tcBorders>
            <w:shd w:val="clear" w:color="auto" w:fill="auto"/>
            <w:vAlign w:val="center"/>
            <w:hideMark/>
          </w:tcPr>
          <w:p w14:paraId="1EB3D8D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(0.041)</w:t>
            </w:r>
          </w:p>
        </w:tc>
        <w:tc>
          <w:tcPr>
            <w:tcW w:w="1340" w:type="dxa"/>
            <w:tcBorders>
              <w:top w:val="nil"/>
              <w:left w:val="nil"/>
              <w:bottom w:val="single" w:sz="8" w:space="0" w:color="ED7D31"/>
              <w:right w:val="nil"/>
            </w:tcBorders>
            <w:shd w:val="clear" w:color="auto" w:fill="auto"/>
            <w:vAlign w:val="center"/>
            <w:hideMark/>
          </w:tcPr>
          <w:p w14:paraId="749348BF"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-0.173***</w:t>
            </w:r>
          </w:p>
        </w:tc>
        <w:tc>
          <w:tcPr>
            <w:tcW w:w="960" w:type="dxa"/>
            <w:tcBorders>
              <w:top w:val="nil"/>
              <w:left w:val="nil"/>
              <w:bottom w:val="single" w:sz="8" w:space="0" w:color="ED7D31"/>
              <w:right w:val="nil"/>
            </w:tcBorders>
            <w:shd w:val="clear" w:color="auto" w:fill="auto"/>
            <w:vAlign w:val="center"/>
            <w:hideMark/>
          </w:tcPr>
          <w:p w14:paraId="515AC142"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(0.056)</w:t>
            </w:r>
          </w:p>
        </w:tc>
        <w:tc>
          <w:tcPr>
            <w:tcW w:w="1540" w:type="dxa"/>
            <w:tcBorders>
              <w:top w:val="nil"/>
              <w:left w:val="nil"/>
              <w:bottom w:val="single" w:sz="8" w:space="0" w:color="ED7D31"/>
              <w:right w:val="nil"/>
            </w:tcBorders>
            <w:shd w:val="clear" w:color="auto" w:fill="auto"/>
            <w:vAlign w:val="center"/>
            <w:hideMark/>
          </w:tcPr>
          <w:p w14:paraId="21B4D892"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-0.148</w:t>
            </w:r>
          </w:p>
        </w:tc>
        <w:tc>
          <w:tcPr>
            <w:tcW w:w="960" w:type="dxa"/>
            <w:tcBorders>
              <w:top w:val="nil"/>
              <w:left w:val="nil"/>
              <w:bottom w:val="single" w:sz="8" w:space="0" w:color="ED7D31"/>
              <w:right w:val="nil"/>
            </w:tcBorders>
            <w:shd w:val="clear" w:color="auto" w:fill="auto"/>
            <w:vAlign w:val="center"/>
            <w:hideMark/>
          </w:tcPr>
          <w:p w14:paraId="31E5197B"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(0.137)</w:t>
            </w:r>
          </w:p>
        </w:tc>
        <w:tc>
          <w:tcPr>
            <w:tcW w:w="1720" w:type="dxa"/>
            <w:tcBorders>
              <w:top w:val="nil"/>
              <w:left w:val="nil"/>
              <w:bottom w:val="single" w:sz="8" w:space="0" w:color="ED7D31"/>
              <w:right w:val="nil"/>
            </w:tcBorders>
            <w:shd w:val="clear" w:color="auto" w:fill="auto"/>
            <w:vAlign w:val="center"/>
            <w:hideMark/>
          </w:tcPr>
          <w:p w14:paraId="3D0F3F41"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0.061</w:t>
            </w:r>
          </w:p>
        </w:tc>
        <w:tc>
          <w:tcPr>
            <w:tcW w:w="960" w:type="dxa"/>
            <w:tcBorders>
              <w:top w:val="nil"/>
              <w:left w:val="nil"/>
              <w:bottom w:val="single" w:sz="8" w:space="0" w:color="ED7D31"/>
              <w:right w:val="nil"/>
            </w:tcBorders>
            <w:shd w:val="clear" w:color="auto" w:fill="auto"/>
            <w:vAlign w:val="center"/>
            <w:hideMark/>
          </w:tcPr>
          <w:p w14:paraId="0CFA639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(0.041)</w:t>
            </w:r>
          </w:p>
        </w:tc>
      </w:tr>
      <w:tr w:rsidR="00244248" w:rsidRPr="009C0314" w14:paraId="7AAE06A1"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318E2D4D"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Remote area</w:t>
            </w:r>
          </w:p>
        </w:tc>
        <w:tc>
          <w:tcPr>
            <w:tcW w:w="1520" w:type="dxa"/>
            <w:tcBorders>
              <w:top w:val="nil"/>
              <w:left w:val="nil"/>
              <w:bottom w:val="single" w:sz="8" w:space="0" w:color="ED7D31"/>
              <w:right w:val="nil"/>
            </w:tcBorders>
            <w:shd w:val="clear" w:color="auto" w:fill="auto"/>
            <w:vAlign w:val="center"/>
            <w:hideMark/>
          </w:tcPr>
          <w:p w14:paraId="366CB206"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0.074</w:t>
            </w:r>
          </w:p>
        </w:tc>
        <w:tc>
          <w:tcPr>
            <w:tcW w:w="1480" w:type="dxa"/>
            <w:tcBorders>
              <w:top w:val="nil"/>
              <w:left w:val="nil"/>
              <w:bottom w:val="single" w:sz="8" w:space="0" w:color="ED7D31"/>
              <w:right w:val="nil"/>
            </w:tcBorders>
            <w:shd w:val="clear" w:color="auto" w:fill="auto"/>
            <w:vAlign w:val="center"/>
            <w:hideMark/>
          </w:tcPr>
          <w:p w14:paraId="02F65BDC"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(0.076)</w:t>
            </w:r>
          </w:p>
        </w:tc>
        <w:tc>
          <w:tcPr>
            <w:tcW w:w="1340" w:type="dxa"/>
            <w:tcBorders>
              <w:top w:val="nil"/>
              <w:left w:val="nil"/>
              <w:bottom w:val="single" w:sz="8" w:space="0" w:color="ED7D31"/>
              <w:right w:val="nil"/>
            </w:tcBorders>
            <w:shd w:val="clear" w:color="auto" w:fill="auto"/>
            <w:vAlign w:val="center"/>
            <w:hideMark/>
          </w:tcPr>
          <w:p w14:paraId="402ECBEE"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0.099</w:t>
            </w:r>
          </w:p>
        </w:tc>
        <w:tc>
          <w:tcPr>
            <w:tcW w:w="960" w:type="dxa"/>
            <w:tcBorders>
              <w:top w:val="nil"/>
              <w:left w:val="nil"/>
              <w:bottom w:val="single" w:sz="8" w:space="0" w:color="ED7D31"/>
              <w:right w:val="nil"/>
            </w:tcBorders>
            <w:shd w:val="clear" w:color="auto" w:fill="auto"/>
            <w:vAlign w:val="center"/>
            <w:hideMark/>
          </w:tcPr>
          <w:p w14:paraId="5E524E77"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(0.118)</w:t>
            </w:r>
          </w:p>
        </w:tc>
        <w:tc>
          <w:tcPr>
            <w:tcW w:w="1540" w:type="dxa"/>
            <w:tcBorders>
              <w:top w:val="nil"/>
              <w:left w:val="nil"/>
              <w:bottom w:val="single" w:sz="8" w:space="0" w:color="ED7D31"/>
              <w:right w:val="nil"/>
            </w:tcBorders>
            <w:shd w:val="clear" w:color="auto" w:fill="auto"/>
            <w:vAlign w:val="center"/>
            <w:hideMark/>
          </w:tcPr>
          <w:p w14:paraId="16991661"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0.000</w:t>
            </w:r>
          </w:p>
        </w:tc>
        <w:tc>
          <w:tcPr>
            <w:tcW w:w="960" w:type="dxa"/>
            <w:tcBorders>
              <w:top w:val="nil"/>
              <w:left w:val="nil"/>
              <w:bottom w:val="single" w:sz="8" w:space="0" w:color="ED7D31"/>
              <w:right w:val="nil"/>
            </w:tcBorders>
            <w:shd w:val="clear" w:color="auto" w:fill="auto"/>
            <w:vAlign w:val="center"/>
            <w:hideMark/>
          </w:tcPr>
          <w:p w14:paraId="09FC5757"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(0.183)</w:t>
            </w:r>
          </w:p>
        </w:tc>
        <w:tc>
          <w:tcPr>
            <w:tcW w:w="1720" w:type="dxa"/>
            <w:tcBorders>
              <w:top w:val="nil"/>
              <w:left w:val="nil"/>
              <w:bottom w:val="single" w:sz="8" w:space="0" w:color="ED7D31"/>
              <w:right w:val="nil"/>
            </w:tcBorders>
            <w:shd w:val="clear" w:color="auto" w:fill="auto"/>
            <w:vAlign w:val="center"/>
            <w:hideMark/>
          </w:tcPr>
          <w:p w14:paraId="30AF5EC0"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0.578**</w:t>
            </w:r>
          </w:p>
        </w:tc>
        <w:tc>
          <w:tcPr>
            <w:tcW w:w="960" w:type="dxa"/>
            <w:tcBorders>
              <w:top w:val="nil"/>
              <w:left w:val="nil"/>
              <w:bottom w:val="single" w:sz="8" w:space="0" w:color="ED7D31"/>
              <w:right w:val="nil"/>
            </w:tcBorders>
            <w:shd w:val="clear" w:color="auto" w:fill="auto"/>
            <w:vAlign w:val="center"/>
            <w:hideMark/>
          </w:tcPr>
          <w:p w14:paraId="52D2C3CA"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(0.076)</w:t>
            </w:r>
          </w:p>
        </w:tc>
      </w:tr>
      <w:tr w:rsidR="00244248" w:rsidRPr="009C0314" w14:paraId="76D6E565"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01413E10"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Born in Australia</w:t>
            </w:r>
          </w:p>
        </w:tc>
        <w:tc>
          <w:tcPr>
            <w:tcW w:w="1520" w:type="dxa"/>
            <w:tcBorders>
              <w:top w:val="nil"/>
              <w:left w:val="nil"/>
              <w:bottom w:val="single" w:sz="8" w:space="0" w:color="ED7D31"/>
              <w:right w:val="nil"/>
            </w:tcBorders>
            <w:shd w:val="clear" w:color="auto" w:fill="auto"/>
            <w:vAlign w:val="center"/>
            <w:hideMark/>
          </w:tcPr>
          <w:p w14:paraId="3EF68AC2"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0.220**</w:t>
            </w:r>
          </w:p>
        </w:tc>
        <w:tc>
          <w:tcPr>
            <w:tcW w:w="1480" w:type="dxa"/>
            <w:tcBorders>
              <w:top w:val="nil"/>
              <w:left w:val="nil"/>
              <w:bottom w:val="single" w:sz="8" w:space="0" w:color="ED7D31"/>
              <w:right w:val="nil"/>
            </w:tcBorders>
            <w:shd w:val="clear" w:color="auto" w:fill="auto"/>
            <w:vAlign w:val="center"/>
            <w:hideMark/>
          </w:tcPr>
          <w:p w14:paraId="13360EFF"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(0.097)</w:t>
            </w:r>
          </w:p>
        </w:tc>
        <w:tc>
          <w:tcPr>
            <w:tcW w:w="1340" w:type="dxa"/>
            <w:tcBorders>
              <w:top w:val="nil"/>
              <w:left w:val="nil"/>
              <w:bottom w:val="single" w:sz="8" w:space="0" w:color="ED7D31"/>
              <w:right w:val="nil"/>
            </w:tcBorders>
            <w:shd w:val="clear" w:color="auto" w:fill="auto"/>
            <w:vAlign w:val="center"/>
            <w:hideMark/>
          </w:tcPr>
          <w:p w14:paraId="1BE9F566"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0.079</w:t>
            </w:r>
          </w:p>
        </w:tc>
        <w:tc>
          <w:tcPr>
            <w:tcW w:w="960" w:type="dxa"/>
            <w:tcBorders>
              <w:top w:val="nil"/>
              <w:left w:val="nil"/>
              <w:bottom w:val="single" w:sz="8" w:space="0" w:color="ED7D31"/>
              <w:right w:val="nil"/>
            </w:tcBorders>
            <w:shd w:val="clear" w:color="auto" w:fill="auto"/>
            <w:vAlign w:val="center"/>
            <w:hideMark/>
          </w:tcPr>
          <w:p w14:paraId="79781CB3"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(0.155)</w:t>
            </w:r>
          </w:p>
        </w:tc>
        <w:tc>
          <w:tcPr>
            <w:tcW w:w="1540" w:type="dxa"/>
            <w:tcBorders>
              <w:top w:val="nil"/>
              <w:left w:val="nil"/>
              <w:bottom w:val="single" w:sz="8" w:space="0" w:color="ED7D31"/>
              <w:right w:val="nil"/>
            </w:tcBorders>
            <w:shd w:val="clear" w:color="auto" w:fill="auto"/>
            <w:vAlign w:val="center"/>
            <w:hideMark/>
          </w:tcPr>
          <w:p w14:paraId="0FF1E648"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-0.065</w:t>
            </w:r>
          </w:p>
        </w:tc>
        <w:tc>
          <w:tcPr>
            <w:tcW w:w="960" w:type="dxa"/>
            <w:tcBorders>
              <w:top w:val="nil"/>
              <w:left w:val="nil"/>
              <w:bottom w:val="single" w:sz="8" w:space="0" w:color="ED7D31"/>
              <w:right w:val="nil"/>
            </w:tcBorders>
            <w:shd w:val="clear" w:color="auto" w:fill="auto"/>
            <w:vAlign w:val="center"/>
            <w:hideMark/>
          </w:tcPr>
          <w:p w14:paraId="4E1C1752"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(0.217)</w:t>
            </w:r>
          </w:p>
        </w:tc>
        <w:tc>
          <w:tcPr>
            <w:tcW w:w="1720" w:type="dxa"/>
            <w:tcBorders>
              <w:top w:val="nil"/>
              <w:left w:val="nil"/>
              <w:bottom w:val="single" w:sz="8" w:space="0" w:color="ED7D31"/>
              <w:right w:val="nil"/>
            </w:tcBorders>
            <w:shd w:val="clear" w:color="auto" w:fill="auto"/>
            <w:vAlign w:val="center"/>
            <w:hideMark/>
          </w:tcPr>
          <w:p w14:paraId="26B7835A"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0.757**</w:t>
            </w:r>
          </w:p>
        </w:tc>
        <w:tc>
          <w:tcPr>
            <w:tcW w:w="960" w:type="dxa"/>
            <w:tcBorders>
              <w:top w:val="nil"/>
              <w:left w:val="nil"/>
              <w:bottom w:val="single" w:sz="8" w:space="0" w:color="ED7D31"/>
              <w:right w:val="nil"/>
            </w:tcBorders>
            <w:shd w:val="clear" w:color="auto" w:fill="auto"/>
            <w:vAlign w:val="center"/>
            <w:hideMark/>
          </w:tcPr>
          <w:p w14:paraId="6936D003"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(0.097)</w:t>
            </w:r>
          </w:p>
        </w:tc>
      </w:tr>
      <w:tr w:rsidR="00244248" w:rsidRPr="009C0314" w14:paraId="3BB80E36"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2D2B3985" w14:textId="77777777" w:rsidR="00244248" w:rsidRPr="009C0314" w:rsidRDefault="00244248" w:rsidP="00335B25">
            <w:pPr>
              <w:spacing w:after="0" w:line="240" w:lineRule="auto"/>
              <w:rPr>
                <w:rFonts w:ascii="Calibri Light" w:eastAsia="Times New Roman" w:hAnsi="Calibri Light" w:cs="Calibri Light"/>
                <w:b/>
                <w:bCs/>
                <w:color w:val="000000"/>
                <w:sz w:val="20"/>
                <w:szCs w:val="20"/>
                <w:lang w:eastAsia="en-AU"/>
              </w:rPr>
            </w:pPr>
            <w:r w:rsidRPr="009C0314">
              <w:rPr>
                <w:rFonts w:ascii="Calibri Light" w:eastAsia="Times New Roman" w:hAnsi="Calibri Light" w:cs="Calibri Light"/>
                <w:b/>
                <w:bCs/>
                <w:color w:val="000000"/>
                <w:sz w:val="20"/>
                <w:szCs w:val="20"/>
                <w:lang w:eastAsia="en-AU"/>
              </w:rPr>
              <w:t>Aboriginal or Torres Strait Islander</w:t>
            </w:r>
          </w:p>
        </w:tc>
        <w:tc>
          <w:tcPr>
            <w:tcW w:w="1520" w:type="dxa"/>
            <w:tcBorders>
              <w:top w:val="nil"/>
              <w:left w:val="nil"/>
              <w:bottom w:val="single" w:sz="8" w:space="0" w:color="ED7D31"/>
              <w:right w:val="nil"/>
            </w:tcBorders>
            <w:shd w:val="clear" w:color="auto" w:fill="auto"/>
            <w:vAlign w:val="center"/>
            <w:hideMark/>
          </w:tcPr>
          <w:p w14:paraId="6E4A7775"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0.407**</w:t>
            </w:r>
          </w:p>
        </w:tc>
        <w:tc>
          <w:tcPr>
            <w:tcW w:w="1480" w:type="dxa"/>
            <w:tcBorders>
              <w:top w:val="nil"/>
              <w:left w:val="nil"/>
              <w:bottom w:val="single" w:sz="8" w:space="0" w:color="ED7D31"/>
              <w:right w:val="nil"/>
            </w:tcBorders>
            <w:shd w:val="clear" w:color="auto" w:fill="auto"/>
            <w:vAlign w:val="center"/>
            <w:hideMark/>
          </w:tcPr>
          <w:p w14:paraId="39D5C308"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(0.184)</w:t>
            </w:r>
          </w:p>
        </w:tc>
        <w:tc>
          <w:tcPr>
            <w:tcW w:w="1340" w:type="dxa"/>
            <w:tcBorders>
              <w:top w:val="nil"/>
              <w:left w:val="nil"/>
              <w:bottom w:val="single" w:sz="8" w:space="0" w:color="ED7D31"/>
              <w:right w:val="nil"/>
            </w:tcBorders>
            <w:shd w:val="clear" w:color="auto" w:fill="auto"/>
            <w:vAlign w:val="center"/>
            <w:hideMark/>
          </w:tcPr>
          <w:p w14:paraId="58A7E9BD"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1.346***</w:t>
            </w:r>
          </w:p>
        </w:tc>
        <w:tc>
          <w:tcPr>
            <w:tcW w:w="960" w:type="dxa"/>
            <w:tcBorders>
              <w:top w:val="nil"/>
              <w:left w:val="nil"/>
              <w:bottom w:val="single" w:sz="8" w:space="0" w:color="ED7D31"/>
              <w:right w:val="nil"/>
            </w:tcBorders>
            <w:shd w:val="clear" w:color="auto" w:fill="auto"/>
            <w:vAlign w:val="center"/>
            <w:hideMark/>
          </w:tcPr>
          <w:p w14:paraId="3CBEDDB7"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(0.276)</w:t>
            </w:r>
          </w:p>
        </w:tc>
        <w:tc>
          <w:tcPr>
            <w:tcW w:w="1540" w:type="dxa"/>
            <w:tcBorders>
              <w:top w:val="nil"/>
              <w:left w:val="nil"/>
              <w:bottom w:val="single" w:sz="8" w:space="0" w:color="ED7D31"/>
              <w:right w:val="nil"/>
            </w:tcBorders>
            <w:shd w:val="clear" w:color="auto" w:fill="auto"/>
            <w:vAlign w:val="center"/>
            <w:hideMark/>
          </w:tcPr>
          <w:p w14:paraId="014C7819"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0.926**</w:t>
            </w:r>
          </w:p>
        </w:tc>
        <w:tc>
          <w:tcPr>
            <w:tcW w:w="960" w:type="dxa"/>
            <w:tcBorders>
              <w:top w:val="nil"/>
              <w:left w:val="nil"/>
              <w:bottom w:val="single" w:sz="8" w:space="0" w:color="ED7D31"/>
              <w:right w:val="nil"/>
            </w:tcBorders>
            <w:shd w:val="clear" w:color="auto" w:fill="auto"/>
            <w:vAlign w:val="center"/>
            <w:hideMark/>
          </w:tcPr>
          <w:p w14:paraId="6DA7F68D"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(0.380)</w:t>
            </w:r>
          </w:p>
        </w:tc>
        <w:tc>
          <w:tcPr>
            <w:tcW w:w="1720" w:type="dxa"/>
            <w:tcBorders>
              <w:top w:val="nil"/>
              <w:left w:val="nil"/>
              <w:bottom w:val="single" w:sz="8" w:space="0" w:color="ED7D31"/>
              <w:right w:val="nil"/>
            </w:tcBorders>
            <w:shd w:val="clear" w:color="auto" w:fill="auto"/>
            <w:vAlign w:val="center"/>
            <w:hideMark/>
          </w:tcPr>
          <w:p w14:paraId="5FAA6427"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-1.128**</w:t>
            </w:r>
          </w:p>
        </w:tc>
        <w:tc>
          <w:tcPr>
            <w:tcW w:w="960" w:type="dxa"/>
            <w:tcBorders>
              <w:top w:val="nil"/>
              <w:left w:val="nil"/>
              <w:bottom w:val="single" w:sz="8" w:space="0" w:color="ED7D31"/>
              <w:right w:val="nil"/>
            </w:tcBorders>
            <w:shd w:val="clear" w:color="auto" w:fill="auto"/>
            <w:vAlign w:val="center"/>
            <w:hideMark/>
          </w:tcPr>
          <w:p w14:paraId="26D104F6"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(0.184)</w:t>
            </w:r>
          </w:p>
        </w:tc>
      </w:tr>
      <w:tr w:rsidR="00244248" w:rsidRPr="009C0314" w14:paraId="7AA99C90" w14:textId="77777777" w:rsidTr="00335B25">
        <w:trPr>
          <w:trHeight w:val="20"/>
        </w:trPr>
        <w:tc>
          <w:tcPr>
            <w:tcW w:w="3860" w:type="dxa"/>
            <w:tcBorders>
              <w:top w:val="nil"/>
              <w:left w:val="nil"/>
              <w:bottom w:val="single" w:sz="4" w:space="0" w:color="ED7D31"/>
              <w:right w:val="nil"/>
            </w:tcBorders>
            <w:shd w:val="clear" w:color="auto" w:fill="auto"/>
            <w:vAlign w:val="center"/>
            <w:hideMark/>
          </w:tcPr>
          <w:p w14:paraId="1F05F3FA"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Observations</w:t>
            </w:r>
          </w:p>
        </w:tc>
        <w:tc>
          <w:tcPr>
            <w:tcW w:w="1520" w:type="dxa"/>
            <w:tcBorders>
              <w:top w:val="nil"/>
              <w:left w:val="nil"/>
              <w:bottom w:val="single" w:sz="8" w:space="0" w:color="ED7D31"/>
              <w:right w:val="nil"/>
            </w:tcBorders>
            <w:shd w:val="clear" w:color="auto" w:fill="auto"/>
            <w:vAlign w:val="center"/>
            <w:hideMark/>
          </w:tcPr>
          <w:p w14:paraId="426D86CD"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33</w:t>
            </w:r>
            <w:r>
              <w:rPr>
                <w:rFonts w:ascii="Calibri Light" w:eastAsia="Times New Roman" w:hAnsi="Calibri Light" w:cs="Calibri Light"/>
                <w:color w:val="000000"/>
                <w:sz w:val="20"/>
                <w:szCs w:val="20"/>
                <w:lang w:eastAsia="en-AU"/>
              </w:rPr>
              <w:t>,</w:t>
            </w:r>
            <w:r w:rsidRPr="009C0314">
              <w:rPr>
                <w:rFonts w:ascii="Calibri Light" w:eastAsia="Times New Roman" w:hAnsi="Calibri Light" w:cs="Calibri Light"/>
                <w:color w:val="000000"/>
                <w:sz w:val="20"/>
                <w:szCs w:val="20"/>
                <w:lang w:eastAsia="en-AU"/>
              </w:rPr>
              <w:t>682</w:t>
            </w:r>
          </w:p>
        </w:tc>
        <w:tc>
          <w:tcPr>
            <w:tcW w:w="1480" w:type="dxa"/>
            <w:tcBorders>
              <w:top w:val="nil"/>
              <w:left w:val="nil"/>
              <w:bottom w:val="single" w:sz="8" w:space="0" w:color="ED7D31"/>
              <w:right w:val="nil"/>
            </w:tcBorders>
            <w:shd w:val="clear" w:color="auto" w:fill="auto"/>
            <w:vAlign w:val="center"/>
            <w:hideMark/>
          </w:tcPr>
          <w:p w14:paraId="7ED93D29"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 </w:t>
            </w:r>
          </w:p>
        </w:tc>
        <w:tc>
          <w:tcPr>
            <w:tcW w:w="1340" w:type="dxa"/>
            <w:tcBorders>
              <w:top w:val="nil"/>
              <w:left w:val="nil"/>
              <w:bottom w:val="single" w:sz="8" w:space="0" w:color="ED7D31"/>
              <w:right w:val="nil"/>
            </w:tcBorders>
            <w:shd w:val="clear" w:color="auto" w:fill="auto"/>
            <w:vAlign w:val="center"/>
            <w:hideMark/>
          </w:tcPr>
          <w:p w14:paraId="6F0C542A"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17</w:t>
            </w:r>
            <w:r>
              <w:rPr>
                <w:rFonts w:ascii="Calibri Light" w:eastAsia="Times New Roman" w:hAnsi="Calibri Light" w:cs="Calibri Light"/>
                <w:color w:val="000000"/>
                <w:sz w:val="20"/>
                <w:szCs w:val="20"/>
                <w:lang w:eastAsia="en-AU"/>
              </w:rPr>
              <w:t>,</w:t>
            </w:r>
            <w:r w:rsidRPr="009C0314">
              <w:rPr>
                <w:rFonts w:ascii="Calibri Light" w:eastAsia="Times New Roman" w:hAnsi="Calibri Light" w:cs="Calibri Light"/>
                <w:color w:val="000000"/>
                <w:sz w:val="20"/>
                <w:szCs w:val="20"/>
                <w:lang w:eastAsia="en-AU"/>
              </w:rPr>
              <w:t>982</w:t>
            </w:r>
          </w:p>
        </w:tc>
        <w:tc>
          <w:tcPr>
            <w:tcW w:w="960" w:type="dxa"/>
            <w:tcBorders>
              <w:top w:val="nil"/>
              <w:left w:val="nil"/>
              <w:bottom w:val="single" w:sz="8" w:space="0" w:color="ED7D31"/>
              <w:right w:val="nil"/>
            </w:tcBorders>
            <w:shd w:val="clear" w:color="auto" w:fill="auto"/>
            <w:vAlign w:val="center"/>
            <w:hideMark/>
          </w:tcPr>
          <w:p w14:paraId="4705BC47"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 </w:t>
            </w:r>
          </w:p>
        </w:tc>
        <w:tc>
          <w:tcPr>
            <w:tcW w:w="1540" w:type="dxa"/>
            <w:tcBorders>
              <w:top w:val="nil"/>
              <w:left w:val="nil"/>
              <w:bottom w:val="single" w:sz="8" w:space="0" w:color="ED7D31"/>
              <w:right w:val="nil"/>
            </w:tcBorders>
            <w:shd w:val="clear" w:color="auto" w:fill="auto"/>
            <w:vAlign w:val="center"/>
            <w:hideMark/>
          </w:tcPr>
          <w:p w14:paraId="4214D4B9"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3</w:t>
            </w:r>
            <w:r>
              <w:rPr>
                <w:rFonts w:ascii="Calibri Light" w:eastAsia="Times New Roman" w:hAnsi="Calibri Light" w:cs="Calibri Light"/>
                <w:color w:val="000000"/>
                <w:sz w:val="20"/>
                <w:szCs w:val="20"/>
                <w:lang w:eastAsia="en-AU"/>
              </w:rPr>
              <w:t>,</w:t>
            </w:r>
            <w:r w:rsidRPr="009C0314">
              <w:rPr>
                <w:rFonts w:ascii="Calibri Light" w:eastAsia="Times New Roman" w:hAnsi="Calibri Light" w:cs="Calibri Light"/>
                <w:color w:val="000000"/>
                <w:sz w:val="20"/>
                <w:szCs w:val="20"/>
                <w:lang w:eastAsia="en-AU"/>
              </w:rPr>
              <w:t>957</w:t>
            </w:r>
          </w:p>
        </w:tc>
        <w:tc>
          <w:tcPr>
            <w:tcW w:w="960" w:type="dxa"/>
            <w:tcBorders>
              <w:top w:val="nil"/>
              <w:left w:val="nil"/>
              <w:bottom w:val="single" w:sz="8" w:space="0" w:color="ED7D31"/>
              <w:right w:val="nil"/>
            </w:tcBorders>
            <w:shd w:val="clear" w:color="auto" w:fill="auto"/>
            <w:vAlign w:val="center"/>
            <w:hideMark/>
          </w:tcPr>
          <w:p w14:paraId="34318A62"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 </w:t>
            </w:r>
          </w:p>
        </w:tc>
        <w:tc>
          <w:tcPr>
            <w:tcW w:w="1720" w:type="dxa"/>
            <w:tcBorders>
              <w:top w:val="nil"/>
              <w:left w:val="nil"/>
              <w:bottom w:val="single" w:sz="8" w:space="0" w:color="ED7D31"/>
              <w:right w:val="nil"/>
            </w:tcBorders>
            <w:shd w:val="clear" w:color="auto" w:fill="auto"/>
            <w:vAlign w:val="center"/>
            <w:hideMark/>
          </w:tcPr>
          <w:p w14:paraId="6B96AEE3" w14:textId="77777777" w:rsidR="00244248" w:rsidRPr="009C0314" w:rsidRDefault="00244248" w:rsidP="00335B25">
            <w:pPr>
              <w:spacing w:after="0" w:line="240" w:lineRule="auto"/>
              <w:rPr>
                <w:rFonts w:ascii="Calibri Light" w:eastAsia="Times New Roman" w:hAnsi="Calibri Light" w:cs="Calibri Light"/>
                <w:color w:val="000000"/>
                <w:sz w:val="20"/>
                <w:szCs w:val="20"/>
                <w:lang w:eastAsia="en-AU"/>
              </w:rPr>
            </w:pPr>
            <w:r w:rsidRPr="009C0314">
              <w:rPr>
                <w:rFonts w:ascii="Calibri Light" w:eastAsia="Times New Roman" w:hAnsi="Calibri Light" w:cs="Calibri Light"/>
                <w:color w:val="000000"/>
                <w:sz w:val="20"/>
                <w:szCs w:val="20"/>
                <w:lang w:eastAsia="en-AU"/>
              </w:rPr>
              <w:t>2</w:t>
            </w:r>
            <w:r>
              <w:rPr>
                <w:rFonts w:ascii="Calibri Light" w:eastAsia="Times New Roman" w:hAnsi="Calibri Light" w:cs="Calibri Light"/>
                <w:color w:val="000000"/>
                <w:sz w:val="20"/>
                <w:szCs w:val="20"/>
                <w:lang w:eastAsia="en-AU"/>
              </w:rPr>
              <w:t>,</w:t>
            </w:r>
            <w:r w:rsidRPr="009C0314">
              <w:rPr>
                <w:rFonts w:ascii="Calibri Light" w:eastAsia="Times New Roman" w:hAnsi="Calibri Light" w:cs="Calibri Light"/>
                <w:color w:val="000000"/>
                <w:sz w:val="20"/>
                <w:szCs w:val="20"/>
                <w:lang w:eastAsia="en-AU"/>
              </w:rPr>
              <w:t>045</w:t>
            </w:r>
          </w:p>
        </w:tc>
        <w:tc>
          <w:tcPr>
            <w:tcW w:w="960" w:type="dxa"/>
            <w:tcBorders>
              <w:top w:val="nil"/>
              <w:left w:val="nil"/>
              <w:bottom w:val="single" w:sz="8" w:space="0" w:color="ED7D31"/>
              <w:right w:val="nil"/>
            </w:tcBorders>
            <w:shd w:val="clear" w:color="auto" w:fill="auto"/>
            <w:vAlign w:val="center"/>
            <w:hideMark/>
          </w:tcPr>
          <w:p w14:paraId="0EC019C7" w14:textId="77777777" w:rsidR="00244248" w:rsidRPr="009C0314" w:rsidRDefault="00244248" w:rsidP="00335B25">
            <w:pPr>
              <w:spacing w:after="0" w:line="240" w:lineRule="auto"/>
              <w:rPr>
                <w:rFonts w:ascii="Calibri Light" w:eastAsia="Times New Roman" w:hAnsi="Calibri Light" w:cs="Calibri Light"/>
                <w:color w:val="808080"/>
                <w:sz w:val="20"/>
                <w:szCs w:val="20"/>
                <w:lang w:eastAsia="en-AU"/>
              </w:rPr>
            </w:pPr>
            <w:r w:rsidRPr="009C0314">
              <w:rPr>
                <w:rFonts w:ascii="Calibri Light" w:eastAsia="Times New Roman" w:hAnsi="Calibri Light" w:cs="Calibri Light"/>
                <w:color w:val="808080"/>
                <w:sz w:val="20"/>
                <w:szCs w:val="20"/>
                <w:lang w:eastAsia="en-AU"/>
              </w:rPr>
              <w:t> </w:t>
            </w:r>
          </w:p>
        </w:tc>
      </w:tr>
    </w:tbl>
    <w:p w14:paraId="57E84622" w14:textId="77777777" w:rsidR="00244248" w:rsidRDefault="00244248" w:rsidP="00244248">
      <w:pPr>
        <w:keepNext/>
        <w:widowControl w:val="0"/>
        <w:autoSpaceDE w:val="0"/>
        <w:autoSpaceDN w:val="0"/>
        <w:adjustRightInd w:val="0"/>
        <w:spacing w:after="0" w:line="240" w:lineRule="auto"/>
        <w:rPr>
          <w:rFonts w:asciiTheme="majorHAnsi" w:hAnsiTheme="majorHAnsi" w:cstheme="majorHAnsi"/>
          <w:sz w:val="18"/>
          <w:szCs w:val="18"/>
        </w:rPr>
      </w:pPr>
    </w:p>
    <w:p w14:paraId="04D77014" w14:textId="77777777" w:rsidR="00244248" w:rsidRPr="00B1755B" w:rsidRDefault="00244248" w:rsidP="00244248">
      <w:pPr>
        <w:keepNext/>
        <w:widowControl w:val="0"/>
        <w:autoSpaceDE w:val="0"/>
        <w:autoSpaceDN w:val="0"/>
        <w:adjustRightInd w:val="0"/>
        <w:spacing w:after="0" w:line="240" w:lineRule="auto"/>
        <w:rPr>
          <w:rFonts w:asciiTheme="majorHAnsi" w:hAnsiTheme="majorHAnsi" w:cstheme="majorHAnsi"/>
          <w:sz w:val="18"/>
          <w:szCs w:val="18"/>
        </w:rPr>
      </w:pPr>
      <w:r w:rsidRPr="00B1755B">
        <w:rPr>
          <w:rFonts w:asciiTheme="majorHAnsi" w:hAnsiTheme="majorHAnsi" w:cstheme="majorHAnsi"/>
          <w:sz w:val="18"/>
          <w:szCs w:val="18"/>
        </w:rPr>
        <w:t>Note: robust standard errors, year and state fixed effects not reported; * p&lt;0.1, ** p&lt;0.05, *** p&lt;0.01</w:t>
      </w:r>
    </w:p>
    <w:p w14:paraId="57F36E0E" w14:textId="77777777" w:rsidR="00244248" w:rsidRDefault="00244248" w:rsidP="00244248">
      <w:pPr>
        <w:widowControl w:val="0"/>
        <w:autoSpaceDE w:val="0"/>
        <w:autoSpaceDN w:val="0"/>
        <w:adjustRightInd w:val="0"/>
        <w:spacing w:after="0" w:line="240" w:lineRule="auto"/>
        <w:rPr>
          <w:rFonts w:ascii="Times New Roman" w:eastAsiaTheme="minorEastAsia" w:hAnsi="Times New Roman" w:cs="Times New Roman"/>
          <w:sz w:val="24"/>
          <w:szCs w:val="24"/>
          <w:lang w:val="en-US" w:eastAsia="en-AU"/>
        </w:rPr>
        <w:sectPr w:rsidR="00244248" w:rsidSect="00335B25">
          <w:pgSz w:w="16838" w:h="11906" w:orient="landscape"/>
          <w:pgMar w:top="1440" w:right="1134" w:bottom="1440" w:left="1440" w:header="708" w:footer="708" w:gutter="0"/>
          <w:cols w:space="708"/>
          <w:docGrid w:linePitch="360"/>
        </w:sectPr>
      </w:pPr>
    </w:p>
    <w:p w14:paraId="30D1F12B" w14:textId="77777777" w:rsidR="00244248" w:rsidRPr="00716E69" w:rsidRDefault="00244248" w:rsidP="007C5778">
      <w:pPr>
        <w:pStyle w:val="Heading3"/>
      </w:pPr>
      <w:bookmarkStart w:id="216" w:name="_Toc87454663"/>
      <w:r>
        <w:lastRenderedPageBreak/>
        <w:t>Number of Intended Children</w:t>
      </w:r>
      <w:bookmarkEnd w:id="216"/>
    </w:p>
    <w:p w14:paraId="011DCF8C" w14:textId="2AF7D52B" w:rsidR="00244248" w:rsidRDefault="00244248" w:rsidP="00244248">
      <w:r>
        <w:fldChar w:fldCharType="begin"/>
      </w:r>
      <w:r>
        <w:instrText xml:space="preserve"> REF _Ref84782846 \h </w:instrText>
      </w:r>
      <w:r>
        <w:fldChar w:fldCharType="separate"/>
      </w:r>
      <w:r w:rsidR="00115E22">
        <w:t xml:space="preserve">Table </w:t>
      </w:r>
      <w:r w:rsidR="00115E22">
        <w:rPr>
          <w:noProof/>
        </w:rPr>
        <w:t>39</w:t>
      </w:r>
      <w:r>
        <w:fldChar w:fldCharType="end"/>
      </w:r>
      <w:r>
        <w:t xml:space="preserve"> looks at correlations between the number of children that women intend to have and individual socio-demographic factors. </w:t>
      </w:r>
    </w:p>
    <w:p w14:paraId="6FAFE7ED" w14:textId="77777777" w:rsidR="00244248" w:rsidRDefault="00244248" w:rsidP="00244248">
      <w:r>
        <w:t xml:space="preserve">The number of children a woman already has a negative effect on wanting more children.  </w:t>
      </w:r>
    </w:p>
    <w:p w14:paraId="4A616689" w14:textId="77777777" w:rsidR="00244248" w:rsidRDefault="00244248" w:rsidP="00244248">
      <w:r w:rsidRPr="00797C8A">
        <w:t xml:space="preserve">Compared to women with Year 11 or below education, women with a higher education </w:t>
      </w:r>
      <w:r>
        <w:t xml:space="preserve">desire more children. </w:t>
      </w:r>
    </w:p>
    <w:p w14:paraId="15A76951" w14:textId="77777777" w:rsidR="00244248" w:rsidRPr="00797C8A" w:rsidRDefault="00244248" w:rsidP="00244248">
      <w:r>
        <w:t>Being in a r</w:t>
      </w:r>
      <w:r w:rsidRPr="00797C8A">
        <w:t xml:space="preserve">elationship </w:t>
      </w:r>
      <w:r>
        <w:t xml:space="preserve">is correlated with wanting more children. Similarly having casual work is positively correlated with the number of intended children.  </w:t>
      </w:r>
    </w:p>
    <w:p w14:paraId="52801035" w14:textId="77777777" w:rsidR="00244248" w:rsidRDefault="00244248" w:rsidP="00244248">
      <w:r>
        <w:t xml:space="preserve">Household income is also positively correlated with wanting more children. </w:t>
      </w:r>
    </w:p>
    <w:p w14:paraId="15FA9B8C" w14:textId="77777777" w:rsidR="00244248" w:rsidRDefault="00244248" w:rsidP="00244248">
      <w:pPr>
        <w:pStyle w:val="Caption"/>
        <w:keepNext/>
        <w:sectPr w:rsidR="00244248" w:rsidSect="00335B25">
          <w:pgSz w:w="11906" w:h="16838"/>
          <w:pgMar w:top="1440" w:right="1440" w:bottom="1440" w:left="1440" w:header="708" w:footer="708" w:gutter="0"/>
          <w:cols w:space="708"/>
          <w:docGrid w:linePitch="360"/>
        </w:sectPr>
      </w:pPr>
    </w:p>
    <w:p w14:paraId="4A2DF89D" w14:textId="45185FD8" w:rsidR="00244248" w:rsidRDefault="00244248" w:rsidP="00244248">
      <w:pPr>
        <w:pStyle w:val="Caption"/>
        <w:keepNext/>
      </w:pPr>
      <w:bookmarkStart w:id="217" w:name="_Ref84782846"/>
      <w:r>
        <w:lastRenderedPageBreak/>
        <w:t xml:space="preserve">Table </w:t>
      </w:r>
      <w:fldSimple w:instr=" SEQ Table \* ARABIC ">
        <w:r w:rsidR="00115E22">
          <w:rPr>
            <w:noProof/>
          </w:rPr>
          <w:t>39</w:t>
        </w:r>
      </w:fldSimple>
      <w:bookmarkEnd w:id="217"/>
      <w:r>
        <w:t xml:space="preserve"> </w:t>
      </w:r>
      <w:r w:rsidRPr="00DC5448">
        <w:t>Number of</w:t>
      </w:r>
      <w:r>
        <w:t xml:space="preserve"> additional</w:t>
      </w:r>
      <w:r w:rsidRPr="00DC5448">
        <w:t xml:space="preserve"> children intend to have in the future, </w:t>
      </w:r>
      <w:r>
        <w:t>Poisson</w:t>
      </w:r>
    </w:p>
    <w:tbl>
      <w:tblPr>
        <w:tblW w:w="12638" w:type="dxa"/>
        <w:tblLook w:val="04A0" w:firstRow="1" w:lastRow="0" w:firstColumn="1" w:lastColumn="0" w:noHBand="0" w:noVBand="1"/>
      </w:tblPr>
      <w:tblGrid>
        <w:gridCol w:w="3837"/>
        <w:gridCol w:w="1276"/>
        <w:gridCol w:w="840"/>
        <w:gridCol w:w="1277"/>
        <w:gridCol w:w="959"/>
        <w:gridCol w:w="1309"/>
        <w:gridCol w:w="906"/>
        <w:gridCol w:w="1275"/>
        <w:gridCol w:w="959"/>
      </w:tblGrid>
      <w:tr w:rsidR="00244248" w:rsidRPr="007A742B" w14:paraId="3706C518" w14:textId="77777777" w:rsidTr="00335B25">
        <w:trPr>
          <w:trHeight w:val="20"/>
        </w:trPr>
        <w:tc>
          <w:tcPr>
            <w:tcW w:w="3837" w:type="dxa"/>
            <w:tcBorders>
              <w:top w:val="nil"/>
              <w:left w:val="nil"/>
              <w:bottom w:val="nil"/>
              <w:right w:val="nil"/>
            </w:tcBorders>
            <w:shd w:val="clear" w:color="000000" w:fill="FBE4D5"/>
            <w:vAlign w:val="center"/>
            <w:hideMark/>
          </w:tcPr>
          <w:p w14:paraId="60A7860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w:t>
            </w:r>
          </w:p>
        </w:tc>
        <w:tc>
          <w:tcPr>
            <w:tcW w:w="1276" w:type="dxa"/>
            <w:tcBorders>
              <w:top w:val="nil"/>
              <w:left w:val="nil"/>
              <w:bottom w:val="nil"/>
              <w:right w:val="nil"/>
            </w:tcBorders>
            <w:shd w:val="clear" w:color="000000" w:fill="FBE4D5"/>
            <w:vAlign w:val="center"/>
            <w:hideMark/>
          </w:tcPr>
          <w:p w14:paraId="15CEE44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Full sample</w:t>
            </w:r>
          </w:p>
        </w:tc>
        <w:tc>
          <w:tcPr>
            <w:tcW w:w="840" w:type="dxa"/>
            <w:tcBorders>
              <w:top w:val="nil"/>
              <w:left w:val="nil"/>
              <w:bottom w:val="nil"/>
              <w:right w:val="nil"/>
            </w:tcBorders>
            <w:shd w:val="clear" w:color="000000" w:fill="FBE4D5"/>
            <w:vAlign w:val="center"/>
            <w:hideMark/>
          </w:tcPr>
          <w:p w14:paraId="3D18A18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w:t>
            </w:r>
          </w:p>
        </w:tc>
        <w:tc>
          <w:tcPr>
            <w:tcW w:w="1277" w:type="dxa"/>
            <w:tcBorders>
              <w:top w:val="nil"/>
              <w:left w:val="nil"/>
              <w:bottom w:val="nil"/>
              <w:right w:val="nil"/>
            </w:tcBorders>
            <w:shd w:val="clear" w:color="000000" w:fill="FBE4D5"/>
            <w:vAlign w:val="center"/>
            <w:hideMark/>
          </w:tcPr>
          <w:p w14:paraId="74F8BBA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Parity 0 </w:t>
            </w:r>
          </w:p>
        </w:tc>
        <w:tc>
          <w:tcPr>
            <w:tcW w:w="959" w:type="dxa"/>
            <w:tcBorders>
              <w:top w:val="nil"/>
              <w:left w:val="nil"/>
              <w:bottom w:val="nil"/>
              <w:right w:val="nil"/>
            </w:tcBorders>
            <w:shd w:val="clear" w:color="000000" w:fill="FBE4D5"/>
            <w:vAlign w:val="center"/>
            <w:hideMark/>
          </w:tcPr>
          <w:p w14:paraId="05442E8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w:t>
            </w:r>
          </w:p>
        </w:tc>
        <w:tc>
          <w:tcPr>
            <w:tcW w:w="1309" w:type="dxa"/>
            <w:tcBorders>
              <w:top w:val="nil"/>
              <w:left w:val="nil"/>
              <w:bottom w:val="nil"/>
              <w:right w:val="nil"/>
            </w:tcBorders>
            <w:shd w:val="clear" w:color="000000" w:fill="FBE4D5"/>
            <w:vAlign w:val="center"/>
            <w:hideMark/>
          </w:tcPr>
          <w:p w14:paraId="23B95BFD"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Parity 1</w:t>
            </w:r>
          </w:p>
        </w:tc>
        <w:tc>
          <w:tcPr>
            <w:tcW w:w="906" w:type="dxa"/>
            <w:tcBorders>
              <w:top w:val="nil"/>
              <w:left w:val="nil"/>
              <w:bottom w:val="nil"/>
              <w:right w:val="nil"/>
            </w:tcBorders>
            <w:shd w:val="clear" w:color="000000" w:fill="FBE4D5"/>
            <w:vAlign w:val="center"/>
            <w:hideMark/>
          </w:tcPr>
          <w:p w14:paraId="190AD12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w:t>
            </w:r>
          </w:p>
        </w:tc>
        <w:tc>
          <w:tcPr>
            <w:tcW w:w="1275" w:type="dxa"/>
            <w:tcBorders>
              <w:top w:val="nil"/>
              <w:left w:val="nil"/>
              <w:bottom w:val="nil"/>
              <w:right w:val="nil"/>
            </w:tcBorders>
            <w:shd w:val="clear" w:color="000000" w:fill="FBE4D5"/>
            <w:vAlign w:val="center"/>
            <w:hideMark/>
          </w:tcPr>
          <w:p w14:paraId="4F07842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Parity 2</w:t>
            </w:r>
          </w:p>
        </w:tc>
        <w:tc>
          <w:tcPr>
            <w:tcW w:w="959" w:type="dxa"/>
            <w:tcBorders>
              <w:top w:val="nil"/>
              <w:left w:val="nil"/>
              <w:bottom w:val="nil"/>
              <w:right w:val="nil"/>
            </w:tcBorders>
            <w:shd w:val="clear" w:color="000000" w:fill="FBE4D5"/>
            <w:vAlign w:val="center"/>
            <w:hideMark/>
          </w:tcPr>
          <w:p w14:paraId="6E6515EB" w14:textId="77777777" w:rsidR="00244248" w:rsidRPr="007A742B" w:rsidRDefault="00244248" w:rsidP="00335B25">
            <w:pPr>
              <w:spacing w:after="0" w:line="240" w:lineRule="auto"/>
              <w:jc w:val="center"/>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r>
      <w:tr w:rsidR="00244248" w:rsidRPr="007A742B" w14:paraId="6E030F15" w14:textId="77777777" w:rsidTr="00335B25">
        <w:trPr>
          <w:trHeight w:val="20"/>
        </w:trPr>
        <w:tc>
          <w:tcPr>
            <w:tcW w:w="3837" w:type="dxa"/>
            <w:tcBorders>
              <w:top w:val="nil"/>
              <w:left w:val="nil"/>
              <w:bottom w:val="single" w:sz="4" w:space="0" w:color="ED7D31"/>
              <w:right w:val="nil"/>
            </w:tcBorders>
            <w:shd w:val="clear" w:color="000000" w:fill="FBE4D5"/>
            <w:vAlign w:val="center"/>
            <w:hideMark/>
          </w:tcPr>
          <w:p w14:paraId="19C3F2C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w:t>
            </w:r>
          </w:p>
        </w:tc>
        <w:tc>
          <w:tcPr>
            <w:tcW w:w="1276" w:type="dxa"/>
            <w:tcBorders>
              <w:top w:val="nil"/>
              <w:left w:val="nil"/>
              <w:bottom w:val="single" w:sz="4" w:space="0" w:color="ED7D31"/>
              <w:right w:val="nil"/>
            </w:tcBorders>
            <w:shd w:val="clear" w:color="000000" w:fill="FBE4D5"/>
            <w:vAlign w:val="center"/>
            <w:hideMark/>
          </w:tcPr>
          <w:p w14:paraId="0D45739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Coef. </w:t>
            </w:r>
          </w:p>
        </w:tc>
        <w:tc>
          <w:tcPr>
            <w:tcW w:w="840" w:type="dxa"/>
            <w:tcBorders>
              <w:top w:val="nil"/>
              <w:left w:val="nil"/>
              <w:bottom w:val="single" w:sz="4" w:space="0" w:color="ED7D31"/>
              <w:right w:val="nil"/>
            </w:tcBorders>
            <w:shd w:val="clear" w:color="000000" w:fill="FBE4D5"/>
            <w:vAlign w:val="center"/>
            <w:hideMark/>
          </w:tcPr>
          <w:p w14:paraId="3C7043A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Se</w:t>
            </w:r>
          </w:p>
        </w:tc>
        <w:tc>
          <w:tcPr>
            <w:tcW w:w="1277" w:type="dxa"/>
            <w:tcBorders>
              <w:top w:val="nil"/>
              <w:left w:val="nil"/>
              <w:bottom w:val="single" w:sz="4" w:space="0" w:color="ED7D31"/>
              <w:right w:val="nil"/>
            </w:tcBorders>
            <w:shd w:val="clear" w:color="000000" w:fill="FBE4D5"/>
            <w:vAlign w:val="center"/>
            <w:hideMark/>
          </w:tcPr>
          <w:p w14:paraId="39DFD7F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5B6D4CC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Se</w:t>
            </w:r>
          </w:p>
        </w:tc>
        <w:tc>
          <w:tcPr>
            <w:tcW w:w="1309" w:type="dxa"/>
            <w:tcBorders>
              <w:top w:val="nil"/>
              <w:left w:val="nil"/>
              <w:bottom w:val="single" w:sz="4" w:space="0" w:color="ED7D31"/>
              <w:right w:val="nil"/>
            </w:tcBorders>
            <w:shd w:val="clear" w:color="000000" w:fill="FBE4D5"/>
            <w:vAlign w:val="center"/>
            <w:hideMark/>
          </w:tcPr>
          <w:p w14:paraId="0B27B95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Coef. </w:t>
            </w:r>
          </w:p>
        </w:tc>
        <w:tc>
          <w:tcPr>
            <w:tcW w:w="906" w:type="dxa"/>
            <w:tcBorders>
              <w:top w:val="nil"/>
              <w:left w:val="nil"/>
              <w:bottom w:val="single" w:sz="4" w:space="0" w:color="ED7D31"/>
              <w:right w:val="nil"/>
            </w:tcBorders>
            <w:shd w:val="clear" w:color="000000" w:fill="FBE4D5"/>
            <w:vAlign w:val="center"/>
            <w:hideMark/>
          </w:tcPr>
          <w:p w14:paraId="0DFE6E9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Se</w:t>
            </w:r>
          </w:p>
        </w:tc>
        <w:tc>
          <w:tcPr>
            <w:tcW w:w="1275" w:type="dxa"/>
            <w:tcBorders>
              <w:top w:val="nil"/>
              <w:left w:val="nil"/>
              <w:bottom w:val="single" w:sz="4" w:space="0" w:color="ED7D31"/>
              <w:right w:val="nil"/>
            </w:tcBorders>
            <w:shd w:val="clear" w:color="000000" w:fill="FBE4D5"/>
            <w:vAlign w:val="center"/>
            <w:hideMark/>
          </w:tcPr>
          <w:p w14:paraId="74E64A5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41BF96A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Se</w:t>
            </w:r>
          </w:p>
        </w:tc>
      </w:tr>
      <w:tr w:rsidR="00244248" w:rsidRPr="007A742B" w14:paraId="690ECF84" w14:textId="77777777" w:rsidTr="00335B25">
        <w:trPr>
          <w:trHeight w:val="20"/>
        </w:trPr>
        <w:tc>
          <w:tcPr>
            <w:tcW w:w="3837" w:type="dxa"/>
            <w:tcBorders>
              <w:top w:val="nil"/>
              <w:left w:val="nil"/>
              <w:bottom w:val="nil"/>
              <w:right w:val="nil"/>
            </w:tcBorders>
            <w:shd w:val="clear" w:color="auto" w:fill="auto"/>
            <w:vAlign w:val="center"/>
            <w:hideMark/>
          </w:tcPr>
          <w:p w14:paraId="06667BFD"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Number of children </w:t>
            </w:r>
            <w:r w:rsidRPr="007A742B">
              <w:rPr>
                <w:rFonts w:ascii="Calibri Light" w:eastAsia="Times New Roman" w:hAnsi="Calibri Light" w:cs="Calibri Light"/>
                <w:color w:val="000000"/>
                <w:sz w:val="20"/>
                <w:szCs w:val="20"/>
                <w:lang w:eastAsia="en-AU"/>
              </w:rPr>
              <w:t>(ref: childless)</w:t>
            </w:r>
          </w:p>
        </w:tc>
        <w:tc>
          <w:tcPr>
            <w:tcW w:w="1276" w:type="dxa"/>
            <w:tcBorders>
              <w:top w:val="nil"/>
              <w:left w:val="nil"/>
              <w:bottom w:val="nil"/>
              <w:right w:val="nil"/>
            </w:tcBorders>
            <w:shd w:val="clear" w:color="auto" w:fill="auto"/>
            <w:vAlign w:val="center"/>
            <w:hideMark/>
          </w:tcPr>
          <w:p w14:paraId="24AF46FE"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73434CF2"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77EBD579"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D698303"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309" w:type="dxa"/>
            <w:tcBorders>
              <w:top w:val="nil"/>
              <w:left w:val="nil"/>
              <w:bottom w:val="nil"/>
              <w:right w:val="nil"/>
            </w:tcBorders>
            <w:shd w:val="clear" w:color="auto" w:fill="auto"/>
            <w:vAlign w:val="center"/>
            <w:hideMark/>
          </w:tcPr>
          <w:p w14:paraId="43D3CDE6"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06" w:type="dxa"/>
            <w:tcBorders>
              <w:top w:val="nil"/>
              <w:left w:val="nil"/>
              <w:bottom w:val="nil"/>
              <w:right w:val="nil"/>
            </w:tcBorders>
            <w:shd w:val="clear" w:color="auto" w:fill="auto"/>
            <w:vAlign w:val="center"/>
            <w:hideMark/>
          </w:tcPr>
          <w:p w14:paraId="2F8ED928"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162D9CE4"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EE883A2"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6069B91A" w14:textId="77777777" w:rsidTr="00335B25">
        <w:trPr>
          <w:trHeight w:val="20"/>
        </w:trPr>
        <w:tc>
          <w:tcPr>
            <w:tcW w:w="3837" w:type="dxa"/>
            <w:tcBorders>
              <w:top w:val="nil"/>
              <w:left w:val="nil"/>
              <w:bottom w:val="nil"/>
              <w:right w:val="nil"/>
            </w:tcBorders>
            <w:shd w:val="clear" w:color="auto" w:fill="auto"/>
            <w:vAlign w:val="center"/>
            <w:hideMark/>
          </w:tcPr>
          <w:p w14:paraId="783BE9E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 child</w:t>
            </w:r>
          </w:p>
        </w:tc>
        <w:tc>
          <w:tcPr>
            <w:tcW w:w="1276" w:type="dxa"/>
            <w:tcBorders>
              <w:top w:val="nil"/>
              <w:left w:val="nil"/>
              <w:bottom w:val="nil"/>
              <w:right w:val="nil"/>
            </w:tcBorders>
            <w:shd w:val="clear" w:color="auto" w:fill="auto"/>
            <w:vAlign w:val="center"/>
            <w:hideMark/>
          </w:tcPr>
          <w:p w14:paraId="2D89DCF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-0.446***</w:t>
            </w:r>
          </w:p>
        </w:tc>
        <w:tc>
          <w:tcPr>
            <w:tcW w:w="840" w:type="dxa"/>
            <w:tcBorders>
              <w:top w:val="nil"/>
              <w:left w:val="nil"/>
              <w:bottom w:val="nil"/>
              <w:right w:val="nil"/>
            </w:tcBorders>
            <w:shd w:val="clear" w:color="auto" w:fill="auto"/>
            <w:vAlign w:val="center"/>
            <w:hideMark/>
          </w:tcPr>
          <w:p w14:paraId="1CEE246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(0.018)</w:t>
            </w:r>
          </w:p>
        </w:tc>
        <w:tc>
          <w:tcPr>
            <w:tcW w:w="1277" w:type="dxa"/>
            <w:tcBorders>
              <w:top w:val="nil"/>
              <w:left w:val="nil"/>
              <w:bottom w:val="nil"/>
              <w:right w:val="nil"/>
            </w:tcBorders>
            <w:shd w:val="clear" w:color="auto" w:fill="auto"/>
            <w:vAlign w:val="center"/>
            <w:hideMark/>
          </w:tcPr>
          <w:p w14:paraId="76F854B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tcBorders>
              <w:top w:val="nil"/>
              <w:left w:val="nil"/>
              <w:bottom w:val="nil"/>
              <w:right w:val="nil"/>
            </w:tcBorders>
            <w:shd w:val="clear" w:color="auto" w:fill="auto"/>
            <w:vAlign w:val="center"/>
            <w:hideMark/>
          </w:tcPr>
          <w:p w14:paraId="2FD7F37D"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309" w:type="dxa"/>
            <w:tcBorders>
              <w:top w:val="nil"/>
              <w:left w:val="nil"/>
              <w:bottom w:val="nil"/>
              <w:right w:val="nil"/>
            </w:tcBorders>
            <w:shd w:val="clear" w:color="auto" w:fill="auto"/>
            <w:vAlign w:val="center"/>
            <w:hideMark/>
          </w:tcPr>
          <w:p w14:paraId="0AA4BCA2"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06" w:type="dxa"/>
            <w:tcBorders>
              <w:top w:val="nil"/>
              <w:left w:val="nil"/>
              <w:bottom w:val="nil"/>
              <w:right w:val="nil"/>
            </w:tcBorders>
            <w:shd w:val="clear" w:color="auto" w:fill="auto"/>
            <w:vAlign w:val="center"/>
            <w:hideMark/>
          </w:tcPr>
          <w:p w14:paraId="6CE54B7F"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338E2D44"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706B535B"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74DC3DC0" w14:textId="77777777" w:rsidTr="00335B25">
        <w:trPr>
          <w:trHeight w:val="20"/>
        </w:trPr>
        <w:tc>
          <w:tcPr>
            <w:tcW w:w="3837" w:type="dxa"/>
            <w:tcBorders>
              <w:top w:val="nil"/>
              <w:left w:val="nil"/>
              <w:bottom w:val="nil"/>
              <w:right w:val="nil"/>
            </w:tcBorders>
            <w:shd w:val="clear" w:color="auto" w:fill="auto"/>
            <w:vAlign w:val="center"/>
            <w:hideMark/>
          </w:tcPr>
          <w:p w14:paraId="52EEFBC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2 children</w:t>
            </w:r>
          </w:p>
        </w:tc>
        <w:tc>
          <w:tcPr>
            <w:tcW w:w="1276" w:type="dxa"/>
            <w:tcBorders>
              <w:top w:val="nil"/>
              <w:left w:val="nil"/>
              <w:bottom w:val="nil"/>
              <w:right w:val="nil"/>
            </w:tcBorders>
            <w:shd w:val="clear" w:color="auto" w:fill="auto"/>
            <w:vAlign w:val="center"/>
            <w:hideMark/>
          </w:tcPr>
          <w:p w14:paraId="353DD94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-1.376***</w:t>
            </w:r>
          </w:p>
        </w:tc>
        <w:tc>
          <w:tcPr>
            <w:tcW w:w="840" w:type="dxa"/>
            <w:tcBorders>
              <w:top w:val="nil"/>
              <w:left w:val="nil"/>
              <w:bottom w:val="nil"/>
              <w:right w:val="nil"/>
            </w:tcBorders>
            <w:shd w:val="clear" w:color="auto" w:fill="auto"/>
            <w:vAlign w:val="center"/>
            <w:hideMark/>
          </w:tcPr>
          <w:p w14:paraId="20C49C42"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(0.041)</w:t>
            </w:r>
          </w:p>
        </w:tc>
        <w:tc>
          <w:tcPr>
            <w:tcW w:w="1277" w:type="dxa"/>
            <w:tcBorders>
              <w:top w:val="nil"/>
              <w:left w:val="nil"/>
              <w:bottom w:val="nil"/>
              <w:right w:val="nil"/>
            </w:tcBorders>
            <w:shd w:val="clear" w:color="auto" w:fill="auto"/>
            <w:vAlign w:val="center"/>
            <w:hideMark/>
          </w:tcPr>
          <w:p w14:paraId="31AB5D4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tcBorders>
              <w:top w:val="nil"/>
              <w:left w:val="nil"/>
              <w:bottom w:val="nil"/>
              <w:right w:val="nil"/>
            </w:tcBorders>
            <w:shd w:val="clear" w:color="auto" w:fill="auto"/>
            <w:vAlign w:val="center"/>
            <w:hideMark/>
          </w:tcPr>
          <w:p w14:paraId="16273E33"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309" w:type="dxa"/>
            <w:tcBorders>
              <w:top w:val="nil"/>
              <w:left w:val="nil"/>
              <w:bottom w:val="nil"/>
              <w:right w:val="nil"/>
            </w:tcBorders>
            <w:shd w:val="clear" w:color="auto" w:fill="auto"/>
            <w:vAlign w:val="center"/>
            <w:hideMark/>
          </w:tcPr>
          <w:p w14:paraId="7A89DB3A"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06" w:type="dxa"/>
            <w:tcBorders>
              <w:top w:val="nil"/>
              <w:left w:val="nil"/>
              <w:bottom w:val="nil"/>
              <w:right w:val="nil"/>
            </w:tcBorders>
            <w:shd w:val="clear" w:color="auto" w:fill="auto"/>
            <w:vAlign w:val="center"/>
            <w:hideMark/>
          </w:tcPr>
          <w:p w14:paraId="15AC42D3"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0C8C4AC8"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7D1DA1FC"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730EE643"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4039DCA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3 children</w:t>
            </w:r>
          </w:p>
        </w:tc>
        <w:tc>
          <w:tcPr>
            <w:tcW w:w="1276" w:type="dxa"/>
            <w:tcBorders>
              <w:top w:val="nil"/>
              <w:left w:val="nil"/>
              <w:bottom w:val="single" w:sz="4" w:space="0" w:color="ED7D31"/>
              <w:right w:val="nil"/>
            </w:tcBorders>
            <w:shd w:val="clear" w:color="auto" w:fill="auto"/>
            <w:vAlign w:val="center"/>
            <w:hideMark/>
          </w:tcPr>
          <w:p w14:paraId="06D377F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-1.891***</w:t>
            </w:r>
          </w:p>
        </w:tc>
        <w:tc>
          <w:tcPr>
            <w:tcW w:w="840" w:type="dxa"/>
            <w:tcBorders>
              <w:top w:val="nil"/>
              <w:left w:val="nil"/>
              <w:bottom w:val="single" w:sz="4" w:space="0" w:color="ED7D31"/>
              <w:right w:val="nil"/>
            </w:tcBorders>
            <w:shd w:val="clear" w:color="auto" w:fill="auto"/>
            <w:vAlign w:val="center"/>
            <w:hideMark/>
          </w:tcPr>
          <w:p w14:paraId="79AD40FF"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(0.073)</w:t>
            </w:r>
          </w:p>
        </w:tc>
        <w:tc>
          <w:tcPr>
            <w:tcW w:w="1277" w:type="dxa"/>
            <w:tcBorders>
              <w:top w:val="nil"/>
              <w:left w:val="nil"/>
              <w:bottom w:val="single" w:sz="4" w:space="0" w:color="ED7D31"/>
              <w:right w:val="nil"/>
            </w:tcBorders>
            <w:shd w:val="clear" w:color="auto" w:fill="auto"/>
            <w:vAlign w:val="center"/>
            <w:hideMark/>
          </w:tcPr>
          <w:p w14:paraId="06A37EC9" w14:textId="77777777" w:rsidR="00244248" w:rsidRPr="007A742B" w:rsidRDefault="00244248" w:rsidP="00335B25">
            <w:pPr>
              <w:spacing w:after="0" w:line="240" w:lineRule="auto"/>
              <w:rPr>
                <w:rFonts w:ascii="Calibri" w:eastAsia="Times New Roman" w:hAnsi="Calibri" w:cs="Calibri"/>
                <w:color w:val="000000"/>
                <w:lang w:eastAsia="en-AU"/>
              </w:rPr>
            </w:pPr>
            <w:r w:rsidRPr="007A742B">
              <w:rPr>
                <w:rFonts w:ascii="Calibri" w:eastAsia="Times New Roman" w:hAnsi="Calibri" w:cs="Calibri"/>
                <w:color w:val="000000"/>
                <w:lang w:eastAsia="en-AU"/>
              </w:rPr>
              <w:t> </w:t>
            </w:r>
          </w:p>
        </w:tc>
        <w:tc>
          <w:tcPr>
            <w:tcW w:w="959" w:type="dxa"/>
            <w:tcBorders>
              <w:top w:val="nil"/>
              <w:left w:val="nil"/>
              <w:bottom w:val="single" w:sz="4" w:space="0" w:color="ED7D31"/>
              <w:right w:val="nil"/>
            </w:tcBorders>
            <w:shd w:val="clear" w:color="auto" w:fill="auto"/>
            <w:vAlign w:val="center"/>
            <w:hideMark/>
          </w:tcPr>
          <w:p w14:paraId="49439A25" w14:textId="77777777" w:rsidR="00244248" w:rsidRPr="007A742B" w:rsidRDefault="00244248" w:rsidP="00335B25">
            <w:pPr>
              <w:spacing w:after="0" w:line="240" w:lineRule="auto"/>
              <w:rPr>
                <w:rFonts w:ascii="Calibri" w:eastAsia="Times New Roman" w:hAnsi="Calibri" w:cs="Calibri"/>
                <w:color w:val="808080"/>
                <w:lang w:eastAsia="en-AU"/>
              </w:rPr>
            </w:pPr>
            <w:r w:rsidRPr="007A742B">
              <w:rPr>
                <w:rFonts w:ascii="Calibri" w:eastAsia="Times New Roman" w:hAnsi="Calibri" w:cs="Calibri"/>
                <w:color w:val="808080"/>
                <w:lang w:eastAsia="en-AU"/>
              </w:rPr>
              <w:t> </w:t>
            </w:r>
          </w:p>
        </w:tc>
        <w:tc>
          <w:tcPr>
            <w:tcW w:w="1309" w:type="dxa"/>
            <w:tcBorders>
              <w:top w:val="nil"/>
              <w:left w:val="nil"/>
              <w:bottom w:val="single" w:sz="4" w:space="0" w:color="ED7D31"/>
              <w:right w:val="nil"/>
            </w:tcBorders>
            <w:shd w:val="clear" w:color="auto" w:fill="auto"/>
            <w:vAlign w:val="center"/>
            <w:hideMark/>
          </w:tcPr>
          <w:p w14:paraId="417D4EF7" w14:textId="77777777" w:rsidR="00244248" w:rsidRPr="007A742B" w:rsidRDefault="00244248" w:rsidP="00335B25">
            <w:pPr>
              <w:spacing w:after="0" w:line="240" w:lineRule="auto"/>
              <w:rPr>
                <w:rFonts w:ascii="Calibri" w:eastAsia="Times New Roman" w:hAnsi="Calibri" w:cs="Calibri"/>
                <w:color w:val="000000"/>
                <w:lang w:eastAsia="en-AU"/>
              </w:rPr>
            </w:pPr>
            <w:r w:rsidRPr="007A742B">
              <w:rPr>
                <w:rFonts w:ascii="Calibri" w:eastAsia="Times New Roman" w:hAnsi="Calibri" w:cs="Calibri"/>
                <w:color w:val="000000"/>
                <w:lang w:eastAsia="en-AU"/>
              </w:rPr>
              <w:t> </w:t>
            </w:r>
          </w:p>
        </w:tc>
        <w:tc>
          <w:tcPr>
            <w:tcW w:w="906" w:type="dxa"/>
            <w:tcBorders>
              <w:top w:val="nil"/>
              <w:left w:val="nil"/>
              <w:bottom w:val="single" w:sz="4" w:space="0" w:color="ED7D31"/>
              <w:right w:val="nil"/>
            </w:tcBorders>
            <w:shd w:val="clear" w:color="auto" w:fill="auto"/>
            <w:vAlign w:val="center"/>
            <w:hideMark/>
          </w:tcPr>
          <w:p w14:paraId="7F4B252E" w14:textId="77777777" w:rsidR="00244248" w:rsidRPr="007A742B" w:rsidRDefault="00244248" w:rsidP="00335B25">
            <w:pPr>
              <w:spacing w:after="0" w:line="240" w:lineRule="auto"/>
              <w:rPr>
                <w:rFonts w:ascii="Calibri" w:eastAsia="Times New Roman" w:hAnsi="Calibri" w:cs="Calibri"/>
                <w:color w:val="808080"/>
                <w:lang w:eastAsia="en-AU"/>
              </w:rPr>
            </w:pPr>
            <w:r w:rsidRPr="007A742B">
              <w:rPr>
                <w:rFonts w:ascii="Calibri" w:eastAsia="Times New Roman" w:hAnsi="Calibri" w:cs="Calibri"/>
                <w:color w:val="808080"/>
                <w:lang w:eastAsia="en-AU"/>
              </w:rPr>
              <w:t> </w:t>
            </w:r>
          </w:p>
        </w:tc>
        <w:tc>
          <w:tcPr>
            <w:tcW w:w="1275" w:type="dxa"/>
            <w:tcBorders>
              <w:top w:val="nil"/>
              <w:left w:val="nil"/>
              <w:bottom w:val="single" w:sz="4" w:space="0" w:color="ED7D31"/>
              <w:right w:val="nil"/>
            </w:tcBorders>
            <w:shd w:val="clear" w:color="auto" w:fill="auto"/>
            <w:vAlign w:val="center"/>
            <w:hideMark/>
          </w:tcPr>
          <w:p w14:paraId="00DE528C" w14:textId="77777777" w:rsidR="00244248" w:rsidRPr="007A742B" w:rsidRDefault="00244248" w:rsidP="00335B25">
            <w:pPr>
              <w:spacing w:after="0" w:line="240" w:lineRule="auto"/>
              <w:rPr>
                <w:rFonts w:ascii="Calibri" w:eastAsia="Times New Roman" w:hAnsi="Calibri" w:cs="Calibri"/>
                <w:color w:val="000000"/>
                <w:lang w:eastAsia="en-AU"/>
              </w:rPr>
            </w:pPr>
            <w:r w:rsidRPr="007A742B">
              <w:rPr>
                <w:rFonts w:ascii="Calibri" w:eastAsia="Times New Roman" w:hAnsi="Calibri" w:cs="Calibri"/>
                <w:color w:val="000000"/>
                <w:lang w:eastAsia="en-AU"/>
              </w:rPr>
              <w:t> </w:t>
            </w:r>
          </w:p>
        </w:tc>
        <w:tc>
          <w:tcPr>
            <w:tcW w:w="959" w:type="dxa"/>
            <w:tcBorders>
              <w:top w:val="nil"/>
              <w:left w:val="nil"/>
              <w:bottom w:val="single" w:sz="4" w:space="0" w:color="ED7D31"/>
              <w:right w:val="nil"/>
            </w:tcBorders>
            <w:shd w:val="clear" w:color="auto" w:fill="auto"/>
            <w:vAlign w:val="center"/>
            <w:hideMark/>
          </w:tcPr>
          <w:p w14:paraId="6C1169A6" w14:textId="77777777" w:rsidR="00244248" w:rsidRPr="007A742B" w:rsidRDefault="00244248" w:rsidP="00335B25">
            <w:pPr>
              <w:spacing w:after="0" w:line="240" w:lineRule="auto"/>
              <w:rPr>
                <w:rFonts w:ascii="Calibri" w:eastAsia="Times New Roman" w:hAnsi="Calibri" w:cs="Calibri"/>
                <w:color w:val="808080"/>
                <w:lang w:eastAsia="en-AU"/>
              </w:rPr>
            </w:pPr>
            <w:r w:rsidRPr="007A742B">
              <w:rPr>
                <w:rFonts w:ascii="Calibri" w:eastAsia="Times New Roman" w:hAnsi="Calibri" w:cs="Calibri"/>
                <w:color w:val="808080"/>
                <w:lang w:eastAsia="en-AU"/>
              </w:rPr>
              <w:t> </w:t>
            </w:r>
          </w:p>
        </w:tc>
      </w:tr>
      <w:tr w:rsidR="00244248" w:rsidRPr="007A742B" w14:paraId="1B94E142" w14:textId="77777777" w:rsidTr="00335B25">
        <w:trPr>
          <w:trHeight w:val="20"/>
        </w:trPr>
        <w:tc>
          <w:tcPr>
            <w:tcW w:w="3837" w:type="dxa"/>
            <w:tcBorders>
              <w:top w:val="nil"/>
              <w:left w:val="nil"/>
              <w:bottom w:val="nil"/>
              <w:right w:val="nil"/>
            </w:tcBorders>
            <w:shd w:val="clear" w:color="auto" w:fill="auto"/>
            <w:vAlign w:val="center"/>
            <w:hideMark/>
          </w:tcPr>
          <w:p w14:paraId="1DA47F5E"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Age group </w:t>
            </w:r>
            <w:r w:rsidRPr="007A742B">
              <w:rPr>
                <w:rFonts w:ascii="Calibri Light" w:eastAsia="Times New Roman" w:hAnsi="Calibri Light" w:cs="Calibri Light"/>
                <w:color w:val="000000"/>
                <w:sz w:val="20"/>
                <w:szCs w:val="20"/>
                <w:lang w:eastAsia="en-AU"/>
              </w:rPr>
              <w:t>(ref: 25-29)</w:t>
            </w:r>
          </w:p>
        </w:tc>
        <w:tc>
          <w:tcPr>
            <w:tcW w:w="1276" w:type="dxa"/>
            <w:tcBorders>
              <w:top w:val="nil"/>
              <w:left w:val="nil"/>
              <w:bottom w:val="nil"/>
              <w:right w:val="nil"/>
            </w:tcBorders>
            <w:shd w:val="clear" w:color="auto" w:fill="auto"/>
            <w:vAlign w:val="center"/>
            <w:hideMark/>
          </w:tcPr>
          <w:p w14:paraId="4AB709B2"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6AFBD59E"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5A3EF413"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3C266979"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309" w:type="dxa"/>
            <w:tcBorders>
              <w:top w:val="nil"/>
              <w:left w:val="nil"/>
              <w:bottom w:val="nil"/>
              <w:right w:val="nil"/>
            </w:tcBorders>
            <w:shd w:val="clear" w:color="auto" w:fill="auto"/>
            <w:vAlign w:val="center"/>
            <w:hideMark/>
          </w:tcPr>
          <w:p w14:paraId="28A9285E"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06" w:type="dxa"/>
            <w:tcBorders>
              <w:top w:val="nil"/>
              <w:left w:val="nil"/>
              <w:bottom w:val="nil"/>
              <w:right w:val="nil"/>
            </w:tcBorders>
            <w:shd w:val="clear" w:color="auto" w:fill="auto"/>
            <w:vAlign w:val="center"/>
            <w:hideMark/>
          </w:tcPr>
          <w:p w14:paraId="7C7E56B7"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15D1B001"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859E437"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0C2BE592" w14:textId="77777777" w:rsidTr="00335B25">
        <w:trPr>
          <w:trHeight w:val="20"/>
        </w:trPr>
        <w:tc>
          <w:tcPr>
            <w:tcW w:w="3837" w:type="dxa"/>
            <w:tcBorders>
              <w:top w:val="nil"/>
              <w:left w:val="nil"/>
              <w:bottom w:val="nil"/>
              <w:right w:val="nil"/>
            </w:tcBorders>
            <w:shd w:val="clear" w:color="auto" w:fill="auto"/>
            <w:vAlign w:val="center"/>
            <w:hideMark/>
          </w:tcPr>
          <w:p w14:paraId="39925B3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 18-24</w:t>
            </w:r>
          </w:p>
        </w:tc>
        <w:tc>
          <w:tcPr>
            <w:tcW w:w="1276" w:type="dxa"/>
            <w:tcBorders>
              <w:top w:val="nil"/>
              <w:left w:val="nil"/>
              <w:bottom w:val="nil"/>
              <w:right w:val="nil"/>
            </w:tcBorders>
            <w:shd w:val="clear" w:color="auto" w:fill="auto"/>
            <w:vAlign w:val="center"/>
            <w:hideMark/>
          </w:tcPr>
          <w:p w14:paraId="3EC16C2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0.108***</w:t>
            </w:r>
          </w:p>
        </w:tc>
        <w:tc>
          <w:tcPr>
            <w:tcW w:w="840" w:type="dxa"/>
            <w:tcBorders>
              <w:top w:val="nil"/>
              <w:left w:val="nil"/>
              <w:bottom w:val="nil"/>
              <w:right w:val="nil"/>
            </w:tcBorders>
            <w:shd w:val="clear" w:color="auto" w:fill="auto"/>
            <w:vAlign w:val="center"/>
            <w:hideMark/>
          </w:tcPr>
          <w:p w14:paraId="1D5FBA1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(0.011)</w:t>
            </w:r>
          </w:p>
        </w:tc>
        <w:tc>
          <w:tcPr>
            <w:tcW w:w="1277" w:type="dxa"/>
            <w:tcBorders>
              <w:top w:val="nil"/>
              <w:left w:val="nil"/>
              <w:bottom w:val="nil"/>
              <w:right w:val="nil"/>
            </w:tcBorders>
            <w:shd w:val="clear" w:color="auto" w:fill="auto"/>
            <w:vAlign w:val="center"/>
            <w:hideMark/>
          </w:tcPr>
          <w:p w14:paraId="7C73B41D"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0.103***</w:t>
            </w:r>
          </w:p>
        </w:tc>
        <w:tc>
          <w:tcPr>
            <w:tcW w:w="959" w:type="dxa"/>
            <w:tcBorders>
              <w:top w:val="nil"/>
              <w:left w:val="nil"/>
              <w:bottom w:val="nil"/>
              <w:right w:val="nil"/>
            </w:tcBorders>
            <w:shd w:val="clear" w:color="auto" w:fill="auto"/>
            <w:vAlign w:val="center"/>
            <w:hideMark/>
          </w:tcPr>
          <w:p w14:paraId="7DD1A49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(0.012)</w:t>
            </w:r>
          </w:p>
        </w:tc>
        <w:tc>
          <w:tcPr>
            <w:tcW w:w="1309" w:type="dxa"/>
            <w:tcBorders>
              <w:top w:val="nil"/>
              <w:left w:val="nil"/>
              <w:bottom w:val="nil"/>
              <w:right w:val="nil"/>
            </w:tcBorders>
            <w:shd w:val="clear" w:color="auto" w:fill="auto"/>
            <w:vAlign w:val="center"/>
            <w:hideMark/>
          </w:tcPr>
          <w:p w14:paraId="6EA4DA0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0.201***</w:t>
            </w:r>
          </w:p>
        </w:tc>
        <w:tc>
          <w:tcPr>
            <w:tcW w:w="906" w:type="dxa"/>
            <w:tcBorders>
              <w:top w:val="nil"/>
              <w:left w:val="nil"/>
              <w:bottom w:val="nil"/>
              <w:right w:val="nil"/>
            </w:tcBorders>
            <w:shd w:val="clear" w:color="auto" w:fill="auto"/>
            <w:vAlign w:val="center"/>
            <w:hideMark/>
          </w:tcPr>
          <w:p w14:paraId="454DF56C"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(0.040)</w:t>
            </w:r>
          </w:p>
        </w:tc>
        <w:tc>
          <w:tcPr>
            <w:tcW w:w="1275" w:type="dxa"/>
            <w:tcBorders>
              <w:top w:val="nil"/>
              <w:left w:val="nil"/>
              <w:bottom w:val="nil"/>
              <w:right w:val="nil"/>
            </w:tcBorders>
            <w:shd w:val="clear" w:color="auto" w:fill="auto"/>
            <w:vAlign w:val="center"/>
            <w:hideMark/>
          </w:tcPr>
          <w:p w14:paraId="5ACCFBD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0.090</w:t>
            </w:r>
          </w:p>
        </w:tc>
        <w:tc>
          <w:tcPr>
            <w:tcW w:w="959" w:type="dxa"/>
            <w:tcBorders>
              <w:top w:val="nil"/>
              <w:left w:val="nil"/>
              <w:bottom w:val="nil"/>
              <w:right w:val="nil"/>
            </w:tcBorders>
            <w:shd w:val="clear" w:color="auto" w:fill="auto"/>
            <w:vAlign w:val="center"/>
            <w:hideMark/>
          </w:tcPr>
          <w:p w14:paraId="04E6252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(0.011)</w:t>
            </w:r>
          </w:p>
        </w:tc>
      </w:tr>
      <w:tr w:rsidR="00244248" w:rsidRPr="007A742B" w14:paraId="35AE56EF" w14:textId="77777777" w:rsidTr="00335B25">
        <w:trPr>
          <w:trHeight w:val="20"/>
        </w:trPr>
        <w:tc>
          <w:tcPr>
            <w:tcW w:w="3837" w:type="dxa"/>
            <w:tcBorders>
              <w:top w:val="nil"/>
              <w:left w:val="nil"/>
              <w:bottom w:val="nil"/>
              <w:right w:val="nil"/>
            </w:tcBorders>
            <w:shd w:val="clear" w:color="auto" w:fill="auto"/>
            <w:vAlign w:val="center"/>
            <w:hideMark/>
          </w:tcPr>
          <w:p w14:paraId="0B12BF7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30-34</w:t>
            </w:r>
          </w:p>
        </w:tc>
        <w:tc>
          <w:tcPr>
            <w:tcW w:w="1276" w:type="dxa"/>
            <w:tcBorders>
              <w:top w:val="nil"/>
              <w:left w:val="nil"/>
              <w:bottom w:val="nil"/>
              <w:right w:val="nil"/>
            </w:tcBorders>
            <w:shd w:val="clear" w:color="auto" w:fill="auto"/>
            <w:vAlign w:val="center"/>
            <w:hideMark/>
          </w:tcPr>
          <w:p w14:paraId="6947551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-0.221***</w:t>
            </w:r>
          </w:p>
        </w:tc>
        <w:tc>
          <w:tcPr>
            <w:tcW w:w="840" w:type="dxa"/>
            <w:tcBorders>
              <w:top w:val="nil"/>
              <w:left w:val="nil"/>
              <w:bottom w:val="nil"/>
              <w:right w:val="nil"/>
            </w:tcBorders>
            <w:shd w:val="clear" w:color="auto" w:fill="auto"/>
            <w:vAlign w:val="center"/>
            <w:hideMark/>
          </w:tcPr>
          <w:p w14:paraId="7098945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(0.014)</w:t>
            </w:r>
          </w:p>
        </w:tc>
        <w:tc>
          <w:tcPr>
            <w:tcW w:w="1277" w:type="dxa"/>
            <w:tcBorders>
              <w:top w:val="nil"/>
              <w:left w:val="nil"/>
              <w:bottom w:val="nil"/>
              <w:right w:val="nil"/>
            </w:tcBorders>
            <w:shd w:val="clear" w:color="auto" w:fill="auto"/>
            <w:vAlign w:val="center"/>
            <w:hideMark/>
          </w:tcPr>
          <w:p w14:paraId="2880D6C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-0.206***</w:t>
            </w:r>
          </w:p>
        </w:tc>
        <w:tc>
          <w:tcPr>
            <w:tcW w:w="959" w:type="dxa"/>
            <w:tcBorders>
              <w:top w:val="nil"/>
              <w:left w:val="nil"/>
              <w:bottom w:val="nil"/>
              <w:right w:val="nil"/>
            </w:tcBorders>
            <w:shd w:val="clear" w:color="auto" w:fill="auto"/>
            <w:vAlign w:val="center"/>
            <w:hideMark/>
          </w:tcPr>
          <w:p w14:paraId="71BB86A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(0.018)</w:t>
            </w:r>
          </w:p>
        </w:tc>
        <w:tc>
          <w:tcPr>
            <w:tcW w:w="1309" w:type="dxa"/>
            <w:tcBorders>
              <w:top w:val="nil"/>
              <w:left w:val="nil"/>
              <w:bottom w:val="nil"/>
              <w:right w:val="nil"/>
            </w:tcBorders>
            <w:shd w:val="clear" w:color="auto" w:fill="auto"/>
            <w:vAlign w:val="center"/>
            <w:hideMark/>
          </w:tcPr>
          <w:p w14:paraId="422974A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-0.304***</w:t>
            </w:r>
          </w:p>
        </w:tc>
        <w:tc>
          <w:tcPr>
            <w:tcW w:w="906" w:type="dxa"/>
            <w:tcBorders>
              <w:top w:val="nil"/>
              <w:left w:val="nil"/>
              <w:bottom w:val="nil"/>
              <w:right w:val="nil"/>
            </w:tcBorders>
            <w:shd w:val="clear" w:color="auto" w:fill="auto"/>
            <w:vAlign w:val="center"/>
            <w:hideMark/>
          </w:tcPr>
          <w:p w14:paraId="4B6D2FA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(0.035)</w:t>
            </w:r>
          </w:p>
        </w:tc>
        <w:tc>
          <w:tcPr>
            <w:tcW w:w="1275" w:type="dxa"/>
            <w:tcBorders>
              <w:top w:val="nil"/>
              <w:left w:val="nil"/>
              <w:bottom w:val="nil"/>
              <w:right w:val="nil"/>
            </w:tcBorders>
            <w:shd w:val="clear" w:color="auto" w:fill="auto"/>
            <w:vAlign w:val="center"/>
            <w:hideMark/>
          </w:tcPr>
          <w:p w14:paraId="36CA766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-0.453***</w:t>
            </w:r>
          </w:p>
        </w:tc>
        <w:tc>
          <w:tcPr>
            <w:tcW w:w="959" w:type="dxa"/>
            <w:tcBorders>
              <w:top w:val="nil"/>
              <w:left w:val="nil"/>
              <w:bottom w:val="nil"/>
              <w:right w:val="nil"/>
            </w:tcBorders>
            <w:shd w:val="clear" w:color="auto" w:fill="auto"/>
            <w:vAlign w:val="center"/>
            <w:hideMark/>
          </w:tcPr>
          <w:p w14:paraId="102D51F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(0.014)</w:t>
            </w:r>
          </w:p>
        </w:tc>
      </w:tr>
      <w:tr w:rsidR="00244248" w:rsidRPr="007A742B" w14:paraId="4FE32CAB" w14:textId="77777777" w:rsidTr="00335B25">
        <w:trPr>
          <w:trHeight w:val="20"/>
        </w:trPr>
        <w:tc>
          <w:tcPr>
            <w:tcW w:w="3837" w:type="dxa"/>
            <w:tcBorders>
              <w:top w:val="nil"/>
              <w:left w:val="nil"/>
              <w:bottom w:val="nil"/>
              <w:right w:val="nil"/>
            </w:tcBorders>
            <w:shd w:val="clear" w:color="auto" w:fill="auto"/>
            <w:vAlign w:val="center"/>
            <w:hideMark/>
          </w:tcPr>
          <w:p w14:paraId="7C49DF5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35-39</w:t>
            </w:r>
          </w:p>
        </w:tc>
        <w:tc>
          <w:tcPr>
            <w:tcW w:w="1276" w:type="dxa"/>
            <w:tcBorders>
              <w:top w:val="nil"/>
              <w:left w:val="nil"/>
              <w:bottom w:val="nil"/>
              <w:right w:val="nil"/>
            </w:tcBorders>
            <w:shd w:val="clear" w:color="auto" w:fill="auto"/>
            <w:vAlign w:val="center"/>
            <w:hideMark/>
          </w:tcPr>
          <w:p w14:paraId="390B237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-0.890***</w:t>
            </w:r>
          </w:p>
        </w:tc>
        <w:tc>
          <w:tcPr>
            <w:tcW w:w="840" w:type="dxa"/>
            <w:tcBorders>
              <w:top w:val="nil"/>
              <w:left w:val="nil"/>
              <w:bottom w:val="nil"/>
              <w:right w:val="nil"/>
            </w:tcBorders>
            <w:shd w:val="clear" w:color="auto" w:fill="auto"/>
            <w:vAlign w:val="center"/>
            <w:hideMark/>
          </w:tcPr>
          <w:p w14:paraId="7B5C720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(0.036)</w:t>
            </w:r>
          </w:p>
        </w:tc>
        <w:tc>
          <w:tcPr>
            <w:tcW w:w="1277" w:type="dxa"/>
            <w:tcBorders>
              <w:top w:val="nil"/>
              <w:left w:val="nil"/>
              <w:bottom w:val="nil"/>
              <w:right w:val="nil"/>
            </w:tcBorders>
            <w:shd w:val="clear" w:color="auto" w:fill="auto"/>
            <w:vAlign w:val="center"/>
            <w:hideMark/>
          </w:tcPr>
          <w:p w14:paraId="24907D8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-0.849***</w:t>
            </w:r>
          </w:p>
        </w:tc>
        <w:tc>
          <w:tcPr>
            <w:tcW w:w="959" w:type="dxa"/>
            <w:tcBorders>
              <w:top w:val="nil"/>
              <w:left w:val="nil"/>
              <w:bottom w:val="nil"/>
              <w:right w:val="nil"/>
            </w:tcBorders>
            <w:shd w:val="clear" w:color="auto" w:fill="auto"/>
            <w:vAlign w:val="center"/>
            <w:hideMark/>
          </w:tcPr>
          <w:p w14:paraId="562C29A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(0.060)</w:t>
            </w:r>
          </w:p>
        </w:tc>
        <w:tc>
          <w:tcPr>
            <w:tcW w:w="1309" w:type="dxa"/>
            <w:tcBorders>
              <w:top w:val="nil"/>
              <w:left w:val="nil"/>
              <w:bottom w:val="nil"/>
              <w:right w:val="nil"/>
            </w:tcBorders>
            <w:shd w:val="clear" w:color="auto" w:fill="auto"/>
            <w:vAlign w:val="center"/>
            <w:hideMark/>
          </w:tcPr>
          <w:p w14:paraId="77472A2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-0.830***</w:t>
            </w:r>
          </w:p>
        </w:tc>
        <w:tc>
          <w:tcPr>
            <w:tcW w:w="906" w:type="dxa"/>
            <w:tcBorders>
              <w:top w:val="nil"/>
              <w:left w:val="nil"/>
              <w:bottom w:val="nil"/>
              <w:right w:val="nil"/>
            </w:tcBorders>
            <w:shd w:val="clear" w:color="auto" w:fill="auto"/>
            <w:vAlign w:val="center"/>
            <w:hideMark/>
          </w:tcPr>
          <w:p w14:paraId="0028503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(0.063)</w:t>
            </w:r>
          </w:p>
        </w:tc>
        <w:tc>
          <w:tcPr>
            <w:tcW w:w="1275" w:type="dxa"/>
            <w:tcBorders>
              <w:top w:val="nil"/>
              <w:left w:val="nil"/>
              <w:bottom w:val="nil"/>
              <w:right w:val="nil"/>
            </w:tcBorders>
            <w:shd w:val="clear" w:color="auto" w:fill="auto"/>
            <w:vAlign w:val="center"/>
            <w:hideMark/>
          </w:tcPr>
          <w:p w14:paraId="259A1D2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-1.633***</w:t>
            </w:r>
          </w:p>
        </w:tc>
        <w:tc>
          <w:tcPr>
            <w:tcW w:w="959" w:type="dxa"/>
            <w:tcBorders>
              <w:top w:val="nil"/>
              <w:left w:val="nil"/>
              <w:bottom w:val="nil"/>
              <w:right w:val="nil"/>
            </w:tcBorders>
            <w:shd w:val="clear" w:color="auto" w:fill="auto"/>
            <w:vAlign w:val="center"/>
            <w:hideMark/>
          </w:tcPr>
          <w:p w14:paraId="245E475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(0.036)</w:t>
            </w:r>
          </w:p>
        </w:tc>
      </w:tr>
      <w:tr w:rsidR="00244248" w:rsidRPr="007A742B" w14:paraId="19E5DEF6" w14:textId="77777777" w:rsidTr="00335B25">
        <w:trPr>
          <w:trHeight w:val="20"/>
        </w:trPr>
        <w:tc>
          <w:tcPr>
            <w:tcW w:w="3837" w:type="dxa"/>
            <w:tcBorders>
              <w:top w:val="nil"/>
              <w:left w:val="nil"/>
              <w:bottom w:val="nil"/>
              <w:right w:val="nil"/>
            </w:tcBorders>
            <w:shd w:val="clear" w:color="auto" w:fill="auto"/>
            <w:vAlign w:val="center"/>
            <w:hideMark/>
          </w:tcPr>
          <w:p w14:paraId="59357D1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40-44</w:t>
            </w:r>
          </w:p>
        </w:tc>
        <w:tc>
          <w:tcPr>
            <w:tcW w:w="1276" w:type="dxa"/>
            <w:tcBorders>
              <w:top w:val="nil"/>
              <w:left w:val="nil"/>
              <w:bottom w:val="nil"/>
              <w:right w:val="nil"/>
            </w:tcBorders>
            <w:shd w:val="clear" w:color="auto" w:fill="auto"/>
            <w:vAlign w:val="center"/>
            <w:hideMark/>
          </w:tcPr>
          <w:p w14:paraId="740C43C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-2.513***</w:t>
            </w:r>
          </w:p>
        </w:tc>
        <w:tc>
          <w:tcPr>
            <w:tcW w:w="840" w:type="dxa"/>
            <w:tcBorders>
              <w:top w:val="nil"/>
              <w:left w:val="nil"/>
              <w:bottom w:val="nil"/>
              <w:right w:val="nil"/>
            </w:tcBorders>
            <w:shd w:val="clear" w:color="auto" w:fill="auto"/>
            <w:vAlign w:val="center"/>
            <w:hideMark/>
          </w:tcPr>
          <w:p w14:paraId="159014A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(0.087)</w:t>
            </w:r>
          </w:p>
        </w:tc>
        <w:tc>
          <w:tcPr>
            <w:tcW w:w="1277" w:type="dxa"/>
            <w:tcBorders>
              <w:top w:val="nil"/>
              <w:left w:val="nil"/>
              <w:bottom w:val="nil"/>
              <w:right w:val="nil"/>
            </w:tcBorders>
            <w:shd w:val="clear" w:color="auto" w:fill="auto"/>
            <w:vAlign w:val="center"/>
            <w:hideMark/>
          </w:tcPr>
          <w:p w14:paraId="53747CA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-2.295***</w:t>
            </w:r>
          </w:p>
        </w:tc>
        <w:tc>
          <w:tcPr>
            <w:tcW w:w="959" w:type="dxa"/>
            <w:tcBorders>
              <w:top w:val="nil"/>
              <w:left w:val="nil"/>
              <w:bottom w:val="nil"/>
              <w:right w:val="nil"/>
            </w:tcBorders>
            <w:shd w:val="clear" w:color="auto" w:fill="auto"/>
            <w:vAlign w:val="center"/>
            <w:hideMark/>
          </w:tcPr>
          <w:p w14:paraId="36DF8297"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(0.139)</w:t>
            </w:r>
          </w:p>
        </w:tc>
        <w:tc>
          <w:tcPr>
            <w:tcW w:w="1309" w:type="dxa"/>
            <w:tcBorders>
              <w:top w:val="nil"/>
              <w:left w:val="nil"/>
              <w:bottom w:val="nil"/>
              <w:right w:val="nil"/>
            </w:tcBorders>
            <w:shd w:val="clear" w:color="auto" w:fill="auto"/>
            <w:vAlign w:val="center"/>
            <w:hideMark/>
          </w:tcPr>
          <w:p w14:paraId="37A1A5D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-2.366***</w:t>
            </w:r>
          </w:p>
        </w:tc>
        <w:tc>
          <w:tcPr>
            <w:tcW w:w="906" w:type="dxa"/>
            <w:tcBorders>
              <w:top w:val="nil"/>
              <w:left w:val="nil"/>
              <w:bottom w:val="nil"/>
              <w:right w:val="nil"/>
            </w:tcBorders>
            <w:shd w:val="clear" w:color="auto" w:fill="auto"/>
            <w:vAlign w:val="center"/>
            <w:hideMark/>
          </w:tcPr>
          <w:p w14:paraId="4F64BBF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(0.164)</w:t>
            </w:r>
          </w:p>
        </w:tc>
        <w:tc>
          <w:tcPr>
            <w:tcW w:w="1275" w:type="dxa"/>
            <w:tcBorders>
              <w:top w:val="nil"/>
              <w:left w:val="nil"/>
              <w:bottom w:val="nil"/>
              <w:right w:val="nil"/>
            </w:tcBorders>
            <w:shd w:val="clear" w:color="auto" w:fill="auto"/>
            <w:vAlign w:val="center"/>
            <w:hideMark/>
          </w:tcPr>
          <w:p w14:paraId="668AF04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-4.064***</w:t>
            </w:r>
          </w:p>
        </w:tc>
        <w:tc>
          <w:tcPr>
            <w:tcW w:w="959" w:type="dxa"/>
            <w:tcBorders>
              <w:top w:val="nil"/>
              <w:left w:val="nil"/>
              <w:bottom w:val="nil"/>
              <w:right w:val="nil"/>
            </w:tcBorders>
            <w:shd w:val="clear" w:color="auto" w:fill="auto"/>
            <w:vAlign w:val="center"/>
            <w:hideMark/>
          </w:tcPr>
          <w:p w14:paraId="7B30CAE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(0.087)</w:t>
            </w:r>
          </w:p>
        </w:tc>
      </w:tr>
      <w:tr w:rsidR="00244248" w:rsidRPr="007A742B" w14:paraId="2075914B"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22A7366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45-49</w:t>
            </w:r>
          </w:p>
        </w:tc>
        <w:tc>
          <w:tcPr>
            <w:tcW w:w="1276" w:type="dxa"/>
            <w:tcBorders>
              <w:top w:val="nil"/>
              <w:left w:val="nil"/>
              <w:bottom w:val="single" w:sz="4" w:space="0" w:color="ED7D31"/>
              <w:right w:val="nil"/>
            </w:tcBorders>
            <w:shd w:val="clear" w:color="auto" w:fill="auto"/>
            <w:vAlign w:val="center"/>
            <w:hideMark/>
          </w:tcPr>
          <w:p w14:paraId="03DE8EE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-4.270***</w:t>
            </w:r>
          </w:p>
        </w:tc>
        <w:tc>
          <w:tcPr>
            <w:tcW w:w="840" w:type="dxa"/>
            <w:tcBorders>
              <w:top w:val="nil"/>
              <w:left w:val="nil"/>
              <w:bottom w:val="single" w:sz="4" w:space="0" w:color="ED7D31"/>
              <w:right w:val="nil"/>
            </w:tcBorders>
            <w:shd w:val="clear" w:color="auto" w:fill="auto"/>
            <w:vAlign w:val="center"/>
            <w:hideMark/>
          </w:tcPr>
          <w:p w14:paraId="0C1D992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(0.248)</w:t>
            </w:r>
          </w:p>
        </w:tc>
        <w:tc>
          <w:tcPr>
            <w:tcW w:w="1277" w:type="dxa"/>
            <w:tcBorders>
              <w:top w:val="nil"/>
              <w:left w:val="nil"/>
              <w:bottom w:val="single" w:sz="4" w:space="0" w:color="ED7D31"/>
              <w:right w:val="nil"/>
            </w:tcBorders>
            <w:shd w:val="clear" w:color="auto" w:fill="auto"/>
            <w:vAlign w:val="center"/>
            <w:hideMark/>
          </w:tcPr>
          <w:p w14:paraId="66882C9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-3.517***</w:t>
            </w:r>
          </w:p>
        </w:tc>
        <w:tc>
          <w:tcPr>
            <w:tcW w:w="959" w:type="dxa"/>
            <w:tcBorders>
              <w:top w:val="nil"/>
              <w:left w:val="nil"/>
              <w:bottom w:val="single" w:sz="4" w:space="0" w:color="ED7D31"/>
              <w:right w:val="nil"/>
            </w:tcBorders>
            <w:shd w:val="clear" w:color="auto" w:fill="auto"/>
            <w:vAlign w:val="center"/>
            <w:hideMark/>
          </w:tcPr>
          <w:p w14:paraId="1123F0D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(0.342)</w:t>
            </w:r>
          </w:p>
        </w:tc>
        <w:tc>
          <w:tcPr>
            <w:tcW w:w="1309" w:type="dxa"/>
            <w:tcBorders>
              <w:top w:val="nil"/>
              <w:left w:val="nil"/>
              <w:bottom w:val="single" w:sz="4" w:space="0" w:color="ED7D31"/>
              <w:right w:val="nil"/>
            </w:tcBorders>
            <w:shd w:val="clear" w:color="auto" w:fill="auto"/>
            <w:vAlign w:val="center"/>
            <w:hideMark/>
          </w:tcPr>
          <w:p w14:paraId="2ADAC98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-4.304***</w:t>
            </w:r>
          </w:p>
        </w:tc>
        <w:tc>
          <w:tcPr>
            <w:tcW w:w="906" w:type="dxa"/>
            <w:tcBorders>
              <w:top w:val="nil"/>
              <w:left w:val="nil"/>
              <w:bottom w:val="single" w:sz="4" w:space="0" w:color="ED7D31"/>
              <w:right w:val="nil"/>
            </w:tcBorders>
            <w:shd w:val="clear" w:color="auto" w:fill="auto"/>
            <w:vAlign w:val="center"/>
            <w:hideMark/>
          </w:tcPr>
          <w:p w14:paraId="2672626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(0.554)</w:t>
            </w:r>
          </w:p>
        </w:tc>
        <w:tc>
          <w:tcPr>
            <w:tcW w:w="1275" w:type="dxa"/>
            <w:tcBorders>
              <w:top w:val="nil"/>
              <w:left w:val="nil"/>
              <w:bottom w:val="single" w:sz="4" w:space="0" w:color="ED7D31"/>
              <w:right w:val="nil"/>
            </w:tcBorders>
            <w:shd w:val="clear" w:color="auto" w:fill="auto"/>
            <w:vAlign w:val="center"/>
            <w:hideMark/>
          </w:tcPr>
          <w:p w14:paraId="0D36479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-6.120***</w:t>
            </w:r>
          </w:p>
        </w:tc>
        <w:tc>
          <w:tcPr>
            <w:tcW w:w="959" w:type="dxa"/>
            <w:tcBorders>
              <w:top w:val="nil"/>
              <w:left w:val="nil"/>
              <w:bottom w:val="single" w:sz="4" w:space="0" w:color="ED7D31"/>
              <w:right w:val="nil"/>
            </w:tcBorders>
            <w:shd w:val="clear" w:color="auto" w:fill="auto"/>
            <w:vAlign w:val="center"/>
            <w:hideMark/>
          </w:tcPr>
          <w:p w14:paraId="76651F7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(0.248)</w:t>
            </w:r>
          </w:p>
        </w:tc>
      </w:tr>
      <w:tr w:rsidR="00244248" w:rsidRPr="007A742B" w14:paraId="27603C6D" w14:textId="77777777" w:rsidTr="00335B25">
        <w:trPr>
          <w:trHeight w:val="20"/>
        </w:trPr>
        <w:tc>
          <w:tcPr>
            <w:tcW w:w="3837" w:type="dxa"/>
            <w:tcBorders>
              <w:top w:val="nil"/>
              <w:left w:val="nil"/>
              <w:bottom w:val="nil"/>
              <w:right w:val="nil"/>
            </w:tcBorders>
            <w:shd w:val="clear" w:color="auto" w:fill="auto"/>
            <w:vAlign w:val="center"/>
            <w:hideMark/>
          </w:tcPr>
          <w:p w14:paraId="5953BB64"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Education level </w:t>
            </w:r>
            <w:r w:rsidRPr="007A742B">
              <w:rPr>
                <w:rFonts w:ascii="Calibri Light" w:eastAsia="Times New Roman" w:hAnsi="Calibri Light" w:cs="Calibri Light"/>
                <w:color w:val="000000"/>
                <w:sz w:val="20"/>
                <w:szCs w:val="20"/>
                <w:lang w:eastAsia="en-AU"/>
              </w:rPr>
              <w:t>(ref: Year 11 or below)</w:t>
            </w:r>
          </w:p>
        </w:tc>
        <w:tc>
          <w:tcPr>
            <w:tcW w:w="1276" w:type="dxa"/>
            <w:tcBorders>
              <w:top w:val="nil"/>
              <w:left w:val="nil"/>
              <w:bottom w:val="nil"/>
              <w:right w:val="nil"/>
            </w:tcBorders>
            <w:shd w:val="clear" w:color="auto" w:fill="auto"/>
            <w:vAlign w:val="center"/>
            <w:hideMark/>
          </w:tcPr>
          <w:p w14:paraId="7C48E0AA"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12DFC4D5"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2D8EE896"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5E7D87B9"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309" w:type="dxa"/>
            <w:tcBorders>
              <w:top w:val="nil"/>
              <w:left w:val="nil"/>
              <w:bottom w:val="nil"/>
              <w:right w:val="nil"/>
            </w:tcBorders>
            <w:shd w:val="clear" w:color="auto" w:fill="auto"/>
            <w:vAlign w:val="center"/>
            <w:hideMark/>
          </w:tcPr>
          <w:p w14:paraId="10CCBE1E"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06" w:type="dxa"/>
            <w:tcBorders>
              <w:top w:val="nil"/>
              <w:left w:val="nil"/>
              <w:bottom w:val="nil"/>
              <w:right w:val="nil"/>
            </w:tcBorders>
            <w:shd w:val="clear" w:color="auto" w:fill="auto"/>
            <w:vAlign w:val="center"/>
            <w:hideMark/>
          </w:tcPr>
          <w:p w14:paraId="19A64CAF"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1BD88981"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5D1FC89E"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2B5B777E" w14:textId="77777777" w:rsidTr="00335B25">
        <w:trPr>
          <w:trHeight w:val="20"/>
        </w:trPr>
        <w:tc>
          <w:tcPr>
            <w:tcW w:w="3837" w:type="dxa"/>
            <w:tcBorders>
              <w:top w:val="nil"/>
              <w:left w:val="nil"/>
              <w:bottom w:val="nil"/>
              <w:right w:val="nil"/>
            </w:tcBorders>
            <w:shd w:val="clear" w:color="auto" w:fill="auto"/>
            <w:vAlign w:val="center"/>
            <w:hideMark/>
          </w:tcPr>
          <w:p w14:paraId="31FAF21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Bachelor Degree or higher</w:t>
            </w:r>
          </w:p>
        </w:tc>
        <w:tc>
          <w:tcPr>
            <w:tcW w:w="1276" w:type="dxa"/>
            <w:tcBorders>
              <w:top w:val="nil"/>
              <w:left w:val="nil"/>
              <w:bottom w:val="nil"/>
              <w:right w:val="nil"/>
            </w:tcBorders>
            <w:shd w:val="clear" w:color="auto" w:fill="auto"/>
            <w:vAlign w:val="center"/>
            <w:hideMark/>
          </w:tcPr>
          <w:p w14:paraId="0325798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0.139***</w:t>
            </w:r>
          </w:p>
        </w:tc>
        <w:tc>
          <w:tcPr>
            <w:tcW w:w="840" w:type="dxa"/>
            <w:tcBorders>
              <w:top w:val="nil"/>
              <w:left w:val="nil"/>
              <w:bottom w:val="nil"/>
              <w:right w:val="nil"/>
            </w:tcBorders>
            <w:shd w:val="clear" w:color="auto" w:fill="auto"/>
            <w:vAlign w:val="center"/>
            <w:hideMark/>
          </w:tcPr>
          <w:p w14:paraId="4FB3F37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(0.023)</w:t>
            </w:r>
          </w:p>
        </w:tc>
        <w:tc>
          <w:tcPr>
            <w:tcW w:w="1277" w:type="dxa"/>
            <w:tcBorders>
              <w:top w:val="nil"/>
              <w:left w:val="nil"/>
              <w:bottom w:val="nil"/>
              <w:right w:val="nil"/>
            </w:tcBorders>
            <w:shd w:val="clear" w:color="auto" w:fill="auto"/>
            <w:vAlign w:val="center"/>
            <w:hideMark/>
          </w:tcPr>
          <w:p w14:paraId="45907B7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0.121***</w:t>
            </w:r>
          </w:p>
        </w:tc>
        <w:tc>
          <w:tcPr>
            <w:tcW w:w="959" w:type="dxa"/>
            <w:tcBorders>
              <w:top w:val="nil"/>
              <w:left w:val="nil"/>
              <w:bottom w:val="nil"/>
              <w:right w:val="nil"/>
            </w:tcBorders>
            <w:shd w:val="clear" w:color="auto" w:fill="auto"/>
            <w:vAlign w:val="center"/>
            <w:hideMark/>
          </w:tcPr>
          <w:p w14:paraId="52DC930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(0.028)</w:t>
            </w:r>
          </w:p>
        </w:tc>
        <w:tc>
          <w:tcPr>
            <w:tcW w:w="1309" w:type="dxa"/>
            <w:tcBorders>
              <w:top w:val="nil"/>
              <w:left w:val="nil"/>
              <w:bottom w:val="nil"/>
              <w:right w:val="nil"/>
            </w:tcBorders>
            <w:shd w:val="clear" w:color="auto" w:fill="auto"/>
            <w:vAlign w:val="center"/>
            <w:hideMark/>
          </w:tcPr>
          <w:p w14:paraId="7300C8A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0.263***</w:t>
            </w:r>
          </w:p>
        </w:tc>
        <w:tc>
          <w:tcPr>
            <w:tcW w:w="906" w:type="dxa"/>
            <w:tcBorders>
              <w:top w:val="nil"/>
              <w:left w:val="nil"/>
              <w:bottom w:val="nil"/>
              <w:right w:val="nil"/>
            </w:tcBorders>
            <w:shd w:val="clear" w:color="auto" w:fill="auto"/>
            <w:vAlign w:val="center"/>
            <w:hideMark/>
          </w:tcPr>
          <w:p w14:paraId="001FBF5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(0.066)</w:t>
            </w:r>
          </w:p>
        </w:tc>
        <w:tc>
          <w:tcPr>
            <w:tcW w:w="1275" w:type="dxa"/>
            <w:tcBorders>
              <w:top w:val="nil"/>
              <w:left w:val="nil"/>
              <w:bottom w:val="nil"/>
              <w:right w:val="nil"/>
            </w:tcBorders>
            <w:shd w:val="clear" w:color="auto" w:fill="auto"/>
            <w:vAlign w:val="center"/>
            <w:hideMark/>
          </w:tcPr>
          <w:p w14:paraId="5CFB1C8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0.422***</w:t>
            </w:r>
          </w:p>
        </w:tc>
        <w:tc>
          <w:tcPr>
            <w:tcW w:w="959" w:type="dxa"/>
            <w:tcBorders>
              <w:top w:val="nil"/>
              <w:left w:val="nil"/>
              <w:bottom w:val="nil"/>
              <w:right w:val="nil"/>
            </w:tcBorders>
            <w:shd w:val="clear" w:color="auto" w:fill="auto"/>
            <w:vAlign w:val="center"/>
            <w:hideMark/>
          </w:tcPr>
          <w:p w14:paraId="2882574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(0.023)</w:t>
            </w:r>
          </w:p>
        </w:tc>
      </w:tr>
      <w:tr w:rsidR="00244248" w:rsidRPr="007A742B" w14:paraId="20D682DF" w14:textId="77777777" w:rsidTr="00335B25">
        <w:trPr>
          <w:trHeight w:val="20"/>
        </w:trPr>
        <w:tc>
          <w:tcPr>
            <w:tcW w:w="3837" w:type="dxa"/>
            <w:tcBorders>
              <w:top w:val="nil"/>
              <w:left w:val="nil"/>
              <w:bottom w:val="nil"/>
              <w:right w:val="nil"/>
            </w:tcBorders>
            <w:shd w:val="clear" w:color="auto" w:fill="auto"/>
            <w:vAlign w:val="center"/>
            <w:hideMark/>
          </w:tcPr>
          <w:p w14:paraId="6F03ECC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Diploma/ Cert III/IV</w:t>
            </w:r>
          </w:p>
        </w:tc>
        <w:tc>
          <w:tcPr>
            <w:tcW w:w="1276" w:type="dxa"/>
            <w:tcBorders>
              <w:top w:val="nil"/>
              <w:left w:val="nil"/>
              <w:bottom w:val="nil"/>
              <w:right w:val="nil"/>
            </w:tcBorders>
            <w:shd w:val="clear" w:color="auto" w:fill="auto"/>
            <w:vAlign w:val="center"/>
            <w:hideMark/>
          </w:tcPr>
          <w:p w14:paraId="04A027A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0.075***</w:t>
            </w:r>
          </w:p>
        </w:tc>
        <w:tc>
          <w:tcPr>
            <w:tcW w:w="840" w:type="dxa"/>
            <w:tcBorders>
              <w:top w:val="nil"/>
              <w:left w:val="nil"/>
              <w:bottom w:val="nil"/>
              <w:right w:val="nil"/>
            </w:tcBorders>
            <w:shd w:val="clear" w:color="auto" w:fill="auto"/>
            <w:vAlign w:val="center"/>
            <w:hideMark/>
          </w:tcPr>
          <w:p w14:paraId="0F1DE78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(0.022)</w:t>
            </w:r>
          </w:p>
        </w:tc>
        <w:tc>
          <w:tcPr>
            <w:tcW w:w="1277" w:type="dxa"/>
            <w:tcBorders>
              <w:top w:val="nil"/>
              <w:left w:val="nil"/>
              <w:bottom w:val="nil"/>
              <w:right w:val="nil"/>
            </w:tcBorders>
            <w:shd w:val="clear" w:color="auto" w:fill="auto"/>
            <w:vAlign w:val="center"/>
            <w:hideMark/>
          </w:tcPr>
          <w:p w14:paraId="094889F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0.097***</w:t>
            </w:r>
          </w:p>
        </w:tc>
        <w:tc>
          <w:tcPr>
            <w:tcW w:w="959" w:type="dxa"/>
            <w:tcBorders>
              <w:top w:val="nil"/>
              <w:left w:val="nil"/>
              <w:bottom w:val="nil"/>
              <w:right w:val="nil"/>
            </w:tcBorders>
            <w:shd w:val="clear" w:color="auto" w:fill="auto"/>
            <w:vAlign w:val="center"/>
            <w:hideMark/>
          </w:tcPr>
          <w:p w14:paraId="3EE2046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(0.029)</w:t>
            </w:r>
          </w:p>
        </w:tc>
        <w:tc>
          <w:tcPr>
            <w:tcW w:w="1309" w:type="dxa"/>
            <w:tcBorders>
              <w:top w:val="nil"/>
              <w:left w:val="nil"/>
              <w:bottom w:val="nil"/>
              <w:right w:val="nil"/>
            </w:tcBorders>
            <w:shd w:val="clear" w:color="auto" w:fill="auto"/>
            <w:vAlign w:val="center"/>
            <w:hideMark/>
          </w:tcPr>
          <w:p w14:paraId="7FD0A3C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0.034</w:t>
            </w:r>
          </w:p>
        </w:tc>
        <w:tc>
          <w:tcPr>
            <w:tcW w:w="906" w:type="dxa"/>
            <w:tcBorders>
              <w:top w:val="nil"/>
              <w:left w:val="nil"/>
              <w:bottom w:val="nil"/>
              <w:right w:val="nil"/>
            </w:tcBorders>
            <w:shd w:val="clear" w:color="auto" w:fill="auto"/>
            <w:vAlign w:val="center"/>
            <w:hideMark/>
          </w:tcPr>
          <w:p w14:paraId="022930B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(0.059)</w:t>
            </w:r>
          </w:p>
        </w:tc>
        <w:tc>
          <w:tcPr>
            <w:tcW w:w="1275" w:type="dxa"/>
            <w:tcBorders>
              <w:top w:val="nil"/>
              <w:left w:val="nil"/>
              <w:bottom w:val="nil"/>
              <w:right w:val="nil"/>
            </w:tcBorders>
            <w:shd w:val="clear" w:color="auto" w:fill="auto"/>
            <w:vAlign w:val="center"/>
            <w:hideMark/>
          </w:tcPr>
          <w:p w14:paraId="013EA15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0.096</w:t>
            </w:r>
          </w:p>
        </w:tc>
        <w:tc>
          <w:tcPr>
            <w:tcW w:w="959" w:type="dxa"/>
            <w:tcBorders>
              <w:top w:val="nil"/>
              <w:left w:val="nil"/>
              <w:bottom w:val="nil"/>
              <w:right w:val="nil"/>
            </w:tcBorders>
            <w:shd w:val="clear" w:color="auto" w:fill="auto"/>
            <w:vAlign w:val="center"/>
            <w:hideMark/>
          </w:tcPr>
          <w:p w14:paraId="5AC05DAC"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(0.022)</w:t>
            </w:r>
          </w:p>
        </w:tc>
      </w:tr>
      <w:tr w:rsidR="00244248" w:rsidRPr="007A742B" w14:paraId="7A2805D8"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6067614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Year 12</w:t>
            </w:r>
          </w:p>
        </w:tc>
        <w:tc>
          <w:tcPr>
            <w:tcW w:w="1276" w:type="dxa"/>
            <w:tcBorders>
              <w:top w:val="nil"/>
              <w:left w:val="nil"/>
              <w:bottom w:val="single" w:sz="4" w:space="0" w:color="ED7D31"/>
              <w:right w:val="nil"/>
            </w:tcBorders>
            <w:shd w:val="clear" w:color="auto" w:fill="auto"/>
            <w:vAlign w:val="center"/>
            <w:hideMark/>
          </w:tcPr>
          <w:p w14:paraId="790AD5F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0.111***</w:t>
            </w:r>
          </w:p>
        </w:tc>
        <w:tc>
          <w:tcPr>
            <w:tcW w:w="840" w:type="dxa"/>
            <w:tcBorders>
              <w:top w:val="nil"/>
              <w:left w:val="nil"/>
              <w:bottom w:val="single" w:sz="4" w:space="0" w:color="ED7D31"/>
              <w:right w:val="nil"/>
            </w:tcBorders>
            <w:shd w:val="clear" w:color="auto" w:fill="auto"/>
            <w:vAlign w:val="center"/>
            <w:hideMark/>
          </w:tcPr>
          <w:p w14:paraId="2FBEB53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(0.021)</w:t>
            </w:r>
          </w:p>
        </w:tc>
        <w:tc>
          <w:tcPr>
            <w:tcW w:w="1277" w:type="dxa"/>
            <w:tcBorders>
              <w:top w:val="nil"/>
              <w:left w:val="nil"/>
              <w:bottom w:val="single" w:sz="4" w:space="0" w:color="ED7D31"/>
              <w:right w:val="nil"/>
            </w:tcBorders>
            <w:shd w:val="clear" w:color="auto" w:fill="auto"/>
            <w:vAlign w:val="center"/>
            <w:hideMark/>
          </w:tcPr>
          <w:p w14:paraId="423B45E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0.107***</w:t>
            </w:r>
          </w:p>
        </w:tc>
        <w:tc>
          <w:tcPr>
            <w:tcW w:w="959" w:type="dxa"/>
            <w:tcBorders>
              <w:top w:val="nil"/>
              <w:left w:val="nil"/>
              <w:bottom w:val="single" w:sz="4" w:space="0" w:color="ED7D31"/>
              <w:right w:val="nil"/>
            </w:tcBorders>
            <w:shd w:val="clear" w:color="auto" w:fill="auto"/>
            <w:vAlign w:val="center"/>
            <w:hideMark/>
          </w:tcPr>
          <w:p w14:paraId="76F605A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(0.026)</w:t>
            </w:r>
          </w:p>
        </w:tc>
        <w:tc>
          <w:tcPr>
            <w:tcW w:w="1309" w:type="dxa"/>
            <w:tcBorders>
              <w:top w:val="nil"/>
              <w:left w:val="nil"/>
              <w:bottom w:val="single" w:sz="4" w:space="0" w:color="ED7D31"/>
              <w:right w:val="nil"/>
            </w:tcBorders>
            <w:shd w:val="clear" w:color="auto" w:fill="auto"/>
            <w:vAlign w:val="center"/>
            <w:hideMark/>
          </w:tcPr>
          <w:p w14:paraId="5744149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0.117**</w:t>
            </w:r>
          </w:p>
        </w:tc>
        <w:tc>
          <w:tcPr>
            <w:tcW w:w="906" w:type="dxa"/>
            <w:tcBorders>
              <w:top w:val="nil"/>
              <w:left w:val="nil"/>
              <w:bottom w:val="single" w:sz="4" w:space="0" w:color="ED7D31"/>
              <w:right w:val="nil"/>
            </w:tcBorders>
            <w:shd w:val="clear" w:color="auto" w:fill="auto"/>
            <w:vAlign w:val="center"/>
            <w:hideMark/>
          </w:tcPr>
          <w:p w14:paraId="69D5AF0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(0.059)</w:t>
            </w:r>
          </w:p>
        </w:tc>
        <w:tc>
          <w:tcPr>
            <w:tcW w:w="1275" w:type="dxa"/>
            <w:tcBorders>
              <w:top w:val="nil"/>
              <w:left w:val="nil"/>
              <w:bottom w:val="single" w:sz="4" w:space="0" w:color="ED7D31"/>
              <w:right w:val="nil"/>
            </w:tcBorders>
            <w:shd w:val="clear" w:color="auto" w:fill="auto"/>
            <w:vAlign w:val="center"/>
            <w:hideMark/>
          </w:tcPr>
          <w:p w14:paraId="45A7994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0.261**</w:t>
            </w:r>
          </w:p>
        </w:tc>
        <w:tc>
          <w:tcPr>
            <w:tcW w:w="959" w:type="dxa"/>
            <w:tcBorders>
              <w:top w:val="nil"/>
              <w:left w:val="nil"/>
              <w:bottom w:val="single" w:sz="4" w:space="0" w:color="ED7D31"/>
              <w:right w:val="nil"/>
            </w:tcBorders>
            <w:shd w:val="clear" w:color="auto" w:fill="auto"/>
            <w:vAlign w:val="center"/>
            <w:hideMark/>
          </w:tcPr>
          <w:p w14:paraId="49AFD91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(0.021)</w:t>
            </w:r>
          </w:p>
        </w:tc>
      </w:tr>
      <w:tr w:rsidR="00244248" w:rsidRPr="007A742B" w14:paraId="018209D4" w14:textId="77777777" w:rsidTr="00335B25">
        <w:trPr>
          <w:trHeight w:val="20"/>
        </w:trPr>
        <w:tc>
          <w:tcPr>
            <w:tcW w:w="3837" w:type="dxa"/>
            <w:tcBorders>
              <w:top w:val="nil"/>
              <w:left w:val="nil"/>
              <w:bottom w:val="nil"/>
              <w:right w:val="nil"/>
            </w:tcBorders>
            <w:shd w:val="clear" w:color="auto" w:fill="auto"/>
            <w:vAlign w:val="center"/>
            <w:hideMark/>
          </w:tcPr>
          <w:p w14:paraId="6C751C0A"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Relationship status </w:t>
            </w:r>
            <w:r w:rsidRPr="007A742B">
              <w:rPr>
                <w:rFonts w:ascii="Calibri Light" w:eastAsia="Times New Roman" w:hAnsi="Calibri Light" w:cs="Calibri Light"/>
                <w:color w:val="000000"/>
                <w:sz w:val="20"/>
                <w:szCs w:val="20"/>
                <w:lang w:eastAsia="en-AU"/>
              </w:rPr>
              <w:t>(ref: Single)</w:t>
            </w:r>
          </w:p>
        </w:tc>
        <w:tc>
          <w:tcPr>
            <w:tcW w:w="1276" w:type="dxa"/>
            <w:tcBorders>
              <w:top w:val="nil"/>
              <w:left w:val="nil"/>
              <w:bottom w:val="nil"/>
              <w:right w:val="nil"/>
            </w:tcBorders>
            <w:shd w:val="clear" w:color="auto" w:fill="auto"/>
            <w:vAlign w:val="center"/>
            <w:hideMark/>
          </w:tcPr>
          <w:p w14:paraId="63C18D1D"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134F7784"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6AA8BE98"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6A4BD89"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309" w:type="dxa"/>
            <w:tcBorders>
              <w:top w:val="nil"/>
              <w:left w:val="nil"/>
              <w:bottom w:val="nil"/>
              <w:right w:val="nil"/>
            </w:tcBorders>
            <w:shd w:val="clear" w:color="auto" w:fill="auto"/>
            <w:vAlign w:val="center"/>
            <w:hideMark/>
          </w:tcPr>
          <w:p w14:paraId="59081552"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06" w:type="dxa"/>
            <w:tcBorders>
              <w:top w:val="nil"/>
              <w:left w:val="nil"/>
              <w:bottom w:val="nil"/>
              <w:right w:val="nil"/>
            </w:tcBorders>
            <w:shd w:val="clear" w:color="auto" w:fill="auto"/>
            <w:vAlign w:val="center"/>
            <w:hideMark/>
          </w:tcPr>
          <w:p w14:paraId="2626E1DA"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3CB333B9"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1D41DA5"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732310D4" w14:textId="77777777" w:rsidTr="00335B25">
        <w:trPr>
          <w:trHeight w:val="20"/>
        </w:trPr>
        <w:tc>
          <w:tcPr>
            <w:tcW w:w="3837" w:type="dxa"/>
            <w:tcBorders>
              <w:top w:val="nil"/>
              <w:left w:val="nil"/>
              <w:bottom w:val="nil"/>
              <w:right w:val="nil"/>
            </w:tcBorders>
            <w:shd w:val="clear" w:color="auto" w:fill="auto"/>
            <w:vAlign w:val="center"/>
            <w:hideMark/>
          </w:tcPr>
          <w:p w14:paraId="74BFB70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Married</w:t>
            </w:r>
          </w:p>
        </w:tc>
        <w:tc>
          <w:tcPr>
            <w:tcW w:w="1276" w:type="dxa"/>
            <w:tcBorders>
              <w:top w:val="nil"/>
              <w:left w:val="nil"/>
              <w:bottom w:val="nil"/>
              <w:right w:val="nil"/>
            </w:tcBorders>
            <w:shd w:val="clear" w:color="auto" w:fill="auto"/>
            <w:vAlign w:val="center"/>
            <w:hideMark/>
          </w:tcPr>
          <w:p w14:paraId="79DE279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0.101***</w:t>
            </w:r>
          </w:p>
        </w:tc>
        <w:tc>
          <w:tcPr>
            <w:tcW w:w="840" w:type="dxa"/>
            <w:tcBorders>
              <w:top w:val="nil"/>
              <w:left w:val="nil"/>
              <w:bottom w:val="nil"/>
              <w:right w:val="nil"/>
            </w:tcBorders>
            <w:shd w:val="clear" w:color="auto" w:fill="auto"/>
            <w:vAlign w:val="center"/>
            <w:hideMark/>
          </w:tcPr>
          <w:p w14:paraId="5AA0D3BF"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(0.017)</w:t>
            </w:r>
          </w:p>
        </w:tc>
        <w:tc>
          <w:tcPr>
            <w:tcW w:w="1277" w:type="dxa"/>
            <w:tcBorders>
              <w:top w:val="nil"/>
              <w:left w:val="nil"/>
              <w:bottom w:val="nil"/>
              <w:right w:val="nil"/>
            </w:tcBorders>
            <w:shd w:val="clear" w:color="auto" w:fill="auto"/>
            <w:vAlign w:val="center"/>
            <w:hideMark/>
          </w:tcPr>
          <w:p w14:paraId="66E819C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0.018</w:t>
            </w:r>
          </w:p>
        </w:tc>
        <w:tc>
          <w:tcPr>
            <w:tcW w:w="959" w:type="dxa"/>
            <w:tcBorders>
              <w:top w:val="nil"/>
              <w:left w:val="nil"/>
              <w:bottom w:val="nil"/>
              <w:right w:val="nil"/>
            </w:tcBorders>
            <w:shd w:val="clear" w:color="auto" w:fill="auto"/>
            <w:vAlign w:val="center"/>
            <w:hideMark/>
          </w:tcPr>
          <w:p w14:paraId="7131EDD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(0.021)</w:t>
            </w:r>
          </w:p>
        </w:tc>
        <w:tc>
          <w:tcPr>
            <w:tcW w:w="1309" w:type="dxa"/>
            <w:tcBorders>
              <w:top w:val="nil"/>
              <w:left w:val="nil"/>
              <w:bottom w:val="nil"/>
              <w:right w:val="nil"/>
            </w:tcBorders>
            <w:shd w:val="clear" w:color="auto" w:fill="auto"/>
            <w:vAlign w:val="center"/>
            <w:hideMark/>
          </w:tcPr>
          <w:p w14:paraId="237F19D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0.378***</w:t>
            </w:r>
          </w:p>
        </w:tc>
        <w:tc>
          <w:tcPr>
            <w:tcW w:w="906" w:type="dxa"/>
            <w:tcBorders>
              <w:top w:val="nil"/>
              <w:left w:val="nil"/>
              <w:bottom w:val="nil"/>
              <w:right w:val="nil"/>
            </w:tcBorders>
            <w:shd w:val="clear" w:color="auto" w:fill="auto"/>
            <w:vAlign w:val="center"/>
            <w:hideMark/>
          </w:tcPr>
          <w:p w14:paraId="5E0E3B5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(0.066)</w:t>
            </w:r>
          </w:p>
        </w:tc>
        <w:tc>
          <w:tcPr>
            <w:tcW w:w="1275" w:type="dxa"/>
            <w:tcBorders>
              <w:top w:val="nil"/>
              <w:left w:val="nil"/>
              <w:bottom w:val="nil"/>
              <w:right w:val="nil"/>
            </w:tcBorders>
            <w:shd w:val="clear" w:color="auto" w:fill="auto"/>
            <w:vAlign w:val="center"/>
            <w:hideMark/>
          </w:tcPr>
          <w:p w14:paraId="63087A2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0.400***</w:t>
            </w:r>
          </w:p>
        </w:tc>
        <w:tc>
          <w:tcPr>
            <w:tcW w:w="959" w:type="dxa"/>
            <w:tcBorders>
              <w:top w:val="nil"/>
              <w:left w:val="nil"/>
              <w:bottom w:val="nil"/>
              <w:right w:val="nil"/>
            </w:tcBorders>
            <w:shd w:val="clear" w:color="auto" w:fill="auto"/>
            <w:vAlign w:val="center"/>
            <w:hideMark/>
          </w:tcPr>
          <w:p w14:paraId="574452A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(0.017)</w:t>
            </w:r>
          </w:p>
        </w:tc>
      </w:tr>
      <w:tr w:rsidR="00244248" w:rsidRPr="007A742B" w14:paraId="27BAE6A8"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2349782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Cohabiting</w:t>
            </w:r>
          </w:p>
        </w:tc>
        <w:tc>
          <w:tcPr>
            <w:tcW w:w="1276" w:type="dxa"/>
            <w:tcBorders>
              <w:top w:val="nil"/>
              <w:left w:val="nil"/>
              <w:bottom w:val="single" w:sz="4" w:space="0" w:color="ED7D31"/>
              <w:right w:val="nil"/>
            </w:tcBorders>
            <w:shd w:val="clear" w:color="auto" w:fill="auto"/>
            <w:vAlign w:val="center"/>
            <w:hideMark/>
          </w:tcPr>
          <w:p w14:paraId="5493094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0.032***</w:t>
            </w:r>
          </w:p>
        </w:tc>
        <w:tc>
          <w:tcPr>
            <w:tcW w:w="840" w:type="dxa"/>
            <w:tcBorders>
              <w:top w:val="nil"/>
              <w:left w:val="nil"/>
              <w:bottom w:val="single" w:sz="4" w:space="0" w:color="ED7D31"/>
              <w:right w:val="nil"/>
            </w:tcBorders>
            <w:shd w:val="clear" w:color="auto" w:fill="auto"/>
            <w:vAlign w:val="center"/>
            <w:hideMark/>
          </w:tcPr>
          <w:p w14:paraId="27D7702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(0.011)</w:t>
            </w:r>
          </w:p>
        </w:tc>
        <w:tc>
          <w:tcPr>
            <w:tcW w:w="1277" w:type="dxa"/>
            <w:tcBorders>
              <w:top w:val="nil"/>
              <w:left w:val="nil"/>
              <w:bottom w:val="single" w:sz="4" w:space="0" w:color="ED7D31"/>
              <w:right w:val="nil"/>
            </w:tcBorders>
            <w:shd w:val="clear" w:color="auto" w:fill="auto"/>
            <w:vAlign w:val="center"/>
            <w:hideMark/>
          </w:tcPr>
          <w:p w14:paraId="0EF5C0E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-0.032**</w:t>
            </w:r>
          </w:p>
        </w:tc>
        <w:tc>
          <w:tcPr>
            <w:tcW w:w="959" w:type="dxa"/>
            <w:tcBorders>
              <w:top w:val="nil"/>
              <w:left w:val="nil"/>
              <w:bottom w:val="single" w:sz="4" w:space="0" w:color="ED7D31"/>
              <w:right w:val="nil"/>
            </w:tcBorders>
            <w:shd w:val="clear" w:color="auto" w:fill="auto"/>
            <w:vAlign w:val="center"/>
            <w:hideMark/>
          </w:tcPr>
          <w:p w14:paraId="04F68E7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(0.013)</w:t>
            </w:r>
          </w:p>
        </w:tc>
        <w:tc>
          <w:tcPr>
            <w:tcW w:w="1309" w:type="dxa"/>
            <w:tcBorders>
              <w:top w:val="nil"/>
              <w:left w:val="nil"/>
              <w:bottom w:val="single" w:sz="4" w:space="0" w:color="ED7D31"/>
              <w:right w:val="nil"/>
            </w:tcBorders>
            <w:shd w:val="clear" w:color="auto" w:fill="auto"/>
            <w:vAlign w:val="center"/>
            <w:hideMark/>
          </w:tcPr>
          <w:p w14:paraId="01C3A98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0.330***</w:t>
            </w:r>
          </w:p>
        </w:tc>
        <w:tc>
          <w:tcPr>
            <w:tcW w:w="906" w:type="dxa"/>
            <w:tcBorders>
              <w:top w:val="nil"/>
              <w:left w:val="nil"/>
              <w:bottom w:val="single" w:sz="4" w:space="0" w:color="ED7D31"/>
              <w:right w:val="nil"/>
            </w:tcBorders>
            <w:shd w:val="clear" w:color="auto" w:fill="auto"/>
            <w:vAlign w:val="center"/>
            <w:hideMark/>
          </w:tcPr>
          <w:p w14:paraId="4A4B21B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(0.060)</w:t>
            </w:r>
          </w:p>
        </w:tc>
        <w:tc>
          <w:tcPr>
            <w:tcW w:w="1275" w:type="dxa"/>
            <w:tcBorders>
              <w:top w:val="nil"/>
              <w:left w:val="nil"/>
              <w:bottom w:val="single" w:sz="4" w:space="0" w:color="ED7D31"/>
              <w:right w:val="nil"/>
            </w:tcBorders>
            <w:shd w:val="clear" w:color="auto" w:fill="auto"/>
            <w:vAlign w:val="center"/>
            <w:hideMark/>
          </w:tcPr>
          <w:p w14:paraId="3F585CF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0.640***</w:t>
            </w:r>
          </w:p>
        </w:tc>
        <w:tc>
          <w:tcPr>
            <w:tcW w:w="959" w:type="dxa"/>
            <w:tcBorders>
              <w:top w:val="nil"/>
              <w:left w:val="nil"/>
              <w:bottom w:val="single" w:sz="4" w:space="0" w:color="ED7D31"/>
              <w:right w:val="nil"/>
            </w:tcBorders>
            <w:shd w:val="clear" w:color="auto" w:fill="auto"/>
            <w:vAlign w:val="center"/>
            <w:hideMark/>
          </w:tcPr>
          <w:p w14:paraId="3BF4570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(0.011)</w:t>
            </w:r>
          </w:p>
        </w:tc>
      </w:tr>
      <w:tr w:rsidR="00244248" w:rsidRPr="007A742B" w14:paraId="4F5A6C6C" w14:textId="77777777" w:rsidTr="00335B25">
        <w:trPr>
          <w:trHeight w:val="20"/>
        </w:trPr>
        <w:tc>
          <w:tcPr>
            <w:tcW w:w="3837" w:type="dxa"/>
            <w:tcBorders>
              <w:top w:val="nil"/>
              <w:left w:val="nil"/>
              <w:bottom w:val="nil"/>
              <w:right w:val="nil"/>
            </w:tcBorders>
            <w:shd w:val="clear" w:color="auto" w:fill="auto"/>
            <w:vAlign w:val="center"/>
            <w:hideMark/>
          </w:tcPr>
          <w:p w14:paraId="482F8955"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Employment </w:t>
            </w:r>
            <w:r w:rsidRPr="007A742B">
              <w:rPr>
                <w:rFonts w:ascii="Calibri Light" w:eastAsia="Times New Roman" w:hAnsi="Calibri Light" w:cs="Calibri Light"/>
                <w:color w:val="000000"/>
                <w:sz w:val="20"/>
                <w:szCs w:val="20"/>
                <w:lang w:eastAsia="en-AU"/>
              </w:rPr>
              <w:t>(ref: Permanent full-time)</w:t>
            </w:r>
          </w:p>
        </w:tc>
        <w:tc>
          <w:tcPr>
            <w:tcW w:w="1276" w:type="dxa"/>
            <w:tcBorders>
              <w:top w:val="nil"/>
              <w:left w:val="nil"/>
              <w:bottom w:val="nil"/>
              <w:right w:val="nil"/>
            </w:tcBorders>
            <w:shd w:val="clear" w:color="auto" w:fill="auto"/>
            <w:vAlign w:val="center"/>
            <w:hideMark/>
          </w:tcPr>
          <w:p w14:paraId="62B45499"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3B1E5FCD"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174E1CBB"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AB102EF"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309" w:type="dxa"/>
            <w:tcBorders>
              <w:top w:val="nil"/>
              <w:left w:val="nil"/>
              <w:bottom w:val="nil"/>
              <w:right w:val="nil"/>
            </w:tcBorders>
            <w:shd w:val="clear" w:color="auto" w:fill="auto"/>
            <w:vAlign w:val="center"/>
            <w:hideMark/>
          </w:tcPr>
          <w:p w14:paraId="63CA4BDC"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06" w:type="dxa"/>
            <w:tcBorders>
              <w:top w:val="nil"/>
              <w:left w:val="nil"/>
              <w:bottom w:val="nil"/>
              <w:right w:val="nil"/>
            </w:tcBorders>
            <w:shd w:val="clear" w:color="auto" w:fill="auto"/>
            <w:vAlign w:val="center"/>
            <w:hideMark/>
          </w:tcPr>
          <w:p w14:paraId="62CD2A3C"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73DA2E8A"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14384FCF"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54D1A62A" w14:textId="77777777" w:rsidTr="00335B25">
        <w:trPr>
          <w:trHeight w:val="20"/>
        </w:trPr>
        <w:tc>
          <w:tcPr>
            <w:tcW w:w="3837" w:type="dxa"/>
            <w:tcBorders>
              <w:top w:val="nil"/>
              <w:left w:val="nil"/>
              <w:bottom w:val="nil"/>
              <w:right w:val="nil"/>
            </w:tcBorders>
            <w:shd w:val="clear" w:color="auto" w:fill="auto"/>
            <w:vAlign w:val="center"/>
            <w:hideMark/>
          </w:tcPr>
          <w:p w14:paraId="5AFE5C3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Permanent part-time</w:t>
            </w:r>
          </w:p>
        </w:tc>
        <w:tc>
          <w:tcPr>
            <w:tcW w:w="1276" w:type="dxa"/>
            <w:tcBorders>
              <w:top w:val="nil"/>
              <w:left w:val="nil"/>
              <w:bottom w:val="nil"/>
              <w:right w:val="nil"/>
            </w:tcBorders>
            <w:shd w:val="clear" w:color="auto" w:fill="auto"/>
            <w:vAlign w:val="center"/>
            <w:hideMark/>
          </w:tcPr>
          <w:p w14:paraId="6B24F39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0.015</w:t>
            </w:r>
          </w:p>
        </w:tc>
        <w:tc>
          <w:tcPr>
            <w:tcW w:w="840" w:type="dxa"/>
            <w:tcBorders>
              <w:top w:val="nil"/>
              <w:left w:val="nil"/>
              <w:bottom w:val="nil"/>
              <w:right w:val="nil"/>
            </w:tcBorders>
            <w:shd w:val="clear" w:color="auto" w:fill="auto"/>
            <w:vAlign w:val="center"/>
            <w:hideMark/>
          </w:tcPr>
          <w:p w14:paraId="03A2A00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(0.015)</w:t>
            </w:r>
          </w:p>
        </w:tc>
        <w:tc>
          <w:tcPr>
            <w:tcW w:w="1277" w:type="dxa"/>
            <w:tcBorders>
              <w:top w:val="nil"/>
              <w:left w:val="nil"/>
              <w:bottom w:val="nil"/>
              <w:right w:val="nil"/>
            </w:tcBorders>
            <w:shd w:val="clear" w:color="auto" w:fill="auto"/>
            <w:vAlign w:val="center"/>
            <w:hideMark/>
          </w:tcPr>
          <w:p w14:paraId="10E13BC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0.003</w:t>
            </w:r>
          </w:p>
        </w:tc>
        <w:tc>
          <w:tcPr>
            <w:tcW w:w="959" w:type="dxa"/>
            <w:tcBorders>
              <w:top w:val="nil"/>
              <w:left w:val="nil"/>
              <w:bottom w:val="nil"/>
              <w:right w:val="nil"/>
            </w:tcBorders>
            <w:shd w:val="clear" w:color="auto" w:fill="auto"/>
            <w:vAlign w:val="center"/>
            <w:hideMark/>
          </w:tcPr>
          <w:p w14:paraId="2BBF0CF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(0.017)</w:t>
            </w:r>
          </w:p>
        </w:tc>
        <w:tc>
          <w:tcPr>
            <w:tcW w:w="1309" w:type="dxa"/>
            <w:tcBorders>
              <w:top w:val="nil"/>
              <w:left w:val="nil"/>
              <w:bottom w:val="nil"/>
              <w:right w:val="nil"/>
            </w:tcBorders>
            <w:shd w:val="clear" w:color="auto" w:fill="auto"/>
            <w:vAlign w:val="center"/>
            <w:hideMark/>
          </w:tcPr>
          <w:p w14:paraId="5B61717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0.091*</w:t>
            </w:r>
          </w:p>
        </w:tc>
        <w:tc>
          <w:tcPr>
            <w:tcW w:w="906" w:type="dxa"/>
            <w:tcBorders>
              <w:top w:val="nil"/>
              <w:left w:val="nil"/>
              <w:bottom w:val="nil"/>
              <w:right w:val="nil"/>
            </w:tcBorders>
            <w:shd w:val="clear" w:color="auto" w:fill="auto"/>
            <w:vAlign w:val="center"/>
            <w:hideMark/>
          </w:tcPr>
          <w:p w14:paraId="444AC73C"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(0.049)</w:t>
            </w:r>
          </w:p>
        </w:tc>
        <w:tc>
          <w:tcPr>
            <w:tcW w:w="1275" w:type="dxa"/>
            <w:tcBorders>
              <w:top w:val="nil"/>
              <w:left w:val="nil"/>
              <w:bottom w:val="nil"/>
              <w:right w:val="nil"/>
            </w:tcBorders>
            <w:shd w:val="clear" w:color="auto" w:fill="auto"/>
            <w:vAlign w:val="center"/>
            <w:hideMark/>
          </w:tcPr>
          <w:p w14:paraId="03CA1CF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0.322**</w:t>
            </w:r>
          </w:p>
        </w:tc>
        <w:tc>
          <w:tcPr>
            <w:tcW w:w="959" w:type="dxa"/>
            <w:tcBorders>
              <w:top w:val="nil"/>
              <w:left w:val="nil"/>
              <w:bottom w:val="nil"/>
              <w:right w:val="nil"/>
            </w:tcBorders>
            <w:shd w:val="clear" w:color="auto" w:fill="auto"/>
            <w:vAlign w:val="center"/>
            <w:hideMark/>
          </w:tcPr>
          <w:p w14:paraId="7BC522B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(0.015)</w:t>
            </w:r>
          </w:p>
        </w:tc>
      </w:tr>
      <w:tr w:rsidR="00244248" w:rsidRPr="007A742B" w14:paraId="589F09B3" w14:textId="77777777" w:rsidTr="00335B25">
        <w:trPr>
          <w:trHeight w:val="20"/>
        </w:trPr>
        <w:tc>
          <w:tcPr>
            <w:tcW w:w="3837" w:type="dxa"/>
            <w:tcBorders>
              <w:top w:val="nil"/>
              <w:left w:val="nil"/>
              <w:bottom w:val="nil"/>
              <w:right w:val="nil"/>
            </w:tcBorders>
            <w:shd w:val="clear" w:color="auto" w:fill="auto"/>
            <w:vAlign w:val="center"/>
            <w:hideMark/>
          </w:tcPr>
          <w:p w14:paraId="09E0717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Casual full-time</w:t>
            </w:r>
          </w:p>
        </w:tc>
        <w:tc>
          <w:tcPr>
            <w:tcW w:w="1276" w:type="dxa"/>
            <w:tcBorders>
              <w:top w:val="nil"/>
              <w:left w:val="nil"/>
              <w:bottom w:val="nil"/>
              <w:right w:val="nil"/>
            </w:tcBorders>
            <w:shd w:val="clear" w:color="auto" w:fill="auto"/>
            <w:vAlign w:val="center"/>
            <w:hideMark/>
          </w:tcPr>
          <w:p w14:paraId="026D1A9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0.004</w:t>
            </w:r>
          </w:p>
        </w:tc>
        <w:tc>
          <w:tcPr>
            <w:tcW w:w="840" w:type="dxa"/>
            <w:tcBorders>
              <w:top w:val="nil"/>
              <w:left w:val="nil"/>
              <w:bottom w:val="nil"/>
              <w:right w:val="nil"/>
            </w:tcBorders>
            <w:shd w:val="clear" w:color="auto" w:fill="auto"/>
            <w:vAlign w:val="center"/>
            <w:hideMark/>
          </w:tcPr>
          <w:p w14:paraId="2EA246E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(0.016)</w:t>
            </w:r>
          </w:p>
        </w:tc>
        <w:tc>
          <w:tcPr>
            <w:tcW w:w="1277" w:type="dxa"/>
            <w:tcBorders>
              <w:top w:val="nil"/>
              <w:left w:val="nil"/>
              <w:bottom w:val="nil"/>
              <w:right w:val="nil"/>
            </w:tcBorders>
            <w:shd w:val="clear" w:color="auto" w:fill="auto"/>
            <w:vAlign w:val="center"/>
            <w:hideMark/>
          </w:tcPr>
          <w:p w14:paraId="22871EA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-0.008</w:t>
            </w:r>
          </w:p>
        </w:tc>
        <w:tc>
          <w:tcPr>
            <w:tcW w:w="959" w:type="dxa"/>
            <w:tcBorders>
              <w:top w:val="nil"/>
              <w:left w:val="nil"/>
              <w:bottom w:val="nil"/>
              <w:right w:val="nil"/>
            </w:tcBorders>
            <w:shd w:val="clear" w:color="auto" w:fill="auto"/>
            <w:vAlign w:val="center"/>
            <w:hideMark/>
          </w:tcPr>
          <w:p w14:paraId="34AEE9F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(0.018)</w:t>
            </w:r>
          </w:p>
        </w:tc>
        <w:tc>
          <w:tcPr>
            <w:tcW w:w="1309" w:type="dxa"/>
            <w:tcBorders>
              <w:top w:val="nil"/>
              <w:left w:val="nil"/>
              <w:bottom w:val="nil"/>
              <w:right w:val="nil"/>
            </w:tcBorders>
            <w:shd w:val="clear" w:color="auto" w:fill="auto"/>
            <w:vAlign w:val="center"/>
            <w:hideMark/>
          </w:tcPr>
          <w:p w14:paraId="3553978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-0.027</w:t>
            </w:r>
          </w:p>
        </w:tc>
        <w:tc>
          <w:tcPr>
            <w:tcW w:w="906" w:type="dxa"/>
            <w:tcBorders>
              <w:top w:val="nil"/>
              <w:left w:val="nil"/>
              <w:bottom w:val="nil"/>
              <w:right w:val="nil"/>
            </w:tcBorders>
            <w:shd w:val="clear" w:color="auto" w:fill="auto"/>
            <w:vAlign w:val="center"/>
            <w:hideMark/>
          </w:tcPr>
          <w:p w14:paraId="62E80EB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(0.111)</w:t>
            </w:r>
          </w:p>
        </w:tc>
        <w:tc>
          <w:tcPr>
            <w:tcW w:w="1275" w:type="dxa"/>
            <w:tcBorders>
              <w:top w:val="nil"/>
              <w:left w:val="nil"/>
              <w:bottom w:val="nil"/>
              <w:right w:val="nil"/>
            </w:tcBorders>
            <w:shd w:val="clear" w:color="auto" w:fill="auto"/>
            <w:vAlign w:val="center"/>
            <w:hideMark/>
          </w:tcPr>
          <w:p w14:paraId="7B89A76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0.297</w:t>
            </w:r>
          </w:p>
        </w:tc>
        <w:tc>
          <w:tcPr>
            <w:tcW w:w="959" w:type="dxa"/>
            <w:tcBorders>
              <w:top w:val="nil"/>
              <w:left w:val="nil"/>
              <w:bottom w:val="nil"/>
              <w:right w:val="nil"/>
            </w:tcBorders>
            <w:shd w:val="clear" w:color="auto" w:fill="auto"/>
            <w:vAlign w:val="center"/>
            <w:hideMark/>
          </w:tcPr>
          <w:p w14:paraId="6AE7C5E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(0.016)</w:t>
            </w:r>
          </w:p>
        </w:tc>
      </w:tr>
      <w:tr w:rsidR="00244248" w:rsidRPr="007A742B" w14:paraId="6B77F461" w14:textId="77777777" w:rsidTr="00335B25">
        <w:trPr>
          <w:trHeight w:val="20"/>
        </w:trPr>
        <w:tc>
          <w:tcPr>
            <w:tcW w:w="3837" w:type="dxa"/>
            <w:tcBorders>
              <w:top w:val="nil"/>
              <w:left w:val="nil"/>
              <w:bottom w:val="nil"/>
              <w:right w:val="nil"/>
            </w:tcBorders>
            <w:shd w:val="clear" w:color="auto" w:fill="auto"/>
            <w:vAlign w:val="center"/>
            <w:hideMark/>
          </w:tcPr>
          <w:p w14:paraId="6844047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Casual part-time</w:t>
            </w:r>
          </w:p>
        </w:tc>
        <w:tc>
          <w:tcPr>
            <w:tcW w:w="1276" w:type="dxa"/>
            <w:tcBorders>
              <w:top w:val="nil"/>
              <w:left w:val="nil"/>
              <w:bottom w:val="nil"/>
              <w:right w:val="nil"/>
            </w:tcBorders>
            <w:shd w:val="clear" w:color="auto" w:fill="auto"/>
            <w:vAlign w:val="center"/>
            <w:hideMark/>
          </w:tcPr>
          <w:p w14:paraId="146B834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0.046***</w:t>
            </w:r>
          </w:p>
        </w:tc>
        <w:tc>
          <w:tcPr>
            <w:tcW w:w="840" w:type="dxa"/>
            <w:tcBorders>
              <w:top w:val="nil"/>
              <w:left w:val="nil"/>
              <w:bottom w:val="nil"/>
              <w:right w:val="nil"/>
            </w:tcBorders>
            <w:shd w:val="clear" w:color="auto" w:fill="auto"/>
            <w:vAlign w:val="center"/>
            <w:hideMark/>
          </w:tcPr>
          <w:p w14:paraId="7B96EF0F"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(0.012)</w:t>
            </w:r>
          </w:p>
        </w:tc>
        <w:tc>
          <w:tcPr>
            <w:tcW w:w="1277" w:type="dxa"/>
            <w:tcBorders>
              <w:top w:val="nil"/>
              <w:left w:val="nil"/>
              <w:bottom w:val="nil"/>
              <w:right w:val="nil"/>
            </w:tcBorders>
            <w:shd w:val="clear" w:color="auto" w:fill="auto"/>
            <w:vAlign w:val="center"/>
            <w:hideMark/>
          </w:tcPr>
          <w:p w14:paraId="685E173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0.023*</w:t>
            </w:r>
          </w:p>
        </w:tc>
        <w:tc>
          <w:tcPr>
            <w:tcW w:w="959" w:type="dxa"/>
            <w:tcBorders>
              <w:top w:val="nil"/>
              <w:left w:val="nil"/>
              <w:bottom w:val="nil"/>
              <w:right w:val="nil"/>
            </w:tcBorders>
            <w:shd w:val="clear" w:color="auto" w:fill="auto"/>
            <w:vAlign w:val="center"/>
            <w:hideMark/>
          </w:tcPr>
          <w:p w14:paraId="7CADBA7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(0.014)</w:t>
            </w:r>
          </w:p>
        </w:tc>
        <w:tc>
          <w:tcPr>
            <w:tcW w:w="1309" w:type="dxa"/>
            <w:tcBorders>
              <w:top w:val="nil"/>
              <w:left w:val="nil"/>
              <w:bottom w:val="nil"/>
              <w:right w:val="nil"/>
            </w:tcBorders>
            <w:shd w:val="clear" w:color="auto" w:fill="auto"/>
            <w:vAlign w:val="center"/>
            <w:hideMark/>
          </w:tcPr>
          <w:p w14:paraId="2FD6B85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0.203***</w:t>
            </w:r>
          </w:p>
        </w:tc>
        <w:tc>
          <w:tcPr>
            <w:tcW w:w="906" w:type="dxa"/>
            <w:tcBorders>
              <w:top w:val="nil"/>
              <w:left w:val="nil"/>
              <w:bottom w:val="nil"/>
              <w:right w:val="nil"/>
            </w:tcBorders>
            <w:shd w:val="clear" w:color="auto" w:fill="auto"/>
            <w:vAlign w:val="center"/>
            <w:hideMark/>
          </w:tcPr>
          <w:p w14:paraId="5B6A2D6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(0.064)</w:t>
            </w:r>
          </w:p>
        </w:tc>
        <w:tc>
          <w:tcPr>
            <w:tcW w:w="1275" w:type="dxa"/>
            <w:tcBorders>
              <w:top w:val="nil"/>
              <w:left w:val="nil"/>
              <w:bottom w:val="nil"/>
              <w:right w:val="nil"/>
            </w:tcBorders>
            <w:shd w:val="clear" w:color="auto" w:fill="auto"/>
            <w:vAlign w:val="center"/>
            <w:hideMark/>
          </w:tcPr>
          <w:p w14:paraId="135BCB4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0.732***</w:t>
            </w:r>
          </w:p>
        </w:tc>
        <w:tc>
          <w:tcPr>
            <w:tcW w:w="959" w:type="dxa"/>
            <w:tcBorders>
              <w:top w:val="nil"/>
              <w:left w:val="nil"/>
              <w:bottom w:val="nil"/>
              <w:right w:val="nil"/>
            </w:tcBorders>
            <w:shd w:val="clear" w:color="auto" w:fill="auto"/>
            <w:vAlign w:val="center"/>
            <w:hideMark/>
          </w:tcPr>
          <w:p w14:paraId="4392A2AF"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(0.012)</w:t>
            </w:r>
          </w:p>
        </w:tc>
      </w:tr>
      <w:tr w:rsidR="00244248" w:rsidRPr="007A742B" w14:paraId="3C9857D3" w14:textId="77777777" w:rsidTr="00335B25">
        <w:trPr>
          <w:trHeight w:val="20"/>
        </w:trPr>
        <w:tc>
          <w:tcPr>
            <w:tcW w:w="3837" w:type="dxa"/>
            <w:tcBorders>
              <w:top w:val="nil"/>
              <w:left w:val="nil"/>
              <w:bottom w:val="nil"/>
              <w:right w:val="nil"/>
            </w:tcBorders>
            <w:shd w:val="clear" w:color="auto" w:fill="auto"/>
            <w:vAlign w:val="center"/>
            <w:hideMark/>
          </w:tcPr>
          <w:p w14:paraId="73E7212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Self-employed</w:t>
            </w:r>
          </w:p>
        </w:tc>
        <w:tc>
          <w:tcPr>
            <w:tcW w:w="1276" w:type="dxa"/>
            <w:tcBorders>
              <w:top w:val="nil"/>
              <w:left w:val="nil"/>
              <w:bottom w:val="nil"/>
              <w:right w:val="nil"/>
            </w:tcBorders>
            <w:shd w:val="clear" w:color="auto" w:fill="auto"/>
            <w:vAlign w:val="center"/>
            <w:hideMark/>
          </w:tcPr>
          <w:p w14:paraId="04EFAF0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-0.039</w:t>
            </w:r>
          </w:p>
        </w:tc>
        <w:tc>
          <w:tcPr>
            <w:tcW w:w="840" w:type="dxa"/>
            <w:tcBorders>
              <w:top w:val="nil"/>
              <w:left w:val="nil"/>
              <w:bottom w:val="nil"/>
              <w:right w:val="nil"/>
            </w:tcBorders>
            <w:shd w:val="clear" w:color="auto" w:fill="auto"/>
            <w:vAlign w:val="center"/>
            <w:hideMark/>
          </w:tcPr>
          <w:p w14:paraId="7A19B17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(0.031)</w:t>
            </w:r>
          </w:p>
        </w:tc>
        <w:tc>
          <w:tcPr>
            <w:tcW w:w="1277" w:type="dxa"/>
            <w:tcBorders>
              <w:top w:val="nil"/>
              <w:left w:val="nil"/>
              <w:bottom w:val="nil"/>
              <w:right w:val="nil"/>
            </w:tcBorders>
            <w:shd w:val="clear" w:color="auto" w:fill="auto"/>
            <w:vAlign w:val="center"/>
            <w:hideMark/>
          </w:tcPr>
          <w:p w14:paraId="46BA4F5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-0.070*</w:t>
            </w:r>
          </w:p>
        </w:tc>
        <w:tc>
          <w:tcPr>
            <w:tcW w:w="959" w:type="dxa"/>
            <w:tcBorders>
              <w:top w:val="nil"/>
              <w:left w:val="nil"/>
              <w:bottom w:val="nil"/>
              <w:right w:val="nil"/>
            </w:tcBorders>
            <w:shd w:val="clear" w:color="auto" w:fill="auto"/>
            <w:vAlign w:val="center"/>
            <w:hideMark/>
          </w:tcPr>
          <w:p w14:paraId="7481A0A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(0.042)</w:t>
            </w:r>
          </w:p>
        </w:tc>
        <w:tc>
          <w:tcPr>
            <w:tcW w:w="1309" w:type="dxa"/>
            <w:tcBorders>
              <w:top w:val="nil"/>
              <w:left w:val="nil"/>
              <w:bottom w:val="nil"/>
              <w:right w:val="nil"/>
            </w:tcBorders>
            <w:shd w:val="clear" w:color="auto" w:fill="auto"/>
            <w:vAlign w:val="center"/>
            <w:hideMark/>
          </w:tcPr>
          <w:p w14:paraId="2BFE0D4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0.037</w:t>
            </w:r>
          </w:p>
        </w:tc>
        <w:tc>
          <w:tcPr>
            <w:tcW w:w="906" w:type="dxa"/>
            <w:tcBorders>
              <w:top w:val="nil"/>
              <w:left w:val="nil"/>
              <w:bottom w:val="nil"/>
              <w:right w:val="nil"/>
            </w:tcBorders>
            <w:shd w:val="clear" w:color="auto" w:fill="auto"/>
            <w:vAlign w:val="center"/>
            <w:hideMark/>
          </w:tcPr>
          <w:p w14:paraId="4C501D2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(0.095)</w:t>
            </w:r>
          </w:p>
        </w:tc>
        <w:tc>
          <w:tcPr>
            <w:tcW w:w="1275" w:type="dxa"/>
            <w:tcBorders>
              <w:top w:val="nil"/>
              <w:left w:val="nil"/>
              <w:bottom w:val="nil"/>
              <w:right w:val="nil"/>
            </w:tcBorders>
            <w:shd w:val="clear" w:color="auto" w:fill="auto"/>
            <w:vAlign w:val="center"/>
            <w:hideMark/>
          </w:tcPr>
          <w:p w14:paraId="387B627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0.274</w:t>
            </w:r>
          </w:p>
        </w:tc>
        <w:tc>
          <w:tcPr>
            <w:tcW w:w="959" w:type="dxa"/>
            <w:tcBorders>
              <w:top w:val="nil"/>
              <w:left w:val="nil"/>
              <w:bottom w:val="nil"/>
              <w:right w:val="nil"/>
            </w:tcBorders>
            <w:shd w:val="clear" w:color="auto" w:fill="auto"/>
            <w:vAlign w:val="center"/>
            <w:hideMark/>
          </w:tcPr>
          <w:p w14:paraId="707E693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(0.031)</w:t>
            </w:r>
          </w:p>
        </w:tc>
      </w:tr>
      <w:tr w:rsidR="00244248" w:rsidRPr="007A742B" w14:paraId="634E7A67"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3B6E0D7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Not working</w:t>
            </w:r>
          </w:p>
        </w:tc>
        <w:tc>
          <w:tcPr>
            <w:tcW w:w="1276" w:type="dxa"/>
            <w:tcBorders>
              <w:top w:val="nil"/>
              <w:left w:val="nil"/>
              <w:bottom w:val="single" w:sz="4" w:space="0" w:color="ED7D31"/>
              <w:right w:val="nil"/>
            </w:tcBorders>
            <w:shd w:val="clear" w:color="auto" w:fill="auto"/>
            <w:vAlign w:val="center"/>
            <w:hideMark/>
          </w:tcPr>
          <w:p w14:paraId="0808A4C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0.060***</w:t>
            </w:r>
          </w:p>
        </w:tc>
        <w:tc>
          <w:tcPr>
            <w:tcW w:w="840" w:type="dxa"/>
            <w:tcBorders>
              <w:top w:val="nil"/>
              <w:left w:val="nil"/>
              <w:bottom w:val="single" w:sz="4" w:space="0" w:color="ED7D31"/>
              <w:right w:val="nil"/>
            </w:tcBorders>
            <w:shd w:val="clear" w:color="auto" w:fill="auto"/>
            <w:vAlign w:val="center"/>
            <w:hideMark/>
          </w:tcPr>
          <w:p w14:paraId="4EA6C98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(0.014)</w:t>
            </w:r>
          </w:p>
        </w:tc>
        <w:tc>
          <w:tcPr>
            <w:tcW w:w="1277" w:type="dxa"/>
            <w:tcBorders>
              <w:top w:val="nil"/>
              <w:left w:val="nil"/>
              <w:bottom w:val="single" w:sz="4" w:space="0" w:color="ED7D31"/>
              <w:right w:val="nil"/>
            </w:tcBorders>
            <w:shd w:val="clear" w:color="auto" w:fill="auto"/>
            <w:vAlign w:val="center"/>
            <w:hideMark/>
          </w:tcPr>
          <w:p w14:paraId="6F8EFCD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-0.038**</w:t>
            </w:r>
          </w:p>
        </w:tc>
        <w:tc>
          <w:tcPr>
            <w:tcW w:w="959" w:type="dxa"/>
            <w:tcBorders>
              <w:top w:val="nil"/>
              <w:left w:val="nil"/>
              <w:bottom w:val="single" w:sz="4" w:space="0" w:color="ED7D31"/>
              <w:right w:val="nil"/>
            </w:tcBorders>
            <w:shd w:val="clear" w:color="auto" w:fill="auto"/>
            <w:vAlign w:val="center"/>
            <w:hideMark/>
          </w:tcPr>
          <w:p w14:paraId="5B869D0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(0.019)</w:t>
            </w:r>
          </w:p>
        </w:tc>
        <w:tc>
          <w:tcPr>
            <w:tcW w:w="1309" w:type="dxa"/>
            <w:tcBorders>
              <w:top w:val="nil"/>
              <w:left w:val="nil"/>
              <w:bottom w:val="single" w:sz="4" w:space="0" w:color="ED7D31"/>
              <w:right w:val="nil"/>
            </w:tcBorders>
            <w:shd w:val="clear" w:color="auto" w:fill="auto"/>
            <w:vAlign w:val="center"/>
            <w:hideMark/>
          </w:tcPr>
          <w:p w14:paraId="5643A03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0.188***</w:t>
            </w:r>
          </w:p>
        </w:tc>
        <w:tc>
          <w:tcPr>
            <w:tcW w:w="906" w:type="dxa"/>
            <w:tcBorders>
              <w:top w:val="nil"/>
              <w:left w:val="nil"/>
              <w:bottom w:val="single" w:sz="4" w:space="0" w:color="ED7D31"/>
              <w:right w:val="nil"/>
            </w:tcBorders>
            <w:shd w:val="clear" w:color="auto" w:fill="auto"/>
            <w:vAlign w:val="center"/>
            <w:hideMark/>
          </w:tcPr>
          <w:p w14:paraId="7B66231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(0.047)</w:t>
            </w:r>
          </w:p>
        </w:tc>
        <w:tc>
          <w:tcPr>
            <w:tcW w:w="1275" w:type="dxa"/>
            <w:tcBorders>
              <w:top w:val="nil"/>
              <w:left w:val="nil"/>
              <w:bottom w:val="single" w:sz="4" w:space="0" w:color="ED7D31"/>
              <w:right w:val="nil"/>
            </w:tcBorders>
            <w:shd w:val="clear" w:color="auto" w:fill="auto"/>
            <w:vAlign w:val="center"/>
            <w:hideMark/>
          </w:tcPr>
          <w:p w14:paraId="185C08C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0.926***</w:t>
            </w:r>
          </w:p>
        </w:tc>
        <w:tc>
          <w:tcPr>
            <w:tcW w:w="959" w:type="dxa"/>
            <w:tcBorders>
              <w:top w:val="nil"/>
              <w:left w:val="nil"/>
              <w:bottom w:val="single" w:sz="4" w:space="0" w:color="ED7D31"/>
              <w:right w:val="nil"/>
            </w:tcBorders>
            <w:shd w:val="clear" w:color="auto" w:fill="auto"/>
            <w:vAlign w:val="center"/>
            <w:hideMark/>
          </w:tcPr>
          <w:p w14:paraId="1DC9D71F"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(0.014)</w:t>
            </w:r>
          </w:p>
        </w:tc>
      </w:tr>
      <w:tr w:rsidR="00244248" w:rsidRPr="007A742B" w14:paraId="03BF1BE8"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54BABFD2"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Household income (log)</w:t>
            </w:r>
          </w:p>
        </w:tc>
        <w:tc>
          <w:tcPr>
            <w:tcW w:w="1276" w:type="dxa"/>
            <w:tcBorders>
              <w:top w:val="nil"/>
              <w:left w:val="nil"/>
              <w:bottom w:val="single" w:sz="4" w:space="0" w:color="ED7D31"/>
              <w:right w:val="nil"/>
            </w:tcBorders>
            <w:shd w:val="clear" w:color="auto" w:fill="auto"/>
            <w:vAlign w:val="center"/>
            <w:hideMark/>
          </w:tcPr>
          <w:p w14:paraId="1B5DC58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0.026***</w:t>
            </w:r>
          </w:p>
        </w:tc>
        <w:tc>
          <w:tcPr>
            <w:tcW w:w="840" w:type="dxa"/>
            <w:tcBorders>
              <w:top w:val="nil"/>
              <w:left w:val="nil"/>
              <w:bottom w:val="single" w:sz="4" w:space="0" w:color="ED7D31"/>
              <w:right w:val="nil"/>
            </w:tcBorders>
            <w:shd w:val="clear" w:color="auto" w:fill="auto"/>
            <w:vAlign w:val="center"/>
            <w:hideMark/>
          </w:tcPr>
          <w:p w14:paraId="7770085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(0.007)</w:t>
            </w:r>
          </w:p>
        </w:tc>
        <w:tc>
          <w:tcPr>
            <w:tcW w:w="1277" w:type="dxa"/>
            <w:tcBorders>
              <w:top w:val="nil"/>
              <w:left w:val="nil"/>
              <w:bottom w:val="single" w:sz="4" w:space="0" w:color="ED7D31"/>
              <w:right w:val="nil"/>
            </w:tcBorders>
            <w:shd w:val="clear" w:color="auto" w:fill="auto"/>
            <w:vAlign w:val="center"/>
            <w:hideMark/>
          </w:tcPr>
          <w:p w14:paraId="1FFCB6D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0.026***</w:t>
            </w:r>
          </w:p>
        </w:tc>
        <w:tc>
          <w:tcPr>
            <w:tcW w:w="959" w:type="dxa"/>
            <w:tcBorders>
              <w:top w:val="nil"/>
              <w:left w:val="nil"/>
              <w:bottom w:val="single" w:sz="4" w:space="0" w:color="ED7D31"/>
              <w:right w:val="nil"/>
            </w:tcBorders>
            <w:shd w:val="clear" w:color="auto" w:fill="auto"/>
            <w:vAlign w:val="center"/>
            <w:hideMark/>
          </w:tcPr>
          <w:p w14:paraId="3CFF29A7"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(0.008)</w:t>
            </w:r>
          </w:p>
        </w:tc>
        <w:tc>
          <w:tcPr>
            <w:tcW w:w="1309" w:type="dxa"/>
            <w:tcBorders>
              <w:top w:val="nil"/>
              <w:left w:val="nil"/>
              <w:bottom w:val="single" w:sz="4" w:space="0" w:color="ED7D31"/>
              <w:right w:val="nil"/>
            </w:tcBorders>
            <w:shd w:val="clear" w:color="auto" w:fill="auto"/>
            <w:vAlign w:val="center"/>
            <w:hideMark/>
          </w:tcPr>
          <w:p w14:paraId="23EDB37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0.022</w:t>
            </w:r>
          </w:p>
        </w:tc>
        <w:tc>
          <w:tcPr>
            <w:tcW w:w="906" w:type="dxa"/>
            <w:tcBorders>
              <w:top w:val="nil"/>
              <w:left w:val="nil"/>
              <w:bottom w:val="single" w:sz="4" w:space="0" w:color="ED7D31"/>
              <w:right w:val="nil"/>
            </w:tcBorders>
            <w:shd w:val="clear" w:color="auto" w:fill="auto"/>
            <w:vAlign w:val="center"/>
            <w:hideMark/>
          </w:tcPr>
          <w:p w14:paraId="710A1D1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(0.035)</w:t>
            </w:r>
          </w:p>
        </w:tc>
        <w:tc>
          <w:tcPr>
            <w:tcW w:w="1275" w:type="dxa"/>
            <w:tcBorders>
              <w:top w:val="nil"/>
              <w:left w:val="nil"/>
              <w:bottom w:val="single" w:sz="4" w:space="0" w:color="ED7D31"/>
              <w:right w:val="nil"/>
            </w:tcBorders>
            <w:shd w:val="clear" w:color="auto" w:fill="auto"/>
            <w:vAlign w:val="center"/>
            <w:hideMark/>
          </w:tcPr>
          <w:p w14:paraId="2C09EA4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0.010</w:t>
            </w:r>
          </w:p>
        </w:tc>
        <w:tc>
          <w:tcPr>
            <w:tcW w:w="959" w:type="dxa"/>
            <w:tcBorders>
              <w:top w:val="nil"/>
              <w:left w:val="nil"/>
              <w:bottom w:val="single" w:sz="4" w:space="0" w:color="ED7D31"/>
              <w:right w:val="nil"/>
            </w:tcBorders>
            <w:shd w:val="clear" w:color="auto" w:fill="auto"/>
            <w:vAlign w:val="center"/>
            <w:hideMark/>
          </w:tcPr>
          <w:p w14:paraId="136E2647"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(0.007)</w:t>
            </w:r>
          </w:p>
        </w:tc>
      </w:tr>
      <w:tr w:rsidR="00244248" w:rsidRPr="007A742B" w14:paraId="264F9D72"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559E49E7"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Remote area</w:t>
            </w:r>
          </w:p>
        </w:tc>
        <w:tc>
          <w:tcPr>
            <w:tcW w:w="1276" w:type="dxa"/>
            <w:tcBorders>
              <w:top w:val="nil"/>
              <w:left w:val="nil"/>
              <w:bottom w:val="single" w:sz="4" w:space="0" w:color="ED7D31"/>
              <w:right w:val="nil"/>
            </w:tcBorders>
            <w:shd w:val="clear" w:color="auto" w:fill="auto"/>
            <w:vAlign w:val="center"/>
            <w:hideMark/>
          </w:tcPr>
          <w:p w14:paraId="34860CB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-0.011</w:t>
            </w:r>
          </w:p>
        </w:tc>
        <w:tc>
          <w:tcPr>
            <w:tcW w:w="840" w:type="dxa"/>
            <w:tcBorders>
              <w:top w:val="nil"/>
              <w:left w:val="nil"/>
              <w:bottom w:val="single" w:sz="4" w:space="0" w:color="ED7D31"/>
              <w:right w:val="nil"/>
            </w:tcBorders>
            <w:shd w:val="clear" w:color="auto" w:fill="auto"/>
            <w:vAlign w:val="center"/>
            <w:hideMark/>
          </w:tcPr>
          <w:p w14:paraId="15A2B49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(0.014)</w:t>
            </w:r>
          </w:p>
        </w:tc>
        <w:tc>
          <w:tcPr>
            <w:tcW w:w="1277" w:type="dxa"/>
            <w:tcBorders>
              <w:top w:val="nil"/>
              <w:left w:val="nil"/>
              <w:bottom w:val="single" w:sz="4" w:space="0" w:color="ED7D31"/>
              <w:right w:val="nil"/>
            </w:tcBorders>
            <w:shd w:val="clear" w:color="auto" w:fill="auto"/>
            <w:vAlign w:val="center"/>
            <w:hideMark/>
          </w:tcPr>
          <w:p w14:paraId="1DF755E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0.005</w:t>
            </w:r>
          </w:p>
        </w:tc>
        <w:tc>
          <w:tcPr>
            <w:tcW w:w="959" w:type="dxa"/>
            <w:tcBorders>
              <w:top w:val="nil"/>
              <w:left w:val="nil"/>
              <w:bottom w:val="single" w:sz="4" w:space="0" w:color="ED7D31"/>
              <w:right w:val="nil"/>
            </w:tcBorders>
            <w:shd w:val="clear" w:color="auto" w:fill="auto"/>
            <w:vAlign w:val="center"/>
            <w:hideMark/>
          </w:tcPr>
          <w:p w14:paraId="34A7769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(0.016)</w:t>
            </w:r>
          </w:p>
        </w:tc>
        <w:tc>
          <w:tcPr>
            <w:tcW w:w="1309" w:type="dxa"/>
            <w:tcBorders>
              <w:top w:val="nil"/>
              <w:left w:val="nil"/>
              <w:bottom w:val="single" w:sz="4" w:space="0" w:color="ED7D31"/>
              <w:right w:val="nil"/>
            </w:tcBorders>
            <w:shd w:val="clear" w:color="auto" w:fill="auto"/>
            <w:vAlign w:val="center"/>
            <w:hideMark/>
          </w:tcPr>
          <w:p w14:paraId="177CE8A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-0.015</w:t>
            </w:r>
          </w:p>
        </w:tc>
        <w:tc>
          <w:tcPr>
            <w:tcW w:w="906" w:type="dxa"/>
            <w:tcBorders>
              <w:top w:val="nil"/>
              <w:left w:val="nil"/>
              <w:bottom w:val="single" w:sz="4" w:space="0" w:color="ED7D31"/>
              <w:right w:val="nil"/>
            </w:tcBorders>
            <w:shd w:val="clear" w:color="auto" w:fill="auto"/>
            <w:vAlign w:val="center"/>
            <w:hideMark/>
          </w:tcPr>
          <w:p w14:paraId="2DF717A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(0.042)</w:t>
            </w:r>
          </w:p>
        </w:tc>
        <w:tc>
          <w:tcPr>
            <w:tcW w:w="1275" w:type="dxa"/>
            <w:tcBorders>
              <w:top w:val="nil"/>
              <w:left w:val="nil"/>
              <w:bottom w:val="single" w:sz="4" w:space="0" w:color="ED7D31"/>
              <w:right w:val="nil"/>
            </w:tcBorders>
            <w:shd w:val="clear" w:color="auto" w:fill="auto"/>
            <w:vAlign w:val="center"/>
            <w:hideMark/>
          </w:tcPr>
          <w:p w14:paraId="7B54381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-0.315***</w:t>
            </w:r>
          </w:p>
        </w:tc>
        <w:tc>
          <w:tcPr>
            <w:tcW w:w="959" w:type="dxa"/>
            <w:tcBorders>
              <w:top w:val="nil"/>
              <w:left w:val="nil"/>
              <w:bottom w:val="single" w:sz="4" w:space="0" w:color="ED7D31"/>
              <w:right w:val="nil"/>
            </w:tcBorders>
            <w:shd w:val="clear" w:color="auto" w:fill="auto"/>
            <w:vAlign w:val="center"/>
            <w:hideMark/>
          </w:tcPr>
          <w:p w14:paraId="68F8A7F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(0.014)</w:t>
            </w:r>
          </w:p>
        </w:tc>
      </w:tr>
      <w:tr w:rsidR="00244248" w:rsidRPr="007A742B" w14:paraId="2D418C3F"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5757F089"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Born in Australia</w:t>
            </w:r>
          </w:p>
        </w:tc>
        <w:tc>
          <w:tcPr>
            <w:tcW w:w="1276" w:type="dxa"/>
            <w:tcBorders>
              <w:top w:val="nil"/>
              <w:left w:val="nil"/>
              <w:bottom w:val="single" w:sz="4" w:space="0" w:color="ED7D31"/>
              <w:right w:val="nil"/>
            </w:tcBorders>
            <w:shd w:val="clear" w:color="auto" w:fill="auto"/>
            <w:vAlign w:val="center"/>
            <w:hideMark/>
          </w:tcPr>
          <w:p w14:paraId="63B3949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0.013</w:t>
            </w:r>
          </w:p>
        </w:tc>
        <w:tc>
          <w:tcPr>
            <w:tcW w:w="840" w:type="dxa"/>
            <w:tcBorders>
              <w:top w:val="nil"/>
              <w:left w:val="nil"/>
              <w:bottom w:val="single" w:sz="4" w:space="0" w:color="ED7D31"/>
              <w:right w:val="nil"/>
            </w:tcBorders>
            <w:shd w:val="clear" w:color="auto" w:fill="auto"/>
            <w:vAlign w:val="center"/>
            <w:hideMark/>
          </w:tcPr>
          <w:p w14:paraId="7B58DA2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(0.018)</w:t>
            </w:r>
          </w:p>
        </w:tc>
        <w:tc>
          <w:tcPr>
            <w:tcW w:w="1277" w:type="dxa"/>
            <w:tcBorders>
              <w:top w:val="nil"/>
              <w:left w:val="nil"/>
              <w:bottom w:val="single" w:sz="4" w:space="0" w:color="ED7D31"/>
              <w:right w:val="nil"/>
            </w:tcBorders>
            <w:shd w:val="clear" w:color="auto" w:fill="auto"/>
            <w:vAlign w:val="center"/>
            <w:hideMark/>
          </w:tcPr>
          <w:p w14:paraId="1AB697FD"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0.009</w:t>
            </w:r>
          </w:p>
        </w:tc>
        <w:tc>
          <w:tcPr>
            <w:tcW w:w="959" w:type="dxa"/>
            <w:tcBorders>
              <w:top w:val="nil"/>
              <w:left w:val="nil"/>
              <w:bottom w:val="single" w:sz="4" w:space="0" w:color="ED7D31"/>
              <w:right w:val="nil"/>
            </w:tcBorders>
            <w:shd w:val="clear" w:color="auto" w:fill="auto"/>
            <w:vAlign w:val="center"/>
            <w:hideMark/>
          </w:tcPr>
          <w:p w14:paraId="69F17BD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(0.022)</w:t>
            </w:r>
          </w:p>
        </w:tc>
        <w:tc>
          <w:tcPr>
            <w:tcW w:w="1309" w:type="dxa"/>
            <w:tcBorders>
              <w:top w:val="nil"/>
              <w:left w:val="nil"/>
              <w:bottom w:val="single" w:sz="4" w:space="0" w:color="ED7D31"/>
              <w:right w:val="nil"/>
            </w:tcBorders>
            <w:shd w:val="clear" w:color="auto" w:fill="auto"/>
            <w:vAlign w:val="center"/>
            <w:hideMark/>
          </w:tcPr>
          <w:p w14:paraId="702879A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0.036</w:t>
            </w:r>
          </w:p>
        </w:tc>
        <w:tc>
          <w:tcPr>
            <w:tcW w:w="906" w:type="dxa"/>
            <w:tcBorders>
              <w:top w:val="nil"/>
              <w:left w:val="nil"/>
              <w:bottom w:val="single" w:sz="4" w:space="0" w:color="ED7D31"/>
              <w:right w:val="nil"/>
            </w:tcBorders>
            <w:shd w:val="clear" w:color="auto" w:fill="auto"/>
            <w:vAlign w:val="center"/>
            <w:hideMark/>
          </w:tcPr>
          <w:p w14:paraId="5BD1309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(0.051)</w:t>
            </w:r>
          </w:p>
        </w:tc>
        <w:tc>
          <w:tcPr>
            <w:tcW w:w="1275" w:type="dxa"/>
            <w:tcBorders>
              <w:top w:val="nil"/>
              <w:left w:val="nil"/>
              <w:bottom w:val="single" w:sz="4" w:space="0" w:color="ED7D31"/>
              <w:right w:val="nil"/>
            </w:tcBorders>
            <w:shd w:val="clear" w:color="auto" w:fill="auto"/>
            <w:vAlign w:val="center"/>
            <w:hideMark/>
          </w:tcPr>
          <w:p w14:paraId="034156F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0.082</w:t>
            </w:r>
          </w:p>
        </w:tc>
        <w:tc>
          <w:tcPr>
            <w:tcW w:w="959" w:type="dxa"/>
            <w:tcBorders>
              <w:top w:val="nil"/>
              <w:left w:val="nil"/>
              <w:bottom w:val="single" w:sz="4" w:space="0" w:color="ED7D31"/>
              <w:right w:val="nil"/>
            </w:tcBorders>
            <w:shd w:val="clear" w:color="auto" w:fill="auto"/>
            <w:vAlign w:val="center"/>
            <w:hideMark/>
          </w:tcPr>
          <w:p w14:paraId="7CB0FF5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(0.018)</w:t>
            </w:r>
          </w:p>
        </w:tc>
      </w:tr>
      <w:tr w:rsidR="00244248" w:rsidRPr="007A742B" w14:paraId="04CFA702"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46AE2839"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Aboriginal or Torres Strait Islander</w:t>
            </w:r>
          </w:p>
        </w:tc>
        <w:tc>
          <w:tcPr>
            <w:tcW w:w="1276" w:type="dxa"/>
            <w:tcBorders>
              <w:top w:val="nil"/>
              <w:left w:val="nil"/>
              <w:bottom w:val="single" w:sz="4" w:space="0" w:color="ED7D31"/>
              <w:right w:val="nil"/>
            </w:tcBorders>
            <w:shd w:val="clear" w:color="auto" w:fill="auto"/>
            <w:vAlign w:val="center"/>
            <w:hideMark/>
          </w:tcPr>
          <w:p w14:paraId="2249FCA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0.043</w:t>
            </w:r>
          </w:p>
        </w:tc>
        <w:tc>
          <w:tcPr>
            <w:tcW w:w="840" w:type="dxa"/>
            <w:tcBorders>
              <w:top w:val="nil"/>
              <w:left w:val="nil"/>
              <w:bottom w:val="single" w:sz="4" w:space="0" w:color="ED7D31"/>
              <w:right w:val="nil"/>
            </w:tcBorders>
            <w:shd w:val="clear" w:color="auto" w:fill="auto"/>
            <w:vAlign w:val="center"/>
            <w:hideMark/>
          </w:tcPr>
          <w:p w14:paraId="0B6E8CB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(0.043)</w:t>
            </w:r>
          </w:p>
        </w:tc>
        <w:tc>
          <w:tcPr>
            <w:tcW w:w="1277" w:type="dxa"/>
            <w:tcBorders>
              <w:top w:val="nil"/>
              <w:left w:val="nil"/>
              <w:bottom w:val="single" w:sz="4" w:space="0" w:color="ED7D31"/>
              <w:right w:val="nil"/>
            </w:tcBorders>
            <w:shd w:val="clear" w:color="auto" w:fill="auto"/>
            <w:vAlign w:val="center"/>
            <w:hideMark/>
          </w:tcPr>
          <w:p w14:paraId="2B19914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-0.029</w:t>
            </w:r>
          </w:p>
        </w:tc>
        <w:tc>
          <w:tcPr>
            <w:tcW w:w="959" w:type="dxa"/>
            <w:tcBorders>
              <w:top w:val="nil"/>
              <w:left w:val="nil"/>
              <w:bottom w:val="single" w:sz="4" w:space="0" w:color="ED7D31"/>
              <w:right w:val="nil"/>
            </w:tcBorders>
            <w:shd w:val="clear" w:color="auto" w:fill="auto"/>
            <w:vAlign w:val="center"/>
            <w:hideMark/>
          </w:tcPr>
          <w:p w14:paraId="0EE795EF"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(0.055)</w:t>
            </w:r>
          </w:p>
        </w:tc>
        <w:tc>
          <w:tcPr>
            <w:tcW w:w="1309" w:type="dxa"/>
            <w:tcBorders>
              <w:top w:val="nil"/>
              <w:left w:val="nil"/>
              <w:bottom w:val="single" w:sz="4" w:space="0" w:color="ED7D31"/>
              <w:right w:val="nil"/>
            </w:tcBorders>
            <w:shd w:val="clear" w:color="auto" w:fill="auto"/>
            <w:vAlign w:val="center"/>
            <w:hideMark/>
          </w:tcPr>
          <w:p w14:paraId="656FA15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0.065</w:t>
            </w:r>
          </w:p>
        </w:tc>
        <w:tc>
          <w:tcPr>
            <w:tcW w:w="906" w:type="dxa"/>
            <w:tcBorders>
              <w:top w:val="nil"/>
              <w:left w:val="nil"/>
              <w:bottom w:val="single" w:sz="4" w:space="0" w:color="ED7D31"/>
              <w:right w:val="nil"/>
            </w:tcBorders>
            <w:shd w:val="clear" w:color="auto" w:fill="auto"/>
            <w:vAlign w:val="center"/>
            <w:hideMark/>
          </w:tcPr>
          <w:p w14:paraId="068CF38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(0.089)</w:t>
            </w:r>
          </w:p>
        </w:tc>
        <w:tc>
          <w:tcPr>
            <w:tcW w:w="1275" w:type="dxa"/>
            <w:tcBorders>
              <w:top w:val="nil"/>
              <w:left w:val="nil"/>
              <w:bottom w:val="single" w:sz="4" w:space="0" w:color="ED7D31"/>
              <w:right w:val="nil"/>
            </w:tcBorders>
            <w:shd w:val="clear" w:color="auto" w:fill="auto"/>
            <w:vAlign w:val="center"/>
            <w:hideMark/>
          </w:tcPr>
          <w:p w14:paraId="6866432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0.411**</w:t>
            </w:r>
          </w:p>
        </w:tc>
        <w:tc>
          <w:tcPr>
            <w:tcW w:w="959" w:type="dxa"/>
            <w:tcBorders>
              <w:top w:val="nil"/>
              <w:left w:val="nil"/>
              <w:bottom w:val="single" w:sz="4" w:space="0" w:color="ED7D31"/>
              <w:right w:val="nil"/>
            </w:tcBorders>
            <w:shd w:val="clear" w:color="auto" w:fill="auto"/>
            <w:vAlign w:val="center"/>
            <w:hideMark/>
          </w:tcPr>
          <w:p w14:paraId="362A035C"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(0.043)</w:t>
            </w:r>
          </w:p>
        </w:tc>
      </w:tr>
      <w:tr w:rsidR="00244248" w:rsidRPr="007A742B" w14:paraId="25DFEEBE" w14:textId="77777777" w:rsidTr="00335B25">
        <w:trPr>
          <w:trHeight w:val="20"/>
        </w:trPr>
        <w:tc>
          <w:tcPr>
            <w:tcW w:w="3837" w:type="dxa"/>
            <w:tcBorders>
              <w:top w:val="nil"/>
              <w:left w:val="nil"/>
              <w:bottom w:val="single" w:sz="4" w:space="0" w:color="ED7D31"/>
              <w:right w:val="nil"/>
            </w:tcBorders>
            <w:shd w:val="clear" w:color="auto" w:fill="auto"/>
            <w:vAlign w:val="center"/>
            <w:hideMark/>
          </w:tcPr>
          <w:p w14:paraId="2D46AF4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Observations</w:t>
            </w:r>
          </w:p>
        </w:tc>
        <w:tc>
          <w:tcPr>
            <w:tcW w:w="1276" w:type="dxa"/>
            <w:tcBorders>
              <w:top w:val="nil"/>
              <w:left w:val="nil"/>
              <w:bottom w:val="single" w:sz="4" w:space="0" w:color="ED7D31"/>
              <w:right w:val="nil"/>
            </w:tcBorders>
            <w:shd w:val="clear" w:color="auto" w:fill="auto"/>
            <w:vAlign w:val="center"/>
            <w:hideMark/>
          </w:tcPr>
          <w:p w14:paraId="0BBDF49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48426</w:t>
            </w:r>
          </w:p>
        </w:tc>
        <w:tc>
          <w:tcPr>
            <w:tcW w:w="840" w:type="dxa"/>
            <w:tcBorders>
              <w:top w:val="nil"/>
              <w:left w:val="nil"/>
              <w:bottom w:val="single" w:sz="4" w:space="0" w:color="ED7D31"/>
              <w:right w:val="nil"/>
            </w:tcBorders>
            <w:shd w:val="clear" w:color="auto" w:fill="auto"/>
            <w:vAlign w:val="center"/>
            <w:hideMark/>
          </w:tcPr>
          <w:p w14:paraId="115CB2C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c>
          <w:tcPr>
            <w:tcW w:w="1277" w:type="dxa"/>
            <w:tcBorders>
              <w:top w:val="nil"/>
              <w:left w:val="nil"/>
              <w:bottom w:val="single" w:sz="4" w:space="0" w:color="ED7D31"/>
              <w:right w:val="nil"/>
            </w:tcBorders>
            <w:shd w:val="clear" w:color="auto" w:fill="auto"/>
            <w:vAlign w:val="center"/>
            <w:hideMark/>
          </w:tcPr>
          <w:p w14:paraId="2C441E9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18949</w:t>
            </w:r>
          </w:p>
        </w:tc>
        <w:tc>
          <w:tcPr>
            <w:tcW w:w="959" w:type="dxa"/>
            <w:tcBorders>
              <w:top w:val="nil"/>
              <w:left w:val="nil"/>
              <w:bottom w:val="single" w:sz="4" w:space="0" w:color="ED7D31"/>
              <w:right w:val="nil"/>
            </w:tcBorders>
            <w:shd w:val="clear" w:color="auto" w:fill="auto"/>
            <w:vAlign w:val="center"/>
            <w:hideMark/>
          </w:tcPr>
          <w:p w14:paraId="4C556E1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c>
          <w:tcPr>
            <w:tcW w:w="1309" w:type="dxa"/>
            <w:tcBorders>
              <w:top w:val="nil"/>
              <w:left w:val="nil"/>
              <w:bottom w:val="single" w:sz="4" w:space="0" w:color="ED7D31"/>
              <w:right w:val="nil"/>
            </w:tcBorders>
            <w:shd w:val="clear" w:color="auto" w:fill="auto"/>
            <w:vAlign w:val="center"/>
            <w:hideMark/>
          </w:tcPr>
          <w:p w14:paraId="046CC11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5265</w:t>
            </w:r>
          </w:p>
        </w:tc>
        <w:tc>
          <w:tcPr>
            <w:tcW w:w="906" w:type="dxa"/>
            <w:tcBorders>
              <w:top w:val="nil"/>
              <w:left w:val="nil"/>
              <w:bottom w:val="single" w:sz="4" w:space="0" w:color="ED7D31"/>
              <w:right w:val="nil"/>
            </w:tcBorders>
            <w:shd w:val="clear" w:color="auto" w:fill="auto"/>
            <w:vAlign w:val="center"/>
            <w:hideMark/>
          </w:tcPr>
          <w:p w14:paraId="5B3888A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c>
          <w:tcPr>
            <w:tcW w:w="1275" w:type="dxa"/>
            <w:tcBorders>
              <w:top w:val="nil"/>
              <w:left w:val="nil"/>
              <w:bottom w:val="single" w:sz="4" w:space="0" w:color="ED7D31"/>
              <w:right w:val="nil"/>
            </w:tcBorders>
            <w:shd w:val="clear" w:color="auto" w:fill="auto"/>
            <w:vAlign w:val="center"/>
            <w:hideMark/>
          </w:tcPr>
          <w:p w14:paraId="22DFBE8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8176</w:t>
            </w:r>
          </w:p>
        </w:tc>
        <w:tc>
          <w:tcPr>
            <w:tcW w:w="959" w:type="dxa"/>
            <w:tcBorders>
              <w:top w:val="nil"/>
              <w:left w:val="nil"/>
              <w:bottom w:val="single" w:sz="4" w:space="0" w:color="ED7D31"/>
              <w:right w:val="nil"/>
            </w:tcBorders>
            <w:shd w:val="clear" w:color="auto" w:fill="auto"/>
            <w:vAlign w:val="center"/>
            <w:hideMark/>
          </w:tcPr>
          <w:p w14:paraId="7C9CC93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r>
    </w:tbl>
    <w:p w14:paraId="1AD6A580" w14:textId="77777777" w:rsidR="00244248" w:rsidRPr="0041308A" w:rsidRDefault="00244248" w:rsidP="00244248">
      <w:pPr>
        <w:widowControl w:val="0"/>
        <w:autoSpaceDE w:val="0"/>
        <w:autoSpaceDN w:val="0"/>
        <w:adjustRightInd w:val="0"/>
        <w:spacing w:after="0" w:line="240" w:lineRule="auto"/>
        <w:rPr>
          <w:rFonts w:asciiTheme="majorHAnsi" w:eastAsiaTheme="minorEastAsia" w:hAnsiTheme="majorHAnsi" w:cstheme="majorHAnsi"/>
          <w:sz w:val="20"/>
          <w:szCs w:val="20"/>
          <w:lang w:val="en-US" w:eastAsia="en-AU"/>
        </w:rPr>
      </w:pPr>
      <w:r w:rsidRPr="0041308A">
        <w:rPr>
          <w:rFonts w:asciiTheme="majorHAnsi" w:eastAsiaTheme="minorEastAsia" w:hAnsiTheme="majorHAnsi" w:cstheme="majorHAnsi"/>
          <w:sz w:val="20"/>
          <w:szCs w:val="20"/>
          <w:lang w:val="en-US" w:eastAsia="en-AU"/>
        </w:rPr>
        <w:t>Note: robust standard errors, year and state fixed effects not reported; * p&lt;0.1, ** p&lt;0.05, *** p&lt;0.01</w:t>
      </w:r>
    </w:p>
    <w:p w14:paraId="3797D500" w14:textId="77777777" w:rsidR="00244248" w:rsidRDefault="00244248" w:rsidP="00244248">
      <w:pPr>
        <w:widowControl w:val="0"/>
        <w:autoSpaceDE w:val="0"/>
        <w:autoSpaceDN w:val="0"/>
        <w:adjustRightInd w:val="0"/>
        <w:spacing w:after="0" w:line="240" w:lineRule="auto"/>
        <w:rPr>
          <w:rFonts w:ascii="Times New Roman" w:eastAsiaTheme="minorEastAsia" w:hAnsi="Times New Roman" w:cs="Times New Roman"/>
          <w:sz w:val="20"/>
          <w:szCs w:val="20"/>
          <w:lang w:val="en-US" w:eastAsia="en-AU"/>
        </w:rPr>
      </w:pPr>
    </w:p>
    <w:p w14:paraId="56D32F00" w14:textId="77777777" w:rsidR="00244248" w:rsidRPr="002037A0" w:rsidRDefault="00244248" w:rsidP="00244248">
      <w:pPr>
        <w:widowControl w:val="0"/>
        <w:autoSpaceDE w:val="0"/>
        <w:autoSpaceDN w:val="0"/>
        <w:adjustRightInd w:val="0"/>
        <w:spacing w:after="0" w:line="240" w:lineRule="auto"/>
        <w:rPr>
          <w:rFonts w:ascii="Times New Roman" w:eastAsiaTheme="minorEastAsia" w:hAnsi="Times New Roman" w:cs="Times New Roman"/>
          <w:sz w:val="20"/>
          <w:szCs w:val="20"/>
          <w:lang w:val="en-US" w:eastAsia="en-AU"/>
        </w:rPr>
      </w:pPr>
    </w:p>
    <w:p w14:paraId="7EBEF035" w14:textId="77777777" w:rsidR="00244248" w:rsidRDefault="00244248" w:rsidP="00244248">
      <w:pPr>
        <w:widowControl w:val="0"/>
        <w:autoSpaceDE w:val="0"/>
        <w:autoSpaceDN w:val="0"/>
        <w:adjustRightInd w:val="0"/>
        <w:spacing w:after="0" w:line="240" w:lineRule="auto"/>
        <w:rPr>
          <w:rFonts w:ascii="Times New Roman" w:eastAsiaTheme="minorEastAsia" w:hAnsi="Times New Roman" w:cs="Times New Roman"/>
          <w:sz w:val="24"/>
          <w:szCs w:val="24"/>
          <w:lang w:val="en-US" w:eastAsia="en-AU"/>
        </w:rPr>
        <w:sectPr w:rsidR="00244248" w:rsidSect="00335B25">
          <w:pgSz w:w="16838" w:h="11906" w:orient="landscape"/>
          <w:pgMar w:top="1440" w:right="1440" w:bottom="1440" w:left="1440" w:header="708" w:footer="708" w:gutter="0"/>
          <w:cols w:space="708"/>
          <w:docGrid w:linePitch="360"/>
        </w:sectPr>
      </w:pPr>
    </w:p>
    <w:p w14:paraId="7E121FF4" w14:textId="77777777" w:rsidR="00244248" w:rsidRDefault="00244248" w:rsidP="007C5778">
      <w:pPr>
        <w:pStyle w:val="Heading3"/>
      </w:pPr>
      <w:bookmarkStart w:id="218" w:name="_Toc87454664"/>
      <w:r w:rsidRPr="00AE5232">
        <w:lastRenderedPageBreak/>
        <w:t>Dynamic Fertility Measures</w:t>
      </w:r>
      <w:bookmarkEnd w:id="218"/>
      <w:r w:rsidRPr="00AE5232">
        <w:t xml:space="preserve"> </w:t>
      </w:r>
    </w:p>
    <w:p w14:paraId="1860D9D7" w14:textId="77777777" w:rsidR="00244248" w:rsidRDefault="00244248" w:rsidP="00244248">
      <w:r>
        <w:t xml:space="preserve">Next, for women who do indicate that they intend to have a child we look at the year when they planned to have a birth. A positive coefficient indicates that compared to the reference category, a longer number of years is planned until the next child. </w:t>
      </w:r>
    </w:p>
    <w:p w14:paraId="5691CCDE" w14:textId="77777777" w:rsidR="00244248" w:rsidRDefault="00244248" w:rsidP="00244248">
      <w:r>
        <w:t xml:space="preserve">Compared to childless women we find that those with children already, conditional on intending to have another child they are more likely to say that this will happen in the near future. Older women plan to wait a shorter period of time than younger women before having their next child.  </w:t>
      </w:r>
    </w:p>
    <w:p w14:paraId="26B998EF" w14:textId="402B1678" w:rsidR="00244248" w:rsidRDefault="00244248" w:rsidP="00244248">
      <w:r>
        <w:t xml:space="preserve">Compared to women with Year 11 or less education, women with a higher education plan a longer gap before having their next child.  This is consistent with our finding that this group has children later in life. Being in a relationship is strongly negatively correlated with the intended time until the next child. Compared to women working in a permanent full-time role, those working in a casual position, or permanent but part-time are also more likely to give a shorter time frame in terms of the year they intend to have the next child. </w:t>
      </w:r>
    </w:p>
    <w:p w14:paraId="392CC7C4" w14:textId="77777777" w:rsidR="00244248" w:rsidRDefault="00244248" w:rsidP="00244248">
      <w:r>
        <w:t>Household income is only positively correlated with the time until the next birth in one of the specifications and never correlated with changes in intentions.  We do not see much role for household income.</w:t>
      </w:r>
    </w:p>
    <w:p w14:paraId="05F873DD" w14:textId="77777777" w:rsidR="00244248" w:rsidRDefault="00244248" w:rsidP="00244248">
      <w:r>
        <w:t xml:space="preserve">Birth country has no effect whereas being Aboriginal or Torres Strait Islander background correlates with a shorter time horizon until the next birth. </w:t>
      </w:r>
    </w:p>
    <w:p w14:paraId="7482D0F9" w14:textId="5958FAB7" w:rsidR="00244248" w:rsidRDefault="00244248" w:rsidP="00244248">
      <w:pPr>
        <w:pStyle w:val="Caption"/>
        <w:keepNext/>
        <w:spacing w:after="0"/>
      </w:pPr>
      <w:bookmarkStart w:id="219" w:name="_Ref84321264"/>
      <w:r>
        <w:t xml:space="preserve">Table </w:t>
      </w:r>
      <w:fldSimple w:instr=" SEQ Table \* ARABIC ">
        <w:r w:rsidR="00115E22">
          <w:rPr>
            <w:noProof/>
          </w:rPr>
          <w:t>40</w:t>
        </w:r>
      </w:fldSimple>
      <w:bookmarkEnd w:id="219"/>
      <w:r>
        <w:t xml:space="preserve"> </w:t>
      </w:r>
      <w:r w:rsidRPr="00302243">
        <w:t>Number of Years to have a (next) Child</w:t>
      </w:r>
    </w:p>
    <w:tbl>
      <w:tblPr>
        <w:tblW w:w="6599" w:type="dxa"/>
        <w:tblLook w:val="04A0" w:firstRow="1" w:lastRow="0" w:firstColumn="1" w:lastColumn="0" w:noHBand="0" w:noVBand="1"/>
      </w:tblPr>
      <w:tblGrid>
        <w:gridCol w:w="3544"/>
        <w:gridCol w:w="1276"/>
        <w:gridCol w:w="1779"/>
      </w:tblGrid>
      <w:tr w:rsidR="00244248" w:rsidRPr="008D4339" w14:paraId="69BD06CA" w14:textId="77777777" w:rsidTr="00335B25">
        <w:trPr>
          <w:trHeight w:val="20"/>
        </w:trPr>
        <w:tc>
          <w:tcPr>
            <w:tcW w:w="3544" w:type="dxa"/>
            <w:tcBorders>
              <w:top w:val="nil"/>
              <w:left w:val="nil"/>
              <w:bottom w:val="single" w:sz="4" w:space="0" w:color="ED7D31"/>
              <w:right w:val="nil"/>
            </w:tcBorders>
            <w:shd w:val="clear" w:color="000000" w:fill="FBE4D5"/>
            <w:vAlign w:val="center"/>
            <w:hideMark/>
          </w:tcPr>
          <w:p w14:paraId="5997D36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w:t>
            </w:r>
          </w:p>
        </w:tc>
        <w:tc>
          <w:tcPr>
            <w:tcW w:w="1276" w:type="dxa"/>
            <w:tcBorders>
              <w:top w:val="nil"/>
              <w:left w:val="nil"/>
              <w:bottom w:val="single" w:sz="4" w:space="0" w:color="ED7D31"/>
              <w:right w:val="nil"/>
            </w:tcBorders>
            <w:shd w:val="clear" w:color="000000" w:fill="FBE4D5"/>
            <w:vAlign w:val="center"/>
            <w:hideMark/>
          </w:tcPr>
          <w:p w14:paraId="3095BC1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1779" w:type="dxa"/>
            <w:tcBorders>
              <w:top w:val="nil"/>
              <w:left w:val="nil"/>
              <w:bottom w:val="single" w:sz="4" w:space="0" w:color="ED7D31"/>
              <w:right w:val="nil"/>
            </w:tcBorders>
            <w:shd w:val="clear" w:color="000000" w:fill="FBE4D5"/>
            <w:vAlign w:val="center"/>
            <w:hideMark/>
          </w:tcPr>
          <w:p w14:paraId="7B5E3FA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r>
      <w:tr w:rsidR="00244248" w:rsidRPr="008D4339" w14:paraId="0AD90378" w14:textId="77777777" w:rsidTr="00335B25">
        <w:trPr>
          <w:trHeight w:val="20"/>
        </w:trPr>
        <w:tc>
          <w:tcPr>
            <w:tcW w:w="3544" w:type="dxa"/>
            <w:tcBorders>
              <w:top w:val="nil"/>
              <w:left w:val="nil"/>
              <w:bottom w:val="nil"/>
              <w:right w:val="nil"/>
            </w:tcBorders>
            <w:shd w:val="clear" w:color="auto" w:fill="auto"/>
            <w:vAlign w:val="center"/>
            <w:hideMark/>
          </w:tcPr>
          <w:p w14:paraId="13BA6FD7"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Number of children </w:t>
            </w:r>
            <w:r w:rsidRPr="008D4339">
              <w:rPr>
                <w:rFonts w:ascii="Calibri Light" w:eastAsia="Times New Roman" w:hAnsi="Calibri Light" w:cs="Calibri Light"/>
                <w:color w:val="000000"/>
                <w:sz w:val="20"/>
                <w:szCs w:val="20"/>
                <w:lang w:eastAsia="en-AU"/>
              </w:rPr>
              <w:t>(ref: childless)</w:t>
            </w:r>
          </w:p>
        </w:tc>
        <w:tc>
          <w:tcPr>
            <w:tcW w:w="1276" w:type="dxa"/>
            <w:tcBorders>
              <w:top w:val="nil"/>
              <w:left w:val="nil"/>
              <w:bottom w:val="nil"/>
              <w:right w:val="nil"/>
            </w:tcBorders>
            <w:shd w:val="clear" w:color="auto" w:fill="auto"/>
            <w:vAlign w:val="center"/>
            <w:hideMark/>
          </w:tcPr>
          <w:p w14:paraId="726159A1"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779" w:type="dxa"/>
            <w:tcBorders>
              <w:top w:val="nil"/>
              <w:left w:val="nil"/>
              <w:bottom w:val="nil"/>
              <w:right w:val="nil"/>
            </w:tcBorders>
            <w:shd w:val="clear" w:color="auto" w:fill="auto"/>
            <w:vAlign w:val="center"/>
            <w:hideMark/>
          </w:tcPr>
          <w:p w14:paraId="1BB85D1E"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307803ED" w14:textId="77777777" w:rsidTr="00335B25">
        <w:trPr>
          <w:trHeight w:val="20"/>
        </w:trPr>
        <w:tc>
          <w:tcPr>
            <w:tcW w:w="3544" w:type="dxa"/>
            <w:tcBorders>
              <w:top w:val="nil"/>
              <w:left w:val="nil"/>
              <w:bottom w:val="nil"/>
              <w:right w:val="nil"/>
            </w:tcBorders>
            <w:shd w:val="clear" w:color="auto" w:fill="auto"/>
            <w:vAlign w:val="center"/>
            <w:hideMark/>
          </w:tcPr>
          <w:p w14:paraId="4266D59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 child</w:t>
            </w:r>
          </w:p>
        </w:tc>
        <w:tc>
          <w:tcPr>
            <w:tcW w:w="1276" w:type="dxa"/>
            <w:tcBorders>
              <w:top w:val="nil"/>
              <w:left w:val="nil"/>
              <w:bottom w:val="nil"/>
              <w:right w:val="nil"/>
            </w:tcBorders>
            <w:shd w:val="clear" w:color="auto" w:fill="auto"/>
            <w:vAlign w:val="center"/>
            <w:hideMark/>
          </w:tcPr>
          <w:p w14:paraId="7E1C777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E95017">
              <w:rPr>
                <w:rFonts w:ascii="Calibri Light" w:eastAsia="Times New Roman" w:hAnsi="Calibri Light" w:cs="Calibri Light"/>
                <w:color w:val="000000"/>
                <w:sz w:val="20"/>
                <w:szCs w:val="20"/>
                <w:lang w:eastAsia="en-AU"/>
              </w:rPr>
              <w:t>-0.58***</w:t>
            </w:r>
          </w:p>
        </w:tc>
        <w:tc>
          <w:tcPr>
            <w:tcW w:w="1779" w:type="dxa"/>
            <w:tcBorders>
              <w:top w:val="nil"/>
              <w:left w:val="nil"/>
              <w:bottom w:val="nil"/>
              <w:right w:val="nil"/>
            </w:tcBorders>
            <w:shd w:val="clear" w:color="auto" w:fill="auto"/>
            <w:vAlign w:val="center"/>
            <w:hideMark/>
          </w:tcPr>
          <w:p w14:paraId="251EFA6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(0.063)</w:t>
            </w:r>
          </w:p>
        </w:tc>
      </w:tr>
      <w:tr w:rsidR="00244248" w:rsidRPr="008D4339" w14:paraId="202ACDF8" w14:textId="77777777" w:rsidTr="00335B25">
        <w:trPr>
          <w:trHeight w:val="20"/>
        </w:trPr>
        <w:tc>
          <w:tcPr>
            <w:tcW w:w="3544" w:type="dxa"/>
            <w:tcBorders>
              <w:top w:val="nil"/>
              <w:left w:val="nil"/>
              <w:bottom w:val="nil"/>
              <w:right w:val="nil"/>
            </w:tcBorders>
            <w:shd w:val="clear" w:color="auto" w:fill="auto"/>
            <w:vAlign w:val="center"/>
            <w:hideMark/>
          </w:tcPr>
          <w:p w14:paraId="073B66C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2 children</w:t>
            </w:r>
          </w:p>
        </w:tc>
        <w:tc>
          <w:tcPr>
            <w:tcW w:w="1276" w:type="dxa"/>
            <w:tcBorders>
              <w:top w:val="nil"/>
              <w:left w:val="nil"/>
              <w:bottom w:val="nil"/>
              <w:right w:val="nil"/>
            </w:tcBorders>
            <w:shd w:val="clear" w:color="auto" w:fill="auto"/>
            <w:vAlign w:val="center"/>
            <w:hideMark/>
          </w:tcPr>
          <w:p w14:paraId="0CE2A54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E95017">
              <w:rPr>
                <w:rFonts w:ascii="Calibri Light" w:eastAsia="Times New Roman" w:hAnsi="Calibri Light" w:cs="Calibri Light"/>
                <w:color w:val="000000"/>
                <w:sz w:val="20"/>
                <w:szCs w:val="20"/>
                <w:lang w:eastAsia="en-AU"/>
              </w:rPr>
              <w:t>-0.20**</w:t>
            </w:r>
          </w:p>
        </w:tc>
        <w:tc>
          <w:tcPr>
            <w:tcW w:w="1779" w:type="dxa"/>
            <w:tcBorders>
              <w:top w:val="nil"/>
              <w:left w:val="nil"/>
              <w:bottom w:val="nil"/>
              <w:right w:val="nil"/>
            </w:tcBorders>
            <w:shd w:val="clear" w:color="auto" w:fill="auto"/>
            <w:vAlign w:val="center"/>
            <w:hideMark/>
          </w:tcPr>
          <w:p w14:paraId="6DEC5FF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91</w:t>
            </w:r>
            <w:r w:rsidRPr="008D4339">
              <w:rPr>
                <w:rFonts w:ascii="Calibri Light" w:eastAsia="Times New Roman" w:hAnsi="Calibri Light" w:cs="Calibri Light"/>
                <w:color w:val="808080"/>
                <w:sz w:val="20"/>
                <w:szCs w:val="20"/>
                <w:lang w:eastAsia="en-AU"/>
              </w:rPr>
              <w:t>)</w:t>
            </w:r>
          </w:p>
        </w:tc>
      </w:tr>
      <w:tr w:rsidR="00244248" w:rsidRPr="008D4339" w14:paraId="4BA07AD4"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252C55F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 children</w:t>
            </w:r>
          </w:p>
        </w:tc>
        <w:tc>
          <w:tcPr>
            <w:tcW w:w="1276" w:type="dxa"/>
            <w:tcBorders>
              <w:top w:val="nil"/>
              <w:left w:val="nil"/>
              <w:bottom w:val="single" w:sz="4" w:space="0" w:color="ED7D31"/>
              <w:right w:val="nil"/>
            </w:tcBorders>
            <w:shd w:val="clear" w:color="auto" w:fill="auto"/>
            <w:vAlign w:val="center"/>
            <w:hideMark/>
          </w:tcPr>
          <w:p w14:paraId="30EAF1B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E95017">
              <w:rPr>
                <w:rFonts w:ascii="Calibri Light" w:eastAsia="Times New Roman" w:hAnsi="Calibri Light" w:cs="Calibri Light"/>
                <w:color w:val="000000"/>
                <w:sz w:val="20"/>
                <w:szCs w:val="20"/>
                <w:lang w:eastAsia="en-AU"/>
              </w:rPr>
              <w:t>-0.2</w:t>
            </w:r>
            <w:r>
              <w:rPr>
                <w:rFonts w:ascii="Calibri Light" w:eastAsia="Times New Roman" w:hAnsi="Calibri Light" w:cs="Calibri Light"/>
                <w:color w:val="000000"/>
                <w:sz w:val="20"/>
                <w:szCs w:val="20"/>
                <w:lang w:eastAsia="en-AU"/>
              </w:rPr>
              <w:t>3</w:t>
            </w:r>
            <w:r w:rsidRPr="00E95017">
              <w:rPr>
                <w:rFonts w:ascii="Calibri Light" w:eastAsia="Times New Roman" w:hAnsi="Calibri Light" w:cs="Calibri Light"/>
                <w:color w:val="000000"/>
                <w:sz w:val="20"/>
                <w:szCs w:val="20"/>
                <w:lang w:eastAsia="en-AU"/>
              </w:rPr>
              <w:t>**</w:t>
            </w:r>
          </w:p>
        </w:tc>
        <w:tc>
          <w:tcPr>
            <w:tcW w:w="1779" w:type="dxa"/>
            <w:tcBorders>
              <w:top w:val="nil"/>
              <w:left w:val="nil"/>
              <w:bottom w:val="single" w:sz="4" w:space="0" w:color="ED7D31"/>
              <w:right w:val="nil"/>
            </w:tcBorders>
            <w:shd w:val="clear" w:color="auto" w:fill="auto"/>
            <w:vAlign w:val="center"/>
            <w:hideMark/>
          </w:tcPr>
          <w:p w14:paraId="4049006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w:t>
            </w:r>
            <w:r>
              <w:rPr>
                <w:rFonts w:ascii="Calibri Light" w:eastAsia="Times New Roman" w:hAnsi="Calibri Light" w:cs="Calibri Light"/>
                <w:color w:val="808080"/>
                <w:sz w:val="20"/>
                <w:szCs w:val="20"/>
                <w:lang w:eastAsia="en-AU"/>
              </w:rPr>
              <w:t>134</w:t>
            </w:r>
            <w:r w:rsidRPr="008D4339">
              <w:rPr>
                <w:rFonts w:ascii="Calibri Light" w:eastAsia="Times New Roman" w:hAnsi="Calibri Light" w:cs="Calibri Light"/>
                <w:color w:val="808080"/>
                <w:sz w:val="20"/>
                <w:szCs w:val="20"/>
                <w:lang w:eastAsia="en-AU"/>
              </w:rPr>
              <w:t>)</w:t>
            </w:r>
          </w:p>
        </w:tc>
      </w:tr>
      <w:tr w:rsidR="00244248" w:rsidRPr="008D4339" w14:paraId="67CCEE12" w14:textId="77777777" w:rsidTr="00335B25">
        <w:trPr>
          <w:trHeight w:val="20"/>
        </w:trPr>
        <w:tc>
          <w:tcPr>
            <w:tcW w:w="3544" w:type="dxa"/>
            <w:tcBorders>
              <w:top w:val="nil"/>
              <w:left w:val="nil"/>
              <w:bottom w:val="nil"/>
              <w:right w:val="nil"/>
            </w:tcBorders>
            <w:shd w:val="clear" w:color="auto" w:fill="auto"/>
            <w:vAlign w:val="center"/>
            <w:hideMark/>
          </w:tcPr>
          <w:p w14:paraId="6694FEF0"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Age group </w:t>
            </w:r>
            <w:r w:rsidRPr="008D4339">
              <w:rPr>
                <w:rFonts w:ascii="Calibri Light" w:eastAsia="Times New Roman" w:hAnsi="Calibri Light" w:cs="Calibri Light"/>
                <w:color w:val="000000"/>
                <w:sz w:val="20"/>
                <w:szCs w:val="20"/>
                <w:lang w:eastAsia="en-AU"/>
              </w:rPr>
              <w:t>(ref: 25-29)</w:t>
            </w:r>
          </w:p>
        </w:tc>
        <w:tc>
          <w:tcPr>
            <w:tcW w:w="1276" w:type="dxa"/>
            <w:tcBorders>
              <w:top w:val="nil"/>
              <w:left w:val="nil"/>
              <w:bottom w:val="nil"/>
              <w:right w:val="nil"/>
            </w:tcBorders>
            <w:shd w:val="clear" w:color="auto" w:fill="auto"/>
            <w:vAlign w:val="center"/>
            <w:hideMark/>
          </w:tcPr>
          <w:p w14:paraId="7D053AEA"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779" w:type="dxa"/>
            <w:tcBorders>
              <w:top w:val="nil"/>
              <w:left w:val="nil"/>
              <w:bottom w:val="nil"/>
              <w:right w:val="nil"/>
            </w:tcBorders>
            <w:shd w:val="clear" w:color="auto" w:fill="auto"/>
            <w:vAlign w:val="center"/>
            <w:hideMark/>
          </w:tcPr>
          <w:p w14:paraId="4CB21B44"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611F5948" w14:textId="77777777" w:rsidTr="00335B25">
        <w:trPr>
          <w:trHeight w:val="20"/>
        </w:trPr>
        <w:tc>
          <w:tcPr>
            <w:tcW w:w="3544" w:type="dxa"/>
            <w:tcBorders>
              <w:top w:val="nil"/>
              <w:left w:val="nil"/>
              <w:bottom w:val="nil"/>
              <w:right w:val="nil"/>
            </w:tcBorders>
            <w:shd w:val="clear" w:color="auto" w:fill="auto"/>
            <w:vAlign w:val="center"/>
            <w:hideMark/>
          </w:tcPr>
          <w:p w14:paraId="3BD617B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 18-24</w:t>
            </w:r>
          </w:p>
        </w:tc>
        <w:tc>
          <w:tcPr>
            <w:tcW w:w="1276" w:type="dxa"/>
            <w:tcBorders>
              <w:top w:val="nil"/>
              <w:left w:val="nil"/>
              <w:bottom w:val="nil"/>
              <w:right w:val="nil"/>
            </w:tcBorders>
            <w:shd w:val="clear" w:color="auto" w:fill="auto"/>
            <w:vAlign w:val="center"/>
            <w:hideMark/>
          </w:tcPr>
          <w:p w14:paraId="1F59500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1.51***</w:t>
            </w:r>
          </w:p>
        </w:tc>
        <w:tc>
          <w:tcPr>
            <w:tcW w:w="1779" w:type="dxa"/>
            <w:tcBorders>
              <w:top w:val="nil"/>
              <w:left w:val="nil"/>
              <w:bottom w:val="nil"/>
              <w:right w:val="nil"/>
            </w:tcBorders>
            <w:shd w:val="clear" w:color="auto" w:fill="auto"/>
            <w:vAlign w:val="center"/>
            <w:hideMark/>
          </w:tcPr>
          <w:p w14:paraId="4060EAE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w:t>
            </w:r>
            <w:r>
              <w:rPr>
                <w:rFonts w:ascii="Calibri Light" w:eastAsia="Times New Roman" w:hAnsi="Calibri Light" w:cs="Calibri Light"/>
                <w:color w:val="808080"/>
                <w:sz w:val="20"/>
                <w:szCs w:val="20"/>
                <w:lang w:eastAsia="en-AU"/>
              </w:rPr>
              <w:t>071</w:t>
            </w:r>
            <w:r w:rsidRPr="008D4339">
              <w:rPr>
                <w:rFonts w:ascii="Calibri Light" w:eastAsia="Times New Roman" w:hAnsi="Calibri Light" w:cs="Calibri Light"/>
                <w:color w:val="808080"/>
                <w:sz w:val="20"/>
                <w:szCs w:val="20"/>
                <w:lang w:eastAsia="en-AU"/>
              </w:rPr>
              <w:t>)</w:t>
            </w:r>
          </w:p>
        </w:tc>
      </w:tr>
      <w:tr w:rsidR="00244248" w:rsidRPr="008D4339" w14:paraId="172DD173" w14:textId="77777777" w:rsidTr="00335B25">
        <w:trPr>
          <w:trHeight w:val="20"/>
        </w:trPr>
        <w:tc>
          <w:tcPr>
            <w:tcW w:w="3544" w:type="dxa"/>
            <w:tcBorders>
              <w:top w:val="nil"/>
              <w:left w:val="nil"/>
              <w:bottom w:val="nil"/>
              <w:right w:val="nil"/>
            </w:tcBorders>
            <w:shd w:val="clear" w:color="auto" w:fill="auto"/>
            <w:vAlign w:val="center"/>
            <w:hideMark/>
          </w:tcPr>
          <w:p w14:paraId="0AB10B0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30-34</w:t>
            </w:r>
          </w:p>
        </w:tc>
        <w:tc>
          <w:tcPr>
            <w:tcW w:w="1276" w:type="dxa"/>
            <w:tcBorders>
              <w:top w:val="nil"/>
              <w:left w:val="nil"/>
              <w:bottom w:val="nil"/>
              <w:right w:val="nil"/>
            </w:tcBorders>
            <w:shd w:val="clear" w:color="auto" w:fill="auto"/>
            <w:vAlign w:val="center"/>
            <w:hideMark/>
          </w:tcPr>
          <w:p w14:paraId="4501E12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w:t>
            </w:r>
            <w:r>
              <w:rPr>
                <w:rFonts w:ascii="Calibri Light" w:eastAsia="Times New Roman" w:hAnsi="Calibri Light" w:cs="Calibri Light"/>
                <w:color w:val="000000"/>
                <w:sz w:val="20"/>
                <w:szCs w:val="20"/>
                <w:lang w:eastAsia="en-AU"/>
              </w:rPr>
              <w:t>8</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nil"/>
              <w:right w:val="nil"/>
            </w:tcBorders>
            <w:shd w:val="clear" w:color="auto" w:fill="auto"/>
            <w:vAlign w:val="center"/>
            <w:hideMark/>
          </w:tcPr>
          <w:p w14:paraId="7426FFB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(0.052)</w:t>
            </w:r>
          </w:p>
        </w:tc>
      </w:tr>
      <w:tr w:rsidR="00244248" w:rsidRPr="008D4339" w14:paraId="5AD965FE" w14:textId="77777777" w:rsidTr="00335B25">
        <w:trPr>
          <w:trHeight w:val="20"/>
        </w:trPr>
        <w:tc>
          <w:tcPr>
            <w:tcW w:w="3544" w:type="dxa"/>
            <w:tcBorders>
              <w:top w:val="nil"/>
              <w:left w:val="nil"/>
              <w:bottom w:val="nil"/>
              <w:right w:val="nil"/>
            </w:tcBorders>
            <w:shd w:val="clear" w:color="auto" w:fill="auto"/>
            <w:vAlign w:val="center"/>
            <w:hideMark/>
          </w:tcPr>
          <w:p w14:paraId="53C8EFE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35-39</w:t>
            </w:r>
          </w:p>
        </w:tc>
        <w:tc>
          <w:tcPr>
            <w:tcW w:w="1276" w:type="dxa"/>
            <w:tcBorders>
              <w:top w:val="nil"/>
              <w:left w:val="nil"/>
              <w:bottom w:val="nil"/>
              <w:right w:val="nil"/>
            </w:tcBorders>
            <w:shd w:val="clear" w:color="auto" w:fill="auto"/>
            <w:vAlign w:val="center"/>
            <w:hideMark/>
          </w:tcPr>
          <w:p w14:paraId="5EA79966"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w:t>
            </w:r>
            <w:r>
              <w:rPr>
                <w:rFonts w:ascii="Calibri Light" w:eastAsia="Times New Roman" w:hAnsi="Calibri Light" w:cs="Calibri Light"/>
                <w:color w:val="000000"/>
                <w:sz w:val="20"/>
                <w:szCs w:val="20"/>
                <w:lang w:eastAsia="en-AU"/>
              </w:rPr>
              <w:t>0.90</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nil"/>
              <w:right w:val="nil"/>
            </w:tcBorders>
            <w:shd w:val="clear" w:color="auto" w:fill="auto"/>
            <w:vAlign w:val="center"/>
            <w:hideMark/>
          </w:tcPr>
          <w:p w14:paraId="5EB4D843"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w:t>
            </w:r>
            <w:r>
              <w:rPr>
                <w:rFonts w:ascii="Calibri Light" w:eastAsia="Times New Roman" w:hAnsi="Calibri Light" w:cs="Calibri Light"/>
                <w:color w:val="808080"/>
                <w:sz w:val="20"/>
                <w:szCs w:val="20"/>
                <w:lang w:eastAsia="en-AU"/>
              </w:rPr>
              <w:t>6</w:t>
            </w:r>
            <w:r w:rsidRPr="008D4339">
              <w:rPr>
                <w:rFonts w:ascii="Calibri Light" w:eastAsia="Times New Roman" w:hAnsi="Calibri Light" w:cs="Calibri Light"/>
                <w:color w:val="808080"/>
                <w:sz w:val="20"/>
                <w:szCs w:val="20"/>
                <w:lang w:eastAsia="en-AU"/>
              </w:rPr>
              <w:t>)</w:t>
            </w:r>
          </w:p>
        </w:tc>
      </w:tr>
      <w:tr w:rsidR="00244248" w:rsidRPr="008D4339" w14:paraId="10ED4798" w14:textId="77777777" w:rsidTr="00335B25">
        <w:trPr>
          <w:trHeight w:val="20"/>
        </w:trPr>
        <w:tc>
          <w:tcPr>
            <w:tcW w:w="3544" w:type="dxa"/>
            <w:tcBorders>
              <w:top w:val="nil"/>
              <w:left w:val="nil"/>
              <w:bottom w:val="nil"/>
              <w:right w:val="nil"/>
            </w:tcBorders>
            <w:shd w:val="clear" w:color="auto" w:fill="auto"/>
            <w:vAlign w:val="center"/>
            <w:hideMark/>
          </w:tcPr>
          <w:p w14:paraId="612AB17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40-44</w:t>
            </w:r>
          </w:p>
        </w:tc>
        <w:tc>
          <w:tcPr>
            <w:tcW w:w="1276" w:type="dxa"/>
            <w:tcBorders>
              <w:top w:val="nil"/>
              <w:left w:val="nil"/>
              <w:bottom w:val="nil"/>
              <w:right w:val="nil"/>
            </w:tcBorders>
            <w:shd w:val="clear" w:color="auto" w:fill="auto"/>
            <w:vAlign w:val="center"/>
            <w:hideMark/>
          </w:tcPr>
          <w:p w14:paraId="3DE612A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w:t>
            </w:r>
            <w:r>
              <w:rPr>
                <w:rFonts w:ascii="Calibri Light" w:eastAsia="Times New Roman" w:hAnsi="Calibri Light" w:cs="Calibri Light"/>
                <w:color w:val="000000"/>
                <w:sz w:val="20"/>
                <w:szCs w:val="20"/>
                <w:lang w:eastAsia="en-AU"/>
              </w:rPr>
              <w:t>1.23</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nil"/>
              <w:right w:val="nil"/>
            </w:tcBorders>
            <w:shd w:val="clear" w:color="auto" w:fill="auto"/>
            <w:vAlign w:val="center"/>
            <w:hideMark/>
          </w:tcPr>
          <w:p w14:paraId="3E67031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w:t>
            </w:r>
            <w:r>
              <w:rPr>
                <w:rFonts w:ascii="Calibri Light" w:eastAsia="Times New Roman" w:hAnsi="Calibri Light" w:cs="Calibri Light"/>
                <w:color w:val="808080"/>
                <w:sz w:val="20"/>
                <w:szCs w:val="20"/>
                <w:lang w:eastAsia="en-AU"/>
              </w:rPr>
              <w:t>137</w:t>
            </w:r>
            <w:r w:rsidRPr="008D4339">
              <w:rPr>
                <w:rFonts w:ascii="Calibri Light" w:eastAsia="Times New Roman" w:hAnsi="Calibri Light" w:cs="Calibri Light"/>
                <w:color w:val="808080"/>
                <w:sz w:val="20"/>
                <w:szCs w:val="20"/>
                <w:lang w:eastAsia="en-AU"/>
              </w:rPr>
              <w:t>)</w:t>
            </w:r>
          </w:p>
        </w:tc>
      </w:tr>
      <w:tr w:rsidR="00244248" w:rsidRPr="008D4339" w14:paraId="0C0C24DF"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79E0505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45-49</w:t>
            </w:r>
          </w:p>
        </w:tc>
        <w:tc>
          <w:tcPr>
            <w:tcW w:w="1276" w:type="dxa"/>
            <w:tcBorders>
              <w:top w:val="nil"/>
              <w:left w:val="nil"/>
              <w:bottom w:val="single" w:sz="4" w:space="0" w:color="ED7D31"/>
              <w:right w:val="nil"/>
            </w:tcBorders>
            <w:shd w:val="clear" w:color="auto" w:fill="auto"/>
            <w:vAlign w:val="center"/>
            <w:hideMark/>
          </w:tcPr>
          <w:p w14:paraId="2D76BCF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w:t>
            </w:r>
            <w:r>
              <w:rPr>
                <w:rFonts w:ascii="Calibri Light" w:eastAsia="Times New Roman" w:hAnsi="Calibri Light" w:cs="Calibri Light"/>
                <w:color w:val="000000"/>
                <w:sz w:val="20"/>
                <w:szCs w:val="20"/>
                <w:lang w:eastAsia="en-AU"/>
              </w:rPr>
              <w:t>1.48</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single" w:sz="4" w:space="0" w:color="ED7D31"/>
              <w:right w:val="nil"/>
            </w:tcBorders>
            <w:shd w:val="clear" w:color="auto" w:fill="auto"/>
            <w:vAlign w:val="center"/>
            <w:hideMark/>
          </w:tcPr>
          <w:p w14:paraId="3F3C6C1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w:t>
            </w:r>
            <w:r>
              <w:rPr>
                <w:rFonts w:ascii="Calibri Light" w:eastAsia="Times New Roman" w:hAnsi="Calibri Light" w:cs="Calibri Light"/>
                <w:color w:val="808080"/>
                <w:sz w:val="20"/>
                <w:szCs w:val="20"/>
                <w:lang w:eastAsia="en-AU"/>
              </w:rPr>
              <w:t>209</w:t>
            </w:r>
            <w:r w:rsidRPr="008D4339">
              <w:rPr>
                <w:rFonts w:ascii="Calibri Light" w:eastAsia="Times New Roman" w:hAnsi="Calibri Light" w:cs="Calibri Light"/>
                <w:color w:val="808080"/>
                <w:sz w:val="20"/>
                <w:szCs w:val="20"/>
                <w:lang w:eastAsia="en-AU"/>
              </w:rPr>
              <w:t>)</w:t>
            </w:r>
          </w:p>
        </w:tc>
      </w:tr>
      <w:tr w:rsidR="00244248" w:rsidRPr="008D4339" w14:paraId="0C89BE17" w14:textId="77777777" w:rsidTr="00335B25">
        <w:trPr>
          <w:trHeight w:val="20"/>
        </w:trPr>
        <w:tc>
          <w:tcPr>
            <w:tcW w:w="3544" w:type="dxa"/>
            <w:tcBorders>
              <w:top w:val="nil"/>
              <w:left w:val="nil"/>
              <w:bottom w:val="nil"/>
              <w:right w:val="nil"/>
            </w:tcBorders>
            <w:shd w:val="clear" w:color="auto" w:fill="auto"/>
            <w:vAlign w:val="center"/>
            <w:hideMark/>
          </w:tcPr>
          <w:p w14:paraId="48EF496A"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Education level </w:t>
            </w:r>
            <w:r w:rsidRPr="008D4339">
              <w:rPr>
                <w:rFonts w:ascii="Calibri Light" w:eastAsia="Times New Roman" w:hAnsi="Calibri Light" w:cs="Calibri Light"/>
                <w:color w:val="000000"/>
                <w:sz w:val="20"/>
                <w:szCs w:val="20"/>
                <w:lang w:eastAsia="en-AU"/>
              </w:rPr>
              <w:t>(ref: Year 11 or below)</w:t>
            </w:r>
          </w:p>
        </w:tc>
        <w:tc>
          <w:tcPr>
            <w:tcW w:w="1276" w:type="dxa"/>
            <w:tcBorders>
              <w:top w:val="nil"/>
              <w:left w:val="nil"/>
              <w:bottom w:val="nil"/>
              <w:right w:val="nil"/>
            </w:tcBorders>
            <w:shd w:val="clear" w:color="auto" w:fill="auto"/>
            <w:vAlign w:val="center"/>
            <w:hideMark/>
          </w:tcPr>
          <w:p w14:paraId="1EE04F83"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779" w:type="dxa"/>
            <w:tcBorders>
              <w:top w:val="nil"/>
              <w:left w:val="nil"/>
              <w:bottom w:val="nil"/>
              <w:right w:val="nil"/>
            </w:tcBorders>
            <w:shd w:val="clear" w:color="auto" w:fill="auto"/>
            <w:vAlign w:val="center"/>
            <w:hideMark/>
          </w:tcPr>
          <w:p w14:paraId="1E570C90"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22609722" w14:textId="77777777" w:rsidTr="00335B25">
        <w:trPr>
          <w:trHeight w:val="20"/>
        </w:trPr>
        <w:tc>
          <w:tcPr>
            <w:tcW w:w="3544" w:type="dxa"/>
            <w:tcBorders>
              <w:top w:val="nil"/>
              <w:left w:val="nil"/>
              <w:bottom w:val="nil"/>
              <w:right w:val="nil"/>
            </w:tcBorders>
            <w:shd w:val="clear" w:color="auto" w:fill="auto"/>
            <w:vAlign w:val="center"/>
            <w:hideMark/>
          </w:tcPr>
          <w:p w14:paraId="1B4E40A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Bachelor Degree or higher</w:t>
            </w:r>
          </w:p>
        </w:tc>
        <w:tc>
          <w:tcPr>
            <w:tcW w:w="1276" w:type="dxa"/>
            <w:tcBorders>
              <w:top w:val="nil"/>
              <w:left w:val="nil"/>
              <w:bottom w:val="nil"/>
              <w:right w:val="nil"/>
            </w:tcBorders>
            <w:shd w:val="clear" w:color="auto" w:fill="auto"/>
            <w:vAlign w:val="center"/>
            <w:hideMark/>
          </w:tcPr>
          <w:p w14:paraId="2413781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63</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nil"/>
              <w:right w:val="nil"/>
            </w:tcBorders>
            <w:shd w:val="clear" w:color="auto" w:fill="auto"/>
            <w:vAlign w:val="center"/>
            <w:hideMark/>
          </w:tcPr>
          <w:p w14:paraId="19F335B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92</w:t>
            </w:r>
            <w:r w:rsidRPr="008D4339">
              <w:rPr>
                <w:rFonts w:ascii="Calibri Light" w:eastAsia="Times New Roman" w:hAnsi="Calibri Light" w:cs="Calibri Light"/>
                <w:color w:val="808080"/>
                <w:sz w:val="20"/>
                <w:szCs w:val="20"/>
                <w:lang w:eastAsia="en-AU"/>
              </w:rPr>
              <w:t>)</w:t>
            </w:r>
          </w:p>
        </w:tc>
      </w:tr>
      <w:tr w:rsidR="00244248" w:rsidRPr="008D4339" w14:paraId="41664980" w14:textId="77777777" w:rsidTr="00335B25">
        <w:trPr>
          <w:trHeight w:val="20"/>
        </w:trPr>
        <w:tc>
          <w:tcPr>
            <w:tcW w:w="3544" w:type="dxa"/>
            <w:tcBorders>
              <w:top w:val="nil"/>
              <w:left w:val="nil"/>
              <w:bottom w:val="nil"/>
              <w:right w:val="nil"/>
            </w:tcBorders>
            <w:shd w:val="clear" w:color="auto" w:fill="auto"/>
            <w:vAlign w:val="center"/>
            <w:hideMark/>
          </w:tcPr>
          <w:p w14:paraId="6E92AB2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Diploma/ Cert III/IV</w:t>
            </w:r>
          </w:p>
        </w:tc>
        <w:tc>
          <w:tcPr>
            <w:tcW w:w="1276" w:type="dxa"/>
            <w:tcBorders>
              <w:top w:val="nil"/>
              <w:left w:val="nil"/>
              <w:bottom w:val="nil"/>
              <w:right w:val="nil"/>
            </w:tcBorders>
            <w:shd w:val="clear" w:color="auto" w:fill="auto"/>
            <w:vAlign w:val="center"/>
            <w:hideMark/>
          </w:tcPr>
          <w:p w14:paraId="0BBD9D3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w:t>
            </w:r>
            <w:r>
              <w:rPr>
                <w:rFonts w:ascii="Calibri Light" w:eastAsia="Times New Roman" w:hAnsi="Calibri Light" w:cs="Calibri Light"/>
                <w:color w:val="000000"/>
                <w:sz w:val="20"/>
                <w:szCs w:val="20"/>
                <w:lang w:eastAsia="en-AU"/>
              </w:rPr>
              <w:t>1</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nil"/>
              <w:right w:val="nil"/>
            </w:tcBorders>
            <w:shd w:val="clear" w:color="auto" w:fill="auto"/>
            <w:vAlign w:val="center"/>
            <w:hideMark/>
          </w:tcPr>
          <w:p w14:paraId="04440AF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93</w:t>
            </w:r>
            <w:r w:rsidRPr="008D4339">
              <w:rPr>
                <w:rFonts w:ascii="Calibri Light" w:eastAsia="Times New Roman" w:hAnsi="Calibri Light" w:cs="Calibri Light"/>
                <w:color w:val="808080"/>
                <w:sz w:val="20"/>
                <w:szCs w:val="20"/>
                <w:lang w:eastAsia="en-AU"/>
              </w:rPr>
              <w:t>)</w:t>
            </w:r>
          </w:p>
        </w:tc>
      </w:tr>
      <w:tr w:rsidR="00244248" w:rsidRPr="008D4339" w14:paraId="0D007657"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0C1E992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Year 12</w:t>
            </w:r>
          </w:p>
        </w:tc>
        <w:tc>
          <w:tcPr>
            <w:tcW w:w="1276" w:type="dxa"/>
            <w:tcBorders>
              <w:top w:val="nil"/>
              <w:left w:val="nil"/>
              <w:bottom w:val="single" w:sz="4" w:space="0" w:color="ED7D31"/>
              <w:right w:val="nil"/>
            </w:tcBorders>
            <w:shd w:val="clear" w:color="auto" w:fill="auto"/>
            <w:vAlign w:val="center"/>
            <w:hideMark/>
          </w:tcPr>
          <w:p w14:paraId="0CE73FD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78</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single" w:sz="4" w:space="0" w:color="ED7D31"/>
              <w:right w:val="nil"/>
            </w:tcBorders>
            <w:shd w:val="clear" w:color="auto" w:fill="auto"/>
            <w:vAlign w:val="center"/>
            <w:hideMark/>
          </w:tcPr>
          <w:p w14:paraId="1E891BE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97</w:t>
            </w:r>
            <w:r w:rsidRPr="008D4339">
              <w:rPr>
                <w:rFonts w:ascii="Calibri Light" w:eastAsia="Times New Roman" w:hAnsi="Calibri Light" w:cs="Calibri Light"/>
                <w:color w:val="808080"/>
                <w:sz w:val="20"/>
                <w:szCs w:val="20"/>
                <w:lang w:eastAsia="en-AU"/>
              </w:rPr>
              <w:t>)</w:t>
            </w:r>
          </w:p>
        </w:tc>
      </w:tr>
      <w:tr w:rsidR="00244248" w:rsidRPr="008D4339" w14:paraId="343C5865" w14:textId="77777777" w:rsidTr="00335B25">
        <w:trPr>
          <w:trHeight w:val="20"/>
        </w:trPr>
        <w:tc>
          <w:tcPr>
            <w:tcW w:w="3544" w:type="dxa"/>
            <w:tcBorders>
              <w:top w:val="nil"/>
              <w:left w:val="nil"/>
              <w:bottom w:val="nil"/>
              <w:right w:val="nil"/>
            </w:tcBorders>
            <w:shd w:val="clear" w:color="auto" w:fill="auto"/>
            <w:vAlign w:val="center"/>
            <w:hideMark/>
          </w:tcPr>
          <w:p w14:paraId="65C8A006"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Relationship status </w:t>
            </w:r>
            <w:r w:rsidRPr="008D4339">
              <w:rPr>
                <w:rFonts w:ascii="Calibri Light" w:eastAsia="Times New Roman" w:hAnsi="Calibri Light" w:cs="Calibri Light"/>
                <w:color w:val="000000"/>
                <w:sz w:val="20"/>
                <w:szCs w:val="20"/>
                <w:lang w:eastAsia="en-AU"/>
              </w:rPr>
              <w:t>(ref: Single)</w:t>
            </w:r>
          </w:p>
        </w:tc>
        <w:tc>
          <w:tcPr>
            <w:tcW w:w="1276" w:type="dxa"/>
            <w:tcBorders>
              <w:top w:val="nil"/>
              <w:left w:val="nil"/>
              <w:bottom w:val="nil"/>
              <w:right w:val="nil"/>
            </w:tcBorders>
            <w:shd w:val="clear" w:color="auto" w:fill="auto"/>
            <w:vAlign w:val="center"/>
            <w:hideMark/>
          </w:tcPr>
          <w:p w14:paraId="5CAFFDC4"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779" w:type="dxa"/>
            <w:tcBorders>
              <w:top w:val="nil"/>
              <w:left w:val="nil"/>
              <w:bottom w:val="nil"/>
              <w:right w:val="nil"/>
            </w:tcBorders>
            <w:shd w:val="clear" w:color="auto" w:fill="auto"/>
            <w:vAlign w:val="center"/>
            <w:hideMark/>
          </w:tcPr>
          <w:p w14:paraId="66A71E25"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5CCAF60D" w14:textId="77777777" w:rsidTr="00335B25">
        <w:trPr>
          <w:trHeight w:val="20"/>
        </w:trPr>
        <w:tc>
          <w:tcPr>
            <w:tcW w:w="3544" w:type="dxa"/>
            <w:tcBorders>
              <w:top w:val="nil"/>
              <w:left w:val="nil"/>
              <w:bottom w:val="nil"/>
              <w:right w:val="nil"/>
            </w:tcBorders>
            <w:shd w:val="clear" w:color="auto" w:fill="auto"/>
            <w:vAlign w:val="center"/>
            <w:hideMark/>
          </w:tcPr>
          <w:p w14:paraId="0A17E43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Married</w:t>
            </w:r>
          </w:p>
        </w:tc>
        <w:tc>
          <w:tcPr>
            <w:tcW w:w="1276" w:type="dxa"/>
            <w:tcBorders>
              <w:top w:val="nil"/>
              <w:left w:val="nil"/>
              <w:bottom w:val="nil"/>
              <w:right w:val="nil"/>
            </w:tcBorders>
            <w:shd w:val="clear" w:color="auto" w:fill="auto"/>
            <w:vAlign w:val="center"/>
            <w:hideMark/>
          </w:tcPr>
          <w:p w14:paraId="519A334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-2.33</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nil"/>
              <w:right w:val="nil"/>
            </w:tcBorders>
            <w:shd w:val="clear" w:color="auto" w:fill="auto"/>
            <w:vAlign w:val="center"/>
            <w:hideMark/>
          </w:tcPr>
          <w:p w14:paraId="23ADC77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73</w:t>
            </w:r>
            <w:r w:rsidRPr="008D4339">
              <w:rPr>
                <w:rFonts w:ascii="Calibri Light" w:eastAsia="Times New Roman" w:hAnsi="Calibri Light" w:cs="Calibri Light"/>
                <w:color w:val="808080"/>
                <w:sz w:val="20"/>
                <w:szCs w:val="20"/>
                <w:lang w:eastAsia="en-AU"/>
              </w:rPr>
              <w:t>)</w:t>
            </w:r>
          </w:p>
        </w:tc>
      </w:tr>
      <w:tr w:rsidR="00244248" w:rsidRPr="008D4339" w14:paraId="3303F354"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714E434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Cohabiting</w:t>
            </w:r>
          </w:p>
        </w:tc>
        <w:tc>
          <w:tcPr>
            <w:tcW w:w="1276" w:type="dxa"/>
            <w:tcBorders>
              <w:top w:val="nil"/>
              <w:left w:val="nil"/>
              <w:bottom w:val="single" w:sz="4" w:space="0" w:color="ED7D31"/>
              <w:right w:val="nil"/>
            </w:tcBorders>
            <w:shd w:val="clear" w:color="auto" w:fill="auto"/>
            <w:vAlign w:val="center"/>
            <w:hideMark/>
          </w:tcPr>
          <w:p w14:paraId="62783D4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-1.73</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single" w:sz="4" w:space="0" w:color="ED7D31"/>
              <w:right w:val="nil"/>
            </w:tcBorders>
            <w:shd w:val="clear" w:color="auto" w:fill="auto"/>
            <w:vAlign w:val="center"/>
            <w:hideMark/>
          </w:tcPr>
          <w:p w14:paraId="39D4C7D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73</w:t>
            </w:r>
            <w:r w:rsidRPr="008D4339">
              <w:rPr>
                <w:rFonts w:ascii="Calibri Light" w:eastAsia="Times New Roman" w:hAnsi="Calibri Light" w:cs="Calibri Light"/>
                <w:color w:val="808080"/>
                <w:sz w:val="20"/>
                <w:szCs w:val="20"/>
                <w:lang w:eastAsia="en-AU"/>
              </w:rPr>
              <w:t>)</w:t>
            </w:r>
          </w:p>
        </w:tc>
      </w:tr>
      <w:tr w:rsidR="00244248" w:rsidRPr="008D4339" w14:paraId="5EB103EA" w14:textId="77777777" w:rsidTr="00335B25">
        <w:trPr>
          <w:trHeight w:val="20"/>
        </w:trPr>
        <w:tc>
          <w:tcPr>
            <w:tcW w:w="3544" w:type="dxa"/>
            <w:tcBorders>
              <w:top w:val="nil"/>
              <w:left w:val="nil"/>
              <w:bottom w:val="nil"/>
              <w:right w:val="nil"/>
            </w:tcBorders>
            <w:shd w:val="clear" w:color="auto" w:fill="auto"/>
            <w:vAlign w:val="center"/>
            <w:hideMark/>
          </w:tcPr>
          <w:p w14:paraId="399A9E08"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Employment </w:t>
            </w:r>
            <w:r w:rsidRPr="008D4339">
              <w:rPr>
                <w:rFonts w:ascii="Calibri Light" w:eastAsia="Times New Roman" w:hAnsi="Calibri Light" w:cs="Calibri Light"/>
                <w:color w:val="000000"/>
                <w:sz w:val="20"/>
                <w:szCs w:val="20"/>
                <w:lang w:eastAsia="en-AU"/>
              </w:rPr>
              <w:t>(ref: Permanent full-time)</w:t>
            </w:r>
          </w:p>
        </w:tc>
        <w:tc>
          <w:tcPr>
            <w:tcW w:w="1276" w:type="dxa"/>
            <w:tcBorders>
              <w:top w:val="nil"/>
              <w:left w:val="nil"/>
              <w:bottom w:val="nil"/>
              <w:right w:val="nil"/>
            </w:tcBorders>
            <w:shd w:val="clear" w:color="auto" w:fill="auto"/>
            <w:vAlign w:val="center"/>
            <w:hideMark/>
          </w:tcPr>
          <w:p w14:paraId="7BAD5B70"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1779" w:type="dxa"/>
            <w:tcBorders>
              <w:top w:val="nil"/>
              <w:left w:val="nil"/>
              <w:bottom w:val="nil"/>
              <w:right w:val="nil"/>
            </w:tcBorders>
            <w:shd w:val="clear" w:color="auto" w:fill="auto"/>
            <w:vAlign w:val="center"/>
            <w:hideMark/>
          </w:tcPr>
          <w:p w14:paraId="4499E34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7EA4D43A" w14:textId="77777777" w:rsidTr="00335B25">
        <w:trPr>
          <w:trHeight w:val="20"/>
        </w:trPr>
        <w:tc>
          <w:tcPr>
            <w:tcW w:w="3544" w:type="dxa"/>
            <w:tcBorders>
              <w:top w:val="nil"/>
              <w:left w:val="nil"/>
              <w:bottom w:val="nil"/>
              <w:right w:val="nil"/>
            </w:tcBorders>
            <w:shd w:val="clear" w:color="auto" w:fill="auto"/>
            <w:vAlign w:val="center"/>
            <w:hideMark/>
          </w:tcPr>
          <w:p w14:paraId="47F0222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Permanent part-time</w:t>
            </w:r>
          </w:p>
        </w:tc>
        <w:tc>
          <w:tcPr>
            <w:tcW w:w="1276" w:type="dxa"/>
            <w:tcBorders>
              <w:top w:val="nil"/>
              <w:left w:val="nil"/>
              <w:bottom w:val="nil"/>
              <w:right w:val="nil"/>
            </w:tcBorders>
            <w:shd w:val="clear" w:color="auto" w:fill="auto"/>
            <w:vAlign w:val="center"/>
            <w:hideMark/>
          </w:tcPr>
          <w:p w14:paraId="625A9BC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0.20**</w:t>
            </w:r>
          </w:p>
        </w:tc>
        <w:tc>
          <w:tcPr>
            <w:tcW w:w="1779" w:type="dxa"/>
            <w:tcBorders>
              <w:top w:val="nil"/>
              <w:left w:val="nil"/>
              <w:bottom w:val="nil"/>
              <w:right w:val="nil"/>
            </w:tcBorders>
            <w:shd w:val="clear" w:color="auto" w:fill="auto"/>
            <w:vAlign w:val="center"/>
            <w:hideMark/>
          </w:tcPr>
          <w:p w14:paraId="49167C2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77</w:t>
            </w:r>
            <w:r w:rsidRPr="008D4339">
              <w:rPr>
                <w:rFonts w:ascii="Calibri Light" w:eastAsia="Times New Roman" w:hAnsi="Calibri Light" w:cs="Calibri Light"/>
                <w:color w:val="808080"/>
                <w:sz w:val="20"/>
                <w:szCs w:val="20"/>
                <w:lang w:eastAsia="en-AU"/>
              </w:rPr>
              <w:t>)</w:t>
            </w:r>
          </w:p>
        </w:tc>
      </w:tr>
      <w:tr w:rsidR="00244248" w:rsidRPr="008D4339" w14:paraId="3AA340FF" w14:textId="77777777" w:rsidTr="00335B25">
        <w:trPr>
          <w:trHeight w:val="20"/>
        </w:trPr>
        <w:tc>
          <w:tcPr>
            <w:tcW w:w="3544" w:type="dxa"/>
            <w:tcBorders>
              <w:top w:val="nil"/>
              <w:left w:val="nil"/>
              <w:bottom w:val="nil"/>
              <w:right w:val="nil"/>
            </w:tcBorders>
            <w:shd w:val="clear" w:color="auto" w:fill="auto"/>
            <w:vAlign w:val="center"/>
            <w:hideMark/>
          </w:tcPr>
          <w:p w14:paraId="146EB7E6"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Casual full-time</w:t>
            </w:r>
          </w:p>
        </w:tc>
        <w:tc>
          <w:tcPr>
            <w:tcW w:w="1276" w:type="dxa"/>
            <w:tcBorders>
              <w:top w:val="nil"/>
              <w:left w:val="nil"/>
              <w:bottom w:val="nil"/>
              <w:right w:val="nil"/>
            </w:tcBorders>
            <w:shd w:val="clear" w:color="auto" w:fill="auto"/>
            <w:vAlign w:val="center"/>
            <w:hideMark/>
          </w:tcPr>
          <w:p w14:paraId="7691ABB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24*</w:t>
            </w:r>
          </w:p>
        </w:tc>
        <w:tc>
          <w:tcPr>
            <w:tcW w:w="1779" w:type="dxa"/>
            <w:tcBorders>
              <w:top w:val="nil"/>
              <w:left w:val="nil"/>
              <w:bottom w:val="nil"/>
              <w:right w:val="nil"/>
            </w:tcBorders>
            <w:shd w:val="clear" w:color="auto" w:fill="auto"/>
            <w:vAlign w:val="center"/>
            <w:hideMark/>
          </w:tcPr>
          <w:p w14:paraId="4D75C8C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w:t>
            </w:r>
            <w:r>
              <w:rPr>
                <w:rFonts w:ascii="Calibri Light" w:eastAsia="Times New Roman" w:hAnsi="Calibri Light" w:cs="Calibri Light"/>
                <w:color w:val="808080"/>
                <w:sz w:val="20"/>
                <w:szCs w:val="20"/>
                <w:lang w:eastAsia="en-AU"/>
              </w:rPr>
              <w:t>140</w:t>
            </w:r>
            <w:r w:rsidRPr="008D4339">
              <w:rPr>
                <w:rFonts w:ascii="Calibri Light" w:eastAsia="Times New Roman" w:hAnsi="Calibri Light" w:cs="Calibri Light"/>
                <w:color w:val="808080"/>
                <w:sz w:val="20"/>
                <w:szCs w:val="20"/>
                <w:lang w:eastAsia="en-AU"/>
              </w:rPr>
              <w:t>)</w:t>
            </w:r>
          </w:p>
        </w:tc>
      </w:tr>
      <w:tr w:rsidR="00244248" w:rsidRPr="008D4339" w14:paraId="50857981" w14:textId="77777777" w:rsidTr="00335B25">
        <w:trPr>
          <w:trHeight w:val="20"/>
        </w:trPr>
        <w:tc>
          <w:tcPr>
            <w:tcW w:w="3544" w:type="dxa"/>
            <w:tcBorders>
              <w:top w:val="nil"/>
              <w:left w:val="nil"/>
              <w:bottom w:val="nil"/>
              <w:right w:val="nil"/>
            </w:tcBorders>
            <w:shd w:val="clear" w:color="auto" w:fill="auto"/>
            <w:vAlign w:val="center"/>
            <w:hideMark/>
          </w:tcPr>
          <w:p w14:paraId="240148E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Casual part-time</w:t>
            </w:r>
          </w:p>
        </w:tc>
        <w:tc>
          <w:tcPr>
            <w:tcW w:w="1276" w:type="dxa"/>
            <w:tcBorders>
              <w:top w:val="nil"/>
              <w:left w:val="nil"/>
              <w:bottom w:val="nil"/>
              <w:right w:val="nil"/>
            </w:tcBorders>
            <w:shd w:val="clear" w:color="auto" w:fill="auto"/>
            <w:vAlign w:val="center"/>
            <w:hideMark/>
          </w:tcPr>
          <w:p w14:paraId="6056D70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60***</w:t>
            </w:r>
          </w:p>
        </w:tc>
        <w:tc>
          <w:tcPr>
            <w:tcW w:w="1779" w:type="dxa"/>
            <w:tcBorders>
              <w:top w:val="nil"/>
              <w:left w:val="nil"/>
              <w:bottom w:val="nil"/>
              <w:right w:val="nil"/>
            </w:tcBorders>
            <w:shd w:val="clear" w:color="auto" w:fill="auto"/>
            <w:vAlign w:val="center"/>
            <w:hideMark/>
          </w:tcPr>
          <w:p w14:paraId="7E8507B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83</w:t>
            </w:r>
            <w:r w:rsidRPr="008D4339">
              <w:rPr>
                <w:rFonts w:ascii="Calibri Light" w:eastAsia="Times New Roman" w:hAnsi="Calibri Light" w:cs="Calibri Light"/>
                <w:color w:val="808080"/>
                <w:sz w:val="20"/>
                <w:szCs w:val="20"/>
                <w:lang w:eastAsia="en-AU"/>
              </w:rPr>
              <w:t>)</w:t>
            </w:r>
          </w:p>
        </w:tc>
      </w:tr>
      <w:tr w:rsidR="00244248" w:rsidRPr="008D4339" w14:paraId="62FE8462" w14:textId="77777777" w:rsidTr="00335B25">
        <w:trPr>
          <w:trHeight w:val="20"/>
        </w:trPr>
        <w:tc>
          <w:tcPr>
            <w:tcW w:w="3544" w:type="dxa"/>
            <w:tcBorders>
              <w:top w:val="nil"/>
              <w:left w:val="nil"/>
              <w:bottom w:val="nil"/>
              <w:right w:val="nil"/>
            </w:tcBorders>
            <w:shd w:val="clear" w:color="auto" w:fill="auto"/>
            <w:vAlign w:val="center"/>
            <w:hideMark/>
          </w:tcPr>
          <w:p w14:paraId="2B93201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Self-employed</w:t>
            </w:r>
          </w:p>
        </w:tc>
        <w:tc>
          <w:tcPr>
            <w:tcW w:w="1276" w:type="dxa"/>
            <w:tcBorders>
              <w:top w:val="nil"/>
              <w:left w:val="nil"/>
              <w:bottom w:val="nil"/>
              <w:right w:val="nil"/>
            </w:tcBorders>
            <w:shd w:val="clear" w:color="auto" w:fill="auto"/>
            <w:vAlign w:val="center"/>
            <w:hideMark/>
          </w:tcPr>
          <w:p w14:paraId="4643884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14</w:t>
            </w:r>
          </w:p>
        </w:tc>
        <w:tc>
          <w:tcPr>
            <w:tcW w:w="1779" w:type="dxa"/>
            <w:tcBorders>
              <w:top w:val="nil"/>
              <w:left w:val="nil"/>
              <w:bottom w:val="nil"/>
              <w:right w:val="nil"/>
            </w:tcBorders>
            <w:shd w:val="clear" w:color="auto" w:fill="auto"/>
            <w:vAlign w:val="center"/>
            <w:hideMark/>
          </w:tcPr>
          <w:p w14:paraId="27CF9E7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w:t>
            </w:r>
            <w:r>
              <w:rPr>
                <w:rFonts w:ascii="Calibri Light" w:eastAsia="Times New Roman" w:hAnsi="Calibri Light" w:cs="Calibri Light"/>
                <w:color w:val="808080"/>
                <w:sz w:val="20"/>
                <w:szCs w:val="20"/>
                <w:lang w:eastAsia="en-AU"/>
              </w:rPr>
              <w:t>129</w:t>
            </w:r>
            <w:r w:rsidRPr="008D4339">
              <w:rPr>
                <w:rFonts w:ascii="Calibri Light" w:eastAsia="Times New Roman" w:hAnsi="Calibri Light" w:cs="Calibri Light"/>
                <w:color w:val="808080"/>
                <w:sz w:val="20"/>
                <w:szCs w:val="20"/>
                <w:lang w:eastAsia="en-AU"/>
              </w:rPr>
              <w:t>)</w:t>
            </w:r>
          </w:p>
        </w:tc>
      </w:tr>
      <w:tr w:rsidR="00244248" w:rsidRPr="008D4339" w14:paraId="70163ADC"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59297EF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Not working</w:t>
            </w:r>
          </w:p>
        </w:tc>
        <w:tc>
          <w:tcPr>
            <w:tcW w:w="1276" w:type="dxa"/>
            <w:tcBorders>
              <w:top w:val="nil"/>
              <w:left w:val="nil"/>
              <w:bottom w:val="single" w:sz="4" w:space="0" w:color="ED7D31"/>
              <w:right w:val="nil"/>
            </w:tcBorders>
            <w:shd w:val="clear" w:color="auto" w:fill="auto"/>
            <w:vAlign w:val="center"/>
            <w:hideMark/>
          </w:tcPr>
          <w:p w14:paraId="27F7A72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10</w:t>
            </w:r>
          </w:p>
        </w:tc>
        <w:tc>
          <w:tcPr>
            <w:tcW w:w="1779" w:type="dxa"/>
            <w:tcBorders>
              <w:top w:val="nil"/>
              <w:left w:val="nil"/>
              <w:bottom w:val="single" w:sz="4" w:space="0" w:color="ED7D31"/>
              <w:right w:val="nil"/>
            </w:tcBorders>
            <w:shd w:val="clear" w:color="auto" w:fill="auto"/>
            <w:vAlign w:val="center"/>
            <w:hideMark/>
          </w:tcPr>
          <w:p w14:paraId="62D3BD6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w:t>
            </w:r>
            <w:r>
              <w:rPr>
                <w:rFonts w:ascii="Calibri Light" w:eastAsia="Times New Roman" w:hAnsi="Calibri Light" w:cs="Calibri Light"/>
                <w:color w:val="808080"/>
                <w:sz w:val="20"/>
                <w:szCs w:val="20"/>
                <w:lang w:eastAsia="en-AU"/>
              </w:rPr>
              <w:t>78</w:t>
            </w:r>
            <w:r w:rsidRPr="008D4339">
              <w:rPr>
                <w:rFonts w:ascii="Calibri Light" w:eastAsia="Times New Roman" w:hAnsi="Calibri Light" w:cs="Calibri Light"/>
                <w:color w:val="808080"/>
                <w:sz w:val="20"/>
                <w:szCs w:val="20"/>
                <w:lang w:eastAsia="en-AU"/>
              </w:rPr>
              <w:t>)</w:t>
            </w:r>
          </w:p>
        </w:tc>
      </w:tr>
      <w:tr w:rsidR="00244248" w:rsidRPr="008D4339" w14:paraId="150D432E"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1FDD0255"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Household income (log)</w:t>
            </w:r>
          </w:p>
        </w:tc>
        <w:tc>
          <w:tcPr>
            <w:tcW w:w="1276" w:type="dxa"/>
            <w:tcBorders>
              <w:top w:val="nil"/>
              <w:left w:val="nil"/>
              <w:bottom w:val="single" w:sz="4" w:space="0" w:color="ED7D31"/>
              <w:right w:val="nil"/>
            </w:tcBorders>
            <w:shd w:val="clear" w:color="auto" w:fill="auto"/>
            <w:vAlign w:val="center"/>
            <w:hideMark/>
          </w:tcPr>
          <w:p w14:paraId="7CAF4CD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.12***</w:t>
            </w:r>
          </w:p>
        </w:tc>
        <w:tc>
          <w:tcPr>
            <w:tcW w:w="1779" w:type="dxa"/>
            <w:tcBorders>
              <w:top w:val="nil"/>
              <w:left w:val="nil"/>
              <w:bottom w:val="single" w:sz="4" w:space="0" w:color="ED7D31"/>
              <w:right w:val="nil"/>
            </w:tcBorders>
            <w:shd w:val="clear" w:color="auto" w:fill="auto"/>
            <w:vAlign w:val="center"/>
            <w:hideMark/>
          </w:tcPr>
          <w:p w14:paraId="6C22FB3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w:t>
            </w:r>
            <w:r>
              <w:rPr>
                <w:rFonts w:ascii="Calibri Light" w:eastAsia="Times New Roman" w:hAnsi="Calibri Light" w:cs="Calibri Light"/>
                <w:color w:val="808080"/>
                <w:sz w:val="20"/>
                <w:szCs w:val="20"/>
                <w:lang w:eastAsia="en-AU"/>
              </w:rPr>
              <w:t>5</w:t>
            </w:r>
            <w:r w:rsidRPr="008D4339">
              <w:rPr>
                <w:rFonts w:ascii="Calibri Light" w:eastAsia="Times New Roman" w:hAnsi="Calibri Light" w:cs="Calibri Light"/>
                <w:color w:val="808080"/>
                <w:sz w:val="20"/>
                <w:szCs w:val="20"/>
                <w:lang w:eastAsia="en-AU"/>
              </w:rPr>
              <w:t>)</w:t>
            </w:r>
          </w:p>
        </w:tc>
      </w:tr>
      <w:tr w:rsidR="00244248" w:rsidRPr="008D4339" w14:paraId="6A76611F"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38D70478"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Remote area</w:t>
            </w:r>
          </w:p>
        </w:tc>
        <w:tc>
          <w:tcPr>
            <w:tcW w:w="1276" w:type="dxa"/>
            <w:tcBorders>
              <w:top w:val="nil"/>
              <w:left w:val="nil"/>
              <w:bottom w:val="single" w:sz="4" w:space="0" w:color="ED7D31"/>
              <w:right w:val="nil"/>
            </w:tcBorders>
            <w:shd w:val="clear" w:color="auto" w:fill="auto"/>
            <w:vAlign w:val="center"/>
            <w:hideMark/>
          </w:tcPr>
          <w:p w14:paraId="2BD3316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32</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single" w:sz="4" w:space="0" w:color="ED7D31"/>
              <w:right w:val="nil"/>
            </w:tcBorders>
            <w:shd w:val="clear" w:color="auto" w:fill="auto"/>
            <w:vAlign w:val="center"/>
            <w:hideMark/>
          </w:tcPr>
          <w:p w14:paraId="601A428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(0.050)</w:t>
            </w:r>
          </w:p>
        </w:tc>
      </w:tr>
      <w:tr w:rsidR="00244248" w:rsidRPr="008D4339" w14:paraId="64C57281"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5A78D1AE"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Born in Australia</w:t>
            </w:r>
          </w:p>
        </w:tc>
        <w:tc>
          <w:tcPr>
            <w:tcW w:w="1276" w:type="dxa"/>
            <w:tcBorders>
              <w:top w:val="nil"/>
              <w:left w:val="nil"/>
              <w:bottom w:val="single" w:sz="4" w:space="0" w:color="ED7D31"/>
              <w:right w:val="nil"/>
            </w:tcBorders>
            <w:shd w:val="clear" w:color="auto" w:fill="auto"/>
            <w:vAlign w:val="center"/>
            <w:hideMark/>
          </w:tcPr>
          <w:p w14:paraId="6810DDD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w:t>
            </w:r>
            <w:r w:rsidRPr="008D4339">
              <w:rPr>
                <w:rFonts w:ascii="Calibri Light" w:eastAsia="Times New Roman" w:hAnsi="Calibri Light" w:cs="Calibri Light"/>
                <w:color w:val="000000"/>
                <w:sz w:val="20"/>
                <w:szCs w:val="20"/>
                <w:lang w:eastAsia="en-AU"/>
              </w:rPr>
              <w:t>0.</w:t>
            </w:r>
            <w:r>
              <w:rPr>
                <w:rFonts w:ascii="Calibri Light" w:eastAsia="Times New Roman" w:hAnsi="Calibri Light" w:cs="Calibri Light"/>
                <w:color w:val="000000"/>
                <w:sz w:val="20"/>
                <w:szCs w:val="20"/>
                <w:lang w:eastAsia="en-AU"/>
              </w:rPr>
              <w:t>07</w:t>
            </w:r>
          </w:p>
        </w:tc>
        <w:tc>
          <w:tcPr>
            <w:tcW w:w="1779" w:type="dxa"/>
            <w:tcBorders>
              <w:top w:val="nil"/>
              <w:left w:val="nil"/>
              <w:bottom w:val="single" w:sz="4" w:space="0" w:color="ED7D31"/>
              <w:right w:val="nil"/>
            </w:tcBorders>
            <w:shd w:val="clear" w:color="auto" w:fill="auto"/>
            <w:vAlign w:val="center"/>
            <w:hideMark/>
          </w:tcPr>
          <w:p w14:paraId="6A1C8FC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(0.066)</w:t>
            </w:r>
          </w:p>
        </w:tc>
      </w:tr>
      <w:tr w:rsidR="00244248" w:rsidRPr="008D4339" w14:paraId="30862B65"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05C6A033"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Aboriginal or Torres Strait Islander</w:t>
            </w:r>
          </w:p>
        </w:tc>
        <w:tc>
          <w:tcPr>
            <w:tcW w:w="1276" w:type="dxa"/>
            <w:tcBorders>
              <w:top w:val="nil"/>
              <w:left w:val="nil"/>
              <w:bottom w:val="single" w:sz="4" w:space="0" w:color="ED7D31"/>
              <w:right w:val="nil"/>
            </w:tcBorders>
            <w:shd w:val="clear" w:color="auto" w:fill="auto"/>
            <w:vAlign w:val="center"/>
            <w:hideMark/>
          </w:tcPr>
          <w:p w14:paraId="2FFC762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-0.65</w:t>
            </w:r>
            <w:r w:rsidRPr="008D4339">
              <w:rPr>
                <w:rFonts w:ascii="Calibri Light" w:eastAsia="Times New Roman" w:hAnsi="Calibri Light" w:cs="Calibri Light"/>
                <w:color w:val="000000"/>
                <w:sz w:val="20"/>
                <w:szCs w:val="20"/>
                <w:lang w:eastAsia="en-AU"/>
              </w:rPr>
              <w:t>*</w:t>
            </w:r>
          </w:p>
        </w:tc>
        <w:tc>
          <w:tcPr>
            <w:tcW w:w="1779" w:type="dxa"/>
            <w:tcBorders>
              <w:top w:val="nil"/>
              <w:left w:val="nil"/>
              <w:bottom w:val="single" w:sz="4" w:space="0" w:color="ED7D31"/>
              <w:right w:val="nil"/>
            </w:tcBorders>
            <w:shd w:val="clear" w:color="auto" w:fill="auto"/>
            <w:vAlign w:val="center"/>
            <w:hideMark/>
          </w:tcPr>
          <w:p w14:paraId="034CB34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w:t>
            </w:r>
            <w:r>
              <w:rPr>
                <w:rFonts w:ascii="Calibri Light" w:eastAsia="Times New Roman" w:hAnsi="Calibri Light" w:cs="Calibri Light"/>
                <w:color w:val="808080"/>
                <w:sz w:val="20"/>
                <w:szCs w:val="20"/>
                <w:lang w:eastAsia="en-AU"/>
              </w:rPr>
              <w:t>56</w:t>
            </w:r>
            <w:r w:rsidRPr="008D4339">
              <w:rPr>
                <w:rFonts w:ascii="Calibri Light" w:eastAsia="Times New Roman" w:hAnsi="Calibri Light" w:cs="Calibri Light"/>
                <w:color w:val="808080"/>
                <w:sz w:val="20"/>
                <w:szCs w:val="20"/>
                <w:lang w:eastAsia="en-AU"/>
              </w:rPr>
              <w:t>)</w:t>
            </w:r>
          </w:p>
        </w:tc>
      </w:tr>
      <w:tr w:rsidR="00244248" w:rsidRPr="008D4339" w14:paraId="5AEAC8EA" w14:textId="77777777" w:rsidTr="00335B25">
        <w:trPr>
          <w:trHeight w:val="20"/>
        </w:trPr>
        <w:tc>
          <w:tcPr>
            <w:tcW w:w="3544" w:type="dxa"/>
            <w:tcBorders>
              <w:top w:val="nil"/>
              <w:left w:val="nil"/>
              <w:bottom w:val="single" w:sz="4" w:space="0" w:color="ED7D31"/>
              <w:right w:val="nil"/>
            </w:tcBorders>
            <w:shd w:val="clear" w:color="auto" w:fill="auto"/>
            <w:vAlign w:val="center"/>
            <w:hideMark/>
          </w:tcPr>
          <w:p w14:paraId="263B868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Observations</w:t>
            </w:r>
          </w:p>
        </w:tc>
        <w:tc>
          <w:tcPr>
            <w:tcW w:w="1276" w:type="dxa"/>
            <w:tcBorders>
              <w:top w:val="nil"/>
              <w:left w:val="nil"/>
              <w:bottom w:val="single" w:sz="4" w:space="0" w:color="ED7D31"/>
              <w:right w:val="nil"/>
            </w:tcBorders>
            <w:shd w:val="clear" w:color="auto" w:fill="auto"/>
            <w:vAlign w:val="center"/>
            <w:hideMark/>
          </w:tcPr>
          <w:p w14:paraId="54A5BD4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Pr>
                <w:rFonts w:ascii="Calibri Light" w:eastAsia="Times New Roman" w:hAnsi="Calibri Light" w:cs="Calibri Light"/>
                <w:color w:val="000000"/>
                <w:sz w:val="20"/>
                <w:szCs w:val="20"/>
                <w:lang w:eastAsia="en-AU"/>
              </w:rPr>
              <w:t>5,697</w:t>
            </w:r>
          </w:p>
        </w:tc>
        <w:tc>
          <w:tcPr>
            <w:tcW w:w="1779" w:type="dxa"/>
            <w:tcBorders>
              <w:top w:val="nil"/>
              <w:left w:val="nil"/>
              <w:bottom w:val="single" w:sz="4" w:space="0" w:color="ED7D31"/>
              <w:right w:val="nil"/>
            </w:tcBorders>
            <w:shd w:val="clear" w:color="auto" w:fill="auto"/>
            <w:vAlign w:val="center"/>
            <w:hideMark/>
          </w:tcPr>
          <w:p w14:paraId="755BB99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r>
    </w:tbl>
    <w:p w14:paraId="7C2A9FBB" w14:textId="77777777" w:rsidR="00244248" w:rsidRDefault="00244248" w:rsidP="00244248">
      <w:pPr>
        <w:widowControl w:val="0"/>
        <w:autoSpaceDE w:val="0"/>
        <w:autoSpaceDN w:val="0"/>
        <w:adjustRightInd w:val="0"/>
        <w:spacing w:after="0" w:line="240" w:lineRule="auto"/>
        <w:rPr>
          <w:rFonts w:ascii="Times New Roman" w:hAnsi="Times New Roman"/>
          <w:sz w:val="24"/>
          <w:szCs w:val="24"/>
          <w:lang w:val="en-US"/>
        </w:rPr>
      </w:pPr>
      <w:r w:rsidRPr="00216557">
        <w:rPr>
          <w:rFonts w:asciiTheme="majorHAnsi" w:eastAsiaTheme="minorEastAsia" w:hAnsiTheme="majorHAnsi" w:cstheme="majorHAnsi"/>
          <w:sz w:val="20"/>
          <w:szCs w:val="20"/>
          <w:lang w:val="en-US" w:eastAsia="en-AU"/>
        </w:rPr>
        <w:t>Note: * p&lt;0.1, ** p&lt;0.05, *** p&lt;0.01</w:t>
      </w:r>
    </w:p>
    <w:p w14:paraId="0A3ECA43" w14:textId="77777777" w:rsidR="00244248" w:rsidRDefault="00244248" w:rsidP="004C245B">
      <w:pPr>
        <w:rPr>
          <w:rFonts w:asciiTheme="majorHAnsi" w:eastAsiaTheme="majorEastAsia" w:hAnsiTheme="majorHAnsi" w:cstheme="majorBidi"/>
          <w:color w:val="1F4D78" w:themeColor="accent1" w:themeShade="7F"/>
          <w:sz w:val="24"/>
          <w:szCs w:val="24"/>
        </w:rPr>
      </w:pPr>
      <w:r>
        <w:br w:type="page"/>
      </w:r>
    </w:p>
    <w:p w14:paraId="71E24474" w14:textId="77777777" w:rsidR="00244248" w:rsidRDefault="00244248" w:rsidP="007C5778">
      <w:pPr>
        <w:pStyle w:val="Heading3"/>
      </w:pPr>
      <w:bookmarkStart w:id="220" w:name="_Toc87454665"/>
      <w:r>
        <w:lastRenderedPageBreak/>
        <w:t>Who doesn’t have children?</w:t>
      </w:r>
      <w:bookmarkEnd w:id="220"/>
    </w:p>
    <w:p w14:paraId="1069081C" w14:textId="77777777" w:rsidR="00244248" w:rsidRPr="00CE41C3" w:rsidRDefault="00244248" w:rsidP="00244248">
      <w:r>
        <w:t xml:space="preserve">In this section we analyse the socio-economic factors associated with not having a child. The outcome variable is whether the woman is childless (1= childless, 0= has a child) and is modelled using probit regression </w:t>
      </w:r>
    </w:p>
    <w:p w14:paraId="2868D84A" w14:textId="77777777" w:rsidR="00244248" w:rsidRDefault="00244248" w:rsidP="00244248">
      <w:r>
        <w:t xml:space="preserve">We examine factors associated with the outcome of not having any children given a woman’s age. Column 1 shows results for the full sample when controlling for age in a non-parametric way by including dummy variables for each age group (25-29 year olds is the excluded category). Columns 2-7 look at the subsamples by age of women and the demographic factors which are potentially correlated with being childless.   </w:t>
      </w:r>
    </w:p>
    <w:p w14:paraId="593E589C" w14:textId="30CDD414" w:rsidR="00244248" w:rsidRDefault="00244248" w:rsidP="00244248">
      <w:r>
        <w:t xml:space="preserve">The results in </w:t>
      </w:r>
      <w:r>
        <w:fldChar w:fldCharType="begin"/>
      </w:r>
      <w:r>
        <w:instrText xml:space="preserve"> REF _Ref83983633 \h </w:instrText>
      </w:r>
      <w:r>
        <w:fldChar w:fldCharType="separate"/>
      </w:r>
      <w:r w:rsidR="00115E22">
        <w:t xml:space="preserve">Table </w:t>
      </w:r>
      <w:r w:rsidR="00115E22">
        <w:rPr>
          <w:noProof/>
        </w:rPr>
        <w:t>41</w:t>
      </w:r>
      <w:r>
        <w:fldChar w:fldCharType="end"/>
      </w:r>
      <w:r>
        <w:t xml:space="preserve"> show that age is significantly related to childlessness. We will focus in particular on women in their late 40s to observe factors that are associated with never having children (Column 7). But we do gain some insights looking at the correlates across the different age groups. These results show the progression of different factors which change in relevance over the reproductive lives of women. </w:t>
      </w:r>
    </w:p>
    <w:p w14:paraId="47DA4EAF" w14:textId="77777777" w:rsidR="00244248" w:rsidRDefault="00244248" w:rsidP="00244248">
      <w:r w:rsidRPr="00797C8A">
        <w:t xml:space="preserve">Compared to women with Year 11 or </w:t>
      </w:r>
      <w:r>
        <w:t>less</w:t>
      </w:r>
      <w:r w:rsidRPr="00797C8A">
        <w:t xml:space="preserve"> education, women with higher education </w:t>
      </w:r>
      <w:r>
        <w:t>are more likely to never have a child. The effect of education becomes weaker over the age groups indicating that more educated women have children later in life.</w:t>
      </w:r>
    </w:p>
    <w:p w14:paraId="1D096CA3" w14:textId="77777777" w:rsidR="00244248" w:rsidRPr="00797C8A" w:rsidRDefault="00244248" w:rsidP="00244248">
      <w:r w:rsidRPr="00797C8A">
        <w:t xml:space="preserve">Relationship status is confirmed as an </w:t>
      </w:r>
      <w:r w:rsidRPr="004B708A">
        <w:t>important correlate with childlessness. Being married or cohabiting is negatively associated with being childless. At the end of their childbearing life, women who are married are 10 per cent more likely to have had children compared to singles.</w:t>
      </w:r>
      <w:r w:rsidRPr="00B87A73">
        <w:t xml:space="preserve">  </w:t>
      </w:r>
    </w:p>
    <w:p w14:paraId="0D99739F" w14:textId="77777777" w:rsidR="00244248" w:rsidRDefault="00244248" w:rsidP="00244248">
      <w:r>
        <w:t xml:space="preserve">Working in a permanent full-time role is associated with a higher likelihood of being childless at all ages. This is likely due to the fact that women who have had children exit full-time roles in order to accommodate childcaring responsibilities. </w:t>
      </w:r>
    </w:p>
    <w:p w14:paraId="52F55C66" w14:textId="77777777" w:rsidR="00244248" w:rsidRDefault="00244248" w:rsidP="00244248">
      <w:r>
        <w:t xml:space="preserve">Household income has a mixed effect across the ages. At the end of the reproductive life of a woman a higher income correlates with having children but through a woman’s twenties and thirties, there is a positive correlation.  This is consistent with higher income households have children later in life. </w:t>
      </w:r>
    </w:p>
    <w:p w14:paraId="29E69364" w14:textId="77777777" w:rsidR="00244248" w:rsidRDefault="00244248" w:rsidP="00244248">
      <w:r w:rsidRPr="00797C8A">
        <w:t xml:space="preserve">Women </w:t>
      </w:r>
      <w:r>
        <w:t xml:space="preserve">living in remote areas are less likely to be childless throughout their life while women </w:t>
      </w:r>
      <w:r w:rsidRPr="00797C8A">
        <w:t>born in Australi</w:t>
      </w:r>
      <w:r>
        <w:t xml:space="preserve">a are more likely to be childless in their 40s but less likely when they are younger.  Australian-born women have children earlier in life. </w:t>
      </w:r>
    </w:p>
    <w:p w14:paraId="0DB1311B" w14:textId="77777777" w:rsidR="00244248" w:rsidRDefault="00244248" w:rsidP="00244248">
      <w:r>
        <w:t xml:space="preserve">Women with an </w:t>
      </w:r>
      <w:r w:rsidRPr="00797C8A">
        <w:t xml:space="preserve">Aboriginal </w:t>
      </w:r>
      <w:r>
        <w:t>or</w:t>
      </w:r>
      <w:r w:rsidRPr="00797C8A">
        <w:t xml:space="preserve"> Torres Strait Islander background</w:t>
      </w:r>
      <w:r>
        <w:t xml:space="preserve"> are just as likely to have children as non-Indigenous women but have their first child at younger ages than non-Indigenous women. </w:t>
      </w:r>
    </w:p>
    <w:p w14:paraId="61B5A11D" w14:textId="77777777" w:rsidR="00244248" w:rsidRPr="00C36DC6" w:rsidRDefault="00244248" w:rsidP="00244248">
      <w:pPr>
        <w:widowControl w:val="0"/>
        <w:autoSpaceDE w:val="0"/>
        <w:autoSpaceDN w:val="0"/>
        <w:adjustRightInd w:val="0"/>
        <w:spacing w:after="0" w:line="240" w:lineRule="auto"/>
        <w:rPr>
          <w:rFonts w:ascii="Times New Roman" w:hAnsi="Times New Roman"/>
          <w:sz w:val="24"/>
          <w:szCs w:val="24"/>
        </w:rPr>
      </w:pPr>
    </w:p>
    <w:p w14:paraId="0FF2BA3E" w14:textId="77777777" w:rsidR="00244248" w:rsidRDefault="00244248" w:rsidP="00244248"/>
    <w:p w14:paraId="6DDF94CB" w14:textId="77777777" w:rsidR="00244248" w:rsidRDefault="00244248" w:rsidP="00244248">
      <w:pPr>
        <w:rPr>
          <w:rFonts w:asciiTheme="majorHAnsi" w:eastAsiaTheme="majorEastAsia" w:hAnsiTheme="majorHAnsi" w:cstheme="majorBidi"/>
          <w:color w:val="2E74B5" w:themeColor="accent1" w:themeShade="BF"/>
          <w:sz w:val="26"/>
          <w:szCs w:val="26"/>
        </w:rPr>
      </w:pPr>
      <w:r>
        <w:br w:type="page"/>
      </w:r>
    </w:p>
    <w:p w14:paraId="355C1965" w14:textId="77777777" w:rsidR="00244248" w:rsidRPr="00293428" w:rsidRDefault="00244248" w:rsidP="00244248">
      <w:pPr>
        <w:sectPr w:rsidR="00244248" w:rsidRPr="00293428" w:rsidSect="00335B25">
          <w:pgSz w:w="11906" w:h="16838"/>
          <w:pgMar w:top="1134" w:right="1440" w:bottom="1440" w:left="1440" w:header="708" w:footer="708" w:gutter="0"/>
          <w:cols w:space="708"/>
          <w:docGrid w:linePitch="360"/>
        </w:sectPr>
      </w:pPr>
    </w:p>
    <w:p w14:paraId="29471607" w14:textId="52043F94" w:rsidR="00244248" w:rsidRDefault="00244248" w:rsidP="00244248">
      <w:pPr>
        <w:pStyle w:val="Caption"/>
        <w:keepNext/>
      </w:pPr>
      <w:bookmarkStart w:id="221" w:name="_Ref83983633"/>
      <w:r>
        <w:lastRenderedPageBreak/>
        <w:t xml:space="preserve">Table </w:t>
      </w:r>
      <w:fldSimple w:instr=" SEQ Table \* ARABIC ">
        <w:r w:rsidR="00115E22">
          <w:rPr>
            <w:noProof/>
          </w:rPr>
          <w:t>41</w:t>
        </w:r>
      </w:fldSimple>
      <w:bookmarkEnd w:id="221"/>
      <w:r>
        <w:t xml:space="preserve"> Socio-economic factors associated with not having a child</w:t>
      </w:r>
      <w:r w:rsidRPr="00F636AB">
        <w:t>, by age group,</w:t>
      </w:r>
      <w:r>
        <w:t xml:space="preserve"> Probit models</w:t>
      </w:r>
    </w:p>
    <w:tbl>
      <w:tblPr>
        <w:tblW w:w="10065" w:type="dxa"/>
        <w:tblLook w:val="04A0" w:firstRow="1" w:lastRow="0" w:firstColumn="1" w:lastColumn="0" w:noHBand="0" w:noVBand="1"/>
      </w:tblPr>
      <w:tblGrid>
        <w:gridCol w:w="2127"/>
        <w:gridCol w:w="1136"/>
        <w:gridCol w:w="1132"/>
        <w:gridCol w:w="1134"/>
        <w:gridCol w:w="1134"/>
        <w:gridCol w:w="1134"/>
        <w:gridCol w:w="1134"/>
        <w:gridCol w:w="1134"/>
      </w:tblGrid>
      <w:tr w:rsidR="00244248" w:rsidRPr="00B6715A" w14:paraId="1E96909C" w14:textId="77777777" w:rsidTr="007C5778">
        <w:trPr>
          <w:trHeight w:val="227"/>
        </w:trPr>
        <w:tc>
          <w:tcPr>
            <w:tcW w:w="2127" w:type="dxa"/>
            <w:tcBorders>
              <w:top w:val="nil"/>
              <w:left w:val="nil"/>
              <w:bottom w:val="single" w:sz="8" w:space="0" w:color="ED7D31"/>
              <w:right w:val="nil"/>
            </w:tcBorders>
            <w:shd w:val="clear" w:color="000000" w:fill="FBE4D5"/>
            <w:vAlign w:val="center"/>
          </w:tcPr>
          <w:p w14:paraId="2724D852"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p>
        </w:tc>
        <w:tc>
          <w:tcPr>
            <w:tcW w:w="1136" w:type="dxa"/>
            <w:tcBorders>
              <w:top w:val="nil"/>
              <w:left w:val="nil"/>
              <w:bottom w:val="single" w:sz="8" w:space="0" w:color="ED7D31"/>
              <w:right w:val="nil"/>
            </w:tcBorders>
            <w:shd w:val="clear" w:color="000000" w:fill="FBE4D5"/>
            <w:vAlign w:val="center"/>
          </w:tcPr>
          <w:p w14:paraId="4B8B8A18"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val="en-US" w:eastAsia="en-AU"/>
              </w:rPr>
            </w:pPr>
            <w:r w:rsidRPr="00B6715A">
              <w:rPr>
                <w:rFonts w:asciiTheme="majorHAnsi" w:eastAsia="Times New Roman" w:hAnsiTheme="majorHAnsi" w:cstheme="majorHAnsi"/>
                <w:color w:val="000000"/>
                <w:sz w:val="20"/>
                <w:szCs w:val="20"/>
                <w:lang w:val="en-US" w:eastAsia="en-AU"/>
              </w:rPr>
              <w:t>(1)</w:t>
            </w:r>
          </w:p>
        </w:tc>
        <w:tc>
          <w:tcPr>
            <w:tcW w:w="1132" w:type="dxa"/>
            <w:tcBorders>
              <w:top w:val="nil"/>
              <w:left w:val="nil"/>
              <w:bottom w:val="single" w:sz="8" w:space="0" w:color="ED7D31"/>
              <w:right w:val="nil"/>
            </w:tcBorders>
            <w:shd w:val="clear" w:color="000000" w:fill="FBE4D5"/>
            <w:vAlign w:val="center"/>
          </w:tcPr>
          <w:p w14:paraId="433D9F6C"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val="en-US" w:eastAsia="en-AU"/>
              </w:rPr>
            </w:pPr>
            <w:r w:rsidRPr="00B6715A">
              <w:rPr>
                <w:rFonts w:asciiTheme="majorHAnsi" w:eastAsia="Times New Roman" w:hAnsiTheme="majorHAnsi" w:cstheme="majorHAnsi"/>
                <w:color w:val="000000"/>
                <w:sz w:val="20"/>
                <w:szCs w:val="20"/>
                <w:lang w:val="en-US" w:eastAsia="en-AU"/>
              </w:rPr>
              <w:t>(2)</w:t>
            </w:r>
          </w:p>
        </w:tc>
        <w:tc>
          <w:tcPr>
            <w:tcW w:w="1134" w:type="dxa"/>
            <w:tcBorders>
              <w:top w:val="nil"/>
              <w:left w:val="nil"/>
              <w:bottom w:val="single" w:sz="8" w:space="0" w:color="ED7D31"/>
              <w:right w:val="nil"/>
            </w:tcBorders>
            <w:shd w:val="clear" w:color="000000" w:fill="FBE4D5"/>
            <w:vAlign w:val="center"/>
          </w:tcPr>
          <w:p w14:paraId="2E19D0DF"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eastAsia="Times New Roman" w:hAnsiTheme="majorHAnsi" w:cstheme="majorHAnsi"/>
                <w:color w:val="000000"/>
                <w:sz w:val="20"/>
                <w:szCs w:val="20"/>
                <w:lang w:val="en-US" w:eastAsia="en-AU"/>
              </w:rPr>
              <w:t>(3)</w:t>
            </w:r>
          </w:p>
        </w:tc>
        <w:tc>
          <w:tcPr>
            <w:tcW w:w="1134" w:type="dxa"/>
            <w:tcBorders>
              <w:top w:val="nil"/>
              <w:left w:val="nil"/>
              <w:bottom w:val="single" w:sz="8" w:space="0" w:color="ED7D31"/>
              <w:right w:val="nil"/>
            </w:tcBorders>
            <w:shd w:val="clear" w:color="000000" w:fill="FBE4D5"/>
            <w:vAlign w:val="center"/>
          </w:tcPr>
          <w:p w14:paraId="2F6EBE4C"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val="en-US" w:eastAsia="en-AU"/>
              </w:rPr>
            </w:pPr>
            <w:r w:rsidRPr="00B6715A">
              <w:rPr>
                <w:rFonts w:asciiTheme="majorHAnsi" w:eastAsia="Times New Roman" w:hAnsiTheme="majorHAnsi" w:cstheme="majorHAnsi"/>
                <w:color w:val="000000"/>
                <w:sz w:val="20"/>
                <w:szCs w:val="20"/>
                <w:lang w:val="en-US" w:eastAsia="en-AU"/>
              </w:rPr>
              <w:t>(4)</w:t>
            </w:r>
          </w:p>
        </w:tc>
        <w:tc>
          <w:tcPr>
            <w:tcW w:w="1134" w:type="dxa"/>
            <w:tcBorders>
              <w:top w:val="nil"/>
              <w:left w:val="nil"/>
              <w:bottom w:val="single" w:sz="8" w:space="0" w:color="ED7D31"/>
              <w:right w:val="nil"/>
            </w:tcBorders>
            <w:shd w:val="clear" w:color="000000" w:fill="FBE4D5"/>
            <w:vAlign w:val="center"/>
          </w:tcPr>
          <w:p w14:paraId="468747CB"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val="en-US" w:eastAsia="en-AU"/>
              </w:rPr>
            </w:pPr>
            <w:r w:rsidRPr="00B6715A">
              <w:rPr>
                <w:rFonts w:asciiTheme="majorHAnsi" w:eastAsia="Times New Roman" w:hAnsiTheme="majorHAnsi" w:cstheme="majorHAnsi"/>
                <w:color w:val="000000"/>
                <w:sz w:val="20"/>
                <w:szCs w:val="20"/>
                <w:lang w:val="en-US" w:eastAsia="en-AU"/>
              </w:rPr>
              <w:t>(5)</w:t>
            </w:r>
          </w:p>
        </w:tc>
        <w:tc>
          <w:tcPr>
            <w:tcW w:w="1134" w:type="dxa"/>
            <w:tcBorders>
              <w:top w:val="nil"/>
              <w:left w:val="nil"/>
              <w:bottom w:val="single" w:sz="8" w:space="0" w:color="ED7D31"/>
              <w:right w:val="nil"/>
            </w:tcBorders>
            <w:shd w:val="clear" w:color="000000" w:fill="FBE4D5"/>
            <w:vAlign w:val="center"/>
          </w:tcPr>
          <w:p w14:paraId="4EDA1CF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eastAsia="Times New Roman" w:hAnsiTheme="majorHAnsi" w:cstheme="majorHAnsi"/>
                <w:color w:val="000000"/>
                <w:sz w:val="20"/>
                <w:szCs w:val="20"/>
                <w:lang w:val="en-US" w:eastAsia="en-AU"/>
              </w:rPr>
              <w:t>(6)</w:t>
            </w:r>
          </w:p>
        </w:tc>
        <w:tc>
          <w:tcPr>
            <w:tcW w:w="1134" w:type="dxa"/>
            <w:tcBorders>
              <w:top w:val="nil"/>
              <w:left w:val="nil"/>
              <w:bottom w:val="single" w:sz="8" w:space="0" w:color="ED7D31"/>
              <w:right w:val="nil"/>
            </w:tcBorders>
            <w:shd w:val="clear" w:color="000000" w:fill="FBE4D5"/>
            <w:vAlign w:val="center"/>
          </w:tcPr>
          <w:p w14:paraId="209566D4"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val="en-US" w:eastAsia="en-AU"/>
              </w:rPr>
            </w:pPr>
            <w:r w:rsidRPr="00B6715A">
              <w:rPr>
                <w:rFonts w:asciiTheme="majorHAnsi" w:eastAsia="Times New Roman" w:hAnsiTheme="majorHAnsi" w:cstheme="majorHAnsi"/>
                <w:color w:val="000000"/>
                <w:sz w:val="20"/>
                <w:szCs w:val="20"/>
                <w:lang w:val="en-US" w:eastAsia="en-AU"/>
              </w:rPr>
              <w:t>(7)</w:t>
            </w:r>
          </w:p>
        </w:tc>
      </w:tr>
      <w:tr w:rsidR="00244248" w:rsidRPr="00B6715A" w14:paraId="62B1E749" w14:textId="77777777" w:rsidTr="007C5778">
        <w:trPr>
          <w:trHeight w:val="227"/>
        </w:trPr>
        <w:tc>
          <w:tcPr>
            <w:tcW w:w="2127" w:type="dxa"/>
            <w:tcBorders>
              <w:top w:val="nil"/>
              <w:left w:val="nil"/>
              <w:bottom w:val="single" w:sz="8" w:space="0" w:color="ED7D31"/>
              <w:right w:val="nil"/>
            </w:tcBorders>
            <w:shd w:val="clear" w:color="000000" w:fill="FBE4D5"/>
            <w:vAlign w:val="center"/>
            <w:hideMark/>
          </w:tcPr>
          <w:p w14:paraId="11366FFD"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000000" w:fill="FBE4D5"/>
            <w:vAlign w:val="center"/>
            <w:hideMark/>
          </w:tcPr>
          <w:p w14:paraId="7073030A"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All ages</w:t>
            </w:r>
          </w:p>
        </w:tc>
        <w:tc>
          <w:tcPr>
            <w:tcW w:w="1132" w:type="dxa"/>
            <w:tcBorders>
              <w:top w:val="nil"/>
              <w:left w:val="nil"/>
              <w:bottom w:val="single" w:sz="8" w:space="0" w:color="ED7D31"/>
              <w:right w:val="nil"/>
            </w:tcBorders>
            <w:shd w:val="clear" w:color="000000" w:fill="FBE4D5"/>
            <w:vAlign w:val="center"/>
            <w:hideMark/>
          </w:tcPr>
          <w:p w14:paraId="07489770" w14:textId="78879CEE"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18-24</w:t>
            </w:r>
          </w:p>
        </w:tc>
        <w:tc>
          <w:tcPr>
            <w:tcW w:w="1134" w:type="dxa"/>
            <w:tcBorders>
              <w:top w:val="nil"/>
              <w:left w:val="nil"/>
              <w:bottom w:val="single" w:sz="8" w:space="0" w:color="ED7D31"/>
              <w:right w:val="nil"/>
            </w:tcBorders>
            <w:shd w:val="clear" w:color="000000" w:fill="FBE4D5"/>
            <w:vAlign w:val="center"/>
            <w:hideMark/>
          </w:tcPr>
          <w:p w14:paraId="06E66075" w14:textId="059C3C84"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25-29</w:t>
            </w:r>
          </w:p>
        </w:tc>
        <w:tc>
          <w:tcPr>
            <w:tcW w:w="1134" w:type="dxa"/>
            <w:tcBorders>
              <w:top w:val="nil"/>
              <w:left w:val="nil"/>
              <w:bottom w:val="single" w:sz="8" w:space="0" w:color="ED7D31"/>
              <w:right w:val="nil"/>
            </w:tcBorders>
            <w:shd w:val="clear" w:color="000000" w:fill="FBE4D5"/>
            <w:vAlign w:val="center"/>
            <w:hideMark/>
          </w:tcPr>
          <w:p w14:paraId="4F0F27E5" w14:textId="55CA56B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30-34</w:t>
            </w:r>
          </w:p>
        </w:tc>
        <w:tc>
          <w:tcPr>
            <w:tcW w:w="1134" w:type="dxa"/>
            <w:tcBorders>
              <w:top w:val="nil"/>
              <w:left w:val="nil"/>
              <w:bottom w:val="single" w:sz="8" w:space="0" w:color="ED7D31"/>
              <w:right w:val="nil"/>
            </w:tcBorders>
            <w:shd w:val="clear" w:color="000000" w:fill="FBE4D5"/>
            <w:vAlign w:val="center"/>
            <w:hideMark/>
          </w:tcPr>
          <w:p w14:paraId="137A494C" w14:textId="4E6D7E40"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35-39</w:t>
            </w:r>
          </w:p>
        </w:tc>
        <w:tc>
          <w:tcPr>
            <w:tcW w:w="1134" w:type="dxa"/>
            <w:tcBorders>
              <w:top w:val="nil"/>
              <w:left w:val="nil"/>
              <w:bottom w:val="single" w:sz="8" w:space="0" w:color="ED7D31"/>
              <w:right w:val="nil"/>
            </w:tcBorders>
            <w:shd w:val="clear" w:color="000000" w:fill="FBE4D5"/>
            <w:vAlign w:val="center"/>
            <w:hideMark/>
          </w:tcPr>
          <w:p w14:paraId="555A9890" w14:textId="599139EF"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40-44</w:t>
            </w:r>
          </w:p>
        </w:tc>
        <w:tc>
          <w:tcPr>
            <w:tcW w:w="1134" w:type="dxa"/>
            <w:tcBorders>
              <w:top w:val="nil"/>
              <w:left w:val="nil"/>
              <w:bottom w:val="single" w:sz="8" w:space="0" w:color="ED7D31"/>
              <w:right w:val="nil"/>
            </w:tcBorders>
            <w:shd w:val="clear" w:color="000000" w:fill="FBE4D5"/>
            <w:vAlign w:val="center"/>
            <w:hideMark/>
          </w:tcPr>
          <w:p w14:paraId="0F9BAFBF" w14:textId="4871A25A" w:rsidR="00244248" w:rsidRPr="00B6715A" w:rsidRDefault="00244248" w:rsidP="007C5778">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xml:space="preserve"> 45-49</w:t>
            </w:r>
          </w:p>
        </w:tc>
      </w:tr>
      <w:tr w:rsidR="00244248" w:rsidRPr="00B6715A" w14:paraId="2405F69F" w14:textId="77777777" w:rsidTr="007C5778">
        <w:trPr>
          <w:trHeight w:val="227"/>
        </w:trPr>
        <w:tc>
          <w:tcPr>
            <w:tcW w:w="2127" w:type="dxa"/>
            <w:tcBorders>
              <w:top w:val="nil"/>
              <w:left w:val="nil"/>
              <w:bottom w:val="nil"/>
              <w:right w:val="nil"/>
            </w:tcBorders>
            <w:shd w:val="clear" w:color="auto" w:fill="auto"/>
            <w:vAlign w:val="center"/>
            <w:hideMark/>
          </w:tcPr>
          <w:p w14:paraId="5E02BE80"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r w:rsidRPr="00B6715A">
              <w:rPr>
                <w:rFonts w:asciiTheme="majorHAnsi" w:eastAsia="Times New Roman" w:hAnsiTheme="majorHAnsi" w:cstheme="majorHAnsi"/>
                <w:b/>
                <w:bCs/>
                <w:color w:val="000000"/>
                <w:sz w:val="20"/>
                <w:szCs w:val="20"/>
                <w:lang w:val="en-US" w:eastAsia="en-AU"/>
              </w:rPr>
              <w:t xml:space="preserve">Age group  </w:t>
            </w:r>
            <w:r w:rsidRPr="00B6715A">
              <w:rPr>
                <w:rFonts w:asciiTheme="majorHAnsi" w:eastAsia="Times New Roman" w:hAnsiTheme="majorHAnsi" w:cstheme="majorHAnsi"/>
                <w:color w:val="000000"/>
                <w:sz w:val="20"/>
                <w:szCs w:val="20"/>
                <w:lang w:val="en-US" w:eastAsia="en-AU"/>
              </w:rPr>
              <w:t>(ref: 25-29)</w:t>
            </w:r>
          </w:p>
        </w:tc>
        <w:tc>
          <w:tcPr>
            <w:tcW w:w="1136" w:type="dxa"/>
            <w:tcBorders>
              <w:top w:val="nil"/>
              <w:left w:val="nil"/>
              <w:bottom w:val="nil"/>
              <w:right w:val="nil"/>
            </w:tcBorders>
            <w:shd w:val="clear" w:color="auto" w:fill="auto"/>
            <w:vAlign w:val="center"/>
            <w:hideMark/>
          </w:tcPr>
          <w:p w14:paraId="2A530C51"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p>
        </w:tc>
        <w:tc>
          <w:tcPr>
            <w:tcW w:w="1132" w:type="dxa"/>
            <w:tcBorders>
              <w:top w:val="nil"/>
              <w:left w:val="nil"/>
              <w:bottom w:val="nil"/>
              <w:right w:val="nil"/>
            </w:tcBorders>
            <w:shd w:val="clear" w:color="auto" w:fill="auto"/>
            <w:vAlign w:val="center"/>
            <w:hideMark/>
          </w:tcPr>
          <w:p w14:paraId="4F0C54C5"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271CDF23"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19A905D4"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4514DC4"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3E211113"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1598DA93"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5CF7D63B" w14:textId="77777777" w:rsidTr="007C5778">
        <w:trPr>
          <w:trHeight w:val="227"/>
        </w:trPr>
        <w:tc>
          <w:tcPr>
            <w:tcW w:w="2127" w:type="dxa"/>
            <w:tcBorders>
              <w:top w:val="nil"/>
              <w:left w:val="nil"/>
              <w:bottom w:val="nil"/>
              <w:right w:val="nil"/>
            </w:tcBorders>
            <w:shd w:val="clear" w:color="auto" w:fill="auto"/>
            <w:vAlign w:val="center"/>
            <w:hideMark/>
          </w:tcPr>
          <w:p w14:paraId="13D2F49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xml:space="preserve"> 18-24</w:t>
            </w:r>
          </w:p>
        </w:tc>
        <w:tc>
          <w:tcPr>
            <w:tcW w:w="1136" w:type="dxa"/>
            <w:tcBorders>
              <w:top w:val="nil"/>
              <w:left w:val="nil"/>
              <w:bottom w:val="nil"/>
              <w:right w:val="nil"/>
            </w:tcBorders>
            <w:shd w:val="clear" w:color="auto" w:fill="auto"/>
            <w:hideMark/>
          </w:tcPr>
          <w:p w14:paraId="1EFE6C5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0.333***</w:t>
            </w:r>
          </w:p>
        </w:tc>
        <w:tc>
          <w:tcPr>
            <w:tcW w:w="1132" w:type="dxa"/>
            <w:tcBorders>
              <w:top w:val="nil"/>
              <w:left w:val="nil"/>
              <w:bottom w:val="nil"/>
              <w:right w:val="nil"/>
            </w:tcBorders>
            <w:shd w:val="clear" w:color="auto" w:fill="auto"/>
            <w:vAlign w:val="center"/>
            <w:hideMark/>
          </w:tcPr>
          <w:p w14:paraId="218E5E5B"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6DC6975B"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76A97724"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5E4C8E4C"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39FBDAF1"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E0B2785"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72DD7FB2" w14:textId="77777777" w:rsidTr="007C5778">
        <w:trPr>
          <w:trHeight w:val="227"/>
        </w:trPr>
        <w:tc>
          <w:tcPr>
            <w:tcW w:w="2127" w:type="dxa"/>
            <w:tcBorders>
              <w:top w:val="nil"/>
              <w:left w:val="nil"/>
              <w:bottom w:val="nil"/>
              <w:right w:val="nil"/>
            </w:tcBorders>
            <w:shd w:val="clear" w:color="auto" w:fill="auto"/>
            <w:vAlign w:val="center"/>
            <w:hideMark/>
          </w:tcPr>
          <w:p w14:paraId="2AE28920"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6" w:type="dxa"/>
            <w:tcBorders>
              <w:top w:val="nil"/>
              <w:left w:val="nil"/>
              <w:bottom w:val="nil"/>
              <w:right w:val="nil"/>
            </w:tcBorders>
            <w:shd w:val="clear" w:color="auto" w:fill="auto"/>
            <w:hideMark/>
          </w:tcPr>
          <w:p w14:paraId="4FB3557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color w:val="808080" w:themeColor="background1" w:themeShade="80"/>
                <w:sz w:val="20"/>
                <w:szCs w:val="20"/>
              </w:rPr>
              <w:t>(0.007)</w:t>
            </w:r>
          </w:p>
        </w:tc>
        <w:tc>
          <w:tcPr>
            <w:tcW w:w="1132" w:type="dxa"/>
            <w:tcBorders>
              <w:top w:val="nil"/>
              <w:left w:val="nil"/>
              <w:bottom w:val="nil"/>
              <w:right w:val="nil"/>
            </w:tcBorders>
            <w:shd w:val="clear" w:color="auto" w:fill="auto"/>
            <w:vAlign w:val="center"/>
            <w:hideMark/>
          </w:tcPr>
          <w:p w14:paraId="2DE34D1D"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04122DED"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48788F26"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54188B88"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4CADBB5E"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3FF9F29E"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739EAC23" w14:textId="77777777" w:rsidTr="007C5778">
        <w:trPr>
          <w:trHeight w:val="227"/>
        </w:trPr>
        <w:tc>
          <w:tcPr>
            <w:tcW w:w="2127" w:type="dxa"/>
            <w:tcBorders>
              <w:top w:val="nil"/>
              <w:left w:val="nil"/>
              <w:bottom w:val="nil"/>
              <w:right w:val="nil"/>
            </w:tcBorders>
            <w:shd w:val="clear" w:color="auto" w:fill="auto"/>
            <w:vAlign w:val="center"/>
            <w:hideMark/>
          </w:tcPr>
          <w:p w14:paraId="3678C9DF"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30-34</w:t>
            </w:r>
          </w:p>
        </w:tc>
        <w:tc>
          <w:tcPr>
            <w:tcW w:w="1136" w:type="dxa"/>
            <w:tcBorders>
              <w:top w:val="nil"/>
              <w:left w:val="nil"/>
              <w:bottom w:val="nil"/>
              <w:right w:val="nil"/>
            </w:tcBorders>
            <w:shd w:val="clear" w:color="auto" w:fill="auto"/>
            <w:hideMark/>
          </w:tcPr>
          <w:p w14:paraId="52E553B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-0.223***</w:t>
            </w:r>
          </w:p>
        </w:tc>
        <w:tc>
          <w:tcPr>
            <w:tcW w:w="1132" w:type="dxa"/>
            <w:tcBorders>
              <w:top w:val="nil"/>
              <w:left w:val="nil"/>
              <w:bottom w:val="nil"/>
              <w:right w:val="nil"/>
            </w:tcBorders>
            <w:shd w:val="clear" w:color="auto" w:fill="auto"/>
            <w:vAlign w:val="center"/>
            <w:hideMark/>
          </w:tcPr>
          <w:p w14:paraId="42CA70CC"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6B56149A"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6061579F"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116B5C63"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5EC3EB79"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1D2D72ED"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2679374D" w14:textId="77777777" w:rsidTr="007C5778">
        <w:trPr>
          <w:trHeight w:val="227"/>
        </w:trPr>
        <w:tc>
          <w:tcPr>
            <w:tcW w:w="2127" w:type="dxa"/>
            <w:tcBorders>
              <w:top w:val="nil"/>
              <w:left w:val="nil"/>
              <w:bottom w:val="nil"/>
              <w:right w:val="nil"/>
            </w:tcBorders>
            <w:shd w:val="clear" w:color="auto" w:fill="auto"/>
            <w:vAlign w:val="center"/>
            <w:hideMark/>
          </w:tcPr>
          <w:p w14:paraId="293EA3D7"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6" w:type="dxa"/>
            <w:tcBorders>
              <w:top w:val="nil"/>
              <w:left w:val="nil"/>
              <w:bottom w:val="nil"/>
              <w:right w:val="nil"/>
            </w:tcBorders>
            <w:shd w:val="clear" w:color="auto" w:fill="auto"/>
            <w:hideMark/>
          </w:tcPr>
          <w:p w14:paraId="632042F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color w:val="808080" w:themeColor="background1" w:themeShade="80"/>
                <w:sz w:val="20"/>
                <w:szCs w:val="20"/>
              </w:rPr>
              <w:t>(0.007)</w:t>
            </w:r>
          </w:p>
        </w:tc>
        <w:tc>
          <w:tcPr>
            <w:tcW w:w="1132" w:type="dxa"/>
            <w:tcBorders>
              <w:top w:val="nil"/>
              <w:left w:val="nil"/>
              <w:bottom w:val="nil"/>
              <w:right w:val="nil"/>
            </w:tcBorders>
            <w:shd w:val="clear" w:color="auto" w:fill="auto"/>
            <w:vAlign w:val="center"/>
            <w:hideMark/>
          </w:tcPr>
          <w:p w14:paraId="67B547EE"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309565A1"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6E68A81A"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4005ECC0"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3E584C9B"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5C7F9B64"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507374A7" w14:textId="77777777" w:rsidTr="007C5778">
        <w:trPr>
          <w:trHeight w:val="227"/>
        </w:trPr>
        <w:tc>
          <w:tcPr>
            <w:tcW w:w="2127" w:type="dxa"/>
            <w:tcBorders>
              <w:top w:val="nil"/>
              <w:left w:val="nil"/>
              <w:bottom w:val="nil"/>
              <w:right w:val="nil"/>
            </w:tcBorders>
            <w:shd w:val="clear" w:color="auto" w:fill="auto"/>
            <w:vAlign w:val="center"/>
            <w:hideMark/>
          </w:tcPr>
          <w:p w14:paraId="134B550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35-39</w:t>
            </w:r>
          </w:p>
        </w:tc>
        <w:tc>
          <w:tcPr>
            <w:tcW w:w="1136" w:type="dxa"/>
            <w:tcBorders>
              <w:top w:val="nil"/>
              <w:left w:val="nil"/>
              <w:bottom w:val="nil"/>
              <w:right w:val="nil"/>
            </w:tcBorders>
            <w:shd w:val="clear" w:color="auto" w:fill="auto"/>
            <w:hideMark/>
          </w:tcPr>
          <w:p w14:paraId="4C08942D"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-0.411***</w:t>
            </w:r>
          </w:p>
        </w:tc>
        <w:tc>
          <w:tcPr>
            <w:tcW w:w="1132" w:type="dxa"/>
            <w:tcBorders>
              <w:top w:val="nil"/>
              <w:left w:val="nil"/>
              <w:bottom w:val="nil"/>
              <w:right w:val="nil"/>
            </w:tcBorders>
            <w:shd w:val="clear" w:color="auto" w:fill="auto"/>
            <w:vAlign w:val="center"/>
            <w:hideMark/>
          </w:tcPr>
          <w:p w14:paraId="00295E84"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4E1B8B1A"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11B4312D"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48CF4D36"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53D1DD7E"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352B128D"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6A59700F" w14:textId="77777777" w:rsidTr="007C5778">
        <w:trPr>
          <w:trHeight w:val="227"/>
        </w:trPr>
        <w:tc>
          <w:tcPr>
            <w:tcW w:w="2127" w:type="dxa"/>
            <w:tcBorders>
              <w:top w:val="nil"/>
              <w:left w:val="nil"/>
              <w:bottom w:val="nil"/>
              <w:right w:val="nil"/>
            </w:tcBorders>
            <w:shd w:val="clear" w:color="auto" w:fill="auto"/>
            <w:vAlign w:val="center"/>
            <w:hideMark/>
          </w:tcPr>
          <w:p w14:paraId="784F04CE"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6" w:type="dxa"/>
            <w:tcBorders>
              <w:top w:val="nil"/>
              <w:left w:val="nil"/>
              <w:bottom w:val="nil"/>
              <w:right w:val="nil"/>
            </w:tcBorders>
            <w:shd w:val="clear" w:color="auto" w:fill="auto"/>
            <w:hideMark/>
          </w:tcPr>
          <w:p w14:paraId="0A784062"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color w:val="808080" w:themeColor="background1" w:themeShade="80"/>
                <w:sz w:val="20"/>
                <w:szCs w:val="20"/>
              </w:rPr>
              <w:t>(0.008)</w:t>
            </w:r>
          </w:p>
        </w:tc>
        <w:tc>
          <w:tcPr>
            <w:tcW w:w="1132" w:type="dxa"/>
            <w:tcBorders>
              <w:top w:val="nil"/>
              <w:left w:val="nil"/>
              <w:bottom w:val="nil"/>
              <w:right w:val="nil"/>
            </w:tcBorders>
            <w:shd w:val="clear" w:color="auto" w:fill="auto"/>
            <w:vAlign w:val="center"/>
            <w:hideMark/>
          </w:tcPr>
          <w:p w14:paraId="424AB8A8"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479AE2B1"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1BF77C17"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0604564"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852C84D"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6ADAE393"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3513D032" w14:textId="77777777" w:rsidTr="007C5778">
        <w:trPr>
          <w:trHeight w:val="227"/>
        </w:trPr>
        <w:tc>
          <w:tcPr>
            <w:tcW w:w="2127" w:type="dxa"/>
            <w:tcBorders>
              <w:top w:val="nil"/>
              <w:left w:val="nil"/>
              <w:bottom w:val="nil"/>
              <w:right w:val="nil"/>
            </w:tcBorders>
            <w:shd w:val="clear" w:color="auto" w:fill="auto"/>
            <w:vAlign w:val="center"/>
            <w:hideMark/>
          </w:tcPr>
          <w:p w14:paraId="042CCF2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40-44</w:t>
            </w:r>
          </w:p>
        </w:tc>
        <w:tc>
          <w:tcPr>
            <w:tcW w:w="1136" w:type="dxa"/>
            <w:tcBorders>
              <w:top w:val="nil"/>
              <w:left w:val="nil"/>
              <w:bottom w:val="nil"/>
              <w:right w:val="nil"/>
            </w:tcBorders>
            <w:shd w:val="clear" w:color="auto" w:fill="auto"/>
            <w:hideMark/>
          </w:tcPr>
          <w:p w14:paraId="46132378"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-0.481***</w:t>
            </w:r>
          </w:p>
        </w:tc>
        <w:tc>
          <w:tcPr>
            <w:tcW w:w="1132" w:type="dxa"/>
            <w:tcBorders>
              <w:top w:val="nil"/>
              <w:left w:val="nil"/>
              <w:bottom w:val="nil"/>
              <w:right w:val="nil"/>
            </w:tcBorders>
            <w:shd w:val="clear" w:color="auto" w:fill="auto"/>
            <w:vAlign w:val="center"/>
            <w:hideMark/>
          </w:tcPr>
          <w:p w14:paraId="67447D72"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498D69DC"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512308E5"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48190937"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3835C86"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6181367A"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5EE7F43F" w14:textId="77777777" w:rsidTr="007C5778">
        <w:trPr>
          <w:trHeight w:val="227"/>
        </w:trPr>
        <w:tc>
          <w:tcPr>
            <w:tcW w:w="2127" w:type="dxa"/>
            <w:tcBorders>
              <w:top w:val="nil"/>
              <w:left w:val="nil"/>
              <w:bottom w:val="nil"/>
              <w:right w:val="nil"/>
            </w:tcBorders>
            <w:shd w:val="clear" w:color="auto" w:fill="auto"/>
            <w:vAlign w:val="center"/>
            <w:hideMark/>
          </w:tcPr>
          <w:p w14:paraId="5426DAE4"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6" w:type="dxa"/>
            <w:tcBorders>
              <w:top w:val="nil"/>
              <w:left w:val="nil"/>
              <w:bottom w:val="nil"/>
              <w:right w:val="nil"/>
            </w:tcBorders>
            <w:shd w:val="clear" w:color="auto" w:fill="auto"/>
            <w:hideMark/>
          </w:tcPr>
          <w:p w14:paraId="71A836A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color w:val="808080" w:themeColor="background1" w:themeShade="80"/>
                <w:sz w:val="20"/>
                <w:szCs w:val="20"/>
              </w:rPr>
              <w:t>(0.009)</w:t>
            </w:r>
          </w:p>
        </w:tc>
        <w:tc>
          <w:tcPr>
            <w:tcW w:w="1132" w:type="dxa"/>
            <w:tcBorders>
              <w:top w:val="nil"/>
              <w:left w:val="nil"/>
              <w:bottom w:val="nil"/>
              <w:right w:val="nil"/>
            </w:tcBorders>
            <w:shd w:val="clear" w:color="auto" w:fill="auto"/>
            <w:vAlign w:val="center"/>
            <w:hideMark/>
          </w:tcPr>
          <w:p w14:paraId="5D460FCB"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63D8B849"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C22A4AF"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28149116"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380EC5B8"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29C3FDAF"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40BB74C4" w14:textId="77777777" w:rsidTr="007C5778">
        <w:trPr>
          <w:trHeight w:val="227"/>
        </w:trPr>
        <w:tc>
          <w:tcPr>
            <w:tcW w:w="2127" w:type="dxa"/>
            <w:tcBorders>
              <w:top w:val="nil"/>
              <w:left w:val="nil"/>
              <w:bottom w:val="nil"/>
              <w:right w:val="nil"/>
            </w:tcBorders>
            <w:shd w:val="clear" w:color="auto" w:fill="auto"/>
            <w:vAlign w:val="center"/>
            <w:hideMark/>
          </w:tcPr>
          <w:p w14:paraId="0391EE48"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45-49</w:t>
            </w:r>
          </w:p>
        </w:tc>
        <w:tc>
          <w:tcPr>
            <w:tcW w:w="1136" w:type="dxa"/>
            <w:tcBorders>
              <w:top w:val="nil"/>
              <w:left w:val="nil"/>
              <w:bottom w:val="nil"/>
              <w:right w:val="nil"/>
            </w:tcBorders>
            <w:shd w:val="clear" w:color="auto" w:fill="auto"/>
            <w:hideMark/>
          </w:tcPr>
          <w:p w14:paraId="106EE80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-0.520***</w:t>
            </w:r>
          </w:p>
        </w:tc>
        <w:tc>
          <w:tcPr>
            <w:tcW w:w="1132" w:type="dxa"/>
            <w:tcBorders>
              <w:top w:val="nil"/>
              <w:left w:val="nil"/>
              <w:bottom w:val="nil"/>
              <w:right w:val="nil"/>
            </w:tcBorders>
            <w:shd w:val="clear" w:color="auto" w:fill="auto"/>
            <w:vAlign w:val="center"/>
            <w:hideMark/>
          </w:tcPr>
          <w:p w14:paraId="09C7D393"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c>
          <w:tcPr>
            <w:tcW w:w="1134" w:type="dxa"/>
            <w:tcBorders>
              <w:top w:val="nil"/>
              <w:left w:val="nil"/>
              <w:bottom w:val="nil"/>
              <w:right w:val="nil"/>
            </w:tcBorders>
            <w:shd w:val="clear" w:color="auto" w:fill="auto"/>
            <w:vAlign w:val="center"/>
            <w:hideMark/>
          </w:tcPr>
          <w:p w14:paraId="520C5404"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3DFFFE56"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20CCFDC3"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732FF77B"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12361B21"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43141B3E" w14:textId="77777777" w:rsidTr="007C5778">
        <w:trPr>
          <w:trHeight w:val="227"/>
        </w:trPr>
        <w:tc>
          <w:tcPr>
            <w:tcW w:w="2127" w:type="dxa"/>
            <w:tcBorders>
              <w:top w:val="nil"/>
              <w:left w:val="nil"/>
              <w:bottom w:val="single" w:sz="8" w:space="0" w:color="ED7D31"/>
              <w:right w:val="nil"/>
            </w:tcBorders>
            <w:shd w:val="clear" w:color="auto" w:fill="auto"/>
            <w:vAlign w:val="center"/>
            <w:hideMark/>
          </w:tcPr>
          <w:p w14:paraId="727B4A62"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auto" w:fill="auto"/>
            <w:hideMark/>
          </w:tcPr>
          <w:p w14:paraId="7EE180D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(0.009)</w:t>
            </w:r>
          </w:p>
        </w:tc>
        <w:tc>
          <w:tcPr>
            <w:tcW w:w="1132" w:type="dxa"/>
            <w:tcBorders>
              <w:top w:val="nil"/>
              <w:left w:val="nil"/>
              <w:bottom w:val="single" w:sz="8" w:space="0" w:color="ED7D31"/>
              <w:right w:val="nil"/>
            </w:tcBorders>
            <w:shd w:val="clear" w:color="auto" w:fill="auto"/>
            <w:vAlign w:val="center"/>
            <w:hideMark/>
          </w:tcPr>
          <w:p w14:paraId="2C19BAD0"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4" w:type="dxa"/>
            <w:tcBorders>
              <w:top w:val="nil"/>
              <w:left w:val="nil"/>
              <w:bottom w:val="single" w:sz="8" w:space="0" w:color="ED7D31"/>
              <w:right w:val="nil"/>
            </w:tcBorders>
            <w:shd w:val="clear" w:color="auto" w:fill="auto"/>
            <w:vAlign w:val="center"/>
            <w:hideMark/>
          </w:tcPr>
          <w:p w14:paraId="72208245"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4" w:type="dxa"/>
            <w:tcBorders>
              <w:top w:val="nil"/>
              <w:left w:val="nil"/>
              <w:bottom w:val="single" w:sz="8" w:space="0" w:color="ED7D31"/>
              <w:right w:val="nil"/>
            </w:tcBorders>
            <w:shd w:val="clear" w:color="auto" w:fill="auto"/>
            <w:vAlign w:val="center"/>
            <w:hideMark/>
          </w:tcPr>
          <w:p w14:paraId="6432808F"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4" w:type="dxa"/>
            <w:tcBorders>
              <w:top w:val="nil"/>
              <w:left w:val="nil"/>
              <w:bottom w:val="single" w:sz="8" w:space="0" w:color="ED7D31"/>
              <w:right w:val="nil"/>
            </w:tcBorders>
            <w:shd w:val="clear" w:color="auto" w:fill="auto"/>
            <w:vAlign w:val="center"/>
            <w:hideMark/>
          </w:tcPr>
          <w:p w14:paraId="007AD295"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4" w:type="dxa"/>
            <w:tcBorders>
              <w:top w:val="nil"/>
              <w:left w:val="nil"/>
              <w:bottom w:val="single" w:sz="8" w:space="0" w:color="ED7D31"/>
              <w:right w:val="nil"/>
            </w:tcBorders>
            <w:shd w:val="clear" w:color="auto" w:fill="auto"/>
            <w:vAlign w:val="center"/>
            <w:hideMark/>
          </w:tcPr>
          <w:p w14:paraId="02ED4F70"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4" w:type="dxa"/>
            <w:tcBorders>
              <w:top w:val="nil"/>
              <w:left w:val="nil"/>
              <w:bottom w:val="single" w:sz="8" w:space="0" w:color="ED7D31"/>
              <w:right w:val="nil"/>
            </w:tcBorders>
            <w:shd w:val="clear" w:color="auto" w:fill="auto"/>
            <w:vAlign w:val="center"/>
            <w:hideMark/>
          </w:tcPr>
          <w:p w14:paraId="650D1CBB" w14:textId="77777777" w:rsidR="00244248" w:rsidRPr="00B6715A"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r>
      <w:tr w:rsidR="00244248" w:rsidRPr="00B6715A" w14:paraId="3E8FB3A6" w14:textId="77777777" w:rsidTr="007C5778">
        <w:trPr>
          <w:trHeight w:val="227"/>
        </w:trPr>
        <w:tc>
          <w:tcPr>
            <w:tcW w:w="2127" w:type="dxa"/>
            <w:tcBorders>
              <w:top w:val="nil"/>
              <w:left w:val="nil"/>
              <w:bottom w:val="nil"/>
              <w:right w:val="nil"/>
            </w:tcBorders>
            <w:shd w:val="clear" w:color="auto" w:fill="auto"/>
            <w:vAlign w:val="center"/>
            <w:hideMark/>
          </w:tcPr>
          <w:p w14:paraId="7565FAED"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r w:rsidRPr="00B6715A">
              <w:rPr>
                <w:rFonts w:asciiTheme="majorHAnsi" w:eastAsia="Times New Roman" w:hAnsiTheme="majorHAnsi" w:cstheme="majorHAnsi"/>
                <w:b/>
                <w:bCs/>
                <w:color w:val="000000"/>
                <w:sz w:val="20"/>
                <w:szCs w:val="20"/>
                <w:lang w:val="en-US" w:eastAsia="en-AU"/>
              </w:rPr>
              <w:t xml:space="preserve">Education level </w:t>
            </w:r>
            <w:r w:rsidRPr="00B6715A">
              <w:rPr>
                <w:rFonts w:asciiTheme="majorHAnsi" w:eastAsia="Times New Roman" w:hAnsiTheme="majorHAnsi" w:cstheme="majorHAnsi"/>
                <w:color w:val="000000"/>
                <w:sz w:val="20"/>
                <w:szCs w:val="20"/>
                <w:lang w:val="en-US" w:eastAsia="en-AU"/>
              </w:rPr>
              <w:t>(ref: Year 11 or below)</w:t>
            </w:r>
          </w:p>
        </w:tc>
        <w:tc>
          <w:tcPr>
            <w:tcW w:w="1136" w:type="dxa"/>
            <w:tcBorders>
              <w:top w:val="nil"/>
              <w:left w:val="nil"/>
              <w:bottom w:val="nil"/>
              <w:right w:val="nil"/>
            </w:tcBorders>
            <w:shd w:val="clear" w:color="auto" w:fill="auto"/>
            <w:vAlign w:val="center"/>
            <w:hideMark/>
          </w:tcPr>
          <w:p w14:paraId="64585B65"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p>
        </w:tc>
        <w:tc>
          <w:tcPr>
            <w:tcW w:w="1132" w:type="dxa"/>
            <w:tcBorders>
              <w:top w:val="nil"/>
              <w:left w:val="nil"/>
              <w:bottom w:val="nil"/>
              <w:right w:val="nil"/>
            </w:tcBorders>
            <w:shd w:val="clear" w:color="auto" w:fill="auto"/>
            <w:vAlign w:val="center"/>
            <w:hideMark/>
          </w:tcPr>
          <w:p w14:paraId="2CB710ED"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61128C5"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5B55CAC8"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55143DC"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19A5034D"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6A7C532C" w14:textId="77777777" w:rsidR="00244248" w:rsidRPr="00B6715A" w:rsidRDefault="00244248" w:rsidP="00335B25">
            <w:pPr>
              <w:spacing w:after="0" w:line="240" w:lineRule="auto"/>
              <w:jc w:val="center"/>
              <w:rPr>
                <w:rFonts w:asciiTheme="majorHAnsi" w:eastAsia="Times New Roman" w:hAnsiTheme="majorHAnsi" w:cstheme="majorHAnsi"/>
                <w:sz w:val="20"/>
                <w:szCs w:val="20"/>
                <w:lang w:eastAsia="en-AU"/>
              </w:rPr>
            </w:pPr>
          </w:p>
        </w:tc>
      </w:tr>
      <w:tr w:rsidR="00244248" w:rsidRPr="00B6715A" w14:paraId="3AF097F1" w14:textId="77777777" w:rsidTr="007C5778">
        <w:trPr>
          <w:trHeight w:val="227"/>
        </w:trPr>
        <w:tc>
          <w:tcPr>
            <w:tcW w:w="2127" w:type="dxa"/>
            <w:tcBorders>
              <w:top w:val="nil"/>
              <w:left w:val="nil"/>
              <w:bottom w:val="nil"/>
              <w:right w:val="nil"/>
            </w:tcBorders>
            <w:shd w:val="clear" w:color="auto" w:fill="auto"/>
            <w:vAlign w:val="center"/>
            <w:hideMark/>
          </w:tcPr>
          <w:p w14:paraId="29EBBA0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Bachelor Degree or higher</w:t>
            </w:r>
          </w:p>
        </w:tc>
        <w:tc>
          <w:tcPr>
            <w:tcW w:w="1136" w:type="dxa"/>
            <w:tcBorders>
              <w:top w:val="nil"/>
              <w:left w:val="nil"/>
              <w:bottom w:val="nil"/>
              <w:right w:val="nil"/>
            </w:tcBorders>
            <w:shd w:val="clear" w:color="auto" w:fill="auto"/>
            <w:hideMark/>
          </w:tcPr>
          <w:p w14:paraId="534C666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0.287***</w:t>
            </w:r>
          </w:p>
        </w:tc>
        <w:tc>
          <w:tcPr>
            <w:tcW w:w="1132" w:type="dxa"/>
            <w:tcBorders>
              <w:top w:val="nil"/>
              <w:left w:val="nil"/>
              <w:bottom w:val="nil"/>
              <w:right w:val="nil"/>
            </w:tcBorders>
            <w:shd w:val="clear" w:color="auto" w:fill="auto"/>
            <w:hideMark/>
          </w:tcPr>
          <w:p w14:paraId="3501385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0.150***</w:t>
            </w:r>
          </w:p>
        </w:tc>
        <w:tc>
          <w:tcPr>
            <w:tcW w:w="1134" w:type="dxa"/>
            <w:tcBorders>
              <w:top w:val="nil"/>
              <w:left w:val="nil"/>
              <w:bottom w:val="nil"/>
              <w:right w:val="nil"/>
            </w:tcBorders>
            <w:shd w:val="clear" w:color="auto" w:fill="auto"/>
            <w:hideMark/>
          </w:tcPr>
          <w:p w14:paraId="0ADA261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0.399***</w:t>
            </w:r>
          </w:p>
        </w:tc>
        <w:tc>
          <w:tcPr>
            <w:tcW w:w="1134" w:type="dxa"/>
            <w:tcBorders>
              <w:top w:val="nil"/>
              <w:left w:val="nil"/>
              <w:bottom w:val="nil"/>
              <w:right w:val="nil"/>
            </w:tcBorders>
            <w:shd w:val="clear" w:color="auto" w:fill="auto"/>
            <w:hideMark/>
          </w:tcPr>
          <w:p w14:paraId="6DF2F4D9"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0.226***</w:t>
            </w:r>
          </w:p>
        </w:tc>
        <w:tc>
          <w:tcPr>
            <w:tcW w:w="1134" w:type="dxa"/>
            <w:tcBorders>
              <w:top w:val="nil"/>
              <w:left w:val="nil"/>
              <w:bottom w:val="nil"/>
              <w:right w:val="nil"/>
            </w:tcBorders>
            <w:shd w:val="clear" w:color="auto" w:fill="auto"/>
            <w:hideMark/>
          </w:tcPr>
          <w:p w14:paraId="1CA81C2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0.092***</w:t>
            </w:r>
          </w:p>
        </w:tc>
        <w:tc>
          <w:tcPr>
            <w:tcW w:w="1134" w:type="dxa"/>
            <w:tcBorders>
              <w:top w:val="nil"/>
              <w:left w:val="nil"/>
              <w:bottom w:val="nil"/>
              <w:right w:val="nil"/>
            </w:tcBorders>
            <w:shd w:val="clear" w:color="auto" w:fill="auto"/>
            <w:hideMark/>
          </w:tcPr>
          <w:p w14:paraId="784CA642"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0.113***</w:t>
            </w:r>
          </w:p>
        </w:tc>
        <w:tc>
          <w:tcPr>
            <w:tcW w:w="1134" w:type="dxa"/>
            <w:tcBorders>
              <w:top w:val="nil"/>
              <w:left w:val="nil"/>
              <w:bottom w:val="nil"/>
              <w:right w:val="nil"/>
            </w:tcBorders>
            <w:shd w:val="clear" w:color="auto" w:fill="auto"/>
            <w:hideMark/>
          </w:tcPr>
          <w:p w14:paraId="2F93249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0.130***</w:t>
            </w:r>
          </w:p>
        </w:tc>
      </w:tr>
      <w:tr w:rsidR="00244248" w:rsidRPr="00B6715A" w14:paraId="565E349E" w14:textId="77777777" w:rsidTr="007C5778">
        <w:trPr>
          <w:trHeight w:val="227"/>
        </w:trPr>
        <w:tc>
          <w:tcPr>
            <w:tcW w:w="2127" w:type="dxa"/>
            <w:tcBorders>
              <w:top w:val="nil"/>
              <w:left w:val="nil"/>
              <w:bottom w:val="nil"/>
              <w:right w:val="nil"/>
            </w:tcBorders>
            <w:shd w:val="clear" w:color="auto" w:fill="auto"/>
            <w:vAlign w:val="center"/>
            <w:hideMark/>
          </w:tcPr>
          <w:p w14:paraId="3B01CA8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p>
        </w:tc>
        <w:tc>
          <w:tcPr>
            <w:tcW w:w="1136" w:type="dxa"/>
            <w:tcBorders>
              <w:top w:val="nil"/>
              <w:left w:val="nil"/>
              <w:bottom w:val="nil"/>
              <w:right w:val="nil"/>
            </w:tcBorders>
            <w:shd w:val="clear" w:color="auto" w:fill="auto"/>
            <w:hideMark/>
          </w:tcPr>
          <w:p w14:paraId="4EC3459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(0.008)</w:t>
            </w:r>
          </w:p>
        </w:tc>
        <w:tc>
          <w:tcPr>
            <w:tcW w:w="1132" w:type="dxa"/>
            <w:tcBorders>
              <w:top w:val="nil"/>
              <w:left w:val="nil"/>
              <w:bottom w:val="nil"/>
              <w:right w:val="nil"/>
            </w:tcBorders>
            <w:shd w:val="clear" w:color="auto" w:fill="auto"/>
            <w:hideMark/>
          </w:tcPr>
          <w:p w14:paraId="345122DF"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(0.008)</w:t>
            </w:r>
          </w:p>
        </w:tc>
        <w:tc>
          <w:tcPr>
            <w:tcW w:w="1134" w:type="dxa"/>
            <w:tcBorders>
              <w:top w:val="nil"/>
              <w:left w:val="nil"/>
              <w:bottom w:val="nil"/>
              <w:right w:val="nil"/>
            </w:tcBorders>
            <w:shd w:val="clear" w:color="auto" w:fill="auto"/>
            <w:hideMark/>
          </w:tcPr>
          <w:p w14:paraId="27B3924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(0.017)</w:t>
            </w:r>
          </w:p>
        </w:tc>
        <w:tc>
          <w:tcPr>
            <w:tcW w:w="1134" w:type="dxa"/>
            <w:tcBorders>
              <w:top w:val="nil"/>
              <w:left w:val="nil"/>
              <w:bottom w:val="nil"/>
              <w:right w:val="nil"/>
            </w:tcBorders>
            <w:shd w:val="clear" w:color="auto" w:fill="auto"/>
            <w:hideMark/>
          </w:tcPr>
          <w:p w14:paraId="2EFEF898"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(0.017)</w:t>
            </w:r>
          </w:p>
        </w:tc>
        <w:tc>
          <w:tcPr>
            <w:tcW w:w="1134" w:type="dxa"/>
            <w:tcBorders>
              <w:top w:val="nil"/>
              <w:left w:val="nil"/>
              <w:bottom w:val="nil"/>
              <w:right w:val="nil"/>
            </w:tcBorders>
            <w:shd w:val="clear" w:color="auto" w:fill="auto"/>
            <w:hideMark/>
          </w:tcPr>
          <w:p w14:paraId="0693BA69"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(0.012)</w:t>
            </w:r>
          </w:p>
        </w:tc>
        <w:tc>
          <w:tcPr>
            <w:tcW w:w="1134" w:type="dxa"/>
            <w:tcBorders>
              <w:top w:val="nil"/>
              <w:left w:val="nil"/>
              <w:bottom w:val="nil"/>
              <w:right w:val="nil"/>
            </w:tcBorders>
            <w:shd w:val="clear" w:color="auto" w:fill="auto"/>
            <w:hideMark/>
          </w:tcPr>
          <w:p w14:paraId="6C6303CA"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c>
          <w:tcPr>
            <w:tcW w:w="1134" w:type="dxa"/>
            <w:tcBorders>
              <w:top w:val="nil"/>
              <w:left w:val="nil"/>
              <w:bottom w:val="nil"/>
              <w:right w:val="nil"/>
            </w:tcBorders>
            <w:shd w:val="clear" w:color="auto" w:fill="auto"/>
            <w:hideMark/>
          </w:tcPr>
          <w:p w14:paraId="2D955EAF"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r>
      <w:tr w:rsidR="00244248" w:rsidRPr="00B6715A" w14:paraId="7166EF29" w14:textId="77777777" w:rsidTr="007C5778">
        <w:trPr>
          <w:trHeight w:val="227"/>
        </w:trPr>
        <w:tc>
          <w:tcPr>
            <w:tcW w:w="2127" w:type="dxa"/>
            <w:tcBorders>
              <w:top w:val="nil"/>
              <w:left w:val="nil"/>
              <w:bottom w:val="nil"/>
              <w:right w:val="nil"/>
            </w:tcBorders>
            <w:shd w:val="clear" w:color="auto" w:fill="auto"/>
            <w:vAlign w:val="center"/>
            <w:hideMark/>
          </w:tcPr>
          <w:p w14:paraId="77157174"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Diploma/ Cert III/IV</w:t>
            </w:r>
          </w:p>
        </w:tc>
        <w:tc>
          <w:tcPr>
            <w:tcW w:w="1136" w:type="dxa"/>
            <w:tcBorders>
              <w:top w:val="nil"/>
              <w:left w:val="nil"/>
              <w:bottom w:val="nil"/>
              <w:right w:val="nil"/>
            </w:tcBorders>
            <w:shd w:val="clear" w:color="auto" w:fill="auto"/>
            <w:hideMark/>
          </w:tcPr>
          <w:p w14:paraId="0CAE6A1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0.120***</w:t>
            </w:r>
          </w:p>
        </w:tc>
        <w:tc>
          <w:tcPr>
            <w:tcW w:w="1132" w:type="dxa"/>
            <w:tcBorders>
              <w:top w:val="nil"/>
              <w:left w:val="nil"/>
              <w:bottom w:val="nil"/>
              <w:right w:val="nil"/>
            </w:tcBorders>
            <w:shd w:val="clear" w:color="auto" w:fill="auto"/>
            <w:hideMark/>
          </w:tcPr>
          <w:p w14:paraId="1A291DC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0.035***</w:t>
            </w:r>
          </w:p>
        </w:tc>
        <w:tc>
          <w:tcPr>
            <w:tcW w:w="1134" w:type="dxa"/>
            <w:tcBorders>
              <w:top w:val="nil"/>
              <w:left w:val="nil"/>
              <w:bottom w:val="nil"/>
              <w:right w:val="nil"/>
            </w:tcBorders>
            <w:shd w:val="clear" w:color="auto" w:fill="auto"/>
            <w:hideMark/>
          </w:tcPr>
          <w:p w14:paraId="3667DC7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0.142***</w:t>
            </w:r>
          </w:p>
        </w:tc>
        <w:tc>
          <w:tcPr>
            <w:tcW w:w="1134" w:type="dxa"/>
            <w:tcBorders>
              <w:top w:val="nil"/>
              <w:left w:val="nil"/>
              <w:bottom w:val="nil"/>
              <w:right w:val="nil"/>
            </w:tcBorders>
            <w:shd w:val="clear" w:color="auto" w:fill="auto"/>
            <w:hideMark/>
          </w:tcPr>
          <w:p w14:paraId="4982A404"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0.101***</w:t>
            </w:r>
          </w:p>
        </w:tc>
        <w:tc>
          <w:tcPr>
            <w:tcW w:w="1134" w:type="dxa"/>
            <w:tcBorders>
              <w:top w:val="nil"/>
              <w:left w:val="nil"/>
              <w:bottom w:val="nil"/>
              <w:right w:val="nil"/>
            </w:tcBorders>
            <w:shd w:val="clear" w:color="auto" w:fill="auto"/>
            <w:hideMark/>
          </w:tcPr>
          <w:p w14:paraId="33DB09E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0.040***</w:t>
            </w:r>
          </w:p>
        </w:tc>
        <w:tc>
          <w:tcPr>
            <w:tcW w:w="1134" w:type="dxa"/>
            <w:tcBorders>
              <w:top w:val="nil"/>
              <w:left w:val="nil"/>
              <w:bottom w:val="nil"/>
              <w:right w:val="nil"/>
            </w:tcBorders>
            <w:shd w:val="clear" w:color="auto" w:fill="auto"/>
            <w:hideMark/>
          </w:tcPr>
          <w:p w14:paraId="7518356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0.047***</w:t>
            </w:r>
          </w:p>
        </w:tc>
        <w:tc>
          <w:tcPr>
            <w:tcW w:w="1134" w:type="dxa"/>
            <w:tcBorders>
              <w:top w:val="nil"/>
              <w:left w:val="nil"/>
              <w:bottom w:val="nil"/>
              <w:right w:val="nil"/>
            </w:tcBorders>
            <w:shd w:val="clear" w:color="auto" w:fill="auto"/>
            <w:hideMark/>
          </w:tcPr>
          <w:p w14:paraId="3CC51FEF"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0.042***</w:t>
            </w:r>
          </w:p>
        </w:tc>
      </w:tr>
      <w:tr w:rsidR="00244248" w:rsidRPr="00B6715A" w14:paraId="5D9C63C7" w14:textId="77777777" w:rsidTr="007C5778">
        <w:trPr>
          <w:trHeight w:val="227"/>
        </w:trPr>
        <w:tc>
          <w:tcPr>
            <w:tcW w:w="2127" w:type="dxa"/>
            <w:tcBorders>
              <w:top w:val="nil"/>
              <w:left w:val="nil"/>
              <w:bottom w:val="nil"/>
              <w:right w:val="nil"/>
            </w:tcBorders>
            <w:shd w:val="clear" w:color="auto" w:fill="auto"/>
            <w:vAlign w:val="center"/>
            <w:hideMark/>
          </w:tcPr>
          <w:p w14:paraId="14F1E1D9"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p>
        </w:tc>
        <w:tc>
          <w:tcPr>
            <w:tcW w:w="1136" w:type="dxa"/>
            <w:tcBorders>
              <w:top w:val="nil"/>
              <w:left w:val="nil"/>
              <w:bottom w:val="nil"/>
              <w:right w:val="nil"/>
            </w:tcBorders>
            <w:shd w:val="clear" w:color="auto" w:fill="auto"/>
            <w:hideMark/>
          </w:tcPr>
          <w:p w14:paraId="1E71EF51"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(0.008)</w:t>
            </w:r>
          </w:p>
        </w:tc>
        <w:tc>
          <w:tcPr>
            <w:tcW w:w="1132" w:type="dxa"/>
            <w:tcBorders>
              <w:top w:val="nil"/>
              <w:left w:val="nil"/>
              <w:bottom w:val="nil"/>
              <w:right w:val="nil"/>
            </w:tcBorders>
            <w:shd w:val="clear" w:color="auto" w:fill="auto"/>
            <w:hideMark/>
          </w:tcPr>
          <w:p w14:paraId="13F6B3B8"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(0.005)</w:t>
            </w:r>
          </w:p>
        </w:tc>
        <w:tc>
          <w:tcPr>
            <w:tcW w:w="1134" w:type="dxa"/>
            <w:tcBorders>
              <w:top w:val="nil"/>
              <w:left w:val="nil"/>
              <w:bottom w:val="nil"/>
              <w:right w:val="nil"/>
            </w:tcBorders>
            <w:shd w:val="clear" w:color="auto" w:fill="auto"/>
            <w:hideMark/>
          </w:tcPr>
          <w:p w14:paraId="7A5963A5"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(0.016)</w:t>
            </w:r>
          </w:p>
        </w:tc>
        <w:tc>
          <w:tcPr>
            <w:tcW w:w="1134" w:type="dxa"/>
            <w:tcBorders>
              <w:top w:val="nil"/>
              <w:left w:val="nil"/>
              <w:bottom w:val="nil"/>
              <w:right w:val="nil"/>
            </w:tcBorders>
            <w:shd w:val="clear" w:color="auto" w:fill="auto"/>
            <w:hideMark/>
          </w:tcPr>
          <w:p w14:paraId="5250ADEC"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(0.017)</w:t>
            </w:r>
          </w:p>
        </w:tc>
        <w:tc>
          <w:tcPr>
            <w:tcW w:w="1134" w:type="dxa"/>
            <w:tcBorders>
              <w:top w:val="nil"/>
              <w:left w:val="nil"/>
              <w:bottom w:val="nil"/>
              <w:right w:val="nil"/>
            </w:tcBorders>
            <w:shd w:val="clear" w:color="auto" w:fill="auto"/>
            <w:hideMark/>
          </w:tcPr>
          <w:p w14:paraId="7C2D0FAC"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(0.012)</w:t>
            </w:r>
          </w:p>
        </w:tc>
        <w:tc>
          <w:tcPr>
            <w:tcW w:w="1134" w:type="dxa"/>
            <w:tcBorders>
              <w:top w:val="nil"/>
              <w:left w:val="nil"/>
              <w:bottom w:val="nil"/>
              <w:right w:val="nil"/>
            </w:tcBorders>
            <w:shd w:val="clear" w:color="auto" w:fill="auto"/>
            <w:hideMark/>
          </w:tcPr>
          <w:p w14:paraId="67BF2AA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(0.011)</w:t>
            </w:r>
          </w:p>
        </w:tc>
        <w:tc>
          <w:tcPr>
            <w:tcW w:w="1134" w:type="dxa"/>
            <w:tcBorders>
              <w:top w:val="nil"/>
              <w:left w:val="nil"/>
              <w:bottom w:val="nil"/>
              <w:right w:val="nil"/>
            </w:tcBorders>
            <w:shd w:val="clear" w:color="auto" w:fill="auto"/>
            <w:hideMark/>
          </w:tcPr>
          <w:p w14:paraId="2BD320C1"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r>
      <w:tr w:rsidR="00244248" w:rsidRPr="00B6715A" w14:paraId="4669558C" w14:textId="77777777" w:rsidTr="007C5778">
        <w:trPr>
          <w:trHeight w:val="227"/>
        </w:trPr>
        <w:tc>
          <w:tcPr>
            <w:tcW w:w="2127" w:type="dxa"/>
            <w:tcBorders>
              <w:top w:val="nil"/>
              <w:left w:val="nil"/>
              <w:bottom w:val="nil"/>
              <w:right w:val="nil"/>
            </w:tcBorders>
            <w:shd w:val="clear" w:color="auto" w:fill="auto"/>
            <w:vAlign w:val="center"/>
            <w:hideMark/>
          </w:tcPr>
          <w:p w14:paraId="53ACB71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Year 12</w:t>
            </w:r>
          </w:p>
        </w:tc>
        <w:tc>
          <w:tcPr>
            <w:tcW w:w="1136" w:type="dxa"/>
            <w:tcBorders>
              <w:top w:val="nil"/>
              <w:left w:val="nil"/>
              <w:bottom w:val="nil"/>
              <w:right w:val="nil"/>
            </w:tcBorders>
            <w:shd w:val="clear" w:color="auto" w:fill="auto"/>
            <w:hideMark/>
          </w:tcPr>
          <w:p w14:paraId="23F7BEA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0.201***</w:t>
            </w:r>
          </w:p>
        </w:tc>
        <w:tc>
          <w:tcPr>
            <w:tcW w:w="1132" w:type="dxa"/>
            <w:tcBorders>
              <w:top w:val="nil"/>
              <w:left w:val="nil"/>
              <w:bottom w:val="nil"/>
              <w:right w:val="nil"/>
            </w:tcBorders>
            <w:shd w:val="clear" w:color="auto" w:fill="auto"/>
            <w:hideMark/>
          </w:tcPr>
          <w:p w14:paraId="7258C37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0.098***</w:t>
            </w:r>
          </w:p>
        </w:tc>
        <w:tc>
          <w:tcPr>
            <w:tcW w:w="1134" w:type="dxa"/>
            <w:tcBorders>
              <w:top w:val="nil"/>
              <w:left w:val="nil"/>
              <w:bottom w:val="nil"/>
              <w:right w:val="nil"/>
            </w:tcBorders>
            <w:shd w:val="clear" w:color="auto" w:fill="auto"/>
            <w:hideMark/>
          </w:tcPr>
          <w:p w14:paraId="5250513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0.204***</w:t>
            </w:r>
          </w:p>
        </w:tc>
        <w:tc>
          <w:tcPr>
            <w:tcW w:w="1134" w:type="dxa"/>
            <w:tcBorders>
              <w:top w:val="nil"/>
              <w:left w:val="nil"/>
              <w:bottom w:val="nil"/>
              <w:right w:val="nil"/>
            </w:tcBorders>
            <w:shd w:val="clear" w:color="auto" w:fill="auto"/>
            <w:hideMark/>
          </w:tcPr>
          <w:p w14:paraId="6E47F3C1"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0.097***</w:t>
            </w:r>
          </w:p>
        </w:tc>
        <w:tc>
          <w:tcPr>
            <w:tcW w:w="1134" w:type="dxa"/>
            <w:tcBorders>
              <w:top w:val="nil"/>
              <w:left w:val="nil"/>
              <w:bottom w:val="nil"/>
              <w:right w:val="nil"/>
            </w:tcBorders>
            <w:shd w:val="clear" w:color="auto" w:fill="auto"/>
            <w:hideMark/>
          </w:tcPr>
          <w:p w14:paraId="595F385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0.022</w:t>
            </w:r>
          </w:p>
        </w:tc>
        <w:tc>
          <w:tcPr>
            <w:tcW w:w="1134" w:type="dxa"/>
            <w:tcBorders>
              <w:top w:val="nil"/>
              <w:left w:val="nil"/>
              <w:bottom w:val="nil"/>
              <w:right w:val="nil"/>
            </w:tcBorders>
            <w:shd w:val="clear" w:color="auto" w:fill="auto"/>
            <w:hideMark/>
          </w:tcPr>
          <w:p w14:paraId="3501139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0.052***</w:t>
            </w:r>
          </w:p>
        </w:tc>
        <w:tc>
          <w:tcPr>
            <w:tcW w:w="1134" w:type="dxa"/>
            <w:tcBorders>
              <w:top w:val="nil"/>
              <w:left w:val="nil"/>
              <w:bottom w:val="nil"/>
              <w:right w:val="nil"/>
            </w:tcBorders>
            <w:shd w:val="clear" w:color="auto" w:fill="auto"/>
            <w:hideMark/>
          </w:tcPr>
          <w:p w14:paraId="05591AE4"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0.080***</w:t>
            </w:r>
          </w:p>
        </w:tc>
      </w:tr>
      <w:tr w:rsidR="00244248" w:rsidRPr="00B6715A" w14:paraId="01F960DC" w14:textId="77777777" w:rsidTr="007C5778">
        <w:trPr>
          <w:trHeight w:val="227"/>
        </w:trPr>
        <w:tc>
          <w:tcPr>
            <w:tcW w:w="2127" w:type="dxa"/>
            <w:tcBorders>
              <w:top w:val="nil"/>
              <w:left w:val="nil"/>
              <w:bottom w:val="single" w:sz="8" w:space="0" w:color="ED7D31"/>
              <w:right w:val="nil"/>
            </w:tcBorders>
            <w:shd w:val="clear" w:color="auto" w:fill="auto"/>
            <w:vAlign w:val="center"/>
            <w:hideMark/>
          </w:tcPr>
          <w:p w14:paraId="5203C8F4"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auto" w:fill="auto"/>
            <w:hideMark/>
          </w:tcPr>
          <w:p w14:paraId="76412476"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(0.008)</w:t>
            </w:r>
          </w:p>
        </w:tc>
        <w:tc>
          <w:tcPr>
            <w:tcW w:w="1132" w:type="dxa"/>
            <w:tcBorders>
              <w:top w:val="nil"/>
              <w:left w:val="nil"/>
              <w:bottom w:val="single" w:sz="8" w:space="0" w:color="ED7D31"/>
              <w:right w:val="nil"/>
            </w:tcBorders>
            <w:shd w:val="clear" w:color="auto" w:fill="auto"/>
            <w:hideMark/>
          </w:tcPr>
          <w:p w14:paraId="3C20AB51"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(0.005)</w:t>
            </w:r>
          </w:p>
        </w:tc>
        <w:tc>
          <w:tcPr>
            <w:tcW w:w="1134" w:type="dxa"/>
            <w:tcBorders>
              <w:top w:val="nil"/>
              <w:left w:val="nil"/>
              <w:bottom w:val="single" w:sz="8" w:space="0" w:color="ED7D31"/>
              <w:right w:val="nil"/>
            </w:tcBorders>
            <w:shd w:val="clear" w:color="auto" w:fill="auto"/>
            <w:hideMark/>
          </w:tcPr>
          <w:p w14:paraId="4C59245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(0.017)</w:t>
            </w:r>
          </w:p>
        </w:tc>
        <w:tc>
          <w:tcPr>
            <w:tcW w:w="1134" w:type="dxa"/>
            <w:tcBorders>
              <w:top w:val="nil"/>
              <w:left w:val="nil"/>
              <w:bottom w:val="single" w:sz="8" w:space="0" w:color="ED7D31"/>
              <w:right w:val="nil"/>
            </w:tcBorders>
            <w:shd w:val="clear" w:color="auto" w:fill="auto"/>
            <w:hideMark/>
          </w:tcPr>
          <w:p w14:paraId="12D4A069"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(0.019)</w:t>
            </w:r>
          </w:p>
        </w:tc>
        <w:tc>
          <w:tcPr>
            <w:tcW w:w="1134" w:type="dxa"/>
            <w:tcBorders>
              <w:top w:val="nil"/>
              <w:left w:val="nil"/>
              <w:bottom w:val="single" w:sz="8" w:space="0" w:color="ED7D31"/>
              <w:right w:val="nil"/>
            </w:tcBorders>
            <w:shd w:val="clear" w:color="auto" w:fill="auto"/>
            <w:hideMark/>
          </w:tcPr>
          <w:p w14:paraId="021A9E76"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(0.014)</w:t>
            </w:r>
          </w:p>
        </w:tc>
        <w:tc>
          <w:tcPr>
            <w:tcW w:w="1134" w:type="dxa"/>
            <w:tcBorders>
              <w:top w:val="nil"/>
              <w:left w:val="nil"/>
              <w:bottom w:val="single" w:sz="8" w:space="0" w:color="ED7D31"/>
              <w:right w:val="nil"/>
            </w:tcBorders>
            <w:shd w:val="clear" w:color="auto" w:fill="auto"/>
            <w:hideMark/>
          </w:tcPr>
          <w:p w14:paraId="523DBED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(0.013)</w:t>
            </w:r>
          </w:p>
        </w:tc>
        <w:tc>
          <w:tcPr>
            <w:tcW w:w="1134" w:type="dxa"/>
            <w:tcBorders>
              <w:top w:val="nil"/>
              <w:left w:val="nil"/>
              <w:bottom w:val="single" w:sz="8" w:space="0" w:color="ED7D31"/>
              <w:right w:val="nil"/>
            </w:tcBorders>
            <w:shd w:val="clear" w:color="auto" w:fill="auto"/>
            <w:hideMark/>
          </w:tcPr>
          <w:p w14:paraId="25CE9A12"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(0.012)</w:t>
            </w:r>
          </w:p>
        </w:tc>
      </w:tr>
      <w:tr w:rsidR="00244248" w:rsidRPr="00B6715A" w14:paraId="017F5E26" w14:textId="77777777" w:rsidTr="007C5778">
        <w:trPr>
          <w:trHeight w:val="227"/>
        </w:trPr>
        <w:tc>
          <w:tcPr>
            <w:tcW w:w="2127" w:type="dxa"/>
            <w:tcBorders>
              <w:top w:val="nil"/>
              <w:left w:val="nil"/>
              <w:bottom w:val="nil"/>
              <w:right w:val="nil"/>
            </w:tcBorders>
            <w:shd w:val="clear" w:color="auto" w:fill="auto"/>
            <w:vAlign w:val="center"/>
            <w:hideMark/>
          </w:tcPr>
          <w:p w14:paraId="570593DD"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r w:rsidRPr="00B6715A">
              <w:rPr>
                <w:rFonts w:asciiTheme="majorHAnsi" w:eastAsia="Times New Roman" w:hAnsiTheme="majorHAnsi" w:cstheme="majorHAnsi"/>
                <w:b/>
                <w:bCs/>
                <w:color w:val="000000"/>
                <w:sz w:val="20"/>
                <w:szCs w:val="20"/>
                <w:lang w:val="en-US" w:eastAsia="en-AU"/>
              </w:rPr>
              <w:t xml:space="preserve">Relationship status </w:t>
            </w:r>
            <w:r w:rsidRPr="00B6715A">
              <w:rPr>
                <w:rFonts w:asciiTheme="majorHAnsi" w:eastAsia="Times New Roman" w:hAnsiTheme="majorHAnsi" w:cstheme="majorHAnsi"/>
                <w:color w:val="000000"/>
                <w:sz w:val="20"/>
                <w:szCs w:val="20"/>
                <w:lang w:val="en-US" w:eastAsia="en-AU"/>
              </w:rPr>
              <w:t>(ref: Single)</w:t>
            </w:r>
          </w:p>
        </w:tc>
        <w:tc>
          <w:tcPr>
            <w:tcW w:w="1136" w:type="dxa"/>
            <w:tcBorders>
              <w:top w:val="nil"/>
              <w:left w:val="nil"/>
              <w:bottom w:val="nil"/>
              <w:right w:val="nil"/>
            </w:tcBorders>
            <w:shd w:val="clear" w:color="auto" w:fill="auto"/>
            <w:vAlign w:val="center"/>
            <w:hideMark/>
          </w:tcPr>
          <w:p w14:paraId="0C066B1E"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p>
        </w:tc>
        <w:tc>
          <w:tcPr>
            <w:tcW w:w="1132" w:type="dxa"/>
            <w:tcBorders>
              <w:top w:val="nil"/>
              <w:left w:val="nil"/>
              <w:bottom w:val="nil"/>
              <w:right w:val="nil"/>
            </w:tcBorders>
            <w:shd w:val="clear" w:color="auto" w:fill="auto"/>
            <w:vAlign w:val="center"/>
            <w:hideMark/>
          </w:tcPr>
          <w:p w14:paraId="6D48229B" w14:textId="77777777" w:rsidR="00244248" w:rsidRPr="00B6715A" w:rsidRDefault="00244248" w:rsidP="00335B25">
            <w:pPr>
              <w:spacing w:after="0" w:line="240" w:lineRule="auto"/>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36483CE" w14:textId="77777777" w:rsidR="00244248" w:rsidRPr="00B6715A" w:rsidRDefault="00244248" w:rsidP="00335B25">
            <w:pPr>
              <w:spacing w:after="0" w:line="240" w:lineRule="auto"/>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4221341A" w14:textId="77777777" w:rsidR="00244248" w:rsidRPr="00B6715A" w:rsidRDefault="00244248" w:rsidP="00335B25">
            <w:pPr>
              <w:spacing w:after="0" w:line="240" w:lineRule="auto"/>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0ED8A11D" w14:textId="77777777" w:rsidR="00244248" w:rsidRPr="00B6715A" w:rsidRDefault="00244248" w:rsidP="00335B25">
            <w:pPr>
              <w:spacing w:after="0" w:line="240" w:lineRule="auto"/>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27A99CF2" w14:textId="77777777" w:rsidR="00244248" w:rsidRPr="00B6715A" w:rsidRDefault="00244248" w:rsidP="00335B25">
            <w:pPr>
              <w:spacing w:after="0" w:line="240" w:lineRule="auto"/>
              <w:rPr>
                <w:rFonts w:asciiTheme="majorHAnsi" w:eastAsia="Times New Roman" w:hAnsiTheme="majorHAnsi" w:cstheme="majorHAnsi"/>
                <w:sz w:val="20"/>
                <w:szCs w:val="20"/>
                <w:lang w:eastAsia="en-AU"/>
              </w:rPr>
            </w:pPr>
          </w:p>
        </w:tc>
        <w:tc>
          <w:tcPr>
            <w:tcW w:w="1134" w:type="dxa"/>
            <w:tcBorders>
              <w:top w:val="nil"/>
              <w:left w:val="nil"/>
              <w:bottom w:val="nil"/>
              <w:right w:val="nil"/>
            </w:tcBorders>
            <w:shd w:val="clear" w:color="auto" w:fill="auto"/>
            <w:vAlign w:val="center"/>
            <w:hideMark/>
          </w:tcPr>
          <w:p w14:paraId="30F6A75D" w14:textId="77777777" w:rsidR="00244248" w:rsidRPr="00B6715A" w:rsidRDefault="00244248" w:rsidP="00335B25">
            <w:pPr>
              <w:spacing w:after="0" w:line="240" w:lineRule="auto"/>
              <w:rPr>
                <w:rFonts w:asciiTheme="majorHAnsi" w:eastAsia="Times New Roman" w:hAnsiTheme="majorHAnsi" w:cstheme="majorHAnsi"/>
                <w:sz w:val="20"/>
                <w:szCs w:val="20"/>
                <w:lang w:eastAsia="en-AU"/>
              </w:rPr>
            </w:pPr>
          </w:p>
        </w:tc>
      </w:tr>
      <w:tr w:rsidR="00244248" w:rsidRPr="00B6715A" w14:paraId="373397A8" w14:textId="77777777" w:rsidTr="007C5778">
        <w:trPr>
          <w:trHeight w:val="227"/>
        </w:trPr>
        <w:tc>
          <w:tcPr>
            <w:tcW w:w="2127" w:type="dxa"/>
            <w:tcBorders>
              <w:top w:val="nil"/>
              <w:left w:val="nil"/>
              <w:bottom w:val="nil"/>
              <w:right w:val="nil"/>
            </w:tcBorders>
            <w:shd w:val="clear" w:color="auto" w:fill="auto"/>
            <w:vAlign w:val="center"/>
            <w:hideMark/>
          </w:tcPr>
          <w:p w14:paraId="0E4B9699"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Married</w:t>
            </w:r>
          </w:p>
        </w:tc>
        <w:tc>
          <w:tcPr>
            <w:tcW w:w="1136" w:type="dxa"/>
            <w:tcBorders>
              <w:top w:val="nil"/>
              <w:left w:val="nil"/>
              <w:bottom w:val="nil"/>
              <w:right w:val="nil"/>
            </w:tcBorders>
            <w:shd w:val="clear" w:color="auto" w:fill="auto"/>
            <w:hideMark/>
          </w:tcPr>
          <w:p w14:paraId="04DD274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-0.399***</w:t>
            </w:r>
          </w:p>
        </w:tc>
        <w:tc>
          <w:tcPr>
            <w:tcW w:w="1132" w:type="dxa"/>
            <w:tcBorders>
              <w:top w:val="nil"/>
              <w:left w:val="nil"/>
              <w:bottom w:val="nil"/>
              <w:right w:val="nil"/>
            </w:tcBorders>
            <w:shd w:val="clear" w:color="auto" w:fill="auto"/>
            <w:hideMark/>
          </w:tcPr>
          <w:p w14:paraId="3339916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-0.173***</w:t>
            </w:r>
          </w:p>
        </w:tc>
        <w:tc>
          <w:tcPr>
            <w:tcW w:w="1134" w:type="dxa"/>
            <w:tcBorders>
              <w:top w:val="nil"/>
              <w:left w:val="nil"/>
              <w:bottom w:val="nil"/>
              <w:right w:val="nil"/>
            </w:tcBorders>
            <w:shd w:val="clear" w:color="auto" w:fill="auto"/>
            <w:hideMark/>
          </w:tcPr>
          <w:p w14:paraId="428BBEC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-0.376***</w:t>
            </w:r>
          </w:p>
        </w:tc>
        <w:tc>
          <w:tcPr>
            <w:tcW w:w="1134" w:type="dxa"/>
            <w:tcBorders>
              <w:top w:val="nil"/>
              <w:left w:val="nil"/>
              <w:bottom w:val="nil"/>
              <w:right w:val="nil"/>
            </w:tcBorders>
            <w:shd w:val="clear" w:color="auto" w:fill="auto"/>
            <w:hideMark/>
          </w:tcPr>
          <w:p w14:paraId="0622836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-0.330***</w:t>
            </w:r>
          </w:p>
        </w:tc>
        <w:tc>
          <w:tcPr>
            <w:tcW w:w="1134" w:type="dxa"/>
            <w:tcBorders>
              <w:top w:val="nil"/>
              <w:left w:val="nil"/>
              <w:bottom w:val="nil"/>
              <w:right w:val="nil"/>
            </w:tcBorders>
            <w:shd w:val="clear" w:color="auto" w:fill="auto"/>
            <w:hideMark/>
          </w:tcPr>
          <w:p w14:paraId="7518549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-0.220***</w:t>
            </w:r>
          </w:p>
        </w:tc>
        <w:tc>
          <w:tcPr>
            <w:tcW w:w="1134" w:type="dxa"/>
            <w:tcBorders>
              <w:top w:val="nil"/>
              <w:left w:val="nil"/>
              <w:bottom w:val="nil"/>
              <w:right w:val="nil"/>
            </w:tcBorders>
            <w:shd w:val="clear" w:color="auto" w:fill="auto"/>
            <w:hideMark/>
          </w:tcPr>
          <w:p w14:paraId="41732CC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-0.158***</w:t>
            </w:r>
          </w:p>
        </w:tc>
        <w:tc>
          <w:tcPr>
            <w:tcW w:w="1134" w:type="dxa"/>
            <w:tcBorders>
              <w:top w:val="nil"/>
              <w:left w:val="nil"/>
              <w:bottom w:val="nil"/>
              <w:right w:val="nil"/>
            </w:tcBorders>
            <w:shd w:val="clear" w:color="auto" w:fill="auto"/>
            <w:hideMark/>
          </w:tcPr>
          <w:p w14:paraId="7A8ABAF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-0.104***</w:t>
            </w:r>
          </w:p>
        </w:tc>
      </w:tr>
      <w:tr w:rsidR="00244248" w:rsidRPr="00B6715A" w14:paraId="4A7D63F2" w14:textId="77777777" w:rsidTr="007C5778">
        <w:trPr>
          <w:trHeight w:val="227"/>
        </w:trPr>
        <w:tc>
          <w:tcPr>
            <w:tcW w:w="2127" w:type="dxa"/>
            <w:tcBorders>
              <w:top w:val="nil"/>
              <w:left w:val="nil"/>
              <w:bottom w:val="nil"/>
              <w:right w:val="nil"/>
            </w:tcBorders>
            <w:shd w:val="clear" w:color="auto" w:fill="auto"/>
            <w:vAlign w:val="center"/>
            <w:hideMark/>
          </w:tcPr>
          <w:p w14:paraId="514DE0A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p>
        </w:tc>
        <w:tc>
          <w:tcPr>
            <w:tcW w:w="1136" w:type="dxa"/>
            <w:tcBorders>
              <w:top w:val="nil"/>
              <w:left w:val="nil"/>
              <w:bottom w:val="nil"/>
              <w:right w:val="nil"/>
            </w:tcBorders>
            <w:shd w:val="clear" w:color="auto" w:fill="auto"/>
            <w:hideMark/>
          </w:tcPr>
          <w:p w14:paraId="33B0FBC1"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(0.006)</w:t>
            </w:r>
          </w:p>
        </w:tc>
        <w:tc>
          <w:tcPr>
            <w:tcW w:w="1132" w:type="dxa"/>
            <w:tcBorders>
              <w:top w:val="nil"/>
              <w:left w:val="nil"/>
              <w:bottom w:val="nil"/>
              <w:right w:val="nil"/>
            </w:tcBorders>
            <w:shd w:val="clear" w:color="auto" w:fill="auto"/>
            <w:hideMark/>
          </w:tcPr>
          <w:p w14:paraId="27B6E9B7"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(0.006)</w:t>
            </w:r>
          </w:p>
        </w:tc>
        <w:tc>
          <w:tcPr>
            <w:tcW w:w="1134" w:type="dxa"/>
            <w:tcBorders>
              <w:top w:val="nil"/>
              <w:left w:val="nil"/>
              <w:bottom w:val="nil"/>
              <w:right w:val="nil"/>
            </w:tcBorders>
            <w:shd w:val="clear" w:color="auto" w:fill="auto"/>
            <w:hideMark/>
          </w:tcPr>
          <w:p w14:paraId="2F30D9B6"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(0.013)</w:t>
            </w:r>
          </w:p>
        </w:tc>
        <w:tc>
          <w:tcPr>
            <w:tcW w:w="1134" w:type="dxa"/>
            <w:tcBorders>
              <w:top w:val="nil"/>
              <w:left w:val="nil"/>
              <w:bottom w:val="nil"/>
              <w:right w:val="nil"/>
            </w:tcBorders>
            <w:shd w:val="clear" w:color="auto" w:fill="auto"/>
            <w:hideMark/>
          </w:tcPr>
          <w:p w14:paraId="001CF8D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(0.014)</w:t>
            </w:r>
          </w:p>
        </w:tc>
        <w:tc>
          <w:tcPr>
            <w:tcW w:w="1134" w:type="dxa"/>
            <w:tcBorders>
              <w:top w:val="nil"/>
              <w:left w:val="nil"/>
              <w:bottom w:val="nil"/>
              <w:right w:val="nil"/>
            </w:tcBorders>
            <w:shd w:val="clear" w:color="auto" w:fill="auto"/>
            <w:hideMark/>
          </w:tcPr>
          <w:p w14:paraId="7283A5F3"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c>
          <w:tcPr>
            <w:tcW w:w="1134" w:type="dxa"/>
            <w:tcBorders>
              <w:top w:val="nil"/>
              <w:left w:val="nil"/>
              <w:bottom w:val="nil"/>
              <w:right w:val="nil"/>
            </w:tcBorders>
            <w:shd w:val="clear" w:color="auto" w:fill="auto"/>
            <w:hideMark/>
          </w:tcPr>
          <w:p w14:paraId="3F82448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(0.009)</w:t>
            </w:r>
          </w:p>
        </w:tc>
        <w:tc>
          <w:tcPr>
            <w:tcW w:w="1134" w:type="dxa"/>
            <w:tcBorders>
              <w:top w:val="nil"/>
              <w:left w:val="nil"/>
              <w:bottom w:val="nil"/>
              <w:right w:val="nil"/>
            </w:tcBorders>
            <w:shd w:val="clear" w:color="auto" w:fill="auto"/>
            <w:hideMark/>
          </w:tcPr>
          <w:p w14:paraId="038CC565"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(0.009)</w:t>
            </w:r>
          </w:p>
        </w:tc>
      </w:tr>
      <w:tr w:rsidR="00244248" w:rsidRPr="00B6715A" w14:paraId="5EC8E43A" w14:textId="77777777" w:rsidTr="007C5778">
        <w:trPr>
          <w:trHeight w:val="227"/>
        </w:trPr>
        <w:tc>
          <w:tcPr>
            <w:tcW w:w="2127" w:type="dxa"/>
            <w:tcBorders>
              <w:top w:val="nil"/>
              <w:left w:val="nil"/>
              <w:bottom w:val="nil"/>
              <w:right w:val="nil"/>
            </w:tcBorders>
            <w:shd w:val="clear" w:color="auto" w:fill="auto"/>
            <w:vAlign w:val="center"/>
            <w:hideMark/>
          </w:tcPr>
          <w:p w14:paraId="477013D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Cohabiting</w:t>
            </w:r>
          </w:p>
        </w:tc>
        <w:tc>
          <w:tcPr>
            <w:tcW w:w="1136" w:type="dxa"/>
            <w:tcBorders>
              <w:top w:val="nil"/>
              <w:left w:val="nil"/>
              <w:bottom w:val="nil"/>
              <w:right w:val="nil"/>
            </w:tcBorders>
            <w:shd w:val="clear" w:color="auto" w:fill="auto"/>
            <w:hideMark/>
          </w:tcPr>
          <w:p w14:paraId="31B6835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-0.127***</w:t>
            </w:r>
          </w:p>
        </w:tc>
        <w:tc>
          <w:tcPr>
            <w:tcW w:w="1132" w:type="dxa"/>
            <w:tcBorders>
              <w:top w:val="nil"/>
              <w:left w:val="nil"/>
              <w:bottom w:val="nil"/>
              <w:right w:val="nil"/>
            </w:tcBorders>
            <w:shd w:val="clear" w:color="auto" w:fill="auto"/>
            <w:hideMark/>
          </w:tcPr>
          <w:p w14:paraId="41D95EB9"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-0.095***</w:t>
            </w:r>
          </w:p>
        </w:tc>
        <w:tc>
          <w:tcPr>
            <w:tcW w:w="1134" w:type="dxa"/>
            <w:tcBorders>
              <w:top w:val="nil"/>
              <w:left w:val="nil"/>
              <w:bottom w:val="nil"/>
              <w:right w:val="nil"/>
            </w:tcBorders>
            <w:shd w:val="clear" w:color="auto" w:fill="auto"/>
            <w:hideMark/>
          </w:tcPr>
          <w:p w14:paraId="4B13A8F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-0.074***</w:t>
            </w:r>
          </w:p>
        </w:tc>
        <w:tc>
          <w:tcPr>
            <w:tcW w:w="1134" w:type="dxa"/>
            <w:tcBorders>
              <w:top w:val="nil"/>
              <w:left w:val="nil"/>
              <w:bottom w:val="nil"/>
              <w:right w:val="nil"/>
            </w:tcBorders>
            <w:shd w:val="clear" w:color="auto" w:fill="auto"/>
            <w:hideMark/>
          </w:tcPr>
          <w:p w14:paraId="4C44CED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-0.045***</w:t>
            </w:r>
          </w:p>
        </w:tc>
        <w:tc>
          <w:tcPr>
            <w:tcW w:w="1134" w:type="dxa"/>
            <w:tcBorders>
              <w:top w:val="nil"/>
              <w:left w:val="nil"/>
              <w:bottom w:val="nil"/>
              <w:right w:val="nil"/>
            </w:tcBorders>
            <w:shd w:val="clear" w:color="auto" w:fill="auto"/>
            <w:hideMark/>
          </w:tcPr>
          <w:p w14:paraId="06BFC4CF"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-0.027**</w:t>
            </w:r>
          </w:p>
        </w:tc>
        <w:tc>
          <w:tcPr>
            <w:tcW w:w="1134" w:type="dxa"/>
            <w:tcBorders>
              <w:top w:val="nil"/>
              <w:left w:val="nil"/>
              <w:bottom w:val="nil"/>
              <w:right w:val="nil"/>
            </w:tcBorders>
            <w:shd w:val="clear" w:color="auto" w:fill="auto"/>
            <w:hideMark/>
          </w:tcPr>
          <w:p w14:paraId="05EDDD3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-0.003</w:t>
            </w:r>
          </w:p>
        </w:tc>
        <w:tc>
          <w:tcPr>
            <w:tcW w:w="1134" w:type="dxa"/>
            <w:tcBorders>
              <w:top w:val="nil"/>
              <w:left w:val="nil"/>
              <w:bottom w:val="nil"/>
              <w:right w:val="nil"/>
            </w:tcBorders>
            <w:shd w:val="clear" w:color="auto" w:fill="auto"/>
            <w:hideMark/>
          </w:tcPr>
          <w:p w14:paraId="114D552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0.018*</w:t>
            </w:r>
          </w:p>
        </w:tc>
      </w:tr>
      <w:tr w:rsidR="00244248" w:rsidRPr="00B6715A" w14:paraId="206E1B0A" w14:textId="77777777" w:rsidTr="007C5778">
        <w:trPr>
          <w:trHeight w:val="227"/>
        </w:trPr>
        <w:tc>
          <w:tcPr>
            <w:tcW w:w="2127" w:type="dxa"/>
            <w:tcBorders>
              <w:top w:val="nil"/>
              <w:left w:val="nil"/>
              <w:bottom w:val="single" w:sz="8" w:space="0" w:color="ED7D31"/>
              <w:right w:val="nil"/>
            </w:tcBorders>
            <w:shd w:val="clear" w:color="auto" w:fill="auto"/>
            <w:vAlign w:val="center"/>
            <w:hideMark/>
          </w:tcPr>
          <w:p w14:paraId="5BE8793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auto" w:fill="auto"/>
            <w:hideMark/>
          </w:tcPr>
          <w:p w14:paraId="007ED4ED"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(0.006)</w:t>
            </w:r>
          </w:p>
        </w:tc>
        <w:tc>
          <w:tcPr>
            <w:tcW w:w="1132" w:type="dxa"/>
            <w:tcBorders>
              <w:top w:val="nil"/>
              <w:left w:val="nil"/>
              <w:bottom w:val="single" w:sz="8" w:space="0" w:color="ED7D31"/>
              <w:right w:val="nil"/>
            </w:tcBorders>
            <w:shd w:val="clear" w:color="auto" w:fill="auto"/>
            <w:hideMark/>
          </w:tcPr>
          <w:p w14:paraId="1CBB4671"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(0.004)</w:t>
            </w:r>
          </w:p>
        </w:tc>
        <w:tc>
          <w:tcPr>
            <w:tcW w:w="1134" w:type="dxa"/>
            <w:tcBorders>
              <w:top w:val="nil"/>
              <w:left w:val="nil"/>
              <w:bottom w:val="single" w:sz="8" w:space="0" w:color="ED7D31"/>
              <w:right w:val="nil"/>
            </w:tcBorders>
            <w:shd w:val="clear" w:color="auto" w:fill="auto"/>
            <w:hideMark/>
          </w:tcPr>
          <w:p w14:paraId="578A1552"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(0.013)</w:t>
            </w:r>
          </w:p>
        </w:tc>
        <w:tc>
          <w:tcPr>
            <w:tcW w:w="1134" w:type="dxa"/>
            <w:tcBorders>
              <w:top w:val="nil"/>
              <w:left w:val="nil"/>
              <w:bottom w:val="single" w:sz="8" w:space="0" w:color="ED7D31"/>
              <w:right w:val="nil"/>
            </w:tcBorders>
            <w:shd w:val="clear" w:color="auto" w:fill="auto"/>
            <w:hideMark/>
          </w:tcPr>
          <w:p w14:paraId="6760DFF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(0.015)</w:t>
            </w:r>
          </w:p>
        </w:tc>
        <w:tc>
          <w:tcPr>
            <w:tcW w:w="1134" w:type="dxa"/>
            <w:tcBorders>
              <w:top w:val="nil"/>
              <w:left w:val="nil"/>
              <w:bottom w:val="single" w:sz="8" w:space="0" w:color="ED7D31"/>
              <w:right w:val="nil"/>
            </w:tcBorders>
            <w:shd w:val="clear" w:color="auto" w:fill="auto"/>
            <w:hideMark/>
          </w:tcPr>
          <w:p w14:paraId="0A7BE6FD"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(0.011)</w:t>
            </w:r>
          </w:p>
        </w:tc>
        <w:tc>
          <w:tcPr>
            <w:tcW w:w="1134" w:type="dxa"/>
            <w:tcBorders>
              <w:top w:val="nil"/>
              <w:left w:val="nil"/>
              <w:bottom w:val="single" w:sz="8" w:space="0" w:color="ED7D31"/>
              <w:right w:val="nil"/>
            </w:tcBorders>
            <w:shd w:val="clear" w:color="auto" w:fill="auto"/>
            <w:hideMark/>
          </w:tcPr>
          <w:p w14:paraId="4E59217F"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(0.011)</w:t>
            </w:r>
          </w:p>
        </w:tc>
        <w:tc>
          <w:tcPr>
            <w:tcW w:w="1134" w:type="dxa"/>
            <w:tcBorders>
              <w:top w:val="nil"/>
              <w:left w:val="nil"/>
              <w:bottom w:val="single" w:sz="8" w:space="0" w:color="ED7D31"/>
              <w:right w:val="nil"/>
            </w:tcBorders>
            <w:shd w:val="clear" w:color="auto" w:fill="auto"/>
            <w:hideMark/>
          </w:tcPr>
          <w:p w14:paraId="4C66D7B5"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(0.011)</w:t>
            </w:r>
          </w:p>
        </w:tc>
      </w:tr>
      <w:tr w:rsidR="00244248" w:rsidRPr="00B6715A" w14:paraId="2943D998" w14:textId="77777777" w:rsidTr="007C5778">
        <w:trPr>
          <w:trHeight w:val="227"/>
        </w:trPr>
        <w:tc>
          <w:tcPr>
            <w:tcW w:w="2127" w:type="dxa"/>
            <w:tcBorders>
              <w:top w:val="nil"/>
              <w:left w:val="nil"/>
              <w:bottom w:val="nil"/>
              <w:right w:val="nil"/>
            </w:tcBorders>
            <w:shd w:val="clear" w:color="auto" w:fill="auto"/>
            <w:vAlign w:val="center"/>
            <w:hideMark/>
          </w:tcPr>
          <w:p w14:paraId="3B1011C5"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r w:rsidRPr="00B6715A">
              <w:rPr>
                <w:rFonts w:asciiTheme="majorHAnsi" w:eastAsia="Times New Roman" w:hAnsiTheme="majorHAnsi" w:cstheme="majorHAnsi"/>
                <w:b/>
                <w:bCs/>
                <w:color w:val="000000"/>
                <w:sz w:val="20"/>
                <w:szCs w:val="20"/>
                <w:lang w:val="en-US" w:eastAsia="en-AU"/>
              </w:rPr>
              <w:t xml:space="preserve">Employment </w:t>
            </w:r>
            <w:r w:rsidRPr="00B6715A">
              <w:rPr>
                <w:rFonts w:asciiTheme="majorHAnsi" w:eastAsia="Times New Roman" w:hAnsiTheme="majorHAnsi" w:cstheme="majorHAnsi"/>
                <w:sz w:val="20"/>
                <w:szCs w:val="20"/>
                <w:lang w:val="en-US" w:eastAsia="en-AU"/>
              </w:rPr>
              <w:t>(ref: Permanent</w:t>
            </w:r>
            <w:r w:rsidRPr="00B6715A">
              <w:rPr>
                <w:rFonts w:asciiTheme="majorHAnsi" w:eastAsia="Times New Roman" w:hAnsiTheme="majorHAnsi" w:cstheme="majorHAnsi"/>
                <w:b/>
                <w:bCs/>
                <w:sz w:val="20"/>
                <w:szCs w:val="20"/>
                <w:lang w:val="en-US" w:eastAsia="en-AU"/>
              </w:rPr>
              <w:t xml:space="preserve"> </w:t>
            </w:r>
            <w:r w:rsidRPr="00B6715A">
              <w:rPr>
                <w:rFonts w:asciiTheme="majorHAnsi" w:eastAsia="Times New Roman" w:hAnsiTheme="majorHAnsi" w:cstheme="majorHAnsi"/>
                <w:color w:val="000000"/>
                <w:sz w:val="20"/>
                <w:szCs w:val="20"/>
                <w:lang w:val="en-US" w:eastAsia="en-AU"/>
              </w:rPr>
              <w:t>full-time)</w:t>
            </w:r>
          </w:p>
        </w:tc>
        <w:tc>
          <w:tcPr>
            <w:tcW w:w="1136" w:type="dxa"/>
            <w:tcBorders>
              <w:top w:val="nil"/>
              <w:left w:val="nil"/>
              <w:bottom w:val="nil"/>
              <w:right w:val="nil"/>
            </w:tcBorders>
            <w:shd w:val="clear" w:color="auto" w:fill="auto"/>
            <w:vAlign w:val="center"/>
            <w:hideMark/>
          </w:tcPr>
          <w:p w14:paraId="728682D0" w14:textId="77777777" w:rsidR="00244248" w:rsidRPr="00B6715A" w:rsidRDefault="00244248" w:rsidP="00335B25">
            <w:pPr>
              <w:spacing w:after="0" w:line="240" w:lineRule="auto"/>
              <w:rPr>
                <w:rFonts w:asciiTheme="majorHAnsi" w:eastAsia="Times New Roman" w:hAnsiTheme="majorHAnsi" w:cstheme="majorHAnsi"/>
                <w:b/>
                <w:bCs/>
                <w:color w:val="808080" w:themeColor="background1" w:themeShade="80"/>
                <w:sz w:val="20"/>
                <w:szCs w:val="20"/>
                <w:lang w:eastAsia="en-AU"/>
              </w:rPr>
            </w:pPr>
          </w:p>
        </w:tc>
        <w:tc>
          <w:tcPr>
            <w:tcW w:w="1132" w:type="dxa"/>
            <w:tcBorders>
              <w:top w:val="nil"/>
              <w:left w:val="nil"/>
              <w:bottom w:val="nil"/>
              <w:right w:val="nil"/>
            </w:tcBorders>
            <w:shd w:val="clear" w:color="auto" w:fill="auto"/>
            <w:vAlign w:val="center"/>
            <w:hideMark/>
          </w:tcPr>
          <w:p w14:paraId="2D555402"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p>
        </w:tc>
        <w:tc>
          <w:tcPr>
            <w:tcW w:w="1134" w:type="dxa"/>
            <w:tcBorders>
              <w:top w:val="nil"/>
              <w:left w:val="nil"/>
              <w:bottom w:val="nil"/>
              <w:right w:val="nil"/>
            </w:tcBorders>
            <w:shd w:val="clear" w:color="auto" w:fill="auto"/>
            <w:vAlign w:val="center"/>
            <w:hideMark/>
          </w:tcPr>
          <w:p w14:paraId="3D84A0AD"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p>
        </w:tc>
        <w:tc>
          <w:tcPr>
            <w:tcW w:w="1134" w:type="dxa"/>
            <w:tcBorders>
              <w:top w:val="nil"/>
              <w:left w:val="nil"/>
              <w:bottom w:val="nil"/>
              <w:right w:val="nil"/>
            </w:tcBorders>
            <w:shd w:val="clear" w:color="auto" w:fill="auto"/>
            <w:vAlign w:val="center"/>
            <w:hideMark/>
          </w:tcPr>
          <w:p w14:paraId="2414DF6C"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p>
        </w:tc>
        <w:tc>
          <w:tcPr>
            <w:tcW w:w="1134" w:type="dxa"/>
            <w:tcBorders>
              <w:top w:val="nil"/>
              <w:left w:val="nil"/>
              <w:bottom w:val="nil"/>
              <w:right w:val="nil"/>
            </w:tcBorders>
            <w:shd w:val="clear" w:color="auto" w:fill="auto"/>
            <w:vAlign w:val="center"/>
            <w:hideMark/>
          </w:tcPr>
          <w:p w14:paraId="4FCBEC27"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p>
        </w:tc>
        <w:tc>
          <w:tcPr>
            <w:tcW w:w="1134" w:type="dxa"/>
            <w:tcBorders>
              <w:top w:val="nil"/>
              <w:left w:val="nil"/>
              <w:bottom w:val="nil"/>
              <w:right w:val="nil"/>
            </w:tcBorders>
            <w:shd w:val="clear" w:color="auto" w:fill="auto"/>
            <w:vAlign w:val="center"/>
            <w:hideMark/>
          </w:tcPr>
          <w:p w14:paraId="5D2F7DAA"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p>
        </w:tc>
        <w:tc>
          <w:tcPr>
            <w:tcW w:w="1134" w:type="dxa"/>
            <w:tcBorders>
              <w:top w:val="nil"/>
              <w:left w:val="nil"/>
              <w:bottom w:val="nil"/>
              <w:right w:val="nil"/>
            </w:tcBorders>
            <w:shd w:val="clear" w:color="auto" w:fill="auto"/>
            <w:vAlign w:val="center"/>
            <w:hideMark/>
          </w:tcPr>
          <w:p w14:paraId="01F4D96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p>
        </w:tc>
      </w:tr>
      <w:tr w:rsidR="00244248" w:rsidRPr="00B6715A" w14:paraId="23B3C258" w14:textId="77777777" w:rsidTr="007C5778">
        <w:trPr>
          <w:trHeight w:val="227"/>
        </w:trPr>
        <w:tc>
          <w:tcPr>
            <w:tcW w:w="2127" w:type="dxa"/>
            <w:tcBorders>
              <w:top w:val="nil"/>
              <w:left w:val="nil"/>
              <w:bottom w:val="nil"/>
              <w:right w:val="nil"/>
            </w:tcBorders>
            <w:shd w:val="clear" w:color="auto" w:fill="auto"/>
            <w:vAlign w:val="center"/>
            <w:hideMark/>
          </w:tcPr>
          <w:p w14:paraId="2AFF6C05" w14:textId="77777777" w:rsidR="00244248" w:rsidRPr="00B6715A" w:rsidRDefault="00244248" w:rsidP="00335B25">
            <w:pPr>
              <w:spacing w:after="0" w:line="240" w:lineRule="auto"/>
              <w:rPr>
                <w:rFonts w:asciiTheme="majorHAnsi" w:eastAsia="Times New Roman" w:hAnsiTheme="majorHAnsi" w:cstheme="majorHAnsi"/>
                <w:sz w:val="20"/>
                <w:szCs w:val="20"/>
                <w:lang w:eastAsia="en-AU"/>
              </w:rPr>
            </w:pPr>
            <w:r w:rsidRPr="00B6715A">
              <w:rPr>
                <w:rFonts w:asciiTheme="majorHAnsi" w:eastAsia="Times New Roman" w:hAnsiTheme="majorHAnsi" w:cstheme="majorHAnsi"/>
                <w:color w:val="000000"/>
                <w:sz w:val="20"/>
                <w:szCs w:val="20"/>
                <w:lang w:val="en-US" w:eastAsia="en-AU"/>
              </w:rPr>
              <w:t>Permanent part-time</w:t>
            </w:r>
          </w:p>
        </w:tc>
        <w:tc>
          <w:tcPr>
            <w:tcW w:w="1136" w:type="dxa"/>
            <w:tcBorders>
              <w:top w:val="nil"/>
              <w:left w:val="nil"/>
              <w:bottom w:val="nil"/>
              <w:right w:val="nil"/>
            </w:tcBorders>
            <w:shd w:val="clear" w:color="auto" w:fill="auto"/>
            <w:hideMark/>
          </w:tcPr>
          <w:p w14:paraId="23DFD77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-0.378***</w:t>
            </w:r>
          </w:p>
        </w:tc>
        <w:tc>
          <w:tcPr>
            <w:tcW w:w="1132" w:type="dxa"/>
            <w:tcBorders>
              <w:top w:val="nil"/>
              <w:left w:val="nil"/>
              <w:bottom w:val="nil"/>
              <w:right w:val="nil"/>
            </w:tcBorders>
            <w:shd w:val="clear" w:color="auto" w:fill="auto"/>
            <w:hideMark/>
          </w:tcPr>
          <w:p w14:paraId="5D595C99"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-0.083***</w:t>
            </w:r>
          </w:p>
        </w:tc>
        <w:tc>
          <w:tcPr>
            <w:tcW w:w="1134" w:type="dxa"/>
            <w:tcBorders>
              <w:top w:val="nil"/>
              <w:left w:val="nil"/>
              <w:bottom w:val="nil"/>
              <w:right w:val="nil"/>
            </w:tcBorders>
            <w:shd w:val="clear" w:color="auto" w:fill="auto"/>
            <w:hideMark/>
          </w:tcPr>
          <w:p w14:paraId="48424328"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-0.470***</w:t>
            </w:r>
          </w:p>
        </w:tc>
        <w:tc>
          <w:tcPr>
            <w:tcW w:w="1134" w:type="dxa"/>
            <w:tcBorders>
              <w:top w:val="nil"/>
              <w:left w:val="nil"/>
              <w:bottom w:val="nil"/>
              <w:right w:val="nil"/>
            </w:tcBorders>
            <w:shd w:val="clear" w:color="auto" w:fill="auto"/>
            <w:hideMark/>
          </w:tcPr>
          <w:p w14:paraId="31172CC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-0.494***</w:t>
            </w:r>
          </w:p>
        </w:tc>
        <w:tc>
          <w:tcPr>
            <w:tcW w:w="1134" w:type="dxa"/>
            <w:tcBorders>
              <w:top w:val="nil"/>
              <w:left w:val="nil"/>
              <w:bottom w:val="nil"/>
              <w:right w:val="nil"/>
            </w:tcBorders>
            <w:shd w:val="clear" w:color="auto" w:fill="auto"/>
            <w:hideMark/>
          </w:tcPr>
          <w:p w14:paraId="611C85B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-0.245***</w:t>
            </w:r>
          </w:p>
        </w:tc>
        <w:tc>
          <w:tcPr>
            <w:tcW w:w="1134" w:type="dxa"/>
            <w:tcBorders>
              <w:top w:val="nil"/>
              <w:left w:val="nil"/>
              <w:bottom w:val="nil"/>
              <w:right w:val="nil"/>
            </w:tcBorders>
            <w:shd w:val="clear" w:color="auto" w:fill="auto"/>
            <w:hideMark/>
          </w:tcPr>
          <w:p w14:paraId="1E42674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-0.175***</w:t>
            </w:r>
          </w:p>
        </w:tc>
        <w:tc>
          <w:tcPr>
            <w:tcW w:w="1134" w:type="dxa"/>
            <w:tcBorders>
              <w:top w:val="nil"/>
              <w:left w:val="nil"/>
              <w:bottom w:val="nil"/>
              <w:right w:val="nil"/>
            </w:tcBorders>
            <w:shd w:val="clear" w:color="auto" w:fill="auto"/>
            <w:hideMark/>
          </w:tcPr>
          <w:p w14:paraId="7481695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-0.111***</w:t>
            </w:r>
          </w:p>
        </w:tc>
      </w:tr>
      <w:tr w:rsidR="00244248" w:rsidRPr="00B6715A" w14:paraId="418CC858" w14:textId="77777777" w:rsidTr="007C5778">
        <w:trPr>
          <w:trHeight w:val="227"/>
        </w:trPr>
        <w:tc>
          <w:tcPr>
            <w:tcW w:w="2127" w:type="dxa"/>
            <w:tcBorders>
              <w:top w:val="nil"/>
              <w:left w:val="nil"/>
              <w:bottom w:val="nil"/>
              <w:right w:val="nil"/>
            </w:tcBorders>
            <w:shd w:val="clear" w:color="auto" w:fill="auto"/>
            <w:vAlign w:val="center"/>
            <w:hideMark/>
          </w:tcPr>
          <w:p w14:paraId="42336E3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nil"/>
              <w:right w:val="nil"/>
            </w:tcBorders>
            <w:shd w:val="clear" w:color="auto" w:fill="auto"/>
            <w:hideMark/>
          </w:tcPr>
          <w:p w14:paraId="4A18931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(0.007)</w:t>
            </w:r>
          </w:p>
        </w:tc>
        <w:tc>
          <w:tcPr>
            <w:tcW w:w="1132" w:type="dxa"/>
            <w:tcBorders>
              <w:top w:val="nil"/>
              <w:left w:val="nil"/>
              <w:bottom w:val="nil"/>
              <w:right w:val="nil"/>
            </w:tcBorders>
            <w:shd w:val="clear" w:color="auto" w:fill="auto"/>
            <w:hideMark/>
          </w:tcPr>
          <w:p w14:paraId="2BD0BCE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(0.007)</w:t>
            </w:r>
          </w:p>
        </w:tc>
        <w:tc>
          <w:tcPr>
            <w:tcW w:w="1134" w:type="dxa"/>
            <w:tcBorders>
              <w:top w:val="nil"/>
              <w:left w:val="nil"/>
              <w:bottom w:val="nil"/>
              <w:right w:val="nil"/>
            </w:tcBorders>
            <w:shd w:val="clear" w:color="auto" w:fill="auto"/>
            <w:hideMark/>
          </w:tcPr>
          <w:p w14:paraId="01EB4C4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(0.015)</w:t>
            </w:r>
          </w:p>
        </w:tc>
        <w:tc>
          <w:tcPr>
            <w:tcW w:w="1134" w:type="dxa"/>
            <w:tcBorders>
              <w:top w:val="nil"/>
              <w:left w:val="nil"/>
              <w:bottom w:val="nil"/>
              <w:right w:val="nil"/>
            </w:tcBorders>
            <w:shd w:val="clear" w:color="auto" w:fill="auto"/>
            <w:hideMark/>
          </w:tcPr>
          <w:p w14:paraId="3AD8E96C"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(0.015)</w:t>
            </w:r>
          </w:p>
        </w:tc>
        <w:tc>
          <w:tcPr>
            <w:tcW w:w="1134" w:type="dxa"/>
            <w:tcBorders>
              <w:top w:val="nil"/>
              <w:left w:val="nil"/>
              <w:bottom w:val="nil"/>
              <w:right w:val="nil"/>
            </w:tcBorders>
            <w:shd w:val="clear" w:color="auto" w:fill="auto"/>
            <w:hideMark/>
          </w:tcPr>
          <w:p w14:paraId="2E7FBA97"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(0.011)</w:t>
            </w:r>
          </w:p>
        </w:tc>
        <w:tc>
          <w:tcPr>
            <w:tcW w:w="1134" w:type="dxa"/>
            <w:tcBorders>
              <w:top w:val="nil"/>
              <w:left w:val="nil"/>
              <w:bottom w:val="nil"/>
              <w:right w:val="nil"/>
            </w:tcBorders>
            <w:shd w:val="clear" w:color="auto" w:fill="auto"/>
            <w:hideMark/>
          </w:tcPr>
          <w:p w14:paraId="752601FA"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c>
          <w:tcPr>
            <w:tcW w:w="1134" w:type="dxa"/>
            <w:tcBorders>
              <w:top w:val="nil"/>
              <w:left w:val="nil"/>
              <w:bottom w:val="nil"/>
              <w:right w:val="nil"/>
            </w:tcBorders>
            <w:shd w:val="clear" w:color="auto" w:fill="auto"/>
            <w:hideMark/>
          </w:tcPr>
          <w:p w14:paraId="4E26CCD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r>
      <w:tr w:rsidR="00244248" w:rsidRPr="00B6715A" w14:paraId="63FC5F42" w14:textId="77777777" w:rsidTr="007C5778">
        <w:trPr>
          <w:trHeight w:val="227"/>
        </w:trPr>
        <w:tc>
          <w:tcPr>
            <w:tcW w:w="2127" w:type="dxa"/>
            <w:tcBorders>
              <w:top w:val="nil"/>
              <w:left w:val="nil"/>
              <w:bottom w:val="nil"/>
              <w:right w:val="nil"/>
            </w:tcBorders>
            <w:shd w:val="clear" w:color="auto" w:fill="auto"/>
            <w:vAlign w:val="center"/>
            <w:hideMark/>
          </w:tcPr>
          <w:p w14:paraId="50EE9DF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Casual full-time</w:t>
            </w:r>
          </w:p>
        </w:tc>
        <w:tc>
          <w:tcPr>
            <w:tcW w:w="1136" w:type="dxa"/>
            <w:tcBorders>
              <w:top w:val="nil"/>
              <w:left w:val="nil"/>
              <w:bottom w:val="nil"/>
              <w:right w:val="nil"/>
            </w:tcBorders>
            <w:shd w:val="clear" w:color="auto" w:fill="auto"/>
            <w:hideMark/>
          </w:tcPr>
          <w:p w14:paraId="6D2E6624"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-0.052***</w:t>
            </w:r>
          </w:p>
        </w:tc>
        <w:tc>
          <w:tcPr>
            <w:tcW w:w="1132" w:type="dxa"/>
            <w:tcBorders>
              <w:top w:val="nil"/>
              <w:left w:val="nil"/>
              <w:bottom w:val="nil"/>
              <w:right w:val="nil"/>
            </w:tcBorders>
            <w:shd w:val="clear" w:color="auto" w:fill="auto"/>
            <w:hideMark/>
          </w:tcPr>
          <w:p w14:paraId="28115E61"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-0.020*</w:t>
            </w:r>
          </w:p>
        </w:tc>
        <w:tc>
          <w:tcPr>
            <w:tcW w:w="1134" w:type="dxa"/>
            <w:tcBorders>
              <w:top w:val="nil"/>
              <w:left w:val="nil"/>
              <w:bottom w:val="nil"/>
              <w:right w:val="nil"/>
            </w:tcBorders>
            <w:shd w:val="clear" w:color="auto" w:fill="auto"/>
            <w:hideMark/>
          </w:tcPr>
          <w:p w14:paraId="3D5E66E9"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-0.104***</w:t>
            </w:r>
          </w:p>
        </w:tc>
        <w:tc>
          <w:tcPr>
            <w:tcW w:w="1134" w:type="dxa"/>
            <w:tcBorders>
              <w:top w:val="nil"/>
              <w:left w:val="nil"/>
              <w:bottom w:val="nil"/>
              <w:right w:val="nil"/>
            </w:tcBorders>
            <w:shd w:val="clear" w:color="auto" w:fill="auto"/>
            <w:hideMark/>
          </w:tcPr>
          <w:p w14:paraId="699ED0E8"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-0.028</w:t>
            </w:r>
          </w:p>
        </w:tc>
        <w:tc>
          <w:tcPr>
            <w:tcW w:w="1134" w:type="dxa"/>
            <w:tcBorders>
              <w:top w:val="nil"/>
              <w:left w:val="nil"/>
              <w:bottom w:val="nil"/>
              <w:right w:val="nil"/>
            </w:tcBorders>
            <w:shd w:val="clear" w:color="auto" w:fill="auto"/>
            <w:hideMark/>
          </w:tcPr>
          <w:p w14:paraId="0CC1537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-0.015</w:t>
            </w:r>
          </w:p>
        </w:tc>
        <w:tc>
          <w:tcPr>
            <w:tcW w:w="1134" w:type="dxa"/>
            <w:tcBorders>
              <w:top w:val="nil"/>
              <w:left w:val="nil"/>
              <w:bottom w:val="nil"/>
              <w:right w:val="nil"/>
            </w:tcBorders>
            <w:shd w:val="clear" w:color="auto" w:fill="auto"/>
            <w:hideMark/>
          </w:tcPr>
          <w:p w14:paraId="6FAAAC8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-0.041**</w:t>
            </w:r>
          </w:p>
        </w:tc>
        <w:tc>
          <w:tcPr>
            <w:tcW w:w="1134" w:type="dxa"/>
            <w:tcBorders>
              <w:top w:val="nil"/>
              <w:left w:val="nil"/>
              <w:bottom w:val="nil"/>
              <w:right w:val="nil"/>
            </w:tcBorders>
            <w:shd w:val="clear" w:color="auto" w:fill="auto"/>
            <w:hideMark/>
          </w:tcPr>
          <w:p w14:paraId="01A9A3C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-0.042**</w:t>
            </w:r>
          </w:p>
        </w:tc>
      </w:tr>
      <w:tr w:rsidR="00244248" w:rsidRPr="00B6715A" w14:paraId="2DF850FE" w14:textId="77777777" w:rsidTr="007C5778">
        <w:trPr>
          <w:trHeight w:val="227"/>
        </w:trPr>
        <w:tc>
          <w:tcPr>
            <w:tcW w:w="2127" w:type="dxa"/>
            <w:tcBorders>
              <w:top w:val="nil"/>
              <w:left w:val="nil"/>
              <w:bottom w:val="nil"/>
              <w:right w:val="nil"/>
            </w:tcBorders>
            <w:shd w:val="clear" w:color="auto" w:fill="auto"/>
            <w:vAlign w:val="center"/>
            <w:hideMark/>
          </w:tcPr>
          <w:p w14:paraId="63DF44A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nil"/>
              <w:right w:val="nil"/>
            </w:tcBorders>
            <w:shd w:val="clear" w:color="auto" w:fill="auto"/>
            <w:hideMark/>
          </w:tcPr>
          <w:p w14:paraId="07590878"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(0.012)</w:t>
            </w:r>
          </w:p>
        </w:tc>
        <w:tc>
          <w:tcPr>
            <w:tcW w:w="1132" w:type="dxa"/>
            <w:tcBorders>
              <w:top w:val="nil"/>
              <w:left w:val="nil"/>
              <w:bottom w:val="nil"/>
              <w:right w:val="nil"/>
            </w:tcBorders>
            <w:shd w:val="clear" w:color="auto" w:fill="auto"/>
            <w:hideMark/>
          </w:tcPr>
          <w:p w14:paraId="7DA6A29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(0.011)</w:t>
            </w:r>
          </w:p>
        </w:tc>
        <w:tc>
          <w:tcPr>
            <w:tcW w:w="1134" w:type="dxa"/>
            <w:tcBorders>
              <w:top w:val="nil"/>
              <w:left w:val="nil"/>
              <w:bottom w:val="nil"/>
              <w:right w:val="nil"/>
            </w:tcBorders>
            <w:shd w:val="clear" w:color="auto" w:fill="auto"/>
            <w:hideMark/>
          </w:tcPr>
          <w:p w14:paraId="7CB90B4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(0.025)</w:t>
            </w:r>
          </w:p>
        </w:tc>
        <w:tc>
          <w:tcPr>
            <w:tcW w:w="1134" w:type="dxa"/>
            <w:tcBorders>
              <w:top w:val="nil"/>
              <w:left w:val="nil"/>
              <w:bottom w:val="nil"/>
              <w:right w:val="nil"/>
            </w:tcBorders>
            <w:shd w:val="clear" w:color="auto" w:fill="auto"/>
            <w:hideMark/>
          </w:tcPr>
          <w:p w14:paraId="61F3272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(0.027)</w:t>
            </w:r>
          </w:p>
        </w:tc>
        <w:tc>
          <w:tcPr>
            <w:tcW w:w="1134" w:type="dxa"/>
            <w:tcBorders>
              <w:top w:val="nil"/>
              <w:left w:val="nil"/>
              <w:bottom w:val="nil"/>
              <w:right w:val="nil"/>
            </w:tcBorders>
            <w:shd w:val="clear" w:color="auto" w:fill="auto"/>
            <w:hideMark/>
          </w:tcPr>
          <w:p w14:paraId="48327E41"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(0.021)</w:t>
            </w:r>
          </w:p>
        </w:tc>
        <w:tc>
          <w:tcPr>
            <w:tcW w:w="1134" w:type="dxa"/>
            <w:tcBorders>
              <w:top w:val="nil"/>
              <w:left w:val="nil"/>
              <w:bottom w:val="nil"/>
              <w:right w:val="nil"/>
            </w:tcBorders>
            <w:shd w:val="clear" w:color="auto" w:fill="auto"/>
            <w:hideMark/>
          </w:tcPr>
          <w:p w14:paraId="54225117"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(0.019)</w:t>
            </w:r>
          </w:p>
        </w:tc>
        <w:tc>
          <w:tcPr>
            <w:tcW w:w="1134" w:type="dxa"/>
            <w:tcBorders>
              <w:top w:val="nil"/>
              <w:left w:val="nil"/>
              <w:bottom w:val="nil"/>
              <w:right w:val="nil"/>
            </w:tcBorders>
            <w:shd w:val="clear" w:color="auto" w:fill="auto"/>
            <w:hideMark/>
          </w:tcPr>
          <w:p w14:paraId="438DB227"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(0.018)</w:t>
            </w:r>
          </w:p>
        </w:tc>
      </w:tr>
      <w:tr w:rsidR="00244248" w:rsidRPr="00B6715A" w14:paraId="6AB0580B" w14:textId="77777777" w:rsidTr="007C5778">
        <w:trPr>
          <w:trHeight w:val="227"/>
        </w:trPr>
        <w:tc>
          <w:tcPr>
            <w:tcW w:w="2127" w:type="dxa"/>
            <w:tcBorders>
              <w:top w:val="nil"/>
              <w:left w:val="nil"/>
              <w:bottom w:val="nil"/>
              <w:right w:val="nil"/>
            </w:tcBorders>
            <w:shd w:val="clear" w:color="auto" w:fill="auto"/>
            <w:vAlign w:val="center"/>
            <w:hideMark/>
          </w:tcPr>
          <w:p w14:paraId="2A47FD69"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Casual part-time</w:t>
            </w:r>
          </w:p>
        </w:tc>
        <w:tc>
          <w:tcPr>
            <w:tcW w:w="1136" w:type="dxa"/>
            <w:tcBorders>
              <w:top w:val="nil"/>
              <w:left w:val="nil"/>
              <w:bottom w:val="nil"/>
              <w:right w:val="nil"/>
            </w:tcBorders>
            <w:shd w:val="clear" w:color="auto" w:fill="auto"/>
            <w:hideMark/>
          </w:tcPr>
          <w:p w14:paraId="26D1768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-0.262***</w:t>
            </w:r>
          </w:p>
        </w:tc>
        <w:tc>
          <w:tcPr>
            <w:tcW w:w="1132" w:type="dxa"/>
            <w:tcBorders>
              <w:top w:val="nil"/>
              <w:left w:val="nil"/>
              <w:bottom w:val="nil"/>
              <w:right w:val="nil"/>
            </w:tcBorders>
            <w:shd w:val="clear" w:color="auto" w:fill="auto"/>
            <w:hideMark/>
          </w:tcPr>
          <w:p w14:paraId="4CBC89D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-0.064***</w:t>
            </w:r>
          </w:p>
        </w:tc>
        <w:tc>
          <w:tcPr>
            <w:tcW w:w="1134" w:type="dxa"/>
            <w:tcBorders>
              <w:top w:val="nil"/>
              <w:left w:val="nil"/>
              <w:bottom w:val="nil"/>
              <w:right w:val="nil"/>
            </w:tcBorders>
            <w:shd w:val="clear" w:color="auto" w:fill="auto"/>
            <w:hideMark/>
          </w:tcPr>
          <w:p w14:paraId="78008F1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-0.347***</w:t>
            </w:r>
          </w:p>
        </w:tc>
        <w:tc>
          <w:tcPr>
            <w:tcW w:w="1134" w:type="dxa"/>
            <w:tcBorders>
              <w:top w:val="nil"/>
              <w:left w:val="nil"/>
              <w:bottom w:val="nil"/>
              <w:right w:val="nil"/>
            </w:tcBorders>
            <w:shd w:val="clear" w:color="auto" w:fill="auto"/>
            <w:hideMark/>
          </w:tcPr>
          <w:p w14:paraId="487E2F9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-0.338***</w:t>
            </w:r>
          </w:p>
        </w:tc>
        <w:tc>
          <w:tcPr>
            <w:tcW w:w="1134" w:type="dxa"/>
            <w:tcBorders>
              <w:top w:val="nil"/>
              <w:left w:val="nil"/>
              <w:bottom w:val="nil"/>
              <w:right w:val="nil"/>
            </w:tcBorders>
            <w:shd w:val="clear" w:color="auto" w:fill="auto"/>
            <w:hideMark/>
          </w:tcPr>
          <w:p w14:paraId="2BF54DD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-0.215***</w:t>
            </w:r>
          </w:p>
        </w:tc>
        <w:tc>
          <w:tcPr>
            <w:tcW w:w="1134" w:type="dxa"/>
            <w:tcBorders>
              <w:top w:val="nil"/>
              <w:left w:val="nil"/>
              <w:bottom w:val="nil"/>
              <w:right w:val="nil"/>
            </w:tcBorders>
            <w:shd w:val="clear" w:color="auto" w:fill="auto"/>
            <w:hideMark/>
          </w:tcPr>
          <w:p w14:paraId="7CB6EBB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-0.157***</w:t>
            </w:r>
          </w:p>
        </w:tc>
        <w:tc>
          <w:tcPr>
            <w:tcW w:w="1134" w:type="dxa"/>
            <w:tcBorders>
              <w:top w:val="nil"/>
              <w:left w:val="nil"/>
              <w:bottom w:val="nil"/>
              <w:right w:val="nil"/>
            </w:tcBorders>
            <w:shd w:val="clear" w:color="auto" w:fill="auto"/>
            <w:hideMark/>
          </w:tcPr>
          <w:p w14:paraId="107EC74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-0.123***</w:t>
            </w:r>
          </w:p>
        </w:tc>
      </w:tr>
      <w:tr w:rsidR="00244248" w:rsidRPr="00B6715A" w14:paraId="68E60174" w14:textId="77777777" w:rsidTr="007C5778">
        <w:trPr>
          <w:trHeight w:val="227"/>
        </w:trPr>
        <w:tc>
          <w:tcPr>
            <w:tcW w:w="2127" w:type="dxa"/>
            <w:tcBorders>
              <w:top w:val="nil"/>
              <w:left w:val="nil"/>
              <w:bottom w:val="nil"/>
              <w:right w:val="nil"/>
            </w:tcBorders>
            <w:shd w:val="clear" w:color="auto" w:fill="auto"/>
            <w:vAlign w:val="center"/>
            <w:hideMark/>
          </w:tcPr>
          <w:p w14:paraId="0A2E88FF"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nil"/>
              <w:right w:val="nil"/>
            </w:tcBorders>
            <w:shd w:val="clear" w:color="auto" w:fill="auto"/>
            <w:hideMark/>
          </w:tcPr>
          <w:p w14:paraId="364A60CD"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(0.007)</w:t>
            </w:r>
          </w:p>
        </w:tc>
        <w:tc>
          <w:tcPr>
            <w:tcW w:w="1132" w:type="dxa"/>
            <w:tcBorders>
              <w:top w:val="nil"/>
              <w:left w:val="nil"/>
              <w:bottom w:val="nil"/>
              <w:right w:val="nil"/>
            </w:tcBorders>
            <w:shd w:val="clear" w:color="auto" w:fill="auto"/>
            <w:hideMark/>
          </w:tcPr>
          <w:p w14:paraId="5E705ADC"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(0.006)</w:t>
            </w:r>
          </w:p>
        </w:tc>
        <w:tc>
          <w:tcPr>
            <w:tcW w:w="1134" w:type="dxa"/>
            <w:tcBorders>
              <w:top w:val="nil"/>
              <w:left w:val="nil"/>
              <w:bottom w:val="nil"/>
              <w:right w:val="nil"/>
            </w:tcBorders>
            <w:shd w:val="clear" w:color="auto" w:fill="auto"/>
            <w:hideMark/>
          </w:tcPr>
          <w:p w14:paraId="175A8137"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(0.016)</w:t>
            </w:r>
          </w:p>
        </w:tc>
        <w:tc>
          <w:tcPr>
            <w:tcW w:w="1134" w:type="dxa"/>
            <w:tcBorders>
              <w:top w:val="nil"/>
              <w:left w:val="nil"/>
              <w:bottom w:val="nil"/>
              <w:right w:val="nil"/>
            </w:tcBorders>
            <w:shd w:val="clear" w:color="auto" w:fill="auto"/>
            <w:hideMark/>
          </w:tcPr>
          <w:p w14:paraId="061BE5EA"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(0.016)</w:t>
            </w:r>
          </w:p>
        </w:tc>
        <w:tc>
          <w:tcPr>
            <w:tcW w:w="1134" w:type="dxa"/>
            <w:tcBorders>
              <w:top w:val="nil"/>
              <w:left w:val="nil"/>
              <w:bottom w:val="nil"/>
              <w:right w:val="nil"/>
            </w:tcBorders>
            <w:shd w:val="clear" w:color="auto" w:fill="auto"/>
            <w:hideMark/>
          </w:tcPr>
          <w:p w14:paraId="774FE7B2"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(0.014)</w:t>
            </w:r>
          </w:p>
        </w:tc>
        <w:tc>
          <w:tcPr>
            <w:tcW w:w="1134" w:type="dxa"/>
            <w:tcBorders>
              <w:top w:val="nil"/>
              <w:left w:val="nil"/>
              <w:bottom w:val="nil"/>
              <w:right w:val="nil"/>
            </w:tcBorders>
            <w:shd w:val="clear" w:color="auto" w:fill="auto"/>
            <w:hideMark/>
          </w:tcPr>
          <w:p w14:paraId="4F787F8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(0.013)</w:t>
            </w:r>
          </w:p>
        </w:tc>
        <w:tc>
          <w:tcPr>
            <w:tcW w:w="1134" w:type="dxa"/>
            <w:tcBorders>
              <w:top w:val="nil"/>
              <w:left w:val="nil"/>
              <w:bottom w:val="nil"/>
              <w:right w:val="nil"/>
            </w:tcBorders>
            <w:shd w:val="clear" w:color="auto" w:fill="auto"/>
            <w:hideMark/>
          </w:tcPr>
          <w:p w14:paraId="5CC0BB8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(0.013)</w:t>
            </w:r>
          </w:p>
        </w:tc>
      </w:tr>
      <w:tr w:rsidR="00244248" w:rsidRPr="00B6715A" w14:paraId="5B2C7635" w14:textId="77777777" w:rsidTr="007C5778">
        <w:trPr>
          <w:trHeight w:val="227"/>
        </w:trPr>
        <w:tc>
          <w:tcPr>
            <w:tcW w:w="2127" w:type="dxa"/>
            <w:tcBorders>
              <w:top w:val="nil"/>
              <w:left w:val="nil"/>
              <w:bottom w:val="nil"/>
              <w:right w:val="nil"/>
            </w:tcBorders>
            <w:shd w:val="clear" w:color="auto" w:fill="auto"/>
            <w:vAlign w:val="center"/>
          </w:tcPr>
          <w:p w14:paraId="5AD2A4D1"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Pr>
                <w:rFonts w:asciiTheme="majorHAnsi" w:eastAsia="Times New Roman" w:hAnsiTheme="majorHAnsi" w:cstheme="majorHAnsi"/>
                <w:color w:val="000000"/>
                <w:sz w:val="20"/>
                <w:szCs w:val="20"/>
                <w:lang w:val="en-US" w:eastAsia="en-AU"/>
              </w:rPr>
              <w:t>Self-employed</w:t>
            </w:r>
          </w:p>
        </w:tc>
        <w:tc>
          <w:tcPr>
            <w:tcW w:w="1136" w:type="dxa"/>
            <w:tcBorders>
              <w:top w:val="nil"/>
              <w:left w:val="nil"/>
              <w:bottom w:val="nil"/>
              <w:right w:val="nil"/>
            </w:tcBorders>
            <w:shd w:val="clear" w:color="auto" w:fill="auto"/>
          </w:tcPr>
          <w:p w14:paraId="5E09D26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hAnsiTheme="majorHAnsi" w:cstheme="majorHAnsi"/>
                <w:sz w:val="20"/>
                <w:szCs w:val="20"/>
              </w:rPr>
              <w:t>-0.197***</w:t>
            </w:r>
          </w:p>
        </w:tc>
        <w:tc>
          <w:tcPr>
            <w:tcW w:w="1132" w:type="dxa"/>
            <w:tcBorders>
              <w:top w:val="nil"/>
              <w:left w:val="nil"/>
              <w:bottom w:val="nil"/>
              <w:right w:val="nil"/>
            </w:tcBorders>
            <w:shd w:val="clear" w:color="auto" w:fill="auto"/>
          </w:tcPr>
          <w:p w14:paraId="39DA53A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hAnsiTheme="majorHAnsi" w:cstheme="majorHAnsi"/>
                <w:sz w:val="20"/>
                <w:szCs w:val="20"/>
              </w:rPr>
              <w:t>-0.041**</w:t>
            </w:r>
          </w:p>
        </w:tc>
        <w:tc>
          <w:tcPr>
            <w:tcW w:w="1134" w:type="dxa"/>
            <w:tcBorders>
              <w:top w:val="nil"/>
              <w:left w:val="nil"/>
              <w:bottom w:val="nil"/>
              <w:right w:val="nil"/>
            </w:tcBorders>
            <w:shd w:val="clear" w:color="auto" w:fill="auto"/>
          </w:tcPr>
          <w:p w14:paraId="07C8D08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hAnsiTheme="majorHAnsi" w:cstheme="majorHAnsi"/>
                <w:sz w:val="20"/>
                <w:szCs w:val="20"/>
              </w:rPr>
              <w:t>-0.266***</w:t>
            </w:r>
          </w:p>
        </w:tc>
        <w:tc>
          <w:tcPr>
            <w:tcW w:w="1134" w:type="dxa"/>
            <w:tcBorders>
              <w:top w:val="nil"/>
              <w:left w:val="nil"/>
              <w:bottom w:val="nil"/>
              <w:right w:val="nil"/>
            </w:tcBorders>
            <w:shd w:val="clear" w:color="auto" w:fill="auto"/>
          </w:tcPr>
          <w:p w14:paraId="3DF51CE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hAnsiTheme="majorHAnsi" w:cstheme="majorHAnsi"/>
                <w:sz w:val="20"/>
                <w:szCs w:val="20"/>
              </w:rPr>
              <w:t>-0.265***</w:t>
            </w:r>
          </w:p>
        </w:tc>
        <w:tc>
          <w:tcPr>
            <w:tcW w:w="1134" w:type="dxa"/>
            <w:tcBorders>
              <w:top w:val="nil"/>
              <w:left w:val="nil"/>
              <w:bottom w:val="nil"/>
              <w:right w:val="nil"/>
            </w:tcBorders>
            <w:shd w:val="clear" w:color="auto" w:fill="auto"/>
          </w:tcPr>
          <w:p w14:paraId="7F63349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hAnsiTheme="majorHAnsi" w:cstheme="majorHAnsi"/>
                <w:sz w:val="20"/>
                <w:szCs w:val="20"/>
              </w:rPr>
              <w:t>-0.137***</w:t>
            </w:r>
          </w:p>
        </w:tc>
        <w:tc>
          <w:tcPr>
            <w:tcW w:w="1134" w:type="dxa"/>
            <w:tcBorders>
              <w:top w:val="nil"/>
              <w:left w:val="nil"/>
              <w:bottom w:val="nil"/>
              <w:right w:val="nil"/>
            </w:tcBorders>
            <w:shd w:val="clear" w:color="auto" w:fill="auto"/>
          </w:tcPr>
          <w:p w14:paraId="1BE5812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hAnsiTheme="majorHAnsi" w:cstheme="majorHAnsi"/>
                <w:sz w:val="20"/>
                <w:szCs w:val="20"/>
              </w:rPr>
              <w:t>-0.075***</w:t>
            </w:r>
          </w:p>
        </w:tc>
        <w:tc>
          <w:tcPr>
            <w:tcW w:w="1134" w:type="dxa"/>
            <w:tcBorders>
              <w:top w:val="nil"/>
              <w:left w:val="nil"/>
              <w:bottom w:val="nil"/>
              <w:right w:val="nil"/>
            </w:tcBorders>
            <w:shd w:val="clear" w:color="auto" w:fill="auto"/>
          </w:tcPr>
          <w:p w14:paraId="4E98E8E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r w:rsidRPr="00B6715A">
              <w:rPr>
                <w:rFonts w:asciiTheme="majorHAnsi" w:hAnsiTheme="majorHAnsi" w:cstheme="majorHAnsi"/>
                <w:sz w:val="20"/>
                <w:szCs w:val="20"/>
              </w:rPr>
              <w:t>-0.055***</w:t>
            </w:r>
          </w:p>
        </w:tc>
      </w:tr>
      <w:tr w:rsidR="00244248" w:rsidRPr="00B6715A" w14:paraId="493C52EF" w14:textId="77777777" w:rsidTr="007C5778">
        <w:trPr>
          <w:trHeight w:val="227"/>
        </w:trPr>
        <w:tc>
          <w:tcPr>
            <w:tcW w:w="2127" w:type="dxa"/>
            <w:tcBorders>
              <w:top w:val="nil"/>
              <w:left w:val="nil"/>
              <w:bottom w:val="nil"/>
              <w:right w:val="nil"/>
            </w:tcBorders>
            <w:shd w:val="clear" w:color="auto" w:fill="auto"/>
            <w:vAlign w:val="center"/>
          </w:tcPr>
          <w:p w14:paraId="53BFAC3D"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val="en-US" w:eastAsia="en-AU"/>
              </w:rPr>
            </w:pPr>
          </w:p>
        </w:tc>
        <w:tc>
          <w:tcPr>
            <w:tcW w:w="1136" w:type="dxa"/>
            <w:tcBorders>
              <w:top w:val="nil"/>
              <w:left w:val="nil"/>
              <w:bottom w:val="nil"/>
              <w:right w:val="nil"/>
            </w:tcBorders>
            <w:shd w:val="clear" w:color="auto" w:fill="auto"/>
          </w:tcPr>
          <w:p w14:paraId="7B3F89F5"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val="en-US" w:eastAsia="en-AU"/>
              </w:rPr>
            </w:pPr>
            <w:r w:rsidRPr="00B6715A">
              <w:rPr>
                <w:rFonts w:asciiTheme="majorHAnsi" w:hAnsiTheme="majorHAnsi" w:cstheme="majorHAnsi"/>
                <w:color w:val="808080" w:themeColor="background1" w:themeShade="80"/>
                <w:sz w:val="20"/>
                <w:szCs w:val="20"/>
              </w:rPr>
              <w:t>(0.011)</w:t>
            </w:r>
          </w:p>
        </w:tc>
        <w:tc>
          <w:tcPr>
            <w:tcW w:w="1132" w:type="dxa"/>
            <w:tcBorders>
              <w:top w:val="nil"/>
              <w:left w:val="nil"/>
              <w:bottom w:val="nil"/>
              <w:right w:val="nil"/>
            </w:tcBorders>
            <w:shd w:val="clear" w:color="auto" w:fill="auto"/>
          </w:tcPr>
          <w:p w14:paraId="4F9C682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val="en-US" w:eastAsia="en-AU"/>
              </w:rPr>
            </w:pPr>
            <w:r w:rsidRPr="00B6715A">
              <w:rPr>
                <w:rFonts w:asciiTheme="majorHAnsi" w:hAnsiTheme="majorHAnsi" w:cstheme="majorHAnsi"/>
                <w:color w:val="808080" w:themeColor="background1" w:themeShade="80"/>
                <w:sz w:val="20"/>
                <w:szCs w:val="20"/>
              </w:rPr>
              <w:t>(0.017)</w:t>
            </w:r>
          </w:p>
        </w:tc>
        <w:tc>
          <w:tcPr>
            <w:tcW w:w="1134" w:type="dxa"/>
            <w:tcBorders>
              <w:top w:val="nil"/>
              <w:left w:val="nil"/>
              <w:bottom w:val="nil"/>
              <w:right w:val="nil"/>
            </w:tcBorders>
            <w:shd w:val="clear" w:color="auto" w:fill="auto"/>
          </w:tcPr>
          <w:p w14:paraId="3E5371A9"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val="en-US" w:eastAsia="en-AU"/>
              </w:rPr>
            </w:pPr>
            <w:r w:rsidRPr="00B6715A">
              <w:rPr>
                <w:rFonts w:asciiTheme="majorHAnsi" w:hAnsiTheme="majorHAnsi" w:cstheme="majorHAnsi"/>
                <w:color w:val="808080" w:themeColor="background1" w:themeShade="80"/>
                <w:sz w:val="20"/>
                <w:szCs w:val="20"/>
              </w:rPr>
              <w:t>(0.026)</w:t>
            </w:r>
          </w:p>
        </w:tc>
        <w:tc>
          <w:tcPr>
            <w:tcW w:w="1134" w:type="dxa"/>
            <w:tcBorders>
              <w:top w:val="nil"/>
              <w:left w:val="nil"/>
              <w:bottom w:val="nil"/>
              <w:right w:val="nil"/>
            </w:tcBorders>
            <w:shd w:val="clear" w:color="auto" w:fill="auto"/>
          </w:tcPr>
          <w:p w14:paraId="223C38AA"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val="en-US" w:eastAsia="en-AU"/>
              </w:rPr>
            </w:pPr>
            <w:r w:rsidRPr="00B6715A">
              <w:rPr>
                <w:rFonts w:asciiTheme="majorHAnsi" w:hAnsiTheme="majorHAnsi" w:cstheme="majorHAnsi"/>
                <w:color w:val="808080" w:themeColor="background1" w:themeShade="80"/>
                <w:sz w:val="20"/>
                <w:szCs w:val="20"/>
              </w:rPr>
              <w:t>(0.022)</w:t>
            </w:r>
          </w:p>
        </w:tc>
        <w:tc>
          <w:tcPr>
            <w:tcW w:w="1134" w:type="dxa"/>
            <w:tcBorders>
              <w:top w:val="nil"/>
              <w:left w:val="nil"/>
              <w:bottom w:val="nil"/>
              <w:right w:val="nil"/>
            </w:tcBorders>
            <w:shd w:val="clear" w:color="auto" w:fill="auto"/>
          </w:tcPr>
          <w:p w14:paraId="7B56842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val="en-US" w:eastAsia="en-AU"/>
              </w:rPr>
            </w:pPr>
            <w:r w:rsidRPr="00B6715A">
              <w:rPr>
                <w:rFonts w:asciiTheme="majorHAnsi" w:hAnsiTheme="majorHAnsi" w:cstheme="majorHAnsi"/>
                <w:color w:val="808080" w:themeColor="background1" w:themeShade="80"/>
                <w:sz w:val="20"/>
                <w:szCs w:val="20"/>
              </w:rPr>
              <w:t>(0.015)</w:t>
            </w:r>
          </w:p>
        </w:tc>
        <w:tc>
          <w:tcPr>
            <w:tcW w:w="1134" w:type="dxa"/>
            <w:tcBorders>
              <w:top w:val="nil"/>
              <w:left w:val="nil"/>
              <w:bottom w:val="nil"/>
              <w:right w:val="nil"/>
            </w:tcBorders>
            <w:shd w:val="clear" w:color="auto" w:fill="auto"/>
          </w:tcPr>
          <w:p w14:paraId="4119E248"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val="en-US" w:eastAsia="en-AU"/>
              </w:rPr>
            </w:pPr>
            <w:r w:rsidRPr="00B6715A">
              <w:rPr>
                <w:rFonts w:asciiTheme="majorHAnsi" w:hAnsiTheme="majorHAnsi" w:cstheme="majorHAnsi"/>
                <w:color w:val="808080" w:themeColor="background1" w:themeShade="80"/>
                <w:sz w:val="20"/>
                <w:szCs w:val="20"/>
              </w:rPr>
              <w:t>(0.014)</w:t>
            </w:r>
          </w:p>
        </w:tc>
        <w:tc>
          <w:tcPr>
            <w:tcW w:w="1134" w:type="dxa"/>
            <w:tcBorders>
              <w:top w:val="nil"/>
              <w:left w:val="nil"/>
              <w:bottom w:val="nil"/>
              <w:right w:val="nil"/>
            </w:tcBorders>
            <w:shd w:val="clear" w:color="auto" w:fill="auto"/>
          </w:tcPr>
          <w:p w14:paraId="190AAA8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val="en-US" w:eastAsia="en-AU"/>
              </w:rPr>
            </w:pPr>
            <w:r w:rsidRPr="00B6715A">
              <w:rPr>
                <w:rFonts w:asciiTheme="majorHAnsi" w:hAnsiTheme="majorHAnsi" w:cstheme="majorHAnsi"/>
                <w:color w:val="808080" w:themeColor="background1" w:themeShade="80"/>
                <w:sz w:val="20"/>
                <w:szCs w:val="20"/>
              </w:rPr>
              <w:t>(0.015)</w:t>
            </w:r>
          </w:p>
        </w:tc>
      </w:tr>
      <w:tr w:rsidR="00244248" w:rsidRPr="00B6715A" w14:paraId="650C22CF" w14:textId="77777777" w:rsidTr="007C5778">
        <w:trPr>
          <w:trHeight w:val="227"/>
        </w:trPr>
        <w:tc>
          <w:tcPr>
            <w:tcW w:w="2127" w:type="dxa"/>
            <w:tcBorders>
              <w:top w:val="nil"/>
              <w:left w:val="nil"/>
              <w:bottom w:val="nil"/>
              <w:right w:val="nil"/>
            </w:tcBorders>
            <w:shd w:val="clear" w:color="auto" w:fill="auto"/>
            <w:vAlign w:val="center"/>
            <w:hideMark/>
          </w:tcPr>
          <w:p w14:paraId="2A46718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Not working</w:t>
            </w:r>
          </w:p>
        </w:tc>
        <w:tc>
          <w:tcPr>
            <w:tcW w:w="1136" w:type="dxa"/>
            <w:tcBorders>
              <w:top w:val="nil"/>
              <w:left w:val="nil"/>
              <w:bottom w:val="nil"/>
              <w:right w:val="nil"/>
            </w:tcBorders>
            <w:shd w:val="clear" w:color="auto" w:fill="auto"/>
            <w:hideMark/>
          </w:tcPr>
          <w:p w14:paraId="6B7DB4D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-0.479***</w:t>
            </w:r>
          </w:p>
        </w:tc>
        <w:tc>
          <w:tcPr>
            <w:tcW w:w="1132" w:type="dxa"/>
            <w:tcBorders>
              <w:top w:val="nil"/>
              <w:left w:val="nil"/>
              <w:bottom w:val="nil"/>
              <w:right w:val="nil"/>
            </w:tcBorders>
            <w:shd w:val="clear" w:color="auto" w:fill="auto"/>
            <w:hideMark/>
          </w:tcPr>
          <w:p w14:paraId="509048F1"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-0.171***</w:t>
            </w:r>
          </w:p>
        </w:tc>
        <w:tc>
          <w:tcPr>
            <w:tcW w:w="1134" w:type="dxa"/>
            <w:tcBorders>
              <w:top w:val="nil"/>
              <w:left w:val="nil"/>
              <w:bottom w:val="nil"/>
              <w:right w:val="nil"/>
            </w:tcBorders>
            <w:shd w:val="clear" w:color="auto" w:fill="auto"/>
            <w:hideMark/>
          </w:tcPr>
          <w:p w14:paraId="4A4B2A7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-0.598***</w:t>
            </w:r>
          </w:p>
        </w:tc>
        <w:tc>
          <w:tcPr>
            <w:tcW w:w="1134" w:type="dxa"/>
            <w:tcBorders>
              <w:top w:val="nil"/>
              <w:left w:val="nil"/>
              <w:bottom w:val="nil"/>
              <w:right w:val="nil"/>
            </w:tcBorders>
            <w:shd w:val="clear" w:color="auto" w:fill="auto"/>
            <w:hideMark/>
          </w:tcPr>
          <w:p w14:paraId="40A97DD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-0.526***</w:t>
            </w:r>
          </w:p>
        </w:tc>
        <w:tc>
          <w:tcPr>
            <w:tcW w:w="1134" w:type="dxa"/>
            <w:tcBorders>
              <w:top w:val="nil"/>
              <w:left w:val="nil"/>
              <w:bottom w:val="nil"/>
              <w:right w:val="nil"/>
            </w:tcBorders>
            <w:shd w:val="clear" w:color="auto" w:fill="auto"/>
            <w:hideMark/>
          </w:tcPr>
          <w:p w14:paraId="414E3E3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-0.253***</w:t>
            </w:r>
          </w:p>
        </w:tc>
        <w:tc>
          <w:tcPr>
            <w:tcW w:w="1134" w:type="dxa"/>
            <w:tcBorders>
              <w:top w:val="nil"/>
              <w:left w:val="nil"/>
              <w:bottom w:val="nil"/>
              <w:right w:val="nil"/>
            </w:tcBorders>
            <w:shd w:val="clear" w:color="auto" w:fill="auto"/>
            <w:hideMark/>
          </w:tcPr>
          <w:p w14:paraId="71B5568F"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-0.142***</w:t>
            </w:r>
          </w:p>
        </w:tc>
        <w:tc>
          <w:tcPr>
            <w:tcW w:w="1134" w:type="dxa"/>
            <w:tcBorders>
              <w:top w:val="nil"/>
              <w:left w:val="nil"/>
              <w:bottom w:val="nil"/>
              <w:right w:val="nil"/>
            </w:tcBorders>
            <w:shd w:val="clear" w:color="auto" w:fill="auto"/>
            <w:hideMark/>
          </w:tcPr>
          <w:p w14:paraId="54C6ADF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-0.097***</w:t>
            </w:r>
          </w:p>
        </w:tc>
      </w:tr>
      <w:tr w:rsidR="00244248" w:rsidRPr="00B6715A" w14:paraId="26FB709B" w14:textId="77777777" w:rsidTr="007C5778">
        <w:trPr>
          <w:trHeight w:val="227"/>
        </w:trPr>
        <w:tc>
          <w:tcPr>
            <w:tcW w:w="2127" w:type="dxa"/>
            <w:tcBorders>
              <w:top w:val="nil"/>
              <w:left w:val="nil"/>
              <w:bottom w:val="single" w:sz="8" w:space="0" w:color="ED7D31"/>
              <w:right w:val="nil"/>
            </w:tcBorders>
            <w:shd w:val="clear" w:color="auto" w:fill="auto"/>
            <w:vAlign w:val="center"/>
            <w:hideMark/>
          </w:tcPr>
          <w:p w14:paraId="1DA04FB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auto" w:fill="auto"/>
            <w:hideMark/>
          </w:tcPr>
          <w:p w14:paraId="2A1FFF1F"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(0.007)</w:t>
            </w:r>
          </w:p>
        </w:tc>
        <w:tc>
          <w:tcPr>
            <w:tcW w:w="1132" w:type="dxa"/>
            <w:tcBorders>
              <w:top w:val="nil"/>
              <w:left w:val="nil"/>
              <w:bottom w:val="single" w:sz="8" w:space="0" w:color="ED7D31"/>
              <w:right w:val="nil"/>
            </w:tcBorders>
            <w:shd w:val="clear" w:color="auto" w:fill="auto"/>
            <w:hideMark/>
          </w:tcPr>
          <w:p w14:paraId="288B0C99"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(0.006)</w:t>
            </w:r>
          </w:p>
        </w:tc>
        <w:tc>
          <w:tcPr>
            <w:tcW w:w="1134" w:type="dxa"/>
            <w:tcBorders>
              <w:top w:val="nil"/>
              <w:left w:val="nil"/>
              <w:bottom w:val="single" w:sz="8" w:space="0" w:color="ED7D31"/>
              <w:right w:val="nil"/>
            </w:tcBorders>
            <w:shd w:val="clear" w:color="auto" w:fill="auto"/>
            <w:hideMark/>
          </w:tcPr>
          <w:p w14:paraId="796F163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(0.013)</w:t>
            </w:r>
          </w:p>
        </w:tc>
        <w:tc>
          <w:tcPr>
            <w:tcW w:w="1134" w:type="dxa"/>
            <w:tcBorders>
              <w:top w:val="nil"/>
              <w:left w:val="nil"/>
              <w:bottom w:val="single" w:sz="8" w:space="0" w:color="ED7D31"/>
              <w:right w:val="nil"/>
            </w:tcBorders>
            <w:shd w:val="clear" w:color="auto" w:fill="auto"/>
            <w:hideMark/>
          </w:tcPr>
          <w:p w14:paraId="35B4CEA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(0.014)</w:t>
            </w:r>
          </w:p>
        </w:tc>
        <w:tc>
          <w:tcPr>
            <w:tcW w:w="1134" w:type="dxa"/>
            <w:tcBorders>
              <w:top w:val="nil"/>
              <w:left w:val="nil"/>
              <w:bottom w:val="single" w:sz="8" w:space="0" w:color="ED7D31"/>
              <w:right w:val="nil"/>
            </w:tcBorders>
            <w:shd w:val="clear" w:color="auto" w:fill="auto"/>
            <w:hideMark/>
          </w:tcPr>
          <w:p w14:paraId="74694C1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c>
          <w:tcPr>
            <w:tcW w:w="1134" w:type="dxa"/>
            <w:tcBorders>
              <w:top w:val="nil"/>
              <w:left w:val="nil"/>
              <w:bottom w:val="single" w:sz="8" w:space="0" w:color="ED7D31"/>
              <w:right w:val="nil"/>
            </w:tcBorders>
            <w:shd w:val="clear" w:color="auto" w:fill="auto"/>
            <w:hideMark/>
          </w:tcPr>
          <w:p w14:paraId="0697E8C5"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c>
          <w:tcPr>
            <w:tcW w:w="1134" w:type="dxa"/>
            <w:tcBorders>
              <w:top w:val="nil"/>
              <w:left w:val="nil"/>
              <w:bottom w:val="single" w:sz="8" w:space="0" w:color="ED7D31"/>
              <w:right w:val="nil"/>
            </w:tcBorders>
            <w:shd w:val="clear" w:color="auto" w:fill="auto"/>
            <w:hideMark/>
          </w:tcPr>
          <w:p w14:paraId="0CC970DC"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(0.010)</w:t>
            </w:r>
          </w:p>
        </w:tc>
      </w:tr>
      <w:tr w:rsidR="00244248" w:rsidRPr="00B6715A" w14:paraId="48FB9005" w14:textId="77777777" w:rsidTr="007C5778">
        <w:trPr>
          <w:trHeight w:val="283"/>
        </w:trPr>
        <w:tc>
          <w:tcPr>
            <w:tcW w:w="2127" w:type="dxa"/>
            <w:tcBorders>
              <w:top w:val="nil"/>
              <w:left w:val="nil"/>
              <w:bottom w:val="nil"/>
              <w:right w:val="nil"/>
            </w:tcBorders>
            <w:shd w:val="clear" w:color="auto" w:fill="auto"/>
            <w:vAlign w:val="center"/>
            <w:hideMark/>
          </w:tcPr>
          <w:p w14:paraId="171BA521"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r w:rsidRPr="00B6715A">
              <w:rPr>
                <w:rFonts w:asciiTheme="majorHAnsi" w:eastAsia="Times New Roman" w:hAnsiTheme="majorHAnsi" w:cstheme="majorHAnsi"/>
                <w:b/>
                <w:bCs/>
                <w:color w:val="000000"/>
                <w:sz w:val="20"/>
                <w:szCs w:val="20"/>
                <w:lang w:val="en-US" w:eastAsia="en-AU"/>
              </w:rPr>
              <w:t>Household income (log)</w:t>
            </w:r>
          </w:p>
        </w:tc>
        <w:tc>
          <w:tcPr>
            <w:tcW w:w="1136" w:type="dxa"/>
            <w:tcBorders>
              <w:top w:val="nil"/>
              <w:left w:val="nil"/>
              <w:bottom w:val="nil"/>
              <w:right w:val="nil"/>
            </w:tcBorders>
            <w:shd w:val="clear" w:color="auto" w:fill="auto"/>
            <w:hideMark/>
          </w:tcPr>
          <w:p w14:paraId="1A9AAD0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-0.015***</w:t>
            </w:r>
          </w:p>
        </w:tc>
        <w:tc>
          <w:tcPr>
            <w:tcW w:w="1132" w:type="dxa"/>
            <w:tcBorders>
              <w:top w:val="nil"/>
              <w:left w:val="nil"/>
              <w:bottom w:val="nil"/>
              <w:right w:val="nil"/>
            </w:tcBorders>
            <w:shd w:val="clear" w:color="auto" w:fill="auto"/>
            <w:hideMark/>
          </w:tcPr>
          <w:p w14:paraId="3AEC5DF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0.010***</w:t>
            </w:r>
          </w:p>
        </w:tc>
        <w:tc>
          <w:tcPr>
            <w:tcW w:w="1134" w:type="dxa"/>
            <w:tcBorders>
              <w:top w:val="nil"/>
              <w:left w:val="nil"/>
              <w:bottom w:val="nil"/>
              <w:right w:val="nil"/>
            </w:tcBorders>
            <w:shd w:val="clear" w:color="auto" w:fill="auto"/>
            <w:hideMark/>
          </w:tcPr>
          <w:p w14:paraId="18DE0C6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0.009</w:t>
            </w:r>
          </w:p>
        </w:tc>
        <w:tc>
          <w:tcPr>
            <w:tcW w:w="1134" w:type="dxa"/>
            <w:tcBorders>
              <w:top w:val="nil"/>
              <w:left w:val="nil"/>
              <w:bottom w:val="nil"/>
              <w:right w:val="nil"/>
            </w:tcBorders>
            <w:shd w:val="clear" w:color="auto" w:fill="auto"/>
            <w:hideMark/>
          </w:tcPr>
          <w:p w14:paraId="198E70F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0.001</w:t>
            </w:r>
          </w:p>
        </w:tc>
        <w:tc>
          <w:tcPr>
            <w:tcW w:w="1134" w:type="dxa"/>
            <w:tcBorders>
              <w:top w:val="nil"/>
              <w:left w:val="nil"/>
              <w:bottom w:val="nil"/>
              <w:right w:val="nil"/>
            </w:tcBorders>
            <w:shd w:val="clear" w:color="auto" w:fill="auto"/>
            <w:hideMark/>
          </w:tcPr>
          <w:p w14:paraId="089040E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-0.046***</w:t>
            </w:r>
          </w:p>
        </w:tc>
        <w:tc>
          <w:tcPr>
            <w:tcW w:w="1134" w:type="dxa"/>
            <w:tcBorders>
              <w:top w:val="nil"/>
              <w:left w:val="nil"/>
              <w:bottom w:val="nil"/>
              <w:right w:val="nil"/>
            </w:tcBorders>
            <w:shd w:val="clear" w:color="auto" w:fill="auto"/>
            <w:hideMark/>
          </w:tcPr>
          <w:p w14:paraId="2117500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-0.062***</w:t>
            </w:r>
          </w:p>
        </w:tc>
        <w:tc>
          <w:tcPr>
            <w:tcW w:w="1134" w:type="dxa"/>
            <w:tcBorders>
              <w:top w:val="nil"/>
              <w:left w:val="nil"/>
              <w:bottom w:val="nil"/>
              <w:right w:val="nil"/>
            </w:tcBorders>
            <w:shd w:val="clear" w:color="auto" w:fill="auto"/>
            <w:hideMark/>
          </w:tcPr>
          <w:p w14:paraId="1665585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-0.070***</w:t>
            </w:r>
          </w:p>
        </w:tc>
      </w:tr>
      <w:tr w:rsidR="00244248" w:rsidRPr="00B6715A" w14:paraId="737F4E63" w14:textId="77777777" w:rsidTr="007C5778">
        <w:trPr>
          <w:trHeight w:val="283"/>
        </w:trPr>
        <w:tc>
          <w:tcPr>
            <w:tcW w:w="2127" w:type="dxa"/>
            <w:tcBorders>
              <w:top w:val="nil"/>
              <w:left w:val="nil"/>
              <w:bottom w:val="single" w:sz="8" w:space="0" w:color="ED7D31"/>
              <w:right w:val="nil"/>
            </w:tcBorders>
            <w:shd w:val="clear" w:color="auto" w:fill="auto"/>
            <w:vAlign w:val="center"/>
            <w:hideMark/>
          </w:tcPr>
          <w:p w14:paraId="75D0FE68"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auto" w:fill="auto"/>
            <w:hideMark/>
          </w:tcPr>
          <w:p w14:paraId="6DBCDFE1"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(0.004)</w:t>
            </w:r>
          </w:p>
        </w:tc>
        <w:tc>
          <w:tcPr>
            <w:tcW w:w="1132" w:type="dxa"/>
            <w:tcBorders>
              <w:top w:val="nil"/>
              <w:left w:val="nil"/>
              <w:bottom w:val="single" w:sz="8" w:space="0" w:color="ED7D31"/>
              <w:right w:val="nil"/>
            </w:tcBorders>
            <w:shd w:val="clear" w:color="auto" w:fill="auto"/>
            <w:hideMark/>
          </w:tcPr>
          <w:p w14:paraId="01E59D93"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(0.002)</w:t>
            </w:r>
          </w:p>
        </w:tc>
        <w:tc>
          <w:tcPr>
            <w:tcW w:w="1134" w:type="dxa"/>
            <w:tcBorders>
              <w:top w:val="nil"/>
              <w:left w:val="nil"/>
              <w:bottom w:val="single" w:sz="8" w:space="0" w:color="ED7D31"/>
              <w:right w:val="nil"/>
            </w:tcBorders>
            <w:shd w:val="clear" w:color="auto" w:fill="auto"/>
            <w:hideMark/>
          </w:tcPr>
          <w:p w14:paraId="60DAB3F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(0.009)</w:t>
            </w:r>
          </w:p>
        </w:tc>
        <w:tc>
          <w:tcPr>
            <w:tcW w:w="1134" w:type="dxa"/>
            <w:tcBorders>
              <w:top w:val="nil"/>
              <w:left w:val="nil"/>
              <w:bottom w:val="single" w:sz="8" w:space="0" w:color="ED7D31"/>
              <w:right w:val="nil"/>
            </w:tcBorders>
            <w:shd w:val="clear" w:color="auto" w:fill="auto"/>
            <w:hideMark/>
          </w:tcPr>
          <w:p w14:paraId="4137FBD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(0.011)</w:t>
            </w:r>
          </w:p>
        </w:tc>
        <w:tc>
          <w:tcPr>
            <w:tcW w:w="1134" w:type="dxa"/>
            <w:tcBorders>
              <w:top w:val="nil"/>
              <w:left w:val="nil"/>
              <w:bottom w:val="single" w:sz="8" w:space="0" w:color="ED7D31"/>
              <w:right w:val="nil"/>
            </w:tcBorders>
            <w:shd w:val="clear" w:color="auto" w:fill="auto"/>
            <w:hideMark/>
          </w:tcPr>
          <w:p w14:paraId="1BC4DBB8"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(0.009)</w:t>
            </w:r>
          </w:p>
        </w:tc>
        <w:tc>
          <w:tcPr>
            <w:tcW w:w="1134" w:type="dxa"/>
            <w:tcBorders>
              <w:top w:val="nil"/>
              <w:left w:val="nil"/>
              <w:bottom w:val="single" w:sz="8" w:space="0" w:color="ED7D31"/>
              <w:right w:val="nil"/>
            </w:tcBorders>
            <w:shd w:val="clear" w:color="auto" w:fill="auto"/>
            <w:hideMark/>
          </w:tcPr>
          <w:p w14:paraId="6A2DE44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(0.008)</w:t>
            </w:r>
          </w:p>
        </w:tc>
        <w:tc>
          <w:tcPr>
            <w:tcW w:w="1134" w:type="dxa"/>
            <w:tcBorders>
              <w:top w:val="nil"/>
              <w:left w:val="nil"/>
              <w:bottom w:val="single" w:sz="8" w:space="0" w:color="ED7D31"/>
              <w:right w:val="nil"/>
            </w:tcBorders>
            <w:shd w:val="clear" w:color="auto" w:fill="auto"/>
            <w:hideMark/>
          </w:tcPr>
          <w:p w14:paraId="7D9C6298"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(0.007)</w:t>
            </w:r>
          </w:p>
        </w:tc>
      </w:tr>
      <w:tr w:rsidR="00244248" w:rsidRPr="00B6715A" w14:paraId="149FBB84" w14:textId="77777777" w:rsidTr="007C5778">
        <w:trPr>
          <w:trHeight w:val="283"/>
        </w:trPr>
        <w:tc>
          <w:tcPr>
            <w:tcW w:w="2127" w:type="dxa"/>
            <w:tcBorders>
              <w:top w:val="nil"/>
              <w:left w:val="nil"/>
              <w:bottom w:val="nil"/>
              <w:right w:val="nil"/>
            </w:tcBorders>
            <w:shd w:val="clear" w:color="auto" w:fill="auto"/>
            <w:vAlign w:val="center"/>
            <w:hideMark/>
          </w:tcPr>
          <w:p w14:paraId="75EF1ED4"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r w:rsidRPr="00B6715A">
              <w:rPr>
                <w:rFonts w:asciiTheme="majorHAnsi" w:eastAsia="Times New Roman" w:hAnsiTheme="majorHAnsi" w:cstheme="majorHAnsi"/>
                <w:b/>
                <w:bCs/>
                <w:color w:val="000000"/>
                <w:sz w:val="20"/>
                <w:szCs w:val="20"/>
                <w:lang w:val="en-US" w:eastAsia="en-AU"/>
              </w:rPr>
              <w:t>Remote area</w:t>
            </w:r>
          </w:p>
        </w:tc>
        <w:tc>
          <w:tcPr>
            <w:tcW w:w="1136" w:type="dxa"/>
            <w:tcBorders>
              <w:top w:val="nil"/>
              <w:left w:val="nil"/>
              <w:bottom w:val="nil"/>
              <w:right w:val="nil"/>
            </w:tcBorders>
            <w:shd w:val="clear" w:color="auto" w:fill="auto"/>
            <w:hideMark/>
          </w:tcPr>
          <w:p w14:paraId="717E966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-0.101***</w:t>
            </w:r>
          </w:p>
        </w:tc>
        <w:tc>
          <w:tcPr>
            <w:tcW w:w="1132" w:type="dxa"/>
            <w:tcBorders>
              <w:top w:val="nil"/>
              <w:left w:val="nil"/>
              <w:bottom w:val="nil"/>
              <w:right w:val="nil"/>
            </w:tcBorders>
            <w:shd w:val="clear" w:color="auto" w:fill="auto"/>
            <w:hideMark/>
          </w:tcPr>
          <w:p w14:paraId="205C390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-0.016***</w:t>
            </w:r>
          </w:p>
        </w:tc>
        <w:tc>
          <w:tcPr>
            <w:tcW w:w="1134" w:type="dxa"/>
            <w:tcBorders>
              <w:top w:val="nil"/>
              <w:left w:val="nil"/>
              <w:bottom w:val="nil"/>
              <w:right w:val="nil"/>
            </w:tcBorders>
            <w:shd w:val="clear" w:color="auto" w:fill="auto"/>
            <w:hideMark/>
          </w:tcPr>
          <w:p w14:paraId="0D05363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-0.080***</w:t>
            </w:r>
          </w:p>
        </w:tc>
        <w:tc>
          <w:tcPr>
            <w:tcW w:w="1134" w:type="dxa"/>
            <w:tcBorders>
              <w:top w:val="nil"/>
              <w:left w:val="nil"/>
              <w:bottom w:val="nil"/>
              <w:right w:val="nil"/>
            </w:tcBorders>
            <w:shd w:val="clear" w:color="auto" w:fill="auto"/>
            <w:hideMark/>
          </w:tcPr>
          <w:p w14:paraId="1BFC851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-0.109***</w:t>
            </w:r>
          </w:p>
        </w:tc>
        <w:tc>
          <w:tcPr>
            <w:tcW w:w="1134" w:type="dxa"/>
            <w:tcBorders>
              <w:top w:val="nil"/>
              <w:left w:val="nil"/>
              <w:bottom w:val="nil"/>
              <w:right w:val="nil"/>
            </w:tcBorders>
            <w:shd w:val="clear" w:color="auto" w:fill="auto"/>
            <w:hideMark/>
          </w:tcPr>
          <w:p w14:paraId="418A78E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-0.060***</w:t>
            </w:r>
          </w:p>
        </w:tc>
        <w:tc>
          <w:tcPr>
            <w:tcW w:w="1134" w:type="dxa"/>
            <w:tcBorders>
              <w:top w:val="nil"/>
              <w:left w:val="nil"/>
              <w:bottom w:val="nil"/>
              <w:right w:val="nil"/>
            </w:tcBorders>
            <w:shd w:val="clear" w:color="auto" w:fill="auto"/>
            <w:hideMark/>
          </w:tcPr>
          <w:p w14:paraId="784E176D"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-0.067***</w:t>
            </w:r>
          </w:p>
        </w:tc>
        <w:tc>
          <w:tcPr>
            <w:tcW w:w="1134" w:type="dxa"/>
            <w:tcBorders>
              <w:top w:val="nil"/>
              <w:left w:val="nil"/>
              <w:bottom w:val="nil"/>
              <w:right w:val="nil"/>
            </w:tcBorders>
            <w:shd w:val="clear" w:color="auto" w:fill="auto"/>
            <w:hideMark/>
          </w:tcPr>
          <w:p w14:paraId="66E5B00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-0.067***</w:t>
            </w:r>
          </w:p>
        </w:tc>
      </w:tr>
      <w:tr w:rsidR="00244248" w:rsidRPr="00B6715A" w14:paraId="490A3E25" w14:textId="77777777" w:rsidTr="007C5778">
        <w:trPr>
          <w:trHeight w:val="283"/>
        </w:trPr>
        <w:tc>
          <w:tcPr>
            <w:tcW w:w="2127" w:type="dxa"/>
            <w:tcBorders>
              <w:top w:val="nil"/>
              <w:left w:val="nil"/>
              <w:bottom w:val="single" w:sz="8" w:space="0" w:color="ED7D31"/>
              <w:right w:val="nil"/>
            </w:tcBorders>
            <w:shd w:val="clear" w:color="auto" w:fill="auto"/>
            <w:vAlign w:val="center"/>
            <w:hideMark/>
          </w:tcPr>
          <w:p w14:paraId="4EE973CB"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auto" w:fill="auto"/>
            <w:hideMark/>
          </w:tcPr>
          <w:p w14:paraId="6D0C1F77"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(0.006)</w:t>
            </w:r>
          </w:p>
        </w:tc>
        <w:tc>
          <w:tcPr>
            <w:tcW w:w="1132" w:type="dxa"/>
            <w:tcBorders>
              <w:top w:val="nil"/>
              <w:left w:val="nil"/>
              <w:bottom w:val="single" w:sz="8" w:space="0" w:color="ED7D31"/>
              <w:right w:val="nil"/>
            </w:tcBorders>
            <w:shd w:val="clear" w:color="auto" w:fill="auto"/>
            <w:hideMark/>
          </w:tcPr>
          <w:p w14:paraId="0520079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(0.004)</w:t>
            </w:r>
          </w:p>
        </w:tc>
        <w:tc>
          <w:tcPr>
            <w:tcW w:w="1134" w:type="dxa"/>
            <w:tcBorders>
              <w:top w:val="nil"/>
              <w:left w:val="nil"/>
              <w:bottom w:val="single" w:sz="8" w:space="0" w:color="ED7D31"/>
              <w:right w:val="nil"/>
            </w:tcBorders>
            <w:shd w:val="clear" w:color="auto" w:fill="auto"/>
            <w:hideMark/>
          </w:tcPr>
          <w:p w14:paraId="38CF693F"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(0.012)</w:t>
            </w:r>
          </w:p>
        </w:tc>
        <w:tc>
          <w:tcPr>
            <w:tcW w:w="1134" w:type="dxa"/>
            <w:tcBorders>
              <w:top w:val="nil"/>
              <w:left w:val="nil"/>
              <w:bottom w:val="single" w:sz="8" w:space="0" w:color="ED7D31"/>
              <w:right w:val="nil"/>
            </w:tcBorders>
            <w:shd w:val="clear" w:color="auto" w:fill="auto"/>
            <w:hideMark/>
          </w:tcPr>
          <w:p w14:paraId="08055D5F"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(0.012)</w:t>
            </w:r>
          </w:p>
        </w:tc>
        <w:tc>
          <w:tcPr>
            <w:tcW w:w="1134" w:type="dxa"/>
            <w:tcBorders>
              <w:top w:val="nil"/>
              <w:left w:val="nil"/>
              <w:bottom w:val="single" w:sz="8" w:space="0" w:color="ED7D31"/>
              <w:right w:val="nil"/>
            </w:tcBorders>
            <w:shd w:val="clear" w:color="auto" w:fill="auto"/>
            <w:hideMark/>
          </w:tcPr>
          <w:p w14:paraId="50DBC3ED"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(0.009)</w:t>
            </w:r>
          </w:p>
        </w:tc>
        <w:tc>
          <w:tcPr>
            <w:tcW w:w="1134" w:type="dxa"/>
            <w:tcBorders>
              <w:top w:val="nil"/>
              <w:left w:val="nil"/>
              <w:bottom w:val="single" w:sz="8" w:space="0" w:color="ED7D31"/>
              <w:right w:val="nil"/>
            </w:tcBorders>
            <w:shd w:val="clear" w:color="auto" w:fill="auto"/>
            <w:hideMark/>
          </w:tcPr>
          <w:p w14:paraId="19F840B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(0.009)</w:t>
            </w:r>
          </w:p>
        </w:tc>
        <w:tc>
          <w:tcPr>
            <w:tcW w:w="1134" w:type="dxa"/>
            <w:tcBorders>
              <w:top w:val="nil"/>
              <w:left w:val="nil"/>
              <w:bottom w:val="single" w:sz="8" w:space="0" w:color="ED7D31"/>
              <w:right w:val="nil"/>
            </w:tcBorders>
            <w:shd w:val="clear" w:color="auto" w:fill="auto"/>
            <w:hideMark/>
          </w:tcPr>
          <w:p w14:paraId="63D6F88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(0.008)</w:t>
            </w:r>
          </w:p>
        </w:tc>
      </w:tr>
      <w:tr w:rsidR="00244248" w:rsidRPr="00B6715A" w14:paraId="45FD7FF9" w14:textId="77777777" w:rsidTr="007C5778">
        <w:trPr>
          <w:trHeight w:val="283"/>
        </w:trPr>
        <w:tc>
          <w:tcPr>
            <w:tcW w:w="2127" w:type="dxa"/>
            <w:tcBorders>
              <w:top w:val="nil"/>
              <w:left w:val="nil"/>
              <w:bottom w:val="nil"/>
              <w:right w:val="nil"/>
            </w:tcBorders>
            <w:shd w:val="clear" w:color="auto" w:fill="auto"/>
            <w:vAlign w:val="center"/>
            <w:hideMark/>
          </w:tcPr>
          <w:p w14:paraId="28FEF420"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r w:rsidRPr="00B6715A">
              <w:rPr>
                <w:rFonts w:asciiTheme="majorHAnsi" w:eastAsia="Times New Roman" w:hAnsiTheme="majorHAnsi" w:cstheme="majorHAnsi"/>
                <w:b/>
                <w:bCs/>
                <w:color w:val="000000"/>
                <w:sz w:val="20"/>
                <w:szCs w:val="20"/>
                <w:lang w:val="en-US" w:eastAsia="en-AU"/>
              </w:rPr>
              <w:t>Born in Australia</w:t>
            </w:r>
          </w:p>
        </w:tc>
        <w:tc>
          <w:tcPr>
            <w:tcW w:w="1136" w:type="dxa"/>
            <w:tcBorders>
              <w:top w:val="nil"/>
              <w:left w:val="nil"/>
              <w:bottom w:val="nil"/>
              <w:right w:val="nil"/>
            </w:tcBorders>
            <w:shd w:val="clear" w:color="auto" w:fill="auto"/>
            <w:hideMark/>
          </w:tcPr>
          <w:p w14:paraId="57E82B91"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-0.003</w:t>
            </w:r>
          </w:p>
        </w:tc>
        <w:tc>
          <w:tcPr>
            <w:tcW w:w="1132" w:type="dxa"/>
            <w:tcBorders>
              <w:top w:val="nil"/>
              <w:left w:val="nil"/>
              <w:bottom w:val="nil"/>
              <w:right w:val="nil"/>
            </w:tcBorders>
            <w:shd w:val="clear" w:color="auto" w:fill="auto"/>
            <w:hideMark/>
          </w:tcPr>
          <w:p w14:paraId="00DC3F82"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-0.032***</w:t>
            </w:r>
          </w:p>
        </w:tc>
        <w:tc>
          <w:tcPr>
            <w:tcW w:w="1134" w:type="dxa"/>
            <w:tcBorders>
              <w:top w:val="nil"/>
              <w:left w:val="nil"/>
              <w:bottom w:val="nil"/>
              <w:right w:val="nil"/>
            </w:tcBorders>
            <w:shd w:val="clear" w:color="auto" w:fill="auto"/>
            <w:hideMark/>
          </w:tcPr>
          <w:p w14:paraId="1C7D0BEF"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-0.051***</w:t>
            </w:r>
          </w:p>
        </w:tc>
        <w:tc>
          <w:tcPr>
            <w:tcW w:w="1134" w:type="dxa"/>
            <w:tcBorders>
              <w:top w:val="nil"/>
              <w:left w:val="nil"/>
              <w:bottom w:val="nil"/>
              <w:right w:val="nil"/>
            </w:tcBorders>
            <w:shd w:val="clear" w:color="auto" w:fill="auto"/>
            <w:hideMark/>
          </w:tcPr>
          <w:p w14:paraId="043FA20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-0.007</w:t>
            </w:r>
          </w:p>
        </w:tc>
        <w:tc>
          <w:tcPr>
            <w:tcW w:w="1134" w:type="dxa"/>
            <w:tcBorders>
              <w:top w:val="nil"/>
              <w:left w:val="nil"/>
              <w:bottom w:val="nil"/>
              <w:right w:val="nil"/>
            </w:tcBorders>
            <w:shd w:val="clear" w:color="auto" w:fill="auto"/>
            <w:hideMark/>
          </w:tcPr>
          <w:p w14:paraId="1837892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0.011</w:t>
            </w:r>
          </w:p>
        </w:tc>
        <w:tc>
          <w:tcPr>
            <w:tcW w:w="1134" w:type="dxa"/>
            <w:tcBorders>
              <w:top w:val="nil"/>
              <w:left w:val="nil"/>
              <w:bottom w:val="nil"/>
              <w:right w:val="nil"/>
            </w:tcBorders>
            <w:shd w:val="clear" w:color="auto" w:fill="auto"/>
            <w:hideMark/>
          </w:tcPr>
          <w:p w14:paraId="259450A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0.024***</w:t>
            </w:r>
          </w:p>
        </w:tc>
        <w:tc>
          <w:tcPr>
            <w:tcW w:w="1134" w:type="dxa"/>
            <w:tcBorders>
              <w:top w:val="nil"/>
              <w:left w:val="nil"/>
              <w:bottom w:val="nil"/>
              <w:right w:val="nil"/>
            </w:tcBorders>
            <w:shd w:val="clear" w:color="auto" w:fill="auto"/>
            <w:hideMark/>
          </w:tcPr>
          <w:p w14:paraId="45E6E574"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0.038***</w:t>
            </w:r>
          </w:p>
        </w:tc>
      </w:tr>
      <w:tr w:rsidR="00244248" w:rsidRPr="00B6715A" w14:paraId="6FF000A6" w14:textId="77777777" w:rsidTr="007C5778">
        <w:trPr>
          <w:trHeight w:val="283"/>
        </w:trPr>
        <w:tc>
          <w:tcPr>
            <w:tcW w:w="2127" w:type="dxa"/>
            <w:tcBorders>
              <w:top w:val="nil"/>
              <w:left w:val="nil"/>
              <w:bottom w:val="single" w:sz="8" w:space="0" w:color="ED7D31"/>
              <w:right w:val="nil"/>
            </w:tcBorders>
            <w:shd w:val="clear" w:color="auto" w:fill="auto"/>
            <w:vAlign w:val="center"/>
            <w:hideMark/>
          </w:tcPr>
          <w:p w14:paraId="29235A1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auto" w:fill="auto"/>
            <w:hideMark/>
          </w:tcPr>
          <w:p w14:paraId="4C44B82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(0.006)</w:t>
            </w:r>
          </w:p>
        </w:tc>
        <w:tc>
          <w:tcPr>
            <w:tcW w:w="1132" w:type="dxa"/>
            <w:tcBorders>
              <w:top w:val="nil"/>
              <w:left w:val="nil"/>
              <w:bottom w:val="single" w:sz="8" w:space="0" w:color="ED7D31"/>
              <w:right w:val="nil"/>
            </w:tcBorders>
            <w:shd w:val="clear" w:color="auto" w:fill="auto"/>
            <w:hideMark/>
          </w:tcPr>
          <w:p w14:paraId="035A14DA"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(0.007)</w:t>
            </w:r>
          </w:p>
        </w:tc>
        <w:tc>
          <w:tcPr>
            <w:tcW w:w="1134" w:type="dxa"/>
            <w:tcBorders>
              <w:top w:val="nil"/>
              <w:left w:val="nil"/>
              <w:bottom w:val="single" w:sz="8" w:space="0" w:color="ED7D31"/>
              <w:right w:val="nil"/>
            </w:tcBorders>
            <w:shd w:val="clear" w:color="auto" w:fill="auto"/>
            <w:hideMark/>
          </w:tcPr>
          <w:p w14:paraId="31DEB0C2"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(0.015)</w:t>
            </w:r>
          </w:p>
        </w:tc>
        <w:tc>
          <w:tcPr>
            <w:tcW w:w="1134" w:type="dxa"/>
            <w:tcBorders>
              <w:top w:val="nil"/>
              <w:left w:val="nil"/>
              <w:bottom w:val="single" w:sz="8" w:space="0" w:color="ED7D31"/>
              <w:right w:val="nil"/>
            </w:tcBorders>
            <w:shd w:val="clear" w:color="auto" w:fill="auto"/>
            <w:hideMark/>
          </w:tcPr>
          <w:p w14:paraId="472FD9D8"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(0.013)</w:t>
            </w:r>
          </w:p>
        </w:tc>
        <w:tc>
          <w:tcPr>
            <w:tcW w:w="1134" w:type="dxa"/>
            <w:tcBorders>
              <w:top w:val="nil"/>
              <w:left w:val="nil"/>
              <w:bottom w:val="single" w:sz="8" w:space="0" w:color="ED7D31"/>
              <w:right w:val="nil"/>
            </w:tcBorders>
            <w:shd w:val="clear" w:color="auto" w:fill="auto"/>
            <w:hideMark/>
          </w:tcPr>
          <w:p w14:paraId="11C5055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(0.009)</w:t>
            </w:r>
          </w:p>
        </w:tc>
        <w:tc>
          <w:tcPr>
            <w:tcW w:w="1134" w:type="dxa"/>
            <w:tcBorders>
              <w:top w:val="nil"/>
              <w:left w:val="nil"/>
              <w:bottom w:val="single" w:sz="8" w:space="0" w:color="ED7D31"/>
              <w:right w:val="nil"/>
            </w:tcBorders>
            <w:shd w:val="clear" w:color="auto" w:fill="auto"/>
            <w:hideMark/>
          </w:tcPr>
          <w:p w14:paraId="4E6BAF14"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(0.008)</w:t>
            </w:r>
          </w:p>
        </w:tc>
        <w:tc>
          <w:tcPr>
            <w:tcW w:w="1134" w:type="dxa"/>
            <w:tcBorders>
              <w:top w:val="nil"/>
              <w:left w:val="nil"/>
              <w:bottom w:val="single" w:sz="8" w:space="0" w:color="ED7D31"/>
              <w:right w:val="nil"/>
            </w:tcBorders>
            <w:shd w:val="clear" w:color="auto" w:fill="auto"/>
            <w:hideMark/>
          </w:tcPr>
          <w:p w14:paraId="14287A7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(0.008)</w:t>
            </w:r>
          </w:p>
        </w:tc>
      </w:tr>
      <w:tr w:rsidR="00244248" w:rsidRPr="00B6715A" w14:paraId="1CB61AE8" w14:textId="77777777" w:rsidTr="007C5778">
        <w:trPr>
          <w:trHeight w:val="283"/>
        </w:trPr>
        <w:tc>
          <w:tcPr>
            <w:tcW w:w="2127" w:type="dxa"/>
            <w:tcBorders>
              <w:top w:val="nil"/>
              <w:left w:val="nil"/>
              <w:bottom w:val="nil"/>
              <w:right w:val="nil"/>
            </w:tcBorders>
            <w:shd w:val="clear" w:color="auto" w:fill="auto"/>
            <w:vAlign w:val="center"/>
            <w:hideMark/>
          </w:tcPr>
          <w:p w14:paraId="6555C814" w14:textId="77777777" w:rsidR="00244248" w:rsidRPr="00B6715A" w:rsidRDefault="00244248" w:rsidP="00335B25">
            <w:pPr>
              <w:spacing w:after="0" w:line="240" w:lineRule="auto"/>
              <w:rPr>
                <w:rFonts w:asciiTheme="majorHAnsi" w:eastAsia="Times New Roman" w:hAnsiTheme="majorHAnsi" w:cstheme="majorHAnsi"/>
                <w:b/>
                <w:bCs/>
                <w:color w:val="000000"/>
                <w:sz w:val="20"/>
                <w:szCs w:val="20"/>
                <w:lang w:eastAsia="en-AU"/>
              </w:rPr>
            </w:pPr>
            <w:r w:rsidRPr="00B6715A">
              <w:rPr>
                <w:rFonts w:asciiTheme="majorHAnsi" w:eastAsia="Times New Roman" w:hAnsiTheme="majorHAnsi" w:cstheme="majorHAnsi"/>
                <w:b/>
                <w:bCs/>
                <w:color w:val="000000"/>
                <w:sz w:val="20"/>
                <w:szCs w:val="20"/>
                <w:lang w:val="en-US" w:eastAsia="en-AU"/>
              </w:rPr>
              <w:t>Aboriginal or Torres Strait Islander</w:t>
            </w:r>
          </w:p>
        </w:tc>
        <w:tc>
          <w:tcPr>
            <w:tcW w:w="1136" w:type="dxa"/>
            <w:tcBorders>
              <w:top w:val="nil"/>
              <w:left w:val="nil"/>
              <w:bottom w:val="nil"/>
              <w:right w:val="nil"/>
            </w:tcBorders>
            <w:shd w:val="clear" w:color="auto" w:fill="auto"/>
            <w:hideMark/>
          </w:tcPr>
          <w:p w14:paraId="26E99723"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-0.154***</w:t>
            </w:r>
          </w:p>
        </w:tc>
        <w:tc>
          <w:tcPr>
            <w:tcW w:w="1132" w:type="dxa"/>
            <w:tcBorders>
              <w:top w:val="nil"/>
              <w:left w:val="nil"/>
              <w:bottom w:val="nil"/>
              <w:right w:val="nil"/>
            </w:tcBorders>
            <w:shd w:val="clear" w:color="auto" w:fill="auto"/>
            <w:hideMark/>
          </w:tcPr>
          <w:p w14:paraId="6A57D47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-0.043***</w:t>
            </w:r>
          </w:p>
        </w:tc>
        <w:tc>
          <w:tcPr>
            <w:tcW w:w="1134" w:type="dxa"/>
            <w:tcBorders>
              <w:top w:val="nil"/>
              <w:left w:val="nil"/>
              <w:bottom w:val="nil"/>
              <w:right w:val="nil"/>
            </w:tcBorders>
            <w:shd w:val="clear" w:color="auto" w:fill="auto"/>
            <w:hideMark/>
          </w:tcPr>
          <w:p w14:paraId="467E75E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-0.184***</w:t>
            </w:r>
          </w:p>
        </w:tc>
        <w:tc>
          <w:tcPr>
            <w:tcW w:w="1134" w:type="dxa"/>
            <w:tcBorders>
              <w:top w:val="nil"/>
              <w:left w:val="nil"/>
              <w:bottom w:val="nil"/>
              <w:right w:val="nil"/>
            </w:tcBorders>
            <w:shd w:val="clear" w:color="auto" w:fill="auto"/>
            <w:hideMark/>
          </w:tcPr>
          <w:p w14:paraId="7C7EF4BD"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-0.051</w:t>
            </w:r>
          </w:p>
        </w:tc>
        <w:tc>
          <w:tcPr>
            <w:tcW w:w="1134" w:type="dxa"/>
            <w:tcBorders>
              <w:top w:val="nil"/>
              <w:left w:val="nil"/>
              <w:bottom w:val="nil"/>
              <w:right w:val="nil"/>
            </w:tcBorders>
            <w:shd w:val="clear" w:color="auto" w:fill="auto"/>
            <w:hideMark/>
          </w:tcPr>
          <w:p w14:paraId="2D7FE93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-0.026</w:t>
            </w:r>
          </w:p>
        </w:tc>
        <w:tc>
          <w:tcPr>
            <w:tcW w:w="1134" w:type="dxa"/>
            <w:tcBorders>
              <w:top w:val="nil"/>
              <w:left w:val="nil"/>
              <w:bottom w:val="nil"/>
              <w:right w:val="nil"/>
            </w:tcBorders>
            <w:shd w:val="clear" w:color="auto" w:fill="auto"/>
            <w:hideMark/>
          </w:tcPr>
          <w:p w14:paraId="1F232592"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-0.083***</w:t>
            </w:r>
          </w:p>
        </w:tc>
        <w:tc>
          <w:tcPr>
            <w:tcW w:w="1134" w:type="dxa"/>
            <w:tcBorders>
              <w:top w:val="nil"/>
              <w:left w:val="nil"/>
              <w:bottom w:val="nil"/>
              <w:right w:val="nil"/>
            </w:tcBorders>
            <w:shd w:val="clear" w:color="auto" w:fill="auto"/>
            <w:hideMark/>
          </w:tcPr>
          <w:p w14:paraId="2265212A"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-0.070***</w:t>
            </w:r>
          </w:p>
        </w:tc>
      </w:tr>
      <w:tr w:rsidR="00244248" w:rsidRPr="00B6715A" w14:paraId="7FB2253D" w14:textId="77777777" w:rsidTr="007C5778">
        <w:trPr>
          <w:trHeight w:val="283"/>
        </w:trPr>
        <w:tc>
          <w:tcPr>
            <w:tcW w:w="2127" w:type="dxa"/>
            <w:tcBorders>
              <w:top w:val="nil"/>
              <w:left w:val="nil"/>
              <w:bottom w:val="single" w:sz="8" w:space="0" w:color="ED7D31"/>
              <w:right w:val="nil"/>
            </w:tcBorders>
            <w:shd w:val="clear" w:color="auto" w:fill="auto"/>
            <w:vAlign w:val="center"/>
            <w:hideMark/>
          </w:tcPr>
          <w:p w14:paraId="1132F72C"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 </w:t>
            </w:r>
          </w:p>
        </w:tc>
        <w:tc>
          <w:tcPr>
            <w:tcW w:w="1136" w:type="dxa"/>
            <w:tcBorders>
              <w:top w:val="nil"/>
              <w:left w:val="nil"/>
              <w:bottom w:val="single" w:sz="8" w:space="0" w:color="ED7D31"/>
              <w:right w:val="nil"/>
            </w:tcBorders>
            <w:shd w:val="clear" w:color="auto" w:fill="auto"/>
            <w:hideMark/>
          </w:tcPr>
          <w:p w14:paraId="6B4111FF"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(0.013)</w:t>
            </w:r>
          </w:p>
        </w:tc>
        <w:tc>
          <w:tcPr>
            <w:tcW w:w="1132" w:type="dxa"/>
            <w:tcBorders>
              <w:top w:val="nil"/>
              <w:left w:val="nil"/>
              <w:bottom w:val="single" w:sz="8" w:space="0" w:color="ED7D31"/>
              <w:right w:val="nil"/>
            </w:tcBorders>
            <w:shd w:val="clear" w:color="auto" w:fill="auto"/>
            <w:hideMark/>
          </w:tcPr>
          <w:p w14:paraId="3A5C5AA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(0.006)</w:t>
            </w:r>
          </w:p>
        </w:tc>
        <w:tc>
          <w:tcPr>
            <w:tcW w:w="1134" w:type="dxa"/>
            <w:tcBorders>
              <w:top w:val="nil"/>
              <w:left w:val="nil"/>
              <w:bottom w:val="single" w:sz="8" w:space="0" w:color="ED7D31"/>
              <w:right w:val="nil"/>
            </w:tcBorders>
            <w:shd w:val="clear" w:color="auto" w:fill="auto"/>
            <w:hideMark/>
          </w:tcPr>
          <w:p w14:paraId="040D70B0"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(0.026)</w:t>
            </w:r>
          </w:p>
        </w:tc>
        <w:tc>
          <w:tcPr>
            <w:tcW w:w="1134" w:type="dxa"/>
            <w:tcBorders>
              <w:top w:val="nil"/>
              <w:left w:val="nil"/>
              <w:bottom w:val="single" w:sz="8" w:space="0" w:color="ED7D31"/>
              <w:right w:val="nil"/>
            </w:tcBorders>
            <w:shd w:val="clear" w:color="auto" w:fill="auto"/>
            <w:hideMark/>
          </w:tcPr>
          <w:p w14:paraId="12A8CB22"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(0.032)</w:t>
            </w:r>
          </w:p>
        </w:tc>
        <w:tc>
          <w:tcPr>
            <w:tcW w:w="1134" w:type="dxa"/>
            <w:tcBorders>
              <w:top w:val="nil"/>
              <w:left w:val="nil"/>
              <w:bottom w:val="single" w:sz="8" w:space="0" w:color="ED7D31"/>
              <w:right w:val="nil"/>
            </w:tcBorders>
            <w:shd w:val="clear" w:color="auto" w:fill="auto"/>
            <w:hideMark/>
          </w:tcPr>
          <w:p w14:paraId="70859DDB"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(0.023)</w:t>
            </w:r>
          </w:p>
        </w:tc>
        <w:tc>
          <w:tcPr>
            <w:tcW w:w="1134" w:type="dxa"/>
            <w:tcBorders>
              <w:top w:val="nil"/>
              <w:left w:val="nil"/>
              <w:bottom w:val="single" w:sz="8" w:space="0" w:color="ED7D31"/>
              <w:right w:val="nil"/>
            </w:tcBorders>
            <w:shd w:val="clear" w:color="auto" w:fill="auto"/>
            <w:hideMark/>
          </w:tcPr>
          <w:p w14:paraId="5105D7D7"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(0.023)</w:t>
            </w:r>
          </w:p>
        </w:tc>
        <w:tc>
          <w:tcPr>
            <w:tcW w:w="1134" w:type="dxa"/>
            <w:tcBorders>
              <w:top w:val="nil"/>
              <w:left w:val="nil"/>
              <w:bottom w:val="single" w:sz="8" w:space="0" w:color="ED7D31"/>
              <w:right w:val="nil"/>
            </w:tcBorders>
            <w:shd w:val="clear" w:color="auto" w:fill="auto"/>
            <w:hideMark/>
          </w:tcPr>
          <w:p w14:paraId="6836218E" w14:textId="77777777" w:rsidR="00244248" w:rsidRPr="00B6715A" w:rsidRDefault="00244248" w:rsidP="00335B25">
            <w:pPr>
              <w:spacing w:after="0" w:line="240" w:lineRule="auto"/>
              <w:rPr>
                <w:rFonts w:asciiTheme="majorHAnsi" w:eastAsia="Times New Roman" w:hAnsiTheme="majorHAnsi" w:cstheme="majorHAnsi"/>
                <w:color w:val="808080" w:themeColor="background1" w:themeShade="80"/>
                <w:sz w:val="20"/>
                <w:szCs w:val="20"/>
                <w:lang w:eastAsia="en-AU"/>
              </w:rPr>
            </w:pPr>
            <w:r w:rsidRPr="00B6715A">
              <w:rPr>
                <w:rFonts w:asciiTheme="majorHAnsi" w:hAnsiTheme="majorHAnsi" w:cstheme="majorHAnsi"/>
                <w:color w:val="808080" w:themeColor="background1" w:themeShade="80"/>
                <w:sz w:val="20"/>
                <w:szCs w:val="20"/>
              </w:rPr>
              <w:t>(0.023)</w:t>
            </w:r>
          </w:p>
        </w:tc>
      </w:tr>
      <w:tr w:rsidR="00244248" w:rsidRPr="00B6715A" w14:paraId="1169D82C" w14:textId="77777777" w:rsidTr="007C5778">
        <w:trPr>
          <w:trHeight w:val="283"/>
        </w:trPr>
        <w:tc>
          <w:tcPr>
            <w:tcW w:w="2127" w:type="dxa"/>
            <w:tcBorders>
              <w:top w:val="nil"/>
              <w:left w:val="nil"/>
              <w:bottom w:val="single" w:sz="8" w:space="0" w:color="ED7D31"/>
              <w:right w:val="nil"/>
            </w:tcBorders>
            <w:shd w:val="clear" w:color="auto" w:fill="auto"/>
            <w:vAlign w:val="center"/>
            <w:hideMark/>
          </w:tcPr>
          <w:p w14:paraId="704BA18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eastAsia="Times New Roman" w:hAnsiTheme="majorHAnsi" w:cstheme="majorHAnsi"/>
                <w:color w:val="000000"/>
                <w:sz w:val="20"/>
                <w:szCs w:val="20"/>
                <w:lang w:val="en-US" w:eastAsia="en-AU"/>
              </w:rPr>
              <w:t>Observations</w:t>
            </w:r>
          </w:p>
        </w:tc>
        <w:tc>
          <w:tcPr>
            <w:tcW w:w="1136" w:type="dxa"/>
            <w:tcBorders>
              <w:top w:val="nil"/>
              <w:left w:val="nil"/>
              <w:bottom w:val="single" w:sz="8" w:space="0" w:color="ED7D31"/>
              <w:right w:val="nil"/>
            </w:tcBorders>
            <w:shd w:val="clear" w:color="auto" w:fill="auto"/>
            <w:hideMark/>
          </w:tcPr>
          <w:p w14:paraId="207F8D95"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73</w:t>
            </w:r>
            <w:r>
              <w:rPr>
                <w:rFonts w:asciiTheme="majorHAnsi" w:hAnsiTheme="majorHAnsi" w:cstheme="majorHAnsi"/>
                <w:sz w:val="20"/>
                <w:szCs w:val="20"/>
              </w:rPr>
              <w:t>,</w:t>
            </w:r>
            <w:r w:rsidRPr="00B6715A">
              <w:rPr>
                <w:rFonts w:asciiTheme="majorHAnsi" w:hAnsiTheme="majorHAnsi" w:cstheme="majorHAnsi"/>
                <w:sz w:val="20"/>
                <w:szCs w:val="20"/>
              </w:rPr>
              <w:t>761</w:t>
            </w:r>
          </w:p>
        </w:tc>
        <w:tc>
          <w:tcPr>
            <w:tcW w:w="1132" w:type="dxa"/>
            <w:tcBorders>
              <w:top w:val="nil"/>
              <w:left w:val="nil"/>
              <w:bottom w:val="single" w:sz="8" w:space="0" w:color="ED7D31"/>
              <w:right w:val="nil"/>
            </w:tcBorders>
            <w:shd w:val="clear" w:color="auto" w:fill="auto"/>
            <w:hideMark/>
          </w:tcPr>
          <w:p w14:paraId="58675E20"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18</w:t>
            </w:r>
            <w:r>
              <w:rPr>
                <w:rFonts w:asciiTheme="majorHAnsi" w:hAnsiTheme="majorHAnsi" w:cstheme="majorHAnsi"/>
                <w:sz w:val="20"/>
                <w:szCs w:val="20"/>
              </w:rPr>
              <w:t>,</w:t>
            </w:r>
            <w:r w:rsidRPr="00B6715A">
              <w:rPr>
                <w:rFonts w:asciiTheme="majorHAnsi" w:hAnsiTheme="majorHAnsi" w:cstheme="majorHAnsi"/>
                <w:sz w:val="20"/>
                <w:szCs w:val="20"/>
              </w:rPr>
              <w:t>289</w:t>
            </w:r>
          </w:p>
        </w:tc>
        <w:tc>
          <w:tcPr>
            <w:tcW w:w="1134" w:type="dxa"/>
            <w:tcBorders>
              <w:top w:val="nil"/>
              <w:left w:val="nil"/>
              <w:bottom w:val="single" w:sz="8" w:space="0" w:color="ED7D31"/>
              <w:right w:val="nil"/>
            </w:tcBorders>
            <w:shd w:val="clear" w:color="auto" w:fill="auto"/>
            <w:hideMark/>
          </w:tcPr>
          <w:p w14:paraId="1092D907"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12</w:t>
            </w:r>
            <w:r>
              <w:rPr>
                <w:rFonts w:asciiTheme="majorHAnsi" w:hAnsiTheme="majorHAnsi" w:cstheme="majorHAnsi"/>
                <w:sz w:val="20"/>
                <w:szCs w:val="20"/>
              </w:rPr>
              <w:t>,</w:t>
            </w:r>
            <w:r w:rsidRPr="00B6715A">
              <w:rPr>
                <w:rFonts w:asciiTheme="majorHAnsi" w:hAnsiTheme="majorHAnsi" w:cstheme="majorHAnsi"/>
                <w:sz w:val="20"/>
                <w:szCs w:val="20"/>
              </w:rPr>
              <w:t>879</w:t>
            </w:r>
          </w:p>
        </w:tc>
        <w:tc>
          <w:tcPr>
            <w:tcW w:w="1134" w:type="dxa"/>
            <w:tcBorders>
              <w:top w:val="nil"/>
              <w:left w:val="nil"/>
              <w:bottom w:val="single" w:sz="8" w:space="0" w:color="ED7D31"/>
              <w:right w:val="nil"/>
            </w:tcBorders>
            <w:shd w:val="clear" w:color="auto" w:fill="auto"/>
            <w:hideMark/>
          </w:tcPr>
          <w:p w14:paraId="6C9CAE7E"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11</w:t>
            </w:r>
            <w:r>
              <w:rPr>
                <w:rFonts w:asciiTheme="majorHAnsi" w:hAnsiTheme="majorHAnsi" w:cstheme="majorHAnsi"/>
                <w:sz w:val="20"/>
                <w:szCs w:val="20"/>
              </w:rPr>
              <w:t>,</w:t>
            </w:r>
            <w:r w:rsidRPr="00B6715A">
              <w:rPr>
                <w:rFonts w:asciiTheme="majorHAnsi" w:hAnsiTheme="majorHAnsi" w:cstheme="majorHAnsi"/>
                <w:sz w:val="20"/>
                <w:szCs w:val="20"/>
              </w:rPr>
              <w:t>862</w:t>
            </w:r>
          </w:p>
        </w:tc>
        <w:tc>
          <w:tcPr>
            <w:tcW w:w="1134" w:type="dxa"/>
            <w:tcBorders>
              <w:top w:val="nil"/>
              <w:left w:val="nil"/>
              <w:bottom w:val="single" w:sz="8" w:space="0" w:color="ED7D31"/>
              <w:right w:val="nil"/>
            </w:tcBorders>
            <w:shd w:val="clear" w:color="auto" w:fill="auto"/>
            <w:hideMark/>
          </w:tcPr>
          <w:p w14:paraId="51DF0684"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10</w:t>
            </w:r>
            <w:r>
              <w:rPr>
                <w:rFonts w:asciiTheme="majorHAnsi" w:hAnsiTheme="majorHAnsi" w:cstheme="majorHAnsi"/>
                <w:sz w:val="20"/>
                <w:szCs w:val="20"/>
              </w:rPr>
              <w:t>,</w:t>
            </w:r>
            <w:r w:rsidRPr="00B6715A">
              <w:rPr>
                <w:rFonts w:asciiTheme="majorHAnsi" w:hAnsiTheme="majorHAnsi" w:cstheme="majorHAnsi"/>
                <w:sz w:val="20"/>
                <w:szCs w:val="20"/>
              </w:rPr>
              <w:t>482</w:t>
            </w:r>
          </w:p>
        </w:tc>
        <w:tc>
          <w:tcPr>
            <w:tcW w:w="1134" w:type="dxa"/>
            <w:tcBorders>
              <w:top w:val="nil"/>
              <w:left w:val="nil"/>
              <w:bottom w:val="single" w:sz="8" w:space="0" w:color="ED7D31"/>
              <w:right w:val="nil"/>
            </w:tcBorders>
            <w:shd w:val="clear" w:color="auto" w:fill="auto"/>
            <w:hideMark/>
          </w:tcPr>
          <w:p w14:paraId="7409E1C6"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10</w:t>
            </w:r>
            <w:r>
              <w:rPr>
                <w:rFonts w:asciiTheme="majorHAnsi" w:hAnsiTheme="majorHAnsi" w:cstheme="majorHAnsi"/>
                <w:sz w:val="20"/>
                <w:szCs w:val="20"/>
              </w:rPr>
              <w:t>,</w:t>
            </w:r>
            <w:r w:rsidRPr="00B6715A">
              <w:rPr>
                <w:rFonts w:asciiTheme="majorHAnsi" w:hAnsiTheme="majorHAnsi" w:cstheme="majorHAnsi"/>
                <w:sz w:val="20"/>
                <w:szCs w:val="20"/>
              </w:rPr>
              <w:t>098</w:t>
            </w:r>
          </w:p>
        </w:tc>
        <w:tc>
          <w:tcPr>
            <w:tcW w:w="1134" w:type="dxa"/>
            <w:tcBorders>
              <w:top w:val="nil"/>
              <w:left w:val="nil"/>
              <w:bottom w:val="single" w:sz="8" w:space="0" w:color="ED7D31"/>
              <w:right w:val="nil"/>
            </w:tcBorders>
            <w:shd w:val="clear" w:color="auto" w:fill="auto"/>
            <w:hideMark/>
          </w:tcPr>
          <w:p w14:paraId="3A275161" w14:textId="77777777" w:rsidR="00244248" w:rsidRPr="00B6715A" w:rsidRDefault="00244248" w:rsidP="00335B25">
            <w:pPr>
              <w:spacing w:after="0" w:line="240" w:lineRule="auto"/>
              <w:rPr>
                <w:rFonts w:asciiTheme="majorHAnsi" w:eastAsia="Times New Roman" w:hAnsiTheme="majorHAnsi" w:cstheme="majorHAnsi"/>
                <w:color w:val="000000"/>
                <w:sz w:val="20"/>
                <w:szCs w:val="20"/>
                <w:lang w:eastAsia="en-AU"/>
              </w:rPr>
            </w:pPr>
            <w:r w:rsidRPr="00B6715A">
              <w:rPr>
                <w:rFonts w:asciiTheme="majorHAnsi" w:hAnsiTheme="majorHAnsi" w:cstheme="majorHAnsi"/>
                <w:sz w:val="20"/>
                <w:szCs w:val="20"/>
              </w:rPr>
              <w:t>10</w:t>
            </w:r>
            <w:r>
              <w:rPr>
                <w:rFonts w:asciiTheme="majorHAnsi" w:hAnsiTheme="majorHAnsi" w:cstheme="majorHAnsi"/>
                <w:sz w:val="20"/>
                <w:szCs w:val="20"/>
              </w:rPr>
              <w:t>,</w:t>
            </w:r>
            <w:r w:rsidRPr="00B6715A">
              <w:rPr>
                <w:rFonts w:asciiTheme="majorHAnsi" w:hAnsiTheme="majorHAnsi" w:cstheme="majorHAnsi"/>
                <w:sz w:val="20"/>
                <w:szCs w:val="20"/>
              </w:rPr>
              <w:t>151</w:t>
            </w:r>
          </w:p>
        </w:tc>
      </w:tr>
    </w:tbl>
    <w:p w14:paraId="2496D2F9" w14:textId="77777777" w:rsidR="00244248" w:rsidRPr="004C27C1" w:rsidRDefault="00244248" w:rsidP="00244248">
      <w:pPr>
        <w:widowControl w:val="0"/>
        <w:autoSpaceDE w:val="0"/>
        <w:autoSpaceDN w:val="0"/>
        <w:adjustRightInd w:val="0"/>
        <w:spacing w:after="0" w:line="240" w:lineRule="auto"/>
        <w:rPr>
          <w:rFonts w:asciiTheme="majorHAnsi" w:eastAsiaTheme="minorEastAsia" w:hAnsiTheme="majorHAnsi" w:cstheme="majorHAnsi"/>
          <w:sz w:val="18"/>
          <w:szCs w:val="18"/>
          <w:lang w:val="en-US" w:eastAsia="en-AU"/>
        </w:rPr>
      </w:pPr>
      <w:r w:rsidRPr="004C27C1">
        <w:rPr>
          <w:rFonts w:asciiTheme="majorHAnsi" w:eastAsiaTheme="minorEastAsia" w:hAnsiTheme="majorHAnsi" w:cstheme="majorHAnsi"/>
          <w:sz w:val="18"/>
          <w:szCs w:val="18"/>
          <w:lang w:val="en-US" w:eastAsia="en-AU"/>
        </w:rPr>
        <w:t>Note: robust standard errors, year and state fixed effects not reported; * p&lt;0.1, ** p&lt;0.05, *** p&lt;0.01</w:t>
      </w:r>
    </w:p>
    <w:p w14:paraId="49285CC5" w14:textId="1D41C28D" w:rsidR="00244248" w:rsidRDefault="00244248" w:rsidP="00244248"/>
    <w:p w14:paraId="31DFF4F4" w14:textId="77777777" w:rsidR="00342652" w:rsidRDefault="00342652" w:rsidP="00C80697">
      <w:pPr>
        <w:pStyle w:val="Heading2"/>
      </w:pPr>
      <w:bookmarkStart w:id="222" w:name="_Toc87454666"/>
      <w:bookmarkStart w:id="223" w:name="_Toc98404988"/>
      <w:r>
        <w:lastRenderedPageBreak/>
        <w:t>Conclusion</w:t>
      </w:r>
      <w:bookmarkEnd w:id="222"/>
      <w:bookmarkEnd w:id="223"/>
    </w:p>
    <w:p w14:paraId="244E7577" w14:textId="77777777" w:rsidR="00372768" w:rsidRDefault="00372768" w:rsidP="00372768">
      <w:r>
        <w:t>The analysis of policy implementation and its effect on fertility is challenging. As discussed in the literature, it is very difficult to measure whether a policy has an impact on increasing fertility overall, or whether it is having the effect of bringing births forward, that would have ultimately occurred anyway. In addition, policies do not usually have an experimental design: they apply to everyone, or everyone that fits a certain criteria. For that reason policy analysis is often based on a quasi-experimental approach, where judgement about the identification of comparison groups is required.</w:t>
      </w:r>
    </w:p>
    <w:p w14:paraId="4588E6AF" w14:textId="7729C01F" w:rsidR="008B4FA7" w:rsidRDefault="00372768" w:rsidP="00244248">
      <w:r>
        <w:t xml:space="preserve">Here, the approach presents the analysis of four new or revised policies that </w:t>
      </w:r>
      <w:r w:rsidR="00AF1EAE">
        <w:t xml:space="preserve">were implemented during the period of the HILDA survey. The policies investigated included two financial transfers (Baby Bonus and Family Tax Benefit reform) and two parental leave policies (Paid Parental Leave and Dad and Partner Pay).  </w:t>
      </w:r>
      <w:r w:rsidR="008D52A6">
        <w:t>Child care</w:t>
      </w:r>
      <w:r w:rsidR="00AF1EAE">
        <w:t xml:space="preserve"> policies were not tested </w:t>
      </w:r>
      <w:r w:rsidR="008B4FA7">
        <w:t xml:space="preserve">because it is </w:t>
      </w:r>
      <w:r w:rsidR="008B4FA7" w:rsidRPr="008B4FA7">
        <w:t xml:space="preserve">impossible to separately identify </w:t>
      </w:r>
      <w:r w:rsidR="008B4FA7">
        <w:t xml:space="preserve">them </w:t>
      </w:r>
      <w:r w:rsidR="008B4FA7" w:rsidRPr="008B4FA7">
        <w:t>from other changes to the transfer system</w:t>
      </w:r>
      <w:r w:rsidR="008B4FA7">
        <w:t>.</w:t>
      </w:r>
    </w:p>
    <w:p w14:paraId="22E338EC" w14:textId="70AD5568" w:rsidR="00586C31" w:rsidRDefault="008B4FA7" w:rsidP="00244248">
      <w:r>
        <w:t xml:space="preserve">The results </w:t>
      </w:r>
      <w:r w:rsidR="004F65F3">
        <w:t>are inconcl</w:t>
      </w:r>
      <w:r w:rsidR="001D393D">
        <w:t xml:space="preserve">usive in terms of whether the policies had an effect on fertility. None of the analysis available to evaluate these policies are based upon gold standard evidence.  Instead, the method is quasi-experimental </w:t>
      </w:r>
      <w:r w:rsidR="004D5B81">
        <w:t xml:space="preserve">and is being used </w:t>
      </w:r>
      <w:r w:rsidR="001D393D">
        <w:t xml:space="preserve">to evaluate the program ex-poste.  The use of alternative identification strategies and placebo tests to evaluate the results both suggest that the analysis fails to estimate causal effects of these policies.  </w:t>
      </w:r>
      <w:r>
        <w:t xml:space="preserve">Childbearing desires, expectations and intentions were also considered, although the policies </w:t>
      </w:r>
      <w:r w:rsidR="001D393D">
        <w:t>appear to have little</w:t>
      </w:r>
      <w:r w:rsidR="001E6EF0">
        <w:t xml:space="preserve"> effect </w:t>
      </w:r>
      <w:r w:rsidR="004D5B81">
        <w:t>on</w:t>
      </w:r>
      <w:r>
        <w:t>these</w:t>
      </w:r>
      <w:r w:rsidR="004D5B81">
        <w:t xml:space="preserve"> outcomes</w:t>
      </w:r>
      <w:r>
        <w:t xml:space="preserve">. </w:t>
      </w:r>
    </w:p>
    <w:p w14:paraId="0858910D" w14:textId="32EB9621" w:rsidR="00372768" w:rsidRDefault="001E6EF0" w:rsidP="00244248">
      <w:r>
        <w:t xml:space="preserve">The Baby Bonus was found to have a small, but significant effect on </w:t>
      </w:r>
      <w:r w:rsidR="006D28E6">
        <w:t>having a birth. The effect is around 3% for women who were having a first birth, but no effect of the policy implementation was found for women expanding their family. This suggests that the policy was beneficial for people starting a family, but did not impact people who already had commenced their family. The modelling of family tax benefit reform required the measurement of fertility desires, expectations and fertility. It found a small impact of the reform on women’s childbearing plans.</w:t>
      </w:r>
    </w:p>
    <w:p w14:paraId="34CA669D" w14:textId="63B08766" w:rsidR="006D28E6" w:rsidRDefault="00EF3694" w:rsidP="00244248">
      <w:r>
        <w:t xml:space="preserve">The results highlight that it is difficult to measure the effect of policies on births. It is </w:t>
      </w:r>
      <w:r w:rsidR="00C702A1">
        <w:t>challenging</w:t>
      </w:r>
      <w:r>
        <w:t xml:space="preserve"> to measure the effect of policies on births because of tempo effects. In the case of the policies under consideration, it is also difficult to identify treatment and control groups</w:t>
      </w:r>
      <w:r w:rsidR="006D28E6">
        <w:t>.</w:t>
      </w:r>
      <w:r w:rsidR="00C702A1">
        <w:t xml:space="preserve"> Hence, the results here are inconclusive as to whether the policies, as previously implemented, were able to support childbearing plans.</w:t>
      </w:r>
    </w:p>
    <w:p w14:paraId="4FF02EA4" w14:textId="7A8AA99C" w:rsidR="00C702A1" w:rsidRDefault="00C702A1" w:rsidP="00244248">
      <w:pPr>
        <w:sectPr w:rsidR="00C702A1" w:rsidSect="007C5778">
          <w:pgSz w:w="11906" w:h="16838"/>
          <w:pgMar w:top="1440" w:right="1440" w:bottom="1440" w:left="1440" w:header="708" w:footer="708" w:gutter="0"/>
          <w:cols w:space="708"/>
          <w:docGrid w:linePitch="360"/>
        </w:sectPr>
      </w:pPr>
      <w:r>
        <w:t xml:space="preserve">We note that </w:t>
      </w:r>
      <w:r w:rsidR="004D5B81">
        <w:t>with the exception of</w:t>
      </w:r>
      <w:r>
        <w:t xml:space="preserve"> the first iteration of the baby bonus, the policies </w:t>
      </w:r>
      <w:r w:rsidR="00083754">
        <w:t xml:space="preserve">that </w:t>
      </w:r>
      <w:r>
        <w:t xml:space="preserve">were </w:t>
      </w:r>
      <w:r w:rsidR="00083754">
        <w:t xml:space="preserve">introduced </w:t>
      </w:r>
      <w:r w:rsidR="004D5B81">
        <w:t>did not represent</w:t>
      </w:r>
      <w:r>
        <w:t xml:space="preserve"> large policy shifts, suggesting that large effects would be unlikely. For example, the baby bonus was converted to a fortnightly payment in its later years, and when paid parental leave was introduced in 2011, parents could opt for either the fortnightly baby bonus, or paid parental leave.  Hence, the policy shifts</w:t>
      </w:r>
      <w:r w:rsidR="00083754">
        <w:t xml:space="preserve"> were incremental rather than </w:t>
      </w:r>
      <w:r>
        <w:t>large change</w:t>
      </w:r>
      <w:r w:rsidR="00083754">
        <w:t>s</w:t>
      </w:r>
      <w:r>
        <w:t>.</w:t>
      </w:r>
      <w:r w:rsidR="00083754">
        <w:t xml:space="preserve"> This is similar for the introduction of paid partner leave, which was added to the paid parental leave policy, and the family tax benefit reform.</w:t>
      </w:r>
    </w:p>
    <w:p w14:paraId="6592E8F1" w14:textId="7220B02A" w:rsidR="009B7272" w:rsidRPr="00AC6A56" w:rsidRDefault="009B7272" w:rsidP="00243674">
      <w:pPr>
        <w:pStyle w:val="Heading1"/>
        <w:numPr>
          <w:ilvl w:val="0"/>
          <w:numId w:val="0"/>
        </w:numPr>
        <w:pBdr>
          <w:bottom w:val="single" w:sz="4" w:space="1" w:color="ED7D31" w:themeColor="accent2"/>
        </w:pBdr>
        <w:ind w:left="432" w:hanging="432"/>
        <w:rPr>
          <w:sz w:val="48"/>
          <w:szCs w:val="48"/>
        </w:rPr>
      </w:pPr>
      <w:bookmarkStart w:id="224" w:name="_Toc87454667"/>
      <w:bookmarkStart w:id="225" w:name="_Toc98404989"/>
      <w:r w:rsidRPr="00AC6A56">
        <w:rPr>
          <w:sz w:val="48"/>
          <w:szCs w:val="48"/>
        </w:rPr>
        <w:lastRenderedPageBreak/>
        <w:t>PART 3: SURVEY RESULTS</w:t>
      </w:r>
      <w:bookmarkEnd w:id="224"/>
      <w:bookmarkEnd w:id="225"/>
    </w:p>
    <w:p w14:paraId="04229A85" w14:textId="30B66D17" w:rsidR="00342652" w:rsidRDefault="00342652" w:rsidP="00342652">
      <w:pPr>
        <w:pStyle w:val="Heading1"/>
        <w:spacing w:line="276" w:lineRule="auto"/>
      </w:pPr>
      <w:bookmarkStart w:id="226" w:name="_Toc87454668"/>
      <w:bookmarkStart w:id="227" w:name="_Toc98404990"/>
      <w:r>
        <w:t>Survey of opinions on fertility preferences, considerations and policies</w:t>
      </w:r>
      <w:bookmarkEnd w:id="226"/>
      <w:bookmarkEnd w:id="227"/>
    </w:p>
    <w:p w14:paraId="1A86F049" w14:textId="77777777" w:rsidR="00244248" w:rsidRDefault="00244248" w:rsidP="00244248"/>
    <w:p w14:paraId="45BCE348" w14:textId="77777777" w:rsidR="00244248" w:rsidRPr="00CE44DA" w:rsidRDefault="00244248" w:rsidP="00244248">
      <w:pPr>
        <w:rPr>
          <w:b/>
          <w:bCs/>
        </w:rPr>
      </w:pPr>
      <w:r w:rsidRPr="00CE44DA">
        <w:rPr>
          <w:b/>
          <w:bCs/>
        </w:rPr>
        <w:t xml:space="preserve"> Key points</w:t>
      </w:r>
    </w:p>
    <w:p w14:paraId="7A6814EC" w14:textId="77777777" w:rsidR="00244248" w:rsidRDefault="00244248" w:rsidP="00244248">
      <w:pPr>
        <w:pStyle w:val="ListParagraph"/>
        <w:numPr>
          <w:ilvl w:val="0"/>
          <w:numId w:val="38"/>
        </w:numPr>
        <w:spacing w:after="0" w:line="240" w:lineRule="auto"/>
      </w:pPr>
      <w:r>
        <w:t xml:space="preserve">Two ANUPoll surveys, conducted in April and August 2021 were used to garner people’s views on personal fertility preferences and what factors are important in their childbearing decision making. </w:t>
      </w:r>
    </w:p>
    <w:p w14:paraId="05F7A4CA" w14:textId="2F3A52AD" w:rsidR="00244248" w:rsidRDefault="00244248" w:rsidP="00244248">
      <w:pPr>
        <w:pStyle w:val="ListParagraph"/>
        <w:numPr>
          <w:ilvl w:val="0"/>
          <w:numId w:val="38"/>
        </w:numPr>
        <w:spacing w:after="0" w:line="240" w:lineRule="auto"/>
      </w:pPr>
      <w:r>
        <w:t xml:space="preserve">The August 2021 survey also included questions on views regarding Australia’s population size, and support for paid parental leave and subsidised </w:t>
      </w:r>
      <w:r w:rsidR="008D52A6">
        <w:t>child care</w:t>
      </w:r>
      <w:r>
        <w:t>.</w:t>
      </w:r>
    </w:p>
    <w:p w14:paraId="08798106" w14:textId="77777777" w:rsidR="00244248" w:rsidRDefault="00244248" w:rsidP="00244248">
      <w:pPr>
        <w:pStyle w:val="ListParagraph"/>
        <w:numPr>
          <w:ilvl w:val="0"/>
          <w:numId w:val="38"/>
        </w:numPr>
        <w:spacing w:after="0" w:line="240" w:lineRule="auto"/>
      </w:pPr>
      <w:r>
        <w:t>Economic considerations including the general cost of raising children and job security were the factors considered most important in future childbearing plans.</w:t>
      </w:r>
    </w:p>
    <w:p w14:paraId="38577A07" w14:textId="77777777" w:rsidR="00244248" w:rsidRDefault="00244248" w:rsidP="00244248">
      <w:pPr>
        <w:pStyle w:val="ListParagraph"/>
        <w:numPr>
          <w:ilvl w:val="0"/>
          <w:numId w:val="38"/>
        </w:numPr>
        <w:spacing w:after="0" w:line="240" w:lineRule="auto"/>
      </w:pPr>
      <w:r>
        <w:t xml:space="preserve">Being able to buy a home, or a better home, was also a very important factor, especially for younger respondents and those with lower levels of education. </w:t>
      </w:r>
    </w:p>
    <w:p w14:paraId="0EF136E3" w14:textId="73DE1F2A" w:rsidR="00244248" w:rsidRDefault="00244248" w:rsidP="00244248">
      <w:pPr>
        <w:pStyle w:val="ListParagraph"/>
        <w:numPr>
          <w:ilvl w:val="0"/>
          <w:numId w:val="38"/>
        </w:numPr>
        <w:spacing w:after="0" w:line="240" w:lineRule="auto"/>
      </w:pPr>
      <w:r>
        <w:t>Overall COVID-19 had not changed the childbearing plans of the majority of respondents</w:t>
      </w:r>
      <w:r w:rsidR="00EC2E2B">
        <w:t>,</w:t>
      </w:r>
      <w:r>
        <w:t xml:space="preserve"> although 19% did indicate that the spread of the pandemic had made having children in the future a lot less likely</w:t>
      </w:r>
      <w:r w:rsidR="00C91DAC">
        <w:t>, and 13% said a bit less likely</w:t>
      </w:r>
      <w:r>
        <w:t xml:space="preserve">. </w:t>
      </w:r>
    </w:p>
    <w:p w14:paraId="56D35BDC" w14:textId="47CCBE79" w:rsidR="00244248" w:rsidRDefault="00244248" w:rsidP="00244248">
      <w:pPr>
        <w:pStyle w:val="ListParagraph"/>
        <w:numPr>
          <w:ilvl w:val="0"/>
          <w:numId w:val="38"/>
        </w:numPr>
        <w:spacing w:after="0" w:line="240" w:lineRule="auto"/>
      </w:pPr>
      <w:r>
        <w:t xml:space="preserve">Support for paid parental leave was very high with more than 80% of respondents indicating there should be paid parental leave if one parent stops working to look after a newborn. Most respondents believed either just the Government, or a combination of Government and employers should pay for parental leave. </w:t>
      </w:r>
      <w:r w:rsidR="009B4ADE">
        <w:t>Parental leave had higher support from people with a Bachelor’s degree.</w:t>
      </w:r>
    </w:p>
    <w:p w14:paraId="0577E603" w14:textId="5F638B45" w:rsidR="00244248" w:rsidRDefault="00244248" w:rsidP="00244248">
      <w:pPr>
        <w:pStyle w:val="ListParagraph"/>
        <w:numPr>
          <w:ilvl w:val="0"/>
          <w:numId w:val="38"/>
        </w:numPr>
        <w:spacing w:after="0" w:line="240" w:lineRule="auto"/>
      </w:pPr>
      <w:r>
        <w:t xml:space="preserve">Support for subsidised </w:t>
      </w:r>
      <w:r w:rsidR="008D52A6">
        <w:t>child care</w:t>
      </w:r>
      <w:r>
        <w:t xml:space="preserve"> was also very high. Only 10-12% of respondents felt that there should be no subsidised </w:t>
      </w:r>
      <w:r w:rsidR="008D52A6">
        <w:t>child care</w:t>
      </w:r>
      <w:r>
        <w:t xml:space="preserve"> at all. Three-quarters (75%) of respondents felt the Government should pay for subsidised </w:t>
      </w:r>
      <w:r w:rsidR="008D52A6">
        <w:t>child care</w:t>
      </w:r>
      <w:r>
        <w:t xml:space="preserve">. </w:t>
      </w:r>
      <w:r w:rsidR="009B4ADE">
        <w:t xml:space="preserve">The provision of government support for </w:t>
      </w:r>
      <w:r w:rsidR="008D52A6">
        <w:t>child care</w:t>
      </w:r>
      <w:r w:rsidR="009B4ADE">
        <w:t xml:space="preserve"> had higher support from those without a university qualification.</w:t>
      </w:r>
    </w:p>
    <w:p w14:paraId="63BFA175" w14:textId="77777777" w:rsidR="00244248" w:rsidRDefault="00244248" w:rsidP="00244248"/>
    <w:p w14:paraId="49A1F153" w14:textId="77777777" w:rsidR="00244248" w:rsidRPr="00CE44DA" w:rsidRDefault="00244248" w:rsidP="00244248"/>
    <w:p w14:paraId="64B3E59A" w14:textId="7E322A0A" w:rsidR="00244248" w:rsidRDefault="00244248" w:rsidP="00244248">
      <w:pPr>
        <w:spacing w:after="120"/>
        <w:jc w:val="both"/>
      </w:pPr>
      <w:r>
        <w:t xml:space="preserve">The aim of this section of the paper is to summarise the findings from two ANUpoll surveys which contained a range of questions on future fertility preferences, factors important to people in their considerations about having (more) children as well as views on paid parental leave and subsidised </w:t>
      </w:r>
      <w:r w:rsidR="008D52A6">
        <w:t>child care</w:t>
      </w:r>
      <w:r>
        <w:t xml:space="preserve">. The surveys were conducted in April and August (2021) by the </w:t>
      </w:r>
      <w:r w:rsidRPr="004F3122">
        <w:t xml:space="preserve">Social Research Centre located at the Australian National University. </w:t>
      </w:r>
      <w:r>
        <w:t xml:space="preserve">ANUPoll respondents are selected from </w:t>
      </w:r>
      <w:r w:rsidRPr="004F3122">
        <w:t>the probability-based panel, Life in Australia™. </w:t>
      </w:r>
      <w:r>
        <w:t xml:space="preserve">  </w:t>
      </w:r>
    </w:p>
    <w:p w14:paraId="647C26BA" w14:textId="77777777" w:rsidR="00244248" w:rsidRDefault="00244248" w:rsidP="004C245B"/>
    <w:p w14:paraId="09E688FD" w14:textId="77777777" w:rsidR="00244248" w:rsidRPr="00B606BE" w:rsidRDefault="00244248" w:rsidP="00244248">
      <w:pPr>
        <w:pStyle w:val="Heading2"/>
        <w:numPr>
          <w:ilvl w:val="1"/>
          <w:numId w:val="37"/>
        </w:numPr>
        <w:spacing w:before="0" w:after="120"/>
        <w:ind w:left="576" w:hanging="792"/>
      </w:pPr>
      <w:bookmarkStart w:id="228" w:name="_Toc87454669"/>
      <w:bookmarkStart w:id="229" w:name="_Toc98404991"/>
      <w:r>
        <w:t>D</w:t>
      </w:r>
      <w:r w:rsidRPr="00B606BE">
        <w:t>ata</w:t>
      </w:r>
      <w:bookmarkEnd w:id="228"/>
      <w:bookmarkEnd w:id="229"/>
    </w:p>
    <w:p w14:paraId="6C21F619" w14:textId="0C7ECB99" w:rsidR="00244248" w:rsidRDefault="00244248" w:rsidP="00244248">
      <w:pPr>
        <w:spacing w:after="120"/>
      </w:pPr>
      <w:r>
        <w:t>T</w:t>
      </w:r>
      <w:r w:rsidRPr="004F3122">
        <w:t>he purpose of ANUPolls is to assess Australians’ opinions on important and topical issues</w:t>
      </w:r>
      <w:r>
        <w:t xml:space="preserve">. </w:t>
      </w:r>
      <w:r w:rsidRPr="004F3122">
        <w:t>These polls are typically conducted three times a year, or about every four months. Some questions appear in every poll in order to provide information about changes in opinion over time; the majority of questions appear in one poll only.</w:t>
      </w:r>
      <w:r>
        <w:t xml:space="preserve"> In April and August 2021 specific questions were included to garner views on fertility preferences and considerations as well as on paid parental leave and </w:t>
      </w:r>
      <w:r w:rsidR="008D52A6">
        <w:t>child care</w:t>
      </w:r>
      <w:r>
        <w:t xml:space="preserve">. </w:t>
      </w:r>
    </w:p>
    <w:p w14:paraId="6DEB1304" w14:textId="20282309" w:rsidR="00244248" w:rsidRDefault="00244248" w:rsidP="00244248">
      <w:pPr>
        <w:spacing w:after="120"/>
      </w:pPr>
      <w:r w:rsidRPr="003F45B3">
        <w:lastRenderedPageBreak/>
        <w:t xml:space="preserve">Data collection </w:t>
      </w:r>
      <w:r>
        <w:t xml:space="preserve">for both surveys started with a pilot test of telephone respondents.  The main characteristics of each survey are shown below in Table </w:t>
      </w:r>
      <w:r w:rsidR="00FB68F0">
        <w:t>42</w:t>
      </w:r>
      <w:r>
        <w:t>. Of those who had completed the August 2021 survey, 86.7 per cent (N=2,717) had completed the April 2021 survey.</w:t>
      </w:r>
      <w:r w:rsidRPr="00DE561B">
        <w:t xml:space="preserve"> </w:t>
      </w:r>
      <w:r>
        <w:t xml:space="preserve">For both waves of data collection, the Social Research Centre collected data using two methods: online and via telephone interviews. The inclusion of Computer Assisted Telephone Interviewing (CATI) is needed to ensure representation from the offline Australian population. Around 5 per cent of interviews were collected via CATI in April, and 5 per cent in April. </w:t>
      </w:r>
    </w:p>
    <w:p w14:paraId="6E457D0E" w14:textId="77777777" w:rsidR="00244248" w:rsidRDefault="00244248" w:rsidP="00244248">
      <w:pPr>
        <w:spacing w:after="120"/>
      </w:pPr>
    </w:p>
    <w:p w14:paraId="7ADB84FB" w14:textId="701B236E" w:rsidR="00244248" w:rsidRDefault="00244248" w:rsidP="00244248">
      <w:pPr>
        <w:pStyle w:val="Caption"/>
        <w:keepNext/>
      </w:pPr>
      <w:r>
        <w:t xml:space="preserve">Table </w:t>
      </w:r>
      <w:fldSimple w:instr=" SEQ Table \* ARABIC ">
        <w:r w:rsidR="00115E22">
          <w:rPr>
            <w:noProof/>
          </w:rPr>
          <w:t>42</w:t>
        </w:r>
      </w:fldSimple>
      <w:r>
        <w:t xml:space="preserve"> Details for ANUpoll April and August 2021</w:t>
      </w:r>
    </w:p>
    <w:tbl>
      <w:tblPr>
        <w:tblStyle w:val="TableGrid"/>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3003"/>
        <w:gridCol w:w="2237"/>
        <w:gridCol w:w="2268"/>
      </w:tblGrid>
      <w:tr w:rsidR="00244248" w:rsidRPr="004F3122" w14:paraId="7D66767C" w14:textId="77777777" w:rsidTr="00335B25">
        <w:tc>
          <w:tcPr>
            <w:tcW w:w="3003" w:type="dxa"/>
            <w:shd w:val="clear" w:color="auto" w:fill="FBE4D5" w:themeFill="accent2" w:themeFillTint="33"/>
          </w:tcPr>
          <w:p w14:paraId="52899DF9" w14:textId="77777777" w:rsidR="00244248" w:rsidRPr="004F3122" w:rsidRDefault="00244248" w:rsidP="00335B25">
            <w:pPr>
              <w:spacing w:after="120"/>
              <w:rPr>
                <w:rFonts w:asciiTheme="majorHAnsi" w:hAnsiTheme="majorHAnsi" w:cstheme="majorHAnsi"/>
                <w:sz w:val="20"/>
                <w:szCs w:val="20"/>
              </w:rPr>
            </w:pPr>
          </w:p>
        </w:tc>
        <w:tc>
          <w:tcPr>
            <w:tcW w:w="2237" w:type="dxa"/>
            <w:shd w:val="clear" w:color="auto" w:fill="FBE4D5" w:themeFill="accent2" w:themeFillTint="33"/>
          </w:tcPr>
          <w:p w14:paraId="047E3EFD"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ANUpoll April 2021</w:t>
            </w:r>
          </w:p>
        </w:tc>
        <w:tc>
          <w:tcPr>
            <w:tcW w:w="2268" w:type="dxa"/>
            <w:shd w:val="clear" w:color="auto" w:fill="FBE4D5" w:themeFill="accent2" w:themeFillTint="33"/>
          </w:tcPr>
          <w:p w14:paraId="7A43281A"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ANUpoll August 2021</w:t>
            </w:r>
          </w:p>
        </w:tc>
      </w:tr>
      <w:tr w:rsidR="00244248" w:rsidRPr="004F3122" w14:paraId="4E879CDB" w14:textId="77777777" w:rsidTr="00335B25">
        <w:tc>
          <w:tcPr>
            <w:tcW w:w="3003" w:type="dxa"/>
          </w:tcPr>
          <w:p w14:paraId="5EDC7BCA"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Pilot test</w:t>
            </w:r>
            <w:r>
              <w:rPr>
                <w:rFonts w:asciiTheme="majorHAnsi" w:hAnsiTheme="majorHAnsi" w:cstheme="majorHAnsi"/>
                <w:sz w:val="20"/>
                <w:szCs w:val="20"/>
              </w:rPr>
              <w:t xml:space="preserve"> date</w:t>
            </w:r>
          </w:p>
        </w:tc>
        <w:tc>
          <w:tcPr>
            <w:tcW w:w="2237" w:type="dxa"/>
          </w:tcPr>
          <w:p w14:paraId="4B85E141"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12</w:t>
            </w:r>
            <w:r w:rsidRPr="004F3122">
              <w:rPr>
                <w:rFonts w:asciiTheme="majorHAnsi" w:hAnsiTheme="majorHAnsi" w:cstheme="majorHAnsi"/>
                <w:sz w:val="20"/>
                <w:szCs w:val="20"/>
                <w:vertAlign w:val="superscript"/>
              </w:rPr>
              <w:t>th</w:t>
            </w:r>
            <w:r w:rsidRPr="004F3122">
              <w:rPr>
                <w:rFonts w:asciiTheme="majorHAnsi" w:hAnsiTheme="majorHAnsi" w:cstheme="majorHAnsi"/>
                <w:sz w:val="20"/>
                <w:szCs w:val="20"/>
              </w:rPr>
              <w:t xml:space="preserve"> April </w:t>
            </w:r>
          </w:p>
        </w:tc>
        <w:tc>
          <w:tcPr>
            <w:tcW w:w="2268" w:type="dxa"/>
          </w:tcPr>
          <w:p w14:paraId="6A1F5187"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10</w:t>
            </w:r>
            <w:r w:rsidRPr="004F3122">
              <w:rPr>
                <w:rFonts w:asciiTheme="majorHAnsi" w:hAnsiTheme="majorHAnsi" w:cstheme="majorHAnsi"/>
                <w:sz w:val="20"/>
                <w:szCs w:val="20"/>
                <w:vertAlign w:val="superscript"/>
              </w:rPr>
              <w:t>th</w:t>
            </w:r>
            <w:r w:rsidRPr="004F3122">
              <w:rPr>
                <w:rFonts w:asciiTheme="majorHAnsi" w:hAnsiTheme="majorHAnsi" w:cstheme="majorHAnsi"/>
                <w:sz w:val="20"/>
                <w:szCs w:val="20"/>
              </w:rPr>
              <w:t xml:space="preserve"> August </w:t>
            </w:r>
          </w:p>
        </w:tc>
      </w:tr>
      <w:tr w:rsidR="00244248" w:rsidRPr="004F3122" w14:paraId="71A6230B" w14:textId="77777777" w:rsidTr="00335B25">
        <w:tc>
          <w:tcPr>
            <w:tcW w:w="3003" w:type="dxa"/>
          </w:tcPr>
          <w:p w14:paraId="43995E37"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Main data collection</w:t>
            </w:r>
            <w:r>
              <w:rPr>
                <w:rFonts w:asciiTheme="majorHAnsi" w:hAnsiTheme="majorHAnsi" w:cstheme="majorHAnsi"/>
                <w:sz w:val="20"/>
                <w:szCs w:val="20"/>
              </w:rPr>
              <w:t xml:space="preserve"> dates</w:t>
            </w:r>
          </w:p>
        </w:tc>
        <w:tc>
          <w:tcPr>
            <w:tcW w:w="2237" w:type="dxa"/>
          </w:tcPr>
          <w:p w14:paraId="6DC049F5"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13</w:t>
            </w:r>
            <w:r w:rsidRPr="004F3122">
              <w:rPr>
                <w:rFonts w:asciiTheme="majorHAnsi" w:hAnsiTheme="majorHAnsi" w:cstheme="majorHAnsi"/>
                <w:sz w:val="20"/>
                <w:szCs w:val="20"/>
                <w:vertAlign w:val="superscript"/>
              </w:rPr>
              <w:t xml:space="preserve">th </w:t>
            </w:r>
            <w:r w:rsidRPr="004F3122">
              <w:rPr>
                <w:rFonts w:asciiTheme="majorHAnsi" w:hAnsiTheme="majorHAnsi" w:cstheme="majorHAnsi"/>
                <w:sz w:val="20"/>
                <w:szCs w:val="20"/>
              </w:rPr>
              <w:t>– 26</w:t>
            </w:r>
            <w:r w:rsidRPr="004F3122">
              <w:rPr>
                <w:rFonts w:asciiTheme="majorHAnsi" w:hAnsiTheme="majorHAnsi" w:cstheme="majorHAnsi"/>
                <w:sz w:val="20"/>
                <w:szCs w:val="20"/>
                <w:vertAlign w:val="superscript"/>
              </w:rPr>
              <w:t>th</w:t>
            </w:r>
            <w:r w:rsidRPr="004F3122">
              <w:rPr>
                <w:rFonts w:asciiTheme="majorHAnsi" w:hAnsiTheme="majorHAnsi" w:cstheme="majorHAnsi"/>
                <w:sz w:val="20"/>
                <w:szCs w:val="20"/>
              </w:rPr>
              <w:t xml:space="preserve"> April</w:t>
            </w:r>
          </w:p>
        </w:tc>
        <w:tc>
          <w:tcPr>
            <w:tcW w:w="2268" w:type="dxa"/>
          </w:tcPr>
          <w:p w14:paraId="04E21E04"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11</w:t>
            </w:r>
            <w:r w:rsidRPr="004F3122">
              <w:rPr>
                <w:rFonts w:asciiTheme="majorHAnsi" w:hAnsiTheme="majorHAnsi" w:cstheme="majorHAnsi"/>
                <w:sz w:val="20"/>
                <w:szCs w:val="20"/>
                <w:vertAlign w:val="superscript"/>
              </w:rPr>
              <w:t>th</w:t>
            </w:r>
            <w:r w:rsidRPr="004F3122">
              <w:rPr>
                <w:rFonts w:asciiTheme="majorHAnsi" w:hAnsiTheme="majorHAnsi" w:cstheme="majorHAnsi"/>
                <w:sz w:val="20"/>
                <w:szCs w:val="20"/>
              </w:rPr>
              <w:t xml:space="preserve"> – 23</w:t>
            </w:r>
            <w:r w:rsidRPr="004F3122">
              <w:rPr>
                <w:rFonts w:asciiTheme="majorHAnsi" w:hAnsiTheme="majorHAnsi" w:cstheme="majorHAnsi"/>
                <w:sz w:val="20"/>
                <w:szCs w:val="20"/>
                <w:vertAlign w:val="superscript"/>
              </w:rPr>
              <w:t>rd</w:t>
            </w:r>
            <w:r w:rsidRPr="004F3122">
              <w:rPr>
                <w:rFonts w:asciiTheme="majorHAnsi" w:hAnsiTheme="majorHAnsi" w:cstheme="majorHAnsi"/>
                <w:sz w:val="20"/>
                <w:szCs w:val="20"/>
              </w:rPr>
              <w:t xml:space="preserve"> August </w:t>
            </w:r>
          </w:p>
        </w:tc>
      </w:tr>
      <w:tr w:rsidR="00244248" w:rsidRPr="004F3122" w14:paraId="4B9C1E8E" w14:textId="77777777" w:rsidTr="00335B25">
        <w:tc>
          <w:tcPr>
            <w:tcW w:w="3003" w:type="dxa"/>
          </w:tcPr>
          <w:p w14:paraId="0D9B418E"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Sample size</w:t>
            </w:r>
          </w:p>
        </w:tc>
        <w:tc>
          <w:tcPr>
            <w:tcW w:w="2237" w:type="dxa"/>
          </w:tcPr>
          <w:p w14:paraId="182E8F13"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3,286 respondents</w:t>
            </w:r>
          </w:p>
        </w:tc>
        <w:tc>
          <w:tcPr>
            <w:tcW w:w="2268" w:type="dxa"/>
          </w:tcPr>
          <w:p w14:paraId="4D337F01"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3,135 respondents</w:t>
            </w:r>
          </w:p>
        </w:tc>
      </w:tr>
      <w:tr w:rsidR="00244248" w:rsidRPr="004F3122" w14:paraId="7282CF45" w14:textId="77777777" w:rsidTr="00335B25">
        <w:tc>
          <w:tcPr>
            <w:tcW w:w="3003" w:type="dxa"/>
          </w:tcPr>
          <w:p w14:paraId="3F4D1B95"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Average interview duration</w:t>
            </w:r>
          </w:p>
        </w:tc>
        <w:tc>
          <w:tcPr>
            <w:tcW w:w="2237" w:type="dxa"/>
          </w:tcPr>
          <w:p w14:paraId="0C27EF7C"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13.9 minutes</w:t>
            </w:r>
          </w:p>
        </w:tc>
        <w:tc>
          <w:tcPr>
            <w:tcW w:w="2268" w:type="dxa"/>
          </w:tcPr>
          <w:p w14:paraId="731B1F0B"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15.4 minutes</w:t>
            </w:r>
          </w:p>
        </w:tc>
      </w:tr>
      <w:tr w:rsidR="00244248" w:rsidRPr="004F3122" w14:paraId="4D17DAC1" w14:textId="77777777" w:rsidTr="00335B25">
        <w:tc>
          <w:tcPr>
            <w:tcW w:w="3003" w:type="dxa"/>
          </w:tcPr>
          <w:p w14:paraId="1F568806"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Completion rate (% respondents who completed survey out of the number invited to participate)</w:t>
            </w:r>
          </w:p>
        </w:tc>
        <w:tc>
          <w:tcPr>
            <w:tcW w:w="2237" w:type="dxa"/>
          </w:tcPr>
          <w:p w14:paraId="55AD0EB1"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82.1 %</w:t>
            </w:r>
          </w:p>
        </w:tc>
        <w:tc>
          <w:tcPr>
            <w:tcW w:w="2268" w:type="dxa"/>
          </w:tcPr>
          <w:p w14:paraId="6B198533"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90.1%</w:t>
            </w:r>
          </w:p>
        </w:tc>
      </w:tr>
      <w:tr w:rsidR="00244248" w:rsidRPr="004F3122" w14:paraId="02BF9CCF" w14:textId="77777777" w:rsidTr="00335B25">
        <w:tc>
          <w:tcPr>
            <w:tcW w:w="3003" w:type="dxa"/>
          </w:tcPr>
          <w:p w14:paraId="2730073D"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 of interviews conducted through CATI</w:t>
            </w:r>
          </w:p>
        </w:tc>
        <w:tc>
          <w:tcPr>
            <w:tcW w:w="2237" w:type="dxa"/>
          </w:tcPr>
          <w:p w14:paraId="789282ED"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5.1 %</w:t>
            </w:r>
          </w:p>
        </w:tc>
        <w:tc>
          <w:tcPr>
            <w:tcW w:w="2268" w:type="dxa"/>
          </w:tcPr>
          <w:p w14:paraId="27B5C126" w14:textId="77777777" w:rsidR="00244248" w:rsidRPr="004F3122" w:rsidRDefault="00244248" w:rsidP="00335B25">
            <w:pPr>
              <w:spacing w:after="120"/>
              <w:rPr>
                <w:rFonts w:asciiTheme="majorHAnsi" w:hAnsiTheme="majorHAnsi" w:cstheme="majorHAnsi"/>
                <w:sz w:val="20"/>
                <w:szCs w:val="20"/>
              </w:rPr>
            </w:pPr>
            <w:r w:rsidRPr="004F3122">
              <w:rPr>
                <w:rFonts w:asciiTheme="majorHAnsi" w:hAnsiTheme="majorHAnsi" w:cstheme="majorHAnsi"/>
                <w:sz w:val="20"/>
                <w:szCs w:val="20"/>
              </w:rPr>
              <w:t>4.1%</w:t>
            </w:r>
          </w:p>
        </w:tc>
      </w:tr>
    </w:tbl>
    <w:p w14:paraId="0BEF680D" w14:textId="77777777" w:rsidR="00244248" w:rsidRDefault="00244248" w:rsidP="00244248">
      <w:pPr>
        <w:spacing w:after="120"/>
      </w:pPr>
    </w:p>
    <w:p w14:paraId="7A776CB3" w14:textId="77777777" w:rsidR="00244248" w:rsidRDefault="00244248" w:rsidP="00244248">
      <w:pPr>
        <w:spacing w:after="120"/>
        <w:jc w:val="both"/>
      </w:pPr>
      <w:r>
        <w:t xml:space="preserve">While the total sample size was over 3,000 for both surveys, for the questions on personal future fertility plans art we use a restricted sample of 1,024 respondents aged 18-44. </w:t>
      </w:r>
    </w:p>
    <w:p w14:paraId="529205C7" w14:textId="77777777" w:rsidR="00244248" w:rsidRDefault="00244248" w:rsidP="00244248">
      <w:pPr>
        <w:spacing w:after="120"/>
        <w:jc w:val="both"/>
      </w:pPr>
      <w:r>
        <w:t>Unless otherwise stated, data in the paper is weighted to population benchmarks. For Life in Australia™, the approach for deriving weights generally consists of the following steps:</w:t>
      </w:r>
    </w:p>
    <w:p w14:paraId="46F49077" w14:textId="77777777" w:rsidR="00244248" w:rsidRDefault="00244248" w:rsidP="00244248">
      <w:pPr>
        <w:spacing w:after="120"/>
        <w:ind w:left="709" w:hanging="709"/>
        <w:jc w:val="both"/>
      </w:pPr>
      <w:r>
        <w:t>1.</w:t>
      </w:r>
      <w:r>
        <w:tab/>
        <w:t>Compute a base weight for each respondent as the product of two weights:</w:t>
      </w:r>
    </w:p>
    <w:p w14:paraId="2F56F1A9" w14:textId="77777777" w:rsidR="00244248" w:rsidRDefault="00244248" w:rsidP="00244248">
      <w:pPr>
        <w:spacing w:after="120"/>
        <w:ind w:left="709" w:hanging="425"/>
        <w:jc w:val="both"/>
      </w:pPr>
      <w:r>
        <w:t>a.</w:t>
      </w:r>
      <w:r>
        <w:tab/>
        <w:t>Their enrolment weight, accounting for the initial chances of selection and subsequent post-stratification to key demographic benchmarks</w:t>
      </w:r>
    </w:p>
    <w:p w14:paraId="35819E5C" w14:textId="77777777" w:rsidR="00244248" w:rsidRDefault="00244248" w:rsidP="00244248">
      <w:pPr>
        <w:spacing w:after="120"/>
        <w:ind w:left="709" w:hanging="425"/>
        <w:jc w:val="both"/>
      </w:pPr>
      <w:r>
        <w:t>b.</w:t>
      </w:r>
      <w:r>
        <w:tab/>
        <w:t xml:space="preserve">Their response propensity weight, estimated from enrolment information available </w:t>
      </w:r>
      <w:r>
        <w:tab/>
        <w:t>for both respondents and non-respondents to the present wave.</w:t>
      </w:r>
    </w:p>
    <w:p w14:paraId="48A51194" w14:textId="77777777" w:rsidR="00244248" w:rsidRDefault="00244248" w:rsidP="00244248">
      <w:pPr>
        <w:spacing w:after="120"/>
        <w:ind w:left="720" w:hanging="720"/>
        <w:jc w:val="both"/>
      </w:pPr>
      <w:r>
        <w:t>2.</w:t>
      </w:r>
      <w:r>
        <w:tab/>
        <w:t xml:space="preserve">Adjust the base weights so that they satisfy the latest population benchmarks for several demographic characteristics. </w:t>
      </w:r>
    </w:p>
    <w:p w14:paraId="7FA032A7" w14:textId="77777777" w:rsidR="00244248" w:rsidRDefault="00244248" w:rsidP="00244248">
      <w:pPr>
        <w:spacing w:after="120"/>
        <w:jc w:val="both"/>
      </w:pPr>
      <w:r>
        <w:t>The sample came from the probability based panel known as Life in Australia™.  The contact methodology adopted for the online Life in Australia™ members is an initial survey invitation via email and SMS (where available), followed by multiple email reminders and a reminder SMS. Telephone non-response of panel members who have not yet completed the survey commences in the second week of fieldwork and consists of reminder calls encouraging completion of the online survey.</w:t>
      </w:r>
    </w:p>
    <w:p w14:paraId="3FC43358" w14:textId="77777777" w:rsidR="00244248" w:rsidRDefault="00244248" w:rsidP="00244248">
      <w:pPr>
        <w:spacing w:after="120"/>
        <w:jc w:val="both"/>
      </w:pPr>
      <w:r>
        <w:t xml:space="preserve">The contact methodology for offline Life in Australia™ members was an initial SMS (where available), followed by an extended call-cycle over a two-week period. A reminder SMS was also sent in the second week of fieldwork. </w:t>
      </w:r>
    </w:p>
    <w:p w14:paraId="64F2886A" w14:textId="77777777" w:rsidR="00244248" w:rsidRDefault="00244248" w:rsidP="00244248">
      <w:pPr>
        <w:spacing w:after="120"/>
        <w:jc w:val="both"/>
      </w:pPr>
      <w:r>
        <w:t>The ethical aspects of this research have been approved by the ANU Human Research Ethics Committee (2021/430).</w:t>
      </w:r>
    </w:p>
    <w:p w14:paraId="4768355B" w14:textId="77777777" w:rsidR="00244248" w:rsidRDefault="00244248" w:rsidP="00244248">
      <w:pPr>
        <w:spacing w:after="120"/>
        <w:jc w:val="both"/>
      </w:pPr>
      <w:r>
        <w:lastRenderedPageBreak/>
        <w:t>The main topic of interest in the April 2021 Survey was on aged care, with data available through the Australian Data Archive (</w:t>
      </w:r>
      <w:r w:rsidRPr="00E27B55">
        <w:t>doi:10.26193/BC2QEB</w:t>
      </w:r>
      <w:r>
        <w:t>). The main topic of interest in the August 2021 Survey was childhood mental health and wellbeing, with data also available through the Australian Data Archive (</w:t>
      </w:r>
      <w:r w:rsidRPr="00E27B55">
        <w:t>doi:10.80408/H6AQQE</w:t>
      </w:r>
      <w:r>
        <w:t xml:space="preserve">). </w:t>
      </w:r>
    </w:p>
    <w:p w14:paraId="03D3BEA7" w14:textId="77777777" w:rsidR="00244248" w:rsidRPr="00B606BE" w:rsidRDefault="00244248" w:rsidP="00244248">
      <w:pPr>
        <w:pStyle w:val="Heading2"/>
        <w:numPr>
          <w:ilvl w:val="1"/>
          <w:numId w:val="37"/>
        </w:numPr>
        <w:spacing w:before="0" w:after="120"/>
        <w:ind w:left="576" w:hanging="792"/>
      </w:pPr>
      <w:bookmarkStart w:id="230" w:name="_Toc87454670"/>
      <w:bookmarkStart w:id="231" w:name="_Toc98404992"/>
      <w:r w:rsidRPr="00B606BE">
        <w:t>Fertility intentions</w:t>
      </w:r>
      <w:bookmarkEnd w:id="230"/>
      <w:bookmarkEnd w:id="231"/>
    </w:p>
    <w:p w14:paraId="6D45B0EE" w14:textId="77777777" w:rsidR="00244248" w:rsidRDefault="00244248" w:rsidP="00244248">
      <w:pPr>
        <w:spacing w:after="120"/>
        <w:jc w:val="both"/>
      </w:pPr>
      <w:r>
        <w:t>Respondents aged 18 to 44 years in the April 2021 survey were first asked: ‘</w:t>
      </w:r>
      <w:r w:rsidRPr="00DE561B">
        <w:rPr>
          <w:i/>
          <w:iCs/>
        </w:rPr>
        <w:t>Now some questions about your family. How many children do you have? Please only include natural and adopted children; not step or foster children</w:t>
      </w:r>
      <w:r w:rsidRPr="00E27B55">
        <w:t>.</w:t>
      </w:r>
      <w:r>
        <w:t>’ There were 1,024 individuals in the sample who were in scope for this question, with 57 per cent answering that they did not have any children, 17 answering that they had 1 child, 18 per cent having two children, and the remaining 9  per cent having three or more children.</w:t>
      </w:r>
    </w:p>
    <w:p w14:paraId="25A1975E" w14:textId="77777777" w:rsidR="00244248" w:rsidRDefault="00244248" w:rsidP="00244248">
      <w:pPr>
        <w:spacing w:after="120"/>
        <w:jc w:val="both"/>
      </w:pPr>
      <w:r>
        <w:t>In April, a question on childbearing desires was asked both for respondents with and without children. The question asked: ‘</w:t>
      </w:r>
      <w:r w:rsidRPr="00C64C36">
        <w:rPr>
          <w:i/>
          <w:iCs/>
        </w:rPr>
        <w:t>Now a question about any future children. Please select a number between 0 and 10 to show how you feel about having a child in the future</w:t>
      </w:r>
      <w:r>
        <w:rPr>
          <w:rStyle w:val="FootnoteReference"/>
          <w:i/>
          <w:iCs/>
        </w:rPr>
        <w:footnoteReference w:id="35"/>
      </w:r>
      <w:r w:rsidRPr="00C64C36">
        <w:rPr>
          <w:i/>
          <w:iCs/>
        </w:rPr>
        <w:t>.</w:t>
      </w:r>
      <w:r>
        <w:t>’ Respondents were given the following further instructions: ‘</w:t>
      </w:r>
      <w:r w:rsidRPr="0023520B">
        <w:rPr>
          <w:i/>
          <w:iCs/>
        </w:rPr>
        <w:t>The more definite you are that you would like to have a child, the higher the number you should pick. The more definite you are that you do not want to have a child, the lower the number</w:t>
      </w:r>
      <w:r>
        <w:t>.’</w:t>
      </w:r>
    </w:p>
    <w:p w14:paraId="4338C332" w14:textId="77777777" w:rsidR="00244248" w:rsidRDefault="00244248" w:rsidP="00244248">
      <w:pPr>
        <w:spacing w:after="120"/>
        <w:jc w:val="both"/>
      </w:pPr>
      <w:r>
        <w:t>In August 2021, those who had not completed the April 2021 survey were also asked about their fertility intentions. When the two periods are combined it gives information on fertility intentions for a total of 1,217 respondents.</w:t>
      </w:r>
    </w:p>
    <w:p w14:paraId="73A52B07" w14:textId="193EA02A" w:rsidR="00244248" w:rsidRDefault="00244248" w:rsidP="00244248">
      <w:pPr>
        <w:spacing w:after="120"/>
        <w:jc w:val="both"/>
      </w:pPr>
      <w:r>
        <w:t xml:space="preserve">The average value for this variable (across April and August 2021 for those who did and did not currently have children) was 4.4. However, as shown in Figure </w:t>
      </w:r>
      <w:r w:rsidR="002770F1">
        <w:t>48</w:t>
      </w:r>
      <w:r>
        <w:t>, the expected desire to have children was much greater for those currently childless compared to those with children. Specifically, only 15 per cent of childless respondents gave a value of 0 (they definitely don’t want children) with the most common response being 10 (very much like to have children) given by 24 per cent of those without children. For those with children, on the other hand, 48 per cent said that they definitely don’t want additional children, compared to only 13 per cent who said that they would very much like to have additional children.</w:t>
      </w:r>
    </w:p>
    <w:p w14:paraId="2270B1E4" w14:textId="77777777" w:rsidR="00244248" w:rsidRDefault="00244248" w:rsidP="00244248">
      <w:pPr>
        <w:spacing w:after="120"/>
        <w:jc w:val="both"/>
      </w:pPr>
      <w:r>
        <w:t>It is the first time that this question has been asked on an ANUpoll, so there is no longitudinal data specifically for this sample, to enable a comparison to pre-COVID responses. However, the question asked in the April ANUpoll was taken directly from the Household, Income, and Labour Dynamics in Australia (HILDA) survey. Comparing the distribution of results from recent HILDA surveys to the April 2021 ANUpoll we find the distribution of responses in HILDA</w:t>
      </w:r>
      <w:r>
        <w:rPr>
          <w:rStyle w:val="FootnoteReference"/>
        </w:rPr>
        <w:footnoteReference w:id="36"/>
      </w:r>
      <w:r>
        <w:t xml:space="preserve"> and ANUpoll are very similar. </w:t>
      </w:r>
    </w:p>
    <w:p w14:paraId="58654587" w14:textId="77777777" w:rsidR="00244248" w:rsidRDefault="00244248" w:rsidP="00244248">
      <w:pPr>
        <w:spacing w:after="120"/>
        <w:jc w:val="both"/>
      </w:pPr>
    </w:p>
    <w:p w14:paraId="402933BE" w14:textId="557E3493" w:rsidR="00244248" w:rsidRDefault="00244248" w:rsidP="00244248">
      <w:pPr>
        <w:pStyle w:val="Caption"/>
        <w:keepNext/>
        <w:spacing w:after="120"/>
        <w:jc w:val="both"/>
      </w:pPr>
      <w:r>
        <w:lastRenderedPageBreak/>
        <w:t xml:space="preserve">Figure </w:t>
      </w:r>
      <w:fldSimple w:instr=" SEQ Figure \* ARABIC ">
        <w:r w:rsidR="00115E22">
          <w:rPr>
            <w:noProof/>
          </w:rPr>
          <w:t>48</w:t>
        </w:r>
      </w:fldSimple>
      <w:r>
        <w:t xml:space="preserve"> </w:t>
      </w:r>
      <w:r w:rsidRPr="00710C1B">
        <w:t>Desire for additional children, by whether or not respondent already had children – April</w:t>
      </w:r>
      <w:r>
        <w:t xml:space="preserve"> &amp; August</w:t>
      </w:r>
      <w:r w:rsidRPr="00710C1B">
        <w:t xml:space="preserve"> 2021</w:t>
      </w:r>
    </w:p>
    <w:p w14:paraId="07B2E8DA" w14:textId="77777777" w:rsidR="00244248" w:rsidRDefault="00244248" w:rsidP="00244248">
      <w:pPr>
        <w:spacing w:after="120"/>
        <w:jc w:val="both"/>
        <w:rPr>
          <w:sz w:val="20"/>
          <w:szCs w:val="20"/>
        </w:rPr>
      </w:pPr>
      <w:r>
        <w:rPr>
          <w:noProof/>
          <w:lang w:eastAsia="en-AU"/>
        </w:rPr>
        <w:drawing>
          <wp:inline distT="0" distB="0" distL="0" distR="0" wp14:anchorId="273B60C9" wp14:editId="1AEE6666">
            <wp:extent cx="5844209" cy="3352165"/>
            <wp:effectExtent l="0" t="0" r="4445" b="635"/>
            <wp:docPr id="220" name="Chart 220">
              <a:extLst xmlns:a="http://schemas.openxmlformats.org/drawingml/2006/main">
                <a:ext uri="{FF2B5EF4-FFF2-40B4-BE49-F238E27FC236}">
                  <a16:creationId xmlns:a16="http://schemas.microsoft.com/office/drawing/2014/main" id="{A6FFEC04-72E5-2B47-A3B9-A9AF8B3DE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59BAB17" w14:textId="77777777" w:rsidR="00244248" w:rsidRDefault="00244248" w:rsidP="00244248">
      <w:pPr>
        <w:spacing w:after="120"/>
        <w:jc w:val="both"/>
        <w:rPr>
          <w:sz w:val="20"/>
          <w:szCs w:val="20"/>
        </w:rPr>
      </w:pPr>
      <w:r w:rsidRPr="0008208E">
        <w:rPr>
          <w:sz w:val="20"/>
          <w:szCs w:val="20"/>
        </w:rPr>
        <w:t>Source: ANUpoll, April and August 2021</w:t>
      </w:r>
    </w:p>
    <w:p w14:paraId="6FFF7E86" w14:textId="77777777" w:rsidR="00244248" w:rsidRPr="00B606BE" w:rsidRDefault="00244248" w:rsidP="00244248">
      <w:pPr>
        <w:pStyle w:val="Heading2"/>
        <w:numPr>
          <w:ilvl w:val="1"/>
          <w:numId w:val="37"/>
        </w:numPr>
        <w:spacing w:before="0" w:after="120"/>
        <w:ind w:left="576" w:hanging="792"/>
      </w:pPr>
      <w:bookmarkStart w:id="232" w:name="_Toc87454671"/>
      <w:bookmarkStart w:id="233" w:name="_Toc98404993"/>
      <w:r w:rsidRPr="00B606BE">
        <w:t>Impact of COVID-19 on fertility intentions</w:t>
      </w:r>
      <w:bookmarkEnd w:id="232"/>
      <w:bookmarkEnd w:id="233"/>
      <w:r w:rsidRPr="00B606BE">
        <w:t xml:space="preserve">     </w:t>
      </w:r>
    </w:p>
    <w:p w14:paraId="37A5CD8C" w14:textId="77777777" w:rsidR="00244248" w:rsidRPr="00C64C36" w:rsidRDefault="00244248" w:rsidP="00244248">
      <w:pPr>
        <w:spacing w:after="120"/>
        <w:jc w:val="both"/>
      </w:pPr>
      <w:r>
        <w:t>In the August 2021 ANUpoll,  participants were asked directly whether COVID-19 has had an effect on their childbearing plans. During this wave of data collection, respondents were asked ‘</w:t>
      </w:r>
      <w:r w:rsidRPr="00C64C36">
        <w:rPr>
          <w:i/>
          <w:iCs/>
        </w:rPr>
        <w:t xml:space="preserve">Since the spread of COVID-19 in Australia, do you think you are more or less likely to want a child?’ </w:t>
      </w:r>
      <w:r w:rsidRPr="00C64C36">
        <w:t xml:space="preserve">(or </w:t>
      </w:r>
      <w:r w:rsidRPr="00F87138">
        <w:rPr>
          <w:i/>
          <w:iCs/>
        </w:rPr>
        <w:t>‘… another child?</w:t>
      </w:r>
      <w:r w:rsidRPr="00C64C36">
        <w:t>’ if the respondent already had children</w:t>
      </w:r>
      <w:r>
        <w:t>).</w:t>
      </w:r>
      <w:r w:rsidRPr="00C64C36">
        <w:t xml:space="preserve">   </w:t>
      </w:r>
    </w:p>
    <w:p w14:paraId="6ECB38DE" w14:textId="6239EB58" w:rsidR="00244248" w:rsidRDefault="00244248" w:rsidP="00244248">
      <w:pPr>
        <w:spacing w:after="120"/>
        <w:jc w:val="both"/>
      </w:pPr>
      <w:r>
        <w:t xml:space="preserve">The most common response is that their likelihood of having children is about the same since the spread of COVID-19. This was given by 54 per cent of parents, and 62 per cent of childless respondents (Figure </w:t>
      </w:r>
      <w:r w:rsidR="002770F1">
        <w:t>49</w:t>
      </w:r>
      <w:r>
        <w:t>). There were, however, substantially more respondents who said that they were less likely to have children compared to those who said that they were more likely to have children. This was particularly the case for parents, with 28 per cent saying that since the spread of COVID-19 they were a lot less likely, with a further 9 per cent saying they were a little less likely. Amongst those who did not have any children, there were 12 per cent of respondents who said that they were a lot less likely to have children and 15 per cent who said that they were a little less likely.</w:t>
      </w:r>
    </w:p>
    <w:p w14:paraId="055181A8" w14:textId="42039D5A" w:rsidR="00244248" w:rsidRDefault="00244248" w:rsidP="00244248">
      <w:pPr>
        <w:pStyle w:val="Caption"/>
        <w:keepNext/>
        <w:spacing w:after="120"/>
        <w:jc w:val="both"/>
      </w:pPr>
      <w:r w:rsidRPr="00BD1C98">
        <w:lastRenderedPageBreak/>
        <w:t xml:space="preserve">Figure </w:t>
      </w:r>
      <w:fldSimple w:instr=" SEQ Figure \* ARABIC ">
        <w:r w:rsidR="00115E22">
          <w:rPr>
            <w:noProof/>
          </w:rPr>
          <w:t>49</w:t>
        </w:r>
      </w:fldSimple>
      <w:r w:rsidRPr="00BD1C98">
        <w:t xml:space="preserve"> Self-reported impact of COVID-19 on likelihood of having children, by whether or not respondent had children, August 2021</w:t>
      </w:r>
    </w:p>
    <w:p w14:paraId="22E7B7D1" w14:textId="77777777" w:rsidR="00244248" w:rsidRDefault="00244248" w:rsidP="00244248">
      <w:pPr>
        <w:spacing w:after="120"/>
        <w:jc w:val="both"/>
      </w:pPr>
      <w:r>
        <w:rPr>
          <w:noProof/>
          <w:lang w:eastAsia="en-AU"/>
        </w:rPr>
        <w:drawing>
          <wp:inline distT="0" distB="0" distL="0" distR="0" wp14:anchorId="1C075964" wp14:editId="60BA1138">
            <wp:extent cx="5727700" cy="3279140"/>
            <wp:effectExtent l="0" t="0" r="6350" b="0"/>
            <wp:docPr id="233" name="Chart 233">
              <a:extLst xmlns:a="http://schemas.openxmlformats.org/drawingml/2006/main">
                <a:ext uri="{FF2B5EF4-FFF2-40B4-BE49-F238E27FC236}">
                  <a16:creationId xmlns:a16="http://schemas.microsoft.com/office/drawing/2014/main" id="{F1F3CA12-48A1-437E-9F22-00C2C6207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E837FBB" w14:textId="77777777" w:rsidR="00244248" w:rsidRPr="0008208E" w:rsidRDefault="00244248" w:rsidP="00244248">
      <w:pPr>
        <w:spacing w:after="120"/>
        <w:jc w:val="both"/>
        <w:rPr>
          <w:sz w:val="20"/>
          <w:szCs w:val="20"/>
        </w:rPr>
      </w:pPr>
      <w:r w:rsidRPr="0008208E">
        <w:rPr>
          <w:sz w:val="20"/>
          <w:szCs w:val="20"/>
        </w:rPr>
        <w:t xml:space="preserve">Source: ANUpoll, August 2021 </w:t>
      </w:r>
    </w:p>
    <w:p w14:paraId="05C7E242" w14:textId="77777777" w:rsidR="00244248" w:rsidRDefault="00244248" w:rsidP="00244248">
      <w:pPr>
        <w:pStyle w:val="Heading2"/>
        <w:numPr>
          <w:ilvl w:val="1"/>
          <w:numId w:val="37"/>
        </w:numPr>
        <w:spacing w:before="0" w:after="120"/>
        <w:ind w:left="576" w:hanging="792"/>
      </w:pPr>
      <w:bookmarkStart w:id="234" w:name="_Toc87454672"/>
      <w:bookmarkStart w:id="235" w:name="_Toc98404994"/>
      <w:r>
        <w:t>Factors associated with COVID-19 related downwards revision of childbearing expectations</w:t>
      </w:r>
      <w:bookmarkEnd w:id="234"/>
      <w:bookmarkEnd w:id="235"/>
    </w:p>
    <w:p w14:paraId="603FAFBA" w14:textId="77777777" w:rsidR="00244248" w:rsidRPr="000D5997" w:rsidRDefault="00244248" w:rsidP="00244248">
      <w:pPr>
        <w:spacing w:after="120"/>
        <w:jc w:val="both"/>
      </w:pPr>
      <w:r>
        <w:t xml:space="preserve">There are a number of potential reasons that impact on whether or not COVID-19 would have had a downwards revision on childbearing expectations. We explored some of the demographic, socioeconomic, and COVID-specific factors that are associated with whether or </w:t>
      </w:r>
      <w:r w:rsidRPr="000D5997">
        <w:t>not someone said that they were a little less or a lot less likely to want children as a result of the pandemic. We model these associations using a multinomial model with three categories for the dependent variable: (1) more likely to have children, (2) no change, and (3) less likely to have children as a result of COVID-19.</w:t>
      </w:r>
    </w:p>
    <w:p w14:paraId="064563CA" w14:textId="77777777" w:rsidR="00244248" w:rsidRPr="000D5997" w:rsidRDefault="00244248" w:rsidP="00244248">
      <w:pPr>
        <w:spacing w:after="120"/>
        <w:jc w:val="both"/>
      </w:pPr>
      <w:r w:rsidRPr="000D5997">
        <w:t>In addition to the demographic variables, we include geographical location as well as the respondent’s own self-perceived likelihood of getting COVID-19, and how their outlook on the future has changed as a result of the pandemic.</w:t>
      </w:r>
    </w:p>
    <w:p w14:paraId="2F120178" w14:textId="77777777" w:rsidR="00244248" w:rsidRPr="000D5997" w:rsidRDefault="00244248" w:rsidP="00244248">
      <w:pPr>
        <w:spacing w:after="120"/>
        <w:jc w:val="both"/>
      </w:pPr>
      <w:r w:rsidRPr="000D5997">
        <w:t>The likelihood of getting COVID-19 variable comes from a question that asks “</w:t>
      </w:r>
      <w:r w:rsidRPr="000D5997">
        <w:rPr>
          <w:i/>
          <w:iCs/>
        </w:rPr>
        <w:t>What do you think is the likelihood of you being infected by COVID-19 in the next 6 months?</w:t>
      </w:r>
      <w:r w:rsidRPr="000D5997">
        <w:t xml:space="preserve">”. Response categories are “very likely”,  “somewhat likely”, “not very likely”, and “not at all likely”.  We recoded this to a binary variable reflecting if the person felt it was 1) likely, or 2) not likely that they would get COVID-19 in the next 6 months. </w:t>
      </w:r>
    </w:p>
    <w:p w14:paraId="60CF1E33" w14:textId="77777777" w:rsidR="00244248" w:rsidRPr="000D5997" w:rsidRDefault="00244248" w:rsidP="00244248">
      <w:pPr>
        <w:pStyle w:val="SRCQn"/>
        <w:ind w:left="0" w:firstLine="0"/>
        <w:rPr>
          <w:rFonts w:asciiTheme="minorHAnsi" w:hAnsiTheme="minorHAnsi" w:cstheme="minorBidi"/>
          <w:sz w:val="22"/>
          <w:szCs w:val="22"/>
        </w:rPr>
      </w:pPr>
      <w:r w:rsidRPr="000D5997">
        <w:rPr>
          <w:rFonts w:asciiTheme="minorHAnsi" w:hAnsiTheme="minorHAnsi" w:cstheme="minorBidi"/>
          <w:sz w:val="22"/>
          <w:szCs w:val="22"/>
        </w:rPr>
        <w:t>The outlook on future variable comes from a question that asks “</w:t>
      </w:r>
      <w:r w:rsidRPr="000D5997">
        <w:rPr>
          <w:rFonts w:asciiTheme="minorHAnsi" w:hAnsiTheme="minorHAnsi" w:cstheme="minorBidi"/>
          <w:i/>
          <w:iCs/>
          <w:sz w:val="22"/>
          <w:szCs w:val="22"/>
        </w:rPr>
        <w:t>How has your outlook for your longer term future, i.e. 5-10 years from now, changed since the spread of COVID-19?</w:t>
      </w:r>
      <w:r w:rsidRPr="000D5997">
        <w:rPr>
          <w:rFonts w:asciiTheme="minorHAnsi" w:hAnsiTheme="minorHAnsi" w:cstheme="minorBidi"/>
          <w:sz w:val="22"/>
          <w:szCs w:val="22"/>
        </w:rPr>
        <w:t xml:space="preserve">” . Responses are “I feel a lot more positive”, “I feel a little more positive”, “no change”, “I feel a little more negative” and “I feel a lot more negative”. The original variable was recoded to have three categories: Positive, no change, and negative. </w:t>
      </w:r>
    </w:p>
    <w:p w14:paraId="04C680EB" w14:textId="77777777" w:rsidR="00244248" w:rsidRPr="000D5997" w:rsidRDefault="00244248" w:rsidP="00244248">
      <w:pPr>
        <w:pStyle w:val="SRCQn"/>
        <w:ind w:left="0" w:firstLine="0"/>
        <w:rPr>
          <w:rFonts w:asciiTheme="minorHAnsi" w:hAnsiTheme="minorHAnsi" w:cstheme="minorBidi"/>
          <w:sz w:val="22"/>
          <w:szCs w:val="22"/>
        </w:rPr>
      </w:pPr>
    </w:p>
    <w:p w14:paraId="4E4C6A8C" w14:textId="62C04EC5" w:rsidR="00244248" w:rsidRPr="000D5997" w:rsidRDefault="00244248" w:rsidP="00244248">
      <w:pPr>
        <w:pStyle w:val="Caption"/>
        <w:keepNext/>
        <w:rPr>
          <w:i w:val="0"/>
          <w:iCs w:val="0"/>
          <w:color w:val="auto"/>
          <w:sz w:val="22"/>
          <w:szCs w:val="22"/>
        </w:rPr>
      </w:pPr>
      <w:r w:rsidRPr="000D5997">
        <w:rPr>
          <w:i w:val="0"/>
          <w:iCs w:val="0"/>
          <w:color w:val="auto"/>
          <w:sz w:val="22"/>
          <w:szCs w:val="22"/>
        </w:rPr>
        <w:t>The results of the multinomial logistic regression are shown in Table 4</w:t>
      </w:r>
      <w:r w:rsidR="000D5997">
        <w:rPr>
          <w:i w:val="0"/>
          <w:iCs w:val="0"/>
          <w:color w:val="auto"/>
          <w:sz w:val="22"/>
          <w:szCs w:val="22"/>
        </w:rPr>
        <w:t>3</w:t>
      </w:r>
      <w:r w:rsidRPr="000D5997">
        <w:rPr>
          <w:i w:val="0"/>
          <w:iCs w:val="0"/>
          <w:color w:val="auto"/>
          <w:sz w:val="22"/>
          <w:szCs w:val="22"/>
        </w:rPr>
        <w:t xml:space="preserve">. </w:t>
      </w:r>
      <w:r w:rsidRPr="000D5997">
        <w:rPr>
          <w:sz w:val="22"/>
          <w:szCs w:val="22"/>
        </w:rPr>
        <w:t xml:space="preserve"> </w:t>
      </w:r>
      <w:r w:rsidRPr="000D5997">
        <w:rPr>
          <w:i w:val="0"/>
          <w:iCs w:val="0"/>
          <w:color w:val="auto"/>
          <w:sz w:val="22"/>
          <w:szCs w:val="22"/>
        </w:rPr>
        <w:t xml:space="preserve">The first column contains the coefficients and standard errors for the respondent being more likely to want to have a child as a result of the pandemic, versus no change in their intentions. The second column contains the </w:t>
      </w:r>
      <w:r w:rsidRPr="000D5997">
        <w:rPr>
          <w:i w:val="0"/>
          <w:iCs w:val="0"/>
          <w:color w:val="auto"/>
          <w:sz w:val="22"/>
          <w:szCs w:val="22"/>
        </w:rPr>
        <w:lastRenderedPageBreak/>
        <w:t xml:space="preserve">coefficients and standard errors for the respondent being less likely to want to have a child as a result of the pandemic, again with no change in their intentions as the reference. </w:t>
      </w:r>
    </w:p>
    <w:p w14:paraId="64A05905" w14:textId="77777777" w:rsidR="00244248" w:rsidRPr="000D5997" w:rsidRDefault="00244248" w:rsidP="00244248">
      <w:r w:rsidRPr="000D5997">
        <w:t xml:space="preserve">Respondents who were already parents were significantly more likely to indicate that the pandemic had changed their fertility intentions in a negative way. The other demographic variables including age, education, sex and employment status had no statistically significant effect with the exception that those in a relationship were less likely to indicate that the pandemic had led to a downwards revision of their childbearing plans. </w:t>
      </w:r>
    </w:p>
    <w:p w14:paraId="7683FEB0" w14:textId="77777777" w:rsidR="00244248" w:rsidRPr="000D5997" w:rsidRDefault="00244248" w:rsidP="00244248"/>
    <w:p w14:paraId="40CE9907" w14:textId="77777777" w:rsidR="00244248" w:rsidRPr="000D5997" w:rsidRDefault="00244248" w:rsidP="00244248">
      <w:r w:rsidRPr="000D5997">
        <w:t>In terms of geographic location compared to Sydney (the reference category) those in the rest of NSW as well as other capital cities were more likely to have a downwards revision of their childbearing plans.  While self-perceived personal likelihood of contracting COVID-19 had no effect, people’s outlooks on the future and how this has changed due to the pandemic is strongly related to their fertility plans.</w:t>
      </w:r>
    </w:p>
    <w:p w14:paraId="50D17B62" w14:textId="77777777" w:rsidR="00244248" w:rsidRPr="000D5997" w:rsidRDefault="00244248" w:rsidP="00244248"/>
    <w:p w14:paraId="0F773047" w14:textId="63066ECD" w:rsidR="00244248" w:rsidRPr="000D5997" w:rsidRDefault="00244248" w:rsidP="00244248">
      <w:r w:rsidRPr="000D5997">
        <w:t>People who felt that the pandemic had a positive effect on their outlook of the future were also more likely to indicate that their plans for children in the future had improved. Similarly, those who felt the future outlook in the next 5-10 years had worsened were more likely to have a downwards revision of their plans for children. This relationship between future outlook and revision of childbearing plans is shown in Figure 5</w:t>
      </w:r>
      <w:r w:rsidR="002770F1" w:rsidRPr="000D5997">
        <w:t>0</w:t>
      </w:r>
      <w:r w:rsidRPr="000D5997">
        <w:t>.</w:t>
      </w:r>
    </w:p>
    <w:p w14:paraId="6A83C6D1" w14:textId="77777777" w:rsidR="00244248" w:rsidRDefault="00244248" w:rsidP="00244248">
      <w:pPr>
        <w:pStyle w:val="Caption"/>
        <w:keepNext/>
      </w:pPr>
      <w:bookmarkStart w:id="236" w:name="_Ref85615041"/>
      <w:r>
        <w:br w:type="page"/>
      </w:r>
    </w:p>
    <w:p w14:paraId="5C6F3483" w14:textId="657E357F" w:rsidR="00244248" w:rsidRDefault="00244248" w:rsidP="00244248">
      <w:pPr>
        <w:pStyle w:val="Caption"/>
        <w:keepNext/>
      </w:pPr>
      <w:r>
        <w:lastRenderedPageBreak/>
        <w:t xml:space="preserve">Table </w:t>
      </w:r>
      <w:fldSimple w:instr=" SEQ Table \* ARABIC ">
        <w:r w:rsidR="00115E22">
          <w:rPr>
            <w:noProof/>
          </w:rPr>
          <w:t>43</w:t>
        </w:r>
      </w:fldSimple>
      <w:bookmarkEnd w:id="236"/>
      <w:r>
        <w:t xml:space="preserve"> Multinomial logistic regression of change in likelihood of having children as a result of COVID-19 pandemic (reference: No change)</w:t>
      </w:r>
    </w:p>
    <w:tbl>
      <w:tblPr>
        <w:tblW w:w="5812" w:type="dxa"/>
        <w:tblLook w:val="04A0" w:firstRow="1" w:lastRow="0" w:firstColumn="1" w:lastColumn="0" w:noHBand="0" w:noVBand="1"/>
      </w:tblPr>
      <w:tblGrid>
        <w:gridCol w:w="3560"/>
        <w:gridCol w:w="1118"/>
        <w:gridCol w:w="1134"/>
      </w:tblGrid>
      <w:tr w:rsidR="00244248" w:rsidRPr="006F6F16" w14:paraId="03328A73" w14:textId="77777777" w:rsidTr="001411BE">
        <w:trPr>
          <w:trHeight w:hRule="exact" w:val="227"/>
        </w:trPr>
        <w:tc>
          <w:tcPr>
            <w:tcW w:w="3560"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313E77B5" w14:textId="77777777" w:rsidR="00244248" w:rsidRPr="006F6F16" w:rsidRDefault="00244248" w:rsidP="00335B25">
            <w:pPr>
              <w:rPr>
                <w:rFonts w:asciiTheme="majorHAnsi" w:eastAsia="Times New Roman" w:hAnsiTheme="majorHAnsi" w:cstheme="majorHAnsi"/>
                <w:sz w:val="20"/>
                <w:szCs w:val="20"/>
                <w:lang w:eastAsia="en-AU"/>
              </w:rPr>
            </w:pPr>
          </w:p>
        </w:tc>
        <w:tc>
          <w:tcPr>
            <w:tcW w:w="1118"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448326BB"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More likely</w:t>
            </w:r>
          </w:p>
        </w:tc>
        <w:tc>
          <w:tcPr>
            <w:tcW w:w="1134"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7671B4D0"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 xml:space="preserve">Less likely </w:t>
            </w:r>
          </w:p>
        </w:tc>
      </w:tr>
      <w:tr w:rsidR="00244248" w:rsidRPr="006F6F16" w14:paraId="7BCA46CF" w14:textId="77777777" w:rsidTr="001411BE">
        <w:trPr>
          <w:trHeight w:hRule="exact" w:val="227"/>
        </w:trPr>
        <w:tc>
          <w:tcPr>
            <w:tcW w:w="3560" w:type="dxa"/>
            <w:tcBorders>
              <w:top w:val="single" w:sz="4" w:space="0" w:color="ED7D31" w:themeColor="accent2"/>
              <w:left w:val="nil"/>
              <w:bottom w:val="nil"/>
              <w:right w:val="nil"/>
            </w:tcBorders>
            <w:shd w:val="clear" w:color="auto" w:fill="auto"/>
            <w:noWrap/>
            <w:vAlign w:val="bottom"/>
            <w:hideMark/>
          </w:tcPr>
          <w:p w14:paraId="44F60D0F"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Number of children</w:t>
            </w:r>
            <w:r w:rsidRPr="006F6F16">
              <w:rPr>
                <w:rFonts w:asciiTheme="majorHAnsi" w:eastAsia="Times New Roman" w:hAnsiTheme="majorHAnsi" w:cstheme="majorHAnsi"/>
                <w:color w:val="000000"/>
                <w:sz w:val="20"/>
                <w:szCs w:val="20"/>
                <w:lang w:eastAsia="en-AU"/>
              </w:rPr>
              <w:t xml:space="preserve"> (ref: childless)</w:t>
            </w:r>
          </w:p>
        </w:tc>
        <w:tc>
          <w:tcPr>
            <w:tcW w:w="1118" w:type="dxa"/>
            <w:tcBorders>
              <w:top w:val="single" w:sz="4" w:space="0" w:color="ED7D31" w:themeColor="accent2"/>
              <w:left w:val="nil"/>
              <w:bottom w:val="nil"/>
              <w:right w:val="nil"/>
            </w:tcBorders>
            <w:shd w:val="clear" w:color="auto" w:fill="auto"/>
            <w:noWrap/>
            <w:vAlign w:val="bottom"/>
            <w:hideMark/>
          </w:tcPr>
          <w:p w14:paraId="2E5FC388"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2ADD0309" w14:textId="77777777" w:rsidR="00244248" w:rsidRPr="006F6F16" w:rsidRDefault="00244248" w:rsidP="00335B25">
            <w:pPr>
              <w:rPr>
                <w:rFonts w:asciiTheme="majorHAnsi" w:eastAsia="Times New Roman" w:hAnsiTheme="majorHAnsi" w:cstheme="majorHAnsi"/>
                <w:sz w:val="20"/>
                <w:szCs w:val="20"/>
                <w:lang w:eastAsia="en-AU"/>
              </w:rPr>
            </w:pPr>
          </w:p>
        </w:tc>
      </w:tr>
      <w:tr w:rsidR="00244248" w:rsidRPr="006F6F16" w14:paraId="3EB3E31A" w14:textId="77777777" w:rsidTr="001411BE">
        <w:trPr>
          <w:trHeight w:hRule="exact" w:val="227"/>
        </w:trPr>
        <w:tc>
          <w:tcPr>
            <w:tcW w:w="3560" w:type="dxa"/>
            <w:tcBorders>
              <w:top w:val="nil"/>
              <w:left w:val="nil"/>
              <w:right w:val="nil"/>
            </w:tcBorders>
            <w:shd w:val="clear" w:color="auto" w:fill="auto"/>
            <w:noWrap/>
            <w:vAlign w:val="bottom"/>
            <w:hideMark/>
          </w:tcPr>
          <w:p w14:paraId="1A0B6B89"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At least 1 child</w:t>
            </w:r>
          </w:p>
        </w:tc>
        <w:tc>
          <w:tcPr>
            <w:tcW w:w="1118" w:type="dxa"/>
            <w:tcBorders>
              <w:top w:val="nil"/>
              <w:left w:val="nil"/>
              <w:right w:val="nil"/>
            </w:tcBorders>
            <w:shd w:val="clear" w:color="auto" w:fill="auto"/>
            <w:noWrap/>
            <w:vAlign w:val="bottom"/>
            <w:hideMark/>
          </w:tcPr>
          <w:p w14:paraId="432935D2"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-0.031</w:t>
            </w:r>
          </w:p>
        </w:tc>
        <w:tc>
          <w:tcPr>
            <w:tcW w:w="1134" w:type="dxa"/>
            <w:tcBorders>
              <w:top w:val="nil"/>
              <w:left w:val="nil"/>
              <w:right w:val="nil"/>
            </w:tcBorders>
            <w:shd w:val="clear" w:color="auto" w:fill="auto"/>
            <w:noWrap/>
            <w:vAlign w:val="bottom"/>
            <w:hideMark/>
          </w:tcPr>
          <w:p w14:paraId="1F0284F8"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0.431**</w:t>
            </w:r>
          </w:p>
        </w:tc>
      </w:tr>
      <w:tr w:rsidR="00244248" w:rsidRPr="006F6F16" w14:paraId="64B9013C"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161C4174"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single" w:sz="4" w:space="0" w:color="ED7D31" w:themeColor="accent2"/>
              <w:right w:val="nil"/>
            </w:tcBorders>
            <w:shd w:val="clear" w:color="auto" w:fill="auto"/>
            <w:noWrap/>
            <w:vAlign w:val="bottom"/>
            <w:hideMark/>
          </w:tcPr>
          <w:p w14:paraId="5507ACEC"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(0.342)</w:t>
            </w:r>
          </w:p>
        </w:tc>
        <w:tc>
          <w:tcPr>
            <w:tcW w:w="1134" w:type="dxa"/>
            <w:tcBorders>
              <w:top w:val="nil"/>
              <w:left w:val="nil"/>
              <w:bottom w:val="single" w:sz="4" w:space="0" w:color="ED7D31" w:themeColor="accent2"/>
              <w:right w:val="nil"/>
            </w:tcBorders>
            <w:shd w:val="clear" w:color="auto" w:fill="auto"/>
            <w:noWrap/>
            <w:vAlign w:val="bottom"/>
            <w:hideMark/>
          </w:tcPr>
          <w:p w14:paraId="2281B2E7"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(0.208)</w:t>
            </w:r>
          </w:p>
        </w:tc>
      </w:tr>
      <w:tr w:rsidR="00244248" w:rsidRPr="006F6F16" w14:paraId="64A0CDEF" w14:textId="77777777" w:rsidTr="001411BE">
        <w:trPr>
          <w:trHeight w:hRule="exact" w:val="227"/>
        </w:trPr>
        <w:tc>
          <w:tcPr>
            <w:tcW w:w="3560" w:type="dxa"/>
            <w:tcBorders>
              <w:top w:val="single" w:sz="4" w:space="0" w:color="ED7D31" w:themeColor="accent2"/>
              <w:left w:val="nil"/>
              <w:bottom w:val="nil"/>
              <w:right w:val="nil"/>
            </w:tcBorders>
            <w:shd w:val="clear" w:color="auto" w:fill="auto"/>
            <w:noWrap/>
            <w:vAlign w:val="bottom"/>
            <w:hideMark/>
          </w:tcPr>
          <w:p w14:paraId="28715947"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Age</w:t>
            </w:r>
            <w:r w:rsidRPr="006F6F16">
              <w:rPr>
                <w:rFonts w:asciiTheme="majorHAnsi" w:eastAsia="Times New Roman" w:hAnsiTheme="majorHAnsi" w:cstheme="majorHAnsi"/>
                <w:color w:val="000000"/>
                <w:sz w:val="20"/>
                <w:szCs w:val="20"/>
                <w:lang w:eastAsia="en-AU"/>
              </w:rPr>
              <w:t xml:space="preserve"> (ref: 18-29)</w:t>
            </w:r>
          </w:p>
        </w:tc>
        <w:tc>
          <w:tcPr>
            <w:tcW w:w="1118" w:type="dxa"/>
            <w:tcBorders>
              <w:top w:val="single" w:sz="4" w:space="0" w:color="ED7D31" w:themeColor="accent2"/>
              <w:left w:val="nil"/>
              <w:bottom w:val="nil"/>
              <w:right w:val="nil"/>
            </w:tcBorders>
            <w:shd w:val="clear" w:color="auto" w:fill="auto"/>
            <w:noWrap/>
            <w:vAlign w:val="bottom"/>
            <w:hideMark/>
          </w:tcPr>
          <w:p w14:paraId="1F7AC3A6"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43B07C64" w14:textId="77777777" w:rsidR="00244248" w:rsidRPr="006F6F16" w:rsidRDefault="00244248" w:rsidP="00335B25">
            <w:pPr>
              <w:rPr>
                <w:rFonts w:asciiTheme="majorHAnsi" w:eastAsia="Times New Roman" w:hAnsiTheme="majorHAnsi" w:cstheme="majorHAnsi"/>
                <w:sz w:val="20"/>
                <w:szCs w:val="20"/>
                <w:lang w:eastAsia="en-AU"/>
              </w:rPr>
            </w:pPr>
          </w:p>
        </w:tc>
      </w:tr>
      <w:tr w:rsidR="00244248" w:rsidRPr="006F6F16" w14:paraId="67E91B2C" w14:textId="77777777" w:rsidTr="001411BE">
        <w:trPr>
          <w:trHeight w:hRule="exact" w:val="227"/>
        </w:trPr>
        <w:tc>
          <w:tcPr>
            <w:tcW w:w="3560" w:type="dxa"/>
            <w:tcBorders>
              <w:top w:val="nil"/>
              <w:left w:val="nil"/>
              <w:right w:val="nil"/>
            </w:tcBorders>
            <w:shd w:val="clear" w:color="auto" w:fill="auto"/>
            <w:noWrap/>
            <w:vAlign w:val="bottom"/>
            <w:hideMark/>
          </w:tcPr>
          <w:p w14:paraId="08094037"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30-49</w:t>
            </w:r>
          </w:p>
        </w:tc>
        <w:tc>
          <w:tcPr>
            <w:tcW w:w="1118" w:type="dxa"/>
            <w:tcBorders>
              <w:top w:val="nil"/>
              <w:left w:val="nil"/>
              <w:right w:val="nil"/>
            </w:tcBorders>
            <w:shd w:val="clear" w:color="auto" w:fill="auto"/>
            <w:noWrap/>
            <w:vAlign w:val="bottom"/>
            <w:hideMark/>
          </w:tcPr>
          <w:p w14:paraId="65F13128"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0.137</w:t>
            </w:r>
          </w:p>
        </w:tc>
        <w:tc>
          <w:tcPr>
            <w:tcW w:w="1134" w:type="dxa"/>
            <w:tcBorders>
              <w:top w:val="nil"/>
              <w:left w:val="nil"/>
              <w:right w:val="nil"/>
            </w:tcBorders>
            <w:shd w:val="clear" w:color="auto" w:fill="auto"/>
            <w:noWrap/>
            <w:vAlign w:val="bottom"/>
            <w:hideMark/>
          </w:tcPr>
          <w:p w14:paraId="70F7A7B1"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0.225</w:t>
            </w:r>
          </w:p>
        </w:tc>
      </w:tr>
      <w:tr w:rsidR="00244248" w:rsidRPr="006F6F16" w14:paraId="1D523C42"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74C45A25"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single" w:sz="4" w:space="0" w:color="ED7D31" w:themeColor="accent2"/>
              <w:right w:val="nil"/>
            </w:tcBorders>
            <w:shd w:val="clear" w:color="auto" w:fill="auto"/>
            <w:noWrap/>
            <w:vAlign w:val="bottom"/>
            <w:hideMark/>
          </w:tcPr>
          <w:p w14:paraId="2BC3449D"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(0.356)</w:t>
            </w:r>
          </w:p>
        </w:tc>
        <w:tc>
          <w:tcPr>
            <w:tcW w:w="1134" w:type="dxa"/>
            <w:tcBorders>
              <w:top w:val="nil"/>
              <w:left w:val="nil"/>
              <w:bottom w:val="single" w:sz="4" w:space="0" w:color="ED7D31" w:themeColor="accent2"/>
              <w:right w:val="nil"/>
            </w:tcBorders>
            <w:shd w:val="clear" w:color="auto" w:fill="auto"/>
            <w:noWrap/>
            <w:vAlign w:val="bottom"/>
            <w:hideMark/>
          </w:tcPr>
          <w:p w14:paraId="7D2C0895"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(0.211)</w:t>
            </w:r>
          </w:p>
        </w:tc>
      </w:tr>
      <w:tr w:rsidR="00244248" w:rsidRPr="006F6F16" w14:paraId="53DB4BDF" w14:textId="77777777" w:rsidTr="001411BE">
        <w:trPr>
          <w:trHeight w:hRule="exact" w:val="227"/>
        </w:trPr>
        <w:tc>
          <w:tcPr>
            <w:tcW w:w="3560" w:type="dxa"/>
            <w:tcBorders>
              <w:top w:val="single" w:sz="4" w:space="0" w:color="ED7D31" w:themeColor="accent2"/>
              <w:left w:val="nil"/>
              <w:bottom w:val="nil"/>
              <w:right w:val="nil"/>
            </w:tcBorders>
            <w:shd w:val="clear" w:color="auto" w:fill="auto"/>
            <w:noWrap/>
            <w:vAlign w:val="bottom"/>
            <w:hideMark/>
          </w:tcPr>
          <w:p w14:paraId="76DE7AD4"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Education</w:t>
            </w:r>
            <w:r w:rsidRPr="006F6F16">
              <w:rPr>
                <w:rFonts w:asciiTheme="majorHAnsi" w:eastAsia="Times New Roman" w:hAnsiTheme="majorHAnsi" w:cstheme="majorHAnsi"/>
                <w:color w:val="000000"/>
                <w:sz w:val="20"/>
                <w:szCs w:val="20"/>
                <w:lang w:eastAsia="en-AU"/>
              </w:rPr>
              <w:t xml:space="preserve"> (ref: Bachelors)</w:t>
            </w:r>
          </w:p>
        </w:tc>
        <w:tc>
          <w:tcPr>
            <w:tcW w:w="1118" w:type="dxa"/>
            <w:tcBorders>
              <w:top w:val="single" w:sz="4" w:space="0" w:color="ED7D31" w:themeColor="accent2"/>
              <w:left w:val="nil"/>
              <w:bottom w:val="nil"/>
              <w:right w:val="nil"/>
            </w:tcBorders>
            <w:shd w:val="clear" w:color="auto" w:fill="auto"/>
            <w:noWrap/>
            <w:vAlign w:val="bottom"/>
            <w:hideMark/>
          </w:tcPr>
          <w:p w14:paraId="501B0276"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373A54FD" w14:textId="77777777" w:rsidR="00244248" w:rsidRPr="006F6F16" w:rsidRDefault="00244248" w:rsidP="00335B25">
            <w:pPr>
              <w:rPr>
                <w:rFonts w:asciiTheme="majorHAnsi" w:eastAsia="Times New Roman" w:hAnsiTheme="majorHAnsi" w:cstheme="majorHAnsi"/>
                <w:sz w:val="20"/>
                <w:szCs w:val="20"/>
                <w:lang w:eastAsia="en-AU"/>
              </w:rPr>
            </w:pPr>
          </w:p>
        </w:tc>
      </w:tr>
      <w:tr w:rsidR="00244248" w:rsidRPr="006F6F16" w14:paraId="14C667BF" w14:textId="77777777" w:rsidTr="001411BE">
        <w:trPr>
          <w:trHeight w:hRule="exact" w:val="227"/>
        </w:trPr>
        <w:tc>
          <w:tcPr>
            <w:tcW w:w="3560" w:type="dxa"/>
            <w:tcBorders>
              <w:top w:val="nil"/>
              <w:left w:val="nil"/>
              <w:bottom w:val="nil"/>
              <w:right w:val="nil"/>
            </w:tcBorders>
            <w:shd w:val="clear" w:color="auto" w:fill="auto"/>
            <w:noWrap/>
            <w:vAlign w:val="bottom"/>
            <w:hideMark/>
          </w:tcPr>
          <w:p w14:paraId="1EFA7B50"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Postgraduate</w:t>
            </w:r>
          </w:p>
        </w:tc>
        <w:tc>
          <w:tcPr>
            <w:tcW w:w="1118" w:type="dxa"/>
            <w:tcBorders>
              <w:top w:val="nil"/>
              <w:left w:val="nil"/>
              <w:bottom w:val="nil"/>
              <w:right w:val="nil"/>
            </w:tcBorders>
            <w:shd w:val="clear" w:color="auto" w:fill="auto"/>
            <w:noWrap/>
            <w:vAlign w:val="bottom"/>
            <w:hideMark/>
          </w:tcPr>
          <w:p w14:paraId="0A59629D"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-0.495</w:t>
            </w:r>
          </w:p>
        </w:tc>
        <w:tc>
          <w:tcPr>
            <w:tcW w:w="1134" w:type="dxa"/>
            <w:tcBorders>
              <w:top w:val="nil"/>
              <w:left w:val="nil"/>
              <w:bottom w:val="nil"/>
              <w:right w:val="nil"/>
            </w:tcBorders>
            <w:shd w:val="clear" w:color="auto" w:fill="auto"/>
            <w:noWrap/>
            <w:vAlign w:val="bottom"/>
            <w:hideMark/>
          </w:tcPr>
          <w:p w14:paraId="2228DD81"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-0.240</w:t>
            </w:r>
          </w:p>
        </w:tc>
      </w:tr>
      <w:tr w:rsidR="00244248" w:rsidRPr="006F6F16" w14:paraId="1D32430F" w14:textId="77777777" w:rsidTr="001411BE">
        <w:trPr>
          <w:trHeight w:hRule="exact" w:val="227"/>
        </w:trPr>
        <w:tc>
          <w:tcPr>
            <w:tcW w:w="3560" w:type="dxa"/>
            <w:tcBorders>
              <w:top w:val="nil"/>
              <w:left w:val="nil"/>
              <w:bottom w:val="nil"/>
              <w:right w:val="nil"/>
            </w:tcBorders>
            <w:shd w:val="clear" w:color="auto" w:fill="auto"/>
            <w:noWrap/>
            <w:vAlign w:val="bottom"/>
            <w:hideMark/>
          </w:tcPr>
          <w:p w14:paraId="1A86C19D"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nil"/>
              <w:right w:val="nil"/>
            </w:tcBorders>
            <w:shd w:val="clear" w:color="auto" w:fill="auto"/>
            <w:noWrap/>
            <w:vAlign w:val="bottom"/>
            <w:hideMark/>
          </w:tcPr>
          <w:p w14:paraId="3EBE527E"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(0.369)</w:t>
            </w:r>
          </w:p>
        </w:tc>
        <w:tc>
          <w:tcPr>
            <w:tcW w:w="1134" w:type="dxa"/>
            <w:tcBorders>
              <w:top w:val="nil"/>
              <w:left w:val="nil"/>
              <w:bottom w:val="nil"/>
              <w:right w:val="nil"/>
            </w:tcBorders>
            <w:shd w:val="clear" w:color="auto" w:fill="auto"/>
            <w:noWrap/>
            <w:vAlign w:val="bottom"/>
            <w:hideMark/>
          </w:tcPr>
          <w:p w14:paraId="266F76EE"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(0.233)</w:t>
            </w:r>
          </w:p>
        </w:tc>
      </w:tr>
      <w:tr w:rsidR="00244248" w:rsidRPr="006F6F16" w14:paraId="1824B9B1" w14:textId="77777777" w:rsidTr="001411BE">
        <w:trPr>
          <w:trHeight w:hRule="exact" w:val="227"/>
        </w:trPr>
        <w:tc>
          <w:tcPr>
            <w:tcW w:w="3560" w:type="dxa"/>
            <w:tcBorders>
              <w:top w:val="nil"/>
              <w:left w:val="nil"/>
              <w:bottom w:val="nil"/>
              <w:right w:val="nil"/>
            </w:tcBorders>
            <w:shd w:val="clear" w:color="auto" w:fill="auto"/>
            <w:noWrap/>
            <w:vAlign w:val="bottom"/>
            <w:hideMark/>
          </w:tcPr>
          <w:p w14:paraId="2C434B93"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Diploma or Cert III/IV</w:t>
            </w:r>
          </w:p>
        </w:tc>
        <w:tc>
          <w:tcPr>
            <w:tcW w:w="1118" w:type="dxa"/>
            <w:tcBorders>
              <w:top w:val="nil"/>
              <w:left w:val="nil"/>
              <w:bottom w:val="nil"/>
              <w:right w:val="nil"/>
            </w:tcBorders>
            <w:shd w:val="clear" w:color="auto" w:fill="auto"/>
            <w:noWrap/>
            <w:vAlign w:val="bottom"/>
            <w:hideMark/>
          </w:tcPr>
          <w:p w14:paraId="2CB717ED"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-0.394</w:t>
            </w:r>
          </w:p>
        </w:tc>
        <w:tc>
          <w:tcPr>
            <w:tcW w:w="1134" w:type="dxa"/>
            <w:tcBorders>
              <w:top w:val="nil"/>
              <w:left w:val="nil"/>
              <w:bottom w:val="nil"/>
              <w:right w:val="nil"/>
            </w:tcBorders>
            <w:shd w:val="clear" w:color="auto" w:fill="auto"/>
            <w:noWrap/>
            <w:vAlign w:val="bottom"/>
            <w:hideMark/>
          </w:tcPr>
          <w:p w14:paraId="071DAA8E"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0.112</w:t>
            </w:r>
          </w:p>
        </w:tc>
      </w:tr>
      <w:tr w:rsidR="00244248" w:rsidRPr="006F6F16" w14:paraId="1E1E3D28" w14:textId="77777777" w:rsidTr="001411BE">
        <w:trPr>
          <w:trHeight w:hRule="exact" w:val="227"/>
        </w:trPr>
        <w:tc>
          <w:tcPr>
            <w:tcW w:w="3560" w:type="dxa"/>
            <w:tcBorders>
              <w:top w:val="nil"/>
              <w:left w:val="nil"/>
              <w:bottom w:val="nil"/>
              <w:right w:val="nil"/>
            </w:tcBorders>
            <w:shd w:val="clear" w:color="auto" w:fill="auto"/>
            <w:noWrap/>
            <w:vAlign w:val="bottom"/>
            <w:hideMark/>
          </w:tcPr>
          <w:p w14:paraId="53F4864E"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nil"/>
              <w:right w:val="nil"/>
            </w:tcBorders>
            <w:shd w:val="clear" w:color="auto" w:fill="auto"/>
            <w:noWrap/>
            <w:vAlign w:val="bottom"/>
            <w:hideMark/>
          </w:tcPr>
          <w:p w14:paraId="66D1315B"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(0.365)</w:t>
            </w:r>
          </w:p>
        </w:tc>
        <w:tc>
          <w:tcPr>
            <w:tcW w:w="1134" w:type="dxa"/>
            <w:tcBorders>
              <w:top w:val="nil"/>
              <w:left w:val="nil"/>
              <w:bottom w:val="nil"/>
              <w:right w:val="nil"/>
            </w:tcBorders>
            <w:shd w:val="clear" w:color="auto" w:fill="auto"/>
            <w:noWrap/>
            <w:vAlign w:val="bottom"/>
            <w:hideMark/>
          </w:tcPr>
          <w:p w14:paraId="025F53CB"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(0.216)</w:t>
            </w:r>
          </w:p>
        </w:tc>
      </w:tr>
      <w:tr w:rsidR="00244248" w:rsidRPr="006F6F16" w14:paraId="3D57C305" w14:textId="77777777" w:rsidTr="001411BE">
        <w:trPr>
          <w:trHeight w:hRule="exact" w:val="227"/>
        </w:trPr>
        <w:tc>
          <w:tcPr>
            <w:tcW w:w="3560" w:type="dxa"/>
            <w:tcBorders>
              <w:top w:val="nil"/>
              <w:left w:val="nil"/>
              <w:right w:val="nil"/>
            </w:tcBorders>
            <w:shd w:val="clear" w:color="auto" w:fill="auto"/>
            <w:noWrap/>
            <w:vAlign w:val="bottom"/>
            <w:hideMark/>
          </w:tcPr>
          <w:p w14:paraId="091CFA09"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Year 12 or below</w:t>
            </w:r>
          </w:p>
        </w:tc>
        <w:tc>
          <w:tcPr>
            <w:tcW w:w="1118" w:type="dxa"/>
            <w:tcBorders>
              <w:top w:val="nil"/>
              <w:left w:val="nil"/>
              <w:right w:val="nil"/>
            </w:tcBorders>
            <w:shd w:val="clear" w:color="auto" w:fill="auto"/>
            <w:noWrap/>
            <w:vAlign w:val="bottom"/>
            <w:hideMark/>
          </w:tcPr>
          <w:p w14:paraId="37B0CEDC"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0.384</w:t>
            </w:r>
          </w:p>
        </w:tc>
        <w:tc>
          <w:tcPr>
            <w:tcW w:w="1134" w:type="dxa"/>
            <w:tcBorders>
              <w:top w:val="nil"/>
              <w:left w:val="nil"/>
              <w:right w:val="nil"/>
            </w:tcBorders>
            <w:shd w:val="clear" w:color="auto" w:fill="auto"/>
            <w:noWrap/>
            <w:vAlign w:val="bottom"/>
            <w:hideMark/>
          </w:tcPr>
          <w:p w14:paraId="14FCB27B"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0.096</w:t>
            </w:r>
          </w:p>
        </w:tc>
      </w:tr>
      <w:tr w:rsidR="00244248" w:rsidRPr="006F6F16" w14:paraId="5122B806"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6AE16258"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single" w:sz="4" w:space="0" w:color="ED7D31" w:themeColor="accent2"/>
              <w:right w:val="nil"/>
            </w:tcBorders>
            <w:shd w:val="clear" w:color="auto" w:fill="auto"/>
            <w:noWrap/>
            <w:vAlign w:val="bottom"/>
            <w:hideMark/>
          </w:tcPr>
          <w:p w14:paraId="6386A767"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(0.354)</w:t>
            </w:r>
          </w:p>
        </w:tc>
        <w:tc>
          <w:tcPr>
            <w:tcW w:w="1134" w:type="dxa"/>
            <w:tcBorders>
              <w:top w:val="nil"/>
              <w:left w:val="nil"/>
              <w:bottom w:val="single" w:sz="4" w:space="0" w:color="ED7D31" w:themeColor="accent2"/>
              <w:right w:val="nil"/>
            </w:tcBorders>
            <w:shd w:val="clear" w:color="auto" w:fill="auto"/>
            <w:noWrap/>
            <w:vAlign w:val="bottom"/>
            <w:hideMark/>
          </w:tcPr>
          <w:p w14:paraId="3FD107BD"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(0.231)</w:t>
            </w:r>
          </w:p>
        </w:tc>
      </w:tr>
      <w:tr w:rsidR="00244248" w:rsidRPr="006F6F16" w14:paraId="33E681C8" w14:textId="77777777" w:rsidTr="001411BE">
        <w:trPr>
          <w:trHeight w:hRule="exact" w:val="227"/>
        </w:trPr>
        <w:tc>
          <w:tcPr>
            <w:tcW w:w="3560" w:type="dxa"/>
            <w:tcBorders>
              <w:top w:val="single" w:sz="4" w:space="0" w:color="ED7D31" w:themeColor="accent2"/>
              <w:left w:val="nil"/>
              <w:bottom w:val="nil"/>
              <w:right w:val="nil"/>
            </w:tcBorders>
            <w:shd w:val="clear" w:color="auto" w:fill="auto"/>
            <w:noWrap/>
            <w:vAlign w:val="bottom"/>
            <w:hideMark/>
          </w:tcPr>
          <w:p w14:paraId="3BFA9A44"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Sex</w:t>
            </w:r>
            <w:r w:rsidRPr="006F6F16">
              <w:rPr>
                <w:rFonts w:asciiTheme="majorHAnsi" w:eastAsia="Times New Roman" w:hAnsiTheme="majorHAnsi" w:cstheme="majorHAnsi"/>
                <w:color w:val="000000"/>
                <w:sz w:val="20"/>
                <w:szCs w:val="20"/>
                <w:lang w:eastAsia="en-AU"/>
              </w:rPr>
              <w:t xml:space="preserve"> (ref: male)</w:t>
            </w:r>
          </w:p>
        </w:tc>
        <w:tc>
          <w:tcPr>
            <w:tcW w:w="1118" w:type="dxa"/>
            <w:tcBorders>
              <w:top w:val="single" w:sz="4" w:space="0" w:color="ED7D31" w:themeColor="accent2"/>
              <w:left w:val="nil"/>
              <w:bottom w:val="nil"/>
              <w:right w:val="nil"/>
            </w:tcBorders>
            <w:shd w:val="clear" w:color="auto" w:fill="auto"/>
            <w:noWrap/>
            <w:vAlign w:val="bottom"/>
            <w:hideMark/>
          </w:tcPr>
          <w:p w14:paraId="17FD059C"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60CD0285" w14:textId="77777777" w:rsidR="00244248" w:rsidRPr="006F6F16" w:rsidRDefault="00244248" w:rsidP="00335B25">
            <w:pPr>
              <w:rPr>
                <w:rFonts w:asciiTheme="majorHAnsi" w:eastAsia="Times New Roman" w:hAnsiTheme="majorHAnsi" w:cstheme="majorHAnsi"/>
                <w:sz w:val="20"/>
                <w:szCs w:val="20"/>
                <w:lang w:eastAsia="en-AU"/>
              </w:rPr>
            </w:pPr>
          </w:p>
        </w:tc>
      </w:tr>
      <w:tr w:rsidR="00244248" w:rsidRPr="006F6F16" w14:paraId="35BE7483" w14:textId="77777777" w:rsidTr="001411BE">
        <w:trPr>
          <w:trHeight w:hRule="exact" w:val="227"/>
        </w:trPr>
        <w:tc>
          <w:tcPr>
            <w:tcW w:w="3560" w:type="dxa"/>
            <w:tcBorders>
              <w:top w:val="nil"/>
              <w:left w:val="nil"/>
              <w:right w:val="nil"/>
            </w:tcBorders>
            <w:shd w:val="clear" w:color="auto" w:fill="auto"/>
            <w:noWrap/>
            <w:vAlign w:val="bottom"/>
            <w:hideMark/>
          </w:tcPr>
          <w:p w14:paraId="2D0DAADA"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Female</w:t>
            </w:r>
          </w:p>
        </w:tc>
        <w:tc>
          <w:tcPr>
            <w:tcW w:w="1118" w:type="dxa"/>
            <w:tcBorders>
              <w:top w:val="nil"/>
              <w:left w:val="nil"/>
              <w:right w:val="nil"/>
            </w:tcBorders>
            <w:shd w:val="clear" w:color="auto" w:fill="auto"/>
            <w:noWrap/>
            <w:vAlign w:val="bottom"/>
            <w:hideMark/>
          </w:tcPr>
          <w:p w14:paraId="006034D5"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-0.145</w:t>
            </w:r>
          </w:p>
        </w:tc>
        <w:tc>
          <w:tcPr>
            <w:tcW w:w="1134" w:type="dxa"/>
            <w:tcBorders>
              <w:top w:val="nil"/>
              <w:left w:val="nil"/>
              <w:right w:val="nil"/>
            </w:tcBorders>
            <w:shd w:val="clear" w:color="auto" w:fill="auto"/>
            <w:noWrap/>
            <w:vAlign w:val="bottom"/>
            <w:hideMark/>
          </w:tcPr>
          <w:p w14:paraId="05D7755F"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0.028</w:t>
            </w:r>
          </w:p>
        </w:tc>
      </w:tr>
      <w:tr w:rsidR="00244248" w:rsidRPr="006F6F16" w14:paraId="1EC888D0"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668893E0"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single" w:sz="4" w:space="0" w:color="ED7D31" w:themeColor="accent2"/>
              <w:right w:val="nil"/>
            </w:tcBorders>
            <w:shd w:val="clear" w:color="auto" w:fill="auto"/>
            <w:noWrap/>
            <w:vAlign w:val="bottom"/>
            <w:hideMark/>
          </w:tcPr>
          <w:p w14:paraId="209DDA9C"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(0.290)</w:t>
            </w:r>
          </w:p>
        </w:tc>
        <w:tc>
          <w:tcPr>
            <w:tcW w:w="1134" w:type="dxa"/>
            <w:tcBorders>
              <w:top w:val="nil"/>
              <w:left w:val="nil"/>
              <w:bottom w:val="single" w:sz="4" w:space="0" w:color="ED7D31" w:themeColor="accent2"/>
              <w:right w:val="nil"/>
            </w:tcBorders>
            <w:shd w:val="clear" w:color="auto" w:fill="auto"/>
            <w:noWrap/>
            <w:vAlign w:val="bottom"/>
            <w:hideMark/>
          </w:tcPr>
          <w:p w14:paraId="62D84B2A"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(0.171)</w:t>
            </w:r>
          </w:p>
        </w:tc>
      </w:tr>
      <w:tr w:rsidR="00244248" w:rsidRPr="006F6F16" w14:paraId="79B050EA" w14:textId="77777777" w:rsidTr="001411BE">
        <w:trPr>
          <w:trHeight w:hRule="exact" w:val="227"/>
        </w:trPr>
        <w:tc>
          <w:tcPr>
            <w:tcW w:w="3560" w:type="dxa"/>
            <w:tcBorders>
              <w:top w:val="single" w:sz="4" w:space="0" w:color="ED7D31" w:themeColor="accent2"/>
              <w:left w:val="nil"/>
              <w:bottom w:val="nil"/>
              <w:right w:val="nil"/>
            </w:tcBorders>
            <w:shd w:val="clear" w:color="auto" w:fill="auto"/>
            <w:noWrap/>
            <w:vAlign w:val="bottom"/>
            <w:hideMark/>
          </w:tcPr>
          <w:p w14:paraId="0E356563"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Employed</w:t>
            </w:r>
            <w:r w:rsidRPr="006F6F16">
              <w:rPr>
                <w:rFonts w:asciiTheme="majorHAnsi" w:eastAsia="Times New Roman" w:hAnsiTheme="majorHAnsi" w:cstheme="majorHAnsi"/>
                <w:color w:val="000000"/>
                <w:sz w:val="20"/>
                <w:szCs w:val="20"/>
                <w:lang w:eastAsia="en-AU"/>
              </w:rPr>
              <w:t xml:space="preserve"> (ref: </w:t>
            </w:r>
            <w:r>
              <w:rPr>
                <w:rFonts w:asciiTheme="majorHAnsi" w:eastAsia="Times New Roman" w:hAnsiTheme="majorHAnsi" w:cstheme="majorHAnsi"/>
                <w:color w:val="000000"/>
                <w:sz w:val="20"/>
                <w:szCs w:val="20"/>
                <w:lang w:eastAsia="en-AU"/>
              </w:rPr>
              <w:t>N</w:t>
            </w:r>
            <w:r w:rsidRPr="006F6F16">
              <w:rPr>
                <w:rFonts w:asciiTheme="majorHAnsi" w:eastAsia="Times New Roman" w:hAnsiTheme="majorHAnsi" w:cstheme="majorHAnsi"/>
                <w:color w:val="000000"/>
                <w:sz w:val="20"/>
                <w:szCs w:val="20"/>
                <w:lang w:eastAsia="en-AU"/>
              </w:rPr>
              <w:t>o)</w:t>
            </w:r>
          </w:p>
        </w:tc>
        <w:tc>
          <w:tcPr>
            <w:tcW w:w="1118" w:type="dxa"/>
            <w:tcBorders>
              <w:top w:val="single" w:sz="4" w:space="0" w:color="ED7D31" w:themeColor="accent2"/>
              <w:left w:val="nil"/>
              <w:bottom w:val="nil"/>
              <w:right w:val="nil"/>
            </w:tcBorders>
            <w:shd w:val="clear" w:color="auto" w:fill="auto"/>
            <w:noWrap/>
            <w:vAlign w:val="bottom"/>
            <w:hideMark/>
          </w:tcPr>
          <w:p w14:paraId="317F47EE"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7AF73B71" w14:textId="77777777" w:rsidR="00244248" w:rsidRPr="006F6F16" w:rsidRDefault="00244248" w:rsidP="00335B25">
            <w:pPr>
              <w:rPr>
                <w:rFonts w:asciiTheme="majorHAnsi" w:eastAsia="Times New Roman" w:hAnsiTheme="majorHAnsi" w:cstheme="majorHAnsi"/>
                <w:sz w:val="20"/>
                <w:szCs w:val="20"/>
                <w:lang w:eastAsia="en-AU"/>
              </w:rPr>
            </w:pPr>
          </w:p>
        </w:tc>
      </w:tr>
      <w:tr w:rsidR="00244248" w:rsidRPr="006F6F16" w14:paraId="459D430C" w14:textId="77777777" w:rsidTr="001411BE">
        <w:trPr>
          <w:trHeight w:hRule="exact" w:val="227"/>
        </w:trPr>
        <w:tc>
          <w:tcPr>
            <w:tcW w:w="3560" w:type="dxa"/>
            <w:tcBorders>
              <w:top w:val="nil"/>
              <w:left w:val="nil"/>
              <w:right w:val="nil"/>
            </w:tcBorders>
            <w:shd w:val="clear" w:color="auto" w:fill="auto"/>
            <w:noWrap/>
            <w:vAlign w:val="bottom"/>
            <w:hideMark/>
          </w:tcPr>
          <w:p w14:paraId="7C1D0C60"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Yes</w:t>
            </w:r>
          </w:p>
        </w:tc>
        <w:tc>
          <w:tcPr>
            <w:tcW w:w="1118" w:type="dxa"/>
            <w:tcBorders>
              <w:top w:val="nil"/>
              <w:left w:val="nil"/>
              <w:right w:val="nil"/>
            </w:tcBorders>
            <w:shd w:val="clear" w:color="auto" w:fill="auto"/>
            <w:noWrap/>
            <w:vAlign w:val="bottom"/>
            <w:hideMark/>
          </w:tcPr>
          <w:p w14:paraId="0170CA52"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-0.220</w:t>
            </w:r>
          </w:p>
        </w:tc>
        <w:tc>
          <w:tcPr>
            <w:tcW w:w="1134" w:type="dxa"/>
            <w:tcBorders>
              <w:top w:val="nil"/>
              <w:left w:val="nil"/>
              <w:right w:val="nil"/>
            </w:tcBorders>
            <w:shd w:val="clear" w:color="auto" w:fill="auto"/>
            <w:noWrap/>
            <w:vAlign w:val="bottom"/>
            <w:hideMark/>
          </w:tcPr>
          <w:p w14:paraId="5F0E609D"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0.001</w:t>
            </w:r>
          </w:p>
        </w:tc>
      </w:tr>
      <w:tr w:rsidR="00244248" w:rsidRPr="006F6F16" w14:paraId="7FA4BA4B"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3D220AC3"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single" w:sz="4" w:space="0" w:color="ED7D31" w:themeColor="accent2"/>
              <w:right w:val="nil"/>
            </w:tcBorders>
            <w:shd w:val="clear" w:color="auto" w:fill="auto"/>
            <w:noWrap/>
            <w:vAlign w:val="bottom"/>
            <w:hideMark/>
          </w:tcPr>
          <w:p w14:paraId="5E03A7CA"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(0.336)</w:t>
            </w:r>
          </w:p>
        </w:tc>
        <w:tc>
          <w:tcPr>
            <w:tcW w:w="1134" w:type="dxa"/>
            <w:tcBorders>
              <w:top w:val="nil"/>
              <w:left w:val="nil"/>
              <w:bottom w:val="single" w:sz="4" w:space="0" w:color="ED7D31" w:themeColor="accent2"/>
              <w:right w:val="nil"/>
            </w:tcBorders>
            <w:shd w:val="clear" w:color="auto" w:fill="auto"/>
            <w:noWrap/>
            <w:vAlign w:val="bottom"/>
            <w:hideMark/>
          </w:tcPr>
          <w:p w14:paraId="4D48DF20"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(0.219)</w:t>
            </w:r>
          </w:p>
        </w:tc>
      </w:tr>
      <w:tr w:rsidR="00244248" w:rsidRPr="006F6F16" w14:paraId="3174D28B" w14:textId="77777777" w:rsidTr="001411BE">
        <w:trPr>
          <w:trHeight w:hRule="exact" w:val="227"/>
        </w:trPr>
        <w:tc>
          <w:tcPr>
            <w:tcW w:w="3560" w:type="dxa"/>
            <w:tcBorders>
              <w:top w:val="single" w:sz="4" w:space="0" w:color="ED7D31" w:themeColor="accent2"/>
              <w:left w:val="nil"/>
              <w:bottom w:val="nil"/>
              <w:right w:val="nil"/>
            </w:tcBorders>
            <w:shd w:val="clear" w:color="auto" w:fill="auto"/>
            <w:noWrap/>
            <w:vAlign w:val="bottom"/>
            <w:hideMark/>
          </w:tcPr>
          <w:p w14:paraId="6D8BD01F"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In a relationship</w:t>
            </w:r>
            <w:r w:rsidRPr="006F6F16">
              <w:rPr>
                <w:rFonts w:asciiTheme="majorHAnsi" w:eastAsia="Times New Roman" w:hAnsiTheme="majorHAnsi" w:cstheme="majorHAnsi"/>
                <w:color w:val="000000"/>
                <w:sz w:val="20"/>
                <w:szCs w:val="20"/>
                <w:lang w:eastAsia="en-AU"/>
              </w:rPr>
              <w:t xml:space="preserve"> (ref: </w:t>
            </w:r>
            <w:r>
              <w:rPr>
                <w:rFonts w:asciiTheme="majorHAnsi" w:eastAsia="Times New Roman" w:hAnsiTheme="majorHAnsi" w:cstheme="majorHAnsi"/>
                <w:color w:val="000000"/>
                <w:sz w:val="20"/>
                <w:szCs w:val="20"/>
                <w:lang w:eastAsia="en-AU"/>
              </w:rPr>
              <w:t>N</w:t>
            </w:r>
            <w:r w:rsidRPr="006F6F16">
              <w:rPr>
                <w:rFonts w:asciiTheme="majorHAnsi" w:eastAsia="Times New Roman" w:hAnsiTheme="majorHAnsi" w:cstheme="majorHAnsi"/>
                <w:color w:val="000000"/>
                <w:sz w:val="20"/>
                <w:szCs w:val="20"/>
                <w:lang w:eastAsia="en-AU"/>
              </w:rPr>
              <w:t>o)</w:t>
            </w:r>
          </w:p>
        </w:tc>
        <w:tc>
          <w:tcPr>
            <w:tcW w:w="1118" w:type="dxa"/>
            <w:tcBorders>
              <w:top w:val="single" w:sz="4" w:space="0" w:color="ED7D31" w:themeColor="accent2"/>
              <w:left w:val="nil"/>
              <w:bottom w:val="nil"/>
              <w:right w:val="nil"/>
            </w:tcBorders>
            <w:shd w:val="clear" w:color="auto" w:fill="auto"/>
            <w:noWrap/>
            <w:vAlign w:val="bottom"/>
            <w:hideMark/>
          </w:tcPr>
          <w:p w14:paraId="27BC1F49"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77090E41" w14:textId="77777777" w:rsidR="00244248" w:rsidRPr="006F6F16" w:rsidRDefault="00244248" w:rsidP="00335B25">
            <w:pPr>
              <w:rPr>
                <w:rFonts w:asciiTheme="majorHAnsi" w:eastAsia="Times New Roman" w:hAnsiTheme="majorHAnsi" w:cstheme="majorHAnsi"/>
                <w:sz w:val="20"/>
                <w:szCs w:val="20"/>
                <w:lang w:eastAsia="en-AU"/>
              </w:rPr>
            </w:pPr>
          </w:p>
        </w:tc>
      </w:tr>
      <w:tr w:rsidR="00244248" w:rsidRPr="006F6F16" w14:paraId="1278A676" w14:textId="77777777" w:rsidTr="001411BE">
        <w:trPr>
          <w:trHeight w:hRule="exact" w:val="227"/>
        </w:trPr>
        <w:tc>
          <w:tcPr>
            <w:tcW w:w="3560" w:type="dxa"/>
            <w:tcBorders>
              <w:top w:val="nil"/>
              <w:left w:val="nil"/>
              <w:right w:val="nil"/>
            </w:tcBorders>
            <w:shd w:val="clear" w:color="auto" w:fill="auto"/>
            <w:noWrap/>
            <w:vAlign w:val="bottom"/>
            <w:hideMark/>
          </w:tcPr>
          <w:p w14:paraId="69BDECF2"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Yes</w:t>
            </w:r>
          </w:p>
        </w:tc>
        <w:tc>
          <w:tcPr>
            <w:tcW w:w="1118" w:type="dxa"/>
            <w:tcBorders>
              <w:top w:val="nil"/>
              <w:left w:val="nil"/>
              <w:right w:val="nil"/>
            </w:tcBorders>
            <w:shd w:val="clear" w:color="auto" w:fill="auto"/>
            <w:noWrap/>
            <w:vAlign w:val="bottom"/>
            <w:hideMark/>
          </w:tcPr>
          <w:p w14:paraId="3637E093"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-0.002</w:t>
            </w:r>
          </w:p>
        </w:tc>
        <w:tc>
          <w:tcPr>
            <w:tcW w:w="1134" w:type="dxa"/>
            <w:tcBorders>
              <w:top w:val="nil"/>
              <w:left w:val="nil"/>
              <w:right w:val="nil"/>
            </w:tcBorders>
            <w:shd w:val="clear" w:color="auto" w:fill="auto"/>
            <w:noWrap/>
            <w:vAlign w:val="bottom"/>
            <w:hideMark/>
          </w:tcPr>
          <w:p w14:paraId="18AF2705"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-0.384*</w:t>
            </w:r>
          </w:p>
        </w:tc>
      </w:tr>
      <w:tr w:rsidR="00244248" w:rsidRPr="006F6F16" w14:paraId="05D96A27"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3996C6D2"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single" w:sz="4" w:space="0" w:color="ED7D31" w:themeColor="accent2"/>
              <w:right w:val="nil"/>
            </w:tcBorders>
            <w:shd w:val="clear" w:color="auto" w:fill="auto"/>
            <w:noWrap/>
            <w:vAlign w:val="bottom"/>
            <w:hideMark/>
          </w:tcPr>
          <w:p w14:paraId="68564AD7"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(0.303)</w:t>
            </w:r>
          </w:p>
        </w:tc>
        <w:tc>
          <w:tcPr>
            <w:tcW w:w="1134" w:type="dxa"/>
            <w:tcBorders>
              <w:top w:val="nil"/>
              <w:left w:val="nil"/>
              <w:bottom w:val="single" w:sz="4" w:space="0" w:color="ED7D31" w:themeColor="accent2"/>
              <w:right w:val="nil"/>
            </w:tcBorders>
            <w:shd w:val="clear" w:color="auto" w:fill="auto"/>
            <w:noWrap/>
            <w:vAlign w:val="bottom"/>
            <w:hideMark/>
          </w:tcPr>
          <w:p w14:paraId="5182112A"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(0.211)</w:t>
            </w:r>
          </w:p>
        </w:tc>
      </w:tr>
      <w:tr w:rsidR="00244248" w:rsidRPr="006F6F16" w14:paraId="34DAEF2E" w14:textId="77777777" w:rsidTr="001411BE">
        <w:trPr>
          <w:trHeight w:hRule="exact" w:val="227"/>
        </w:trPr>
        <w:tc>
          <w:tcPr>
            <w:tcW w:w="4678" w:type="dxa"/>
            <w:gridSpan w:val="2"/>
            <w:tcBorders>
              <w:top w:val="single" w:sz="4" w:space="0" w:color="ED7D31" w:themeColor="accent2"/>
              <w:left w:val="nil"/>
              <w:bottom w:val="nil"/>
              <w:right w:val="nil"/>
            </w:tcBorders>
            <w:shd w:val="clear" w:color="auto" w:fill="auto"/>
            <w:noWrap/>
            <w:vAlign w:val="bottom"/>
            <w:hideMark/>
          </w:tcPr>
          <w:p w14:paraId="00CA113F"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Geographic location</w:t>
            </w:r>
            <w:r w:rsidRPr="006F6F16">
              <w:rPr>
                <w:rFonts w:asciiTheme="majorHAnsi" w:eastAsia="Times New Roman" w:hAnsiTheme="majorHAnsi" w:cstheme="majorHAnsi"/>
                <w:color w:val="000000"/>
                <w:sz w:val="20"/>
                <w:szCs w:val="20"/>
                <w:lang w:eastAsia="en-AU"/>
              </w:rPr>
              <w:t xml:space="preserve"> (ref: Greater Sydney)</w:t>
            </w:r>
          </w:p>
        </w:tc>
        <w:tc>
          <w:tcPr>
            <w:tcW w:w="1134" w:type="dxa"/>
            <w:tcBorders>
              <w:top w:val="single" w:sz="4" w:space="0" w:color="ED7D31" w:themeColor="accent2"/>
              <w:left w:val="nil"/>
              <w:bottom w:val="nil"/>
              <w:right w:val="nil"/>
            </w:tcBorders>
            <w:shd w:val="clear" w:color="auto" w:fill="auto"/>
            <w:noWrap/>
            <w:vAlign w:val="bottom"/>
            <w:hideMark/>
          </w:tcPr>
          <w:p w14:paraId="63043E67" w14:textId="77777777" w:rsidR="00244248" w:rsidRPr="006F6F16" w:rsidRDefault="00244248" w:rsidP="00335B25">
            <w:pPr>
              <w:rPr>
                <w:rFonts w:asciiTheme="majorHAnsi" w:eastAsia="Times New Roman" w:hAnsiTheme="majorHAnsi" w:cstheme="majorHAnsi"/>
                <w:color w:val="000000"/>
                <w:sz w:val="20"/>
                <w:szCs w:val="20"/>
                <w:lang w:eastAsia="en-AU"/>
              </w:rPr>
            </w:pPr>
          </w:p>
        </w:tc>
      </w:tr>
      <w:tr w:rsidR="00244248" w:rsidRPr="006F6F16" w14:paraId="09DD63CD" w14:textId="77777777" w:rsidTr="001411BE">
        <w:trPr>
          <w:trHeight w:hRule="exact" w:val="227"/>
        </w:trPr>
        <w:tc>
          <w:tcPr>
            <w:tcW w:w="3560" w:type="dxa"/>
            <w:tcBorders>
              <w:top w:val="nil"/>
              <w:left w:val="nil"/>
              <w:bottom w:val="nil"/>
              <w:right w:val="nil"/>
            </w:tcBorders>
            <w:shd w:val="clear" w:color="auto" w:fill="auto"/>
            <w:noWrap/>
            <w:vAlign w:val="bottom"/>
            <w:hideMark/>
          </w:tcPr>
          <w:p w14:paraId="4E167D05"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Rest of NSW</w:t>
            </w:r>
          </w:p>
        </w:tc>
        <w:tc>
          <w:tcPr>
            <w:tcW w:w="1118" w:type="dxa"/>
            <w:tcBorders>
              <w:top w:val="nil"/>
              <w:left w:val="nil"/>
              <w:bottom w:val="nil"/>
              <w:right w:val="nil"/>
            </w:tcBorders>
            <w:shd w:val="clear" w:color="auto" w:fill="auto"/>
            <w:noWrap/>
            <w:vAlign w:val="bottom"/>
            <w:hideMark/>
          </w:tcPr>
          <w:p w14:paraId="4FC70354"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-0.193</w:t>
            </w:r>
          </w:p>
        </w:tc>
        <w:tc>
          <w:tcPr>
            <w:tcW w:w="1134" w:type="dxa"/>
            <w:tcBorders>
              <w:top w:val="nil"/>
              <w:left w:val="nil"/>
              <w:bottom w:val="nil"/>
              <w:right w:val="nil"/>
            </w:tcBorders>
            <w:shd w:val="clear" w:color="auto" w:fill="auto"/>
            <w:noWrap/>
            <w:vAlign w:val="bottom"/>
            <w:hideMark/>
          </w:tcPr>
          <w:p w14:paraId="20D7978B"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-0.707**</w:t>
            </w:r>
          </w:p>
        </w:tc>
      </w:tr>
      <w:tr w:rsidR="00244248" w:rsidRPr="006F6F16" w14:paraId="3D6D8C1E" w14:textId="77777777" w:rsidTr="001411BE">
        <w:trPr>
          <w:trHeight w:hRule="exact" w:val="227"/>
        </w:trPr>
        <w:tc>
          <w:tcPr>
            <w:tcW w:w="3560" w:type="dxa"/>
            <w:tcBorders>
              <w:top w:val="nil"/>
              <w:left w:val="nil"/>
              <w:bottom w:val="nil"/>
              <w:right w:val="nil"/>
            </w:tcBorders>
            <w:shd w:val="clear" w:color="auto" w:fill="auto"/>
            <w:noWrap/>
            <w:vAlign w:val="bottom"/>
            <w:hideMark/>
          </w:tcPr>
          <w:p w14:paraId="0D4A5AB6"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nil"/>
              <w:right w:val="nil"/>
            </w:tcBorders>
            <w:shd w:val="clear" w:color="auto" w:fill="auto"/>
            <w:noWrap/>
            <w:vAlign w:val="bottom"/>
            <w:hideMark/>
          </w:tcPr>
          <w:p w14:paraId="7886A42C"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(0.651)</w:t>
            </w:r>
          </w:p>
        </w:tc>
        <w:tc>
          <w:tcPr>
            <w:tcW w:w="1134" w:type="dxa"/>
            <w:tcBorders>
              <w:top w:val="nil"/>
              <w:left w:val="nil"/>
              <w:bottom w:val="nil"/>
              <w:right w:val="nil"/>
            </w:tcBorders>
            <w:shd w:val="clear" w:color="auto" w:fill="auto"/>
            <w:noWrap/>
            <w:vAlign w:val="bottom"/>
            <w:hideMark/>
          </w:tcPr>
          <w:p w14:paraId="605524B1"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(0.346)</w:t>
            </w:r>
          </w:p>
        </w:tc>
      </w:tr>
      <w:tr w:rsidR="00244248" w:rsidRPr="006F6F16" w14:paraId="0FF7D22C" w14:textId="77777777" w:rsidTr="001411BE">
        <w:trPr>
          <w:trHeight w:hRule="exact" w:val="227"/>
        </w:trPr>
        <w:tc>
          <w:tcPr>
            <w:tcW w:w="3560" w:type="dxa"/>
            <w:tcBorders>
              <w:top w:val="nil"/>
              <w:left w:val="nil"/>
              <w:bottom w:val="nil"/>
              <w:right w:val="nil"/>
            </w:tcBorders>
            <w:shd w:val="clear" w:color="auto" w:fill="auto"/>
            <w:noWrap/>
            <w:vAlign w:val="bottom"/>
            <w:hideMark/>
          </w:tcPr>
          <w:p w14:paraId="2EA5315E"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Melbourne</w:t>
            </w:r>
          </w:p>
        </w:tc>
        <w:tc>
          <w:tcPr>
            <w:tcW w:w="1118" w:type="dxa"/>
            <w:tcBorders>
              <w:top w:val="nil"/>
              <w:left w:val="nil"/>
              <w:bottom w:val="nil"/>
              <w:right w:val="nil"/>
            </w:tcBorders>
            <w:shd w:val="clear" w:color="auto" w:fill="auto"/>
            <w:noWrap/>
            <w:vAlign w:val="bottom"/>
            <w:hideMark/>
          </w:tcPr>
          <w:p w14:paraId="1263AE28"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0.445</w:t>
            </w:r>
          </w:p>
        </w:tc>
        <w:tc>
          <w:tcPr>
            <w:tcW w:w="1134" w:type="dxa"/>
            <w:tcBorders>
              <w:top w:val="nil"/>
              <w:left w:val="nil"/>
              <w:bottom w:val="nil"/>
              <w:right w:val="nil"/>
            </w:tcBorders>
            <w:shd w:val="clear" w:color="auto" w:fill="auto"/>
            <w:noWrap/>
            <w:vAlign w:val="bottom"/>
            <w:hideMark/>
          </w:tcPr>
          <w:p w14:paraId="151CE131"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-0.403</w:t>
            </w:r>
          </w:p>
        </w:tc>
      </w:tr>
      <w:tr w:rsidR="00244248" w:rsidRPr="006F6F16" w14:paraId="1A826E5F" w14:textId="77777777" w:rsidTr="001411BE">
        <w:trPr>
          <w:trHeight w:hRule="exact" w:val="227"/>
        </w:trPr>
        <w:tc>
          <w:tcPr>
            <w:tcW w:w="3560" w:type="dxa"/>
            <w:tcBorders>
              <w:top w:val="nil"/>
              <w:left w:val="nil"/>
              <w:bottom w:val="nil"/>
              <w:right w:val="nil"/>
            </w:tcBorders>
            <w:shd w:val="clear" w:color="auto" w:fill="auto"/>
            <w:noWrap/>
            <w:vAlign w:val="bottom"/>
            <w:hideMark/>
          </w:tcPr>
          <w:p w14:paraId="31468C65"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nil"/>
              <w:right w:val="nil"/>
            </w:tcBorders>
            <w:shd w:val="clear" w:color="auto" w:fill="auto"/>
            <w:noWrap/>
            <w:vAlign w:val="bottom"/>
            <w:hideMark/>
          </w:tcPr>
          <w:p w14:paraId="7A84D12F"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(0.436)</w:t>
            </w:r>
          </w:p>
        </w:tc>
        <w:tc>
          <w:tcPr>
            <w:tcW w:w="1134" w:type="dxa"/>
            <w:tcBorders>
              <w:top w:val="nil"/>
              <w:left w:val="nil"/>
              <w:bottom w:val="nil"/>
              <w:right w:val="nil"/>
            </w:tcBorders>
            <w:shd w:val="clear" w:color="auto" w:fill="auto"/>
            <w:noWrap/>
            <w:vAlign w:val="bottom"/>
            <w:hideMark/>
          </w:tcPr>
          <w:p w14:paraId="5459F7C0"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(0.252)</w:t>
            </w:r>
          </w:p>
        </w:tc>
      </w:tr>
      <w:tr w:rsidR="00244248" w:rsidRPr="006F6F16" w14:paraId="53711E64" w14:textId="77777777" w:rsidTr="001411BE">
        <w:trPr>
          <w:trHeight w:hRule="exact" w:val="227"/>
        </w:trPr>
        <w:tc>
          <w:tcPr>
            <w:tcW w:w="3560" w:type="dxa"/>
            <w:tcBorders>
              <w:top w:val="nil"/>
              <w:left w:val="nil"/>
              <w:bottom w:val="nil"/>
              <w:right w:val="nil"/>
            </w:tcBorders>
            <w:shd w:val="clear" w:color="auto" w:fill="auto"/>
            <w:noWrap/>
            <w:vAlign w:val="bottom"/>
            <w:hideMark/>
          </w:tcPr>
          <w:p w14:paraId="18D10263"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Rest of VIC</w:t>
            </w:r>
          </w:p>
        </w:tc>
        <w:tc>
          <w:tcPr>
            <w:tcW w:w="1118" w:type="dxa"/>
            <w:tcBorders>
              <w:top w:val="nil"/>
              <w:left w:val="nil"/>
              <w:bottom w:val="nil"/>
              <w:right w:val="nil"/>
            </w:tcBorders>
            <w:shd w:val="clear" w:color="auto" w:fill="auto"/>
            <w:noWrap/>
            <w:vAlign w:val="bottom"/>
            <w:hideMark/>
          </w:tcPr>
          <w:p w14:paraId="25555B92"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0.373</w:t>
            </w:r>
          </w:p>
        </w:tc>
        <w:tc>
          <w:tcPr>
            <w:tcW w:w="1134" w:type="dxa"/>
            <w:tcBorders>
              <w:top w:val="nil"/>
              <w:left w:val="nil"/>
              <w:bottom w:val="nil"/>
              <w:right w:val="nil"/>
            </w:tcBorders>
            <w:shd w:val="clear" w:color="auto" w:fill="auto"/>
            <w:noWrap/>
            <w:vAlign w:val="bottom"/>
            <w:hideMark/>
          </w:tcPr>
          <w:p w14:paraId="56A6AE14"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0.299</w:t>
            </w:r>
          </w:p>
        </w:tc>
      </w:tr>
      <w:tr w:rsidR="00244248" w:rsidRPr="006F6F16" w14:paraId="7DC12003" w14:textId="77777777" w:rsidTr="001411BE">
        <w:trPr>
          <w:trHeight w:hRule="exact" w:val="227"/>
        </w:trPr>
        <w:tc>
          <w:tcPr>
            <w:tcW w:w="3560" w:type="dxa"/>
            <w:tcBorders>
              <w:top w:val="nil"/>
              <w:left w:val="nil"/>
              <w:bottom w:val="nil"/>
              <w:right w:val="nil"/>
            </w:tcBorders>
            <w:shd w:val="clear" w:color="auto" w:fill="auto"/>
            <w:noWrap/>
            <w:vAlign w:val="bottom"/>
            <w:hideMark/>
          </w:tcPr>
          <w:p w14:paraId="35A7B619"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nil"/>
              <w:right w:val="nil"/>
            </w:tcBorders>
            <w:shd w:val="clear" w:color="auto" w:fill="auto"/>
            <w:noWrap/>
            <w:vAlign w:val="bottom"/>
            <w:hideMark/>
          </w:tcPr>
          <w:p w14:paraId="7E01B9C4"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(0.785)</w:t>
            </w:r>
          </w:p>
        </w:tc>
        <w:tc>
          <w:tcPr>
            <w:tcW w:w="1134" w:type="dxa"/>
            <w:tcBorders>
              <w:top w:val="nil"/>
              <w:left w:val="nil"/>
              <w:bottom w:val="nil"/>
              <w:right w:val="nil"/>
            </w:tcBorders>
            <w:shd w:val="clear" w:color="auto" w:fill="auto"/>
            <w:noWrap/>
            <w:vAlign w:val="bottom"/>
            <w:hideMark/>
          </w:tcPr>
          <w:p w14:paraId="2340887E"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(0.379)</w:t>
            </w:r>
          </w:p>
        </w:tc>
      </w:tr>
      <w:tr w:rsidR="00244248" w:rsidRPr="006F6F16" w14:paraId="18DDDED1" w14:textId="77777777" w:rsidTr="001411BE">
        <w:trPr>
          <w:trHeight w:hRule="exact" w:val="227"/>
        </w:trPr>
        <w:tc>
          <w:tcPr>
            <w:tcW w:w="3560" w:type="dxa"/>
            <w:tcBorders>
              <w:top w:val="nil"/>
              <w:left w:val="nil"/>
              <w:bottom w:val="nil"/>
              <w:right w:val="nil"/>
            </w:tcBorders>
            <w:shd w:val="clear" w:color="auto" w:fill="auto"/>
            <w:noWrap/>
            <w:vAlign w:val="bottom"/>
            <w:hideMark/>
          </w:tcPr>
          <w:p w14:paraId="74F615E9"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Other capital cities</w:t>
            </w:r>
          </w:p>
        </w:tc>
        <w:tc>
          <w:tcPr>
            <w:tcW w:w="1118" w:type="dxa"/>
            <w:tcBorders>
              <w:top w:val="nil"/>
              <w:left w:val="nil"/>
              <w:bottom w:val="nil"/>
              <w:right w:val="nil"/>
            </w:tcBorders>
            <w:shd w:val="clear" w:color="auto" w:fill="auto"/>
            <w:noWrap/>
            <w:vAlign w:val="bottom"/>
            <w:hideMark/>
          </w:tcPr>
          <w:p w14:paraId="1FB3918B"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0.051</w:t>
            </w:r>
          </w:p>
        </w:tc>
        <w:tc>
          <w:tcPr>
            <w:tcW w:w="1134" w:type="dxa"/>
            <w:tcBorders>
              <w:top w:val="nil"/>
              <w:left w:val="nil"/>
              <w:bottom w:val="nil"/>
              <w:right w:val="nil"/>
            </w:tcBorders>
            <w:shd w:val="clear" w:color="auto" w:fill="auto"/>
            <w:noWrap/>
            <w:vAlign w:val="bottom"/>
            <w:hideMark/>
          </w:tcPr>
          <w:p w14:paraId="46E34BC0"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-0.647***</w:t>
            </w:r>
          </w:p>
        </w:tc>
      </w:tr>
      <w:tr w:rsidR="00244248" w:rsidRPr="006F6F16" w14:paraId="0C484F29" w14:textId="77777777" w:rsidTr="001411BE">
        <w:trPr>
          <w:trHeight w:hRule="exact" w:val="227"/>
        </w:trPr>
        <w:tc>
          <w:tcPr>
            <w:tcW w:w="3560" w:type="dxa"/>
            <w:tcBorders>
              <w:top w:val="nil"/>
              <w:left w:val="nil"/>
              <w:bottom w:val="nil"/>
              <w:right w:val="nil"/>
            </w:tcBorders>
            <w:shd w:val="clear" w:color="auto" w:fill="auto"/>
            <w:noWrap/>
            <w:vAlign w:val="bottom"/>
            <w:hideMark/>
          </w:tcPr>
          <w:p w14:paraId="12B9B824"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nil"/>
              <w:right w:val="nil"/>
            </w:tcBorders>
            <w:shd w:val="clear" w:color="auto" w:fill="auto"/>
            <w:noWrap/>
            <w:vAlign w:val="bottom"/>
            <w:hideMark/>
          </w:tcPr>
          <w:p w14:paraId="79DA0A1A"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(0.445)</w:t>
            </w:r>
          </w:p>
        </w:tc>
        <w:tc>
          <w:tcPr>
            <w:tcW w:w="1134" w:type="dxa"/>
            <w:tcBorders>
              <w:top w:val="nil"/>
              <w:left w:val="nil"/>
              <w:bottom w:val="nil"/>
              <w:right w:val="nil"/>
            </w:tcBorders>
            <w:shd w:val="clear" w:color="auto" w:fill="auto"/>
            <w:noWrap/>
            <w:vAlign w:val="bottom"/>
            <w:hideMark/>
          </w:tcPr>
          <w:p w14:paraId="3CC27D28"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(0.232)</w:t>
            </w:r>
          </w:p>
        </w:tc>
      </w:tr>
      <w:tr w:rsidR="00244248" w:rsidRPr="006F6F16" w14:paraId="4099B227" w14:textId="77777777" w:rsidTr="001411BE">
        <w:trPr>
          <w:trHeight w:hRule="exact" w:val="227"/>
        </w:trPr>
        <w:tc>
          <w:tcPr>
            <w:tcW w:w="3560" w:type="dxa"/>
            <w:tcBorders>
              <w:top w:val="nil"/>
              <w:left w:val="nil"/>
              <w:right w:val="nil"/>
            </w:tcBorders>
            <w:shd w:val="clear" w:color="auto" w:fill="auto"/>
            <w:noWrap/>
            <w:vAlign w:val="bottom"/>
            <w:hideMark/>
          </w:tcPr>
          <w:p w14:paraId="4D119363"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 xml:space="preserve">Other </w:t>
            </w:r>
          </w:p>
        </w:tc>
        <w:tc>
          <w:tcPr>
            <w:tcW w:w="1118" w:type="dxa"/>
            <w:tcBorders>
              <w:top w:val="nil"/>
              <w:left w:val="nil"/>
              <w:right w:val="nil"/>
            </w:tcBorders>
            <w:shd w:val="clear" w:color="auto" w:fill="auto"/>
            <w:noWrap/>
            <w:vAlign w:val="bottom"/>
            <w:hideMark/>
          </w:tcPr>
          <w:p w14:paraId="36501F59"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0.438</w:t>
            </w:r>
          </w:p>
        </w:tc>
        <w:tc>
          <w:tcPr>
            <w:tcW w:w="1134" w:type="dxa"/>
            <w:tcBorders>
              <w:top w:val="nil"/>
              <w:left w:val="nil"/>
              <w:right w:val="nil"/>
            </w:tcBorders>
            <w:shd w:val="clear" w:color="auto" w:fill="auto"/>
            <w:noWrap/>
            <w:vAlign w:val="bottom"/>
            <w:hideMark/>
          </w:tcPr>
          <w:p w14:paraId="3ACF5FC4"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-0.475</w:t>
            </w:r>
          </w:p>
        </w:tc>
      </w:tr>
      <w:tr w:rsidR="00244248" w:rsidRPr="006F6F16" w14:paraId="5C7033F8"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635454BD"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single" w:sz="4" w:space="0" w:color="ED7D31" w:themeColor="accent2"/>
              <w:right w:val="nil"/>
            </w:tcBorders>
            <w:shd w:val="clear" w:color="auto" w:fill="auto"/>
            <w:noWrap/>
            <w:vAlign w:val="bottom"/>
            <w:hideMark/>
          </w:tcPr>
          <w:p w14:paraId="3543B6F2"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(0.548)</w:t>
            </w:r>
          </w:p>
        </w:tc>
        <w:tc>
          <w:tcPr>
            <w:tcW w:w="1134" w:type="dxa"/>
            <w:tcBorders>
              <w:top w:val="nil"/>
              <w:left w:val="nil"/>
              <w:bottom w:val="single" w:sz="4" w:space="0" w:color="ED7D31" w:themeColor="accent2"/>
              <w:right w:val="nil"/>
            </w:tcBorders>
            <w:shd w:val="clear" w:color="auto" w:fill="auto"/>
            <w:noWrap/>
            <w:vAlign w:val="bottom"/>
            <w:hideMark/>
          </w:tcPr>
          <w:p w14:paraId="01CE250E"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(0.316)</w:t>
            </w:r>
          </w:p>
        </w:tc>
      </w:tr>
      <w:tr w:rsidR="00244248" w:rsidRPr="006F6F16" w14:paraId="2F714DC2" w14:textId="77777777" w:rsidTr="001411BE">
        <w:trPr>
          <w:trHeight w:hRule="exact" w:val="227"/>
        </w:trPr>
        <w:tc>
          <w:tcPr>
            <w:tcW w:w="4678" w:type="dxa"/>
            <w:gridSpan w:val="2"/>
            <w:tcBorders>
              <w:top w:val="single" w:sz="4" w:space="0" w:color="ED7D31" w:themeColor="accent2"/>
              <w:left w:val="nil"/>
              <w:bottom w:val="nil"/>
              <w:right w:val="nil"/>
            </w:tcBorders>
            <w:shd w:val="clear" w:color="auto" w:fill="auto"/>
            <w:noWrap/>
            <w:vAlign w:val="bottom"/>
            <w:hideMark/>
          </w:tcPr>
          <w:p w14:paraId="57869F8A"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Likelihood of getting COVID</w:t>
            </w:r>
            <w:r>
              <w:rPr>
                <w:rFonts w:asciiTheme="majorHAnsi" w:eastAsia="Times New Roman" w:hAnsiTheme="majorHAnsi" w:cstheme="majorHAnsi"/>
                <w:b/>
                <w:bCs/>
                <w:color w:val="000000"/>
                <w:sz w:val="20"/>
                <w:szCs w:val="20"/>
                <w:lang w:eastAsia="en-AU"/>
              </w:rPr>
              <w:t>-</w:t>
            </w:r>
            <w:r w:rsidRPr="006F6F16">
              <w:rPr>
                <w:rFonts w:asciiTheme="majorHAnsi" w:eastAsia="Times New Roman" w:hAnsiTheme="majorHAnsi" w:cstheme="majorHAnsi"/>
                <w:b/>
                <w:bCs/>
                <w:color w:val="000000"/>
                <w:sz w:val="20"/>
                <w:szCs w:val="20"/>
                <w:lang w:eastAsia="en-AU"/>
              </w:rPr>
              <w:t>19</w:t>
            </w:r>
            <w:r w:rsidRPr="006F6F16">
              <w:rPr>
                <w:rFonts w:asciiTheme="majorHAnsi" w:eastAsia="Times New Roman" w:hAnsiTheme="majorHAnsi" w:cstheme="majorHAnsi"/>
                <w:color w:val="000000"/>
                <w:sz w:val="20"/>
                <w:szCs w:val="20"/>
                <w:lang w:eastAsia="en-AU"/>
              </w:rPr>
              <w:t xml:space="preserve"> (ref: likely)</w:t>
            </w:r>
          </w:p>
        </w:tc>
        <w:tc>
          <w:tcPr>
            <w:tcW w:w="1134" w:type="dxa"/>
            <w:tcBorders>
              <w:top w:val="single" w:sz="4" w:space="0" w:color="ED7D31" w:themeColor="accent2"/>
              <w:left w:val="nil"/>
              <w:bottom w:val="nil"/>
              <w:right w:val="nil"/>
            </w:tcBorders>
            <w:shd w:val="clear" w:color="auto" w:fill="auto"/>
            <w:noWrap/>
            <w:vAlign w:val="bottom"/>
            <w:hideMark/>
          </w:tcPr>
          <w:p w14:paraId="62A357EF" w14:textId="77777777" w:rsidR="00244248" w:rsidRPr="006F6F16" w:rsidRDefault="00244248" w:rsidP="00335B25">
            <w:pPr>
              <w:rPr>
                <w:rFonts w:asciiTheme="majorHAnsi" w:eastAsia="Times New Roman" w:hAnsiTheme="majorHAnsi" w:cstheme="majorHAnsi"/>
                <w:color w:val="000000"/>
                <w:sz w:val="20"/>
                <w:szCs w:val="20"/>
                <w:lang w:eastAsia="en-AU"/>
              </w:rPr>
            </w:pPr>
          </w:p>
        </w:tc>
      </w:tr>
      <w:tr w:rsidR="00244248" w:rsidRPr="006F6F16" w14:paraId="34F07057" w14:textId="77777777" w:rsidTr="001411BE">
        <w:trPr>
          <w:trHeight w:hRule="exact" w:val="227"/>
        </w:trPr>
        <w:tc>
          <w:tcPr>
            <w:tcW w:w="3560" w:type="dxa"/>
            <w:tcBorders>
              <w:top w:val="nil"/>
              <w:left w:val="nil"/>
              <w:right w:val="nil"/>
            </w:tcBorders>
            <w:shd w:val="clear" w:color="auto" w:fill="auto"/>
            <w:noWrap/>
            <w:vAlign w:val="bottom"/>
            <w:hideMark/>
          </w:tcPr>
          <w:p w14:paraId="28C0CE77"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Not likely</w:t>
            </w:r>
          </w:p>
        </w:tc>
        <w:tc>
          <w:tcPr>
            <w:tcW w:w="1118" w:type="dxa"/>
            <w:tcBorders>
              <w:top w:val="nil"/>
              <w:left w:val="nil"/>
              <w:right w:val="nil"/>
            </w:tcBorders>
            <w:shd w:val="clear" w:color="auto" w:fill="auto"/>
            <w:noWrap/>
            <w:vAlign w:val="bottom"/>
            <w:hideMark/>
          </w:tcPr>
          <w:p w14:paraId="07BD6D8C"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0.057</w:t>
            </w:r>
          </w:p>
        </w:tc>
        <w:tc>
          <w:tcPr>
            <w:tcW w:w="1134" w:type="dxa"/>
            <w:tcBorders>
              <w:top w:val="nil"/>
              <w:left w:val="nil"/>
              <w:right w:val="nil"/>
            </w:tcBorders>
            <w:shd w:val="clear" w:color="auto" w:fill="auto"/>
            <w:noWrap/>
            <w:vAlign w:val="bottom"/>
            <w:hideMark/>
          </w:tcPr>
          <w:p w14:paraId="09203DD3"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0.152</w:t>
            </w:r>
          </w:p>
        </w:tc>
      </w:tr>
      <w:tr w:rsidR="00244248" w:rsidRPr="006F6F16" w14:paraId="6C59F680"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07128549"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bottom w:val="single" w:sz="4" w:space="0" w:color="ED7D31" w:themeColor="accent2"/>
              <w:right w:val="nil"/>
            </w:tcBorders>
            <w:shd w:val="clear" w:color="auto" w:fill="auto"/>
            <w:noWrap/>
            <w:vAlign w:val="bottom"/>
            <w:hideMark/>
          </w:tcPr>
          <w:p w14:paraId="6C900687"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(0.320)</w:t>
            </w:r>
          </w:p>
        </w:tc>
        <w:tc>
          <w:tcPr>
            <w:tcW w:w="1134" w:type="dxa"/>
            <w:tcBorders>
              <w:top w:val="nil"/>
              <w:left w:val="nil"/>
              <w:bottom w:val="single" w:sz="4" w:space="0" w:color="ED7D31" w:themeColor="accent2"/>
              <w:right w:val="nil"/>
            </w:tcBorders>
            <w:shd w:val="clear" w:color="auto" w:fill="auto"/>
            <w:noWrap/>
            <w:vAlign w:val="bottom"/>
            <w:hideMark/>
          </w:tcPr>
          <w:p w14:paraId="6C574E0B"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(0.180)</w:t>
            </w:r>
          </w:p>
        </w:tc>
      </w:tr>
      <w:tr w:rsidR="00244248" w:rsidRPr="006F6F16" w14:paraId="2BF68363" w14:textId="77777777" w:rsidTr="001411BE">
        <w:trPr>
          <w:trHeight w:hRule="exact" w:val="227"/>
        </w:trPr>
        <w:tc>
          <w:tcPr>
            <w:tcW w:w="3560" w:type="dxa"/>
            <w:tcBorders>
              <w:top w:val="single" w:sz="4" w:space="0" w:color="ED7D31" w:themeColor="accent2"/>
              <w:left w:val="nil"/>
              <w:bottom w:val="nil"/>
              <w:right w:val="nil"/>
            </w:tcBorders>
            <w:shd w:val="clear" w:color="auto" w:fill="auto"/>
            <w:noWrap/>
            <w:vAlign w:val="bottom"/>
            <w:hideMark/>
          </w:tcPr>
          <w:p w14:paraId="52528C1A"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b/>
                <w:bCs/>
                <w:color w:val="000000"/>
                <w:sz w:val="20"/>
                <w:szCs w:val="20"/>
                <w:lang w:eastAsia="en-AU"/>
              </w:rPr>
              <w:t>Outlook on future</w:t>
            </w:r>
            <w:r w:rsidRPr="006F6F16">
              <w:rPr>
                <w:rFonts w:asciiTheme="majorHAnsi" w:eastAsia="Times New Roman" w:hAnsiTheme="majorHAnsi" w:cstheme="majorHAnsi"/>
                <w:color w:val="000000"/>
                <w:sz w:val="20"/>
                <w:szCs w:val="20"/>
                <w:lang w:eastAsia="en-AU"/>
              </w:rPr>
              <w:t xml:space="preserve"> (ref: no change)</w:t>
            </w:r>
          </w:p>
        </w:tc>
        <w:tc>
          <w:tcPr>
            <w:tcW w:w="1118" w:type="dxa"/>
            <w:tcBorders>
              <w:top w:val="single" w:sz="4" w:space="0" w:color="ED7D31" w:themeColor="accent2"/>
              <w:left w:val="nil"/>
              <w:bottom w:val="nil"/>
              <w:right w:val="nil"/>
            </w:tcBorders>
            <w:shd w:val="clear" w:color="auto" w:fill="auto"/>
            <w:noWrap/>
            <w:vAlign w:val="bottom"/>
            <w:hideMark/>
          </w:tcPr>
          <w:p w14:paraId="43D5A82C"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76A17AF2" w14:textId="77777777" w:rsidR="00244248" w:rsidRPr="006F6F16" w:rsidRDefault="00244248" w:rsidP="00335B25">
            <w:pPr>
              <w:rPr>
                <w:rFonts w:asciiTheme="majorHAnsi" w:eastAsia="Times New Roman" w:hAnsiTheme="majorHAnsi" w:cstheme="majorHAnsi"/>
                <w:sz w:val="20"/>
                <w:szCs w:val="20"/>
                <w:lang w:eastAsia="en-AU"/>
              </w:rPr>
            </w:pPr>
          </w:p>
        </w:tc>
      </w:tr>
      <w:tr w:rsidR="00244248" w:rsidRPr="006F6F16" w14:paraId="6804ED24" w14:textId="77777777" w:rsidTr="001411BE">
        <w:trPr>
          <w:trHeight w:hRule="exact" w:val="227"/>
        </w:trPr>
        <w:tc>
          <w:tcPr>
            <w:tcW w:w="3560" w:type="dxa"/>
            <w:tcBorders>
              <w:top w:val="nil"/>
              <w:left w:val="nil"/>
              <w:bottom w:val="nil"/>
              <w:right w:val="nil"/>
            </w:tcBorders>
            <w:shd w:val="clear" w:color="auto" w:fill="auto"/>
            <w:noWrap/>
            <w:vAlign w:val="bottom"/>
            <w:hideMark/>
          </w:tcPr>
          <w:p w14:paraId="2B1B2EFA"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More positive</w:t>
            </w:r>
          </w:p>
        </w:tc>
        <w:tc>
          <w:tcPr>
            <w:tcW w:w="1118" w:type="dxa"/>
            <w:tcBorders>
              <w:top w:val="nil"/>
              <w:left w:val="nil"/>
              <w:bottom w:val="nil"/>
              <w:right w:val="nil"/>
            </w:tcBorders>
            <w:shd w:val="clear" w:color="auto" w:fill="auto"/>
            <w:noWrap/>
            <w:vAlign w:val="bottom"/>
            <w:hideMark/>
          </w:tcPr>
          <w:p w14:paraId="4CE607A2"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1.252***</w:t>
            </w:r>
          </w:p>
        </w:tc>
        <w:tc>
          <w:tcPr>
            <w:tcW w:w="1134" w:type="dxa"/>
            <w:tcBorders>
              <w:top w:val="nil"/>
              <w:left w:val="nil"/>
              <w:bottom w:val="nil"/>
              <w:right w:val="nil"/>
            </w:tcBorders>
            <w:shd w:val="clear" w:color="auto" w:fill="auto"/>
            <w:noWrap/>
            <w:vAlign w:val="bottom"/>
            <w:hideMark/>
          </w:tcPr>
          <w:p w14:paraId="2FBFB163"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0.575</w:t>
            </w:r>
          </w:p>
        </w:tc>
      </w:tr>
      <w:tr w:rsidR="00244248" w:rsidRPr="006F6F16" w14:paraId="758DC0C1" w14:textId="77777777" w:rsidTr="001411BE">
        <w:trPr>
          <w:trHeight w:hRule="exact" w:val="227"/>
        </w:trPr>
        <w:tc>
          <w:tcPr>
            <w:tcW w:w="3560" w:type="dxa"/>
            <w:tcBorders>
              <w:top w:val="nil"/>
              <w:left w:val="nil"/>
              <w:right w:val="nil"/>
            </w:tcBorders>
            <w:shd w:val="clear" w:color="auto" w:fill="auto"/>
            <w:noWrap/>
            <w:vAlign w:val="bottom"/>
            <w:hideMark/>
          </w:tcPr>
          <w:p w14:paraId="200A778A" w14:textId="77777777" w:rsidR="00244248" w:rsidRPr="006F6F16" w:rsidRDefault="00244248" w:rsidP="00335B25">
            <w:pPr>
              <w:rPr>
                <w:rFonts w:asciiTheme="majorHAnsi" w:eastAsia="Times New Roman" w:hAnsiTheme="majorHAnsi" w:cstheme="majorHAnsi"/>
                <w:color w:val="000000"/>
                <w:sz w:val="20"/>
                <w:szCs w:val="20"/>
                <w:lang w:eastAsia="en-AU"/>
              </w:rPr>
            </w:pPr>
          </w:p>
        </w:tc>
        <w:tc>
          <w:tcPr>
            <w:tcW w:w="1118" w:type="dxa"/>
            <w:tcBorders>
              <w:top w:val="nil"/>
              <w:left w:val="nil"/>
              <w:right w:val="nil"/>
            </w:tcBorders>
            <w:shd w:val="clear" w:color="auto" w:fill="auto"/>
            <w:noWrap/>
            <w:vAlign w:val="bottom"/>
            <w:hideMark/>
          </w:tcPr>
          <w:p w14:paraId="4C98AD78"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(0.390)</w:t>
            </w:r>
          </w:p>
        </w:tc>
        <w:tc>
          <w:tcPr>
            <w:tcW w:w="1134" w:type="dxa"/>
            <w:tcBorders>
              <w:top w:val="nil"/>
              <w:left w:val="nil"/>
              <w:right w:val="nil"/>
            </w:tcBorders>
            <w:shd w:val="clear" w:color="auto" w:fill="auto"/>
            <w:noWrap/>
            <w:vAlign w:val="bottom"/>
            <w:hideMark/>
          </w:tcPr>
          <w:p w14:paraId="1843A140"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(0.294)</w:t>
            </w:r>
          </w:p>
        </w:tc>
      </w:tr>
      <w:tr w:rsidR="00244248" w:rsidRPr="006F6F16" w14:paraId="6E88601F" w14:textId="77777777" w:rsidTr="001411BE">
        <w:trPr>
          <w:trHeight w:hRule="exact" w:val="227"/>
        </w:trPr>
        <w:tc>
          <w:tcPr>
            <w:tcW w:w="3560" w:type="dxa"/>
            <w:tcBorders>
              <w:top w:val="nil"/>
              <w:left w:val="nil"/>
              <w:bottom w:val="nil"/>
              <w:right w:val="nil"/>
            </w:tcBorders>
            <w:shd w:val="clear" w:color="auto" w:fill="auto"/>
            <w:noWrap/>
            <w:vAlign w:val="bottom"/>
            <w:hideMark/>
          </w:tcPr>
          <w:p w14:paraId="5A28A845"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More negative</w:t>
            </w:r>
          </w:p>
        </w:tc>
        <w:tc>
          <w:tcPr>
            <w:tcW w:w="1118" w:type="dxa"/>
            <w:tcBorders>
              <w:top w:val="nil"/>
              <w:left w:val="nil"/>
              <w:bottom w:val="nil"/>
              <w:right w:val="nil"/>
            </w:tcBorders>
            <w:shd w:val="clear" w:color="auto" w:fill="auto"/>
            <w:noWrap/>
            <w:vAlign w:val="bottom"/>
            <w:hideMark/>
          </w:tcPr>
          <w:p w14:paraId="64CC3827"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0.083</w:t>
            </w:r>
          </w:p>
        </w:tc>
        <w:tc>
          <w:tcPr>
            <w:tcW w:w="1134" w:type="dxa"/>
            <w:tcBorders>
              <w:top w:val="nil"/>
              <w:left w:val="nil"/>
              <w:bottom w:val="nil"/>
              <w:right w:val="nil"/>
            </w:tcBorders>
            <w:shd w:val="clear" w:color="auto" w:fill="auto"/>
            <w:noWrap/>
            <w:vAlign w:val="bottom"/>
            <w:hideMark/>
          </w:tcPr>
          <w:p w14:paraId="09932F40"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1.060***</w:t>
            </w:r>
          </w:p>
        </w:tc>
      </w:tr>
      <w:tr w:rsidR="00244248" w:rsidRPr="006F6F16" w14:paraId="704674A3"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00DC761C"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 </w:t>
            </w:r>
          </w:p>
        </w:tc>
        <w:tc>
          <w:tcPr>
            <w:tcW w:w="1118" w:type="dxa"/>
            <w:tcBorders>
              <w:top w:val="nil"/>
              <w:left w:val="nil"/>
              <w:bottom w:val="single" w:sz="4" w:space="0" w:color="ED7D31" w:themeColor="accent2"/>
              <w:right w:val="nil"/>
            </w:tcBorders>
            <w:shd w:val="clear" w:color="auto" w:fill="auto"/>
            <w:noWrap/>
            <w:vAlign w:val="bottom"/>
            <w:hideMark/>
          </w:tcPr>
          <w:p w14:paraId="24ABB291"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(0.337)</w:t>
            </w:r>
          </w:p>
        </w:tc>
        <w:tc>
          <w:tcPr>
            <w:tcW w:w="1134" w:type="dxa"/>
            <w:tcBorders>
              <w:top w:val="nil"/>
              <w:left w:val="nil"/>
              <w:bottom w:val="single" w:sz="4" w:space="0" w:color="ED7D31" w:themeColor="accent2"/>
              <w:right w:val="nil"/>
            </w:tcBorders>
            <w:shd w:val="clear" w:color="auto" w:fill="auto"/>
            <w:noWrap/>
            <w:vAlign w:val="bottom"/>
            <w:hideMark/>
          </w:tcPr>
          <w:p w14:paraId="69EE2676" w14:textId="77777777" w:rsidR="00244248" w:rsidRPr="006F6F16" w:rsidRDefault="00244248" w:rsidP="00335B25">
            <w:pPr>
              <w:rPr>
                <w:rFonts w:asciiTheme="majorHAnsi" w:eastAsia="Times New Roman" w:hAnsiTheme="majorHAnsi" w:cstheme="majorHAnsi"/>
                <w:color w:val="808080"/>
                <w:sz w:val="20"/>
                <w:szCs w:val="20"/>
                <w:lang w:eastAsia="en-AU"/>
              </w:rPr>
            </w:pPr>
            <w:r w:rsidRPr="006F6F16">
              <w:rPr>
                <w:rFonts w:asciiTheme="majorHAnsi" w:eastAsia="Times New Roman" w:hAnsiTheme="majorHAnsi" w:cstheme="majorHAnsi"/>
                <w:color w:val="808080"/>
                <w:sz w:val="20"/>
                <w:szCs w:val="20"/>
                <w:lang w:eastAsia="en-AU"/>
              </w:rPr>
              <w:t>(0.217)</w:t>
            </w:r>
          </w:p>
        </w:tc>
      </w:tr>
      <w:tr w:rsidR="00244248" w:rsidRPr="006F6F16" w14:paraId="596A2B7B" w14:textId="77777777" w:rsidTr="001411BE">
        <w:trPr>
          <w:trHeight w:hRule="exact" w:val="227"/>
        </w:trPr>
        <w:tc>
          <w:tcPr>
            <w:tcW w:w="3560" w:type="dxa"/>
            <w:tcBorders>
              <w:top w:val="single" w:sz="4" w:space="0" w:color="ED7D31" w:themeColor="accent2"/>
              <w:left w:val="nil"/>
              <w:right w:val="nil"/>
            </w:tcBorders>
            <w:shd w:val="clear" w:color="auto" w:fill="auto"/>
            <w:noWrap/>
            <w:vAlign w:val="bottom"/>
            <w:hideMark/>
          </w:tcPr>
          <w:p w14:paraId="59F58BCC"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Contant</w:t>
            </w:r>
          </w:p>
        </w:tc>
        <w:tc>
          <w:tcPr>
            <w:tcW w:w="1118" w:type="dxa"/>
            <w:tcBorders>
              <w:top w:val="single" w:sz="4" w:space="0" w:color="ED7D31" w:themeColor="accent2"/>
              <w:left w:val="nil"/>
              <w:right w:val="nil"/>
            </w:tcBorders>
            <w:shd w:val="clear" w:color="auto" w:fill="auto"/>
            <w:noWrap/>
            <w:vAlign w:val="bottom"/>
            <w:hideMark/>
          </w:tcPr>
          <w:p w14:paraId="3C00F13E"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-2.175***</w:t>
            </w:r>
          </w:p>
        </w:tc>
        <w:tc>
          <w:tcPr>
            <w:tcW w:w="1134" w:type="dxa"/>
            <w:tcBorders>
              <w:top w:val="single" w:sz="4" w:space="0" w:color="ED7D31" w:themeColor="accent2"/>
              <w:left w:val="nil"/>
              <w:right w:val="nil"/>
            </w:tcBorders>
            <w:shd w:val="clear" w:color="auto" w:fill="auto"/>
            <w:noWrap/>
            <w:vAlign w:val="bottom"/>
            <w:hideMark/>
          </w:tcPr>
          <w:p w14:paraId="0B33B317"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-1.148***</w:t>
            </w:r>
          </w:p>
        </w:tc>
      </w:tr>
      <w:tr w:rsidR="00244248" w:rsidRPr="006F6F16" w14:paraId="5DDD76F3" w14:textId="77777777" w:rsidTr="001411BE">
        <w:trPr>
          <w:trHeight w:hRule="exact" w:val="227"/>
        </w:trPr>
        <w:tc>
          <w:tcPr>
            <w:tcW w:w="3560" w:type="dxa"/>
            <w:tcBorders>
              <w:top w:val="nil"/>
              <w:left w:val="nil"/>
              <w:bottom w:val="single" w:sz="4" w:space="0" w:color="ED7D31" w:themeColor="accent2"/>
              <w:right w:val="nil"/>
            </w:tcBorders>
            <w:shd w:val="clear" w:color="auto" w:fill="auto"/>
            <w:noWrap/>
            <w:vAlign w:val="bottom"/>
            <w:hideMark/>
          </w:tcPr>
          <w:p w14:paraId="5912FB61"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 </w:t>
            </w:r>
          </w:p>
        </w:tc>
        <w:tc>
          <w:tcPr>
            <w:tcW w:w="1118" w:type="dxa"/>
            <w:tcBorders>
              <w:top w:val="nil"/>
              <w:left w:val="nil"/>
              <w:bottom w:val="single" w:sz="4" w:space="0" w:color="ED7D31" w:themeColor="accent2"/>
              <w:right w:val="nil"/>
            </w:tcBorders>
            <w:shd w:val="clear" w:color="auto" w:fill="auto"/>
            <w:noWrap/>
            <w:vAlign w:val="bottom"/>
            <w:hideMark/>
          </w:tcPr>
          <w:p w14:paraId="48428F14" w14:textId="77777777" w:rsidR="00244248" w:rsidRPr="006F6F16" w:rsidRDefault="00244248" w:rsidP="00335B25">
            <w:pPr>
              <w:rPr>
                <w:rFonts w:asciiTheme="majorHAnsi" w:eastAsia="Times New Roman" w:hAnsiTheme="majorHAnsi" w:cstheme="majorHAnsi"/>
                <w:color w:val="808080" w:themeColor="background1" w:themeShade="80"/>
                <w:sz w:val="20"/>
                <w:szCs w:val="20"/>
                <w:lang w:eastAsia="en-AU"/>
              </w:rPr>
            </w:pPr>
            <w:r w:rsidRPr="006F6F16">
              <w:rPr>
                <w:rFonts w:asciiTheme="majorHAnsi" w:eastAsia="Times New Roman" w:hAnsiTheme="majorHAnsi" w:cstheme="majorHAnsi"/>
                <w:color w:val="808080" w:themeColor="background1" w:themeShade="80"/>
                <w:sz w:val="20"/>
                <w:szCs w:val="20"/>
                <w:lang w:eastAsia="en-AU"/>
              </w:rPr>
              <w:t>(0.660)</w:t>
            </w:r>
          </w:p>
        </w:tc>
        <w:tc>
          <w:tcPr>
            <w:tcW w:w="1134" w:type="dxa"/>
            <w:tcBorders>
              <w:top w:val="nil"/>
              <w:left w:val="nil"/>
              <w:bottom w:val="single" w:sz="4" w:space="0" w:color="ED7D31" w:themeColor="accent2"/>
              <w:right w:val="nil"/>
            </w:tcBorders>
            <w:shd w:val="clear" w:color="auto" w:fill="auto"/>
            <w:noWrap/>
            <w:vAlign w:val="bottom"/>
            <w:hideMark/>
          </w:tcPr>
          <w:p w14:paraId="3C77E01C" w14:textId="77777777" w:rsidR="00244248" w:rsidRPr="006F6F16" w:rsidRDefault="00244248" w:rsidP="00335B25">
            <w:pPr>
              <w:rPr>
                <w:rFonts w:asciiTheme="majorHAnsi" w:eastAsia="Times New Roman" w:hAnsiTheme="majorHAnsi" w:cstheme="majorHAnsi"/>
                <w:color w:val="808080" w:themeColor="background1" w:themeShade="80"/>
                <w:sz w:val="20"/>
                <w:szCs w:val="20"/>
                <w:lang w:eastAsia="en-AU"/>
              </w:rPr>
            </w:pPr>
            <w:r w:rsidRPr="006F6F16">
              <w:rPr>
                <w:rFonts w:asciiTheme="majorHAnsi" w:eastAsia="Times New Roman" w:hAnsiTheme="majorHAnsi" w:cstheme="majorHAnsi"/>
                <w:color w:val="808080" w:themeColor="background1" w:themeShade="80"/>
                <w:sz w:val="20"/>
                <w:szCs w:val="20"/>
                <w:lang w:eastAsia="en-AU"/>
              </w:rPr>
              <w:t>(0.384)</w:t>
            </w:r>
          </w:p>
        </w:tc>
      </w:tr>
      <w:tr w:rsidR="00244248" w:rsidRPr="006F6F16" w14:paraId="33E16D44" w14:textId="77777777" w:rsidTr="001411BE">
        <w:trPr>
          <w:trHeight w:hRule="exact" w:val="227"/>
        </w:trPr>
        <w:tc>
          <w:tcPr>
            <w:tcW w:w="3560" w:type="dxa"/>
            <w:tcBorders>
              <w:top w:val="single" w:sz="4" w:space="0" w:color="ED7D31" w:themeColor="accent2"/>
              <w:left w:val="nil"/>
              <w:bottom w:val="single" w:sz="4" w:space="0" w:color="ED7D31" w:themeColor="accent2"/>
              <w:right w:val="nil"/>
            </w:tcBorders>
            <w:shd w:val="clear" w:color="auto" w:fill="auto"/>
            <w:noWrap/>
            <w:vAlign w:val="bottom"/>
            <w:hideMark/>
          </w:tcPr>
          <w:p w14:paraId="14292DE2" w14:textId="77777777" w:rsidR="00244248" w:rsidRPr="006F6F16" w:rsidRDefault="00244248" w:rsidP="00335B25">
            <w:pP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 xml:space="preserve">N </w:t>
            </w:r>
          </w:p>
        </w:tc>
        <w:tc>
          <w:tcPr>
            <w:tcW w:w="2252" w:type="dxa"/>
            <w:gridSpan w:val="2"/>
            <w:tcBorders>
              <w:top w:val="single" w:sz="4" w:space="0" w:color="ED7D31" w:themeColor="accent2"/>
              <w:left w:val="nil"/>
              <w:bottom w:val="single" w:sz="4" w:space="0" w:color="ED7D31" w:themeColor="accent2"/>
              <w:right w:val="nil"/>
            </w:tcBorders>
            <w:shd w:val="clear" w:color="auto" w:fill="auto"/>
            <w:noWrap/>
            <w:vAlign w:val="center"/>
            <w:hideMark/>
          </w:tcPr>
          <w:p w14:paraId="0AD1F645" w14:textId="77777777" w:rsidR="00244248" w:rsidRPr="006F6F16" w:rsidRDefault="00244248" w:rsidP="00335B25">
            <w:pPr>
              <w:jc w:val="center"/>
              <w:rPr>
                <w:rFonts w:asciiTheme="majorHAnsi" w:eastAsia="Times New Roman" w:hAnsiTheme="majorHAnsi" w:cstheme="majorHAnsi"/>
                <w:color w:val="000000"/>
                <w:sz w:val="20"/>
                <w:szCs w:val="20"/>
                <w:lang w:eastAsia="en-AU"/>
              </w:rPr>
            </w:pPr>
            <w:r w:rsidRPr="006F6F16">
              <w:rPr>
                <w:rFonts w:asciiTheme="majorHAnsi" w:eastAsia="Times New Roman" w:hAnsiTheme="majorHAnsi" w:cstheme="majorHAnsi"/>
                <w:color w:val="000000"/>
                <w:sz w:val="20"/>
                <w:szCs w:val="20"/>
                <w:lang w:eastAsia="en-AU"/>
              </w:rPr>
              <w:t>986</w:t>
            </w:r>
          </w:p>
        </w:tc>
      </w:tr>
    </w:tbl>
    <w:p w14:paraId="6A298605" w14:textId="77777777" w:rsidR="00244248" w:rsidRDefault="00244248" w:rsidP="00244248">
      <w:pPr>
        <w:spacing w:after="120"/>
        <w:jc w:val="both"/>
        <w:rPr>
          <w:sz w:val="20"/>
          <w:szCs w:val="20"/>
        </w:rPr>
      </w:pPr>
      <w:r>
        <w:rPr>
          <w:sz w:val="16"/>
          <w:szCs w:val="16"/>
        </w:rPr>
        <w:t>Note: * p&lt;0.1, ** p&lt;0.05, *** p&lt;0.01</w:t>
      </w:r>
    </w:p>
    <w:p w14:paraId="5607501F" w14:textId="77777777" w:rsidR="00244248" w:rsidRDefault="00244248" w:rsidP="00244248">
      <w:pPr>
        <w:spacing w:after="120"/>
        <w:ind w:firstLine="720"/>
        <w:jc w:val="both"/>
      </w:pPr>
    </w:p>
    <w:p w14:paraId="71999B16" w14:textId="77777777" w:rsidR="00244248" w:rsidRDefault="00244248" w:rsidP="00244248">
      <w:pPr>
        <w:spacing w:after="120"/>
        <w:jc w:val="both"/>
      </w:pPr>
      <w:r w:rsidRPr="00D400E5">
        <w:br w:type="page"/>
      </w:r>
    </w:p>
    <w:p w14:paraId="2CDF956D" w14:textId="63A7C02D" w:rsidR="00244248" w:rsidRDefault="00244248" w:rsidP="00244248">
      <w:pPr>
        <w:pStyle w:val="Caption"/>
        <w:keepNext/>
      </w:pPr>
      <w:r>
        <w:lastRenderedPageBreak/>
        <w:t xml:space="preserve">Figure </w:t>
      </w:r>
      <w:fldSimple w:instr=" SEQ Figure \* ARABIC ">
        <w:r w:rsidR="00115E22">
          <w:rPr>
            <w:noProof/>
          </w:rPr>
          <w:t>50</w:t>
        </w:r>
      </w:fldSimple>
      <w:r>
        <w:t xml:space="preserve"> Predicted probability of being more or less likely to have a child due to the pandemic, based on future outlook</w:t>
      </w:r>
    </w:p>
    <w:p w14:paraId="187448F2" w14:textId="77777777" w:rsidR="00244248" w:rsidRDefault="00244248" w:rsidP="00244248">
      <w:r w:rsidRPr="000246BF">
        <w:rPr>
          <w:noProof/>
          <w:shd w:val="clear" w:color="auto" w:fill="FBE4D5" w:themeFill="accent2" w:themeFillTint="33"/>
          <w:lang w:eastAsia="en-AU"/>
        </w:rPr>
        <w:drawing>
          <wp:inline distT="0" distB="0" distL="0" distR="0" wp14:anchorId="6A03B296" wp14:editId="20AB2D83">
            <wp:extent cx="4937760" cy="3069204"/>
            <wp:effectExtent l="0" t="0" r="0" b="0"/>
            <wp:docPr id="234" name="Chart 234">
              <a:extLst xmlns:a="http://schemas.openxmlformats.org/drawingml/2006/main">
                <a:ext uri="{FF2B5EF4-FFF2-40B4-BE49-F238E27FC236}">
                  <a16:creationId xmlns:a16="http://schemas.microsoft.com/office/drawing/2014/main" id="{EDEAA8BD-13E9-4D02-BA2A-D4523FB6B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01F374B" w14:textId="77777777" w:rsidR="00244248" w:rsidRDefault="00244248" w:rsidP="002770F1"/>
    <w:p w14:paraId="089907C0" w14:textId="77777777" w:rsidR="00244248" w:rsidRDefault="00244248" w:rsidP="002770F1"/>
    <w:p w14:paraId="71CAF982" w14:textId="77777777" w:rsidR="00244248" w:rsidRDefault="00244248" w:rsidP="00244248">
      <w:pPr>
        <w:pStyle w:val="Heading2"/>
        <w:numPr>
          <w:ilvl w:val="1"/>
          <w:numId w:val="37"/>
        </w:numPr>
        <w:spacing w:before="0" w:after="120"/>
        <w:ind w:left="576" w:hanging="792"/>
      </w:pPr>
      <w:bookmarkStart w:id="237" w:name="_Toc87454673"/>
      <w:bookmarkStart w:id="238" w:name="_Toc98404995"/>
      <w:r>
        <w:t>Self-reported factors associated with fertility decisions</w:t>
      </w:r>
      <w:bookmarkEnd w:id="237"/>
      <w:bookmarkEnd w:id="238"/>
    </w:p>
    <w:p w14:paraId="12D2E93D" w14:textId="77777777" w:rsidR="00244248" w:rsidRDefault="00244248" w:rsidP="00244248">
      <w:pPr>
        <w:spacing w:after="120"/>
        <w:jc w:val="both"/>
      </w:pPr>
      <w:r>
        <w:t>When thinking about whether to have a child in the future there are many different considerations people take into account. In the August 2021 ANUpoll, respondents were provided with a list of factors and asked how important each factor was in their childbearing considerations. The questions asked:  ‘</w:t>
      </w:r>
      <w:r w:rsidRPr="00C64C36">
        <w:rPr>
          <w:i/>
          <w:iCs/>
        </w:rPr>
        <w:t>The following is a list of things that some people consider when thinking about whether or not to have a [another] child. Please indicate how important you feel each is to you at this present time…?</w:t>
      </w:r>
      <w:r>
        <w:t xml:space="preserve">’ The answer options were: not at all important, of limited importance, important, and very important. </w:t>
      </w:r>
    </w:p>
    <w:p w14:paraId="404A8A20" w14:textId="65A50FDD" w:rsidR="00244248" w:rsidRDefault="00244248" w:rsidP="00244248">
      <w:pPr>
        <w:spacing w:after="120"/>
        <w:jc w:val="both"/>
      </w:pPr>
      <w:r>
        <w:t xml:space="preserve">After applying a value of 1 for those who say it is not important, 2 for those who say it is of limited importance, 3 for those who say it is important, and 4 for those who say it is very important, Figure </w:t>
      </w:r>
      <w:r w:rsidR="002770F1">
        <w:t>51</w:t>
      </w:r>
      <w:r>
        <w:t xml:space="preserve"> gives the average value for Australians under the age of 45 in August 2021.</w:t>
      </w:r>
    </w:p>
    <w:p w14:paraId="06A1B39D" w14:textId="77777777" w:rsidR="00244248" w:rsidRDefault="00244248" w:rsidP="00244248">
      <w:pPr>
        <w:spacing w:after="120"/>
        <w:jc w:val="both"/>
      </w:pPr>
      <w:r>
        <w:t>The two most important factors in people’s decisions about fertility are economic. The average value for ‘</w:t>
      </w:r>
      <w:r w:rsidRPr="002B005E">
        <w:rPr>
          <w:i/>
          <w:iCs/>
        </w:rPr>
        <w:t>the general cost of raising children</w:t>
      </w:r>
      <w:r>
        <w:t>’ and for ‘t</w:t>
      </w:r>
      <w:r w:rsidRPr="002B005E">
        <w:rPr>
          <w:i/>
          <w:iCs/>
        </w:rPr>
        <w:t>he security of your, or your partners job</w:t>
      </w:r>
      <w:r>
        <w:t>’ is 3.15. The only other score above 3 was ‘</w:t>
      </w:r>
      <w:r w:rsidRPr="002B005E">
        <w:rPr>
          <w:i/>
          <w:iCs/>
        </w:rPr>
        <w:t>Having someone to love</w:t>
      </w:r>
      <w:r>
        <w:t>’, with an average value of 3.01.</w:t>
      </w:r>
    </w:p>
    <w:p w14:paraId="0474342D" w14:textId="77777777" w:rsidR="00244248" w:rsidRDefault="00244248" w:rsidP="00244248">
      <w:pPr>
        <w:spacing w:after="120"/>
        <w:jc w:val="both"/>
      </w:pPr>
      <w:r>
        <w:t>The COVID-19 pandemic ranks relatively lowly (14</w:t>
      </w:r>
      <w:r w:rsidRPr="00613737">
        <w:rPr>
          <w:vertAlign w:val="superscript"/>
        </w:rPr>
        <w:t>th</w:t>
      </w:r>
      <w:r>
        <w:t xml:space="preserve"> out of the 20 options with an average value of 2.49). Environmental issues were also not identified as being of great importance for respondents. </w:t>
      </w:r>
    </w:p>
    <w:p w14:paraId="79026747" w14:textId="77777777" w:rsidR="00244248" w:rsidRPr="00AF6187" w:rsidRDefault="00244248" w:rsidP="00244248">
      <w:pPr>
        <w:spacing w:after="120"/>
        <w:jc w:val="both"/>
        <w:rPr>
          <w:b/>
          <w:bCs/>
        </w:rPr>
      </w:pPr>
      <w:r>
        <w:rPr>
          <w:b/>
          <w:bCs/>
        </w:rPr>
        <w:tab/>
      </w:r>
    </w:p>
    <w:p w14:paraId="6C411330" w14:textId="4D5F751E" w:rsidR="00244248" w:rsidRDefault="00244248" w:rsidP="00244248">
      <w:pPr>
        <w:pStyle w:val="Caption"/>
        <w:keepNext/>
        <w:spacing w:after="120"/>
        <w:jc w:val="both"/>
      </w:pPr>
      <w:r w:rsidRPr="00BD1C98">
        <w:lastRenderedPageBreak/>
        <w:t xml:space="preserve">Figure </w:t>
      </w:r>
      <w:fldSimple w:instr=" SEQ Figure \* ARABIC ">
        <w:r w:rsidR="00115E22">
          <w:rPr>
            <w:noProof/>
          </w:rPr>
          <w:t>51</w:t>
        </w:r>
      </w:fldSimple>
      <w:r w:rsidRPr="00BD1C98">
        <w:t xml:space="preserve"> Factors associated with fertility decisions – August 2021</w:t>
      </w:r>
    </w:p>
    <w:p w14:paraId="4264A981" w14:textId="07821C71" w:rsidR="007C5778" w:rsidRPr="007C5778" w:rsidRDefault="00807630" w:rsidP="007C5778">
      <w:r>
        <w:rPr>
          <w:noProof/>
          <w:lang w:eastAsia="en-AU"/>
        </w:rPr>
        <w:drawing>
          <wp:inline distT="0" distB="0" distL="0" distR="0" wp14:anchorId="16E5B145" wp14:editId="406BED79">
            <wp:extent cx="7285355" cy="6779260"/>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85355" cy="6779260"/>
                    </a:xfrm>
                    <a:prstGeom prst="rect">
                      <a:avLst/>
                    </a:prstGeom>
                    <a:noFill/>
                  </pic:spPr>
                </pic:pic>
              </a:graphicData>
            </a:graphic>
          </wp:inline>
        </w:drawing>
      </w:r>
    </w:p>
    <w:p w14:paraId="27A69FEA" w14:textId="77777777" w:rsidR="00244248" w:rsidRPr="007C5778" w:rsidRDefault="00244248" w:rsidP="00244248">
      <w:pPr>
        <w:spacing w:after="120"/>
        <w:jc w:val="both"/>
        <w:rPr>
          <w:rFonts w:asciiTheme="majorHAnsi" w:hAnsiTheme="majorHAnsi" w:cstheme="majorHAnsi"/>
          <w:sz w:val="20"/>
          <w:szCs w:val="20"/>
        </w:rPr>
      </w:pPr>
      <w:r w:rsidRPr="007C5778">
        <w:rPr>
          <w:rFonts w:asciiTheme="majorHAnsi" w:hAnsiTheme="majorHAnsi" w:cstheme="majorHAnsi"/>
          <w:sz w:val="20"/>
          <w:szCs w:val="20"/>
        </w:rPr>
        <w:t xml:space="preserve">Source: ANUpoll, August 2021 </w:t>
      </w:r>
    </w:p>
    <w:p w14:paraId="3202715D" w14:textId="77777777" w:rsidR="000806A4" w:rsidRDefault="00244248" w:rsidP="00244248">
      <w:pPr>
        <w:spacing w:after="120"/>
        <w:jc w:val="both"/>
        <w:rPr>
          <w:rFonts w:asciiTheme="majorHAnsi" w:hAnsiTheme="majorHAnsi" w:cstheme="majorHAnsi"/>
          <w:sz w:val="18"/>
          <w:szCs w:val="18"/>
        </w:rPr>
      </w:pPr>
      <w:r w:rsidRPr="0023520B">
        <w:rPr>
          <w:rFonts w:asciiTheme="majorHAnsi" w:hAnsiTheme="majorHAnsi" w:cstheme="majorHAnsi"/>
          <w:sz w:val="18"/>
          <w:szCs w:val="18"/>
        </w:rPr>
        <w:t>Note: The ‘whiskers’ around the estimate represent the 95 per cent confidence intervals.</w:t>
      </w:r>
      <w:r>
        <w:rPr>
          <w:rFonts w:asciiTheme="majorHAnsi" w:hAnsiTheme="majorHAnsi" w:cstheme="majorHAnsi"/>
          <w:sz w:val="18"/>
          <w:szCs w:val="18"/>
        </w:rPr>
        <w:t xml:space="preserve"> </w:t>
      </w:r>
      <w:r w:rsidRPr="0023520B">
        <w:rPr>
          <w:rFonts w:asciiTheme="majorHAnsi" w:hAnsiTheme="majorHAnsi" w:cstheme="majorHAnsi"/>
          <w:sz w:val="18"/>
          <w:szCs w:val="18"/>
        </w:rPr>
        <w:t xml:space="preserve"> </w:t>
      </w:r>
    </w:p>
    <w:p w14:paraId="3E5193B3" w14:textId="1E3D5569" w:rsidR="00244248" w:rsidRPr="0023520B" w:rsidRDefault="00244248" w:rsidP="00244248">
      <w:pPr>
        <w:spacing w:after="120"/>
        <w:jc w:val="both"/>
        <w:rPr>
          <w:rFonts w:asciiTheme="majorHAnsi" w:hAnsiTheme="majorHAnsi" w:cstheme="majorHAnsi"/>
          <w:sz w:val="18"/>
          <w:szCs w:val="18"/>
        </w:rPr>
      </w:pPr>
      <w:r w:rsidRPr="0023520B">
        <w:rPr>
          <w:rFonts w:asciiTheme="majorHAnsi" w:hAnsiTheme="majorHAnsi" w:cstheme="majorHAnsi"/>
          <w:sz w:val="18"/>
          <w:szCs w:val="18"/>
        </w:rPr>
        <w:t>* refers to those questions only asked of those with existing children</w:t>
      </w:r>
    </w:p>
    <w:p w14:paraId="5A9BFCA3" w14:textId="77777777" w:rsidR="00244248" w:rsidRDefault="00244248" w:rsidP="00244248">
      <w:r>
        <w:br w:type="page"/>
      </w:r>
    </w:p>
    <w:p w14:paraId="2D37E56A" w14:textId="77777777" w:rsidR="00244248" w:rsidRDefault="00244248" w:rsidP="00244248">
      <w:pPr>
        <w:pStyle w:val="Heading2"/>
        <w:numPr>
          <w:ilvl w:val="1"/>
          <w:numId w:val="37"/>
        </w:numPr>
        <w:spacing w:before="0" w:after="120"/>
        <w:ind w:left="576" w:hanging="792"/>
      </w:pPr>
      <w:bookmarkStart w:id="239" w:name="_Toc87454674"/>
      <w:bookmarkStart w:id="240" w:name="_Toc98404996"/>
      <w:r>
        <w:lastRenderedPageBreak/>
        <w:t>Relationship between the factors associated with fertility considerations</w:t>
      </w:r>
      <w:bookmarkEnd w:id="239"/>
      <w:bookmarkEnd w:id="240"/>
    </w:p>
    <w:p w14:paraId="5468D212" w14:textId="569CB839" w:rsidR="00244248" w:rsidRDefault="00244248" w:rsidP="00244248">
      <w:pPr>
        <w:spacing w:after="120"/>
        <w:jc w:val="both"/>
      </w:pPr>
      <w:r>
        <w:t xml:space="preserve">Some of the factors presented in Figure </w:t>
      </w:r>
      <w:r w:rsidR="002770F1">
        <w:t>51</w:t>
      </w:r>
      <w:r>
        <w:t xml:space="preserve"> are likely to make people less likely to want children/another child, whereas some are likely to make people more likely to. Others could have different impacts depending on a person’s circumstances. To explore these relationships, we ran a separate logit regression model for each of the factors.</w:t>
      </w:r>
      <w:r w:rsidRPr="00276367">
        <w:t xml:space="preserve"> </w:t>
      </w:r>
      <w:r>
        <w:t xml:space="preserve">The dependent variable is binary, equal to 1 if the respondent indicated that the factor was ‘very important’ in their consideration to have (more) children, and zero otherwise. The distribution of answers is shown in </w:t>
      </w:r>
      <w:r>
        <w:fldChar w:fldCharType="begin"/>
      </w:r>
      <w:r>
        <w:instrText xml:space="preserve"> REF _Ref85696974 \h </w:instrText>
      </w:r>
      <w:r>
        <w:fldChar w:fldCharType="separate"/>
      </w:r>
      <w:r w:rsidR="00115E22">
        <w:t xml:space="preserve">Table </w:t>
      </w:r>
      <w:r w:rsidR="00115E22">
        <w:rPr>
          <w:noProof/>
        </w:rPr>
        <w:t>44</w:t>
      </w:r>
      <w:r>
        <w:fldChar w:fldCharType="end"/>
      </w:r>
      <w:r>
        <w:t>.</w:t>
      </w:r>
    </w:p>
    <w:p w14:paraId="544FF014" w14:textId="77777777" w:rsidR="00244248" w:rsidRDefault="00244248" w:rsidP="00244248">
      <w:pPr>
        <w:spacing w:after="120"/>
        <w:jc w:val="both"/>
      </w:pPr>
    </w:p>
    <w:p w14:paraId="11805C89" w14:textId="254DFBDA" w:rsidR="00244248" w:rsidRDefault="00244248" w:rsidP="00244248">
      <w:pPr>
        <w:pStyle w:val="Caption"/>
        <w:keepNext/>
      </w:pPr>
      <w:bookmarkStart w:id="241" w:name="_Ref85696974"/>
      <w:r>
        <w:t xml:space="preserve">Table </w:t>
      </w:r>
      <w:fldSimple w:instr=" SEQ Table \* ARABIC ">
        <w:r w:rsidR="00115E22">
          <w:rPr>
            <w:noProof/>
          </w:rPr>
          <w:t>44</w:t>
        </w:r>
      </w:fldSimple>
      <w:bookmarkEnd w:id="241"/>
      <w:r>
        <w:t xml:space="preserve"> Percentage who felt each factor was 'very important'</w:t>
      </w:r>
    </w:p>
    <w:tbl>
      <w:tblPr>
        <w:tblW w:w="7764" w:type="dxa"/>
        <w:tblLook w:val="04A0" w:firstRow="1" w:lastRow="0" w:firstColumn="1" w:lastColumn="0" w:noHBand="0" w:noVBand="1"/>
      </w:tblPr>
      <w:tblGrid>
        <w:gridCol w:w="6804"/>
        <w:gridCol w:w="960"/>
      </w:tblGrid>
      <w:tr w:rsidR="00244248" w:rsidRPr="00E9247D" w14:paraId="64A64DB6" w14:textId="77777777" w:rsidTr="00693DCD">
        <w:trPr>
          <w:trHeight w:hRule="exact" w:val="312"/>
        </w:trPr>
        <w:tc>
          <w:tcPr>
            <w:tcW w:w="6804" w:type="dxa"/>
            <w:tcBorders>
              <w:top w:val="nil"/>
              <w:left w:val="nil"/>
              <w:bottom w:val="single" w:sz="4" w:space="0" w:color="ED7D31" w:themeColor="accent2"/>
              <w:right w:val="nil"/>
            </w:tcBorders>
            <w:shd w:val="clear" w:color="auto" w:fill="FBE4D5" w:themeFill="accent2" w:themeFillTint="33"/>
            <w:noWrap/>
            <w:vAlign w:val="bottom"/>
          </w:tcPr>
          <w:p w14:paraId="046AA90C"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Factor</w:t>
            </w:r>
          </w:p>
        </w:tc>
        <w:tc>
          <w:tcPr>
            <w:tcW w:w="960" w:type="dxa"/>
            <w:tcBorders>
              <w:top w:val="nil"/>
              <w:left w:val="nil"/>
              <w:bottom w:val="single" w:sz="4" w:space="0" w:color="ED7D31" w:themeColor="accent2"/>
              <w:right w:val="nil"/>
            </w:tcBorders>
            <w:shd w:val="clear" w:color="auto" w:fill="FBE4D5" w:themeFill="accent2" w:themeFillTint="33"/>
            <w:noWrap/>
            <w:vAlign w:val="bottom"/>
          </w:tcPr>
          <w:p w14:paraId="0AE3EA75"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w:t>
            </w:r>
          </w:p>
        </w:tc>
      </w:tr>
      <w:tr w:rsidR="00244248" w:rsidRPr="00E9247D" w14:paraId="3C535415" w14:textId="77777777" w:rsidTr="00693DCD">
        <w:trPr>
          <w:trHeight w:hRule="exact" w:val="312"/>
        </w:trPr>
        <w:tc>
          <w:tcPr>
            <w:tcW w:w="6804" w:type="dxa"/>
            <w:tcBorders>
              <w:top w:val="single" w:sz="4" w:space="0" w:color="ED7D31" w:themeColor="accent2"/>
              <w:left w:val="nil"/>
              <w:bottom w:val="nil"/>
              <w:right w:val="nil"/>
            </w:tcBorders>
            <w:shd w:val="clear" w:color="auto" w:fill="auto"/>
            <w:noWrap/>
            <w:vAlign w:val="bottom"/>
            <w:hideMark/>
          </w:tcPr>
          <w:p w14:paraId="5B003CB2"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How old you are</w:t>
            </w:r>
          </w:p>
        </w:tc>
        <w:tc>
          <w:tcPr>
            <w:tcW w:w="960" w:type="dxa"/>
            <w:tcBorders>
              <w:top w:val="single" w:sz="4" w:space="0" w:color="ED7D31" w:themeColor="accent2"/>
              <w:left w:val="nil"/>
              <w:bottom w:val="nil"/>
              <w:right w:val="nil"/>
            </w:tcBorders>
            <w:shd w:val="clear" w:color="auto" w:fill="auto"/>
            <w:noWrap/>
            <w:vAlign w:val="center"/>
            <w:hideMark/>
          </w:tcPr>
          <w:p w14:paraId="332562FD"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29</w:t>
            </w:r>
          </w:p>
        </w:tc>
      </w:tr>
      <w:tr w:rsidR="00244248" w:rsidRPr="00E9247D" w14:paraId="40D7A632" w14:textId="77777777" w:rsidTr="00693DCD">
        <w:trPr>
          <w:trHeight w:hRule="exact" w:val="312"/>
        </w:trPr>
        <w:tc>
          <w:tcPr>
            <w:tcW w:w="6804" w:type="dxa"/>
            <w:tcBorders>
              <w:top w:val="nil"/>
              <w:left w:val="nil"/>
              <w:bottom w:val="nil"/>
              <w:right w:val="nil"/>
            </w:tcBorders>
            <w:shd w:val="clear" w:color="auto" w:fill="auto"/>
            <w:noWrap/>
            <w:vAlign w:val="bottom"/>
            <w:hideMark/>
          </w:tcPr>
          <w:p w14:paraId="63CD911A"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Being able to buy a home or a better home</w:t>
            </w:r>
          </w:p>
        </w:tc>
        <w:tc>
          <w:tcPr>
            <w:tcW w:w="960" w:type="dxa"/>
            <w:tcBorders>
              <w:top w:val="nil"/>
              <w:left w:val="nil"/>
              <w:bottom w:val="nil"/>
              <w:right w:val="nil"/>
            </w:tcBorders>
            <w:shd w:val="clear" w:color="auto" w:fill="auto"/>
            <w:noWrap/>
            <w:vAlign w:val="center"/>
            <w:hideMark/>
          </w:tcPr>
          <w:p w14:paraId="60448CBA"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30</w:t>
            </w:r>
          </w:p>
        </w:tc>
      </w:tr>
      <w:tr w:rsidR="00244248" w:rsidRPr="00E9247D" w14:paraId="7B6E5C11" w14:textId="77777777" w:rsidTr="00693DCD">
        <w:trPr>
          <w:trHeight w:hRule="exact" w:val="312"/>
        </w:trPr>
        <w:tc>
          <w:tcPr>
            <w:tcW w:w="6804" w:type="dxa"/>
            <w:tcBorders>
              <w:top w:val="nil"/>
              <w:left w:val="nil"/>
              <w:bottom w:val="nil"/>
              <w:right w:val="nil"/>
            </w:tcBorders>
            <w:shd w:val="clear" w:color="auto" w:fill="auto"/>
            <w:noWrap/>
            <w:vAlign w:val="bottom"/>
            <w:hideMark/>
          </w:tcPr>
          <w:p w14:paraId="2C0F91D9"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Having someone to care for you when you are old</w:t>
            </w:r>
          </w:p>
        </w:tc>
        <w:tc>
          <w:tcPr>
            <w:tcW w:w="960" w:type="dxa"/>
            <w:tcBorders>
              <w:top w:val="nil"/>
              <w:left w:val="nil"/>
              <w:bottom w:val="nil"/>
              <w:right w:val="nil"/>
            </w:tcBorders>
            <w:shd w:val="clear" w:color="auto" w:fill="auto"/>
            <w:noWrap/>
            <w:vAlign w:val="center"/>
            <w:hideMark/>
          </w:tcPr>
          <w:p w14:paraId="6C5B08D2"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11</w:t>
            </w:r>
          </w:p>
        </w:tc>
      </w:tr>
      <w:tr w:rsidR="00244248" w:rsidRPr="00E9247D" w14:paraId="27FDF1F8" w14:textId="77777777" w:rsidTr="00693DCD">
        <w:trPr>
          <w:trHeight w:hRule="exact" w:val="312"/>
        </w:trPr>
        <w:tc>
          <w:tcPr>
            <w:tcW w:w="6804" w:type="dxa"/>
            <w:tcBorders>
              <w:top w:val="nil"/>
              <w:left w:val="nil"/>
              <w:bottom w:val="nil"/>
              <w:right w:val="nil"/>
            </w:tcBorders>
            <w:shd w:val="clear" w:color="auto" w:fill="auto"/>
            <w:noWrap/>
            <w:vAlign w:val="bottom"/>
            <w:hideMark/>
          </w:tcPr>
          <w:p w14:paraId="53CEFB13"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The availability and affordability of quality child care</w:t>
            </w:r>
          </w:p>
        </w:tc>
        <w:tc>
          <w:tcPr>
            <w:tcW w:w="960" w:type="dxa"/>
            <w:tcBorders>
              <w:top w:val="nil"/>
              <w:left w:val="nil"/>
              <w:bottom w:val="nil"/>
              <w:right w:val="nil"/>
            </w:tcBorders>
            <w:shd w:val="clear" w:color="auto" w:fill="auto"/>
            <w:noWrap/>
            <w:vAlign w:val="center"/>
            <w:hideMark/>
          </w:tcPr>
          <w:p w14:paraId="4682EE54"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24</w:t>
            </w:r>
          </w:p>
        </w:tc>
      </w:tr>
      <w:tr w:rsidR="00244248" w:rsidRPr="00E9247D" w14:paraId="1A4F62CF" w14:textId="77777777" w:rsidTr="00693DCD">
        <w:trPr>
          <w:trHeight w:hRule="exact" w:val="312"/>
        </w:trPr>
        <w:tc>
          <w:tcPr>
            <w:tcW w:w="6804" w:type="dxa"/>
            <w:tcBorders>
              <w:top w:val="nil"/>
              <w:left w:val="nil"/>
              <w:bottom w:val="nil"/>
              <w:right w:val="nil"/>
            </w:tcBorders>
            <w:shd w:val="clear" w:color="auto" w:fill="auto"/>
            <w:noWrap/>
            <w:vAlign w:val="bottom"/>
            <w:hideMark/>
          </w:tcPr>
          <w:p w14:paraId="54388EAF"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The general cost of raising children</w:t>
            </w:r>
          </w:p>
        </w:tc>
        <w:tc>
          <w:tcPr>
            <w:tcW w:w="960" w:type="dxa"/>
            <w:tcBorders>
              <w:top w:val="nil"/>
              <w:left w:val="nil"/>
              <w:bottom w:val="nil"/>
              <w:right w:val="nil"/>
            </w:tcBorders>
            <w:shd w:val="clear" w:color="auto" w:fill="auto"/>
            <w:noWrap/>
            <w:vAlign w:val="center"/>
            <w:hideMark/>
          </w:tcPr>
          <w:p w14:paraId="18C6B661"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40</w:t>
            </w:r>
          </w:p>
        </w:tc>
      </w:tr>
      <w:tr w:rsidR="00244248" w:rsidRPr="00E9247D" w14:paraId="159FCF27" w14:textId="77777777" w:rsidTr="00693DCD">
        <w:trPr>
          <w:trHeight w:hRule="exact" w:val="312"/>
        </w:trPr>
        <w:tc>
          <w:tcPr>
            <w:tcW w:w="6804" w:type="dxa"/>
            <w:tcBorders>
              <w:top w:val="nil"/>
              <w:left w:val="nil"/>
              <w:bottom w:val="nil"/>
              <w:right w:val="nil"/>
            </w:tcBorders>
            <w:shd w:val="clear" w:color="auto" w:fill="auto"/>
            <w:noWrap/>
            <w:vAlign w:val="bottom"/>
            <w:hideMark/>
          </w:tcPr>
          <w:p w14:paraId="728E622F"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The security of your, or your partners job</w:t>
            </w:r>
          </w:p>
        </w:tc>
        <w:tc>
          <w:tcPr>
            <w:tcW w:w="960" w:type="dxa"/>
            <w:tcBorders>
              <w:top w:val="nil"/>
              <w:left w:val="nil"/>
              <w:bottom w:val="nil"/>
              <w:right w:val="nil"/>
            </w:tcBorders>
            <w:shd w:val="clear" w:color="auto" w:fill="auto"/>
            <w:noWrap/>
            <w:vAlign w:val="center"/>
            <w:hideMark/>
          </w:tcPr>
          <w:p w14:paraId="5B598DBF"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40</w:t>
            </w:r>
          </w:p>
        </w:tc>
      </w:tr>
      <w:tr w:rsidR="00244248" w:rsidRPr="00E9247D" w14:paraId="1C67F501" w14:textId="77777777" w:rsidTr="00693DCD">
        <w:trPr>
          <w:trHeight w:hRule="exact" w:val="312"/>
        </w:trPr>
        <w:tc>
          <w:tcPr>
            <w:tcW w:w="6804" w:type="dxa"/>
            <w:tcBorders>
              <w:top w:val="nil"/>
              <w:left w:val="nil"/>
              <w:bottom w:val="nil"/>
              <w:right w:val="nil"/>
            </w:tcBorders>
            <w:shd w:val="clear" w:color="auto" w:fill="auto"/>
            <w:noWrap/>
            <w:vAlign w:val="bottom"/>
            <w:hideMark/>
          </w:tcPr>
          <w:p w14:paraId="2EDABAD3"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Having someone to love</w:t>
            </w:r>
          </w:p>
        </w:tc>
        <w:tc>
          <w:tcPr>
            <w:tcW w:w="960" w:type="dxa"/>
            <w:tcBorders>
              <w:top w:val="nil"/>
              <w:left w:val="nil"/>
              <w:bottom w:val="nil"/>
              <w:right w:val="nil"/>
            </w:tcBorders>
            <w:shd w:val="clear" w:color="auto" w:fill="auto"/>
            <w:noWrap/>
            <w:vAlign w:val="center"/>
            <w:hideMark/>
          </w:tcPr>
          <w:p w14:paraId="183DF836"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37</w:t>
            </w:r>
          </w:p>
        </w:tc>
      </w:tr>
      <w:tr w:rsidR="00244248" w:rsidRPr="00E9247D" w14:paraId="6EA64B87" w14:textId="77777777" w:rsidTr="00693DCD">
        <w:trPr>
          <w:trHeight w:hRule="exact" w:val="312"/>
        </w:trPr>
        <w:tc>
          <w:tcPr>
            <w:tcW w:w="6804" w:type="dxa"/>
            <w:tcBorders>
              <w:top w:val="nil"/>
              <w:left w:val="nil"/>
              <w:bottom w:val="nil"/>
              <w:right w:val="nil"/>
            </w:tcBorders>
            <w:shd w:val="clear" w:color="auto" w:fill="auto"/>
            <w:noWrap/>
            <w:vAlign w:val="bottom"/>
            <w:hideMark/>
          </w:tcPr>
          <w:p w14:paraId="5B2EE27B"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Having time for leisure or social activities</w:t>
            </w:r>
          </w:p>
        </w:tc>
        <w:tc>
          <w:tcPr>
            <w:tcW w:w="960" w:type="dxa"/>
            <w:tcBorders>
              <w:top w:val="nil"/>
              <w:left w:val="nil"/>
              <w:bottom w:val="nil"/>
              <w:right w:val="nil"/>
            </w:tcBorders>
            <w:shd w:val="clear" w:color="auto" w:fill="auto"/>
            <w:noWrap/>
            <w:vAlign w:val="center"/>
            <w:hideMark/>
          </w:tcPr>
          <w:p w14:paraId="30B36E96"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23</w:t>
            </w:r>
          </w:p>
        </w:tc>
      </w:tr>
      <w:tr w:rsidR="00244248" w:rsidRPr="00E9247D" w14:paraId="5E58DA52" w14:textId="77777777" w:rsidTr="00693DCD">
        <w:trPr>
          <w:trHeight w:hRule="exact" w:val="312"/>
        </w:trPr>
        <w:tc>
          <w:tcPr>
            <w:tcW w:w="6804" w:type="dxa"/>
            <w:tcBorders>
              <w:top w:val="nil"/>
              <w:left w:val="nil"/>
              <w:bottom w:val="nil"/>
              <w:right w:val="nil"/>
            </w:tcBorders>
            <w:shd w:val="clear" w:color="auto" w:fill="auto"/>
            <w:noWrap/>
            <w:vAlign w:val="bottom"/>
            <w:hideMark/>
          </w:tcPr>
          <w:p w14:paraId="7CAC6E7A"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Having time and energy for your career</w:t>
            </w:r>
          </w:p>
        </w:tc>
        <w:tc>
          <w:tcPr>
            <w:tcW w:w="960" w:type="dxa"/>
            <w:tcBorders>
              <w:top w:val="nil"/>
              <w:left w:val="nil"/>
              <w:bottom w:val="nil"/>
              <w:right w:val="nil"/>
            </w:tcBorders>
            <w:shd w:val="clear" w:color="auto" w:fill="auto"/>
            <w:noWrap/>
            <w:vAlign w:val="center"/>
            <w:hideMark/>
          </w:tcPr>
          <w:p w14:paraId="7E174902"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23</w:t>
            </w:r>
          </w:p>
        </w:tc>
      </w:tr>
      <w:tr w:rsidR="00244248" w:rsidRPr="00E9247D" w14:paraId="20BEC5DA" w14:textId="77777777" w:rsidTr="00693DCD">
        <w:trPr>
          <w:trHeight w:hRule="exact" w:val="312"/>
        </w:trPr>
        <w:tc>
          <w:tcPr>
            <w:tcW w:w="6804" w:type="dxa"/>
            <w:tcBorders>
              <w:top w:val="nil"/>
              <w:left w:val="nil"/>
              <w:bottom w:val="nil"/>
              <w:right w:val="nil"/>
            </w:tcBorders>
            <w:shd w:val="clear" w:color="auto" w:fill="auto"/>
            <w:noWrap/>
            <w:vAlign w:val="bottom"/>
            <w:hideMark/>
          </w:tcPr>
          <w:p w14:paraId="11BC5ABA"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Giving your parents grandchildren</w:t>
            </w:r>
          </w:p>
        </w:tc>
        <w:tc>
          <w:tcPr>
            <w:tcW w:w="960" w:type="dxa"/>
            <w:tcBorders>
              <w:top w:val="nil"/>
              <w:left w:val="nil"/>
              <w:bottom w:val="nil"/>
              <w:right w:val="nil"/>
            </w:tcBorders>
            <w:shd w:val="clear" w:color="auto" w:fill="auto"/>
            <w:noWrap/>
            <w:vAlign w:val="center"/>
            <w:hideMark/>
          </w:tcPr>
          <w:p w14:paraId="01F14A5F"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10</w:t>
            </w:r>
          </w:p>
        </w:tc>
      </w:tr>
      <w:tr w:rsidR="00244248" w:rsidRPr="00E9247D" w14:paraId="6AA3B4FD" w14:textId="77777777" w:rsidTr="00693DCD">
        <w:trPr>
          <w:trHeight w:hRule="exact" w:val="312"/>
        </w:trPr>
        <w:tc>
          <w:tcPr>
            <w:tcW w:w="6804" w:type="dxa"/>
            <w:tcBorders>
              <w:top w:val="nil"/>
              <w:left w:val="nil"/>
              <w:bottom w:val="nil"/>
              <w:right w:val="nil"/>
            </w:tcBorders>
            <w:shd w:val="clear" w:color="auto" w:fill="auto"/>
            <w:noWrap/>
            <w:vAlign w:val="bottom"/>
            <w:hideMark/>
          </w:tcPr>
          <w:p w14:paraId="51B8FD89"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Your spouse or partner having time and energy for a career</w:t>
            </w:r>
          </w:p>
        </w:tc>
        <w:tc>
          <w:tcPr>
            <w:tcW w:w="960" w:type="dxa"/>
            <w:tcBorders>
              <w:top w:val="nil"/>
              <w:left w:val="nil"/>
              <w:bottom w:val="nil"/>
              <w:right w:val="nil"/>
            </w:tcBorders>
            <w:shd w:val="clear" w:color="auto" w:fill="auto"/>
            <w:noWrap/>
            <w:vAlign w:val="center"/>
            <w:hideMark/>
          </w:tcPr>
          <w:p w14:paraId="40E34A3C"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22</w:t>
            </w:r>
          </w:p>
        </w:tc>
      </w:tr>
      <w:tr w:rsidR="00244248" w:rsidRPr="00E9247D" w14:paraId="2D44C737" w14:textId="77777777" w:rsidTr="00693DCD">
        <w:trPr>
          <w:trHeight w:hRule="exact" w:val="312"/>
        </w:trPr>
        <w:tc>
          <w:tcPr>
            <w:tcW w:w="6804" w:type="dxa"/>
            <w:tcBorders>
              <w:top w:val="nil"/>
              <w:left w:val="nil"/>
              <w:bottom w:val="nil"/>
              <w:right w:val="nil"/>
            </w:tcBorders>
            <w:shd w:val="clear" w:color="auto" w:fill="auto"/>
            <w:noWrap/>
            <w:vAlign w:val="bottom"/>
            <w:hideMark/>
          </w:tcPr>
          <w:p w14:paraId="25633BE8"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Being able to make major purchases</w:t>
            </w:r>
          </w:p>
        </w:tc>
        <w:tc>
          <w:tcPr>
            <w:tcW w:w="960" w:type="dxa"/>
            <w:tcBorders>
              <w:top w:val="nil"/>
              <w:left w:val="nil"/>
              <w:bottom w:val="nil"/>
              <w:right w:val="nil"/>
            </w:tcBorders>
            <w:shd w:val="clear" w:color="auto" w:fill="auto"/>
            <w:noWrap/>
            <w:vAlign w:val="center"/>
            <w:hideMark/>
          </w:tcPr>
          <w:p w14:paraId="6AFDFFA2"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17</w:t>
            </w:r>
          </w:p>
        </w:tc>
      </w:tr>
      <w:tr w:rsidR="00244248" w:rsidRPr="00E9247D" w14:paraId="7FD9E35D" w14:textId="77777777" w:rsidTr="00693DCD">
        <w:trPr>
          <w:trHeight w:hRule="exact" w:val="312"/>
        </w:trPr>
        <w:tc>
          <w:tcPr>
            <w:tcW w:w="6804" w:type="dxa"/>
            <w:tcBorders>
              <w:top w:val="nil"/>
              <w:left w:val="nil"/>
              <w:bottom w:val="nil"/>
              <w:right w:val="nil"/>
            </w:tcBorders>
            <w:shd w:val="clear" w:color="auto" w:fill="auto"/>
            <w:noWrap/>
            <w:vAlign w:val="bottom"/>
            <w:hideMark/>
          </w:tcPr>
          <w:p w14:paraId="429B490B"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Providing more purpose to life</w:t>
            </w:r>
          </w:p>
        </w:tc>
        <w:tc>
          <w:tcPr>
            <w:tcW w:w="960" w:type="dxa"/>
            <w:tcBorders>
              <w:top w:val="nil"/>
              <w:left w:val="nil"/>
              <w:bottom w:val="nil"/>
              <w:right w:val="nil"/>
            </w:tcBorders>
            <w:shd w:val="clear" w:color="auto" w:fill="auto"/>
            <w:noWrap/>
            <w:vAlign w:val="center"/>
            <w:hideMark/>
          </w:tcPr>
          <w:p w14:paraId="5A4E1073"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25</w:t>
            </w:r>
          </w:p>
        </w:tc>
      </w:tr>
      <w:tr w:rsidR="00244248" w:rsidRPr="00E9247D" w14:paraId="571AC19A" w14:textId="77777777" w:rsidTr="00693DCD">
        <w:trPr>
          <w:trHeight w:hRule="exact" w:val="312"/>
        </w:trPr>
        <w:tc>
          <w:tcPr>
            <w:tcW w:w="6804" w:type="dxa"/>
            <w:tcBorders>
              <w:top w:val="nil"/>
              <w:left w:val="nil"/>
              <w:bottom w:val="nil"/>
              <w:right w:val="nil"/>
            </w:tcBorders>
            <w:shd w:val="clear" w:color="auto" w:fill="auto"/>
            <w:noWrap/>
            <w:vAlign w:val="bottom"/>
            <w:hideMark/>
          </w:tcPr>
          <w:p w14:paraId="64F473F3"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The stress and worry of raising children</w:t>
            </w:r>
          </w:p>
        </w:tc>
        <w:tc>
          <w:tcPr>
            <w:tcW w:w="960" w:type="dxa"/>
            <w:tcBorders>
              <w:top w:val="nil"/>
              <w:left w:val="nil"/>
              <w:bottom w:val="nil"/>
              <w:right w:val="nil"/>
            </w:tcBorders>
            <w:shd w:val="clear" w:color="auto" w:fill="auto"/>
            <w:noWrap/>
            <w:vAlign w:val="center"/>
            <w:hideMark/>
          </w:tcPr>
          <w:p w14:paraId="11111336"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26</w:t>
            </w:r>
          </w:p>
        </w:tc>
      </w:tr>
      <w:tr w:rsidR="00244248" w:rsidRPr="00E9247D" w14:paraId="7952500A" w14:textId="77777777" w:rsidTr="00693DCD">
        <w:trPr>
          <w:trHeight w:hRule="exact" w:val="312"/>
        </w:trPr>
        <w:tc>
          <w:tcPr>
            <w:tcW w:w="6804" w:type="dxa"/>
            <w:tcBorders>
              <w:top w:val="nil"/>
              <w:left w:val="nil"/>
              <w:bottom w:val="nil"/>
              <w:right w:val="nil"/>
            </w:tcBorders>
            <w:shd w:val="clear" w:color="auto" w:fill="auto"/>
            <w:noWrap/>
            <w:vAlign w:val="bottom"/>
            <w:hideMark/>
          </w:tcPr>
          <w:p w14:paraId="3882199F"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The impact children would have on the environment</w:t>
            </w:r>
          </w:p>
        </w:tc>
        <w:tc>
          <w:tcPr>
            <w:tcW w:w="960" w:type="dxa"/>
            <w:tcBorders>
              <w:top w:val="nil"/>
              <w:left w:val="nil"/>
              <w:bottom w:val="nil"/>
              <w:right w:val="nil"/>
            </w:tcBorders>
            <w:shd w:val="clear" w:color="auto" w:fill="auto"/>
            <w:noWrap/>
            <w:vAlign w:val="center"/>
            <w:hideMark/>
          </w:tcPr>
          <w:p w14:paraId="721DB915"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17</w:t>
            </w:r>
          </w:p>
        </w:tc>
      </w:tr>
      <w:tr w:rsidR="00244248" w:rsidRPr="00E9247D" w14:paraId="78AA9652" w14:textId="77777777" w:rsidTr="00693DCD">
        <w:trPr>
          <w:trHeight w:hRule="exact" w:val="312"/>
        </w:trPr>
        <w:tc>
          <w:tcPr>
            <w:tcW w:w="6804" w:type="dxa"/>
            <w:tcBorders>
              <w:top w:val="nil"/>
              <w:left w:val="nil"/>
              <w:bottom w:val="nil"/>
              <w:right w:val="nil"/>
            </w:tcBorders>
            <w:shd w:val="clear" w:color="auto" w:fill="auto"/>
            <w:noWrap/>
            <w:vAlign w:val="bottom"/>
            <w:hideMark/>
          </w:tcPr>
          <w:p w14:paraId="65D581BF"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Uncertainty due to the COVID-19 pandemic</w:t>
            </w:r>
          </w:p>
        </w:tc>
        <w:tc>
          <w:tcPr>
            <w:tcW w:w="960" w:type="dxa"/>
            <w:tcBorders>
              <w:top w:val="nil"/>
              <w:left w:val="nil"/>
              <w:bottom w:val="nil"/>
              <w:right w:val="nil"/>
            </w:tcBorders>
            <w:shd w:val="clear" w:color="auto" w:fill="auto"/>
            <w:noWrap/>
            <w:vAlign w:val="center"/>
            <w:hideMark/>
          </w:tcPr>
          <w:p w14:paraId="4ADF6ECD"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19</w:t>
            </w:r>
          </w:p>
        </w:tc>
      </w:tr>
      <w:tr w:rsidR="00244248" w:rsidRPr="00E9247D" w14:paraId="6EB1DAF3" w14:textId="77777777" w:rsidTr="00693DCD">
        <w:trPr>
          <w:trHeight w:hRule="exact" w:val="312"/>
        </w:trPr>
        <w:tc>
          <w:tcPr>
            <w:tcW w:w="6804" w:type="dxa"/>
            <w:tcBorders>
              <w:top w:val="nil"/>
              <w:left w:val="nil"/>
              <w:bottom w:val="nil"/>
              <w:right w:val="nil"/>
            </w:tcBorders>
            <w:shd w:val="clear" w:color="auto" w:fill="auto"/>
            <w:noWrap/>
            <w:vAlign w:val="bottom"/>
            <w:hideMark/>
          </w:tcPr>
          <w:p w14:paraId="4355BE8D"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The impact children would have on economic growth and the retirement system</w:t>
            </w:r>
          </w:p>
        </w:tc>
        <w:tc>
          <w:tcPr>
            <w:tcW w:w="960" w:type="dxa"/>
            <w:tcBorders>
              <w:top w:val="nil"/>
              <w:left w:val="nil"/>
              <w:bottom w:val="nil"/>
              <w:right w:val="nil"/>
            </w:tcBorders>
            <w:shd w:val="clear" w:color="auto" w:fill="auto"/>
            <w:noWrap/>
            <w:vAlign w:val="center"/>
            <w:hideMark/>
          </w:tcPr>
          <w:p w14:paraId="4B7BFD51"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11</w:t>
            </w:r>
          </w:p>
        </w:tc>
      </w:tr>
      <w:tr w:rsidR="00244248" w:rsidRPr="00E9247D" w14:paraId="03976C2F" w14:textId="77777777" w:rsidTr="00693DCD">
        <w:trPr>
          <w:trHeight w:hRule="exact" w:val="312"/>
        </w:trPr>
        <w:tc>
          <w:tcPr>
            <w:tcW w:w="6804" w:type="dxa"/>
            <w:tcBorders>
              <w:top w:val="nil"/>
              <w:left w:val="nil"/>
              <w:bottom w:val="nil"/>
              <w:right w:val="nil"/>
            </w:tcBorders>
            <w:shd w:val="clear" w:color="auto" w:fill="auto"/>
            <w:noWrap/>
            <w:vAlign w:val="bottom"/>
            <w:hideMark/>
          </w:tcPr>
          <w:p w14:paraId="382983E7"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Other caring responsibilities (for example for those with a disability or elderly relatives)</w:t>
            </w:r>
          </w:p>
        </w:tc>
        <w:tc>
          <w:tcPr>
            <w:tcW w:w="960" w:type="dxa"/>
            <w:tcBorders>
              <w:top w:val="nil"/>
              <w:left w:val="nil"/>
              <w:bottom w:val="nil"/>
              <w:right w:val="nil"/>
            </w:tcBorders>
            <w:shd w:val="clear" w:color="auto" w:fill="auto"/>
            <w:noWrap/>
            <w:vAlign w:val="center"/>
            <w:hideMark/>
          </w:tcPr>
          <w:p w14:paraId="2BB616DA"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12</w:t>
            </w:r>
          </w:p>
        </w:tc>
      </w:tr>
      <w:tr w:rsidR="00244248" w:rsidRPr="00E9247D" w14:paraId="450144EF" w14:textId="77777777" w:rsidTr="00693DCD">
        <w:trPr>
          <w:trHeight w:hRule="exact" w:val="312"/>
        </w:trPr>
        <w:tc>
          <w:tcPr>
            <w:tcW w:w="6804" w:type="dxa"/>
            <w:tcBorders>
              <w:top w:val="nil"/>
              <w:left w:val="nil"/>
              <w:right w:val="nil"/>
            </w:tcBorders>
            <w:shd w:val="clear" w:color="auto" w:fill="auto"/>
            <w:noWrap/>
            <w:vAlign w:val="bottom"/>
            <w:hideMark/>
          </w:tcPr>
          <w:p w14:paraId="631E0962"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The benefits or costs of additional siblings for your existing children</w:t>
            </w:r>
          </w:p>
        </w:tc>
        <w:tc>
          <w:tcPr>
            <w:tcW w:w="960" w:type="dxa"/>
            <w:tcBorders>
              <w:top w:val="nil"/>
              <w:left w:val="nil"/>
              <w:right w:val="nil"/>
            </w:tcBorders>
            <w:shd w:val="clear" w:color="auto" w:fill="auto"/>
            <w:noWrap/>
            <w:vAlign w:val="center"/>
            <w:hideMark/>
          </w:tcPr>
          <w:p w14:paraId="125AEB4B"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22</w:t>
            </w:r>
          </w:p>
        </w:tc>
      </w:tr>
      <w:tr w:rsidR="00244248" w:rsidRPr="00E9247D" w14:paraId="3C0A3504" w14:textId="77777777" w:rsidTr="00693DCD">
        <w:trPr>
          <w:trHeight w:hRule="exact" w:val="312"/>
        </w:trPr>
        <w:tc>
          <w:tcPr>
            <w:tcW w:w="6804" w:type="dxa"/>
            <w:tcBorders>
              <w:top w:val="nil"/>
              <w:left w:val="nil"/>
              <w:bottom w:val="single" w:sz="4" w:space="0" w:color="ED7D31" w:themeColor="accent2"/>
              <w:right w:val="nil"/>
            </w:tcBorders>
            <w:shd w:val="clear" w:color="auto" w:fill="auto"/>
            <w:noWrap/>
            <w:vAlign w:val="bottom"/>
            <w:hideMark/>
          </w:tcPr>
          <w:p w14:paraId="5CBE5080" w14:textId="77777777" w:rsidR="00244248" w:rsidRPr="00E9247D" w:rsidRDefault="00244248" w:rsidP="00335B25">
            <w:pP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The gender of your existing children</w:t>
            </w:r>
          </w:p>
        </w:tc>
        <w:tc>
          <w:tcPr>
            <w:tcW w:w="960" w:type="dxa"/>
            <w:tcBorders>
              <w:top w:val="nil"/>
              <w:left w:val="nil"/>
              <w:bottom w:val="single" w:sz="4" w:space="0" w:color="ED7D31" w:themeColor="accent2"/>
              <w:right w:val="nil"/>
            </w:tcBorders>
            <w:shd w:val="clear" w:color="auto" w:fill="auto"/>
            <w:noWrap/>
            <w:vAlign w:val="center"/>
            <w:hideMark/>
          </w:tcPr>
          <w:p w14:paraId="0C2329E0" w14:textId="77777777" w:rsidR="00244248" w:rsidRPr="00E9247D" w:rsidRDefault="00244248" w:rsidP="00335B25">
            <w:pPr>
              <w:jc w:val="center"/>
              <w:rPr>
                <w:rFonts w:asciiTheme="majorHAnsi" w:eastAsia="Times New Roman" w:hAnsiTheme="majorHAnsi" w:cstheme="majorHAnsi"/>
                <w:color w:val="000000"/>
                <w:sz w:val="20"/>
                <w:szCs w:val="20"/>
                <w:lang w:eastAsia="en-AU"/>
              </w:rPr>
            </w:pPr>
            <w:r w:rsidRPr="00E9247D">
              <w:rPr>
                <w:rFonts w:asciiTheme="majorHAnsi" w:eastAsia="Times New Roman" w:hAnsiTheme="majorHAnsi" w:cstheme="majorHAnsi"/>
                <w:color w:val="000000"/>
                <w:sz w:val="20"/>
                <w:szCs w:val="20"/>
                <w:lang w:eastAsia="en-AU"/>
              </w:rPr>
              <w:t>4</w:t>
            </w:r>
          </w:p>
        </w:tc>
      </w:tr>
    </w:tbl>
    <w:p w14:paraId="6EA0AE98" w14:textId="77777777" w:rsidR="00244248" w:rsidRDefault="00244248" w:rsidP="00244248">
      <w:pPr>
        <w:spacing w:after="120"/>
        <w:jc w:val="both"/>
      </w:pPr>
    </w:p>
    <w:p w14:paraId="2556FCC0" w14:textId="79B030B5" w:rsidR="00244248" w:rsidRDefault="00244248" w:rsidP="00244248">
      <w:pPr>
        <w:spacing w:after="120"/>
        <w:jc w:val="both"/>
      </w:pPr>
      <w:r w:rsidRPr="00E9247D">
        <w:t xml:space="preserve">Six independent variables were included: sex, age, whether or not the respondent has children, highest education level, whether or not the respondent is working and whether or not they are in a relationship. </w:t>
      </w:r>
      <w:r>
        <w:t xml:space="preserve">The coefficients and standard errors are shown below in </w:t>
      </w:r>
      <w:r>
        <w:fldChar w:fldCharType="begin"/>
      </w:r>
      <w:r>
        <w:instrText xml:space="preserve"> REF _Ref85559953 \h </w:instrText>
      </w:r>
      <w:r>
        <w:fldChar w:fldCharType="separate"/>
      </w:r>
      <w:r w:rsidR="00115E22">
        <w:t xml:space="preserve">Table </w:t>
      </w:r>
      <w:r w:rsidR="00115E22">
        <w:rPr>
          <w:noProof/>
        </w:rPr>
        <w:t>45</w:t>
      </w:r>
      <w:r>
        <w:fldChar w:fldCharType="end"/>
      </w:r>
      <w:r>
        <w:t xml:space="preserve">. For ease of interpretation, we also discuss predictive margins in the text (also provided in Appendix </w:t>
      </w:r>
      <w:r>
        <w:fldChar w:fldCharType="begin"/>
      </w:r>
      <w:r>
        <w:instrText xml:space="preserve"> REF _Ref85777293 \h </w:instrText>
      </w:r>
      <w:r>
        <w:fldChar w:fldCharType="separate"/>
      </w:r>
      <w:r w:rsidR="00115E22">
        <w:t xml:space="preserve">Table </w:t>
      </w:r>
      <w:r w:rsidR="00115E22">
        <w:rPr>
          <w:noProof/>
        </w:rPr>
        <w:t>60</w:t>
      </w:r>
      <w:r>
        <w:fldChar w:fldCharType="end"/>
      </w:r>
      <w:r w:rsidR="001411BE">
        <w:t>).</w:t>
      </w:r>
      <w:r>
        <w:t xml:space="preserve"> </w:t>
      </w:r>
    </w:p>
    <w:p w14:paraId="152B0B39" w14:textId="77777777" w:rsidR="00244248" w:rsidRDefault="00244248" w:rsidP="00244248">
      <w:pPr>
        <w:spacing w:after="120"/>
        <w:jc w:val="both"/>
      </w:pPr>
      <w:r>
        <w:t xml:space="preserve">Parents and childless respondents differed in their views on what was an important consideration for their decision regarding future children. Childless respondents were more likely to indicate that being able to buy a home or a better home was a very important consideration. After controlling for the other variables in the model, 34% of childless respondents were predicted to mention that buying a home/better home was very important compared to 22% of those who were already parents.  Childless respondents were also more likely to consider themselves and their partner having time and energy for their career as very important factors, as well as the stress and worry of raising children. </w:t>
      </w:r>
    </w:p>
    <w:p w14:paraId="2F5A4966" w14:textId="7FB25F0C" w:rsidR="00244248" w:rsidRDefault="00244248" w:rsidP="00244248">
      <w:pPr>
        <w:spacing w:after="120"/>
        <w:jc w:val="both"/>
      </w:pPr>
      <w:r>
        <w:lastRenderedPageBreak/>
        <w:t xml:space="preserve">Women were more likely to say that age (‘how old your are’) was a very important consideration; this is not surprising given that age-restricted biological limits to reproduction are more apparent for women, even though they are also a factor for men. Women were also more likely to place high importance on the availability and affordability of quality </w:t>
      </w:r>
      <w:r w:rsidR="008D52A6">
        <w:t>child care</w:t>
      </w:r>
      <w:r>
        <w:t xml:space="preserve"> and the general cost of raising children as well as other caring responsibilities. For quality and availability of </w:t>
      </w:r>
      <w:r w:rsidR="008D52A6">
        <w:t>child care</w:t>
      </w:r>
      <w:r>
        <w:t xml:space="preserve">, after controlling for the other variables in the model,  the predicted probability of a man stating this was a very important consideration was 20%, compared to 28% for women. </w:t>
      </w:r>
    </w:p>
    <w:p w14:paraId="35BE90AB" w14:textId="77777777" w:rsidR="00244248" w:rsidRDefault="00244248" w:rsidP="00244248">
      <w:pPr>
        <w:spacing w:after="120"/>
        <w:jc w:val="both"/>
      </w:pPr>
      <w:r>
        <w:t xml:space="preserve">Younger respondents aged 18-29 were more likely to consider buying a home or a better home a very important factor compared to respondents aged 30-49. Controlling for the other variables, 38% of respondents aged 18-29 were predicted to mention that buying a home/better home was very important compared to 24% of those aged 30-49. They were also more likely to say that making major purchases, and uncertainty due to COVID-19 were very important considerations. </w:t>
      </w:r>
    </w:p>
    <w:p w14:paraId="6AC0B5F4" w14:textId="77777777" w:rsidR="00244248" w:rsidRDefault="00244248" w:rsidP="00244248">
      <w:pPr>
        <w:spacing w:after="120"/>
        <w:jc w:val="both"/>
      </w:pPr>
      <w:r>
        <w:t xml:space="preserve">Turning to highest education level we find that compared to those with a Bachelors degree, those whose education level was Year 12 or below were significantly more likely to place high importance on buying a home. Interestingly for ‘the general cost of raising children’ those with a Bachelor Degree were least likely to indicate this was very important (predicted probability of 33%) compared to all the other education levels including both higher and lower education. </w:t>
      </w:r>
    </w:p>
    <w:p w14:paraId="7E113691" w14:textId="77777777" w:rsidR="00244248" w:rsidRDefault="00244248" w:rsidP="00244248">
      <w:pPr>
        <w:spacing w:after="120"/>
        <w:jc w:val="both"/>
        <w:sectPr w:rsidR="00244248" w:rsidSect="00335B25">
          <w:footerReference w:type="default" r:id="rId74"/>
          <w:pgSz w:w="11900" w:h="16840"/>
          <w:pgMar w:top="1440" w:right="1440" w:bottom="1440" w:left="1440" w:header="708" w:footer="708" w:gutter="0"/>
          <w:cols w:space="708"/>
          <w:docGrid w:linePitch="360"/>
        </w:sectPr>
      </w:pPr>
      <w:r>
        <w:t xml:space="preserve">Whether or not the person was working had no relationship with any of the factors after controlling for the other variables in the model. Finally, being in a relationship was, as expected, associated with factors which also mentioned a partner including </w:t>
      </w:r>
      <w:r w:rsidRPr="000D6A55">
        <w:rPr>
          <w:i/>
          <w:iCs/>
        </w:rPr>
        <w:t>‘the security of  you or  your partner’s job</w:t>
      </w:r>
      <w:r>
        <w:t>’ and ‘</w:t>
      </w:r>
      <w:r w:rsidRPr="000D6A55">
        <w:rPr>
          <w:i/>
          <w:iCs/>
        </w:rPr>
        <w:t>your spouse or partner having time and energy for a career’</w:t>
      </w:r>
      <w:r>
        <w:t xml:space="preserve">. People in a relationship were also more likely to consider the stress and worry of raising children as very important. </w:t>
      </w:r>
    </w:p>
    <w:p w14:paraId="75674C36" w14:textId="11531E9D" w:rsidR="00244248" w:rsidRDefault="00244248" w:rsidP="00244248">
      <w:pPr>
        <w:pStyle w:val="Caption"/>
        <w:keepNext/>
      </w:pPr>
      <w:bookmarkStart w:id="242" w:name="_Ref85559953"/>
      <w:r>
        <w:lastRenderedPageBreak/>
        <w:t xml:space="preserve">Table </w:t>
      </w:r>
      <w:fldSimple w:instr=" SEQ Table \* ARABIC ">
        <w:r w:rsidR="00115E22">
          <w:rPr>
            <w:noProof/>
          </w:rPr>
          <w:t>45</w:t>
        </w:r>
      </w:fldSimple>
      <w:bookmarkEnd w:id="242"/>
      <w:r>
        <w:t xml:space="preserve"> Logit regression of stating each factor was a ‘very important’  consideration for having (more) children.</w:t>
      </w:r>
    </w:p>
    <w:tbl>
      <w:tblPr>
        <w:tblW w:w="14926" w:type="dxa"/>
        <w:tblLook w:val="04A0" w:firstRow="1" w:lastRow="0" w:firstColumn="1" w:lastColumn="0" w:noHBand="0" w:noVBand="1"/>
      </w:tblPr>
      <w:tblGrid>
        <w:gridCol w:w="2520"/>
        <w:gridCol w:w="1166"/>
        <w:gridCol w:w="1188"/>
        <w:gridCol w:w="1222"/>
        <w:gridCol w:w="1417"/>
        <w:gridCol w:w="1243"/>
        <w:gridCol w:w="1275"/>
        <w:gridCol w:w="1168"/>
        <w:gridCol w:w="1177"/>
        <w:gridCol w:w="1276"/>
        <w:gridCol w:w="1274"/>
      </w:tblGrid>
      <w:tr w:rsidR="00244248" w:rsidRPr="00611FD3" w14:paraId="3E41DEF0" w14:textId="77777777" w:rsidTr="00214A11">
        <w:trPr>
          <w:trHeight w:hRule="exact" w:val="1247"/>
        </w:trPr>
        <w:tc>
          <w:tcPr>
            <w:tcW w:w="2520" w:type="dxa"/>
            <w:tcBorders>
              <w:top w:val="nil"/>
              <w:left w:val="nil"/>
              <w:bottom w:val="single" w:sz="4" w:space="0" w:color="ED7D31" w:themeColor="accent2"/>
              <w:right w:val="nil"/>
            </w:tcBorders>
            <w:shd w:val="clear" w:color="auto" w:fill="FBE4D5" w:themeFill="accent2" w:themeFillTint="33"/>
            <w:noWrap/>
            <w:vAlign w:val="bottom"/>
            <w:hideMark/>
          </w:tcPr>
          <w:p w14:paraId="16E3B76B" w14:textId="77777777" w:rsidR="00244248" w:rsidRPr="00611FD3" w:rsidRDefault="00244248" w:rsidP="00335B25">
            <w:pPr>
              <w:rPr>
                <w:rFonts w:asciiTheme="majorHAnsi" w:eastAsia="Times New Roman" w:hAnsiTheme="majorHAnsi" w:cstheme="majorHAnsi"/>
                <w:sz w:val="20"/>
                <w:szCs w:val="20"/>
                <w:lang w:eastAsia="en-AU"/>
              </w:rPr>
            </w:pPr>
          </w:p>
        </w:tc>
        <w:tc>
          <w:tcPr>
            <w:tcW w:w="1166" w:type="dxa"/>
            <w:tcBorders>
              <w:top w:val="nil"/>
              <w:left w:val="nil"/>
              <w:bottom w:val="single" w:sz="4" w:space="0" w:color="ED7D31" w:themeColor="accent2"/>
              <w:right w:val="nil"/>
            </w:tcBorders>
            <w:shd w:val="clear" w:color="auto" w:fill="FBE4D5" w:themeFill="accent2" w:themeFillTint="33"/>
            <w:vAlign w:val="bottom"/>
            <w:hideMark/>
          </w:tcPr>
          <w:p w14:paraId="39004AD4"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How old you are</w:t>
            </w:r>
          </w:p>
        </w:tc>
        <w:tc>
          <w:tcPr>
            <w:tcW w:w="1188" w:type="dxa"/>
            <w:tcBorders>
              <w:top w:val="nil"/>
              <w:left w:val="nil"/>
              <w:bottom w:val="single" w:sz="4" w:space="0" w:color="ED7D31" w:themeColor="accent2"/>
              <w:right w:val="nil"/>
            </w:tcBorders>
            <w:shd w:val="clear" w:color="auto" w:fill="FBE4D5" w:themeFill="accent2" w:themeFillTint="33"/>
            <w:vAlign w:val="bottom"/>
            <w:hideMark/>
          </w:tcPr>
          <w:p w14:paraId="5B438161"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Being able to buy a home or a better home</w:t>
            </w:r>
          </w:p>
        </w:tc>
        <w:tc>
          <w:tcPr>
            <w:tcW w:w="1222" w:type="dxa"/>
            <w:tcBorders>
              <w:top w:val="nil"/>
              <w:left w:val="nil"/>
              <w:bottom w:val="single" w:sz="4" w:space="0" w:color="ED7D31" w:themeColor="accent2"/>
              <w:right w:val="nil"/>
            </w:tcBorders>
            <w:shd w:val="clear" w:color="auto" w:fill="FBE4D5" w:themeFill="accent2" w:themeFillTint="33"/>
            <w:vAlign w:val="bottom"/>
            <w:hideMark/>
          </w:tcPr>
          <w:p w14:paraId="47C74253"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Having someone to care for you when you are old</w:t>
            </w:r>
          </w:p>
        </w:tc>
        <w:tc>
          <w:tcPr>
            <w:tcW w:w="1417" w:type="dxa"/>
            <w:tcBorders>
              <w:top w:val="nil"/>
              <w:left w:val="nil"/>
              <w:bottom w:val="single" w:sz="4" w:space="0" w:color="ED7D31" w:themeColor="accent2"/>
              <w:right w:val="nil"/>
            </w:tcBorders>
            <w:shd w:val="clear" w:color="auto" w:fill="FBE4D5" w:themeFill="accent2" w:themeFillTint="33"/>
            <w:vAlign w:val="bottom"/>
            <w:hideMark/>
          </w:tcPr>
          <w:p w14:paraId="42484D0F"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The availability and affordability of quality child care</w:t>
            </w:r>
          </w:p>
        </w:tc>
        <w:tc>
          <w:tcPr>
            <w:tcW w:w="1243" w:type="dxa"/>
            <w:tcBorders>
              <w:top w:val="nil"/>
              <w:left w:val="nil"/>
              <w:bottom w:val="single" w:sz="4" w:space="0" w:color="ED7D31" w:themeColor="accent2"/>
              <w:right w:val="nil"/>
            </w:tcBorders>
            <w:shd w:val="clear" w:color="auto" w:fill="FBE4D5" w:themeFill="accent2" w:themeFillTint="33"/>
            <w:vAlign w:val="bottom"/>
            <w:hideMark/>
          </w:tcPr>
          <w:p w14:paraId="6AC1094B"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The general cost of raising children</w:t>
            </w:r>
          </w:p>
        </w:tc>
        <w:tc>
          <w:tcPr>
            <w:tcW w:w="1275" w:type="dxa"/>
            <w:tcBorders>
              <w:top w:val="nil"/>
              <w:left w:val="nil"/>
              <w:bottom w:val="single" w:sz="4" w:space="0" w:color="ED7D31" w:themeColor="accent2"/>
              <w:right w:val="nil"/>
            </w:tcBorders>
            <w:shd w:val="clear" w:color="auto" w:fill="FBE4D5" w:themeFill="accent2" w:themeFillTint="33"/>
            <w:vAlign w:val="bottom"/>
            <w:hideMark/>
          </w:tcPr>
          <w:p w14:paraId="0A8E8214"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The security of your, or your partners job</w:t>
            </w:r>
          </w:p>
        </w:tc>
        <w:tc>
          <w:tcPr>
            <w:tcW w:w="1168" w:type="dxa"/>
            <w:tcBorders>
              <w:top w:val="nil"/>
              <w:left w:val="nil"/>
              <w:bottom w:val="single" w:sz="4" w:space="0" w:color="ED7D31" w:themeColor="accent2"/>
              <w:right w:val="nil"/>
            </w:tcBorders>
            <w:shd w:val="clear" w:color="auto" w:fill="FBE4D5" w:themeFill="accent2" w:themeFillTint="33"/>
            <w:vAlign w:val="bottom"/>
            <w:hideMark/>
          </w:tcPr>
          <w:p w14:paraId="1820E819"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Having someone to love</w:t>
            </w:r>
          </w:p>
        </w:tc>
        <w:tc>
          <w:tcPr>
            <w:tcW w:w="1177" w:type="dxa"/>
            <w:tcBorders>
              <w:top w:val="nil"/>
              <w:left w:val="nil"/>
              <w:bottom w:val="single" w:sz="4" w:space="0" w:color="ED7D31" w:themeColor="accent2"/>
              <w:right w:val="nil"/>
            </w:tcBorders>
            <w:shd w:val="clear" w:color="auto" w:fill="FBE4D5" w:themeFill="accent2" w:themeFillTint="33"/>
            <w:vAlign w:val="bottom"/>
            <w:hideMark/>
          </w:tcPr>
          <w:p w14:paraId="4174CEB7"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Having time for leisure or social activities</w:t>
            </w:r>
          </w:p>
        </w:tc>
        <w:tc>
          <w:tcPr>
            <w:tcW w:w="1276" w:type="dxa"/>
            <w:tcBorders>
              <w:top w:val="nil"/>
              <w:left w:val="nil"/>
              <w:bottom w:val="single" w:sz="4" w:space="0" w:color="ED7D31" w:themeColor="accent2"/>
              <w:right w:val="nil"/>
            </w:tcBorders>
            <w:shd w:val="clear" w:color="auto" w:fill="FBE4D5" w:themeFill="accent2" w:themeFillTint="33"/>
            <w:vAlign w:val="bottom"/>
            <w:hideMark/>
          </w:tcPr>
          <w:p w14:paraId="392B0ED5"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Having time and energy for your career</w:t>
            </w:r>
          </w:p>
        </w:tc>
        <w:tc>
          <w:tcPr>
            <w:tcW w:w="1274" w:type="dxa"/>
            <w:tcBorders>
              <w:top w:val="nil"/>
              <w:left w:val="nil"/>
              <w:bottom w:val="single" w:sz="4" w:space="0" w:color="ED7D31" w:themeColor="accent2"/>
              <w:right w:val="nil"/>
            </w:tcBorders>
            <w:shd w:val="clear" w:color="auto" w:fill="FBE4D5" w:themeFill="accent2" w:themeFillTint="33"/>
            <w:vAlign w:val="bottom"/>
            <w:hideMark/>
          </w:tcPr>
          <w:p w14:paraId="43E4DEBD" w14:textId="77777777" w:rsidR="00244248" w:rsidRPr="00611FD3" w:rsidRDefault="00244248" w:rsidP="00335B25">
            <w:pPr>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Giving your parents grandchildren</w:t>
            </w:r>
          </w:p>
        </w:tc>
      </w:tr>
      <w:tr w:rsidR="00244248" w:rsidRPr="00611FD3" w14:paraId="3646EA86" w14:textId="77777777" w:rsidTr="00214A11">
        <w:trPr>
          <w:trHeight w:hRule="exact" w:val="283"/>
        </w:trPr>
        <w:tc>
          <w:tcPr>
            <w:tcW w:w="3686" w:type="dxa"/>
            <w:gridSpan w:val="2"/>
            <w:tcBorders>
              <w:top w:val="single" w:sz="4" w:space="0" w:color="ED7D31" w:themeColor="accent2"/>
              <w:left w:val="nil"/>
              <w:bottom w:val="nil"/>
              <w:right w:val="nil"/>
            </w:tcBorders>
            <w:shd w:val="clear" w:color="auto" w:fill="auto"/>
            <w:noWrap/>
            <w:vAlign w:val="bottom"/>
            <w:hideMark/>
          </w:tcPr>
          <w:p w14:paraId="001274B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Number of children</w:t>
            </w:r>
            <w:r w:rsidRPr="00611FD3">
              <w:rPr>
                <w:rFonts w:asciiTheme="majorHAnsi" w:eastAsia="Times New Roman" w:hAnsiTheme="majorHAnsi" w:cstheme="majorHAnsi"/>
                <w:color w:val="000000"/>
                <w:sz w:val="20"/>
                <w:szCs w:val="20"/>
                <w:lang w:eastAsia="en-AU"/>
              </w:rPr>
              <w:t xml:space="preserve"> (ref: childless)</w:t>
            </w:r>
          </w:p>
        </w:tc>
        <w:tc>
          <w:tcPr>
            <w:tcW w:w="1188" w:type="dxa"/>
            <w:tcBorders>
              <w:top w:val="single" w:sz="4" w:space="0" w:color="ED7D31" w:themeColor="accent2"/>
              <w:left w:val="nil"/>
              <w:bottom w:val="nil"/>
              <w:right w:val="nil"/>
            </w:tcBorders>
            <w:shd w:val="clear" w:color="auto" w:fill="auto"/>
            <w:noWrap/>
            <w:vAlign w:val="bottom"/>
            <w:hideMark/>
          </w:tcPr>
          <w:p w14:paraId="5F13FD39"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1CE659C3" w14:textId="77777777" w:rsidR="00244248" w:rsidRPr="00611FD3" w:rsidRDefault="00244248" w:rsidP="00335B25">
            <w:pPr>
              <w:rPr>
                <w:rFonts w:asciiTheme="majorHAnsi" w:eastAsia="Times New Roman" w:hAnsiTheme="majorHAnsi" w:cstheme="majorHAnsi"/>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4C0E5E16" w14:textId="77777777" w:rsidR="00244248" w:rsidRPr="00611FD3" w:rsidRDefault="00244248" w:rsidP="00335B25">
            <w:pPr>
              <w:rPr>
                <w:rFonts w:asciiTheme="majorHAnsi" w:eastAsia="Times New Roman" w:hAnsiTheme="majorHAnsi" w:cstheme="majorHAnsi"/>
                <w:sz w:val="20"/>
                <w:szCs w:val="20"/>
                <w:lang w:eastAsia="en-AU"/>
              </w:rPr>
            </w:pPr>
          </w:p>
        </w:tc>
        <w:tc>
          <w:tcPr>
            <w:tcW w:w="1243" w:type="dxa"/>
            <w:tcBorders>
              <w:top w:val="single" w:sz="4" w:space="0" w:color="ED7D31" w:themeColor="accent2"/>
              <w:left w:val="nil"/>
              <w:bottom w:val="nil"/>
              <w:right w:val="nil"/>
            </w:tcBorders>
            <w:shd w:val="clear" w:color="auto" w:fill="auto"/>
            <w:noWrap/>
            <w:vAlign w:val="bottom"/>
            <w:hideMark/>
          </w:tcPr>
          <w:p w14:paraId="5E3C606F" w14:textId="77777777" w:rsidR="00244248" w:rsidRPr="00611FD3" w:rsidRDefault="00244248" w:rsidP="00335B25">
            <w:pPr>
              <w:rPr>
                <w:rFonts w:asciiTheme="majorHAnsi" w:eastAsia="Times New Roman" w:hAnsiTheme="majorHAnsi" w:cstheme="majorHAnsi"/>
                <w:sz w:val="20"/>
                <w:szCs w:val="20"/>
                <w:lang w:eastAsia="en-AU"/>
              </w:rPr>
            </w:pPr>
          </w:p>
        </w:tc>
        <w:tc>
          <w:tcPr>
            <w:tcW w:w="1275" w:type="dxa"/>
            <w:tcBorders>
              <w:top w:val="single" w:sz="4" w:space="0" w:color="ED7D31" w:themeColor="accent2"/>
              <w:left w:val="nil"/>
              <w:bottom w:val="nil"/>
              <w:right w:val="nil"/>
            </w:tcBorders>
            <w:shd w:val="clear" w:color="auto" w:fill="auto"/>
            <w:noWrap/>
            <w:vAlign w:val="bottom"/>
            <w:hideMark/>
          </w:tcPr>
          <w:p w14:paraId="4D4C787C" w14:textId="77777777" w:rsidR="00244248" w:rsidRPr="00611FD3" w:rsidRDefault="00244248" w:rsidP="00335B25">
            <w:pPr>
              <w:rPr>
                <w:rFonts w:asciiTheme="majorHAnsi" w:eastAsia="Times New Roman" w:hAnsiTheme="majorHAnsi" w:cstheme="majorHAnsi"/>
                <w:sz w:val="20"/>
                <w:szCs w:val="20"/>
                <w:lang w:eastAsia="en-AU"/>
              </w:rPr>
            </w:pPr>
          </w:p>
        </w:tc>
        <w:tc>
          <w:tcPr>
            <w:tcW w:w="1168" w:type="dxa"/>
            <w:tcBorders>
              <w:top w:val="single" w:sz="4" w:space="0" w:color="ED7D31" w:themeColor="accent2"/>
              <w:left w:val="nil"/>
              <w:bottom w:val="nil"/>
              <w:right w:val="nil"/>
            </w:tcBorders>
            <w:shd w:val="clear" w:color="auto" w:fill="auto"/>
            <w:noWrap/>
            <w:vAlign w:val="bottom"/>
            <w:hideMark/>
          </w:tcPr>
          <w:p w14:paraId="09B7180C" w14:textId="77777777" w:rsidR="00244248" w:rsidRPr="00611FD3" w:rsidRDefault="00244248" w:rsidP="00335B25">
            <w:pPr>
              <w:rPr>
                <w:rFonts w:asciiTheme="majorHAnsi" w:eastAsia="Times New Roman" w:hAnsiTheme="majorHAnsi" w:cstheme="majorHAnsi"/>
                <w:sz w:val="20"/>
                <w:szCs w:val="20"/>
                <w:lang w:eastAsia="en-AU"/>
              </w:rPr>
            </w:pPr>
          </w:p>
        </w:tc>
        <w:tc>
          <w:tcPr>
            <w:tcW w:w="1177" w:type="dxa"/>
            <w:tcBorders>
              <w:top w:val="single" w:sz="4" w:space="0" w:color="ED7D31" w:themeColor="accent2"/>
              <w:left w:val="nil"/>
              <w:bottom w:val="nil"/>
              <w:right w:val="nil"/>
            </w:tcBorders>
            <w:shd w:val="clear" w:color="auto" w:fill="auto"/>
            <w:noWrap/>
            <w:vAlign w:val="bottom"/>
            <w:hideMark/>
          </w:tcPr>
          <w:p w14:paraId="50224685" w14:textId="77777777" w:rsidR="00244248" w:rsidRPr="00611FD3" w:rsidRDefault="00244248" w:rsidP="00335B25">
            <w:pPr>
              <w:rPr>
                <w:rFonts w:asciiTheme="majorHAnsi" w:eastAsia="Times New Roman" w:hAnsiTheme="majorHAnsi" w:cstheme="majorHAnsi"/>
                <w:sz w:val="20"/>
                <w:szCs w:val="20"/>
                <w:lang w:eastAsia="en-AU"/>
              </w:rPr>
            </w:pPr>
          </w:p>
        </w:tc>
        <w:tc>
          <w:tcPr>
            <w:tcW w:w="1276" w:type="dxa"/>
            <w:tcBorders>
              <w:top w:val="single" w:sz="4" w:space="0" w:color="ED7D31" w:themeColor="accent2"/>
              <w:left w:val="nil"/>
              <w:bottom w:val="nil"/>
              <w:right w:val="nil"/>
            </w:tcBorders>
            <w:shd w:val="clear" w:color="auto" w:fill="auto"/>
            <w:noWrap/>
            <w:vAlign w:val="bottom"/>
            <w:hideMark/>
          </w:tcPr>
          <w:p w14:paraId="4DF84511" w14:textId="77777777" w:rsidR="00244248" w:rsidRPr="00611FD3" w:rsidRDefault="00244248" w:rsidP="00335B25">
            <w:pPr>
              <w:rPr>
                <w:rFonts w:asciiTheme="majorHAnsi" w:eastAsia="Times New Roman" w:hAnsiTheme="majorHAnsi" w:cstheme="majorHAnsi"/>
                <w:sz w:val="20"/>
                <w:szCs w:val="20"/>
                <w:lang w:eastAsia="en-AU"/>
              </w:rPr>
            </w:pPr>
          </w:p>
        </w:tc>
        <w:tc>
          <w:tcPr>
            <w:tcW w:w="1274" w:type="dxa"/>
            <w:tcBorders>
              <w:top w:val="single" w:sz="4" w:space="0" w:color="ED7D31" w:themeColor="accent2"/>
              <w:left w:val="nil"/>
              <w:bottom w:val="nil"/>
              <w:right w:val="nil"/>
            </w:tcBorders>
            <w:shd w:val="clear" w:color="auto" w:fill="auto"/>
            <w:noWrap/>
            <w:vAlign w:val="bottom"/>
            <w:hideMark/>
          </w:tcPr>
          <w:p w14:paraId="487E7478"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4742822A" w14:textId="77777777" w:rsidTr="00214A11">
        <w:trPr>
          <w:trHeight w:hRule="exact" w:val="283"/>
        </w:trPr>
        <w:tc>
          <w:tcPr>
            <w:tcW w:w="2520" w:type="dxa"/>
            <w:tcBorders>
              <w:top w:val="nil"/>
              <w:left w:val="nil"/>
              <w:right w:val="nil"/>
            </w:tcBorders>
            <w:shd w:val="clear" w:color="auto" w:fill="auto"/>
            <w:noWrap/>
            <w:vAlign w:val="bottom"/>
            <w:hideMark/>
          </w:tcPr>
          <w:p w14:paraId="599FE2B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At least 1 child</w:t>
            </w:r>
          </w:p>
        </w:tc>
        <w:tc>
          <w:tcPr>
            <w:tcW w:w="1166" w:type="dxa"/>
            <w:tcBorders>
              <w:top w:val="nil"/>
              <w:left w:val="nil"/>
              <w:right w:val="nil"/>
            </w:tcBorders>
            <w:shd w:val="clear" w:color="auto" w:fill="auto"/>
            <w:noWrap/>
            <w:vAlign w:val="bottom"/>
            <w:hideMark/>
          </w:tcPr>
          <w:p w14:paraId="65CA07C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0.188</w:t>
            </w:r>
          </w:p>
        </w:tc>
        <w:tc>
          <w:tcPr>
            <w:tcW w:w="1188" w:type="dxa"/>
            <w:tcBorders>
              <w:top w:val="nil"/>
              <w:left w:val="nil"/>
              <w:right w:val="nil"/>
            </w:tcBorders>
            <w:shd w:val="clear" w:color="auto" w:fill="auto"/>
            <w:noWrap/>
            <w:vAlign w:val="bottom"/>
            <w:hideMark/>
          </w:tcPr>
          <w:p w14:paraId="12997A6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-0.612***</w:t>
            </w:r>
          </w:p>
        </w:tc>
        <w:tc>
          <w:tcPr>
            <w:tcW w:w="1222" w:type="dxa"/>
            <w:tcBorders>
              <w:top w:val="nil"/>
              <w:left w:val="nil"/>
              <w:right w:val="nil"/>
            </w:tcBorders>
            <w:shd w:val="clear" w:color="auto" w:fill="auto"/>
            <w:noWrap/>
            <w:vAlign w:val="bottom"/>
            <w:hideMark/>
          </w:tcPr>
          <w:p w14:paraId="24FA30E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0.236</w:t>
            </w:r>
          </w:p>
        </w:tc>
        <w:tc>
          <w:tcPr>
            <w:tcW w:w="1417" w:type="dxa"/>
            <w:tcBorders>
              <w:top w:val="nil"/>
              <w:left w:val="nil"/>
              <w:right w:val="nil"/>
            </w:tcBorders>
            <w:shd w:val="clear" w:color="auto" w:fill="auto"/>
            <w:noWrap/>
            <w:vAlign w:val="bottom"/>
            <w:hideMark/>
          </w:tcPr>
          <w:p w14:paraId="2D32626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0.046</w:t>
            </w:r>
          </w:p>
        </w:tc>
        <w:tc>
          <w:tcPr>
            <w:tcW w:w="1243" w:type="dxa"/>
            <w:tcBorders>
              <w:top w:val="nil"/>
              <w:left w:val="nil"/>
              <w:right w:val="nil"/>
            </w:tcBorders>
            <w:shd w:val="clear" w:color="auto" w:fill="auto"/>
            <w:noWrap/>
            <w:vAlign w:val="bottom"/>
            <w:hideMark/>
          </w:tcPr>
          <w:p w14:paraId="00F5355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0.066</w:t>
            </w:r>
          </w:p>
        </w:tc>
        <w:tc>
          <w:tcPr>
            <w:tcW w:w="1275" w:type="dxa"/>
            <w:tcBorders>
              <w:top w:val="nil"/>
              <w:left w:val="nil"/>
              <w:right w:val="nil"/>
            </w:tcBorders>
            <w:shd w:val="clear" w:color="auto" w:fill="auto"/>
            <w:noWrap/>
            <w:vAlign w:val="bottom"/>
            <w:hideMark/>
          </w:tcPr>
          <w:p w14:paraId="5A0C78D0"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-0.154</w:t>
            </w:r>
          </w:p>
        </w:tc>
        <w:tc>
          <w:tcPr>
            <w:tcW w:w="1168" w:type="dxa"/>
            <w:tcBorders>
              <w:top w:val="nil"/>
              <w:left w:val="nil"/>
              <w:right w:val="nil"/>
            </w:tcBorders>
            <w:shd w:val="clear" w:color="auto" w:fill="auto"/>
            <w:noWrap/>
            <w:vAlign w:val="bottom"/>
            <w:hideMark/>
          </w:tcPr>
          <w:p w14:paraId="2B83A97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0.337*</w:t>
            </w:r>
          </w:p>
        </w:tc>
        <w:tc>
          <w:tcPr>
            <w:tcW w:w="1177" w:type="dxa"/>
            <w:tcBorders>
              <w:top w:val="nil"/>
              <w:left w:val="nil"/>
              <w:right w:val="nil"/>
            </w:tcBorders>
            <w:shd w:val="clear" w:color="auto" w:fill="auto"/>
            <w:noWrap/>
            <w:vAlign w:val="bottom"/>
            <w:hideMark/>
          </w:tcPr>
          <w:p w14:paraId="750920B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-0.015</w:t>
            </w:r>
          </w:p>
        </w:tc>
        <w:tc>
          <w:tcPr>
            <w:tcW w:w="1276" w:type="dxa"/>
            <w:tcBorders>
              <w:top w:val="nil"/>
              <w:left w:val="nil"/>
              <w:right w:val="nil"/>
            </w:tcBorders>
            <w:shd w:val="clear" w:color="auto" w:fill="auto"/>
            <w:noWrap/>
            <w:vAlign w:val="bottom"/>
            <w:hideMark/>
          </w:tcPr>
          <w:p w14:paraId="7A39925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-0.463**</w:t>
            </w:r>
          </w:p>
        </w:tc>
        <w:tc>
          <w:tcPr>
            <w:tcW w:w="1274" w:type="dxa"/>
            <w:tcBorders>
              <w:top w:val="nil"/>
              <w:left w:val="nil"/>
              <w:right w:val="nil"/>
            </w:tcBorders>
            <w:shd w:val="clear" w:color="auto" w:fill="auto"/>
            <w:noWrap/>
            <w:vAlign w:val="bottom"/>
            <w:hideMark/>
          </w:tcPr>
          <w:p w14:paraId="0DB0809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-0.216</w:t>
            </w:r>
          </w:p>
        </w:tc>
      </w:tr>
      <w:tr w:rsidR="00244248" w:rsidRPr="00611FD3" w14:paraId="1C5F0F60"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5D886683"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54D1A6F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(0.193)</w:t>
            </w:r>
          </w:p>
        </w:tc>
        <w:tc>
          <w:tcPr>
            <w:tcW w:w="1188" w:type="dxa"/>
            <w:tcBorders>
              <w:top w:val="nil"/>
              <w:left w:val="nil"/>
              <w:bottom w:val="single" w:sz="4" w:space="0" w:color="ED7D31" w:themeColor="accent2"/>
              <w:right w:val="nil"/>
            </w:tcBorders>
            <w:shd w:val="clear" w:color="auto" w:fill="auto"/>
            <w:noWrap/>
            <w:vAlign w:val="bottom"/>
            <w:hideMark/>
          </w:tcPr>
          <w:p w14:paraId="09FE9FA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(0.210)</w:t>
            </w:r>
          </w:p>
        </w:tc>
        <w:tc>
          <w:tcPr>
            <w:tcW w:w="1222" w:type="dxa"/>
            <w:tcBorders>
              <w:top w:val="nil"/>
              <w:left w:val="nil"/>
              <w:bottom w:val="single" w:sz="4" w:space="0" w:color="ED7D31" w:themeColor="accent2"/>
              <w:right w:val="nil"/>
            </w:tcBorders>
            <w:shd w:val="clear" w:color="auto" w:fill="auto"/>
            <w:noWrap/>
            <w:vAlign w:val="bottom"/>
            <w:hideMark/>
          </w:tcPr>
          <w:p w14:paraId="0840A32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(0.303)</w:t>
            </w:r>
          </w:p>
        </w:tc>
        <w:tc>
          <w:tcPr>
            <w:tcW w:w="1417" w:type="dxa"/>
            <w:tcBorders>
              <w:top w:val="nil"/>
              <w:left w:val="nil"/>
              <w:bottom w:val="single" w:sz="4" w:space="0" w:color="ED7D31" w:themeColor="accent2"/>
              <w:right w:val="nil"/>
            </w:tcBorders>
            <w:shd w:val="clear" w:color="auto" w:fill="auto"/>
            <w:noWrap/>
            <w:vAlign w:val="bottom"/>
            <w:hideMark/>
          </w:tcPr>
          <w:p w14:paraId="32C04AA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(0.219)</w:t>
            </w:r>
          </w:p>
        </w:tc>
        <w:tc>
          <w:tcPr>
            <w:tcW w:w="1243" w:type="dxa"/>
            <w:tcBorders>
              <w:top w:val="nil"/>
              <w:left w:val="nil"/>
              <w:bottom w:val="single" w:sz="4" w:space="0" w:color="ED7D31" w:themeColor="accent2"/>
              <w:right w:val="nil"/>
            </w:tcBorders>
            <w:shd w:val="clear" w:color="auto" w:fill="auto"/>
            <w:noWrap/>
            <w:vAlign w:val="bottom"/>
            <w:hideMark/>
          </w:tcPr>
          <w:p w14:paraId="15FC3AE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(0.187)</w:t>
            </w:r>
          </w:p>
        </w:tc>
        <w:tc>
          <w:tcPr>
            <w:tcW w:w="1275" w:type="dxa"/>
            <w:tcBorders>
              <w:top w:val="nil"/>
              <w:left w:val="nil"/>
              <w:bottom w:val="single" w:sz="4" w:space="0" w:color="ED7D31" w:themeColor="accent2"/>
              <w:right w:val="nil"/>
            </w:tcBorders>
            <w:shd w:val="clear" w:color="auto" w:fill="auto"/>
            <w:noWrap/>
            <w:vAlign w:val="bottom"/>
            <w:hideMark/>
          </w:tcPr>
          <w:p w14:paraId="086BF0F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(0.185)</w:t>
            </w:r>
          </w:p>
        </w:tc>
        <w:tc>
          <w:tcPr>
            <w:tcW w:w="1168" w:type="dxa"/>
            <w:tcBorders>
              <w:top w:val="nil"/>
              <w:left w:val="nil"/>
              <w:bottom w:val="single" w:sz="4" w:space="0" w:color="ED7D31" w:themeColor="accent2"/>
              <w:right w:val="nil"/>
            </w:tcBorders>
            <w:shd w:val="clear" w:color="auto" w:fill="auto"/>
            <w:noWrap/>
            <w:vAlign w:val="bottom"/>
            <w:hideMark/>
          </w:tcPr>
          <w:p w14:paraId="300890D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(0.190)</w:t>
            </w:r>
          </w:p>
        </w:tc>
        <w:tc>
          <w:tcPr>
            <w:tcW w:w="1177" w:type="dxa"/>
            <w:tcBorders>
              <w:top w:val="nil"/>
              <w:left w:val="nil"/>
              <w:bottom w:val="single" w:sz="4" w:space="0" w:color="ED7D31" w:themeColor="accent2"/>
              <w:right w:val="nil"/>
            </w:tcBorders>
            <w:shd w:val="clear" w:color="auto" w:fill="auto"/>
            <w:noWrap/>
            <w:vAlign w:val="bottom"/>
            <w:hideMark/>
          </w:tcPr>
          <w:p w14:paraId="53A9892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(0.230)</w:t>
            </w:r>
          </w:p>
        </w:tc>
        <w:tc>
          <w:tcPr>
            <w:tcW w:w="1276" w:type="dxa"/>
            <w:tcBorders>
              <w:top w:val="nil"/>
              <w:left w:val="nil"/>
              <w:bottom w:val="single" w:sz="4" w:space="0" w:color="ED7D31" w:themeColor="accent2"/>
              <w:right w:val="nil"/>
            </w:tcBorders>
            <w:shd w:val="clear" w:color="auto" w:fill="auto"/>
            <w:noWrap/>
            <w:vAlign w:val="bottom"/>
            <w:hideMark/>
          </w:tcPr>
          <w:p w14:paraId="29FEAEF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(0.234)</w:t>
            </w:r>
          </w:p>
        </w:tc>
        <w:tc>
          <w:tcPr>
            <w:tcW w:w="1274" w:type="dxa"/>
            <w:tcBorders>
              <w:top w:val="nil"/>
              <w:left w:val="nil"/>
              <w:bottom w:val="single" w:sz="4" w:space="0" w:color="ED7D31" w:themeColor="accent2"/>
              <w:right w:val="nil"/>
            </w:tcBorders>
            <w:shd w:val="clear" w:color="auto" w:fill="auto"/>
            <w:noWrap/>
            <w:vAlign w:val="bottom"/>
            <w:hideMark/>
          </w:tcPr>
          <w:p w14:paraId="2A8A72B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(0.317)</w:t>
            </w:r>
          </w:p>
        </w:tc>
      </w:tr>
      <w:tr w:rsidR="00244248" w:rsidRPr="00611FD3" w14:paraId="05C7CF92"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05DDA14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Sex</w:t>
            </w:r>
            <w:r w:rsidRPr="00611FD3">
              <w:rPr>
                <w:rFonts w:asciiTheme="majorHAnsi" w:eastAsia="Times New Roman" w:hAnsiTheme="majorHAnsi" w:cstheme="majorHAnsi"/>
                <w:color w:val="000000"/>
                <w:sz w:val="20"/>
                <w:szCs w:val="20"/>
                <w:lang w:eastAsia="en-AU"/>
              </w:rPr>
              <w:t xml:space="preserve"> (ref: male)</w:t>
            </w:r>
          </w:p>
        </w:tc>
        <w:tc>
          <w:tcPr>
            <w:tcW w:w="1166" w:type="dxa"/>
            <w:tcBorders>
              <w:top w:val="single" w:sz="4" w:space="0" w:color="ED7D31" w:themeColor="accent2"/>
              <w:left w:val="nil"/>
              <w:bottom w:val="nil"/>
              <w:right w:val="nil"/>
            </w:tcBorders>
            <w:shd w:val="clear" w:color="auto" w:fill="auto"/>
            <w:noWrap/>
            <w:vAlign w:val="bottom"/>
            <w:hideMark/>
          </w:tcPr>
          <w:p w14:paraId="22800A1D"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2510C9A9" w14:textId="77777777" w:rsidR="00244248" w:rsidRPr="00611FD3" w:rsidRDefault="00244248" w:rsidP="00335B25">
            <w:pPr>
              <w:rPr>
                <w:rFonts w:asciiTheme="majorHAnsi" w:eastAsia="Times New Roman" w:hAnsiTheme="majorHAnsi" w:cstheme="majorHAnsi"/>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10152B0B" w14:textId="77777777" w:rsidR="00244248" w:rsidRPr="00611FD3" w:rsidRDefault="00244248" w:rsidP="00335B25">
            <w:pPr>
              <w:rPr>
                <w:rFonts w:asciiTheme="majorHAnsi" w:eastAsia="Times New Roman" w:hAnsiTheme="majorHAnsi" w:cstheme="majorHAnsi"/>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172105E3" w14:textId="77777777" w:rsidR="00244248" w:rsidRPr="00611FD3" w:rsidRDefault="00244248" w:rsidP="00335B25">
            <w:pPr>
              <w:rPr>
                <w:rFonts w:asciiTheme="majorHAnsi" w:eastAsia="Times New Roman" w:hAnsiTheme="majorHAnsi" w:cstheme="majorHAnsi"/>
                <w:sz w:val="20"/>
                <w:szCs w:val="20"/>
                <w:lang w:eastAsia="en-AU"/>
              </w:rPr>
            </w:pPr>
          </w:p>
        </w:tc>
        <w:tc>
          <w:tcPr>
            <w:tcW w:w="1243" w:type="dxa"/>
            <w:tcBorders>
              <w:top w:val="single" w:sz="4" w:space="0" w:color="ED7D31" w:themeColor="accent2"/>
              <w:left w:val="nil"/>
              <w:bottom w:val="nil"/>
              <w:right w:val="nil"/>
            </w:tcBorders>
            <w:shd w:val="clear" w:color="auto" w:fill="auto"/>
            <w:noWrap/>
            <w:vAlign w:val="bottom"/>
            <w:hideMark/>
          </w:tcPr>
          <w:p w14:paraId="68EB947A" w14:textId="77777777" w:rsidR="00244248" w:rsidRPr="00611FD3" w:rsidRDefault="00244248" w:rsidP="00335B25">
            <w:pPr>
              <w:rPr>
                <w:rFonts w:asciiTheme="majorHAnsi" w:eastAsia="Times New Roman" w:hAnsiTheme="majorHAnsi" w:cstheme="majorHAnsi"/>
                <w:sz w:val="20"/>
                <w:szCs w:val="20"/>
                <w:lang w:eastAsia="en-AU"/>
              </w:rPr>
            </w:pPr>
          </w:p>
        </w:tc>
        <w:tc>
          <w:tcPr>
            <w:tcW w:w="1275" w:type="dxa"/>
            <w:tcBorders>
              <w:top w:val="single" w:sz="4" w:space="0" w:color="ED7D31" w:themeColor="accent2"/>
              <w:left w:val="nil"/>
              <w:bottom w:val="nil"/>
              <w:right w:val="nil"/>
            </w:tcBorders>
            <w:shd w:val="clear" w:color="auto" w:fill="auto"/>
            <w:noWrap/>
            <w:vAlign w:val="bottom"/>
            <w:hideMark/>
          </w:tcPr>
          <w:p w14:paraId="30AC034F" w14:textId="77777777" w:rsidR="00244248" w:rsidRPr="00611FD3" w:rsidRDefault="00244248" w:rsidP="00335B25">
            <w:pPr>
              <w:rPr>
                <w:rFonts w:asciiTheme="majorHAnsi" w:eastAsia="Times New Roman" w:hAnsiTheme="majorHAnsi" w:cstheme="majorHAnsi"/>
                <w:sz w:val="20"/>
                <w:szCs w:val="20"/>
                <w:lang w:eastAsia="en-AU"/>
              </w:rPr>
            </w:pPr>
          </w:p>
        </w:tc>
        <w:tc>
          <w:tcPr>
            <w:tcW w:w="1168" w:type="dxa"/>
            <w:tcBorders>
              <w:top w:val="single" w:sz="4" w:space="0" w:color="ED7D31" w:themeColor="accent2"/>
              <w:left w:val="nil"/>
              <w:bottom w:val="nil"/>
              <w:right w:val="nil"/>
            </w:tcBorders>
            <w:shd w:val="clear" w:color="auto" w:fill="auto"/>
            <w:noWrap/>
            <w:vAlign w:val="bottom"/>
            <w:hideMark/>
          </w:tcPr>
          <w:p w14:paraId="5207B242" w14:textId="77777777" w:rsidR="00244248" w:rsidRPr="00611FD3" w:rsidRDefault="00244248" w:rsidP="00335B25">
            <w:pPr>
              <w:rPr>
                <w:rFonts w:asciiTheme="majorHAnsi" w:eastAsia="Times New Roman" w:hAnsiTheme="majorHAnsi" w:cstheme="majorHAnsi"/>
                <w:sz w:val="20"/>
                <w:szCs w:val="20"/>
                <w:lang w:eastAsia="en-AU"/>
              </w:rPr>
            </w:pPr>
          </w:p>
        </w:tc>
        <w:tc>
          <w:tcPr>
            <w:tcW w:w="1177" w:type="dxa"/>
            <w:tcBorders>
              <w:top w:val="single" w:sz="4" w:space="0" w:color="ED7D31" w:themeColor="accent2"/>
              <w:left w:val="nil"/>
              <w:bottom w:val="nil"/>
              <w:right w:val="nil"/>
            </w:tcBorders>
            <w:shd w:val="clear" w:color="auto" w:fill="auto"/>
            <w:noWrap/>
            <w:vAlign w:val="bottom"/>
            <w:hideMark/>
          </w:tcPr>
          <w:p w14:paraId="0C4E6F89" w14:textId="77777777" w:rsidR="00244248" w:rsidRPr="00611FD3" w:rsidRDefault="00244248" w:rsidP="00335B25">
            <w:pPr>
              <w:rPr>
                <w:rFonts w:asciiTheme="majorHAnsi" w:eastAsia="Times New Roman" w:hAnsiTheme="majorHAnsi" w:cstheme="majorHAnsi"/>
                <w:sz w:val="20"/>
                <w:szCs w:val="20"/>
                <w:lang w:eastAsia="en-AU"/>
              </w:rPr>
            </w:pPr>
          </w:p>
        </w:tc>
        <w:tc>
          <w:tcPr>
            <w:tcW w:w="1276" w:type="dxa"/>
            <w:tcBorders>
              <w:top w:val="single" w:sz="4" w:space="0" w:color="ED7D31" w:themeColor="accent2"/>
              <w:left w:val="nil"/>
              <w:bottom w:val="nil"/>
              <w:right w:val="nil"/>
            </w:tcBorders>
            <w:shd w:val="clear" w:color="auto" w:fill="auto"/>
            <w:noWrap/>
            <w:vAlign w:val="bottom"/>
            <w:hideMark/>
          </w:tcPr>
          <w:p w14:paraId="3819A147" w14:textId="77777777" w:rsidR="00244248" w:rsidRPr="00611FD3" w:rsidRDefault="00244248" w:rsidP="00335B25">
            <w:pPr>
              <w:rPr>
                <w:rFonts w:asciiTheme="majorHAnsi" w:eastAsia="Times New Roman" w:hAnsiTheme="majorHAnsi" w:cstheme="majorHAnsi"/>
                <w:sz w:val="20"/>
                <w:szCs w:val="20"/>
                <w:lang w:eastAsia="en-AU"/>
              </w:rPr>
            </w:pPr>
          </w:p>
        </w:tc>
        <w:tc>
          <w:tcPr>
            <w:tcW w:w="1274" w:type="dxa"/>
            <w:tcBorders>
              <w:top w:val="single" w:sz="4" w:space="0" w:color="ED7D31" w:themeColor="accent2"/>
              <w:left w:val="nil"/>
              <w:bottom w:val="nil"/>
              <w:right w:val="nil"/>
            </w:tcBorders>
            <w:shd w:val="clear" w:color="auto" w:fill="auto"/>
            <w:noWrap/>
            <w:vAlign w:val="bottom"/>
            <w:hideMark/>
          </w:tcPr>
          <w:p w14:paraId="4A4CF7B6"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2DF2DD4D" w14:textId="77777777" w:rsidTr="00214A11">
        <w:trPr>
          <w:trHeight w:hRule="exact" w:val="283"/>
        </w:trPr>
        <w:tc>
          <w:tcPr>
            <w:tcW w:w="2520" w:type="dxa"/>
            <w:tcBorders>
              <w:top w:val="nil"/>
              <w:left w:val="nil"/>
              <w:right w:val="nil"/>
            </w:tcBorders>
            <w:shd w:val="clear" w:color="auto" w:fill="auto"/>
            <w:noWrap/>
            <w:vAlign w:val="bottom"/>
            <w:hideMark/>
          </w:tcPr>
          <w:p w14:paraId="5D72CE5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Female</w:t>
            </w:r>
          </w:p>
        </w:tc>
        <w:tc>
          <w:tcPr>
            <w:tcW w:w="1166" w:type="dxa"/>
            <w:tcBorders>
              <w:top w:val="nil"/>
              <w:left w:val="nil"/>
              <w:right w:val="nil"/>
            </w:tcBorders>
            <w:shd w:val="clear" w:color="auto" w:fill="auto"/>
            <w:noWrap/>
            <w:vAlign w:val="bottom"/>
            <w:hideMark/>
          </w:tcPr>
          <w:p w14:paraId="186278D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0.452***</w:t>
            </w:r>
          </w:p>
        </w:tc>
        <w:tc>
          <w:tcPr>
            <w:tcW w:w="1188" w:type="dxa"/>
            <w:tcBorders>
              <w:top w:val="nil"/>
              <w:left w:val="nil"/>
              <w:right w:val="nil"/>
            </w:tcBorders>
            <w:shd w:val="clear" w:color="auto" w:fill="auto"/>
            <w:noWrap/>
            <w:vAlign w:val="bottom"/>
            <w:hideMark/>
          </w:tcPr>
          <w:p w14:paraId="14C34B9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0.137</w:t>
            </w:r>
          </w:p>
        </w:tc>
        <w:tc>
          <w:tcPr>
            <w:tcW w:w="1222" w:type="dxa"/>
            <w:tcBorders>
              <w:top w:val="nil"/>
              <w:left w:val="nil"/>
              <w:right w:val="nil"/>
            </w:tcBorders>
            <w:shd w:val="clear" w:color="auto" w:fill="auto"/>
            <w:noWrap/>
            <w:vAlign w:val="bottom"/>
            <w:hideMark/>
          </w:tcPr>
          <w:p w14:paraId="2336C3A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0.087</w:t>
            </w:r>
          </w:p>
        </w:tc>
        <w:tc>
          <w:tcPr>
            <w:tcW w:w="1417" w:type="dxa"/>
            <w:tcBorders>
              <w:top w:val="nil"/>
              <w:left w:val="nil"/>
              <w:right w:val="nil"/>
            </w:tcBorders>
            <w:shd w:val="clear" w:color="auto" w:fill="auto"/>
            <w:noWrap/>
            <w:vAlign w:val="bottom"/>
            <w:hideMark/>
          </w:tcPr>
          <w:p w14:paraId="06FBDC0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0.493***</w:t>
            </w:r>
          </w:p>
        </w:tc>
        <w:tc>
          <w:tcPr>
            <w:tcW w:w="1243" w:type="dxa"/>
            <w:tcBorders>
              <w:top w:val="nil"/>
              <w:left w:val="nil"/>
              <w:right w:val="nil"/>
            </w:tcBorders>
            <w:shd w:val="clear" w:color="auto" w:fill="auto"/>
            <w:noWrap/>
            <w:vAlign w:val="bottom"/>
            <w:hideMark/>
          </w:tcPr>
          <w:p w14:paraId="073562B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0.313**</w:t>
            </w:r>
          </w:p>
        </w:tc>
        <w:tc>
          <w:tcPr>
            <w:tcW w:w="1275" w:type="dxa"/>
            <w:tcBorders>
              <w:top w:val="nil"/>
              <w:left w:val="nil"/>
              <w:right w:val="nil"/>
            </w:tcBorders>
            <w:shd w:val="clear" w:color="auto" w:fill="auto"/>
            <w:noWrap/>
            <w:vAlign w:val="bottom"/>
            <w:hideMark/>
          </w:tcPr>
          <w:p w14:paraId="2618123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0.304*</w:t>
            </w:r>
          </w:p>
        </w:tc>
        <w:tc>
          <w:tcPr>
            <w:tcW w:w="1168" w:type="dxa"/>
            <w:tcBorders>
              <w:top w:val="nil"/>
              <w:left w:val="nil"/>
              <w:right w:val="nil"/>
            </w:tcBorders>
            <w:shd w:val="clear" w:color="auto" w:fill="auto"/>
            <w:noWrap/>
            <w:vAlign w:val="bottom"/>
            <w:hideMark/>
          </w:tcPr>
          <w:p w14:paraId="047EBF3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-0.092</w:t>
            </w:r>
          </w:p>
        </w:tc>
        <w:tc>
          <w:tcPr>
            <w:tcW w:w="1177" w:type="dxa"/>
            <w:tcBorders>
              <w:top w:val="nil"/>
              <w:left w:val="nil"/>
              <w:right w:val="nil"/>
            </w:tcBorders>
            <w:shd w:val="clear" w:color="auto" w:fill="auto"/>
            <w:noWrap/>
            <w:vAlign w:val="bottom"/>
            <w:hideMark/>
          </w:tcPr>
          <w:p w14:paraId="0D7B4E0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0.012</w:t>
            </w:r>
          </w:p>
        </w:tc>
        <w:tc>
          <w:tcPr>
            <w:tcW w:w="1276" w:type="dxa"/>
            <w:tcBorders>
              <w:top w:val="nil"/>
              <w:left w:val="nil"/>
              <w:right w:val="nil"/>
            </w:tcBorders>
            <w:shd w:val="clear" w:color="auto" w:fill="auto"/>
            <w:noWrap/>
            <w:vAlign w:val="bottom"/>
            <w:hideMark/>
          </w:tcPr>
          <w:p w14:paraId="4E6DCF6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0.216</w:t>
            </w:r>
          </w:p>
        </w:tc>
        <w:tc>
          <w:tcPr>
            <w:tcW w:w="1274" w:type="dxa"/>
            <w:tcBorders>
              <w:top w:val="nil"/>
              <w:left w:val="nil"/>
              <w:right w:val="nil"/>
            </w:tcBorders>
            <w:shd w:val="clear" w:color="auto" w:fill="auto"/>
            <w:noWrap/>
            <w:vAlign w:val="bottom"/>
            <w:hideMark/>
          </w:tcPr>
          <w:p w14:paraId="65BA0F8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-0.184</w:t>
            </w:r>
          </w:p>
        </w:tc>
      </w:tr>
      <w:tr w:rsidR="00244248" w:rsidRPr="00611FD3" w14:paraId="225C51B2"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5920A757"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54C0A2A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(0.170)</w:t>
            </w:r>
          </w:p>
        </w:tc>
        <w:tc>
          <w:tcPr>
            <w:tcW w:w="1188" w:type="dxa"/>
            <w:tcBorders>
              <w:top w:val="nil"/>
              <w:left w:val="nil"/>
              <w:bottom w:val="single" w:sz="4" w:space="0" w:color="ED7D31" w:themeColor="accent2"/>
              <w:right w:val="nil"/>
            </w:tcBorders>
            <w:shd w:val="clear" w:color="auto" w:fill="auto"/>
            <w:noWrap/>
            <w:vAlign w:val="bottom"/>
            <w:hideMark/>
          </w:tcPr>
          <w:p w14:paraId="7D2D9A2A"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(0.176)</w:t>
            </w:r>
          </w:p>
        </w:tc>
        <w:tc>
          <w:tcPr>
            <w:tcW w:w="1222" w:type="dxa"/>
            <w:tcBorders>
              <w:top w:val="nil"/>
              <w:left w:val="nil"/>
              <w:bottom w:val="single" w:sz="4" w:space="0" w:color="ED7D31" w:themeColor="accent2"/>
              <w:right w:val="nil"/>
            </w:tcBorders>
            <w:shd w:val="clear" w:color="auto" w:fill="auto"/>
            <w:noWrap/>
            <w:vAlign w:val="bottom"/>
            <w:hideMark/>
          </w:tcPr>
          <w:p w14:paraId="59803CD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(0.251)</w:t>
            </w:r>
          </w:p>
        </w:tc>
        <w:tc>
          <w:tcPr>
            <w:tcW w:w="1417" w:type="dxa"/>
            <w:tcBorders>
              <w:top w:val="nil"/>
              <w:left w:val="nil"/>
              <w:bottom w:val="single" w:sz="4" w:space="0" w:color="ED7D31" w:themeColor="accent2"/>
              <w:right w:val="nil"/>
            </w:tcBorders>
            <w:shd w:val="clear" w:color="auto" w:fill="auto"/>
            <w:noWrap/>
            <w:vAlign w:val="bottom"/>
            <w:hideMark/>
          </w:tcPr>
          <w:p w14:paraId="27ABAAA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(0.187)</w:t>
            </w:r>
          </w:p>
        </w:tc>
        <w:tc>
          <w:tcPr>
            <w:tcW w:w="1243" w:type="dxa"/>
            <w:tcBorders>
              <w:top w:val="nil"/>
              <w:left w:val="nil"/>
              <w:bottom w:val="single" w:sz="4" w:space="0" w:color="ED7D31" w:themeColor="accent2"/>
              <w:right w:val="nil"/>
            </w:tcBorders>
            <w:shd w:val="clear" w:color="auto" w:fill="auto"/>
            <w:noWrap/>
            <w:vAlign w:val="bottom"/>
            <w:hideMark/>
          </w:tcPr>
          <w:p w14:paraId="7FBE7D4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(0.159)</w:t>
            </w:r>
          </w:p>
        </w:tc>
        <w:tc>
          <w:tcPr>
            <w:tcW w:w="1275" w:type="dxa"/>
            <w:tcBorders>
              <w:top w:val="nil"/>
              <w:left w:val="nil"/>
              <w:bottom w:val="single" w:sz="4" w:space="0" w:color="ED7D31" w:themeColor="accent2"/>
              <w:right w:val="nil"/>
            </w:tcBorders>
            <w:shd w:val="clear" w:color="auto" w:fill="auto"/>
            <w:noWrap/>
            <w:vAlign w:val="bottom"/>
            <w:hideMark/>
          </w:tcPr>
          <w:p w14:paraId="49D8872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(0.158)</w:t>
            </w:r>
          </w:p>
        </w:tc>
        <w:tc>
          <w:tcPr>
            <w:tcW w:w="1168" w:type="dxa"/>
            <w:tcBorders>
              <w:top w:val="nil"/>
              <w:left w:val="nil"/>
              <w:bottom w:val="single" w:sz="4" w:space="0" w:color="ED7D31" w:themeColor="accent2"/>
              <w:right w:val="nil"/>
            </w:tcBorders>
            <w:shd w:val="clear" w:color="auto" w:fill="auto"/>
            <w:noWrap/>
            <w:vAlign w:val="bottom"/>
            <w:hideMark/>
          </w:tcPr>
          <w:p w14:paraId="12C68B5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(0.159)</w:t>
            </w:r>
          </w:p>
        </w:tc>
        <w:tc>
          <w:tcPr>
            <w:tcW w:w="1177" w:type="dxa"/>
            <w:tcBorders>
              <w:top w:val="nil"/>
              <w:left w:val="nil"/>
              <w:bottom w:val="single" w:sz="4" w:space="0" w:color="ED7D31" w:themeColor="accent2"/>
              <w:right w:val="nil"/>
            </w:tcBorders>
            <w:shd w:val="clear" w:color="auto" w:fill="auto"/>
            <w:noWrap/>
            <w:vAlign w:val="bottom"/>
            <w:hideMark/>
          </w:tcPr>
          <w:p w14:paraId="65DD233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(0.179)</w:t>
            </w:r>
          </w:p>
        </w:tc>
        <w:tc>
          <w:tcPr>
            <w:tcW w:w="1276" w:type="dxa"/>
            <w:tcBorders>
              <w:top w:val="nil"/>
              <w:left w:val="nil"/>
              <w:bottom w:val="single" w:sz="4" w:space="0" w:color="ED7D31" w:themeColor="accent2"/>
              <w:right w:val="nil"/>
            </w:tcBorders>
            <w:shd w:val="clear" w:color="auto" w:fill="auto"/>
            <w:noWrap/>
            <w:vAlign w:val="bottom"/>
            <w:hideMark/>
          </w:tcPr>
          <w:p w14:paraId="6F9D945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(0.188)</w:t>
            </w:r>
          </w:p>
        </w:tc>
        <w:tc>
          <w:tcPr>
            <w:tcW w:w="1274" w:type="dxa"/>
            <w:tcBorders>
              <w:top w:val="nil"/>
              <w:left w:val="nil"/>
              <w:bottom w:val="single" w:sz="4" w:space="0" w:color="ED7D31" w:themeColor="accent2"/>
              <w:right w:val="nil"/>
            </w:tcBorders>
            <w:shd w:val="clear" w:color="auto" w:fill="auto"/>
            <w:noWrap/>
            <w:vAlign w:val="bottom"/>
            <w:hideMark/>
          </w:tcPr>
          <w:p w14:paraId="0B504B1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(0.263)</w:t>
            </w:r>
          </w:p>
        </w:tc>
      </w:tr>
      <w:tr w:rsidR="00244248" w:rsidRPr="00611FD3" w14:paraId="031112E7"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4AB6EBE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 xml:space="preserve">Age </w:t>
            </w:r>
            <w:r w:rsidRPr="00611FD3">
              <w:rPr>
                <w:rFonts w:asciiTheme="majorHAnsi" w:eastAsia="Times New Roman" w:hAnsiTheme="majorHAnsi" w:cstheme="majorHAnsi"/>
                <w:color w:val="000000"/>
                <w:sz w:val="20"/>
                <w:szCs w:val="20"/>
                <w:lang w:eastAsia="en-AU"/>
              </w:rPr>
              <w:t>(ref: 18-29)</w:t>
            </w:r>
          </w:p>
        </w:tc>
        <w:tc>
          <w:tcPr>
            <w:tcW w:w="1166" w:type="dxa"/>
            <w:tcBorders>
              <w:top w:val="single" w:sz="4" w:space="0" w:color="ED7D31" w:themeColor="accent2"/>
              <w:left w:val="nil"/>
              <w:bottom w:val="nil"/>
              <w:right w:val="nil"/>
            </w:tcBorders>
            <w:shd w:val="clear" w:color="auto" w:fill="auto"/>
            <w:noWrap/>
            <w:vAlign w:val="bottom"/>
            <w:hideMark/>
          </w:tcPr>
          <w:p w14:paraId="66861A98"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41B73334" w14:textId="77777777" w:rsidR="00244248" w:rsidRPr="00611FD3" w:rsidRDefault="00244248" w:rsidP="00335B25">
            <w:pPr>
              <w:rPr>
                <w:rFonts w:asciiTheme="majorHAnsi" w:eastAsia="Times New Roman" w:hAnsiTheme="majorHAnsi" w:cstheme="majorHAnsi"/>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2C3420A4" w14:textId="77777777" w:rsidR="00244248" w:rsidRPr="00611FD3" w:rsidRDefault="00244248" w:rsidP="00335B25">
            <w:pPr>
              <w:rPr>
                <w:rFonts w:asciiTheme="majorHAnsi" w:eastAsia="Times New Roman" w:hAnsiTheme="majorHAnsi" w:cstheme="majorHAnsi"/>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66D509BE" w14:textId="77777777" w:rsidR="00244248" w:rsidRPr="00611FD3" w:rsidRDefault="00244248" w:rsidP="00335B25">
            <w:pPr>
              <w:rPr>
                <w:rFonts w:asciiTheme="majorHAnsi" w:eastAsia="Times New Roman" w:hAnsiTheme="majorHAnsi" w:cstheme="majorHAnsi"/>
                <w:sz w:val="20"/>
                <w:szCs w:val="20"/>
                <w:lang w:eastAsia="en-AU"/>
              </w:rPr>
            </w:pPr>
          </w:p>
        </w:tc>
        <w:tc>
          <w:tcPr>
            <w:tcW w:w="1243" w:type="dxa"/>
            <w:tcBorders>
              <w:top w:val="single" w:sz="4" w:space="0" w:color="ED7D31" w:themeColor="accent2"/>
              <w:left w:val="nil"/>
              <w:bottom w:val="nil"/>
              <w:right w:val="nil"/>
            </w:tcBorders>
            <w:shd w:val="clear" w:color="auto" w:fill="auto"/>
            <w:noWrap/>
            <w:vAlign w:val="bottom"/>
            <w:hideMark/>
          </w:tcPr>
          <w:p w14:paraId="15E3B9E2" w14:textId="77777777" w:rsidR="00244248" w:rsidRPr="00611FD3" w:rsidRDefault="00244248" w:rsidP="00335B25">
            <w:pPr>
              <w:rPr>
                <w:rFonts w:asciiTheme="majorHAnsi" w:eastAsia="Times New Roman" w:hAnsiTheme="majorHAnsi" w:cstheme="majorHAnsi"/>
                <w:sz w:val="20"/>
                <w:szCs w:val="20"/>
                <w:lang w:eastAsia="en-AU"/>
              </w:rPr>
            </w:pPr>
          </w:p>
        </w:tc>
        <w:tc>
          <w:tcPr>
            <w:tcW w:w="1275" w:type="dxa"/>
            <w:tcBorders>
              <w:top w:val="single" w:sz="4" w:space="0" w:color="ED7D31" w:themeColor="accent2"/>
              <w:left w:val="nil"/>
              <w:bottom w:val="nil"/>
              <w:right w:val="nil"/>
            </w:tcBorders>
            <w:shd w:val="clear" w:color="auto" w:fill="auto"/>
            <w:noWrap/>
            <w:vAlign w:val="bottom"/>
            <w:hideMark/>
          </w:tcPr>
          <w:p w14:paraId="5C5ED03E" w14:textId="77777777" w:rsidR="00244248" w:rsidRPr="00611FD3" w:rsidRDefault="00244248" w:rsidP="00335B25">
            <w:pPr>
              <w:rPr>
                <w:rFonts w:asciiTheme="majorHAnsi" w:eastAsia="Times New Roman" w:hAnsiTheme="majorHAnsi" w:cstheme="majorHAnsi"/>
                <w:sz w:val="20"/>
                <w:szCs w:val="20"/>
                <w:lang w:eastAsia="en-AU"/>
              </w:rPr>
            </w:pPr>
          </w:p>
        </w:tc>
        <w:tc>
          <w:tcPr>
            <w:tcW w:w="1168" w:type="dxa"/>
            <w:tcBorders>
              <w:top w:val="single" w:sz="4" w:space="0" w:color="ED7D31" w:themeColor="accent2"/>
              <w:left w:val="nil"/>
              <w:bottom w:val="nil"/>
              <w:right w:val="nil"/>
            </w:tcBorders>
            <w:shd w:val="clear" w:color="auto" w:fill="auto"/>
            <w:noWrap/>
            <w:vAlign w:val="bottom"/>
            <w:hideMark/>
          </w:tcPr>
          <w:p w14:paraId="3C67BCC1" w14:textId="77777777" w:rsidR="00244248" w:rsidRPr="00611FD3" w:rsidRDefault="00244248" w:rsidP="00335B25">
            <w:pPr>
              <w:rPr>
                <w:rFonts w:asciiTheme="majorHAnsi" w:eastAsia="Times New Roman" w:hAnsiTheme="majorHAnsi" w:cstheme="majorHAnsi"/>
                <w:sz w:val="20"/>
                <w:szCs w:val="20"/>
                <w:lang w:eastAsia="en-AU"/>
              </w:rPr>
            </w:pPr>
          </w:p>
        </w:tc>
        <w:tc>
          <w:tcPr>
            <w:tcW w:w="1177" w:type="dxa"/>
            <w:tcBorders>
              <w:top w:val="single" w:sz="4" w:space="0" w:color="ED7D31" w:themeColor="accent2"/>
              <w:left w:val="nil"/>
              <w:bottom w:val="nil"/>
              <w:right w:val="nil"/>
            </w:tcBorders>
            <w:shd w:val="clear" w:color="auto" w:fill="auto"/>
            <w:noWrap/>
            <w:vAlign w:val="bottom"/>
            <w:hideMark/>
          </w:tcPr>
          <w:p w14:paraId="72C116F8" w14:textId="77777777" w:rsidR="00244248" w:rsidRPr="00611FD3" w:rsidRDefault="00244248" w:rsidP="00335B25">
            <w:pPr>
              <w:rPr>
                <w:rFonts w:asciiTheme="majorHAnsi" w:eastAsia="Times New Roman" w:hAnsiTheme="majorHAnsi" w:cstheme="majorHAnsi"/>
                <w:sz w:val="20"/>
                <w:szCs w:val="20"/>
                <w:lang w:eastAsia="en-AU"/>
              </w:rPr>
            </w:pPr>
          </w:p>
        </w:tc>
        <w:tc>
          <w:tcPr>
            <w:tcW w:w="1276" w:type="dxa"/>
            <w:tcBorders>
              <w:top w:val="single" w:sz="4" w:space="0" w:color="ED7D31" w:themeColor="accent2"/>
              <w:left w:val="nil"/>
              <w:bottom w:val="nil"/>
              <w:right w:val="nil"/>
            </w:tcBorders>
            <w:shd w:val="clear" w:color="auto" w:fill="auto"/>
            <w:noWrap/>
            <w:vAlign w:val="bottom"/>
            <w:hideMark/>
          </w:tcPr>
          <w:p w14:paraId="749B26A5" w14:textId="77777777" w:rsidR="00244248" w:rsidRPr="00611FD3" w:rsidRDefault="00244248" w:rsidP="00335B25">
            <w:pPr>
              <w:rPr>
                <w:rFonts w:asciiTheme="majorHAnsi" w:eastAsia="Times New Roman" w:hAnsiTheme="majorHAnsi" w:cstheme="majorHAnsi"/>
                <w:sz w:val="20"/>
                <w:szCs w:val="20"/>
                <w:lang w:eastAsia="en-AU"/>
              </w:rPr>
            </w:pPr>
          </w:p>
        </w:tc>
        <w:tc>
          <w:tcPr>
            <w:tcW w:w="1274" w:type="dxa"/>
            <w:tcBorders>
              <w:top w:val="single" w:sz="4" w:space="0" w:color="ED7D31" w:themeColor="accent2"/>
              <w:left w:val="nil"/>
              <w:bottom w:val="nil"/>
              <w:right w:val="nil"/>
            </w:tcBorders>
            <w:shd w:val="clear" w:color="auto" w:fill="auto"/>
            <w:noWrap/>
            <w:vAlign w:val="bottom"/>
            <w:hideMark/>
          </w:tcPr>
          <w:p w14:paraId="7F268033"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13226FCC" w14:textId="77777777" w:rsidTr="00214A11">
        <w:trPr>
          <w:trHeight w:hRule="exact" w:val="283"/>
        </w:trPr>
        <w:tc>
          <w:tcPr>
            <w:tcW w:w="2520" w:type="dxa"/>
            <w:tcBorders>
              <w:top w:val="nil"/>
              <w:left w:val="nil"/>
              <w:right w:val="nil"/>
            </w:tcBorders>
            <w:shd w:val="clear" w:color="auto" w:fill="auto"/>
            <w:noWrap/>
            <w:vAlign w:val="bottom"/>
            <w:hideMark/>
          </w:tcPr>
          <w:p w14:paraId="410ECA7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30-49</w:t>
            </w:r>
          </w:p>
        </w:tc>
        <w:tc>
          <w:tcPr>
            <w:tcW w:w="1166" w:type="dxa"/>
            <w:tcBorders>
              <w:top w:val="nil"/>
              <w:left w:val="nil"/>
              <w:right w:val="nil"/>
            </w:tcBorders>
            <w:shd w:val="clear" w:color="auto" w:fill="auto"/>
            <w:noWrap/>
            <w:vAlign w:val="bottom"/>
            <w:hideMark/>
          </w:tcPr>
          <w:p w14:paraId="6F79E09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0.157</w:t>
            </w:r>
          </w:p>
        </w:tc>
        <w:tc>
          <w:tcPr>
            <w:tcW w:w="1188" w:type="dxa"/>
            <w:tcBorders>
              <w:top w:val="nil"/>
              <w:left w:val="nil"/>
              <w:right w:val="nil"/>
            </w:tcBorders>
            <w:shd w:val="clear" w:color="auto" w:fill="auto"/>
            <w:noWrap/>
            <w:vAlign w:val="bottom"/>
            <w:hideMark/>
          </w:tcPr>
          <w:p w14:paraId="31A9FBE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-0.693***</w:t>
            </w:r>
          </w:p>
        </w:tc>
        <w:tc>
          <w:tcPr>
            <w:tcW w:w="1222" w:type="dxa"/>
            <w:tcBorders>
              <w:top w:val="nil"/>
              <w:left w:val="nil"/>
              <w:right w:val="nil"/>
            </w:tcBorders>
            <w:shd w:val="clear" w:color="auto" w:fill="auto"/>
            <w:noWrap/>
            <w:vAlign w:val="bottom"/>
            <w:hideMark/>
          </w:tcPr>
          <w:p w14:paraId="6131173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0.080</w:t>
            </w:r>
          </w:p>
        </w:tc>
        <w:tc>
          <w:tcPr>
            <w:tcW w:w="1417" w:type="dxa"/>
            <w:tcBorders>
              <w:top w:val="nil"/>
              <w:left w:val="nil"/>
              <w:right w:val="nil"/>
            </w:tcBorders>
            <w:shd w:val="clear" w:color="auto" w:fill="auto"/>
            <w:noWrap/>
            <w:vAlign w:val="bottom"/>
            <w:hideMark/>
          </w:tcPr>
          <w:p w14:paraId="3353A9F0"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-0.424**</w:t>
            </w:r>
          </w:p>
        </w:tc>
        <w:tc>
          <w:tcPr>
            <w:tcW w:w="1243" w:type="dxa"/>
            <w:tcBorders>
              <w:top w:val="nil"/>
              <w:left w:val="nil"/>
              <w:right w:val="nil"/>
            </w:tcBorders>
            <w:shd w:val="clear" w:color="auto" w:fill="auto"/>
            <w:noWrap/>
            <w:vAlign w:val="bottom"/>
            <w:hideMark/>
          </w:tcPr>
          <w:p w14:paraId="2BAB2EA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-0.557***</w:t>
            </w:r>
          </w:p>
        </w:tc>
        <w:tc>
          <w:tcPr>
            <w:tcW w:w="1275" w:type="dxa"/>
            <w:tcBorders>
              <w:top w:val="nil"/>
              <w:left w:val="nil"/>
              <w:right w:val="nil"/>
            </w:tcBorders>
            <w:shd w:val="clear" w:color="auto" w:fill="auto"/>
            <w:noWrap/>
            <w:vAlign w:val="bottom"/>
            <w:hideMark/>
          </w:tcPr>
          <w:p w14:paraId="612AC8E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-0.619***</w:t>
            </w:r>
          </w:p>
        </w:tc>
        <w:tc>
          <w:tcPr>
            <w:tcW w:w="1168" w:type="dxa"/>
            <w:tcBorders>
              <w:top w:val="nil"/>
              <w:left w:val="nil"/>
              <w:right w:val="nil"/>
            </w:tcBorders>
            <w:shd w:val="clear" w:color="auto" w:fill="auto"/>
            <w:noWrap/>
            <w:vAlign w:val="bottom"/>
            <w:hideMark/>
          </w:tcPr>
          <w:p w14:paraId="41699A1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-0.501***</w:t>
            </w:r>
          </w:p>
        </w:tc>
        <w:tc>
          <w:tcPr>
            <w:tcW w:w="1177" w:type="dxa"/>
            <w:tcBorders>
              <w:top w:val="nil"/>
              <w:left w:val="nil"/>
              <w:right w:val="nil"/>
            </w:tcBorders>
            <w:shd w:val="clear" w:color="auto" w:fill="auto"/>
            <w:noWrap/>
            <w:vAlign w:val="bottom"/>
            <w:hideMark/>
          </w:tcPr>
          <w:p w14:paraId="0B490DD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-0.077</w:t>
            </w:r>
          </w:p>
        </w:tc>
        <w:tc>
          <w:tcPr>
            <w:tcW w:w="1276" w:type="dxa"/>
            <w:tcBorders>
              <w:top w:val="nil"/>
              <w:left w:val="nil"/>
              <w:right w:val="nil"/>
            </w:tcBorders>
            <w:shd w:val="clear" w:color="auto" w:fill="auto"/>
            <w:noWrap/>
            <w:vAlign w:val="bottom"/>
            <w:hideMark/>
          </w:tcPr>
          <w:p w14:paraId="0CA5C94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-0.520**</w:t>
            </w:r>
          </w:p>
        </w:tc>
        <w:tc>
          <w:tcPr>
            <w:tcW w:w="1274" w:type="dxa"/>
            <w:tcBorders>
              <w:top w:val="nil"/>
              <w:left w:val="nil"/>
              <w:right w:val="nil"/>
            </w:tcBorders>
            <w:shd w:val="clear" w:color="auto" w:fill="auto"/>
            <w:noWrap/>
            <w:vAlign w:val="bottom"/>
            <w:hideMark/>
          </w:tcPr>
          <w:p w14:paraId="4F2680A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-0.089</w:t>
            </w:r>
          </w:p>
        </w:tc>
      </w:tr>
      <w:tr w:rsidR="00244248" w:rsidRPr="00611FD3" w14:paraId="3080B847"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2B279284"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282CAEA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(0.196)</w:t>
            </w:r>
          </w:p>
        </w:tc>
        <w:tc>
          <w:tcPr>
            <w:tcW w:w="1188" w:type="dxa"/>
            <w:tcBorders>
              <w:top w:val="nil"/>
              <w:left w:val="nil"/>
              <w:bottom w:val="single" w:sz="4" w:space="0" w:color="ED7D31" w:themeColor="accent2"/>
              <w:right w:val="nil"/>
            </w:tcBorders>
            <w:shd w:val="clear" w:color="auto" w:fill="auto"/>
            <w:noWrap/>
            <w:vAlign w:val="bottom"/>
            <w:hideMark/>
          </w:tcPr>
          <w:p w14:paraId="5534978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(0.200)</w:t>
            </w:r>
          </w:p>
        </w:tc>
        <w:tc>
          <w:tcPr>
            <w:tcW w:w="1222" w:type="dxa"/>
            <w:tcBorders>
              <w:top w:val="nil"/>
              <w:left w:val="nil"/>
              <w:bottom w:val="single" w:sz="4" w:space="0" w:color="ED7D31" w:themeColor="accent2"/>
              <w:right w:val="nil"/>
            </w:tcBorders>
            <w:shd w:val="clear" w:color="auto" w:fill="auto"/>
            <w:noWrap/>
            <w:vAlign w:val="bottom"/>
            <w:hideMark/>
          </w:tcPr>
          <w:p w14:paraId="5DA5061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(0.302)</w:t>
            </w:r>
          </w:p>
        </w:tc>
        <w:tc>
          <w:tcPr>
            <w:tcW w:w="1417" w:type="dxa"/>
            <w:tcBorders>
              <w:top w:val="nil"/>
              <w:left w:val="nil"/>
              <w:bottom w:val="single" w:sz="4" w:space="0" w:color="ED7D31" w:themeColor="accent2"/>
              <w:right w:val="nil"/>
            </w:tcBorders>
            <w:shd w:val="clear" w:color="auto" w:fill="auto"/>
            <w:noWrap/>
            <w:vAlign w:val="bottom"/>
            <w:hideMark/>
          </w:tcPr>
          <w:p w14:paraId="1EE8164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(0.211)</w:t>
            </w:r>
          </w:p>
        </w:tc>
        <w:tc>
          <w:tcPr>
            <w:tcW w:w="1243" w:type="dxa"/>
            <w:tcBorders>
              <w:top w:val="nil"/>
              <w:left w:val="nil"/>
              <w:bottom w:val="single" w:sz="4" w:space="0" w:color="ED7D31" w:themeColor="accent2"/>
              <w:right w:val="nil"/>
            </w:tcBorders>
            <w:shd w:val="clear" w:color="auto" w:fill="auto"/>
            <w:noWrap/>
            <w:vAlign w:val="bottom"/>
            <w:hideMark/>
          </w:tcPr>
          <w:p w14:paraId="48AB347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(0.187)</w:t>
            </w:r>
          </w:p>
        </w:tc>
        <w:tc>
          <w:tcPr>
            <w:tcW w:w="1275" w:type="dxa"/>
            <w:tcBorders>
              <w:top w:val="nil"/>
              <w:left w:val="nil"/>
              <w:bottom w:val="single" w:sz="4" w:space="0" w:color="ED7D31" w:themeColor="accent2"/>
              <w:right w:val="nil"/>
            </w:tcBorders>
            <w:shd w:val="clear" w:color="auto" w:fill="auto"/>
            <w:noWrap/>
            <w:vAlign w:val="bottom"/>
            <w:hideMark/>
          </w:tcPr>
          <w:p w14:paraId="6B08026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(0.189)</w:t>
            </w:r>
          </w:p>
        </w:tc>
        <w:tc>
          <w:tcPr>
            <w:tcW w:w="1168" w:type="dxa"/>
            <w:tcBorders>
              <w:top w:val="nil"/>
              <w:left w:val="nil"/>
              <w:bottom w:val="single" w:sz="4" w:space="0" w:color="ED7D31" w:themeColor="accent2"/>
              <w:right w:val="nil"/>
            </w:tcBorders>
            <w:shd w:val="clear" w:color="auto" w:fill="auto"/>
            <w:noWrap/>
            <w:vAlign w:val="bottom"/>
            <w:hideMark/>
          </w:tcPr>
          <w:p w14:paraId="2D5044F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(0.190)</w:t>
            </w:r>
          </w:p>
        </w:tc>
        <w:tc>
          <w:tcPr>
            <w:tcW w:w="1177" w:type="dxa"/>
            <w:tcBorders>
              <w:top w:val="nil"/>
              <w:left w:val="nil"/>
              <w:bottom w:val="single" w:sz="4" w:space="0" w:color="ED7D31" w:themeColor="accent2"/>
              <w:right w:val="nil"/>
            </w:tcBorders>
            <w:shd w:val="clear" w:color="auto" w:fill="auto"/>
            <w:noWrap/>
            <w:vAlign w:val="bottom"/>
            <w:hideMark/>
          </w:tcPr>
          <w:p w14:paraId="7B71953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(0.226)</w:t>
            </w:r>
          </w:p>
        </w:tc>
        <w:tc>
          <w:tcPr>
            <w:tcW w:w="1276" w:type="dxa"/>
            <w:tcBorders>
              <w:top w:val="nil"/>
              <w:left w:val="nil"/>
              <w:bottom w:val="single" w:sz="4" w:space="0" w:color="ED7D31" w:themeColor="accent2"/>
              <w:right w:val="nil"/>
            </w:tcBorders>
            <w:shd w:val="clear" w:color="auto" w:fill="auto"/>
            <w:noWrap/>
            <w:vAlign w:val="bottom"/>
            <w:hideMark/>
          </w:tcPr>
          <w:p w14:paraId="4F76134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(0.214)</w:t>
            </w:r>
          </w:p>
        </w:tc>
        <w:tc>
          <w:tcPr>
            <w:tcW w:w="1274" w:type="dxa"/>
            <w:tcBorders>
              <w:top w:val="nil"/>
              <w:left w:val="nil"/>
              <w:bottom w:val="single" w:sz="4" w:space="0" w:color="ED7D31" w:themeColor="accent2"/>
              <w:right w:val="nil"/>
            </w:tcBorders>
            <w:shd w:val="clear" w:color="auto" w:fill="auto"/>
            <w:noWrap/>
            <w:vAlign w:val="bottom"/>
            <w:hideMark/>
          </w:tcPr>
          <w:p w14:paraId="7FCE82E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(0.313)</w:t>
            </w:r>
          </w:p>
        </w:tc>
      </w:tr>
      <w:tr w:rsidR="00244248" w:rsidRPr="00611FD3" w14:paraId="66669E55"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552A460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Education</w:t>
            </w:r>
            <w:r w:rsidRPr="00611FD3">
              <w:rPr>
                <w:rFonts w:asciiTheme="majorHAnsi" w:eastAsia="Times New Roman" w:hAnsiTheme="majorHAnsi" w:cstheme="majorHAnsi"/>
                <w:color w:val="000000"/>
                <w:sz w:val="20"/>
                <w:szCs w:val="20"/>
                <w:lang w:eastAsia="en-AU"/>
              </w:rPr>
              <w:t xml:space="preserve"> (ref: Bachelors)</w:t>
            </w:r>
          </w:p>
        </w:tc>
        <w:tc>
          <w:tcPr>
            <w:tcW w:w="1166" w:type="dxa"/>
            <w:tcBorders>
              <w:top w:val="single" w:sz="4" w:space="0" w:color="ED7D31" w:themeColor="accent2"/>
              <w:left w:val="nil"/>
              <w:bottom w:val="nil"/>
              <w:right w:val="nil"/>
            </w:tcBorders>
            <w:shd w:val="clear" w:color="auto" w:fill="auto"/>
            <w:noWrap/>
            <w:vAlign w:val="bottom"/>
            <w:hideMark/>
          </w:tcPr>
          <w:p w14:paraId="51CE146C"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69F259CF" w14:textId="77777777" w:rsidR="00244248" w:rsidRPr="00611FD3" w:rsidRDefault="00244248" w:rsidP="00335B25">
            <w:pPr>
              <w:rPr>
                <w:rFonts w:asciiTheme="majorHAnsi" w:eastAsia="Times New Roman" w:hAnsiTheme="majorHAnsi" w:cstheme="majorHAnsi"/>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116C4D98" w14:textId="77777777" w:rsidR="00244248" w:rsidRPr="00611FD3" w:rsidRDefault="00244248" w:rsidP="00335B25">
            <w:pPr>
              <w:rPr>
                <w:rFonts w:asciiTheme="majorHAnsi" w:eastAsia="Times New Roman" w:hAnsiTheme="majorHAnsi" w:cstheme="majorHAnsi"/>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02E96935" w14:textId="77777777" w:rsidR="00244248" w:rsidRPr="00611FD3" w:rsidRDefault="00244248" w:rsidP="00335B25">
            <w:pPr>
              <w:rPr>
                <w:rFonts w:asciiTheme="majorHAnsi" w:eastAsia="Times New Roman" w:hAnsiTheme="majorHAnsi" w:cstheme="majorHAnsi"/>
                <w:sz w:val="20"/>
                <w:szCs w:val="20"/>
                <w:lang w:eastAsia="en-AU"/>
              </w:rPr>
            </w:pPr>
          </w:p>
        </w:tc>
        <w:tc>
          <w:tcPr>
            <w:tcW w:w="1243" w:type="dxa"/>
            <w:tcBorders>
              <w:top w:val="single" w:sz="4" w:space="0" w:color="ED7D31" w:themeColor="accent2"/>
              <w:left w:val="nil"/>
              <w:bottom w:val="nil"/>
              <w:right w:val="nil"/>
            </w:tcBorders>
            <w:shd w:val="clear" w:color="auto" w:fill="auto"/>
            <w:noWrap/>
            <w:vAlign w:val="bottom"/>
            <w:hideMark/>
          </w:tcPr>
          <w:p w14:paraId="4F75D771" w14:textId="77777777" w:rsidR="00244248" w:rsidRPr="00611FD3" w:rsidRDefault="00244248" w:rsidP="00335B25">
            <w:pPr>
              <w:rPr>
                <w:rFonts w:asciiTheme="majorHAnsi" w:eastAsia="Times New Roman" w:hAnsiTheme="majorHAnsi" w:cstheme="majorHAnsi"/>
                <w:sz w:val="20"/>
                <w:szCs w:val="20"/>
                <w:lang w:eastAsia="en-AU"/>
              </w:rPr>
            </w:pPr>
          </w:p>
        </w:tc>
        <w:tc>
          <w:tcPr>
            <w:tcW w:w="1275" w:type="dxa"/>
            <w:tcBorders>
              <w:top w:val="single" w:sz="4" w:space="0" w:color="ED7D31" w:themeColor="accent2"/>
              <w:left w:val="nil"/>
              <w:bottom w:val="nil"/>
              <w:right w:val="nil"/>
            </w:tcBorders>
            <w:shd w:val="clear" w:color="auto" w:fill="auto"/>
            <w:noWrap/>
            <w:vAlign w:val="bottom"/>
            <w:hideMark/>
          </w:tcPr>
          <w:p w14:paraId="76D6E4F0" w14:textId="77777777" w:rsidR="00244248" w:rsidRPr="00611FD3" w:rsidRDefault="00244248" w:rsidP="00335B25">
            <w:pPr>
              <w:rPr>
                <w:rFonts w:asciiTheme="majorHAnsi" w:eastAsia="Times New Roman" w:hAnsiTheme="majorHAnsi" w:cstheme="majorHAnsi"/>
                <w:sz w:val="20"/>
                <w:szCs w:val="20"/>
                <w:lang w:eastAsia="en-AU"/>
              </w:rPr>
            </w:pPr>
          </w:p>
        </w:tc>
        <w:tc>
          <w:tcPr>
            <w:tcW w:w="1168" w:type="dxa"/>
            <w:tcBorders>
              <w:top w:val="single" w:sz="4" w:space="0" w:color="ED7D31" w:themeColor="accent2"/>
              <w:left w:val="nil"/>
              <w:bottom w:val="nil"/>
              <w:right w:val="nil"/>
            </w:tcBorders>
            <w:shd w:val="clear" w:color="auto" w:fill="auto"/>
            <w:noWrap/>
            <w:vAlign w:val="bottom"/>
            <w:hideMark/>
          </w:tcPr>
          <w:p w14:paraId="2D19C8B2" w14:textId="77777777" w:rsidR="00244248" w:rsidRPr="00611FD3" w:rsidRDefault="00244248" w:rsidP="00335B25">
            <w:pPr>
              <w:rPr>
                <w:rFonts w:asciiTheme="majorHAnsi" w:eastAsia="Times New Roman" w:hAnsiTheme="majorHAnsi" w:cstheme="majorHAnsi"/>
                <w:sz w:val="20"/>
                <w:szCs w:val="20"/>
                <w:lang w:eastAsia="en-AU"/>
              </w:rPr>
            </w:pPr>
          </w:p>
        </w:tc>
        <w:tc>
          <w:tcPr>
            <w:tcW w:w="1177" w:type="dxa"/>
            <w:tcBorders>
              <w:top w:val="single" w:sz="4" w:space="0" w:color="ED7D31" w:themeColor="accent2"/>
              <w:left w:val="nil"/>
              <w:bottom w:val="nil"/>
              <w:right w:val="nil"/>
            </w:tcBorders>
            <w:shd w:val="clear" w:color="auto" w:fill="auto"/>
            <w:noWrap/>
            <w:vAlign w:val="bottom"/>
            <w:hideMark/>
          </w:tcPr>
          <w:p w14:paraId="513511BB" w14:textId="77777777" w:rsidR="00244248" w:rsidRPr="00611FD3" w:rsidRDefault="00244248" w:rsidP="00335B25">
            <w:pPr>
              <w:rPr>
                <w:rFonts w:asciiTheme="majorHAnsi" w:eastAsia="Times New Roman" w:hAnsiTheme="majorHAnsi" w:cstheme="majorHAnsi"/>
                <w:sz w:val="20"/>
                <w:szCs w:val="20"/>
                <w:lang w:eastAsia="en-AU"/>
              </w:rPr>
            </w:pPr>
          </w:p>
        </w:tc>
        <w:tc>
          <w:tcPr>
            <w:tcW w:w="1276" w:type="dxa"/>
            <w:tcBorders>
              <w:top w:val="single" w:sz="4" w:space="0" w:color="ED7D31" w:themeColor="accent2"/>
              <w:left w:val="nil"/>
              <w:bottom w:val="nil"/>
              <w:right w:val="nil"/>
            </w:tcBorders>
            <w:shd w:val="clear" w:color="auto" w:fill="auto"/>
            <w:noWrap/>
            <w:vAlign w:val="bottom"/>
            <w:hideMark/>
          </w:tcPr>
          <w:p w14:paraId="7BF60E31" w14:textId="77777777" w:rsidR="00244248" w:rsidRPr="00611FD3" w:rsidRDefault="00244248" w:rsidP="00335B25">
            <w:pPr>
              <w:rPr>
                <w:rFonts w:asciiTheme="majorHAnsi" w:eastAsia="Times New Roman" w:hAnsiTheme="majorHAnsi" w:cstheme="majorHAnsi"/>
                <w:sz w:val="20"/>
                <w:szCs w:val="20"/>
                <w:lang w:eastAsia="en-AU"/>
              </w:rPr>
            </w:pPr>
          </w:p>
        </w:tc>
        <w:tc>
          <w:tcPr>
            <w:tcW w:w="1274" w:type="dxa"/>
            <w:tcBorders>
              <w:top w:val="single" w:sz="4" w:space="0" w:color="ED7D31" w:themeColor="accent2"/>
              <w:left w:val="nil"/>
              <w:bottom w:val="nil"/>
              <w:right w:val="nil"/>
            </w:tcBorders>
            <w:shd w:val="clear" w:color="auto" w:fill="auto"/>
            <w:noWrap/>
            <w:vAlign w:val="bottom"/>
            <w:hideMark/>
          </w:tcPr>
          <w:p w14:paraId="298B7725"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6E058DB1" w14:textId="77777777" w:rsidTr="00214A11">
        <w:trPr>
          <w:trHeight w:hRule="exact" w:val="283"/>
        </w:trPr>
        <w:tc>
          <w:tcPr>
            <w:tcW w:w="2520" w:type="dxa"/>
            <w:tcBorders>
              <w:top w:val="nil"/>
              <w:left w:val="nil"/>
              <w:bottom w:val="nil"/>
              <w:right w:val="nil"/>
            </w:tcBorders>
            <w:shd w:val="clear" w:color="auto" w:fill="auto"/>
            <w:noWrap/>
            <w:vAlign w:val="bottom"/>
            <w:hideMark/>
          </w:tcPr>
          <w:p w14:paraId="09D4FF3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Postgraduate</w:t>
            </w:r>
          </w:p>
        </w:tc>
        <w:tc>
          <w:tcPr>
            <w:tcW w:w="1166" w:type="dxa"/>
            <w:tcBorders>
              <w:top w:val="nil"/>
              <w:left w:val="nil"/>
              <w:bottom w:val="nil"/>
              <w:right w:val="nil"/>
            </w:tcBorders>
            <w:shd w:val="clear" w:color="auto" w:fill="auto"/>
            <w:noWrap/>
            <w:vAlign w:val="bottom"/>
            <w:hideMark/>
          </w:tcPr>
          <w:p w14:paraId="4B4ECC3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0.195</w:t>
            </w:r>
          </w:p>
        </w:tc>
        <w:tc>
          <w:tcPr>
            <w:tcW w:w="1188" w:type="dxa"/>
            <w:tcBorders>
              <w:top w:val="nil"/>
              <w:left w:val="nil"/>
              <w:bottom w:val="nil"/>
              <w:right w:val="nil"/>
            </w:tcBorders>
            <w:shd w:val="clear" w:color="auto" w:fill="auto"/>
            <w:noWrap/>
            <w:vAlign w:val="bottom"/>
            <w:hideMark/>
          </w:tcPr>
          <w:p w14:paraId="28FE77B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0.400*</w:t>
            </w:r>
          </w:p>
        </w:tc>
        <w:tc>
          <w:tcPr>
            <w:tcW w:w="1222" w:type="dxa"/>
            <w:tcBorders>
              <w:top w:val="nil"/>
              <w:left w:val="nil"/>
              <w:bottom w:val="nil"/>
              <w:right w:val="nil"/>
            </w:tcBorders>
            <w:shd w:val="clear" w:color="auto" w:fill="auto"/>
            <w:noWrap/>
            <w:vAlign w:val="bottom"/>
            <w:hideMark/>
          </w:tcPr>
          <w:p w14:paraId="454441E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0.265</w:t>
            </w:r>
          </w:p>
        </w:tc>
        <w:tc>
          <w:tcPr>
            <w:tcW w:w="1417" w:type="dxa"/>
            <w:tcBorders>
              <w:top w:val="nil"/>
              <w:left w:val="nil"/>
              <w:bottom w:val="nil"/>
              <w:right w:val="nil"/>
            </w:tcBorders>
            <w:shd w:val="clear" w:color="auto" w:fill="auto"/>
            <w:noWrap/>
            <w:vAlign w:val="bottom"/>
            <w:hideMark/>
          </w:tcPr>
          <w:p w14:paraId="66A06C1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0.349</w:t>
            </w:r>
          </w:p>
        </w:tc>
        <w:tc>
          <w:tcPr>
            <w:tcW w:w="1243" w:type="dxa"/>
            <w:tcBorders>
              <w:top w:val="nil"/>
              <w:left w:val="nil"/>
              <w:bottom w:val="nil"/>
              <w:right w:val="nil"/>
            </w:tcBorders>
            <w:shd w:val="clear" w:color="auto" w:fill="auto"/>
            <w:noWrap/>
            <w:vAlign w:val="bottom"/>
            <w:hideMark/>
          </w:tcPr>
          <w:p w14:paraId="335FAB4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0.410**</w:t>
            </w:r>
          </w:p>
        </w:tc>
        <w:tc>
          <w:tcPr>
            <w:tcW w:w="1275" w:type="dxa"/>
            <w:tcBorders>
              <w:top w:val="nil"/>
              <w:left w:val="nil"/>
              <w:bottom w:val="nil"/>
              <w:right w:val="nil"/>
            </w:tcBorders>
            <w:shd w:val="clear" w:color="auto" w:fill="auto"/>
            <w:noWrap/>
            <w:vAlign w:val="bottom"/>
            <w:hideMark/>
          </w:tcPr>
          <w:p w14:paraId="7839FB4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0.205</w:t>
            </w:r>
          </w:p>
        </w:tc>
        <w:tc>
          <w:tcPr>
            <w:tcW w:w="1168" w:type="dxa"/>
            <w:tcBorders>
              <w:top w:val="nil"/>
              <w:left w:val="nil"/>
              <w:bottom w:val="nil"/>
              <w:right w:val="nil"/>
            </w:tcBorders>
            <w:shd w:val="clear" w:color="auto" w:fill="auto"/>
            <w:noWrap/>
            <w:vAlign w:val="bottom"/>
            <w:hideMark/>
          </w:tcPr>
          <w:p w14:paraId="636AFAF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-0.094</w:t>
            </w:r>
          </w:p>
        </w:tc>
        <w:tc>
          <w:tcPr>
            <w:tcW w:w="1177" w:type="dxa"/>
            <w:tcBorders>
              <w:top w:val="nil"/>
              <w:left w:val="nil"/>
              <w:bottom w:val="nil"/>
              <w:right w:val="nil"/>
            </w:tcBorders>
            <w:shd w:val="clear" w:color="auto" w:fill="auto"/>
            <w:noWrap/>
            <w:vAlign w:val="bottom"/>
            <w:hideMark/>
          </w:tcPr>
          <w:p w14:paraId="1A2A938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-0.039</w:t>
            </w:r>
          </w:p>
        </w:tc>
        <w:tc>
          <w:tcPr>
            <w:tcW w:w="1276" w:type="dxa"/>
            <w:tcBorders>
              <w:top w:val="nil"/>
              <w:left w:val="nil"/>
              <w:bottom w:val="nil"/>
              <w:right w:val="nil"/>
            </w:tcBorders>
            <w:shd w:val="clear" w:color="auto" w:fill="auto"/>
            <w:noWrap/>
            <w:vAlign w:val="bottom"/>
            <w:hideMark/>
          </w:tcPr>
          <w:p w14:paraId="6E6B361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0.062</w:t>
            </w:r>
          </w:p>
        </w:tc>
        <w:tc>
          <w:tcPr>
            <w:tcW w:w="1274" w:type="dxa"/>
            <w:tcBorders>
              <w:top w:val="nil"/>
              <w:left w:val="nil"/>
              <w:bottom w:val="nil"/>
              <w:right w:val="nil"/>
            </w:tcBorders>
            <w:shd w:val="clear" w:color="auto" w:fill="auto"/>
            <w:noWrap/>
            <w:vAlign w:val="bottom"/>
            <w:hideMark/>
          </w:tcPr>
          <w:p w14:paraId="22067D6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-0.039</w:t>
            </w:r>
          </w:p>
        </w:tc>
      </w:tr>
      <w:tr w:rsidR="00244248" w:rsidRPr="00611FD3" w14:paraId="719845BC" w14:textId="77777777" w:rsidTr="00214A11">
        <w:trPr>
          <w:trHeight w:hRule="exact" w:val="283"/>
        </w:trPr>
        <w:tc>
          <w:tcPr>
            <w:tcW w:w="2520" w:type="dxa"/>
            <w:tcBorders>
              <w:top w:val="nil"/>
              <w:left w:val="nil"/>
              <w:bottom w:val="nil"/>
              <w:right w:val="nil"/>
            </w:tcBorders>
            <w:shd w:val="clear" w:color="auto" w:fill="auto"/>
            <w:noWrap/>
            <w:vAlign w:val="bottom"/>
            <w:hideMark/>
          </w:tcPr>
          <w:p w14:paraId="66199EC2"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nil"/>
              <w:right w:val="nil"/>
            </w:tcBorders>
            <w:shd w:val="clear" w:color="auto" w:fill="auto"/>
            <w:noWrap/>
            <w:vAlign w:val="bottom"/>
            <w:hideMark/>
          </w:tcPr>
          <w:p w14:paraId="7FEC623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(0.210)</w:t>
            </w:r>
          </w:p>
        </w:tc>
        <w:tc>
          <w:tcPr>
            <w:tcW w:w="1188" w:type="dxa"/>
            <w:tcBorders>
              <w:top w:val="nil"/>
              <w:left w:val="nil"/>
              <w:bottom w:val="nil"/>
              <w:right w:val="nil"/>
            </w:tcBorders>
            <w:shd w:val="clear" w:color="auto" w:fill="auto"/>
            <w:noWrap/>
            <w:vAlign w:val="bottom"/>
            <w:hideMark/>
          </w:tcPr>
          <w:p w14:paraId="2A8023A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(0.234)</w:t>
            </w:r>
          </w:p>
        </w:tc>
        <w:tc>
          <w:tcPr>
            <w:tcW w:w="1222" w:type="dxa"/>
            <w:tcBorders>
              <w:top w:val="nil"/>
              <w:left w:val="nil"/>
              <w:bottom w:val="nil"/>
              <w:right w:val="nil"/>
            </w:tcBorders>
            <w:shd w:val="clear" w:color="auto" w:fill="auto"/>
            <w:noWrap/>
            <w:vAlign w:val="bottom"/>
            <w:hideMark/>
          </w:tcPr>
          <w:p w14:paraId="10E5AC7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(0.318)</w:t>
            </w:r>
          </w:p>
        </w:tc>
        <w:tc>
          <w:tcPr>
            <w:tcW w:w="1417" w:type="dxa"/>
            <w:tcBorders>
              <w:top w:val="nil"/>
              <w:left w:val="nil"/>
              <w:bottom w:val="nil"/>
              <w:right w:val="nil"/>
            </w:tcBorders>
            <w:shd w:val="clear" w:color="auto" w:fill="auto"/>
            <w:noWrap/>
            <w:vAlign w:val="bottom"/>
            <w:hideMark/>
          </w:tcPr>
          <w:p w14:paraId="561549E9"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(0.236)</w:t>
            </w:r>
          </w:p>
        </w:tc>
        <w:tc>
          <w:tcPr>
            <w:tcW w:w="1243" w:type="dxa"/>
            <w:tcBorders>
              <w:top w:val="nil"/>
              <w:left w:val="nil"/>
              <w:bottom w:val="nil"/>
              <w:right w:val="nil"/>
            </w:tcBorders>
            <w:shd w:val="clear" w:color="auto" w:fill="auto"/>
            <w:noWrap/>
            <w:vAlign w:val="bottom"/>
            <w:hideMark/>
          </w:tcPr>
          <w:p w14:paraId="09C147D7"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(0.207)</w:t>
            </w:r>
          </w:p>
        </w:tc>
        <w:tc>
          <w:tcPr>
            <w:tcW w:w="1275" w:type="dxa"/>
            <w:tcBorders>
              <w:top w:val="nil"/>
              <w:left w:val="nil"/>
              <w:bottom w:val="nil"/>
              <w:right w:val="nil"/>
            </w:tcBorders>
            <w:shd w:val="clear" w:color="auto" w:fill="auto"/>
            <w:noWrap/>
            <w:vAlign w:val="bottom"/>
            <w:hideMark/>
          </w:tcPr>
          <w:p w14:paraId="56EDAE9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(0.208)</w:t>
            </w:r>
          </w:p>
        </w:tc>
        <w:tc>
          <w:tcPr>
            <w:tcW w:w="1168" w:type="dxa"/>
            <w:tcBorders>
              <w:top w:val="nil"/>
              <w:left w:val="nil"/>
              <w:bottom w:val="nil"/>
              <w:right w:val="nil"/>
            </w:tcBorders>
            <w:shd w:val="clear" w:color="auto" w:fill="auto"/>
            <w:noWrap/>
            <w:vAlign w:val="bottom"/>
            <w:hideMark/>
          </w:tcPr>
          <w:p w14:paraId="774EB1A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(0.202)</w:t>
            </w:r>
          </w:p>
        </w:tc>
        <w:tc>
          <w:tcPr>
            <w:tcW w:w="1177" w:type="dxa"/>
            <w:tcBorders>
              <w:top w:val="nil"/>
              <w:left w:val="nil"/>
              <w:bottom w:val="nil"/>
              <w:right w:val="nil"/>
            </w:tcBorders>
            <w:shd w:val="clear" w:color="auto" w:fill="auto"/>
            <w:noWrap/>
            <w:vAlign w:val="bottom"/>
            <w:hideMark/>
          </w:tcPr>
          <w:p w14:paraId="2101A69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(0.230)</w:t>
            </w:r>
          </w:p>
        </w:tc>
        <w:tc>
          <w:tcPr>
            <w:tcW w:w="1276" w:type="dxa"/>
            <w:tcBorders>
              <w:top w:val="nil"/>
              <w:left w:val="nil"/>
              <w:bottom w:val="nil"/>
              <w:right w:val="nil"/>
            </w:tcBorders>
            <w:shd w:val="clear" w:color="auto" w:fill="auto"/>
            <w:noWrap/>
            <w:vAlign w:val="bottom"/>
            <w:hideMark/>
          </w:tcPr>
          <w:p w14:paraId="575FAEF7"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(0.243)</w:t>
            </w:r>
          </w:p>
        </w:tc>
        <w:tc>
          <w:tcPr>
            <w:tcW w:w="1274" w:type="dxa"/>
            <w:tcBorders>
              <w:top w:val="nil"/>
              <w:left w:val="nil"/>
              <w:bottom w:val="nil"/>
              <w:right w:val="nil"/>
            </w:tcBorders>
            <w:shd w:val="clear" w:color="auto" w:fill="auto"/>
            <w:noWrap/>
            <w:vAlign w:val="bottom"/>
            <w:hideMark/>
          </w:tcPr>
          <w:p w14:paraId="0CC80C9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(0.348)</w:t>
            </w:r>
          </w:p>
        </w:tc>
      </w:tr>
      <w:tr w:rsidR="00244248" w:rsidRPr="00611FD3" w14:paraId="1E09CF22" w14:textId="77777777" w:rsidTr="00214A11">
        <w:trPr>
          <w:trHeight w:hRule="exact" w:val="283"/>
        </w:trPr>
        <w:tc>
          <w:tcPr>
            <w:tcW w:w="2520" w:type="dxa"/>
            <w:tcBorders>
              <w:top w:val="nil"/>
              <w:left w:val="nil"/>
              <w:bottom w:val="nil"/>
              <w:right w:val="nil"/>
            </w:tcBorders>
            <w:shd w:val="clear" w:color="auto" w:fill="auto"/>
            <w:noWrap/>
            <w:vAlign w:val="bottom"/>
            <w:hideMark/>
          </w:tcPr>
          <w:p w14:paraId="79B83CA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Diploma or Cert III/IV</w:t>
            </w:r>
          </w:p>
        </w:tc>
        <w:tc>
          <w:tcPr>
            <w:tcW w:w="1166" w:type="dxa"/>
            <w:tcBorders>
              <w:top w:val="nil"/>
              <w:left w:val="nil"/>
              <w:bottom w:val="nil"/>
              <w:right w:val="nil"/>
            </w:tcBorders>
            <w:shd w:val="clear" w:color="auto" w:fill="auto"/>
            <w:noWrap/>
            <w:vAlign w:val="bottom"/>
            <w:hideMark/>
          </w:tcPr>
          <w:p w14:paraId="2BFC8A9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-0.159</w:t>
            </w:r>
          </w:p>
        </w:tc>
        <w:tc>
          <w:tcPr>
            <w:tcW w:w="1188" w:type="dxa"/>
            <w:tcBorders>
              <w:top w:val="nil"/>
              <w:left w:val="nil"/>
              <w:bottom w:val="nil"/>
              <w:right w:val="nil"/>
            </w:tcBorders>
            <w:shd w:val="clear" w:color="auto" w:fill="auto"/>
            <w:noWrap/>
            <w:vAlign w:val="bottom"/>
            <w:hideMark/>
          </w:tcPr>
          <w:p w14:paraId="125DC9A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0.051</w:t>
            </w:r>
          </w:p>
        </w:tc>
        <w:tc>
          <w:tcPr>
            <w:tcW w:w="1222" w:type="dxa"/>
            <w:tcBorders>
              <w:top w:val="nil"/>
              <w:left w:val="nil"/>
              <w:bottom w:val="nil"/>
              <w:right w:val="nil"/>
            </w:tcBorders>
            <w:shd w:val="clear" w:color="auto" w:fill="auto"/>
            <w:noWrap/>
            <w:vAlign w:val="bottom"/>
            <w:hideMark/>
          </w:tcPr>
          <w:p w14:paraId="330DDCB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-0.338</w:t>
            </w:r>
          </w:p>
        </w:tc>
        <w:tc>
          <w:tcPr>
            <w:tcW w:w="1417" w:type="dxa"/>
            <w:tcBorders>
              <w:top w:val="nil"/>
              <w:left w:val="nil"/>
              <w:bottom w:val="nil"/>
              <w:right w:val="nil"/>
            </w:tcBorders>
            <w:shd w:val="clear" w:color="auto" w:fill="auto"/>
            <w:noWrap/>
            <w:vAlign w:val="bottom"/>
            <w:hideMark/>
          </w:tcPr>
          <w:p w14:paraId="35DA2D0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-0.138</w:t>
            </w:r>
          </w:p>
        </w:tc>
        <w:tc>
          <w:tcPr>
            <w:tcW w:w="1243" w:type="dxa"/>
            <w:tcBorders>
              <w:top w:val="nil"/>
              <w:left w:val="nil"/>
              <w:bottom w:val="nil"/>
              <w:right w:val="nil"/>
            </w:tcBorders>
            <w:shd w:val="clear" w:color="auto" w:fill="auto"/>
            <w:noWrap/>
            <w:vAlign w:val="bottom"/>
            <w:hideMark/>
          </w:tcPr>
          <w:p w14:paraId="0DFE54B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0.359*</w:t>
            </w:r>
          </w:p>
        </w:tc>
        <w:tc>
          <w:tcPr>
            <w:tcW w:w="1275" w:type="dxa"/>
            <w:tcBorders>
              <w:top w:val="nil"/>
              <w:left w:val="nil"/>
              <w:bottom w:val="nil"/>
              <w:right w:val="nil"/>
            </w:tcBorders>
            <w:shd w:val="clear" w:color="auto" w:fill="auto"/>
            <w:noWrap/>
            <w:vAlign w:val="bottom"/>
            <w:hideMark/>
          </w:tcPr>
          <w:p w14:paraId="71059F6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0.242</w:t>
            </w:r>
          </w:p>
        </w:tc>
        <w:tc>
          <w:tcPr>
            <w:tcW w:w="1168" w:type="dxa"/>
            <w:tcBorders>
              <w:top w:val="nil"/>
              <w:left w:val="nil"/>
              <w:bottom w:val="nil"/>
              <w:right w:val="nil"/>
            </w:tcBorders>
            <w:shd w:val="clear" w:color="auto" w:fill="auto"/>
            <w:noWrap/>
            <w:vAlign w:val="bottom"/>
            <w:hideMark/>
          </w:tcPr>
          <w:p w14:paraId="7FC18DA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-0.284</w:t>
            </w:r>
          </w:p>
        </w:tc>
        <w:tc>
          <w:tcPr>
            <w:tcW w:w="1177" w:type="dxa"/>
            <w:tcBorders>
              <w:top w:val="nil"/>
              <w:left w:val="nil"/>
              <w:bottom w:val="nil"/>
              <w:right w:val="nil"/>
            </w:tcBorders>
            <w:shd w:val="clear" w:color="auto" w:fill="auto"/>
            <w:noWrap/>
            <w:vAlign w:val="bottom"/>
            <w:hideMark/>
          </w:tcPr>
          <w:p w14:paraId="3F64527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-0.198</w:t>
            </w:r>
          </w:p>
        </w:tc>
        <w:tc>
          <w:tcPr>
            <w:tcW w:w="1276" w:type="dxa"/>
            <w:tcBorders>
              <w:top w:val="nil"/>
              <w:left w:val="nil"/>
              <w:bottom w:val="nil"/>
              <w:right w:val="nil"/>
            </w:tcBorders>
            <w:shd w:val="clear" w:color="auto" w:fill="auto"/>
            <w:noWrap/>
            <w:vAlign w:val="bottom"/>
            <w:hideMark/>
          </w:tcPr>
          <w:p w14:paraId="06BBFFB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-0.256</w:t>
            </w:r>
          </w:p>
        </w:tc>
        <w:tc>
          <w:tcPr>
            <w:tcW w:w="1274" w:type="dxa"/>
            <w:tcBorders>
              <w:top w:val="nil"/>
              <w:left w:val="nil"/>
              <w:bottom w:val="nil"/>
              <w:right w:val="nil"/>
            </w:tcBorders>
            <w:shd w:val="clear" w:color="auto" w:fill="auto"/>
            <w:noWrap/>
            <w:vAlign w:val="bottom"/>
            <w:hideMark/>
          </w:tcPr>
          <w:p w14:paraId="754CCAB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-0.077</w:t>
            </w:r>
          </w:p>
        </w:tc>
      </w:tr>
      <w:tr w:rsidR="00244248" w:rsidRPr="00611FD3" w14:paraId="7C488369" w14:textId="77777777" w:rsidTr="00214A11">
        <w:trPr>
          <w:trHeight w:hRule="exact" w:val="283"/>
        </w:trPr>
        <w:tc>
          <w:tcPr>
            <w:tcW w:w="2520" w:type="dxa"/>
            <w:tcBorders>
              <w:top w:val="nil"/>
              <w:left w:val="nil"/>
              <w:bottom w:val="nil"/>
              <w:right w:val="nil"/>
            </w:tcBorders>
            <w:shd w:val="clear" w:color="auto" w:fill="auto"/>
            <w:noWrap/>
            <w:vAlign w:val="bottom"/>
            <w:hideMark/>
          </w:tcPr>
          <w:p w14:paraId="795C208B"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nil"/>
              <w:right w:val="nil"/>
            </w:tcBorders>
            <w:shd w:val="clear" w:color="auto" w:fill="auto"/>
            <w:noWrap/>
            <w:vAlign w:val="bottom"/>
            <w:hideMark/>
          </w:tcPr>
          <w:p w14:paraId="5E59627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(0.208)</w:t>
            </w:r>
          </w:p>
        </w:tc>
        <w:tc>
          <w:tcPr>
            <w:tcW w:w="1188" w:type="dxa"/>
            <w:tcBorders>
              <w:top w:val="nil"/>
              <w:left w:val="nil"/>
              <w:bottom w:val="nil"/>
              <w:right w:val="nil"/>
            </w:tcBorders>
            <w:shd w:val="clear" w:color="auto" w:fill="auto"/>
            <w:noWrap/>
            <w:vAlign w:val="bottom"/>
            <w:hideMark/>
          </w:tcPr>
          <w:p w14:paraId="2624482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(0.237)</w:t>
            </w:r>
          </w:p>
        </w:tc>
        <w:tc>
          <w:tcPr>
            <w:tcW w:w="1222" w:type="dxa"/>
            <w:tcBorders>
              <w:top w:val="nil"/>
              <w:left w:val="nil"/>
              <w:bottom w:val="nil"/>
              <w:right w:val="nil"/>
            </w:tcBorders>
            <w:shd w:val="clear" w:color="auto" w:fill="auto"/>
            <w:noWrap/>
            <w:vAlign w:val="bottom"/>
            <w:hideMark/>
          </w:tcPr>
          <w:p w14:paraId="58EFD0F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(0.341)</w:t>
            </w:r>
          </w:p>
        </w:tc>
        <w:tc>
          <w:tcPr>
            <w:tcW w:w="1417" w:type="dxa"/>
            <w:tcBorders>
              <w:top w:val="nil"/>
              <w:left w:val="nil"/>
              <w:bottom w:val="nil"/>
              <w:right w:val="nil"/>
            </w:tcBorders>
            <w:shd w:val="clear" w:color="auto" w:fill="auto"/>
            <w:noWrap/>
            <w:vAlign w:val="bottom"/>
            <w:hideMark/>
          </w:tcPr>
          <w:p w14:paraId="033139D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(0.237)</w:t>
            </w:r>
          </w:p>
        </w:tc>
        <w:tc>
          <w:tcPr>
            <w:tcW w:w="1243" w:type="dxa"/>
            <w:tcBorders>
              <w:top w:val="nil"/>
              <w:left w:val="nil"/>
              <w:bottom w:val="nil"/>
              <w:right w:val="nil"/>
            </w:tcBorders>
            <w:shd w:val="clear" w:color="auto" w:fill="auto"/>
            <w:noWrap/>
            <w:vAlign w:val="bottom"/>
            <w:hideMark/>
          </w:tcPr>
          <w:p w14:paraId="12842B2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(0.202)</w:t>
            </w:r>
          </w:p>
        </w:tc>
        <w:tc>
          <w:tcPr>
            <w:tcW w:w="1275" w:type="dxa"/>
            <w:tcBorders>
              <w:top w:val="nil"/>
              <w:left w:val="nil"/>
              <w:bottom w:val="nil"/>
              <w:right w:val="nil"/>
            </w:tcBorders>
            <w:shd w:val="clear" w:color="auto" w:fill="auto"/>
            <w:noWrap/>
            <w:vAlign w:val="bottom"/>
            <w:hideMark/>
          </w:tcPr>
          <w:p w14:paraId="7378F07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(0.202)</w:t>
            </w:r>
          </w:p>
        </w:tc>
        <w:tc>
          <w:tcPr>
            <w:tcW w:w="1168" w:type="dxa"/>
            <w:tcBorders>
              <w:top w:val="nil"/>
              <w:left w:val="nil"/>
              <w:bottom w:val="nil"/>
              <w:right w:val="nil"/>
            </w:tcBorders>
            <w:shd w:val="clear" w:color="auto" w:fill="auto"/>
            <w:noWrap/>
            <w:vAlign w:val="bottom"/>
            <w:hideMark/>
          </w:tcPr>
          <w:p w14:paraId="01AD8F3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(0.199)</w:t>
            </w:r>
          </w:p>
        </w:tc>
        <w:tc>
          <w:tcPr>
            <w:tcW w:w="1177" w:type="dxa"/>
            <w:tcBorders>
              <w:top w:val="nil"/>
              <w:left w:val="nil"/>
              <w:bottom w:val="nil"/>
              <w:right w:val="nil"/>
            </w:tcBorders>
            <w:shd w:val="clear" w:color="auto" w:fill="auto"/>
            <w:noWrap/>
            <w:vAlign w:val="bottom"/>
            <w:hideMark/>
          </w:tcPr>
          <w:p w14:paraId="7A5B512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(0.227)</w:t>
            </w:r>
          </w:p>
        </w:tc>
        <w:tc>
          <w:tcPr>
            <w:tcW w:w="1276" w:type="dxa"/>
            <w:tcBorders>
              <w:top w:val="nil"/>
              <w:left w:val="nil"/>
              <w:bottom w:val="nil"/>
              <w:right w:val="nil"/>
            </w:tcBorders>
            <w:shd w:val="clear" w:color="auto" w:fill="auto"/>
            <w:noWrap/>
            <w:vAlign w:val="bottom"/>
            <w:hideMark/>
          </w:tcPr>
          <w:p w14:paraId="1C44EC6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(0.245)</w:t>
            </w:r>
          </w:p>
        </w:tc>
        <w:tc>
          <w:tcPr>
            <w:tcW w:w="1274" w:type="dxa"/>
            <w:tcBorders>
              <w:top w:val="nil"/>
              <w:left w:val="nil"/>
              <w:bottom w:val="nil"/>
              <w:right w:val="nil"/>
            </w:tcBorders>
            <w:shd w:val="clear" w:color="auto" w:fill="auto"/>
            <w:noWrap/>
            <w:vAlign w:val="bottom"/>
            <w:hideMark/>
          </w:tcPr>
          <w:p w14:paraId="1B2F2FC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(0.336)</w:t>
            </w:r>
          </w:p>
        </w:tc>
      </w:tr>
      <w:tr w:rsidR="00244248" w:rsidRPr="00611FD3" w14:paraId="5DFB5085" w14:textId="77777777" w:rsidTr="00214A11">
        <w:trPr>
          <w:trHeight w:hRule="exact" w:val="283"/>
        </w:trPr>
        <w:tc>
          <w:tcPr>
            <w:tcW w:w="2520" w:type="dxa"/>
            <w:tcBorders>
              <w:top w:val="nil"/>
              <w:left w:val="nil"/>
              <w:right w:val="nil"/>
            </w:tcBorders>
            <w:shd w:val="clear" w:color="auto" w:fill="auto"/>
            <w:noWrap/>
            <w:vAlign w:val="bottom"/>
            <w:hideMark/>
          </w:tcPr>
          <w:p w14:paraId="04E6541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Year 12 or below</w:t>
            </w:r>
          </w:p>
        </w:tc>
        <w:tc>
          <w:tcPr>
            <w:tcW w:w="1166" w:type="dxa"/>
            <w:tcBorders>
              <w:top w:val="nil"/>
              <w:left w:val="nil"/>
              <w:right w:val="nil"/>
            </w:tcBorders>
            <w:shd w:val="clear" w:color="auto" w:fill="auto"/>
            <w:noWrap/>
            <w:vAlign w:val="bottom"/>
            <w:hideMark/>
          </w:tcPr>
          <w:p w14:paraId="13350DC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-0.017</w:t>
            </w:r>
          </w:p>
        </w:tc>
        <w:tc>
          <w:tcPr>
            <w:tcW w:w="1188" w:type="dxa"/>
            <w:tcBorders>
              <w:top w:val="nil"/>
              <w:left w:val="nil"/>
              <w:right w:val="nil"/>
            </w:tcBorders>
            <w:shd w:val="clear" w:color="auto" w:fill="auto"/>
            <w:noWrap/>
            <w:vAlign w:val="bottom"/>
            <w:hideMark/>
          </w:tcPr>
          <w:p w14:paraId="755EB58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0.688***</w:t>
            </w:r>
          </w:p>
        </w:tc>
        <w:tc>
          <w:tcPr>
            <w:tcW w:w="1222" w:type="dxa"/>
            <w:tcBorders>
              <w:top w:val="nil"/>
              <w:left w:val="nil"/>
              <w:right w:val="nil"/>
            </w:tcBorders>
            <w:shd w:val="clear" w:color="auto" w:fill="auto"/>
            <w:noWrap/>
            <w:vAlign w:val="bottom"/>
            <w:hideMark/>
          </w:tcPr>
          <w:p w14:paraId="4D66F04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0.142</w:t>
            </w:r>
          </w:p>
        </w:tc>
        <w:tc>
          <w:tcPr>
            <w:tcW w:w="1417" w:type="dxa"/>
            <w:tcBorders>
              <w:top w:val="nil"/>
              <w:left w:val="nil"/>
              <w:right w:val="nil"/>
            </w:tcBorders>
            <w:shd w:val="clear" w:color="auto" w:fill="auto"/>
            <w:noWrap/>
            <w:vAlign w:val="bottom"/>
            <w:hideMark/>
          </w:tcPr>
          <w:p w14:paraId="011BE35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0.206</w:t>
            </w:r>
          </w:p>
        </w:tc>
        <w:tc>
          <w:tcPr>
            <w:tcW w:w="1243" w:type="dxa"/>
            <w:tcBorders>
              <w:top w:val="nil"/>
              <w:left w:val="nil"/>
              <w:right w:val="nil"/>
            </w:tcBorders>
            <w:shd w:val="clear" w:color="auto" w:fill="auto"/>
            <w:noWrap/>
            <w:vAlign w:val="bottom"/>
            <w:hideMark/>
          </w:tcPr>
          <w:p w14:paraId="25ECCEB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0.417**</w:t>
            </w:r>
          </w:p>
        </w:tc>
        <w:tc>
          <w:tcPr>
            <w:tcW w:w="1275" w:type="dxa"/>
            <w:tcBorders>
              <w:top w:val="nil"/>
              <w:left w:val="nil"/>
              <w:right w:val="nil"/>
            </w:tcBorders>
            <w:shd w:val="clear" w:color="auto" w:fill="auto"/>
            <w:noWrap/>
            <w:vAlign w:val="bottom"/>
            <w:hideMark/>
          </w:tcPr>
          <w:p w14:paraId="08C2AA4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0.332</w:t>
            </w:r>
          </w:p>
        </w:tc>
        <w:tc>
          <w:tcPr>
            <w:tcW w:w="1168" w:type="dxa"/>
            <w:tcBorders>
              <w:top w:val="nil"/>
              <w:left w:val="nil"/>
              <w:right w:val="nil"/>
            </w:tcBorders>
            <w:shd w:val="clear" w:color="auto" w:fill="auto"/>
            <w:noWrap/>
            <w:vAlign w:val="bottom"/>
            <w:hideMark/>
          </w:tcPr>
          <w:p w14:paraId="2F0B57C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-0.175</w:t>
            </w:r>
          </w:p>
        </w:tc>
        <w:tc>
          <w:tcPr>
            <w:tcW w:w="1177" w:type="dxa"/>
            <w:tcBorders>
              <w:top w:val="nil"/>
              <w:left w:val="nil"/>
              <w:right w:val="nil"/>
            </w:tcBorders>
            <w:shd w:val="clear" w:color="auto" w:fill="auto"/>
            <w:noWrap/>
            <w:vAlign w:val="bottom"/>
            <w:hideMark/>
          </w:tcPr>
          <w:p w14:paraId="613401D0"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0.110</w:t>
            </w:r>
          </w:p>
        </w:tc>
        <w:tc>
          <w:tcPr>
            <w:tcW w:w="1276" w:type="dxa"/>
            <w:tcBorders>
              <w:top w:val="nil"/>
              <w:left w:val="nil"/>
              <w:right w:val="nil"/>
            </w:tcBorders>
            <w:shd w:val="clear" w:color="auto" w:fill="auto"/>
            <w:noWrap/>
            <w:vAlign w:val="bottom"/>
            <w:hideMark/>
          </w:tcPr>
          <w:p w14:paraId="233682C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0.255</w:t>
            </w:r>
          </w:p>
        </w:tc>
        <w:tc>
          <w:tcPr>
            <w:tcW w:w="1274" w:type="dxa"/>
            <w:tcBorders>
              <w:top w:val="nil"/>
              <w:left w:val="nil"/>
              <w:right w:val="nil"/>
            </w:tcBorders>
            <w:shd w:val="clear" w:color="auto" w:fill="auto"/>
            <w:noWrap/>
            <w:vAlign w:val="bottom"/>
            <w:hideMark/>
          </w:tcPr>
          <w:p w14:paraId="7D45131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-0.162</w:t>
            </w:r>
          </w:p>
        </w:tc>
      </w:tr>
      <w:tr w:rsidR="00244248" w:rsidRPr="00611FD3" w14:paraId="111D0A8C"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0D4CEA71"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5ACAA8A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(0.220)</w:t>
            </w:r>
          </w:p>
        </w:tc>
        <w:tc>
          <w:tcPr>
            <w:tcW w:w="1188" w:type="dxa"/>
            <w:tcBorders>
              <w:top w:val="nil"/>
              <w:left w:val="nil"/>
              <w:bottom w:val="single" w:sz="4" w:space="0" w:color="ED7D31" w:themeColor="accent2"/>
              <w:right w:val="nil"/>
            </w:tcBorders>
            <w:shd w:val="clear" w:color="auto" w:fill="auto"/>
            <w:noWrap/>
            <w:vAlign w:val="bottom"/>
            <w:hideMark/>
          </w:tcPr>
          <w:p w14:paraId="2BB4B99A"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(0.227)</w:t>
            </w:r>
          </w:p>
        </w:tc>
        <w:tc>
          <w:tcPr>
            <w:tcW w:w="1222" w:type="dxa"/>
            <w:tcBorders>
              <w:top w:val="nil"/>
              <w:left w:val="nil"/>
              <w:bottom w:val="single" w:sz="4" w:space="0" w:color="ED7D31" w:themeColor="accent2"/>
              <w:right w:val="nil"/>
            </w:tcBorders>
            <w:shd w:val="clear" w:color="auto" w:fill="auto"/>
            <w:noWrap/>
            <w:vAlign w:val="bottom"/>
            <w:hideMark/>
          </w:tcPr>
          <w:p w14:paraId="4F4125D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(0.316)</w:t>
            </w:r>
          </w:p>
        </w:tc>
        <w:tc>
          <w:tcPr>
            <w:tcW w:w="1417" w:type="dxa"/>
            <w:tcBorders>
              <w:top w:val="nil"/>
              <w:left w:val="nil"/>
              <w:bottom w:val="single" w:sz="4" w:space="0" w:color="ED7D31" w:themeColor="accent2"/>
              <w:right w:val="nil"/>
            </w:tcBorders>
            <w:shd w:val="clear" w:color="auto" w:fill="auto"/>
            <w:noWrap/>
            <w:vAlign w:val="bottom"/>
            <w:hideMark/>
          </w:tcPr>
          <w:p w14:paraId="1156256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(0.230)</w:t>
            </w:r>
          </w:p>
        </w:tc>
        <w:tc>
          <w:tcPr>
            <w:tcW w:w="1243" w:type="dxa"/>
            <w:tcBorders>
              <w:top w:val="nil"/>
              <w:left w:val="nil"/>
              <w:bottom w:val="single" w:sz="4" w:space="0" w:color="ED7D31" w:themeColor="accent2"/>
              <w:right w:val="nil"/>
            </w:tcBorders>
            <w:shd w:val="clear" w:color="auto" w:fill="auto"/>
            <w:noWrap/>
            <w:vAlign w:val="bottom"/>
            <w:hideMark/>
          </w:tcPr>
          <w:p w14:paraId="30E5373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(0.205)</w:t>
            </w:r>
          </w:p>
        </w:tc>
        <w:tc>
          <w:tcPr>
            <w:tcW w:w="1275" w:type="dxa"/>
            <w:tcBorders>
              <w:top w:val="nil"/>
              <w:left w:val="nil"/>
              <w:bottom w:val="single" w:sz="4" w:space="0" w:color="ED7D31" w:themeColor="accent2"/>
              <w:right w:val="nil"/>
            </w:tcBorders>
            <w:shd w:val="clear" w:color="auto" w:fill="auto"/>
            <w:noWrap/>
            <w:vAlign w:val="bottom"/>
            <w:hideMark/>
          </w:tcPr>
          <w:p w14:paraId="6483C9D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(0.204)</w:t>
            </w:r>
          </w:p>
        </w:tc>
        <w:tc>
          <w:tcPr>
            <w:tcW w:w="1168" w:type="dxa"/>
            <w:tcBorders>
              <w:top w:val="nil"/>
              <w:left w:val="nil"/>
              <w:bottom w:val="single" w:sz="4" w:space="0" w:color="ED7D31" w:themeColor="accent2"/>
              <w:right w:val="nil"/>
            </w:tcBorders>
            <w:shd w:val="clear" w:color="auto" w:fill="auto"/>
            <w:noWrap/>
            <w:vAlign w:val="bottom"/>
            <w:hideMark/>
          </w:tcPr>
          <w:p w14:paraId="2EE311E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(0.205)</w:t>
            </w:r>
          </w:p>
        </w:tc>
        <w:tc>
          <w:tcPr>
            <w:tcW w:w="1177" w:type="dxa"/>
            <w:tcBorders>
              <w:top w:val="nil"/>
              <w:left w:val="nil"/>
              <w:bottom w:val="single" w:sz="4" w:space="0" w:color="ED7D31" w:themeColor="accent2"/>
              <w:right w:val="nil"/>
            </w:tcBorders>
            <w:shd w:val="clear" w:color="auto" w:fill="auto"/>
            <w:noWrap/>
            <w:vAlign w:val="bottom"/>
            <w:hideMark/>
          </w:tcPr>
          <w:p w14:paraId="58337C4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(0.230)</w:t>
            </w:r>
          </w:p>
        </w:tc>
        <w:tc>
          <w:tcPr>
            <w:tcW w:w="1276" w:type="dxa"/>
            <w:tcBorders>
              <w:top w:val="nil"/>
              <w:left w:val="nil"/>
              <w:bottom w:val="single" w:sz="4" w:space="0" w:color="ED7D31" w:themeColor="accent2"/>
              <w:right w:val="nil"/>
            </w:tcBorders>
            <w:shd w:val="clear" w:color="auto" w:fill="auto"/>
            <w:noWrap/>
            <w:vAlign w:val="bottom"/>
            <w:hideMark/>
          </w:tcPr>
          <w:p w14:paraId="4A32843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(0.231)</w:t>
            </w:r>
          </w:p>
        </w:tc>
        <w:tc>
          <w:tcPr>
            <w:tcW w:w="1274" w:type="dxa"/>
            <w:tcBorders>
              <w:top w:val="nil"/>
              <w:left w:val="nil"/>
              <w:bottom w:val="single" w:sz="4" w:space="0" w:color="ED7D31" w:themeColor="accent2"/>
              <w:right w:val="nil"/>
            </w:tcBorders>
            <w:shd w:val="clear" w:color="auto" w:fill="auto"/>
            <w:noWrap/>
            <w:vAlign w:val="bottom"/>
            <w:hideMark/>
          </w:tcPr>
          <w:p w14:paraId="0F06C0B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(0.340)</w:t>
            </w:r>
          </w:p>
        </w:tc>
      </w:tr>
      <w:tr w:rsidR="00244248" w:rsidRPr="00611FD3" w14:paraId="16020CD9"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222A6850"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Employed</w:t>
            </w:r>
            <w:r w:rsidRPr="00611FD3">
              <w:rPr>
                <w:rFonts w:asciiTheme="majorHAnsi" w:eastAsia="Times New Roman" w:hAnsiTheme="majorHAnsi" w:cstheme="majorHAnsi"/>
                <w:color w:val="000000"/>
                <w:sz w:val="20"/>
                <w:szCs w:val="20"/>
                <w:lang w:eastAsia="en-AU"/>
              </w:rPr>
              <w:t xml:space="preserve"> (ref: no)</w:t>
            </w:r>
          </w:p>
        </w:tc>
        <w:tc>
          <w:tcPr>
            <w:tcW w:w="1166" w:type="dxa"/>
            <w:tcBorders>
              <w:top w:val="single" w:sz="4" w:space="0" w:color="ED7D31" w:themeColor="accent2"/>
              <w:left w:val="nil"/>
              <w:bottom w:val="nil"/>
              <w:right w:val="nil"/>
            </w:tcBorders>
            <w:shd w:val="clear" w:color="auto" w:fill="auto"/>
            <w:noWrap/>
            <w:vAlign w:val="bottom"/>
            <w:hideMark/>
          </w:tcPr>
          <w:p w14:paraId="4FF09B87"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5C8B7B68" w14:textId="77777777" w:rsidR="00244248" w:rsidRPr="00611FD3" w:rsidRDefault="00244248" w:rsidP="00335B25">
            <w:pPr>
              <w:rPr>
                <w:rFonts w:asciiTheme="majorHAnsi" w:eastAsia="Times New Roman" w:hAnsiTheme="majorHAnsi" w:cstheme="majorHAnsi"/>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6E0A3E2A" w14:textId="77777777" w:rsidR="00244248" w:rsidRPr="00611FD3" w:rsidRDefault="00244248" w:rsidP="00335B25">
            <w:pPr>
              <w:rPr>
                <w:rFonts w:asciiTheme="majorHAnsi" w:eastAsia="Times New Roman" w:hAnsiTheme="majorHAnsi" w:cstheme="majorHAnsi"/>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19FFB4FD" w14:textId="77777777" w:rsidR="00244248" w:rsidRPr="00611FD3" w:rsidRDefault="00244248" w:rsidP="00335B25">
            <w:pPr>
              <w:rPr>
                <w:rFonts w:asciiTheme="majorHAnsi" w:eastAsia="Times New Roman" w:hAnsiTheme="majorHAnsi" w:cstheme="majorHAnsi"/>
                <w:sz w:val="20"/>
                <w:szCs w:val="20"/>
                <w:lang w:eastAsia="en-AU"/>
              </w:rPr>
            </w:pPr>
          </w:p>
        </w:tc>
        <w:tc>
          <w:tcPr>
            <w:tcW w:w="1243" w:type="dxa"/>
            <w:tcBorders>
              <w:top w:val="single" w:sz="4" w:space="0" w:color="ED7D31" w:themeColor="accent2"/>
              <w:left w:val="nil"/>
              <w:bottom w:val="nil"/>
              <w:right w:val="nil"/>
            </w:tcBorders>
            <w:shd w:val="clear" w:color="auto" w:fill="auto"/>
            <w:noWrap/>
            <w:vAlign w:val="bottom"/>
            <w:hideMark/>
          </w:tcPr>
          <w:p w14:paraId="01CF1EC3" w14:textId="77777777" w:rsidR="00244248" w:rsidRPr="00611FD3" w:rsidRDefault="00244248" w:rsidP="00335B25">
            <w:pPr>
              <w:rPr>
                <w:rFonts w:asciiTheme="majorHAnsi" w:eastAsia="Times New Roman" w:hAnsiTheme="majorHAnsi" w:cstheme="majorHAnsi"/>
                <w:sz w:val="20"/>
                <w:szCs w:val="20"/>
                <w:lang w:eastAsia="en-AU"/>
              </w:rPr>
            </w:pPr>
          </w:p>
        </w:tc>
        <w:tc>
          <w:tcPr>
            <w:tcW w:w="1275" w:type="dxa"/>
            <w:tcBorders>
              <w:top w:val="single" w:sz="4" w:space="0" w:color="ED7D31" w:themeColor="accent2"/>
              <w:left w:val="nil"/>
              <w:bottom w:val="nil"/>
              <w:right w:val="nil"/>
            </w:tcBorders>
            <w:shd w:val="clear" w:color="auto" w:fill="auto"/>
            <w:noWrap/>
            <w:vAlign w:val="bottom"/>
            <w:hideMark/>
          </w:tcPr>
          <w:p w14:paraId="01DBD1F2" w14:textId="77777777" w:rsidR="00244248" w:rsidRPr="00611FD3" w:rsidRDefault="00244248" w:rsidP="00335B25">
            <w:pPr>
              <w:rPr>
                <w:rFonts w:asciiTheme="majorHAnsi" w:eastAsia="Times New Roman" w:hAnsiTheme="majorHAnsi" w:cstheme="majorHAnsi"/>
                <w:sz w:val="20"/>
                <w:szCs w:val="20"/>
                <w:lang w:eastAsia="en-AU"/>
              </w:rPr>
            </w:pPr>
          </w:p>
        </w:tc>
        <w:tc>
          <w:tcPr>
            <w:tcW w:w="1168" w:type="dxa"/>
            <w:tcBorders>
              <w:top w:val="single" w:sz="4" w:space="0" w:color="ED7D31" w:themeColor="accent2"/>
              <w:left w:val="nil"/>
              <w:bottom w:val="nil"/>
              <w:right w:val="nil"/>
            </w:tcBorders>
            <w:shd w:val="clear" w:color="auto" w:fill="auto"/>
            <w:noWrap/>
            <w:vAlign w:val="bottom"/>
            <w:hideMark/>
          </w:tcPr>
          <w:p w14:paraId="6911DFBF" w14:textId="77777777" w:rsidR="00244248" w:rsidRPr="00611FD3" w:rsidRDefault="00244248" w:rsidP="00335B25">
            <w:pPr>
              <w:rPr>
                <w:rFonts w:asciiTheme="majorHAnsi" w:eastAsia="Times New Roman" w:hAnsiTheme="majorHAnsi" w:cstheme="majorHAnsi"/>
                <w:sz w:val="20"/>
                <w:szCs w:val="20"/>
                <w:lang w:eastAsia="en-AU"/>
              </w:rPr>
            </w:pPr>
          </w:p>
        </w:tc>
        <w:tc>
          <w:tcPr>
            <w:tcW w:w="1177" w:type="dxa"/>
            <w:tcBorders>
              <w:top w:val="single" w:sz="4" w:space="0" w:color="ED7D31" w:themeColor="accent2"/>
              <w:left w:val="nil"/>
              <w:bottom w:val="nil"/>
              <w:right w:val="nil"/>
            </w:tcBorders>
            <w:shd w:val="clear" w:color="auto" w:fill="auto"/>
            <w:noWrap/>
            <w:vAlign w:val="bottom"/>
            <w:hideMark/>
          </w:tcPr>
          <w:p w14:paraId="6DC18104" w14:textId="77777777" w:rsidR="00244248" w:rsidRPr="00611FD3" w:rsidRDefault="00244248" w:rsidP="00335B25">
            <w:pPr>
              <w:rPr>
                <w:rFonts w:asciiTheme="majorHAnsi" w:eastAsia="Times New Roman" w:hAnsiTheme="majorHAnsi" w:cstheme="majorHAnsi"/>
                <w:sz w:val="20"/>
                <w:szCs w:val="20"/>
                <w:lang w:eastAsia="en-AU"/>
              </w:rPr>
            </w:pPr>
          </w:p>
        </w:tc>
        <w:tc>
          <w:tcPr>
            <w:tcW w:w="1276" w:type="dxa"/>
            <w:tcBorders>
              <w:top w:val="single" w:sz="4" w:space="0" w:color="ED7D31" w:themeColor="accent2"/>
              <w:left w:val="nil"/>
              <w:bottom w:val="nil"/>
              <w:right w:val="nil"/>
            </w:tcBorders>
            <w:shd w:val="clear" w:color="auto" w:fill="auto"/>
            <w:noWrap/>
            <w:vAlign w:val="bottom"/>
            <w:hideMark/>
          </w:tcPr>
          <w:p w14:paraId="337F5876" w14:textId="77777777" w:rsidR="00244248" w:rsidRPr="00611FD3" w:rsidRDefault="00244248" w:rsidP="00335B25">
            <w:pPr>
              <w:rPr>
                <w:rFonts w:asciiTheme="majorHAnsi" w:eastAsia="Times New Roman" w:hAnsiTheme="majorHAnsi" w:cstheme="majorHAnsi"/>
                <w:sz w:val="20"/>
                <w:szCs w:val="20"/>
                <w:lang w:eastAsia="en-AU"/>
              </w:rPr>
            </w:pPr>
          </w:p>
        </w:tc>
        <w:tc>
          <w:tcPr>
            <w:tcW w:w="1274" w:type="dxa"/>
            <w:tcBorders>
              <w:top w:val="single" w:sz="4" w:space="0" w:color="ED7D31" w:themeColor="accent2"/>
              <w:left w:val="nil"/>
              <w:bottom w:val="nil"/>
              <w:right w:val="nil"/>
            </w:tcBorders>
            <w:shd w:val="clear" w:color="auto" w:fill="auto"/>
            <w:noWrap/>
            <w:vAlign w:val="bottom"/>
            <w:hideMark/>
          </w:tcPr>
          <w:p w14:paraId="377170D2"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6954A800" w14:textId="77777777" w:rsidTr="00214A11">
        <w:trPr>
          <w:trHeight w:hRule="exact" w:val="283"/>
        </w:trPr>
        <w:tc>
          <w:tcPr>
            <w:tcW w:w="2520" w:type="dxa"/>
            <w:tcBorders>
              <w:top w:val="nil"/>
              <w:left w:val="nil"/>
              <w:right w:val="nil"/>
            </w:tcBorders>
            <w:shd w:val="clear" w:color="auto" w:fill="auto"/>
            <w:noWrap/>
            <w:vAlign w:val="bottom"/>
            <w:hideMark/>
          </w:tcPr>
          <w:p w14:paraId="67B38B2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Yes</w:t>
            </w:r>
          </w:p>
        </w:tc>
        <w:tc>
          <w:tcPr>
            <w:tcW w:w="1166" w:type="dxa"/>
            <w:tcBorders>
              <w:top w:val="nil"/>
              <w:left w:val="nil"/>
              <w:right w:val="nil"/>
            </w:tcBorders>
            <w:shd w:val="clear" w:color="auto" w:fill="auto"/>
            <w:noWrap/>
            <w:vAlign w:val="bottom"/>
            <w:hideMark/>
          </w:tcPr>
          <w:p w14:paraId="6DEEBC2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0.304</w:t>
            </w:r>
          </w:p>
        </w:tc>
        <w:tc>
          <w:tcPr>
            <w:tcW w:w="1188" w:type="dxa"/>
            <w:tcBorders>
              <w:top w:val="nil"/>
              <w:left w:val="nil"/>
              <w:right w:val="nil"/>
            </w:tcBorders>
            <w:shd w:val="clear" w:color="auto" w:fill="auto"/>
            <w:noWrap/>
            <w:vAlign w:val="bottom"/>
            <w:hideMark/>
          </w:tcPr>
          <w:p w14:paraId="7AB4DB3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0.131</w:t>
            </w:r>
          </w:p>
        </w:tc>
        <w:tc>
          <w:tcPr>
            <w:tcW w:w="1222" w:type="dxa"/>
            <w:tcBorders>
              <w:top w:val="nil"/>
              <w:left w:val="nil"/>
              <w:right w:val="nil"/>
            </w:tcBorders>
            <w:shd w:val="clear" w:color="auto" w:fill="auto"/>
            <w:noWrap/>
            <w:vAlign w:val="bottom"/>
            <w:hideMark/>
          </w:tcPr>
          <w:p w14:paraId="074BA07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-0.213</w:t>
            </w:r>
          </w:p>
        </w:tc>
        <w:tc>
          <w:tcPr>
            <w:tcW w:w="1417" w:type="dxa"/>
            <w:tcBorders>
              <w:top w:val="nil"/>
              <w:left w:val="nil"/>
              <w:right w:val="nil"/>
            </w:tcBorders>
            <w:shd w:val="clear" w:color="auto" w:fill="auto"/>
            <w:noWrap/>
            <w:vAlign w:val="bottom"/>
            <w:hideMark/>
          </w:tcPr>
          <w:p w14:paraId="7B58691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-0.098</w:t>
            </w:r>
          </w:p>
        </w:tc>
        <w:tc>
          <w:tcPr>
            <w:tcW w:w="1243" w:type="dxa"/>
            <w:tcBorders>
              <w:top w:val="nil"/>
              <w:left w:val="nil"/>
              <w:right w:val="nil"/>
            </w:tcBorders>
            <w:shd w:val="clear" w:color="auto" w:fill="auto"/>
            <w:noWrap/>
            <w:vAlign w:val="bottom"/>
            <w:hideMark/>
          </w:tcPr>
          <w:p w14:paraId="09C5AD5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-0.027</w:t>
            </w:r>
          </w:p>
        </w:tc>
        <w:tc>
          <w:tcPr>
            <w:tcW w:w="1275" w:type="dxa"/>
            <w:tcBorders>
              <w:top w:val="nil"/>
              <w:left w:val="nil"/>
              <w:right w:val="nil"/>
            </w:tcBorders>
            <w:shd w:val="clear" w:color="auto" w:fill="auto"/>
            <w:noWrap/>
            <w:vAlign w:val="bottom"/>
            <w:hideMark/>
          </w:tcPr>
          <w:p w14:paraId="7F96DB5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0.229</w:t>
            </w:r>
          </w:p>
        </w:tc>
        <w:tc>
          <w:tcPr>
            <w:tcW w:w="1168" w:type="dxa"/>
            <w:tcBorders>
              <w:top w:val="nil"/>
              <w:left w:val="nil"/>
              <w:right w:val="nil"/>
            </w:tcBorders>
            <w:shd w:val="clear" w:color="auto" w:fill="auto"/>
            <w:noWrap/>
            <w:vAlign w:val="bottom"/>
            <w:hideMark/>
          </w:tcPr>
          <w:p w14:paraId="596A379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0.047</w:t>
            </w:r>
          </w:p>
        </w:tc>
        <w:tc>
          <w:tcPr>
            <w:tcW w:w="1177" w:type="dxa"/>
            <w:tcBorders>
              <w:top w:val="nil"/>
              <w:left w:val="nil"/>
              <w:right w:val="nil"/>
            </w:tcBorders>
            <w:shd w:val="clear" w:color="auto" w:fill="auto"/>
            <w:noWrap/>
            <w:vAlign w:val="bottom"/>
            <w:hideMark/>
          </w:tcPr>
          <w:p w14:paraId="5AE31CF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0.123</w:t>
            </w:r>
          </w:p>
        </w:tc>
        <w:tc>
          <w:tcPr>
            <w:tcW w:w="1276" w:type="dxa"/>
            <w:tcBorders>
              <w:top w:val="nil"/>
              <w:left w:val="nil"/>
              <w:right w:val="nil"/>
            </w:tcBorders>
            <w:shd w:val="clear" w:color="auto" w:fill="auto"/>
            <w:noWrap/>
            <w:vAlign w:val="bottom"/>
            <w:hideMark/>
          </w:tcPr>
          <w:p w14:paraId="55DB987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0.015</w:t>
            </w:r>
          </w:p>
        </w:tc>
        <w:tc>
          <w:tcPr>
            <w:tcW w:w="1274" w:type="dxa"/>
            <w:tcBorders>
              <w:top w:val="nil"/>
              <w:left w:val="nil"/>
              <w:right w:val="nil"/>
            </w:tcBorders>
            <w:shd w:val="clear" w:color="auto" w:fill="auto"/>
            <w:noWrap/>
            <w:vAlign w:val="bottom"/>
            <w:hideMark/>
          </w:tcPr>
          <w:p w14:paraId="6474A11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-0.298</w:t>
            </w:r>
          </w:p>
        </w:tc>
      </w:tr>
      <w:tr w:rsidR="00244248" w:rsidRPr="00611FD3" w14:paraId="5D514DE3"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6FBDEE20"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6465319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(0.214)</w:t>
            </w:r>
          </w:p>
        </w:tc>
        <w:tc>
          <w:tcPr>
            <w:tcW w:w="1188" w:type="dxa"/>
            <w:tcBorders>
              <w:top w:val="nil"/>
              <w:left w:val="nil"/>
              <w:bottom w:val="single" w:sz="4" w:space="0" w:color="ED7D31" w:themeColor="accent2"/>
              <w:right w:val="nil"/>
            </w:tcBorders>
            <w:shd w:val="clear" w:color="auto" w:fill="auto"/>
            <w:noWrap/>
            <w:vAlign w:val="bottom"/>
            <w:hideMark/>
          </w:tcPr>
          <w:p w14:paraId="192B6FE7"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(0.216)</w:t>
            </w:r>
          </w:p>
        </w:tc>
        <w:tc>
          <w:tcPr>
            <w:tcW w:w="1222" w:type="dxa"/>
            <w:tcBorders>
              <w:top w:val="nil"/>
              <w:left w:val="nil"/>
              <w:bottom w:val="single" w:sz="4" w:space="0" w:color="ED7D31" w:themeColor="accent2"/>
              <w:right w:val="nil"/>
            </w:tcBorders>
            <w:shd w:val="clear" w:color="auto" w:fill="auto"/>
            <w:noWrap/>
            <w:vAlign w:val="bottom"/>
            <w:hideMark/>
          </w:tcPr>
          <w:p w14:paraId="3270BDC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(0.286)</w:t>
            </w:r>
          </w:p>
        </w:tc>
        <w:tc>
          <w:tcPr>
            <w:tcW w:w="1417" w:type="dxa"/>
            <w:tcBorders>
              <w:top w:val="nil"/>
              <w:left w:val="nil"/>
              <w:bottom w:val="single" w:sz="4" w:space="0" w:color="ED7D31" w:themeColor="accent2"/>
              <w:right w:val="nil"/>
            </w:tcBorders>
            <w:shd w:val="clear" w:color="auto" w:fill="auto"/>
            <w:noWrap/>
            <w:vAlign w:val="bottom"/>
            <w:hideMark/>
          </w:tcPr>
          <w:p w14:paraId="2A2DFC8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(0.219)</w:t>
            </w:r>
          </w:p>
        </w:tc>
        <w:tc>
          <w:tcPr>
            <w:tcW w:w="1243" w:type="dxa"/>
            <w:tcBorders>
              <w:top w:val="nil"/>
              <w:left w:val="nil"/>
              <w:bottom w:val="single" w:sz="4" w:space="0" w:color="ED7D31" w:themeColor="accent2"/>
              <w:right w:val="nil"/>
            </w:tcBorders>
            <w:shd w:val="clear" w:color="auto" w:fill="auto"/>
            <w:noWrap/>
            <w:vAlign w:val="bottom"/>
            <w:hideMark/>
          </w:tcPr>
          <w:p w14:paraId="413D6A1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(0.193)</w:t>
            </w:r>
          </w:p>
        </w:tc>
        <w:tc>
          <w:tcPr>
            <w:tcW w:w="1275" w:type="dxa"/>
            <w:tcBorders>
              <w:top w:val="nil"/>
              <w:left w:val="nil"/>
              <w:bottom w:val="single" w:sz="4" w:space="0" w:color="ED7D31" w:themeColor="accent2"/>
              <w:right w:val="nil"/>
            </w:tcBorders>
            <w:shd w:val="clear" w:color="auto" w:fill="auto"/>
            <w:noWrap/>
            <w:vAlign w:val="bottom"/>
            <w:hideMark/>
          </w:tcPr>
          <w:p w14:paraId="6C1C8E4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(0.196)</w:t>
            </w:r>
          </w:p>
        </w:tc>
        <w:tc>
          <w:tcPr>
            <w:tcW w:w="1168" w:type="dxa"/>
            <w:tcBorders>
              <w:top w:val="nil"/>
              <w:left w:val="nil"/>
              <w:bottom w:val="single" w:sz="4" w:space="0" w:color="ED7D31" w:themeColor="accent2"/>
              <w:right w:val="nil"/>
            </w:tcBorders>
            <w:shd w:val="clear" w:color="auto" w:fill="auto"/>
            <w:noWrap/>
            <w:vAlign w:val="bottom"/>
            <w:hideMark/>
          </w:tcPr>
          <w:p w14:paraId="1E8C5A3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(0.194)</w:t>
            </w:r>
          </w:p>
        </w:tc>
        <w:tc>
          <w:tcPr>
            <w:tcW w:w="1177" w:type="dxa"/>
            <w:tcBorders>
              <w:top w:val="nil"/>
              <w:left w:val="nil"/>
              <w:bottom w:val="single" w:sz="4" w:space="0" w:color="ED7D31" w:themeColor="accent2"/>
              <w:right w:val="nil"/>
            </w:tcBorders>
            <w:shd w:val="clear" w:color="auto" w:fill="auto"/>
            <w:noWrap/>
            <w:vAlign w:val="bottom"/>
            <w:hideMark/>
          </w:tcPr>
          <w:p w14:paraId="096EEBF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(0.223)</w:t>
            </w:r>
          </w:p>
        </w:tc>
        <w:tc>
          <w:tcPr>
            <w:tcW w:w="1276" w:type="dxa"/>
            <w:tcBorders>
              <w:top w:val="nil"/>
              <w:left w:val="nil"/>
              <w:bottom w:val="single" w:sz="4" w:space="0" w:color="ED7D31" w:themeColor="accent2"/>
              <w:right w:val="nil"/>
            </w:tcBorders>
            <w:shd w:val="clear" w:color="auto" w:fill="auto"/>
            <w:noWrap/>
            <w:vAlign w:val="bottom"/>
            <w:hideMark/>
          </w:tcPr>
          <w:p w14:paraId="7F5E5A3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(0.226)</w:t>
            </w:r>
          </w:p>
        </w:tc>
        <w:tc>
          <w:tcPr>
            <w:tcW w:w="1274" w:type="dxa"/>
            <w:tcBorders>
              <w:top w:val="nil"/>
              <w:left w:val="nil"/>
              <w:bottom w:val="single" w:sz="4" w:space="0" w:color="ED7D31" w:themeColor="accent2"/>
              <w:right w:val="nil"/>
            </w:tcBorders>
            <w:shd w:val="clear" w:color="auto" w:fill="auto"/>
            <w:noWrap/>
            <w:vAlign w:val="bottom"/>
            <w:hideMark/>
          </w:tcPr>
          <w:p w14:paraId="61B7A567"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(0.298)</w:t>
            </w:r>
          </w:p>
        </w:tc>
      </w:tr>
      <w:tr w:rsidR="00244248" w:rsidRPr="00611FD3" w14:paraId="00BF69DC"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1325E5C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In a relationship</w:t>
            </w:r>
            <w:r w:rsidRPr="00611FD3">
              <w:rPr>
                <w:rFonts w:asciiTheme="majorHAnsi" w:eastAsia="Times New Roman" w:hAnsiTheme="majorHAnsi" w:cstheme="majorHAnsi"/>
                <w:color w:val="000000"/>
                <w:sz w:val="20"/>
                <w:szCs w:val="20"/>
                <w:lang w:eastAsia="en-AU"/>
              </w:rPr>
              <w:t xml:space="preserve"> (ref: no)</w:t>
            </w:r>
          </w:p>
        </w:tc>
        <w:tc>
          <w:tcPr>
            <w:tcW w:w="1166" w:type="dxa"/>
            <w:tcBorders>
              <w:top w:val="single" w:sz="4" w:space="0" w:color="ED7D31" w:themeColor="accent2"/>
              <w:left w:val="nil"/>
              <w:bottom w:val="nil"/>
              <w:right w:val="nil"/>
            </w:tcBorders>
            <w:shd w:val="clear" w:color="auto" w:fill="auto"/>
            <w:noWrap/>
            <w:vAlign w:val="bottom"/>
            <w:hideMark/>
          </w:tcPr>
          <w:p w14:paraId="2FEC640D"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1AC70404" w14:textId="77777777" w:rsidR="00244248" w:rsidRPr="00611FD3" w:rsidRDefault="00244248" w:rsidP="00335B25">
            <w:pPr>
              <w:rPr>
                <w:rFonts w:asciiTheme="majorHAnsi" w:eastAsia="Times New Roman" w:hAnsiTheme="majorHAnsi" w:cstheme="majorHAnsi"/>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5FF1D742" w14:textId="77777777" w:rsidR="00244248" w:rsidRPr="00611FD3" w:rsidRDefault="00244248" w:rsidP="00335B25">
            <w:pPr>
              <w:rPr>
                <w:rFonts w:asciiTheme="majorHAnsi" w:eastAsia="Times New Roman" w:hAnsiTheme="majorHAnsi" w:cstheme="majorHAnsi"/>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5BDBD598" w14:textId="77777777" w:rsidR="00244248" w:rsidRPr="00611FD3" w:rsidRDefault="00244248" w:rsidP="00335B25">
            <w:pPr>
              <w:rPr>
                <w:rFonts w:asciiTheme="majorHAnsi" w:eastAsia="Times New Roman" w:hAnsiTheme="majorHAnsi" w:cstheme="majorHAnsi"/>
                <w:sz w:val="20"/>
                <w:szCs w:val="20"/>
                <w:lang w:eastAsia="en-AU"/>
              </w:rPr>
            </w:pPr>
          </w:p>
        </w:tc>
        <w:tc>
          <w:tcPr>
            <w:tcW w:w="1243" w:type="dxa"/>
            <w:tcBorders>
              <w:top w:val="single" w:sz="4" w:space="0" w:color="ED7D31" w:themeColor="accent2"/>
              <w:left w:val="nil"/>
              <w:bottom w:val="nil"/>
              <w:right w:val="nil"/>
            </w:tcBorders>
            <w:shd w:val="clear" w:color="auto" w:fill="auto"/>
            <w:noWrap/>
            <w:vAlign w:val="bottom"/>
            <w:hideMark/>
          </w:tcPr>
          <w:p w14:paraId="1B9E0129" w14:textId="77777777" w:rsidR="00244248" w:rsidRPr="00611FD3" w:rsidRDefault="00244248" w:rsidP="00335B25">
            <w:pPr>
              <w:rPr>
                <w:rFonts w:asciiTheme="majorHAnsi" w:eastAsia="Times New Roman" w:hAnsiTheme="majorHAnsi" w:cstheme="majorHAnsi"/>
                <w:sz w:val="20"/>
                <w:szCs w:val="20"/>
                <w:lang w:eastAsia="en-AU"/>
              </w:rPr>
            </w:pPr>
          </w:p>
        </w:tc>
        <w:tc>
          <w:tcPr>
            <w:tcW w:w="1275" w:type="dxa"/>
            <w:tcBorders>
              <w:top w:val="single" w:sz="4" w:space="0" w:color="ED7D31" w:themeColor="accent2"/>
              <w:left w:val="nil"/>
              <w:bottom w:val="nil"/>
              <w:right w:val="nil"/>
            </w:tcBorders>
            <w:shd w:val="clear" w:color="auto" w:fill="auto"/>
            <w:noWrap/>
            <w:vAlign w:val="bottom"/>
            <w:hideMark/>
          </w:tcPr>
          <w:p w14:paraId="179F4CAD" w14:textId="77777777" w:rsidR="00244248" w:rsidRPr="00611FD3" w:rsidRDefault="00244248" w:rsidP="00335B25">
            <w:pPr>
              <w:rPr>
                <w:rFonts w:asciiTheme="majorHAnsi" w:eastAsia="Times New Roman" w:hAnsiTheme="majorHAnsi" w:cstheme="majorHAnsi"/>
                <w:sz w:val="20"/>
                <w:szCs w:val="20"/>
                <w:lang w:eastAsia="en-AU"/>
              </w:rPr>
            </w:pPr>
          </w:p>
        </w:tc>
        <w:tc>
          <w:tcPr>
            <w:tcW w:w="1168" w:type="dxa"/>
            <w:tcBorders>
              <w:top w:val="single" w:sz="4" w:space="0" w:color="ED7D31" w:themeColor="accent2"/>
              <w:left w:val="nil"/>
              <w:bottom w:val="nil"/>
              <w:right w:val="nil"/>
            </w:tcBorders>
            <w:shd w:val="clear" w:color="auto" w:fill="auto"/>
            <w:noWrap/>
            <w:vAlign w:val="bottom"/>
            <w:hideMark/>
          </w:tcPr>
          <w:p w14:paraId="554D46F6" w14:textId="77777777" w:rsidR="00244248" w:rsidRPr="00611FD3" w:rsidRDefault="00244248" w:rsidP="00335B25">
            <w:pPr>
              <w:rPr>
                <w:rFonts w:asciiTheme="majorHAnsi" w:eastAsia="Times New Roman" w:hAnsiTheme="majorHAnsi" w:cstheme="majorHAnsi"/>
                <w:sz w:val="20"/>
                <w:szCs w:val="20"/>
                <w:lang w:eastAsia="en-AU"/>
              </w:rPr>
            </w:pPr>
          </w:p>
        </w:tc>
        <w:tc>
          <w:tcPr>
            <w:tcW w:w="1177" w:type="dxa"/>
            <w:tcBorders>
              <w:top w:val="single" w:sz="4" w:space="0" w:color="ED7D31" w:themeColor="accent2"/>
              <w:left w:val="nil"/>
              <w:bottom w:val="nil"/>
              <w:right w:val="nil"/>
            </w:tcBorders>
            <w:shd w:val="clear" w:color="auto" w:fill="auto"/>
            <w:noWrap/>
            <w:vAlign w:val="bottom"/>
            <w:hideMark/>
          </w:tcPr>
          <w:p w14:paraId="10A83B77" w14:textId="77777777" w:rsidR="00244248" w:rsidRPr="00611FD3" w:rsidRDefault="00244248" w:rsidP="00335B25">
            <w:pPr>
              <w:rPr>
                <w:rFonts w:asciiTheme="majorHAnsi" w:eastAsia="Times New Roman" w:hAnsiTheme="majorHAnsi" w:cstheme="majorHAnsi"/>
                <w:sz w:val="20"/>
                <w:szCs w:val="20"/>
                <w:lang w:eastAsia="en-AU"/>
              </w:rPr>
            </w:pPr>
          </w:p>
        </w:tc>
        <w:tc>
          <w:tcPr>
            <w:tcW w:w="1276" w:type="dxa"/>
            <w:tcBorders>
              <w:top w:val="single" w:sz="4" w:space="0" w:color="ED7D31" w:themeColor="accent2"/>
              <w:left w:val="nil"/>
              <w:bottom w:val="nil"/>
              <w:right w:val="nil"/>
            </w:tcBorders>
            <w:shd w:val="clear" w:color="auto" w:fill="auto"/>
            <w:noWrap/>
            <w:vAlign w:val="bottom"/>
            <w:hideMark/>
          </w:tcPr>
          <w:p w14:paraId="20FDED85" w14:textId="77777777" w:rsidR="00244248" w:rsidRPr="00611FD3" w:rsidRDefault="00244248" w:rsidP="00335B25">
            <w:pPr>
              <w:rPr>
                <w:rFonts w:asciiTheme="majorHAnsi" w:eastAsia="Times New Roman" w:hAnsiTheme="majorHAnsi" w:cstheme="majorHAnsi"/>
                <w:sz w:val="20"/>
                <w:szCs w:val="20"/>
                <w:lang w:eastAsia="en-AU"/>
              </w:rPr>
            </w:pPr>
          </w:p>
        </w:tc>
        <w:tc>
          <w:tcPr>
            <w:tcW w:w="1274" w:type="dxa"/>
            <w:tcBorders>
              <w:top w:val="single" w:sz="4" w:space="0" w:color="ED7D31" w:themeColor="accent2"/>
              <w:left w:val="nil"/>
              <w:bottom w:val="nil"/>
              <w:right w:val="nil"/>
            </w:tcBorders>
            <w:shd w:val="clear" w:color="auto" w:fill="auto"/>
            <w:noWrap/>
            <w:vAlign w:val="bottom"/>
            <w:hideMark/>
          </w:tcPr>
          <w:p w14:paraId="488DBE04"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32FC5164" w14:textId="77777777" w:rsidTr="00214A11">
        <w:trPr>
          <w:trHeight w:hRule="exact" w:val="283"/>
        </w:trPr>
        <w:tc>
          <w:tcPr>
            <w:tcW w:w="2520" w:type="dxa"/>
            <w:tcBorders>
              <w:top w:val="nil"/>
              <w:left w:val="nil"/>
              <w:right w:val="nil"/>
            </w:tcBorders>
            <w:shd w:val="clear" w:color="auto" w:fill="auto"/>
            <w:noWrap/>
            <w:vAlign w:val="bottom"/>
            <w:hideMark/>
          </w:tcPr>
          <w:p w14:paraId="4A4CDE8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Yes</w:t>
            </w:r>
          </w:p>
        </w:tc>
        <w:tc>
          <w:tcPr>
            <w:tcW w:w="1166" w:type="dxa"/>
            <w:tcBorders>
              <w:top w:val="nil"/>
              <w:left w:val="nil"/>
              <w:right w:val="nil"/>
            </w:tcBorders>
            <w:shd w:val="clear" w:color="auto" w:fill="auto"/>
            <w:noWrap/>
            <w:vAlign w:val="bottom"/>
            <w:hideMark/>
          </w:tcPr>
          <w:p w14:paraId="0202F24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-0.034</w:t>
            </w:r>
          </w:p>
        </w:tc>
        <w:tc>
          <w:tcPr>
            <w:tcW w:w="1188" w:type="dxa"/>
            <w:tcBorders>
              <w:top w:val="nil"/>
              <w:left w:val="nil"/>
              <w:right w:val="nil"/>
            </w:tcBorders>
            <w:shd w:val="clear" w:color="auto" w:fill="auto"/>
            <w:noWrap/>
            <w:vAlign w:val="bottom"/>
            <w:hideMark/>
          </w:tcPr>
          <w:p w14:paraId="4615B3C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0.178</w:t>
            </w:r>
          </w:p>
        </w:tc>
        <w:tc>
          <w:tcPr>
            <w:tcW w:w="1222" w:type="dxa"/>
            <w:tcBorders>
              <w:top w:val="nil"/>
              <w:left w:val="nil"/>
              <w:right w:val="nil"/>
            </w:tcBorders>
            <w:shd w:val="clear" w:color="auto" w:fill="auto"/>
            <w:noWrap/>
            <w:vAlign w:val="bottom"/>
            <w:hideMark/>
          </w:tcPr>
          <w:p w14:paraId="499E002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-0.243</w:t>
            </w:r>
          </w:p>
        </w:tc>
        <w:tc>
          <w:tcPr>
            <w:tcW w:w="1417" w:type="dxa"/>
            <w:tcBorders>
              <w:top w:val="nil"/>
              <w:left w:val="nil"/>
              <w:right w:val="nil"/>
            </w:tcBorders>
            <w:shd w:val="clear" w:color="auto" w:fill="auto"/>
            <w:noWrap/>
            <w:vAlign w:val="bottom"/>
            <w:hideMark/>
          </w:tcPr>
          <w:p w14:paraId="4D77DCF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0.028</w:t>
            </w:r>
          </w:p>
        </w:tc>
        <w:tc>
          <w:tcPr>
            <w:tcW w:w="1243" w:type="dxa"/>
            <w:tcBorders>
              <w:top w:val="nil"/>
              <w:left w:val="nil"/>
              <w:right w:val="nil"/>
            </w:tcBorders>
            <w:shd w:val="clear" w:color="auto" w:fill="auto"/>
            <w:noWrap/>
            <w:vAlign w:val="bottom"/>
            <w:hideMark/>
          </w:tcPr>
          <w:p w14:paraId="0A65981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0.049</w:t>
            </w:r>
          </w:p>
        </w:tc>
        <w:tc>
          <w:tcPr>
            <w:tcW w:w="1275" w:type="dxa"/>
            <w:tcBorders>
              <w:top w:val="nil"/>
              <w:left w:val="nil"/>
              <w:right w:val="nil"/>
            </w:tcBorders>
            <w:shd w:val="clear" w:color="auto" w:fill="auto"/>
            <w:noWrap/>
            <w:vAlign w:val="bottom"/>
            <w:hideMark/>
          </w:tcPr>
          <w:p w14:paraId="7687D34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0.505***</w:t>
            </w:r>
          </w:p>
        </w:tc>
        <w:tc>
          <w:tcPr>
            <w:tcW w:w="1168" w:type="dxa"/>
            <w:tcBorders>
              <w:top w:val="nil"/>
              <w:left w:val="nil"/>
              <w:right w:val="nil"/>
            </w:tcBorders>
            <w:shd w:val="clear" w:color="auto" w:fill="auto"/>
            <w:noWrap/>
            <w:vAlign w:val="bottom"/>
            <w:hideMark/>
          </w:tcPr>
          <w:p w14:paraId="53C1952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-0.014</w:t>
            </w:r>
          </w:p>
        </w:tc>
        <w:tc>
          <w:tcPr>
            <w:tcW w:w="1177" w:type="dxa"/>
            <w:tcBorders>
              <w:top w:val="nil"/>
              <w:left w:val="nil"/>
              <w:right w:val="nil"/>
            </w:tcBorders>
            <w:shd w:val="clear" w:color="auto" w:fill="auto"/>
            <w:noWrap/>
            <w:vAlign w:val="bottom"/>
            <w:hideMark/>
          </w:tcPr>
          <w:p w14:paraId="4484AA5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-0.159</w:t>
            </w:r>
          </w:p>
        </w:tc>
        <w:tc>
          <w:tcPr>
            <w:tcW w:w="1276" w:type="dxa"/>
            <w:tcBorders>
              <w:top w:val="nil"/>
              <w:left w:val="nil"/>
              <w:right w:val="nil"/>
            </w:tcBorders>
            <w:shd w:val="clear" w:color="auto" w:fill="auto"/>
            <w:noWrap/>
            <w:vAlign w:val="bottom"/>
            <w:hideMark/>
          </w:tcPr>
          <w:p w14:paraId="308811B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0.158</w:t>
            </w:r>
          </w:p>
        </w:tc>
        <w:tc>
          <w:tcPr>
            <w:tcW w:w="1274" w:type="dxa"/>
            <w:tcBorders>
              <w:top w:val="nil"/>
              <w:left w:val="nil"/>
              <w:right w:val="nil"/>
            </w:tcBorders>
            <w:shd w:val="clear" w:color="auto" w:fill="auto"/>
            <w:noWrap/>
            <w:vAlign w:val="bottom"/>
            <w:hideMark/>
          </w:tcPr>
          <w:p w14:paraId="6F1C7D3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0.082</w:t>
            </w:r>
          </w:p>
        </w:tc>
      </w:tr>
      <w:tr w:rsidR="00244248" w:rsidRPr="00611FD3" w14:paraId="657A4AD9"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14CB3BFA"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53C8A6B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(0.188)</w:t>
            </w:r>
          </w:p>
        </w:tc>
        <w:tc>
          <w:tcPr>
            <w:tcW w:w="1188" w:type="dxa"/>
            <w:tcBorders>
              <w:top w:val="nil"/>
              <w:left w:val="nil"/>
              <w:bottom w:val="single" w:sz="4" w:space="0" w:color="ED7D31" w:themeColor="accent2"/>
              <w:right w:val="nil"/>
            </w:tcBorders>
            <w:shd w:val="clear" w:color="auto" w:fill="auto"/>
            <w:noWrap/>
            <w:vAlign w:val="bottom"/>
            <w:hideMark/>
          </w:tcPr>
          <w:p w14:paraId="53B0532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(0.208)</w:t>
            </w:r>
          </w:p>
        </w:tc>
        <w:tc>
          <w:tcPr>
            <w:tcW w:w="1222" w:type="dxa"/>
            <w:tcBorders>
              <w:top w:val="nil"/>
              <w:left w:val="nil"/>
              <w:bottom w:val="single" w:sz="4" w:space="0" w:color="ED7D31" w:themeColor="accent2"/>
              <w:right w:val="nil"/>
            </w:tcBorders>
            <w:shd w:val="clear" w:color="auto" w:fill="auto"/>
            <w:noWrap/>
            <w:vAlign w:val="bottom"/>
            <w:hideMark/>
          </w:tcPr>
          <w:p w14:paraId="2E720FFA"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(0.312)</w:t>
            </w:r>
          </w:p>
        </w:tc>
        <w:tc>
          <w:tcPr>
            <w:tcW w:w="1417" w:type="dxa"/>
            <w:tcBorders>
              <w:top w:val="nil"/>
              <w:left w:val="nil"/>
              <w:bottom w:val="single" w:sz="4" w:space="0" w:color="ED7D31" w:themeColor="accent2"/>
              <w:right w:val="nil"/>
            </w:tcBorders>
            <w:shd w:val="clear" w:color="auto" w:fill="auto"/>
            <w:noWrap/>
            <w:vAlign w:val="bottom"/>
            <w:hideMark/>
          </w:tcPr>
          <w:p w14:paraId="68DBAE6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(0.211)</w:t>
            </w:r>
          </w:p>
        </w:tc>
        <w:tc>
          <w:tcPr>
            <w:tcW w:w="1243" w:type="dxa"/>
            <w:tcBorders>
              <w:top w:val="nil"/>
              <w:left w:val="nil"/>
              <w:bottom w:val="single" w:sz="4" w:space="0" w:color="ED7D31" w:themeColor="accent2"/>
              <w:right w:val="nil"/>
            </w:tcBorders>
            <w:shd w:val="clear" w:color="auto" w:fill="auto"/>
            <w:noWrap/>
            <w:vAlign w:val="bottom"/>
            <w:hideMark/>
          </w:tcPr>
          <w:p w14:paraId="4EBDA0C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(0.185)</w:t>
            </w:r>
          </w:p>
        </w:tc>
        <w:tc>
          <w:tcPr>
            <w:tcW w:w="1275" w:type="dxa"/>
            <w:tcBorders>
              <w:top w:val="nil"/>
              <w:left w:val="nil"/>
              <w:bottom w:val="single" w:sz="4" w:space="0" w:color="ED7D31" w:themeColor="accent2"/>
              <w:right w:val="nil"/>
            </w:tcBorders>
            <w:shd w:val="clear" w:color="auto" w:fill="auto"/>
            <w:noWrap/>
            <w:vAlign w:val="bottom"/>
            <w:hideMark/>
          </w:tcPr>
          <w:p w14:paraId="5BCE789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(0.189)</w:t>
            </w:r>
          </w:p>
        </w:tc>
        <w:tc>
          <w:tcPr>
            <w:tcW w:w="1168" w:type="dxa"/>
            <w:tcBorders>
              <w:top w:val="nil"/>
              <w:left w:val="nil"/>
              <w:bottom w:val="single" w:sz="4" w:space="0" w:color="ED7D31" w:themeColor="accent2"/>
              <w:right w:val="nil"/>
            </w:tcBorders>
            <w:shd w:val="clear" w:color="auto" w:fill="auto"/>
            <w:noWrap/>
            <w:vAlign w:val="bottom"/>
            <w:hideMark/>
          </w:tcPr>
          <w:p w14:paraId="1AF61C5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(0.189)</w:t>
            </w:r>
          </w:p>
        </w:tc>
        <w:tc>
          <w:tcPr>
            <w:tcW w:w="1177" w:type="dxa"/>
            <w:tcBorders>
              <w:top w:val="nil"/>
              <w:left w:val="nil"/>
              <w:bottom w:val="single" w:sz="4" w:space="0" w:color="ED7D31" w:themeColor="accent2"/>
              <w:right w:val="nil"/>
            </w:tcBorders>
            <w:shd w:val="clear" w:color="auto" w:fill="auto"/>
            <w:noWrap/>
            <w:vAlign w:val="bottom"/>
            <w:hideMark/>
          </w:tcPr>
          <w:p w14:paraId="6EA91DE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(0.214)</w:t>
            </w:r>
          </w:p>
        </w:tc>
        <w:tc>
          <w:tcPr>
            <w:tcW w:w="1276" w:type="dxa"/>
            <w:tcBorders>
              <w:top w:val="nil"/>
              <w:left w:val="nil"/>
              <w:bottom w:val="single" w:sz="4" w:space="0" w:color="ED7D31" w:themeColor="accent2"/>
              <w:right w:val="nil"/>
            </w:tcBorders>
            <w:shd w:val="clear" w:color="auto" w:fill="auto"/>
            <w:noWrap/>
            <w:vAlign w:val="bottom"/>
            <w:hideMark/>
          </w:tcPr>
          <w:p w14:paraId="68EBFB0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(0.227)</w:t>
            </w:r>
          </w:p>
        </w:tc>
        <w:tc>
          <w:tcPr>
            <w:tcW w:w="1274" w:type="dxa"/>
            <w:tcBorders>
              <w:top w:val="nil"/>
              <w:left w:val="nil"/>
              <w:bottom w:val="single" w:sz="4" w:space="0" w:color="ED7D31" w:themeColor="accent2"/>
              <w:right w:val="nil"/>
            </w:tcBorders>
            <w:shd w:val="clear" w:color="auto" w:fill="auto"/>
            <w:noWrap/>
            <w:vAlign w:val="bottom"/>
            <w:hideMark/>
          </w:tcPr>
          <w:p w14:paraId="400A4809"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(0.306)</w:t>
            </w:r>
          </w:p>
        </w:tc>
      </w:tr>
      <w:tr w:rsidR="00244248" w:rsidRPr="00611FD3" w14:paraId="3EFE0A7E" w14:textId="77777777" w:rsidTr="00214A11">
        <w:trPr>
          <w:trHeight w:hRule="exact" w:val="283"/>
        </w:trPr>
        <w:tc>
          <w:tcPr>
            <w:tcW w:w="2520" w:type="dxa"/>
            <w:tcBorders>
              <w:top w:val="single" w:sz="4" w:space="0" w:color="ED7D31" w:themeColor="accent2"/>
              <w:left w:val="nil"/>
              <w:right w:val="nil"/>
            </w:tcBorders>
            <w:shd w:val="clear" w:color="auto" w:fill="auto"/>
            <w:noWrap/>
            <w:vAlign w:val="bottom"/>
            <w:hideMark/>
          </w:tcPr>
          <w:p w14:paraId="1F964EE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Constant</w:t>
            </w:r>
          </w:p>
        </w:tc>
        <w:tc>
          <w:tcPr>
            <w:tcW w:w="1166" w:type="dxa"/>
            <w:tcBorders>
              <w:top w:val="single" w:sz="4" w:space="0" w:color="ED7D31" w:themeColor="accent2"/>
              <w:left w:val="nil"/>
              <w:right w:val="nil"/>
            </w:tcBorders>
            <w:shd w:val="clear" w:color="auto" w:fill="auto"/>
            <w:noWrap/>
            <w:vAlign w:val="bottom"/>
            <w:hideMark/>
          </w:tcPr>
          <w:p w14:paraId="645DFF9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-1.515***</w:t>
            </w:r>
          </w:p>
        </w:tc>
        <w:tc>
          <w:tcPr>
            <w:tcW w:w="1188" w:type="dxa"/>
            <w:tcBorders>
              <w:top w:val="single" w:sz="4" w:space="0" w:color="ED7D31" w:themeColor="accent2"/>
              <w:left w:val="nil"/>
              <w:right w:val="nil"/>
            </w:tcBorders>
            <w:shd w:val="clear" w:color="auto" w:fill="auto"/>
            <w:noWrap/>
            <w:vAlign w:val="bottom"/>
            <w:hideMark/>
          </w:tcPr>
          <w:p w14:paraId="0522E72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-0.861***</w:t>
            </w:r>
          </w:p>
        </w:tc>
        <w:tc>
          <w:tcPr>
            <w:tcW w:w="1222" w:type="dxa"/>
            <w:tcBorders>
              <w:top w:val="single" w:sz="4" w:space="0" w:color="ED7D31" w:themeColor="accent2"/>
              <w:left w:val="nil"/>
              <w:right w:val="nil"/>
            </w:tcBorders>
            <w:shd w:val="clear" w:color="auto" w:fill="auto"/>
            <w:noWrap/>
            <w:vAlign w:val="bottom"/>
            <w:hideMark/>
          </w:tcPr>
          <w:p w14:paraId="270A657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-1.977***</w:t>
            </w:r>
          </w:p>
        </w:tc>
        <w:tc>
          <w:tcPr>
            <w:tcW w:w="1417" w:type="dxa"/>
            <w:tcBorders>
              <w:top w:val="single" w:sz="4" w:space="0" w:color="ED7D31" w:themeColor="accent2"/>
              <w:left w:val="nil"/>
              <w:right w:val="nil"/>
            </w:tcBorders>
            <w:shd w:val="clear" w:color="auto" w:fill="auto"/>
            <w:noWrap/>
            <w:vAlign w:val="bottom"/>
            <w:hideMark/>
          </w:tcPr>
          <w:p w14:paraId="54E4273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-1.212***</w:t>
            </w:r>
          </w:p>
        </w:tc>
        <w:tc>
          <w:tcPr>
            <w:tcW w:w="1243" w:type="dxa"/>
            <w:tcBorders>
              <w:top w:val="single" w:sz="4" w:space="0" w:color="ED7D31" w:themeColor="accent2"/>
              <w:left w:val="nil"/>
              <w:right w:val="nil"/>
            </w:tcBorders>
            <w:shd w:val="clear" w:color="auto" w:fill="auto"/>
            <w:noWrap/>
            <w:vAlign w:val="bottom"/>
            <w:hideMark/>
          </w:tcPr>
          <w:p w14:paraId="4FC1CC7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-0.587**</w:t>
            </w:r>
          </w:p>
        </w:tc>
        <w:tc>
          <w:tcPr>
            <w:tcW w:w="1275" w:type="dxa"/>
            <w:tcBorders>
              <w:top w:val="single" w:sz="4" w:space="0" w:color="ED7D31" w:themeColor="accent2"/>
              <w:left w:val="nil"/>
              <w:right w:val="nil"/>
            </w:tcBorders>
            <w:shd w:val="clear" w:color="auto" w:fill="auto"/>
            <w:noWrap/>
            <w:vAlign w:val="bottom"/>
            <w:hideMark/>
          </w:tcPr>
          <w:p w14:paraId="58CDB66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-0.868***</w:t>
            </w:r>
          </w:p>
        </w:tc>
        <w:tc>
          <w:tcPr>
            <w:tcW w:w="1168" w:type="dxa"/>
            <w:tcBorders>
              <w:top w:val="single" w:sz="4" w:space="0" w:color="ED7D31" w:themeColor="accent2"/>
              <w:left w:val="nil"/>
              <w:right w:val="nil"/>
            </w:tcBorders>
            <w:shd w:val="clear" w:color="auto" w:fill="auto"/>
            <w:noWrap/>
            <w:vAlign w:val="bottom"/>
            <w:hideMark/>
          </w:tcPr>
          <w:p w14:paraId="66DAE6E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-0.185</w:t>
            </w:r>
          </w:p>
        </w:tc>
        <w:tc>
          <w:tcPr>
            <w:tcW w:w="1177" w:type="dxa"/>
            <w:tcBorders>
              <w:top w:val="single" w:sz="4" w:space="0" w:color="ED7D31" w:themeColor="accent2"/>
              <w:left w:val="nil"/>
              <w:right w:val="nil"/>
            </w:tcBorders>
            <w:shd w:val="clear" w:color="auto" w:fill="auto"/>
            <w:noWrap/>
            <w:vAlign w:val="bottom"/>
            <w:hideMark/>
          </w:tcPr>
          <w:p w14:paraId="76D91E2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-1.088***</w:t>
            </w:r>
          </w:p>
        </w:tc>
        <w:tc>
          <w:tcPr>
            <w:tcW w:w="1276" w:type="dxa"/>
            <w:tcBorders>
              <w:top w:val="single" w:sz="4" w:space="0" w:color="ED7D31" w:themeColor="accent2"/>
              <w:left w:val="nil"/>
              <w:right w:val="nil"/>
            </w:tcBorders>
            <w:shd w:val="clear" w:color="auto" w:fill="auto"/>
            <w:noWrap/>
            <w:vAlign w:val="bottom"/>
            <w:hideMark/>
          </w:tcPr>
          <w:p w14:paraId="0267CAF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-0.987***</w:t>
            </w:r>
          </w:p>
        </w:tc>
        <w:tc>
          <w:tcPr>
            <w:tcW w:w="1274" w:type="dxa"/>
            <w:tcBorders>
              <w:top w:val="single" w:sz="4" w:space="0" w:color="ED7D31" w:themeColor="accent2"/>
              <w:left w:val="nil"/>
              <w:right w:val="nil"/>
            </w:tcBorders>
            <w:shd w:val="clear" w:color="auto" w:fill="auto"/>
            <w:noWrap/>
            <w:vAlign w:val="bottom"/>
            <w:hideMark/>
          </w:tcPr>
          <w:p w14:paraId="62E3248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-1.687***</w:t>
            </w:r>
          </w:p>
        </w:tc>
      </w:tr>
      <w:tr w:rsidR="00244248" w:rsidRPr="00611FD3" w14:paraId="23C930BA"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32E56961"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26086D6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(0.298)</w:t>
            </w:r>
          </w:p>
        </w:tc>
        <w:tc>
          <w:tcPr>
            <w:tcW w:w="1188" w:type="dxa"/>
            <w:tcBorders>
              <w:top w:val="nil"/>
              <w:left w:val="nil"/>
              <w:bottom w:val="single" w:sz="4" w:space="0" w:color="ED7D31" w:themeColor="accent2"/>
              <w:right w:val="nil"/>
            </w:tcBorders>
            <w:shd w:val="clear" w:color="auto" w:fill="auto"/>
            <w:noWrap/>
            <w:vAlign w:val="bottom"/>
            <w:hideMark/>
          </w:tcPr>
          <w:p w14:paraId="2C59E6F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(0.300)</w:t>
            </w:r>
          </w:p>
        </w:tc>
        <w:tc>
          <w:tcPr>
            <w:tcW w:w="1222" w:type="dxa"/>
            <w:tcBorders>
              <w:top w:val="nil"/>
              <w:left w:val="nil"/>
              <w:bottom w:val="single" w:sz="4" w:space="0" w:color="ED7D31" w:themeColor="accent2"/>
              <w:right w:val="nil"/>
            </w:tcBorders>
            <w:shd w:val="clear" w:color="auto" w:fill="auto"/>
            <w:noWrap/>
            <w:vAlign w:val="bottom"/>
            <w:hideMark/>
          </w:tcPr>
          <w:p w14:paraId="0FFEE78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(0.407)</w:t>
            </w:r>
          </w:p>
        </w:tc>
        <w:tc>
          <w:tcPr>
            <w:tcW w:w="1417" w:type="dxa"/>
            <w:tcBorders>
              <w:top w:val="nil"/>
              <w:left w:val="nil"/>
              <w:bottom w:val="single" w:sz="4" w:space="0" w:color="ED7D31" w:themeColor="accent2"/>
              <w:right w:val="nil"/>
            </w:tcBorders>
            <w:shd w:val="clear" w:color="auto" w:fill="auto"/>
            <w:noWrap/>
            <w:vAlign w:val="bottom"/>
            <w:hideMark/>
          </w:tcPr>
          <w:p w14:paraId="4103FBC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(0.316)</w:t>
            </w:r>
          </w:p>
        </w:tc>
        <w:tc>
          <w:tcPr>
            <w:tcW w:w="1243" w:type="dxa"/>
            <w:tcBorders>
              <w:top w:val="nil"/>
              <w:left w:val="nil"/>
              <w:bottom w:val="single" w:sz="4" w:space="0" w:color="ED7D31" w:themeColor="accent2"/>
              <w:right w:val="nil"/>
            </w:tcBorders>
            <w:shd w:val="clear" w:color="auto" w:fill="auto"/>
            <w:noWrap/>
            <w:vAlign w:val="bottom"/>
            <w:hideMark/>
          </w:tcPr>
          <w:p w14:paraId="50DFF3AA"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(0.269)</w:t>
            </w:r>
          </w:p>
        </w:tc>
        <w:tc>
          <w:tcPr>
            <w:tcW w:w="1275" w:type="dxa"/>
            <w:tcBorders>
              <w:top w:val="nil"/>
              <w:left w:val="nil"/>
              <w:bottom w:val="single" w:sz="4" w:space="0" w:color="ED7D31" w:themeColor="accent2"/>
              <w:right w:val="nil"/>
            </w:tcBorders>
            <w:shd w:val="clear" w:color="auto" w:fill="auto"/>
            <w:noWrap/>
            <w:vAlign w:val="bottom"/>
            <w:hideMark/>
          </w:tcPr>
          <w:p w14:paraId="3A9394D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(0.273)</w:t>
            </w:r>
          </w:p>
        </w:tc>
        <w:tc>
          <w:tcPr>
            <w:tcW w:w="1168" w:type="dxa"/>
            <w:tcBorders>
              <w:top w:val="nil"/>
              <w:left w:val="nil"/>
              <w:bottom w:val="single" w:sz="4" w:space="0" w:color="ED7D31" w:themeColor="accent2"/>
              <w:right w:val="nil"/>
            </w:tcBorders>
            <w:shd w:val="clear" w:color="auto" w:fill="auto"/>
            <w:noWrap/>
            <w:vAlign w:val="bottom"/>
            <w:hideMark/>
          </w:tcPr>
          <w:p w14:paraId="4AC15B3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(0.266)</w:t>
            </w:r>
          </w:p>
        </w:tc>
        <w:tc>
          <w:tcPr>
            <w:tcW w:w="1177" w:type="dxa"/>
            <w:tcBorders>
              <w:top w:val="nil"/>
              <w:left w:val="nil"/>
              <w:bottom w:val="single" w:sz="4" w:space="0" w:color="ED7D31" w:themeColor="accent2"/>
              <w:right w:val="nil"/>
            </w:tcBorders>
            <w:shd w:val="clear" w:color="auto" w:fill="auto"/>
            <w:noWrap/>
            <w:vAlign w:val="bottom"/>
            <w:hideMark/>
          </w:tcPr>
          <w:p w14:paraId="76D50A6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(0.299)</w:t>
            </w:r>
          </w:p>
        </w:tc>
        <w:tc>
          <w:tcPr>
            <w:tcW w:w="1276" w:type="dxa"/>
            <w:tcBorders>
              <w:top w:val="nil"/>
              <w:left w:val="nil"/>
              <w:bottom w:val="single" w:sz="4" w:space="0" w:color="ED7D31" w:themeColor="accent2"/>
              <w:right w:val="nil"/>
            </w:tcBorders>
            <w:shd w:val="clear" w:color="auto" w:fill="auto"/>
            <w:noWrap/>
            <w:vAlign w:val="bottom"/>
            <w:hideMark/>
          </w:tcPr>
          <w:p w14:paraId="65FDA8F9"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(0.301)</w:t>
            </w:r>
          </w:p>
        </w:tc>
        <w:tc>
          <w:tcPr>
            <w:tcW w:w="1274" w:type="dxa"/>
            <w:tcBorders>
              <w:top w:val="nil"/>
              <w:left w:val="nil"/>
              <w:bottom w:val="single" w:sz="4" w:space="0" w:color="ED7D31" w:themeColor="accent2"/>
              <w:right w:val="nil"/>
            </w:tcBorders>
            <w:shd w:val="clear" w:color="auto" w:fill="auto"/>
            <w:noWrap/>
            <w:vAlign w:val="bottom"/>
            <w:hideMark/>
          </w:tcPr>
          <w:p w14:paraId="4F484D4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(0.413)</w:t>
            </w:r>
          </w:p>
        </w:tc>
      </w:tr>
      <w:tr w:rsidR="00244248" w:rsidRPr="00611FD3" w14:paraId="452A5A49" w14:textId="77777777" w:rsidTr="00214A11">
        <w:trPr>
          <w:trHeight w:hRule="exact" w:val="283"/>
        </w:trPr>
        <w:tc>
          <w:tcPr>
            <w:tcW w:w="2520" w:type="dxa"/>
            <w:tcBorders>
              <w:top w:val="single" w:sz="4" w:space="0" w:color="ED7D31" w:themeColor="accent2"/>
              <w:left w:val="nil"/>
              <w:bottom w:val="single" w:sz="4" w:space="0" w:color="ED7D31" w:themeColor="accent2"/>
              <w:right w:val="nil"/>
            </w:tcBorders>
            <w:shd w:val="clear" w:color="auto" w:fill="auto"/>
            <w:noWrap/>
            <w:vAlign w:val="bottom"/>
            <w:hideMark/>
          </w:tcPr>
          <w:p w14:paraId="785F0F2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N</w:t>
            </w:r>
          </w:p>
        </w:tc>
        <w:tc>
          <w:tcPr>
            <w:tcW w:w="1166" w:type="dxa"/>
            <w:tcBorders>
              <w:top w:val="single" w:sz="4" w:space="0" w:color="ED7D31" w:themeColor="accent2"/>
              <w:left w:val="nil"/>
              <w:bottom w:val="single" w:sz="4" w:space="0" w:color="ED7D31" w:themeColor="accent2"/>
              <w:right w:val="nil"/>
            </w:tcBorders>
            <w:shd w:val="clear" w:color="auto" w:fill="auto"/>
            <w:noWrap/>
            <w:vAlign w:val="bottom"/>
            <w:hideMark/>
          </w:tcPr>
          <w:p w14:paraId="71D6601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994</w:t>
            </w:r>
          </w:p>
        </w:tc>
        <w:tc>
          <w:tcPr>
            <w:tcW w:w="1188" w:type="dxa"/>
            <w:tcBorders>
              <w:top w:val="single" w:sz="4" w:space="0" w:color="ED7D31" w:themeColor="accent2"/>
              <w:left w:val="nil"/>
              <w:bottom w:val="single" w:sz="4" w:space="0" w:color="ED7D31" w:themeColor="accent2"/>
              <w:right w:val="nil"/>
            </w:tcBorders>
            <w:shd w:val="clear" w:color="auto" w:fill="auto"/>
            <w:noWrap/>
            <w:vAlign w:val="bottom"/>
            <w:hideMark/>
          </w:tcPr>
          <w:p w14:paraId="4830CF9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994</w:t>
            </w:r>
          </w:p>
        </w:tc>
        <w:tc>
          <w:tcPr>
            <w:tcW w:w="1222" w:type="dxa"/>
            <w:tcBorders>
              <w:top w:val="single" w:sz="4" w:space="0" w:color="ED7D31" w:themeColor="accent2"/>
              <w:left w:val="nil"/>
              <w:bottom w:val="single" w:sz="4" w:space="0" w:color="ED7D31" w:themeColor="accent2"/>
              <w:right w:val="nil"/>
            </w:tcBorders>
            <w:shd w:val="clear" w:color="auto" w:fill="auto"/>
            <w:noWrap/>
            <w:vAlign w:val="bottom"/>
            <w:hideMark/>
          </w:tcPr>
          <w:p w14:paraId="13986BC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994</w:t>
            </w:r>
          </w:p>
        </w:tc>
        <w:tc>
          <w:tcPr>
            <w:tcW w:w="1417" w:type="dxa"/>
            <w:tcBorders>
              <w:top w:val="single" w:sz="4" w:space="0" w:color="ED7D31" w:themeColor="accent2"/>
              <w:left w:val="nil"/>
              <w:bottom w:val="single" w:sz="4" w:space="0" w:color="ED7D31" w:themeColor="accent2"/>
              <w:right w:val="nil"/>
            </w:tcBorders>
            <w:shd w:val="clear" w:color="auto" w:fill="auto"/>
            <w:noWrap/>
            <w:vAlign w:val="bottom"/>
            <w:hideMark/>
          </w:tcPr>
          <w:p w14:paraId="596AC92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994</w:t>
            </w:r>
          </w:p>
        </w:tc>
        <w:tc>
          <w:tcPr>
            <w:tcW w:w="1243" w:type="dxa"/>
            <w:tcBorders>
              <w:top w:val="single" w:sz="4" w:space="0" w:color="ED7D31" w:themeColor="accent2"/>
              <w:left w:val="nil"/>
              <w:bottom w:val="single" w:sz="4" w:space="0" w:color="ED7D31" w:themeColor="accent2"/>
              <w:right w:val="nil"/>
            </w:tcBorders>
            <w:shd w:val="clear" w:color="auto" w:fill="auto"/>
            <w:noWrap/>
            <w:vAlign w:val="bottom"/>
            <w:hideMark/>
          </w:tcPr>
          <w:p w14:paraId="70B357D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994</w:t>
            </w:r>
          </w:p>
        </w:tc>
        <w:tc>
          <w:tcPr>
            <w:tcW w:w="1275" w:type="dxa"/>
            <w:tcBorders>
              <w:top w:val="single" w:sz="4" w:space="0" w:color="ED7D31" w:themeColor="accent2"/>
              <w:left w:val="nil"/>
              <w:bottom w:val="single" w:sz="4" w:space="0" w:color="ED7D31" w:themeColor="accent2"/>
              <w:right w:val="nil"/>
            </w:tcBorders>
            <w:shd w:val="clear" w:color="auto" w:fill="auto"/>
            <w:noWrap/>
            <w:vAlign w:val="bottom"/>
            <w:hideMark/>
          </w:tcPr>
          <w:p w14:paraId="2B3DFDA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994</w:t>
            </w:r>
          </w:p>
        </w:tc>
        <w:tc>
          <w:tcPr>
            <w:tcW w:w="1168" w:type="dxa"/>
            <w:tcBorders>
              <w:top w:val="single" w:sz="4" w:space="0" w:color="ED7D31" w:themeColor="accent2"/>
              <w:left w:val="nil"/>
              <w:bottom w:val="single" w:sz="4" w:space="0" w:color="ED7D31" w:themeColor="accent2"/>
              <w:right w:val="nil"/>
            </w:tcBorders>
            <w:shd w:val="clear" w:color="auto" w:fill="auto"/>
            <w:noWrap/>
            <w:vAlign w:val="bottom"/>
            <w:hideMark/>
          </w:tcPr>
          <w:p w14:paraId="0438664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991</w:t>
            </w:r>
          </w:p>
        </w:tc>
        <w:tc>
          <w:tcPr>
            <w:tcW w:w="1177" w:type="dxa"/>
            <w:tcBorders>
              <w:top w:val="single" w:sz="4" w:space="0" w:color="ED7D31" w:themeColor="accent2"/>
              <w:left w:val="nil"/>
              <w:bottom w:val="single" w:sz="4" w:space="0" w:color="ED7D31" w:themeColor="accent2"/>
              <w:right w:val="nil"/>
            </w:tcBorders>
            <w:shd w:val="clear" w:color="auto" w:fill="auto"/>
            <w:noWrap/>
            <w:vAlign w:val="bottom"/>
            <w:hideMark/>
          </w:tcPr>
          <w:p w14:paraId="02B97D2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994</w:t>
            </w:r>
          </w:p>
        </w:tc>
        <w:tc>
          <w:tcPr>
            <w:tcW w:w="1276" w:type="dxa"/>
            <w:tcBorders>
              <w:top w:val="single" w:sz="4" w:space="0" w:color="ED7D31" w:themeColor="accent2"/>
              <w:left w:val="nil"/>
              <w:bottom w:val="single" w:sz="4" w:space="0" w:color="ED7D31" w:themeColor="accent2"/>
              <w:right w:val="nil"/>
            </w:tcBorders>
            <w:shd w:val="clear" w:color="auto" w:fill="auto"/>
            <w:noWrap/>
            <w:vAlign w:val="bottom"/>
            <w:hideMark/>
          </w:tcPr>
          <w:p w14:paraId="210216B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993</w:t>
            </w:r>
          </w:p>
        </w:tc>
        <w:tc>
          <w:tcPr>
            <w:tcW w:w="1274" w:type="dxa"/>
            <w:tcBorders>
              <w:top w:val="single" w:sz="4" w:space="0" w:color="ED7D31" w:themeColor="accent2"/>
              <w:left w:val="nil"/>
              <w:bottom w:val="single" w:sz="4" w:space="0" w:color="ED7D31" w:themeColor="accent2"/>
              <w:right w:val="nil"/>
            </w:tcBorders>
            <w:shd w:val="clear" w:color="auto" w:fill="auto"/>
            <w:noWrap/>
            <w:vAlign w:val="bottom"/>
            <w:hideMark/>
          </w:tcPr>
          <w:p w14:paraId="682DEEA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990</w:t>
            </w:r>
          </w:p>
        </w:tc>
      </w:tr>
    </w:tbl>
    <w:p w14:paraId="04D66A88" w14:textId="77777777" w:rsidR="00244248" w:rsidRPr="00214A11" w:rsidRDefault="00244248" w:rsidP="00244248">
      <w:pPr>
        <w:rPr>
          <w:rFonts w:asciiTheme="majorHAnsi" w:hAnsiTheme="majorHAnsi" w:cstheme="majorHAnsi"/>
          <w:sz w:val="18"/>
          <w:szCs w:val="18"/>
        </w:rPr>
      </w:pPr>
      <w:r w:rsidRPr="00214A11">
        <w:rPr>
          <w:rFonts w:asciiTheme="majorHAnsi" w:hAnsiTheme="majorHAnsi" w:cstheme="majorHAnsi"/>
          <w:sz w:val="18"/>
          <w:szCs w:val="18"/>
        </w:rPr>
        <w:t xml:space="preserve"> Note: * p&lt;0.1, ** p&lt;0.05, *** p&lt;0.01</w:t>
      </w:r>
    </w:p>
    <w:tbl>
      <w:tblPr>
        <w:tblW w:w="13795" w:type="dxa"/>
        <w:tblLook w:val="04A0" w:firstRow="1" w:lastRow="0" w:firstColumn="1" w:lastColumn="0" w:noHBand="0" w:noVBand="1"/>
      </w:tblPr>
      <w:tblGrid>
        <w:gridCol w:w="2520"/>
        <w:gridCol w:w="1166"/>
        <w:gridCol w:w="1134"/>
        <w:gridCol w:w="960"/>
        <w:gridCol w:w="1101"/>
        <w:gridCol w:w="1188"/>
        <w:gridCol w:w="1085"/>
        <w:gridCol w:w="1271"/>
        <w:gridCol w:w="1373"/>
        <w:gridCol w:w="1037"/>
        <w:gridCol w:w="960"/>
      </w:tblGrid>
      <w:tr w:rsidR="00244248" w:rsidRPr="00611FD3" w14:paraId="0CE25884" w14:textId="77777777" w:rsidTr="00214A11">
        <w:trPr>
          <w:trHeight w:hRule="exact" w:val="1531"/>
        </w:trPr>
        <w:tc>
          <w:tcPr>
            <w:tcW w:w="2520" w:type="dxa"/>
            <w:tcBorders>
              <w:top w:val="nil"/>
              <w:left w:val="nil"/>
              <w:bottom w:val="single" w:sz="4" w:space="0" w:color="ED7D31" w:themeColor="accent2"/>
              <w:right w:val="nil"/>
            </w:tcBorders>
            <w:shd w:val="clear" w:color="auto" w:fill="FBE4D5" w:themeFill="accent2" w:themeFillTint="33"/>
            <w:noWrap/>
            <w:vAlign w:val="bottom"/>
            <w:hideMark/>
          </w:tcPr>
          <w:p w14:paraId="3E66F924" w14:textId="77777777" w:rsidR="00244248" w:rsidRPr="00611FD3" w:rsidRDefault="00244248" w:rsidP="00335B25">
            <w:pPr>
              <w:rPr>
                <w:rFonts w:asciiTheme="majorHAnsi" w:eastAsia="Times New Roman" w:hAnsiTheme="majorHAnsi" w:cstheme="majorHAnsi"/>
                <w:sz w:val="20"/>
                <w:szCs w:val="20"/>
                <w:lang w:eastAsia="en-AU"/>
              </w:rPr>
            </w:pPr>
          </w:p>
        </w:tc>
        <w:tc>
          <w:tcPr>
            <w:tcW w:w="1166" w:type="dxa"/>
            <w:tcBorders>
              <w:top w:val="nil"/>
              <w:left w:val="nil"/>
              <w:bottom w:val="single" w:sz="4" w:space="0" w:color="ED7D31" w:themeColor="accent2"/>
              <w:right w:val="nil"/>
            </w:tcBorders>
            <w:shd w:val="clear" w:color="auto" w:fill="FBE4D5" w:themeFill="accent2" w:themeFillTint="33"/>
            <w:noWrap/>
            <w:vAlign w:val="bottom"/>
            <w:hideMark/>
          </w:tcPr>
          <w:p w14:paraId="0F709FFD" w14:textId="77777777"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Your spouse or partner having time and energy for a career</w:t>
            </w:r>
          </w:p>
        </w:tc>
        <w:tc>
          <w:tcPr>
            <w:tcW w:w="1134" w:type="dxa"/>
            <w:tcBorders>
              <w:top w:val="nil"/>
              <w:left w:val="nil"/>
              <w:bottom w:val="single" w:sz="4" w:space="0" w:color="ED7D31" w:themeColor="accent2"/>
              <w:right w:val="nil"/>
            </w:tcBorders>
            <w:shd w:val="clear" w:color="auto" w:fill="FBE4D5" w:themeFill="accent2" w:themeFillTint="33"/>
            <w:noWrap/>
            <w:vAlign w:val="bottom"/>
            <w:hideMark/>
          </w:tcPr>
          <w:p w14:paraId="6EB67271" w14:textId="77777777"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Being able to make major purchases</w:t>
            </w:r>
          </w:p>
        </w:tc>
        <w:tc>
          <w:tcPr>
            <w:tcW w:w="960" w:type="dxa"/>
            <w:tcBorders>
              <w:top w:val="nil"/>
              <w:left w:val="nil"/>
              <w:bottom w:val="single" w:sz="4" w:space="0" w:color="ED7D31" w:themeColor="accent2"/>
              <w:right w:val="nil"/>
            </w:tcBorders>
            <w:shd w:val="clear" w:color="auto" w:fill="FBE4D5" w:themeFill="accent2" w:themeFillTint="33"/>
            <w:noWrap/>
            <w:vAlign w:val="bottom"/>
            <w:hideMark/>
          </w:tcPr>
          <w:p w14:paraId="68514878" w14:textId="77777777"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Providing more purpose to life</w:t>
            </w:r>
          </w:p>
        </w:tc>
        <w:tc>
          <w:tcPr>
            <w:tcW w:w="1101" w:type="dxa"/>
            <w:tcBorders>
              <w:top w:val="nil"/>
              <w:left w:val="nil"/>
              <w:bottom w:val="single" w:sz="4" w:space="0" w:color="ED7D31" w:themeColor="accent2"/>
              <w:right w:val="nil"/>
            </w:tcBorders>
            <w:shd w:val="clear" w:color="auto" w:fill="FBE4D5" w:themeFill="accent2" w:themeFillTint="33"/>
            <w:noWrap/>
            <w:vAlign w:val="bottom"/>
            <w:hideMark/>
          </w:tcPr>
          <w:p w14:paraId="11560155" w14:textId="77777777"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The stress and worry of raising children</w:t>
            </w:r>
          </w:p>
        </w:tc>
        <w:tc>
          <w:tcPr>
            <w:tcW w:w="1188" w:type="dxa"/>
            <w:tcBorders>
              <w:top w:val="nil"/>
              <w:left w:val="nil"/>
              <w:bottom w:val="single" w:sz="4" w:space="0" w:color="ED7D31" w:themeColor="accent2"/>
              <w:right w:val="nil"/>
            </w:tcBorders>
            <w:shd w:val="clear" w:color="auto" w:fill="FBE4D5" w:themeFill="accent2" w:themeFillTint="33"/>
            <w:noWrap/>
            <w:vAlign w:val="bottom"/>
            <w:hideMark/>
          </w:tcPr>
          <w:p w14:paraId="2B7DD646" w14:textId="77777777"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The impact children would have on the environment</w:t>
            </w:r>
          </w:p>
        </w:tc>
        <w:tc>
          <w:tcPr>
            <w:tcW w:w="1085" w:type="dxa"/>
            <w:tcBorders>
              <w:top w:val="nil"/>
              <w:left w:val="nil"/>
              <w:bottom w:val="single" w:sz="4" w:space="0" w:color="ED7D31" w:themeColor="accent2"/>
              <w:right w:val="nil"/>
            </w:tcBorders>
            <w:shd w:val="clear" w:color="auto" w:fill="FBE4D5" w:themeFill="accent2" w:themeFillTint="33"/>
            <w:noWrap/>
            <w:vAlign w:val="bottom"/>
            <w:hideMark/>
          </w:tcPr>
          <w:p w14:paraId="1591FE58" w14:textId="77777777"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Uncertainty due to the COVID-19 pandemic</w:t>
            </w:r>
          </w:p>
        </w:tc>
        <w:tc>
          <w:tcPr>
            <w:tcW w:w="1271" w:type="dxa"/>
            <w:tcBorders>
              <w:top w:val="nil"/>
              <w:left w:val="nil"/>
              <w:bottom w:val="single" w:sz="4" w:space="0" w:color="ED7D31" w:themeColor="accent2"/>
              <w:right w:val="nil"/>
            </w:tcBorders>
            <w:shd w:val="clear" w:color="auto" w:fill="FBE4D5" w:themeFill="accent2" w:themeFillTint="33"/>
            <w:noWrap/>
            <w:vAlign w:val="bottom"/>
            <w:hideMark/>
          </w:tcPr>
          <w:p w14:paraId="1CD73150" w14:textId="061D16FB"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I</w:t>
            </w:r>
            <w:r w:rsidRPr="00611FD3">
              <w:rPr>
                <w:rFonts w:asciiTheme="majorHAnsi" w:eastAsia="Times New Roman" w:hAnsiTheme="majorHAnsi" w:cstheme="majorHAnsi"/>
                <w:color w:val="000000"/>
                <w:sz w:val="18"/>
                <w:szCs w:val="18"/>
                <w:lang w:eastAsia="en-AU"/>
              </w:rPr>
              <w:t xml:space="preserve">mpact children would have on economic growth </w:t>
            </w:r>
            <w:r w:rsidR="00214A11">
              <w:rPr>
                <w:rFonts w:asciiTheme="majorHAnsi" w:eastAsia="Times New Roman" w:hAnsiTheme="majorHAnsi" w:cstheme="majorHAnsi"/>
                <w:color w:val="000000"/>
                <w:sz w:val="18"/>
                <w:szCs w:val="18"/>
                <w:lang w:eastAsia="en-AU"/>
              </w:rPr>
              <w:t>&amp; the</w:t>
            </w:r>
            <w:r w:rsidRPr="00611FD3">
              <w:rPr>
                <w:rFonts w:asciiTheme="majorHAnsi" w:eastAsia="Times New Roman" w:hAnsiTheme="majorHAnsi" w:cstheme="majorHAnsi"/>
                <w:color w:val="000000"/>
                <w:sz w:val="18"/>
                <w:szCs w:val="18"/>
                <w:lang w:eastAsia="en-AU"/>
              </w:rPr>
              <w:t xml:space="preserve"> retirement system</w:t>
            </w:r>
          </w:p>
        </w:tc>
        <w:tc>
          <w:tcPr>
            <w:tcW w:w="1373" w:type="dxa"/>
            <w:tcBorders>
              <w:top w:val="nil"/>
              <w:left w:val="nil"/>
              <w:bottom w:val="single" w:sz="4" w:space="0" w:color="ED7D31" w:themeColor="accent2"/>
              <w:right w:val="nil"/>
            </w:tcBorders>
            <w:shd w:val="clear" w:color="auto" w:fill="FBE4D5" w:themeFill="accent2" w:themeFillTint="33"/>
            <w:noWrap/>
            <w:vAlign w:val="bottom"/>
            <w:hideMark/>
          </w:tcPr>
          <w:p w14:paraId="068B9E83" w14:textId="77777777"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Other caring responsibilities (for example for those with a disability or elderly relatives)</w:t>
            </w:r>
          </w:p>
        </w:tc>
        <w:tc>
          <w:tcPr>
            <w:tcW w:w="1037" w:type="dxa"/>
            <w:tcBorders>
              <w:top w:val="nil"/>
              <w:left w:val="nil"/>
              <w:bottom w:val="single" w:sz="4" w:space="0" w:color="ED7D31" w:themeColor="accent2"/>
              <w:right w:val="nil"/>
            </w:tcBorders>
            <w:shd w:val="clear" w:color="auto" w:fill="FBE4D5" w:themeFill="accent2" w:themeFillTint="33"/>
            <w:noWrap/>
            <w:vAlign w:val="bottom"/>
            <w:hideMark/>
          </w:tcPr>
          <w:p w14:paraId="354CAFE7" w14:textId="6CFA9ED6" w:rsidR="00244248" w:rsidRPr="00611FD3" w:rsidRDefault="00214A11" w:rsidP="00214A11">
            <w:pPr>
              <w:spacing w:after="0" w:line="240" w:lineRule="auto"/>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B</w:t>
            </w:r>
            <w:r w:rsidR="00244248" w:rsidRPr="00611FD3">
              <w:rPr>
                <w:rFonts w:asciiTheme="majorHAnsi" w:eastAsia="Times New Roman" w:hAnsiTheme="majorHAnsi" w:cstheme="majorHAnsi"/>
                <w:color w:val="000000"/>
                <w:sz w:val="18"/>
                <w:szCs w:val="18"/>
                <w:lang w:eastAsia="en-AU"/>
              </w:rPr>
              <w:t>enefits or costs of additional siblings for your existing children</w:t>
            </w:r>
          </w:p>
        </w:tc>
        <w:tc>
          <w:tcPr>
            <w:tcW w:w="960" w:type="dxa"/>
            <w:tcBorders>
              <w:top w:val="nil"/>
              <w:left w:val="nil"/>
              <w:bottom w:val="single" w:sz="4" w:space="0" w:color="ED7D31" w:themeColor="accent2"/>
              <w:right w:val="nil"/>
            </w:tcBorders>
            <w:shd w:val="clear" w:color="auto" w:fill="FBE4D5" w:themeFill="accent2" w:themeFillTint="33"/>
            <w:noWrap/>
            <w:vAlign w:val="bottom"/>
            <w:hideMark/>
          </w:tcPr>
          <w:p w14:paraId="5A05001E" w14:textId="77777777" w:rsidR="00244248" w:rsidRPr="00611FD3" w:rsidRDefault="00244248" w:rsidP="00214A11">
            <w:pPr>
              <w:spacing w:after="0" w:line="240" w:lineRule="auto"/>
              <w:rPr>
                <w:rFonts w:asciiTheme="majorHAnsi" w:eastAsia="Times New Roman" w:hAnsiTheme="majorHAnsi" w:cstheme="majorHAnsi"/>
                <w:color w:val="000000"/>
                <w:sz w:val="18"/>
                <w:szCs w:val="18"/>
                <w:lang w:eastAsia="en-AU"/>
              </w:rPr>
            </w:pPr>
            <w:r w:rsidRPr="00611FD3">
              <w:rPr>
                <w:rFonts w:asciiTheme="majorHAnsi" w:eastAsia="Times New Roman" w:hAnsiTheme="majorHAnsi" w:cstheme="majorHAnsi"/>
                <w:color w:val="000000"/>
                <w:sz w:val="18"/>
                <w:szCs w:val="18"/>
                <w:lang w:eastAsia="en-AU"/>
              </w:rPr>
              <w:t>The gender of your existing children</w:t>
            </w:r>
          </w:p>
        </w:tc>
      </w:tr>
      <w:tr w:rsidR="00244248" w:rsidRPr="00611FD3" w14:paraId="7B51B852" w14:textId="77777777" w:rsidTr="00214A11">
        <w:trPr>
          <w:trHeight w:hRule="exact" w:val="283"/>
        </w:trPr>
        <w:tc>
          <w:tcPr>
            <w:tcW w:w="3686" w:type="dxa"/>
            <w:gridSpan w:val="2"/>
            <w:tcBorders>
              <w:top w:val="single" w:sz="4" w:space="0" w:color="ED7D31" w:themeColor="accent2"/>
              <w:left w:val="nil"/>
              <w:bottom w:val="nil"/>
              <w:right w:val="nil"/>
            </w:tcBorders>
            <w:shd w:val="clear" w:color="auto" w:fill="auto"/>
            <w:noWrap/>
            <w:vAlign w:val="bottom"/>
            <w:hideMark/>
          </w:tcPr>
          <w:p w14:paraId="626A7CB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Number of children</w:t>
            </w:r>
            <w:r w:rsidRPr="00611FD3">
              <w:rPr>
                <w:rFonts w:asciiTheme="majorHAnsi" w:eastAsia="Times New Roman" w:hAnsiTheme="majorHAnsi" w:cstheme="majorHAnsi"/>
                <w:color w:val="000000"/>
                <w:sz w:val="20"/>
                <w:szCs w:val="20"/>
                <w:lang w:eastAsia="en-AU"/>
              </w:rPr>
              <w:t xml:space="preserve"> (ref: childless)</w:t>
            </w:r>
          </w:p>
        </w:tc>
        <w:tc>
          <w:tcPr>
            <w:tcW w:w="1134" w:type="dxa"/>
            <w:tcBorders>
              <w:top w:val="single" w:sz="4" w:space="0" w:color="ED7D31" w:themeColor="accent2"/>
              <w:left w:val="nil"/>
              <w:bottom w:val="nil"/>
              <w:right w:val="nil"/>
            </w:tcBorders>
            <w:shd w:val="clear" w:color="auto" w:fill="auto"/>
            <w:noWrap/>
            <w:vAlign w:val="bottom"/>
            <w:hideMark/>
          </w:tcPr>
          <w:p w14:paraId="2A3F8499"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61CEAEAE" w14:textId="77777777" w:rsidR="00244248" w:rsidRPr="00611FD3" w:rsidRDefault="00244248" w:rsidP="00335B25">
            <w:pPr>
              <w:rPr>
                <w:rFonts w:asciiTheme="majorHAnsi" w:eastAsia="Times New Roman" w:hAnsiTheme="majorHAnsi" w:cstheme="majorHAnsi"/>
                <w:sz w:val="20"/>
                <w:szCs w:val="20"/>
                <w:lang w:eastAsia="en-AU"/>
              </w:rPr>
            </w:pPr>
          </w:p>
        </w:tc>
        <w:tc>
          <w:tcPr>
            <w:tcW w:w="1101" w:type="dxa"/>
            <w:tcBorders>
              <w:top w:val="single" w:sz="4" w:space="0" w:color="ED7D31" w:themeColor="accent2"/>
              <w:left w:val="nil"/>
              <w:bottom w:val="nil"/>
              <w:right w:val="nil"/>
            </w:tcBorders>
            <w:shd w:val="clear" w:color="auto" w:fill="auto"/>
            <w:noWrap/>
            <w:vAlign w:val="bottom"/>
            <w:hideMark/>
          </w:tcPr>
          <w:p w14:paraId="511045E4" w14:textId="77777777" w:rsidR="00244248" w:rsidRPr="00611FD3" w:rsidRDefault="00244248" w:rsidP="00335B25">
            <w:pPr>
              <w:rPr>
                <w:rFonts w:asciiTheme="majorHAnsi" w:eastAsia="Times New Roman" w:hAnsiTheme="majorHAnsi" w:cstheme="majorHAnsi"/>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78561F41" w14:textId="77777777" w:rsidR="00244248" w:rsidRPr="00611FD3" w:rsidRDefault="00244248" w:rsidP="00335B25">
            <w:pPr>
              <w:rPr>
                <w:rFonts w:asciiTheme="majorHAnsi" w:eastAsia="Times New Roman" w:hAnsiTheme="majorHAnsi" w:cstheme="majorHAnsi"/>
                <w:sz w:val="20"/>
                <w:szCs w:val="20"/>
                <w:lang w:eastAsia="en-AU"/>
              </w:rPr>
            </w:pPr>
          </w:p>
        </w:tc>
        <w:tc>
          <w:tcPr>
            <w:tcW w:w="1085" w:type="dxa"/>
            <w:tcBorders>
              <w:top w:val="single" w:sz="4" w:space="0" w:color="ED7D31" w:themeColor="accent2"/>
              <w:left w:val="nil"/>
              <w:bottom w:val="nil"/>
              <w:right w:val="nil"/>
            </w:tcBorders>
            <w:shd w:val="clear" w:color="auto" w:fill="auto"/>
            <w:noWrap/>
            <w:vAlign w:val="bottom"/>
            <w:hideMark/>
          </w:tcPr>
          <w:p w14:paraId="1AFA023E" w14:textId="77777777" w:rsidR="00244248" w:rsidRPr="00611FD3" w:rsidRDefault="00244248" w:rsidP="00335B25">
            <w:pPr>
              <w:rPr>
                <w:rFonts w:asciiTheme="majorHAnsi" w:eastAsia="Times New Roman" w:hAnsiTheme="majorHAnsi" w:cstheme="majorHAnsi"/>
                <w:sz w:val="20"/>
                <w:szCs w:val="20"/>
                <w:lang w:eastAsia="en-AU"/>
              </w:rPr>
            </w:pPr>
          </w:p>
        </w:tc>
        <w:tc>
          <w:tcPr>
            <w:tcW w:w="1271" w:type="dxa"/>
            <w:tcBorders>
              <w:top w:val="single" w:sz="4" w:space="0" w:color="ED7D31" w:themeColor="accent2"/>
              <w:left w:val="nil"/>
              <w:bottom w:val="nil"/>
              <w:right w:val="nil"/>
            </w:tcBorders>
            <w:shd w:val="clear" w:color="auto" w:fill="auto"/>
            <w:noWrap/>
            <w:vAlign w:val="bottom"/>
            <w:hideMark/>
          </w:tcPr>
          <w:p w14:paraId="0434C14B" w14:textId="77777777" w:rsidR="00244248" w:rsidRPr="00611FD3" w:rsidRDefault="00244248" w:rsidP="00335B25">
            <w:pPr>
              <w:rPr>
                <w:rFonts w:asciiTheme="majorHAnsi" w:eastAsia="Times New Roman" w:hAnsiTheme="majorHAnsi" w:cstheme="majorHAnsi"/>
                <w:sz w:val="20"/>
                <w:szCs w:val="20"/>
                <w:lang w:eastAsia="en-AU"/>
              </w:rPr>
            </w:pPr>
          </w:p>
        </w:tc>
        <w:tc>
          <w:tcPr>
            <w:tcW w:w="1373" w:type="dxa"/>
            <w:tcBorders>
              <w:top w:val="single" w:sz="4" w:space="0" w:color="ED7D31" w:themeColor="accent2"/>
              <w:left w:val="nil"/>
              <w:bottom w:val="nil"/>
              <w:right w:val="nil"/>
            </w:tcBorders>
            <w:shd w:val="clear" w:color="auto" w:fill="auto"/>
            <w:noWrap/>
            <w:vAlign w:val="bottom"/>
            <w:hideMark/>
          </w:tcPr>
          <w:p w14:paraId="76E819A2" w14:textId="77777777" w:rsidR="00244248" w:rsidRPr="00611FD3" w:rsidRDefault="00244248" w:rsidP="00335B25">
            <w:pPr>
              <w:rPr>
                <w:rFonts w:asciiTheme="majorHAnsi" w:eastAsia="Times New Roman" w:hAnsiTheme="majorHAnsi" w:cstheme="majorHAnsi"/>
                <w:sz w:val="20"/>
                <w:szCs w:val="20"/>
                <w:lang w:eastAsia="en-AU"/>
              </w:rPr>
            </w:pPr>
          </w:p>
        </w:tc>
        <w:tc>
          <w:tcPr>
            <w:tcW w:w="1037" w:type="dxa"/>
            <w:tcBorders>
              <w:top w:val="single" w:sz="4" w:space="0" w:color="ED7D31" w:themeColor="accent2"/>
              <w:left w:val="nil"/>
              <w:bottom w:val="nil"/>
              <w:right w:val="nil"/>
            </w:tcBorders>
            <w:shd w:val="clear" w:color="auto" w:fill="auto"/>
            <w:noWrap/>
            <w:vAlign w:val="bottom"/>
            <w:hideMark/>
          </w:tcPr>
          <w:p w14:paraId="412C4F51"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5BEBACD1"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0A29A0A6" w14:textId="77777777" w:rsidTr="00214A11">
        <w:trPr>
          <w:trHeight w:hRule="exact" w:val="283"/>
        </w:trPr>
        <w:tc>
          <w:tcPr>
            <w:tcW w:w="2520" w:type="dxa"/>
            <w:tcBorders>
              <w:top w:val="nil"/>
              <w:left w:val="nil"/>
              <w:right w:val="nil"/>
            </w:tcBorders>
            <w:shd w:val="clear" w:color="auto" w:fill="auto"/>
            <w:noWrap/>
            <w:vAlign w:val="bottom"/>
            <w:hideMark/>
          </w:tcPr>
          <w:p w14:paraId="09191F4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At least 1 child</w:t>
            </w:r>
          </w:p>
        </w:tc>
        <w:tc>
          <w:tcPr>
            <w:tcW w:w="1166" w:type="dxa"/>
            <w:tcBorders>
              <w:top w:val="nil"/>
              <w:left w:val="nil"/>
              <w:right w:val="nil"/>
            </w:tcBorders>
            <w:shd w:val="clear" w:color="auto" w:fill="auto"/>
            <w:noWrap/>
            <w:vAlign w:val="bottom"/>
            <w:hideMark/>
          </w:tcPr>
          <w:p w14:paraId="23D263A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-0.574**</w:t>
            </w:r>
          </w:p>
        </w:tc>
        <w:tc>
          <w:tcPr>
            <w:tcW w:w="1134" w:type="dxa"/>
            <w:tcBorders>
              <w:top w:val="nil"/>
              <w:left w:val="nil"/>
              <w:right w:val="nil"/>
            </w:tcBorders>
            <w:shd w:val="clear" w:color="auto" w:fill="auto"/>
            <w:noWrap/>
            <w:vAlign w:val="bottom"/>
            <w:hideMark/>
          </w:tcPr>
          <w:p w14:paraId="5946BF1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-0.296</w:t>
            </w:r>
          </w:p>
        </w:tc>
        <w:tc>
          <w:tcPr>
            <w:tcW w:w="960" w:type="dxa"/>
            <w:tcBorders>
              <w:top w:val="nil"/>
              <w:left w:val="nil"/>
              <w:right w:val="nil"/>
            </w:tcBorders>
            <w:shd w:val="clear" w:color="auto" w:fill="auto"/>
            <w:noWrap/>
            <w:vAlign w:val="bottom"/>
            <w:hideMark/>
          </w:tcPr>
          <w:p w14:paraId="0A1E782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0.160</w:t>
            </w:r>
          </w:p>
        </w:tc>
        <w:tc>
          <w:tcPr>
            <w:tcW w:w="1101" w:type="dxa"/>
            <w:tcBorders>
              <w:top w:val="nil"/>
              <w:left w:val="nil"/>
              <w:right w:val="nil"/>
            </w:tcBorders>
            <w:shd w:val="clear" w:color="auto" w:fill="auto"/>
            <w:noWrap/>
            <w:vAlign w:val="bottom"/>
            <w:hideMark/>
          </w:tcPr>
          <w:p w14:paraId="4DF447F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-0.574***</w:t>
            </w:r>
          </w:p>
        </w:tc>
        <w:tc>
          <w:tcPr>
            <w:tcW w:w="1188" w:type="dxa"/>
            <w:tcBorders>
              <w:top w:val="nil"/>
              <w:left w:val="nil"/>
              <w:right w:val="nil"/>
            </w:tcBorders>
            <w:shd w:val="clear" w:color="auto" w:fill="auto"/>
            <w:noWrap/>
            <w:vAlign w:val="bottom"/>
            <w:hideMark/>
          </w:tcPr>
          <w:p w14:paraId="2F7A63E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-0.294</w:t>
            </w:r>
          </w:p>
        </w:tc>
        <w:tc>
          <w:tcPr>
            <w:tcW w:w="1085" w:type="dxa"/>
            <w:tcBorders>
              <w:top w:val="nil"/>
              <w:left w:val="nil"/>
              <w:right w:val="nil"/>
            </w:tcBorders>
            <w:shd w:val="clear" w:color="auto" w:fill="auto"/>
            <w:noWrap/>
            <w:vAlign w:val="bottom"/>
            <w:hideMark/>
          </w:tcPr>
          <w:p w14:paraId="0556F76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-0.149</w:t>
            </w:r>
          </w:p>
        </w:tc>
        <w:tc>
          <w:tcPr>
            <w:tcW w:w="1271" w:type="dxa"/>
            <w:tcBorders>
              <w:top w:val="nil"/>
              <w:left w:val="nil"/>
              <w:right w:val="nil"/>
            </w:tcBorders>
            <w:shd w:val="clear" w:color="auto" w:fill="auto"/>
            <w:noWrap/>
            <w:vAlign w:val="bottom"/>
            <w:hideMark/>
          </w:tcPr>
          <w:p w14:paraId="745DC82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-0.087</w:t>
            </w:r>
          </w:p>
        </w:tc>
        <w:tc>
          <w:tcPr>
            <w:tcW w:w="1373" w:type="dxa"/>
            <w:tcBorders>
              <w:top w:val="nil"/>
              <w:left w:val="nil"/>
              <w:right w:val="nil"/>
            </w:tcBorders>
            <w:shd w:val="clear" w:color="auto" w:fill="auto"/>
            <w:noWrap/>
            <w:vAlign w:val="bottom"/>
            <w:hideMark/>
          </w:tcPr>
          <w:p w14:paraId="4CD4D15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-0.181</w:t>
            </w:r>
          </w:p>
        </w:tc>
        <w:tc>
          <w:tcPr>
            <w:tcW w:w="1037" w:type="dxa"/>
            <w:tcBorders>
              <w:top w:val="nil"/>
              <w:left w:val="nil"/>
              <w:right w:val="nil"/>
            </w:tcBorders>
            <w:shd w:val="clear" w:color="auto" w:fill="auto"/>
            <w:noWrap/>
            <w:vAlign w:val="bottom"/>
            <w:hideMark/>
          </w:tcPr>
          <w:p w14:paraId="1B70E263"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960" w:type="dxa"/>
            <w:tcBorders>
              <w:top w:val="nil"/>
              <w:left w:val="nil"/>
              <w:right w:val="nil"/>
            </w:tcBorders>
            <w:shd w:val="clear" w:color="auto" w:fill="auto"/>
            <w:noWrap/>
            <w:vAlign w:val="bottom"/>
            <w:hideMark/>
          </w:tcPr>
          <w:p w14:paraId="54A99E45"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0989316F"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7A04C323" w14:textId="77777777" w:rsidR="00244248" w:rsidRPr="00611FD3" w:rsidRDefault="00244248" w:rsidP="00335B25">
            <w:pPr>
              <w:rPr>
                <w:rFonts w:asciiTheme="majorHAnsi" w:eastAsia="Times New Roman" w:hAnsiTheme="majorHAnsi" w:cstheme="majorHAnsi"/>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23BF16D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(0.241)</w:t>
            </w:r>
          </w:p>
        </w:tc>
        <w:tc>
          <w:tcPr>
            <w:tcW w:w="1134" w:type="dxa"/>
            <w:tcBorders>
              <w:top w:val="nil"/>
              <w:left w:val="nil"/>
              <w:bottom w:val="single" w:sz="4" w:space="0" w:color="ED7D31" w:themeColor="accent2"/>
              <w:right w:val="nil"/>
            </w:tcBorders>
            <w:shd w:val="clear" w:color="auto" w:fill="auto"/>
            <w:noWrap/>
            <w:vAlign w:val="bottom"/>
            <w:hideMark/>
          </w:tcPr>
          <w:p w14:paraId="74DB289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(0.273)</w:t>
            </w:r>
          </w:p>
        </w:tc>
        <w:tc>
          <w:tcPr>
            <w:tcW w:w="960" w:type="dxa"/>
            <w:tcBorders>
              <w:top w:val="nil"/>
              <w:left w:val="nil"/>
              <w:bottom w:val="single" w:sz="4" w:space="0" w:color="ED7D31" w:themeColor="accent2"/>
              <w:right w:val="nil"/>
            </w:tcBorders>
            <w:shd w:val="clear" w:color="auto" w:fill="auto"/>
            <w:noWrap/>
            <w:vAlign w:val="bottom"/>
            <w:hideMark/>
          </w:tcPr>
          <w:p w14:paraId="16B017F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(0.212)</w:t>
            </w:r>
          </w:p>
        </w:tc>
        <w:tc>
          <w:tcPr>
            <w:tcW w:w="1101" w:type="dxa"/>
            <w:tcBorders>
              <w:top w:val="nil"/>
              <w:left w:val="nil"/>
              <w:bottom w:val="single" w:sz="4" w:space="0" w:color="ED7D31" w:themeColor="accent2"/>
              <w:right w:val="nil"/>
            </w:tcBorders>
            <w:shd w:val="clear" w:color="auto" w:fill="auto"/>
            <w:noWrap/>
            <w:vAlign w:val="bottom"/>
            <w:hideMark/>
          </w:tcPr>
          <w:p w14:paraId="7C936DA9"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(0.222)</w:t>
            </w:r>
          </w:p>
        </w:tc>
        <w:tc>
          <w:tcPr>
            <w:tcW w:w="1188" w:type="dxa"/>
            <w:tcBorders>
              <w:top w:val="nil"/>
              <w:left w:val="nil"/>
              <w:bottom w:val="single" w:sz="4" w:space="0" w:color="ED7D31" w:themeColor="accent2"/>
              <w:right w:val="nil"/>
            </w:tcBorders>
            <w:shd w:val="clear" w:color="auto" w:fill="auto"/>
            <w:noWrap/>
            <w:vAlign w:val="bottom"/>
            <w:hideMark/>
          </w:tcPr>
          <w:p w14:paraId="3EE2E8E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(0.264)</w:t>
            </w:r>
          </w:p>
        </w:tc>
        <w:tc>
          <w:tcPr>
            <w:tcW w:w="1085" w:type="dxa"/>
            <w:tcBorders>
              <w:top w:val="nil"/>
              <w:left w:val="nil"/>
              <w:bottom w:val="single" w:sz="4" w:space="0" w:color="ED7D31" w:themeColor="accent2"/>
              <w:right w:val="nil"/>
            </w:tcBorders>
            <w:shd w:val="clear" w:color="auto" w:fill="auto"/>
            <w:noWrap/>
            <w:vAlign w:val="bottom"/>
            <w:hideMark/>
          </w:tcPr>
          <w:p w14:paraId="220EA1B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(0.218)</w:t>
            </w:r>
          </w:p>
        </w:tc>
        <w:tc>
          <w:tcPr>
            <w:tcW w:w="1271" w:type="dxa"/>
            <w:tcBorders>
              <w:top w:val="nil"/>
              <w:left w:val="nil"/>
              <w:bottom w:val="single" w:sz="4" w:space="0" w:color="ED7D31" w:themeColor="accent2"/>
              <w:right w:val="nil"/>
            </w:tcBorders>
            <w:shd w:val="clear" w:color="auto" w:fill="auto"/>
            <w:noWrap/>
            <w:vAlign w:val="bottom"/>
            <w:hideMark/>
          </w:tcPr>
          <w:p w14:paraId="265FC11A"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(0.309)</w:t>
            </w:r>
          </w:p>
        </w:tc>
        <w:tc>
          <w:tcPr>
            <w:tcW w:w="1373" w:type="dxa"/>
            <w:tcBorders>
              <w:top w:val="nil"/>
              <w:left w:val="nil"/>
              <w:bottom w:val="single" w:sz="4" w:space="0" w:color="ED7D31" w:themeColor="accent2"/>
              <w:right w:val="nil"/>
            </w:tcBorders>
            <w:shd w:val="clear" w:color="auto" w:fill="auto"/>
            <w:noWrap/>
            <w:vAlign w:val="bottom"/>
            <w:hideMark/>
          </w:tcPr>
          <w:p w14:paraId="427FDC6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(0.284)</w:t>
            </w:r>
          </w:p>
        </w:tc>
        <w:tc>
          <w:tcPr>
            <w:tcW w:w="1037" w:type="dxa"/>
            <w:tcBorders>
              <w:top w:val="nil"/>
              <w:left w:val="nil"/>
              <w:bottom w:val="single" w:sz="4" w:space="0" w:color="ED7D31" w:themeColor="accent2"/>
              <w:right w:val="nil"/>
            </w:tcBorders>
            <w:shd w:val="clear" w:color="auto" w:fill="auto"/>
            <w:noWrap/>
            <w:vAlign w:val="bottom"/>
            <w:hideMark/>
          </w:tcPr>
          <w:p w14:paraId="3E386DEF" w14:textId="77777777" w:rsidR="00244248" w:rsidRPr="00611FD3" w:rsidRDefault="00244248" w:rsidP="00335B25">
            <w:pPr>
              <w:rPr>
                <w:rFonts w:asciiTheme="majorHAnsi" w:eastAsia="Times New Roman" w:hAnsiTheme="majorHAnsi" w:cstheme="majorHAnsi"/>
                <w:color w:val="808080"/>
                <w:sz w:val="20"/>
                <w:szCs w:val="20"/>
                <w:lang w:eastAsia="en-AU"/>
              </w:rPr>
            </w:pPr>
          </w:p>
        </w:tc>
        <w:tc>
          <w:tcPr>
            <w:tcW w:w="960" w:type="dxa"/>
            <w:tcBorders>
              <w:top w:val="nil"/>
              <w:left w:val="nil"/>
              <w:bottom w:val="single" w:sz="4" w:space="0" w:color="ED7D31" w:themeColor="accent2"/>
              <w:right w:val="nil"/>
            </w:tcBorders>
            <w:shd w:val="clear" w:color="auto" w:fill="auto"/>
            <w:noWrap/>
            <w:vAlign w:val="bottom"/>
            <w:hideMark/>
          </w:tcPr>
          <w:p w14:paraId="15DE3AF9"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10E4D108"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6F3A340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Sex</w:t>
            </w:r>
            <w:r w:rsidRPr="00611FD3">
              <w:rPr>
                <w:rFonts w:asciiTheme="majorHAnsi" w:eastAsia="Times New Roman" w:hAnsiTheme="majorHAnsi" w:cstheme="majorHAnsi"/>
                <w:color w:val="000000"/>
                <w:sz w:val="20"/>
                <w:szCs w:val="20"/>
                <w:lang w:eastAsia="en-AU"/>
              </w:rPr>
              <w:t xml:space="preserve"> (ref: male)</w:t>
            </w:r>
          </w:p>
        </w:tc>
        <w:tc>
          <w:tcPr>
            <w:tcW w:w="1166" w:type="dxa"/>
            <w:tcBorders>
              <w:top w:val="single" w:sz="4" w:space="0" w:color="ED7D31" w:themeColor="accent2"/>
              <w:left w:val="nil"/>
              <w:bottom w:val="nil"/>
              <w:right w:val="nil"/>
            </w:tcBorders>
            <w:shd w:val="clear" w:color="auto" w:fill="auto"/>
            <w:noWrap/>
            <w:vAlign w:val="bottom"/>
            <w:hideMark/>
          </w:tcPr>
          <w:p w14:paraId="26EB0667"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21615BB0"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2F07203E" w14:textId="77777777" w:rsidR="00244248" w:rsidRPr="00611FD3" w:rsidRDefault="00244248" w:rsidP="00335B25">
            <w:pPr>
              <w:rPr>
                <w:rFonts w:asciiTheme="majorHAnsi" w:eastAsia="Times New Roman" w:hAnsiTheme="majorHAnsi" w:cstheme="majorHAnsi"/>
                <w:sz w:val="20"/>
                <w:szCs w:val="20"/>
                <w:lang w:eastAsia="en-AU"/>
              </w:rPr>
            </w:pPr>
          </w:p>
        </w:tc>
        <w:tc>
          <w:tcPr>
            <w:tcW w:w="1101" w:type="dxa"/>
            <w:tcBorders>
              <w:top w:val="single" w:sz="4" w:space="0" w:color="ED7D31" w:themeColor="accent2"/>
              <w:left w:val="nil"/>
              <w:bottom w:val="nil"/>
              <w:right w:val="nil"/>
            </w:tcBorders>
            <w:shd w:val="clear" w:color="auto" w:fill="auto"/>
            <w:noWrap/>
            <w:vAlign w:val="bottom"/>
            <w:hideMark/>
          </w:tcPr>
          <w:p w14:paraId="3F6CB1EE" w14:textId="77777777" w:rsidR="00244248" w:rsidRPr="00611FD3" w:rsidRDefault="00244248" w:rsidP="00335B25">
            <w:pPr>
              <w:rPr>
                <w:rFonts w:asciiTheme="majorHAnsi" w:eastAsia="Times New Roman" w:hAnsiTheme="majorHAnsi" w:cstheme="majorHAnsi"/>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47F2D545" w14:textId="77777777" w:rsidR="00244248" w:rsidRPr="00611FD3" w:rsidRDefault="00244248" w:rsidP="00335B25">
            <w:pPr>
              <w:rPr>
                <w:rFonts w:asciiTheme="majorHAnsi" w:eastAsia="Times New Roman" w:hAnsiTheme="majorHAnsi" w:cstheme="majorHAnsi"/>
                <w:sz w:val="20"/>
                <w:szCs w:val="20"/>
                <w:lang w:eastAsia="en-AU"/>
              </w:rPr>
            </w:pPr>
          </w:p>
        </w:tc>
        <w:tc>
          <w:tcPr>
            <w:tcW w:w="1085" w:type="dxa"/>
            <w:tcBorders>
              <w:top w:val="single" w:sz="4" w:space="0" w:color="ED7D31" w:themeColor="accent2"/>
              <w:left w:val="nil"/>
              <w:bottom w:val="nil"/>
              <w:right w:val="nil"/>
            </w:tcBorders>
            <w:shd w:val="clear" w:color="auto" w:fill="auto"/>
            <w:noWrap/>
            <w:vAlign w:val="bottom"/>
            <w:hideMark/>
          </w:tcPr>
          <w:p w14:paraId="49ECA1CA" w14:textId="77777777" w:rsidR="00244248" w:rsidRPr="00611FD3" w:rsidRDefault="00244248" w:rsidP="00335B25">
            <w:pPr>
              <w:rPr>
                <w:rFonts w:asciiTheme="majorHAnsi" w:eastAsia="Times New Roman" w:hAnsiTheme="majorHAnsi" w:cstheme="majorHAnsi"/>
                <w:sz w:val="20"/>
                <w:szCs w:val="20"/>
                <w:lang w:eastAsia="en-AU"/>
              </w:rPr>
            </w:pPr>
          </w:p>
        </w:tc>
        <w:tc>
          <w:tcPr>
            <w:tcW w:w="1271" w:type="dxa"/>
            <w:tcBorders>
              <w:top w:val="single" w:sz="4" w:space="0" w:color="ED7D31" w:themeColor="accent2"/>
              <w:left w:val="nil"/>
              <w:bottom w:val="nil"/>
              <w:right w:val="nil"/>
            </w:tcBorders>
            <w:shd w:val="clear" w:color="auto" w:fill="auto"/>
            <w:noWrap/>
            <w:vAlign w:val="bottom"/>
            <w:hideMark/>
          </w:tcPr>
          <w:p w14:paraId="1607A78A" w14:textId="77777777" w:rsidR="00244248" w:rsidRPr="00611FD3" w:rsidRDefault="00244248" w:rsidP="00335B25">
            <w:pPr>
              <w:rPr>
                <w:rFonts w:asciiTheme="majorHAnsi" w:eastAsia="Times New Roman" w:hAnsiTheme="majorHAnsi" w:cstheme="majorHAnsi"/>
                <w:sz w:val="20"/>
                <w:szCs w:val="20"/>
                <w:lang w:eastAsia="en-AU"/>
              </w:rPr>
            </w:pPr>
          </w:p>
        </w:tc>
        <w:tc>
          <w:tcPr>
            <w:tcW w:w="1373" w:type="dxa"/>
            <w:tcBorders>
              <w:top w:val="single" w:sz="4" w:space="0" w:color="ED7D31" w:themeColor="accent2"/>
              <w:left w:val="nil"/>
              <w:bottom w:val="nil"/>
              <w:right w:val="nil"/>
            </w:tcBorders>
            <w:shd w:val="clear" w:color="auto" w:fill="auto"/>
            <w:noWrap/>
            <w:vAlign w:val="bottom"/>
            <w:hideMark/>
          </w:tcPr>
          <w:p w14:paraId="3EB314DA" w14:textId="77777777" w:rsidR="00244248" w:rsidRPr="00611FD3" w:rsidRDefault="00244248" w:rsidP="00335B25">
            <w:pPr>
              <w:rPr>
                <w:rFonts w:asciiTheme="majorHAnsi" w:eastAsia="Times New Roman" w:hAnsiTheme="majorHAnsi" w:cstheme="majorHAnsi"/>
                <w:sz w:val="20"/>
                <w:szCs w:val="20"/>
                <w:lang w:eastAsia="en-AU"/>
              </w:rPr>
            </w:pPr>
          </w:p>
        </w:tc>
        <w:tc>
          <w:tcPr>
            <w:tcW w:w="1037" w:type="dxa"/>
            <w:tcBorders>
              <w:top w:val="single" w:sz="4" w:space="0" w:color="ED7D31" w:themeColor="accent2"/>
              <w:left w:val="nil"/>
              <w:bottom w:val="nil"/>
              <w:right w:val="nil"/>
            </w:tcBorders>
            <w:shd w:val="clear" w:color="auto" w:fill="auto"/>
            <w:noWrap/>
            <w:vAlign w:val="bottom"/>
            <w:hideMark/>
          </w:tcPr>
          <w:p w14:paraId="7733C01D"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175E1F55"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007D7A6C" w14:textId="77777777" w:rsidTr="00214A11">
        <w:trPr>
          <w:trHeight w:hRule="exact" w:val="283"/>
        </w:trPr>
        <w:tc>
          <w:tcPr>
            <w:tcW w:w="2520" w:type="dxa"/>
            <w:tcBorders>
              <w:top w:val="nil"/>
              <w:left w:val="nil"/>
              <w:right w:val="nil"/>
            </w:tcBorders>
            <w:shd w:val="clear" w:color="auto" w:fill="auto"/>
            <w:noWrap/>
            <w:vAlign w:val="bottom"/>
            <w:hideMark/>
          </w:tcPr>
          <w:p w14:paraId="3533C88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Female</w:t>
            </w:r>
          </w:p>
        </w:tc>
        <w:tc>
          <w:tcPr>
            <w:tcW w:w="1166" w:type="dxa"/>
            <w:tcBorders>
              <w:top w:val="nil"/>
              <w:left w:val="nil"/>
              <w:right w:val="nil"/>
            </w:tcBorders>
            <w:shd w:val="clear" w:color="auto" w:fill="auto"/>
            <w:noWrap/>
            <w:vAlign w:val="bottom"/>
            <w:hideMark/>
          </w:tcPr>
          <w:p w14:paraId="1EA05B0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-0.010</w:t>
            </w:r>
          </w:p>
        </w:tc>
        <w:tc>
          <w:tcPr>
            <w:tcW w:w="1134" w:type="dxa"/>
            <w:tcBorders>
              <w:top w:val="nil"/>
              <w:left w:val="nil"/>
              <w:right w:val="nil"/>
            </w:tcBorders>
            <w:shd w:val="clear" w:color="auto" w:fill="auto"/>
            <w:noWrap/>
            <w:vAlign w:val="bottom"/>
            <w:hideMark/>
          </w:tcPr>
          <w:p w14:paraId="08D0E4A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-0.166</w:t>
            </w:r>
          </w:p>
        </w:tc>
        <w:tc>
          <w:tcPr>
            <w:tcW w:w="960" w:type="dxa"/>
            <w:tcBorders>
              <w:top w:val="nil"/>
              <w:left w:val="nil"/>
              <w:right w:val="nil"/>
            </w:tcBorders>
            <w:shd w:val="clear" w:color="auto" w:fill="auto"/>
            <w:noWrap/>
            <w:vAlign w:val="bottom"/>
            <w:hideMark/>
          </w:tcPr>
          <w:p w14:paraId="50E17F1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-0.113</w:t>
            </w:r>
          </w:p>
        </w:tc>
        <w:tc>
          <w:tcPr>
            <w:tcW w:w="1101" w:type="dxa"/>
            <w:tcBorders>
              <w:top w:val="nil"/>
              <w:left w:val="nil"/>
              <w:right w:val="nil"/>
            </w:tcBorders>
            <w:shd w:val="clear" w:color="auto" w:fill="auto"/>
            <w:noWrap/>
            <w:vAlign w:val="bottom"/>
            <w:hideMark/>
          </w:tcPr>
          <w:p w14:paraId="75D6533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0.077</w:t>
            </w:r>
          </w:p>
        </w:tc>
        <w:tc>
          <w:tcPr>
            <w:tcW w:w="1188" w:type="dxa"/>
            <w:tcBorders>
              <w:top w:val="nil"/>
              <w:left w:val="nil"/>
              <w:right w:val="nil"/>
            </w:tcBorders>
            <w:shd w:val="clear" w:color="auto" w:fill="auto"/>
            <w:noWrap/>
            <w:vAlign w:val="bottom"/>
            <w:hideMark/>
          </w:tcPr>
          <w:p w14:paraId="3A42B94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0.026</w:t>
            </w:r>
          </w:p>
        </w:tc>
        <w:tc>
          <w:tcPr>
            <w:tcW w:w="1085" w:type="dxa"/>
            <w:tcBorders>
              <w:top w:val="nil"/>
              <w:left w:val="nil"/>
              <w:right w:val="nil"/>
            </w:tcBorders>
            <w:shd w:val="clear" w:color="auto" w:fill="auto"/>
            <w:noWrap/>
            <w:vAlign w:val="bottom"/>
            <w:hideMark/>
          </w:tcPr>
          <w:p w14:paraId="2CCB767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-0.012</w:t>
            </w:r>
          </w:p>
        </w:tc>
        <w:tc>
          <w:tcPr>
            <w:tcW w:w="1271" w:type="dxa"/>
            <w:tcBorders>
              <w:top w:val="nil"/>
              <w:left w:val="nil"/>
              <w:right w:val="nil"/>
            </w:tcBorders>
            <w:shd w:val="clear" w:color="auto" w:fill="auto"/>
            <w:noWrap/>
            <w:vAlign w:val="bottom"/>
            <w:hideMark/>
          </w:tcPr>
          <w:p w14:paraId="148DB07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0.233</w:t>
            </w:r>
          </w:p>
        </w:tc>
        <w:tc>
          <w:tcPr>
            <w:tcW w:w="1373" w:type="dxa"/>
            <w:tcBorders>
              <w:top w:val="nil"/>
              <w:left w:val="nil"/>
              <w:right w:val="nil"/>
            </w:tcBorders>
            <w:shd w:val="clear" w:color="auto" w:fill="auto"/>
            <w:noWrap/>
            <w:vAlign w:val="bottom"/>
            <w:hideMark/>
          </w:tcPr>
          <w:p w14:paraId="1AB7A64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0.672***</w:t>
            </w:r>
          </w:p>
        </w:tc>
        <w:tc>
          <w:tcPr>
            <w:tcW w:w="1037" w:type="dxa"/>
            <w:tcBorders>
              <w:top w:val="nil"/>
              <w:left w:val="nil"/>
              <w:right w:val="nil"/>
            </w:tcBorders>
            <w:shd w:val="clear" w:color="auto" w:fill="auto"/>
            <w:noWrap/>
            <w:vAlign w:val="bottom"/>
            <w:hideMark/>
          </w:tcPr>
          <w:p w14:paraId="12723AC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0.238</w:t>
            </w:r>
          </w:p>
        </w:tc>
        <w:tc>
          <w:tcPr>
            <w:tcW w:w="960" w:type="dxa"/>
            <w:tcBorders>
              <w:top w:val="nil"/>
              <w:left w:val="nil"/>
              <w:right w:val="nil"/>
            </w:tcBorders>
            <w:shd w:val="clear" w:color="auto" w:fill="auto"/>
            <w:noWrap/>
            <w:vAlign w:val="bottom"/>
            <w:hideMark/>
          </w:tcPr>
          <w:p w14:paraId="4346718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-0.492</w:t>
            </w:r>
          </w:p>
        </w:tc>
      </w:tr>
      <w:tr w:rsidR="00244248" w:rsidRPr="00611FD3" w14:paraId="49326F13"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68CE2DD1"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48C087B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(0.188)</w:t>
            </w:r>
          </w:p>
        </w:tc>
        <w:tc>
          <w:tcPr>
            <w:tcW w:w="1134" w:type="dxa"/>
            <w:tcBorders>
              <w:top w:val="nil"/>
              <w:left w:val="nil"/>
              <w:bottom w:val="single" w:sz="4" w:space="0" w:color="ED7D31" w:themeColor="accent2"/>
              <w:right w:val="nil"/>
            </w:tcBorders>
            <w:shd w:val="clear" w:color="auto" w:fill="auto"/>
            <w:noWrap/>
            <w:vAlign w:val="bottom"/>
            <w:hideMark/>
          </w:tcPr>
          <w:p w14:paraId="1D224B4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(0.214)</w:t>
            </w:r>
          </w:p>
        </w:tc>
        <w:tc>
          <w:tcPr>
            <w:tcW w:w="960" w:type="dxa"/>
            <w:tcBorders>
              <w:top w:val="nil"/>
              <w:left w:val="nil"/>
              <w:bottom w:val="single" w:sz="4" w:space="0" w:color="ED7D31" w:themeColor="accent2"/>
              <w:right w:val="nil"/>
            </w:tcBorders>
            <w:shd w:val="clear" w:color="auto" w:fill="auto"/>
            <w:noWrap/>
            <w:vAlign w:val="bottom"/>
            <w:hideMark/>
          </w:tcPr>
          <w:p w14:paraId="47AF6CB7"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(0.175)</w:t>
            </w:r>
          </w:p>
        </w:tc>
        <w:tc>
          <w:tcPr>
            <w:tcW w:w="1101" w:type="dxa"/>
            <w:tcBorders>
              <w:top w:val="nil"/>
              <w:left w:val="nil"/>
              <w:bottom w:val="single" w:sz="4" w:space="0" w:color="ED7D31" w:themeColor="accent2"/>
              <w:right w:val="nil"/>
            </w:tcBorders>
            <w:shd w:val="clear" w:color="auto" w:fill="auto"/>
            <w:noWrap/>
            <w:vAlign w:val="bottom"/>
            <w:hideMark/>
          </w:tcPr>
          <w:p w14:paraId="2FEA749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(0.178)</w:t>
            </w:r>
          </w:p>
        </w:tc>
        <w:tc>
          <w:tcPr>
            <w:tcW w:w="1188" w:type="dxa"/>
            <w:tcBorders>
              <w:top w:val="nil"/>
              <w:left w:val="nil"/>
              <w:bottom w:val="single" w:sz="4" w:space="0" w:color="ED7D31" w:themeColor="accent2"/>
              <w:right w:val="nil"/>
            </w:tcBorders>
            <w:shd w:val="clear" w:color="auto" w:fill="auto"/>
            <w:noWrap/>
            <w:vAlign w:val="bottom"/>
            <w:hideMark/>
          </w:tcPr>
          <w:p w14:paraId="50884D2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(0.212)</w:t>
            </w:r>
          </w:p>
        </w:tc>
        <w:tc>
          <w:tcPr>
            <w:tcW w:w="1085" w:type="dxa"/>
            <w:tcBorders>
              <w:top w:val="nil"/>
              <w:left w:val="nil"/>
              <w:bottom w:val="single" w:sz="4" w:space="0" w:color="ED7D31" w:themeColor="accent2"/>
              <w:right w:val="nil"/>
            </w:tcBorders>
            <w:shd w:val="clear" w:color="auto" w:fill="auto"/>
            <w:noWrap/>
            <w:vAlign w:val="bottom"/>
            <w:hideMark/>
          </w:tcPr>
          <w:p w14:paraId="1803B74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(0.203)</w:t>
            </w:r>
          </w:p>
        </w:tc>
        <w:tc>
          <w:tcPr>
            <w:tcW w:w="1271" w:type="dxa"/>
            <w:tcBorders>
              <w:top w:val="nil"/>
              <w:left w:val="nil"/>
              <w:bottom w:val="single" w:sz="4" w:space="0" w:color="ED7D31" w:themeColor="accent2"/>
              <w:right w:val="nil"/>
            </w:tcBorders>
            <w:shd w:val="clear" w:color="auto" w:fill="auto"/>
            <w:noWrap/>
            <w:vAlign w:val="bottom"/>
            <w:hideMark/>
          </w:tcPr>
          <w:p w14:paraId="619A821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(0.265)</w:t>
            </w:r>
          </w:p>
        </w:tc>
        <w:tc>
          <w:tcPr>
            <w:tcW w:w="1373" w:type="dxa"/>
            <w:tcBorders>
              <w:top w:val="nil"/>
              <w:left w:val="nil"/>
              <w:bottom w:val="single" w:sz="4" w:space="0" w:color="ED7D31" w:themeColor="accent2"/>
              <w:right w:val="nil"/>
            </w:tcBorders>
            <w:shd w:val="clear" w:color="auto" w:fill="auto"/>
            <w:noWrap/>
            <w:vAlign w:val="bottom"/>
            <w:hideMark/>
          </w:tcPr>
          <w:p w14:paraId="7F7DBD1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(0.257)</w:t>
            </w:r>
          </w:p>
        </w:tc>
        <w:tc>
          <w:tcPr>
            <w:tcW w:w="1037" w:type="dxa"/>
            <w:tcBorders>
              <w:top w:val="nil"/>
              <w:left w:val="nil"/>
              <w:bottom w:val="single" w:sz="4" w:space="0" w:color="ED7D31" w:themeColor="accent2"/>
              <w:right w:val="nil"/>
            </w:tcBorders>
            <w:shd w:val="clear" w:color="auto" w:fill="auto"/>
            <w:noWrap/>
            <w:vAlign w:val="bottom"/>
            <w:hideMark/>
          </w:tcPr>
          <w:p w14:paraId="15CCFF0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(0.284)</w:t>
            </w:r>
          </w:p>
        </w:tc>
        <w:tc>
          <w:tcPr>
            <w:tcW w:w="960" w:type="dxa"/>
            <w:tcBorders>
              <w:top w:val="nil"/>
              <w:left w:val="nil"/>
              <w:bottom w:val="single" w:sz="4" w:space="0" w:color="ED7D31" w:themeColor="accent2"/>
              <w:right w:val="nil"/>
            </w:tcBorders>
            <w:shd w:val="clear" w:color="auto" w:fill="auto"/>
            <w:noWrap/>
            <w:vAlign w:val="bottom"/>
            <w:hideMark/>
          </w:tcPr>
          <w:p w14:paraId="7461060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(0.618)</w:t>
            </w:r>
          </w:p>
        </w:tc>
      </w:tr>
      <w:tr w:rsidR="00244248" w:rsidRPr="00611FD3" w14:paraId="06C7453B"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2EDC0F0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Age</w:t>
            </w:r>
            <w:r w:rsidRPr="00611FD3">
              <w:rPr>
                <w:rFonts w:asciiTheme="majorHAnsi" w:eastAsia="Times New Roman" w:hAnsiTheme="majorHAnsi" w:cstheme="majorHAnsi"/>
                <w:color w:val="000000"/>
                <w:sz w:val="20"/>
                <w:szCs w:val="20"/>
                <w:lang w:eastAsia="en-AU"/>
              </w:rPr>
              <w:t xml:space="preserve"> (ref: 18-29)</w:t>
            </w:r>
          </w:p>
        </w:tc>
        <w:tc>
          <w:tcPr>
            <w:tcW w:w="1166" w:type="dxa"/>
            <w:tcBorders>
              <w:top w:val="single" w:sz="4" w:space="0" w:color="ED7D31" w:themeColor="accent2"/>
              <w:left w:val="nil"/>
              <w:bottom w:val="nil"/>
              <w:right w:val="nil"/>
            </w:tcBorders>
            <w:shd w:val="clear" w:color="auto" w:fill="auto"/>
            <w:noWrap/>
            <w:vAlign w:val="bottom"/>
            <w:hideMark/>
          </w:tcPr>
          <w:p w14:paraId="4B398BA9"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79AF9F7E"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6186A174" w14:textId="77777777" w:rsidR="00244248" w:rsidRPr="00611FD3" w:rsidRDefault="00244248" w:rsidP="00335B25">
            <w:pPr>
              <w:rPr>
                <w:rFonts w:asciiTheme="majorHAnsi" w:eastAsia="Times New Roman" w:hAnsiTheme="majorHAnsi" w:cstheme="majorHAnsi"/>
                <w:sz w:val="20"/>
                <w:szCs w:val="20"/>
                <w:lang w:eastAsia="en-AU"/>
              </w:rPr>
            </w:pPr>
          </w:p>
        </w:tc>
        <w:tc>
          <w:tcPr>
            <w:tcW w:w="1101" w:type="dxa"/>
            <w:tcBorders>
              <w:top w:val="single" w:sz="4" w:space="0" w:color="ED7D31" w:themeColor="accent2"/>
              <w:left w:val="nil"/>
              <w:bottom w:val="nil"/>
              <w:right w:val="nil"/>
            </w:tcBorders>
            <w:shd w:val="clear" w:color="auto" w:fill="auto"/>
            <w:noWrap/>
            <w:vAlign w:val="bottom"/>
            <w:hideMark/>
          </w:tcPr>
          <w:p w14:paraId="04ECC293" w14:textId="77777777" w:rsidR="00244248" w:rsidRPr="00611FD3" w:rsidRDefault="00244248" w:rsidP="00335B25">
            <w:pPr>
              <w:rPr>
                <w:rFonts w:asciiTheme="majorHAnsi" w:eastAsia="Times New Roman" w:hAnsiTheme="majorHAnsi" w:cstheme="majorHAnsi"/>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09F1364E" w14:textId="77777777" w:rsidR="00244248" w:rsidRPr="00611FD3" w:rsidRDefault="00244248" w:rsidP="00335B25">
            <w:pPr>
              <w:rPr>
                <w:rFonts w:asciiTheme="majorHAnsi" w:eastAsia="Times New Roman" w:hAnsiTheme="majorHAnsi" w:cstheme="majorHAnsi"/>
                <w:sz w:val="20"/>
                <w:szCs w:val="20"/>
                <w:lang w:eastAsia="en-AU"/>
              </w:rPr>
            </w:pPr>
          </w:p>
        </w:tc>
        <w:tc>
          <w:tcPr>
            <w:tcW w:w="1085" w:type="dxa"/>
            <w:tcBorders>
              <w:top w:val="single" w:sz="4" w:space="0" w:color="ED7D31" w:themeColor="accent2"/>
              <w:left w:val="nil"/>
              <w:bottom w:val="nil"/>
              <w:right w:val="nil"/>
            </w:tcBorders>
            <w:shd w:val="clear" w:color="auto" w:fill="auto"/>
            <w:noWrap/>
            <w:vAlign w:val="bottom"/>
            <w:hideMark/>
          </w:tcPr>
          <w:p w14:paraId="05BD0AF5" w14:textId="77777777" w:rsidR="00244248" w:rsidRPr="00611FD3" w:rsidRDefault="00244248" w:rsidP="00335B25">
            <w:pPr>
              <w:rPr>
                <w:rFonts w:asciiTheme="majorHAnsi" w:eastAsia="Times New Roman" w:hAnsiTheme="majorHAnsi" w:cstheme="majorHAnsi"/>
                <w:sz w:val="20"/>
                <w:szCs w:val="20"/>
                <w:lang w:eastAsia="en-AU"/>
              </w:rPr>
            </w:pPr>
          </w:p>
        </w:tc>
        <w:tc>
          <w:tcPr>
            <w:tcW w:w="1271" w:type="dxa"/>
            <w:tcBorders>
              <w:top w:val="single" w:sz="4" w:space="0" w:color="ED7D31" w:themeColor="accent2"/>
              <w:left w:val="nil"/>
              <w:bottom w:val="nil"/>
              <w:right w:val="nil"/>
            </w:tcBorders>
            <w:shd w:val="clear" w:color="auto" w:fill="auto"/>
            <w:noWrap/>
            <w:vAlign w:val="bottom"/>
            <w:hideMark/>
          </w:tcPr>
          <w:p w14:paraId="405A0A75" w14:textId="77777777" w:rsidR="00244248" w:rsidRPr="00611FD3" w:rsidRDefault="00244248" w:rsidP="00335B25">
            <w:pPr>
              <w:rPr>
                <w:rFonts w:asciiTheme="majorHAnsi" w:eastAsia="Times New Roman" w:hAnsiTheme="majorHAnsi" w:cstheme="majorHAnsi"/>
                <w:sz w:val="20"/>
                <w:szCs w:val="20"/>
                <w:lang w:eastAsia="en-AU"/>
              </w:rPr>
            </w:pPr>
          </w:p>
        </w:tc>
        <w:tc>
          <w:tcPr>
            <w:tcW w:w="1373" w:type="dxa"/>
            <w:tcBorders>
              <w:top w:val="single" w:sz="4" w:space="0" w:color="ED7D31" w:themeColor="accent2"/>
              <w:left w:val="nil"/>
              <w:bottom w:val="nil"/>
              <w:right w:val="nil"/>
            </w:tcBorders>
            <w:shd w:val="clear" w:color="auto" w:fill="auto"/>
            <w:noWrap/>
            <w:vAlign w:val="bottom"/>
            <w:hideMark/>
          </w:tcPr>
          <w:p w14:paraId="594FFFD9" w14:textId="77777777" w:rsidR="00244248" w:rsidRPr="00611FD3" w:rsidRDefault="00244248" w:rsidP="00335B25">
            <w:pPr>
              <w:rPr>
                <w:rFonts w:asciiTheme="majorHAnsi" w:eastAsia="Times New Roman" w:hAnsiTheme="majorHAnsi" w:cstheme="majorHAnsi"/>
                <w:sz w:val="20"/>
                <w:szCs w:val="20"/>
                <w:lang w:eastAsia="en-AU"/>
              </w:rPr>
            </w:pPr>
          </w:p>
        </w:tc>
        <w:tc>
          <w:tcPr>
            <w:tcW w:w="1037" w:type="dxa"/>
            <w:tcBorders>
              <w:top w:val="single" w:sz="4" w:space="0" w:color="ED7D31" w:themeColor="accent2"/>
              <w:left w:val="nil"/>
              <w:bottom w:val="nil"/>
              <w:right w:val="nil"/>
            </w:tcBorders>
            <w:shd w:val="clear" w:color="auto" w:fill="auto"/>
            <w:noWrap/>
            <w:vAlign w:val="bottom"/>
            <w:hideMark/>
          </w:tcPr>
          <w:p w14:paraId="6D16FD66"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26041C88"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04510DB5" w14:textId="77777777" w:rsidTr="00214A11">
        <w:trPr>
          <w:trHeight w:hRule="exact" w:val="283"/>
        </w:trPr>
        <w:tc>
          <w:tcPr>
            <w:tcW w:w="2520" w:type="dxa"/>
            <w:tcBorders>
              <w:top w:val="nil"/>
              <w:left w:val="nil"/>
              <w:right w:val="nil"/>
            </w:tcBorders>
            <w:shd w:val="clear" w:color="auto" w:fill="auto"/>
            <w:noWrap/>
            <w:vAlign w:val="bottom"/>
            <w:hideMark/>
          </w:tcPr>
          <w:p w14:paraId="25B7A84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30-49</w:t>
            </w:r>
          </w:p>
        </w:tc>
        <w:tc>
          <w:tcPr>
            <w:tcW w:w="1166" w:type="dxa"/>
            <w:tcBorders>
              <w:top w:val="nil"/>
              <w:left w:val="nil"/>
              <w:right w:val="nil"/>
            </w:tcBorders>
            <w:shd w:val="clear" w:color="auto" w:fill="auto"/>
            <w:noWrap/>
            <w:vAlign w:val="bottom"/>
            <w:hideMark/>
          </w:tcPr>
          <w:p w14:paraId="11BF55F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-0.377*</w:t>
            </w:r>
          </w:p>
        </w:tc>
        <w:tc>
          <w:tcPr>
            <w:tcW w:w="1134" w:type="dxa"/>
            <w:tcBorders>
              <w:top w:val="nil"/>
              <w:left w:val="nil"/>
              <w:right w:val="nil"/>
            </w:tcBorders>
            <w:shd w:val="clear" w:color="auto" w:fill="auto"/>
            <w:noWrap/>
            <w:vAlign w:val="bottom"/>
            <w:hideMark/>
          </w:tcPr>
          <w:p w14:paraId="74523BC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-0.594**</w:t>
            </w:r>
          </w:p>
        </w:tc>
        <w:tc>
          <w:tcPr>
            <w:tcW w:w="960" w:type="dxa"/>
            <w:tcBorders>
              <w:top w:val="nil"/>
              <w:left w:val="nil"/>
              <w:right w:val="nil"/>
            </w:tcBorders>
            <w:shd w:val="clear" w:color="auto" w:fill="auto"/>
            <w:noWrap/>
            <w:vAlign w:val="bottom"/>
            <w:hideMark/>
          </w:tcPr>
          <w:p w14:paraId="11CC009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-0.271</w:t>
            </w:r>
          </w:p>
        </w:tc>
        <w:tc>
          <w:tcPr>
            <w:tcW w:w="1101" w:type="dxa"/>
            <w:tcBorders>
              <w:top w:val="nil"/>
              <w:left w:val="nil"/>
              <w:right w:val="nil"/>
            </w:tcBorders>
            <w:shd w:val="clear" w:color="auto" w:fill="auto"/>
            <w:noWrap/>
            <w:vAlign w:val="bottom"/>
            <w:hideMark/>
          </w:tcPr>
          <w:p w14:paraId="5A4026E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-0.234</w:t>
            </w:r>
          </w:p>
        </w:tc>
        <w:tc>
          <w:tcPr>
            <w:tcW w:w="1188" w:type="dxa"/>
            <w:tcBorders>
              <w:top w:val="nil"/>
              <w:left w:val="nil"/>
              <w:right w:val="nil"/>
            </w:tcBorders>
            <w:shd w:val="clear" w:color="auto" w:fill="auto"/>
            <w:noWrap/>
            <w:vAlign w:val="bottom"/>
            <w:hideMark/>
          </w:tcPr>
          <w:p w14:paraId="6A20672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-0.300</w:t>
            </w:r>
          </w:p>
        </w:tc>
        <w:tc>
          <w:tcPr>
            <w:tcW w:w="1085" w:type="dxa"/>
            <w:tcBorders>
              <w:top w:val="nil"/>
              <w:left w:val="nil"/>
              <w:right w:val="nil"/>
            </w:tcBorders>
            <w:shd w:val="clear" w:color="auto" w:fill="auto"/>
            <w:noWrap/>
            <w:vAlign w:val="bottom"/>
            <w:hideMark/>
          </w:tcPr>
          <w:p w14:paraId="7821D55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-0.455**</w:t>
            </w:r>
          </w:p>
        </w:tc>
        <w:tc>
          <w:tcPr>
            <w:tcW w:w="1271" w:type="dxa"/>
            <w:tcBorders>
              <w:top w:val="nil"/>
              <w:left w:val="nil"/>
              <w:right w:val="nil"/>
            </w:tcBorders>
            <w:shd w:val="clear" w:color="auto" w:fill="auto"/>
            <w:noWrap/>
            <w:vAlign w:val="bottom"/>
            <w:hideMark/>
          </w:tcPr>
          <w:p w14:paraId="4503A30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-0.366</w:t>
            </w:r>
          </w:p>
        </w:tc>
        <w:tc>
          <w:tcPr>
            <w:tcW w:w="1373" w:type="dxa"/>
            <w:tcBorders>
              <w:top w:val="nil"/>
              <w:left w:val="nil"/>
              <w:right w:val="nil"/>
            </w:tcBorders>
            <w:shd w:val="clear" w:color="auto" w:fill="auto"/>
            <w:noWrap/>
            <w:vAlign w:val="bottom"/>
            <w:hideMark/>
          </w:tcPr>
          <w:p w14:paraId="37925E1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-0.037</w:t>
            </w:r>
          </w:p>
        </w:tc>
        <w:tc>
          <w:tcPr>
            <w:tcW w:w="1037" w:type="dxa"/>
            <w:tcBorders>
              <w:top w:val="nil"/>
              <w:left w:val="nil"/>
              <w:right w:val="nil"/>
            </w:tcBorders>
            <w:shd w:val="clear" w:color="auto" w:fill="auto"/>
            <w:noWrap/>
            <w:vAlign w:val="bottom"/>
            <w:hideMark/>
          </w:tcPr>
          <w:p w14:paraId="05319A8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-0.341</w:t>
            </w:r>
          </w:p>
        </w:tc>
        <w:tc>
          <w:tcPr>
            <w:tcW w:w="960" w:type="dxa"/>
            <w:tcBorders>
              <w:top w:val="nil"/>
              <w:left w:val="nil"/>
              <w:right w:val="nil"/>
            </w:tcBorders>
            <w:shd w:val="clear" w:color="auto" w:fill="auto"/>
            <w:noWrap/>
            <w:vAlign w:val="bottom"/>
            <w:hideMark/>
          </w:tcPr>
          <w:p w14:paraId="5B025A5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-1.207</w:t>
            </w:r>
          </w:p>
        </w:tc>
      </w:tr>
      <w:tr w:rsidR="00244248" w:rsidRPr="00611FD3" w14:paraId="3F7A66B9"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34879885"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50F2EFE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(0.221)</w:t>
            </w:r>
          </w:p>
        </w:tc>
        <w:tc>
          <w:tcPr>
            <w:tcW w:w="1134" w:type="dxa"/>
            <w:tcBorders>
              <w:top w:val="nil"/>
              <w:left w:val="nil"/>
              <w:bottom w:val="single" w:sz="4" w:space="0" w:color="ED7D31" w:themeColor="accent2"/>
              <w:right w:val="nil"/>
            </w:tcBorders>
            <w:shd w:val="clear" w:color="auto" w:fill="auto"/>
            <w:noWrap/>
            <w:vAlign w:val="bottom"/>
            <w:hideMark/>
          </w:tcPr>
          <w:p w14:paraId="12EA0C4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(0.255)</w:t>
            </w:r>
          </w:p>
        </w:tc>
        <w:tc>
          <w:tcPr>
            <w:tcW w:w="960" w:type="dxa"/>
            <w:tcBorders>
              <w:top w:val="nil"/>
              <w:left w:val="nil"/>
              <w:bottom w:val="single" w:sz="4" w:space="0" w:color="ED7D31" w:themeColor="accent2"/>
              <w:right w:val="nil"/>
            </w:tcBorders>
            <w:shd w:val="clear" w:color="auto" w:fill="auto"/>
            <w:noWrap/>
            <w:vAlign w:val="bottom"/>
            <w:hideMark/>
          </w:tcPr>
          <w:p w14:paraId="37E5720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(0.213)</w:t>
            </w:r>
          </w:p>
        </w:tc>
        <w:tc>
          <w:tcPr>
            <w:tcW w:w="1101" w:type="dxa"/>
            <w:tcBorders>
              <w:top w:val="nil"/>
              <w:left w:val="nil"/>
              <w:bottom w:val="single" w:sz="4" w:space="0" w:color="ED7D31" w:themeColor="accent2"/>
              <w:right w:val="nil"/>
            </w:tcBorders>
            <w:shd w:val="clear" w:color="auto" w:fill="auto"/>
            <w:noWrap/>
            <w:vAlign w:val="bottom"/>
            <w:hideMark/>
          </w:tcPr>
          <w:p w14:paraId="7853806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(0.212)</w:t>
            </w:r>
          </w:p>
        </w:tc>
        <w:tc>
          <w:tcPr>
            <w:tcW w:w="1188" w:type="dxa"/>
            <w:tcBorders>
              <w:top w:val="nil"/>
              <w:left w:val="nil"/>
              <w:bottom w:val="single" w:sz="4" w:space="0" w:color="ED7D31" w:themeColor="accent2"/>
              <w:right w:val="nil"/>
            </w:tcBorders>
            <w:shd w:val="clear" w:color="auto" w:fill="auto"/>
            <w:noWrap/>
            <w:vAlign w:val="bottom"/>
            <w:hideMark/>
          </w:tcPr>
          <w:p w14:paraId="3670F84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(0.253)</w:t>
            </w:r>
          </w:p>
        </w:tc>
        <w:tc>
          <w:tcPr>
            <w:tcW w:w="1085" w:type="dxa"/>
            <w:tcBorders>
              <w:top w:val="nil"/>
              <w:left w:val="nil"/>
              <w:bottom w:val="single" w:sz="4" w:space="0" w:color="ED7D31" w:themeColor="accent2"/>
              <w:right w:val="nil"/>
            </w:tcBorders>
            <w:shd w:val="clear" w:color="auto" w:fill="auto"/>
            <w:noWrap/>
            <w:vAlign w:val="bottom"/>
            <w:hideMark/>
          </w:tcPr>
          <w:p w14:paraId="26F1C37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(0.221)</w:t>
            </w:r>
          </w:p>
        </w:tc>
        <w:tc>
          <w:tcPr>
            <w:tcW w:w="1271" w:type="dxa"/>
            <w:tcBorders>
              <w:top w:val="nil"/>
              <w:left w:val="nil"/>
              <w:bottom w:val="single" w:sz="4" w:space="0" w:color="ED7D31" w:themeColor="accent2"/>
              <w:right w:val="nil"/>
            </w:tcBorders>
            <w:shd w:val="clear" w:color="auto" w:fill="auto"/>
            <w:noWrap/>
            <w:vAlign w:val="bottom"/>
            <w:hideMark/>
          </w:tcPr>
          <w:p w14:paraId="23E56A6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(0.311)</w:t>
            </w:r>
          </w:p>
        </w:tc>
        <w:tc>
          <w:tcPr>
            <w:tcW w:w="1373" w:type="dxa"/>
            <w:tcBorders>
              <w:top w:val="nil"/>
              <w:left w:val="nil"/>
              <w:bottom w:val="single" w:sz="4" w:space="0" w:color="ED7D31" w:themeColor="accent2"/>
              <w:right w:val="nil"/>
            </w:tcBorders>
            <w:shd w:val="clear" w:color="auto" w:fill="auto"/>
            <w:noWrap/>
            <w:vAlign w:val="bottom"/>
            <w:hideMark/>
          </w:tcPr>
          <w:p w14:paraId="332EC82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(0.306)</w:t>
            </w:r>
          </w:p>
        </w:tc>
        <w:tc>
          <w:tcPr>
            <w:tcW w:w="1037" w:type="dxa"/>
            <w:tcBorders>
              <w:top w:val="nil"/>
              <w:left w:val="nil"/>
              <w:bottom w:val="single" w:sz="4" w:space="0" w:color="ED7D31" w:themeColor="accent2"/>
              <w:right w:val="nil"/>
            </w:tcBorders>
            <w:shd w:val="clear" w:color="auto" w:fill="auto"/>
            <w:noWrap/>
            <w:vAlign w:val="bottom"/>
            <w:hideMark/>
          </w:tcPr>
          <w:p w14:paraId="24C173D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(0.427)</w:t>
            </w:r>
          </w:p>
        </w:tc>
        <w:tc>
          <w:tcPr>
            <w:tcW w:w="960" w:type="dxa"/>
            <w:tcBorders>
              <w:top w:val="nil"/>
              <w:left w:val="nil"/>
              <w:bottom w:val="single" w:sz="4" w:space="0" w:color="ED7D31" w:themeColor="accent2"/>
              <w:right w:val="nil"/>
            </w:tcBorders>
            <w:shd w:val="clear" w:color="auto" w:fill="auto"/>
            <w:noWrap/>
            <w:vAlign w:val="bottom"/>
            <w:hideMark/>
          </w:tcPr>
          <w:p w14:paraId="2C8683C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(0.843)</w:t>
            </w:r>
          </w:p>
        </w:tc>
      </w:tr>
      <w:tr w:rsidR="00244248" w:rsidRPr="00611FD3" w14:paraId="47698ADF"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55C3A39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Education</w:t>
            </w:r>
            <w:r w:rsidRPr="00611FD3">
              <w:rPr>
                <w:rFonts w:asciiTheme="majorHAnsi" w:eastAsia="Times New Roman" w:hAnsiTheme="majorHAnsi" w:cstheme="majorHAnsi"/>
                <w:color w:val="000000"/>
                <w:sz w:val="20"/>
                <w:szCs w:val="20"/>
                <w:lang w:eastAsia="en-AU"/>
              </w:rPr>
              <w:t xml:space="preserve"> (ref: Bachelors)</w:t>
            </w:r>
          </w:p>
        </w:tc>
        <w:tc>
          <w:tcPr>
            <w:tcW w:w="1166" w:type="dxa"/>
            <w:tcBorders>
              <w:top w:val="single" w:sz="4" w:space="0" w:color="ED7D31" w:themeColor="accent2"/>
              <w:left w:val="nil"/>
              <w:bottom w:val="nil"/>
              <w:right w:val="nil"/>
            </w:tcBorders>
            <w:shd w:val="clear" w:color="auto" w:fill="auto"/>
            <w:noWrap/>
            <w:vAlign w:val="bottom"/>
            <w:hideMark/>
          </w:tcPr>
          <w:p w14:paraId="4D67D6A2"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23A1EB95"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15D767BB" w14:textId="77777777" w:rsidR="00244248" w:rsidRPr="00611FD3" w:rsidRDefault="00244248" w:rsidP="00335B25">
            <w:pPr>
              <w:rPr>
                <w:rFonts w:asciiTheme="majorHAnsi" w:eastAsia="Times New Roman" w:hAnsiTheme="majorHAnsi" w:cstheme="majorHAnsi"/>
                <w:sz w:val="20"/>
                <w:szCs w:val="20"/>
                <w:lang w:eastAsia="en-AU"/>
              </w:rPr>
            </w:pPr>
          </w:p>
        </w:tc>
        <w:tc>
          <w:tcPr>
            <w:tcW w:w="1101" w:type="dxa"/>
            <w:tcBorders>
              <w:top w:val="single" w:sz="4" w:space="0" w:color="ED7D31" w:themeColor="accent2"/>
              <w:left w:val="nil"/>
              <w:bottom w:val="nil"/>
              <w:right w:val="nil"/>
            </w:tcBorders>
            <w:shd w:val="clear" w:color="auto" w:fill="auto"/>
            <w:noWrap/>
            <w:vAlign w:val="bottom"/>
            <w:hideMark/>
          </w:tcPr>
          <w:p w14:paraId="03B3380B" w14:textId="77777777" w:rsidR="00244248" w:rsidRPr="00611FD3" w:rsidRDefault="00244248" w:rsidP="00335B25">
            <w:pPr>
              <w:rPr>
                <w:rFonts w:asciiTheme="majorHAnsi" w:eastAsia="Times New Roman" w:hAnsiTheme="majorHAnsi" w:cstheme="majorHAnsi"/>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0D79BFF0" w14:textId="77777777" w:rsidR="00244248" w:rsidRPr="00611FD3" w:rsidRDefault="00244248" w:rsidP="00335B25">
            <w:pPr>
              <w:rPr>
                <w:rFonts w:asciiTheme="majorHAnsi" w:eastAsia="Times New Roman" w:hAnsiTheme="majorHAnsi" w:cstheme="majorHAnsi"/>
                <w:sz w:val="20"/>
                <w:szCs w:val="20"/>
                <w:lang w:eastAsia="en-AU"/>
              </w:rPr>
            </w:pPr>
          </w:p>
        </w:tc>
        <w:tc>
          <w:tcPr>
            <w:tcW w:w="1085" w:type="dxa"/>
            <w:tcBorders>
              <w:top w:val="single" w:sz="4" w:space="0" w:color="ED7D31" w:themeColor="accent2"/>
              <w:left w:val="nil"/>
              <w:bottom w:val="nil"/>
              <w:right w:val="nil"/>
            </w:tcBorders>
            <w:shd w:val="clear" w:color="auto" w:fill="auto"/>
            <w:noWrap/>
            <w:vAlign w:val="bottom"/>
            <w:hideMark/>
          </w:tcPr>
          <w:p w14:paraId="12C507AC" w14:textId="77777777" w:rsidR="00244248" w:rsidRPr="00611FD3" w:rsidRDefault="00244248" w:rsidP="00335B25">
            <w:pPr>
              <w:rPr>
                <w:rFonts w:asciiTheme="majorHAnsi" w:eastAsia="Times New Roman" w:hAnsiTheme="majorHAnsi" w:cstheme="majorHAnsi"/>
                <w:sz w:val="20"/>
                <w:szCs w:val="20"/>
                <w:lang w:eastAsia="en-AU"/>
              </w:rPr>
            </w:pPr>
          </w:p>
        </w:tc>
        <w:tc>
          <w:tcPr>
            <w:tcW w:w="1271" w:type="dxa"/>
            <w:tcBorders>
              <w:top w:val="single" w:sz="4" w:space="0" w:color="ED7D31" w:themeColor="accent2"/>
              <w:left w:val="nil"/>
              <w:bottom w:val="nil"/>
              <w:right w:val="nil"/>
            </w:tcBorders>
            <w:shd w:val="clear" w:color="auto" w:fill="auto"/>
            <w:noWrap/>
            <w:vAlign w:val="bottom"/>
            <w:hideMark/>
          </w:tcPr>
          <w:p w14:paraId="2BC40EC7" w14:textId="77777777" w:rsidR="00244248" w:rsidRPr="00611FD3" w:rsidRDefault="00244248" w:rsidP="00335B25">
            <w:pPr>
              <w:rPr>
                <w:rFonts w:asciiTheme="majorHAnsi" w:eastAsia="Times New Roman" w:hAnsiTheme="majorHAnsi" w:cstheme="majorHAnsi"/>
                <w:sz w:val="20"/>
                <w:szCs w:val="20"/>
                <w:lang w:eastAsia="en-AU"/>
              </w:rPr>
            </w:pPr>
          </w:p>
        </w:tc>
        <w:tc>
          <w:tcPr>
            <w:tcW w:w="1373" w:type="dxa"/>
            <w:tcBorders>
              <w:top w:val="single" w:sz="4" w:space="0" w:color="ED7D31" w:themeColor="accent2"/>
              <w:left w:val="nil"/>
              <w:bottom w:val="nil"/>
              <w:right w:val="nil"/>
            </w:tcBorders>
            <w:shd w:val="clear" w:color="auto" w:fill="auto"/>
            <w:noWrap/>
            <w:vAlign w:val="bottom"/>
            <w:hideMark/>
          </w:tcPr>
          <w:p w14:paraId="1B77B21A" w14:textId="77777777" w:rsidR="00244248" w:rsidRPr="00611FD3" w:rsidRDefault="00244248" w:rsidP="00335B25">
            <w:pPr>
              <w:rPr>
                <w:rFonts w:asciiTheme="majorHAnsi" w:eastAsia="Times New Roman" w:hAnsiTheme="majorHAnsi" w:cstheme="majorHAnsi"/>
                <w:sz w:val="20"/>
                <w:szCs w:val="20"/>
                <w:lang w:eastAsia="en-AU"/>
              </w:rPr>
            </w:pPr>
          </w:p>
        </w:tc>
        <w:tc>
          <w:tcPr>
            <w:tcW w:w="1037" w:type="dxa"/>
            <w:tcBorders>
              <w:top w:val="single" w:sz="4" w:space="0" w:color="ED7D31" w:themeColor="accent2"/>
              <w:left w:val="nil"/>
              <w:bottom w:val="nil"/>
              <w:right w:val="nil"/>
            </w:tcBorders>
            <w:shd w:val="clear" w:color="auto" w:fill="auto"/>
            <w:noWrap/>
            <w:vAlign w:val="bottom"/>
            <w:hideMark/>
          </w:tcPr>
          <w:p w14:paraId="59F83FB3"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23B08EF8"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595DD9E9" w14:textId="77777777" w:rsidTr="00214A11">
        <w:trPr>
          <w:trHeight w:hRule="exact" w:val="283"/>
        </w:trPr>
        <w:tc>
          <w:tcPr>
            <w:tcW w:w="2520" w:type="dxa"/>
            <w:tcBorders>
              <w:top w:val="nil"/>
              <w:left w:val="nil"/>
              <w:bottom w:val="nil"/>
              <w:right w:val="nil"/>
            </w:tcBorders>
            <w:shd w:val="clear" w:color="auto" w:fill="auto"/>
            <w:noWrap/>
            <w:vAlign w:val="bottom"/>
            <w:hideMark/>
          </w:tcPr>
          <w:p w14:paraId="3701717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Postgraduate</w:t>
            </w:r>
          </w:p>
        </w:tc>
        <w:tc>
          <w:tcPr>
            <w:tcW w:w="1166" w:type="dxa"/>
            <w:tcBorders>
              <w:top w:val="nil"/>
              <w:left w:val="nil"/>
              <w:bottom w:val="nil"/>
              <w:right w:val="nil"/>
            </w:tcBorders>
            <w:shd w:val="clear" w:color="auto" w:fill="auto"/>
            <w:noWrap/>
            <w:vAlign w:val="bottom"/>
            <w:hideMark/>
          </w:tcPr>
          <w:p w14:paraId="4D6BB88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0.137</w:t>
            </w:r>
          </w:p>
        </w:tc>
        <w:tc>
          <w:tcPr>
            <w:tcW w:w="1134" w:type="dxa"/>
            <w:tcBorders>
              <w:top w:val="nil"/>
              <w:left w:val="nil"/>
              <w:bottom w:val="nil"/>
              <w:right w:val="nil"/>
            </w:tcBorders>
            <w:shd w:val="clear" w:color="auto" w:fill="auto"/>
            <w:noWrap/>
            <w:vAlign w:val="bottom"/>
            <w:hideMark/>
          </w:tcPr>
          <w:p w14:paraId="3891FC8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0.144</w:t>
            </w:r>
          </w:p>
        </w:tc>
        <w:tc>
          <w:tcPr>
            <w:tcW w:w="960" w:type="dxa"/>
            <w:tcBorders>
              <w:top w:val="nil"/>
              <w:left w:val="nil"/>
              <w:bottom w:val="nil"/>
              <w:right w:val="nil"/>
            </w:tcBorders>
            <w:shd w:val="clear" w:color="auto" w:fill="auto"/>
            <w:noWrap/>
            <w:vAlign w:val="bottom"/>
            <w:hideMark/>
          </w:tcPr>
          <w:p w14:paraId="53910AA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-0.193</w:t>
            </w:r>
          </w:p>
        </w:tc>
        <w:tc>
          <w:tcPr>
            <w:tcW w:w="1101" w:type="dxa"/>
            <w:tcBorders>
              <w:top w:val="nil"/>
              <w:left w:val="nil"/>
              <w:bottom w:val="nil"/>
              <w:right w:val="nil"/>
            </w:tcBorders>
            <w:shd w:val="clear" w:color="auto" w:fill="auto"/>
            <w:noWrap/>
            <w:vAlign w:val="bottom"/>
            <w:hideMark/>
          </w:tcPr>
          <w:p w14:paraId="7E52731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0.166</w:t>
            </w:r>
          </w:p>
        </w:tc>
        <w:tc>
          <w:tcPr>
            <w:tcW w:w="1188" w:type="dxa"/>
            <w:tcBorders>
              <w:top w:val="nil"/>
              <w:left w:val="nil"/>
              <w:bottom w:val="nil"/>
              <w:right w:val="nil"/>
            </w:tcBorders>
            <w:shd w:val="clear" w:color="auto" w:fill="auto"/>
            <w:noWrap/>
            <w:vAlign w:val="bottom"/>
            <w:hideMark/>
          </w:tcPr>
          <w:p w14:paraId="3C15618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-0.069</w:t>
            </w:r>
          </w:p>
        </w:tc>
        <w:tc>
          <w:tcPr>
            <w:tcW w:w="1085" w:type="dxa"/>
            <w:tcBorders>
              <w:top w:val="nil"/>
              <w:left w:val="nil"/>
              <w:bottom w:val="nil"/>
              <w:right w:val="nil"/>
            </w:tcBorders>
            <w:shd w:val="clear" w:color="auto" w:fill="auto"/>
            <w:noWrap/>
            <w:vAlign w:val="bottom"/>
            <w:hideMark/>
          </w:tcPr>
          <w:p w14:paraId="1B4BC97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0.061</w:t>
            </w:r>
          </w:p>
        </w:tc>
        <w:tc>
          <w:tcPr>
            <w:tcW w:w="1271" w:type="dxa"/>
            <w:tcBorders>
              <w:top w:val="nil"/>
              <w:left w:val="nil"/>
              <w:bottom w:val="nil"/>
              <w:right w:val="nil"/>
            </w:tcBorders>
            <w:shd w:val="clear" w:color="auto" w:fill="auto"/>
            <w:noWrap/>
            <w:vAlign w:val="bottom"/>
            <w:hideMark/>
          </w:tcPr>
          <w:p w14:paraId="457CCE5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-0.038</w:t>
            </w:r>
          </w:p>
        </w:tc>
        <w:tc>
          <w:tcPr>
            <w:tcW w:w="1373" w:type="dxa"/>
            <w:tcBorders>
              <w:top w:val="nil"/>
              <w:left w:val="nil"/>
              <w:bottom w:val="nil"/>
              <w:right w:val="nil"/>
            </w:tcBorders>
            <w:shd w:val="clear" w:color="auto" w:fill="auto"/>
            <w:noWrap/>
            <w:vAlign w:val="bottom"/>
            <w:hideMark/>
          </w:tcPr>
          <w:p w14:paraId="6005DAD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0.399</w:t>
            </w:r>
          </w:p>
        </w:tc>
        <w:tc>
          <w:tcPr>
            <w:tcW w:w="1037" w:type="dxa"/>
            <w:tcBorders>
              <w:top w:val="nil"/>
              <w:left w:val="nil"/>
              <w:bottom w:val="nil"/>
              <w:right w:val="nil"/>
            </w:tcBorders>
            <w:shd w:val="clear" w:color="auto" w:fill="auto"/>
            <w:noWrap/>
            <w:vAlign w:val="bottom"/>
            <w:hideMark/>
          </w:tcPr>
          <w:p w14:paraId="5BA868A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0.058</w:t>
            </w:r>
          </w:p>
        </w:tc>
        <w:tc>
          <w:tcPr>
            <w:tcW w:w="960" w:type="dxa"/>
            <w:tcBorders>
              <w:top w:val="nil"/>
              <w:left w:val="nil"/>
              <w:bottom w:val="nil"/>
              <w:right w:val="nil"/>
            </w:tcBorders>
            <w:shd w:val="clear" w:color="auto" w:fill="auto"/>
            <w:noWrap/>
            <w:vAlign w:val="bottom"/>
            <w:hideMark/>
          </w:tcPr>
          <w:p w14:paraId="66C2C71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-0.115</w:t>
            </w:r>
          </w:p>
        </w:tc>
      </w:tr>
      <w:tr w:rsidR="00244248" w:rsidRPr="00611FD3" w14:paraId="751B6548" w14:textId="77777777" w:rsidTr="00214A11">
        <w:trPr>
          <w:trHeight w:hRule="exact" w:val="283"/>
        </w:trPr>
        <w:tc>
          <w:tcPr>
            <w:tcW w:w="2520" w:type="dxa"/>
            <w:tcBorders>
              <w:top w:val="nil"/>
              <w:left w:val="nil"/>
              <w:bottom w:val="nil"/>
              <w:right w:val="nil"/>
            </w:tcBorders>
            <w:shd w:val="clear" w:color="auto" w:fill="auto"/>
            <w:noWrap/>
            <w:vAlign w:val="bottom"/>
            <w:hideMark/>
          </w:tcPr>
          <w:p w14:paraId="007D9DD5"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nil"/>
              <w:right w:val="nil"/>
            </w:tcBorders>
            <w:shd w:val="clear" w:color="auto" w:fill="auto"/>
            <w:noWrap/>
            <w:vAlign w:val="bottom"/>
            <w:hideMark/>
          </w:tcPr>
          <w:p w14:paraId="6E1CB437"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(0.242)</w:t>
            </w:r>
          </w:p>
        </w:tc>
        <w:tc>
          <w:tcPr>
            <w:tcW w:w="1134" w:type="dxa"/>
            <w:tcBorders>
              <w:top w:val="nil"/>
              <w:left w:val="nil"/>
              <w:bottom w:val="nil"/>
              <w:right w:val="nil"/>
            </w:tcBorders>
            <w:shd w:val="clear" w:color="auto" w:fill="auto"/>
            <w:noWrap/>
            <w:vAlign w:val="bottom"/>
            <w:hideMark/>
          </w:tcPr>
          <w:p w14:paraId="5E3A98E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(0.298)</w:t>
            </w:r>
          </w:p>
        </w:tc>
        <w:tc>
          <w:tcPr>
            <w:tcW w:w="960" w:type="dxa"/>
            <w:tcBorders>
              <w:top w:val="nil"/>
              <w:left w:val="nil"/>
              <w:bottom w:val="nil"/>
              <w:right w:val="nil"/>
            </w:tcBorders>
            <w:shd w:val="clear" w:color="auto" w:fill="auto"/>
            <w:noWrap/>
            <w:vAlign w:val="bottom"/>
            <w:hideMark/>
          </w:tcPr>
          <w:p w14:paraId="0908526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(0.230)</w:t>
            </w:r>
          </w:p>
        </w:tc>
        <w:tc>
          <w:tcPr>
            <w:tcW w:w="1101" w:type="dxa"/>
            <w:tcBorders>
              <w:top w:val="nil"/>
              <w:left w:val="nil"/>
              <w:bottom w:val="nil"/>
              <w:right w:val="nil"/>
            </w:tcBorders>
            <w:shd w:val="clear" w:color="auto" w:fill="auto"/>
            <w:noWrap/>
            <w:vAlign w:val="bottom"/>
            <w:hideMark/>
          </w:tcPr>
          <w:p w14:paraId="1F4DD84A"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(0.238)</w:t>
            </w:r>
          </w:p>
        </w:tc>
        <w:tc>
          <w:tcPr>
            <w:tcW w:w="1188" w:type="dxa"/>
            <w:tcBorders>
              <w:top w:val="nil"/>
              <w:left w:val="nil"/>
              <w:bottom w:val="nil"/>
              <w:right w:val="nil"/>
            </w:tcBorders>
            <w:shd w:val="clear" w:color="auto" w:fill="auto"/>
            <w:noWrap/>
            <w:vAlign w:val="bottom"/>
            <w:hideMark/>
          </w:tcPr>
          <w:p w14:paraId="086F626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(0.287)</w:t>
            </w:r>
          </w:p>
        </w:tc>
        <w:tc>
          <w:tcPr>
            <w:tcW w:w="1085" w:type="dxa"/>
            <w:tcBorders>
              <w:top w:val="nil"/>
              <w:left w:val="nil"/>
              <w:bottom w:val="nil"/>
              <w:right w:val="nil"/>
            </w:tcBorders>
            <w:shd w:val="clear" w:color="auto" w:fill="auto"/>
            <w:noWrap/>
            <w:vAlign w:val="bottom"/>
            <w:hideMark/>
          </w:tcPr>
          <w:p w14:paraId="341FDDB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(0.267)</w:t>
            </w:r>
          </w:p>
        </w:tc>
        <w:tc>
          <w:tcPr>
            <w:tcW w:w="1271" w:type="dxa"/>
            <w:tcBorders>
              <w:top w:val="nil"/>
              <w:left w:val="nil"/>
              <w:bottom w:val="nil"/>
              <w:right w:val="nil"/>
            </w:tcBorders>
            <w:shd w:val="clear" w:color="auto" w:fill="auto"/>
            <w:noWrap/>
            <w:vAlign w:val="bottom"/>
            <w:hideMark/>
          </w:tcPr>
          <w:p w14:paraId="458A9C50"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(0.361)</w:t>
            </w:r>
          </w:p>
        </w:tc>
        <w:tc>
          <w:tcPr>
            <w:tcW w:w="1373" w:type="dxa"/>
            <w:tcBorders>
              <w:top w:val="nil"/>
              <w:left w:val="nil"/>
              <w:bottom w:val="nil"/>
              <w:right w:val="nil"/>
            </w:tcBorders>
            <w:shd w:val="clear" w:color="auto" w:fill="auto"/>
            <w:noWrap/>
            <w:vAlign w:val="bottom"/>
            <w:hideMark/>
          </w:tcPr>
          <w:p w14:paraId="719B7E2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(0.345)</w:t>
            </w:r>
          </w:p>
        </w:tc>
        <w:tc>
          <w:tcPr>
            <w:tcW w:w="1037" w:type="dxa"/>
            <w:tcBorders>
              <w:top w:val="nil"/>
              <w:left w:val="nil"/>
              <w:bottom w:val="nil"/>
              <w:right w:val="nil"/>
            </w:tcBorders>
            <w:shd w:val="clear" w:color="auto" w:fill="auto"/>
            <w:noWrap/>
            <w:vAlign w:val="bottom"/>
            <w:hideMark/>
          </w:tcPr>
          <w:p w14:paraId="754491B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(0.368)</w:t>
            </w:r>
          </w:p>
        </w:tc>
        <w:tc>
          <w:tcPr>
            <w:tcW w:w="960" w:type="dxa"/>
            <w:tcBorders>
              <w:top w:val="nil"/>
              <w:left w:val="nil"/>
              <w:bottom w:val="nil"/>
              <w:right w:val="nil"/>
            </w:tcBorders>
            <w:shd w:val="clear" w:color="auto" w:fill="auto"/>
            <w:noWrap/>
            <w:vAlign w:val="bottom"/>
            <w:hideMark/>
          </w:tcPr>
          <w:p w14:paraId="6297D03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(0.772)</w:t>
            </w:r>
          </w:p>
        </w:tc>
      </w:tr>
      <w:tr w:rsidR="00244248" w:rsidRPr="00611FD3" w14:paraId="1A8EBE60" w14:textId="77777777" w:rsidTr="00214A11">
        <w:trPr>
          <w:trHeight w:hRule="exact" w:val="283"/>
        </w:trPr>
        <w:tc>
          <w:tcPr>
            <w:tcW w:w="2520" w:type="dxa"/>
            <w:tcBorders>
              <w:top w:val="nil"/>
              <w:left w:val="nil"/>
              <w:bottom w:val="nil"/>
              <w:right w:val="nil"/>
            </w:tcBorders>
            <w:shd w:val="clear" w:color="auto" w:fill="auto"/>
            <w:noWrap/>
            <w:vAlign w:val="bottom"/>
            <w:hideMark/>
          </w:tcPr>
          <w:p w14:paraId="370967C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Diploma or Cert III/IV</w:t>
            </w:r>
          </w:p>
        </w:tc>
        <w:tc>
          <w:tcPr>
            <w:tcW w:w="1166" w:type="dxa"/>
            <w:tcBorders>
              <w:top w:val="nil"/>
              <w:left w:val="nil"/>
              <w:bottom w:val="nil"/>
              <w:right w:val="nil"/>
            </w:tcBorders>
            <w:shd w:val="clear" w:color="auto" w:fill="auto"/>
            <w:noWrap/>
            <w:vAlign w:val="bottom"/>
            <w:hideMark/>
          </w:tcPr>
          <w:p w14:paraId="7EE00BF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-0.073</w:t>
            </w:r>
          </w:p>
        </w:tc>
        <w:tc>
          <w:tcPr>
            <w:tcW w:w="1134" w:type="dxa"/>
            <w:tcBorders>
              <w:top w:val="nil"/>
              <w:left w:val="nil"/>
              <w:bottom w:val="nil"/>
              <w:right w:val="nil"/>
            </w:tcBorders>
            <w:shd w:val="clear" w:color="auto" w:fill="auto"/>
            <w:noWrap/>
            <w:vAlign w:val="bottom"/>
            <w:hideMark/>
          </w:tcPr>
          <w:p w14:paraId="74391E6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0.087</w:t>
            </w:r>
          </w:p>
        </w:tc>
        <w:tc>
          <w:tcPr>
            <w:tcW w:w="960" w:type="dxa"/>
            <w:tcBorders>
              <w:top w:val="nil"/>
              <w:left w:val="nil"/>
              <w:bottom w:val="nil"/>
              <w:right w:val="nil"/>
            </w:tcBorders>
            <w:shd w:val="clear" w:color="auto" w:fill="auto"/>
            <w:noWrap/>
            <w:vAlign w:val="bottom"/>
            <w:hideMark/>
          </w:tcPr>
          <w:p w14:paraId="4E4F936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-0.179</w:t>
            </w:r>
          </w:p>
        </w:tc>
        <w:tc>
          <w:tcPr>
            <w:tcW w:w="1101" w:type="dxa"/>
            <w:tcBorders>
              <w:top w:val="nil"/>
              <w:left w:val="nil"/>
              <w:bottom w:val="nil"/>
              <w:right w:val="nil"/>
            </w:tcBorders>
            <w:shd w:val="clear" w:color="auto" w:fill="auto"/>
            <w:noWrap/>
            <w:vAlign w:val="bottom"/>
            <w:hideMark/>
          </w:tcPr>
          <w:p w14:paraId="5DD6D5B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0.529**</w:t>
            </w:r>
          </w:p>
        </w:tc>
        <w:tc>
          <w:tcPr>
            <w:tcW w:w="1188" w:type="dxa"/>
            <w:tcBorders>
              <w:top w:val="nil"/>
              <w:left w:val="nil"/>
              <w:bottom w:val="nil"/>
              <w:right w:val="nil"/>
            </w:tcBorders>
            <w:shd w:val="clear" w:color="auto" w:fill="auto"/>
            <w:noWrap/>
            <w:vAlign w:val="bottom"/>
            <w:hideMark/>
          </w:tcPr>
          <w:p w14:paraId="15D1E4F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0.047</w:t>
            </w:r>
          </w:p>
        </w:tc>
        <w:tc>
          <w:tcPr>
            <w:tcW w:w="1085" w:type="dxa"/>
            <w:tcBorders>
              <w:top w:val="nil"/>
              <w:left w:val="nil"/>
              <w:bottom w:val="nil"/>
              <w:right w:val="nil"/>
            </w:tcBorders>
            <w:shd w:val="clear" w:color="auto" w:fill="auto"/>
            <w:noWrap/>
            <w:vAlign w:val="bottom"/>
            <w:hideMark/>
          </w:tcPr>
          <w:p w14:paraId="304A7C0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0.124</w:t>
            </w:r>
          </w:p>
        </w:tc>
        <w:tc>
          <w:tcPr>
            <w:tcW w:w="1271" w:type="dxa"/>
            <w:tcBorders>
              <w:top w:val="nil"/>
              <w:left w:val="nil"/>
              <w:bottom w:val="nil"/>
              <w:right w:val="nil"/>
            </w:tcBorders>
            <w:shd w:val="clear" w:color="auto" w:fill="auto"/>
            <w:noWrap/>
            <w:vAlign w:val="bottom"/>
            <w:hideMark/>
          </w:tcPr>
          <w:p w14:paraId="3484E24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0.103</w:t>
            </w:r>
          </w:p>
        </w:tc>
        <w:tc>
          <w:tcPr>
            <w:tcW w:w="1373" w:type="dxa"/>
            <w:tcBorders>
              <w:top w:val="nil"/>
              <w:left w:val="nil"/>
              <w:bottom w:val="nil"/>
              <w:right w:val="nil"/>
            </w:tcBorders>
            <w:shd w:val="clear" w:color="auto" w:fill="auto"/>
            <w:noWrap/>
            <w:vAlign w:val="bottom"/>
            <w:hideMark/>
          </w:tcPr>
          <w:p w14:paraId="68E9671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0.524</w:t>
            </w:r>
          </w:p>
        </w:tc>
        <w:tc>
          <w:tcPr>
            <w:tcW w:w="1037" w:type="dxa"/>
            <w:tcBorders>
              <w:top w:val="nil"/>
              <w:left w:val="nil"/>
              <w:bottom w:val="nil"/>
              <w:right w:val="nil"/>
            </w:tcBorders>
            <w:shd w:val="clear" w:color="auto" w:fill="auto"/>
            <w:noWrap/>
            <w:vAlign w:val="bottom"/>
            <w:hideMark/>
          </w:tcPr>
          <w:p w14:paraId="5D24475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-0.216</w:t>
            </w:r>
          </w:p>
        </w:tc>
        <w:tc>
          <w:tcPr>
            <w:tcW w:w="960" w:type="dxa"/>
            <w:tcBorders>
              <w:top w:val="nil"/>
              <w:left w:val="nil"/>
              <w:bottom w:val="nil"/>
              <w:right w:val="nil"/>
            </w:tcBorders>
            <w:shd w:val="clear" w:color="auto" w:fill="auto"/>
            <w:noWrap/>
            <w:vAlign w:val="bottom"/>
            <w:hideMark/>
          </w:tcPr>
          <w:p w14:paraId="53D12BE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-0.460</w:t>
            </w:r>
          </w:p>
        </w:tc>
      </w:tr>
      <w:tr w:rsidR="00244248" w:rsidRPr="00611FD3" w14:paraId="0F7C8826" w14:textId="77777777" w:rsidTr="00214A11">
        <w:trPr>
          <w:trHeight w:hRule="exact" w:val="283"/>
        </w:trPr>
        <w:tc>
          <w:tcPr>
            <w:tcW w:w="2520" w:type="dxa"/>
            <w:tcBorders>
              <w:top w:val="nil"/>
              <w:left w:val="nil"/>
              <w:bottom w:val="nil"/>
              <w:right w:val="nil"/>
            </w:tcBorders>
            <w:shd w:val="clear" w:color="auto" w:fill="auto"/>
            <w:noWrap/>
            <w:vAlign w:val="bottom"/>
            <w:hideMark/>
          </w:tcPr>
          <w:p w14:paraId="712A20D8"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nil"/>
              <w:right w:val="nil"/>
            </w:tcBorders>
            <w:shd w:val="clear" w:color="auto" w:fill="auto"/>
            <w:noWrap/>
            <w:vAlign w:val="bottom"/>
            <w:hideMark/>
          </w:tcPr>
          <w:p w14:paraId="783AF29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(0.243)</w:t>
            </w:r>
          </w:p>
        </w:tc>
        <w:tc>
          <w:tcPr>
            <w:tcW w:w="1134" w:type="dxa"/>
            <w:tcBorders>
              <w:top w:val="nil"/>
              <w:left w:val="nil"/>
              <w:bottom w:val="nil"/>
              <w:right w:val="nil"/>
            </w:tcBorders>
            <w:shd w:val="clear" w:color="auto" w:fill="auto"/>
            <w:noWrap/>
            <w:vAlign w:val="bottom"/>
            <w:hideMark/>
          </w:tcPr>
          <w:p w14:paraId="087A132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(0.283)</w:t>
            </w:r>
          </w:p>
        </w:tc>
        <w:tc>
          <w:tcPr>
            <w:tcW w:w="960" w:type="dxa"/>
            <w:tcBorders>
              <w:top w:val="nil"/>
              <w:left w:val="nil"/>
              <w:bottom w:val="nil"/>
              <w:right w:val="nil"/>
            </w:tcBorders>
            <w:shd w:val="clear" w:color="auto" w:fill="auto"/>
            <w:noWrap/>
            <w:vAlign w:val="bottom"/>
            <w:hideMark/>
          </w:tcPr>
          <w:p w14:paraId="4E3CA557"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(0.218)</w:t>
            </w:r>
          </w:p>
        </w:tc>
        <w:tc>
          <w:tcPr>
            <w:tcW w:w="1101" w:type="dxa"/>
            <w:tcBorders>
              <w:top w:val="nil"/>
              <w:left w:val="nil"/>
              <w:bottom w:val="nil"/>
              <w:right w:val="nil"/>
            </w:tcBorders>
            <w:shd w:val="clear" w:color="auto" w:fill="auto"/>
            <w:noWrap/>
            <w:vAlign w:val="bottom"/>
            <w:hideMark/>
          </w:tcPr>
          <w:p w14:paraId="079FD7F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(0.224)</w:t>
            </w:r>
          </w:p>
        </w:tc>
        <w:tc>
          <w:tcPr>
            <w:tcW w:w="1188" w:type="dxa"/>
            <w:tcBorders>
              <w:top w:val="nil"/>
              <w:left w:val="nil"/>
              <w:bottom w:val="nil"/>
              <w:right w:val="nil"/>
            </w:tcBorders>
            <w:shd w:val="clear" w:color="auto" w:fill="auto"/>
            <w:noWrap/>
            <w:vAlign w:val="bottom"/>
            <w:hideMark/>
          </w:tcPr>
          <w:p w14:paraId="1A2D050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(0.263)</w:t>
            </w:r>
          </w:p>
        </w:tc>
        <w:tc>
          <w:tcPr>
            <w:tcW w:w="1085" w:type="dxa"/>
            <w:tcBorders>
              <w:top w:val="nil"/>
              <w:left w:val="nil"/>
              <w:bottom w:val="nil"/>
              <w:right w:val="nil"/>
            </w:tcBorders>
            <w:shd w:val="clear" w:color="auto" w:fill="auto"/>
            <w:noWrap/>
            <w:vAlign w:val="bottom"/>
            <w:hideMark/>
          </w:tcPr>
          <w:p w14:paraId="4C25F53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(0.256)</w:t>
            </w:r>
          </w:p>
        </w:tc>
        <w:tc>
          <w:tcPr>
            <w:tcW w:w="1271" w:type="dxa"/>
            <w:tcBorders>
              <w:top w:val="nil"/>
              <w:left w:val="nil"/>
              <w:bottom w:val="nil"/>
              <w:right w:val="nil"/>
            </w:tcBorders>
            <w:shd w:val="clear" w:color="auto" w:fill="auto"/>
            <w:noWrap/>
            <w:vAlign w:val="bottom"/>
            <w:hideMark/>
          </w:tcPr>
          <w:p w14:paraId="673E2B5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(0.334)</w:t>
            </w:r>
          </w:p>
        </w:tc>
        <w:tc>
          <w:tcPr>
            <w:tcW w:w="1373" w:type="dxa"/>
            <w:tcBorders>
              <w:top w:val="nil"/>
              <w:left w:val="nil"/>
              <w:bottom w:val="nil"/>
              <w:right w:val="nil"/>
            </w:tcBorders>
            <w:shd w:val="clear" w:color="auto" w:fill="auto"/>
            <w:noWrap/>
            <w:vAlign w:val="bottom"/>
            <w:hideMark/>
          </w:tcPr>
          <w:p w14:paraId="5712281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(0.327)</w:t>
            </w:r>
          </w:p>
        </w:tc>
        <w:tc>
          <w:tcPr>
            <w:tcW w:w="1037" w:type="dxa"/>
            <w:tcBorders>
              <w:top w:val="nil"/>
              <w:left w:val="nil"/>
              <w:bottom w:val="nil"/>
              <w:right w:val="nil"/>
            </w:tcBorders>
            <w:shd w:val="clear" w:color="auto" w:fill="auto"/>
            <w:noWrap/>
            <w:vAlign w:val="bottom"/>
            <w:hideMark/>
          </w:tcPr>
          <w:p w14:paraId="6E99A32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(0.332)</w:t>
            </w:r>
          </w:p>
        </w:tc>
        <w:tc>
          <w:tcPr>
            <w:tcW w:w="960" w:type="dxa"/>
            <w:tcBorders>
              <w:top w:val="nil"/>
              <w:left w:val="nil"/>
              <w:bottom w:val="nil"/>
              <w:right w:val="nil"/>
            </w:tcBorders>
            <w:shd w:val="clear" w:color="auto" w:fill="auto"/>
            <w:noWrap/>
            <w:vAlign w:val="bottom"/>
            <w:hideMark/>
          </w:tcPr>
          <w:p w14:paraId="1714AEA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(0.719)</w:t>
            </w:r>
          </w:p>
        </w:tc>
      </w:tr>
      <w:tr w:rsidR="00244248" w:rsidRPr="00611FD3" w14:paraId="7EB33BEB" w14:textId="77777777" w:rsidTr="00214A11">
        <w:trPr>
          <w:trHeight w:hRule="exact" w:val="283"/>
        </w:trPr>
        <w:tc>
          <w:tcPr>
            <w:tcW w:w="2520" w:type="dxa"/>
            <w:tcBorders>
              <w:top w:val="nil"/>
              <w:left w:val="nil"/>
              <w:right w:val="nil"/>
            </w:tcBorders>
            <w:shd w:val="clear" w:color="auto" w:fill="auto"/>
            <w:noWrap/>
            <w:vAlign w:val="bottom"/>
            <w:hideMark/>
          </w:tcPr>
          <w:p w14:paraId="377FC09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Year 12 or below</w:t>
            </w:r>
          </w:p>
        </w:tc>
        <w:tc>
          <w:tcPr>
            <w:tcW w:w="1166" w:type="dxa"/>
            <w:tcBorders>
              <w:top w:val="nil"/>
              <w:left w:val="nil"/>
              <w:right w:val="nil"/>
            </w:tcBorders>
            <w:shd w:val="clear" w:color="auto" w:fill="auto"/>
            <w:noWrap/>
            <w:vAlign w:val="bottom"/>
            <w:hideMark/>
          </w:tcPr>
          <w:p w14:paraId="3B0D4AA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0.152</w:t>
            </w:r>
          </w:p>
        </w:tc>
        <w:tc>
          <w:tcPr>
            <w:tcW w:w="1134" w:type="dxa"/>
            <w:tcBorders>
              <w:top w:val="nil"/>
              <w:left w:val="nil"/>
              <w:right w:val="nil"/>
            </w:tcBorders>
            <w:shd w:val="clear" w:color="auto" w:fill="auto"/>
            <w:noWrap/>
            <w:vAlign w:val="bottom"/>
            <w:hideMark/>
          </w:tcPr>
          <w:p w14:paraId="07F6FAE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0.397</w:t>
            </w:r>
          </w:p>
        </w:tc>
        <w:tc>
          <w:tcPr>
            <w:tcW w:w="960" w:type="dxa"/>
            <w:tcBorders>
              <w:top w:val="nil"/>
              <w:left w:val="nil"/>
              <w:right w:val="nil"/>
            </w:tcBorders>
            <w:shd w:val="clear" w:color="auto" w:fill="auto"/>
            <w:noWrap/>
            <w:vAlign w:val="bottom"/>
            <w:hideMark/>
          </w:tcPr>
          <w:p w14:paraId="29038BB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-0.232</w:t>
            </w:r>
          </w:p>
        </w:tc>
        <w:tc>
          <w:tcPr>
            <w:tcW w:w="1101" w:type="dxa"/>
            <w:tcBorders>
              <w:top w:val="nil"/>
              <w:left w:val="nil"/>
              <w:right w:val="nil"/>
            </w:tcBorders>
            <w:shd w:val="clear" w:color="auto" w:fill="auto"/>
            <w:noWrap/>
            <w:vAlign w:val="bottom"/>
            <w:hideMark/>
          </w:tcPr>
          <w:p w14:paraId="0814B11F"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0.581**</w:t>
            </w:r>
          </w:p>
        </w:tc>
        <w:tc>
          <w:tcPr>
            <w:tcW w:w="1188" w:type="dxa"/>
            <w:tcBorders>
              <w:top w:val="nil"/>
              <w:left w:val="nil"/>
              <w:right w:val="nil"/>
            </w:tcBorders>
            <w:shd w:val="clear" w:color="auto" w:fill="auto"/>
            <w:noWrap/>
            <w:vAlign w:val="bottom"/>
            <w:hideMark/>
          </w:tcPr>
          <w:p w14:paraId="1CDBB57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0.176</w:t>
            </w:r>
          </w:p>
        </w:tc>
        <w:tc>
          <w:tcPr>
            <w:tcW w:w="1085" w:type="dxa"/>
            <w:tcBorders>
              <w:top w:val="nil"/>
              <w:left w:val="nil"/>
              <w:right w:val="nil"/>
            </w:tcBorders>
            <w:shd w:val="clear" w:color="auto" w:fill="auto"/>
            <w:noWrap/>
            <w:vAlign w:val="bottom"/>
            <w:hideMark/>
          </w:tcPr>
          <w:p w14:paraId="33CDBA2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-0.049</w:t>
            </w:r>
          </w:p>
        </w:tc>
        <w:tc>
          <w:tcPr>
            <w:tcW w:w="1271" w:type="dxa"/>
            <w:tcBorders>
              <w:top w:val="nil"/>
              <w:left w:val="nil"/>
              <w:right w:val="nil"/>
            </w:tcBorders>
            <w:shd w:val="clear" w:color="auto" w:fill="auto"/>
            <w:noWrap/>
            <w:vAlign w:val="bottom"/>
            <w:hideMark/>
          </w:tcPr>
          <w:p w14:paraId="766C144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0.147</w:t>
            </w:r>
          </w:p>
        </w:tc>
        <w:tc>
          <w:tcPr>
            <w:tcW w:w="1373" w:type="dxa"/>
            <w:tcBorders>
              <w:top w:val="nil"/>
              <w:left w:val="nil"/>
              <w:right w:val="nil"/>
            </w:tcBorders>
            <w:shd w:val="clear" w:color="auto" w:fill="auto"/>
            <w:noWrap/>
            <w:vAlign w:val="bottom"/>
            <w:hideMark/>
          </w:tcPr>
          <w:p w14:paraId="2B53EAE0"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0.382</w:t>
            </w:r>
          </w:p>
        </w:tc>
        <w:tc>
          <w:tcPr>
            <w:tcW w:w="1037" w:type="dxa"/>
            <w:tcBorders>
              <w:top w:val="nil"/>
              <w:left w:val="nil"/>
              <w:right w:val="nil"/>
            </w:tcBorders>
            <w:shd w:val="clear" w:color="auto" w:fill="auto"/>
            <w:noWrap/>
            <w:vAlign w:val="bottom"/>
            <w:hideMark/>
          </w:tcPr>
          <w:p w14:paraId="4D6654A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0.158</w:t>
            </w:r>
          </w:p>
        </w:tc>
        <w:tc>
          <w:tcPr>
            <w:tcW w:w="960" w:type="dxa"/>
            <w:tcBorders>
              <w:top w:val="nil"/>
              <w:left w:val="nil"/>
              <w:right w:val="nil"/>
            </w:tcBorders>
            <w:shd w:val="clear" w:color="auto" w:fill="auto"/>
            <w:noWrap/>
            <w:vAlign w:val="bottom"/>
            <w:hideMark/>
          </w:tcPr>
          <w:p w14:paraId="69C9D31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-0.056</w:t>
            </w:r>
          </w:p>
        </w:tc>
      </w:tr>
      <w:tr w:rsidR="00244248" w:rsidRPr="00611FD3" w14:paraId="1F526606"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3D0E932B"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7330A89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(0.234)</w:t>
            </w:r>
          </w:p>
        </w:tc>
        <w:tc>
          <w:tcPr>
            <w:tcW w:w="1134" w:type="dxa"/>
            <w:tcBorders>
              <w:top w:val="nil"/>
              <w:left w:val="nil"/>
              <w:bottom w:val="single" w:sz="4" w:space="0" w:color="ED7D31" w:themeColor="accent2"/>
              <w:right w:val="nil"/>
            </w:tcBorders>
            <w:shd w:val="clear" w:color="auto" w:fill="auto"/>
            <w:noWrap/>
            <w:vAlign w:val="bottom"/>
            <w:hideMark/>
          </w:tcPr>
          <w:p w14:paraId="2CBFBB9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(0.262)</w:t>
            </w:r>
          </w:p>
        </w:tc>
        <w:tc>
          <w:tcPr>
            <w:tcW w:w="960" w:type="dxa"/>
            <w:tcBorders>
              <w:top w:val="nil"/>
              <w:left w:val="nil"/>
              <w:bottom w:val="single" w:sz="4" w:space="0" w:color="ED7D31" w:themeColor="accent2"/>
              <w:right w:val="nil"/>
            </w:tcBorders>
            <w:shd w:val="clear" w:color="auto" w:fill="auto"/>
            <w:noWrap/>
            <w:vAlign w:val="bottom"/>
            <w:hideMark/>
          </w:tcPr>
          <w:p w14:paraId="528D301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(0.223)</w:t>
            </w:r>
          </w:p>
        </w:tc>
        <w:tc>
          <w:tcPr>
            <w:tcW w:w="1101" w:type="dxa"/>
            <w:tcBorders>
              <w:top w:val="nil"/>
              <w:left w:val="nil"/>
              <w:bottom w:val="single" w:sz="4" w:space="0" w:color="ED7D31" w:themeColor="accent2"/>
              <w:right w:val="nil"/>
            </w:tcBorders>
            <w:shd w:val="clear" w:color="auto" w:fill="auto"/>
            <w:noWrap/>
            <w:vAlign w:val="bottom"/>
            <w:hideMark/>
          </w:tcPr>
          <w:p w14:paraId="0D7B4CE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(0.229)</w:t>
            </w:r>
          </w:p>
        </w:tc>
        <w:tc>
          <w:tcPr>
            <w:tcW w:w="1188" w:type="dxa"/>
            <w:tcBorders>
              <w:top w:val="nil"/>
              <w:left w:val="nil"/>
              <w:bottom w:val="single" w:sz="4" w:space="0" w:color="ED7D31" w:themeColor="accent2"/>
              <w:right w:val="nil"/>
            </w:tcBorders>
            <w:shd w:val="clear" w:color="auto" w:fill="auto"/>
            <w:noWrap/>
            <w:vAlign w:val="bottom"/>
            <w:hideMark/>
          </w:tcPr>
          <w:p w14:paraId="4E41421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(0.270)</w:t>
            </w:r>
          </w:p>
        </w:tc>
        <w:tc>
          <w:tcPr>
            <w:tcW w:w="1085" w:type="dxa"/>
            <w:tcBorders>
              <w:top w:val="nil"/>
              <w:left w:val="nil"/>
              <w:bottom w:val="single" w:sz="4" w:space="0" w:color="ED7D31" w:themeColor="accent2"/>
              <w:right w:val="nil"/>
            </w:tcBorders>
            <w:shd w:val="clear" w:color="auto" w:fill="auto"/>
            <w:noWrap/>
            <w:vAlign w:val="bottom"/>
            <w:hideMark/>
          </w:tcPr>
          <w:p w14:paraId="3891F50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(0.265)</w:t>
            </w:r>
          </w:p>
        </w:tc>
        <w:tc>
          <w:tcPr>
            <w:tcW w:w="1271" w:type="dxa"/>
            <w:tcBorders>
              <w:top w:val="nil"/>
              <w:left w:val="nil"/>
              <w:bottom w:val="single" w:sz="4" w:space="0" w:color="ED7D31" w:themeColor="accent2"/>
              <w:right w:val="nil"/>
            </w:tcBorders>
            <w:shd w:val="clear" w:color="auto" w:fill="auto"/>
            <w:noWrap/>
            <w:vAlign w:val="bottom"/>
            <w:hideMark/>
          </w:tcPr>
          <w:p w14:paraId="5270F01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(0.336)</w:t>
            </w:r>
          </w:p>
        </w:tc>
        <w:tc>
          <w:tcPr>
            <w:tcW w:w="1373" w:type="dxa"/>
            <w:tcBorders>
              <w:top w:val="nil"/>
              <w:left w:val="nil"/>
              <w:bottom w:val="single" w:sz="4" w:space="0" w:color="ED7D31" w:themeColor="accent2"/>
              <w:right w:val="nil"/>
            </w:tcBorders>
            <w:shd w:val="clear" w:color="auto" w:fill="auto"/>
            <w:noWrap/>
            <w:vAlign w:val="bottom"/>
            <w:hideMark/>
          </w:tcPr>
          <w:p w14:paraId="51B8970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(0.325)</w:t>
            </w:r>
          </w:p>
        </w:tc>
        <w:tc>
          <w:tcPr>
            <w:tcW w:w="1037" w:type="dxa"/>
            <w:tcBorders>
              <w:top w:val="nil"/>
              <w:left w:val="nil"/>
              <w:bottom w:val="single" w:sz="4" w:space="0" w:color="ED7D31" w:themeColor="accent2"/>
              <w:right w:val="nil"/>
            </w:tcBorders>
            <w:shd w:val="clear" w:color="auto" w:fill="auto"/>
            <w:noWrap/>
            <w:vAlign w:val="bottom"/>
            <w:hideMark/>
          </w:tcPr>
          <w:p w14:paraId="318793A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(0.377)</w:t>
            </w:r>
          </w:p>
        </w:tc>
        <w:tc>
          <w:tcPr>
            <w:tcW w:w="960" w:type="dxa"/>
            <w:tcBorders>
              <w:top w:val="nil"/>
              <w:left w:val="nil"/>
              <w:bottom w:val="single" w:sz="4" w:space="0" w:color="ED7D31" w:themeColor="accent2"/>
              <w:right w:val="nil"/>
            </w:tcBorders>
            <w:shd w:val="clear" w:color="auto" w:fill="auto"/>
            <w:noWrap/>
            <w:vAlign w:val="bottom"/>
            <w:hideMark/>
          </w:tcPr>
          <w:p w14:paraId="3937736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(0.872)</w:t>
            </w:r>
          </w:p>
        </w:tc>
      </w:tr>
      <w:tr w:rsidR="00244248" w:rsidRPr="00611FD3" w14:paraId="5C1DF9D0"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3720AB7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Employed</w:t>
            </w:r>
            <w:r w:rsidRPr="00611FD3">
              <w:rPr>
                <w:rFonts w:asciiTheme="majorHAnsi" w:eastAsia="Times New Roman" w:hAnsiTheme="majorHAnsi" w:cstheme="majorHAnsi"/>
                <w:color w:val="000000"/>
                <w:sz w:val="20"/>
                <w:szCs w:val="20"/>
                <w:lang w:eastAsia="en-AU"/>
              </w:rPr>
              <w:t xml:space="preserve"> (ref: no)</w:t>
            </w:r>
          </w:p>
        </w:tc>
        <w:tc>
          <w:tcPr>
            <w:tcW w:w="1166" w:type="dxa"/>
            <w:tcBorders>
              <w:top w:val="single" w:sz="4" w:space="0" w:color="ED7D31" w:themeColor="accent2"/>
              <w:left w:val="nil"/>
              <w:bottom w:val="nil"/>
              <w:right w:val="nil"/>
            </w:tcBorders>
            <w:shd w:val="clear" w:color="auto" w:fill="auto"/>
            <w:noWrap/>
            <w:vAlign w:val="bottom"/>
            <w:hideMark/>
          </w:tcPr>
          <w:p w14:paraId="7B5F431B"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109E5035"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2477BC39" w14:textId="77777777" w:rsidR="00244248" w:rsidRPr="00611FD3" w:rsidRDefault="00244248" w:rsidP="00335B25">
            <w:pPr>
              <w:rPr>
                <w:rFonts w:asciiTheme="majorHAnsi" w:eastAsia="Times New Roman" w:hAnsiTheme="majorHAnsi" w:cstheme="majorHAnsi"/>
                <w:sz w:val="20"/>
                <w:szCs w:val="20"/>
                <w:lang w:eastAsia="en-AU"/>
              </w:rPr>
            </w:pPr>
          </w:p>
        </w:tc>
        <w:tc>
          <w:tcPr>
            <w:tcW w:w="1101" w:type="dxa"/>
            <w:tcBorders>
              <w:top w:val="single" w:sz="4" w:space="0" w:color="ED7D31" w:themeColor="accent2"/>
              <w:left w:val="nil"/>
              <w:bottom w:val="nil"/>
              <w:right w:val="nil"/>
            </w:tcBorders>
            <w:shd w:val="clear" w:color="auto" w:fill="auto"/>
            <w:noWrap/>
            <w:vAlign w:val="bottom"/>
            <w:hideMark/>
          </w:tcPr>
          <w:p w14:paraId="207CAEAD" w14:textId="77777777" w:rsidR="00244248" w:rsidRPr="00611FD3" w:rsidRDefault="00244248" w:rsidP="00335B25">
            <w:pPr>
              <w:rPr>
                <w:rFonts w:asciiTheme="majorHAnsi" w:eastAsia="Times New Roman" w:hAnsiTheme="majorHAnsi" w:cstheme="majorHAnsi"/>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6A45DFC3" w14:textId="77777777" w:rsidR="00244248" w:rsidRPr="00611FD3" w:rsidRDefault="00244248" w:rsidP="00335B25">
            <w:pPr>
              <w:rPr>
                <w:rFonts w:asciiTheme="majorHAnsi" w:eastAsia="Times New Roman" w:hAnsiTheme="majorHAnsi" w:cstheme="majorHAnsi"/>
                <w:sz w:val="20"/>
                <w:szCs w:val="20"/>
                <w:lang w:eastAsia="en-AU"/>
              </w:rPr>
            </w:pPr>
          </w:p>
        </w:tc>
        <w:tc>
          <w:tcPr>
            <w:tcW w:w="1085" w:type="dxa"/>
            <w:tcBorders>
              <w:top w:val="single" w:sz="4" w:space="0" w:color="ED7D31" w:themeColor="accent2"/>
              <w:left w:val="nil"/>
              <w:bottom w:val="nil"/>
              <w:right w:val="nil"/>
            </w:tcBorders>
            <w:shd w:val="clear" w:color="auto" w:fill="auto"/>
            <w:noWrap/>
            <w:vAlign w:val="bottom"/>
            <w:hideMark/>
          </w:tcPr>
          <w:p w14:paraId="15A62F88" w14:textId="77777777" w:rsidR="00244248" w:rsidRPr="00611FD3" w:rsidRDefault="00244248" w:rsidP="00335B25">
            <w:pPr>
              <w:rPr>
                <w:rFonts w:asciiTheme="majorHAnsi" w:eastAsia="Times New Roman" w:hAnsiTheme="majorHAnsi" w:cstheme="majorHAnsi"/>
                <w:sz w:val="20"/>
                <w:szCs w:val="20"/>
                <w:lang w:eastAsia="en-AU"/>
              </w:rPr>
            </w:pPr>
          </w:p>
        </w:tc>
        <w:tc>
          <w:tcPr>
            <w:tcW w:w="1271" w:type="dxa"/>
            <w:tcBorders>
              <w:top w:val="single" w:sz="4" w:space="0" w:color="ED7D31" w:themeColor="accent2"/>
              <w:left w:val="nil"/>
              <w:bottom w:val="nil"/>
              <w:right w:val="nil"/>
            </w:tcBorders>
            <w:shd w:val="clear" w:color="auto" w:fill="auto"/>
            <w:noWrap/>
            <w:vAlign w:val="bottom"/>
            <w:hideMark/>
          </w:tcPr>
          <w:p w14:paraId="237A3944" w14:textId="77777777" w:rsidR="00244248" w:rsidRPr="00611FD3" w:rsidRDefault="00244248" w:rsidP="00335B25">
            <w:pPr>
              <w:rPr>
                <w:rFonts w:asciiTheme="majorHAnsi" w:eastAsia="Times New Roman" w:hAnsiTheme="majorHAnsi" w:cstheme="majorHAnsi"/>
                <w:sz w:val="20"/>
                <w:szCs w:val="20"/>
                <w:lang w:eastAsia="en-AU"/>
              </w:rPr>
            </w:pPr>
          </w:p>
        </w:tc>
        <w:tc>
          <w:tcPr>
            <w:tcW w:w="1373" w:type="dxa"/>
            <w:tcBorders>
              <w:top w:val="single" w:sz="4" w:space="0" w:color="ED7D31" w:themeColor="accent2"/>
              <w:left w:val="nil"/>
              <w:bottom w:val="nil"/>
              <w:right w:val="nil"/>
            </w:tcBorders>
            <w:shd w:val="clear" w:color="auto" w:fill="auto"/>
            <w:noWrap/>
            <w:vAlign w:val="bottom"/>
            <w:hideMark/>
          </w:tcPr>
          <w:p w14:paraId="22F3BCC6" w14:textId="77777777" w:rsidR="00244248" w:rsidRPr="00611FD3" w:rsidRDefault="00244248" w:rsidP="00335B25">
            <w:pPr>
              <w:rPr>
                <w:rFonts w:asciiTheme="majorHAnsi" w:eastAsia="Times New Roman" w:hAnsiTheme="majorHAnsi" w:cstheme="majorHAnsi"/>
                <w:sz w:val="20"/>
                <w:szCs w:val="20"/>
                <w:lang w:eastAsia="en-AU"/>
              </w:rPr>
            </w:pPr>
          </w:p>
        </w:tc>
        <w:tc>
          <w:tcPr>
            <w:tcW w:w="1037" w:type="dxa"/>
            <w:tcBorders>
              <w:top w:val="single" w:sz="4" w:space="0" w:color="ED7D31" w:themeColor="accent2"/>
              <w:left w:val="nil"/>
              <w:bottom w:val="nil"/>
              <w:right w:val="nil"/>
            </w:tcBorders>
            <w:shd w:val="clear" w:color="auto" w:fill="auto"/>
            <w:noWrap/>
            <w:vAlign w:val="bottom"/>
            <w:hideMark/>
          </w:tcPr>
          <w:p w14:paraId="7B9DADF3"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6B27420E"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3698D5F9" w14:textId="77777777" w:rsidTr="00214A11">
        <w:trPr>
          <w:trHeight w:hRule="exact" w:val="283"/>
        </w:trPr>
        <w:tc>
          <w:tcPr>
            <w:tcW w:w="2520" w:type="dxa"/>
            <w:tcBorders>
              <w:top w:val="nil"/>
              <w:left w:val="nil"/>
              <w:right w:val="nil"/>
            </w:tcBorders>
            <w:shd w:val="clear" w:color="auto" w:fill="auto"/>
            <w:noWrap/>
            <w:vAlign w:val="bottom"/>
            <w:hideMark/>
          </w:tcPr>
          <w:p w14:paraId="05057B9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Yes</w:t>
            </w:r>
          </w:p>
        </w:tc>
        <w:tc>
          <w:tcPr>
            <w:tcW w:w="1166" w:type="dxa"/>
            <w:tcBorders>
              <w:top w:val="nil"/>
              <w:left w:val="nil"/>
              <w:right w:val="nil"/>
            </w:tcBorders>
            <w:shd w:val="clear" w:color="auto" w:fill="auto"/>
            <w:noWrap/>
            <w:vAlign w:val="bottom"/>
            <w:hideMark/>
          </w:tcPr>
          <w:p w14:paraId="3E63910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-0.088</w:t>
            </w:r>
          </w:p>
        </w:tc>
        <w:tc>
          <w:tcPr>
            <w:tcW w:w="1134" w:type="dxa"/>
            <w:tcBorders>
              <w:top w:val="nil"/>
              <w:left w:val="nil"/>
              <w:right w:val="nil"/>
            </w:tcBorders>
            <w:shd w:val="clear" w:color="auto" w:fill="auto"/>
            <w:noWrap/>
            <w:vAlign w:val="bottom"/>
            <w:hideMark/>
          </w:tcPr>
          <w:p w14:paraId="0CBF5100"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-0.121</w:t>
            </w:r>
          </w:p>
        </w:tc>
        <w:tc>
          <w:tcPr>
            <w:tcW w:w="960" w:type="dxa"/>
            <w:tcBorders>
              <w:top w:val="nil"/>
              <w:left w:val="nil"/>
              <w:right w:val="nil"/>
            </w:tcBorders>
            <w:shd w:val="clear" w:color="auto" w:fill="auto"/>
            <w:noWrap/>
            <w:vAlign w:val="bottom"/>
            <w:hideMark/>
          </w:tcPr>
          <w:p w14:paraId="22931AD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-0.223</w:t>
            </w:r>
          </w:p>
        </w:tc>
        <w:tc>
          <w:tcPr>
            <w:tcW w:w="1101" w:type="dxa"/>
            <w:tcBorders>
              <w:top w:val="nil"/>
              <w:left w:val="nil"/>
              <w:right w:val="nil"/>
            </w:tcBorders>
            <w:shd w:val="clear" w:color="auto" w:fill="auto"/>
            <w:noWrap/>
            <w:vAlign w:val="bottom"/>
            <w:hideMark/>
          </w:tcPr>
          <w:p w14:paraId="007A23B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0.032</w:t>
            </w:r>
          </w:p>
        </w:tc>
        <w:tc>
          <w:tcPr>
            <w:tcW w:w="1188" w:type="dxa"/>
            <w:tcBorders>
              <w:top w:val="nil"/>
              <w:left w:val="nil"/>
              <w:right w:val="nil"/>
            </w:tcBorders>
            <w:shd w:val="clear" w:color="auto" w:fill="auto"/>
            <w:noWrap/>
            <w:vAlign w:val="bottom"/>
            <w:hideMark/>
          </w:tcPr>
          <w:p w14:paraId="68B818D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-0.036</w:t>
            </w:r>
          </w:p>
        </w:tc>
        <w:tc>
          <w:tcPr>
            <w:tcW w:w="1085" w:type="dxa"/>
            <w:tcBorders>
              <w:top w:val="nil"/>
              <w:left w:val="nil"/>
              <w:right w:val="nil"/>
            </w:tcBorders>
            <w:shd w:val="clear" w:color="auto" w:fill="auto"/>
            <w:noWrap/>
            <w:vAlign w:val="bottom"/>
            <w:hideMark/>
          </w:tcPr>
          <w:p w14:paraId="799EAEC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-0.208</w:t>
            </w:r>
          </w:p>
        </w:tc>
        <w:tc>
          <w:tcPr>
            <w:tcW w:w="1271" w:type="dxa"/>
            <w:tcBorders>
              <w:top w:val="nil"/>
              <w:left w:val="nil"/>
              <w:right w:val="nil"/>
            </w:tcBorders>
            <w:shd w:val="clear" w:color="auto" w:fill="auto"/>
            <w:noWrap/>
            <w:vAlign w:val="bottom"/>
            <w:hideMark/>
          </w:tcPr>
          <w:p w14:paraId="57A3DB1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0.092</w:t>
            </w:r>
          </w:p>
        </w:tc>
        <w:tc>
          <w:tcPr>
            <w:tcW w:w="1373" w:type="dxa"/>
            <w:tcBorders>
              <w:top w:val="nil"/>
              <w:left w:val="nil"/>
              <w:right w:val="nil"/>
            </w:tcBorders>
            <w:shd w:val="clear" w:color="auto" w:fill="auto"/>
            <w:noWrap/>
            <w:vAlign w:val="bottom"/>
            <w:hideMark/>
          </w:tcPr>
          <w:p w14:paraId="4418D04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-0.356</w:t>
            </w:r>
          </w:p>
        </w:tc>
        <w:tc>
          <w:tcPr>
            <w:tcW w:w="1037" w:type="dxa"/>
            <w:tcBorders>
              <w:top w:val="nil"/>
              <w:left w:val="nil"/>
              <w:right w:val="nil"/>
            </w:tcBorders>
            <w:shd w:val="clear" w:color="auto" w:fill="auto"/>
            <w:noWrap/>
            <w:vAlign w:val="bottom"/>
            <w:hideMark/>
          </w:tcPr>
          <w:p w14:paraId="06FA31B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0.060</w:t>
            </w:r>
          </w:p>
        </w:tc>
        <w:tc>
          <w:tcPr>
            <w:tcW w:w="960" w:type="dxa"/>
            <w:tcBorders>
              <w:top w:val="nil"/>
              <w:left w:val="nil"/>
              <w:right w:val="nil"/>
            </w:tcBorders>
            <w:shd w:val="clear" w:color="auto" w:fill="auto"/>
            <w:noWrap/>
            <w:vAlign w:val="bottom"/>
            <w:hideMark/>
          </w:tcPr>
          <w:p w14:paraId="47522D1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-0.696</w:t>
            </w:r>
          </w:p>
        </w:tc>
      </w:tr>
      <w:tr w:rsidR="00244248" w:rsidRPr="00611FD3" w14:paraId="5F89D9EA"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20558CA6"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0D0171F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(0.232)</w:t>
            </w:r>
          </w:p>
        </w:tc>
        <w:tc>
          <w:tcPr>
            <w:tcW w:w="1134" w:type="dxa"/>
            <w:tcBorders>
              <w:top w:val="nil"/>
              <w:left w:val="nil"/>
              <w:bottom w:val="single" w:sz="4" w:space="0" w:color="ED7D31" w:themeColor="accent2"/>
              <w:right w:val="nil"/>
            </w:tcBorders>
            <w:shd w:val="clear" w:color="auto" w:fill="auto"/>
            <w:noWrap/>
            <w:vAlign w:val="bottom"/>
            <w:hideMark/>
          </w:tcPr>
          <w:p w14:paraId="0B7D799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(0.251)</w:t>
            </w:r>
          </w:p>
        </w:tc>
        <w:tc>
          <w:tcPr>
            <w:tcW w:w="960" w:type="dxa"/>
            <w:tcBorders>
              <w:top w:val="nil"/>
              <w:left w:val="nil"/>
              <w:bottom w:val="single" w:sz="4" w:space="0" w:color="ED7D31" w:themeColor="accent2"/>
              <w:right w:val="nil"/>
            </w:tcBorders>
            <w:shd w:val="clear" w:color="auto" w:fill="auto"/>
            <w:noWrap/>
            <w:vAlign w:val="bottom"/>
            <w:hideMark/>
          </w:tcPr>
          <w:p w14:paraId="67ADF7B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(0.208)</w:t>
            </w:r>
          </w:p>
        </w:tc>
        <w:tc>
          <w:tcPr>
            <w:tcW w:w="1101" w:type="dxa"/>
            <w:tcBorders>
              <w:top w:val="nil"/>
              <w:left w:val="nil"/>
              <w:bottom w:val="single" w:sz="4" w:space="0" w:color="ED7D31" w:themeColor="accent2"/>
              <w:right w:val="nil"/>
            </w:tcBorders>
            <w:shd w:val="clear" w:color="auto" w:fill="auto"/>
            <w:noWrap/>
            <w:vAlign w:val="bottom"/>
            <w:hideMark/>
          </w:tcPr>
          <w:p w14:paraId="1805C06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(0.217)</w:t>
            </w:r>
          </w:p>
        </w:tc>
        <w:tc>
          <w:tcPr>
            <w:tcW w:w="1188" w:type="dxa"/>
            <w:tcBorders>
              <w:top w:val="nil"/>
              <w:left w:val="nil"/>
              <w:bottom w:val="single" w:sz="4" w:space="0" w:color="ED7D31" w:themeColor="accent2"/>
              <w:right w:val="nil"/>
            </w:tcBorders>
            <w:shd w:val="clear" w:color="auto" w:fill="auto"/>
            <w:noWrap/>
            <w:vAlign w:val="bottom"/>
            <w:hideMark/>
          </w:tcPr>
          <w:p w14:paraId="2FB26EA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(0.260)</w:t>
            </w:r>
          </w:p>
        </w:tc>
        <w:tc>
          <w:tcPr>
            <w:tcW w:w="1085" w:type="dxa"/>
            <w:tcBorders>
              <w:top w:val="nil"/>
              <w:left w:val="nil"/>
              <w:bottom w:val="single" w:sz="4" w:space="0" w:color="ED7D31" w:themeColor="accent2"/>
              <w:right w:val="nil"/>
            </w:tcBorders>
            <w:shd w:val="clear" w:color="auto" w:fill="auto"/>
            <w:noWrap/>
            <w:vAlign w:val="bottom"/>
            <w:hideMark/>
          </w:tcPr>
          <w:p w14:paraId="6B4CE57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(0.244)</w:t>
            </w:r>
          </w:p>
        </w:tc>
        <w:tc>
          <w:tcPr>
            <w:tcW w:w="1271" w:type="dxa"/>
            <w:tcBorders>
              <w:top w:val="nil"/>
              <w:left w:val="nil"/>
              <w:bottom w:val="single" w:sz="4" w:space="0" w:color="ED7D31" w:themeColor="accent2"/>
              <w:right w:val="nil"/>
            </w:tcBorders>
            <w:shd w:val="clear" w:color="auto" w:fill="auto"/>
            <w:noWrap/>
            <w:vAlign w:val="bottom"/>
            <w:hideMark/>
          </w:tcPr>
          <w:p w14:paraId="000B374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(0.324)</w:t>
            </w:r>
          </w:p>
        </w:tc>
        <w:tc>
          <w:tcPr>
            <w:tcW w:w="1373" w:type="dxa"/>
            <w:tcBorders>
              <w:top w:val="nil"/>
              <w:left w:val="nil"/>
              <w:bottom w:val="single" w:sz="4" w:space="0" w:color="ED7D31" w:themeColor="accent2"/>
              <w:right w:val="nil"/>
            </w:tcBorders>
            <w:shd w:val="clear" w:color="auto" w:fill="auto"/>
            <w:noWrap/>
            <w:vAlign w:val="bottom"/>
            <w:hideMark/>
          </w:tcPr>
          <w:p w14:paraId="4953A7B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(0.265)</w:t>
            </w:r>
          </w:p>
        </w:tc>
        <w:tc>
          <w:tcPr>
            <w:tcW w:w="1037" w:type="dxa"/>
            <w:tcBorders>
              <w:top w:val="nil"/>
              <w:left w:val="nil"/>
              <w:bottom w:val="single" w:sz="4" w:space="0" w:color="ED7D31" w:themeColor="accent2"/>
              <w:right w:val="nil"/>
            </w:tcBorders>
            <w:shd w:val="clear" w:color="auto" w:fill="auto"/>
            <w:noWrap/>
            <w:vAlign w:val="bottom"/>
            <w:hideMark/>
          </w:tcPr>
          <w:p w14:paraId="29569916"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(0.348)</w:t>
            </w:r>
          </w:p>
        </w:tc>
        <w:tc>
          <w:tcPr>
            <w:tcW w:w="960" w:type="dxa"/>
            <w:tcBorders>
              <w:top w:val="nil"/>
              <w:left w:val="nil"/>
              <w:bottom w:val="single" w:sz="4" w:space="0" w:color="ED7D31" w:themeColor="accent2"/>
              <w:right w:val="nil"/>
            </w:tcBorders>
            <w:shd w:val="clear" w:color="auto" w:fill="auto"/>
            <w:noWrap/>
            <w:vAlign w:val="bottom"/>
            <w:hideMark/>
          </w:tcPr>
          <w:p w14:paraId="7A3BB489"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(0.677)</w:t>
            </w:r>
          </w:p>
        </w:tc>
      </w:tr>
      <w:tr w:rsidR="00244248" w:rsidRPr="00611FD3" w14:paraId="5E21A353" w14:textId="77777777" w:rsidTr="00214A11">
        <w:trPr>
          <w:trHeight w:hRule="exact" w:val="283"/>
        </w:trPr>
        <w:tc>
          <w:tcPr>
            <w:tcW w:w="2520" w:type="dxa"/>
            <w:tcBorders>
              <w:top w:val="single" w:sz="4" w:space="0" w:color="ED7D31" w:themeColor="accent2"/>
              <w:left w:val="nil"/>
              <w:bottom w:val="nil"/>
              <w:right w:val="nil"/>
            </w:tcBorders>
            <w:shd w:val="clear" w:color="auto" w:fill="auto"/>
            <w:noWrap/>
            <w:vAlign w:val="bottom"/>
            <w:hideMark/>
          </w:tcPr>
          <w:p w14:paraId="4679C07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b/>
                <w:bCs/>
                <w:color w:val="000000"/>
                <w:sz w:val="20"/>
                <w:szCs w:val="20"/>
                <w:lang w:eastAsia="en-AU"/>
              </w:rPr>
              <w:t>In a relationship</w:t>
            </w:r>
            <w:r w:rsidRPr="00611FD3">
              <w:rPr>
                <w:rFonts w:asciiTheme="majorHAnsi" w:eastAsia="Times New Roman" w:hAnsiTheme="majorHAnsi" w:cstheme="majorHAnsi"/>
                <w:color w:val="000000"/>
                <w:sz w:val="20"/>
                <w:szCs w:val="20"/>
                <w:lang w:eastAsia="en-AU"/>
              </w:rPr>
              <w:t xml:space="preserve"> (ref: no)</w:t>
            </w:r>
          </w:p>
        </w:tc>
        <w:tc>
          <w:tcPr>
            <w:tcW w:w="1166" w:type="dxa"/>
            <w:tcBorders>
              <w:top w:val="single" w:sz="4" w:space="0" w:color="ED7D31" w:themeColor="accent2"/>
              <w:left w:val="nil"/>
              <w:bottom w:val="nil"/>
              <w:right w:val="nil"/>
            </w:tcBorders>
            <w:shd w:val="clear" w:color="auto" w:fill="auto"/>
            <w:noWrap/>
            <w:vAlign w:val="bottom"/>
            <w:hideMark/>
          </w:tcPr>
          <w:p w14:paraId="47D8B878"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6029B260"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3AAD0476" w14:textId="77777777" w:rsidR="00244248" w:rsidRPr="00611FD3" w:rsidRDefault="00244248" w:rsidP="00335B25">
            <w:pPr>
              <w:rPr>
                <w:rFonts w:asciiTheme="majorHAnsi" w:eastAsia="Times New Roman" w:hAnsiTheme="majorHAnsi" w:cstheme="majorHAnsi"/>
                <w:sz w:val="20"/>
                <w:szCs w:val="20"/>
                <w:lang w:eastAsia="en-AU"/>
              </w:rPr>
            </w:pPr>
          </w:p>
        </w:tc>
        <w:tc>
          <w:tcPr>
            <w:tcW w:w="1101" w:type="dxa"/>
            <w:tcBorders>
              <w:top w:val="single" w:sz="4" w:space="0" w:color="ED7D31" w:themeColor="accent2"/>
              <w:left w:val="nil"/>
              <w:bottom w:val="nil"/>
              <w:right w:val="nil"/>
            </w:tcBorders>
            <w:shd w:val="clear" w:color="auto" w:fill="auto"/>
            <w:noWrap/>
            <w:vAlign w:val="bottom"/>
            <w:hideMark/>
          </w:tcPr>
          <w:p w14:paraId="1A90F8D0" w14:textId="77777777" w:rsidR="00244248" w:rsidRPr="00611FD3" w:rsidRDefault="00244248" w:rsidP="00335B25">
            <w:pPr>
              <w:rPr>
                <w:rFonts w:asciiTheme="majorHAnsi" w:eastAsia="Times New Roman" w:hAnsiTheme="majorHAnsi" w:cstheme="majorHAnsi"/>
                <w:sz w:val="20"/>
                <w:szCs w:val="20"/>
                <w:lang w:eastAsia="en-AU"/>
              </w:rPr>
            </w:pPr>
          </w:p>
        </w:tc>
        <w:tc>
          <w:tcPr>
            <w:tcW w:w="1188" w:type="dxa"/>
            <w:tcBorders>
              <w:top w:val="single" w:sz="4" w:space="0" w:color="ED7D31" w:themeColor="accent2"/>
              <w:left w:val="nil"/>
              <w:bottom w:val="nil"/>
              <w:right w:val="nil"/>
            </w:tcBorders>
            <w:shd w:val="clear" w:color="auto" w:fill="auto"/>
            <w:noWrap/>
            <w:vAlign w:val="bottom"/>
            <w:hideMark/>
          </w:tcPr>
          <w:p w14:paraId="46A60427" w14:textId="77777777" w:rsidR="00244248" w:rsidRPr="00611FD3" w:rsidRDefault="00244248" w:rsidP="00335B25">
            <w:pPr>
              <w:rPr>
                <w:rFonts w:asciiTheme="majorHAnsi" w:eastAsia="Times New Roman" w:hAnsiTheme="majorHAnsi" w:cstheme="majorHAnsi"/>
                <w:sz w:val="20"/>
                <w:szCs w:val="20"/>
                <w:lang w:eastAsia="en-AU"/>
              </w:rPr>
            </w:pPr>
          </w:p>
        </w:tc>
        <w:tc>
          <w:tcPr>
            <w:tcW w:w="1085" w:type="dxa"/>
            <w:tcBorders>
              <w:top w:val="single" w:sz="4" w:space="0" w:color="ED7D31" w:themeColor="accent2"/>
              <w:left w:val="nil"/>
              <w:bottom w:val="nil"/>
              <w:right w:val="nil"/>
            </w:tcBorders>
            <w:shd w:val="clear" w:color="auto" w:fill="auto"/>
            <w:noWrap/>
            <w:vAlign w:val="bottom"/>
            <w:hideMark/>
          </w:tcPr>
          <w:p w14:paraId="69FA15AC" w14:textId="77777777" w:rsidR="00244248" w:rsidRPr="00611FD3" w:rsidRDefault="00244248" w:rsidP="00335B25">
            <w:pPr>
              <w:rPr>
                <w:rFonts w:asciiTheme="majorHAnsi" w:eastAsia="Times New Roman" w:hAnsiTheme="majorHAnsi" w:cstheme="majorHAnsi"/>
                <w:sz w:val="20"/>
                <w:szCs w:val="20"/>
                <w:lang w:eastAsia="en-AU"/>
              </w:rPr>
            </w:pPr>
          </w:p>
        </w:tc>
        <w:tc>
          <w:tcPr>
            <w:tcW w:w="1271" w:type="dxa"/>
            <w:tcBorders>
              <w:top w:val="single" w:sz="4" w:space="0" w:color="ED7D31" w:themeColor="accent2"/>
              <w:left w:val="nil"/>
              <w:bottom w:val="nil"/>
              <w:right w:val="nil"/>
            </w:tcBorders>
            <w:shd w:val="clear" w:color="auto" w:fill="auto"/>
            <w:noWrap/>
            <w:vAlign w:val="bottom"/>
            <w:hideMark/>
          </w:tcPr>
          <w:p w14:paraId="3A1E4898" w14:textId="77777777" w:rsidR="00244248" w:rsidRPr="00611FD3" w:rsidRDefault="00244248" w:rsidP="00335B25">
            <w:pPr>
              <w:rPr>
                <w:rFonts w:asciiTheme="majorHAnsi" w:eastAsia="Times New Roman" w:hAnsiTheme="majorHAnsi" w:cstheme="majorHAnsi"/>
                <w:sz w:val="20"/>
                <w:szCs w:val="20"/>
                <w:lang w:eastAsia="en-AU"/>
              </w:rPr>
            </w:pPr>
          </w:p>
        </w:tc>
        <w:tc>
          <w:tcPr>
            <w:tcW w:w="1373" w:type="dxa"/>
            <w:tcBorders>
              <w:top w:val="single" w:sz="4" w:space="0" w:color="ED7D31" w:themeColor="accent2"/>
              <w:left w:val="nil"/>
              <w:bottom w:val="nil"/>
              <w:right w:val="nil"/>
            </w:tcBorders>
            <w:shd w:val="clear" w:color="auto" w:fill="auto"/>
            <w:noWrap/>
            <w:vAlign w:val="bottom"/>
            <w:hideMark/>
          </w:tcPr>
          <w:p w14:paraId="36D3B248" w14:textId="77777777" w:rsidR="00244248" w:rsidRPr="00611FD3" w:rsidRDefault="00244248" w:rsidP="00335B25">
            <w:pPr>
              <w:rPr>
                <w:rFonts w:asciiTheme="majorHAnsi" w:eastAsia="Times New Roman" w:hAnsiTheme="majorHAnsi" w:cstheme="majorHAnsi"/>
                <w:sz w:val="20"/>
                <w:szCs w:val="20"/>
                <w:lang w:eastAsia="en-AU"/>
              </w:rPr>
            </w:pPr>
          </w:p>
        </w:tc>
        <w:tc>
          <w:tcPr>
            <w:tcW w:w="1037" w:type="dxa"/>
            <w:tcBorders>
              <w:top w:val="single" w:sz="4" w:space="0" w:color="ED7D31" w:themeColor="accent2"/>
              <w:left w:val="nil"/>
              <w:bottom w:val="nil"/>
              <w:right w:val="nil"/>
            </w:tcBorders>
            <w:shd w:val="clear" w:color="auto" w:fill="auto"/>
            <w:noWrap/>
            <w:vAlign w:val="bottom"/>
            <w:hideMark/>
          </w:tcPr>
          <w:p w14:paraId="726B3D6F" w14:textId="77777777" w:rsidR="00244248" w:rsidRPr="00611FD3" w:rsidRDefault="00244248" w:rsidP="00335B25">
            <w:pPr>
              <w:rPr>
                <w:rFonts w:asciiTheme="majorHAnsi" w:eastAsia="Times New Roman" w:hAnsiTheme="majorHAnsi" w:cstheme="majorHAnsi"/>
                <w:sz w:val="20"/>
                <w:szCs w:val="20"/>
                <w:lang w:eastAsia="en-AU"/>
              </w:rPr>
            </w:pPr>
          </w:p>
        </w:tc>
        <w:tc>
          <w:tcPr>
            <w:tcW w:w="960" w:type="dxa"/>
            <w:tcBorders>
              <w:top w:val="single" w:sz="4" w:space="0" w:color="ED7D31" w:themeColor="accent2"/>
              <w:left w:val="nil"/>
              <w:bottom w:val="nil"/>
              <w:right w:val="nil"/>
            </w:tcBorders>
            <w:shd w:val="clear" w:color="auto" w:fill="auto"/>
            <w:noWrap/>
            <w:vAlign w:val="bottom"/>
            <w:hideMark/>
          </w:tcPr>
          <w:p w14:paraId="1720BDE4" w14:textId="77777777" w:rsidR="00244248" w:rsidRPr="00611FD3" w:rsidRDefault="00244248" w:rsidP="00335B25">
            <w:pPr>
              <w:rPr>
                <w:rFonts w:asciiTheme="majorHAnsi" w:eastAsia="Times New Roman" w:hAnsiTheme="majorHAnsi" w:cstheme="majorHAnsi"/>
                <w:sz w:val="20"/>
                <w:szCs w:val="20"/>
                <w:lang w:eastAsia="en-AU"/>
              </w:rPr>
            </w:pPr>
          </w:p>
        </w:tc>
      </w:tr>
      <w:tr w:rsidR="00244248" w:rsidRPr="00611FD3" w14:paraId="33F9E822" w14:textId="77777777" w:rsidTr="00214A11">
        <w:trPr>
          <w:trHeight w:hRule="exact" w:val="283"/>
        </w:trPr>
        <w:tc>
          <w:tcPr>
            <w:tcW w:w="2520" w:type="dxa"/>
            <w:tcBorders>
              <w:top w:val="nil"/>
              <w:left w:val="nil"/>
              <w:right w:val="nil"/>
            </w:tcBorders>
            <w:shd w:val="clear" w:color="auto" w:fill="auto"/>
            <w:noWrap/>
            <w:vAlign w:val="bottom"/>
            <w:hideMark/>
          </w:tcPr>
          <w:p w14:paraId="4B839CA4"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Yes</w:t>
            </w:r>
          </w:p>
        </w:tc>
        <w:tc>
          <w:tcPr>
            <w:tcW w:w="1166" w:type="dxa"/>
            <w:tcBorders>
              <w:top w:val="nil"/>
              <w:left w:val="nil"/>
              <w:right w:val="nil"/>
            </w:tcBorders>
            <w:shd w:val="clear" w:color="auto" w:fill="auto"/>
            <w:noWrap/>
            <w:vAlign w:val="bottom"/>
            <w:hideMark/>
          </w:tcPr>
          <w:p w14:paraId="131D123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0.597**</w:t>
            </w:r>
          </w:p>
        </w:tc>
        <w:tc>
          <w:tcPr>
            <w:tcW w:w="1134" w:type="dxa"/>
            <w:tcBorders>
              <w:top w:val="nil"/>
              <w:left w:val="nil"/>
              <w:right w:val="nil"/>
            </w:tcBorders>
            <w:shd w:val="clear" w:color="auto" w:fill="auto"/>
            <w:noWrap/>
            <w:vAlign w:val="bottom"/>
            <w:hideMark/>
          </w:tcPr>
          <w:p w14:paraId="5D50FBF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0.034</w:t>
            </w:r>
          </w:p>
        </w:tc>
        <w:tc>
          <w:tcPr>
            <w:tcW w:w="960" w:type="dxa"/>
            <w:tcBorders>
              <w:top w:val="nil"/>
              <w:left w:val="nil"/>
              <w:right w:val="nil"/>
            </w:tcBorders>
            <w:shd w:val="clear" w:color="auto" w:fill="auto"/>
            <w:noWrap/>
            <w:vAlign w:val="bottom"/>
            <w:hideMark/>
          </w:tcPr>
          <w:p w14:paraId="06DECB6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-0.154</w:t>
            </w:r>
          </w:p>
        </w:tc>
        <w:tc>
          <w:tcPr>
            <w:tcW w:w="1101" w:type="dxa"/>
            <w:tcBorders>
              <w:top w:val="nil"/>
              <w:left w:val="nil"/>
              <w:right w:val="nil"/>
            </w:tcBorders>
            <w:shd w:val="clear" w:color="auto" w:fill="auto"/>
            <w:noWrap/>
            <w:vAlign w:val="bottom"/>
            <w:hideMark/>
          </w:tcPr>
          <w:p w14:paraId="2C2D3F3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0.494**</w:t>
            </w:r>
          </w:p>
        </w:tc>
        <w:tc>
          <w:tcPr>
            <w:tcW w:w="1188" w:type="dxa"/>
            <w:tcBorders>
              <w:top w:val="nil"/>
              <w:left w:val="nil"/>
              <w:right w:val="nil"/>
            </w:tcBorders>
            <w:shd w:val="clear" w:color="auto" w:fill="auto"/>
            <w:noWrap/>
            <w:vAlign w:val="bottom"/>
            <w:hideMark/>
          </w:tcPr>
          <w:p w14:paraId="5EDF58A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0.130</w:t>
            </w:r>
          </w:p>
        </w:tc>
        <w:tc>
          <w:tcPr>
            <w:tcW w:w="1085" w:type="dxa"/>
            <w:tcBorders>
              <w:top w:val="nil"/>
              <w:left w:val="nil"/>
              <w:right w:val="nil"/>
            </w:tcBorders>
            <w:shd w:val="clear" w:color="auto" w:fill="auto"/>
            <w:noWrap/>
            <w:vAlign w:val="bottom"/>
            <w:hideMark/>
          </w:tcPr>
          <w:p w14:paraId="3957FA0C"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0.165</w:t>
            </w:r>
          </w:p>
        </w:tc>
        <w:tc>
          <w:tcPr>
            <w:tcW w:w="1271" w:type="dxa"/>
            <w:tcBorders>
              <w:top w:val="nil"/>
              <w:left w:val="nil"/>
              <w:right w:val="nil"/>
            </w:tcBorders>
            <w:shd w:val="clear" w:color="auto" w:fill="auto"/>
            <w:noWrap/>
            <w:vAlign w:val="bottom"/>
            <w:hideMark/>
          </w:tcPr>
          <w:p w14:paraId="7F2064D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-0.114</w:t>
            </w:r>
          </w:p>
        </w:tc>
        <w:tc>
          <w:tcPr>
            <w:tcW w:w="1373" w:type="dxa"/>
            <w:tcBorders>
              <w:top w:val="nil"/>
              <w:left w:val="nil"/>
              <w:right w:val="nil"/>
            </w:tcBorders>
            <w:shd w:val="clear" w:color="auto" w:fill="auto"/>
            <w:noWrap/>
            <w:vAlign w:val="bottom"/>
            <w:hideMark/>
          </w:tcPr>
          <w:p w14:paraId="18CA6F9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-0.146</w:t>
            </w:r>
          </w:p>
        </w:tc>
        <w:tc>
          <w:tcPr>
            <w:tcW w:w="1037" w:type="dxa"/>
            <w:tcBorders>
              <w:top w:val="nil"/>
              <w:left w:val="nil"/>
              <w:right w:val="nil"/>
            </w:tcBorders>
            <w:shd w:val="clear" w:color="auto" w:fill="auto"/>
            <w:noWrap/>
            <w:vAlign w:val="bottom"/>
            <w:hideMark/>
          </w:tcPr>
          <w:p w14:paraId="2926DC21"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-0.014</w:t>
            </w:r>
          </w:p>
        </w:tc>
        <w:tc>
          <w:tcPr>
            <w:tcW w:w="960" w:type="dxa"/>
            <w:tcBorders>
              <w:top w:val="nil"/>
              <w:left w:val="nil"/>
              <w:right w:val="nil"/>
            </w:tcBorders>
            <w:shd w:val="clear" w:color="auto" w:fill="auto"/>
            <w:noWrap/>
            <w:vAlign w:val="bottom"/>
            <w:hideMark/>
          </w:tcPr>
          <w:p w14:paraId="52D7984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-0.063</w:t>
            </w:r>
          </w:p>
        </w:tc>
      </w:tr>
      <w:tr w:rsidR="00244248" w:rsidRPr="00611FD3" w14:paraId="7F3E0E67"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154B425C"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033D8D6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(0.244)</w:t>
            </w:r>
          </w:p>
        </w:tc>
        <w:tc>
          <w:tcPr>
            <w:tcW w:w="1134" w:type="dxa"/>
            <w:tcBorders>
              <w:top w:val="nil"/>
              <w:left w:val="nil"/>
              <w:bottom w:val="single" w:sz="4" w:space="0" w:color="ED7D31" w:themeColor="accent2"/>
              <w:right w:val="nil"/>
            </w:tcBorders>
            <w:shd w:val="clear" w:color="auto" w:fill="auto"/>
            <w:noWrap/>
            <w:vAlign w:val="bottom"/>
            <w:hideMark/>
          </w:tcPr>
          <w:p w14:paraId="6B65806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(0.259)</w:t>
            </w:r>
          </w:p>
        </w:tc>
        <w:tc>
          <w:tcPr>
            <w:tcW w:w="960" w:type="dxa"/>
            <w:tcBorders>
              <w:top w:val="nil"/>
              <w:left w:val="nil"/>
              <w:bottom w:val="single" w:sz="4" w:space="0" w:color="ED7D31" w:themeColor="accent2"/>
              <w:right w:val="nil"/>
            </w:tcBorders>
            <w:shd w:val="clear" w:color="auto" w:fill="auto"/>
            <w:noWrap/>
            <w:vAlign w:val="bottom"/>
            <w:hideMark/>
          </w:tcPr>
          <w:p w14:paraId="2FFCCCAA"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(0.210)</w:t>
            </w:r>
          </w:p>
        </w:tc>
        <w:tc>
          <w:tcPr>
            <w:tcW w:w="1101" w:type="dxa"/>
            <w:tcBorders>
              <w:top w:val="nil"/>
              <w:left w:val="nil"/>
              <w:bottom w:val="single" w:sz="4" w:space="0" w:color="ED7D31" w:themeColor="accent2"/>
              <w:right w:val="nil"/>
            </w:tcBorders>
            <w:shd w:val="clear" w:color="auto" w:fill="auto"/>
            <w:noWrap/>
            <w:vAlign w:val="bottom"/>
            <w:hideMark/>
          </w:tcPr>
          <w:p w14:paraId="104451EE"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(0.220)</w:t>
            </w:r>
          </w:p>
        </w:tc>
        <w:tc>
          <w:tcPr>
            <w:tcW w:w="1188" w:type="dxa"/>
            <w:tcBorders>
              <w:top w:val="nil"/>
              <w:left w:val="nil"/>
              <w:bottom w:val="single" w:sz="4" w:space="0" w:color="ED7D31" w:themeColor="accent2"/>
              <w:right w:val="nil"/>
            </w:tcBorders>
            <w:shd w:val="clear" w:color="auto" w:fill="auto"/>
            <w:noWrap/>
            <w:vAlign w:val="bottom"/>
            <w:hideMark/>
          </w:tcPr>
          <w:p w14:paraId="2807C578"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(0.250)</w:t>
            </w:r>
          </w:p>
        </w:tc>
        <w:tc>
          <w:tcPr>
            <w:tcW w:w="1085" w:type="dxa"/>
            <w:tcBorders>
              <w:top w:val="nil"/>
              <w:left w:val="nil"/>
              <w:bottom w:val="single" w:sz="4" w:space="0" w:color="ED7D31" w:themeColor="accent2"/>
              <w:right w:val="nil"/>
            </w:tcBorders>
            <w:shd w:val="clear" w:color="auto" w:fill="auto"/>
            <w:noWrap/>
            <w:vAlign w:val="bottom"/>
            <w:hideMark/>
          </w:tcPr>
          <w:p w14:paraId="4D2F544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(0.229)</w:t>
            </w:r>
          </w:p>
        </w:tc>
        <w:tc>
          <w:tcPr>
            <w:tcW w:w="1271" w:type="dxa"/>
            <w:tcBorders>
              <w:top w:val="nil"/>
              <w:left w:val="nil"/>
              <w:bottom w:val="single" w:sz="4" w:space="0" w:color="ED7D31" w:themeColor="accent2"/>
              <w:right w:val="nil"/>
            </w:tcBorders>
            <w:shd w:val="clear" w:color="auto" w:fill="auto"/>
            <w:noWrap/>
            <w:vAlign w:val="bottom"/>
            <w:hideMark/>
          </w:tcPr>
          <w:p w14:paraId="2BC1E14B"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(0.292)</w:t>
            </w:r>
          </w:p>
        </w:tc>
        <w:tc>
          <w:tcPr>
            <w:tcW w:w="1373" w:type="dxa"/>
            <w:tcBorders>
              <w:top w:val="nil"/>
              <w:left w:val="nil"/>
              <w:bottom w:val="single" w:sz="4" w:space="0" w:color="ED7D31" w:themeColor="accent2"/>
              <w:right w:val="nil"/>
            </w:tcBorders>
            <w:shd w:val="clear" w:color="auto" w:fill="auto"/>
            <w:noWrap/>
            <w:vAlign w:val="bottom"/>
            <w:hideMark/>
          </w:tcPr>
          <w:p w14:paraId="47ECD37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(0.286)</w:t>
            </w:r>
          </w:p>
        </w:tc>
        <w:tc>
          <w:tcPr>
            <w:tcW w:w="1037" w:type="dxa"/>
            <w:tcBorders>
              <w:top w:val="nil"/>
              <w:left w:val="nil"/>
              <w:bottom w:val="single" w:sz="4" w:space="0" w:color="ED7D31" w:themeColor="accent2"/>
              <w:right w:val="nil"/>
            </w:tcBorders>
            <w:shd w:val="clear" w:color="auto" w:fill="auto"/>
            <w:noWrap/>
            <w:vAlign w:val="bottom"/>
            <w:hideMark/>
          </w:tcPr>
          <w:p w14:paraId="637A22B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(0.387)</w:t>
            </w:r>
          </w:p>
        </w:tc>
        <w:tc>
          <w:tcPr>
            <w:tcW w:w="960" w:type="dxa"/>
            <w:tcBorders>
              <w:top w:val="nil"/>
              <w:left w:val="nil"/>
              <w:bottom w:val="single" w:sz="4" w:space="0" w:color="ED7D31" w:themeColor="accent2"/>
              <w:right w:val="nil"/>
            </w:tcBorders>
            <w:shd w:val="clear" w:color="auto" w:fill="auto"/>
            <w:noWrap/>
            <w:vAlign w:val="bottom"/>
            <w:hideMark/>
          </w:tcPr>
          <w:p w14:paraId="5F92010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(0.882)</w:t>
            </w:r>
          </w:p>
        </w:tc>
      </w:tr>
      <w:tr w:rsidR="00244248" w:rsidRPr="00611FD3" w14:paraId="7E4F51D7" w14:textId="77777777" w:rsidTr="00214A11">
        <w:trPr>
          <w:trHeight w:hRule="exact" w:val="283"/>
        </w:trPr>
        <w:tc>
          <w:tcPr>
            <w:tcW w:w="2520" w:type="dxa"/>
            <w:tcBorders>
              <w:top w:val="single" w:sz="4" w:space="0" w:color="ED7D31" w:themeColor="accent2"/>
              <w:left w:val="nil"/>
              <w:right w:val="nil"/>
            </w:tcBorders>
            <w:shd w:val="clear" w:color="auto" w:fill="auto"/>
            <w:noWrap/>
            <w:vAlign w:val="bottom"/>
            <w:hideMark/>
          </w:tcPr>
          <w:p w14:paraId="0ABB93B6"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Constant</w:t>
            </w:r>
          </w:p>
        </w:tc>
        <w:tc>
          <w:tcPr>
            <w:tcW w:w="1166" w:type="dxa"/>
            <w:tcBorders>
              <w:top w:val="single" w:sz="4" w:space="0" w:color="ED7D31" w:themeColor="accent2"/>
              <w:left w:val="nil"/>
              <w:right w:val="nil"/>
            </w:tcBorders>
            <w:shd w:val="clear" w:color="auto" w:fill="auto"/>
            <w:noWrap/>
            <w:vAlign w:val="bottom"/>
            <w:hideMark/>
          </w:tcPr>
          <w:p w14:paraId="591E5E32"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-1.179***</w:t>
            </w:r>
          </w:p>
        </w:tc>
        <w:tc>
          <w:tcPr>
            <w:tcW w:w="1134" w:type="dxa"/>
            <w:tcBorders>
              <w:top w:val="single" w:sz="4" w:space="0" w:color="ED7D31" w:themeColor="accent2"/>
              <w:left w:val="nil"/>
              <w:right w:val="nil"/>
            </w:tcBorders>
            <w:shd w:val="clear" w:color="auto" w:fill="auto"/>
            <w:noWrap/>
            <w:vAlign w:val="bottom"/>
            <w:hideMark/>
          </w:tcPr>
          <w:p w14:paraId="7D107D0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-1.246***</w:t>
            </w:r>
          </w:p>
        </w:tc>
        <w:tc>
          <w:tcPr>
            <w:tcW w:w="960" w:type="dxa"/>
            <w:tcBorders>
              <w:top w:val="single" w:sz="4" w:space="0" w:color="ED7D31" w:themeColor="accent2"/>
              <w:left w:val="nil"/>
              <w:right w:val="nil"/>
            </w:tcBorders>
            <w:shd w:val="clear" w:color="auto" w:fill="auto"/>
            <w:noWrap/>
            <w:vAlign w:val="bottom"/>
            <w:hideMark/>
          </w:tcPr>
          <w:p w14:paraId="7C995FB7"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-0.525*</w:t>
            </w:r>
          </w:p>
        </w:tc>
        <w:tc>
          <w:tcPr>
            <w:tcW w:w="1101" w:type="dxa"/>
            <w:tcBorders>
              <w:top w:val="single" w:sz="4" w:space="0" w:color="ED7D31" w:themeColor="accent2"/>
              <w:left w:val="nil"/>
              <w:right w:val="nil"/>
            </w:tcBorders>
            <w:shd w:val="clear" w:color="auto" w:fill="auto"/>
            <w:noWrap/>
            <w:vAlign w:val="bottom"/>
            <w:hideMark/>
          </w:tcPr>
          <w:p w14:paraId="22F9D82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-1.464***</w:t>
            </w:r>
          </w:p>
        </w:tc>
        <w:tc>
          <w:tcPr>
            <w:tcW w:w="1188" w:type="dxa"/>
            <w:tcBorders>
              <w:top w:val="single" w:sz="4" w:space="0" w:color="ED7D31" w:themeColor="accent2"/>
              <w:left w:val="nil"/>
              <w:right w:val="nil"/>
            </w:tcBorders>
            <w:shd w:val="clear" w:color="auto" w:fill="auto"/>
            <w:noWrap/>
            <w:vAlign w:val="bottom"/>
            <w:hideMark/>
          </w:tcPr>
          <w:p w14:paraId="65E646E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-1.481***</w:t>
            </w:r>
          </w:p>
        </w:tc>
        <w:tc>
          <w:tcPr>
            <w:tcW w:w="1085" w:type="dxa"/>
            <w:tcBorders>
              <w:top w:val="single" w:sz="4" w:space="0" w:color="ED7D31" w:themeColor="accent2"/>
              <w:left w:val="nil"/>
              <w:right w:val="nil"/>
            </w:tcBorders>
            <w:shd w:val="clear" w:color="auto" w:fill="auto"/>
            <w:noWrap/>
            <w:vAlign w:val="bottom"/>
            <w:hideMark/>
          </w:tcPr>
          <w:p w14:paraId="4E3BEE7A"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-1.135***</w:t>
            </w:r>
          </w:p>
        </w:tc>
        <w:tc>
          <w:tcPr>
            <w:tcW w:w="1271" w:type="dxa"/>
            <w:tcBorders>
              <w:top w:val="single" w:sz="4" w:space="0" w:color="ED7D31" w:themeColor="accent2"/>
              <w:left w:val="nil"/>
              <w:right w:val="nil"/>
            </w:tcBorders>
            <w:shd w:val="clear" w:color="auto" w:fill="auto"/>
            <w:noWrap/>
            <w:vAlign w:val="bottom"/>
            <w:hideMark/>
          </w:tcPr>
          <w:p w14:paraId="6C38AC3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-2.144***</w:t>
            </w:r>
          </w:p>
        </w:tc>
        <w:tc>
          <w:tcPr>
            <w:tcW w:w="1373" w:type="dxa"/>
            <w:tcBorders>
              <w:top w:val="single" w:sz="4" w:space="0" w:color="ED7D31" w:themeColor="accent2"/>
              <w:left w:val="nil"/>
              <w:right w:val="nil"/>
            </w:tcBorders>
            <w:shd w:val="clear" w:color="auto" w:fill="auto"/>
            <w:noWrap/>
            <w:vAlign w:val="bottom"/>
            <w:hideMark/>
          </w:tcPr>
          <w:p w14:paraId="55348BE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-2.368***</w:t>
            </w:r>
          </w:p>
        </w:tc>
        <w:tc>
          <w:tcPr>
            <w:tcW w:w="1037" w:type="dxa"/>
            <w:tcBorders>
              <w:top w:val="single" w:sz="4" w:space="0" w:color="ED7D31" w:themeColor="accent2"/>
              <w:left w:val="nil"/>
              <w:right w:val="nil"/>
            </w:tcBorders>
            <w:shd w:val="clear" w:color="auto" w:fill="auto"/>
            <w:noWrap/>
            <w:vAlign w:val="bottom"/>
            <w:hideMark/>
          </w:tcPr>
          <w:p w14:paraId="5BE824E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-1.164*</w:t>
            </w:r>
          </w:p>
        </w:tc>
        <w:tc>
          <w:tcPr>
            <w:tcW w:w="960" w:type="dxa"/>
            <w:tcBorders>
              <w:top w:val="single" w:sz="4" w:space="0" w:color="ED7D31" w:themeColor="accent2"/>
              <w:left w:val="nil"/>
              <w:right w:val="nil"/>
            </w:tcBorders>
            <w:shd w:val="clear" w:color="auto" w:fill="auto"/>
            <w:noWrap/>
            <w:vAlign w:val="bottom"/>
            <w:hideMark/>
          </w:tcPr>
          <w:p w14:paraId="73DCF27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-1.267</w:t>
            </w:r>
          </w:p>
        </w:tc>
      </w:tr>
      <w:tr w:rsidR="00244248" w:rsidRPr="00611FD3" w14:paraId="7AB61D73" w14:textId="77777777" w:rsidTr="00214A11">
        <w:trPr>
          <w:trHeight w:hRule="exact" w:val="283"/>
        </w:trPr>
        <w:tc>
          <w:tcPr>
            <w:tcW w:w="2520" w:type="dxa"/>
            <w:tcBorders>
              <w:top w:val="nil"/>
              <w:left w:val="nil"/>
              <w:bottom w:val="single" w:sz="4" w:space="0" w:color="ED7D31" w:themeColor="accent2"/>
              <w:right w:val="nil"/>
            </w:tcBorders>
            <w:shd w:val="clear" w:color="auto" w:fill="auto"/>
            <w:noWrap/>
            <w:vAlign w:val="bottom"/>
            <w:hideMark/>
          </w:tcPr>
          <w:p w14:paraId="44039A5E" w14:textId="77777777" w:rsidR="00244248" w:rsidRPr="00611FD3" w:rsidRDefault="00244248" w:rsidP="00335B25">
            <w:pPr>
              <w:rPr>
                <w:rFonts w:asciiTheme="majorHAnsi" w:eastAsia="Times New Roman" w:hAnsiTheme="majorHAnsi" w:cstheme="majorHAnsi"/>
                <w:color w:val="000000"/>
                <w:sz w:val="20"/>
                <w:szCs w:val="20"/>
                <w:lang w:eastAsia="en-AU"/>
              </w:rPr>
            </w:pPr>
          </w:p>
        </w:tc>
        <w:tc>
          <w:tcPr>
            <w:tcW w:w="1166" w:type="dxa"/>
            <w:tcBorders>
              <w:top w:val="nil"/>
              <w:left w:val="nil"/>
              <w:bottom w:val="single" w:sz="4" w:space="0" w:color="ED7D31" w:themeColor="accent2"/>
              <w:right w:val="nil"/>
            </w:tcBorders>
            <w:shd w:val="clear" w:color="auto" w:fill="auto"/>
            <w:noWrap/>
            <w:vAlign w:val="bottom"/>
            <w:hideMark/>
          </w:tcPr>
          <w:p w14:paraId="5945EC54"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(0.302)</w:t>
            </w:r>
          </w:p>
        </w:tc>
        <w:tc>
          <w:tcPr>
            <w:tcW w:w="1134" w:type="dxa"/>
            <w:tcBorders>
              <w:top w:val="nil"/>
              <w:left w:val="nil"/>
              <w:bottom w:val="single" w:sz="4" w:space="0" w:color="ED7D31" w:themeColor="accent2"/>
              <w:right w:val="nil"/>
            </w:tcBorders>
            <w:shd w:val="clear" w:color="auto" w:fill="auto"/>
            <w:noWrap/>
            <w:vAlign w:val="bottom"/>
            <w:hideMark/>
          </w:tcPr>
          <w:p w14:paraId="6A8826B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(0.331)</w:t>
            </w:r>
          </w:p>
        </w:tc>
        <w:tc>
          <w:tcPr>
            <w:tcW w:w="960" w:type="dxa"/>
            <w:tcBorders>
              <w:top w:val="nil"/>
              <w:left w:val="nil"/>
              <w:bottom w:val="single" w:sz="4" w:space="0" w:color="ED7D31" w:themeColor="accent2"/>
              <w:right w:val="nil"/>
            </w:tcBorders>
            <w:shd w:val="clear" w:color="auto" w:fill="auto"/>
            <w:noWrap/>
            <w:vAlign w:val="bottom"/>
            <w:hideMark/>
          </w:tcPr>
          <w:p w14:paraId="0442DA6F"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(0.283)</w:t>
            </w:r>
          </w:p>
        </w:tc>
        <w:tc>
          <w:tcPr>
            <w:tcW w:w="1101" w:type="dxa"/>
            <w:tcBorders>
              <w:top w:val="nil"/>
              <w:left w:val="nil"/>
              <w:bottom w:val="single" w:sz="4" w:space="0" w:color="ED7D31" w:themeColor="accent2"/>
              <w:right w:val="nil"/>
            </w:tcBorders>
            <w:shd w:val="clear" w:color="auto" w:fill="auto"/>
            <w:noWrap/>
            <w:vAlign w:val="bottom"/>
            <w:hideMark/>
          </w:tcPr>
          <w:p w14:paraId="13C28987"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(0.302)</w:t>
            </w:r>
          </w:p>
        </w:tc>
        <w:tc>
          <w:tcPr>
            <w:tcW w:w="1188" w:type="dxa"/>
            <w:tcBorders>
              <w:top w:val="nil"/>
              <w:left w:val="nil"/>
              <w:bottom w:val="single" w:sz="4" w:space="0" w:color="ED7D31" w:themeColor="accent2"/>
              <w:right w:val="nil"/>
            </w:tcBorders>
            <w:shd w:val="clear" w:color="auto" w:fill="auto"/>
            <w:noWrap/>
            <w:vAlign w:val="bottom"/>
            <w:hideMark/>
          </w:tcPr>
          <w:p w14:paraId="2922B22C"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(0.330)</w:t>
            </w:r>
          </w:p>
        </w:tc>
        <w:tc>
          <w:tcPr>
            <w:tcW w:w="1085" w:type="dxa"/>
            <w:tcBorders>
              <w:top w:val="nil"/>
              <w:left w:val="nil"/>
              <w:bottom w:val="single" w:sz="4" w:space="0" w:color="ED7D31" w:themeColor="accent2"/>
              <w:right w:val="nil"/>
            </w:tcBorders>
            <w:shd w:val="clear" w:color="auto" w:fill="auto"/>
            <w:noWrap/>
            <w:vAlign w:val="bottom"/>
            <w:hideMark/>
          </w:tcPr>
          <w:p w14:paraId="331A0951"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(0.341)</w:t>
            </w:r>
          </w:p>
        </w:tc>
        <w:tc>
          <w:tcPr>
            <w:tcW w:w="1271" w:type="dxa"/>
            <w:tcBorders>
              <w:top w:val="nil"/>
              <w:left w:val="nil"/>
              <w:bottom w:val="single" w:sz="4" w:space="0" w:color="ED7D31" w:themeColor="accent2"/>
              <w:right w:val="nil"/>
            </w:tcBorders>
            <w:shd w:val="clear" w:color="auto" w:fill="auto"/>
            <w:noWrap/>
            <w:vAlign w:val="bottom"/>
            <w:hideMark/>
          </w:tcPr>
          <w:p w14:paraId="08E43F45"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(0.398)</w:t>
            </w:r>
          </w:p>
        </w:tc>
        <w:tc>
          <w:tcPr>
            <w:tcW w:w="1373" w:type="dxa"/>
            <w:tcBorders>
              <w:top w:val="nil"/>
              <w:left w:val="nil"/>
              <w:bottom w:val="single" w:sz="4" w:space="0" w:color="ED7D31" w:themeColor="accent2"/>
              <w:right w:val="nil"/>
            </w:tcBorders>
            <w:shd w:val="clear" w:color="auto" w:fill="auto"/>
            <w:noWrap/>
            <w:vAlign w:val="bottom"/>
            <w:hideMark/>
          </w:tcPr>
          <w:p w14:paraId="375C018D"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(0.425)</w:t>
            </w:r>
          </w:p>
        </w:tc>
        <w:tc>
          <w:tcPr>
            <w:tcW w:w="1037" w:type="dxa"/>
            <w:tcBorders>
              <w:top w:val="nil"/>
              <w:left w:val="nil"/>
              <w:bottom w:val="single" w:sz="4" w:space="0" w:color="ED7D31" w:themeColor="accent2"/>
              <w:right w:val="nil"/>
            </w:tcBorders>
            <w:shd w:val="clear" w:color="auto" w:fill="auto"/>
            <w:noWrap/>
            <w:vAlign w:val="bottom"/>
            <w:hideMark/>
          </w:tcPr>
          <w:p w14:paraId="5FB43CA3"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(0.646)</w:t>
            </w:r>
          </w:p>
        </w:tc>
        <w:tc>
          <w:tcPr>
            <w:tcW w:w="960" w:type="dxa"/>
            <w:tcBorders>
              <w:top w:val="nil"/>
              <w:left w:val="nil"/>
              <w:bottom w:val="single" w:sz="4" w:space="0" w:color="ED7D31" w:themeColor="accent2"/>
              <w:right w:val="nil"/>
            </w:tcBorders>
            <w:shd w:val="clear" w:color="auto" w:fill="auto"/>
            <w:noWrap/>
            <w:vAlign w:val="bottom"/>
            <w:hideMark/>
          </w:tcPr>
          <w:p w14:paraId="20871ED2" w14:textId="77777777" w:rsidR="00244248" w:rsidRPr="00611FD3" w:rsidRDefault="00244248" w:rsidP="00335B25">
            <w:pPr>
              <w:rPr>
                <w:rFonts w:asciiTheme="majorHAnsi" w:eastAsia="Times New Roman" w:hAnsiTheme="majorHAnsi" w:cstheme="majorHAnsi"/>
                <w:color w:val="808080"/>
                <w:sz w:val="20"/>
                <w:szCs w:val="20"/>
                <w:lang w:eastAsia="en-AU"/>
              </w:rPr>
            </w:pPr>
            <w:r w:rsidRPr="00611FD3">
              <w:rPr>
                <w:rFonts w:asciiTheme="majorHAnsi" w:eastAsia="Times New Roman" w:hAnsiTheme="majorHAnsi" w:cstheme="majorHAnsi"/>
                <w:color w:val="808080"/>
                <w:sz w:val="20"/>
                <w:szCs w:val="20"/>
                <w:lang w:eastAsia="en-AU"/>
              </w:rPr>
              <w:t>(1.108)</w:t>
            </w:r>
          </w:p>
        </w:tc>
      </w:tr>
      <w:tr w:rsidR="00244248" w:rsidRPr="00611FD3" w14:paraId="67BDB1A0" w14:textId="77777777" w:rsidTr="00214A11">
        <w:trPr>
          <w:trHeight w:hRule="exact" w:val="283"/>
        </w:trPr>
        <w:tc>
          <w:tcPr>
            <w:tcW w:w="2520" w:type="dxa"/>
            <w:tcBorders>
              <w:top w:val="single" w:sz="4" w:space="0" w:color="ED7D31" w:themeColor="accent2"/>
              <w:left w:val="nil"/>
              <w:bottom w:val="single" w:sz="4" w:space="0" w:color="ED7D31" w:themeColor="accent2"/>
              <w:right w:val="nil"/>
            </w:tcBorders>
            <w:shd w:val="clear" w:color="auto" w:fill="auto"/>
            <w:noWrap/>
            <w:vAlign w:val="bottom"/>
            <w:hideMark/>
          </w:tcPr>
          <w:p w14:paraId="3794C9B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N</w:t>
            </w:r>
          </w:p>
        </w:tc>
        <w:tc>
          <w:tcPr>
            <w:tcW w:w="1166" w:type="dxa"/>
            <w:tcBorders>
              <w:top w:val="single" w:sz="4" w:space="0" w:color="ED7D31" w:themeColor="accent2"/>
              <w:left w:val="nil"/>
              <w:bottom w:val="single" w:sz="4" w:space="0" w:color="ED7D31" w:themeColor="accent2"/>
              <w:right w:val="nil"/>
            </w:tcBorders>
            <w:shd w:val="clear" w:color="auto" w:fill="auto"/>
            <w:noWrap/>
            <w:vAlign w:val="bottom"/>
            <w:hideMark/>
          </w:tcPr>
          <w:p w14:paraId="620ABADB"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990</w:t>
            </w:r>
          </w:p>
        </w:tc>
        <w:tc>
          <w:tcPr>
            <w:tcW w:w="1134" w:type="dxa"/>
            <w:tcBorders>
              <w:top w:val="single" w:sz="4" w:space="0" w:color="ED7D31" w:themeColor="accent2"/>
              <w:left w:val="nil"/>
              <w:bottom w:val="single" w:sz="4" w:space="0" w:color="ED7D31" w:themeColor="accent2"/>
              <w:right w:val="nil"/>
            </w:tcBorders>
            <w:shd w:val="clear" w:color="auto" w:fill="auto"/>
            <w:noWrap/>
            <w:vAlign w:val="bottom"/>
            <w:hideMark/>
          </w:tcPr>
          <w:p w14:paraId="50AF53C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993</w:t>
            </w:r>
          </w:p>
        </w:tc>
        <w:tc>
          <w:tcPr>
            <w:tcW w:w="960" w:type="dxa"/>
            <w:tcBorders>
              <w:top w:val="single" w:sz="4" w:space="0" w:color="ED7D31" w:themeColor="accent2"/>
              <w:left w:val="nil"/>
              <w:bottom w:val="single" w:sz="4" w:space="0" w:color="ED7D31" w:themeColor="accent2"/>
              <w:right w:val="nil"/>
            </w:tcBorders>
            <w:shd w:val="clear" w:color="auto" w:fill="auto"/>
            <w:noWrap/>
            <w:vAlign w:val="bottom"/>
            <w:hideMark/>
          </w:tcPr>
          <w:p w14:paraId="712EBD0E"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992</w:t>
            </w:r>
          </w:p>
        </w:tc>
        <w:tc>
          <w:tcPr>
            <w:tcW w:w="1101" w:type="dxa"/>
            <w:tcBorders>
              <w:top w:val="single" w:sz="4" w:space="0" w:color="ED7D31" w:themeColor="accent2"/>
              <w:left w:val="nil"/>
              <w:bottom w:val="single" w:sz="4" w:space="0" w:color="ED7D31" w:themeColor="accent2"/>
              <w:right w:val="nil"/>
            </w:tcBorders>
            <w:shd w:val="clear" w:color="auto" w:fill="auto"/>
            <w:noWrap/>
            <w:vAlign w:val="bottom"/>
            <w:hideMark/>
          </w:tcPr>
          <w:p w14:paraId="2917BD4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993</w:t>
            </w:r>
          </w:p>
        </w:tc>
        <w:tc>
          <w:tcPr>
            <w:tcW w:w="1188" w:type="dxa"/>
            <w:tcBorders>
              <w:top w:val="single" w:sz="4" w:space="0" w:color="ED7D31" w:themeColor="accent2"/>
              <w:left w:val="nil"/>
              <w:bottom w:val="single" w:sz="4" w:space="0" w:color="ED7D31" w:themeColor="accent2"/>
              <w:right w:val="nil"/>
            </w:tcBorders>
            <w:shd w:val="clear" w:color="auto" w:fill="auto"/>
            <w:noWrap/>
            <w:vAlign w:val="bottom"/>
            <w:hideMark/>
          </w:tcPr>
          <w:p w14:paraId="0EC4CB39"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993</w:t>
            </w:r>
          </w:p>
        </w:tc>
        <w:tc>
          <w:tcPr>
            <w:tcW w:w="1085" w:type="dxa"/>
            <w:tcBorders>
              <w:top w:val="single" w:sz="4" w:space="0" w:color="ED7D31" w:themeColor="accent2"/>
              <w:left w:val="nil"/>
              <w:bottom w:val="single" w:sz="4" w:space="0" w:color="ED7D31" w:themeColor="accent2"/>
              <w:right w:val="nil"/>
            </w:tcBorders>
            <w:shd w:val="clear" w:color="auto" w:fill="auto"/>
            <w:noWrap/>
            <w:vAlign w:val="bottom"/>
            <w:hideMark/>
          </w:tcPr>
          <w:p w14:paraId="2EB5044D"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994</w:t>
            </w:r>
          </w:p>
        </w:tc>
        <w:tc>
          <w:tcPr>
            <w:tcW w:w="1271" w:type="dxa"/>
            <w:tcBorders>
              <w:top w:val="single" w:sz="4" w:space="0" w:color="ED7D31" w:themeColor="accent2"/>
              <w:left w:val="nil"/>
              <w:bottom w:val="single" w:sz="4" w:space="0" w:color="ED7D31" w:themeColor="accent2"/>
              <w:right w:val="nil"/>
            </w:tcBorders>
            <w:shd w:val="clear" w:color="auto" w:fill="auto"/>
            <w:noWrap/>
            <w:vAlign w:val="bottom"/>
            <w:hideMark/>
          </w:tcPr>
          <w:p w14:paraId="7172D975"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992</w:t>
            </w:r>
          </w:p>
        </w:tc>
        <w:tc>
          <w:tcPr>
            <w:tcW w:w="1373" w:type="dxa"/>
            <w:tcBorders>
              <w:top w:val="single" w:sz="4" w:space="0" w:color="ED7D31" w:themeColor="accent2"/>
              <w:left w:val="nil"/>
              <w:bottom w:val="single" w:sz="4" w:space="0" w:color="ED7D31" w:themeColor="accent2"/>
              <w:right w:val="nil"/>
            </w:tcBorders>
            <w:shd w:val="clear" w:color="auto" w:fill="auto"/>
            <w:noWrap/>
            <w:vAlign w:val="bottom"/>
            <w:hideMark/>
          </w:tcPr>
          <w:p w14:paraId="5E0D5563"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987</w:t>
            </w:r>
          </w:p>
        </w:tc>
        <w:tc>
          <w:tcPr>
            <w:tcW w:w="1037" w:type="dxa"/>
            <w:tcBorders>
              <w:top w:val="single" w:sz="4" w:space="0" w:color="ED7D31" w:themeColor="accent2"/>
              <w:left w:val="nil"/>
              <w:bottom w:val="single" w:sz="4" w:space="0" w:color="ED7D31" w:themeColor="accent2"/>
              <w:right w:val="nil"/>
            </w:tcBorders>
            <w:shd w:val="clear" w:color="auto" w:fill="auto"/>
            <w:noWrap/>
            <w:vAlign w:val="bottom"/>
            <w:hideMark/>
          </w:tcPr>
          <w:p w14:paraId="4091A8C8"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461</w:t>
            </w:r>
          </w:p>
        </w:tc>
        <w:tc>
          <w:tcPr>
            <w:tcW w:w="960" w:type="dxa"/>
            <w:tcBorders>
              <w:top w:val="single" w:sz="4" w:space="0" w:color="ED7D31" w:themeColor="accent2"/>
              <w:left w:val="nil"/>
              <w:bottom w:val="single" w:sz="4" w:space="0" w:color="ED7D31" w:themeColor="accent2"/>
              <w:right w:val="nil"/>
            </w:tcBorders>
            <w:shd w:val="clear" w:color="auto" w:fill="auto"/>
            <w:noWrap/>
            <w:vAlign w:val="bottom"/>
            <w:hideMark/>
          </w:tcPr>
          <w:p w14:paraId="2F04D720" w14:textId="77777777" w:rsidR="00244248" w:rsidRPr="00611FD3" w:rsidRDefault="00244248" w:rsidP="00335B25">
            <w:pPr>
              <w:rPr>
                <w:rFonts w:asciiTheme="majorHAnsi" w:eastAsia="Times New Roman" w:hAnsiTheme="majorHAnsi" w:cstheme="majorHAnsi"/>
                <w:color w:val="000000"/>
                <w:sz w:val="20"/>
                <w:szCs w:val="20"/>
                <w:lang w:eastAsia="en-AU"/>
              </w:rPr>
            </w:pPr>
            <w:r w:rsidRPr="00611FD3">
              <w:rPr>
                <w:rFonts w:asciiTheme="majorHAnsi" w:eastAsia="Times New Roman" w:hAnsiTheme="majorHAnsi" w:cstheme="majorHAnsi"/>
                <w:color w:val="000000"/>
                <w:sz w:val="20"/>
                <w:szCs w:val="20"/>
                <w:lang w:eastAsia="en-AU"/>
              </w:rPr>
              <w:t>461</w:t>
            </w:r>
          </w:p>
        </w:tc>
      </w:tr>
    </w:tbl>
    <w:p w14:paraId="023B9EF6" w14:textId="6061C7C8" w:rsidR="00244248" w:rsidRPr="002A688F" w:rsidRDefault="00244248" w:rsidP="00214A11">
      <w:pPr>
        <w:spacing w:after="120"/>
        <w:jc w:val="both"/>
        <w:rPr>
          <w:sz w:val="20"/>
          <w:szCs w:val="20"/>
        </w:rPr>
        <w:sectPr w:rsidR="00244248" w:rsidRPr="002A688F" w:rsidSect="00335B25">
          <w:pgSz w:w="16840" w:h="11900" w:orient="landscape"/>
          <w:pgMar w:top="1440" w:right="1440" w:bottom="1440" w:left="1440" w:header="708" w:footer="708" w:gutter="0"/>
          <w:cols w:space="708"/>
          <w:docGrid w:linePitch="360"/>
        </w:sectPr>
      </w:pPr>
      <w:r w:rsidRPr="00214A11">
        <w:rPr>
          <w:rFonts w:asciiTheme="majorHAnsi" w:hAnsiTheme="majorHAnsi" w:cstheme="majorHAnsi"/>
          <w:sz w:val="18"/>
          <w:szCs w:val="18"/>
        </w:rPr>
        <w:t>Note: * p&lt;0.1, ** p&lt;0.05, *** p&lt;0.01</w:t>
      </w:r>
      <w:r>
        <w:rPr>
          <w:sz w:val="20"/>
          <w:szCs w:val="20"/>
        </w:rPr>
        <w:tab/>
      </w:r>
    </w:p>
    <w:p w14:paraId="2040ADC9" w14:textId="77777777" w:rsidR="00244248" w:rsidRDefault="00244248" w:rsidP="00244248">
      <w:pPr>
        <w:pStyle w:val="Heading2"/>
        <w:numPr>
          <w:ilvl w:val="1"/>
          <w:numId w:val="37"/>
        </w:numPr>
        <w:ind w:left="0" w:firstLine="0"/>
      </w:pPr>
      <w:bookmarkStart w:id="243" w:name="_Toc87454675"/>
      <w:bookmarkStart w:id="244" w:name="_Toc98404997"/>
      <w:r w:rsidRPr="002469DC">
        <w:lastRenderedPageBreak/>
        <w:t>Views on general population issues and related policy</w:t>
      </w:r>
      <w:bookmarkEnd w:id="243"/>
      <w:bookmarkEnd w:id="244"/>
    </w:p>
    <w:p w14:paraId="6C57C531" w14:textId="758CDDF9" w:rsidR="00244248" w:rsidRPr="00127034" w:rsidRDefault="00244248" w:rsidP="00244248">
      <w:r>
        <w:t xml:space="preserve">The preceding questions on personal future fertility preferences were asked of respondents aged 18-44. A set of more general questions regarding views on Australia’s population size, as well as opinions about paid parental leave and </w:t>
      </w:r>
      <w:r w:rsidR="008D52A6">
        <w:t>child care</w:t>
      </w:r>
      <w:r>
        <w:t xml:space="preserve"> were asked of the whole sample. These questions are analysed below.</w:t>
      </w:r>
    </w:p>
    <w:p w14:paraId="4F5FD729" w14:textId="77777777" w:rsidR="00244248" w:rsidRPr="0076536C" w:rsidRDefault="00244248" w:rsidP="0076536C">
      <w:pPr>
        <w:rPr>
          <w:color w:val="1F4E79" w:themeColor="accent1" w:themeShade="80"/>
        </w:rPr>
      </w:pPr>
      <w:r w:rsidRPr="0076536C">
        <w:rPr>
          <w:color w:val="1F4E79" w:themeColor="accent1" w:themeShade="80"/>
        </w:rPr>
        <w:t>Population size</w:t>
      </w:r>
    </w:p>
    <w:p w14:paraId="2ACE2294" w14:textId="77777777" w:rsidR="00244248" w:rsidRDefault="00244248" w:rsidP="00244248">
      <w:pPr>
        <w:spacing w:after="120"/>
        <w:jc w:val="both"/>
      </w:pPr>
      <w:r>
        <w:t>Fertility decisions clearly impact on the lives of individuals and their families. However, fertility decisions (alongside mortality rates and net migration) also influence population growth, at least over the long term. In the August 2021 survey, all respondents were asked ‘</w:t>
      </w:r>
      <w:r w:rsidRPr="008131EE">
        <w:rPr>
          <w:i/>
          <w:iCs/>
        </w:rPr>
        <w:t>The Australian population is now a little under 26 million. Do you think Australia needs more people?</w:t>
      </w:r>
      <w:r>
        <w:t>’ This question was also asked in January 2021, as well as twice prior to COVID-19. It would appear that there has been a general increase in the per cent of Australians that were supportive of more rapid population growth during the COVID-19 period. In August 2021, 37 per cent of Australians thought that Australia needed more people, up from 34 per cent in January 2021 and 30 per cent in November 2018. Support still has not returned to the 46 per cent level observed in 2010, but is much higher than immediately prior to the pandemic.</w:t>
      </w:r>
    </w:p>
    <w:p w14:paraId="411143B5" w14:textId="57C7843B" w:rsidR="00244248" w:rsidRDefault="00244248" w:rsidP="00244248">
      <w:pPr>
        <w:spacing w:after="120"/>
        <w:jc w:val="both"/>
      </w:pPr>
      <w:r>
        <w:t>Views on the population size also vary according to people’s characteristics, as seen in</w:t>
      </w:r>
      <w:r w:rsidR="000D5997">
        <w:t xml:space="preserve"> </w:t>
      </w:r>
      <w:r w:rsidR="000D5997">
        <w:fldChar w:fldCharType="begin"/>
      </w:r>
      <w:r w:rsidR="000D5997">
        <w:instrText xml:space="preserve"> REF _Ref85784587 \h </w:instrText>
      </w:r>
      <w:r w:rsidR="000D5997">
        <w:fldChar w:fldCharType="separate"/>
      </w:r>
      <w:r w:rsidR="00115E22">
        <w:t xml:space="preserve">Table </w:t>
      </w:r>
      <w:r w:rsidR="00115E22">
        <w:rPr>
          <w:noProof/>
        </w:rPr>
        <w:t>46</w:t>
      </w:r>
      <w:r w:rsidR="000D5997">
        <w:fldChar w:fldCharType="end"/>
      </w:r>
      <w:r>
        <w:t>. Men were more likely than women to feel that Australia needed a larger population. There were no major differences by age group, however there was a clear differentiation by highest education level. Those with higher levels of education were more likely to agree that Australia’s population needed to increase. For example 46% of those with a postgraduate degree felt that Australia needs more people, compared to 32% of those with Year 12 or below education.</w:t>
      </w:r>
    </w:p>
    <w:p w14:paraId="3B6F9433" w14:textId="5ACB486D" w:rsidR="00244248" w:rsidRDefault="00244248" w:rsidP="00244248">
      <w:pPr>
        <w:pStyle w:val="Caption"/>
        <w:keepNext/>
      </w:pPr>
      <w:bookmarkStart w:id="245" w:name="_Ref85784587"/>
      <w:r>
        <w:t xml:space="preserve">Table </w:t>
      </w:r>
      <w:fldSimple w:instr=" SEQ Table \* ARABIC ">
        <w:r w:rsidR="00115E22">
          <w:rPr>
            <w:noProof/>
          </w:rPr>
          <w:t>46</w:t>
        </w:r>
      </w:fldSimple>
      <w:bookmarkEnd w:id="245"/>
      <w:r>
        <w:t xml:space="preserve"> </w:t>
      </w:r>
      <w:r w:rsidRPr="000C0534">
        <w:t>Do you think Australia needs more people?</w:t>
      </w:r>
      <w:r>
        <w:t xml:space="preserve"> Row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993"/>
        <w:gridCol w:w="850"/>
        <w:gridCol w:w="1139"/>
        <w:gridCol w:w="1016"/>
      </w:tblGrid>
      <w:tr w:rsidR="00244248" w:rsidRPr="00FB5768" w14:paraId="4E30A3DF" w14:textId="77777777" w:rsidTr="00335B25">
        <w:trPr>
          <w:trHeight w:hRule="exact" w:val="715"/>
        </w:trPr>
        <w:tc>
          <w:tcPr>
            <w:tcW w:w="2830" w:type="dxa"/>
            <w:tcBorders>
              <w:bottom w:val="single" w:sz="4" w:space="0" w:color="ED7D31" w:themeColor="accent2"/>
            </w:tcBorders>
            <w:shd w:val="clear" w:color="auto" w:fill="FBE4D5" w:themeFill="accent2" w:themeFillTint="33"/>
          </w:tcPr>
          <w:p w14:paraId="42953AB9" w14:textId="77777777" w:rsidR="00244248" w:rsidRPr="00FB5768" w:rsidRDefault="00244248" w:rsidP="00335B25">
            <w:pPr>
              <w:jc w:val="both"/>
              <w:rPr>
                <w:rFonts w:asciiTheme="majorHAnsi" w:hAnsiTheme="majorHAnsi" w:cstheme="majorHAnsi"/>
                <w:sz w:val="20"/>
                <w:szCs w:val="20"/>
              </w:rPr>
            </w:pPr>
          </w:p>
        </w:tc>
        <w:tc>
          <w:tcPr>
            <w:tcW w:w="993" w:type="dxa"/>
            <w:tcBorders>
              <w:bottom w:val="single" w:sz="4" w:space="0" w:color="ED7D31" w:themeColor="accent2"/>
            </w:tcBorders>
            <w:shd w:val="clear" w:color="auto" w:fill="FBE4D5" w:themeFill="accent2" w:themeFillTint="33"/>
          </w:tcPr>
          <w:p w14:paraId="71FAAF02" w14:textId="77777777" w:rsidR="00244248" w:rsidRPr="00FB5768" w:rsidRDefault="00244248" w:rsidP="00335B25">
            <w:pPr>
              <w:jc w:val="both"/>
              <w:rPr>
                <w:rFonts w:asciiTheme="majorHAnsi" w:hAnsiTheme="majorHAnsi" w:cstheme="majorHAnsi"/>
                <w:sz w:val="20"/>
                <w:szCs w:val="20"/>
              </w:rPr>
            </w:pPr>
            <w:r w:rsidRPr="00FB5768">
              <w:rPr>
                <w:rFonts w:asciiTheme="majorHAnsi" w:hAnsiTheme="majorHAnsi" w:cstheme="majorHAnsi"/>
                <w:sz w:val="20"/>
                <w:szCs w:val="20"/>
              </w:rPr>
              <w:t>Yes</w:t>
            </w:r>
            <w:r>
              <w:rPr>
                <w:rFonts w:asciiTheme="majorHAnsi" w:hAnsiTheme="majorHAnsi" w:cstheme="majorHAnsi"/>
                <w:sz w:val="20"/>
                <w:szCs w:val="20"/>
              </w:rPr>
              <w:t xml:space="preserve"> %</w:t>
            </w:r>
          </w:p>
        </w:tc>
        <w:tc>
          <w:tcPr>
            <w:tcW w:w="850" w:type="dxa"/>
            <w:tcBorders>
              <w:bottom w:val="single" w:sz="4" w:space="0" w:color="ED7D31" w:themeColor="accent2"/>
            </w:tcBorders>
            <w:shd w:val="clear" w:color="auto" w:fill="FBE4D5" w:themeFill="accent2" w:themeFillTint="33"/>
          </w:tcPr>
          <w:p w14:paraId="3918DDD5" w14:textId="77777777" w:rsidR="00244248" w:rsidRPr="00FB5768" w:rsidRDefault="00244248" w:rsidP="00335B25">
            <w:pPr>
              <w:jc w:val="both"/>
              <w:rPr>
                <w:rFonts w:asciiTheme="majorHAnsi" w:hAnsiTheme="majorHAnsi" w:cstheme="majorHAnsi"/>
                <w:sz w:val="20"/>
                <w:szCs w:val="20"/>
              </w:rPr>
            </w:pPr>
            <w:r w:rsidRPr="00FB5768">
              <w:rPr>
                <w:rFonts w:asciiTheme="majorHAnsi" w:hAnsiTheme="majorHAnsi" w:cstheme="majorHAnsi"/>
                <w:sz w:val="20"/>
                <w:szCs w:val="20"/>
              </w:rPr>
              <w:t>No</w:t>
            </w:r>
            <w:r>
              <w:rPr>
                <w:rFonts w:asciiTheme="majorHAnsi" w:hAnsiTheme="majorHAnsi" w:cstheme="majorHAnsi"/>
                <w:sz w:val="20"/>
                <w:szCs w:val="20"/>
              </w:rPr>
              <w:t xml:space="preserve"> %</w:t>
            </w:r>
          </w:p>
        </w:tc>
        <w:tc>
          <w:tcPr>
            <w:tcW w:w="1139" w:type="dxa"/>
            <w:tcBorders>
              <w:bottom w:val="single" w:sz="4" w:space="0" w:color="ED7D31" w:themeColor="accent2"/>
            </w:tcBorders>
            <w:shd w:val="clear" w:color="auto" w:fill="FBE4D5" w:themeFill="accent2" w:themeFillTint="33"/>
          </w:tcPr>
          <w:p w14:paraId="0A0302D5" w14:textId="77777777" w:rsidR="00244248" w:rsidRDefault="00244248" w:rsidP="00335B25">
            <w:pPr>
              <w:jc w:val="both"/>
              <w:rPr>
                <w:rFonts w:asciiTheme="majorHAnsi" w:hAnsiTheme="majorHAnsi" w:cstheme="majorHAnsi"/>
                <w:sz w:val="20"/>
                <w:szCs w:val="20"/>
              </w:rPr>
            </w:pPr>
            <w:r w:rsidRPr="00FB5768">
              <w:rPr>
                <w:rFonts w:asciiTheme="majorHAnsi" w:hAnsiTheme="majorHAnsi" w:cstheme="majorHAnsi"/>
                <w:sz w:val="20"/>
                <w:szCs w:val="20"/>
              </w:rPr>
              <w:t>Don’t know/</w:t>
            </w:r>
          </w:p>
          <w:p w14:paraId="30905FAD" w14:textId="77777777" w:rsidR="00244248" w:rsidRPr="00FB5768" w:rsidRDefault="00244248" w:rsidP="00335B25">
            <w:pPr>
              <w:jc w:val="both"/>
              <w:rPr>
                <w:rFonts w:asciiTheme="majorHAnsi" w:hAnsiTheme="majorHAnsi" w:cstheme="majorHAnsi"/>
                <w:sz w:val="20"/>
                <w:szCs w:val="20"/>
              </w:rPr>
            </w:pPr>
            <w:r w:rsidRPr="00FB5768">
              <w:rPr>
                <w:rFonts w:asciiTheme="majorHAnsi" w:hAnsiTheme="majorHAnsi" w:cstheme="majorHAnsi"/>
                <w:sz w:val="20"/>
                <w:szCs w:val="20"/>
              </w:rPr>
              <w:t>refused</w:t>
            </w:r>
            <w:r>
              <w:rPr>
                <w:rFonts w:asciiTheme="majorHAnsi" w:hAnsiTheme="majorHAnsi" w:cstheme="majorHAnsi"/>
                <w:sz w:val="20"/>
                <w:szCs w:val="20"/>
              </w:rPr>
              <w:t xml:space="preserve"> %</w:t>
            </w:r>
          </w:p>
        </w:tc>
        <w:tc>
          <w:tcPr>
            <w:tcW w:w="1016" w:type="dxa"/>
            <w:tcBorders>
              <w:bottom w:val="single" w:sz="4" w:space="0" w:color="ED7D31" w:themeColor="accent2"/>
            </w:tcBorders>
            <w:shd w:val="clear" w:color="auto" w:fill="FBE4D5" w:themeFill="accent2" w:themeFillTint="33"/>
          </w:tcPr>
          <w:p w14:paraId="2DB32F77" w14:textId="77777777" w:rsidR="00244248" w:rsidRPr="00FB5768" w:rsidRDefault="00244248" w:rsidP="00335B25">
            <w:pPr>
              <w:jc w:val="both"/>
              <w:rPr>
                <w:rFonts w:asciiTheme="majorHAnsi" w:hAnsiTheme="majorHAnsi" w:cstheme="majorHAnsi"/>
                <w:sz w:val="20"/>
                <w:szCs w:val="20"/>
              </w:rPr>
            </w:pPr>
            <w:r w:rsidRPr="00FB5768">
              <w:rPr>
                <w:rFonts w:asciiTheme="majorHAnsi" w:hAnsiTheme="majorHAnsi" w:cstheme="majorHAnsi"/>
                <w:sz w:val="20"/>
                <w:szCs w:val="20"/>
              </w:rPr>
              <w:t>N</w:t>
            </w:r>
          </w:p>
        </w:tc>
      </w:tr>
      <w:tr w:rsidR="00244248" w:rsidRPr="00FB5768" w14:paraId="55F41DC2" w14:textId="77777777" w:rsidTr="00335B25">
        <w:trPr>
          <w:trHeight w:hRule="exact" w:val="283"/>
        </w:trPr>
        <w:tc>
          <w:tcPr>
            <w:tcW w:w="2830" w:type="dxa"/>
            <w:tcBorders>
              <w:top w:val="single" w:sz="4" w:space="0" w:color="ED7D31" w:themeColor="accent2"/>
            </w:tcBorders>
          </w:tcPr>
          <w:p w14:paraId="3B0B9254" w14:textId="77777777" w:rsidR="00244248" w:rsidRPr="00FB5768" w:rsidRDefault="00244248" w:rsidP="00335B25">
            <w:pPr>
              <w:spacing w:after="120"/>
              <w:jc w:val="both"/>
              <w:rPr>
                <w:rFonts w:asciiTheme="majorHAnsi" w:hAnsiTheme="majorHAnsi" w:cstheme="majorHAnsi"/>
                <w:b/>
                <w:bCs/>
                <w:sz w:val="20"/>
                <w:szCs w:val="20"/>
              </w:rPr>
            </w:pPr>
            <w:r w:rsidRPr="00FB5768">
              <w:rPr>
                <w:rFonts w:asciiTheme="majorHAnsi" w:hAnsiTheme="majorHAnsi" w:cstheme="majorHAnsi"/>
                <w:b/>
                <w:bCs/>
                <w:sz w:val="20"/>
                <w:szCs w:val="20"/>
              </w:rPr>
              <w:t>Sex</w:t>
            </w:r>
          </w:p>
        </w:tc>
        <w:tc>
          <w:tcPr>
            <w:tcW w:w="993" w:type="dxa"/>
            <w:tcBorders>
              <w:top w:val="single" w:sz="4" w:space="0" w:color="ED7D31" w:themeColor="accent2"/>
            </w:tcBorders>
          </w:tcPr>
          <w:p w14:paraId="45F98512" w14:textId="77777777" w:rsidR="00244248" w:rsidRPr="00FB5768" w:rsidRDefault="00244248" w:rsidP="00335B25">
            <w:pPr>
              <w:spacing w:after="120"/>
              <w:jc w:val="both"/>
              <w:rPr>
                <w:rFonts w:asciiTheme="majorHAnsi" w:hAnsiTheme="majorHAnsi" w:cstheme="majorHAnsi"/>
                <w:sz w:val="20"/>
                <w:szCs w:val="20"/>
              </w:rPr>
            </w:pPr>
          </w:p>
        </w:tc>
        <w:tc>
          <w:tcPr>
            <w:tcW w:w="850" w:type="dxa"/>
            <w:tcBorders>
              <w:top w:val="single" w:sz="4" w:space="0" w:color="ED7D31" w:themeColor="accent2"/>
            </w:tcBorders>
          </w:tcPr>
          <w:p w14:paraId="1072D43D" w14:textId="77777777" w:rsidR="00244248" w:rsidRPr="00FB5768" w:rsidRDefault="00244248" w:rsidP="00335B25">
            <w:pPr>
              <w:spacing w:after="120"/>
              <w:jc w:val="both"/>
              <w:rPr>
                <w:rFonts w:asciiTheme="majorHAnsi" w:hAnsiTheme="majorHAnsi" w:cstheme="majorHAnsi"/>
                <w:sz w:val="20"/>
                <w:szCs w:val="20"/>
              </w:rPr>
            </w:pPr>
          </w:p>
        </w:tc>
        <w:tc>
          <w:tcPr>
            <w:tcW w:w="1139" w:type="dxa"/>
            <w:tcBorders>
              <w:top w:val="single" w:sz="4" w:space="0" w:color="ED7D31" w:themeColor="accent2"/>
            </w:tcBorders>
          </w:tcPr>
          <w:p w14:paraId="2044F3B1" w14:textId="77777777" w:rsidR="00244248" w:rsidRPr="00FB5768" w:rsidRDefault="00244248" w:rsidP="00335B25">
            <w:pPr>
              <w:spacing w:after="120"/>
              <w:jc w:val="both"/>
              <w:rPr>
                <w:rFonts w:asciiTheme="majorHAnsi" w:hAnsiTheme="majorHAnsi" w:cstheme="majorHAnsi"/>
                <w:sz w:val="20"/>
                <w:szCs w:val="20"/>
              </w:rPr>
            </w:pPr>
          </w:p>
        </w:tc>
        <w:tc>
          <w:tcPr>
            <w:tcW w:w="1016" w:type="dxa"/>
            <w:tcBorders>
              <w:top w:val="single" w:sz="4" w:space="0" w:color="ED7D31" w:themeColor="accent2"/>
            </w:tcBorders>
          </w:tcPr>
          <w:p w14:paraId="10458460" w14:textId="77777777" w:rsidR="00244248" w:rsidRPr="00FB5768" w:rsidRDefault="00244248" w:rsidP="00335B25">
            <w:pPr>
              <w:spacing w:after="120"/>
              <w:jc w:val="both"/>
              <w:rPr>
                <w:rFonts w:asciiTheme="majorHAnsi" w:hAnsiTheme="majorHAnsi" w:cstheme="majorHAnsi"/>
                <w:sz w:val="20"/>
                <w:szCs w:val="20"/>
              </w:rPr>
            </w:pPr>
          </w:p>
        </w:tc>
      </w:tr>
      <w:tr w:rsidR="00244248" w:rsidRPr="00FB5768" w14:paraId="77D19309" w14:textId="77777777" w:rsidTr="00335B25">
        <w:trPr>
          <w:trHeight w:hRule="exact" w:val="283"/>
        </w:trPr>
        <w:tc>
          <w:tcPr>
            <w:tcW w:w="2830" w:type="dxa"/>
          </w:tcPr>
          <w:p w14:paraId="11266EE0"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Male</w:t>
            </w:r>
          </w:p>
        </w:tc>
        <w:tc>
          <w:tcPr>
            <w:tcW w:w="993" w:type="dxa"/>
          </w:tcPr>
          <w:p w14:paraId="0A784139"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42</w:t>
            </w:r>
          </w:p>
        </w:tc>
        <w:tc>
          <w:tcPr>
            <w:tcW w:w="850" w:type="dxa"/>
          </w:tcPr>
          <w:p w14:paraId="426AE3E0"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56</w:t>
            </w:r>
          </w:p>
        </w:tc>
        <w:tc>
          <w:tcPr>
            <w:tcW w:w="1139" w:type="dxa"/>
          </w:tcPr>
          <w:p w14:paraId="19B4DCBF"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2</w:t>
            </w:r>
          </w:p>
        </w:tc>
        <w:tc>
          <w:tcPr>
            <w:tcW w:w="1016" w:type="dxa"/>
          </w:tcPr>
          <w:p w14:paraId="4A855318"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1,374</w:t>
            </w:r>
          </w:p>
        </w:tc>
      </w:tr>
      <w:tr w:rsidR="00244248" w:rsidRPr="00FB5768" w14:paraId="19EDC125" w14:textId="77777777" w:rsidTr="00335B25">
        <w:trPr>
          <w:trHeight w:hRule="exact" w:val="283"/>
        </w:trPr>
        <w:tc>
          <w:tcPr>
            <w:tcW w:w="2830" w:type="dxa"/>
            <w:tcBorders>
              <w:bottom w:val="single" w:sz="4" w:space="0" w:color="ED7D31" w:themeColor="accent2"/>
            </w:tcBorders>
          </w:tcPr>
          <w:p w14:paraId="3E02BFDF"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Female</w:t>
            </w:r>
          </w:p>
        </w:tc>
        <w:tc>
          <w:tcPr>
            <w:tcW w:w="993" w:type="dxa"/>
            <w:tcBorders>
              <w:bottom w:val="single" w:sz="4" w:space="0" w:color="ED7D31" w:themeColor="accent2"/>
            </w:tcBorders>
          </w:tcPr>
          <w:p w14:paraId="0A87B4BE"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31</w:t>
            </w:r>
          </w:p>
        </w:tc>
        <w:tc>
          <w:tcPr>
            <w:tcW w:w="850" w:type="dxa"/>
            <w:tcBorders>
              <w:bottom w:val="single" w:sz="4" w:space="0" w:color="ED7D31" w:themeColor="accent2"/>
            </w:tcBorders>
          </w:tcPr>
          <w:p w14:paraId="132D91A0"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66</w:t>
            </w:r>
          </w:p>
        </w:tc>
        <w:tc>
          <w:tcPr>
            <w:tcW w:w="1139" w:type="dxa"/>
            <w:tcBorders>
              <w:bottom w:val="single" w:sz="4" w:space="0" w:color="ED7D31" w:themeColor="accent2"/>
            </w:tcBorders>
          </w:tcPr>
          <w:p w14:paraId="56386E3B"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w:t>
            </w:r>
          </w:p>
        </w:tc>
        <w:tc>
          <w:tcPr>
            <w:tcW w:w="1016" w:type="dxa"/>
            <w:tcBorders>
              <w:bottom w:val="single" w:sz="4" w:space="0" w:color="ED7D31" w:themeColor="accent2"/>
            </w:tcBorders>
          </w:tcPr>
          <w:p w14:paraId="4DE9B5BC"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1,750</w:t>
            </w:r>
          </w:p>
        </w:tc>
      </w:tr>
      <w:tr w:rsidR="00244248" w:rsidRPr="00FB5768" w14:paraId="488ADE4F" w14:textId="77777777" w:rsidTr="00335B25">
        <w:trPr>
          <w:trHeight w:hRule="exact" w:val="283"/>
        </w:trPr>
        <w:tc>
          <w:tcPr>
            <w:tcW w:w="2830" w:type="dxa"/>
            <w:tcBorders>
              <w:top w:val="single" w:sz="4" w:space="0" w:color="ED7D31" w:themeColor="accent2"/>
            </w:tcBorders>
          </w:tcPr>
          <w:p w14:paraId="511765BB" w14:textId="77777777" w:rsidR="00244248" w:rsidRPr="00FB5768" w:rsidRDefault="00244248" w:rsidP="00335B25">
            <w:pPr>
              <w:spacing w:after="120"/>
              <w:jc w:val="both"/>
              <w:rPr>
                <w:rFonts w:asciiTheme="majorHAnsi" w:hAnsiTheme="majorHAnsi" w:cstheme="majorHAnsi"/>
                <w:b/>
                <w:bCs/>
                <w:sz w:val="20"/>
                <w:szCs w:val="20"/>
              </w:rPr>
            </w:pPr>
            <w:r w:rsidRPr="00FB5768">
              <w:rPr>
                <w:rFonts w:asciiTheme="majorHAnsi" w:hAnsiTheme="majorHAnsi" w:cstheme="majorHAnsi"/>
                <w:b/>
                <w:bCs/>
                <w:sz w:val="20"/>
                <w:szCs w:val="20"/>
              </w:rPr>
              <w:t>Age group</w:t>
            </w:r>
          </w:p>
        </w:tc>
        <w:tc>
          <w:tcPr>
            <w:tcW w:w="993" w:type="dxa"/>
            <w:tcBorders>
              <w:top w:val="single" w:sz="4" w:space="0" w:color="ED7D31" w:themeColor="accent2"/>
            </w:tcBorders>
          </w:tcPr>
          <w:p w14:paraId="09A6A71B" w14:textId="77777777" w:rsidR="00244248" w:rsidRPr="00FB5768" w:rsidRDefault="00244248" w:rsidP="00335B25">
            <w:pPr>
              <w:spacing w:after="120"/>
              <w:jc w:val="both"/>
              <w:rPr>
                <w:rFonts w:asciiTheme="majorHAnsi" w:hAnsiTheme="majorHAnsi" w:cstheme="majorHAnsi"/>
                <w:sz w:val="20"/>
                <w:szCs w:val="20"/>
              </w:rPr>
            </w:pPr>
          </w:p>
        </w:tc>
        <w:tc>
          <w:tcPr>
            <w:tcW w:w="850" w:type="dxa"/>
            <w:tcBorders>
              <w:top w:val="single" w:sz="4" w:space="0" w:color="ED7D31" w:themeColor="accent2"/>
            </w:tcBorders>
          </w:tcPr>
          <w:p w14:paraId="59656710" w14:textId="77777777" w:rsidR="00244248" w:rsidRPr="00FB5768" w:rsidRDefault="00244248" w:rsidP="00335B25">
            <w:pPr>
              <w:spacing w:after="120"/>
              <w:jc w:val="both"/>
              <w:rPr>
                <w:rFonts w:asciiTheme="majorHAnsi" w:hAnsiTheme="majorHAnsi" w:cstheme="majorHAnsi"/>
                <w:sz w:val="20"/>
                <w:szCs w:val="20"/>
              </w:rPr>
            </w:pPr>
          </w:p>
        </w:tc>
        <w:tc>
          <w:tcPr>
            <w:tcW w:w="1139" w:type="dxa"/>
            <w:tcBorders>
              <w:top w:val="single" w:sz="4" w:space="0" w:color="ED7D31" w:themeColor="accent2"/>
            </w:tcBorders>
          </w:tcPr>
          <w:p w14:paraId="222FA9C1" w14:textId="77777777" w:rsidR="00244248" w:rsidRPr="00FB5768" w:rsidRDefault="00244248" w:rsidP="00335B25">
            <w:pPr>
              <w:spacing w:after="120"/>
              <w:ind w:right="240"/>
              <w:jc w:val="both"/>
              <w:rPr>
                <w:rFonts w:asciiTheme="majorHAnsi" w:hAnsiTheme="majorHAnsi" w:cstheme="majorHAnsi"/>
                <w:sz w:val="20"/>
                <w:szCs w:val="20"/>
              </w:rPr>
            </w:pPr>
          </w:p>
        </w:tc>
        <w:tc>
          <w:tcPr>
            <w:tcW w:w="1016" w:type="dxa"/>
            <w:tcBorders>
              <w:top w:val="single" w:sz="4" w:space="0" w:color="ED7D31" w:themeColor="accent2"/>
            </w:tcBorders>
          </w:tcPr>
          <w:p w14:paraId="19901BE5" w14:textId="77777777" w:rsidR="00244248" w:rsidRPr="00FB5768" w:rsidRDefault="00244248" w:rsidP="00335B25">
            <w:pPr>
              <w:spacing w:after="120"/>
              <w:jc w:val="both"/>
              <w:rPr>
                <w:rFonts w:asciiTheme="majorHAnsi" w:hAnsiTheme="majorHAnsi" w:cstheme="majorHAnsi"/>
                <w:sz w:val="20"/>
                <w:szCs w:val="20"/>
              </w:rPr>
            </w:pPr>
          </w:p>
        </w:tc>
      </w:tr>
      <w:tr w:rsidR="00244248" w:rsidRPr="00FB5768" w14:paraId="0EB639E2" w14:textId="77777777" w:rsidTr="00335B25">
        <w:trPr>
          <w:trHeight w:hRule="exact" w:val="283"/>
        </w:trPr>
        <w:tc>
          <w:tcPr>
            <w:tcW w:w="2830" w:type="dxa"/>
          </w:tcPr>
          <w:p w14:paraId="127F466F"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18-29</w:t>
            </w:r>
          </w:p>
        </w:tc>
        <w:tc>
          <w:tcPr>
            <w:tcW w:w="993" w:type="dxa"/>
          </w:tcPr>
          <w:p w14:paraId="37BDB99C"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34</w:t>
            </w:r>
          </w:p>
        </w:tc>
        <w:tc>
          <w:tcPr>
            <w:tcW w:w="850" w:type="dxa"/>
          </w:tcPr>
          <w:p w14:paraId="048672BD"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63</w:t>
            </w:r>
          </w:p>
        </w:tc>
        <w:tc>
          <w:tcPr>
            <w:tcW w:w="1139" w:type="dxa"/>
          </w:tcPr>
          <w:p w14:paraId="34EC60B4"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w:t>
            </w:r>
          </w:p>
        </w:tc>
        <w:tc>
          <w:tcPr>
            <w:tcW w:w="1016" w:type="dxa"/>
          </w:tcPr>
          <w:p w14:paraId="6B469B07"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290</w:t>
            </w:r>
          </w:p>
        </w:tc>
      </w:tr>
      <w:tr w:rsidR="00244248" w:rsidRPr="00FB5768" w14:paraId="110A354A" w14:textId="77777777" w:rsidTr="00335B25">
        <w:trPr>
          <w:trHeight w:hRule="exact" w:val="283"/>
        </w:trPr>
        <w:tc>
          <w:tcPr>
            <w:tcW w:w="2830" w:type="dxa"/>
          </w:tcPr>
          <w:p w14:paraId="7FD73A96"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30-49</w:t>
            </w:r>
          </w:p>
        </w:tc>
        <w:tc>
          <w:tcPr>
            <w:tcW w:w="993" w:type="dxa"/>
          </w:tcPr>
          <w:p w14:paraId="7EEF8220"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36</w:t>
            </w:r>
          </w:p>
        </w:tc>
        <w:tc>
          <w:tcPr>
            <w:tcW w:w="850" w:type="dxa"/>
          </w:tcPr>
          <w:p w14:paraId="45600CB9"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61</w:t>
            </w:r>
          </w:p>
        </w:tc>
        <w:tc>
          <w:tcPr>
            <w:tcW w:w="1139" w:type="dxa"/>
          </w:tcPr>
          <w:p w14:paraId="10D4DBDE"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w:t>
            </w:r>
          </w:p>
        </w:tc>
        <w:tc>
          <w:tcPr>
            <w:tcW w:w="1016" w:type="dxa"/>
          </w:tcPr>
          <w:p w14:paraId="51039223"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982</w:t>
            </w:r>
          </w:p>
        </w:tc>
      </w:tr>
      <w:tr w:rsidR="00244248" w:rsidRPr="00FB5768" w14:paraId="3C7D2274" w14:textId="77777777" w:rsidTr="00335B25">
        <w:trPr>
          <w:trHeight w:hRule="exact" w:val="283"/>
        </w:trPr>
        <w:tc>
          <w:tcPr>
            <w:tcW w:w="2830" w:type="dxa"/>
          </w:tcPr>
          <w:p w14:paraId="4FAB12ED"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50-64</w:t>
            </w:r>
          </w:p>
        </w:tc>
        <w:tc>
          <w:tcPr>
            <w:tcW w:w="993" w:type="dxa"/>
          </w:tcPr>
          <w:p w14:paraId="7101ED07"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33</w:t>
            </w:r>
          </w:p>
        </w:tc>
        <w:tc>
          <w:tcPr>
            <w:tcW w:w="850" w:type="dxa"/>
          </w:tcPr>
          <w:p w14:paraId="71EF2B10"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65</w:t>
            </w:r>
          </w:p>
        </w:tc>
        <w:tc>
          <w:tcPr>
            <w:tcW w:w="1139" w:type="dxa"/>
          </w:tcPr>
          <w:p w14:paraId="7F53F906"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2</w:t>
            </w:r>
          </w:p>
        </w:tc>
        <w:tc>
          <w:tcPr>
            <w:tcW w:w="1016" w:type="dxa"/>
          </w:tcPr>
          <w:p w14:paraId="538550E4"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880</w:t>
            </w:r>
          </w:p>
        </w:tc>
      </w:tr>
      <w:tr w:rsidR="00244248" w:rsidRPr="00FB5768" w14:paraId="2C96195E" w14:textId="77777777" w:rsidTr="00335B25">
        <w:trPr>
          <w:trHeight w:hRule="exact" w:val="283"/>
        </w:trPr>
        <w:tc>
          <w:tcPr>
            <w:tcW w:w="2830" w:type="dxa"/>
            <w:tcBorders>
              <w:bottom w:val="single" w:sz="4" w:space="0" w:color="ED7D31" w:themeColor="accent2"/>
            </w:tcBorders>
          </w:tcPr>
          <w:p w14:paraId="279F9E00"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65+</w:t>
            </w:r>
          </w:p>
        </w:tc>
        <w:tc>
          <w:tcPr>
            <w:tcW w:w="993" w:type="dxa"/>
            <w:tcBorders>
              <w:bottom w:val="single" w:sz="4" w:space="0" w:color="ED7D31" w:themeColor="accent2"/>
            </w:tcBorders>
          </w:tcPr>
          <w:p w14:paraId="317D2205"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41</w:t>
            </w:r>
          </w:p>
        </w:tc>
        <w:tc>
          <w:tcPr>
            <w:tcW w:w="850" w:type="dxa"/>
            <w:tcBorders>
              <w:bottom w:val="single" w:sz="4" w:space="0" w:color="ED7D31" w:themeColor="accent2"/>
            </w:tcBorders>
          </w:tcPr>
          <w:p w14:paraId="288EE040"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58</w:t>
            </w:r>
          </w:p>
        </w:tc>
        <w:tc>
          <w:tcPr>
            <w:tcW w:w="1139" w:type="dxa"/>
            <w:tcBorders>
              <w:bottom w:val="single" w:sz="4" w:space="0" w:color="ED7D31" w:themeColor="accent2"/>
            </w:tcBorders>
          </w:tcPr>
          <w:p w14:paraId="0C3DC734"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1.5</w:t>
            </w:r>
          </w:p>
        </w:tc>
        <w:tc>
          <w:tcPr>
            <w:tcW w:w="1016" w:type="dxa"/>
            <w:tcBorders>
              <w:bottom w:val="single" w:sz="4" w:space="0" w:color="ED7D31" w:themeColor="accent2"/>
            </w:tcBorders>
          </w:tcPr>
          <w:p w14:paraId="390FC219"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947</w:t>
            </w:r>
          </w:p>
        </w:tc>
      </w:tr>
      <w:tr w:rsidR="00244248" w:rsidRPr="00FB5768" w14:paraId="336F2E94" w14:textId="77777777" w:rsidTr="00335B25">
        <w:trPr>
          <w:trHeight w:hRule="exact" w:val="283"/>
        </w:trPr>
        <w:tc>
          <w:tcPr>
            <w:tcW w:w="2830" w:type="dxa"/>
            <w:tcBorders>
              <w:top w:val="single" w:sz="4" w:space="0" w:color="ED7D31" w:themeColor="accent2"/>
            </w:tcBorders>
          </w:tcPr>
          <w:p w14:paraId="1557EE4A" w14:textId="77777777" w:rsidR="00244248" w:rsidRPr="00FB5768" w:rsidRDefault="00244248" w:rsidP="00335B25">
            <w:pPr>
              <w:spacing w:after="120"/>
              <w:jc w:val="both"/>
              <w:rPr>
                <w:rFonts w:asciiTheme="majorHAnsi" w:hAnsiTheme="majorHAnsi" w:cstheme="majorHAnsi"/>
                <w:b/>
                <w:bCs/>
                <w:sz w:val="20"/>
                <w:szCs w:val="20"/>
              </w:rPr>
            </w:pPr>
            <w:r w:rsidRPr="00FB5768">
              <w:rPr>
                <w:rFonts w:asciiTheme="majorHAnsi" w:hAnsiTheme="majorHAnsi" w:cstheme="majorHAnsi"/>
                <w:b/>
                <w:bCs/>
                <w:sz w:val="20"/>
                <w:szCs w:val="20"/>
              </w:rPr>
              <w:t>Highest education level</w:t>
            </w:r>
          </w:p>
        </w:tc>
        <w:tc>
          <w:tcPr>
            <w:tcW w:w="993" w:type="dxa"/>
            <w:tcBorders>
              <w:top w:val="single" w:sz="4" w:space="0" w:color="ED7D31" w:themeColor="accent2"/>
            </w:tcBorders>
          </w:tcPr>
          <w:p w14:paraId="695D36C4" w14:textId="77777777" w:rsidR="00244248" w:rsidRPr="00FB5768" w:rsidRDefault="00244248" w:rsidP="00335B25">
            <w:pPr>
              <w:spacing w:after="120"/>
              <w:jc w:val="both"/>
              <w:rPr>
                <w:rFonts w:asciiTheme="majorHAnsi" w:hAnsiTheme="majorHAnsi" w:cstheme="majorHAnsi"/>
                <w:sz w:val="20"/>
                <w:szCs w:val="20"/>
              </w:rPr>
            </w:pPr>
          </w:p>
        </w:tc>
        <w:tc>
          <w:tcPr>
            <w:tcW w:w="850" w:type="dxa"/>
            <w:tcBorders>
              <w:top w:val="single" w:sz="4" w:space="0" w:color="ED7D31" w:themeColor="accent2"/>
            </w:tcBorders>
          </w:tcPr>
          <w:p w14:paraId="380AEBA6" w14:textId="77777777" w:rsidR="00244248" w:rsidRPr="00FB5768" w:rsidRDefault="00244248" w:rsidP="00335B25">
            <w:pPr>
              <w:spacing w:after="120"/>
              <w:jc w:val="both"/>
              <w:rPr>
                <w:rFonts w:asciiTheme="majorHAnsi" w:hAnsiTheme="majorHAnsi" w:cstheme="majorHAnsi"/>
                <w:sz w:val="20"/>
                <w:szCs w:val="20"/>
              </w:rPr>
            </w:pPr>
          </w:p>
        </w:tc>
        <w:tc>
          <w:tcPr>
            <w:tcW w:w="1139" w:type="dxa"/>
            <w:tcBorders>
              <w:top w:val="single" w:sz="4" w:space="0" w:color="ED7D31" w:themeColor="accent2"/>
            </w:tcBorders>
          </w:tcPr>
          <w:p w14:paraId="15FF0F1B" w14:textId="77777777" w:rsidR="00244248" w:rsidRPr="00FB5768" w:rsidRDefault="00244248" w:rsidP="00335B25">
            <w:pPr>
              <w:spacing w:after="120"/>
              <w:jc w:val="both"/>
              <w:rPr>
                <w:rFonts w:asciiTheme="majorHAnsi" w:hAnsiTheme="majorHAnsi" w:cstheme="majorHAnsi"/>
                <w:sz w:val="20"/>
                <w:szCs w:val="20"/>
              </w:rPr>
            </w:pPr>
          </w:p>
        </w:tc>
        <w:tc>
          <w:tcPr>
            <w:tcW w:w="1016" w:type="dxa"/>
            <w:tcBorders>
              <w:top w:val="single" w:sz="4" w:space="0" w:color="ED7D31" w:themeColor="accent2"/>
            </w:tcBorders>
          </w:tcPr>
          <w:p w14:paraId="74F34371" w14:textId="77777777" w:rsidR="00244248" w:rsidRPr="00FB5768" w:rsidRDefault="00244248" w:rsidP="00335B25">
            <w:pPr>
              <w:spacing w:after="120"/>
              <w:jc w:val="both"/>
              <w:rPr>
                <w:rFonts w:asciiTheme="majorHAnsi" w:hAnsiTheme="majorHAnsi" w:cstheme="majorHAnsi"/>
                <w:sz w:val="20"/>
                <w:szCs w:val="20"/>
              </w:rPr>
            </w:pPr>
          </w:p>
        </w:tc>
      </w:tr>
      <w:tr w:rsidR="00244248" w:rsidRPr="00FB5768" w14:paraId="2F9A3095" w14:textId="77777777" w:rsidTr="00335B25">
        <w:trPr>
          <w:trHeight w:hRule="exact" w:val="283"/>
        </w:trPr>
        <w:tc>
          <w:tcPr>
            <w:tcW w:w="2830" w:type="dxa"/>
          </w:tcPr>
          <w:p w14:paraId="4B5AA63A"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Postgraduate</w:t>
            </w:r>
          </w:p>
        </w:tc>
        <w:tc>
          <w:tcPr>
            <w:tcW w:w="993" w:type="dxa"/>
          </w:tcPr>
          <w:p w14:paraId="6FA7DD54"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46</w:t>
            </w:r>
          </w:p>
        </w:tc>
        <w:tc>
          <w:tcPr>
            <w:tcW w:w="850" w:type="dxa"/>
          </w:tcPr>
          <w:p w14:paraId="15E2CCB0"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53</w:t>
            </w:r>
          </w:p>
        </w:tc>
        <w:tc>
          <w:tcPr>
            <w:tcW w:w="1139" w:type="dxa"/>
          </w:tcPr>
          <w:p w14:paraId="38D34871"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1</w:t>
            </w:r>
          </w:p>
        </w:tc>
        <w:tc>
          <w:tcPr>
            <w:tcW w:w="1016" w:type="dxa"/>
          </w:tcPr>
          <w:p w14:paraId="1C8EDBFD"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752</w:t>
            </w:r>
          </w:p>
        </w:tc>
      </w:tr>
      <w:tr w:rsidR="00244248" w:rsidRPr="00FB5768" w14:paraId="75EAD6B6" w14:textId="77777777" w:rsidTr="00335B25">
        <w:trPr>
          <w:trHeight w:hRule="exact" w:val="283"/>
        </w:trPr>
        <w:tc>
          <w:tcPr>
            <w:tcW w:w="2830" w:type="dxa"/>
          </w:tcPr>
          <w:p w14:paraId="49469C65"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Bachelors</w:t>
            </w:r>
          </w:p>
        </w:tc>
        <w:tc>
          <w:tcPr>
            <w:tcW w:w="993" w:type="dxa"/>
          </w:tcPr>
          <w:p w14:paraId="34EAA77C"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43</w:t>
            </w:r>
          </w:p>
        </w:tc>
        <w:tc>
          <w:tcPr>
            <w:tcW w:w="850" w:type="dxa"/>
          </w:tcPr>
          <w:p w14:paraId="2927FCE4"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53</w:t>
            </w:r>
          </w:p>
        </w:tc>
        <w:tc>
          <w:tcPr>
            <w:tcW w:w="1139" w:type="dxa"/>
          </w:tcPr>
          <w:p w14:paraId="7E1D7D2F"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4</w:t>
            </w:r>
          </w:p>
        </w:tc>
        <w:tc>
          <w:tcPr>
            <w:tcW w:w="1016" w:type="dxa"/>
          </w:tcPr>
          <w:p w14:paraId="4C58636B"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712</w:t>
            </w:r>
          </w:p>
        </w:tc>
      </w:tr>
      <w:tr w:rsidR="00244248" w:rsidRPr="00FB5768" w14:paraId="7637D393" w14:textId="77777777" w:rsidTr="00335B25">
        <w:trPr>
          <w:trHeight w:hRule="exact" w:val="283"/>
        </w:trPr>
        <w:tc>
          <w:tcPr>
            <w:tcW w:w="2830" w:type="dxa"/>
          </w:tcPr>
          <w:p w14:paraId="4D3BF1F6"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Diploma or Certificate III/IV</w:t>
            </w:r>
          </w:p>
        </w:tc>
        <w:tc>
          <w:tcPr>
            <w:tcW w:w="993" w:type="dxa"/>
          </w:tcPr>
          <w:p w14:paraId="0FBE4F4D"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35</w:t>
            </w:r>
          </w:p>
        </w:tc>
        <w:tc>
          <w:tcPr>
            <w:tcW w:w="850" w:type="dxa"/>
          </w:tcPr>
          <w:p w14:paraId="12F4E3CA"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63</w:t>
            </w:r>
          </w:p>
        </w:tc>
        <w:tc>
          <w:tcPr>
            <w:tcW w:w="1139" w:type="dxa"/>
          </w:tcPr>
          <w:p w14:paraId="57D3734E"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2</w:t>
            </w:r>
          </w:p>
        </w:tc>
        <w:tc>
          <w:tcPr>
            <w:tcW w:w="1016" w:type="dxa"/>
          </w:tcPr>
          <w:p w14:paraId="65FB56A5"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827</w:t>
            </w:r>
          </w:p>
        </w:tc>
      </w:tr>
      <w:tr w:rsidR="00244248" w:rsidRPr="00FB5768" w14:paraId="05D4B73A" w14:textId="77777777" w:rsidTr="00335B25">
        <w:trPr>
          <w:trHeight w:hRule="exact" w:val="283"/>
        </w:trPr>
        <w:tc>
          <w:tcPr>
            <w:tcW w:w="2830" w:type="dxa"/>
            <w:tcBorders>
              <w:bottom w:val="single" w:sz="4" w:space="0" w:color="ED7D31" w:themeColor="accent2"/>
            </w:tcBorders>
          </w:tcPr>
          <w:p w14:paraId="56BCB439"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Year 12 or below</w:t>
            </w:r>
          </w:p>
        </w:tc>
        <w:tc>
          <w:tcPr>
            <w:tcW w:w="993" w:type="dxa"/>
            <w:tcBorders>
              <w:bottom w:val="single" w:sz="4" w:space="0" w:color="ED7D31" w:themeColor="accent2"/>
            </w:tcBorders>
          </w:tcPr>
          <w:p w14:paraId="205AD86F"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32</w:t>
            </w:r>
          </w:p>
        </w:tc>
        <w:tc>
          <w:tcPr>
            <w:tcW w:w="850" w:type="dxa"/>
            <w:tcBorders>
              <w:bottom w:val="single" w:sz="4" w:space="0" w:color="ED7D31" w:themeColor="accent2"/>
            </w:tcBorders>
          </w:tcPr>
          <w:p w14:paraId="582DD91D"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66</w:t>
            </w:r>
          </w:p>
        </w:tc>
        <w:tc>
          <w:tcPr>
            <w:tcW w:w="1139" w:type="dxa"/>
            <w:tcBorders>
              <w:bottom w:val="single" w:sz="4" w:space="0" w:color="ED7D31" w:themeColor="accent2"/>
            </w:tcBorders>
          </w:tcPr>
          <w:p w14:paraId="71EF0F9D"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2</w:t>
            </w:r>
          </w:p>
        </w:tc>
        <w:tc>
          <w:tcPr>
            <w:tcW w:w="1016" w:type="dxa"/>
            <w:tcBorders>
              <w:bottom w:val="single" w:sz="4" w:space="0" w:color="ED7D31" w:themeColor="accent2"/>
            </w:tcBorders>
          </w:tcPr>
          <w:p w14:paraId="7B36F151" w14:textId="77777777" w:rsidR="00244248" w:rsidRPr="00FB5768" w:rsidRDefault="00244248" w:rsidP="00335B25">
            <w:pPr>
              <w:spacing w:after="120"/>
              <w:jc w:val="both"/>
              <w:rPr>
                <w:rFonts w:asciiTheme="majorHAnsi" w:hAnsiTheme="majorHAnsi" w:cstheme="majorHAnsi"/>
                <w:sz w:val="20"/>
                <w:szCs w:val="20"/>
              </w:rPr>
            </w:pPr>
            <w:r w:rsidRPr="00FB5768">
              <w:rPr>
                <w:rFonts w:asciiTheme="majorHAnsi" w:hAnsiTheme="majorHAnsi" w:cstheme="majorHAnsi"/>
                <w:sz w:val="20"/>
                <w:szCs w:val="20"/>
              </w:rPr>
              <w:t>739</w:t>
            </w:r>
          </w:p>
        </w:tc>
      </w:tr>
      <w:tr w:rsidR="00244248" w:rsidRPr="00FB5768" w14:paraId="34486878" w14:textId="77777777" w:rsidTr="00335B25">
        <w:trPr>
          <w:trHeight w:hRule="exact" w:val="283"/>
        </w:trPr>
        <w:tc>
          <w:tcPr>
            <w:tcW w:w="2830" w:type="dxa"/>
            <w:tcBorders>
              <w:top w:val="single" w:sz="4" w:space="0" w:color="ED7D31" w:themeColor="accent2"/>
              <w:bottom w:val="single" w:sz="4" w:space="0" w:color="ED7D31" w:themeColor="accent2"/>
            </w:tcBorders>
          </w:tcPr>
          <w:p w14:paraId="4C85D6DB" w14:textId="77777777" w:rsidR="00244248" w:rsidRPr="00FB5768" w:rsidRDefault="00244248" w:rsidP="00335B25">
            <w:pPr>
              <w:spacing w:after="120"/>
              <w:jc w:val="both"/>
              <w:rPr>
                <w:rFonts w:asciiTheme="majorHAnsi" w:hAnsiTheme="majorHAnsi" w:cstheme="majorHAnsi"/>
                <w:sz w:val="20"/>
                <w:szCs w:val="20"/>
              </w:rPr>
            </w:pPr>
            <w:r>
              <w:rPr>
                <w:rFonts w:asciiTheme="majorHAnsi" w:hAnsiTheme="majorHAnsi" w:cstheme="majorHAnsi"/>
                <w:sz w:val="20"/>
                <w:szCs w:val="20"/>
              </w:rPr>
              <w:t>Total</w:t>
            </w:r>
          </w:p>
        </w:tc>
        <w:tc>
          <w:tcPr>
            <w:tcW w:w="993" w:type="dxa"/>
            <w:tcBorders>
              <w:top w:val="single" w:sz="4" w:space="0" w:color="ED7D31" w:themeColor="accent2"/>
              <w:bottom w:val="single" w:sz="4" w:space="0" w:color="ED7D31" w:themeColor="accent2"/>
            </w:tcBorders>
          </w:tcPr>
          <w:p w14:paraId="45905E88" w14:textId="77777777" w:rsidR="00244248" w:rsidRPr="00FB5768" w:rsidRDefault="00244248" w:rsidP="00335B25">
            <w:pPr>
              <w:spacing w:after="120"/>
              <w:jc w:val="both"/>
              <w:rPr>
                <w:rFonts w:asciiTheme="majorHAnsi" w:hAnsiTheme="majorHAnsi" w:cstheme="majorHAnsi"/>
                <w:sz w:val="20"/>
                <w:szCs w:val="20"/>
              </w:rPr>
            </w:pPr>
            <w:r>
              <w:rPr>
                <w:rFonts w:asciiTheme="majorHAnsi" w:hAnsiTheme="majorHAnsi" w:cstheme="majorHAnsi"/>
                <w:sz w:val="20"/>
                <w:szCs w:val="20"/>
              </w:rPr>
              <w:t>36</w:t>
            </w:r>
            <w:r>
              <w:rPr>
                <w:rStyle w:val="FootnoteReference"/>
                <w:rFonts w:asciiTheme="majorHAnsi" w:hAnsiTheme="majorHAnsi" w:cstheme="majorHAnsi"/>
                <w:sz w:val="20"/>
                <w:szCs w:val="20"/>
              </w:rPr>
              <w:footnoteReference w:id="37"/>
            </w:r>
          </w:p>
        </w:tc>
        <w:tc>
          <w:tcPr>
            <w:tcW w:w="850" w:type="dxa"/>
            <w:tcBorders>
              <w:top w:val="single" w:sz="4" w:space="0" w:color="ED7D31" w:themeColor="accent2"/>
              <w:bottom w:val="single" w:sz="4" w:space="0" w:color="ED7D31" w:themeColor="accent2"/>
            </w:tcBorders>
          </w:tcPr>
          <w:p w14:paraId="4E87727A" w14:textId="77777777" w:rsidR="00244248" w:rsidRPr="00FB5768" w:rsidRDefault="00244248" w:rsidP="00335B25">
            <w:pPr>
              <w:spacing w:after="120"/>
              <w:jc w:val="both"/>
              <w:rPr>
                <w:rFonts w:asciiTheme="majorHAnsi" w:hAnsiTheme="majorHAnsi" w:cstheme="majorHAnsi"/>
                <w:sz w:val="20"/>
                <w:szCs w:val="20"/>
              </w:rPr>
            </w:pPr>
            <w:r>
              <w:rPr>
                <w:rFonts w:asciiTheme="majorHAnsi" w:hAnsiTheme="majorHAnsi" w:cstheme="majorHAnsi"/>
                <w:sz w:val="20"/>
                <w:szCs w:val="20"/>
              </w:rPr>
              <w:t>61</w:t>
            </w:r>
          </w:p>
        </w:tc>
        <w:tc>
          <w:tcPr>
            <w:tcW w:w="1139" w:type="dxa"/>
            <w:tcBorders>
              <w:top w:val="single" w:sz="4" w:space="0" w:color="ED7D31" w:themeColor="accent2"/>
              <w:bottom w:val="single" w:sz="4" w:space="0" w:color="ED7D31" w:themeColor="accent2"/>
            </w:tcBorders>
          </w:tcPr>
          <w:p w14:paraId="3D3FA1D0" w14:textId="77777777" w:rsidR="00244248" w:rsidRPr="00FB5768" w:rsidRDefault="00244248" w:rsidP="00335B25">
            <w:pPr>
              <w:spacing w:after="120"/>
              <w:jc w:val="both"/>
              <w:rPr>
                <w:rFonts w:asciiTheme="majorHAnsi" w:hAnsiTheme="majorHAnsi" w:cstheme="majorHAnsi"/>
                <w:sz w:val="20"/>
                <w:szCs w:val="20"/>
              </w:rPr>
            </w:pPr>
            <w:r>
              <w:rPr>
                <w:rFonts w:asciiTheme="majorHAnsi" w:hAnsiTheme="majorHAnsi" w:cstheme="majorHAnsi"/>
                <w:sz w:val="20"/>
                <w:szCs w:val="20"/>
              </w:rPr>
              <w:t>2.5</w:t>
            </w:r>
          </w:p>
        </w:tc>
        <w:tc>
          <w:tcPr>
            <w:tcW w:w="1016" w:type="dxa"/>
            <w:tcBorders>
              <w:top w:val="single" w:sz="4" w:space="0" w:color="ED7D31" w:themeColor="accent2"/>
              <w:bottom w:val="single" w:sz="4" w:space="0" w:color="ED7D31" w:themeColor="accent2"/>
            </w:tcBorders>
          </w:tcPr>
          <w:p w14:paraId="4D2F8D31" w14:textId="77777777" w:rsidR="00244248" w:rsidRPr="00FB5768" w:rsidRDefault="00244248" w:rsidP="00335B25">
            <w:pPr>
              <w:spacing w:after="120"/>
              <w:jc w:val="both"/>
              <w:rPr>
                <w:rFonts w:asciiTheme="majorHAnsi" w:hAnsiTheme="majorHAnsi" w:cstheme="majorHAnsi"/>
                <w:sz w:val="20"/>
                <w:szCs w:val="20"/>
              </w:rPr>
            </w:pPr>
          </w:p>
        </w:tc>
      </w:tr>
    </w:tbl>
    <w:p w14:paraId="58DC8B00" w14:textId="77777777" w:rsidR="00244248" w:rsidRPr="00333076" w:rsidRDefault="00244248" w:rsidP="00244248">
      <w:pPr>
        <w:spacing w:after="120"/>
        <w:jc w:val="both"/>
        <w:rPr>
          <w:rFonts w:asciiTheme="majorHAnsi" w:hAnsiTheme="majorHAnsi" w:cstheme="majorHAnsi"/>
          <w:sz w:val="16"/>
          <w:szCs w:val="16"/>
        </w:rPr>
      </w:pPr>
      <w:r w:rsidRPr="00333076">
        <w:rPr>
          <w:rFonts w:asciiTheme="majorHAnsi" w:hAnsiTheme="majorHAnsi" w:cstheme="majorHAnsi"/>
          <w:sz w:val="16"/>
          <w:szCs w:val="16"/>
        </w:rPr>
        <w:t>Note: percentages may not add up to 100 due to rounding</w:t>
      </w:r>
    </w:p>
    <w:p w14:paraId="1FCD5CD0" w14:textId="77777777" w:rsidR="00244248" w:rsidRDefault="00244248" w:rsidP="00244248">
      <w:pPr>
        <w:spacing w:after="120"/>
        <w:jc w:val="both"/>
        <w:rPr>
          <w:b/>
          <w:bCs/>
        </w:rPr>
      </w:pPr>
    </w:p>
    <w:p w14:paraId="246E5AED" w14:textId="77777777" w:rsidR="00244248" w:rsidRPr="0076536C" w:rsidRDefault="00244248" w:rsidP="0076536C">
      <w:pPr>
        <w:rPr>
          <w:rFonts w:asciiTheme="majorHAnsi" w:hAnsiTheme="majorHAnsi" w:cstheme="majorHAnsi"/>
          <w:color w:val="1F4E79" w:themeColor="accent1" w:themeShade="80"/>
          <w:sz w:val="26"/>
          <w:szCs w:val="26"/>
        </w:rPr>
      </w:pPr>
      <w:r w:rsidRPr="0076536C">
        <w:rPr>
          <w:rFonts w:asciiTheme="majorHAnsi" w:hAnsiTheme="majorHAnsi" w:cstheme="majorHAnsi"/>
          <w:color w:val="1F4E79" w:themeColor="accent1" w:themeShade="80"/>
          <w:sz w:val="26"/>
          <w:szCs w:val="26"/>
        </w:rPr>
        <w:lastRenderedPageBreak/>
        <w:t xml:space="preserve">Paid parental leave </w:t>
      </w:r>
    </w:p>
    <w:p w14:paraId="38A2F4E3" w14:textId="77777777" w:rsidR="00244248" w:rsidRDefault="00244248" w:rsidP="00244248">
      <w:pPr>
        <w:spacing w:after="120"/>
        <w:jc w:val="both"/>
      </w:pPr>
      <w:r>
        <w:t>One of the factors that may influence fertility decisions is the availability of paid parental leave. In August 2021, one-half of the sample were asked ‘</w:t>
      </w:r>
      <w:r w:rsidRPr="008131EE">
        <w:rPr>
          <w:i/>
          <w:iCs/>
        </w:rPr>
        <w:t>Consider a couple who both work full-time and now have a newborn child. One of them stops working for some time to care for their child. Do you think there should be paid leave available and, if so, for how long?</w:t>
      </w:r>
      <w:r>
        <w:t>’. For one quarter of the sample, the</w:t>
      </w:r>
      <w:r w:rsidRPr="00127034">
        <w:t xml:space="preserve"> </w:t>
      </w:r>
      <w:r>
        <w:t>person who was indicated as stopping working was changed to ‘</w:t>
      </w:r>
      <w:r w:rsidRPr="00DE25F6">
        <w:rPr>
          <w:i/>
          <w:iCs/>
        </w:rPr>
        <w:t>The father of the child</w:t>
      </w:r>
      <w:r>
        <w:t>’ and for another quarter it was changed to ‘</w:t>
      </w:r>
      <w:r w:rsidRPr="00DE25F6">
        <w:rPr>
          <w:i/>
          <w:iCs/>
        </w:rPr>
        <w:t>The mother of the child</w:t>
      </w:r>
      <w:r>
        <w:t>’.  This change in question wording had a small effect on the level of support for paid parental leave. When the person who was indicated as stopping working was ‘</w:t>
      </w:r>
      <w:r w:rsidRPr="00DE25F6">
        <w:rPr>
          <w:i/>
          <w:iCs/>
        </w:rPr>
        <w:t>The father of the child</w:t>
      </w:r>
      <w:r>
        <w:t>’ or ‘</w:t>
      </w:r>
      <w:r w:rsidRPr="00DE25F6">
        <w:rPr>
          <w:i/>
          <w:iCs/>
        </w:rPr>
        <w:t>The mother of the child</w:t>
      </w:r>
      <w:r>
        <w:t>’ rather than ‘</w:t>
      </w:r>
      <w:r w:rsidRPr="00DE25F6">
        <w:rPr>
          <w:i/>
          <w:iCs/>
        </w:rPr>
        <w:t>one of them’</w:t>
      </w:r>
      <w:r>
        <w:t>, support for paid parental leave increased – from 80 per cent to 84 per cent.</w:t>
      </w:r>
    </w:p>
    <w:p w14:paraId="5E998A8B" w14:textId="13FF9294" w:rsidR="00244248" w:rsidRDefault="000D5997" w:rsidP="00244248">
      <w:pPr>
        <w:spacing w:after="120"/>
        <w:jc w:val="both"/>
      </w:pPr>
      <w:r>
        <w:fldChar w:fldCharType="begin"/>
      </w:r>
      <w:r>
        <w:instrText xml:space="preserve"> REF _Ref85784613 \h </w:instrText>
      </w:r>
      <w:r>
        <w:fldChar w:fldCharType="separate"/>
      </w:r>
      <w:r w:rsidR="00115E22">
        <w:t xml:space="preserve">Table </w:t>
      </w:r>
      <w:r w:rsidR="00115E22">
        <w:rPr>
          <w:noProof/>
        </w:rPr>
        <w:t>47</w:t>
      </w:r>
      <w:r>
        <w:fldChar w:fldCharType="end"/>
      </w:r>
      <w:r>
        <w:t xml:space="preserve"> </w:t>
      </w:r>
      <w:r w:rsidR="00244248">
        <w:t xml:space="preserve">shows how support for the paid parental leave differed according to the respondent’s sex, age and highest education level as well as which question vignette they were asked. </w:t>
      </w:r>
    </w:p>
    <w:p w14:paraId="4364EDC8" w14:textId="77777777" w:rsidR="00244248" w:rsidRDefault="00244248" w:rsidP="00244248">
      <w:pPr>
        <w:spacing w:after="120"/>
        <w:jc w:val="both"/>
      </w:pPr>
      <w:r>
        <w:t xml:space="preserve">Women were generally more supportive of paid parental leave than men, except for the scenario where it is the mother who stops working in which case there was no difference in responses between men and women. Younger people were also more supportive with a particularly large drop in support for those aged 65 and over. For the scenario where fathers stop working, 94% of those aged under 50 felt there should be paid parental leave, compared to 62% of those aged 65 and over. </w:t>
      </w:r>
    </w:p>
    <w:p w14:paraId="1202F218" w14:textId="77777777" w:rsidR="00244248" w:rsidRDefault="00244248" w:rsidP="00244248">
      <w:pPr>
        <w:spacing w:after="120"/>
        <w:jc w:val="both"/>
      </w:pPr>
      <w:r>
        <w:t xml:space="preserve">Higher education was also associated with more support overall for paid parental leave. </w:t>
      </w:r>
    </w:p>
    <w:p w14:paraId="281F9EED" w14:textId="62A7A93F" w:rsidR="00244248" w:rsidRDefault="00244248" w:rsidP="00244248">
      <w:pPr>
        <w:pStyle w:val="Caption"/>
        <w:keepNext/>
      </w:pPr>
      <w:bookmarkStart w:id="246" w:name="_Ref85784613"/>
      <w:r>
        <w:t xml:space="preserve">Table </w:t>
      </w:r>
      <w:fldSimple w:instr=" SEQ Table \* ARABIC ">
        <w:r w:rsidR="00115E22">
          <w:rPr>
            <w:noProof/>
          </w:rPr>
          <w:t>47</w:t>
        </w:r>
      </w:fldSimple>
      <w:bookmarkEnd w:id="246"/>
      <w:r>
        <w:t xml:space="preserve"> Percentage of respondents who agreed there should be paid parental leave, by selected characteristics and question vignette (%)</w:t>
      </w:r>
    </w:p>
    <w:tbl>
      <w:tblPr>
        <w:tblW w:w="6236" w:type="dxa"/>
        <w:tblLook w:val="04A0" w:firstRow="1" w:lastRow="0" w:firstColumn="1" w:lastColumn="0" w:noHBand="0" w:noVBand="1"/>
      </w:tblPr>
      <w:tblGrid>
        <w:gridCol w:w="1931"/>
        <w:gridCol w:w="1471"/>
        <w:gridCol w:w="1417"/>
        <w:gridCol w:w="1417"/>
      </w:tblGrid>
      <w:tr w:rsidR="00244248" w:rsidRPr="004A2280" w14:paraId="58AA0581" w14:textId="77777777" w:rsidTr="00335B25">
        <w:trPr>
          <w:trHeight w:val="20"/>
        </w:trPr>
        <w:tc>
          <w:tcPr>
            <w:tcW w:w="1931"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6020B2DA" w14:textId="77777777" w:rsidR="00244248" w:rsidRPr="004A2280" w:rsidRDefault="00244248" w:rsidP="00335B25">
            <w:pPr>
              <w:rPr>
                <w:rFonts w:asciiTheme="majorHAnsi" w:eastAsia="Times New Roman" w:hAnsiTheme="majorHAnsi" w:cstheme="majorHAnsi"/>
                <w:sz w:val="20"/>
                <w:szCs w:val="20"/>
                <w:lang w:eastAsia="en-AU"/>
              </w:rPr>
            </w:pPr>
          </w:p>
        </w:tc>
        <w:tc>
          <w:tcPr>
            <w:tcW w:w="1471" w:type="dxa"/>
            <w:tcBorders>
              <w:top w:val="single" w:sz="4" w:space="0" w:color="ED7D31" w:themeColor="accent2"/>
              <w:left w:val="nil"/>
              <w:bottom w:val="single" w:sz="4" w:space="0" w:color="ED7D31" w:themeColor="accent2"/>
              <w:right w:val="nil"/>
            </w:tcBorders>
            <w:shd w:val="clear" w:color="auto" w:fill="FBE4D5" w:themeFill="accent2" w:themeFillTint="33"/>
            <w:vAlign w:val="bottom"/>
            <w:hideMark/>
          </w:tcPr>
          <w:p w14:paraId="617A3D58"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b/>
                <w:bCs/>
                <w:color w:val="000000"/>
                <w:sz w:val="20"/>
                <w:szCs w:val="20"/>
                <w:lang w:eastAsia="en-AU"/>
              </w:rPr>
              <w:t>One of them</w:t>
            </w:r>
            <w:r w:rsidRPr="004A2280">
              <w:rPr>
                <w:rFonts w:asciiTheme="majorHAnsi" w:eastAsia="Times New Roman" w:hAnsiTheme="majorHAnsi" w:cstheme="majorHAnsi"/>
                <w:color w:val="000000"/>
                <w:sz w:val="20"/>
                <w:szCs w:val="20"/>
                <w:lang w:eastAsia="en-AU"/>
              </w:rPr>
              <w:t xml:space="preserve"> stops working for some time to care for their child.</w:t>
            </w:r>
          </w:p>
        </w:tc>
        <w:tc>
          <w:tcPr>
            <w:tcW w:w="1417" w:type="dxa"/>
            <w:tcBorders>
              <w:top w:val="single" w:sz="4" w:space="0" w:color="ED7D31" w:themeColor="accent2"/>
              <w:left w:val="nil"/>
              <w:bottom w:val="single" w:sz="4" w:space="0" w:color="ED7D31" w:themeColor="accent2"/>
              <w:right w:val="nil"/>
            </w:tcBorders>
            <w:shd w:val="clear" w:color="auto" w:fill="FBE4D5" w:themeFill="accent2" w:themeFillTint="33"/>
            <w:vAlign w:val="bottom"/>
            <w:hideMark/>
          </w:tcPr>
          <w:p w14:paraId="2990453E"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 xml:space="preserve">The </w:t>
            </w:r>
            <w:r w:rsidRPr="004A2280">
              <w:rPr>
                <w:rFonts w:asciiTheme="majorHAnsi" w:eastAsia="Times New Roman" w:hAnsiTheme="majorHAnsi" w:cstheme="majorHAnsi"/>
                <w:b/>
                <w:bCs/>
                <w:color w:val="000000"/>
                <w:sz w:val="20"/>
                <w:szCs w:val="20"/>
                <w:lang w:eastAsia="en-AU"/>
              </w:rPr>
              <w:t>father</w:t>
            </w:r>
            <w:r w:rsidRPr="004A2280">
              <w:rPr>
                <w:rFonts w:asciiTheme="majorHAnsi" w:eastAsia="Times New Roman" w:hAnsiTheme="majorHAnsi" w:cstheme="majorHAnsi"/>
                <w:color w:val="000000"/>
                <w:sz w:val="20"/>
                <w:szCs w:val="20"/>
                <w:lang w:eastAsia="en-AU"/>
              </w:rPr>
              <w:t xml:space="preserve"> stops working for some time to care for their child.</w:t>
            </w:r>
          </w:p>
        </w:tc>
        <w:tc>
          <w:tcPr>
            <w:tcW w:w="1417" w:type="dxa"/>
            <w:tcBorders>
              <w:top w:val="single" w:sz="4" w:space="0" w:color="ED7D31" w:themeColor="accent2"/>
              <w:left w:val="nil"/>
              <w:bottom w:val="single" w:sz="4" w:space="0" w:color="ED7D31" w:themeColor="accent2"/>
              <w:right w:val="nil"/>
            </w:tcBorders>
            <w:shd w:val="clear" w:color="auto" w:fill="FBE4D5" w:themeFill="accent2" w:themeFillTint="33"/>
            <w:vAlign w:val="bottom"/>
            <w:hideMark/>
          </w:tcPr>
          <w:p w14:paraId="1EBD210F"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 xml:space="preserve">The </w:t>
            </w:r>
            <w:r w:rsidRPr="004A2280">
              <w:rPr>
                <w:rFonts w:asciiTheme="majorHAnsi" w:eastAsia="Times New Roman" w:hAnsiTheme="majorHAnsi" w:cstheme="majorHAnsi"/>
                <w:b/>
                <w:bCs/>
                <w:color w:val="000000"/>
                <w:sz w:val="20"/>
                <w:szCs w:val="20"/>
                <w:lang w:eastAsia="en-AU"/>
              </w:rPr>
              <w:t>mother</w:t>
            </w:r>
            <w:r w:rsidRPr="004A2280">
              <w:rPr>
                <w:rFonts w:asciiTheme="majorHAnsi" w:eastAsia="Times New Roman" w:hAnsiTheme="majorHAnsi" w:cstheme="majorHAnsi"/>
                <w:color w:val="000000"/>
                <w:sz w:val="20"/>
                <w:szCs w:val="20"/>
                <w:lang w:eastAsia="en-AU"/>
              </w:rPr>
              <w:t xml:space="preserve"> stops working for some time to care for their child.</w:t>
            </w:r>
          </w:p>
        </w:tc>
      </w:tr>
      <w:tr w:rsidR="00244248" w:rsidRPr="004A2280" w14:paraId="72026478" w14:textId="77777777" w:rsidTr="00214A11">
        <w:trPr>
          <w:trHeight w:hRule="exact" w:val="284"/>
        </w:trPr>
        <w:tc>
          <w:tcPr>
            <w:tcW w:w="1931" w:type="dxa"/>
            <w:tcBorders>
              <w:top w:val="single" w:sz="4" w:space="0" w:color="ED7D31" w:themeColor="accent2"/>
              <w:left w:val="nil"/>
              <w:bottom w:val="nil"/>
              <w:right w:val="nil"/>
            </w:tcBorders>
            <w:shd w:val="clear" w:color="auto" w:fill="auto"/>
            <w:noWrap/>
            <w:vAlign w:val="bottom"/>
            <w:hideMark/>
          </w:tcPr>
          <w:p w14:paraId="0DA20387" w14:textId="77777777" w:rsidR="00244248" w:rsidRPr="004A2280" w:rsidRDefault="00244248" w:rsidP="00335B25">
            <w:pPr>
              <w:rPr>
                <w:rFonts w:asciiTheme="majorHAnsi" w:eastAsia="Times New Roman" w:hAnsiTheme="majorHAnsi" w:cstheme="majorHAnsi"/>
                <w:b/>
                <w:bCs/>
                <w:color w:val="000000"/>
                <w:sz w:val="20"/>
                <w:szCs w:val="20"/>
                <w:lang w:eastAsia="en-AU"/>
              </w:rPr>
            </w:pPr>
            <w:r w:rsidRPr="004A2280">
              <w:rPr>
                <w:rFonts w:asciiTheme="majorHAnsi" w:eastAsia="Times New Roman" w:hAnsiTheme="majorHAnsi" w:cstheme="majorHAnsi"/>
                <w:b/>
                <w:bCs/>
                <w:color w:val="000000"/>
                <w:sz w:val="20"/>
                <w:szCs w:val="20"/>
                <w:lang w:eastAsia="en-AU"/>
              </w:rPr>
              <w:t>Sex</w:t>
            </w:r>
          </w:p>
        </w:tc>
        <w:tc>
          <w:tcPr>
            <w:tcW w:w="1471" w:type="dxa"/>
            <w:tcBorders>
              <w:top w:val="single" w:sz="4" w:space="0" w:color="ED7D31" w:themeColor="accent2"/>
              <w:left w:val="nil"/>
              <w:bottom w:val="nil"/>
              <w:right w:val="nil"/>
            </w:tcBorders>
            <w:shd w:val="clear" w:color="auto" w:fill="auto"/>
            <w:noWrap/>
            <w:vAlign w:val="bottom"/>
            <w:hideMark/>
          </w:tcPr>
          <w:p w14:paraId="1B6E0778" w14:textId="77777777" w:rsidR="00244248" w:rsidRPr="004A2280" w:rsidRDefault="00244248" w:rsidP="00335B25">
            <w:pPr>
              <w:rPr>
                <w:rFonts w:asciiTheme="majorHAnsi" w:eastAsia="Times New Roman" w:hAnsiTheme="majorHAnsi" w:cstheme="majorHAnsi"/>
                <w:b/>
                <w:bCs/>
                <w:color w:val="000000"/>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67214DA0" w14:textId="77777777" w:rsidR="00244248" w:rsidRPr="004A2280" w:rsidRDefault="00244248" w:rsidP="00335B25">
            <w:pPr>
              <w:rPr>
                <w:rFonts w:asciiTheme="majorHAnsi" w:eastAsia="Times New Roman" w:hAnsiTheme="majorHAnsi" w:cstheme="majorHAnsi"/>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03ABD476" w14:textId="77777777" w:rsidR="00244248" w:rsidRPr="004A2280" w:rsidRDefault="00244248" w:rsidP="00335B25">
            <w:pPr>
              <w:rPr>
                <w:rFonts w:asciiTheme="majorHAnsi" w:eastAsia="Times New Roman" w:hAnsiTheme="majorHAnsi" w:cstheme="majorHAnsi"/>
                <w:sz w:val="20"/>
                <w:szCs w:val="20"/>
                <w:lang w:eastAsia="en-AU"/>
              </w:rPr>
            </w:pPr>
          </w:p>
        </w:tc>
      </w:tr>
      <w:tr w:rsidR="00244248" w:rsidRPr="004A2280" w14:paraId="05DD1C05" w14:textId="77777777" w:rsidTr="00214A11">
        <w:trPr>
          <w:trHeight w:hRule="exact" w:val="284"/>
        </w:trPr>
        <w:tc>
          <w:tcPr>
            <w:tcW w:w="1931" w:type="dxa"/>
            <w:tcBorders>
              <w:top w:val="nil"/>
              <w:left w:val="nil"/>
              <w:bottom w:val="nil"/>
              <w:right w:val="nil"/>
            </w:tcBorders>
            <w:shd w:val="clear" w:color="auto" w:fill="auto"/>
            <w:noWrap/>
            <w:vAlign w:val="bottom"/>
            <w:hideMark/>
          </w:tcPr>
          <w:p w14:paraId="60D532DF"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 xml:space="preserve">Male </w:t>
            </w:r>
          </w:p>
        </w:tc>
        <w:tc>
          <w:tcPr>
            <w:tcW w:w="1471" w:type="dxa"/>
            <w:tcBorders>
              <w:top w:val="nil"/>
              <w:left w:val="nil"/>
              <w:bottom w:val="nil"/>
              <w:right w:val="nil"/>
            </w:tcBorders>
            <w:shd w:val="clear" w:color="auto" w:fill="auto"/>
            <w:noWrap/>
            <w:vAlign w:val="bottom"/>
            <w:hideMark/>
          </w:tcPr>
          <w:p w14:paraId="6E0D88C6"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75</w:t>
            </w:r>
          </w:p>
        </w:tc>
        <w:tc>
          <w:tcPr>
            <w:tcW w:w="1417" w:type="dxa"/>
            <w:tcBorders>
              <w:top w:val="nil"/>
              <w:left w:val="nil"/>
              <w:bottom w:val="nil"/>
              <w:right w:val="nil"/>
            </w:tcBorders>
            <w:shd w:val="clear" w:color="auto" w:fill="auto"/>
            <w:noWrap/>
            <w:vAlign w:val="bottom"/>
            <w:hideMark/>
          </w:tcPr>
          <w:p w14:paraId="18450620"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80</w:t>
            </w:r>
          </w:p>
        </w:tc>
        <w:tc>
          <w:tcPr>
            <w:tcW w:w="1417" w:type="dxa"/>
            <w:tcBorders>
              <w:top w:val="nil"/>
              <w:left w:val="nil"/>
              <w:bottom w:val="nil"/>
              <w:right w:val="nil"/>
            </w:tcBorders>
            <w:shd w:val="clear" w:color="auto" w:fill="auto"/>
            <w:noWrap/>
            <w:vAlign w:val="bottom"/>
            <w:hideMark/>
          </w:tcPr>
          <w:p w14:paraId="2B08A635"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84</w:t>
            </w:r>
          </w:p>
        </w:tc>
      </w:tr>
      <w:tr w:rsidR="00244248" w:rsidRPr="004A2280" w14:paraId="575E01B9" w14:textId="77777777" w:rsidTr="00214A11">
        <w:trPr>
          <w:trHeight w:hRule="exact" w:val="284"/>
        </w:trPr>
        <w:tc>
          <w:tcPr>
            <w:tcW w:w="1931" w:type="dxa"/>
            <w:tcBorders>
              <w:top w:val="nil"/>
              <w:left w:val="nil"/>
              <w:right w:val="nil"/>
            </w:tcBorders>
            <w:shd w:val="clear" w:color="auto" w:fill="auto"/>
            <w:noWrap/>
            <w:vAlign w:val="bottom"/>
            <w:hideMark/>
          </w:tcPr>
          <w:p w14:paraId="0E889A5A"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Female</w:t>
            </w:r>
          </w:p>
        </w:tc>
        <w:tc>
          <w:tcPr>
            <w:tcW w:w="1471" w:type="dxa"/>
            <w:tcBorders>
              <w:top w:val="nil"/>
              <w:left w:val="nil"/>
              <w:right w:val="nil"/>
            </w:tcBorders>
            <w:shd w:val="clear" w:color="auto" w:fill="auto"/>
            <w:noWrap/>
            <w:vAlign w:val="bottom"/>
            <w:hideMark/>
          </w:tcPr>
          <w:p w14:paraId="29961A75"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84</w:t>
            </w:r>
          </w:p>
        </w:tc>
        <w:tc>
          <w:tcPr>
            <w:tcW w:w="1417" w:type="dxa"/>
            <w:tcBorders>
              <w:top w:val="nil"/>
              <w:left w:val="nil"/>
              <w:right w:val="nil"/>
            </w:tcBorders>
            <w:shd w:val="clear" w:color="auto" w:fill="auto"/>
            <w:noWrap/>
            <w:vAlign w:val="bottom"/>
            <w:hideMark/>
          </w:tcPr>
          <w:p w14:paraId="7E81B0F9"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87</w:t>
            </w:r>
          </w:p>
        </w:tc>
        <w:tc>
          <w:tcPr>
            <w:tcW w:w="1417" w:type="dxa"/>
            <w:tcBorders>
              <w:top w:val="nil"/>
              <w:left w:val="nil"/>
              <w:right w:val="nil"/>
            </w:tcBorders>
            <w:shd w:val="clear" w:color="auto" w:fill="auto"/>
            <w:noWrap/>
            <w:vAlign w:val="bottom"/>
            <w:hideMark/>
          </w:tcPr>
          <w:p w14:paraId="506F42AF"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84</w:t>
            </w:r>
          </w:p>
        </w:tc>
      </w:tr>
      <w:tr w:rsidR="00244248" w:rsidRPr="004A2280" w14:paraId="3B0372BC" w14:textId="77777777" w:rsidTr="00214A11">
        <w:trPr>
          <w:trHeight w:hRule="exact" w:val="284"/>
        </w:trPr>
        <w:tc>
          <w:tcPr>
            <w:tcW w:w="1931" w:type="dxa"/>
            <w:tcBorders>
              <w:top w:val="single" w:sz="4" w:space="0" w:color="ED7D31" w:themeColor="accent2"/>
              <w:left w:val="nil"/>
              <w:bottom w:val="nil"/>
              <w:right w:val="nil"/>
            </w:tcBorders>
            <w:shd w:val="clear" w:color="auto" w:fill="auto"/>
            <w:noWrap/>
            <w:vAlign w:val="bottom"/>
            <w:hideMark/>
          </w:tcPr>
          <w:p w14:paraId="4C75015B" w14:textId="77777777" w:rsidR="00244248" w:rsidRPr="004A2280" w:rsidRDefault="00244248" w:rsidP="00335B25">
            <w:pPr>
              <w:rPr>
                <w:rFonts w:asciiTheme="majorHAnsi" w:eastAsia="Times New Roman" w:hAnsiTheme="majorHAnsi" w:cstheme="majorHAnsi"/>
                <w:b/>
                <w:bCs/>
                <w:color w:val="000000"/>
                <w:sz w:val="20"/>
                <w:szCs w:val="20"/>
                <w:lang w:eastAsia="en-AU"/>
              </w:rPr>
            </w:pPr>
            <w:r w:rsidRPr="004A2280">
              <w:rPr>
                <w:rFonts w:asciiTheme="majorHAnsi" w:eastAsia="Times New Roman" w:hAnsiTheme="majorHAnsi" w:cstheme="majorHAnsi"/>
                <w:b/>
                <w:bCs/>
                <w:color w:val="000000"/>
                <w:sz w:val="20"/>
                <w:szCs w:val="20"/>
                <w:lang w:eastAsia="en-AU"/>
              </w:rPr>
              <w:t>Age group</w:t>
            </w:r>
          </w:p>
        </w:tc>
        <w:tc>
          <w:tcPr>
            <w:tcW w:w="1471" w:type="dxa"/>
            <w:tcBorders>
              <w:top w:val="single" w:sz="4" w:space="0" w:color="ED7D31" w:themeColor="accent2"/>
              <w:left w:val="nil"/>
              <w:bottom w:val="nil"/>
              <w:right w:val="nil"/>
            </w:tcBorders>
            <w:shd w:val="clear" w:color="auto" w:fill="auto"/>
            <w:noWrap/>
            <w:vAlign w:val="bottom"/>
            <w:hideMark/>
          </w:tcPr>
          <w:p w14:paraId="3FC1D028" w14:textId="77777777" w:rsidR="00244248" w:rsidRPr="004A2280" w:rsidRDefault="00244248" w:rsidP="007C5778">
            <w:pPr>
              <w:jc w:val="center"/>
              <w:rPr>
                <w:rFonts w:asciiTheme="majorHAnsi" w:eastAsia="Times New Roman" w:hAnsiTheme="majorHAnsi" w:cstheme="majorHAnsi"/>
                <w:b/>
                <w:bCs/>
                <w:color w:val="000000"/>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095B6F0B" w14:textId="77777777" w:rsidR="00244248" w:rsidRPr="004A2280" w:rsidRDefault="00244248" w:rsidP="007C5778">
            <w:pPr>
              <w:jc w:val="center"/>
              <w:rPr>
                <w:rFonts w:asciiTheme="majorHAnsi" w:eastAsia="Times New Roman" w:hAnsiTheme="majorHAnsi" w:cstheme="majorHAnsi"/>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13BFAAAD" w14:textId="77777777" w:rsidR="00244248" w:rsidRPr="004A2280" w:rsidRDefault="00244248" w:rsidP="007C5778">
            <w:pPr>
              <w:jc w:val="center"/>
              <w:rPr>
                <w:rFonts w:asciiTheme="majorHAnsi" w:eastAsia="Times New Roman" w:hAnsiTheme="majorHAnsi" w:cstheme="majorHAnsi"/>
                <w:sz w:val="20"/>
                <w:szCs w:val="20"/>
                <w:lang w:eastAsia="en-AU"/>
              </w:rPr>
            </w:pPr>
          </w:p>
        </w:tc>
      </w:tr>
      <w:tr w:rsidR="00244248" w:rsidRPr="004A2280" w14:paraId="529B0C3A" w14:textId="77777777" w:rsidTr="00214A11">
        <w:trPr>
          <w:trHeight w:hRule="exact" w:val="284"/>
        </w:trPr>
        <w:tc>
          <w:tcPr>
            <w:tcW w:w="1931" w:type="dxa"/>
            <w:tcBorders>
              <w:top w:val="nil"/>
              <w:left w:val="nil"/>
              <w:bottom w:val="nil"/>
              <w:right w:val="nil"/>
            </w:tcBorders>
            <w:shd w:val="clear" w:color="auto" w:fill="auto"/>
            <w:noWrap/>
            <w:vAlign w:val="bottom"/>
            <w:hideMark/>
          </w:tcPr>
          <w:p w14:paraId="0E555F81"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18-29</w:t>
            </w:r>
          </w:p>
        </w:tc>
        <w:tc>
          <w:tcPr>
            <w:tcW w:w="1471" w:type="dxa"/>
            <w:tcBorders>
              <w:top w:val="nil"/>
              <w:left w:val="nil"/>
              <w:bottom w:val="nil"/>
              <w:right w:val="nil"/>
            </w:tcBorders>
            <w:shd w:val="clear" w:color="auto" w:fill="auto"/>
            <w:noWrap/>
            <w:vAlign w:val="bottom"/>
            <w:hideMark/>
          </w:tcPr>
          <w:p w14:paraId="7C3D9D18"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90</w:t>
            </w:r>
          </w:p>
        </w:tc>
        <w:tc>
          <w:tcPr>
            <w:tcW w:w="1417" w:type="dxa"/>
            <w:tcBorders>
              <w:top w:val="nil"/>
              <w:left w:val="nil"/>
              <w:bottom w:val="nil"/>
              <w:right w:val="nil"/>
            </w:tcBorders>
            <w:shd w:val="clear" w:color="auto" w:fill="auto"/>
            <w:noWrap/>
            <w:vAlign w:val="bottom"/>
            <w:hideMark/>
          </w:tcPr>
          <w:p w14:paraId="62C09BA0"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94</w:t>
            </w:r>
          </w:p>
        </w:tc>
        <w:tc>
          <w:tcPr>
            <w:tcW w:w="1417" w:type="dxa"/>
            <w:tcBorders>
              <w:top w:val="nil"/>
              <w:left w:val="nil"/>
              <w:bottom w:val="nil"/>
              <w:right w:val="nil"/>
            </w:tcBorders>
            <w:shd w:val="clear" w:color="auto" w:fill="auto"/>
            <w:noWrap/>
            <w:vAlign w:val="bottom"/>
            <w:hideMark/>
          </w:tcPr>
          <w:p w14:paraId="121F3759"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91</w:t>
            </w:r>
          </w:p>
        </w:tc>
      </w:tr>
      <w:tr w:rsidR="00244248" w:rsidRPr="004A2280" w14:paraId="01A82C41" w14:textId="77777777" w:rsidTr="00214A11">
        <w:trPr>
          <w:trHeight w:hRule="exact" w:val="284"/>
        </w:trPr>
        <w:tc>
          <w:tcPr>
            <w:tcW w:w="1931" w:type="dxa"/>
            <w:tcBorders>
              <w:top w:val="nil"/>
              <w:left w:val="nil"/>
              <w:bottom w:val="nil"/>
              <w:right w:val="nil"/>
            </w:tcBorders>
            <w:shd w:val="clear" w:color="auto" w:fill="auto"/>
            <w:noWrap/>
            <w:vAlign w:val="bottom"/>
            <w:hideMark/>
          </w:tcPr>
          <w:p w14:paraId="2130DE12"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30-49</w:t>
            </w:r>
          </w:p>
        </w:tc>
        <w:tc>
          <w:tcPr>
            <w:tcW w:w="1471" w:type="dxa"/>
            <w:tcBorders>
              <w:top w:val="nil"/>
              <w:left w:val="nil"/>
              <w:bottom w:val="nil"/>
              <w:right w:val="nil"/>
            </w:tcBorders>
            <w:shd w:val="clear" w:color="auto" w:fill="auto"/>
            <w:noWrap/>
            <w:vAlign w:val="bottom"/>
            <w:hideMark/>
          </w:tcPr>
          <w:p w14:paraId="6AC41993"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86</w:t>
            </w:r>
          </w:p>
        </w:tc>
        <w:tc>
          <w:tcPr>
            <w:tcW w:w="1417" w:type="dxa"/>
            <w:tcBorders>
              <w:top w:val="nil"/>
              <w:left w:val="nil"/>
              <w:bottom w:val="nil"/>
              <w:right w:val="nil"/>
            </w:tcBorders>
            <w:shd w:val="clear" w:color="auto" w:fill="auto"/>
            <w:noWrap/>
            <w:vAlign w:val="bottom"/>
            <w:hideMark/>
          </w:tcPr>
          <w:p w14:paraId="00160FB9"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94</w:t>
            </w:r>
          </w:p>
        </w:tc>
        <w:tc>
          <w:tcPr>
            <w:tcW w:w="1417" w:type="dxa"/>
            <w:tcBorders>
              <w:top w:val="nil"/>
              <w:left w:val="nil"/>
              <w:bottom w:val="nil"/>
              <w:right w:val="nil"/>
            </w:tcBorders>
            <w:shd w:val="clear" w:color="auto" w:fill="auto"/>
            <w:noWrap/>
            <w:vAlign w:val="bottom"/>
            <w:hideMark/>
          </w:tcPr>
          <w:p w14:paraId="6965CE4C"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92</w:t>
            </w:r>
          </w:p>
        </w:tc>
      </w:tr>
      <w:tr w:rsidR="00244248" w:rsidRPr="004A2280" w14:paraId="313287D7" w14:textId="77777777" w:rsidTr="00214A11">
        <w:trPr>
          <w:trHeight w:hRule="exact" w:val="284"/>
        </w:trPr>
        <w:tc>
          <w:tcPr>
            <w:tcW w:w="1931" w:type="dxa"/>
            <w:tcBorders>
              <w:top w:val="nil"/>
              <w:left w:val="nil"/>
              <w:bottom w:val="nil"/>
              <w:right w:val="nil"/>
            </w:tcBorders>
            <w:shd w:val="clear" w:color="auto" w:fill="auto"/>
            <w:noWrap/>
            <w:vAlign w:val="bottom"/>
            <w:hideMark/>
          </w:tcPr>
          <w:p w14:paraId="2BB67748"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50-64</w:t>
            </w:r>
          </w:p>
        </w:tc>
        <w:tc>
          <w:tcPr>
            <w:tcW w:w="1471" w:type="dxa"/>
            <w:tcBorders>
              <w:top w:val="nil"/>
              <w:left w:val="nil"/>
              <w:bottom w:val="nil"/>
              <w:right w:val="nil"/>
            </w:tcBorders>
            <w:shd w:val="clear" w:color="auto" w:fill="auto"/>
            <w:noWrap/>
            <w:vAlign w:val="bottom"/>
            <w:hideMark/>
          </w:tcPr>
          <w:p w14:paraId="120ACB71"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78</w:t>
            </w:r>
          </w:p>
        </w:tc>
        <w:tc>
          <w:tcPr>
            <w:tcW w:w="1417" w:type="dxa"/>
            <w:tcBorders>
              <w:top w:val="nil"/>
              <w:left w:val="nil"/>
              <w:bottom w:val="nil"/>
              <w:right w:val="nil"/>
            </w:tcBorders>
            <w:shd w:val="clear" w:color="auto" w:fill="auto"/>
            <w:noWrap/>
            <w:vAlign w:val="bottom"/>
            <w:hideMark/>
          </w:tcPr>
          <w:p w14:paraId="432B7B90"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78</w:t>
            </w:r>
          </w:p>
        </w:tc>
        <w:tc>
          <w:tcPr>
            <w:tcW w:w="1417" w:type="dxa"/>
            <w:tcBorders>
              <w:top w:val="nil"/>
              <w:left w:val="nil"/>
              <w:bottom w:val="nil"/>
              <w:right w:val="nil"/>
            </w:tcBorders>
            <w:shd w:val="clear" w:color="auto" w:fill="auto"/>
            <w:noWrap/>
            <w:vAlign w:val="bottom"/>
            <w:hideMark/>
          </w:tcPr>
          <w:p w14:paraId="76302CC5"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81</w:t>
            </w:r>
          </w:p>
        </w:tc>
      </w:tr>
      <w:tr w:rsidR="00244248" w:rsidRPr="004A2280" w14:paraId="7E38C3BC" w14:textId="77777777" w:rsidTr="00214A11">
        <w:trPr>
          <w:trHeight w:hRule="exact" w:val="284"/>
        </w:trPr>
        <w:tc>
          <w:tcPr>
            <w:tcW w:w="1931" w:type="dxa"/>
            <w:tcBorders>
              <w:top w:val="nil"/>
              <w:left w:val="nil"/>
              <w:right w:val="nil"/>
            </w:tcBorders>
            <w:shd w:val="clear" w:color="auto" w:fill="auto"/>
            <w:noWrap/>
            <w:vAlign w:val="bottom"/>
            <w:hideMark/>
          </w:tcPr>
          <w:p w14:paraId="7A9209C2"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65+</w:t>
            </w:r>
          </w:p>
        </w:tc>
        <w:tc>
          <w:tcPr>
            <w:tcW w:w="1471" w:type="dxa"/>
            <w:tcBorders>
              <w:top w:val="nil"/>
              <w:left w:val="nil"/>
              <w:right w:val="nil"/>
            </w:tcBorders>
            <w:shd w:val="clear" w:color="auto" w:fill="auto"/>
            <w:noWrap/>
            <w:vAlign w:val="bottom"/>
            <w:hideMark/>
          </w:tcPr>
          <w:p w14:paraId="4F8D62B1"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64</w:t>
            </w:r>
          </w:p>
        </w:tc>
        <w:tc>
          <w:tcPr>
            <w:tcW w:w="1417" w:type="dxa"/>
            <w:tcBorders>
              <w:top w:val="nil"/>
              <w:left w:val="nil"/>
              <w:right w:val="nil"/>
            </w:tcBorders>
            <w:shd w:val="clear" w:color="auto" w:fill="auto"/>
            <w:noWrap/>
            <w:vAlign w:val="bottom"/>
            <w:hideMark/>
          </w:tcPr>
          <w:p w14:paraId="7E100D05"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62</w:t>
            </w:r>
          </w:p>
        </w:tc>
        <w:tc>
          <w:tcPr>
            <w:tcW w:w="1417" w:type="dxa"/>
            <w:tcBorders>
              <w:top w:val="nil"/>
              <w:left w:val="nil"/>
              <w:right w:val="nil"/>
            </w:tcBorders>
            <w:shd w:val="clear" w:color="auto" w:fill="auto"/>
            <w:noWrap/>
            <w:vAlign w:val="bottom"/>
            <w:hideMark/>
          </w:tcPr>
          <w:p w14:paraId="48D06829"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67</w:t>
            </w:r>
          </w:p>
        </w:tc>
      </w:tr>
      <w:tr w:rsidR="00244248" w:rsidRPr="004A2280" w14:paraId="2D8F5F35" w14:textId="77777777" w:rsidTr="00214A11">
        <w:trPr>
          <w:trHeight w:hRule="exact" w:val="284"/>
        </w:trPr>
        <w:tc>
          <w:tcPr>
            <w:tcW w:w="3402" w:type="dxa"/>
            <w:gridSpan w:val="2"/>
            <w:tcBorders>
              <w:top w:val="single" w:sz="4" w:space="0" w:color="ED7D31" w:themeColor="accent2"/>
              <w:left w:val="nil"/>
              <w:bottom w:val="nil"/>
              <w:right w:val="nil"/>
            </w:tcBorders>
            <w:shd w:val="clear" w:color="auto" w:fill="auto"/>
            <w:noWrap/>
            <w:vAlign w:val="bottom"/>
            <w:hideMark/>
          </w:tcPr>
          <w:p w14:paraId="62B9F124" w14:textId="77777777" w:rsidR="00244248" w:rsidRPr="004A2280" w:rsidRDefault="00244248" w:rsidP="00335B25">
            <w:pPr>
              <w:rPr>
                <w:rFonts w:asciiTheme="majorHAnsi" w:eastAsia="Times New Roman" w:hAnsiTheme="majorHAnsi" w:cstheme="majorHAnsi"/>
                <w:b/>
                <w:bCs/>
                <w:color w:val="000000"/>
                <w:sz w:val="20"/>
                <w:szCs w:val="20"/>
                <w:lang w:eastAsia="en-AU"/>
              </w:rPr>
            </w:pPr>
            <w:r w:rsidRPr="004A2280">
              <w:rPr>
                <w:rFonts w:asciiTheme="majorHAnsi" w:eastAsia="Times New Roman" w:hAnsiTheme="majorHAnsi" w:cstheme="majorHAnsi"/>
                <w:b/>
                <w:bCs/>
                <w:color w:val="000000"/>
                <w:sz w:val="20"/>
                <w:szCs w:val="20"/>
                <w:lang w:eastAsia="en-AU"/>
              </w:rPr>
              <w:t>Highest education level</w:t>
            </w:r>
          </w:p>
        </w:tc>
        <w:tc>
          <w:tcPr>
            <w:tcW w:w="1417" w:type="dxa"/>
            <w:tcBorders>
              <w:top w:val="single" w:sz="4" w:space="0" w:color="ED7D31" w:themeColor="accent2"/>
              <w:left w:val="nil"/>
              <w:bottom w:val="nil"/>
              <w:right w:val="nil"/>
            </w:tcBorders>
            <w:shd w:val="clear" w:color="auto" w:fill="auto"/>
            <w:noWrap/>
            <w:vAlign w:val="bottom"/>
            <w:hideMark/>
          </w:tcPr>
          <w:p w14:paraId="1264D702" w14:textId="77777777" w:rsidR="00244248" w:rsidRPr="004A2280" w:rsidRDefault="00244248" w:rsidP="00335B25">
            <w:pPr>
              <w:rPr>
                <w:rFonts w:asciiTheme="majorHAnsi" w:eastAsia="Times New Roman" w:hAnsiTheme="majorHAnsi" w:cstheme="majorHAnsi"/>
                <w:b/>
                <w:bCs/>
                <w:color w:val="000000"/>
                <w:sz w:val="20"/>
                <w:szCs w:val="20"/>
                <w:lang w:eastAsia="en-AU"/>
              </w:rPr>
            </w:pPr>
          </w:p>
        </w:tc>
        <w:tc>
          <w:tcPr>
            <w:tcW w:w="1417" w:type="dxa"/>
            <w:tcBorders>
              <w:top w:val="single" w:sz="4" w:space="0" w:color="ED7D31" w:themeColor="accent2"/>
              <w:left w:val="nil"/>
              <w:bottom w:val="nil"/>
              <w:right w:val="nil"/>
            </w:tcBorders>
            <w:shd w:val="clear" w:color="auto" w:fill="auto"/>
            <w:noWrap/>
            <w:vAlign w:val="bottom"/>
            <w:hideMark/>
          </w:tcPr>
          <w:p w14:paraId="419934E7" w14:textId="77777777" w:rsidR="00244248" w:rsidRPr="004A2280" w:rsidRDefault="00244248" w:rsidP="00335B25">
            <w:pPr>
              <w:rPr>
                <w:rFonts w:asciiTheme="majorHAnsi" w:eastAsia="Times New Roman" w:hAnsiTheme="majorHAnsi" w:cstheme="majorHAnsi"/>
                <w:sz w:val="20"/>
                <w:szCs w:val="20"/>
                <w:lang w:eastAsia="en-AU"/>
              </w:rPr>
            </w:pPr>
          </w:p>
        </w:tc>
      </w:tr>
      <w:tr w:rsidR="00244248" w:rsidRPr="004A2280" w14:paraId="62F8E62F" w14:textId="77777777" w:rsidTr="00214A11">
        <w:trPr>
          <w:trHeight w:hRule="exact" w:val="284"/>
        </w:trPr>
        <w:tc>
          <w:tcPr>
            <w:tcW w:w="1931" w:type="dxa"/>
            <w:tcBorders>
              <w:top w:val="nil"/>
              <w:left w:val="nil"/>
              <w:bottom w:val="nil"/>
              <w:right w:val="nil"/>
            </w:tcBorders>
            <w:shd w:val="clear" w:color="auto" w:fill="auto"/>
            <w:noWrap/>
            <w:vAlign w:val="bottom"/>
            <w:hideMark/>
          </w:tcPr>
          <w:p w14:paraId="70442D32"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Postgraduate</w:t>
            </w:r>
          </w:p>
        </w:tc>
        <w:tc>
          <w:tcPr>
            <w:tcW w:w="1471" w:type="dxa"/>
            <w:tcBorders>
              <w:top w:val="nil"/>
              <w:left w:val="nil"/>
              <w:bottom w:val="nil"/>
              <w:right w:val="nil"/>
            </w:tcBorders>
            <w:shd w:val="clear" w:color="auto" w:fill="auto"/>
            <w:noWrap/>
            <w:vAlign w:val="bottom"/>
            <w:hideMark/>
          </w:tcPr>
          <w:p w14:paraId="0286D92B"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87</w:t>
            </w:r>
          </w:p>
        </w:tc>
        <w:tc>
          <w:tcPr>
            <w:tcW w:w="1417" w:type="dxa"/>
            <w:tcBorders>
              <w:top w:val="nil"/>
              <w:left w:val="nil"/>
              <w:bottom w:val="nil"/>
              <w:right w:val="nil"/>
            </w:tcBorders>
            <w:shd w:val="clear" w:color="auto" w:fill="auto"/>
            <w:noWrap/>
            <w:vAlign w:val="bottom"/>
            <w:hideMark/>
          </w:tcPr>
          <w:p w14:paraId="0A45FFCC"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93</w:t>
            </w:r>
          </w:p>
        </w:tc>
        <w:tc>
          <w:tcPr>
            <w:tcW w:w="1417" w:type="dxa"/>
            <w:tcBorders>
              <w:top w:val="nil"/>
              <w:left w:val="nil"/>
              <w:bottom w:val="nil"/>
              <w:right w:val="nil"/>
            </w:tcBorders>
            <w:shd w:val="clear" w:color="auto" w:fill="auto"/>
            <w:noWrap/>
            <w:vAlign w:val="bottom"/>
            <w:hideMark/>
          </w:tcPr>
          <w:p w14:paraId="3A72D8EE"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88</w:t>
            </w:r>
          </w:p>
        </w:tc>
      </w:tr>
      <w:tr w:rsidR="00244248" w:rsidRPr="004A2280" w14:paraId="28D96DB8" w14:textId="77777777" w:rsidTr="00214A11">
        <w:trPr>
          <w:trHeight w:hRule="exact" w:val="284"/>
        </w:trPr>
        <w:tc>
          <w:tcPr>
            <w:tcW w:w="1931" w:type="dxa"/>
            <w:tcBorders>
              <w:top w:val="nil"/>
              <w:left w:val="nil"/>
              <w:bottom w:val="nil"/>
              <w:right w:val="nil"/>
            </w:tcBorders>
            <w:shd w:val="clear" w:color="auto" w:fill="auto"/>
            <w:noWrap/>
            <w:vAlign w:val="bottom"/>
            <w:hideMark/>
          </w:tcPr>
          <w:p w14:paraId="01A391CA"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Bachelors</w:t>
            </w:r>
          </w:p>
        </w:tc>
        <w:tc>
          <w:tcPr>
            <w:tcW w:w="1471" w:type="dxa"/>
            <w:tcBorders>
              <w:top w:val="nil"/>
              <w:left w:val="nil"/>
              <w:bottom w:val="nil"/>
              <w:right w:val="nil"/>
            </w:tcBorders>
            <w:shd w:val="clear" w:color="auto" w:fill="auto"/>
            <w:noWrap/>
            <w:vAlign w:val="bottom"/>
            <w:hideMark/>
          </w:tcPr>
          <w:p w14:paraId="7B1C9765"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88</w:t>
            </w:r>
          </w:p>
        </w:tc>
        <w:tc>
          <w:tcPr>
            <w:tcW w:w="1417" w:type="dxa"/>
            <w:tcBorders>
              <w:top w:val="nil"/>
              <w:left w:val="nil"/>
              <w:bottom w:val="nil"/>
              <w:right w:val="nil"/>
            </w:tcBorders>
            <w:shd w:val="clear" w:color="auto" w:fill="auto"/>
            <w:noWrap/>
            <w:vAlign w:val="bottom"/>
            <w:hideMark/>
          </w:tcPr>
          <w:p w14:paraId="12E8F38F"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91</w:t>
            </w:r>
          </w:p>
        </w:tc>
        <w:tc>
          <w:tcPr>
            <w:tcW w:w="1417" w:type="dxa"/>
            <w:tcBorders>
              <w:top w:val="nil"/>
              <w:left w:val="nil"/>
              <w:bottom w:val="nil"/>
              <w:right w:val="nil"/>
            </w:tcBorders>
            <w:shd w:val="clear" w:color="auto" w:fill="auto"/>
            <w:noWrap/>
            <w:vAlign w:val="bottom"/>
            <w:hideMark/>
          </w:tcPr>
          <w:p w14:paraId="0DD46954"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94</w:t>
            </w:r>
          </w:p>
        </w:tc>
      </w:tr>
      <w:tr w:rsidR="00244248" w:rsidRPr="004A2280" w14:paraId="7C03CCBE" w14:textId="77777777" w:rsidTr="00214A11">
        <w:trPr>
          <w:trHeight w:hRule="exact" w:val="284"/>
        </w:trPr>
        <w:tc>
          <w:tcPr>
            <w:tcW w:w="1931" w:type="dxa"/>
            <w:tcBorders>
              <w:top w:val="nil"/>
              <w:left w:val="nil"/>
              <w:right w:val="nil"/>
            </w:tcBorders>
            <w:shd w:val="clear" w:color="auto" w:fill="auto"/>
            <w:noWrap/>
            <w:vAlign w:val="bottom"/>
            <w:hideMark/>
          </w:tcPr>
          <w:p w14:paraId="3852FA25"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Diploma or Cert III/IV</w:t>
            </w:r>
          </w:p>
        </w:tc>
        <w:tc>
          <w:tcPr>
            <w:tcW w:w="1471" w:type="dxa"/>
            <w:tcBorders>
              <w:top w:val="nil"/>
              <w:left w:val="nil"/>
              <w:right w:val="nil"/>
            </w:tcBorders>
            <w:shd w:val="clear" w:color="auto" w:fill="auto"/>
            <w:noWrap/>
            <w:vAlign w:val="bottom"/>
            <w:hideMark/>
          </w:tcPr>
          <w:p w14:paraId="62533029"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79</w:t>
            </w:r>
          </w:p>
        </w:tc>
        <w:tc>
          <w:tcPr>
            <w:tcW w:w="1417" w:type="dxa"/>
            <w:tcBorders>
              <w:top w:val="nil"/>
              <w:left w:val="nil"/>
              <w:right w:val="nil"/>
            </w:tcBorders>
            <w:shd w:val="clear" w:color="auto" w:fill="auto"/>
            <w:noWrap/>
            <w:vAlign w:val="bottom"/>
            <w:hideMark/>
          </w:tcPr>
          <w:p w14:paraId="2C6B831E"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85</w:t>
            </w:r>
          </w:p>
        </w:tc>
        <w:tc>
          <w:tcPr>
            <w:tcW w:w="1417" w:type="dxa"/>
            <w:tcBorders>
              <w:top w:val="nil"/>
              <w:left w:val="nil"/>
              <w:right w:val="nil"/>
            </w:tcBorders>
            <w:shd w:val="clear" w:color="auto" w:fill="auto"/>
            <w:noWrap/>
            <w:vAlign w:val="bottom"/>
            <w:hideMark/>
          </w:tcPr>
          <w:p w14:paraId="3391D0CB"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85</w:t>
            </w:r>
          </w:p>
        </w:tc>
      </w:tr>
      <w:tr w:rsidR="00244248" w:rsidRPr="004A2280" w14:paraId="6099C1A7" w14:textId="77777777" w:rsidTr="00214A11">
        <w:trPr>
          <w:trHeight w:hRule="exact" w:val="284"/>
        </w:trPr>
        <w:tc>
          <w:tcPr>
            <w:tcW w:w="1931" w:type="dxa"/>
            <w:tcBorders>
              <w:top w:val="nil"/>
              <w:left w:val="nil"/>
              <w:bottom w:val="single" w:sz="4" w:space="0" w:color="ED7D31" w:themeColor="accent2"/>
              <w:right w:val="nil"/>
            </w:tcBorders>
            <w:shd w:val="clear" w:color="auto" w:fill="auto"/>
            <w:noWrap/>
            <w:vAlign w:val="bottom"/>
            <w:hideMark/>
          </w:tcPr>
          <w:p w14:paraId="38D27C6D"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Year 12 or below</w:t>
            </w:r>
          </w:p>
        </w:tc>
        <w:tc>
          <w:tcPr>
            <w:tcW w:w="1471" w:type="dxa"/>
            <w:tcBorders>
              <w:top w:val="nil"/>
              <w:left w:val="nil"/>
              <w:bottom w:val="single" w:sz="4" w:space="0" w:color="ED7D31" w:themeColor="accent2"/>
              <w:right w:val="nil"/>
            </w:tcBorders>
            <w:shd w:val="clear" w:color="auto" w:fill="auto"/>
            <w:noWrap/>
            <w:vAlign w:val="bottom"/>
            <w:hideMark/>
          </w:tcPr>
          <w:p w14:paraId="7DFC2E8C"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77</w:t>
            </w:r>
          </w:p>
        </w:tc>
        <w:tc>
          <w:tcPr>
            <w:tcW w:w="1417" w:type="dxa"/>
            <w:tcBorders>
              <w:top w:val="nil"/>
              <w:left w:val="nil"/>
              <w:bottom w:val="single" w:sz="4" w:space="0" w:color="ED7D31" w:themeColor="accent2"/>
              <w:right w:val="nil"/>
            </w:tcBorders>
            <w:shd w:val="clear" w:color="auto" w:fill="auto"/>
            <w:noWrap/>
            <w:vAlign w:val="bottom"/>
            <w:hideMark/>
          </w:tcPr>
          <w:p w14:paraId="4E929F9A"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79</w:t>
            </w:r>
          </w:p>
        </w:tc>
        <w:tc>
          <w:tcPr>
            <w:tcW w:w="1417" w:type="dxa"/>
            <w:tcBorders>
              <w:top w:val="nil"/>
              <w:left w:val="nil"/>
              <w:bottom w:val="single" w:sz="4" w:space="0" w:color="ED7D31" w:themeColor="accent2"/>
              <w:right w:val="nil"/>
            </w:tcBorders>
            <w:shd w:val="clear" w:color="auto" w:fill="auto"/>
            <w:noWrap/>
            <w:vAlign w:val="bottom"/>
            <w:hideMark/>
          </w:tcPr>
          <w:p w14:paraId="6A01C2C4"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82</w:t>
            </w:r>
          </w:p>
        </w:tc>
      </w:tr>
      <w:tr w:rsidR="00244248" w:rsidRPr="004A2280" w14:paraId="4D84A0D0" w14:textId="77777777" w:rsidTr="00214A11">
        <w:trPr>
          <w:trHeight w:hRule="exact" w:val="284"/>
        </w:trPr>
        <w:tc>
          <w:tcPr>
            <w:tcW w:w="1931" w:type="dxa"/>
            <w:tcBorders>
              <w:top w:val="single" w:sz="4" w:space="0" w:color="ED7D31" w:themeColor="accent2"/>
              <w:left w:val="nil"/>
              <w:bottom w:val="single" w:sz="4" w:space="0" w:color="ED7D31" w:themeColor="accent2"/>
              <w:right w:val="nil"/>
            </w:tcBorders>
            <w:shd w:val="clear" w:color="auto" w:fill="auto"/>
            <w:noWrap/>
            <w:vAlign w:val="bottom"/>
            <w:hideMark/>
          </w:tcPr>
          <w:p w14:paraId="05A70574" w14:textId="77777777" w:rsidR="00244248" w:rsidRPr="004A2280" w:rsidRDefault="00244248" w:rsidP="00335B25">
            <w:pP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Total</w:t>
            </w:r>
          </w:p>
        </w:tc>
        <w:tc>
          <w:tcPr>
            <w:tcW w:w="1471" w:type="dxa"/>
            <w:tcBorders>
              <w:top w:val="single" w:sz="4" w:space="0" w:color="ED7D31" w:themeColor="accent2"/>
              <w:left w:val="nil"/>
              <w:bottom w:val="single" w:sz="4" w:space="0" w:color="ED7D31" w:themeColor="accent2"/>
              <w:right w:val="nil"/>
            </w:tcBorders>
            <w:shd w:val="clear" w:color="auto" w:fill="auto"/>
            <w:noWrap/>
            <w:vAlign w:val="bottom"/>
            <w:hideMark/>
          </w:tcPr>
          <w:p w14:paraId="7388E830"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80</w:t>
            </w:r>
          </w:p>
        </w:tc>
        <w:tc>
          <w:tcPr>
            <w:tcW w:w="1417" w:type="dxa"/>
            <w:tcBorders>
              <w:top w:val="single" w:sz="4" w:space="0" w:color="ED7D31" w:themeColor="accent2"/>
              <w:left w:val="nil"/>
              <w:bottom w:val="single" w:sz="4" w:space="0" w:color="ED7D31" w:themeColor="accent2"/>
              <w:right w:val="nil"/>
            </w:tcBorders>
            <w:shd w:val="clear" w:color="auto" w:fill="auto"/>
            <w:noWrap/>
            <w:vAlign w:val="bottom"/>
            <w:hideMark/>
          </w:tcPr>
          <w:p w14:paraId="66406A5A"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84</w:t>
            </w:r>
          </w:p>
        </w:tc>
        <w:tc>
          <w:tcPr>
            <w:tcW w:w="1417" w:type="dxa"/>
            <w:tcBorders>
              <w:top w:val="single" w:sz="4" w:space="0" w:color="ED7D31" w:themeColor="accent2"/>
              <w:left w:val="nil"/>
              <w:bottom w:val="single" w:sz="4" w:space="0" w:color="ED7D31" w:themeColor="accent2"/>
              <w:right w:val="nil"/>
            </w:tcBorders>
            <w:shd w:val="clear" w:color="auto" w:fill="auto"/>
            <w:noWrap/>
            <w:vAlign w:val="bottom"/>
            <w:hideMark/>
          </w:tcPr>
          <w:p w14:paraId="503CF4B5" w14:textId="77777777" w:rsidR="00244248" w:rsidRPr="004A2280" w:rsidRDefault="00244248" w:rsidP="007C5778">
            <w:pPr>
              <w:jc w:val="center"/>
              <w:rPr>
                <w:rFonts w:asciiTheme="majorHAnsi" w:eastAsia="Times New Roman" w:hAnsiTheme="majorHAnsi" w:cstheme="majorHAnsi"/>
                <w:color w:val="000000"/>
                <w:sz w:val="20"/>
                <w:szCs w:val="20"/>
                <w:lang w:eastAsia="en-AU"/>
              </w:rPr>
            </w:pPr>
            <w:r w:rsidRPr="004A2280">
              <w:rPr>
                <w:rFonts w:asciiTheme="majorHAnsi" w:eastAsia="Times New Roman" w:hAnsiTheme="majorHAnsi" w:cstheme="majorHAnsi"/>
                <w:color w:val="000000"/>
                <w:sz w:val="20"/>
                <w:szCs w:val="20"/>
                <w:lang w:eastAsia="en-AU"/>
              </w:rPr>
              <w:t>84</w:t>
            </w:r>
          </w:p>
        </w:tc>
      </w:tr>
    </w:tbl>
    <w:p w14:paraId="741A3C54" w14:textId="77777777" w:rsidR="00244248" w:rsidRDefault="00244248" w:rsidP="00244248">
      <w:pPr>
        <w:spacing w:after="120"/>
        <w:jc w:val="both"/>
      </w:pPr>
    </w:p>
    <w:p w14:paraId="2D894A84" w14:textId="77777777" w:rsidR="00244248" w:rsidRDefault="00244248" w:rsidP="00244248">
      <w:pPr>
        <w:spacing w:after="120"/>
        <w:jc w:val="both"/>
      </w:pPr>
      <w:r>
        <w:t xml:space="preserve">While respondents were equally supportive of mothers and fathers receiving paid parental leave, the number of months that people thought should be provided was much less for fathers compared to mothers. When the question is left general (‘one of them’) the average number of months that people supported was 9.8. This was slightly but not significantly less than when ‘The mother of the child’ is </w:t>
      </w:r>
      <w:r>
        <w:lastRenderedPageBreak/>
        <w:t>specified (10.4 months). However, when ‘The father of the child’ is specified, the number of months supported drops to 7.0.</w:t>
      </w:r>
    </w:p>
    <w:p w14:paraId="06FC884B" w14:textId="57C118E7" w:rsidR="00244248" w:rsidRDefault="00244248" w:rsidP="00244248">
      <w:pPr>
        <w:spacing w:after="120"/>
        <w:jc w:val="both"/>
      </w:pPr>
      <w:r>
        <w:t xml:space="preserve">Respondents were also asked about who should pay for paid parental leave, the response choices were “the Government”, “the employer”, or “other”. For other responses individuals could specify their response using open text. Respondents were allowed to choose multiple options. </w:t>
      </w:r>
      <w:r w:rsidR="004177FF">
        <w:t>Overall,</w:t>
      </w:r>
      <w:r>
        <w:t xml:space="preserve"> 40% believed only the government should pay, 44% believed a combination of the government and employer, 12% believed the employer should pay and 3% had other responses. </w:t>
      </w:r>
    </w:p>
    <w:p w14:paraId="21054CA9" w14:textId="77777777" w:rsidR="00244248" w:rsidRDefault="00244248" w:rsidP="00244248">
      <w:pPr>
        <w:spacing w:after="120"/>
        <w:jc w:val="both"/>
      </w:pPr>
    </w:p>
    <w:p w14:paraId="2A4632BC" w14:textId="1DC5AB8C" w:rsidR="00244248" w:rsidRPr="0076536C" w:rsidRDefault="008D52A6" w:rsidP="0076536C">
      <w:pPr>
        <w:rPr>
          <w:rFonts w:asciiTheme="majorHAnsi" w:hAnsiTheme="majorHAnsi" w:cstheme="majorHAnsi"/>
          <w:color w:val="1F4E79" w:themeColor="accent1" w:themeShade="80"/>
          <w:sz w:val="26"/>
          <w:szCs w:val="26"/>
        </w:rPr>
      </w:pPr>
      <w:r>
        <w:rPr>
          <w:rFonts w:asciiTheme="majorHAnsi" w:hAnsiTheme="majorHAnsi" w:cstheme="majorHAnsi"/>
          <w:color w:val="1F4E79" w:themeColor="accent1" w:themeShade="80"/>
          <w:sz w:val="26"/>
          <w:szCs w:val="26"/>
        </w:rPr>
        <w:t>Child care</w:t>
      </w:r>
      <w:r w:rsidR="00244248" w:rsidRPr="0076536C">
        <w:rPr>
          <w:rFonts w:asciiTheme="majorHAnsi" w:hAnsiTheme="majorHAnsi" w:cstheme="majorHAnsi"/>
          <w:color w:val="1F4E79" w:themeColor="accent1" w:themeShade="80"/>
          <w:sz w:val="26"/>
          <w:szCs w:val="26"/>
        </w:rPr>
        <w:t xml:space="preserve"> </w:t>
      </w:r>
    </w:p>
    <w:p w14:paraId="7C845CA5" w14:textId="1919367C" w:rsidR="0084678F" w:rsidRDefault="00244248" w:rsidP="00244248">
      <w:pPr>
        <w:spacing w:after="120"/>
        <w:jc w:val="both"/>
      </w:pPr>
      <w:r>
        <w:t xml:space="preserve">In addition to paid parental leave, one of the major costs of having children that can be supported by government is the cost of </w:t>
      </w:r>
      <w:r w:rsidR="008D52A6">
        <w:t>child care</w:t>
      </w:r>
      <w:r>
        <w:t xml:space="preserve">. Respondents were asked </w:t>
      </w:r>
      <w:r w:rsidRPr="00DA6E22">
        <w:rPr>
          <w:i/>
          <w:iCs/>
        </w:rPr>
        <w:t xml:space="preserve">‘Now consider a couple where one parent has been at home looking after a child but plans to return to work. Do you think there should be subsidised </w:t>
      </w:r>
      <w:r w:rsidR="008D52A6">
        <w:rPr>
          <w:i/>
          <w:iCs/>
        </w:rPr>
        <w:t>child care</w:t>
      </w:r>
      <w:r w:rsidRPr="00DA6E22">
        <w:rPr>
          <w:i/>
          <w:iCs/>
        </w:rPr>
        <w:t xml:space="preserve"> available and, if so, for what proportion of the cost of </w:t>
      </w:r>
      <w:r w:rsidR="008D52A6">
        <w:rPr>
          <w:i/>
          <w:iCs/>
        </w:rPr>
        <w:t>child care</w:t>
      </w:r>
      <w:r w:rsidRPr="00DA6E22">
        <w:rPr>
          <w:i/>
          <w:iCs/>
        </w:rPr>
        <w:t>?</w:t>
      </w:r>
      <w:r>
        <w:t xml:space="preserve">’ For this base case group, only 12 per cent thought there should be no subsidised care. At the other end of the distribution, only 13 per cent thought there should be subsidies for the entire cost of care. The modal response (given by 37 per cent of respondents) was for about half of the cost of </w:t>
      </w:r>
      <w:r w:rsidR="008D52A6">
        <w:t>child care</w:t>
      </w:r>
      <w:r>
        <w:t xml:space="preserve"> covered, with 16 per cent thinking there should be less than half of the cost covered (but at least some covered), and 21 per cent thinking that there should be more than half of the cost covered (but not all). </w:t>
      </w:r>
    </w:p>
    <w:p w14:paraId="62150E91" w14:textId="34D79FDD" w:rsidR="00244248" w:rsidRDefault="0084678F" w:rsidP="00244248">
      <w:pPr>
        <w:spacing w:after="120"/>
        <w:jc w:val="both"/>
      </w:pPr>
      <w:r>
        <w:t xml:space="preserve">In total, approximately 75% thought that at least half the cost of </w:t>
      </w:r>
      <w:r w:rsidR="008D52A6">
        <w:t>child care</w:t>
      </w:r>
      <w:r>
        <w:t xml:space="preserve"> should be subsidised.</w:t>
      </w:r>
    </w:p>
    <w:p w14:paraId="5CDCBA53" w14:textId="19AE6A0B" w:rsidR="00244248" w:rsidRDefault="00244248" w:rsidP="00244248">
      <w:pPr>
        <w:spacing w:after="120"/>
        <w:jc w:val="both"/>
      </w:pPr>
      <w:r>
        <w:t xml:space="preserve">When the question vignette was changed to considering a couple where the mother or the father specifically is planning to go back to work, support for covering the full cost of </w:t>
      </w:r>
      <w:r w:rsidR="008D52A6">
        <w:t>child care</w:t>
      </w:r>
      <w:r>
        <w:t xml:space="preserve"> increased when mothers were mentioned. The distribution of answers is shown in </w:t>
      </w:r>
      <w:r>
        <w:fldChar w:fldCharType="begin"/>
      </w:r>
      <w:r>
        <w:instrText xml:space="preserve"> REF _Ref85776701 \h </w:instrText>
      </w:r>
      <w:r>
        <w:fldChar w:fldCharType="separate"/>
      </w:r>
      <w:r w:rsidR="00115E22">
        <w:t xml:space="preserve">Figure </w:t>
      </w:r>
      <w:r w:rsidR="00115E22">
        <w:rPr>
          <w:noProof/>
        </w:rPr>
        <w:t>52</w:t>
      </w:r>
      <w:r>
        <w:fldChar w:fldCharType="end"/>
      </w:r>
      <w:r>
        <w:t>.</w:t>
      </w:r>
    </w:p>
    <w:p w14:paraId="7D03515F" w14:textId="18BDD497" w:rsidR="00214A11" w:rsidRDefault="00214A11" w:rsidP="00214A11">
      <w:pPr>
        <w:pStyle w:val="Caption"/>
        <w:keepNext/>
        <w:jc w:val="both"/>
      </w:pPr>
      <w:bookmarkStart w:id="247" w:name="_Ref85776701"/>
      <w:r>
        <w:lastRenderedPageBreak/>
        <w:t xml:space="preserve">Figure </w:t>
      </w:r>
      <w:fldSimple w:instr=" SEQ Figure \* ARABIC ">
        <w:r w:rsidR="00115E22">
          <w:rPr>
            <w:noProof/>
          </w:rPr>
          <w:t>52</w:t>
        </w:r>
      </w:fldSimple>
      <w:bookmarkEnd w:id="247"/>
      <w:r>
        <w:t xml:space="preserve"> </w:t>
      </w:r>
      <w:r w:rsidRPr="00123CFB">
        <w:t>Percentage distributio</w:t>
      </w:r>
      <w:r>
        <w:t>n</w:t>
      </w:r>
      <w:r w:rsidRPr="00123CFB">
        <w:t xml:space="preserve"> of respon</w:t>
      </w:r>
      <w:r>
        <w:t>s</w:t>
      </w:r>
      <w:r w:rsidRPr="00123CFB">
        <w:t xml:space="preserve">es regarding </w:t>
      </w:r>
      <w:r w:rsidR="00342652">
        <w:t xml:space="preserve">subsiding cost of </w:t>
      </w:r>
      <w:r w:rsidR="008D52A6">
        <w:t>child care</w:t>
      </w:r>
      <w:r w:rsidRPr="00123CFB">
        <w:t>, by question vignette</w:t>
      </w:r>
    </w:p>
    <w:p w14:paraId="0355A84B" w14:textId="77777777" w:rsidR="00214A11" w:rsidRDefault="00214A11" w:rsidP="00214A11">
      <w:pPr>
        <w:keepNext/>
        <w:spacing w:after="120"/>
        <w:jc w:val="both"/>
      </w:pPr>
      <w:r w:rsidRPr="00174FF7">
        <w:rPr>
          <w:noProof/>
          <w:shd w:val="clear" w:color="auto" w:fill="833C0B" w:themeFill="accent2" w:themeFillShade="80"/>
          <w:lang w:eastAsia="en-AU"/>
        </w:rPr>
        <w:drawing>
          <wp:inline distT="0" distB="0" distL="0" distR="0" wp14:anchorId="0826059D" wp14:editId="312A0260">
            <wp:extent cx="4329113" cy="3819525"/>
            <wp:effectExtent l="0" t="0" r="0" b="0"/>
            <wp:docPr id="236" name="Chart 236">
              <a:extLst xmlns:a="http://schemas.openxmlformats.org/drawingml/2006/main">
                <a:ext uri="{FF2B5EF4-FFF2-40B4-BE49-F238E27FC236}">
                  <a16:creationId xmlns:a16="http://schemas.microsoft.com/office/drawing/2014/main" id="{61562A0D-D568-4547-B32E-B626595A3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D395F21" w14:textId="77777777" w:rsidR="00214A11" w:rsidRDefault="00214A11" w:rsidP="00244248">
      <w:pPr>
        <w:spacing w:after="120"/>
        <w:jc w:val="both"/>
      </w:pPr>
    </w:p>
    <w:p w14:paraId="7E65CAF5" w14:textId="78409525" w:rsidR="00244248" w:rsidRDefault="00244248" w:rsidP="00244248">
      <w:pPr>
        <w:spacing w:after="120"/>
        <w:jc w:val="both"/>
      </w:pPr>
      <w:r>
        <w:t>Overall</w:t>
      </w:r>
      <w:r w:rsidR="0084678F">
        <w:t>,</w:t>
      </w:r>
      <w:r>
        <w:t xml:space="preserve"> around 36 per c</w:t>
      </w:r>
      <w:r w:rsidR="0084678F">
        <w:t xml:space="preserve">ent of respondents felt that </w:t>
      </w:r>
      <w:r w:rsidRPr="0084678F">
        <w:rPr>
          <w:i/>
        </w:rPr>
        <w:t>more</w:t>
      </w:r>
      <w:r>
        <w:t xml:space="preserve"> than half the cost of </w:t>
      </w:r>
      <w:r w:rsidR="008D52A6">
        <w:t>child care</w:t>
      </w:r>
      <w:r>
        <w:t xml:space="preserve"> should be subsidised. The table below shows the percentage of respondents who felt this based on their sex, age and highest education level. </w:t>
      </w:r>
    </w:p>
    <w:p w14:paraId="22282353" w14:textId="176D6800" w:rsidR="00244248" w:rsidRDefault="00244248" w:rsidP="00244248">
      <w:pPr>
        <w:spacing w:after="120"/>
        <w:jc w:val="both"/>
      </w:pPr>
      <w:r>
        <w:t xml:space="preserve">People aged 30-49, and those with lower levels of education stand out as being most supportive of a large subsidisation of </w:t>
      </w:r>
      <w:r w:rsidR="008D52A6">
        <w:t>child care</w:t>
      </w:r>
      <w:r>
        <w:t xml:space="preserve">. In this age group, 47 per cent felt that more than half the cost of </w:t>
      </w:r>
      <w:r w:rsidR="008D52A6">
        <w:t>child care</w:t>
      </w:r>
      <w:r>
        <w:t xml:space="preserve"> should be subsidised. </w:t>
      </w:r>
    </w:p>
    <w:p w14:paraId="409F0F78" w14:textId="15333B07" w:rsidR="00244248" w:rsidRDefault="00244248" w:rsidP="00244248">
      <w:pPr>
        <w:pStyle w:val="Caption"/>
        <w:keepNext/>
      </w:pPr>
      <w:r>
        <w:t xml:space="preserve">Table </w:t>
      </w:r>
      <w:fldSimple w:instr=" SEQ Table \* ARABIC ">
        <w:r w:rsidR="00115E22">
          <w:rPr>
            <w:noProof/>
          </w:rPr>
          <w:t>48</w:t>
        </w:r>
      </w:fldSimple>
      <w:r>
        <w:t xml:space="preserve"> Percentage of respondents who felt that more than half of cost of </w:t>
      </w:r>
      <w:r w:rsidR="008D52A6">
        <w:t>child care</w:t>
      </w:r>
      <w:r>
        <w:t xml:space="preserve"> should be subsidised</w:t>
      </w:r>
    </w:p>
    <w:tbl>
      <w:tblPr>
        <w:tblW w:w="2890" w:type="dxa"/>
        <w:tblLook w:val="04A0" w:firstRow="1" w:lastRow="0" w:firstColumn="1" w:lastColumn="0" w:noHBand="0" w:noVBand="1"/>
      </w:tblPr>
      <w:tblGrid>
        <w:gridCol w:w="1930"/>
        <w:gridCol w:w="960"/>
      </w:tblGrid>
      <w:tr w:rsidR="00244248" w:rsidRPr="00464D1F" w14:paraId="1DC001F6" w14:textId="77777777" w:rsidTr="00335B25">
        <w:trPr>
          <w:trHeight w:val="300"/>
        </w:trPr>
        <w:tc>
          <w:tcPr>
            <w:tcW w:w="1930" w:type="dxa"/>
            <w:tcBorders>
              <w:top w:val="nil"/>
              <w:left w:val="nil"/>
              <w:bottom w:val="single" w:sz="4" w:space="0" w:color="ED7D31" w:themeColor="accent2"/>
              <w:right w:val="nil"/>
            </w:tcBorders>
            <w:shd w:val="clear" w:color="auto" w:fill="FBE4D5" w:themeFill="accent2" w:themeFillTint="33"/>
            <w:noWrap/>
            <w:vAlign w:val="bottom"/>
          </w:tcPr>
          <w:p w14:paraId="312140F1" w14:textId="77777777" w:rsidR="00244248" w:rsidRPr="00464D1F" w:rsidRDefault="00244248" w:rsidP="00335B25">
            <w:pPr>
              <w:rPr>
                <w:rFonts w:asciiTheme="majorHAnsi" w:eastAsia="Times New Roman" w:hAnsiTheme="majorHAnsi" w:cstheme="majorHAnsi"/>
                <w:b/>
                <w:bCs/>
                <w:color w:val="000000"/>
                <w:sz w:val="20"/>
                <w:szCs w:val="20"/>
                <w:lang w:eastAsia="en-AU"/>
              </w:rPr>
            </w:pPr>
          </w:p>
        </w:tc>
        <w:tc>
          <w:tcPr>
            <w:tcW w:w="960" w:type="dxa"/>
            <w:tcBorders>
              <w:top w:val="nil"/>
              <w:left w:val="nil"/>
              <w:bottom w:val="single" w:sz="4" w:space="0" w:color="ED7D31" w:themeColor="accent2"/>
              <w:right w:val="nil"/>
            </w:tcBorders>
            <w:shd w:val="clear" w:color="auto" w:fill="FBE4D5" w:themeFill="accent2" w:themeFillTint="33"/>
            <w:noWrap/>
            <w:vAlign w:val="bottom"/>
          </w:tcPr>
          <w:p w14:paraId="63C528ED" w14:textId="77777777" w:rsidR="00244248" w:rsidRPr="00464D1F" w:rsidRDefault="00244248" w:rsidP="00335B25">
            <w:pPr>
              <w:rPr>
                <w:rFonts w:asciiTheme="majorHAnsi" w:eastAsia="Times New Roman" w:hAnsiTheme="majorHAnsi" w:cstheme="majorHAnsi"/>
                <w:b/>
                <w:bCs/>
                <w:color w:val="000000"/>
                <w:sz w:val="20"/>
                <w:szCs w:val="20"/>
                <w:lang w:eastAsia="en-AU"/>
              </w:rPr>
            </w:pPr>
            <w:r w:rsidRPr="00464D1F">
              <w:rPr>
                <w:rFonts w:asciiTheme="majorHAnsi" w:eastAsia="Times New Roman" w:hAnsiTheme="majorHAnsi" w:cstheme="majorHAnsi"/>
                <w:b/>
                <w:bCs/>
                <w:color w:val="000000"/>
                <w:sz w:val="20"/>
                <w:szCs w:val="20"/>
                <w:lang w:eastAsia="en-AU"/>
              </w:rPr>
              <w:t xml:space="preserve">% </w:t>
            </w:r>
          </w:p>
        </w:tc>
      </w:tr>
      <w:tr w:rsidR="00244248" w:rsidRPr="00464D1F" w14:paraId="6CDD651F" w14:textId="77777777" w:rsidTr="00214A11">
        <w:trPr>
          <w:trHeight w:hRule="exact" w:val="284"/>
        </w:trPr>
        <w:tc>
          <w:tcPr>
            <w:tcW w:w="1930" w:type="dxa"/>
            <w:tcBorders>
              <w:top w:val="single" w:sz="4" w:space="0" w:color="ED7D31" w:themeColor="accent2"/>
              <w:left w:val="nil"/>
              <w:bottom w:val="nil"/>
              <w:right w:val="nil"/>
            </w:tcBorders>
            <w:shd w:val="clear" w:color="auto" w:fill="auto"/>
            <w:noWrap/>
            <w:vAlign w:val="bottom"/>
            <w:hideMark/>
          </w:tcPr>
          <w:p w14:paraId="6A18097D" w14:textId="77777777" w:rsidR="00244248" w:rsidRPr="00464D1F" w:rsidRDefault="00244248" w:rsidP="00335B25">
            <w:pPr>
              <w:rPr>
                <w:rFonts w:asciiTheme="majorHAnsi" w:eastAsia="Times New Roman" w:hAnsiTheme="majorHAnsi" w:cstheme="majorHAnsi"/>
                <w:b/>
                <w:bCs/>
                <w:color w:val="000000"/>
                <w:sz w:val="20"/>
                <w:szCs w:val="20"/>
                <w:lang w:eastAsia="en-AU"/>
              </w:rPr>
            </w:pPr>
            <w:r w:rsidRPr="00464D1F">
              <w:rPr>
                <w:rFonts w:asciiTheme="majorHAnsi" w:eastAsia="Times New Roman" w:hAnsiTheme="majorHAnsi" w:cstheme="majorHAnsi"/>
                <w:b/>
                <w:bCs/>
                <w:color w:val="000000"/>
                <w:sz w:val="20"/>
                <w:szCs w:val="20"/>
                <w:lang w:eastAsia="en-AU"/>
              </w:rPr>
              <w:t>Sex</w:t>
            </w:r>
          </w:p>
        </w:tc>
        <w:tc>
          <w:tcPr>
            <w:tcW w:w="960" w:type="dxa"/>
            <w:tcBorders>
              <w:top w:val="single" w:sz="4" w:space="0" w:color="ED7D31" w:themeColor="accent2"/>
              <w:left w:val="nil"/>
              <w:bottom w:val="nil"/>
              <w:right w:val="nil"/>
            </w:tcBorders>
            <w:shd w:val="clear" w:color="auto" w:fill="auto"/>
            <w:noWrap/>
            <w:vAlign w:val="bottom"/>
            <w:hideMark/>
          </w:tcPr>
          <w:p w14:paraId="3730F96C" w14:textId="77777777" w:rsidR="00244248" w:rsidRPr="00464D1F" w:rsidRDefault="00244248" w:rsidP="00335B25">
            <w:pPr>
              <w:rPr>
                <w:rFonts w:asciiTheme="majorHAnsi" w:eastAsia="Times New Roman" w:hAnsiTheme="majorHAnsi" w:cstheme="majorHAnsi"/>
                <w:b/>
                <w:bCs/>
                <w:color w:val="000000"/>
                <w:sz w:val="20"/>
                <w:szCs w:val="20"/>
                <w:lang w:eastAsia="en-AU"/>
              </w:rPr>
            </w:pPr>
          </w:p>
        </w:tc>
      </w:tr>
      <w:tr w:rsidR="00244248" w:rsidRPr="00464D1F" w14:paraId="04671653" w14:textId="77777777" w:rsidTr="00214A11">
        <w:trPr>
          <w:trHeight w:hRule="exact" w:val="284"/>
        </w:trPr>
        <w:tc>
          <w:tcPr>
            <w:tcW w:w="1930" w:type="dxa"/>
            <w:tcBorders>
              <w:top w:val="nil"/>
              <w:left w:val="nil"/>
              <w:right w:val="nil"/>
            </w:tcBorders>
            <w:shd w:val="clear" w:color="auto" w:fill="auto"/>
            <w:noWrap/>
            <w:vAlign w:val="bottom"/>
            <w:hideMark/>
          </w:tcPr>
          <w:p w14:paraId="047D3BA5"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 xml:space="preserve">Male </w:t>
            </w:r>
          </w:p>
        </w:tc>
        <w:tc>
          <w:tcPr>
            <w:tcW w:w="960" w:type="dxa"/>
            <w:tcBorders>
              <w:top w:val="nil"/>
              <w:left w:val="nil"/>
              <w:right w:val="nil"/>
            </w:tcBorders>
            <w:shd w:val="clear" w:color="auto" w:fill="auto"/>
            <w:noWrap/>
            <w:vAlign w:val="bottom"/>
            <w:hideMark/>
          </w:tcPr>
          <w:p w14:paraId="5365D346"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47</w:t>
            </w:r>
          </w:p>
        </w:tc>
      </w:tr>
      <w:tr w:rsidR="00244248" w:rsidRPr="00464D1F" w14:paraId="5465AC0A" w14:textId="77777777" w:rsidTr="00214A11">
        <w:trPr>
          <w:trHeight w:hRule="exact" w:val="284"/>
        </w:trPr>
        <w:tc>
          <w:tcPr>
            <w:tcW w:w="1930" w:type="dxa"/>
            <w:tcBorders>
              <w:top w:val="nil"/>
              <w:left w:val="nil"/>
              <w:bottom w:val="single" w:sz="4" w:space="0" w:color="ED7D31" w:themeColor="accent2"/>
              <w:right w:val="nil"/>
            </w:tcBorders>
            <w:shd w:val="clear" w:color="auto" w:fill="auto"/>
            <w:noWrap/>
            <w:vAlign w:val="bottom"/>
            <w:hideMark/>
          </w:tcPr>
          <w:p w14:paraId="01D0253B"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Female</w:t>
            </w:r>
          </w:p>
        </w:tc>
        <w:tc>
          <w:tcPr>
            <w:tcW w:w="960" w:type="dxa"/>
            <w:tcBorders>
              <w:top w:val="nil"/>
              <w:left w:val="nil"/>
              <w:bottom w:val="single" w:sz="4" w:space="0" w:color="ED7D31" w:themeColor="accent2"/>
              <w:right w:val="nil"/>
            </w:tcBorders>
            <w:shd w:val="clear" w:color="auto" w:fill="auto"/>
            <w:noWrap/>
            <w:vAlign w:val="bottom"/>
            <w:hideMark/>
          </w:tcPr>
          <w:p w14:paraId="2930E8F4"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53</w:t>
            </w:r>
          </w:p>
        </w:tc>
      </w:tr>
      <w:tr w:rsidR="00244248" w:rsidRPr="00464D1F" w14:paraId="37026426" w14:textId="77777777" w:rsidTr="00214A11">
        <w:trPr>
          <w:trHeight w:hRule="exact" w:val="284"/>
        </w:trPr>
        <w:tc>
          <w:tcPr>
            <w:tcW w:w="2890" w:type="dxa"/>
            <w:gridSpan w:val="2"/>
            <w:tcBorders>
              <w:top w:val="nil"/>
              <w:left w:val="nil"/>
              <w:bottom w:val="nil"/>
              <w:right w:val="nil"/>
            </w:tcBorders>
            <w:shd w:val="clear" w:color="auto" w:fill="auto"/>
            <w:noWrap/>
            <w:vAlign w:val="bottom"/>
            <w:hideMark/>
          </w:tcPr>
          <w:p w14:paraId="5B85CC7B" w14:textId="77777777" w:rsidR="00244248" w:rsidRPr="00464D1F" w:rsidRDefault="00244248" w:rsidP="00335B25">
            <w:pPr>
              <w:rPr>
                <w:rFonts w:asciiTheme="majorHAnsi" w:eastAsia="Times New Roman" w:hAnsiTheme="majorHAnsi" w:cstheme="majorHAnsi"/>
                <w:b/>
                <w:bCs/>
                <w:color w:val="000000"/>
                <w:sz w:val="20"/>
                <w:szCs w:val="20"/>
                <w:lang w:eastAsia="en-AU"/>
              </w:rPr>
            </w:pPr>
            <w:r w:rsidRPr="00464D1F">
              <w:rPr>
                <w:rFonts w:asciiTheme="majorHAnsi" w:eastAsia="Times New Roman" w:hAnsiTheme="majorHAnsi" w:cstheme="majorHAnsi"/>
                <w:b/>
                <w:bCs/>
                <w:color w:val="000000"/>
                <w:sz w:val="20"/>
                <w:szCs w:val="20"/>
                <w:lang w:eastAsia="en-AU"/>
              </w:rPr>
              <w:t>Age group</w:t>
            </w:r>
          </w:p>
        </w:tc>
      </w:tr>
      <w:tr w:rsidR="00244248" w:rsidRPr="00464D1F" w14:paraId="59B65134" w14:textId="77777777" w:rsidTr="00214A11">
        <w:trPr>
          <w:trHeight w:hRule="exact" w:val="284"/>
        </w:trPr>
        <w:tc>
          <w:tcPr>
            <w:tcW w:w="1930" w:type="dxa"/>
            <w:tcBorders>
              <w:top w:val="nil"/>
              <w:left w:val="nil"/>
              <w:bottom w:val="nil"/>
              <w:right w:val="nil"/>
            </w:tcBorders>
            <w:shd w:val="clear" w:color="auto" w:fill="auto"/>
            <w:noWrap/>
            <w:vAlign w:val="bottom"/>
            <w:hideMark/>
          </w:tcPr>
          <w:p w14:paraId="71C8DAFF"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18-29</w:t>
            </w:r>
          </w:p>
        </w:tc>
        <w:tc>
          <w:tcPr>
            <w:tcW w:w="960" w:type="dxa"/>
            <w:tcBorders>
              <w:top w:val="nil"/>
              <w:left w:val="nil"/>
              <w:bottom w:val="nil"/>
              <w:right w:val="nil"/>
            </w:tcBorders>
            <w:shd w:val="clear" w:color="auto" w:fill="auto"/>
            <w:noWrap/>
            <w:vAlign w:val="bottom"/>
            <w:hideMark/>
          </w:tcPr>
          <w:p w14:paraId="418656A2"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21</w:t>
            </w:r>
          </w:p>
        </w:tc>
      </w:tr>
      <w:tr w:rsidR="00244248" w:rsidRPr="00464D1F" w14:paraId="16F1F890" w14:textId="77777777" w:rsidTr="00214A11">
        <w:trPr>
          <w:trHeight w:hRule="exact" w:val="284"/>
        </w:trPr>
        <w:tc>
          <w:tcPr>
            <w:tcW w:w="1930" w:type="dxa"/>
            <w:tcBorders>
              <w:top w:val="nil"/>
              <w:left w:val="nil"/>
              <w:bottom w:val="nil"/>
              <w:right w:val="nil"/>
            </w:tcBorders>
            <w:shd w:val="clear" w:color="auto" w:fill="auto"/>
            <w:noWrap/>
            <w:vAlign w:val="bottom"/>
            <w:hideMark/>
          </w:tcPr>
          <w:p w14:paraId="42561540"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30-49</w:t>
            </w:r>
          </w:p>
        </w:tc>
        <w:tc>
          <w:tcPr>
            <w:tcW w:w="960" w:type="dxa"/>
            <w:tcBorders>
              <w:top w:val="nil"/>
              <w:left w:val="nil"/>
              <w:bottom w:val="nil"/>
              <w:right w:val="nil"/>
            </w:tcBorders>
            <w:shd w:val="clear" w:color="auto" w:fill="auto"/>
            <w:noWrap/>
            <w:vAlign w:val="bottom"/>
            <w:hideMark/>
          </w:tcPr>
          <w:p w14:paraId="7B7A1E86"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47</w:t>
            </w:r>
          </w:p>
        </w:tc>
      </w:tr>
      <w:tr w:rsidR="00244248" w:rsidRPr="00464D1F" w14:paraId="4EEFFBBA" w14:textId="77777777" w:rsidTr="00214A11">
        <w:trPr>
          <w:trHeight w:hRule="exact" w:val="284"/>
        </w:trPr>
        <w:tc>
          <w:tcPr>
            <w:tcW w:w="1930" w:type="dxa"/>
            <w:tcBorders>
              <w:top w:val="nil"/>
              <w:left w:val="nil"/>
              <w:right w:val="nil"/>
            </w:tcBorders>
            <w:shd w:val="clear" w:color="auto" w:fill="auto"/>
            <w:noWrap/>
            <w:vAlign w:val="bottom"/>
            <w:hideMark/>
          </w:tcPr>
          <w:p w14:paraId="5BD965C8"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50-64</w:t>
            </w:r>
          </w:p>
        </w:tc>
        <w:tc>
          <w:tcPr>
            <w:tcW w:w="960" w:type="dxa"/>
            <w:tcBorders>
              <w:top w:val="nil"/>
              <w:left w:val="nil"/>
              <w:right w:val="nil"/>
            </w:tcBorders>
            <w:shd w:val="clear" w:color="auto" w:fill="auto"/>
            <w:noWrap/>
            <w:vAlign w:val="bottom"/>
            <w:hideMark/>
          </w:tcPr>
          <w:p w14:paraId="3E228FB6"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18</w:t>
            </w:r>
          </w:p>
        </w:tc>
      </w:tr>
      <w:tr w:rsidR="00244248" w:rsidRPr="00464D1F" w14:paraId="0D32E388" w14:textId="77777777" w:rsidTr="00214A11">
        <w:trPr>
          <w:trHeight w:hRule="exact" w:val="284"/>
        </w:trPr>
        <w:tc>
          <w:tcPr>
            <w:tcW w:w="1930" w:type="dxa"/>
            <w:tcBorders>
              <w:top w:val="nil"/>
              <w:left w:val="nil"/>
              <w:bottom w:val="single" w:sz="4" w:space="0" w:color="ED7D31" w:themeColor="accent2"/>
              <w:right w:val="nil"/>
            </w:tcBorders>
            <w:shd w:val="clear" w:color="auto" w:fill="auto"/>
            <w:noWrap/>
            <w:vAlign w:val="bottom"/>
            <w:hideMark/>
          </w:tcPr>
          <w:p w14:paraId="6798FAC4"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65+</w:t>
            </w:r>
          </w:p>
        </w:tc>
        <w:tc>
          <w:tcPr>
            <w:tcW w:w="960" w:type="dxa"/>
            <w:tcBorders>
              <w:top w:val="nil"/>
              <w:left w:val="nil"/>
              <w:bottom w:val="single" w:sz="4" w:space="0" w:color="ED7D31" w:themeColor="accent2"/>
              <w:right w:val="nil"/>
            </w:tcBorders>
            <w:shd w:val="clear" w:color="auto" w:fill="auto"/>
            <w:noWrap/>
            <w:vAlign w:val="bottom"/>
            <w:hideMark/>
          </w:tcPr>
          <w:p w14:paraId="72D91621"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14</w:t>
            </w:r>
          </w:p>
        </w:tc>
      </w:tr>
      <w:tr w:rsidR="00244248" w:rsidRPr="00464D1F" w14:paraId="2B402891" w14:textId="77777777" w:rsidTr="00214A11">
        <w:trPr>
          <w:trHeight w:hRule="exact" w:val="284"/>
        </w:trPr>
        <w:tc>
          <w:tcPr>
            <w:tcW w:w="2890" w:type="dxa"/>
            <w:gridSpan w:val="2"/>
            <w:tcBorders>
              <w:top w:val="nil"/>
              <w:left w:val="nil"/>
              <w:bottom w:val="single" w:sz="4" w:space="0" w:color="ED7D31" w:themeColor="accent2"/>
              <w:right w:val="nil"/>
            </w:tcBorders>
            <w:shd w:val="clear" w:color="auto" w:fill="auto"/>
            <w:noWrap/>
            <w:vAlign w:val="bottom"/>
            <w:hideMark/>
          </w:tcPr>
          <w:p w14:paraId="744F8F7A" w14:textId="77777777" w:rsidR="00244248" w:rsidRPr="00464D1F" w:rsidRDefault="00244248" w:rsidP="00335B25">
            <w:pPr>
              <w:rPr>
                <w:rFonts w:asciiTheme="majorHAnsi" w:eastAsia="Times New Roman" w:hAnsiTheme="majorHAnsi" w:cstheme="majorHAnsi"/>
                <w:b/>
                <w:bCs/>
                <w:color w:val="000000"/>
                <w:sz w:val="20"/>
                <w:szCs w:val="20"/>
                <w:lang w:eastAsia="en-AU"/>
              </w:rPr>
            </w:pPr>
            <w:r w:rsidRPr="00464D1F">
              <w:rPr>
                <w:rFonts w:asciiTheme="majorHAnsi" w:eastAsia="Times New Roman" w:hAnsiTheme="majorHAnsi" w:cstheme="majorHAnsi"/>
                <w:b/>
                <w:bCs/>
                <w:color w:val="000000"/>
                <w:sz w:val="20"/>
                <w:szCs w:val="20"/>
                <w:lang w:eastAsia="en-AU"/>
              </w:rPr>
              <w:t>Highest education level</w:t>
            </w:r>
          </w:p>
        </w:tc>
      </w:tr>
      <w:tr w:rsidR="00244248" w:rsidRPr="00464D1F" w14:paraId="4E82A5B3" w14:textId="77777777" w:rsidTr="00214A11">
        <w:trPr>
          <w:trHeight w:hRule="exact" w:val="284"/>
        </w:trPr>
        <w:tc>
          <w:tcPr>
            <w:tcW w:w="1930" w:type="dxa"/>
            <w:tcBorders>
              <w:top w:val="single" w:sz="4" w:space="0" w:color="ED7D31" w:themeColor="accent2"/>
              <w:left w:val="nil"/>
              <w:bottom w:val="nil"/>
              <w:right w:val="nil"/>
            </w:tcBorders>
            <w:shd w:val="clear" w:color="auto" w:fill="auto"/>
            <w:noWrap/>
            <w:vAlign w:val="bottom"/>
            <w:hideMark/>
          </w:tcPr>
          <w:p w14:paraId="57611638"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Postgraduate</w:t>
            </w:r>
          </w:p>
        </w:tc>
        <w:tc>
          <w:tcPr>
            <w:tcW w:w="960" w:type="dxa"/>
            <w:tcBorders>
              <w:top w:val="single" w:sz="4" w:space="0" w:color="ED7D31" w:themeColor="accent2"/>
              <w:left w:val="nil"/>
              <w:bottom w:val="nil"/>
              <w:right w:val="nil"/>
            </w:tcBorders>
            <w:shd w:val="clear" w:color="auto" w:fill="auto"/>
            <w:noWrap/>
            <w:vAlign w:val="bottom"/>
            <w:hideMark/>
          </w:tcPr>
          <w:p w14:paraId="429E507D"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15</w:t>
            </w:r>
          </w:p>
        </w:tc>
      </w:tr>
      <w:tr w:rsidR="00244248" w:rsidRPr="00464D1F" w14:paraId="375E5711" w14:textId="77777777" w:rsidTr="00214A11">
        <w:trPr>
          <w:trHeight w:hRule="exact" w:val="284"/>
        </w:trPr>
        <w:tc>
          <w:tcPr>
            <w:tcW w:w="1930" w:type="dxa"/>
            <w:tcBorders>
              <w:top w:val="nil"/>
              <w:left w:val="nil"/>
              <w:bottom w:val="nil"/>
              <w:right w:val="nil"/>
            </w:tcBorders>
            <w:shd w:val="clear" w:color="auto" w:fill="auto"/>
            <w:noWrap/>
            <w:vAlign w:val="bottom"/>
            <w:hideMark/>
          </w:tcPr>
          <w:p w14:paraId="051B9926"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Bachelors</w:t>
            </w:r>
          </w:p>
        </w:tc>
        <w:tc>
          <w:tcPr>
            <w:tcW w:w="960" w:type="dxa"/>
            <w:tcBorders>
              <w:top w:val="nil"/>
              <w:left w:val="nil"/>
              <w:bottom w:val="nil"/>
              <w:right w:val="nil"/>
            </w:tcBorders>
            <w:shd w:val="clear" w:color="auto" w:fill="auto"/>
            <w:noWrap/>
            <w:vAlign w:val="bottom"/>
            <w:hideMark/>
          </w:tcPr>
          <w:p w14:paraId="0ECF0779"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15</w:t>
            </w:r>
          </w:p>
        </w:tc>
      </w:tr>
      <w:tr w:rsidR="00244248" w:rsidRPr="00464D1F" w14:paraId="3995AC6C" w14:textId="77777777" w:rsidTr="00214A11">
        <w:trPr>
          <w:trHeight w:hRule="exact" w:val="284"/>
        </w:trPr>
        <w:tc>
          <w:tcPr>
            <w:tcW w:w="1930" w:type="dxa"/>
            <w:tcBorders>
              <w:top w:val="nil"/>
              <w:left w:val="nil"/>
              <w:right w:val="nil"/>
            </w:tcBorders>
            <w:shd w:val="clear" w:color="auto" w:fill="auto"/>
            <w:noWrap/>
            <w:vAlign w:val="bottom"/>
            <w:hideMark/>
          </w:tcPr>
          <w:p w14:paraId="393F042A"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Diploma or Cert III/IV</w:t>
            </w:r>
          </w:p>
        </w:tc>
        <w:tc>
          <w:tcPr>
            <w:tcW w:w="960" w:type="dxa"/>
            <w:tcBorders>
              <w:top w:val="nil"/>
              <w:left w:val="nil"/>
              <w:right w:val="nil"/>
            </w:tcBorders>
            <w:shd w:val="clear" w:color="auto" w:fill="auto"/>
            <w:noWrap/>
            <w:vAlign w:val="bottom"/>
            <w:hideMark/>
          </w:tcPr>
          <w:p w14:paraId="418F82B2"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38</w:t>
            </w:r>
          </w:p>
        </w:tc>
      </w:tr>
      <w:tr w:rsidR="00244248" w:rsidRPr="00464D1F" w14:paraId="36EDCFC7" w14:textId="77777777" w:rsidTr="00214A11">
        <w:trPr>
          <w:trHeight w:hRule="exact" w:val="284"/>
        </w:trPr>
        <w:tc>
          <w:tcPr>
            <w:tcW w:w="1930" w:type="dxa"/>
            <w:tcBorders>
              <w:top w:val="nil"/>
              <w:left w:val="nil"/>
              <w:bottom w:val="single" w:sz="4" w:space="0" w:color="ED7D31" w:themeColor="accent2"/>
              <w:right w:val="nil"/>
            </w:tcBorders>
            <w:shd w:val="clear" w:color="auto" w:fill="auto"/>
            <w:noWrap/>
            <w:vAlign w:val="bottom"/>
            <w:hideMark/>
          </w:tcPr>
          <w:p w14:paraId="3E048932"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Year 12 or below</w:t>
            </w:r>
          </w:p>
        </w:tc>
        <w:tc>
          <w:tcPr>
            <w:tcW w:w="960" w:type="dxa"/>
            <w:tcBorders>
              <w:top w:val="nil"/>
              <w:left w:val="nil"/>
              <w:bottom w:val="single" w:sz="4" w:space="0" w:color="ED7D31" w:themeColor="accent2"/>
              <w:right w:val="nil"/>
            </w:tcBorders>
            <w:shd w:val="clear" w:color="auto" w:fill="auto"/>
            <w:noWrap/>
            <w:vAlign w:val="bottom"/>
            <w:hideMark/>
          </w:tcPr>
          <w:p w14:paraId="4F101476"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32</w:t>
            </w:r>
          </w:p>
        </w:tc>
      </w:tr>
      <w:tr w:rsidR="00244248" w:rsidRPr="00464D1F" w14:paraId="6D277B72" w14:textId="77777777" w:rsidTr="00214A11">
        <w:trPr>
          <w:trHeight w:hRule="exact" w:val="284"/>
        </w:trPr>
        <w:tc>
          <w:tcPr>
            <w:tcW w:w="1930" w:type="dxa"/>
            <w:tcBorders>
              <w:top w:val="single" w:sz="4" w:space="0" w:color="ED7D31" w:themeColor="accent2"/>
              <w:left w:val="nil"/>
              <w:bottom w:val="single" w:sz="4" w:space="0" w:color="ED7D31" w:themeColor="accent2"/>
              <w:right w:val="nil"/>
            </w:tcBorders>
            <w:shd w:val="clear" w:color="auto" w:fill="auto"/>
            <w:noWrap/>
            <w:vAlign w:val="bottom"/>
            <w:hideMark/>
          </w:tcPr>
          <w:p w14:paraId="5C48E81F" w14:textId="77777777" w:rsidR="00244248" w:rsidRPr="00464D1F" w:rsidRDefault="00244248" w:rsidP="00335B25">
            <w:pPr>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Total</w:t>
            </w:r>
          </w:p>
        </w:tc>
        <w:tc>
          <w:tcPr>
            <w:tcW w:w="960" w:type="dxa"/>
            <w:tcBorders>
              <w:top w:val="single" w:sz="4" w:space="0" w:color="ED7D31" w:themeColor="accent2"/>
              <w:left w:val="nil"/>
              <w:bottom w:val="single" w:sz="4" w:space="0" w:color="ED7D31" w:themeColor="accent2"/>
              <w:right w:val="nil"/>
            </w:tcBorders>
            <w:shd w:val="clear" w:color="auto" w:fill="auto"/>
            <w:noWrap/>
            <w:vAlign w:val="bottom"/>
            <w:hideMark/>
          </w:tcPr>
          <w:p w14:paraId="73FDDD80" w14:textId="77777777" w:rsidR="00244248" w:rsidRPr="00464D1F" w:rsidRDefault="00244248" w:rsidP="00335B25">
            <w:pPr>
              <w:jc w:val="right"/>
              <w:rPr>
                <w:rFonts w:asciiTheme="majorHAnsi" w:eastAsia="Times New Roman" w:hAnsiTheme="majorHAnsi" w:cstheme="majorHAnsi"/>
                <w:color w:val="000000"/>
                <w:sz w:val="20"/>
                <w:szCs w:val="20"/>
                <w:lang w:eastAsia="en-AU"/>
              </w:rPr>
            </w:pPr>
            <w:r w:rsidRPr="00464D1F">
              <w:rPr>
                <w:rFonts w:asciiTheme="majorHAnsi" w:eastAsia="Times New Roman" w:hAnsiTheme="majorHAnsi" w:cstheme="majorHAnsi"/>
                <w:color w:val="000000"/>
                <w:sz w:val="20"/>
                <w:szCs w:val="20"/>
                <w:lang w:eastAsia="en-AU"/>
              </w:rPr>
              <w:t>36</w:t>
            </w:r>
          </w:p>
        </w:tc>
      </w:tr>
    </w:tbl>
    <w:p w14:paraId="1EB7BFAC" w14:textId="77777777" w:rsidR="00244248" w:rsidRDefault="00244248" w:rsidP="00244248">
      <w:pPr>
        <w:spacing w:after="120"/>
        <w:jc w:val="both"/>
      </w:pPr>
    </w:p>
    <w:p w14:paraId="47AE6811" w14:textId="742B16EB" w:rsidR="002A51B7" w:rsidRDefault="00244248" w:rsidP="00244248">
      <w:pPr>
        <w:spacing w:after="120"/>
        <w:jc w:val="both"/>
      </w:pPr>
      <w:r>
        <w:t xml:space="preserve">As with paid parental leave, respondents were also asked who should pay for the cost of subsidised </w:t>
      </w:r>
      <w:r w:rsidR="008D52A6">
        <w:t>child care</w:t>
      </w:r>
      <w:r>
        <w:t xml:space="preserve">. 75% </w:t>
      </w:r>
      <w:r w:rsidR="0084678F">
        <w:t>reported that</w:t>
      </w:r>
      <w:r>
        <w:t xml:space="preserve"> it should be the Government </w:t>
      </w:r>
      <w:r w:rsidR="0084678F">
        <w:t xml:space="preserve">who subsidised the cost of </w:t>
      </w:r>
      <w:r w:rsidR="008D52A6">
        <w:t>child care</w:t>
      </w:r>
      <w:r w:rsidR="0084678F">
        <w:t xml:space="preserve">, which is considerably higher than the </w:t>
      </w:r>
      <w:r>
        <w:t xml:space="preserve">40% who responded </w:t>
      </w:r>
      <w:r w:rsidR="00342652">
        <w:t>the Government should cover</w:t>
      </w:r>
      <w:r>
        <w:t xml:space="preserve"> paid parental leave. A further 4% said the employer, 20% the government and employer together, and 1% other. </w:t>
      </w:r>
    </w:p>
    <w:p w14:paraId="51211D36" w14:textId="0EB4584F" w:rsidR="002A51B7" w:rsidRDefault="002A51B7" w:rsidP="00244248">
      <w:pPr>
        <w:spacing w:after="120"/>
        <w:jc w:val="both"/>
      </w:pPr>
    </w:p>
    <w:p w14:paraId="4323F446" w14:textId="5436420C" w:rsidR="006D28E6" w:rsidRDefault="006D28E6" w:rsidP="006D28E6">
      <w:pPr>
        <w:pStyle w:val="Heading2"/>
        <w:numPr>
          <w:ilvl w:val="1"/>
          <w:numId w:val="37"/>
        </w:numPr>
        <w:ind w:left="0" w:firstLine="0"/>
      </w:pPr>
      <w:bookmarkStart w:id="248" w:name="_Toc87454676"/>
      <w:bookmarkStart w:id="249" w:name="_Toc98404998"/>
      <w:r>
        <w:t>Conclusion</w:t>
      </w:r>
      <w:bookmarkEnd w:id="248"/>
      <w:bookmarkEnd w:id="249"/>
    </w:p>
    <w:p w14:paraId="397490C7" w14:textId="023DA4FA" w:rsidR="009B4ADE" w:rsidRDefault="002A51B7" w:rsidP="002A51B7">
      <w:pPr>
        <w:spacing w:after="120"/>
        <w:jc w:val="both"/>
      </w:pPr>
      <w:r>
        <w:t xml:space="preserve">The results from the ANUPoll </w:t>
      </w:r>
      <w:r w:rsidR="009B4ADE">
        <w:t>provide new information on what Australians in reproductive ages think are important when considering having children, and about the policies that can support that. The results are consistent with the literature review, and provide additional information not available through the HILDA analysis</w:t>
      </w:r>
      <w:r>
        <w:t>.</w:t>
      </w:r>
    </w:p>
    <w:p w14:paraId="5DC84276" w14:textId="422A77DF" w:rsidR="009B4ADE" w:rsidRDefault="009B4ADE" w:rsidP="009B4ADE">
      <w:pPr>
        <w:spacing w:after="120"/>
        <w:jc w:val="both"/>
      </w:pPr>
      <w:r>
        <w:t xml:space="preserve">The survey shows that economic considerations are an important factor when thinking about future childbearing plans. In particular, the costs of raising children, and job security after having children were the factors considered most important. In addition, being able to buy a home, or a better home, was also listed as extremely important, especially for younger respondents and those with lower levels of education. </w:t>
      </w:r>
    </w:p>
    <w:p w14:paraId="66AA983F" w14:textId="2DD9E346" w:rsidR="009B4ADE" w:rsidRDefault="0084678F" w:rsidP="009B4ADE">
      <w:pPr>
        <w:spacing w:after="120"/>
        <w:jc w:val="both"/>
      </w:pPr>
      <w:r>
        <w:t xml:space="preserve">An important consideration when considering changes to fertility plans, is the potential impact of the COVID-19 pandemic. </w:t>
      </w:r>
      <w:r w:rsidR="009B4ADE">
        <w:t xml:space="preserve">Overall </w:t>
      </w:r>
      <w:r>
        <w:t xml:space="preserve">the results showed that </w:t>
      </w:r>
      <w:r w:rsidR="009B4ADE">
        <w:t>COVID-19 had not changed the childbearing plans of the majority of respondents</w:t>
      </w:r>
      <w:r>
        <w:t>,</w:t>
      </w:r>
      <w:r w:rsidR="009B4ADE">
        <w:t xml:space="preserve"> although </w:t>
      </w:r>
      <w:r>
        <w:t xml:space="preserve">a not insubstantial </w:t>
      </w:r>
      <w:r w:rsidR="009B4ADE">
        <w:t xml:space="preserve">19% did indicate that the spread of the pandemic had made having children in the future a lot less likely. </w:t>
      </w:r>
    </w:p>
    <w:p w14:paraId="399F9648" w14:textId="7C32D6EE" w:rsidR="009B4ADE" w:rsidRDefault="0084678F" w:rsidP="009B4ADE">
      <w:pPr>
        <w:spacing w:after="120"/>
        <w:jc w:val="both"/>
      </w:pPr>
      <w:r>
        <w:t>With regard to policies that can support parents with children, the results from the survey indicate that the s</w:t>
      </w:r>
      <w:r w:rsidR="009B4ADE">
        <w:t>upport for paid parental leave was very high</w:t>
      </w:r>
      <w:r>
        <w:t xml:space="preserve">. More </w:t>
      </w:r>
      <w:r w:rsidR="009B4ADE">
        <w:t>than 80% of respondents indicating there should be paid parental leave if one parent stops working to look after a newborn. Most respondents believed either just the Government, or a combination of Government and employers should pay for parental leave. Parental leave had higher support from people with a Bachelor’s degree.</w:t>
      </w:r>
      <w:r>
        <w:t xml:space="preserve"> This strong support for paid parental leave highlights the findings already shown in the literature review and the HILDA analysis which both find that parental leave has a positive impact on fertility.</w:t>
      </w:r>
    </w:p>
    <w:p w14:paraId="11EECA83" w14:textId="34351540" w:rsidR="009B4ADE" w:rsidRDefault="009B4ADE" w:rsidP="009B4ADE">
      <w:pPr>
        <w:spacing w:after="120"/>
        <w:jc w:val="both"/>
      </w:pPr>
      <w:r>
        <w:t xml:space="preserve">Support for subsidised </w:t>
      </w:r>
      <w:r w:rsidR="008D52A6">
        <w:t>child care</w:t>
      </w:r>
      <w:r>
        <w:t xml:space="preserve"> was also very high. </w:t>
      </w:r>
      <w:r w:rsidR="0084678F">
        <w:t xml:space="preserve">Three-quarters (75%) of respondents felt the Government should pay for subsidised </w:t>
      </w:r>
      <w:r w:rsidR="008D52A6">
        <w:t>child care</w:t>
      </w:r>
      <w:r w:rsidR="0084678F">
        <w:t xml:space="preserve">. </w:t>
      </w:r>
      <w:r>
        <w:t xml:space="preserve">Only 10-12% of respondents felt that there should be no subsidised </w:t>
      </w:r>
      <w:r w:rsidR="008D52A6">
        <w:t>child care</w:t>
      </w:r>
      <w:r>
        <w:t xml:space="preserve"> at all. The provision of government support for </w:t>
      </w:r>
      <w:r w:rsidR="008D52A6">
        <w:t>child care</w:t>
      </w:r>
      <w:r>
        <w:t xml:space="preserve"> had higher support from those without a university qualification.</w:t>
      </w:r>
      <w:r w:rsidR="00342652">
        <w:t xml:space="preserve"> In other countries, the availability of high quality, relatively affordable, subsidised </w:t>
      </w:r>
      <w:r w:rsidR="008D52A6">
        <w:t>child care</w:t>
      </w:r>
      <w:r w:rsidR="00342652">
        <w:t xml:space="preserve"> is found to increase fertility. While this research was unable to assess the impact of </w:t>
      </w:r>
      <w:r w:rsidR="008D52A6">
        <w:t>child care</w:t>
      </w:r>
      <w:r w:rsidR="00342652">
        <w:t xml:space="preserve"> policy implementation in Australia, these results suggest that </w:t>
      </w:r>
      <w:r w:rsidR="008D52A6">
        <w:t>child care</w:t>
      </w:r>
      <w:r w:rsidR="00342652">
        <w:t xml:space="preserve"> is an important factor that parents take into consideration when thinking about building a family. </w:t>
      </w:r>
    </w:p>
    <w:p w14:paraId="4F1E85FF" w14:textId="38694478" w:rsidR="002A51B7" w:rsidRDefault="002A51B7" w:rsidP="002A51B7">
      <w:pPr>
        <w:spacing w:after="120"/>
        <w:jc w:val="both"/>
      </w:pPr>
      <w:r>
        <w:t xml:space="preserve"> </w:t>
      </w:r>
    </w:p>
    <w:p w14:paraId="16589673" w14:textId="77777777" w:rsidR="002A51B7" w:rsidRDefault="002A51B7" w:rsidP="002A51B7">
      <w:pPr>
        <w:spacing w:after="120"/>
        <w:jc w:val="both"/>
        <w:sectPr w:rsidR="002A51B7" w:rsidSect="00335B25">
          <w:pgSz w:w="11900" w:h="16840"/>
          <w:pgMar w:top="1440" w:right="1440" w:bottom="1440" w:left="1440" w:header="708" w:footer="708" w:gutter="0"/>
          <w:cols w:space="708"/>
          <w:docGrid w:linePitch="360"/>
        </w:sectPr>
      </w:pPr>
    </w:p>
    <w:p w14:paraId="06D23C34" w14:textId="283D8052" w:rsidR="00EB652E" w:rsidRPr="00DD2B21" w:rsidRDefault="00EB652E" w:rsidP="0072740A">
      <w:pPr>
        <w:pStyle w:val="Heading1"/>
        <w:numPr>
          <w:ilvl w:val="0"/>
          <w:numId w:val="0"/>
        </w:numPr>
        <w:ind w:left="432" w:hanging="432"/>
        <w:rPr>
          <w:sz w:val="28"/>
          <w:szCs w:val="28"/>
          <w:lang w:val="it-IT"/>
        </w:rPr>
      </w:pPr>
      <w:bookmarkStart w:id="250" w:name="_Toc87454677"/>
      <w:bookmarkStart w:id="251" w:name="_Toc98404999"/>
      <w:r w:rsidRPr="00DD2B21">
        <w:rPr>
          <w:rFonts w:eastAsiaTheme="minorHAnsi"/>
          <w:sz w:val="28"/>
          <w:szCs w:val="28"/>
          <w:lang w:val="it-IT"/>
        </w:rPr>
        <w:lastRenderedPageBreak/>
        <w:t>References</w:t>
      </w:r>
      <w:bookmarkEnd w:id="250"/>
      <w:bookmarkEnd w:id="251"/>
    </w:p>
    <w:p w14:paraId="6093C8F4" w14:textId="20913313" w:rsidR="00F94DD4" w:rsidRPr="00DD2B21" w:rsidRDefault="00F94DD4" w:rsidP="00F94DD4">
      <w:pPr>
        <w:rPr>
          <w:color w:val="222222"/>
          <w:sz w:val="20"/>
          <w:szCs w:val="20"/>
          <w:shd w:val="clear" w:color="auto" w:fill="FFFFFF"/>
          <w:lang w:val="it-IT"/>
        </w:rPr>
      </w:pPr>
    </w:p>
    <w:p w14:paraId="673078DE" w14:textId="77777777" w:rsidR="00E37A3B" w:rsidRDefault="00E37A3B" w:rsidP="00E37A3B">
      <w:pPr>
        <w:ind w:left="567" w:hanging="567"/>
        <w:jc w:val="both"/>
        <w:rPr>
          <w:color w:val="222222"/>
          <w:sz w:val="20"/>
          <w:szCs w:val="20"/>
          <w:shd w:val="clear" w:color="auto" w:fill="FFFFFF"/>
        </w:rPr>
      </w:pPr>
      <w:r w:rsidRPr="00E37A3B">
        <w:rPr>
          <w:color w:val="222222"/>
          <w:sz w:val="20"/>
          <w:szCs w:val="20"/>
          <w:shd w:val="clear" w:color="auto" w:fill="FFFFFF"/>
          <w:lang w:val="it-IT"/>
        </w:rPr>
        <w:t xml:space="preserve">Aassve,  A.,  Cavalli,  N.,  Mencarini,  L.,  Plach,  S.,  &amp;  Livi  Bacci,  M.  </w:t>
      </w:r>
      <w:r w:rsidRPr="00651FAB">
        <w:rPr>
          <w:color w:val="222222"/>
          <w:sz w:val="20"/>
          <w:szCs w:val="20"/>
          <w:shd w:val="clear" w:color="auto" w:fill="FFFFFF"/>
        </w:rPr>
        <w:t>(2020).  The  COVID-19 pandemic and human fertility</w:t>
      </w:r>
      <w:r w:rsidRPr="007235F6">
        <w:rPr>
          <w:i/>
          <w:iCs/>
          <w:color w:val="222222"/>
          <w:sz w:val="20"/>
          <w:szCs w:val="20"/>
          <w:shd w:val="clear" w:color="auto" w:fill="FFFFFF"/>
        </w:rPr>
        <w:t>. Science</w:t>
      </w:r>
      <w:r w:rsidRPr="00651FAB">
        <w:rPr>
          <w:color w:val="222222"/>
          <w:sz w:val="20"/>
          <w:szCs w:val="20"/>
          <w:shd w:val="clear" w:color="auto" w:fill="FFFFFF"/>
        </w:rPr>
        <w:t>, 369, 6502, 370–371.</w:t>
      </w:r>
    </w:p>
    <w:p w14:paraId="4999CD7D" w14:textId="214B4119"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Aassve, A., &amp; Lappegård, T. (2009). </w:t>
      </w:r>
      <w:r w:rsidR="008D52A6">
        <w:rPr>
          <w:color w:val="222222"/>
          <w:sz w:val="20"/>
          <w:szCs w:val="20"/>
          <w:shd w:val="clear" w:color="auto" w:fill="FFFFFF"/>
        </w:rPr>
        <w:t>Child care</w:t>
      </w:r>
      <w:r w:rsidRPr="0075220B">
        <w:rPr>
          <w:color w:val="222222"/>
          <w:sz w:val="20"/>
          <w:szCs w:val="20"/>
          <w:shd w:val="clear" w:color="auto" w:fill="FFFFFF"/>
        </w:rPr>
        <w:t xml:space="preserve"> cash benefits and fertility timing in Norway. </w:t>
      </w:r>
      <w:r w:rsidRPr="007235F6">
        <w:rPr>
          <w:i/>
          <w:iCs/>
          <w:color w:val="222222"/>
          <w:sz w:val="20"/>
          <w:szCs w:val="20"/>
          <w:shd w:val="clear" w:color="auto" w:fill="FFFFFF"/>
        </w:rPr>
        <w:t>European Journal of Population/Revue européenne de démographie</w:t>
      </w:r>
      <w:r w:rsidRPr="0075220B">
        <w:rPr>
          <w:color w:val="222222"/>
          <w:sz w:val="20"/>
          <w:szCs w:val="20"/>
          <w:shd w:val="clear" w:color="auto" w:fill="FFFFFF"/>
        </w:rPr>
        <w:t>, 25(1), 67</w:t>
      </w:r>
      <w:r w:rsidR="001534B5">
        <w:rPr>
          <w:color w:val="222222"/>
          <w:sz w:val="20"/>
          <w:szCs w:val="20"/>
          <w:shd w:val="clear" w:color="auto" w:fill="FFFFFF"/>
        </w:rPr>
        <w:t>–</w:t>
      </w:r>
      <w:r w:rsidRPr="0075220B">
        <w:rPr>
          <w:color w:val="222222"/>
          <w:sz w:val="20"/>
          <w:szCs w:val="20"/>
          <w:shd w:val="clear" w:color="auto" w:fill="FFFFFF"/>
        </w:rPr>
        <w:t>88.</w:t>
      </w:r>
    </w:p>
    <w:p w14:paraId="71F31A73" w14:textId="7C08E61C"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Adamson, G. D., de Mouzon, J., Chambers, G. M., Zegers-Hochschild, F., Mansour, R., Ishihara, O., . . . Dyer, S. (2018). International Committee for Monitoring Assisted Reproductive Technology: world report on assisted reproductive technology, 2011. </w:t>
      </w:r>
      <w:r w:rsidRPr="007235F6">
        <w:rPr>
          <w:i/>
          <w:iCs/>
          <w:color w:val="222222"/>
          <w:sz w:val="20"/>
          <w:szCs w:val="20"/>
          <w:shd w:val="clear" w:color="auto" w:fill="FFFFFF"/>
        </w:rPr>
        <w:t>Fertility and Sterility</w:t>
      </w:r>
      <w:r w:rsidRPr="0075220B">
        <w:rPr>
          <w:color w:val="222222"/>
          <w:sz w:val="20"/>
          <w:szCs w:val="20"/>
          <w:shd w:val="clear" w:color="auto" w:fill="FFFFFF"/>
        </w:rPr>
        <w:t xml:space="preserve">, </w:t>
      </w:r>
      <w:r w:rsidR="001534B5" w:rsidRPr="007235F6">
        <w:rPr>
          <w:color w:val="222222"/>
          <w:sz w:val="20"/>
          <w:szCs w:val="20"/>
          <w:shd w:val="clear" w:color="auto" w:fill="FFFFFF"/>
        </w:rPr>
        <w:t>110(6),</w:t>
      </w:r>
      <w:r w:rsidRPr="0075220B">
        <w:rPr>
          <w:color w:val="222222"/>
          <w:sz w:val="20"/>
          <w:szCs w:val="20"/>
          <w:shd w:val="clear" w:color="auto" w:fill="FFFFFF"/>
        </w:rPr>
        <w:t>1067-1080.</w:t>
      </w:r>
    </w:p>
    <w:p w14:paraId="164AA24B" w14:textId="77777777" w:rsidR="00E37A3B" w:rsidRPr="0075220B" w:rsidRDefault="00E37A3B" w:rsidP="00E37A3B">
      <w:pPr>
        <w:ind w:left="567" w:hanging="567"/>
        <w:jc w:val="both"/>
        <w:rPr>
          <w:color w:val="222222"/>
          <w:sz w:val="20"/>
          <w:szCs w:val="20"/>
          <w:shd w:val="clear" w:color="auto" w:fill="FFFFFF"/>
        </w:rPr>
      </w:pPr>
      <w:r w:rsidRPr="00E37A3B">
        <w:rPr>
          <w:color w:val="222222"/>
          <w:sz w:val="20"/>
          <w:szCs w:val="20"/>
          <w:shd w:val="clear" w:color="auto" w:fill="FFFFFF"/>
          <w:lang w:val="it-IT"/>
        </w:rPr>
        <w:t xml:space="preserve">Adema, W., Ali, N., &amp; Thévenon, O. (2014). </w:t>
      </w:r>
      <w:r w:rsidRPr="0075220B">
        <w:rPr>
          <w:color w:val="222222"/>
          <w:sz w:val="20"/>
          <w:szCs w:val="20"/>
          <w:shd w:val="clear" w:color="auto" w:fill="FFFFFF"/>
        </w:rPr>
        <w:t>Changes in family policies and outcomes: Is there convergence? OECD Social, Employment and Migration Working Papers. No. 157. Paris: OECD</w:t>
      </w:r>
    </w:p>
    <w:p w14:paraId="4840DC1B" w14:textId="04B0DEE9" w:rsidR="00E37A3B" w:rsidRPr="00E37A3B" w:rsidRDefault="00E37A3B" w:rsidP="00E37A3B">
      <w:pPr>
        <w:ind w:left="567" w:hanging="567"/>
        <w:jc w:val="both"/>
        <w:rPr>
          <w:color w:val="222222"/>
          <w:sz w:val="20"/>
          <w:szCs w:val="20"/>
          <w:shd w:val="clear" w:color="auto" w:fill="FFFFFF"/>
        </w:rPr>
      </w:pPr>
      <w:r w:rsidRPr="00E37A3B">
        <w:rPr>
          <w:color w:val="222222"/>
          <w:sz w:val="20"/>
          <w:szCs w:val="20"/>
          <w:shd w:val="clear" w:color="auto" w:fill="FFFFFF"/>
        </w:rPr>
        <w:t xml:space="preserve">Adsera, A. (2004). Changing fertility rates in developed countries. </w:t>
      </w:r>
      <w:r>
        <w:rPr>
          <w:color w:val="222222"/>
          <w:sz w:val="20"/>
          <w:szCs w:val="20"/>
          <w:shd w:val="clear" w:color="auto" w:fill="FFFFFF"/>
        </w:rPr>
        <w:t xml:space="preserve">The impact of labor market institutions. </w:t>
      </w:r>
      <w:r w:rsidRPr="007235F6">
        <w:rPr>
          <w:i/>
          <w:iCs/>
          <w:color w:val="222222"/>
          <w:sz w:val="20"/>
          <w:szCs w:val="20"/>
          <w:shd w:val="clear" w:color="auto" w:fill="FFFFFF"/>
        </w:rPr>
        <w:t>Journal of Population Economics</w:t>
      </w:r>
      <w:r>
        <w:rPr>
          <w:color w:val="222222"/>
          <w:sz w:val="20"/>
          <w:szCs w:val="20"/>
          <w:shd w:val="clear" w:color="auto" w:fill="FFFFFF"/>
        </w:rPr>
        <w:t>, 17(1): 17</w:t>
      </w:r>
      <w:r w:rsidR="001534B5">
        <w:rPr>
          <w:color w:val="222222"/>
          <w:sz w:val="20"/>
          <w:szCs w:val="20"/>
          <w:shd w:val="clear" w:color="auto" w:fill="FFFFFF"/>
        </w:rPr>
        <w:t>–</w:t>
      </w:r>
      <w:r>
        <w:rPr>
          <w:color w:val="222222"/>
          <w:sz w:val="20"/>
          <w:szCs w:val="20"/>
          <w:shd w:val="clear" w:color="auto" w:fill="FFFFFF"/>
        </w:rPr>
        <w:t>43.</w:t>
      </w:r>
    </w:p>
    <w:p w14:paraId="7B48CEDF" w14:textId="106438F6"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Ajzen, I., &amp; Klobas, J. (2013). Fertility intentions: An approach based on the theory of planned behaviour. </w:t>
      </w:r>
      <w:r w:rsidRPr="007235F6">
        <w:rPr>
          <w:i/>
          <w:iCs/>
          <w:color w:val="222222"/>
          <w:sz w:val="20"/>
          <w:szCs w:val="20"/>
          <w:shd w:val="clear" w:color="auto" w:fill="FFFFFF"/>
        </w:rPr>
        <w:t>Demographic Research</w:t>
      </w:r>
      <w:r w:rsidRPr="0075220B">
        <w:rPr>
          <w:color w:val="222222"/>
          <w:sz w:val="20"/>
          <w:szCs w:val="20"/>
          <w:shd w:val="clear" w:color="auto" w:fill="FFFFFF"/>
        </w:rPr>
        <w:t>, 29(8), 203</w:t>
      </w:r>
      <w:r w:rsidR="001534B5">
        <w:rPr>
          <w:color w:val="222222"/>
          <w:sz w:val="20"/>
          <w:szCs w:val="20"/>
          <w:shd w:val="clear" w:color="auto" w:fill="FFFFFF"/>
        </w:rPr>
        <w:t>–</w:t>
      </w:r>
      <w:r w:rsidRPr="0075220B">
        <w:rPr>
          <w:color w:val="222222"/>
          <w:sz w:val="20"/>
          <w:szCs w:val="20"/>
          <w:shd w:val="clear" w:color="auto" w:fill="FFFFFF"/>
        </w:rPr>
        <w:t>232.</w:t>
      </w:r>
    </w:p>
    <w:p w14:paraId="333543C3" w14:textId="6FE9DE33"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Allan, S., Balaban, B., Banker, M., Buster, J., Horton, M., Miller, K., . . . Zegers-Hochschild, F. (2019). International Federation of Fertility Societies Surveillance (IFFS) 2019: Global trends in reproductive policy and practice, 8th Edition. </w:t>
      </w:r>
      <w:r w:rsidRPr="007235F6">
        <w:rPr>
          <w:i/>
          <w:iCs/>
          <w:color w:val="222222"/>
          <w:sz w:val="20"/>
          <w:szCs w:val="20"/>
          <w:shd w:val="clear" w:color="auto" w:fill="FFFFFF"/>
        </w:rPr>
        <w:t>Global Reproductive Health</w:t>
      </w:r>
      <w:r w:rsidRPr="0075220B">
        <w:rPr>
          <w:color w:val="222222"/>
          <w:sz w:val="20"/>
          <w:szCs w:val="20"/>
          <w:shd w:val="clear" w:color="auto" w:fill="FFFFFF"/>
        </w:rPr>
        <w:t>, 4(1), 1</w:t>
      </w:r>
      <w:r w:rsidR="001534B5">
        <w:rPr>
          <w:color w:val="222222"/>
          <w:sz w:val="20"/>
          <w:szCs w:val="20"/>
          <w:shd w:val="clear" w:color="auto" w:fill="FFFFFF"/>
        </w:rPr>
        <w:t>–</w:t>
      </w:r>
      <w:r w:rsidRPr="0075220B">
        <w:rPr>
          <w:color w:val="222222"/>
          <w:sz w:val="20"/>
          <w:szCs w:val="20"/>
          <w:shd w:val="clear" w:color="auto" w:fill="FFFFFF"/>
        </w:rPr>
        <w:t xml:space="preserve">138. </w:t>
      </w:r>
    </w:p>
    <w:p w14:paraId="1D75685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Anderson, T., &amp; Kohler, H.-P. (2013). Education fever and the East-Asian fertility puzzle. </w:t>
      </w:r>
      <w:r w:rsidRPr="007235F6">
        <w:rPr>
          <w:i/>
          <w:iCs/>
          <w:color w:val="222222"/>
          <w:sz w:val="20"/>
          <w:szCs w:val="20"/>
          <w:shd w:val="clear" w:color="auto" w:fill="FFFFFF"/>
        </w:rPr>
        <w:t>Asian Population Studies</w:t>
      </w:r>
      <w:r w:rsidRPr="0075220B">
        <w:rPr>
          <w:color w:val="222222"/>
          <w:sz w:val="20"/>
          <w:szCs w:val="20"/>
          <w:shd w:val="clear" w:color="auto" w:fill="FFFFFF"/>
        </w:rPr>
        <w:t>, 9(2), 196-215.</w:t>
      </w:r>
    </w:p>
    <w:p w14:paraId="3C304C36" w14:textId="79FE4A80"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Andersson, G. (2002). Fertility developments in Norway and Sweden since the early 1960s. </w:t>
      </w:r>
      <w:r w:rsidRPr="007235F6">
        <w:rPr>
          <w:i/>
          <w:iCs/>
          <w:color w:val="222222"/>
          <w:sz w:val="20"/>
          <w:szCs w:val="20"/>
          <w:shd w:val="clear" w:color="auto" w:fill="FFFFFF"/>
        </w:rPr>
        <w:t>Demographic Research</w:t>
      </w:r>
      <w:r w:rsidRPr="0075220B">
        <w:rPr>
          <w:color w:val="222222"/>
          <w:sz w:val="20"/>
          <w:szCs w:val="20"/>
          <w:shd w:val="clear" w:color="auto" w:fill="FFFFFF"/>
        </w:rPr>
        <w:t>, 6, 67</w:t>
      </w:r>
      <w:r w:rsidR="001534B5">
        <w:rPr>
          <w:color w:val="222222"/>
          <w:sz w:val="20"/>
          <w:szCs w:val="20"/>
          <w:shd w:val="clear" w:color="auto" w:fill="FFFFFF"/>
        </w:rPr>
        <w:t>–</w:t>
      </w:r>
      <w:r w:rsidRPr="0075220B">
        <w:rPr>
          <w:color w:val="222222"/>
          <w:sz w:val="20"/>
          <w:szCs w:val="20"/>
          <w:shd w:val="clear" w:color="auto" w:fill="FFFFFF"/>
        </w:rPr>
        <w:t>86.</w:t>
      </w:r>
    </w:p>
    <w:p w14:paraId="23E88A76" w14:textId="77777777" w:rsidR="00E37A3B" w:rsidRDefault="00E37A3B" w:rsidP="00E37A3B">
      <w:pPr>
        <w:ind w:left="567" w:hanging="567"/>
        <w:jc w:val="both"/>
        <w:rPr>
          <w:color w:val="222222"/>
          <w:sz w:val="20"/>
          <w:szCs w:val="20"/>
          <w:shd w:val="clear" w:color="auto" w:fill="FFFFFF"/>
        </w:rPr>
      </w:pPr>
      <w:r>
        <w:rPr>
          <w:color w:val="222222"/>
          <w:sz w:val="20"/>
          <w:szCs w:val="20"/>
          <w:shd w:val="clear" w:color="auto" w:fill="FFFFFF"/>
        </w:rPr>
        <w:t xml:space="preserve">Andersson, G. (2010). Fertility and family policy in Sweden. In </w:t>
      </w:r>
      <w:r w:rsidRPr="005B3755">
        <w:rPr>
          <w:color w:val="222222"/>
          <w:sz w:val="20"/>
          <w:szCs w:val="20"/>
          <w:shd w:val="clear" w:color="auto" w:fill="FFFFFF"/>
        </w:rPr>
        <w:t>Takayama, N., &amp; Werding, M. Fertility and public policy: how to reverse the trend of declining birth rates. MIT Press.</w:t>
      </w:r>
    </w:p>
    <w:p w14:paraId="2B14985A" w14:textId="2B7D19FF"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Andersson, G., Hoem, J. M., &amp; Duvander, A.-Z. (2006). Social differentials in speed-premium effects in childbearing in Sweden. </w:t>
      </w:r>
      <w:r w:rsidRPr="007235F6">
        <w:rPr>
          <w:i/>
          <w:iCs/>
          <w:color w:val="222222"/>
          <w:sz w:val="20"/>
          <w:szCs w:val="20"/>
          <w:shd w:val="clear" w:color="auto" w:fill="FFFFFF"/>
        </w:rPr>
        <w:t>Demographic Research</w:t>
      </w:r>
      <w:r w:rsidRPr="0075220B">
        <w:rPr>
          <w:color w:val="222222"/>
          <w:sz w:val="20"/>
          <w:szCs w:val="20"/>
          <w:shd w:val="clear" w:color="auto" w:fill="FFFFFF"/>
        </w:rPr>
        <w:t>, 14, 51</w:t>
      </w:r>
      <w:r w:rsidR="001534B5">
        <w:rPr>
          <w:color w:val="222222"/>
          <w:sz w:val="20"/>
          <w:szCs w:val="20"/>
          <w:shd w:val="clear" w:color="auto" w:fill="FFFFFF"/>
        </w:rPr>
        <w:t>–</w:t>
      </w:r>
      <w:r w:rsidRPr="0075220B">
        <w:rPr>
          <w:color w:val="222222"/>
          <w:sz w:val="20"/>
          <w:szCs w:val="20"/>
          <w:shd w:val="clear" w:color="auto" w:fill="FFFFFF"/>
        </w:rPr>
        <w:t>70.</w:t>
      </w:r>
    </w:p>
    <w:p w14:paraId="5025731C" w14:textId="795B0B19"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Andersson, G., Rønsen, M., Knudsen, L. B., Lappegård, T., Neyer, G., Skrede, K., . . . Vikat, A. (2009). Cohort fertility patterns in the Nordic countries. </w:t>
      </w:r>
      <w:r w:rsidRPr="007235F6">
        <w:rPr>
          <w:i/>
          <w:iCs/>
          <w:color w:val="222222"/>
          <w:sz w:val="20"/>
          <w:szCs w:val="20"/>
          <w:shd w:val="clear" w:color="auto" w:fill="FFFFFF"/>
        </w:rPr>
        <w:t>Demographic Research</w:t>
      </w:r>
      <w:r w:rsidRPr="0075220B">
        <w:rPr>
          <w:color w:val="222222"/>
          <w:sz w:val="20"/>
          <w:szCs w:val="20"/>
          <w:shd w:val="clear" w:color="auto" w:fill="FFFFFF"/>
        </w:rPr>
        <w:t>, 20(14), 313</w:t>
      </w:r>
      <w:r w:rsidR="001534B5">
        <w:rPr>
          <w:color w:val="222222"/>
          <w:sz w:val="20"/>
          <w:szCs w:val="20"/>
          <w:shd w:val="clear" w:color="auto" w:fill="FFFFFF"/>
        </w:rPr>
        <w:t>–</w:t>
      </w:r>
      <w:r w:rsidRPr="0075220B">
        <w:rPr>
          <w:color w:val="222222"/>
          <w:sz w:val="20"/>
          <w:szCs w:val="20"/>
          <w:shd w:val="clear" w:color="auto" w:fill="FFFFFF"/>
        </w:rPr>
        <w:t xml:space="preserve">352. </w:t>
      </w:r>
    </w:p>
    <w:p w14:paraId="47BDDEC6" w14:textId="34C5B884"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Ang, X. L. (2015). The effects of cash transfer fertility incentives and parental leave benefits and labor supply: Evidence from two natural experiments. </w:t>
      </w:r>
      <w:r w:rsidRPr="007235F6">
        <w:rPr>
          <w:i/>
          <w:iCs/>
          <w:color w:val="222222"/>
          <w:sz w:val="20"/>
          <w:szCs w:val="20"/>
          <w:shd w:val="clear" w:color="auto" w:fill="FFFFFF"/>
        </w:rPr>
        <w:t>Journal of Family and Economic Issues</w:t>
      </w:r>
      <w:r w:rsidRPr="0075220B">
        <w:rPr>
          <w:color w:val="222222"/>
          <w:sz w:val="20"/>
          <w:szCs w:val="20"/>
          <w:shd w:val="clear" w:color="auto" w:fill="FFFFFF"/>
        </w:rPr>
        <w:t>, 36, 263</w:t>
      </w:r>
      <w:r w:rsidR="001534B5">
        <w:rPr>
          <w:color w:val="222222"/>
          <w:sz w:val="20"/>
          <w:szCs w:val="20"/>
          <w:shd w:val="clear" w:color="auto" w:fill="FFFFFF"/>
        </w:rPr>
        <w:t>–</w:t>
      </w:r>
      <w:r w:rsidRPr="0075220B">
        <w:rPr>
          <w:color w:val="222222"/>
          <w:sz w:val="20"/>
          <w:szCs w:val="20"/>
          <w:shd w:val="clear" w:color="auto" w:fill="FFFFFF"/>
        </w:rPr>
        <w:t>288.</w:t>
      </w:r>
    </w:p>
    <w:p w14:paraId="5A183775" w14:textId="2044724D" w:rsidR="00E37A3B" w:rsidRPr="0075220B" w:rsidRDefault="00E37A3B" w:rsidP="00E37A3B">
      <w:pPr>
        <w:ind w:left="567" w:hanging="567"/>
        <w:jc w:val="both"/>
        <w:rPr>
          <w:color w:val="222222"/>
          <w:sz w:val="20"/>
          <w:szCs w:val="20"/>
          <w:shd w:val="clear" w:color="auto" w:fill="FFFFFF"/>
        </w:rPr>
      </w:pPr>
      <w:r w:rsidRPr="00A64B49">
        <w:rPr>
          <w:color w:val="222222"/>
          <w:sz w:val="20"/>
          <w:szCs w:val="20"/>
          <w:shd w:val="clear" w:color="auto" w:fill="FFFFFF"/>
        </w:rPr>
        <w:t>Ariès P. (1980). Two successive motivations for the declining birth rate in the west</w:t>
      </w:r>
      <w:r w:rsidR="001534B5">
        <w:rPr>
          <w:color w:val="222222"/>
          <w:sz w:val="20"/>
          <w:szCs w:val="20"/>
          <w:shd w:val="clear" w:color="auto" w:fill="FFFFFF"/>
        </w:rPr>
        <w:t>.</w:t>
      </w:r>
      <w:r w:rsidRPr="00A64B49">
        <w:rPr>
          <w:color w:val="222222"/>
          <w:sz w:val="20"/>
          <w:szCs w:val="20"/>
          <w:shd w:val="clear" w:color="auto" w:fill="FFFFFF"/>
        </w:rPr>
        <w:t xml:space="preserve"> </w:t>
      </w:r>
      <w:r w:rsidRPr="007235F6">
        <w:rPr>
          <w:i/>
          <w:iCs/>
          <w:color w:val="222222"/>
          <w:sz w:val="20"/>
          <w:szCs w:val="20"/>
          <w:shd w:val="clear" w:color="auto" w:fill="FFFFFF"/>
        </w:rPr>
        <w:t>Population and Development Review</w:t>
      </w:r>
      <w:r w:rsidRPr="00A64B49">
        <w:rPr>
          <w:color w:val="222222"/>
          <w:sz w:val="20"/>
          <w:szCs w:val="20"/>
          <w:shd w:val="clear" w:color="auto" w:fill="FFFFFF"/>
        </w:rPr>
        <w:t>, 6(4): 645-50.</w:t>
      </w:r>
    </w:p>
    <w:p w14:paraId="6E146210" w14:textId="7CE1BF59"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Arts, W., &amp; Gelissen, J. (2002). Three worlds of welfare capitalism or more? A state-of-the art report. </w:t>
      </w:r>
      <w:r w:rsidRPr="007235F6">
        <w:rPr>
          <w:i/>
          <w:iCs/>
          <w:color w:val="222222"/>
          <w:sz w:val="20"/>
          <w:szCs w:val="20"/>
          <w:shd w:val="clear" w:color="auto" w:fill="FFFFFF"/>
        </w:rPr>
        <w:t>Journal of European Social Policy</w:t>
      </w:r>
      <w:r w:rsidRPr="0075220B">
        <w:rPr>
          <w:color w:val="222222"/>
          <w:sz w:val="20"/>
          <w:szCs w:val="20"/>
          <w:shd w:val="clear" w:color="auto" w:fill="FFFFFF"/>
        </w:rPr>
        <w:t>, 12(2), 137</w:t>
      </w:r>
      <w:r w:rsidR="001534B5">
        <w:rPr>
          <w:color w:val="222222"/>
          <w:sz w:val="20"/>
          <w:szCs w:val="20"/>
          <w:shd w:val="clear" w:color="auto" w:fill="FFFFFF"/>
        </w:rPr>
        <w:t>–</w:t>
      </w:r>
      <w:r w:rsidRPr="0075220B">
        <w:rPr>
          <w:color w:val="222222"/>
          <w:sz w:val="20"/>
          <w:szCs w:val="20"/>
          <w:shd w:val="clear" w:color="auto" w:fill="FFFFFF"/>
        </w:rPr>
        <w:t xml:space="preserve">158. </w:t>
      </w:r>
    </w:p>
    <w:p w14:paraId="1F02E27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Arunachalam, D., &amp; Heard, G. (2015). Australians' desire for children. In G. Heard, &amp; D. Arunachalam</w:t>
      </w:r>
      <w:r w:rsidRPr="007235F6">
        <w:rPr>
          <w:i/>
          <w:iCs/>
          <w:color w:val="222222"/>
          <w:sz w:val="20"/>
          <w:szCs w:val="20"/>
          <w:shd w:val="clear" w:color="auto" w:fill="FFFFFF"/>
        </w:rPr>
        <w:t>, Family formation in 21st Century Australia</w:t>
      </w:r>
      <w:r w:rsidRPr="0075220B">
        <w:rPr>
          <w:color w:val="222222"/>
          <w:sz w:val="20"/>
          <w:szCs w:val="20"/>
          <w:shd w:val="clear" w:color="auto" w:fill="FFFFFF"/>
        </w:rPr>
        <w:t xml:space="preserve"> (pp. 141-158). Dordrecht: Springer.</w:t>
      </w:r>
    </w:p>
    <w:p w14:paraId="4CB7DE27" w14:textId="20128BF9"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Aspalter, C. (2006). The East Asian welfare model. </w:t>
      </w:r>
      <w:r w:rsidRPr="007235F6">
        <w:rPr>
          <w:i/>
          <w:iCs/>
          <w:color w:val="222222"/>
          <w:sz w:val="20"/>
          <w:szCs w:val="20"/>
          <w:shd w:val="clear" w:color="auto" w:fill="FFFFFF"/>
        </w:rPr>
        <w:t>International Journal of Social Welfare</w:t>
      </w:r>
      <w:r w:rsidRPr="0075220B">
        <w:rPr>
          <w:color w:val="222222"/>
          <w:sz w:val="20"/>
          <w:szCs w:val="20"/>
          <w:shd w:val="clear" w:color="auto" w:fill="FFFFFF"/>
        </w:rPr>
        <w:t>, 15, 290</w:t>
      </w:r>
      <w:r w:rsidR="001534B5">
        <w:rPr>
          <w:color w:val="222222"/>
          <w:sz w:val="20"/>
          <w:szCs w:val="20"/>
          <w:shd w:val="clear" w:color="auto" w:fill="FFFFFF"/>
        </w:rPr>
        <w:t>–</w:t>
      </w:r>
      <w:r w:rsidRPr="0075220B">
        <w:rPr>
          <w:color w:val="222222"/>
          <w:sz w:val="20"/>
          <w:szCs w:val="20"/>
          <w:shd w:val="clear" w:color="auto" w:fill="FFFFFF"/>
        </w:rPr>
        <w:t>-301</w:t>
      </w:r>
      <w:r w:rsidR="001534B5">
        <w:rPr>
          <w:color w:val="222222"/>
          <w:sz w:val="20"/>
          <w:szCs w:val="20"/>
          <w:shd w:val="clear" w:color="auto" w:fill="FFFFFF"/>
        </w:rPr>
        <w:t>.</w:t>
      </w:r>
    </w:p>
    <w:p w14:paraId="44D26AF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Atalay, K., Li, A., &amp; Whelan, S. (2021). Housing wealth, fertility intentions and fertility. </w:t>
      </w:r>
      <w:r w:rsidRPr="007235F6">
        <w:rPr>
          <w:i/>
          <w:iCs/>
          <w:color w:val="222222"/>
          <w:sz w:val="20"/>
          <w:szCs w:val="20"/>
          <w:shd w:val="clear" w:color="auto" w:fill="FFFFFF"/>
        </w:rPr>
        <w:t>Journal of Housing Economics</w:t>
      </w:r>
      <w:r w:rsidRPr="0075220B">
        <w:rPr>
          <w:color w:val="222222"/>
          <w:sz w:val="20"/>
          <w:szCs w:val="20"/>
          <w:shd w:val="clear" w:color="auto" w:fill="FFFFFF"/>
        </w:rPr>
        <w:t>, 101787.</w:t>
      </w:r>
    </w:p>
    <w:p w14:paraId="575E55A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Australian Bureau of Statistics. (2017). Census of Population and Housing: Reflecting Australia - Stories from the Census, 2016. Canberra: Australian Bureau of Statistics </w:t>
      </w:r>
    </w:p>
    <w:p w14:paraId="5909C6C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Australian Bureau of Statistics. (2017). Labour Force, Australia: Labour Force Status and Other Characteristics of Families, June 2017. Canberra: Australian Bureau of Statistics.</w:t>
      </w:r>
    </w:p>
    <w:p w14:paraId="671BC6F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Australian Bureau of Statistics. (2018). </w:t>
      </w:r>
      <w:r w:rsidRPr="007235F6">
        <w:rPr>
          <w:i/>
          <w:iCs/>
          <w:color w:val="222222"/>
          <w:sz w:val="20"/>
          <w:szCs w:val="20"/>
          <w:shd w:val="clear" w:color="auto" w:fill="FFFFFF"/>
        </w:rPr>
        <w:t>Childhood Education and Care, Australia</w:t>
      </w:r>
      <w:r w:rsidRPr="0075220B">
        <w:rPr>
          <w:color w:val="222222"/>
          <w:sz w:val="20"/>
          <w:szCs w:val="20"/>
          <w:shd w:val="clear" w:color="auto" w:fill="FFFFFF"/>
        </w:rPr>
        <w:t>. Canberra: Australian Bureau of Statistics.</w:t>
      </w:r>
    </w:p>
    <w:p w14:paraId="2FABCEB0" w14:textId="77777777" w:rsidR="00E37A3B" w:rsidRPr="0075220B" w:rsidRDefault="00E37A3B" w:rsidP="007235F6">
      <w:pPr>
        <w:ind w:left="567" w:hanging="567"/>
        <w:rPr>
          <w:color w:val="222222"/>
          <w:sz w:val="20"/>
          <w:szCs w:val="20"/>
          <w:shd w:val="clear" w:color="auto" w:fill="FFFFFF"/>
        </w:rPr>
      </w:pPr>
      <w:r w:rsidRPr="0075220B">
        <w:rPr>
          <w:color w:val="222222"/>
          <w:sz w:val="20"/>
          <w:szCs w:val="20"/>
          <w:shd w:val="clear" w:color="auto" w:fill="FFFFFF"/>
        </w:rPr>
        <w:t>Australian Bureau of Statistics. (2018). Pregnancy and Employment Transitions, Australia Nov 2017. Canberra: Australian Bureau of Statistics. Retrieved August 11, 2021, from https://www.abs.gov.au/AUSSTATS/abs@.nsf/Lookup/4913.0Main+Features1Nov%202017?OpenDocument</w:t>
      </w:r>
    </w:p>
    <w:p w14:paraId="406B2785" w14:textId="2D6ABBFF"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Australian Bureau of Statistics. (2020</w:t>
      </w:r>
      <w:r w:rsidR="00AE2198">
        <w:rPr>
          <w:color w:val="222222"/>
          <w:sz w:val="20"/>
          <w:szCs w:val="20"/>
          <w:shd w:val="clear" w:color="auto" w:fill="FFFFFF"/>
        </w:rPr>
        <w:t>a</w:t>
      </w:r>
      <w:r w:rsidRPr="0075220B">
        <w:rPr>
          <w:color w:val="222222"/>
          <w:sz w:val="20"/>
          <w:szCs w:val="20"/>
          <w:shd w:val="clear" w:color="auto" w:fill="FFFFFF"/>
        </w:rPr>
        <w:t xml:space="preserve">). </w:t>
      </w:r>
      <w:r w:rsidRPr="007235F6">
        <w:rPr>
          <w:i/>
          <w:iCs/>
          <w:color w:val="222222"/>
          <w:sz w:val="20"/>
          <w:szCs w:val="20"/>
          <w:shd w:val="clear" w:color="auto" w:fill="FFFFFF"/>
        </w:rPr>
        <w:t>Gender Indicators</w:t>
      </w:r>
      <w:r w:rsidRPr="0075220B">
        <w:rPr>
          <w:color w:val="222222"/>
          <w:sz w:val="20"/>
          <w:szCs w:val="20"/>
          <w:shd w:val="clear" w:color="auto" w:fill="FFFFFF"/>
        </w:rPr>
        <w:t>, Australia. Canberra: Australian Bureau of Statistics.</w:t>
      </w:r>
    </w:p>
    <w:p w14:paraId="69D7E943" w14:textId="3314CB2B"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Australian Bureau of Statistics. (2020</w:t>
      </w:r>
      <w:r w:rsidR="00AE2198">
        <w:rPr>
          <w:color w:val="222222"/>
          <w:sz w:val="20"/>
          <w:szCs w:val="20"/>
          <w:shd w:val="clear" w:color="auto" w:fill="FFFFFF"/>
        </w:rPr>
        <w:t>b</w:t>
      </w:r>
      <w:r w:rsidRPr="0075220B">
        <w:rPr>
          <w:color w:val="222222"/>
          <w:sz w:val="20"/>
          <w:szCs w:val="20"/>
          <w:shd w:val="clear" w:color="auto" w:fill="FFFFFF"/>
        </w:rPr>
        <w:t xml:space="preserve">). </w:t>
      </w:r>
      <w:r w:rsidRPr="007235F6">
        <w:rPr>
          <w:i/>
          <w:iCs/>
          <w:color w:val="222222"/>
          <w:sz w:val="20"/>
          <w:szCs w:val="20"/>
          <w:shd w:val="clear" w:color="auto" w:fill="FFFFFF"/>
        </w:rPr>
        <w:t>Barriers and Incentives to Labour Force Participation, Australia, 2018-2019</w:t>
      </w:r>
      <w:r w:rsidRPr="0075220B">
        <w:rPr>
          <w:color w:val="222222"/>
          <w:sz w:val="20"/>
          <w:szCs w:val="20"/>
          <w:shd w:val="clear" w:color="auto" w:fill="FFFFFF"/>
        </w:rPr>
        <w:t>, Catalogue No. 6239.0. Canberra: Australian Bureau of Statistics.</w:t>
      </w:r>
    </w:p>
    <w:p w14:paraId="5C83DBD2" w14:textId="75842B2C" w:rsidR="00AE2198" w:rsidRPr="0075220B" w:rsidRDefault="00AE2198" w:rsidP="00AE2198">
      <w:pPr>
        <w:ind w:left="567" w:hanging="567"/>
        <w:jc w:val="both"/>
        <w:rPr>
          <w:color w:val="222222"/>
          <w:sz w:val="20"/>
          <w:szCs w:val="20"/>
          <w:shd w:val="clear" w:color="auto" w:fill="FFFFFF"/>
        </w:rPr>
      </w:pPr>
      <w:r w:rsidRPr="0075220B">
        <w:rPr>
          <w:color w:val="222222"/>
          <w:sz w:val="20"/>
          <w:szCs w:val="20"/>
          <w:shd w:val="clear" w:color="auto" w:fill="FFFFFF"/>
        </w:rPr>
        <w:t>Australian Bureau of Statistics. (202</w:t>
      </w:r>
      <w:r>
        <w:rPr>
          <w:color w:val="222222"/>
          <w:sz w:val="20"/>
          <w:szCs w:val="20"/>
          <w:shd w:val="clear" w:color="auto" w:fill="FFFFFF"/>
        </w:rPr>
        <w:t>1a</w:t>
      </w:r>
      <w:r w:rsidRPr="0075220B">
        <w:rPr>
          <w:color w:val="222222"/>
          <w:sz w:val="20"/>
          <w:szCs w:val="20"/>
          <w:shd w:val="clear" w:color="auto" w:fill="FFFFFF"/>
        </w:rPr>
        <w:t xml:space="preserve">). </w:t>
      </w:r>
      <w:r w:rsidRPr="007235F6">
        <w:rPr>
          <w:i/>
          <w:iCs/>
          <w:color w:val="222222"/>
          <w:sz w:val="20"/>
          <w:szCs w:val="20"/>
          <w:shd w:val="clear" w:color="auto" w:fill="FFFFFF"/>
        </w:rPr>
        <w:t>Births Australia 2</w:t>
      </w:r>
      <w:r>
        <w:rPr>
          <w:i/>
          <w:iCs/>
          <w:color w:val="222222"/>
          <w:sz w:val="20"/>
          <w:szCs w:val="20"/>
          <w:shd w:val="clear" w:color="auto" w:fill="FFFFFF"/>
        </w:rPr>
        <w:t>020</w:t>
      </w:r>
      <w:r w:rsidRPr="0075220B">
        <w:rPr>
          <w:color w:val="222222"/>
          <w:sz w:val="20"/>
          <w:szCs w:val="20"/>
          <w:shd w:val="clear" w:color="auto" w:fill="FFFFFF"/>
        </w:rPr>
        <w:t>. Canberra: Australian Bureau of Statistics.</w:t>
      </w:r>
    </w:p>
    <w:p w14:paraId="1B1CA847" w14:textId="6CCF0D0A" w:rsidR="00E37A3B" w:rsidRPr="0075220B" w:rsidRDefault="00E37A3B" w:rsidP="007235F6">
      <w:pPr>
        <w:ind w:left="567" w:hanging="567"/>
        <w:rPr>
          <w:color w:val="222222"/>
          <w:sz w:val="20"/>
          <w:szCs w:val="20"/>
          <w:shd w:val="clear" w:color="auto" w:fill="FFFFFF"/>
        </w:rPr>
      </w:pPr>
      <w:r w:rsidRPr="0075220B">
        <w:rPr>
          <w:color w:val="222222"/>
          <w:sz w:val="20"/>
          <w:szCs w:val="20"/>
          <w:shd w:val="clear" w:color="auto" w:fill="FFFFFF"/>
        </w:rPr>
        <w:t>Australian Bureau of Statistics. (2021</w:t>
      </w:r>
      <w:r w:rsidR="00AE2198">
        <w:rPr>
          <w:color w:val="222222"/>
          <w:sz w:val="20"/>
          <w:szCs w:val="20"/>
          <w:shd w:val="clear" w:color="auto" w:fill="FFFFFF"/>
        </w:rPr>
        <w:t>a</w:t>
      </w:r>
      <w:r w:rsidRPr="0075220B">
        <w:rPr>
          <w:color w:val="222222"/>
          <w:sz w:val="20"/>
          <w:szCs w:val="20"/>
          <w:shd w:val="clear" w:color="auto" w:fill="FFFFFF"/>
        </w:rPr>
        <w:t xml:space="preserve">). </w:t>
      </w:r>
      <w:r w:rsidRPr="007235F6">
        <w:rPr>
          <w:i/>
          <w:iCs/>
          <w:color w:val="222222"/>
          <w:sz w:val="20"/>
          <w:szCs w:val="20"/>
          <w:shd w:val="clear" w:color="auto" w:fill="FFFFFF"/>
        </w:rPr>
        <w:t>National, state and territory populations. Canberra: Australian Bureau of Statistics.</w:t>
      </w:r>
      <w:r w:rsidRPr="0075220B">
        <w:rPr>
          <w:color w:val="222222"/>
          <w:sz w:val="20"/>
          <w:szCs w:val="20"/>
          <w:shd w:val="clear" w:color="auto" w:fill="FFFFFF"/>
        </w:rPr>
        <w:t xml:space="preserve"> Retrieved August 11, 2021, from https://www.abs.gov.au/statistics/people/population/national-state-and-territory-population/latest-release</w:t>
      </w:r>
    </w:p>
    <w:p w14:paraId="357065B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Australian Institute of Family Studies. (2021). </w:t>
      </w:r>
      <w:r w:rsidRPr="007235F6">
        <w:rPr>
          <w:i/>
          <w:iCs/>
          <w:color w:val="222222"/>
          <w:sz w:val="20"/>
          <w:szCs w:val="20"/>
          <w:shd w:val="clear" w:color="auto" w:fill="FFFFFF"/>
        </w:rPr>
        <w:t>Young people living with their parents. Australian Institute of Family Studies</w:t>
      </w:r>
      <w:r w:rsidRPr="0075220B">
        <w:rPr>
          <w:color w:val="222222"/>
          <w:sz w:val="20"/>
          <w:szCs w:val="20"/>
          <w:shd w:val="clear" w:color="auto" w:fill="FFFFFF"/>
        </w:rPr>
        <w:t>. Retrieved June 26, 2021, from https://aifs.gov.au/facts-and-figures/young-people-living-their-parents</w:t>
      </w:r>
    </w:p>
    <w:p w14:paraId="33FAE09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Australian Institute of Health and Welfare. (2020). Australia's mothers and babies 2018: in brief. Perinatal statistics series no. 36. Cat. no. PER 108. Canberra: AIHW.</w:t>
      </w:r>
    </w:p>
    <w:p w14:paraId="3A87DDA6"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Australian Institute of Health and Welfare. (2020). Home ownership and housing tenure. Canberra: AIHW.</w:t>
      </w:r>
    </w:p>
    <w:p w14:paraId="094EF164" w14:textId="77777777" w:rsidR="00E37A3B" w:rsidRPr="0075220B" w:rsidRDefault="00E37A3B" w:rsidP="00E37A3B">
      <w:pPr>
        <w:ind w:left="567" w:hanging="567"/>
        <w:jc w:val="both"/>
        <w:rPr>
          <w:color w:val="222222"/>
          <w:sz w:val="20"/>
          <w:szCs w:val="20"/>
          <w:shd w:val="clear" w:color="auto" w:fill="FFFFFF"/>
        </w:rPr>
      </w:pPr>
      <w:r w:rsidRPr="00F80704">
        <w:rPr>
          <w:color w:val="222222"/>
          <w:sz w:val="20"/>
          <w:szCs w:val="20"/>
          <w:shd w:val="clear" w:color="auto" w:fill="FFFFFF"/>
        </w:rPr>
        <w:t xml:space="preserve">Azmat, G., &amp; González, L. (2010). Targeting fertility and female participation through the income tax. Labour </w:t>
      </w:r>
      <w:r>
        <w:rPr>
          <w:color w:val="222222"/>
          <w:sz w:val="20"/>
          <w:szCs w:val="20"/>
          <w:shd w:val="clear" w:color="auto" w:fill="FFFFFF"/>
        </w:rPr>
        <w:t>E</w:t>
      </w:r>
      <w:r w:rsidRPr="00F80704">
        <w:rPr>
          <w:color w:val="222222"/>
          <w:sz w:val="20"/>
          <w:szCs w:val="20"/>
          <w:shd w:val="clear" w:color="auto" w:fill="FFFFFF"/>
        </w:rPr>
        <w:t>conomics, 17(3), 487-502.</w:t>
      </w:r>
    </w:p>
    <w:p w14:paraId="348F32C4" w14:textId="7B76AF31"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Baffour, B., Raymer, J., &amp; Evans, A. (2020). Recent trends in immigrant fertility in Australia. </w:t>
      </w:r>
      <w:r w:rsidRPr="007235F6">
        <w:rPr>
          <w:i/>
          <w:iCs/>
          <w:color w:val="222222"/>
          <w:sz w:val="20"/>
          <w:szCs w:val="20"/>
          <w:shd w:val="clear" w:color="auto" w:fill="FFFFFF"/>
        </w:rPr>
        <w:t>Journal of International Migration and Integration</w:t>
      </w:r>
      <w:r w:rsidR="001534B5">
        <w:t xml:space="preserve">, </w:t>
      </w:r>
      <w:r w:rsidR="001534B5" w:rsidRPr="001534B5">
        <w:rPr>
          <w:color w:val="222222"/>
          <w:sz w:val="20"/>
          <w:szCs w:val="20"/>
          <w:shd w:val="clear" w:color="auto" w:fill="FFFFFF"/>
        </w:rPr>
        <w:t>22, 1205</w:t>
      </w:r>
    </w:p>
    <w:p w14:paraId="749B4DD6" w14:textId="132BE05E"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Bagavos, C. (2010). Education and childlessness: the relationship between educational field, educational level, employment and childlessness among Greek women born in 1955-1959. </w:t>
      </w:r>
      <w:r w:rsidRPr="007235F6">
        <w:rPr>
          <w:i/>
          <w:iCs/>
          <w:color w:val="222222"/>
          <w:sz w:val="20"/>
          <w:szCs w:val="20"/>
          <w:shd w:val="clear" w:color="auto" w:fill="FFFFFF"/>
        </w:rPr>
        <w:t>Vienna Yearbook of Population Research</w:t>
      </w:r>
      <w:r w:rsidRPr="0075220B">
        <w:rPr>
          <w:color w:val="222222"/>
          <w:sz w:val="20"/>
          <w:szCs w:val="20"/>
          <w:shd w:val="clear" w:color="auto" w:fill="FFFFFF"/>
        </w:rPr>
        <w:t>,</w:t>
      </w:r>
      <w:r w:rsidRPr="0075220B">
        <w:rPr>
          <w:rFonts w:ascii="Helvetica" w:hAnsi="Helvetica" w:cs="Helvetica"/>
          <w:color w:val="000000"/>
          <w:spacing w:val="-5"/>
          <w:sz w:val="21"/>
          <w:szCs w:val="21"/>
          <w:shd w:val="clear" w:color="auto" w:fill="FFFFFF"/>
        </w:rPr>
        <w:t xml:space="preserve"> </w:t>
      </w:r>
      <w:r w:rsidRPr="0075220B">
        <w:rPr>
          <w:color w:val="222222"/>
          <w:sz w:val="20"/>
          <w:szCs w:val="20"/>
          <w:shd w:val="clear" w:color="auto" w:fill="FFFFFF"/>
        </w:rPr>
        <w:t>8, 51</w:t>
      </w:r>
      <w:r w:rsidR="001534B5">
        <w:rPr>
          <w:color w:val="222222"/>
          <w:sz w:val="20"/>
          <w:szCs w:val="20"/>
          <w:shd w:val="clear" w:color="auto" w:fill="FFFFFF"/>
        </w:rPr>
        <w:t>–</w:t>
      </w:r>
      <w:r w:rsidRPr="0075220B">
        <w:rPr>
          <w:color w:val="222222"/>
          <w:sz w:val="20"/>
          <w:szCs w:val="20"/>
          <w:shd w:val="clear" w:color="auto" w:fill="FFFFFF"/>
        </w:rPr>
        <w:t>75.</w:t>
      </w:r>
    </w:p>
    <w:p w14:paraId="0505F345" w14:textId="154B297A"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Baird, M., &amp; O'Brien, M. (2015). Dynamics of parental leave in Anglophone countries: the paradox of state expansion in liberal welfare regimes. </w:t>
      </w:r>
      <w:r w:rsidRPr="007235F6">
        <w:rPr>
          <w:i/>
          <w:iCs/>
          <w:color w:val="222222"/>
          <w:sz w:val="20"/>
          <w:szCs w:val="20"/>
          <w:shd w:val="clear" w:color="auto" w:fill="FFFFFF"/>
        </w:rPr>
        <w:t>Community, Work &amp; Family</w:t>
      </w:r>
      <w:r w:rsidRPr="0075220B">
        <w:rPr>
          <w:color w:val="222222"/>
          <w:sz w:val="20"/>
          <w:szCs w:val="20"/>
          <w:shd w:val="clear" w:color="auto" w:fill="FFFFFF"/>
        </w:rPr>
        <w:t>, 18(2), 198</w:t>
      </w:r>
      <w:r w:rsidR="001534B5">
        <w:rPr>
          <w:color w:val="222222"/>
          <w:sz w:val="20"/>
          <w:szCs w:val="20"/>
          <w:shd w:val="clear" w:color="auto" w:fill="FFFFFF"/>
        </w:rPr>
        <w:t>–</w:t>
      </w:r>
      <w:r w:rsidRPr="0075220B">
        <w:rPr>
          <w:color w:val="222222"/>
          <w:sz w:val="20"/>
          <w:szCs w:val="20"/>
          <w:shd w:val="clear" w:color="auto" w:fill="FFFFFF"/>
        </w:rPr>
        <w:t>217.</w:t>
      </w:r>
    </w:p>
    <w:p w14:paraId="50526087" w14:textId="7F82F10D"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Baird, M., Hamilton, M., &amp; Constantin, A. (2021). Gender equality and paid parental leave in Australia: A decade of giant leaps or baby steps?</w:t>
      </w:r>
      <w:r w:rsidR="001534B5">
        <w:rPr>
          <w:color w:val="222222"/>
          <w:sz w:val="20"/>
          <w:szCs w:val="20"/>
          <w:shd w:val="clear" w:color="auto" w:fill="FFFFFF"/>
        </w:rPr>
        <w:t>,</w:t>
      </w:r>
      <w:r w:rsidRPr="0075220B">
        <w:rPr>
          <w:color w:val="222222"/>
          <w:sz w:val="20"/>
          <w:szCs w:val="20"/>
          <w:shd w:val="clear" w:color="auto" w:fill="FFFFFF"/>
        </w:rPr>
        <w:t xml:space="preserve"> </w:t>
      </w:r>
      <w:r w:rsidRPr="007235F6">
        <w:rPr>
          <w:i/>
          <w:iCs/>
          <w:color w:val="222222"/>
          <w:sz w:val="20"/>
          <w:szCs w:val="20"/>
          <w:shd w:val="clear" w:color="auto" w:fill="FFFFFF"/>
        </w:rPr>
        <w:t>Journal of Industrial Relations</w:t>
      </w:r>
      <w:r w:rsidRPr="0075220B">
        <w:rPr>
          <w:color w:val="222222"/>
          <w:sz w:val="20"/>
          <w:szCs w:val="20"/>
          <w:shd w:val="clear" w:color="auto" w:fill="FFFFFF"/>
        </w:rPr>
        <w:t>, online first, 1</w:t>
      </w:r>
      <w:r w:rsidR="001534B5">
        <w:rPr>
          <w:color w:val="222222"/>
          <w:sz w:val="20"/>
          <w:szCs w:val="20"/>
          <w:shd w:val="clear" w:color="auto" w:fill="FFFFFF"/>
        </w:rPr>
        <w:t>–</w:t>
      </w:r>
      <w:r w:rsidRPr="0075220B">
        <w:rPr>
          <w:color w:val="222222"/>
          <w:sz w:val="20"/>
          <w:szCs w:val="20"/>
          <w:shd w:val="clear" w:color="auto" w:fill="FFFFFF"/>
        </w:rPr>
        <w:t xml:space="preserve">22. </w:t>
      </w:r>
    </w:p>
    <w:p w14:paraId="034DF94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Baizán, P. (2009). Regional child care availability and fertility decisions in Spain. </w:t>
      </w:r>
      <w:r w:rsidRPr="007235F6">
        <w:rPr>
          <w:i/>
          <w:iCs/>
          <w:color w:val="222222"/>
          <w:sz w:val="20"/>
          <w:szCs w:val="20"/>
          <w:shd w:val="clear" w:color="auto" w:fill="FFFFFF"/>
        </w:rPr>
        <w:t>Demographic Research</w:t>
      </w:r>
      <w:r w:rsidRPr="0075220B">
        <w:rPr>
          <w:color w:val="222222"/>
          <w:sz w:val="20"/>
          <w:szCs w:val="20"/>
          <w:shd w:val="clear" w:color="auto" w:fill="FFFFFF"/>
        </w:rPr>
        <w:t>, 21, 803-842.</w:t>
      </w:r>
    </w:p>
    <w:p w14:paraId="6161EC24" w14:textId="5D6687B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Baizán, P., Arpino, B., &amp; Delclós, C. E. (2016). The effect of gender policies on fertility: the moderating role of education and normative context. </w:t>
      </w:r>
      <w:r w:rsidRPr="007235F6">
        <w:rPr>
          <w:i/>
          <w:iCs/>
          <w:color w:val="222222"/>
          <w:sz w:val="20"/>
          <w:szCs w:val="20"/>
          <w:shd w:val="clear" w:color="auto" w:fill="FFFFFF"/>
        </w:rPr>
        <w:t>European Journal of Population</w:t>
      </w:r>
      <w:r w:rsidRPr="0075220B">
        <w:rPr>
          <w:color w:val="222222"/>
          <w:sz w:val="20"/>
          <w:szCs w:val="20"/>
          <w:shd w:val="clear" w:color="auto" w:fill="FFFFFF"/>
        </w:rPr>
        <w:t>, 32(1), 1</w:t>
      </w:r>
      <w:r w:rsidR="001534B5">
        <w:rPr>
          <w:color w:val="222222"/>
          <w:sz w:val="20"/>
          <w:szCs w:val="20"/>
          <w:shd w:val="clear" w:color="auto" w:fill="FFFFFF"/>
        </w:rPr>
        <w:t>–</w:t>
      </w:r>
      <w:r w:rsidRPr="0075220B">
        <w:rPr>
          <w:color w:val="222222"/>
          <w:sz w:val="20"/>
          <w:szCs w:val="20"/>
          <w:shd w:val="clear" w:color="auto" w:fill="FFFFFF"/>
        </w:rPr>
        <w:t>30.</w:t>
      </w:r>
    </w:p>
    <w:p w14:paraId="04AD13E0" w14:textId="41716B65"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Barbos, A., &amp; Milovanska-Farrington, S. (2019). The effect of maternity leave expansions on fertility intentions: evidence from Switzerland. </w:t>
      </w:r>
      <w:r w:rsidRPr="007235F6">
        <w:rPr>
          <w:i/>
          <w:iCs/>
          <w:color w:val="222222"/>
          <w:sz w:val="20"/>
          <w:szCs w:val="20"/>
          <w:shd w:val="clear" w:color="auto" w:fill="FFFFFF"/>
        </w:rPr>
        <w:t>Journal of Family and Economic Issues</w:t>
      </w:r>
      <w:r w:rsidRPr="0075220B">
        <w:rPr>
          <w:color w:val="222222"/>
          <w:sz w:val="20"/>
          <w:szCs w:val="20"/>
          <w:shd w:val="clear" w:color="auto" w:fill="FFFFFF"/>
        </w:rPr>
        <w:t>, 40, 323</w:t>
      </w:r>
      <w:r w:rsidR="001534B5">
        <w:rPr>
          <w:color w:val="222222"/>
          <w:sz w:val="20"/>
          <w:szCs w:val="20"/>
          <w:shd w:val="clear" w:color="auto" w:fill="FFFFFF"/>
        </w:rPr>
        <w:t>–</w:t>
      </w:r>
      <w:r w:rsidRPr="0075220B">
        <w:rPr>
          <w:color w:val="222222"/>
          <w:sz w:val="20"/>
          <w:szCs w:val="20"/>
          <w:shd w:val="clear" w:color="auto" w:fill="FFFFFF"/>
        </w:rPr>
        <w:t>337.</w:t>
      </w:r>
    </w:p>
    <w:p w14:paraId="7EE026F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Bártová, A. (2016). ‘Genderising’ aspects of birth-related leave policies and fertility behaviour in Europe: Understanding policy from an individual’s perspective. PhD Thesis: The University of Edinburgh</w:t>
      </w:r>
    </w:p>
    <w:p w14:paraId="7844444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Bassford, M., &amp; Fisher, H. (2020). The impact of paid parental leave on fertility intentions. Economic Record, 96(315), 402-430.</w:t>
      </w:r>
    </w:p>
    <w:p w14:paraId="6DFC0A3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Baxter, J. (2002). Patterns of change and stability in the gender division of household labour in Australia, 1986-1997. Journal of Sociology, 38(4), 399-424.</w:t>
      </w:r>
    </w:p>
    <w:p w14:paraId="7920E99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Baxter, J. (2013). Employment characteristics and transitions of mothers in the Longitudinal Study of Australian Children. Canberra: Department of Social Services.</w:t>
      </w:r>
    </w:p>
    <w:p w14:paraId="7EAF6C8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Baxter, J., &amp; Renda, J. (2015). Review of government initiatives for reconciling work and family life. Melbourne: Australian Institute of Family Studies.</w:t>
      </w:r>
    </w:p>
    <w:p w14:paraId="2AE342F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Baxter, J., Hewitt, B., &amp; Haynes, M. (2008). Lifecourse transitions and housework: Marriage, parenthood and time on housework. Journal of Marriage and Family, 70(2), 259-272.</w:t>
      </w:r>
    </w:p>
    <w:p w14:paraId="6B8C17E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Beaujouan, É., &amp; Berghammer, C. (2019). The gap between lifetime fertility intentions and completed fertility in Europe and the United States: A cohort approach. Population Research and Policy Review, 38, 507-535.</w:t>
      </w:r>
    </w:p>
    <w:p w14:paraId="787DD88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Beaujouan, É., &amp; Toulemon, L. (2021). European countries with delayed childbearing are not those with lower fertility. Genus, 77(2).</w:t>
      </w:r>
    </w:p>
    <w:p w14:paraId="0EE8843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Beaujouan, É., Reimondos, A., Gray, E., Evans, A., &amp; Sobotka, T. (2019). Declining realisation of reproductive intentions with age. Human Reproduction, 34(10), 1906-1914.</w:t>
      </w:r>
    </w:p>
    <w:p w14:paraId="09241AD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Becker, G. (1981). A treatise on the family. Harvard University Press, Cambridge, Mass.</w:t>
      </w:r>
    </w:p>
    <w:p w14:paraId="4926E8D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Bedford, M., &amp; Saunders, P. (2018). New estimates of the costs of raising children in Australia. Family matters.</w:t>
      </w:r>
    </w:p>
    <w:p w14:paraId="74C09E6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Begall, K., &amp; Mills, M. (2013). The influence of educational field, occupation, and occupational sex segregation on fertility in the Netherlands. European Sociological Review. 29(4), 720-742</w:t>
      </w:r>
    </w:p>
    <w:p w14:paraId="1C88FA9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Bergsvik, J., Fauske, A., &amp; Hart, R. K. (2020). Effects of policy on fertility. Statistics Norway, Research Department.</w:t>
      </w:r>
    </w:p>
    <w:p w14:paraId="4E02E07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Bernardi, F. (2005). Public policies and low fertility: rationales for public intervention and a diagnosis for the Spanish case. Journal of European Social Policy, 15(2), 123-138.</w:t>
      </w:r>
    </w:p>
    <w:p w14:paraId="5F699B4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Bernardi, L., Huinink, J., &amp; Settersten Jr, R. A. (2019). The life course cube: A tool for studying lives. Advances in Life Course Research, 41, 100258.</w:t>
      </w:r>
    </w:p>
    <w:p w14:paraId="7177DF0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Billari, F. C., &amp; Kohler, H.-P. (2004). Patterns of low and very low fertility in Europe. Population Studies, 2(58), 161-176.</w:t>
      </w:r>
    </w:p>
    <w:p w14:paraId="1EB39AE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Billingsley, S., &amp; Ferrarini, T. (2014). Family policy and fertility intentions in 21 European countries. Journal of Marriage and Family, 76, 428-445.</w:t>
      </w:r>
    </w:p>
    <w:p w14:paraId="6B4B8DA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Birenbaum-Carmeli, D. (2016). Thirty-five years of assisted reproductive technologies in Israel. Reproductive Biomedicine &amp; Society Online, 2, 16-23.</w:t>
      </w:r>
    </w:p>
    <w:p w14:paraId="4C87114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Birkett, H., &amp; Forbes, S. (2019). Where's dad? Exploring low take-up of inclusive parenting policies in the UK. Policy Studies, 40(2), 205-224.</w:t>
      </w:r>
    </w:p>
    <w:p w14:paraId="74AF565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Birrell, B. (2003). Immigration policy and the Australian labour market. Economic Papers, 1(22), 36-45.</w:t>
      </w:r>
    </w:p>
    <w:p w14:paraId="0591321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Black, D. A., Kolesnikova, N., Sanders, S., &amp; Taylor, L. J. (2013). Are children "normal"? The Review of Economics and Statistics, 95(1), 21-33.</w:t>
      </w:r>
    </w:p>
    <w:p w14:paraId="2E3C2D9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Blossfeld, H., &amp; Huinink, J. (1991). Human capital investments or norms of role transition? How women's schooling and career affect the process of family formation. American Journal of Sociology, 97(1), 143-168.</w:t>
      </w:r>
    </w:p>
    <w:p w14:paraId="55AEF13F"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Bongaarts, J., &amp; Feeney, G. (1998). On the quantum and tempo of fertility. Population and Development Review</w:t>
      </w:r>
      <w:r w:rsidRPr="0075220B">
        <w:rPr>
          <w:rFonts w:ascii="Helvetica" w:hAnsi="Helvetica" w:cs="Helvetica"/>
          <w:color w:val="000000"/>
          <w:spacing w:val="-5"/>
          <w:sz w:val="21"/>
          <w:szCs w:val="21"/>
          <w:shd w:val="clear" w:color="auto" w:fill="FFFFFF"/>
        </w:rPr>
        <w:t>.</w:t>
      </w:r>
      <w:r w:rsidRPr="0075220B">
        <w:rPr>
          <w:color w:val="222222"/>
          <w:sz w:val="20"/>
          <w:szCs w:val="20"/>
          <w:shd w:val="clear" w:color="auto" w:fill="FFFFFF"/>
        </w:rPr>
        <w:t xml:space="preserve"> 24(2), 271-291. </w:t>
      </w:r>
    </w:p>
    <w:p w14:paraId="3369D87A" w14:textId="77777777" w:rsidR="00E37A3B" w:rsidRPr="0075220B" w:rsidRDefault="00E37A3B" w:rsidP="00E37A3B">
      <w:pPr>
        <w:ind w:left="567" w:hanging="567"/>
        <w:jc w:val="both"/>
        <w:rPr>
          <w:color w:val="222222"/>
          <w:sz w:val="20"/>
          <w:szCs w:val="20"/>
          <w:shd w:val="clear" w:color="auto" w:fill="FFFFFF"/>
        </w:rPr>
      </w:pPr>
      <w:r w:rsidRPr="00A64B49">
        <w:rPr>
          <w:color w:val="222222"/>
          <w:sz w:val="20"/>
          <w:szCs w:val="20"/>
          <w:shd w:val="clear" w:color="auto" w:fill="FFFFFF"/>
        </w:rPr>
        <w:t>Bongaarts, J., &amp; Watkins, S. (1996). Social interactions and contemporary fertility transitions. Population and Development Review, 22(4): 639–682.</w:t>
      </w:r>
    </w:p>
    <w:p w14:paraId="7EA28AF2"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Bonner, S., &amp; Sarkar, D. (2020). Who responds to fertility-boosting incentives? Evidence from pro-natal policies in Australia. Demographic Research, 42, 513-548.</w:t>
      </w:r>
    </w:p>
    <w:p w14:paraId="3CB962D2" w14:textId="77777777" w:rsidR="00E37A3B" w:rsidRDefault="00E37A3B" w:rsidP="00E37A3B">
      <w:pPr>
        <w:ind w:left="567" w:hanging="567"/>
        <w:jc w:val="both"/>
        <w:rPr>
          <w:color w:val="222222"/>
          <w:sz w:val="20"/>
          <w:szCs w:val="20"/>
          <w:shd w:val="clear" w:color="auto" w:fill="FFFFFF"/>
        </w:rPr>
      </w:pPr>
      <w:r>
        <w:rPr>
          <w:color w:val="222222"/>
          <w:sz w:val="20"/>
          <w:szCs w:val="20"/>
          <w:shd w:val="clear" w:color="auto" w:fill="FFFFFF"/>
        </w:rPr>
        <w:t xml:space="preserve">Bradshaw, J., and Attar-Schwartz, S. (2010). Fertility and social policy. Pp, 183-202 in </w:t>
      </w:r>
      <w:r w:rsidRPr="005B3755">
        <w:rPr>
          <w:color w:val="222222"/>
          <w:sz w:val="20"/>
          <w:szCs w:val="20"/>
          <w:shd w:val="clear" w:color="auto" w:fill="FFFFFF"/>
        </w:rPr>
        <w:t>Takayama, N., &amp; Werding, M. Fertility and public policy: how to reverse the trend of declining birth rates. MIT Press.</w:t>
      </w:r>
    </w:p>
    <w:p w14:paraId="2F10E45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Breusch, T., &amp; Gray, E. (2004). New estimates of mothers' foregone earnings using HILDA data. Australian Journal of Labour Economics, 7(2), 125-150.</w:t>
      </w:r>
    </w:p>
    <w:p w14:paraId="36148D1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Brewer, M., Ratcliffe, A., &amp; dSmith, S. (2012). Does welfare reform affect fertility? Evidence from the UK. Journal of Population Economics, 25, 245-266.</w:t>
      </w:r>
    </w:p>
    <w:p w14:paraId="4D764B2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Brewster, K. L., &amp; Rindfuss, R. R. (2000). Fertility and women's employment in industrialized nations. Annual Review of Sociology, 26(1), 271-296.</w:t>
      </w:r>
    </w:p>
    <w:p w14:paraId="4E2E0B28"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Buber-Ennser, I., &amp; Berghammer, C. (2021). Religiosity and the realisation of fertility intentions: A comparative study of eight European countries. Population, Space and Place, 27(6), e2433.</w:t>
      </w:r>
    </w:p>
    <w:p w14:paraId="576EDE43" w14:textId="77777777" w:rsidR="00E37A3B" w:rsidRPr="0075220B" w:rsidRDefault="00E37A3B" w:rsidP="00E37A3B">
      <w:pPr>
        <w:ind w:left="567" w:hanging="567"/>
        <w:jc w:val="both"/>
        <w:rPr>
          <w:color w:val="222222"/>
          <w:sz w:val="20"/>
          <w:szCs w:val="20"/>
          <w:shd w:val="clear" w:color="auto" w:fill="FFFFFF"/>
        </w:rPr>
      </w:pPr>
      <w:r w:rsidRPr="00A64B49">
        <w:rPr>
          <w:color w:val="222222"/>
          <w:sz w:val="20"/>
          <w:szCs w:val="20"/>
          <w:shd w:val="clear" w:color="auto" w:fill="FFFFFF"/>
        </w:rPr>
        <w:t>Caldwell, J. (1982). The wealth flows theory of fertility decline, in Höhn C., Mackensen R. (Eds), The Determinants of Fertility Trends: Theories Re-examined, Liège, Ordina and IUSSP, pp. 169-188.</w:t>
      </w:r>
    </w:p>
    <w:p w14:paraId="53519D4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Cannonier, C. (2014). Does the Family and Medical Leave Act (FMLA) increase fertility behaviour? Journal of Labor Research, 35, 105-132.</w:t>
      </w:r>
    </w:p>
    <w:p w14:paraId="7D0BD767" w14:textId="77777777" w:rsidR="00E37A3B" w:rsidRPr="0075220B" w:rsidRDefault="00E37A3B" w:rsidP="00E37A3B">
      <w:pPr>
        <w:ind w:left="567" w:hanging="567"/>
        <w:jc w:val="both"/>
        <w:rPr>
          <w:color w:val="222222"/>
          <w:sz w:val="20"/>
          <w:szCs w:val="20"/>
          <w:shd w:val="clear" w:color="auto" w:fill="FFFFFF"/>
        </w:rPr>
      </w:pPr>
      <w:r w:rsidRPr="007975B2">
        <w:rPr>
          <w:color w:val="222222"/>
          <w:sz w:val="20"/>
          <w:szCs w:val="20"/>
          <w:shd w:val="clear" w:color="auto" w:fill="FFFFFF"/>
        </w:rPr>
        <w:t>Carmichael, G. A. (2013). Decisions to Have Children in Late 20th and Early 21st Century Australia. In Decisions to Have Children in Late 20th and Early 21st Century Australia (pp. 1-38). Springer</w:t>
      </w:r>
      <w:r>
        <w:rPr>
          <w:color w:val="222222"/>
          <w:sz w:val="20"/>
          <w:szCs w:val="20"/>
          <w:shd w:val="clear" w:color="auto" w:fill="FFFFFF"/>
        </w:rPr>
        <w:t>:</w:t>
      </w:r>
      <w:r w:rsidRPr="007975B2">
        <w:rPr>
          <w:color w:val="222222"/>
          <w:sz w:val="20"/>
          <w:szCs w:val="20"/>
          <w:shd w:val="clear" w:color="auto" w:fill="FFFFFF"/>
        </w:rPr>
        <w:t xml:space="preserve"> Dordrecht.</w:t>
      </w:r>
    </w:p>
    <w:p w14:paraId="4A537B1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Carmichael, G. A. (2019). Indigenous fertility in Australia: updating Alan Gray. Journal of Population Research, 36: 283-317. </w:t>
      </w:r>
    </w:p>
    <w:p w14:paraId="7FA6C233" w14:textId="77777777" w:rsidR="00E37A3B" w:rsidRDefault="00E37A3B" w:rsidP="00E37A3B">
      <w:pPr>
        <w:ind w:left="567" w:hanging="567"/>
        <w:jc w:val="both"/>
        <w:rPr>
          <w:color w:val="222222"/>
          <w:sz w:val="20"/>
          <w:szCs w:val="20"/>
          <w:shd w:val="clear" w:color="auto" w:fill="FFFFFF"/>
        </w:rPr>
      </w:pPr>
      <w:r w:rsidRPr="00693478">
        <w:rPr>
          <w:color w:val="222222"/>
          <w:sz w:val="20"/>
          <w:szCs w:val="20"/>
          <w:shd w:val="clear" w:color="auto" w:fill="FFFFFF"/>
        </w:rPr>
        <w:t xml:space="preserve">Carmichael, G. A., &amp; McDonald, P. (2003). </w:t>
      </w:r>
      <w:r w:rsidRPr="0075220B">
        <w:rPr>
          <w:color w:val="222222"/>
          <w:sz w:val="20"/>
          <w:szCs w:val="20"/>
          <w:shd w:val="clear" w:color="auto" w:fill="FFFFFF"/>
        </w:rPr>
        <w:t xml:space="preserve">Fertility trends and differentials. </w:t>
      </w:r>
      <w:r>
        <w:rPr>
          <w:color w:val="222222"/>
          <w:sz w:val="20"/>
          <w:szCs w:val="20"/>
          <w:shd w:val="clear" w:color="auto" w:fill="FFFFFF"/>
        </w:rPr>
        <w:t xml:space="preserve">In </w:t>
      </w:r>
      <w:r w:rsidRPr="007975B2">
        <w:rPr>
          <w:color w:val="222222"/>
          <w:sz w:val="20"/>
          <w:szCs w:val="20"/>
          <w:shd w:val="clear" w:color="auto" w:fill="FFFFFF"/>
        </w:rPr>
        <w:t>The transformation of Australia's population: 1970-2030</w:t>
      </w:r>
      <w:r>
        <w:rPr>
          <w:color w:val="222222"/>
          <w:sz w:val="20"/>
          <w:szCs w:val="20"/>
          <w:shd w:val="clear" w:color="auto" w:fill="FFFFFF"/>
        </w:rPr>
        <w:t xml:space="preserve">, </w:t>
      </w:r>
      <w:r w:rsidRPr="0075220B">
        <w:rPr>
          <w:color w:val="222222"/>
          <w:sz w:val="20"/>
          <w:szCs w:val="20"/>
          <w:shd w:val="clear" w:color="auto" w:fill="FFFFFF"/>
        </w:rPr>
        <w:t>S.-E. Khoo, &amp; P. McDonald, Eds. Sydney: UNSW Press.</w:t>
      </w:r>
    </w:p>
    <w:p w14:paraId="3B75275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Cass, B., &amp; Brennan, D. (2003). Taxing women: the politics of gender in the tax/transfer system. eJournal of Tax Research, 1(1), 37-63.</w:t>
      </w:r>
    </w:p>
    <w:p w14:paraId="18734EE3" w14:textId="77777777" w:rsidR="00E37A3B" w:rsidRPr="00374596" w:rsidRDefault="00E37A3B" w:rsidP="00E37A3B">
      <w:pPr>
        <w:ind w:left="567" w:hanging="567"/>
        <w:jc w:val="both"/>
        <w:rPr>
          <w:color w:val="222222"/>
          <w:sz w:val="20"/>
          <w:szCs w:val="20"/>
          <w:shd w:val="clear" w:color="auto" w:fill="FFFFFF"/>
        </w:rPr>
      </w:pPr>
      <w:r w:rsidRPr="00374596">
        <w:rPr>
          <w:color w:val="222222"/>
          <w:sz w:val="20"/>
          <w:szCs w:val="20"/>
          <w:shd w:val="clear" w:color="auto" w:fill="FFFFFF"/>
          <w:lang w:val="it-IT"/>
        </w:rPr>
        <w:t xml:space="preserve">Casterline, J.B. (2001). </w:t>
      </w:r>
      <w:r w:rsidRPr="00374596">
        <w:rPr>
          <w:color w:val="222222"/>
          <w:sz w:val="20"/>
          <w:szCs w:val="20"/>
          <w:shd w:val="clear" w:color="auto" w:fill="FFFFFF"/>
        </w:rPr>
        <w:t>Diffusion processes and fertility transition. Committee on Population, Ed. Division of</w:t>
      </w:r>
      <w:r>
        <w:rPr>
          <w:color w:val="222222"/>
          <w:sz w:val="20"/>
          <w:szCs w:val="20"/>
          <w:shd w:val="clear" w:color="auto" w:fill="FFFFFF"/>
        </w:rPr>
        <w:t xml:space="preserve"> </w:t>
      </w:r>
      <w:r w:rsidRPr="00374596">
        <w:rPr>
          <w:color w:val="222222"/>
          <w:sz w:val="20"/>
          <w:szCs w:val="20"/>
          <w:shd w:val="clear" w:color="auto" w:fill="FFFFFF"/>
        </w:rPr>
        <w:t>Behavioral and Social Sciences and Education. Washington, DC: National Academy Press.</w:t>
      </w:r>
    </w:p>
    <w:p w14:paraId="1AA60DDE" w14:textId="77777777" w:rsidR="00E37A3B" w:rsidRDefault="00E37A3B" w:rsidP="00E37A3B">
      <w:pPr>
        <w:ind w:left="567" w:hanging="567"/>
        <w:jc w:val="both"/>
        <w:rPr>
          <w:rFonts w:ascii="Arial" w:hAnsi="Arial" w:cs="Arial"/>
          <w:color w:val="222222"/>
          <w:sz w:val="20"/>
          <w:szCs w:val="20"/>
          <w:shd w:val="clear" w:color="auto" w:fill="FFFFFF"/>
        </w:rPr>
      </w:pPr>
      <w:r w:rsidRPr="005B3755">
        <w:rPr>
          <w:color w:val="222222"/>
          <w:sz w:val="20"/>
          <w:szCs w:val="20"/>
          <w:shd w:val="clear" w:color="auto" w:fill="FFFFFF"/>
        </w:rPr>
        <w:t xml:space="preserve">Castles, F. G., &amp; Mitcheil, D. (1993). Worlds of Welfare and Families of Nations, 93-128 in. Families of Nations. Patterns of Public Policy in Western Democracies, Aldershot </w:t>
      </w:r>
      <w:r w:rsidRPr="00374596">
        <w:rPr>
          <w:color w:val="222222"/>
          <w:sz w:val="20"/>
          <w:szCs w:val="20"/>
          <w:shd w:val="clear" w:color="auto" w:fill="FFFFFF"/>
        </w:rPr>
        <w:t>Hants, England; Brookfield, Vt., USA : Dartmouth</w:t>
      </w:r>
      <w:r>
        <w:rPr>
          <w:rFonts w:ascii="Arial" w:hAnsi="Arial" w:cs="Arial"/>
          <w:color w:val="222222"/>
          <w:sz w:val="20"/>
          <w:szCs w:val="20"/>
          <w:shd w:val="clear" w:color="auto" w:fill="FFFFFF"/>
        </w:rPr>
        <w:t>.</w:t>
      </w:r>
    </w:p>
    <w:p w14:paraId="6F6EC85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CDC. (2020). 2018 Fertility success rates report. US Department of Health and Human Services, Centers for Disease Control and Prevention, Atlanta.</w:t>
      </w:r>
    </w:p>
    <w:p w14:paraId="0809023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Chambers, G., Sullivan, E. A., Ishihara, O., Chapman, M. G., &amp; Adamson, G. D. (2009). The economic impact of assisted reproductive technology: a review of selected developed countries. Fertility and Sterility, 91(6), 2281-2294. </w:t>
      </w:r>
    </w:p>
    <w:p w14:paraId="5CA6791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Chan, T. F. (2018). South Korea has limited a working week to 52 hours, in order to stop overwork. World Economic Forum . Retrieved June 30, 2021, from https://www.weforum.org/agenda/2018/07/south-korea-is-trying-to-stop-overwork-by-limiting-the-maximum-workweek-to-52-hours</w:t>
      </w:r>
    </w:p>
    <w:p w14:paraId="7980D01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Chen, M., Lloyd, C. J., &amp; Yip, P. S. (2019). A new method of identifying target groups for pronatalist policy applied to Australia. PLoS ONE, 13(2), e0192007.</w:t>
      </w:r>
    </w:p>
    <w:p w14:paraId="5DBB9636" w14:textId="148AA212"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Chung, H., &amp; Meuleman, B. (2017). European partner's attitudes towards public </w:t>
      </w:r>
      <w:r w:rsidR="008D52A6">
        <w:rPr>
          <w:color w:val="222222"/>
          <w:sz w:val="20"/>
          <w:szCs w:val="20"/>
          <w:shd w:val="clear" w:color="auto" w:fill="FFFFFF"/>
        </w:rPr>
        <w:t>child care</w:t>
      </w:r>
      <w:r w:rsidRPr="0075220B">
        <w:rPr>
          <w:color w:val="222222"/>
          <w:sz w:val="20"/>
          <w:szCs w:val="20"/>
          <w:shd w:val="clear" w:color="auto" w:fill="FFFFFF"/>
        </w:rPr>
        <w:t xml:space="preserve"> provision: the role of current provisions, interest and ideologies. European Societies, 19, 49-68.</w:t>
      </w:r>
    </w:p>
    <w:p w14:paraId="007E74B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Clark, S. (2021). Universal access to preschool. Canberra: Parliamentary Library.</w:t>
      </w:r>
    </w:p>
    <w:p w14:paraId="0E4FE420" w14:textId="77777777" w:rsidR="00E37A3B" w:rsidRDefault="00E37A3B" w:rsidP="00E37A3B">
      <w:pPr>
        <w:ind w:left="567" w:hanging="567"/>
        <w:jc w:val="both"/>
      </w:pPr>
      <w:r w:rsidRPr="0075220B">
        <w:rPr>
          <w:color w:val="222222"/>
          <w:sz w:val="20"/>
          <w:szCs w:val="20"/>
          <w:shd w:val="clear" w:color="auto" w:fill="FFFFFF"/>
        </w:rPr>
        <w:t>Cleland, J. (2009). Education and future fertility trends, with special reference to mid-transitional countries. Completing the fertility transition, United Nations Population Bulletin, Special Issue (48/49).</w:t>
      </w:r>
      <w:r w:rsidRPr="004D17F0">
        <w:t xml:space="preserve"> </w:t>
      </w:r>
    </w:p>
    <w:p w14:paraId="29EF6516" w14:textId="77777777" w:rsidR="00E37A3B" w:rsidRPr="0075220B" w:rsidRDefault="00E37A3B" w:rsidP="00E37A3B">
      <w:pPr>
        <w:ind w:left="567" w:hanging="567"/>
        <w:jc w:val="both"/>
        <w:rPr>
          <w:color w:val="222222"/>
          <w:sz w:val="20"/>
          <w:szCs w:val="20"/>
          <w:shd w:val="clear" w:color="auto" w:fill="FFFFFF"/>
        </w:rPr>
      </w:pPr>
      <w:r w:rsidRPr="004D17F0">
        <w:rPr>
          <w:color w:val="222222"/>
          <w:sz w:val="20"/>
          <w:szCs w:val="20"/>
          <w:shd w:val="clear" w:color="auto" w:fill="FFFFFF"/>
        </w:rPr>
        <w:t>Cleland, J.&amp; Wilson, C. (1987). Demand theories of the fertility transition: An iconoclastic view. Population Studies, 41(1): 5–30.</w:t>
      </w:r>
    </w:p>
    <w:p w14:paraId="6005CA9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Cobb-Clark, D. A. (2008). Leaving home: what economics has to say about the living arrangements of young Australians. The Australian Economic Review, 41(2), 160-176.</w:t>
      </w:r>
    </w:p>
    <w:p w14:paraId="5939803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Cohen, A., Dehejia, R., &amp; Romanov, D. (2013). Financial incentives and fertility. The Review of Economics and Fertility, 95(1), 1-20.</w:t>
      </w:r>
    </w:p>
    <w:p w14:paraId="0DF7DA0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Commonwealth Ombudsman. (2003). Own motion investigation into Family assistance administration and impacts on Family Assistance Office customers. Commonwealth Ombudsman.</w:t>
      </w:r>
    </w:p>
    <w:p w14:paraId="78740C8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Cools, S., Fiva, J. H., &amp; Kirkebøen, L. J. (2015). Causal effects of paternity leave on children and parents. The Scandinavian Journal of Economics, 117(3), 801-828.</w:t>
      </w:r>
    </w:p>
    <w:p w14:paraId="17120DB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Craig, L. (2006). Parental education, time in paid work and time with children: an Australian time-diary analysis. The British Journal of Sociology, 57(4), 553-575.</w:t>
      </w:r>
    </w:p>
    <w:p w14:paraId="2AA4B11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Craig, L., &amp; Siminski, P. (2010). Men's housework, women's housework, and second births in Australia. Social Politics: International Studies in Gender, State &amp; Society, 17(2), 235-266.</w:t>
      </w:r>
    </w:p>
    <w:p w14:paraId="0B2AC57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Curry, J.P., &amp; Scriven, G.D. (1978). The relationship between apartment living and fertility for Blacks, Mexican-Americans, and other Americans in Racine, Wisconsin. Demography, 15(4): 477-485.</w:t>
      </w:r>
    </w:p>
    <w:p w14:paraId="02E6B86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Cygan-Rehm, K. (2016). Parental leave benefit and differential fertility responses: Evidence from a German reform. Journal of Population Economics, 29(1), 73-103.</w:t>
      </w:r>
    </w:p>
    <w:p w14:paraId="683D348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Cygan-Rehm, K., &amp; Maeder, M. (2013). The effect of education on fertility: Evidence from a compulsory schooling reform. Labour Economics, 25, 35-48.</w:t>
      </w:r>
    </w:p>
    <w:p w14:paraId="0F14716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D'Addio, A. C., &amp; d'Ercole, M. M. (2005). Policies, institutions and fertility rates: A panel data analysis for OECD countries. OECD.</w:t>
      </w:r>
    </w:p>
    <w:p w14:paraId="1E4FC89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Daly, M., &amp; Ferragina, E. (2018). Family policy in high-income countries: five decades of development. Journal of European Social Policy, 28(3), 255-270.</w:t>
      </w:r>
    </w:p>
    <w:p w14:paraId="75CF6E4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Del Boca, D. (2002). The effect of child care and part time opportunities on participation and fertility decisions in Italy. Journal of population economics, 15(3), 549-573.</w:t>
      </w:r>
    </w:p>
    <w:p w14:paraId="31C735D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Del Boca, D., Pasqua, S., &amp; Pronzato, C. (2009). Motherhood and market work decisions in institutional context: a European perspective. Oxford Economic Papers, 61, 147-171.</w:t>
      </w:r>
    </w:p>
    <w:p w14:paraId="4269906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Department of Education, Skills and Employment. (2021). Early Childhood. Retrieved August 30, 2021, from https://www.dese.gov.au/early-childhood/providing-child-care</w:t>
      </w:r>
    </w:p>
    <w:p w14:paraId="66D4F58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Department of Social Services. (2014). Paid Parental Leave Scheme: Review Report. Canberra: Department of Social Services. Retrieved from https://www.dss.gov.au/sites/default/files/documents/06_2014/paid_parental_leave_scheme_review_report.pdf</w:t>
      </w:r>
    </w:p>
    <w:p w14:paraId="30EFD09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Department of Social Services. (2020). Annual Report 2019-20. Canberra: Australian Government.</w:t>
      </w:r>
    </w:p>
    <w:p w14:paraId="7B223ED7" w14:textId="77777777" w:rsidR="00E37A3B" w:rsidRPr="00A2723C"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 </w:t>
      </w:r>
      <w:r w:rsidRPr="00A2723C">
        <w:rPr>
          <w:color w:val="222222"/>
          <w:sz w:val="20"/>
          <w:szCs w:val="20"/>
          <w:shd w:val="clear" w:color="auto" w:fill="FFFFFF"/>
        </w:rPr>
        <w:t>Department of Social Services. (2021). Parental Leave Guide, Version 1.72 Released 9 August 2021. Retrieved from https://guides.dss.gov.au/paid-parental-leave-guide/1/2/1</w:t>
      </w:r>
    </w:p>
    <w:p w14:paraId="69B240AE" w14:textId="77777777" w:rsidR="00E37A3B" w:rsidRDefault="00E37A3B" w:rsidP="00E37A3B">
      <w:pPr>
        <w:ind w:left="567" w:hanging="567"/>
        <w:jc w:val="both"/>
      </w:pPr>
      <w:r w:rsidRPr="0075220B">
        <w:rPr>
          <w:color w:val="222222"/>
          <w:sz w:val="20"/>
          <w:szCs w:val="20"/>
          <w:shd w:val="clear" w:color="auto" w:fill="FFFFFF"/>
        </w:rPr>
        <w:t>Drago, R., Sawyer, K., Shreffler, K. M., Warren, D., &amp; Wooden, M. (2011). Did Australia's Baby Bonus increase fertility intentions and births? Population Research and Policy Review, 30(3), 381-397.</w:t>
      </w:r>
      <w:r w:rsidRPr="00E7188F">
        <w:t xml:space="preserve"> </w:t>
      </w:r>
    </w:p>
    <w:p w14:paraId="76684E04" w14:textId="77777777" w:rsidR="00E37A3B" w:rsidRPr="0075220B" w:rsidRDefault="00E37A3B" w:rsidP="00E37A3B">
      <w:pPr>
        <w:ind w:left="567" w:hanging="567"/>
        <w:jc w:val="both"/>
        <w:rPr>
          <w:color w:val="222222"/>
          <w:sz w:val="20"/>
          <w:szCs w:val="20"/>
          <w:shd w:val="clear" w:color="auto" w:fill="FFFFFF"/>
        </w:rPr>
      </w:pPr>
      <w:r w:rsidRPr="00E7188F">
        <w:rPr>
          <w:color w:val="222222"/>
          <w:sz w:val="20"/>
          <w:szCs w:val="20"/>
          <w:shd w:val="clear" w:color="auto" w:fill="FFFFFF"/>
        </w:rPr>
        <w:t>Dumont, A. 1890. Dépopulation et civilisation. Etude démographique. Paris: Lecrosnier and Babe.</w:t>
      </w:r>
    </w:p>
    <w:p w14:paraId="1A85E47E" w14:textId="77777777" w:rsidR="00E37A3B" w:rsidRPr="0075220B" w:rsidRDefault="00E37A3B" w:rsidP="00E37A3B">
      <w:pPr>
        <w:ind w:left="567" w:hanging="567"/>
        <w:jc w:val="both"/>
        <w:rPr>
          <w:color w:val="222222"/>
          <w:sz w:val="20"/>
          <w:szCs w:val="20"/>
          <w:shd w:val="clear" w:color="auto" w:fill="FFFFFF"/>
        </w:rPr>
      </w:pPr>
      <w:r w:rsidRPr="005B3755">
        <w:rPr>
          <w:color w:val="222222"/>
          <w:sz w:val="20"/>
          <w:szCs w:val="20"/>
          <w:shd w:val="clear" w:color="auto" w:fill="FFFFFF"/>
        </w:rPr>
        <w:t>Duvander, A. Z., &amp; Ferrarini, T. (2013). Sweden's Family Policy Under Change: Past, Present, Future.</w:t>
      </w:r>
      <w:r>
        <w:rPr>
          <w:color w:val="222222"/>
          <w:sz w:val="20"/>
          <w:szCs w:val="20"/>
          <w:shd w:val="clear" w:color="auto" w:fill="FFFFFF"/>
        </w:rPr>
        <w:t xml:space="preserve"> International Policy Analysis.</w:t>
      </w:r>
      <w:r w:rsidRPr="005B3755">
        <w:rPr>
          <w:color w:val="222222"/>
          <w:sz w:val="20"/>
          <w:szCs w:val="20"/>
          <w:shd w:val="clear" w:color="auto" w:fill="FFFFFF"/>
        </w:rPr>
        <w:t xml:space="preserve"> Friedrich-Ebert-Stiftung.</w:t>
      </w:r>
    </w:p>
    <w:p w14:paraId="1D9B8520"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Duvander, A.-Z., &amp; Andersson, G. (2006). Gender equality and fertility in Sweden. Marriage &amp; Family Review, 39(1-2), 121-142.</w:t>
      </w:r>
    </w:p>
    <w:p w14:paraId="724EDDCF" w14:textId="77777777" w:rsidR="00E37A3B" w:rsidRPr="0075220B" w:rsidRDefault="00E37A3B" w:rsidP="00E37A3B">
      <w:pPr>
        <w:ind w:left="567" w:hanging="567"/>
        <w:jc w:val="both"/>
        <w:rPr>
          <w:color w:val="222222"/>
          <w:sz w:val="20"/>
          <w:szCs w:val="20"/>
          <w:shd w:val="clear" w:color="auto" w:fill="FFFFFF"/>
        </w:rPr>
      </w:pPr>
      <w:r w:rsidRPr="00E37A3B">
        <w:rPr>
          <w:color w:val="222222"/>
          <w:sz w:val="20"/>
          <w:szCs w:val="20"/>
          <w:shd w:val="clear" w:color="auto" w:fill="FFFFFF"/>
          <w:lang w:val="it-IT"/>
        </w:rPr>
        <w:t xml:space="preserve">Duvander, A.-Z., &amp; Löfgren, N. (2020). </w:t>
      </w:r>
      <w:r w:rsidRPr="0075220B">
        <w:rPr>
          <w:color w:val="222222"/>
          <w:sz w:val="20"/>
          <w:szCs w:val="20"/>
          <w:shd w:val="clear" w:color="auto" w:fill="FFFFFF"/>
        </w:rPr>
        <w:t>Sweden country note. In A. Koslowski, S. Blum, I. Dobrotić, G. Kaufman, &amp; P. Moss, International Review of Leave Policies and Research 2020. Retrieved from https://www.leavenetwork.org/annual-review-reports/review-2020/</w:t>
      </w:r>
    </w:p>
    <w:p w14:paraId="56A04F7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Duvander, A.-Z., Lappegård, T., &amp; Johansson , M. (2020). Impact of a reform towards shared parental leave on continued fertility in Norway and Sweden. Population Research and Policy Review, 39, 1205-1229.</w:t>
      </w:r>
    </w:p>
    <w:p w14:paraId="5F14D55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Duvander, A.-Z., Lappegård, T., Andersen, S. N., Garðarsdóttir, Ó., Neyer, G., &amp; Viklund, I. (2019). Parental leave policies and continued childbearing in Iceland, Norway and Sweden. Demographic Research, 40, 1501-1528.</w:t>
      </w:r>
    </w:p>
    <w:p w14:paraId="3D49D11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Einarsdóttir, K., Langridge, A., Hammond, G., Gunnell, A. S., Haggar, F. A., &amp; Stanley, F. J. (2012). The Australian Baby Bonus Maternity Payment and Birth Characteristics in Western Australia. PLoS ONE, 7(11), e48885.</w:t>
      </w:r>
    </w:p>
    <w:p w14:paraId="53E70857" w14:textId="129B5B5A"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Ellingsæter, A. L., Kitterød, R. H., &amp; Lyngstad, J. (2017). Universalising </w:t>
      </w:r>
      <w:r w:rsidR="008D52A6">
        <w:rPr>
          <w:color w:val="222222"/>
          <w:sz w:val="20"/>
          <w:szCs w:val="20"/>
          <w:shd w:val="clear" w:color="auto" w:fill="FFFFFF"/>
        </w:rPr>
        <w:t>child care</w:t>
      </w:r>
      <w:r w:rsidRPr="0075220B">
        <w:rPr>
          <w:color w:val="222222"/>
          <w:sz w:val="20"/>
          <w:szCs w:val="20"/>
          <w:shd w:val="clear" w:color="auto" w:fill="FFFFFF"/>
        </w:rPr>
        <w:t>, changing mothers' attitudes: Policy feedback in Norway. Journal of Social Policy, 46(1), 149-173.</w:t>
      </w:r>
    </w:p>
    <w:p w14:paraId="6137D92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Esping-Andersen, G. (2017). Education, gender revolution, and fertility recovery. Vienna Yearbook of Population Research, 55-59.</w:t>
      </w:r>
    </w:p>
    <w:p w14:paraId="3692AE6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Esping-Andersen. (1990). The three worlds of welfare Capitalism.</w:t>
      </w:r>
      <w:r>
        <w:rPr>
          <w:color w:val="222222"/>
          <w:sz w:val="20"/>
          <w:szCs w:val="20"/>
          <w:shd w:val="clear" w:color="auto" w:fill="FFFFFF"/>
        </w:rPr>
        <w:t xml:space="preserve"> Princeton: Princeton University Press</w:t>
      </w:r>
    </w:p>
    <w:p w14:paraId="343A256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European Commission. (2019). Key data on Early Childhood Education and Care in Europe- 2019 Edition. Luxembourg: European Commission/ EACEA/ Eurydice.</w:t>
      </w:r>
    </w:p>
    <w:p w14:paraId="35B899EF" w14:textId="77777777" w:rsidR="00E37A3B" w:rsidRPr="0075220B" w:rsidRDefault="00E37A3B" w:rsidP="007235F6">
      <w:pPr>
        <w:ind w:left="567" w:hanging="567"/>
        <w:rPr>
          <w:color w:val="222222"/>
          <w:sz w:val="20"/>
          <w:szCs w:val="20"/>
          <w:shd w:val="clear" w:color="auto" w:fill="FFFFFF"/>
        </w:rPr>
      </w:pPr>
      <w:r w:rsidRPr="0075220B">
        <w:rPr>
          <w:color w:val="222222"/>
          <w:sz w:val="20"/>
          <w:szCs w:val="20"/>
          <w:shd w:val="clear" w:color="auto" w:fill="FFFFFF"/>
        </w:rPr>
        <w:t>Eurostat. (2021). Age of young people leaving their parental household. Retrieved from https://ec.europa.eu/eurostat/statistics-explained/index.php?title=Age_of_young_people_leaving_their_parental_household&amp;oldid=494351#Geographical_differences</w:t>
      </w:r>
    </w:p>
    <w:p w14:paraId="05F6394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Evans, A., &amp; Gray, E. (2018). Modelling variations in fertility rates using geographically weighted regression. Spatial Demography, 6, 121-140.</w:t>
      </w:r>
    </w:p>
    <w:p w14:paraId="5200D96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Evans, A., Barbato, C., Bettini, E., Gray, E., &amp; Kippen, R. (2009). Taking stock: parents' reasons for and against having a third child. Community, Work &amp; Family, 12(4), 437-454.</w:t>
      </w:r>
    </w:p>
    <w:p w14:paraId="05A1E2A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Fahlén, S., &amp; Oláh, L. S. (2018). Economic uncertainty and first-birth intentions in Europe. Demographic Research, 39(28), 795-834.</w:t>
      </w:r>
    </w:p>
    <w:p w14:paraId="2E80A8B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Farré, L., &amp; González. (2019). Does paternity leave reduce fertility? Journal of Public Economics, 72, 52-66.</w:t>
      </w:r>
    </w:p>
    <w:p w14:paraId="18D42C2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Felson, M., &amp; Solaun, M. (1975). The fertility-inhibiting effect of crowded apartment living in a tight housing market. American Journal of Sociology, 80(6): 1410-1427.</w:t>
      </w:r>
    </w:p>
    <w:p w14:paraId="1EAD865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Fenger, M. (2007). Welfare regimes in Central and Eastern Europe: Incorporating post-communist countries in a welfare regime typology. Contemporary Issues and Ideas in Social Sciences, 3(2), 1-30.</w:t>
      </w:r>
    </w:p>
    <w:p w14:paraId="779471E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Ferrarini, T., Nelson, K., &amp; Höög, H. (2013). From universalism to selectivity: Old wine in new bottles for child benefits in Europe and other countries. In I. Marx, &amp; K. Nelson, Minimum Income Protection in Flux (pp. 137-160). London: Palgrave Macmillan.</w:t>
      </w:r>
    </w:p>
    <w:p w14:paraId="3AFB8D5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Flynn, L. (2017). Delayed and depressed: From expensive housing to smaller families. International Journal of Housing Policy, 17(3), 374-395.</w:t>
      </w:r>
    </w:p>
    <w:p w14:paraId="5F6A9035" w14:textId="77777777" w:rsidR="00E37A3B" w:rsidRPr="0075220B" w:rsidRDefault="00E37A3B" w:rsidP="00E37A3B">
      <w:pPr>
        <w:ind w:left="567" w:hanging="567"/>
        <w:jc w:val="both"/>
        <w:rPr>
          <w:color w:val="222222"/>
          <w:sz w:val="20"/>
          <w:szCs w:val="20"/>
          <w:shd w:val="clear" w:color="auto" w:fill="FFFFFF"/>
        </w:rPr>
      </w:pPr>
      <w:r w:rsidRPr="00E37A3B">
        <w:rPr>
          <w:color w:val="222222"/>
          <w:sz w:val="20"/>
          <w:szCs w:val="20"/>
          <w:shd w:val="clear" w:color="auto" w:fill="FFFFFF"/>
          <w:lang w:val="it-IT"/>
        </w:rPr>
        <w:t xml:space="preserve">Francesconi, M., &amp; Van der Klaauw, W. (2007). </w:t>
      </w:r>
      <w:r w:rsidRPr="00722F28">
        <w:rPr>
          <w:color w:val="222222"/>
          <w:sz w:val="20"/>
          <w:szCs w:val="20"/>
          <w:shd w:val="clear" w:color="auto" w:fill="FFFFFF"/>
        </w:rPr>
        <w:t>The socioeconomic consequences of “in-work” benefit reform for British lone mothers. Journal of Human Resources, 42(1), 1-31.</w:t>
      </w:r>
    </w:p>
    <w:p w14:paraId="162B2B48" w14:textId="0933D46B"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Fukai, T. (2017). </w:t>
      </w:r>
      <w:r w:rsidR="008D52A6">
        <w:rPr>
          <w:color w:val="222222"/>
          <w:sz w:val="20"/>
          <w:szCs w:val="20"/>
          <w:shd w:val="clear" w:color="auto" w:fill="FFFFFF"/>
        </w:rPr>
        <w:t>Child care</w:t>
      </w:r>
      <w:r w:rsidRPr="0075220B">
        <w:rPr>
          <w:color w:val="222222"/>
          <w:sz w:val="20"/>
          <w:szCs w:val="20"/>
          <w:shd w:val="clear" w:color="auto" w:fill="FFFFFF"/>
        </w:rPr>
        <w:t xml:space="preserve"> availability and fertility: Evidence from municipalities in Japan. Journal of the Japanese and International Economies, 43, 1-18.</w:t>
      </w:r>
    </w:p>
    <w:p w14:paraId="11281D7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Galloway, T. A., &amp; Hart, R. K. (2015). Effects of income and the cost of children on fertility: Quasi-experimental evidence from Norway. Statistics Norway.</w:t>
      </w:r>
    </w:p>
    <w:p w14:paraId="4AFEE31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Garret, C. C., Keogh, L., Hewitt, B., Newton, D. C., &amp; Kavanagh, A. M. (2017). Young mother's experiences receiving the baby bonus: a qualitative study. Australian Social Work, 70(1), 54-65.</w:t>
      </w:r>
    </w:p>
    <w:p w14:paraId="2F5B2EDE" w14:textId="7A9FB2C1"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Gathmann, C., &amp; Sass, B. (2018). Taxing </w:t>
      </w:r>
      <w:r w:rsidR="008D52A6">
        <w:rPr>
          <w:color w:val="222222"/>
          <w:sz w:val="20"/>
          <w:szCs w:val="20"/>
          <w:shd w:val="clear" w:color="auto" w:fill="FFFFFF"/>
        </w:rPr>
        <w:t>child care</w:t>
      </w:r>
      <w:r w:rsidRPr="0075220B">
        <w:rPr>
          <w:color w:val="222222"/>
          <w:sz w:val="20"/>
          <w:szCs w:val="20"/>
          <w:shd w:val="clear" w:color="auto" w:fill="FFFFFF"/>
        </w:rPr>
        <w:t xml:space="preserve">: Effects on </w:t>
      </w:r>
      <w:r w:rsidR="008D52A6">
        <w:rPr>
          <w:color w:val="222222"/>
          <w:sz w:val="20"/>
          <w:szCs w:val="20"/>
          <w:shd w:val="clear" w:color="auto" w:fill="FFFFFF"/>
        </w:rPr>
        <w:t>child care</w:t>
      </w:r>
      <w:r w:rsidRPr="0075220B">
        <w:rPr>
          <w:color w:val="222222"/>
          <w:sz w:val="20"/>
          <w:szCs w:val="20"/>
          <w:shd w:val="clear" w:color="auto" w:fill="FFFFFF"/>
        </w:rPr>
        <w:t xml:space="preserve"> choices, family labor supply, and children. Journal of Labor Economics, 36(3).</w:t>
      </w:r>
    </w:p>
    <w:p w14:paraId="5821CCFE" w14:textId="77777777" w:rsidR="00E37A3B" w:rsidRDefault="00E37A3B" w:rsidP="00E37A3B">
      <w:pPr>
        <w:ind w:left="567" w:hanging="567"/>
        <w:jc w:val="both"/>
        <w:rPr>
          <w:color w:val="222222"/>
          <w:sz w:val="20"/>
          <w:szCs w:val="20"/>
          <w:shd w:val="clear" w:color="auto" w:fill="FFFFFF"/>
        </w:rPr>
      </w:pPr>
      <w:r w:rsidRPr="007975B2">
        <w:rPr>
          <w:color w:val="222222"/>
          <w:sz w:val="20"/>
          <w:szCs w:val="20"/>
          <w:shd w:val="clear" w:color="auto" w:fill="FFFFFF"/>
        </w:rPr>
        <w:t xml:space="preserve">Gauthier, A. H. (2007). The impact of family policies on fertility in industrialized countries: a review of the literature. Population </w:t>
      </w:r>
      <w:r>
        <w:rPr>
          <w:color w:val="222222"/>
          <w:sz w:val="20"/>
          <w:szCs w:val="20"/>
          <w:shd w:val="clear" w:color="auto" w:fill="FFFFFF"/>
        </w:rPr>
        <w:t>R</w:t>
      </w:r>
      <w:r w:rsidRPr="007975B2">
        <w:rPr>
          <w:color w:val="222222"/>
          <w:sz w:val="20"/>
          <w:szCs w:val="20"/>
          <w:shd w:val="clear" w:color="auto" w:fill="FFFFFF"/>
        </w:rPr>
        <w:t xml:space="preserve">esearch and </w:t>
      </w:r>
      <w:r>
        <w:rPr>
          <w:color w:val="222222"/>
          <w:sz w:val="20"/>
          <w:szCs w:val="20"/>
          <w:shd w:val="clear" w:color="auto" w:fill="FFFFFF"/>
        </w:rPr>
        <w:t>P</w:t>
      </w:r>
      <w:r w:rsidRPr="007975B2">
        <w:rPr>
          <w:color w:val="222222"/>
          <w:sz w:val="20"/>
          <w:szCs w:val="20"/>
          <w:shd w:val="clear" w:color="auto" w:fill="FFFFFF"/>
        </w:rPr>
        <w:t xml:space="preserve">olicy </w:t>
      </w:r>
      <w:r>
        <w:rPr>
          <w:color w:val="222222"/>
          <w:sz w:val="20"/>
          <w:szCs w:val="20"/>
          <w:shd w:val="clear" w:color="auto" w:fill="FFFFFF"/>
        </w:rPr>
        <w:t>R</w:t>
      </w:r>
      <w:r w:rsidRPr="007975B2">
        <w:rPr>
          <w:color w:val="222222"/>
          <w:sz w:val="20"/>
          <w:szCs w:val="20"/>
          <w:shd w:val="clear" w:color="auto" w:fill="FFFFFF"/>
        </w:rPr>
        <w:t>eview, 26(3), 323-346.</w:t>
      </w:r>
      <w:r w:rsidRPr="0075220B">
        <w:rPr>
          <w:color w:val="222222"/>
          <w:sz w:val="20"/>
          <w:szCs w:val="20"/>
          <w:shd w:val="clear" w:color="auto" w:fill="FFFFFF"/>
        </w:rPr>
        <w:t xml:space="preserve"> </w:t>
      </w:r>
    </w:p>
    <w:p w14:paraId="23C21E0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Gauthier, A. H., &amp; de Jong, P. W. (2021). Costly children: the motivations for parental investment in children in a low fertility context. Genus, 77(6), 1-19.</w:t>
      </w:r>
    </w:p>
    <w:p w14:paraId="69064EF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Gauthier, A. H., &amp; Philipov, D. (2008). Can policies enhance fertility in Europe? Vienna Yearbook of Population Research, 6, 1-16.</w:t>
      </w:r>
    </w:p>
    <w:p w14:paraId="320FB5C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Gauthier, A. H., Bryson, C., Fadel, L., Haux, T., Judith, K., &amp; Mynarska, M. (2021). Exploring the concept of intensive parenting in a three-country study. Demographic Research, 44(13), 333-348.</w:t>
      </w:r>
    </w:p>
    <w:p w14:paraId="1FBCF2DA" w14:textId="0A4EE40A"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Geist, C. (2005). The welfare state and the home: Regime differences in the domestic division of labour. European Sociological Review, 21(1), 23-41. </w:t>
      </w:r>
    </w:p>
    <w:p w14:paraId="2EBD5616" w14:textId="77777777" w:rsidR="00E37A3B" w:rsidRPr="0075220B" w:rsidRDefault="00E37A3B" w:rsidP="00E37A3B">
      <w:pPr>
        <w:ind w:left="567" w:hanging="567"/>
        <w:jc w:val="both"/>
        <w:rPr>
          <w:color w:val="222222"/>
          <w:sz w:val="20"/>
          <w:szCs w:val="20"/>
          <w:shd w:val="clear" w:color="auto" w:fill="FFFFFF"/>
        </w:rPr>
      </w:pPr>
      <w:r w:rsidRPr="004D17F0">
        <w:rPr>
          <w:color w:val="222222"/>
          <w:sz w:val="20"/>
          <w:szCs w:val="20"/>
          <w:shd w:val="clear" w:color="auto" w:fill="FFFFFF"/>
        </w:rPr>
        <w:t>Goldscheider, F. &amp; Waite, L. (1993). New families, no families? : The transformation of the American home. Berkeley: University of California Press.</w:t>
      </w:r>
    </w:p>
    <w:p w14:paraId="309C4902" w14:textId="77777777" w:rsidR="00E37A3B" w:rsidRDefault="00E37A3B" w:rsidP="00E37A3B">
      <w:pPr>
        <w:ind w:left="567" w:hanging="567"/>
        <w:jc w:val="both"/>
        <w:rPr>
          <w:color w:val="222222"/>
          <w:sz w:val="20"/>
          <w:szCs w:val="20"/>
          <w:shd w:val="clear" w:color="auto" w:fill="FFFFFF"/>
        </w:rPr>
      </w:pPr>
      <w:r>
        <w:rPr>
          <w:color w:val="222222"/>
          <w:sz w:val="20"/>
          <w:szCs w:val="20"/>
          <w:shd w:val="clear" w:color="auto" w:fill="FFFFFF"/>
        </w:rPr>
        <w:t xml:space="preserve">Goldscheider, F., Bernhardt, E., and </w:t>
      </w:r>
      <w:r w:rsidRPr="0075220B">
        <w:rPr>
          <w:color w:val="222222"/>
          <w:sz w:val="20"/>
          <w:szCs w:val="20"/>
          <w:shd w:val="clear" w:color="auto" w:fill="FFFFFF"/>
        </w:rPr>
        <w:t>Lappeg</w:t>
      </w:r>
      <w:r>
        <w:rPr>
          <w:rFonts w:cstheme="minorHAnsi"/>
          <w:color w:val="222222"/>
          <w:sz w:val="20"/>
          <w:szCs w:val="20"/>
          <w:shd w:val="clear" w:color="auto" w:fill="FFFFFF"/>
        </w:rPr>
        <w:t>å</w:t>
      </w:r>
      <w:r w:rsidRPr="0075220B">
        <w:rPr>
          <w:color w:val="222222"/>
          <w:sz w:val="20"/>
          <w:szCs w:val="20"/>
          <w:shd w:val="clear" w:color="auto" w:fill="FFFFFF"/>
        </w:rPr>
        <w:t>rd, T.</w:t>
      </w:r>
      <w:r>
        <w:rPr>
          <w:color w:val="222222"/>
          <w:sz w:val="20"/>
          <w:szCs w:val="20"/>
          <w:shd w:val="clear" w:color="auto" w:fill="FFFFFF"/>
        </w:rPr>
        <w:t xml:space="preserve"> (2015). The gender revolution: A framework for understanding changing family and demographic behavior. </w:t>
      </w:r>
      <w:r w:rsidRPr="00374596">
        <w:rPr>
          <w:i/>
          <w:iCs/>
          <w:color w:val="222222"/>
          <w:sz w:val="20"/>
          <w:szCs w:val="20"/>
          <w:shd w:val="clear" w:color="auto" w:fill="FFFFFF"/>
        </w:rPr>
        <w:t>Population and Development Review</w:t>
      </w:r>
      <w:r>
        <w:rPr>
          <w:color w:val="222222"/>
          <w:sz w:val="20"/>
          <w:szCs w:val="20"/>
          <w:shd w:val="clear" w:color="auto" w:fill="FFFFFF"/>
        </w:rPr>
        <w:t>, 41(2): 207-239.</w:t>
      </w:r>
    </w:p>
    <w:p w14:paraId="76A9A25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González, L., &amp; Trommlerová, S. K. (2021). Cash Transfers and Fertility: How the introduction and cancellation of a child benefit affected births and abortions. The Journal of Human Resources, Online first.</w:t>
      </w:r>
    </w:p>
    <w:p w14:paraId="64C61B41" w14:textId="36B01EEC"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Government of Canada. (2021). Canada Child Benefit: How much can you get. Retrieved from </w:t>
      </w:r>
      <w:hyperlink r:id="rId76" w:history="1">
        <w:r w:rsidRPr="0075220B">
          <w:rPr>
            <w:rStyle w:val="Hyperlink"/>
          </w:rPr>
          <w:t>https://www.canada.ca/en/revenue-agency/services/child-family-benefits/canada-child-benefit-overview/canada-child-benefit-we-calculate-your-ccb.html</w:t>
        </w:r>
      </w:hyperlink>
    </w:p>
    <w:p w14:paraId="1F106E3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Gray Collins, E. (2016). Three essays on the economics of fertility. University of Michigan.</w:t>
      </w:r>
    </w:p>
    <w:p w14:paraId="5462345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Gray, A. (1983). Australian Aboriginal fertility in decline. Ph.D. thesis, Department of Demography, Australian National University.</w:t>
      </w:r>
    </w:p>
    <w:p w14:paraId="567FA69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Gray, E., &amp; Evans, A. (2017). Geographic variation in parity progression in Australia. Population, Space and Place, 24(2). doi:https://doi.org/10.1002/psp.2080</w:t>
      </w:r>
    </w:p>
    <w:p w14:paraId="7A2670F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Gray, E., &amp; Evans, A. (2018). Geographic variation in parity progression in Australia. Population Space and Place, 24, e2080.</w:t>
      </w:r>
    </w:p>
    <w:p w14:paraId="2FC81DC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Gray, E., &amp; Evans, A. (2019). Changing education, changing fertility: a decomposition of completed fertility in Australia. Australian Population Studies, 3(2), 1-15.</w:t>
      </w:r>
    </w:p>
    <w:p w14:paraId="2B2B2CB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Gray, E., Evans, A., &amp; Reimondos, A. (2013). Childbearing desires of childless men and women: when are goals adjusted? Advances in Life Course Research, 18(2), 141-149.</w:t>
      </w:r>
    </w:p>
    <w:p w14:paraId="3260398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Guzzo, K. B., &amp; Hayford, S. R. (2020). Pathways to parenthood in social and family contexts: Decade in Review, 2020. Journal of Marriage and Family, 82(1), 117-144.</w:t>
      </w:r>
    </w:p>
    <w:p w14:paraId="308B0AD1"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Hammarberg, K., Zosel, R., Comoy, C., Robertson, S., Holden, C., Deeks, M., &amp; Johnson, L. (2015). Fertility-related knowledge and information-seeking behaviour among people of reproductive age: a qualitative study. Human Fertility, 20(2), 88-95.</w:t>
      </w:r>
    </w:p>
    <w:p w14:paraId="612ABE8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Hampton, K. D., Mazza, D., &amp; Newton, J. M. (2012). Fertility-awareness knowledge, attitudes, and practices of women seeking fertility assistance. Journal of Advanced Nursing, 69(5), 1076-1084.</w:t>
      </w:r>
    </w:p>
    <w:p w14:paraId="21BFD7F6" w14:textId="62BACBF4"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Harknett, K., Billari, F., &amp; Medalia, C. (2014). Do family support environments influence fertility? Evidence from 20 European countries. </w:t>
      </w:r>
      <w:r w:rsidRPr="007235F6">
        <w:rPr>
          <w:i/>
          <w:iCs/>
          <w:color w:val="222222"/>
          <w:sz w:val="20"/>
          <w:szCs w:val="20"/>
          <w:shd w:val="clear" w:color="auto" w:fill="FFFFFF"/>
        </w:rPr>
        <w:t>European Journal of Population</w:t>
      </w:r>
      <w:r w:rsidRPr="0075220B">
        <w:rPr>
          <w:color w:val="222222"/>
          <w:sz w:val="20"/>
          <w:szCs w:val="20"/>
          <w:shd w:val="clear" w:color="auto" w:fill="FFFFFF"/>
        </w:rPr>
        <w:t>, 30, 1</w:t>
      </w:r>
      <w:r w:rsidR="002908A1">
        <w:rPr>
          <w:color w:val="222222"/>
          <w:sz w:val="20"/>
          <w:szCs w:val="20"/>
          <w:shd w:val="clear" w:color="auto" w:fill="FFFFFF"/>
        </w:rPr>
        <w:t>–</w:t>
      </w:r>
      <w:r w:rsidRPr="0075220B">
        <w:rPr>
          <w:color w:val="222222"/>
          <w:sz w:val="20"/>
          <w:szCs w:val="20"/>
          <w:shd w:val="clear" w:color="auto" w:fill="FFFFFF"/>
        </w:rPr>
        <w:t>33.</w:t>
      </w:r>
    </w:p>
    <w:p w14:paraId="57CCC74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Hart, R. K., Andersen, S. N., &amp; Drange, N. (2019). Effects of extended paternity leave on union stability and fertility. Statistics Norway.</w:t>
      </w:r>
    </w:p>
    <w:p w14:paraId="6D90010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Herzer, D. (2019). A note on the effect of religiosity on fertility. </w:t>
      </w:r>
      <w:r w:rsidRPr="007235F6">
        <w:rPr>
          <w:i/>
          <w:iCs/>
          <w:color w:val="222222"/>
          <w:sz w:val="20"/>
          <w:szCs w:val="20"/>
          <w:shd w:val="clear" w:color="auto" w:fill="FFFFFF"/>
        </w:rPr>
        <w:t>Demography</w:t>
      </w:r>
      <w:r w:rsidRPr="0075220B">
        <w:rPr>
          <w:color w:val="222222"/>
          <w:sz w:val="20"/>
          <w:szCs w:val="20"/>
          <w:shd w:val="clear" w:color="auto" w:fill="FFFFFF"/>
        </w:rPr>
        <w:t>, 56(3), 991-998.</w:t>
      </w:r>
    </w:p>
    <w:p w14:paraId="48846B3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Hilgeman, C., &amp; Butts, C. (2009). Women's employment and fertility: A welfare regime paradox. Social Science Research, 38(1), 103-117.</w:t>
      </w:r>
    </w:p>
    <w:p w14:paraId="1B13138D"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Hill, E., Baird, M., Vromen, A., Cooper, R., Meers, Z., &amp; Probyn, E. (2019). Young women and men: Imagined futures of work and family formation in Australia. Journal of Sociology, 55(4), 778-798.</w:t>
      </w:r>
    </w:p>
    <w:p w14:paraId="45E1BC86" w14:textId="22F936ED" w:rsidR="00E37A3B" w:rsidRDefault="00E37A3B" w:rsidP="00E37A3B">
      <w:pPr>
        <w:pStyle w:val="NormalWeb"/>
        <w:shd w:val="clear" w:color="auto" w:fill="FFFFFF"/>
        <w:spacing w:after="240" w:afterAutospacing="0"/>
        <w:ind w:left="567" w:hanging="567"/>
        <w:jc w:val="both"/>
      </w:pPr>
      <w:r w:rsidRPr="00A2723C">
        <w:rPr>
          <w:rFonts w:asciiTheme="minorHAnsi" w:eastAsiaTheme="minorHAnsi" w:hAnsiTheme="minorHAnsi" w:cstheme="minorBidi"/>
          <w:color w:val="222222"/>
          <w:sz w:val="20"/>
          <w:szCs w:val="20"/>
          <w:shd w:val="clear" w:color="auto" w:fill="FFFFFF"/>
          <w:lang w:eastAsia="en-US"/>
        </w:rPr>
        <w:t>H</w:t>
      </w:r>
      <w:r w:rsidR="00365814">
        <w:rPr>
          <w:rFonts w:asciiTheme="minorHAnsi" w:eastAsiaTheme="minorHAnsi" w:hAnsiTheme="minorHAnsi" w:cstheme="minorBidi"/>
          <w:color w:val="222222"/>
          <w:sz w:val="20"/>
          <w:szCs w:val="20"/>
          <w:shd w:val="clear" w:color="auto" w:fill="FFFFFF"/>
          <w:lang w:eastAsia="en-US"/>
        </w:rPr>
        <w:t>obcraft, J., &amp; Kiernan, K. (1995</w:t>
      </w:r>
      <w:r w:rsidRPr="00A2723C">
        <w:rPr>
          <w:rFonts w:asciiTheme="minorHAnsi" w:eastAsiaTheme="minorHAnsi" w:hAnsiTheme="minorHAnsi" w:cstheme="minorBidi"/>
          <w:color w:val="222222"/>
          <w:sz w:val="20"/>
          <w:szCs w:val="20"/>
          <w:shd w:val="clear" w:color="auto" w:fill="FFFFFF"/>
          <w:lang w:eastAsia="en-US"/>
        </w:rPr>
        <w:t>). Becoming a parent in Europe. Welfare State Programme Discussion Papers (WSP 116). Centre for Analysis of Social Exclusion, The London School of Economics and Political Science, London, UK.</w:t>
      </w:r>
      <w:r w:rsidRPr="004D17F0">
        <w:t xml:space="preserve"> </w:t>
      </w:r>
    </w:p>
    <w:p w14:paraId="000A3248" w14:textId="77777777" w:rsidR="00E37A3B" w:rsidRPr="0033083E" w:rsidRDefault="00E37A3B" w:rsidP="00E37A3B">
      <w:pPr>
        <w:pStyle w:val="NormalWeb"/>
        <w:shd w:val="clear" w:color="auto" w:fill="FFFFFF"/>
        <w:spacing w:after="240" w:afterAutospacing="0"/>
        <w:ind w:left="567" w:hanging="567"/>
        <w:jc w:val="both"/>
        <w:rPr>
          <w:rFonts w:asciiTheme="minorHAnsi" w:eastAsiaTheme="minorHAnsi" w:hAnsiTheme="minorHAnsi" w:cstheme="minorBidi"/>
          <w:color w:val="222222"/>
          <w:sz w:val="20"/>
          <w:szCs w:val="20"/>
          <w:shd w:val="clear" w:color="auto" w:fill="FFFFFF"/>
          <w:lang w:eastAsia="en-US"/>
        </w:rPr>
      </w:pPr>
      <w:r w:rsidRPr="004D17F0">
        <w:rPr>
          <w:rFonts w:asciiTheme="minorHAnsi" w:eastAsiaTheme="minorHAnsi" w:hAnsiTheme="minorHAnsi" w:cstheme="minorBidi"/>
          <w:color w:val="222222"/>
          <w:sz w:val="20"/>
          <w:szCs w:val="20"/>
          <w:shd w:val="clear" w:color="auto" w:fill="FFFFFF"/>
          <w:lang w:eastAsia="en-US"/>
        </w:rPr>
        <w:t>Hochschild, A. with Machung, A. (1989). The second shift : working parents and the revolution at home. New York: Viking.</w:t>
      </w:r>
    </w:p>
    <w:p w14:paraId="2237A03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Hoem, J. M. (2008). Overview Chapter 8: The impact of public policies on European fertility. Demographic Research, 19(10), 249-260.</w:t>
      </w:r>
    </w:p>
    <w:p w14:paraId="4B0A305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Hoem, J., Neyer, G., &amp; Andersson, G. (2006). Educational attainment and ultimate fertility among Swedish women born in 1955-59. Demographic Research, 14(16), 381-404.</w:t>
      </w:r>
    </w:p>
    <w:p w14:paraId="60ECDF8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Holton, S., Fisher, J., &amp; Rowe, H. (2011). To have or not to have? Australian women’s childbearing desires, expectations, and outcomes. Journal of Population Research, 28, 353-379.</w:t>
      </w:r>
    </w:p>
    <w:p w14:paraId="7A48362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Hoorens, S., Gallo, F., Cave, J., &amp; Grant, J. C. (2007). Can assisted reproductive technologies help to offset population ageing? An assessment of the demographic and economic impact of ART in Denmark and UK. Human Reproduction, 22(9), 2471-2475.</w:t>
      </w:r>
    </w:p>
    <w:p w14:paraId="3F52568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Hugo, G. (2002). Changing patterns of population in Australia. Joint Special Issue, Journal of Population Research and NZ Population Review, 19(1), 1-21.</w:t>
      </w:r>
    </w:p>
    <w:p w14:paraId="54CE434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Human Rights and Equal Opportunity Commission. (2007). It's about time: Women, men, work and family- final paper 2007. Sydney: Human Rights and Equal Opportunity Commission.</w:t>
      </w:r>
    </w:p>
    <w:p w14:paraId="07F894A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Hurley, P., Noble, K., &amp; Jackson, J. (2020). Australian investment in education: Early Childhood Education and Care. Mitchell Institute- Victoria University.</w:t>
      </w:r>
    </w:p>
    <w:p w14:paraId="666C710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Institute for Social Science Research. (2014). PPL Evaluation: Final Report. Brisbane: Institute for Social Research, The University of Queensland.</w:t>
      </w:r>
    </w:p>
    <w:p w14:paraId="693A3FD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Jha, T. (2014). Complex Family Payments: What it costs the village to raise a child. St Leonards NSW: The Center for Independent Studies.</w:t>
      </w:r>
    </w:p>
    <w:p w14:paraId="7AAFEA7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Johnstone, M., &amp; Lee, C. (2009). Young Australian women’s aspirations for work and family: Individual and sociocultural differences. Sex Roles, 61(3-4), 204-220.</w:t>
      </w:r>
    </w:p>
    <w:p w14:paraId="49C24BB1"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Johnstone, M., &amp; Lee, C. (2016). Lifestyle preference theory: No match for young Australian women. Journal of Sociology, 52(2), 249-265.</w:t>
      </w:r>
    </w:p>
    <w:p w14:paraId="3DDEA05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Johnstone, M., &amp; Lucke, J. (2021). The Emotional Impact of Unfulfilled Career Aspirations for Stay-at-Home Mothers in Australia. Journal of Family Issues, 0192513X211030730.</w:t>
      </w:r>
    </w:p>
    <w:p w14:paraId="20B9F7A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Johnstone, M., Lucke, J., &amp; Hewitt, B. (2020). Life transitions and women’s desired number of children: the impact of motherhood, relationships and employment. Community, Work &amp; Family, 1-20.</w:t>
      </w:r>
    </w:p>
    <w:p w14:paraId="195FB26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Jones, G. (2019). Ultra-low fertility in East Asia: policy responses and challenges. Asian Population Studies, 15(2), 131-149.</w:t>
      </w:r>
    </w:p>
    <w:p w14:paraId="75A92CF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Kalwij, A. (2010). The impact of family policy expenditure on fertility in Western Europe. Demography, 47(2), 503-519.</w:t>
      </w:r>
    </w:p>
    <w:p w14:paraId="762FE7D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Kaufman, G. (2018). Barriers to equality: why British fathers do not use parental leave. Community, Work &amp; Family, 21(3), 310-325.</w:t>
      </w:r>
    </w:p>
    <w:p w14:paraId="26DDD56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Keane, M., Long, J., O'Nolan, G., &amp; Faragher, L. (2017). Assisted reproductive technologies: International approaches to public funding mechanisms and criteria - an evidence review. Health Research Board, Dublin.</w:t>
      </w:r>
    </w:p>
    <w:p w14:paraId="274FE5F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Kelly, R. (2021). Preliminary Fertility Rate Projections for the 2021 NSW Intergenerational Report. NSW Treasury.</w:t>
      </w:r>
    </w:p>
    <w:p w14:paraId="3F354A7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Khawaja, M., Boddington, B., &amp; Ryan, M. (2006). Sub-replacement fertility, delayed parenthood and regional differentials in New Zealand. New Zealand Population Review, 2(32), 1-20.</w:t>
      </w:r>
    </w:p>
    <w:p w14:paraId="7A773B2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Kim, Y. I. (2008). Impact of birth subsidies on fertility: Empirical study of allowance for newborn children, a pronatal policy. PhD Thesis, The University of Chicago.</w:t>
      </w:r>
    </w:p>
    <w:p w14:paraId="4B254BA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Kim, Y.-I. (2014). Lifetime impact of cash transfer on fertility. Canadian Studies in Population, 41(1-2), 97-110. </w:t>
      </w:r>
    </w:p>
    <w:p w14:paraId="70D3B1C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Kim. (2019). Reproductive technologies as population control: how pronatalist policies harm reproductive health in South Korea. Sexual and Reproductive Health, 27(2), 6-12.</w:t>
      </w:r>
    </w:p>
    <w:p w14:paraId="04594D3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Kippen, R., Evans, A., &amp; Gray, E. (2007). Parental preferences for sons and daughters in a western industrial setting: Evidence and implications. Journal of Biosocial Science, 583-597. </w:t>
      </w:r>
    </w:p>
    <w:p w14:paraId="76B0800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lang w:val="it-IT"/>
        </w:rPr>
        <w:t xml:space="preserve">Kocourkova, J., Konecna, H., Burcin, B., &amp; Kucera, T. (2015). </w:t>
      </w:r>
      <w:r w:rsidRPr="0075220B">
        <w:rPr>
          <w:color w:val="222222"/>
          <w:sz w:val="20"/>
          <w:szCs w:val="20"/>
          <w:shd w:val="clear" w:color="auto" w:fill="FFFFFF"/>
        </w:rPr>
        <w:t xml:space="preserve">How old is too old? A contribution to the discussion on age limits for assisted reproduction technique access. Reproductive Biomedicine Online, 482-492. </w:t>
      </w:r>
    </w:p>
    <w:p w14:paraId="6C2C858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Kohler, P., Billari, F. C., &amp; Ortega, J. A. (2002). The emergence of lowest-low fertility in Europe during the 1990s. Population and Development Review, 28(4), 641-680.</w:t>
      </w:r>
    </w:p>
    <w:p w14:paraId="030C598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Korpi, W. (2000). Faces of inequality: Gender, class, and patterns of inequalities in different types of welfare states. Social Politics: international studies in gender, state &amp; society, 7(2), 127-191.</w:t>
      </w:r>
    </w:p>
    <w:p w14:paraId="0BD43C4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Korpi, W., Ferrarini, T., &amp; Englund, S. (2013). Women's opportunities under different family policy constellations: Gender, class, and inequality tradeoffs in western countries re-examined. Social Politics: International Studies in Gender, State &amp; Society, 20(1), 1-40.</w:t>
      </w:r>
    </w:p>
    <w:p w14:paraId="681969A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KPMG. (2020). The child care subsidy: Options for increasing support for caregivers who want to work. KPMG.</w:t>
      </w:r>
    </w:p>
    <w:p w14:paraId="31F61D4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KPMG. (2021). Enhancing work-life balance: A better system of Parental Leave. KPMG.</w:t>
      </w:r>
    </w:p>
    <w:p w14:paraId="49CEB2AB" w14:textId="2E8FEE85"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Krapf, S. (2014). Public </w:t>
      </w:r>
      <w:r w:rsidR="008D52A6">
        <w:rPr>
          <w:color w:val="222222"/>
          <w:sz w:val="20"/>
          <w:szCs w:val="20"/>
          <w:shd w:val="clear" w:color="auto" w:fill="FFFFFF"/>
        </w:rPr>
        <w:t>Child care</w:t>
      </w:r>
      <w:r w:rsidRPr="0075220B">
        <w:rPr>
          <w:color w:val="222222"/>
          <w:sz w:val="20"/>
          <w:szCs w:val="20"/>
          <w:shd w:val="clear" w:color="auto" w:fill="FFFFFF"/>
        </w:rPr>
        <w:t xml:space="preserve"> Provision and Fertility Behavior: A Comparison of Sweden and Germany. Verlag Barbara Budrich.</w:t>
      </w:r>
    </w:p>
    <w:p w14:paraId="19A91D9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Křenková, L. (2018). Childlessness and social support in old age. Finnish Yearbook of Population Research, 53, 25-50.</w:t>
      </w:r>
    </w:p>
    <w:p w14:paraId="07E1110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Kreyenfeld, M. (2021). Causal Modelling in Fertility Research: A Review of the Literature and an Application to a Parental Leave Policy Reform. Comparative Population Studies, 46.</w:t>
      </w:r>
    </w:p>
    <w:p w14:paraId="60573E5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Kreyenfeld, M., Andersson, G., &amp; Pailhé, A. (2012). Economic uncertainty and family dynamics in Europe: Introduction. Demographic Research, 27, 835-852.</w:t>
      </w:r>
    </w:p>
    <w:p w14:paraId="0DFE7E2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Kulu, H., &amp; Vikat, A. (2007). Fertility differences by housing type: The effect of housing conditions or of selective moves? Demographic Research, 17(26): 775-802. </w:t>
      </w:r>
    </w:p>
    <w:p w14:paraId="773B222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Lain, S. J., F. J., Raynes‐Greenow, C. H., Hadfield, R. M., Simpson, J. M., Morris, J. M., &amp; Roberts, C. L. (2009). The impact of the Baby Bonus payment in New South Wales: who is having “one for the country”? Medical Journal of Australia, 190(5), 238-241.</w:t>
      </w:r>
    </w:p>
    <w:p w14:paraId="329AB0B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Lalive, R., &amp; Zweimüller, J. (2009). How does parental leave effect fertility and return to work? Evidence from two natural experiments. The Quarterly Journal of Economics, 124(3), 1363-1402.</w:t>
      </w:r>
    </w:p>
    <w:p w14:paraId="73799E3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Langridge, A., Nassar, N., Li, J., Jacoby, P., &amp; Stanley, F. J. (2012). The impact of monetary incentives on general fertility rates in Western Australia. Journal of Epidemiology and Community Health, 66, 296-301</w:t>
      </w:r>
    </w:p>
    <w:p w14:paraId="1BB77FF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Lappeg</w:t>
      </w:r>
      <w:r>
        <w:rPr>
          <w:rFonts w:cstheme="minorHAnsi"/>
          <w:color w:val="222222"/>
          <w:sz w:val="20"/>
          <w:szCs w:val="20"/>
          <w:shd w:val="clear" w:color="auto" w:fill="FFFFFF"/>
        </w:rPr>
        <w:t>å</w:t>
      </w:r>
      <w:r w:rsidRPr="0075220B">
        <w:rPr>
          <w:color w:val="222222"/>
          <w:sz w:val="20"/>
          <w:szCs w:val="20"/>
          <w:shd w:val="clear" w:color="auto" w:fill="FFFFFF"/>
        </w:rPr>
        <w:t>rd, T. (2010). Family policies and fertility in Norway. European Journal of Population(26), 99-116.</w:t>
      </w:r>
    </w:p>
    <w:p w14:paraId="69B60F3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Laß, I. (2019). Households and family life. In R. Wilkins, I. Laß, P. Butterworth, &amp; E. Vera-Toscano, The Household, Income and Labour Dynamics in Australia Survey: Selected findings from Waves 1 to 17 (pp. 6-28). Melbourne: Melbourne Institute: Applied Economic &amp; Social Research.</w:t>
      </w:r>
    </w:p>
    <w:p w14:paraId="08725F9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Lattimore, R. G., &amp; Pobke, C. (2008). Recent trends in Australian fertility. Melbourne: Productivity Commission.</w:t>
      </w:r>
    </w:p>
    <w:p w14:paraId="26C9D695" w14:textId="77777777" w:rsidR="00E37A3B" w:rsidRPr="00A2723C" w:rsidRDefault="00E37A3B" w:rsidP="00E37A3B">
      <w:pPr>
        <w:ind w:left="567" w:hanging="567"/>
        <w:jc w:val="both"/>
        <w:rPr>
          <w:color w:val="222222"/>
          <w:sz w:val="20"/>
          <w:szCs w:val="20"/>
          <w:shd w:val="clear" w:color="auto" w:fill="FFFFFF"/>
        </w:rPr>
      </w:pPr>
      <w:r w:rsidRPr="00A2723C">
        <w:rPr>
          <w:color w:val="222222"/>
          <w:sz w:val="20"/>
          <w:szCs w:val="20"/>
          <w:shd w:val="clear" w:color="auto" w:fill="FFFFFF"/>
        </w:rPr>
        <w:t xml:space="preserve">Lazzari, E., Gray, E., &amp; Chambers, G. M. (2021). The contribution of assisted reproduction to total fertility rates and birth timing: an analysis of Australian data. 2021 Population Association of America Annual Meeting. </w:t>
      </w:r>
    </w:p>
    <w:p w14:paraId="2839EAD9" w14:textId="4C38B724" w:rsidR="00E37A3B" w:rsidRDefault="00E37A3B" w:rsidP="00E37A3B">
      <w:pPr>
        <w:ind w:left="567" w:hanging="567"/>
        <w:jc w:val="both"/>
        <w:rPr>
          <w:color w:val="222222"/>
          <w:sz w:val="20"/>
          <w:szCs w:val="20"/>
          <w:shd w:val="clear" w:color="auto" w:fill="FFFFFF"/>
        </w:rPr>
      </w:pPr>
      <w:r w:rsidRPr="00A2723C">
        <w:rPr>
          <w:color w:val="222222"/>
          <w:sz w:val="20"/>
          <w:szCs w:val="20"/>
          <w:shd w:val="clear" w:color="auto" w:fill="FFFFFF"/>
        </w:rPr>
        <w:t>Lazzari, E., Mogi, R., &amp; Canudas-Romo, V. (2021). Educational composition and parity contribution to completed cohort fertility change in low fertility settings. Population Studies.</w:t>
      </w:r>
      <w:r w:rsidRPr="0075220B">
        <w:rPr>
          <w:color w:val="222222"/>
          <w:sz w:val="20"/>
          <w:szCs w:val="20"/>
          <w:shd w:val="clear" w:color="auto" w:fill="FFFFFF"/>
        </w:rPr>
        <w:t xml:space="preserve"> </w:t>
      </w:r>
    </w:p>
    <w:p w14:paraId="36D6C921" w14:textId="2A727F25" w:rsidR="008D18C1" w:rsidRPr="0075220B" w:rsidRDefault="008D18C1" w:rsidP="00E37A3B">
      <w:pPr>
        <w:ind w:left="567" w:hanging="567"/>
        <w:jc w:val="both"/>
        <w:rPr>
          <w:color w:val="222222"/>
          <w:sz w:val="20"/>
          <w:szCs w:val="20"/>
          <w:shd w:val="clear" w:color="auto" w:fill="FFFFFF"/>
        </w:rPr>
      </w:pPr>
      <w:r w:rsidRPr="007235F6">
        <w:rPr>
          <w:color w:val="222222"/>
          <w:sz w:val="20"/>
          <w:szCs w:val="20"/>
          <w:shd w:val="clear" w:color="auto" w:fill="FFFFFF"/>
        </w:rPr>
        <w:t>Leridon, H. (2010). Human fecundity: situation and outlook. Population &amp; Sociétés, (471)</w:t>
      </w:r>
      <w:r>
        <w:rPr>
          <w:color w:val="222222"/>
          <w:sz w:val="20"/>
          <w:szCs w:val="20"/>
          <w:shd w:val="clear" w:color="auto" w:fill="FFFFFF"/>
        </w:rPr>
        <w:t>:</w:t>
      </w:r>
      <w:r w:rsidRPr="007235F6">
        <w:rPr>
          <w:color w:val="222222"/>
          <w:sz w:val="20"/>
          <w:szCs w:val="20"/>
          <w:shd w:val="clear" w:color="auto" w:fill="FFFFFF"/>
        </w:rPr>
        <w:t>1–4.</w:t>
      </w:r>
    </w:p>
    <w:p w14:paraId="50F33CB4" w14:textId="77777777" w:rsidR="00E37A3B" w:rsidRPr="0075220B" w:rsidRDefault="00E37A3B" w:rsidP="00E37A3B">
      <w:pPr>
        <w:ind w:left="567" w:hanging="567"/>
        <w:jc w:val="both"/>
        <w:rPr>
          <w:color w:val="222222"/>
          <w:sz w:val="20"/>
          <w:szCs w:val="20"/>
          <w:shd w:val="clear" w:color="auto" w:fill="FFFFFF"/>
        </w:rPr>
      </w:pPr>
      <w:r>
        <w:rPr>
          <w:color w:val="222222"/>
          <w:sz w:val="20"/>
          <w:szCs w:val="20"/>
          <w:shd w:val="clear" w:color="auto" w:fill="FFFFFF"/>
        </w:rPr>
        <w:t xml:space="preserve">Leridon, H. (2015). The development of fertility theories: a multidisciplinary endeavour. </w:t>
      </w:r>
      <w:r w:rsidRPr="003F4298">
        <w:rPr>
          <w:i/>
          <w:iCs/>
          <w:color w:val="222222"/>
          <w:sz w:val="20"/>
          <w:szCs w:val="20"/>
          <w:shd w:val="clear" w:color="auto" w:fill="FFFFFF"/>
        </w:rPr>
        <w:t>Population</w:t>
      </w:r>
      <w:r>
        <w:rPr>
          <w:color w:val="222222"/>
          <w:sz w:val="20"/>
          <w:szCs w:val="20"/>
          <w:shd w:val="clear" w:color="auto" w:fill="FFFFFF"/>
        </w:rPr>
        <w:t>, 70(2): 309-348.</w:t>
      </w:r>
    </w:p>
    <w:p w14:paraId="1E6CB63C"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Leridon, H., &amp; Slama, R. (2008). The impact of a decline in fecundity and of pregnancy postponement on final number of children and demand for assisted reproduction technology. Human Reproduction, 23(6), 1312-1319. </w:t>
      </w:r>
    </w:p>
    <w:p w14:paraId="4B97E467"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Lesthaeghe, R. (2010). The unfolding story of the Second Demographic Transition. Population and Development Review, 36(2), 211-251.</w:t>
      </w:r>
    </w:p>
    <w:p w14:paraId="1D221DA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Lesthaeghe, R. (201</w:t>
      </w:r>
      <w:r>
        <w:rPr>
          <w:color w:val="222222"/>
          <w:sz w:val="20"/>
          <w:szCs w:val="20"/>
          <w:shd w:val="clear" w:color="auto" w:fill="FFFFFF"/>
        </w:rPr>
        <w:t>4</w:t>
      </w:r>
      <w:r w:rsidRPr="0075220B">
        <w:rPr>
          <w:color w:val="222222"/>
          <w:sz w:val="20"/>
          <w:szCs w:val="20"/>
          <w:shd w:val="clear" w:color="auto" w:fill="FFFFFF"/>
        </w:rPr>
        <w:t>). The Second Demographic Transition</w:t>
      </w:r>
      <w:r>
        <w:rPr>
          <w:color w:val="222222"/>
          <w:sz w:val="20"/>
          <w:szCs w:val="20"/>
          <w:shd w:val="clear" w:color="auto" w:fill="FFFFFF"/>
        </w:rPr>
        <w:t xml:space="preserve">: A concise overview of its development. </w:t>
      </w:r>
      <w:r w:rsidRPr="004D17F0">
        <w:rPr>
          <w:i/>
          <w:iCs/>
          <w:color w:val="222222"/>
          <w:sz w:val="20"/>
          <w:szCs w:val="20"/>
          <w:shd w:val="clear" w:color="auto" w:fill="FFFFFF"/>
        </w:rPr>
        <w:t>Proceedings of the National Academy of Sciences of the United States of America</w:t>
      </w:r>
      <w:r>
        <w:rPr>
          <w:color w:val="222222"/>
          <w:sz w:val="20"/>
          <w:szCs w:val="20"/>
          <w:shd w:val="clear" w:color="auto" w:fill="FFFFFF"/>
        </w:rPr>
        <w:t>, 111(51): 18112-18115.</w:t>
      </w:r>
    </w:p>
    <w:p w14:paraId="40D79E01"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Liefbroer, A C; Klobas, J E; Philipov, D; Ajzen, I;. (2015). Reproductive decision-making in a Macro-Micro Perspective: A conceptual framework. In D. Philipov, A. C. Liefbroer, &amp; J. E. Klobas, Reproductive decision-making in a Macro-Micro Perspective (pp. 1-15). Springer.</w:t>
      </w:r>
    </w:p>
    <w:p w14:paraId="2AD55126" w14:textId="77777777" w:rsidR="00E37A3B" w:rsidRDefault="00E37A3B" w:rsidP="00E37A3B">
      <w:pPr>
        <w:ind w:left="567" w:hanging="567"/>
        <w:jc w:val="both"/>
        <w:rPr>
          <w:color w:val="222222"/>
          <w:sz w:val="20"/>
          <w:szCs w:val="20"/>
          <w:shd w:val="clear" w:color="auto" w:fill="FFFFFF"/>
        </w:rPr>
      </w:pPr>
      <w:r w:rsidRPr="00246733">
        <w:rPr>
          <w:color w:val="222222"/>
          <w:sz w:val="20"/>
          <w:szCs w:val="20"/>
          <w:shd w:val="clear" w:color="auto" w:fill="FFFFFF"/>
        </w:rPr>
        <w:t>Lindberg,  L.  D.,  VandeVusse,  A.,  Mueller,  J.,  &amp;  Kirstein,  M.  (2020). Early Impacts  of  the COVID-19  Pandemic:  Findings  from  the  2020  Guttmacher  Survey  of  Reproductive Health Experiences. New York: Guttmacher Institute.</w:t>
      </w:r>
    </w:p>
    <w:p w14:paraId="5496EEE7" w14:textId="77777777" w:rsidR="00E37A3B" w:rsidRPr="00A64B49" w:rsidRDefault="00E37A3B" w:rsidP="00E37A3B">
      <w:pPr>
        <w:ind w:left="567" w:hanging="567"/>
        <w:jc w:val="both"/>
        <w:rPr>
          <w:color w:val="222222"/>
          <w:sz w:val="20"/>
          <w:szCs w:val="20"/>
          <w:shd w:val="clear" w:color="auto" w:fill="FFFFFF"/>
        </w:rPr>
      </w:pPr>
      <w:r w:rsidRPr="00A64B49">
        <w:rPr>
          <w:color w:val="222222"/>
          <w:sz w:val="20"/>
          <w:szCs w:val="20"/>
          <w:shd w:val="clear" w:color="auto" w:fill="FFFFFF"/>
        </w:rPr>
        <w:t>Livi Bacci, M. (1999). The population of Eur</w:t>
      </w:r>
      <w:r>
        <w:rPr>
          <w:color w:val="222222"/>
          <w:sz w:val="20"/>
          <w:szCs w:val="20"/>
          <w:shd w:val="clear" w:color="auto" w:fill="FFFFFF"/>
        </w:rPr>
        <w:t xml:space="preserve">ope: A history by Massimo Livi Bacci. Oxford, Blackwell Publishers. </w:t>
      </w:r>
    </w:p>
    <w:p w14:paraId="3D57F46D" w14:textId="77777777" w:rsidR="00E37A3B" w:rsidRPr="0075220B" w:rsidRDefault="00E37A3B" w:rsidP="00E37A3B">
      <w:pPr>
        <w:ind w:left="567" w:hanging="567"/>
        <w:jc w:val="both"/>
        <w:rPr>
          <w:color w:val="222222"/>
          <w:sz w:val="20"/>
          <w:szCs w:val="20"/>
          <w:shd w:val="clear" w:color="auto" w:fill="FFFFFF"/>
        </w:rPr>
      </w:pPr>
      <w:r w:rsidRPr="00A64B49">
        <w:rPr>
          <w:color w:val="222222"/>
          <w:sz w:val="20"/>
          <w:szCs w:val="20"/>
          <w:shd w:val="clear" w:color="auto" w:fill="FFFFFF"/>
          <w:lang w:val="it-IT"/>
        </w:rPr>
        <w:t xml:space="preserve">Lopoo, L. M., &amp; Raissian, K. M. (2018). </w:t>
      </w:r>
      <w:r w:rsidRPr="0075220B">
        <w:rPr>
          <w:color w:val="222222"/>
          <w:sz w:val="20"/>
          <w:szCs w:val="20"/>
          <w:shd w:val="clear" w:color="auto" w:fill="FFFFFF"/>
        </w:rPr>
        <w:t>Fertility policy in developed countries. In S. L. Averett, L. M. Argys, &amp; S. D. Hoffman, The Oxford Handbook of Women and the Economy (pp. 1-23). Oxford University Press.</w:t>
      </w:r>
    </w:p>
    <w:p w14:paraId="7248D1A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Luci-Greulich, A., &amp; Thévenon, O. (2013). The impact of family policies on fertility trends in developed countries. European Journal of Population, 29, 387-416.</w:t>
      </w:r>
    </w:p>
    <w:p w14:paraId="6E9F447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Lutz, W., &amp; Skirbekk, V. (2005). Policies addressing the tempo effect in low-fertility countries. Population and Development Review, 31(4), 699-720.</w:t>
      </w:r>
    </w:p>
    <w:p w14:paraId="6F125295" w14:textId="77777777" w:rsidR="00E37A3B" w:rsidRPr="0075220B" w:rsidRDefault="00E37A3B" w:rsidP="007235F6">
      <w:pPr>
        <w:ind w:left="567" w:hanging="567"/>
        <w:rPr>
          <w:color w:val="222222"/>
          <w:sz w:val="20"/>
          <w:szCs w:val="20"/>
          <w:shd w:val="clear" w:color="auto" w:fill="FFFFFF"/>
        </w:rPr>
      </w:pPr>
      <w:r w:rsidRPr="0075220B">
        <w:rPr>
          <w:color w:val="222222"/>
          <w:sz w:val="20"/>
          <w:szCs w:val="20"/>
          <w:shd w:val="clear" w:color="auto" w:fill="FFFFFF"/>
        </w:rPr>
        <w:t>Luxembourg Government. (2021). Caisse pour l'avenir des enfants. Retrieved from https://cae.public.lu/en/allocations/premiere-demande/allocation-pour-lavenir-des-enfants/montants.html</w:t>
      </w:r>
    </w:p>
    <w:p w14:paraId="2CF717B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Lyssiotou, P. (2021). Can targeted child benefits affect fertility? Evidence from a natural experiment. The B.E Journal of Economic Analysis and Policy, online first.</w:t>
      </w:r>
    </w:p>
    <w:p w14:paraId="1E568002" w14:textId="33612460"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Mahon, R., Anttonen, A., Bergqvist, C., Brennan, D., &amp; Hobson, B. (2012). Convergent care regimes? </w:t>
      </w:r>
      <w:r w:rsidR="008D52A6">
        <w:rPr>
          <w:color w:val="222222"/>
          <w:sz w:val="20"/>
          <w:szCs w:val="20"/>
          <w:shd w:val="clear" w:color="auto" w:fill="FFFFFF"/>
        </w:rPr>
        <w:t>Child care</w:t>
      </w:r>
      <w:r w:rsidRPr="0075220B">
        <w:rPr>
          <w:color w:val="222222"/>
          <w:sz w:val="20"/>
          <w:szCs w:val="20"/>
          <w:shd w:val="clear" w:color="auto" w:fill="FFFFFF"/>
        </w:rPr>
        <w:t xml:space="preserve"> arrangements in Australia, Canada. Finland, and Sweden. Journal of European Social Policy, 22, 419-431.</w:t>
      </w:r>
    </w:p>
    <w:p w14:paraId="7779981A"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Malak, N., Rahman, M. M., &amp; Yip, T. A. (2019). Baby bonus, anyone? Examining heterogeneous. Journal of Population Economics, 32, 1205-1246.</w:t>
      </w:r>
      <w:r>
        <w:rPr>
          <w:color w:val="222222"/>
          <w:sz w:val="20"/>
          <w:szCs w:val="20"/>
          <w:shd w:val="clear" w:color="auto" w:fill="FFFFFF"/>
        </w:rPr>
        <w:t xml:space="preserve"> </w:t>
      </w:r>
    </w:p>
    <w:p w14:paraId="0ECD1350" w14:textId="77777777" w:rsidR="00E37A3B" w:rsidRPr="00246733" w:rsidRDefault="00E37A3B" w:rsidP="00E37A3B">
      <w:pPr>
        <w:ind w:left="567" w:hanging="567"/>
        <w:jc w:val="both"/>
      </w:pPr>
      <w:r w:rsidRPr="00246733">
        <w:rPr>
          <w:color w:val="222222"/>
          <w:sz w:val="20"/>
          <w:szCs w:val="20"/>
          <w:shd w:val="clear" w:color="auto" w:fill="FFFFFF"/>
        </w:rPr>
        <w:t>Malicka, I., Mynarska, M., &amp; Świderska, J. (2021). Perceived consequences of the COVID-19 pandemic and childbearing intentions in Poland. Journal of Family Research.</w:t>
      </w:r>
    </w:p>
    <w:p w14:paraId="6C6A8CE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Matysiak, A., &amp; Węziak-Białowolska , D. (2016). Country-specific conditions for work and family reconciliation: An attempt at quantification. European Journal of Population, 32, 475-510.</w:t>
      </w:r>
    </w:p>
    <w:p w14:paraId="4EAC2D2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McDonald, P. (2000). Gender equity in theories of fertility transition. Population and Development Review, 26(3): 427-439.</w:t>
      </w:r>
    </w:p>
    <w:p w14:paraId="3E4DADC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McDonald, P. (2002). Sustaining fertility through public policy: the range of options. Population (English Edition), 57(3), 417-446.</w:t>
      </w:r>
    </w:p>
    <w:p w14:paraId="450F8481"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McDonald, P. (2003). Reforming family support policy in Australia. People and Place, 11(2), 1-9.</w:t>
      </w:r>
    </w:p>
    <w:p w14:paraId="7F5B15F6"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McDonald, P. (2006). Low fertility and the state: The efficacy of policy. Population and Development Review, 32(3), 485-510.</w:t>
      </w:r>
    </w:p>
    <w:p w14:paraId="64667B0C" w14:textId="77777777" w:rsidR="00E37A3B" w:rsidRPr="0075220B" w:rsidRDefault="00E37A3B" w:rsidP="00E37A3B">
      <w:pPr>
        <w:ind w:left="567" w:hanging="567"/>
        <w:jc w:val="both"/>
        <w:rPr>
          <w:color w:val="222222"/>
          <w:sz w:val="20"/>
          <w:szCs w:val="20"/>
          <w:shd w:val="clear" w:color="auto" w:fill="FFFFFF"/>
        </w:rPr>
      </w:pPr>
      <w:r>
        <w:rPr>
          <w:color w:val="222222"/>
          <w:sz w:val="20"/>
          <w:szCs w:val="20"/>
          <w:shd w:val="clear" w:color="auto" w:fill="FFFFFF"/>
        </w:rPr>
        <w:t xml:space="preserve">McDonald, P. (2013). Societal foundations for explaining low fertility: Gender equity. </w:t>
      </w:r>
      <w:r w:rsidRPr="003D5241">
        <w:rPr>
          <w:i/>
          <w:iCs/>
          <w:color w:val="222222"/>
          <w:sz w:val="20"/>
          <w:szCs w:val="20"/>
          <w:shd w:val="clear" w:color="auto" w:fill="FFFFFF"/>
        </w:rPr>
        <w:t>Demographic Research</w:t>
      </w:r>
      <w:r>
        <w:rPr>
          <w:color w:val="222222"/>
          <w:sz w:val="20"/>
          <w:szCs w:val="20"/>
          <w:shd w:val="clear" w:color="auto" w:fill="FFFFFF"/>
        </w:rPr>
        <w:t xml:space="preserve">, 28(34): 981-994. </w:t>
      </w:r>
    </w:p>
    <w:p w14:paraId="4A8B5ECA" w14:textId="77777777" w:rsidR="00E37A3B" w:rsidRPr="00246733" w:rsidRDefault="00E37A3B" w:rsidP="00E37A3B">
      <w:pPr>
        <w:ind w:left="567" w:hanging="567"/>
        <w:jc w:val="both"/>
        <w:rPr>
          <w:color w:val="222222"/>
          <w:sz w:val="20"/>
          <w:szCs w:val="20"/>
          <w:shd w:val="clear" w:color="auto" w:fill="FFFFFF"/>
        </w:rPr>
      </w:pPr>
      <w:r w:rsidRPr="00246733">
        <w:rPr>
          <w:color w:val="222222"/>
          <w:sz w:val="20"/>
          <w:szCs w:val="20"/>
          <w:shd w:val="clear" w:color="auto" w:fill="FFFFFF"/>
        </w:rPr>
        <w:t>McDonald, P. (2020). A Projection of Australia’s Future Fertility Rates, Centre for Population Research Paper, The Australian Government, Canberra.</w:t>
      </w:r>
    </w:p>
    <w:p w14:paraId="5FC046A5"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McDonald, P., &amp; Moyle, H. (2011). Why do English-speaking countries have relatively high fertility? Journal of Population Research, 27, 247-273. </w:t>
      </w:r>
    </w:p>
    <w:p w14:paraId="6E630AEB" w14:textId="77777777" w:rsidR="00E37A3B" w:rsidRPr="0075220B" w:rsidRDefault="00E37A3B" w:rsidP="00E37A3B">
      <w:pPr>
        <w:ind w:left="567" w:hanging="567"/>
        <w:jc w:val="both"/>
        <w:rPr>
          <w:color w:val="222222"/>
          <w:sz w:val="20"/>
          <w:szCs w:val="20"/>
          <w:shd w:val="clear" w:color="auto" w:fill="FFFFFF"/>
        </w:rPr>
      </w:pPr>
      <w:r w:rsidRPr="008A350F">
        <w:rPr>
          <w:color w:val="222222"/>
          <w:sz w:val="20"/>
          <w:szCs w:val="20"/>
          <w:shd w:val="clear" w:color="auto" w:fill="FFFFFF"/>
        </w:rPr>
        <w:t>Merz, E. M., &amp; Liefbroer, A. C. (2017). Cross-national differences in the association between educational attainment and completed fertility. Do welfare regimes matter?. Vienna Yearbook of Population Research, 15, 95-120.</w:t>
      </w:r>
    </w:p>
    <w:p w14:paraId="68A6D78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Michelmore, K., &amp; Musick, K. (2014). Fertility patterns of college graduates by field of study, US women born 1960-79. Population Studies, 68(3), 359-374.</w:t>
      </w:r>
    </w:p>
    <w:p w14:paraId="63A8119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Milligan, K. (2002). Quebec's baby bonus: can public policy raise fertility. Backgrounder-CD Howe Institute, 1.</w:t>
      </w:r>
    </w:p>
    <w:p w14:paraId="41B6BD3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Milligan, K. (2005). Subsidizing the stork: new evidence of tax incentives and fertility. The Review of Economics and Statistics, 87(3), 539-555.</w:t>
      </w:r>
    </w:p>
    <w:p w14:paraId="1A86DE0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Mills, M., &amp; Blossfeld, H.-P. (2013). The second demographic transition meets globalization: A comprehensive theory to understand changes in family formation in an era of rising uncertainty. In J. Baxter, &amp; A. Evans, Negotiating the Life Course (pp. 9-33). Dordrecht: Springer.</w:t>
      </w:r>
    </w:p>
    <w:p w14:paraId="42FF5DB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Mills, M., Rindfuss, R. R., McDonald, P., &amp; te Velde, E. (2011). Why do people postpone parenthood? Reasons and policy measures. Human Reproduction Update, 17(6), 848-860.</w:t>
      </w:r>
    </w:p>
    <w:p w14:paraId="59BC479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Milonavska-Farrington, S. (2019). The effect of family welfare support on the likelihood of having another child and parents' labor supply. Research in Economics, 73(3), 243-263.</w:t>
      </w:r>
    </w:p>
    <w:p w14:paraId="2714736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Ministry of Social and Family Development. (2021). Baby Bonus Scheme. Retrieved June 22, 2021, from https://www.msf.gov.sg/policies/Strong-and-Stable-Families/Supporting-Families/Pages/Baby-Bonus-Scheme.aspx</w:t>
      </w:r>
    </w:p>
    <w:p w14:paraId="569D268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lang w:val="it-IT"/>
        </w:rPr>
        <w:t xml:space="preserve">Miranti, R., McNamara, J., Tanton, R., &amp; Yap, M. (2009). </w:t>
      </w:r>
      <w:r w:rsidRPr="0075220B">
        <w:rPr>
          <w:color w:val="222222"/>
          <w:sz w:val="20"/>
          <w:szCs w:val="20"/>
          <w:shd w:val="clear" w:color="auto" w:fill="FFFFFF"/>
        </w:rPr>
        <w:t>A narrowing gap? Trends in the childlessness of professional women in Australia 1986-2006. Journal of Population Research, 26(4), 359-379.</w:t>
      </w:r>
    </w:p>
    <w:p w14:paraId="65DC655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Mitchell, D., &amp; Gray, E. (2007). Declining fertility: intentions, attitudes and aspirations. Journal of Sociology, 43(1), 23-44.</w:t>
      </w:r>
    </w:p>
    <w:p w14:paraId="5328489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Mladovsky, P., &amp; Sorenson, C. (2010). Public financing of IVF: a review of policy rationales. Health Care Analysis, 18(2), 113-128.</w:t>
      </w:r>
    </w:p>
    <w:p w14:paraId="4B76ADF7" w14:textId="77777777" w:rsidR="00E37A3B" w:rsidRPr="00B00CEA" w:rsidRDefault="00E37A3B" w:rsidP="00E37A3B">
      <w:pPr>
        <w:ind w:left="567" w:hanging="567"/>
        <w:jc w:val="both"/>
      </w:pPr>
      <w:r w:rsidRPr="0075220B">
        <w:rPr>
          <w:color w:val="222222"/>
          <w:sz w:val="20"/>
          <w:szCs w:val="20"/>
          <w:shd w:val="clear" w:color="auto" w:fill="FFFFFF"/>
        </w:rPr>
        <w:t xml:space="preserve">Monstad, K., Propper, C., &amp; Salvanes, K. G. (2008). Education and fertility: Evidence from a natural experiment. </w:t>
      </w:r>
      <w:r w:rsidRPr="00B00CEA">
        <w:rPr>
          <w:color w:val="222222"/>
          <w:sz w:val="20"/>
          <w:szCs w:val="20"/>
          <w:shd w:val="clear" w:color="auto" w:fill="FFFFFF"/>
        </w:rPr>
        <w:t>The Scandinavian Journal of Economics, 110(4), 827-852.</w:t>
      </w:r>
      <w:r w:rsidRPr="00B00CEA">
        <w:t xml:space="preserve"> </w:t>
      </w:r>
    </w:p>
    <w:p w14:paraId="22FCAB08" w14:textId="22F6A408" w:rsidR="00E37A3B" w:rsidRPr="0075220B" w:rsidRDefault="00E37A3B" w:rsidP="00E37A3B">
      <w:pPr>
        <w:ind w:left="567" w:hanging="567"/>
        <w:jc w:val="both"/>
        <w:rPr>
          <w:color w:val="222222"/>
          <w:sz w:val="20"/>
          <w:szCs w:val="20"/>
          <w:shd w:val="clear" w:color="auto" w:fill="FFFFFF"/>
        </w:rPr>
      </w:pPr>
      <w:r w:rsidRPr="00A2723C">
        <w:rPr>
          <w:color w:val="222222"/>
          <w:sz w:val="20"/>
          <w:szCs w:val="20"/>
          <w:shd w:val="clear" w:color="auto" w:fill="FFFFFF"/>
        </w:rPr>
        <w:t>Montgomery, M. &amp; Casterline, J. (1993). The diffusion of fertility control in Taiwan: Evidence from pooled cross-section, time-series models. Population Studies, 47(3): 457–479.</w:t>
      </w:r>
      <w:r w:rsidR="00B00CEA">
        <w:rPr>
          <w:color w:val="222222"/>
          <w:sz w:val="20"/>
          <w:szCs w:val="20"/>
          <w:shd w:val="clear" w:color="auto" w:fill="FFFFFF"/>
        </w:rPr>
        <w:t xml:space="preserve"> </w:t>
      </w:r>
    </w:p>
    <w:p w14:paraId="523A24A0" w14:textId="65FFD9FE"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Mörk, E., Sjögren, A., &amp; Svalderyd, H. (2013). </w:t>
      </w:r>
      <w:r w:rsidR="008D52A6">
        <w:rPr>
          <w:color w:val="222222"/>
          <w:sz w:val="20"/>
          <w:szCs w:val="20"/>
          <w:shd w:val="clear" w:color="auto" w:fill="FFFFFF"/>
        </w:rPr>
        <w:t>Child care</w:t>
      </w:r>
      <w:r w:rsidRPr="0075220B">
        <w:rPr>
          <w:color w:val="222222"/>
          <w:sz w:val="20"/>
          <w:szCs w:val="20"/>
          <w:shd w:val="clear" w:color="auto" w:fill="FFFFFF"/>
        </w:rPr>
        <w:t xml:space="preserve"> costs and the demand for children—evidence from a nationwide reform. Journal of Population Economics, 26, 33-65. </w:t>
      </w:r>
    </w:p>
    <w:p w14:paraId="1B9BFC5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Mulder, C. H., &amp; Billari, F. C. (2010). Homeownership regimes and low fertility. Housing Studies, 25(4), 527-541.</w:t>
      </w:r>
    </w:p>
    <w:p w14:paraId="4A2C9D3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Mulder, C.H. (2006a). Home-ownership and family formation. Journal of Housing and the Built Environment, 21(3): 281-298.</w:t>
      </w:r>
    </w:p>
    <w:p w14:paraId="2C988B1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Mulder, C.H. (2006b). Population and housing: a two-sided relationship. Demographic Research, 15(13): 401-412.</w:t>
      </w:r>
    </w:p>
    <w:p w14:paraId="731BF293" w14:textId="6DB5926F" w:rsidR="00E37A3B" w:rsidRPr="0075220B" w:rsidRDefault="00E37A3B" w:rsidP="007235F6">
      <w:pPr>
        <w:ind w:left="567" w:hanging="567"/>
        <w:rPr>
          <w:color w:val="222222"/>
          <w:sz w:val="20"/>
          <w:szCs w:val="20"/>
          <w:shd w:val="clear" w:color="auto" w:fill="FFFFFF"/>
        </w:rPr>
      </w:pPr>
      <w:r w:rsidRPr="0075220B">
        <w:rPr>
          <w:color w:val="222222"/>
          <w:sz w:val="20"/>
          <w:szCs w:val="20"/>
          <w:shd w:val="clear" w:color="auto" w:fill="FFFFFF"/>
        </w:rPr>
        <w:t xml:space="preserve">National Agency for Education (Skolverket). (2021). Barn och personal i förskola 2019 [Children and staff in centre-based </w:t>
      </w:r>
      <w:r w:rsidR="008D52A6">
        <w:rPr>
          <w:color w:val="222222"/>
          <w:sz w:val="20"/>
          <w:szCs w:val="20"/>
          <w:shd w:val="clear" w:color="auto" w:fill="FFFFFF"/>
        </w:rPr>
        <w:t>child care</w:t>
      </w:r>
      <w:r w:rsidRPr="0075220B">
        <w:rPr>
          <w:color w:val="222222"/>
          <w:sz w:val="20"/>
          <w:szCs w:val="20"/>
          <w:shd w:val="clear" w:color="auto" w:fill="FFFFFF"/>
        </w:rPr>
        <w:t xml:space="preserve"> in 2019]. Retrieved June 29, 2021, from https://www.skolverket.se/publikationsserier/beskrivande-statistik/2020/pm---barn-och-personal-i-forskola-2019</w:t>
      </w:r>
    </w:p>
    <w:p w14:paraId="38942F4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Nelson, K., Fredriksson, D., Korpi, T., Palme, J., &amp; Sjöberg, O. (2020). The Social Policy Indicators (SPIN) database. International Journal of Social Welfare, 29(3), 285-289.</w:t>
      </w:r>
    </w:p>
    <w:p w14:paraId="27E7694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Newman, J. E., Paul, R. C., &amp; Chambers, G. M. (2020). Assisted reproductive technology in Australia and New Zealand 2018. Sydney: National Perinatal Epidemiology and Statistics Unit.</w:t>
      </w:r>
    </w:p>
    <w:p w14:paraId="73BD92A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Neyer, G. (2021). Welfare state regimes, family policies, and family behaviour. In N. F. Schneider, &amp; M. Kreyenfeld, Research Handbook on the Sociology of the Family (pp. 22-41). Cheltenham: Edward Elgar Publishing.</w:t>
      </w:r>
    </w:p>
    <w:p w14:paraId="4AAF87F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Neyer, G., &amp; Andersson, G. (2008). Consequences of family policies on childbearing behaviour: Effects or artifacts? Population and Development Review, 34(4), 699-724.</w:t>
      </w:r>
    </w:p>
    <w:p w14:paraId="4B0058F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Ní Bhrolcháin, M. (2011). Tempo and the TFR. Demography, 48, 841–861.</w:t>
      </w:r>
    </w:p>
    <w:p w14:paraId="6761B8B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Ni Bhrolchain, M., &amp; Beaujouan, E. (2012). Fertility postponement is largely due to rising educational enrolment. Population Studies, 66(3), 311-327.</w:t>
      </w:r>
    </w:p>
    <w:p w14:paraId="2AF86581"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Nous Group. (2020). UANP Review: Final Review Report COAG Education Council. Nous Group.</w:t>
      </w:r>
    </w:p>
    <w:p w14:paraId="165AC69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OECD. (2019). Rejuvenating Korea: Policies for a changing society. OECD. doi:https://doi.org/10.1787/c5eed747-en</w:t>
      </w:r>
    </w:p>
    <w:p w14:paraId="3381D96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OECD. (2020a). OECD Labour force statistics 2020. Paris: OECD Publishing.</w:t>
      </w:r>
    </w:p>
    <w:p w14:paraId="177D83D5" w14:textId="77DD7923"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OECD. (2020b). Is </w:t>
      </w:r>
      <w:r w:rsidR="008D52A6">
        <w:rPr>
          <w:color w:val="222222"/>
          <w:sz w:val="20"/>
          <w:szCs w:val="20"/>
          <w:shd w:val="clear" w:color="auto" w:fill="FFFFFF"/>
        </w:rPr>
        <w:t>Child care</w:t>
      </w:r>
      <w:r w:rsidRPr="0075220B">
        <w:rPr>
          <w:color w:val="222222"/>
          <w:sz w:val="20"/>
          <w:szCs w:val="20"/>
          <w:shd w:val="clear" w:color="auto" w:fill="FFFFFF"/>
        </w:rPr>
        <w:t xml:space="preserve"> Affordable? OECD.</w:t>
      </w:r>
    </w:p>
    <w:p w14:paraId="4537463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OECD. (2020c). The OECD Tax-Benefit model for Poland. Description of policy rules for 2020. OECD. Retrieved from https://www.oecd.org/els/soc/TaxBEN-Poland-2020.pdf</w:t>
      </w:r>
    </w:p>
    <w:p w14:paraId="748C880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OECD. (2021). OECD Family Database. Retrieved from https://www.oecd.org/els/family/database.htm</w:t>
      </w:r>
    </w:p>
    <w:p w14:paraId="4E4BB0F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Ohinata, A. (2011). Fertility responses to financial incentives: Evidence from the Working Families Tax Credit in the UK. The Warwick Economics Research Paper Series (TWERPS), No. 851.</w:t>
      </w:r>
    </w:p>
    <w:p w14:paraId="48D1AD2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Olah, L. S. (2003). Gendering fertility: Second births in Sweden and Hungary. Population Research and Policy Review, 22, 171-200.</w:t>
      </w:r>
    </w:p>
    <w:p w14:paraId="2EECA9C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Osiewalska, B. (2018). Partner's empowerment and fertility in ten European countries. Demographic Research, 38, 1495-1534.</w:t>
      </w:r>
    </w:p>
    <w:p w14:paraId="483B083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Osmanagaoglu, K., Collins, J., Kolibianakis, E., Tournaye, H., Camus, M., Van Steirteghem, A., &amp; Devroey, P. (2002). Spontaneous pregnancies in couples who discontinued intracytoplasmic sperm injection treatment: a 5-year follow-up study. Fertility and Sterility, 78(3), 550-556.</w:t>
      </w:r>
    </w:p>
    <w:p w14:paraId="1BB82C8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Parent, D., &amp; Wang, L. (2007). Tax incentives and fertility in Canada: quantum vs tempo effects. Canadian Journal of Economics, 40(2), 371-400.</w:t>
      </w:r>
    </w:p>
    <w:p w14:paraId="039045FB" w14:textId="77777777" w:rsidR="00E37A3B" w:rsidRPr="0075220B" w:rsidRDefault="00E37A3B" w:rsidP="00E37A3B">
      <w:pPr>
        <w:ind w:left="567" w:hanging="567"/>
        <w:jc w:val="both"/>
        <w:rPr>
          <w:color w:val="222222"/>
          <w:sz w:val="20"/>
          <w:szCs w:val="20"/>
          <w:shd w:val="clear" w:color="auto" w:fill="FFFFFF"/>
        </w:rPr>
      </w:pPr>
      <w:r w:rsidRPr="00A429DA">
        <w:rPr>
          <w:color w:val="222222"/>
          <w:sz w:val="20"/>
          <w:szCs w:val="20"/>
          <w:shd w:val="clear" w:color="auto" w:fill="FFFFFF"/>
        </w:rPr>
        <w:t>Park</w:t>
      </w:r>
      <w:r w:rsidRPr="0075220B">
        <w:rPr>
          <w:color w:val="222222"/>
          <w:sz w:val="20"/>
          <w:szCs w:val="20"/>
          <w:shd w:val="clear" w:color="auto" w:fill="FFFFFF"/>
        </w:rPr>
        <w:t>, M. (2017). Housing support for young generation in Korea responding to socioeconomic changes. Korean Research Institute for Human Settlements (KRIHS).</w:t>
      </w:r>
    </w:p>
    <w:p w14:paraId="50D95DF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Parr, N. (2007). Which women stop at one child in Australia?. Journal of Population Research, 24(2), 207-225</w:t>
      </w:r>
    </w:p>
    <w:p w14:paraId="3DF78867" w14:textId="0780220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Parr, N. (2012). Trends in differentials in the workforce participation of mothers with young children in Australia 2002–2008. Journal of Population Research, 29, 203</w:t>
      </w:r>
      <w:r w:rsidR="008D18C1">
        <w:rPr>
          <w:color w:val="222222"/>
          <w:sz w:val="20"/>
          <w:szCs w:val="20"/>
          <w:shd w:val="clear" w:color="auto" w:fill="FFFFFF"/>
        </w:rPr>
        <w:t>–</w:t>
      </w:r>
      <w:r w:rsidRPr="0075220B">
        <w:rPr>
          <w:color w:val="222222"/>
          <w:sz w:val="20"/>
          <w:szCs w:val="20"/>
          <w:shd w:val="clear" w:color="auto" w:fill="FFFFFF"/>
        </w:rPr>
        <w:t>227.</w:t>
      </w:r>
    </w:p>
    <w:p w14:paraId="5C38BAE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Parr, N., &amp; Guest, R. (2011). The contribution of increases in family benefits to Australia's early 21st-century fertility increase: An empirical analysis. Demographic Research, 25, 215-244.</w:t>
      </w:r>
    </w:p>
    <w:p w14:paraId="0767D1F8" w14:textId="4167A034"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Paydarfar, A.A. (1995). Effects of multi-family housing on marital fertility in Iran: population policy implications, Social Biology 42(3-4): 214</w:t>
      </w:r>
      <w:r w:rsidR="008D18C1">
        <w:rPr>
          <w:color w:val="222222"/>
          <w:sz w:val="20"/>
          <w:szCs w:val="20"/>
          <w:shd w:val="clear" w:color="auto" w:fill="FFFFFF"/>
        </w:rPr>
        <w:t>–</w:t>
      </w:r>
      <w:r w:rsidRPr="0075220B">
        <w:rPr>
          <w:color w:val="222222"/>
          <w:sz w:val="20"/>
          <w:szCs w:val="20"/>
          <w:shd w:val="clear" w:color="auto" w:fill="FFFFFF"/>
        </w:rPr>
        <w:t>225.</w:t>
      </w:r>
    </w:p>
    <w:p w14:paraId="34EECF97"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lang w:val="it-IT"/>
        </w:rPr>
        <w:t xml:space="preserve">Pedro, J., Brandão, T., Schmidt, L., Costa, M. E., &amp; Martins, M. V. (2018). </w:t>
      </w:r>
      <w:r w:rsidRPr="0075220B">
        <w:rPr>
          <w:color w:val="222222"/>
          <w:sz w:val="20"/>
          <w:szCs w:val="20"/>
          <w:shd w:val="clear" w:color="auto" w:fill="FFFFFF"/>
        </w:rPr>
        <w:t>What do people know about fertility? A systematic review on fertility awareness and its associated factors. Upsala Journal of Medical Sciences, 123(2), 71-81.</w:t>
      </w:r>
    </w:p>
    <w:p w14:paraId="489EAC0C" w14:textId="77777777" w:rsidR="00E37A3B" w:rsidRPr="0075220B" w:rsidRDefault="00E37A3B" w:rsidP="00E37A3B">
      <w:pPr>
        <w:ind w:left="567" w:hanging="567"/>
        <w:jc w:val="both"/>
        <w:rPr>
          <w:color w:val="222222"/>
          <w:sz w:val="20"/>
          <w:szCs w:val="20"/>
          <w:shd w:val="clear" w:color="auto" w:fill="FFFFFF"/>
        </w:rPr>
      </w:pPr>
      <w:r>
        <w:rPr>
          <w:color w:val="222222"/>
          <w:sz w:val="20"/>
          <w:szCs w:val="20"/>
          <w:shd w:val="clear" w:color="auto" w:fill="FFFFFF"/>
        </w:rPr>
        <w:lastRenderedPageBreak/>
        <w:t xml:space="preserve">Perelli-Harris, B., Sigle, W., Kreyenfeld, M., </w:t>
      </w:r>
      <w:r w:rsidRPr="00E37A3B">
        <w:rPr>
          <w:color w:val="222222"/>
          <w:sz w:val="20"/>
          <w:szCs w:val="20"/>
          <w:shd w:val="clear" w:color="auto" w:fill="FFFFFF"/>
        </w:rPr>
        <w:t>Lappegård</w:t>
      </w:r>
      <w:r>
        <w:rPr>
          <w:color w:val="222222"/>
          <w:sz w:val="20"/>
          <w:szCs w:val="20"/>
          <w:shd w:val="clear" w:color="auto" w:fill="FFFFFF"/>
        </w:rPr>
        <w:t>, T., Keizer, R., &amp; Berghammer, C. (2010). The educational gradient of childbearing within cohabitation in Europe. Population and Development Review, 36(4): 775-801.</w:t>
      </w:r>
    </w:p>
    <w:p w14:paraId="0A3B1A2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Presidential Committee on Ageing Society and Population Policy. (2021). 5 key tasks for creating a society in which all members care for one another and work together. Retrieved June 29, 2021, from http://www.betterfuture.go.kr/eng/pcaspp/fertility.do</w:t>
      </w:r>
    </w:p>
    <w:p w14:paraId="18683E0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Preston, S. H., Heuveline, P., &amp; Guillot, M. (2001). Demography. Measuring and modeling population processes. Malden, MA: Blackwell Publishing.</w:t>
      </w:r>
    </w:p>
    <w:p w14:paraId="7220CB9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Productivity Commission. (2020). Why did young people's incomes decline</w:t>
      </w:r>
      <w:r>
        <w:rPr>
          <w:color w:val="222222"/>
          <w:sz w:val="20"/>
          <w:szCs w:val="20"/>
          <w:shd w:val="clear" w:color="auto" w:fill="FFFFFF"/>
        </w:rPr>
        <w:t>?</w:t>
      </w:r>
      <w:r w:rsidRPr="0075220B">
        <w:rPr>
          <w:color w:val="222222"/>
          <w:sz w:val="20"/>
          <w:szCs w:val="20"/>
          <w:shd w:val="clear" w:color="auto" w:fill="FFFFFF"/>
        </w:rPr>
        <w:t xml:space="preserve"> Canberra: Productivity Commission.</w:t>
      </w:r>
    </w:p>
    <w:p w14:paraId="6F3038E6"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Prskawetz, A., Sobotka, T., Buber, I., Engelhardt, H., &amp; Gisser, R. (2008). Austria: Persistent low fertility since the mid-1980s. Demographic Research, 19, 293-360.</w:t>
      </w:r>
    </w:p>
    <w:p w14:paraId="2803BAE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Qian, Y. (2016). Gender asymmetry in educational and income assortative marriage. Journal of marriage and family, 79(2), 318-336. doi:https://doi.org/10.1111/jomf.12372</w:t>
      </w:r>
    </w:p>
    <w:p w14:paraId="3226FB2D" w14:textId="77777777" w:rsidR="00E37A3B" w:rsidRPr="00246733" w:rsidRDefault="00E37A3B" w:rsidP="00E37A3B">
      <w:pPr>
        <w:ind w:left="567" w:hanging="567"/>
        <w:jc w:val="both"/>
        <w:rPr>
          <w:color w:val="222222"/>
          <w:sz w:val="20"/>
          <w:szCs w:val="20"/>
          <w:shd w:val="clear" w:color="auto" w:fill="FFFFFF"/>
        </w:rPr>
      </w:pPr>
      <w:r w:rsidRPr="00246733">
        <w:rPr>
          <w:color w:val="222222"/>
          <w:sz w:val="20"/>
          <w:szCs w:val="20"/>
          <w:shd w:val="clear" w:color="auto" w:fill="FFFFFF"/>
        </w:rPr>
        <w:t>Qu, L. (2021). Report no. 4: Impacts of COVID-19 on pregnancy and fertility intentions. Families in Australia Survey. Melbourne: Australian Institute of Family Studies.</w:t>
      </w:r>
    </w:p>
    <w:p w14:paraId="1C7EC877" w14:textId="67E8DAEA"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Raute, A. (2019). Can financial incentives reduce the baby gap? Evidence from a reform in maternity leave benefits. Journal of Public Economics, 203</w:t>
      </w:r>
      <w:r w:rsidR="008D18C1">
        <w:rPr>
          <w:color w:val="222222"/>
          <w:sz w:val="20"/>
          <w:szCs w:val="20"/>
          <w:shd w:val="clear" w:color="auto" w:fill="FFFFFF"/>
        </w:rPr>
        <w:t>–</w:t>
      </w:r>
      <w:r w:rsidRPr="0075220B">
        <w:rPr>
          <w:color w:val="222222"/>
          <w:sz w:val="20"/>
          <w:szCs w:val="20"/>
          <w:shd w:val="clear" w:color="auto" w:fill="FFFFFF"/>
        </w:rPr>
        <w:t>222.</w:t>
      </w:r>
    </w:p>
    <w:p w14:paraId="46DD2BE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Rawlings, L., Robson, S. J., &amp; Ding, P. (2016). Socioeconomic responses by age group to the Australian Baby Bonus: A multivariate analysis of birth data from 2001-13. Australian Journal of Labour Economics, 111-129.</w:t>
      </w:r>
    </w:p>
    <w:p w14:paraId="2DEA69B4" w14:textId="77777777" w:rsidR="00E37A3B" w:rsidRDefault="00E37A3B" w:rsidP="00E37A3B">
      <w:pPr>
        <w:ind w:left="567" w:hanging="567"/>
        <w:jc w:val="both"/>
      </w:pPr>
      <w:r w:rsidRPr="0075220B">
        <w:rPr>
          <w:color w:val="222222"/>
          <w:sz w:val="20"/>
          <w:szCs w:val="20"/>
          <w:shd w:val="clear" w:color="auto" w:fill="FFFFFF"/>
        </w:rPr>
        <w:t>Renda, J., Baxter, J., &amp; Alexander, M. (2009). Exploring the work-family policies mothers say would help after the birth of a child. Australian Journal of Labour Economics, 12(1), 65-69.</w:t>
      </w:r>
      <w:r w:rsidRPr="004D17F0">
        <w:t xml:space="preserve"> </w:t>
      </w:r>
    </w:p>
    <w:p w14:paraId="14E5F2FD" w14:textId="77777777" w:rsidR="00E37A3B" w:rsidRPr="0075220B" w:rsidRDefault="00E37A3B" w:rsidP="00E37A3B">
      <w:pPr>
        <w:ind w:left="567" w:hanging="567"/>
        <w:jc w:val="both"/>
        <w:rPr>
          <w:color w:val="222222"/>
          <w:sz w:val="20"/>
          <w:szCs w:val="20"/>
          <w:shd w:val="clear" w:color="auto" w:fill="FFFFFF"/>
        </w:rPr>
      </w:pPr>
      <w:r w:rsidRPr="004D17F0">
        <w:rPr>
          <w:color w:val="222222"/>
          <w:sz w:val="20"/>
          <w:szCs w:val="20"/>
          <w:shd w:val="clear" w:color="auto" w:fill="FFFFFF"/>
        </w:rPr>
        <w:t>Retherford, R. (1985). A theory of marital fertility transition. Population Studies, 39(2): 249–268.</w:t>
      </w:r>
    </w:p>
    <w:p w14:paraId="54A78A2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Rindfuss, R. R., Guilkey, D. K., Morgan, S. P., &amp; Kravdal, Ø. (2010). Child-Care Availability and Fertility in Norway. Population and Development Review, 36(4), 725-748.</w:t>
      </w:r>
    </w:p>
    <w:p w14:paraId="3A6C0DD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Rindfuss, R. R., Guilkey, D., Morgan, S. P., Kravdal, Ø., &amp; Guzzo, K. B. (2007). Child care availability and first-birth timing in Norway. Demography, 44, 345-372.</w:t>
      </w:r>
    </w:p>
    <w:p w14:paraId="5E5C3E8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Riphahn , R. T., &amp; Wiynck, F. (2017). Fertility effects of child benefits. Journal of Population Economics, 30, 1135-1184.</w:t>
      </w:r>
    </w:p>
    <w:p w14:paraId="13D8D00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Risse, L. (2010). '…And one for the country’: The effect of the baby bonus on Australian women’s childbearing intentions. </w:t>
      </w:r>
      <w:r w:rsidRPr="007235F6">
        <w:rPr>
          <w:i/>
          <w:iCs/>
          <w:color w:val="222222"/>
          <w:sz w:val="20"/>
          <w:szCs w:val="20"/>
          <w:shd w:val="clear" w:color="auto" w:fill="FFFFFF"/>
        </w:rPr>
        <w:t>Journal of Population Research</w:t>
      </w:r>
      <w:r w:rsidRPr="0075220B">
        <w:rPr>
          <w:color w:val="222222"/>
          <w:sz w:val="20"/>
          <w:szCs w:val="20"/>
          <w:shd w:val="clear" w:color="auto" w:fill="FFFFFF"/>
        </w:rPr>
        <w:t>, 27, 213-240.</w:t>
      </w:r>
    </w:p>
    <w:p w14:paraId="7FB1CC2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Rossin-Slater, M. (2018). Maternity and Family Leave Policy. In S. L. Averett, L. M. Argys, &amp; S. D. Hoffman, The Oxford Handbook of Women and the Economy. </w:t>
      </w:r>
    </w:p>
    <w:p w14:paraId="62F2AB3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Ruppaner, L., &amp; Huffman, M. L. (2013). Blurred boundaries: Gender and work-family interference in a cross-national context. Work and Occupations, 41(2), 210-236.</w:t>
      </w:r>
    </w:p>
    <w:p w14:paraId="129E76B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Saguin, K. (2021). No flat, no child in Singapore: Cointegration analysis of housing, income, and fertility. Tokyo: Asian Development Bank Institute.</w:t>
      </w:r>
    </w:p>
    <w:p w14:paraId="643CB38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Santow, G. (1991). Trends in contraception and sterilization in Australia. Australian and New Zealand Journal of Obstetrics and Gynaecology, 31(3), 201-208. doi:10.1111/j.1479-828X.1991.tb02781.x</w:t>
      </w:r>
    </w:p>
    <w:p w14:paraId="07C1121A" w14:textId="286B200D"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Saunders. (1999). Budget standards and the costs of children. </w:t>
      </w:r>
      <w:r w:rsidRPr="007235F6">
        <w:rPr>
          <w:i/>
          <w:iCs/>
          <w:color w:val="222222"/>
          <w:sz w:val="20"/>
          <w:szCs w:val="20"/>
          <w:shd w:val="clear" w:color="auto" w:fill="FFFFFF"/>
        </w:rPr>
        <w:t xml:space="preserve">Family </w:t>
      </w:r>
      <w:r w:rsidR="002908A1">
        <w:rPr>
          <w:i/>
          <w:iCs/>
          <w:color w:val="222222"/>
          <w:sz w:val="20"/>
          <w:szCs w:val="20"/>
          <w:shd w:val="clear" w:color="auto" w:fill="FFFFFF"/>
        </w:rPr>
        <w:t>M</w:t>
      </w:r>
      <w:r w:rsidR="002908A1" w:rsidRPr="007235F6">
        <w:rPr>
          <w:i/>
          <w:iCs/>
          <w:color w:val="222222"/>
          <w:sz w:val="20"/>
          <w:szCs w:val="20"/>
          <w:shd w:val="clear" w:color="auto" w:fill="FFFFFF"/>
        </w:rPr>
        <w:t>atters</w:t>
      </w:r>
      <w:r w:rsidRPr="0075220B">
        <w:rPr>
          <w:color w:val="222222"/>
          <w:sz w:val="20"/>
          <w:szCs w:val="20"/>
          <w:shd w:val="clear" w:color="auto" w:fill="FFFFFF"/>
        </w:rPr>
        <w:t>, 53.</w:t>
      </w:r>
    </w:p>
    <w:p w14:paraId="14E015D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Schlosser, A. (2005). Public preschool and the labor supply of Arab mothers: Evidence from a natural experiment. The Hebrew University of Jerusalem.</w:t>
      </w:r>
    </w:p>
    <w:p w14:paraId="73B1800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Schmidt, L., Sobotka, T., Bentzen, J., Andersen, A., &amp; ESHRE Reproduction and Society Task Force. (2012). Demographic and medical consequences of the postponement of parenthood. </w:t>
      </w:r>
      <w:r w:rsidRPr="007235F6">
        <w:rPr>
          <w:i/>
          <w:iCs/>
          <w:color w:val="222222"/>
          <w:sz w:val="20"/>
          <w:szCs w:val="20"/>
          <w:shd w:val="clear" w:color="auto" w:fill="FFFFFF"/>
        </w:rPr>
        <w:t>Human Reproduction Update</w:t>
      </w:r>
      <w:r w:rsidRPr="0075220B">
        <w:rPr>
          <w:color w:val="222222"/>
          <w:sz w:val="20"/>
          <w:szCs w:val="20"/>
          <w:shd w:val="clear" w:color="auto" w:fill="FFFFFF"/>
        </w:rPr>
        <w:t>, 1(18), 29-43.</w:t>
      </w:r>
    </w:p>
    <w:p w14:paraId="2373FB23" w14:textId="77777777" w:rsidR="0023687F" w:rsidRPr="0075220B" w:rsidRDefault="0023687F" w:rsidP="0023687F">
      <w:pPr>
        <w:ind w:left="567" w:hanging="567"/>
        <w:jc w:val="both"/>
        <w:rPr>
          <w:color w:val="222222"/>
          <w:sz w:val="20"/>
          <w:szCs w:val="20"/>
          <w:shd w:val="clear" w:color="auto" w:fill="FFFFFF"/>
        </w:rPr>
      </w:pPr>
      <w:r>
        <w:rPr>
          <w:color w:val="222222"/>
          <w:sz w:val="20"/>
          <w:szCs w:val="20"/>
          <w:shd w:val="clear" w:color="auto" w:fill="FFFFFF"/>
        </w:rPr>
        <w:t>Services Australia</w:t>
      </w:r>
      <w:r w:rsidRPr="00A2723C">
        <w:rPr>
          <w:color w:val="222222"/>
          <w:sz w:val="20"/>
          <w:szCs w:val="20"/>
          <w:shd w:val="clear" w:color="auto" w:fill="FFFFFF"/>
        </w:rPr>
        <w:t>. (2021). Parental Leave Pay: Who can get it. Retrieved August 10, 2021, from https://www.servicesaustralia.gov.au/individuals/services/centrelink/parental-leave-pay/who-can-get-it</w:t>
      </w:r>
    </w:p>
    <w:p w14:paraId="7B89D14D" w14:textId="02A6C603"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Sinclair, S., Boymal, J., &amp; De Silva, A. (2012). A Re-appraisal of the fertility response to the Australian Baby Bonus. </w:t>
      </w:r>
      <w:r w:rsidRPr="007235F6">
        <w:rPr>
          <w:i/>
          <w:iCs/>
          <w:color w:val="222222"/>
          <w:sz w:val="20"/>
          <w:szCs w:val="20"/>
          <w:shd w:val="clear" w:color="auto" w:fill="FFFFFF"/>
        </w:rPr>
        <w:t>The Economic Record</w:t>
      </w:r>
      <w:r w:rsidRPr="0075220B">
        <w:rPr>
          <w:color w:val="222222"/>
          <w:sz w:val="20"/>
          <w:szCs w:val="20"/>
          <w:shd w:val="clear" w:color="auto" w:fill="FFFFFF"/>
        </w:rPr>
        <w:t>, 88, 78</w:t>
      </w:r>
      <w:r w:rsidR="002908A1">
        <w:rPr>
          <w:color w:val="222222"/>
          <w:sz w:val="20"/>
          <w:szCs w:val="20"/>
          <w:shd w:val="clear" w:color="auto" w:fill="FFFFFF"/>
        </w:rPr>
        <w:t>–</w:t>
      </w:r>
      <w:r w:rsidRPr="0075220B">
        <w:rPr>
          <w:color w:val="222222"/>
          <w:sz w:val="20"/>
          <w:szCs w:val="20"/>
          <w:shd w:val="clear" w:color="auto" w:fill="FFFFFF"/>
        </w:rPr>
        <w:t>87.</w:t>
      </w:r>
    </w:p>
    <w:p w14:paraId="712F76D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Sleebos, J. (2003). Low Fertility Rates in OECD: Facts and Policy Responses. OECD.</w:t>
      </w:r>
    </w:p>
    <w:p w14:paraId="44F04B9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Sobokta, T., Matyasiak, A., &amp; Brozozowska, Z. (2020). Policy responses to low fertility: How effective are they? UNFPA Technical Division.</w:t>
      </w:r>
    </w:p>
    <w:p w14:paraId="51919097" w14:textId="69839C8C"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Sobotka, T. (2005). Is lowest-low fertility in Europe Explained by the Postponement of childbearing?</w:t>
      </w:r>
      <w:r w:rsidR="002908A1">
        <w:rPr>
          <w:color w:val="222222"/>
          <w:sz w:val="20"/>
          <w:szCs w:val="20"/>
          <w:shd w:val="clear" w:color="auto" w:fill="FFFFFF"/>
        </w:rPr>
        <w:t>.</w:t>
      </w:r>
      <w:r w:rsidRPr="0075220B">
        <w:rPr>
          <w:color w:val="222222"/>
          <w:sz w:val="20"/>
          <w:szCs w:val="20"/>
          <w:shd w:val="clear" w:color="auto" w:fill="FFFFFF"/>
        </w:rPr>
        <w:t xml:space="preserve"> Population and Development Review, 30(2), 195-220. </w:t>
      </w:r>
    </w:p>
    <w:p w14:paraId="5864C06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Sobotka, T. (2017). Post-transitional fertility: The role of childbearing postponement in fuelling the shift to low and unstable fertility levels. Journal of Biosocial Science, S20-S45. </w:t>
      </w:r>
    </w:p>
    <w:p w14:paraId="2C37120E" w14:textId="77777777"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Sobotka, T., &amp; Beaujouan, É. (2014). Two is best? The persistence of a two-child family ideal in Europe. Population and Development Review, 40(3): 391-419.</w:t>
      </w:r>
    </w:p>
    <w:p w14:paraId="57BC719C" w14:textId="0ACF60D8" w:rsidR="00E37A3B" w:rsidRPr="0075220B" w:rsidRDefault="00E37A3B" w:rsidP="00E37A3B">
      <w:pPr>
        <w:ind w:left="567" w:hanging="567"/>
        <w:jc w:val="both"/>
        <w:rPr>
          <w:color w:val="222222"/>
          <w:sz w:val="20"/>
          <w:szCs w:val="20"/>
          <w:shd w:val="clear" w:color="auto" w:fill="FFFFFF"/>
        </w:rPr>
      </w:pPr>
      <w:r w:rsidRPr="009F0298">
        <w:rPr>
          <w:color w:val="222222"/>
          <w:sz w:val="20"/>
          <w:szCs w:val="20"/>
          <w:shd w:val="clear" w:color="auto" w:fill="FFFFFF"/>
        </w:rPr>
        <w:t>Sobotka, T., &amp; Lutz, W</w:t>
      </w:r>
      <w:r w:rsidRPr="00BE2A38">
        <w:rPr>
          <w:color w:val="222222"/>
          <w:sz w:val="20"/>
          <w:szCs w:val="20"/>
          <w:shd w:val="clear" w:color="auto" w:fill="FFFFFF"/>
        </w:rPr>
        <w:t>. (2010). Misleading</w:t>
      </w:r>
      <w:r w:rsidRPr="009F0298">
        <w:rPr>
          <w:color w:val="222222"/>
          <w:sz w:val="20"/>
          <w:szCs w:val="20"/>
          <w:shd w:val="clear" w:color="auto" w:fill="FFFFFF"/>
        </w:rPr>
        <w:t xml:space="preserve"> policy messages derived from the period TFR: Should we stop using it?. Comparative </w:t>
      </w:r>
      <w:r>
        <w:rPr>
          <w:color w:val="222222"/>
          <w:sz w:val="20"/>
          <w:szCs w:val="20"/>
          <w:shd w:val="clear" w:color="auto" w:fill="FFFFFF"/>
        </w:rPr>
        <w:t>P</w:t>
      </w:r>
      <w:r w:rsidRPr="009F0298">
        <w:rPr>
          <w:color w:val="222222"/>
          <w:sz w:val="20"/>
          <w:szCs w:val="20"/>
          <w:shd w:val="clear" w:color="auto" w:fill="FFFFFF"/>
        </w:rPr>
        <w:t xml:space="preserve">opulation </w:t>
      </w:r>
      <w:r>
        <w:rPr>
          <w:color w:val="222222"/>
          <w:sz w:val="20"/>
          <w:szCs w:val="20"/>
          <w:shd w:val="clear" w:color="auto" w:fill="FFFFFF"/>
        </w:rPr>
        <w:t>S</w:t>
      </w:r>
      <w:r w:rsidRPr="009F0298">
        <w:rPr>
          <w:color w:val="222222"/>
          <w:sz w:val="20"/>
          <w:szCs w:val="20"/>
          <w:shd w:val="clear" w:color="auto" w:fill="FFFFFF"/>
        </w:rPr>
        <w:t>tudies, 35(3)</w:t>
      </w:r>
      <w:r>
        <w:rPr>
          <w:color w:val="222222"/>
          <w:sz w:val="20"/>
          <w:szCs w:val="20"/>
          <w:shd w:val="clear" w:color="auto" w:fill="FFFFFF"/>
        </w:rPr>
        <w:t>:637-664</w:t>
      </w:r>
      <w:r w:rsidR="00365814">
        <w:rPr>
          <w:color w:val="222222"/>
          <w:sz w:val="20"/>
          <w:szCs w:val="20"/>
          <w:shd w:val="clear" w:color="auto" w:fill="FFFFFF"/>
        </w:rPr>
        <w:t>.</w:t>
      </w:r>
      <w:r w:rsidR="00BE2A38">
        <w:rPr>
          <w:color w:val="222222"/>
          <w:sz w:val="20"/>
          <w:szCs w:val="20"/>
          <w:shd w:val="clear" w:color="auto" w:fill="FFFFFF"/>
        </w:rPr>
        <w:t xml:space="preserve"> </w:t>
      </w:r>
    </w:p>
    <w:p w14:paraId="735F554B" w14:textId="77777777" w:rsidR="00E37A3B" w:rsidRDefault="00E37A3B" w:rsidP="00E37A3B">
      <w:pPr>
        <w:ind w:left="567" w:hanging="567"/>
        <w:jc w:val="both"/>
        <w:rPr>
          <w:color w:val="222222"/>
          <w:sz w:val="20"/>
          <w:szCs w:val="20"/>
          <w:shd w:val="clear" w:color="auto" w:fill="FFFFFF"/>
        </w:rPr>
      </w:pPr>
      <w:r w:rsidRPr="006E301C">
        <w:rPr>
          <w:color w:val="222222"/>
          <w:sz w:val="20"/>
          <w:szCs w:val="20"/>
          <w:shd w:val="clear" w:color="auto" w:fill="FFFFFF"/>
        </w:rPr>
        <w:t>Sobotka, T., Beaujouan, É., &amp; Van Bavel, J. (2017). Introduction: Education and fertility in low-fertility settings. Vienna Yearbook of Population Research, 15, 1-16.</w:t>
      </w:r>
    </w:p>
    <w:p w14:paraId="2B582678"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Sobotka, T., Hansen, M. A., Jensen, T. K., Pedersen, A. T., Lutz, W., &amp; Skakkebæk, N. E. (2008). The contribution of assisted reproduction to completed fertility: An analysis of Danish Data. Population and Development Review. </w:t>
      </w:r>
    </w:p>
    <w:p w14:paraId="6FC885C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Social Insurance Institution of Finland (Kela). (2019). Benefits for families with children. Retrieved from https://www.kela.fi/documents/10180/3571044/Koti+ja+perhe_esite_en_Kela.pdf</w:t>
      </w:r>
    </w:p>
    <w:p w14:paraId="7AC05E35"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Son, Y. J. (2018). Do childbirth grants increase the fertility rate? Policy impacts in South Korea. Review of Economics of the Households, 16, 713-735.</w:t>
      </w:r>
    </w:p>
    <w:p w14:paraId="40EB057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Spéder , Z., &amp; Kapitány, B. (2015). Influences on the link between fertility intentions and behavioural outcomes. In P. e. al, Reproductive Decision-making in a Macro-Micro Perspective (pp. 79-111).</w:t>
      </w:r>
    </w:p>
    <w:p w14:paraId="133DD44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Spéder, Z., Murinkó, L., &amp; Oláh, L. S. (2020). Cash support vs. tax incentives: The differential impact of policy interventions on third births in contemporary Hungary. Population studies, 74(1), 39-54.</w:t>
      </w:r>
    </w:p>
    <w:p w14:paraId="6D42521C" w14:textId="6AFF7A61"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Šťastná, A., Kocourková, J., &amp; Šprocha, B. (2020). Parental leave policies and second births: A comparison of Czechia and Slovakia. Population Research and Policy REview, 39, 415-437.</w:t>
      </w:r>
    </w:p>
    <w:p w14:paraId="2454EFD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Stats NZ. (2019). Parenting and fertility trends in New Zealand: 2018. Retrieved June 15, 2021, from https://www.stats.govt.nz/reports/parenting-and-fertility-trends-in-new-zealand-2018</w:t>
      </w:r>
    </w:p>
    <w:p w14:paraId="6982B62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Steele, E. J., Giles, L. C., Davies, M. J., &amp; Moore, V. M. (2014). Is precarious employment associated with women remaining childless until age 35 years? Results from an Australian birth cohort study. Human Reproduction, 29(1), 155-160.</w:t>
      </w:r>
    </w:p>
    <w:p w14:paraId="5692808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Strazdins, L., &amp; Townsend, B. (2019). Next Steps for Paid Parental Leave In Australia: Roundtable Discussion Report. Canberra: The Australian National University, Families Australia, and the Work+Family Policy Roundtable.</w:t>
      </w:r>
    </w:p>
    <w:p w14:paraId="4D58D79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Swedish Social Insurance Agency (Försäkringskassan). (2021). Child allowance. Retrieved June 25, 2021, from Child allowance: https://www.forsakringskassan.se/english/parents/when-the-child-is-born/child-allowance</w:t>
      </w:r>
    </w:p>
    <w:p w14:paraId="64547A7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Tan, T., Lau, S., Loh, S., &amp; Tan, H. (2014). Female ageing and reproductive outcome in assisted reproduction cycles. Singapore Medical Journal, 55(6), 305-309. </w:t>
      </w:r>
    </w:p>
    <w:p w14:paraId="17EA748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Taylor, M. (2021). Horizontal equity in the design of Australian family payments for newborns. Australian Journal of Social Issues, online first.</w:t>
      </w:r>
    </w:p>
    <w:p w14:paraId="188453D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Testa, M. R., &amp; Bolano, D. (2021). When partners' disagreement prevents childbearing: A couple-level analysis in Australia. Demographic Research, 44, 811-838.</w:t>
      </w:r>
    </w:p>
    <w:p w14:paraId="2790B32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The Front Project. (2020). Realising the benefits of early childhood education and care: Funding after COVID-19. Melbourne: The Front Project.</w:t>
      </w:r>
    </w:p>
    <w:p w14:paraId="7534948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The Front Project. (2021). Work and play: Understanding how Australian families experience early childhood education and care. The Front Project.</w:t>
      </w:r>
    </w:p>
    <w:p w14:paraId="7D342C2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Thévenon , O., &amp; Gauthier, A. H. (2011). Community, Work &amp; Family, 14(2), 197-216.</w:t>
      </w:r>
    </w:p>
    <w:p w14:paraId="558EDE4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Togman, R. (2019). Nationalizing Sex: Fertility, Fear and Power. Oxford: Oxford University Press</w:t>
      </w:r>
    </w:p>
    <w:p w14:paraId="64F1812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Toulemon, L. (2011). Should governments in Europe be more aggressive in pushing for gender equality to raise fertility? The first "YES". Demographic Research, 24, 179-200.</w:t>
      </w:r>
    </w:p>
    <w:p w14:paraId="1FF5E7E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Trounson, A. (2018). Development of in-vitro fertilization in Australia. Fertility and Sterility, 110(1): 19-24.</w:t>
      </w:r>
    </w:p>
    <w:p w14:paraId="37CE5E1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Udry, J. R. (1983). Do couples make fertility plans one birth at a time? Demography, 20, 117-128.</w:t>
      </w:r>
    </w:p>
    <w:p w14:paraId="02FD462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UK Government. (2021). Claim Child Benefit. Retrieved from https://www.gov.uk/child-benefit/what-youll-get</w:t>
      </w:r>
    </w:p>
    <w:p w14:paraId="4979ABF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Ulker, A., &amp; Guven, C. (2011). Determinants of maternity leave duration in Australia: Evidence from the HILDA survey. Economic Record, 87(278), 399-413.</w:t>
      </w:r>
    </w:p>
    <w:p w14:paraId="5BC74CD2"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UNICEF. (2020). Universal child benefits: Policy issues and options. </w:t>
      </w:r>
    </w:p>
    <w:p w14:paraId="747E1EB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Vignoli, D., Guetto, R., Bazzani, G., Pirani, E., &amp; Minello, A. (2020). A reflection on economic uncertainty and fertility in Europe: The Narrative Framework. Genus, 76(1), 1-27.</w:t>
      </w:r>
    </w:p>
    <w:p w14:paraId="256CC00D"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Vignoli, D., Rinesi, F., &amp; Mussino, E. (2012). A home to plan the first child? Fertility intentions and housing conditions in Italy. Population, Space and Place, 19(1), 60-71.</w:t>
      </w:r>
    </w:p>
    <w:p w14:paraId="5810727C"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lang w:val="it-IT"/>
        </w:rPr>
        <w:t xml:space="preserve">Wall, K., Correia, R. B., &amp; Leitão, M. (2020). </w:t>
      </w:r>
      <w:r w:rsidRPr="0075220B">
        <w:rPr>
          <w:color w:val="222222"/>
          <w:sz w:val="20"/>
          <w:szCs w:val="20"/>
          <w:shd w:val="clear" w:color="auto" w:fill="FFFFFF"/>
        </w:rPr>
        <w:t>Portugal country note. In A. Koslowski, I. Dobrotić, G. Kaufman, &amp; P. Moss, International Review of Leave Policies and Research 2020. Retrieved from https://www.leavenetwork.org/annual-review-reports/review-2020/</w:t>
      </w:r>
    </w:p>
    <w:p w14:paraId="0A04EEF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Walsh, E. (2018). Fathers and Parental Leave. Australian Institute of Family Studies 2018 Conference. Australian Institute of Family Studies. Retrieved from https://aifs.gov.au/aifs-conference/fathers-and-parental-leave</w:t>
      </w:r>
    </w:p>
    <w:p w14:paraId="7A5147F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Wesolowski, K., &amp; Ferrarini, T. (2018). Family policies and fertility: Examining the link between family policy institutions and fertility rates in 33 countries in 1995-2001. International Journal of Sociology, 38(11/12), 1057-1070.</w:t>
      </w:r>
    </w:p>
    <w:p w14:paraId="1B4373D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Weston, R., &amp; Qu, L. (2013). Working out relationship. Australian Family Trends, 3, 1-14.</w:t>
      </w:r>
    </w:p>
    <w:p w14:paraId="05C03BD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lastRenderedPageBreak/>
        <w:t>Weston, R., Qu, L., &amp; Parker, R. (2005). 'It's not for lack of wanting kids...' A report on the Fertility Decision Making Project. Australian Institute of Family Studies.</w:t>
      </w:r>
    </w:p>
    <w:p w14:paraId="3AC4E2E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Whiteford, P., &amp; Angenent, G. (2001). The Australian system of social protection- an overview. 2nd edition. Canberra: Department of Family and Community Services.</w:t>
      </w:r>
    </w:p>
    <w:p w14:paraId="2E408C8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Widiss, D. A. (2021). The hidden gender of gender-neutral paid parental leave: Examining recently-enacted law in the United States and Australia. Maurer Faculty. Retrieved from https://www.repository.law.indiana.edu/cgi/viewcontent.cgi?article=3991&amp;context=facpub</w:t>
      </w:r>
    </w:p>
    <w:p w14:paraId="7D5D13FA"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Winter, J., &amp; Teitelbaum, M. (2013). The Global Spread of Fertility Decline: Population, fear, and uncertainty. Yale University Press.</w:t>
      </w:r>
    </w:p>
    <w:p w14:paraId="76D4495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Wood, D., Emslie, O.</w:t>
      </w:r>
      <w:r>
        <w:rPr>
          <w:color w:val="222222"/>
          <w:sz w:val="20"/>
          <w:szCs w:val="20"/>
          <w:shd w:val="clear" w:color="auto" w:fill="FFFFFF"/>
        </w:rPr>
        <w:t xml:space="preserve"> &amp; Griffiths, K.</w:t>
      </w:r>
      <w:r w:rsidRPr="0075220B">
        <w:rPr>
          <w:color w:val="222222"/>
          <w:sz w:val="20"/>
          <w:szCs w:val="20"/>
          <w:shd w:val="clear" w:color="auto" w:fill="FFFFFF"/>
        </w:rPr>
        <w:t xml:space="preserve"> (20</w:t>
      </w:r>
      <w:r>
        <w:rPr>
          <w:color w:val="222222"/>
          <w:sz w:val="20"/>
          <w:szCs w:val="20"/>
          <w:shd w:val="clear" w:color="auto" w:fill="FFFFFF"/>
        </w:rPr>
        <w:t>21</w:t>
      </w:r>
      <w:r w:rsidRPr="0075220B">
        <w:rPr>
          <w:color w:val="222222"/>
          <w:sz w:val="20"/>
          <w:szCs w:val="20"/>
          <w:shd w:val="clear" w:color="auto" w:fill="FFFFFF"/>
        </w:rPr>
        <w:t xml:space="preserve">). </w:t>
      </w:r>
      <w:r>
        <w:rPr>
          <w:color w:val="222222"/>
          <w:sz w:val="20"/>
          <w:szCs w:val="20"/>
          <w:shd w:val="clear" w:color="auto" w:fill="FFFFFF"/>
        </w:rPr>
        <w:t>Dad days: How more gender-equal parental leave could improve the lives of Australian families</w:t>
      </w:r>
      <w:r w:rsidRPr="0075220B">
        <w:rPr>
          <w:color w:val="222222"/>
          <w:sz w:val="20"/>
          <w:szCs w:val="20"/>
          <w:shd w:val="clear" w:color="auto" w:fill="FFFFFF"/>
        </w:rPr>
        <w:t>. Grattan Institute.</w:t>
      </w:r>
    </w:p>
    <w:p w14:paraId="490E819F" w14:textId="0A1E48A4" w:rsidR="00E37A3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Wood, D., Griffiths, K., &amp; Emslie, O. (2020). Cheaper </w:t>
      </w:r>
      <w:r w:rsidR="008D52A6">
        <w:rPr>
          <w:color w:val="222222"/>
          <w:sz w:val="20"/>
          <w:szCs w:val="20"/>
          <w:shd w:val="clear" w:color="auto" w:fill="FFFFFF"/>
        </w:rPr>
        <w:t>child care</w:t>
      </w:r>
      <w:r w:rsidRPr="0075220B">
        <w:rPr>
          <w:color w:val="222222"/>
          <w:sz w:val="20"/>
          <w:szCs w:val="20"/>
          <w:shd w:val="clear" w:color="auto" w:fill="FFFFFF"/>
        </w:rPr>
        <w:t>: A practical plan to boost female workforce participation. Grattan Institute.</w:t>
      </w:r>
    </w:p>
    <w:p w14:paraId="4C8F83B5" w14:textId="5FE1E2FC"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Wood, J., &amp; Neels, K. (2019). Local </w:t>
      </w:r>
      <w:r w:rsidR="008D52A6">
        <w:rPr>
          <w:color w:val="222222"/>
          <w:sz w:val="20"/>
          <w:szCs w:val="20"/>
          <w:shd w:val="clear" w:color="auto" w:fill="FFFFFF"/>
        </w:rPr>
        <w:t>child care</w:t>
      </w:r>
      <w:r w:rsidRPr="0075220B">
        <w:rPr>
          <w:color w:val="222222"/>
          <w:sz w:val="20"/>
          <w:szCs w:val="20"/>
          <w:shd w:val="clear" w:color="auto" w:fill="FFFFFF"/>
        </w:rPr>
        <w:t xml:space="preserve"> availability and dual-earner fertility: variation in </w:t>
      </w:r>
      <w:r w:rsidR="008D52A6">
        <w:rPr>
          <w:color w:val="222222"/>
          <w:sz w:val="20"/>
          <w:szCs w:val="20"/>
          <w:shd w:val="clear" w:color="auto" w:fill="FFFFFF"/>
        </w:rPr>
        <w:t>child care</w:t>
      </w:r>
      <w:r w:rsidRPr="0075220B">
        <w:rPr>
          <w:color w:val="222222"/>
          <w:sz w:val="20"/>
          <w:szCs w:val="20"/>
          <w:shd w:val="clear" w:color="auto" w:fill="FFFFFF"/>
        </w:rPr>
        <w:t xml:space="preserve"> coverage and birth hazards over place and time. European Journal of Population, 35, 913-937.</w:t>
      </w:r>
    </w:p>
    <w:p w14:paraId="38BC938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Workplace Gender Equality Agency. (2017). Towards gender balanced parental leave. Workplace Gender Equality Agency.</w:t>
      </w:r>
    </w:p>
    <w:p w14:paraId="357403D9"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Workplace Gender Equality Agency. (2021). Unpaid care work and the labour market. </w:t>
      </w:r>
      <w:r>
        <w:rPr>
          <w:color w:val="222222"/>
          <w:sz w:val="20"/>
          <w:szCs w:val="20"/>
          <w:shd w:val="clear" w:color="auto" w:fill="FFFFFF"/>
        </w:rPr>
        <w:t xml:space="preserve">Insight paper, Workplace Gender Equality Agency. </w:t>
      </w:r>
      <w:r w:rsidRPr="00026ED1">
        <w:rPr>
          <w:color w:val="222222"/>
          <w:sz w:val="20"/>
          <w:szCs w:val="20"/>
          <w:shd w:val="clear" w:color="auto" w:fill="FFFFFF"/>
        </w:rPr>
        <w:t>https://www.wgea.gov.au/publications/unpaid-care-work-and-the-labour-market</w:t>
      </w:r>
    </w:p>
    <w:p w14:paraId="3EC46DF4"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Wright, P. (2007). Family size and the gendered division of unpaid work: Implications for fertility decisions in Australia. Australian Journal of Social Issues, 42(4), 513-529.</w:t>
      </w:r>
    </w:p>
    <w:p w14:paraId="10BB067B"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 xml:space="preserve">Wyns, C., Bergh, C., Calhaz-Jorge, C., De Geyter, C., Kupka, M., Motrenko, T., . . . Goossens, V. (2020). ART in Europe, 2016: Results generated from European registries by ESHRE. Human Reproduction Open. </w:t>
      </w:r>
    </w:p>
    <w:p w14:paraId="71F4522E"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Yan, M.-Y., &amp; Hertog, E. (2017). Domestic division of labour and fertility preference in China, Japan, South Korea and Taiwan. Demographic Research, 36, 557-588.</w:t>
      </w:r>
    </w:p>
    <w:p w14:paraId="4501A313"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Yonzan, N., Timilsina, L., &amp; Rashad Kelly, I. (2020). Economic incentives surrounding fertility: Evidence from Alaska's Permanent Fund Dividend. Cambridge, Massachusetts: National Bureau of Economic Research.</w:t>
      </w:r>
    </w:p>
    <w:p w14:paraId="6AD9ED30"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Yoo, S. (2014). Educational differentials in cohort fertility during the fertility transition in South Korea. Demographic Research, 38(56), 1463-1494</w:t>
      </w:r>
    </w:p>
    <w:p w14:paraId="456D29BF"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Yu, P., Kippen, R., &amp; Chapman, B. (2007). Births, debts and mirages: The impact of the Higher Education Contribution Scheme (HECS) and other factors on Australian fertility expectations. Journal of Population Research, 24, 73-90.</w:t>
      </w:r>
    </w:p>
    <w:p w14:paraId="07E76007" w14:textId="77777777" w:rsidR="00E37A3B" w:rsidRPr="0075220B" w:rsidRDefault="00E37A3B" w:rsidP="00E37A3B">
      <w:pPr>
        <w:ind w:left="567" w:hanging="567"/>
        <w:jc w:val="both"/>
        <w:rPr>
          <w:color w:val="222222"/>
          <w:sz w:val="20"/>
          <w:szCs w:val="20"/>
          <w:shd w:val="clear" w:color="auto" w:fill="FFFFFF"/>
        </w:rPr>
      </w:pPr>
      <w:r w:rsidRPr="0075220B">
        <w:rPr>
          <w:color w:val="222222"/>
          <w:sz w:val="20"/>
          <w:szCs w:val="20"/>
          <w:shd w:val="clear" w:color="auto" w:fill="FFFFFF"/>
        </w:rPr>
        <w:t>Zegers-Hochschild, F., Adamson, G., Dyer, S., Racowsky, C., de Mouzon, J., Sokol, R., . . . van der Poel, S. (2017). The International Glossary on Infertility and Fertility Care, 2017. Human Reproduction, 32(9)</w:t>
      </w:r>
    </w:p>
    <w:p w14:paraId="7D613218" w14:textId="77777777" w:rsidR="00F94DD4" w:rsidRPr="0075220B" w:rsidRDefault="00F94DD4" w:rsidP="00F94DD4">
      <w:pPr>
        <w:rPr>
          <w:color w:val="222222"/>
          <w:shd w:val="clear" w:color="auto" w:fill="FFFFFF"/>
        </w:rPr>
      </w:pPr>
    </w:p>
    <w:p w14:paraId="3997C29E" w14:textId="77777777" w:rsidR="00244248" w:rsidRDefault="00244248" w:rsidP="00244248">
      <w:pPr>
        <w:pStyle w:val="Heading1"/>
        <w:numPr>
          <w:ilvl w:val="0"/>
          <w:numId w:val="0"/>
        </w:numPr>
        <w:ind w:left="432" w:hanging="432"/>
        <w:rPr>
          <w:noProof/>
        </w:rPr>
      </w:pPr>
    </w:p>
    <w:p w14:paraId="5448ED55" w14:textId="77777777" w:rsidR="00244248" w:rsidRDefault="00244248">
      <w:pPr>
        <w:rPr>
          <w:rFonts w:asciiTheme="majorHAnsi" w:eastAsiaTheme="majorEastAsia" w:hAnsiTheme="majorHAnsi" w:cstheme="majorBidi"/>
          <w:noProof/>
          <w:color w:val="2E74B5" w:themeColor="accent1" w:themeShade="BF"/>
          <w:sz w:val="32"/>
          <w:szCs w:val="32"/>
          <w:lang w:val="en-US"/>
        </w:rPr>
      </w:pPr>
      <w:r>
        <w:rPr>
          <w:noProof/>
        </w:rPr>
        <w:br w:type="page"/>
      </w:r>
    </w:p>
    <w:p w14:paraId="65422A79" w14:textId="4777A6DB" w:rsidR="00F31FC5" w:rsidRDefault="00244248" w:rsidP="00244248">
      <w:pPr>
        <w:pStyle w:val="Heading1"/>
        <w:numPr>
          <w:ilvl w:val="0"/>
          <w:numId w:val="0"/>
        </w:numPr>
        <w:ind w:left="432" w:hanging="432"/>
        <w:rPr>
          <w:noProof/>
        </w:rPr>
      </w:pPr>
      <w:bookmarkStart w:id="252" w:name="_Toc87454678"/>
      <w:bookmarkStart w:id="253" w:name="_Toc98405000"/>
      <w:r>
        <w:rPr>
          <w:noProof/>
        </w:rPr>
        <w:lastRenderedPageBreak/>
        <w:t>APPENDIX</w:t>
      </w:r>
      <w:bookmarkEnd w:id="252"/>
      <w:bookmarkEnd w:id="253"/>
    </w:p>
    <w:p w14:paraId="66B5CCD8" w14:textId="77777777" w:rsidR="00244248" w:rsidRDefault="00244248" w:rsidP="00244248">
      <w:pPr>
        <w:rPr>
          <w:lang w:val="en-US"/>
        </w:rPr>
      </w:pPr>
      <w:bookmarkStart w:id="254" w:name="_Ref84579646"/>
    </w:p>
    <w:p w14:paraId="6780574E" w14:textId="77777777" w:rsidR="00244248" w:rsidRPr="00244248" w:rsidRDefault="00244248" w:rsidP="00244248">
      <w:pPr>
        <w:rPr>
          <w:rFonts w:asciiTheme="majorHAnsi" w:hAnsiTheme="majorHAnsi" w:cstheme="majorHAnsi"/>
          <w:color w:val="1F4E79" w:themeColor="accent1" w:themeShade="80"/>
          <w:sz w:val="26"/>
          <w:szCs w:val="26"/>
          <w:lang w:val="en-US"/>
        </w:rPr>
      </w:pPr>
      <w:r w:rsidRPr="00244248">
        <w:rPr>
          <w:rFonts w:asciiTheme="majorHAnsi" w:hAnsiTheme="majorHAnsi" w:cstheme="majorHAnsi"/>
          <w:color w:val="1F4E79" w:themeColor="accent1" w:themeShade="80"/>
          <w:sz w:val="26"/>
          <w:szCs w:val="26"/>
          <w:lang w:val="en-US"/>
        </w:rPr>
        <w:t xml:space="preserve">HILDA data management </w:t>
      </w:r>
    </w:p>
    <w:p w14:paraId="41A22733" w14:textId="4A00F605" w:rsidR="00244248" w:rsidRDefault="00244248" w:rsidP="00244248">
      <w:r>
        <w:t xml:space="preserve">It is important to note that for many of the fertility measures, particularly childbearing desires, expectations and additionally intended number of children that the questions were asked differently or to a restricted sample in four of the waves (2005, 2008, 2015 and 2019). In addition, the age range who were asked the questions also changed over time. Some of these changes are outlined in </w:t>
      </w:r>
      <w:r>
        <w:fldChar w:fldCharType="begin"/>
      </w:r>
      <w:r>
        <w:instrText xml:space="preserve"> REF _Ref85726401 \h </w:instrText>
      </w:r>
      <w:r>
        <w:fldChar w:fldCharType="separate"/>
      </w:r>
      <w:r w:rsidR="00115E22">
        <w:t xml:space="preserve">Table </w:t>
      </w:r>
      <w:r w:rsidR="00115E22">
        <w:rPr>
          <w:noProof/>
        </w:rPr>
        <w:t>49</w:t>
      </w:r>
      <w:r>
        <w:fldChar w:fldCharType="end"/>
      </w:r>
      <w:r>
        <w:t>. Between 2001-2004, the age range was 18-55 for women. Between 2005 and 2015 it was 18-44, and from 2016 onwards it was 18-49. For this reason, the analysis is restricted to age 44 in most cases (detailed under Table 2 below).</w:t>
      </w:r>
    </w:p>
    <w:p w14:paraId="04C69D88" w14:textId="77777777" w:rsidR="00244248" w:rsidRDefault="00244248" w:rsidP="00244248">
      <w:pPr>
        <w:spacing w:after="0" w:line="240" w:lineRule="auto"/>
        <w:rPr>
          <w:rFonts w:ascii="Calibri Light" w:eastAsia="Times New Roman" w:hAnsi="Calibri Light" w:cs="Times New Roman"/>
          <w:sz w:val="20"/>
          <w:szCs w:val="20"/>
          <w:lang w:val="en-US"/>
        </w:rPr>
      </w:pPr>
    </w:p>
    <w:p w14:paraId="52962141" w14:textId="055B4539" w:rsidR="00244248" w:rsidRDefault="00244248" w:rsidP="00244248">
      <w:pPr>
        <w:pStyle w:val="Caption"/>
        <w:keepNext/>
      </w:pPr>
      <w:bookmarkStart w:id="255" w:name="_Ref85726401"/>
      <w:r>
        <w:t xml:space="preserve">Table </w:t>
      </w:r>
      <w:fldSimple w:instr=" SEQ Table \* ARABIC ">
        <w:r w:rsidR="00115E22">
          <w:rPr>
            <w:noProof/>
          </w:rPr>
          <w:t>49</w:t>
        </w:r>
      </w:fldSimple>
      <w:bookmarkEnd w:id="255"/>
      <w:r>
        <w:rPr>
          <w:noProof/>
        </w:rPr>
        <w:t xml:space="preserve"> </w:t>
      </w:r>
      <w:r>
        <w:t>Changes to questions on future fertility preferences by survey year/wave</w:t>
      </w:r>
    </w:p>
    <w:tbl>
      <w:tblPr>
        <w:tblW w:w="3969" w:type="dxa"/>
        <w:tblLook w:val="04A0" w:firstRow="1" w:lastRow="0" w:firstColumn="1" w:lastColumn="0" w:noHBand="0" w:noVBand="1"/>
      </w:tblPr>
      <w:tblGrid>
        <w:gridCol w:w="993"/>
        <w:gridCol w:w="1701"/>
        <w:gridCol w:w="1281"/>
      </w:tblGrid>
      <w:tr w:rsidR="00244248" w:rsidRPr="003D50B4" w14:paraId="7A6E7DCF" w14:textId="77777777" w:rsidTr="00CE06A6">
        <w:trPr>
          <w:trHeight w:val="227"/>
        </w:trPr>
        <w:tc>
          <w:tcPr>
            <w:tcW w:w="993"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648692F4" w14:textId="77777777" w:rsidR="00244248" w:rsidRPr="00074840" w:rsidRDefault="00244248" w:rsidP="00335B25">
            <w:pPr>
              <w:spacing w:after="0" w:line="240" w:lineRule="auto"/>
              <w:jc w:val="center"/>
              <w:rPr>
                <w:rFonts w:asciiTheme="majorHAnsi" w:eastAsia="Times New Roman" w:hAnsiTheme="majorHAnsi" w:cstheme="majorHAnsi"/>
                <w:sz w:val="20"/>
                <w:szCs w:val="20"/>
                <w:lang w:eastAsia="en-AU"/>
              </w:rPr>
            </w:pPr>
            <w:r w:rsidRPr="00074840">
              <w:rPr>
                <w:rFonts w:asciiTheme="majorHAnsi" w:eastAsia="Times New Roman" w:hAnsiTheme="majorHAnsi" w:cstheme="majorHAnsi"/>
                <w:sz w:val="20"/>
                <w:szCs w:val="20"/>
                <w:lang w:eastAsia="en-AU"/>
              </w:rPr>
              <w:t>Wave</w:t>
            </w:r>
          </w:p>
        </w:tc>
        <w:tc>
          <w:tcPr>
            <w:tcW w:w="1701"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19C07A67" w14:textId="77777777" w:rsidR="00244248" w:rsidRPr="00074840" w:rsidRDefault="00244248" w:rsidP="00335B25">
            <w:pPr>
              <w:spacing w:after="0" w:line="240" w:lineRule="auto"/>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Age range for children bearing desires and expectations</w:t>
            </w:r>
          </w:p>
        </w:tc>
        <w:tc>
          <w:tcPr>
            <w:tcW w:w="1275" w:type="dxa"/>
            <w:tcBorders>
              <w:top w:val="single" w:sz="4" w:space="0" w:color="ED7D31" w:themeColor="accent2"/>
              <w:left w:val="nil"/>
              <w:bottom w:val="single" w:sz="4" w:space="0" w:color="ED7D31" w:themeColor="accent2"/>
              <w:right w:val="nil"/>
            </w:tcBorders>
            <w:shd w:val="clear" w:color="auto" w:fill="FBE4D5" w:themeFill="accent2" w:themeFillTint="33"/>
            <w:noWrap/>
            <w:vAlign w:val="bottom"/>
            <w:hideMark/>
          </w:tcPr>
          <w:p w14:paraId="08247A24" w14:textId="77777777" w:rsidR="00244248" w:rsidRPr="00074840" w:rsidRDefault="00244248" w:rsidP="00335B25">
            <w:pPr>
              <w:spacing w:after="0" w:line="240" w:lineRule="auto"/>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Additional restrictions</w:t>
            </w:r>
            <w:r w:rsidRPr="00074840">
              <w:rPr>
                <w:rFonts w:asciiTheme="majorHAnsi" w:eastAsia="Times New Roman" w:hAnsiTheme="majorHAnsi" w:cstheme="majorHAnsi"/>
                <w:color w:val="000000"/>
                <w:sz w:val="20"/>
                <w:szCs w:val="20"/>
                <w:vertAlign w:val="superscript"/>
                <w:lang w:eastAsia="en-AU"/>
              </w:rPr>
              <w:t>a,b</w:t>
            </w:r>
          </w:p>
        </w:tc>
      </w:tr>
      <w:tr w:rsidR="00244248" w:rsidRPr="003D50B4" w14:paraId="7FD9EE4B" w14:textId="77777777" w:rsidTr="00CE06A6">
        <w:trPr>
          <w:trHeight w:val="227"/>
        </w:trPr>
        <w:tc>
          <w:tcPr>
            <w:tcW w:w="993" w:type="dxa"/>
            <w:tcBorders>
              <w:top w:val="single" w:sz="4" w:space="0" w:color="ED7D31" w:themeColor="accent2"/>
              <w:left w:val="nil"/>
              <w:bottom w:val="nil"/>
              <w:right w:val="nil"/>
            </w:tcBorders>
            <w:shd w:val="clear" w:color="auto" w:fill="auto"/>
            <w:noWrap/>
            <w:vAlign w:val="bottom"/>
            <w:hideMark/>
          </w:tcPr>
          <w:p w14:paraId="7BDD5A05"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2001</w:t>
            </w:r>
          </w:p>
        </w:tc>
        <w:tc>
          <w:tcPr>
            <w:tcW w:w="1701" w:type="dxa"/>
            <w:tcBorders>
              <w:top w:val="single" w:sz="4" w:space="0" w:color="ED7D31" w:themeColor="accent2"/>
              <w:left w:val="nil"/>
              <w:bottom w:val="nil"/>
              <w:right w:val="nil"/>
            </w:tcBorders>
            <w:shd w:val="clear" w:color="auto" w:fill="auto"/>
            <w:noWrap/>
            <w:vAlign w:val="bottom"/>
            <w:hideMark/>
          </w:tcPr>
          <w:p w14:paraId="75D35A57"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18-55</w:t>
            </w:r>
          </w:p>
        </w:tc>
        <w:tc>
          <w:tcPr>
            <w:tcW w:w="1275" w:type="dxa"/>
            <w:tcBorders>
              <w:top w:val="single" w:sz="4" w:space="0" w:color="ED7D31" w:themeColor="accent2"/>
              <w:left w:val="nil"/>
              <w:bottom w:val="nil"/>
              <w:right w:val="nil"/>
            </w:tcBorders>
            <w:shd w:val="clear" w:color="auto" w:fill="auto"/>
            <w:noWrap/>
            <w:vAlign w:val="bottom"/>
            <w:hideMark/>
          </w:tcPr>
          <w:p w14:paraId="483DA46E"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70ACF7FB" w14:textId="77777777" w:rsidTr="00CE06A6">
        <w:trPr>
          <w:trHeight w:val="227"/>
        </w:trPr>
        <w:tc>
          <w:tcPr>
            <w:tcW w:w="993" w:type="dxa"/>
            <w:tcBorders>
              <w:top w:val="nil"/>
              <w:left w:val="nil"/>
              <w:bottom w:val="nil"/>
              <w:right w:val="nil"/>
            </w:tcBorders>
            <w:shd w:val="clear" w:color="auto" w:fill="auto"/>
            <w:noWrap/>
            <w:vAlign w:val="bottom"/>
            <w:hideMark/>
          </w:tcPr>
          <w:p w14:paraId="6697A762"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2002</w:t>
            </w:r>
          </w:p>
        </w:tc>
        <w:tc>
          <w:tcPr>
            <w:tcW w:w="1701" w:type="dxa"/>
            <w:tcBorders>
              <w:top w:val="nil"/>
              <w:left w:val="nil"/>
              <w:bottom w:val="nil"/>
              <w:right w:val="nil"/>
            </w:tcBorders>
            <w:shd w:val="clear" w:color="auto" w:fill="auto"/>
            <w:noWrap/>
            <w:vAlign w:val="bottom"/>
            <w:hideMark/>
          </w:tcPr>
          <w:p w14:paraId="62FD496B"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18-55</w:t>
            </w:r>
          </w:p>
        </w:tc>
        <w:tc>
          <w:tcPr>
            <w:tcW w:w="1275" w:type="dxa"/>
            <w:tcBorders>
              <w:top w:val="nil"/>
              <w:left w:val="nil"/>
              <w:bottom w:val="nil"/>
              <w:right w:val="nil"/>
            </w:tcBorders>
            <w:shd w:val="clear" w:color="auto" w:fill="auto"/>
            <w:noWrap/>
            <w:vAlign w:val="bottom"/>
            <w:hideMark/>
          </w:tcPr>
          <w:p w14:paraId="29F68083"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7A9022AD" w14:textId="77777777" w:rsidTr="00CE06A6">
        <w:trPr>
          <w:trHeight w:val="227"/>
        </w:trPr>
        <w:tc>
          <w:tcPr>
            <w:tcW w:w="993" w:type="dxa"/>
            <w:tcBorders>
              <w:top w:val="nil"/>
              <w:left w:val="nil"/>
              <w:bottom w:val="nil"/>
              <w:right w:val="nil"/>
            </w:tcBorders>
            <w:shd w:val="clear" w:color="auto" w:fill="auto"/>
            <w:noWrap/>
            <w:vAlign w:val="bottom"/>
            <w:hideMark/>
          </w:tcPr>
          <w:p w14:paraId="36B24295"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2003</w:t>
            </w:r>
          </w:p>
        </w:tc>
        <w:tc>
          <w:tcPr>
            <w:tcW w:w="1701" w:type="dxa"/>
            <w:tcBorders>
              <w:top w:val="nil"/>
              <w:left w:val="nil"/>
              <w:bottom w:val="nil"/>
              <w:right w:val="nil"/>
            </w:tcBorders>
            <w:shd w:val="clear" w:color="auto" w:fill="auto"/>
            <w:noWrap/>
            <w:vAlign w:val="bottom"/>
            <w:hideMark/>
          </w:tcPr>
          <w:p w14:paraId="6FB12545"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18-55</w:t>
            </w:r>
          </w:p>
        </w:tc>
        <w:tc>
          <w:tcPr>
            <w:tcW w:w="1275" w:type="dxa"/>
            <w:tcBorders>
              <w:top w:val="nil"/>
              <w:left w:val="nil"/>
              <w:bottom w:val="nil"/>
              <w:right w:val="nil"/>
            </w:tcBorders>
            <w:shd w:val="clear" w:color="auto" w:fill="auto"/>
            <w:noWrap/>
            <w:vAlign w:val="bottom"/>
            <w:hideMark/>
          </w:tcPr>
          <w:p w14:paraId="79EFAB6B"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185AD2BD" w14:textId="77777777" w:rsidTr="00CE06A6">
        <w:trPr>
          <w:trHeight w:val="227"/>
        </w:trPr>
        <w:tc>
          <w:tcPr>
            <w:tcW w:w="993" w:type="dxa"/>
            <w:tcBorders>
              <w:top w:val="nil"/>
              <w:left w:val="nil"/>
              <w:bottom w:val="nil"/>
              <w:right w:val="nil"/>
            </w:tcBorders>
            <w:shd w:val="clear" w:color="auto" w:fill="auto"/>
            <w:noWrap/>
            <w:vAlign w:val="bottom"/>
            <w:hideMark/>
          </w:tcPr>
          <w:p w14:paraId="068F3BF7"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2004</w:t>
            </w:r>
          </w:p>
        </w:tc>
        <w:tc>
          <w:tcPr>
            <w:tcW w:w="1701" w:type="dxa"/>
            <w:tcBorders>
              <w:top w:val="nil"/>
              <w:left w:val="nil"/>
              <w:bottom w:val="nil"/>
              <w:right w:val="nil"/>
            </w:tcBorders>
            <w:shd w:val="clear" w:color="auto" w:fill="auto"/>
            <w:noWrap/>
            <w:vAlign w:val="bottom"/>
            <w:hideMark/>
          </w:tcPr>
          <w:p w14:paraId="3FFC229C"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18-55</w:t>
            </w:r>
          </w:p>
        </w:tc>
        <w:tc>
          <w:tcPr>
            <w:tcW w:w="1275" w:type="dxa"/>
            <w:tcBorders>
              <w:top w:val="nil"/>
              <w:left w:val="nil"/>
              <w:bottom w:val="nil"/>
              <w:right w:val="nil"/>
            </w:tcBorders>
            <w:shd w:val="clear" w:color="auto" w:fill="auto"/>
            <w:noWrap/>
            <w:vAlign w:val="bottom"/>
            <w:hideMark/>
          </w:tcPr>
          <w:p w14:paraId="46C89722"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4C25ABF4" w14:textId="77777777" w:rsidTr="00CE06A6">
        <w:trPr>
          <w:trHeight w:val="227"/>
        </w:trPr>
        <w:tc>
          <w:tcPr>
            <w:tcW w:w="993" w:type="dxa"/>
            <w:tcBorders>
              <w:top w:val="nil"/>
              <w:left w:val="nil"/>
              <w:bottom w:val="nil"/>
              <w:right w:val="nil"/>
            </w:tcBorders>
            <w:shd w:val="clear" w:color="auto" w:fill="auto"/>
            <w:noWrap/>
            <w:vAlign w:val="bottom"/>
            <w:hideMark/>
          </w:tcPr>
          <w:p w14:paraId="6F5358E6"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2005</w:t>
            </w:r>
          </w:p>
        </w:tc>
        <w:tc>
          <w:tcPr>
            <w:tcW w:w="1701" w:type="dxa"/>
            <w:tcBorders>
              <w:top w:val="nil"/>
              <w:left w:val="nil"/>
              <w:bottom w:val="nil"/>
              <w:right w:val="nil"/>
            </w:tcBorders>
            <w:shd w:val="clear" w:color="auto" w:fill="auto"/>
            <w:noWrap/>
            <w:vAlign w:val="bottom"/>
            <w:hideMark/>
          </w:tcPr>
          <w:p w14:paraId="6B867141"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1FB3B4A4"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X</w:t>
            </w:r>
          </w:p>
        </w:tc>
      </w:tr>
      <w:tr w:rsidR="00244248" w:rsidRPr="003D50B4" w14:paraId="7B31AF8D" w14:textId="77777777" w:rsidTr="00CE06A6">
        <w:trPr>
          <w:trHeight w:val="227"/>
        </w:trPr>
        <w:tc>
          <w:tcPr>
            <w:tcW w:w="993" w:type="dxa"/>
            <w:tcBorders>
              <w:top w:val="nil"/>
              <w:left w:val="nil"/>
              <w:bottom w:val="nil"/>
              <w:right w:val="nil"/>
            </w:tcBorders>
            <w:shd w:val="clear" w:color="auto" w:fill="auto"/>
            <w:noWrap/>
            <w:vAlign w:val="bottom"/>
            <w:hideMark/>
          </w:tcPr>
          <w:p w14:paraId="5C428834"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2006</w:t>
            </w:r>
          </w:p>
        </w:tc>
        <w:tc>
          <w:tcPr>
            <w:tcW w:w="1701" w:type="dxa"/>
            <w:tcBorders>
              <w:top w:val="nil"/>
              <w:left w:val="nil"/>
              <w:bottom w:val="nil"/>
              <w:right w:val="nil"/>
            </w:tcBorders>
            <w:shd w:val="clear" w:color="auto" w:fill="auto"/>
            <w:noWrap/>
            <w:vAlign w:val="bottom"/>
            <w:hideMark/>
          </w:tcPr>
          <w:p w14:paraId="7F70278D"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0CAA454F"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44D4C196" w14:textId="77777777" w:rsidTr="00CE06A6">
        <w:trPr>
          <w:trHeight w:val="227"/>
        </w:trPr>
        <w:tc>
          <w:tcPr>
            <w:tcW w:w="993" w:type="dxa"/>
            <w:tcBorders>
              <w:top w:val="nil"/>
              <w:left w:val="nil"/>
              <w:bottom w:val="nil"/>
              <w:right w:val="nil"/>
            </w:tcBorders>
            <w:shd w:val="clear" w:color="auto" w:fill="auto"/>
            <w:noWrap/>
            <w:vAlign w:val="bottom"/>
            <w:hideMark/>
          </w:tcPr>
          <w:p w14:paraId="3C28BBD8"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2007</w:t>
            </w:r>
          </w:p>
        </w:tc>
        <w:tc>
          <w:tcPr>
            <w:tcW w:w="1701" w:type="dxa"/>
            <w:tcBorders>
              <w:top w:val="nil"/>
              <w:left w:val="nil"/>
              <w:bottom w:val="nil"/>
              <w:right w:val="nil"/>
            </w:tcBorders>
            <w:shd w:val="clear" w:color="auto" w:fill="auto"/>
            <w:noWrap/>
            <w:vAlign w:val="bottom"/>
            <w:hideMark/>
          </w:tcPr>
          <w:p w14:paraId="01BB1E9F"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02926260"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7950326C" w14:textId="77777777" w:rsidTr="00CE06A6">
        <w:trPr>
          <w:trHeight w:val="227"/>
        </w:trPr>
        <w:tc>
          <w:tcPr>
            <w:tcW w:w="993" w:type="dxa"/>
            <w:tcBorders>
              <w:top w:val="nil"/>
              <w:left w:val="nil"/>
              <w:bottom w:val="nil"/>
              <w:right w:val="nil"/>
            </w:tcBorders>
            <w:shd w:val="clear" w:color="auto" w:fill="auto"/>
            <w:noWrap/>
            <w:vAlign w:val="bottom"/>
            <w:hideMark/>
          </w:tcPr>
          <w:p w14:paraId="3113779F"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2008</w:t>
            </w:r>
          </w:p>
        </w:tc>
        <w:tc>
          <w:tcPr>
            <w:tcW w:w="1701" w:type="dxa"/>
            <w:tcBorders>
              <w:top w:val="nil"/>
              <w:left w:val="nil"/>
              <w:bottom w:val="nil"/>
              <w:right w:val="nil"/>
            </w:tcBorders>
            <w:shd w:val="clear" w:color="auto" w:fill="auto"/>
            <w:noWrap/>
            <w:vAlign w:val="bottom"/>
            <w:hideMark/>
          </w:tcPr>
          <w:p w14:paraId="52E0E2AE"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186517D6"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X</w:t>
            </w:r>
          </w:p>
        </w:tc>
      </w:tr>
      <w:tr w:rsidR="00244248" w:rsidRPr="003D50B4" w14:paraId="03A7FCFA" w14:textId="77777777" w:rsidTr="00CE06A6">
        <w:trPr>
          <w:trHeight w:val="227"/>
        </w:trPr>
        <w:tc>
          <w:tcPr>
            <w:tcW w:w="993" w:type="dxa"/>
            <w:tcBorders>
              <w:top w:val="nil"/>
              <w:left w:val="nil"/>
              <w:bottom w:val="nil"/>
              <w:right w:val="nil"/>
            </w:tcBorders>
            <w:shd w:val="clear" w:color="auto" w:fill="auto"/>
            <w:noWrap/>
            <w:vAlign w:val="bottom"/>
            <w:hideMark/>
          </w:tcPr>
          <w:p w14:paraId="14AB5698"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2009</w:t>
            </w:r>
          </w:p>
        </w:tc>
        <w:tc>
          <w:tcPr>
            <w:tcW w:w="1701" w:type="dxa"/>
            <w:tcBorders>
              <w:top w:val="nil"/>
              <w:left w:val="nil"/>
              <w:bottom w:val="nil"/>
              <w:right w:val="nil"/>
            </w:tcBorders>
            <w:shd w:val="clear" w:color="auto" w:fill="auto"/>
            <w:noWrap/>
            <w:vAlign w:val="bottom"/>
            <w:hideMark/>
          </w:tcPr>
          <w:p w14:paraId="0C25B45A"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1D849DD7"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6B5928AB" w14:textId="77777777" w:rsidTr="00CE06A6">
        <w:trPr>
          <w:trHeight w:val="227"/>
        </w:trPr>
        <w:tc>
          <w:tcPr>
            <w:tcW w:w="993" w:type="dxa"/>
            <w:tcBorders>
              <w:top w:val="nil"/>
              <w:left w:val="nil"/>
              <w:bottom w:val="nil"/>
              <w:right w:val="nil"/>
            </w:tcBorders>
            <w:shd w:val="clear" w:color="auto" w:fill="auto"/>
            <w:noWrap/>
            <w:vAlign w:val="bottom"/>
            <w:hideMark/>
          </w:tcPr>
          <w:p w14:paraId="5EA0BB51"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2010</w:t>
            </w:r>
          </w:p>
        </w:tc>
        <w:tc>
          <w:tcPr>
            <w:tcW w:w="1701" w:type="dxa"/>
            <w:tcBorders>
              <w:top w:val="nil"/>
              <w:left w:val="nil"/>
              <w:bottom w:val="nil"/>
              <w:right w:val="nil"/>
            </w:tcBorders>
            <w:shd w:val="clear" w:color="auto" w:fill="auto"/>
            <w:noWrap/>
            <w:vAlign w:val="bottom"/>
            <w:hideMark/>
          </w:tcPr>
          <w:p w14:paraId="573EEA9E"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23BB8139"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0907AB46" w14:textId="77777777" w:rsidTr="00CE06A6">
        <w:trPr>
          <w:trHeight w:val="227"/>
        </w:trPr>
        <w:tc>
          <w:tcPr>
            <w:tcW w:w="993" w:type="dxa"/>
            <w:tcBorders>
              <w:top w:val="nil"/>
              <w:left w:val="nil"/>
              <w:bottom w:val="nil"/>
              <w:right w:val="nil"/>
            </w:tcBorders>
            <w:shd w:val="clear" w:color="auto" w:fill="auto"/>
            <w:noWrap/>
            <w:vAlign w:val="bottom"/>
            <w:hideMark/>
          </w:tcPr>
          <w:p w14:paraId="567A1477"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2011</w:t>
            </w:r>
          </w:p>
        </w:tc>
        <w:tc>
          <w:tcPr>
            <w:tcW w:w="1701" w:type="dxa"/>
            <w:tcBorders>
              <w:top w:val="nil"/>
              <w:left w:val="nil"/>
              <w:bottom w:val="nil"/>
              <w:right w:val="nil"/>
            </w:tcBorders>
            <w:shd w:val="clear" w:color="auto" w:fill="auto"/>
            <w:noWrap/>
            <w:vAlign w:val="bottom"/>
            <w:hideMark/>
          </w:tcPr>
          <w:p w14:paraId="24700C3F"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79929FC1"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5F22E91A" w14:textId="77777777" w:rsidTr="00CE06A6">
        <w:trPr>
          <w:trHeight w:val="227"/>
        </w:trPr>
        <w:tc>
          <w:tcPr>
            <w:tcW w:w="993" w:type="dxa"/>
            <w:tcBorders>
              <w:top w:val="nil"/>
              <w:left w:val="nil"/>
              <w:bottom w:val="nil"/>
              <w:right w:val="nil"/>
            </w:tcBorders>
            <w:shd w:val="clear" w:color="auto" w:fill="auto"/>
            <w:noWrap/>
            <w:vAlign w:val="bottom"/>
            <w:hideMark/>
          </w:tcPr>
          <w:p w14:paraId="06424F29"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2012</w:t>
            </w:r>
          </w:p>
        </w:tc>
        <w:tc>
          <w:tcPr>
            <w:tcW w:w="1701" w:type="dxa"/>
            <w:tcBorders>
              <w:top w:val="nil"/>
              <w:left w:val="nil"/>
              <w:bottom w:val="nil"/>
              <w:right w:val="nil"/>
            </w:tcBorders>
            <w:shd w:val="clear" w:color="auto" w:fill="auto"/>
            <w:noWrap/>
            <w:vAlign w:val="bottom"/>
            <w:hideMark/>
          </w:tcPr>
          <w:p w14:paraId="38E38A3F"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0C3B6F20"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016C9236" w14:textId="77777777" w:rsidTr="00CE06A6">
        <w:trPr>
          <w:trHeight w:val="227"/>
        </w:trPr>
        <w:tc>
          <w:tcPr>
            <w:tcW w:w="993" w:type="dxa"/>
            <w:tcBorders>
              <w:top w:val="nil"/>
              <w:left w:val="nil"/>
              <w:bottom w:val="nil"/>
              <w:right w:val="nil"/>
            </w:tcBorders>
            <w:shd w:val="clear" w:color="auto" w:fill="auto"/>
            <w:noWrap/>
            <w:vAlign w:val="bottom"/>
            <w:hideMark/>
          </w:tcPr>
          <w:p w14:paraId="5955796A"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2013</w:t>
            </w:r>
          </w:p>
        </w:tc>
        <w:tc>
          <w:tcPr>
            <w:tcW w:w="1701" w:type="dxa"/>
            <w:tcBorders>
              <w:top w:val="nil"/>
              <w:left w:val="nil"/>
              <w:bottom w:val="nil"/>
              <w:right w:val="nil"/>
            </w:tcBorders>
            <w:shd w:val="clear" w:color="auto" w:fill="auto"/>
            <w:noWrap/>
            <w:vAlign w:val="bottom"/>
            <w:hideMark/>
          </w:tcPr>
          <w:p w14:paraId="3F1FB1B9"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3DF1D45C"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0E6036ED" w14:textId="77777777" w:rsidTr="00CE06A6">
        <w:trPr>
          <w:trHeight w:val="227"/>
        </w:trPr>
        <w:tc>
          <w:tcPr>
            <w:tcW w:w="993" w:type="dxa"/>
            <w:tcBorders>
              <w:top w:val="nil"/>
              <w:left w:val="nil"/>
              <w:bottom w:val="nil"/>
              <w:right w:val="nil"/>
            </w:tcBorders>
            <w:shd w:val="clear" w:color="auto" w:fill="auto"/>
            <w:noWrap/>
            <w:vAlign w:val="bottom"/>
            <w:hideMark/>
          </w:tcPr>
          <w:p w14:paraId="3D31CB5A"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2014</w:t>
            </w:r>
          </w:p>
        </w:tc>
        <w:tc>
          <w:tcPr>
            <w:tcW w:w="1701" w:type="dxa"/>
            <w:tcBorders>
              <w:top w:val="nil"/>
              <w:left w:val="nil"/>
              <w:bottom w:val="nil"/>
              <w:right w:val="nil"/>
            </w:tcBorders>
            <w:shd w:val="clear" w:color="auto" w:fill="auto"/>
            <w:noWrap/>
            <w:vAlign w:val="bottom"/>
            <w:hideMark/>
          </w:tcPr>
          <w:p w14:paraId="3A531C34"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18-44</w:t>
            </w:r>
          </w:p>
        </w:tc>
        <w:tc>
          <w:tcPr>
            <w:tcW w:w="1275" w:type="dxa"/>
            <w:tcBorders>
              <w:top w:val="nil"/>
              <w:left w:val="nil"/>
              <w:bottom w:val="nil"/>
              <w:right w:val="nil"/>
            </w:tcBorders>
            <w:shd w:val="clear" w:color="auto" w:fill="auto"/>
            <w:noWrap/>
            <w:vAlign w:val="bottom"/>
            <w:hideMark/>
          </w:tcPr>
          <w:p w14:paraId="216DDA66"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4AF13D0E" w14:textId="77777777" w:rsidTr="00CE06A6">
        <w:trPr>
          <w:trHeight w:val="227"/>
        </w:trPr>
        <w:tc>
          <w:tcPr>
            <w:tcW w:w="993" w:type="dxa"/>
            <w:tcBorders>
              <w:top w:val="nil"/>
              <w:left w:val="nil"/>
              <w:bottom w:val="nil"/>
              <w:right w:val="nil"/>
            </w:tcBorders>
            <w:shd w:val="clear" w:color="auto" w:fill="auto"/>
            <w:noWrap/>
            <w:vAlign w:val="bottom"/>
            <w:hideMark/>
          </w:tcPr>
          <w:p w14:paraId="1C27DA99"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2015</w:t>
            </w:r>
          </w:p>
        </w:tc>
        <w:tc>
          <w:tcPr>
            <w:tcW w:w="1701" w:type="dxa"/>
            <w:tcBorders>
              <w:top w:val="nil"/>
              <w:left w:val="nil"/>
              <w:bottom w:val="nil"/>
              <w:right w:val="nil"/>
            </w:tcBorders>
            <w:shd w:val="clear" w:color="auto" w:fill="auto"/>
            <w:noWrap/>
            <w:vAlign w:val="bottom"/>
            <w:hideMark/>
          </w:tcPr>
          <w:p w14:paraId="3FF9D169"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18-49</w:t>
            </w:r>
          </w:p>
        </w:tc>
        <w:tc>
          <w:tcPr>
            <w:tcW w:w="1275" w:type="dxa"/>
            <w:tcBorders>
              <w:top w:val="nil"/>
              <w:left w:val="nil"/>
              <w:bottom w:val="nil"/>
              <w:right w:val="nil"/>
            </w:tcBorders>
            <w:shd w:val="clear" w:color="auto" w:fill="auto"/>
            <w:noWrap/>
            <w:vAlign w:val="bottom"/>
            <w:hideMark/>
          </w:tcPr>
          <w:p w14:paraId="6DE37AF7"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X</w:t>
            </w:r>
          </w:p>
        </w:tc>
      </w:tr>
      <w:tr w:rsidR="00244248" w:rsidRPr="003D50B4" w14:paraId="7103A183" w14:textId="77777777" w:rsidTr="00CE06A6">
        <w:trPr>
          <w:trHeight w:val="227"/>
        </w:trPr>
        <w:tc>
          <w:tcPr>
            <w:tcW w:w="993" w:type="dxa"/>
            <w:tcBorders>
              <w:top w:val="nil"/>
              <w:left w:val="nil"/>
              <w:bottom w:val="nil"/>
              <w:right w:val="nil"/>
            </w:tcBorders>
            <w:shd w:val="clear" w:color="auto" w:fill="auto"/>
            <w:noWrap/>
            <w:vAlign w:val="bottom"/>
            <w:hideMark/>
          </w:tcPr>
          <w:p w14:paraId="23C02E82"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2016</w:t>
            </w:r>
          </w:p>
        </w:tc>
        <w:tc>
          <w:tcPr>
            <w:tcW w:w="1701" w:type="dxa"/>
            <w:tcBorders>
              <w:top w:val="nil"/>
              <w:left w:val="nil"/>
              <w:bottom w:val="nil"/>
              <w:right w:val="nil"/>
            </w:tcBorders>
            <w:shd w:val="clear" w:color="auto" w:fill="auto"/>
            <w:noWrap/>
            <w:vAlign w:val="bottom"/>
            <w:hideMark/>
          </w:tcPr>
          <w:p w14:paraId="1EC504B3"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18-49</w:t>
            </w:r>
          </w:p>
        </w:tc>
        <w:tc>
          <w:tcPr>
            <w:tcW w:w="1275" w:type="dxa"/>
            <w:tcBorders>
              <w:top w:val="nil"/>
              <w:left w:val="nil"/>
              <w:bottom w:val="nil"/>
              <w:right w:val="nil"/>
            </w:tcBorders>
            <w:shd w:val="clear" w:color="auto" w:fill="auto"/>
            <w:noWrap/>
            <w:vAlign w:val="bottom"/>
            <w:hideMark/>
          </w:tcPr>
          <w:p w14:paraId="075207D8"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224689AB" w14:textId="77777777" w:rsidTr="00CE06A6">
        <w:trPr>
          <w:trHeight w:val="227"/>
        </w:trPr>
        <w:tc>
          <w:tcPr>
            <w:tcW w:w="993" w:type="dxa"/>
            <w:tcBorders>
              <w:top w:val="nil"/>
              <w:left w:val="nil"/>
              <w:bottom w:val="nil"/>
              <w:right w:val="nil"/>
            </w:tcBorders>
            <w:shd w:val="clear" w:color="auto" w:fill="auto"/>
            <w:noWrap/>
            <w:vAlign w:val="bottom"/>
            <w:hideMark/>
          </w:tcPr>
          <w:p w14:paraId="335819B3"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2017</w:t>
            </w:r>
          </w:p>
        </w:tc>
        <w:tc>
          <w:tcPr>
            <w:tcW w:w="1701" w:type="dxa"/>
            <w:tcBorders>
              <w:top w:val="nil"/>
              <w:left w:val="nil"/>
              <w:bottom w:val="nil"/>
              <w:right w:val="nil"/>
            </w:tcBorders>
            <w:shd w:val="clear" w:color="auto" w:fill="auto"/>
            <w:noWrap/>
            <w:vAlign w:val="bottom"/>
            <w:hideMark/>
          </w:tcPr>
          <w:p w14:paraId="55DEAC49"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18-49</w:t>
            </w:r>
          </w:p>
        </w:tc>
        <w:tc>
          <w:tcPr>
            <w:tcW w:w="1275" w:type="dxa"/>
            <w:tcBorders>
              <w:top w:val="nil"/>
              <w:left w:val="nil"/>
              <w:bottom w:val="nil"/>
              <w:right w:val="nil"/>
            </w:tcBorders>
            <w:shd w:val="clear" w:color="auto" w:fill="auto"/>
            <w:noWrap/>
            <w:vAlign w:val="bottom"/>
            <w:hideMark/>
          </w:tcPr>
          <w:p w14:paraId="5A845891"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35162A71" w14:textId="77777777" w:rsidTr="00CE06A6">
        <w:trPr>
          <w:trHeight w:val="227"/>
        </w:trPr>
        <w:tc>
          <w:tcPr>
            <w:tcW w:w="993" w:type="dxa"/>
            <w:tcBorders>
              <w:top w:val="nil"/>
              <w:left w:val="nil"/>
              <w:right w:val="nil"/>
            </w:tcBorders>
            <w:shd w:val="clear" w:color="auto" w:fill="auto"/>
            <w:noWrap/>
            <w:vAlign w:val="bottom"/>
            <w:hideMark/>
          </w:tcPr>
          <w:p w14:paraId="071C3A8B"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2018</w:t>
            </w:r>
          </w:p>
        </w:tc>
        <w:tc>
          <w:tcPr>
            <w:tcW w:w="1701" w:type="dxa"/>
            <w:tcBorders>
              <w:top w:val="nil"/>
              <w:left w:val="nil"/>
              <w:right w:val="nil"/>
            </w:tcBorders>
            <w:shd w:val="clear" w:color="auto" w:fill="auto"/>
            <w:noWrap/>
            <w:vAlign w:val="bottom"/>
            <w:hideMark/>
          </w:tcPr>
          <w:p w14:paraId="60FE9CAB"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18-49</w:t>
            </w:r>
          </w:p>
        </w:tc>
        <w:tc>
          <w:tcPr>
            <w:tcW w:w="1275" w:type="dxa"/>
            <w:tcBorders>
              <w:top w:val="nil"/>
              <w:left w:val="nil"/>
              <w:right w:val="nil"/>
            </w:tcBorders>
            <w:shd w:val="clear" w:color="auto" w:fill="auto"/>
            <w:noWrap/>
            <w:vAlign w:val="bottom"/>
            <w:hideMark/>
          </w:tcPr>
          <w:p w14:paraId="22CD327A"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p>
        </w:tc>
      </w:tr>
      <w:tr w:rsidR="00244248" w:rsidRPr="003D50B4" w14:paraId="3B126720" w14:textId="77777777" w:rsidTr="00CE06A6">
        <w:trPr>
          <w:trHeight w:val="227"/>
        </w:trPr>
        <w:tc>
          <w:tcPr>
            <w:tcW w:w="993" w:type="dxa"/>
            <w:tcBorders>
              <w:top w:val="nil"/>
              <w:left w:val="nil"/>
              <w:bottom w:val="single" w:sz="4" w:space="0" w:color="ED7D31" w:themeColor="accent2"/>
              <w:right w:val="nil"/>
            </w:tcBorders>
            <w:shd w:val="clear" w:color="auto" w:fill="auto"/>
            <w:noWrap/>
            <w:vAlign w:val="bottom"/>
            <w:hideMark/>
          </w:tcPr>
          <w:p w14:paraId="2E670CC4" w14:textId="77777777" w:rsidR="00244248" w:rsidRPr="00074840" w:rsidRDefault="00244248" w:rsidP="00335B25">
            <w:pPr>
              <w:spacing w:after="0" w:line="240" w:lineRule="auto"/>
              <w:jc w:val="right"/>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2019</w:t>
            </w:r>
          </w:p>
        </w:tc>
        <w:tc>
          <w:tcPr>
            <w:tcW w:w="1701" w:type="dxa"/>
            <w:tcBorders>
              <w:top w:val="nil"/>
              <w:left w:val="nil"/>
              <w:bottom w:val="single" w:sz="4" w:space="0" w:color="ED7D31" w:themeColor="accent2"/>
              <w:right w:val="nil"/>
            </w:tcBorders>
            <w:shd w:val="clear" w:color="auto" w:fill="auto"/>
            <w:noWrap/>
            <w:vAlign w:val="bottom"/>
            <w:hideMark/>
          </w:tcPr>
          <w:p w14:paraId="42617B44"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18-49</w:t>
            </w:r>
          </w:p>
        </w:tc>
        <w:tc>
          <w:tcPr>
            <w:tcW w:w="1275" w:type="dxa"/>
            <w:tcBorders>
              <w:top w:val="nil"/>
              <w:left w:val="nil"/>
              <w:bottom w:val="single" w:sz="4" w:space="0" w:color="ED7D31" w:themeColor="accent2"/>
              <w:right w:val="nil"/>
            </w:tcBorders>
            <w:shd w:val="clear" w:color="auto" w:fill="auto"/>
            <w:noWrap/>
            <w:vAlign w:val="bottom"/>
            <w:hideMark/>
          </w:tcPr>
          <w:p w14:paraId="30C2C528" w14:textId="77777777" w:rsidR="00244248" w:rsidRPr="00074840" w:rsidRDefault="00244248" w:rsidP="00335B25">
            <w:pPr>
              <w:spacing w:after="0" w:line="240" w:lineRule="auto"/>
              <w:jc w:val="center"/>
              <w:rPr>
                <w:rFonts w:asciiTheme="majorHAnsi" w:eastAsia="Times New Roman" w:hAnsiTheme="majorHAnsi" w:cstheme="majorHAnsi"/>
                <w:color w:val="000000"/>
                <w:sz w:val="20"/>
                <w:szCs w:val="20"/>
                <w:lang w:eastAsia="en-AU"/>
              </w:rPr>
            </w:pPr>
            <w:r w:rsidRPr="00074840">
              <w:rPr>
                <w:rFonts w:asciiTheme="majorHAnsi" w:eastAsia="Times New Roman" w:hAnsiTheme="majorHAnsi" w:cstheme="majorHAnsi"/>
                <w:color w:val="000000"/>
                <w:sz w:val="20"/>
                <w:szCs w:val="20"/>
                <w:lang w:eastAsia="en-AU"/>
              </w:rPr>
              <w:t>X</w:t>
            </w:r>
          </w:p>
        </w:tc>
      </w:tr>
    </w:tbl>
    <w:p w14:paraId="4C0AF710" w14:textId="77777777" w:rsidR="00244248" w:rsidRPr="00074840" w:rsidRDefault="00244248" w:rsidP="00244248">
      <w:pPr>
        <w:spacing w:after="0" w:line="240" w:lineRule="auto"/>
        <w:rPr>
          <w:rFonts w:asciiTheme="majorHAnsi" w:eastAsia="Times New Roman" w:hAnsiTheme="majorHAnsi" w:cstheme="majorHAnsi"/>
          <w:sz w:val="20"/>
          <w:szCs w:val="20"/>
          <w:vertAlign w:val="superscript"/>
          <w:lang w:val="en-GB"/>
        </w:rPr>
      </w:pPr>
      <w:r w:rsidRPr="00074840">
        <w:rPr>
          <w:rFonts w:asciiTheme="majorHAnsi" w:eastAsia="Times New Roman" w:hAnsiTheme="majorHAnsi" w:cstheme="majorHAnsi"/>
          <w:sz w:val="20"/>
          <w:szCs w:val="20"/>
          <w:vertAlign w:val="superscript"/>
          <w:lang w:val="en-GB"/>
        </w:rPr>
        <w:t xml:space="preserve">a  </w:t>
      </w:r>
      <w:r w:rsidRPr="00074840">
        <w:rPr>
          <w:rFonts w:asciiTheme="majorHAnsi" w:eastAsia="Times New Roman" w:hAnsiTheme="majorHAnsi" w:cstheme="majorHAnsi"/>
          <w:sz w:val="20"/>
          <w:szCs w:val="20"/>
          <w:lang w:val="en-GB"/>
        </w:rPr>
        <w:t>Woman or partner have  had operation making it impossible to have children</w:t>
      </w:r>
    </w:p>
    <w:p w14:paraId="5BB502BE" w14:textId="47A3C1EA" w:rsidR="00244248" w:rsidRPr="00074840" w:rsidRDefault="00244248" w:rsidP="00244248">
      <w:pPr>
        <w:spacing w:after="0" w:line="240" w:lineRule="auto"/>
        <w:rPr>
          <w:rFonts w:asciiTheme="majorHAnsi" w:eastAsia="Times New Roman" w:hAnsiTheme="majorHAnsi" w:cstheme="majorHAnsi"/>
          <w:sz w:val="20"/>
          <w:szCs w:val="20"/>
          <w:lang w:val="en-GB"/>
        </w:rPr>
      </w:pPr>
      <w:r w:rsidRPr="00074840">
        <w:rPr>
          <w:rFonts w:asciiTheme="majorHAnsi" w:eastAsia="Times New Roman" w:hAnsiTheme="majorHAnsi" w:cstheme="majorHAnsi"/>
          <w:sz w:val="20"/>
          <w:szCs w:val="20"/>
          <w:vertAlign w:val="superscript"/>
          <w:lang w:val="en-GB"/>
        </w:rPr>
        <w:t xml:space="preserve">b </w:t>
      </w:r>
      <w:r w:rsidRPr="00074840">
        <w:rPr>
          <w:rFonts w:asciiTheme="majorHAnsi" w:eastAsia="Times New Roman" w:hAnsiTheme="majorHAnsi" w:cstheme="majorHAnsi"/>
          <w:sz w:val="20"/>
          <w:szCs w:val="20"/>
          <w:lang w:val="en-GB"/>
        </w:rPr>
        <w:t>Based on medical advice, are aware of any physical or health reason that would make it difficult for woman and/or partner  to have children / more children?</w:t>
      </w:r>
    </w:p>
    <w:p w14:paraId="4A371C5F" w14:textId="77777777" w:rsidR="00244248" w:rsidRDefault="00244248" w:rsidP="00244248">
      <w:pPr>
        <w:spacing w:after="0" w:line="240" w:lineRule="auto"/>
        <w:rPr>
          <w:rFonts w:asciiTheme="majorHAnsi" w:eastAsia="Times New Roman" w:hAnsiTheme="majorHAnsi" w:cstheme="majorHAnsi"/>
          <w:b/>
          <w:bCs/>
          <w:sz w:val="20"/>
          <w:szCs w:val="20"/>
          <w:lang w:val="en-GB"/>
        </w:rPr>
      </w:pPr>
    </w:p>
    <w:p w14:paraId="3F485130" w14:textId="77777777" w:rsidR="00244248" w:rsidRDefault="00244248" w:rsidP="00244248">
      <w:pPr>
        <w:shd w:val="clear" w:color="auto" w:fill="FFFFFF"/>
        <w:spacing w:after="0" w:line="240" w:lineRule="auto"/>
        <w:rPr>
          <w:rFonts w:ascii="Calibri" w:eastAsia="Times New Roman" w:hAnsi="Calibri" w:cs="Calibri"/>
          <w:lang w:eastAsia="en-AU"/>
        </w:rPr>
      </w:pPr>
      <w:r>
        <w:t xml:space="preserve">In addition, in 2005, 2008, 2011, and 2019 women were asked two questions. If they answered yes to either question they were not asked about their future fertility preferences. </w:t>
      </w:r>
      <w:r>
        <w:rPr>
          <w:rFonts w:ascii="Calibri" w:eastAsia="Times New Roman" w:hAnsi="Calibri" w:cs="Calibri"/>
          <w:lang w:eastAsia="en-AU"/>
        </w:rPr>
        <w:t xml:space="preserve">These two questions were if the woman or her partner had an operation making it impossible to have children, and whether based on medical advice whether they were aware of any physical or health reasons that would make it difficult for the woman and/or her partner to have children or more children. </w:t>
      </w:r>
    </w:p>
    <w:p w14:paraId="545F6EC2" w14:textId="77777777" w:rsidR="00244248" w:rsidRDefault="00244248" w:rsidP="00244248">
      <w:pPr>
        <w:shd w:val="clear" w:color="auto" w:fill="FFFFFF"/>
        <w:spacing w:after="0" w:line="240" w:lineRule="auto"/>
        <w:rPr>
          <w:rFonts w:ascii="Calibri" w:eastAsia="Times New Roman" w:hAnsi="Calibri" w:cs="Calibri"/>
          <w:lang w:eastAsia="en-AU"/>
        </w:rPr>
      </w:pPr>
    </w:p>
    <w:p w14:paraId="6C28FDE3" w14:textId="05A8A127" w:rsidR="00244248" w:rsidRDefault="00244248" w:rsidP="00244248">
      <w:pPr>
        <w:shd w:val="clear" w:color="auto" w:fill="FFFFFF"/>
        <w:spacing w:after="0" w:line="240" w:lineRule="auto"/>
        <w:rPr>
          <w:rFonts w:ascii="Calibri" w:eastAsia="Times New Roman" w:hAnsi="Calibri" w:cs="Calibri"/>
          <w:lang w:eastAsia="en-AU"/>
        </w:rPr>
      </w:pPr>
      <w:r>
        <w:rPr>
          <w:rFonts w:ascii="Calibri" w:eastAsia="Times New Roman" w:hAnsi="Calibri" w:cs="Calibri"/>
          <w:lang w:eastAsia="en-AU"/>
        </w:rPr>
        <w:t xml:space="preserve">The effect of these changes to the question has an impact on the pattern of childbearing desires over time, as seen in </w:t>
      </w:r>
      <w:r>
        <w:rPr>
          <w:rFonts w:ascii="Calibri" w:eastAsia="Times New Roman" w:hAnsi="Calibri" w:cs="Calibri"/>
          <w:lang w:eastAsia="en-AU"/>
        </w:rPr>
        <w:fldChar w:fldCharType="begin"/>
      </w:r>
      <w:r>
        <w:rPr>
          <w:rFonts w:ascii="Calibri" w:eastAsia="Times New Roman" w:hAnsi="Calibri" w:cs="Calibri"/>
          <w:lang w:eastAsia="en-AU"/>
        </w:rPr>
        <w:instrText xml:space="preserve"> REF _Ref85726485 \h </w:instrText>
      </w:r>
      <w:r>
        <w:rPr>
          <w:rFonts w:ascii="Calibri" w:eastAsia="Times New Roman" w:hAnsi="Calibri" w:cs="Calibri"/>
          <w:lang w:eastAsia="en-AU"/>
        </w:rPr>
      </w:r>
      <w:r>
        <w:rPr>
          <w:rFonts w:ascii="Calibri" w:eastAsia="Times New Roman" w:hAnsi="Calibri" w:cs="Calibri"/>
          <w:lang w:eastAsia="en-AU"/>
        </w:rPr>
        <w:fldChar w:fldCharType="separate"/>
      </w:r>
      <w:r w:rsidR="00115E22">
        <w:t xml:space="preserve">Figure </w:t>
      </w:r>
      <w:r w:rsidR="00115E22">
        <w:rPr>
          <w:noProof/>
        </w:rPr>
        <w:t>53</w:t>
      </w:r>
      <w:r>
        <w:rPr>
          <w:rFonts w:ascii="Calibri" w:eastAsia="Times New Roman" w:hAnsi="Calibri" w:cs="Calibri"/>
          <w:lang w:eastAsia="en-AU"/>
        </w:rPr>
        <w:fldChar w:fldCharType="end"/>
      </w:r>
      <w:r>
        <w:rPr>
          <w:rFonts w:ascii="Calibri" w:eastAsia="Times New Roman" w:hAnsi="Calibri" w:cs="Calibri"/>
          <w:lang w:eastAsia="en-AU"/>
        </w:rPr>
        <w:t>. For the full sample of women aged 18-49, we see a large increase in 2005 as a result of older women aged 45-49 (who have very low childbearing desires) being excluded from 2005, and a subsequent drop as women aged 45-49 are included from 2016 onwards. If we exclude those aged 45 and over there is still an increase in 2005 but it is smaller.</w:t>
      </w:r>
    </w:p>
    <w:p w14:paraId="7BA0DF81" w14:textId="77777777" w:rsidR="00244248" w:rsidRDefault="00244248" w:rsidP="00244248">
      <w:pPr>
        <w:shd w:val="clear" w:color="auto" w:fill="FFFFFF"/>
        <w:spacing w:after="0" w:line="240" w:lineRule="auto"/>
        <w:rPr>
          <w:rFonts w:ascii="Calibri" w:eastAsia="Times New Roman" w:hAnsi="Calibri" w:cs="Calibri"/>
          <w:lang w:eastAsia="en-AU"/>
        </w:rPr>
      </w:pPr>
    </w:p>
    <w:p w14:paraId="65AB4362" w14:textId="77777777" w:rsidR="00244248" w:rsidRDefault="00244248" w:rsidP="00244248">
      <w:pPr>
        <w:shd w:val="clear" w:color="auto" w:fill="FFFFFF"/>
        <w:spacing w:after="0" w:line="240" w:lineRule="auto"/>
        <w:rPr>
          <w:rFonts w:ascii="Calibri" w:eastAsia="Times New Roman" w:hAnsi="Calibri" w:cs="Calibri"/>
          <w:lang w:eastAsia="en-AU"/>
        </w:rPr>
      </w:pPr>
      <w:r>
        <w:rPr>
          <w:rFonts w:ascii="Calibri" w:eastAsia="Times New Roman" w:hAnsi="Calibri" w:cs="Calibri"/>
          <w:lang w:eastAsia="en-AU"/>
        </w:rPr>
        <w:lastRenderedPageBreak/>
        <w:t xml:space="preserve">For this reason, in some policy analysis we exclude women aged 45-49 particularly if these women are more likely to be in either the treatment or control group. We also exclude women from the year they stated they had an operation making it impossible to have children. </w:t>
      </w:r>
    </w:p>
    <w:p w14:paraId="7644F99D" w14:textId="77777777" w:rsidR="00244248" w:rsidRPr="00912F2F" w:rsidRDefault="00244248" w:rsidP="00244248">
      <w:pPr>
        <w:spacing w:after="0" w:line="240" w:lineRule="auto"/>
        <w:rPr>
          <w:rFonts w:asciiTheme="majorHAnsi" w:eastAsia="Times New Roman" w:hAnsiTheme="majorHAnsi" w:cstheme="majorHAnsi"/>
          <w:b/>
          <w:bCs/>
          <w:sz w:val="20"/>
          <w:szCs w:val="20"/>
          <w:lang w:val="en-GB"/>
        </w:rPr>
      </w:pPr>
    </w:p>
    <w:p w14:paraId="4F28F545" w14:textId="5559AE3B" w:rsidR="00244248" w:rsidRDefault="00244248" w:rsidP="00244248">
      <w:pPr>
        <w:pStyle w:val="Caption"/>
        <w:rPr>
          <w:rFonts w:eastAsia="Times New Roman" w:cstheme="minorHAnsi"/>
          <w:lang w:val="en-US"/>
        </w:rPr>
      </w:pPr>
      <w:bookmarkStart w:id="256" w:name="_Ref85726485"/>
      <w:bookmarkStart w:id="257" w:name="_Ref84937820"/>
      <w:r>
        <w:t xml:space="preserve">Figure </w:t>
      </w:r>
      <w:fldSimple w:instr=" SEQ Figure \* ARABIC ">
        <w:r w:rsidR="00115E22">
          <w:rPr>
            <w:noProof/>
          </w:rPr>
          <w:t>53</w:t>
        </w:r>
      </w:fldSimple>
      <w:bookmarkEnd w:id="256"/>
      <w:r w:rsidRPr="00E161C5">
        <w:t xml:space="preserve"> </w:t>
      </w:r>
      <w:r>
        <w:t>Mean childbearing desires by wave, by sample restrictions</w:t>
      </w:r>
      <w:bookmarkEnd w:id="257"/>
    </w:p>
    <w:p w14:paraId="71562E02" w14:textId="77777777" w:rsidR="00244248" w:rsidRDefault="00244248" w:rsidP="00244248">
      <w:pPr>
        <w:keepNext/>
      </w:pPr>
      <w:r>
        <w:rPr>
          <w:noProof/>
          <w:lang w:eastAsia="en-AU"/>
        </w:rPr>
        <w:drawing>
          <wp:inline distT="0" distB="0" distL="0" distR="0" wp14:anchorId="767A42E7" wp14:editId="33A9E0C3">
            <wp:extent cx="5553075" cy="3543300"/>
            <wp:effectExtent l="0" t="0" r="0" b="0"/>
            <wp:docPr id="59" name="Chart 59">
              <a:extLst xmlns:a="http://schemas.openxmlformats.org/drawingml/2006/main">
                <a:ext uri="{FF2B5EF4-FFF2-40B4-BE49-F238E27FC236}">
                  <a16:creationId xmlns:a16="http://schemas.microsoft.com/office/drawing/2014/main" id="{297CBEE4-79F5-4677-8BDB-8EE84C1DC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22FE9AE" w14:textId="77777777" w:rsidR="00244248" w:rsidRPr="00912F2F" w:rsidRDefault="00244248" w:rsidP="00244248">
      <w:pPr>
        <w:rPr>
          <w:lang w:val="en-US"/>
        </w:rPr>
      </w:pPr>
    </w:p>
    <w:p w14:paraId="532481DD" w14:textId="77777777" w:rsidR="00244248" w:rsidRDefault="00244248" w:rsidP="00244248">
      <w:pPr>
        <w:rPr>
          <w:rFonts w:asciiTheme="majorHAnsi" w:eastAsiaTheme="majorEastAsia" w:hAnsiTheme="majorHAnsi" w:cstheme="majorBidi"/>
          <w:color w:val="2E74B5" w:themeColor="accent1" w:themeShade="BF"/>
          <w:sz w:val="26"/>
          <w:szCs w:val="26"/>
          <w:lang w:val="en-US"/>
        </w:rPr>
      </w:pPr>
      <w:r>
        <w:rPr>
          <w:lang w:val="en-US"/>
        </w:rPr>
        <w:br w:type="page"/>
      </w:r>
    </w:p>
    <w:p w14:paraId="3A96EA54" w14:textId="77777777" w:rsidR="00244248" w:rsidRPr="00244248" w:rsidRDefault="00244248" w:rsidP="00244248">
      <w:pPr>
        <w:rPr>
          <w:rFonts w:asciiTheme="majorHAnsi" w:hAnsiTheme="majorHAnsi" w:cstheme="majorHAnsi"/>
          <w:color w:val="1F4E79" w:themeColor="accent1" w:themeShade="80"/>
          <w:sz w:val="26"/>
          <w:szCs w:val="26"/>
          <w:lang w:val="en-US"/>
        </w:rPr>
      </w:pPr>
      <w:r w:rsidRPr="00244248">
        <w:rPr>
          <w:rFonts w:asciiTheme="majorHAnsi" w:hAnsiTheme="majorHAnsi" w:cstheme="majorHAnsi"/>
          <w:color w:val="1F4E79" w:themeColor="accent1" w:themeShade="80"/>
          <w:sz w:val="26"/>
          <w:szCs w:val="26"/>
          <w:lang w:val="en-US"/>
        </w:rPr>
        <w:lastRenderedPageBreak/>
        <w:t>Alternative identification strategies</w:t>
      </w:r>
    </w:p>
    <w:p w14:paraId="4AA879B3" w14:textId="77777777" w:rsidR="00244248" w:rsidRDefault="00244248" w:rsidP="00244248">
      <w:pPr>
        <w:pStyle w:val="Heading2"/>
        <w:numPr>
          <w:ilvl w:val="0"/>
          <w:numId w:val="0"/>
        </w:numPr>
        <w:rPr>
          <w:lang w:val="en-US"/>
        </w:rPr>
      </w:pPr>
    </w:p>
    <w:p w14:paraId="3C51920F" w14:textId="77777777" w:rsidR="00244248" w:rsidRPr="00244248" w:rsidRDefault="00244248" w:rsidP="00244248">
      <w:pPr>
        <w:rPr>
          <w:rFonts w:asciiTheme="majorHAnsi" w:hAnsiTheme="majorHAnsi" w:cstheme="majorHAnsi"/>
          <w:color w:val="1F4E79" w:themeColor="accent1" w:themeShade="80"/>
          <w:sz w:val="26"/>
          <w:szCs w:val="26"/>
          <w:lang w:val="en-US"/>
        </w:rPr>
      </w:pPr>
      <w:r w:rsidRPr="00244248">
        <w:rPr>
          <w:rFonts w:asciiTheme="majorHAnsi" w:hAnsiTheme="majorHAnsi" w:cstheme="majorHAnsi"/>
          <w:color w:val="1F4E79" w:themeColor="accent1" w:themeShade="80"/>
          <w:sz w:val="26"/>
          <w:szCs w:val="26"/>
          <w:lang w:val="en-US"/>
        </w:rPr>
        <w:t xml:space="preserve">Baby Bonus – Identification strategy III </w:t>
      </w:r>
    </w:p>
    <w:p w14:paraId="205D0E9C" w14:textId="77777777" w:rsidR="00244248" w:rsidRDefault="00244248" w:rsidP="00244248">
      <w:pPr>
        <w:rPr>
          <w:lang w:val="en-US"/>
        </w:rPr>
      </w:pPr>
      <w:r>
        <w:rPr>
          <w:lang w:val="en-US"/>
        </w:rPr>
        <w:t>The figures and table show the pattern for the fertility outcomes based on Identification strategy III where women in the lowest 3 SEIFA categories where the treatment group and women in the top three SEIFA categories where in the control group. There are 23,333</w:t>
      </w:r>
      <w:r>
        <w:rPr>
          <w:rStyle w:val="FootnoteReference"/>
          <w:lang w:val="en-US"/>
        </w:rPr>
        <w:footnoteReference w:id="38"/>
      </w:r>
      <w:r>
        <w:rPr>
          <w:lang w:val="en-US"/>
        </w:rPr>
        <w:t xml:space="preserve"> observations based on 6,652 women (3,731 women in the top 3 SEIFA categories, and 2,921 women in the lowest 3 SEIFA categories).   Separate analysis was also conducted for each parity, however there were not significant differences in the effect of the reform based on this identification strategy at any parity and therefore the parity results are not shown. </w:t>
      </w:r>
    </w:p>
    <w:p w14:paraId="2D064340" w14:textId="56C66F44" w:rsidR="00244248" w:rsidRDefault="00244248" w:rsidP="00244248">
      <w:pPr>
        <w:pStyle w:val="Caption"/>
        <w:keepNext/>
      </w:pPr>
      <w:r>
        <w:t xml:space="preserve">Table </w:t>
      </w:r>
      <w:fldSimple w:instr=" SEQ Table \* ARABIC ">
        <w:r w:rsidR="00115E22">
          <w:rPr>
            <w:noProof/>
          </w:rPr>
          <w:t>50</w:t>
        </w:r>
      </w:fldSimple>
      <w:r>
        <w:t xml:space="preserve"> Effect of Baby Bonus (Identification strategy III- SEIFA categories)</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DE6E2E" w14:paraId="519179C6" w14:textId="77777777" w:rsidTr="00335B25">
        <w:tc>
          <w:tcPr>
            <w:tcW w:w="2977" w:type="dxa"/>
            <w:tcBorders>
              <w:top w:val="single" w:sz="4" w:space="0" w:color="auto"/>
              <w:left w:val="nil"/>
              <w:bottom w:val="nil"/>
              <w:right w:val="nil"/>
            </w:tcBorders>
            <w:shd w:val="clear" w:color="auto" w:fill="FBE4D5" w:themeFill="accent2" w:themeFillTint="33"/>
          </w:tcPr>
          <w:p w14:paraId="644EBA2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auto"/>
              <w:left w:val="nil"/>
              <w:bottom w:val="nil"/>
              <w:right w:val="nil"/>
            </w:tcBorders>
            <w:shd w:val="clear" w:color="auto" w:fill="FBE4D5" w:themeFill="accent2" w:themeFillTint="33"/>
          </w:tcPr>
          <w:p w14:paraId="3B48441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(1)</w:t>
            </w:r>
          </w:p>
        </w:tc>
        <w:tc>
          <w:tcPr>
            <w:tcW w:w="1417" w:type="dxa"/>
            <w:tcBorders>
              <w:top w:val="single" w:sz="4" w:space="0" w:color="auto"/>
              <w:left w:val="nil"/>
              <w:bottom w:val="nil"/>
              <w:right w:val="nil"/>
            </w:tcBorders>
            <w:shd w:val="clear" w:color="auto" w:fill="FBE4D5" w:themeFill="accent2" w:themeFillTint="33"/>
          </w:tcPr>
          <w:p w14:paraId="5E68B24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(2)</w:t>
            </w:r>
          </w:p>
        </w:tc>
        <w:tc>
          <w:tcPr>
            <w:tcW w:w="1666" w:type="dxa"/>
            <w:tcBorders>
              <w:top w:val="single" w:sz="4" w:space="0" w:color="auto"/>
              <w:left w:val="nil"/>
              <w:bottom w:val="nil"/>
              <w:right w:val="nil"/>
            </w:tcBorders>
            <w:shd w:val="clear" w:color="auto" w:fill="FBE4D5" w:themeFill="accent2" w:themeFillTint="33"/>
          </w:tcPr>
          <w:p w14:paraId="718BD65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(3)</w:t>
            </w:r>
          </w:p>
        </w:tc>
        <w:tc>
          <w:tcPr>
            <w:tcW w:w="1984" w:type="dxa"/>
            <w:tcBorders>
              <w:top w:val="single" w:sz="4" w:space="0" w:color="auto"/>
              <w:left w:val="nil"/>
              <w:bottom w:val="nil"/>
              <w:right w:val="nil"/>
            </w:tcBorders>
            <w:shd w:val="clear" w:color="auto" w:fill="FBE4D5" w:themeFill="accent2" w:themeFillTint="33"/>
          </w:tcPr>
          <w:p w14:paraId="1CAA6FD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(4)</w:t>
            </w:r>
          </w:p>
        </w:tc>
      </w:tr>
      <w:tr w:rsidR="00244248" w:rsidRPr="00DE6E2E" w14:paraId="374D2ED1"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54F985A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0388767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25365CB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318EF6D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54A0C90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OLS-fixed effect</w:t>
            </w:r>
          </w:p>
        </w:tc>
      </w:tr>
      <w:tr w:rsidR="00244248" w:rsidRPr="00DE6E2E" w14:paraId="28732FD4"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2709EBE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Births</w:t>
            </w:r>
          </w:p>
        </w:tc>
        <w:tc>
          <w:tcPr>
            <w:tcW w:w="1531" w:type="dxa"/>
            <w:tcBorders>
              <w:top w:val="single" w:sz="4" w:space="0" w:color="ED7D31" w:themeColor="accent2"/>
              <w:left w:val="nil"/>
              <w:bottom w:val="single" w:sz="4" w:space="0" w:color="ED7D31" w:themeColor="accent2"/>
              <w:right w:val="nil"/>
            </w:tcBorders>
          </w:tcPr>
          <w:p w14:paraId="42AAFC6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34A25B0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538A0FC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728D0E8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035A0F50" w14:textId="77777777" w:rsidTr="00335B25">
        <w:tc>
          <w:tcPr>
            <w:tcW w:w="2977" w:type="dxa"/>
            <w:tcBorders>
              <w:top w:val="single" w:sz="4" w:space="0" w:color="ED7D31" w:themeColor="accent2"/>
              <w:left w:val="nil"/>
              <w:right w:val="nil"/>
            </w:tcBorders>
          </w:tcPr>
          <w:p w14:paraId="65FEA95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75B23EF8"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&lt;0.001</w:t>
            </w:r>
          </w:p>
        </w:tc>
        <w:tc>
          <w:tcPr>
            <w:tcW w:w="1417" w:type="dxa"/>
            <w:tcBorders>
              <w:top w:val="single" w:sz="4" w:space="0" w:color="ED7D31" w:themeColor="accent2"/>
              <w:left w:val="nil"/>
              <w:right w:val="nil"/>
            </w:tcBorders>
          </w:tcPr>
          <w:p w14:paraId="5226B949"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0.001</w:t>
            </w:r>
          </w:p>
        </w:tc>
        <w:tc>
          <w:tcPr>
            <w:tcW w:w="1666" w:type="dxa"/>
            <w:tcBorders>
              <w:top w:val="single" w:sz="4" w:space="0" w:color="ED7D31" w:themeColor="accent2"/>
              <w:left w:val="nil"/>
              <w:right w:val="nil"/>
            </w:tcBorders>
          </w:tcPr>
          <w:p w14:paraId="329F15D7"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0.012</w:t>
            </w:r>
          </w:p>
        </w:tc>
        <w:tc>
          <w:tcPr>
            <w:tcW w:w="1984" w:type="dxa"/>
            <w:tcBorders>
              <w:top w:val="single" w:sz="4" w:space="0" w:color="ED7D31" w:themeColor="accent2"/>
              <w:left w:val="nil"/>
              <w:right w:val="nil"/>
            </w:tcBorders>
          </w:tcPr>
          <w:p w14:paraId="1C15974C"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0.013</w:t>
            </w:r>
          </w:p>
        </w:tc>
      </w:tr>
      <w:tr w:rsidR="00244248" w:rsidRPr="00C50205" w14:paraId="3FE51C6A" w14:textId="77777777" w:rsidTr="00335B25">
        <w:tc>
          <w:tcPr>
            <w:tcW w:w="2977" w:type="dxa"/>
            <w:tcBorders>
              <w:top w:val="nil"/>
              <w:left w:val="nil"/>
              <w:right w:val="nil"/>
            </w:tcBorders>
          </w:tcPr>
          <w:p w14:paraId="310A153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6ADD2F81"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(0.008)</w:t>
            </w:r>
          </w:p>
        </w:tc>
        <w:tc>
          <w:tcPr>
            <w:tcW w:w="1417" w:type="dxa"/>
            <w:tcBorders>
              <w:top w:val="nil"/>
              <w:left w:val="nil"/>
              <w:right w:val="nil"/>
            </w:tcBorders>
          </w:tcPr>
          <w:p w14:paraId="4274551C"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(0.007)</w:t>
            </w:r>
          </w:p>
        </w:tc>
        <w:tc>
          <w:tcPr>
            <w:tcW w:w="1666" w:type="dxa"/>
            <w:tcBorders>
              <w:top w:val="nil"/>
              <w:left w:val="nil"/>
              <w:right w:val="nil"/>
            </w:tcBorders>
          </w:tcPr>
          <w:p w14:paraId="03F1E6B9"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(0.011)</w:t>
            </w:r>
          </w:p>
        </w:tc>
        <w:tc>
          <w:tcPr>
            <w:tcW w:w="1984" w:type="dxa"/>
            <w:tcBorders>
              <w:top w:val="nil"/>
              <w:left w:val="nil"/>
              <w:right w:val="nil"/>
            </w:tcBorders>
          </w:tcPr>
          <w:p w14:paraId="722CE89F"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(0.011)</w:t>
            </w:r>
          </w:p>
        </w:tc>
      </w:tr>
      <w:tr w:rsidR="00244248" w:rsidRPr="00DE6E2E" w14:paraId="0467A118" w14:textId="77777777" w:rsidTr="00335B25">
        <w:tc>
          <w:tcPr>
            <w:tcW w:w="2977" w:type="dxa"/>
            <w:tcBorders>
              <w:left w:val="nil"/>
              <w:right w:val="nil"/>
            </w:tcBorders>
          </w:tcPr>
          <w:p w14:paraId="537FE3B3"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left w:val="nil"/>
              <w:right w:val="nil"/>
            </w:tcBorders>
          </w:tcPr>
          <w:p w14:paraId="6C4F3805"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23</w:t>
            </w:r>
            <w:r>
              <w:rPr>
                <w:rFonts w:asciiTheme="majorHAnsi" w:hAnsiTheme="majorHAnsi" w:cstheme="majorHAnsi"/>
                <w:sz w:val="20"/>
                <w:szCs w:val="20"/>
              </w:rPr>
              <w:t>,</w:t>
            </w:r>
            <w:r w:rsidRPr="004C00BF">
              <w:rPr>
                <w:rFonts w:asciiTheme="majorHAnsi" w:hAnsiTheme="majorHAnsi" w:cstheme="majorHAnsi"/>
                <w:sz w:val="20"/>
                <w:szCs w:val="20"/>
              </w:rPr>
              <w:t>333</w:t>
            </w:r>
          </w:p>
        </w:tc>
        <w:tc>
          <w:tcPr>
            <w:tcW w:w="1417" w:type="dxa"/>
            <w:tcBorders>
              <w:left w:val="nil"/>
              <w:right w:val="nil"/>
            </w:tcBorders>
          </w:tcPr>
          <w:p w14:paraId="36250A88"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22</w:t>
            </w:r>
            <w:r>
              <w:rPr>
                <w:rFonts w:asciiTheme="majorHAnsi" w:hAnsiTheme="majorHAnsi" w:cstheme="majorHAnsi"/>
                <w:sz w:val="20"/>
                <w:szCs w:val="20"/>
              </w:rPr>
              <w:t>,</w:t>
            </w:r>
            <w:r w:rsidRPr="004C00BF">
              <w:rPr>
                <w:rFonts w:asciiTheme="majorHAnsi" w:hAnsiTheme="majorHAnsi" w:cstheme="majorHAnsi"/>
                <w:sz w:val="20"/>
                <w:szCs w:val="20"/>
              </w:rPr>
              <w:t>765</w:t>
            </w:r>
          </w:p>
        </w:tc>
        <w:tc>
          <w:tcPr>
            <w:tcW w:w="1666" w:type="dxa"/>
            <w:tcBorders>
              <w:left w:val="nil"/>
              <w:right w:val="nil"/>
            </w:tcBorders>
          </w:tcPr>
          <w:p w14:paraId="4611E0D7"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23</w:t>
            </w:r>
            <w:r>
              <w:rPr>
                <w:rFonts w:asciiTheme="majorHAnsi" w:hAnsiTheme="majorHAnsi" w:cstheme="majorHAnsi"/>
                <w:sz w:val="20"/>
                <w:szCs w:val="20"/>
              </w:rPr>
              <w:t>,</w:t>
            </w:r>
            <w:r w:rsidRPr="004C00BF">
              <w:rPr>
                <w:rFonts w:asciiTheme="majorHAnsi" w:hAnsiTheme="majorHAnsi" w:cstheme="majorHAnsi"/>
                <w:sz w:val="20"/>
                <w:szCs w:val="20"/>
              </w:rPr>
              <w:t>333</w:t>
            </w:r>
          </w:p>
        </w:tc>
        <w:tc>
          <w:tcPr>
            <w:tcW w:w="1984" w:type="dxa"/>
            <w:tcBorders>
              <w:left w:val="nil"/>
              <w:right w:val="nil"/>
            </w:tcBorders>
          </w:tcPr>
          <w:p w14:paraId="36EB855A"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22</w:t>
            </w:r>
            <w:r>
              <w:rPr>
                <w:rFonts w:asciiTheme="majorHAnsi" w:hAnsiTheme="majorHAnsi" w:cstheme="majorHAnsi"/>
                <w:sz w:val="20"/>
                <w:szCs w:val="20"/>
              </w:rPr>
              <w:t>,</w:t>
            </w:r>
            <w:r w:rsidRPr="004C00BF">
              <w:rPr>
                <w:rFonts w:asciiTheme="majorHAnsi" w:hAnsiTheme="majorHAnsi" w:cstheme="majorHAnsi"/>
                <w:sz w:val="20"/>
                <w:szCs w:val="20"/>
              </w:rPr>
              <w:t>765</w:t>
            </w:r>
          </w:p>
        </w:tc>
      </w:tr>
      <w:tr w:rsidR="00244248" w:rsidRPr="00DE6E2E" w14:paraId="0BD2FB20" w14:textId="77777777" w:rsidTr="00335B25">
        <w:trPr>
          <w:trHeight w:val="439"/>
        </w:trPr>
        <w:tc>
          <w:tcPr>
            <w:tcW w:w="2977" w:type="dxa"/>
            <w:tcBorders>
              <w:left w:val="nil"/>
              <w:bottom w:val="single" w:sz="4" w:space="0" w:color="ED7D31" w:themeColor="accent2"/>
              <w:right w:val="nil"/>
            </w:tcBorders>
            <w:vAlign w:val="bottom"/>
          </w:tcPr>
          <w:p w14:paraId="169BCF91"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 xml:space="preserve">Childbearing desire </w:t>
            </w:r>
          </w:p>
        </w:tc>
        <w:tc>
          <w:tcPr>
            <w:tcW w:w="1531" w:type="dxa"/>
            <w:tcBorders>
              <w:left w:val="nil"/>
              <w:bottom w:val="single" w:sz="4" w:space="0" w:color="ED7D31" w:themeColor="accent2"/>
              <w:right w:val="nil"/>
            </w:tcBorders>
          </w:tcPr>
          <w:p w14:paraId="7276A9D7"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4D5E97D6"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40F3DAF6"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6623F09F"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6E698923" w14:textId="77777777" w:rsidTr="00335B25">
        <w:tc>
          <w:tcPr>
            <w:tcW w:w="2977" w:type="dxa"/>
            <w:tcBorders>
              <w:top w:val="single" w:sz="4" w:space="0" w:color="ED7D31" w:themeColor="accent2"/>
              <w:left w:val="nil"/>
              <w:bottom w:val="nil"/>
              <w:right w:val="nil"/>
            </w:tcBorders>
          </w:tcPr>
          <w:p w14:paraId="37F8BBA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5C4435B5"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0.044</w:t>
            </w:r>
          </w:p>
        </w:tc>
        <w:tc>
          <w:tcPr>
            <w:tcW w:w="1417" w:type="dxa"/>
            <w:tcBorders>
              <w:top w:val="single" w:sz="4" w:space="0" w:color="ED7D31" w:themeColor="accent2"/>
              <w:left w:val="nil"/>
              <w:bottom w:val="nil"/>
              <w:right w:val="nil"/>
            </w:tcBorders>
          </w:tcPr>
          <w:p w14:paraId="3FCD4F80"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0.081</w:t>
            </w:r>
          </w:p>
        </w:tc>
        <w:tc>
          <w:tcPr>
            <w:tcW w:w="1666" w:type="dxa"/>
            <w:tcBorders>
              <w:top w:val="single" w:sz="4" w:space="0" w:color="ED7D31" w:themeColor="accent2"/>
              <w:left w:val="nil"/>
              <w:bottom w:val="nil"/>
              <w:right w:val="nil"/>
            </w:tcBorders>
          </w:tcPr>
          <w:p w14:paraId="426FA6CF"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0.193</w:t>
            </w:r>
          </w:p>
        </w:tc>
        <w:tc>
          <w:tcPr>
            <w:tcW w:w="1984" w:type="dxa"/>
            <w:tcBorders>
              <w:top w:val="single" w:sz="4" w:space="0" w:color="ED7D31" w:themeColor="accent2"/>
              <w:left w:val="nil"/>
              <w:bottom w:val="nil"/>
              <w:right w:val="nil"/>
            </w:tcBorders>
          </w:tcPr>
          <w:p w14:paraId="505F2DB6"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0.117</w:t>
            </w:r>
          </w:p>
        </w:tc>
      </w:tr>
      <w:tr w:rsidR="00244248" w:rsidRPr="00C50205" w14:paraId="7D008C0D" w14:textId="77777777" w:rsidTr="00335B25">
        <w:tc>
          <w:tcPr>
            <w:tcW w:w="2977" w:type="dxa"/>
            <w:tcBorders>
              <w:top w:val="nil"/>
              <w:left w:val="nil"/>
              <w:right w:val="nil"/>
            </w:tcBorders>
          </w:tcPr>
          <w:p w14:paraId="61BF04BD"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7825BEC4"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(0.141)</w:t>
            </w:r>
          </w:p>
        </w:tc>
        <w:tc>
          <w:tcPr>
            <w:tcW w:w="1417" w:type="dxa"/>
            <w:tcBorders>
              <w:top w:val="nil"/>
              <w:left w:val="nil"/>
              <w:right w:val="nil"/>
            </w:tcBorders>
          </w:tcPr>
          <w:p w14:paraId="5B146BEC"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(0.126)</w:t>
            </w:r>
          </w:p>
        </w:tc>
        <w:tc>
          <w:tcPr>
            <w:tcW w:w="1666" w:type="dxa"/>
            <w:tcBorders>
              <w:top w:val="nil"/>
              <w:left w:val="nil"/>
              <w:right w:val="nil"/>
            </w:tcBorders>
          </w:tcPr>
          <w:p w14:paraId="397D2D5A"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(0.130)</w:t>
            </w:r>
          </w:p>
        </w:tc>
        <w:tc>
          <w:tcPr>
            <w:tcW w:w="1984" w:type="dxa"/>
            <w:tcBorders>
              <w:top w:val="nil"/>
              <w:left w:val="nil"/>
              <w:right w:val="nil"/>
            </w:tcBorders>
          </w:tcPr>
          <w:p w14:paraId="1241AFC3"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(0.127)</w:t>
            </w:r>
          </w:p>
        </w:tc>
      </w:tr>
      <w:tr w:rsidR="00244248" w:rsidRPr="00DE6E2E" w14:paraId="352DE16A" w14:textId="77777777" w:rsidTr="00335B25">
        <w:tc>
          <w:tcPr>
            <w:tcW w:w="2977" w:type="dxa"/>
            <w:tcBorders>
              <w:top w:val="nil"/>
              <w:left w:val="nil"/>
              <w:right w:val="nil"/>
            </w:tcBorders>
          </w:tcPr>
          <w:p w14:paraId="1909C21D"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2668A1E3"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20</w:t>
            </w:r>
            <w:r>
              <w:rPr>
                <w:rFonts w:asciiTheme="majorHAnsi" w:hAnsiTheme="majorHAnsi" w:cstheme="majorHAnsi"/>
                <w:sz w:val="20"/>
                <w:szCs w:val="20"/>
              </w:rPr>
              <w:t>,</w:t>
            </w:r>
            <w:r w:rsidRPr="004C00BF">
              <w:rPr>
                <w:rFonts w:asciiTheme="majorHAnsi" w:hAnsiTheme="majorHAnsi" w:cstheme="majorHAnsi"/>
                <w:sz w:val="20"/>
                <w:szCs w:val="20"/>
              </w:rPr>
              <w:t>445</w:t>
            </w:r>
          </w:p>
        </w:tc>
        <w:tc>
          <w:tcPr>
            <w:tcW w:w="1417" w:type="dxa"/>
            <w:tcBorders>
              <w:top w:val="nil"/>
              <w:left w:val="nil"/>
              <w:right w:val="nil"/>
            </w:tcBorders>
          </w:tcPr>
          <w:p w14:paraId="171742A8"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19</w:t>
            </w:r>
            <w:r>
              <w:rPr>
                <w:rFonts w:asciiTheme="majorHAnsi" w:hAnsiTheme="majorHAnsi" w:cstheme="majorHAnsi"/>
                <w:sz w:val="20"/>
                <w:szCs w:val="20"/>
              </w:rPr>
              <w:t>,</w:t>
            </w:r>
            <w:r w:rsidRPr="004C00BF">
              <w:rPr>
                <w:rFonts w:asciiTheme="majorHAnsi" w:hAnsiTheme="majorHAnsi" w:cstheme="majorHAnsi"/>
                <w:sz w:val="20"/>
                <w:szCs w:val="20"/>
              </w:rPr>
              <w:t>955</w:t>
            </w:r>
          </w:p>
        </w:tc>
        <w:tc>
          <w:tcPr>
            <w:tcW w:w="1666" w:type="dxa"/>
            <w:tcBorders>
              <w:top w:val="nil"/>
              <w:left w:val="nil"/>
              <w:right w:val="nil"/>
            </w:tcBorders>
          </w:tcPr>
          <w:p w14:paraId="7264DB8E"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20</w:t>
            </w:r>
            <w:r>
              <w:rPr>
                <w:rFonts w:asciiTheme="majorHAnsi" w:hAnsiTheme="majorHAnsi" w:cstheme="majorHAnsi"/>
                <w:sz w:val="20"/>
                <w:szCs w:val="20"/>
              </w:rPr>
              <w:t>,</w:t>
            </w:r>
            <w:r w:rsidRPr="004C00BF">
              <w:rPr>
                <w:rFonts w:asciiTheme="majorHAnsi" w:hAnsiTheme="majorHAnsi" w:cstheme="majorHAnsi"/>
                <w:sz w:val="20"/>
                <w:szCs w:val="20"/>
              </w:rPr>
              <w:t>445</w:t>
            </w:r>
          </w:p>
        </w:tc>
        <w:tc>
          <w:tcPr>
            <w:tcW w:w="1984" w:type="dxa"/>
            <w:tcBorders>
              <w:top w:val="nil"/>
              <w:left w:val="nil"/>
              <w:right w:val="nil"/>
            </w:tcBorders>
          </w:tcPr>
          <w:p w14:paraId="2247BD17"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19</w:t>
            </w:r>
            <w:r>
              <w:rPr>
                <w:rFonts w:asciiTheme="majorHAnsi" w:hAnsiTheme="majorHAnsi" w:cstheme="majorHAnsi"/>
                <w:sz w:val="20"/>
                <w:szCs w:val="20"/>
              </w:rPr>
              <w:t>,</w:t>
            </w:r>
            <w:r w:rsidRPr="004C00BF">
              <w:rPr>
                <w:rFonts w:asciiTheme="majorHAnsi" w:hAnsiTheme="majorHAnsi" w:cstheme="majorHAnsi"/>
                <w:sz w:val="20"/>
                <w:szCs w:val="20"/>
              </w:rPr>
              <w:t>955</w:t>
            </w:r>
          </w:p>
        </w:tc>
      </w:tr>
      <w:tr w:rsidR="00244248" w:rsidRPr="00DE6E2E" w14:paraId="021C715B" w14:textId="77777777" w:rsidTr="00335B25">
        <w:trPr>
          <w:trHeight w:val="457"/>
        </w:trPr>
        <w:tc>
          <w:tcPr>
            <w:tcW w:w="2977" w:type="dxa"/>
            <w:tcBorders>
              <w:left w:val="nil"/>
              <w:bottom w:val="single" w:sz="4" w:space="0" w:color="ED7D31" w:themeColor="accent2"/>
              <w:right w:val="nil"/>
            </w:tcBorders>
            <w:vAlign w:val="center"/>
          </w:tcPr>
          <w:p w14:paraId="3C2D72F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Childbearing expectation</w:t>
            </w:r>
          </w:p>
        </w:tc>
        <w:tc>
          <w:tcPr>
            <w:tcW w:w="1531" w:type="dxa"/>
            <w:tcBorders>
              <w:left w:val="nil"/>
              <w:bottom w:val="single" w:sz="4" w:space="0" w:color="ED7D31" w:themeColor="accent2"/>
              <w:right w:val="nil"/>
            </w:tcBorders>
          </w:tcPr>
          <w:p w14:paraId="36A0C7FF"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5125600C"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21E2811B"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097FACFF"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2F4E567F" w14:textId="77777777" w:rsidTr="00335B25">
        <w:tc>
          <w:tcPr>
            <w:tcW w:w="2977" w:type="dxa"/>
            <w:tcBorders>
              <w:top w:val="single" w:sz="4" w:space="0" w:color="ED7D31" w:themeColor="accent2"/>
              <w:left w:val="nil"/>
              <w:bottom w:val="nil"/>
              <w:right w:val="nil"/>
            </w:tcBorders>
          </w:tcPr>
          <w:p w14:paraId="183564D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53692E3F"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0.030</w:t>
            </w:r>
          </w:p>
        </w:tc>
        <w:tc>
          <w:tcPr>
            <w:tcW w:w="1417" w:type="dxa"/>
            <w:tcBorders>
              <w:top w:val="single" w:sz="4" w:space="0" w:color="ED7D31" w:themeColor="accent2"/>
              <w:left w:val="nil"/>
              <w:bottom w:val="nil"/>
              <w:right w:val="nil"/>
            </w:tcBorders>
          </w:tcPr>
          <w:p w14:paraId="051FF797"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0.074</w:t>
            </w:r>
          </w:p>
        </w:tc>
        <w:tc>
          <w:tcPr>
            <w:tcW w:w="1666" w:type="dxa"/>
            <w:tcBorders>
              <w:top w:val="single" w:sz="4" w:space="0" w:color="ED7D31" w:themeColor="accent2"/>
              <w:left w:val="nil"/>
              <w:bottom w:val="nil"/>
              <w:right w:val="nil"/>
            </w:tcBorders>
          </w:tcPr>
          <w:p w14:paraId="366A0105"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0.262**</w:t>
            </w:r>
          </w:p>
        </w:tc>
        <w:tc>
          <w:tcPr>
            <w:tcW w:w="1984" w:type="dxa"/>
            <w:tcBorders>
              <w:top w:val="single" w:sz="4" w:space="0" w:color="ED7D31" w:themeColor="accent2"/>
              <w:left w:val="nil"/>
              <w:bottom w:val="nil"/>
              <w:right w:val="nil"/>
            </w:tcBorders>
          </w:tcPr>
          <w:p w14:paraId="1BB5FA41"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0.196</w:t>
            </w:r>
          </w:p>
        </w:tc>
      </w:tr>
      <w:tr w:rsidR="00244248" w:rsidRPr="00C50205" w14:paraId="15EBAD80" w14:textId="77777777" w:rsidTr="00335B25">
        <w:tc>
          <w:tcPr>
            <w:tcW w:w="2977" w:type="dxa"/>
            <w:tcBorders>
              <w:top w:val="nil"/>
              <w:left w:val="nil"/>
              <w:bottom w:val="nil"/>
              <w:right w:val="nil"/>
            </w:tcBorders>
          </w:tcPr>
          <w:p w14:paraId="6B59198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5435569D"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(0.135)</w:t>
            </w:r>
          </w:p>
        </w:tc>
        <w:tc>
          <w:tcPr>
            <w:tcW w:w="1417" w:type="dxa"/>
            <w:tcBorders>
              <w:top w:val="nil"/>
              <w:left w:val="nil"/>
              <w:bottom w:val="nil"/>
              <w:right w:val="nil"/>
            </w:tcBorders>
          </w:tcPr>
          <w:p w14:paraId="1D48A791"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(0.116)</w:t>
            </w:r>
          </w:p>
        </w:tc>
        <w:tc>
          <w:tcPr>
            <w:tcW w:w="1666" w:type="dxa"/>
            <w:tcBorders>
              <w:top w:val="nil"/>
              <w:left w:val="nil"/>
              <w:bottom w:val="nil"/>
              <w:right w:val="nil"/>
            </w:tcBorders>
          </w:tcPr>
          <w:p w14:paraId="07513A0C"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(0.125)</w:t>
            </w:r>
          </w:p>
        </w:tc>
        <w:tc>
          <w:tcPr>
            <w:tcW w:w="1984" w:type="dxa"/>
            <w:tcBorders>
              <w:top w:val="nil"/>
              <w:left w:val="nil"/>
              <w:bottom w:val="nil"/>
              <w:right w:val="nil"/>
            </w:tcBorders>
          </w:tcPr>
          <w:p w14:paraId="522CA611"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(0.123)</w:t>
            </w:r>
          </w:p>
        </w:tc>
      </w:tr>
      <w:tr w:rsidR="00244248" w:rsidRPr="00DE6E2E" w14:paraId="2267F917" w14:textId="77777777" w:rsidTr="00335B25">
        <w:tc>
          <w:tcPr>
            <w:tcW w:w="2977" w:type="dxa"/>
            <w:tcBorders>
              <w:top w:val="nil"/>
              <w:left w:val="nil"/>
              <w:bottom w:val="nil"/>
              <w:right w:val="nil"/>
            </w:tcBorders>
          </w:tcPr>
          <w:p w14:paraId="0D6BBA61"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bottom w:val="nil"/>
              <w:right w:val="nil"/>
            </w:tcBorders>
          </w:tcPr>
          <w:p w14:paraId="78D9DB86"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20</w:t>
            </w:r>
            <w:r>
              <w:rPr>
                <w:rFonts w:asciiTheme="majorHAnsi" w:hAnsiTheme="majorHAnsi" w:cstheme="majorHAnsi"/>
                <w:sz w:val="20"/>
                <w:szCs w:val="20"/>
              </w:rPr>
              <w:t>,</w:t>
            </w:r>
            <w:r w:rsidRPr="004C00BF">
              <w:rPr>
                <w:rFonts w:asciiTheme="majorHAnsi" w:hAnsiTheme="majorHAnsi" w:cstheme="majorHAnsi"/>
                <w:sz w:val="20"/>
                <w:szCs w:val="20"/>
              </w:rPr>
              <w:t>410</w:t>
            </w:r>
          </w:p>
        </w:tc>
        <w:tc>
          <w:tcPr>
            <w:tcW w:w="1417" w:type="dxa"/>
            <w:tcBorders>
              <w:top w:val="nil"/>
              <w:left w:val="nil"/>
              <w:bottom w:val="nil"/>
              <w:right w:val="nil"/>
            </w:tcBorders>
          </w:tcPr>
          <w:p w14:paraId="58C79E09"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19</w:t>
            </w:r>
            <w:r>
              <w:rPr>
                <w:rFonts w:asciiTheme="majorHAnsi" w:hAnsiTheme="majorHAnsi" w:cstheme="majorHAnsi"/>
                <w:sz w:val="20"/>
                <w:szCs w:val="20"/>
              </w:rPr>
              <w:t>,</w:t>
            </w:r>
            <w:r w:rsidRPr="004C00BF">
              <w:rPr>
                <w:rFonts w:asciiTheme="majorHAnsi" w:hAnsiTheme="majorHAnsi" w:cstheme="majorHAnsi"/>
                <w:sz w:val="20"/>
                <w:szCs w:val="20"/>
              </w:rPr>
              <w:t>921</w:t>
            </w:r>
          </w:p>
        </w:tc>
        <w:tc>
          <w:tcPr>
            <w:tcW w:w="1666" w:type="dxa"/>
            <w:tcBorders>
              <w:top w:val="nil"/>
              <w:left w:val="nil"/>
              <w:bottom w:val="nil"/>
              <w:right w:val="nil"/>
            </w:tcBorders>
          </w:tcPr>
          <w:p w14:paraId="7D06B0EF"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20</w:t>
            </w:r>
            <w:r>
              <w:rPr>
                <w:rFonts w:asciiTheme="majorHAnsi" w:hAnsiTheme="majorHAnsi" w:cstheme="majorHAnsi"/>
                <w:sz w:val="20"/>
                <w:szCs w:val="20"/>
              </w:rPr>
              <w:t>,</w:t>
            </w:r>
            <w:r w:rsidRPr="004C00BF">
              <w:rPr>
                <w:rFonts w:asciiTheme="majorHAnsi" w:hAnsiTheme="majorHAnsi" w:cstheme="majorHAnsi"/>
                <w:sz w:val="20"/>
                <w:szCs w:val="20"/>
              </w:rPr>
              <w:t>410</w:t>
            </w:r>
          </w:p>
        </w:tc>
        <w:tc>
          <w:tcPr>
            <w:tcW w:w="1984" w:type="dxa"/>
            <w:tcBorders>
              <w:top w:val="nil"/>
              <w:left w:val="nil"/>
              <w:bottom w:val="nil"/>
              <w:right w:val="nil"/>
            </w:tcBorders>
          </w:tcPr>
          <w:p w14:paraId="04BEAFB9"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19</w:t>
            </w:r>
            <w:r>
              <w:rPr>
                <w:rFonts w:asciiTheme="majorHAnsi" w:hAnsiTheme="majorHAnsi" w:cstheme="majorHAnsi"/>
                <w:sz w:val="20"/>
                <w:szCs w:val="20"/>
              </w:rPr>
              <w:t>,</w:t>
            </w:r>
            <w:r w:rsidRPr="004C00BF">
              <w:rPr>
                <w:rFonts w:asciiTheme="majorHAnsi" w:hAnsiTheme="majorHAnsi" w:cstheme="majorHAnsi"/>
                <w:sz w:val="20"/>
                <w:szCs w:val="20"/>
              </w:rPr>
              <w:t>921</w:t>
            </w:r>
          </w:p>
        </w:tc>
      </w:tr>
      <w:tr w:rsidR="00244248" w:rsidRPr="00DE6E2E" w14:paraId="028222E6" w14:textId="77777777" w:rsidTr="00335B25">
        <w:trPr>
          <w:trHeight w:val="474"/>
        </w:trPr>
        <w:tc>
          <w:tcPr>
            <w:tcW w:w="2977" w:type="dxa"/>
            <w:tcBorders>
              <w:top w:val="nil"/>
              <w:left w:val="nil"/>
              <w:bottom w:val="single" w:sz="4" w:space="0" w:color="ED7D31" w:themeColor="accent2"/>
              <w:right w:val="nil"/>
            </w:tcBorders>
            <w:vAlign w:val="bottom"/>
          </w:tcPr>
          <w:p w14:paraId="09CBB9A1"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 xml:space="preserve">Intended number of children </w:t>
            </w:r>
          </w:p>
        </w:tc>
        <w:tc>
          <w:tcPr>
            <w:tcW w:w="1531" w:type="dxa"/>
            <w:tcBorders>
              <w:top w:val="nil"/>
              <w:left w:val="nil"/>
              <w:bottom w:val="single" w:sz="4" w:space="0" w:color="ED7D31" w:themeColor="accent2"/>
              <w:right w:val="nil"/>
            </w:tcBorders>
          </w:tcPr>
          <w:p w14:paraId="679D19E5"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10F7602E"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7D316D18"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6C332E3F"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1D9EF200" w14:textId="77777777" w:rsidTr="00335B25">
        <w:tc>
          <w:tcPr>
            <w:tcW w:w="2977" w:type="dxa"/>
            <w:tcBorders>
              <w:top w:val="single" w:sz="4" w:space="0" w:color="ED7D31" w:themeColor="accent2"/>
              <w:left w:val="nil"/>
              <w:right w:val="nil"/>
            </w:tcBorders>
          </w:tcPr>
          <w:p w14:paraId="5581765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62A5EEED"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0.005</w:t>
            </w:r>
          </w:p>
        </w:tc>
        <w:tc>
          <w:tcPr>
            <w:tcW w:w="1417" w:type="dxa"/>
            <w:tcBorders>
              <w:top w:val="single" w:sz="4" w:space="0" w:color="ED7D31" w:themeColor="accent2"/>
              <w:left w:val="nil"/>
              <w:right w:val="nil"/>
            </w:tcBorders>
          </w:tcPr>
          <w:p w14:paraId="12CBEC97"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0.029</w:t>
            </w:r>
          </w:p>
        </w:tc>
        <w:tc>
          <w:tcPr>
            <w:tcW w:w="1666" w:type="dxa"/>
            <w:tcBorders>
              <w:top w:val="single" w:sz="4" w:space="0" w:color="ED7D31" w:themeColor="accent2"/>
              <w:left w:val="nil"/>
              <w:right w:val="nil"/>
            </w:tcBorders>
          </w:tcPr>
          <w:p w14:paraId="34402550"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0.053</w:t>
            </w:r>
          </w:p>
        </w:tc>
        <w:tc>
          <w:tcPr>
            <w:tcW w:w="1984" w:type="dxa"/>
            <w:tcBorders>
              <w:top w:val="single" w:sz="4" w:space="0" w:color="ED7D31" w:themeColor="accent2"/>
              <w:left w:val="nil"/>
              <w:right w:val="nil"/>
            </w:tcBorders>
          </w:tcPr>
          <w:p w14:paraId="1BE43A58"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0.054</w:t>
            </w:r>
          </w:p>
        </w:tc>
      </w:tr>
      <w:tr w:rsidR="00244248" w:rsidRPr="00C50205" w14:paraId="67D7D35D" w14:textId="77777777" w:rsidTr="00335B25">
        <w:tc>
          <w:tcPr>
            <w:tcW w:w="2977" w:type="dxa"/>
            <w:tcBorders>
              <w:top w:val="nil"/>
              <w:left w:val="nil"/>
              <w:right w:val="nil"/>
            </w:tcBorders>
          </w:tcPr>
          <w:p w14:paraId="75B6AE0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7C3F6668"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(0.042)</w:t>
            </w:r>
          </w:p>
        </w:tc>
        <w:tc>
          <w:tcPr>
            <w:tcW w:w="1417" w:type="dxa"/>
            <w:tcBorders>
              <w:top w:val="nil"/>
              <w:left w:val="nil"/>
              <w:right w:val="nil"/>
            </w:tcBorders>
          </w:tcPr>
          <w:p w14:paraId="2748AD94"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(0.036)</w:t>
            </w:r>
          </w:p>
        </w:tc>
        <w:tc>
          <w:tcPr>
            <w:tcW w:w="1666" w:type="dxa"/>
            <w:tcBorders>
              <w:top w:val="nil"/>
              <w:left w:val="nil"/>
              <w:right w:val="nil"/>
            </w:tcBorders>
          </w:tcPr>
          <w:p w14:paraId="2A37BBBE"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(0.035)</w:t>
            </w:r>
          </w:p>
        </w:tc>
        <w:tc>
          <w:tcPr>
            <w:tcW w:w="1984" w:type="dxa"/>
            <w:tcBorders>
              <w:top w:val="nil"/>
              <w:left w:val="nil"/>
              <w:right w:val="nil"/>
            </w:tcBorders>
          </w:tcPr>
          <w:p w14:paraId="372A2B9C"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(0.035)</w:t>
            </w:r>
          </w:p>
        </w:tc>
      </w:tr>
      <w:tr w:rsidR="00244248" w:rsidRPr="00DE6E2E" w14:paraId="290B2960" w14:textId="77777777" w:rsidTr="00335B25">
        <w:tc>
          <w:tcPr>
            <w:tcW w:w="2977" w:type="dxa"/>
            <w:tcBorders>
              <w:top w:val="nil"/>
              <w:left w:val="nil"/>
              <w:right w:val="nil"/>
            </w:tcBorders>
          </w:tcPr>
          <w:p w14:paraId="5DD492DD"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3F1320B2"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15</w:t>
            </w:r>
            <w:r>
              <w:rPr>
                <w:rFonts w:asciiTheme="majorHAnsi" w:hAnsiTheme="majorHAnsi" w:cstheme="majorHAnsi"/>
                <w:sz w:val="20"/>
                <w:szCs w:val="20"/>
              </w:rPr>
              <w:t>,</w:t>
            </w:r>
            <w:r w:rsidRPr="004C00BF">
              <w:rPr>
                <w:rFonts w:asciiTheme="majorHAnsi" w:hAnsiTheme="majorHAnsi" w:cstheme="majorHAnsi"/>
                <w:sz w:val="20"/>
                <w:szCs w:val="20"/>
              </w:rPr>
              <w:t>596</w:t>
            </w:r>
          </w:p>
        </w:tc>
        <w:tc>
          <w:tcPr>
            <w:tcW w:w="1417" w:type="dxa"/>
            <w:tcBorders>
              <w:top w:val="nil"/>
              <w:left w:val="nil"/>
              <w:right w:val="nil"/>
            </w:tcBorders>
          </w:tcPr>
          <w:p w14:paraId="5BDA2288"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15</w:t>
            </w:r>
            <w:r>
              <w:rPr>
                <w:rFonts w:asciiTheme="majorHAnsi" w:hAnsiTheme="majorHAnsi" w:cstheme="majorHAnsi"/>
                <w:sz w:val="20"/>
                <w:szCs w:val="20"/>
              </w:rPr>
              <w:t>,</w:t>
            </w:r>
            <w:r w:rsidRPr="004C00BF">
              <w:rPr>
                <w:rFonts w:asciiTheme="majorHAnsi" w:hAnsiTheme="majorHAnsi" w:cstheme="majorHAnsi"/>
                <w:sz w:val="20"/>
                <w:szCs w:val="20"/>
              </w:rPr>
              <w:t>250</w:t>
            </w:r>
          </w:p>
        </w:tc>
        <w:tc>
          <w:tcPr>
            <w:tcW w:w="1666" w:type="dxa"/>
            <w:tcBorders>
              <w:top w:val="nil"/>
              <w:left w:val="nil"/>
              <w:right w:val="nil"/>
            </w:tcBorders>
          </w:tcPr>
          <w:p w14:paraId="5A6B9B63"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15</w:t>
            </w:r>
            <w:r>
              <w:rPr>
                <w:rFonts w:asciiTheme="majorHAnsi" w:hAnsiTheme="majorHAnsi" w:cstheme="majorHAnsi"/>
                <w:sz w:val="20"/>
                <w:szCs w:val="20"/>
              </w:rPr>
              <w:t>,</w:t>
            </w:r>
            <w:r w:rsidRPr="004C00BF">
              <w:rPr>
                <w:rFonts w:asciiTheme="majorHAnsi" w:hAnsiTheme="majorHAnsi" w:cstheme="majorHAnsi"/>
                <w:sz w:val="20"/>
                <w:szCs w:val="20"/>
              </w:rPr>
              <w:t>596</w:t>
            </w:r>
          </w:p>
        </w:tc>
        <w:tc>
          <w:tcPr>
            <w:tcW w:w="1984" w:type="dxa"/>
            <w:tcBorders>
              <w:top w:val="nil"/>
              <w:left w:val="nil"/>
              <w:right w:val="nil"/>
            </w:tcBorders>
          </w:tcPr>
          <w:p w14:paraId="6D3518F4" w14:textId="77777777" w:rsidR="00244248" w:rsidRPr="00821D8B"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15</w:t>
            </w:r>
            <w:r>
              <w:rPr>
                <w:rFonts w:asciiTheme="majorHAnsi" w:hAnsiTheme="majorHAnsi" w:cstheme="majorHAnsi"/>
                <w:sz w:val="20"/>
                <w:szCs w:val="20"/>
              </w:rPr>
              <w:t>,</w:t>
            </w:r>
            <w:r w:rsidRPr="004C00BF">
              <w:rPr>
                <w:rFonts w:asciiTheme="majorHAnsi" w:hAnsiTheme="majorHAnsi" w:cstheme="majorHAnsi"/>
                <w:sz w:val="20"/>
                <w:szCs w:val="20"/>
              </w:rPr>
              <w:t>250</w:t>
            </w:r>
          </w:p>
        </w:tc>
      </w:tr>
      <w:tr w:rsidR="00244248" w:rsidRPr="00DE6E2E" w14:paraId="2BAFA760" w14:textId="77777777" w:rsidTr="00335B25">
        <w:trPr>
          <w:trHeight w:val="385"/>
        </w:trPr>
        <w:tc>
          <w:tcPr>
            <w:tcW w:w="2977" w:type="dxa"/>
            <w:tcBorders>
              <w:left w:val="nil"/>
              <w:bottom w:val="single" w:sz="4" w:space="0" w:color="ED7D31" w:themeColor="accent2"/>
              <w:right w:val="nil"/>
            </w:tcBorders>
            <w:vAlign w:val="bottom"/>
          </w:tcPr>
          <w:p w14:paraId="2C3F0E8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Model specifications</w:t>
            </w:r>
          </w:p>
        </w:tc>
        <w:tc>
          <w:tcPr>
            <w:tcW w:w="1531" w:type="dxa"/>
            <w:tcBorders>
              <w:left w:val="nil"/>
              <w:bottom w:val="single" w:sz="4" w:space="0" w:color="ED7D31" w:themeColor="accent2"/>
              <w:right w:val="nil"/>
            </w:tcBorders>
          </w:tcPr>
          <w:p w14:paraId="0A1D5C4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left w:val="nil"/>
              <w:bottom w:val="single" w:sz="4" w:space="0" w:color="ED7D31" w:themeColor="accent2"/>
              <w:right w:val="nil"/>
            </w:tcBorders>
          </w:tcPr>
          <w:p w14:paraId="23693C8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1744A84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3FF817A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1FAC8695" w14:textId="77777777" w:rsidTr="00335B25">
        <w:tc>
          <w:tcPr>
            <w:tcW w:w="2977" w:type="dxa"/>
            <w:tcBorders>
              <w:top w:val="single" w:sz="4" w:space="0" w:color="ED7D31" w:themeColor="accent2"/>
              <w:left w:val="nil"/>
              <w:bottom w:val="nil"/>
              <w:right w:val="nil"/>
            </w:tcBorders>
          </w:tcPr>
          <w:p w14:paraId="0CB4DB9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Year and State Fixed Effects</w:t>
            </w:r>
          </w:p>
        </w:tc>
        <w:tc>
          <w:tcPr>
            <w:tcW w:w="1531" w:type="dxa"/>
            <w:tcBorders>
              <w:top w:val="single" w:sz="4" w:space="0" w:color="ED7D31" w:themeColor="accent2"/>
              <w:left w:val="nil"/>
              <w:bottom w:val="nil"/>
              <w:right w:val="nil"/>
            </w:tcBorders>
          </w:tcPr>
          <w:p w14:paraId="11587E1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417" w:type="dxa"/>
            <w:tcBorders>
              <w:top w:val="single" w:sz="4" w:space="0" w:color="ED7D31" w:themeColor="accent2"/>
              <w:left w:val="nil"/>
              <w:bottom w:val="nil"/>
              <w:right w:val="nil"/>
            </w:tcBorders>
          </w:tcPr>
          <w:p w14:paraId="0AEA944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single" w:sz="4" w:space="0" w:color="ED7D31" w:themeColor="accent2"/>
              <w:left w:val="nil"/>
              <w:bottom w:val="nil"/>
              <w:right w:val="nil"/>
            </w:tcBorders>
          </w:tcPr>
          <w:p w14:paraId="6446F95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single" w:sz="4" w:space="0" w:color="ED7D31" w:themeColor="accent2"/>
              <w:left w:val="nil"/>
              <w:bottom w:val="nil"/>
              <w:right w:val="nil"/>
            </w:tcBorders>
          </w:tcPr>
          <w:p w14:paraId="11D7D25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375F8067" w14:textId="77777777" w:rsidTr="00335B25">
        <w:tc>
          <w:tcPr>
            <w:tcW w:w="2977" w:type="dxa"/>
            <w:tcBorders>
              <w:top w:val="nil"/>
              <w:left w:val="nil"/>
              <w:bottom w:val="nil"/>
              <w:right w:val="nil"/>
            </w:tcBorders>
          </w:tcPr>
          <w:p w14:paraId="38B3C01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Time-varying Demographics</w:t>
            </w:r>
          </w:p>
        </w:tc>
        <w:tc>
          <w:tcPr>
            <w:tcW w:w="1531" w:type="dxa"/>
            <w:tcBorders>
              <w:top w:val="nil"/>
              <w:left w:val="nil"/>
              <w:bottom w:val="nil"/>
              <w:right w:val="nil"/>
            </w:tcBorders>
          </w:tcPr>
          <w:p w14:paraId="62DD3AD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nil"/>
              <w:right w:val="nil"/>
            </w:tcBorders>
          </w:tcPr>
          <w:p w14:paraId="5C287B4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bottom w:val="nil"/>
              <w:right w:val="nil"/>
            </w:tcBorders>
          </w:tcPr>
          <w:p w14:paraId="180DBC0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bottom w:val="nil"/>
              <w:right w:val="nil"/>
            </w:tcBorders>
          </w:tcPr>
          <w:p w14:paraId="61F2B6E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1D8C1BEA" w14:textId="77777777" w:rsidTr="00335B25">
        <w:tc>
          <w:tcPr>
            <w:tcW w:w="2977" w:type="dxa"/>
            <w:tcBorders>
              <w:top w:val="nil"/>
              <w:left w:val="nil"/>
              <w:right w:val="nil"/>
            </w:tcBorders>
          </w:tcPr>
          <w:p w14:paraId="65CDCA01"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Time-invariant Demographics</w:t>
            </w:r>
          </w:p>
        </w:tc>
        <w:tc>
          <w:tcPr>
            <w:tcW w:w="1531" w:type="dxa"/>
            <w:tcBorders>
              <w:top w:val="nil"/>
              <w:left w:val="nil"/>
              <w:right w:val="nil"/>
            </w:tcBorders>
          </w:tcPr>
          <w:p w14:paraId="22CB795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right w:val="nil"/>
            </w:tcBorders>
          </w:tcPr>
          <w:p w14:paraId="72FB6E9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right w:val="nil"/>
            </w:tcBorders>
          </w:tcPr>
          <w:p w14:paraId="32CEDBE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right w:val="nil"/>
            </w:tcBorders>
          </w:tcPr>
          <w:p w14:paraId="44D7956C"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r>
      <w:tr w:rsidR="00244248" w:rsidRPr="00DE6E2E" w14:paraId="123FB6E9" w14:textId="77777777" w:rsidTr="00335B25">
        <w:tc>
          <w:tcPr>
            <w:tcW w:w="2977" w:type="dxa"/>
            <w:tcBorders>
              <w:top w:val="nil"/>
              <w:left w:val="nil"/>
              <w:bottom w:val="single" w:sz="4" w:space="0" w:color="ED7D31" w:themeColor="accent2"/>
              <w:right w:val="nil"/>
            </w:tcBorders>
          </w:tcPr>
          <w:p w14:paraId="2317A505"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5D226F7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0D1AAFA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53D14C7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1F6F774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bl>
    <w:p w14:paraId="3158D380" w14:textId="77777777" w:rsidR="00244248" w:rsidRPr="004C00BF" w:rsidRDefault="00244248" w:rsidP="00244248">
      <w:pPr>
        <w:rPr>
          <w:rFonts w:asciiTheme="majorHAnsi" w:hAnsiTheme="majorHAnsi" w:cstheme="majorHAnsi"/>
          <w:sz w:val="18"/>
          <w:szCs w:val="18"/>
          <w:lang w:val="en-US"/>
        </w:rPr>
      </w:pPr>
      <w:r w:rsidRPr="004C00BF">
        <w:rPr>
          <w:rFonts w:asciiTheme="majorHAnsi" w:hAnsiTheme="majorHAnsi" w:cstheme="majorHAnsi"/>
          <w:sz w:val="18"/>
          <w:szCs w:val="18"/>
          <w:lang w:val="en-US"/>
        </w:rPr>
        <w:t xml:space="preserve">Note: Women in lowest 3 SEIFA categories are the treatment group, women in top 3 SEIFA categories are the control group. </w:t>
      </w:r>
      <w:r w:rsidRPr="00821D8B">
        <w:rPr>
          <w:rFonts w:asciiTheme="majorHAnsi" w:eastAsiaTheme="minorEastAsia" w:hAnsiTheme="majorHAnsi" w:cstheme="majorHAnsi"/>
          <w:sz w:val="18"/>
          <w:szCs w:val="18"/>
          <w:lang w:val="en-US" w:eastAsia="en-AU"/>
        </w:rPr>
        <w:t>* p&lt;0.1, ** p&lt;0.05, *** p&lt;0.01</w:t>
      </w:r>
    </w:p>
    <w:p w14:paraId="37B69A96" w14:textId="77777777" w:rsidR="00244248" w:rsidRDefault="00244248" w:rsidP="00244248">
      <w:pPr>
        <w:rPr>
          <w:lang w:val="en-US"/>
        </w:rPr>
      </w:pPr>
    </w:p>
    <w:p w14:paraId="73553219" w14:textId="77777777" w:rsidR="00244248" w:rsidRDefault="00244248" w:rsidP="00244248">
      <w:pPr>
        <w:rPr>
          <w:lang w:val="en-US"/>
        </w:rPr>
        <w:sectPr w:rsidR="00244248" w:rsidSect="00335B25">
          <w:pgSz w:w="11906" w:h="16838"/>
          <w:pgMar w:top="1276"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244248" w14:paraId="07BBC778" w14:textId="77777777" w:rsidTr="00335B25">
        <w:tc>
          <w:tcPr>
            <w:tcW w:w="6974" w:type="dxa"/>
          </w:tcPr>
          <w:p w14:paraId="266FDF78" w14:textId="44BEE1A3" w:rsidR="00244248" w:rsidRDefault="00244248" w:rsidP="00335B25">
            <w:pPr>
              <w:pStyle w:val="Caption"/>
              <w:keepNext/>
            </w:pPr>
            <w:r>
              <w:lastRenderedPageBreak/>
              <w:t xml:space="preserve">Figure </w:t>
            </w:r>
            <w:fldSimple w:instr=" SEQ Figure \* ARABIC ">
              <w:r w:rsidR="00115E22">
                <w:rPr>
                  <w:noProof/>
                </w:rPr>
                <w:t>54</w:t>
              </w:r>
            </w:fldSimple>
            <w:r>
              <w:t xml:space="preserve"> Baby Bonus: Probability of new birth, by treatment and control groups (Identification strategy II)</w:t>
            </w:r>
          </w:p>
          <w:p w14:paraId="2CDCD822" w14:textId="77777777" w:rsidR="00244248" w:rsidRDefault="00244248" w:rsidP="00335B25">
            <w:r w:rsidRPr="00D95933">
              <w:rPr>
                <w:noProof/>
                <w:lang w:eastAsia="en-AU"/>
              </w:rPr>
              <w:drawing>
                <wp:inline distT="0" distB="0" distL="0" distR="0" wp14:anchorId="114AC8E0" wp14:editId="7D0905F3">
                  <wp:extent cx="3347085" cy="2436088"/>
                  <wp:effectExtent l="0" t="0" r="571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95017" cy="2470974"/>
                          </a:xfrm>
                          <a:prstGeom prst="rect">
                            <a:avLst/>
                          </a:prstGeom>
                          <a:noFill/>
                          <a:ln>
                            <a:noFill/>
                          </a:ln>
                        </pic:spPr>
                      </pic:pic>
                    </a:graphicData>
                  </a:graphic>
                </wp:inline>
              </w:drawing>
            </w:r>
          </w:p>
        </w:tc>
        <w:tc>
          <w:tcPr>
            <w:tcW w:w="6974" w:type="dxa"/>
          </w:tcPr>
          <w:p w14:paraId="2F5C6C84" w14:textId="77777777" w:rsidR="00244248" w:rsidRDefault="00244248" w:rsidP="00335B25">
            <w:r>
              <w:rPr>
                <w:noProof/>
                <w:lang w:eastAsia="en-AU"/>
              </w:rPr>
              <mc:AlternateContent>
                <mc:Choice Requires="wps">
                  <w:drawing>
                    <wp:anchor distT="0" distB="0" distL="114300" distR="114300" simplePos="0" relativeHeight="251658274" behindDoc="0" locked="0" layoutInCell="1" allowOverlap="1" wp14:anchorId="5E362D8B" wp14:editId="5F7E077C">
                      <wp:simplePos x="0" y="0"/>
                      <wp:positionH relativeFrom="column">
                        <wp:posOffset>170180</wp:posOffset>
                      </wp:positionH>
                      <wp:positionV relativeFrom="paragraph">
                        <wp:posOffset>0</wp:posOffset>
                      </wp:positionV>
                      <wp:extent cx="3496310" cy="269875"/>
                      <wp:effectExtent l="0" t="0" r="8890" b="0"/>
                      <wp:wrapTopAndBottom/>
                      <wp:docPr id="27" name="Text Box 27"/>
                      <wp:cNvGraphicFramePr/>
                      <a:graphic xmlns:a="http://schemas.openxmlformats.org/drawingml/2006/main">
                        <a:graphicData uri="http://schemas.microsoft.com/office/word/2010/wordprocessingShape">
                          <wps:wsp>
                            <wps:cNvSpPr txBox="1"/>
                            <wps:spPr>
                              <a:xfrm>
                                <a:off x="0" y="0"/>
                                <a:ext cx="3496310" cy="269875"/>
                              </a:xfrm>
                              <a:prstGeom prst="rect">
                                <a:avLst/>
                              </a:prstGeom>
                              <a:solidFill>
                                <a:prstClr val="white"/>
                              </a:solidFill>
                              <a:ln>
                                <a:noFill/>
                              </a:ln>
                            </wps:spPr>
                            <wps:txbx>
                              <w:txbxContent>
                                <w:p w14:paraId="1F74EF67" w14:textId="6BB33BA3" w:rsidR="00C33FAA" w:rsidRPr="009D2E24" w:rsidRDefault="00C33FAA" w:rsidP="00244248">
                                  <w:pPr>
                                    <w:pStyle w:val="Caption"/>
                                    <w:rPr>
                                      <w:noProof/>
                                      <w:sz w:val="24"/>
                                      <w:szCs w:val="24"/>
                                      <w:lang w:val="en-GB"/>
                                    </w:rPr>
                                  </w:pPr>
                                  <w:r>
                                    <w:t xml:space="preserve">Figure </w:t>
                                  </w:r>
                                  <w:fldSimple w:instr=" SEQ Figure \* ARABIC ">
                                    <w:r w:rsidR="00115E22">
                                      <w:rPr>
                                        <w:noProof/>
                                      </w:rPr>
                                      <w:t>55</w:t>
                                    </w:r>
                                  </w:fldSimple>
                                  <w:r>
                                    <w:t xml:space="preserve"> </w:t>
                                  </w:r>
                                  <w:r w:rsidRPr="00F523B5">
                                    <w:t xml:space="preserve">- </w:t>
                                  </w:r>
                                  <w:r>
                                    <w:t xml:space="preserve">Baby Bonus: Childbearing desires </w:t>
                                  </w:r>
                                  <w:r w:rsidRPr="00F523B5">
                                    <w:t>by treatment and control group</w:t>
                                  </w:r>
                                  <w:r>
                                    <w:t xml:space="preserve"> (Identification strategy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62D8B" id="Text Box 27" o:spid="_x0000_s1082" type="#_x0000_t202" style="position:absolute;margin-left:13.4pt;margin-top:0;width:275.3pt;height:21.2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" stroked="f">
                      <v:textbox inset="0,0,0,0">
                        <w:txbxContent>
                          <w:p w14:paraId="1F74EF67" w14:textId="6BB33BA3" w:rsidR="00C33FAA" w:rsidRPr="009D2E24" w:rsidRDefault="00C33FAA" w:rsidP="00244248">
                            <w:pPr>
                              <w:pStyle w:val="Caption"/>
                              <w:rPr>
                                <w:noProof/>
                                <w:sz w:val="24"/>
                                <w:szCs w:val="24"/>
                                <w:lang w:val="en-GB"/>
                              </w:rPr>
                            </w:pPr>
                            <w:r>
                              <w:t xml:space="preserve">Figure </w:t>
                            </w:r>
                            <w:r w:rsidR="00166A92">
                              <w:fldChar w:fldCharType="begin"/>
                            </w:r>
                            <w:r w:rsidR="00166A92">
                              <w:instrText xml:space="preserve"> SEQ Figure \* ARABIC </w:instrText>
                            </w:r>
                            <w:r w:rsidR="00166A92">
                              <w:fldChar w:fldCharType="separate"/>
                            </w:r>
                            <w:r w:rsidR="00115E22">
                              <w:rPr>
                                <w:noProof/>
                              </w:rPr>
                              <w:t>55</w:t>
                            </w:r>
                            <w:r w:rsidR="00166A92">
                              <w:rPr>
                                <w:noProof/>
                              </w:rPr>
                              <w:fldChar w:fldCharType="end"/>
                            </w:r>
                            <w:r>
                              <w:t xml:space="preserve"> </w:t>
                            </w:r>
                            <w:r w:rsidRPr="00F523B5">
                              <w:t xml:space="preserve">- </w:t>
                            </w:r>
                            <w:r>
                              <w:t xml:space="preserve">Baby Bonus: Childbearing desires </w:t>
                            </w:r>
                            <w:r w:rsidRPr="00F523B5">
                              <w:t>by treatment and control group</w:t>
                            </w:r>
                            <w:r>
                              <w:t xml:space="preserve"> (Identification strategy II)</w:t>
                            </w:r>
                          </w:p>
                        </w:txbxContent>
                      </v:textbox>
                      <w10:wrap type="topAndBottom"/>
                    </v:shape>
                  </w:pict>
                </mc:Fallback>
              </mc:AlternateContent>
            </w:r>
            <w:r w:rsidRPr="00D95933">
              <w:rPr>
                <w:noProof/>
                <w:lang w:eastAsia="en-AU"/>
              </w:rPr>
              <w:drawing>
                <wp:inline distT="0" distB="0" distL="0" distR="0" wp14:anchorId="00F1FFA9" wp14:editId="5EE9A12D">
                  <wp:extent cx="3496550" cy="2544873"/>
                  <wp:effectExtent l="0" t="0" r="889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11611" cy="2555835"/>
                          </a:xfrm>
                          <a:prstGeom prst="rect">
                            <a:avLst/>
                          </a:prstGeom>
                          <a:noFill/>
                          <a:ln>
                            <a:noFill/>
                          </a:ln>
                        </pic:spPr>
                      </pic:pic>
                    </a:graphicData>
                  </a:graphic>
                </wp:inline>
              </w:drawing>
            </w:r>
          </w:p>
        </w:tc>
      </w:tr>
      <w:tr w:rsidR="00244248" w14:paraId="3D9ACC24" w14:textId="77777777" w:rsidTr="00335B25">
        <w:tc>
          <w:tcPr>
            <w:tcW w:w="6974" w:type="dxa"/>
          </w:tcPr>
          <w:p w14:paraId="49DFECF5" w14:textId="1951D4F7" w:rsidR="00244248" w:rsidRDefault="00244248" w:rsidP="00335B25">
            <w:pPr>
              <w:pStyle w:val="Caption"/>
              <w:keepNext/>
            </w:pPr>
            <w:r>
              <w:t xml:space="preserve">Figure </w:t>
            </w:r>
            <w:fldSimple w:instr=" SEQ Figure \* ARABIC ">
              <w:r w:rsidR="00115E22">
                <w:rPr>
                  <w:noProof/>
                </w:rPr>
                <w:t>56</w:t>
              </w:r>
            </w:fldSimple>
            <w:r>
              <w:t xml:space="preserve"> Baby Bonus:  Childbearing expectation - by treatment and control group (Identification strategy II) </w:t>
            </w:r>
            <w:r w:rsidRPr="00D95933">
              <w:rPr>
                <w:noProof/>
                <w:lang w:eastAsia="en-AU"/>
              </w:rPr>
              <w:drawing>
                <wp:inline distT="0" distB="0" distL="0" distR="0" wp14:anchorId="43D930B0" wp14:editId="7E2DA01B">
                  <wp:extent cx="3347499" cy="2436390"/>
                  <wp:effectExtent l="0" t="0" r="571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7499" cy="2436390"/>
                          </a:xfrm>
                          <a:prstGeom prst="rect">
                            <a:avLst/>
                          </a:prstGeom>
                          <a:noFill/>
                          <a:ln>
                            <a:noFill/>
                          </a:ln>
                        </pic:spPr>
                      </pic:pic>
                    </a:graphicData>
                  </a:graphic>
                </wp:inline>
              </w:drawing>
            </w:r>
          </w:p>
        </w:tc>
        <w:tc>
          <w:tcPr>
            <w:tcW w:w="6974" w:type="dxa"/>
          </w:tcPr>
          <w:p w14:paraId="2E924CD8" w14:textId="5B33D44C" w:rsidR="00244248" w:rsidRDefault="00244248" w:rsidP="00335B25">
            <w:pPr>
              <w:pStyle w:val="Caption"/>
              <w:keepNext/>
            </w:pPr>
            <w:r>
              <w:t xml:space="preserve">Figure </w:t>
            </w:r>
            <w:fldSimple w:instr=" SEQ Figure \* ARABIC ">
              <w:r w:rsidR="00115E22">
                <w:rPr>
                  <w:noProof/>
                </w:rPr>
                <w:t>57</w:t>
              </w:r>
            </w:fldSimple>
            <w:r>
              <w:t xml:space="preserve"> Baby Bonus: Additionally intended children- </w:t>
            </w:r>
            <w:r w:rsidRPr="00622B3A">
              <w:t xml:space="preserve"> by treatment and control group</w:t>
            </w:r>
            <w:r w:rsidRPr="00D95933">
              <w:rPr>
                <w:noProof/>
                <w:lang w:eastAsia="en-AU"/>
              </w:rPr>
              <w:drawing>
                <wp:inline distT="0" distB="0" distL="0" distR="0" wp14:anchorId="376439A6" wp14:editId="1B04694D">
                  <wp:extent cx="3536682" cy="2574083"/>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51013" cy="2584514"/>
                          </a:xfrm>
                          <a:prstGeom prst="rect">
                            <a:avLst/>
                          </a:prstGeom>
                          <a:noFill/>
                          <a:ln>
                            <a:noFill/>
                          </a:ln>
                        </pic:spPr>
                      </pic:pic>
                    </a:graphicData>
                  </a:graphic>
                </wp:inline>
              </w:drawing>
            </w:r>
          </w:p>
        </w:tc>
      </w:tr>
    </w:tbl>
    <w:p w14:paraId="76965A77" w14:textId="77777777" w:rsidR="00244248" w:rsidRPr="00815860" w:rsidRDefault="00244248" w:rsidP="00244248">
      <w:pPr>
        <w:sectPr w:rsidR="00244248" w:rsidRPr="00815860" w:rsidSect="00335B25">
          <w:pgSz w:w="16838" w:h="11906" w:orient="landscape"/>
          <w:pgMar w:top="1440" w:right="1276" w:bottom="1440" w:left="1440" w:header="708" w:footer="708" w:gutter="0"/>
          <w:cols w:space="708"/>
          <w:docGrid w:linePitch="360"/>
        </w:sectPr>
      </w:pPr>
    </w:p>
    <w:p w14:paraId="01197BD3" w14:textId="77777777" w:rsidR="00244248" w:rsidRPr="00244248" w:rsidRDefault="00244248" w:rsidP="00244248">
      <w:pPr>
        <w:rPr>
          <w:rFonts w:asciiTheme="majorHAnsi" w:hAnsiTheme="majorHAnsi" w:cstheme="majorHAnsi"/>
          <w:color w:val="1F4E79" w:themeColor="accent1" w:themeShade="80"/>
          <w:sz w:val="26"/>
          <w:szCs w:val="26"/>
          <w:lang w:val="en-US"/>
        </w:rPr>
      </w:pPr>
      <w:r w:rsidRPr="00244248">
        <w:rPr>
          <w:rFonts w:asciiTheme="majorHAnsi" w:hAnsiTheme="majorHAnsi" w:cstheme="majorHAnsi"/>
          <w:color w:val="1F4E79" w:themeColor="accent1" w:themeShade="80"/>
          <w:sz w:val="26"/>
          <w:szCs w:val="26"/>
          <w:lang w:val="en-US"/>
        </w:rPr>
        <w:lastRenderedPageBreak/>
        <w:t xml:space="preserve">Paid Parental Leave – Identification strategy II </w:t>
      </w:r>
    </w:p>
    <w:p w14:paraId="49AFF30B" w14:textId="77777777" w:rsidR="00244248" w:rsidRDefault="00244248" w:rsidP="00244248">
      <w:pPr>
        <w:rPr>
          <w:lang w:val="en-US"/>
        </w:rPr>
      </w:pPr>
      <w:r>
        <w:rPr>
          <w:lang w:val="en-US"/>
        </w:rPr>
        <w:t>The control and treatment group are defined in the same way based on eligibility but the starting year for the policy has been moved from 2011 to 2009.</w:t>
      </w:r>
    </w:p>
    <w:p w14:paraId="7E0BB8F9" w14:textId="77777777" w:rsidR="00244248" w:rsidRDefault="00244248" w:rsidP="00244248">
      <w:pPr>
        <w:rPr>
          <w:lang w:val="en-US"/>
        </w:rPr>
      </w:pPr>
      <w:r>
        <w:rPr>
          <w:lang w:val="en-US"/>
        </w:rPr>
        <w:t xml:space="preserve">The table show the results for the fertility outcomes based on Identification strategy II. The figures are the same as Identification strategy I and therefore not shown. </w:t>
      </w:r>
    </w:p>
    <w:p w14:paraId="22C414CE" w14:textId="77777777" w:rsidR="00244248" w:rsidRDefault="00244248" w:rsidP="00244248">
      <w:pPr>
        <w:rPr>
          <w:lang w:val="en-US"/>
        </w:rPr>
      </w:pPr>
      <w:r>
        <w:rPr>
          <w:lang w:val="en-US"/>
        </w:rPr>
        <w:t xml:space="preserve">The results are very similar to Identification strategy I, although in this case we also observe some effect for third births. </w:t>
      </w:r>
    </w:p>
    <w:p w14:paraId="575EEF7D" w14:textId="26E2222F" w:rsidR="00244248" w:rsidRDefault="00244248" w:rsidP="00244248">
      <w:pPr>
        <w:pStyle w:val="Caption"/>
        <w:keepNext/>
      </w:pPr>
      <w:r>
        <w:t xml:space="preserve">Table </w:t>
      </w:r>
      <w:fldSimple w:instr=" SEQ Table \* ARABIC ">
        <w:r w:rsidR="00115E22">
          <w:rPr>
            <w:noProof/>
          </w:rPr>
          <w:t>51</w:t>
        </w:r>
      </w:fldSimple>
      <w:r>
        <w:t xml:space="preserve"> </w:t>
      </w:r>
      <w:r w:rsidRPr="00EC194F">
        <w:t xml:space="preserve">Effect of </w:t>
      </w:r>
      <w:r>
        <w:t xml:space="preserve">Parental Leave Pay </w:t>
      </w:r>
      <w:r w:rsidRPr="00EC194F">
        <w:t xml:space="preserve"> on </w:t>
      </w:r>
      <w:r>
        <w:t>new births</w:t>
      </w:r>
      <w:r w:rsidRPr="00EC194F">
        <w:t>: DiD estimates</w:t>
      </w:r>
      <w:r>
        <w:t xml:space="preserve"> (Identification strategy II)</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287A95" w14:paraId="684F7A28" w14:textId="77777777" w:rsidTr="00335B25">
        <w:tc>
          <w:tcPr>
            <w:tcW w:w="2977" w:type="dxa"/>
            <w:tcBorders>
              <w:top w:val="single" w:sz="4" w:space="0" w:color="ED7D31" w:themeColor="accent2"/>
              <w:left w:val="nil"/>
              <w:bottom w:val="nil"/>
              <w:right w:val="nil"/>
            </w:tcBorders>
            <w:shd w:val="clear" w:color="auto" w:fill="FBE4D5" w:themeFill="accent2" w:themeFillTint="33"/>
          </w:tcPr>
          <w:p w14:paraId="7016614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ED7D31" w:themeColor="accent2"/>
              <w:left w:val="nil"/>
              <w:bottom w:val="nil"/>
              <w:right w:val="nil"/>
            </w:tcBorders>
            <w:shd w:val="clear" w:color="auto" w:fill="FBE4D5" w:themeFill="accent2" w:themeFillTint="33"/>
          </w:tcPr>
          <w:p w14:paraId="259EDCF3"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(1)</w:t>
            </w:r>
          </w:p>
        </w:tc>
        <w:tc>
          <w:tcPr>
            <w:tcW w:w="1417" w:type="dxa"/>
            <w:tcBorders>
              <w:top w:val="single" w:sz="4" w:space="0" w:color="ED7D31" w:themeColor="accent2"/>
              <w:left w:val="nil"/>
              <w:bottom w:val="nil"/>
              <w:right w:val="nil"/>
            </w:tcBorders>
            <w:shd w:val="clear" w:color="auto" w:fill="FBE4D5" w:themeFill="accent2" w:themeFillTint="33"/>
          </w:tcPr>
          <w:p w14:paraId="5A8F2F5E"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(2)</w:t>
            </w:r>
          </w:p>
        </w:tc>
        <w:tc>
          <w:tcPr>
            <w:tcW w:w="1666" w:type="dxa"/>
            <w:tcBorders>
              <w:top w:val="single" w:sz="4" w:space="0" w:color="ED7D31" w:themeColor="accent2"/>
              <w:left w:val="nil"/>
              <w:bottom w:val="nil"/>
              <w:right w:val="nil"/>
            </w:tcBorders>
            <w:shd w:val="clear" w:color="auto" w:fill="FBE4D5" w:themeFill="accent2" w:themeFillTint="33"/>
          </w:tcPr>
          <w:p w14:paraId="421901DD"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(3)</w:t>
            </w:r>
          </w:p>
        </w:tc>
        <w:tc>
          <w:tcPr>
            <w:tcW w:w="1984" w:type="dxa"/>
            <w:tcBorders>
              <w:top w:val="single" w:sz="4" w:space="0" w:color="ED7D31" w:themeColor="accent2"/>
              <w:left w:val="nil"/>
              <w:bottom w:val="nil"/>
              <w:right w:val="nil"/>
            </w:tcBorders>
            <w:shd w:val="clear" w:color="auto" w:fill="FBE4D5" w:themeFill="accent2" w:themeFillTint="33"/>
          </w:tcPr>
          <w:p w14:paraId="54695785"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(4)</w:t>
            </w:r>
          </w:p>
        </w:tc>
      </w:tr>
      <w:tr w:rsidR="00244248" w:rsidRPr="00287A95" w14:paraId="59D4664F"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4C0E3F80"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59A6EBB6"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73AD99A1"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65EBA0A2"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1B7E5D7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r>
      <w:tr w:rsidR="00244248" w:rsidRPr="00287A95" w14:paraId="128A14EC" w14:textId="77777777" w:rsidTr="00335B25">
        <w:trPr>
          <w:trHeight w:val="357"/>
        </w:trPr>
        <w:tc>
          <w:tcPr>
            <w:tcW w:w="9575" w:type="dxa"/>
            <w:gridSpan w:val="5"/>
            <w:tcBorders>
              <w:top w:val="single" w:sz="4" w:space="0" w:color="ED7D31" w:themeColor="accent2"/>
              <w:left w:val="nil"/>
              <w:bottom w:val="single" w:sz="4" w:space="0" w:color="ED7D31" w:themeColor="accent2"/>
              <w:right w:val="nil"/>
            </w:tcBorders>
            <w:vAlign w:val="center"/>
          </w:tcPr>
          <w:p w14:paraId="4465DADC"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r>
              <w:rPr>
                <w:rFonts w:asciiTheme="majorHAnsi" w:hAnsiTheme="majorHAnsi" w:cstheme="majorHAnsi"/>
                <w:b/>
                <w:bCs/>
                <w:sz w:val="20"/>
                <w:szCs w:val="20"/>
              </w:rPr>
              <w:t>Births</w:t>
            </w:r>
          </w:p>
        </w:tc>
      </w:tr>
      <w:tr w:rsidR="00244248" w:rsidRPr="00287A95" w14:paraId="103AB9AA"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565163E5"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All new births</w:t>
            </w:r>
          </w:p>
        </w:tc>
        <w:tc>
          <w:tcPr>
            <w:tcW w:w="1531" w:type="dxa"/>
            <w:tcBorders>
              <w:top w:val="single" w:sz="4" w:space="0" w:color="ED7D31" w:themeColor="accent2"/>
              <w:left w:val="nil"/>
              <w:bottom w:val="single" w:sz="4" w:space="0" w:color="ED7D31" w:themeColor="accent2"/>
              <w:right w:val="nil"/>
            </w:tcBorders>
          </w:tcPr>
          <w:p w14:paraId="0B7230F2"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36CC64D8"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5A457D65"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36E87E1C"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287A95" w14:paraId="4A6B0857" w14:textId="77777777" w:rsidTr="00335B25">
        <w:tc>
          <w:tcPr>
            <w:tcW w:w="2977" w:type="dxa"/>
            <w:tcBorders>
              <w:top w:val="single" w:sz="4" w:space="0" w:color="ED7D31" w:themeColor="accent2"/>
              <w:left w:val="nil"/>
              <w:right w:val="nil"/>
            </w:tcBorders>
          </w:tcPr>
          <w:p w14:paraId="37F158CB"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40E839C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-0.005</w:t>
            </w:r>
          </w:p>
        </w:tc>
        <w:tc>
          <w:tcPr>
            <w:tcW w:w="1417" w:type="dxa"/>
            <w:tcBorders>
              <w:top w:val="single" w:sz="4" w:space="0" w:color="ED7D31" w:themeColor="accent2"/>
              <w:left w:val="nil"/>
              <w:right w:val="nil"/>
            </w:tcBorders>
          </w:tcPr>
          <w:p w14:paraId="27FCDBC3"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-0.005</w:t>
            </w:r>
          </w:p>
        </w:tc>
        <w:tc>
          <w:tcPr>
            <w:tcW w:w="1666" w:type="dxa"/>
            <w:tcBorders>
              <w:top w:val="single" w:sz="4" w:space="0" w:color="ED7D31" w:themeColor="accent2"/>
              <w:left w:val="nil"/>
              <w:right w:val="nil"/>
            </w:tcBorders>
          </w:tcPr>
          <w:p w14:paraId="2A878D3A"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0.048***</w:t>
            </w:r>
          </w:p>
        </w:tc>
        <w:tc>
          <w:tcPr>
            <w:tcW w:w="1984" w:type="dxa"/>
            <w:tcBorders>
              <w:top w:val="single" w:sz="4" w:space="0" w:color="ED7D31" w:themeColor="accent2"/>
              <w:left w:val="nil"/>
              <w:right w:val="nil"/>
            </w:tcBorders>
          </w:tcPr>
          <w:p w14:paraId="2D41A53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0.045***</w:t>
            </w:r>
          </w:p>
        </w:tc>
      </w:tr>
      <w:tr w:rsidR="00244248" w:rsidRPr="00287A95" w14:paraId="6A2F341F" w14:textId="77777777" w:rsidTr="00335B25">
        <w:tc>
          <w:tcPr>
            <w:tcW w:w="2977" w:type="dxa"/>
            <w:tcBorders>
              <w:top w:val="nil"/>
              <w:left w:val="nil"/>
              <w:right w:val="nil"/>
            </w:tcBorders>
          </w:tcPr>
          <w:p w14:paraId="072BCCA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3656A405"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(0.007)</w:t>
            </w:r>
          </w:p>
        </w:tc>
        <w:tc>
          <w:tcPr>
            <w:tcW w:w="1417" w:type="dxa"/>
            <w:tcBorders>
              <w:top w:val="nil"/>
              <w:left w:val="nil"/>
              <w:right w:val="nil"/>
            </w:tcBorders>
          </w:tcPr>
          <w:p w14:paraId="34DF11A2"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(0.007)</w:t>
            </w:r>
          </w:p>
        </w:tc>
        <w:tc>
          <w:tcPr>
            <w:tcW w:w="1666" w:type="dxa"/>
            <w:tcBorders>
              <w:top w:val="nil"/>
              <w:left w:val="nil"/>
              <w:right w:val="nil"/>
            </w:tcBorders>
          </w:tcPr>
          <w:p w14:paraId="6CB44812"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(0.009)</w:t>
            </w:r>
          </w:p>
        </w:tc>
        <w:tc>
          <w:tcPr>
            <w:tcW w:w="1984" w:type="dxa"/>
            <w:tcBorders>
              <w:top w:val="nil"/>
              <w:left w:val="nil"/>
              <w:right w:val="nil"/>
            </w:tcBorders>
          </w:tcPr>
          <w:p w14:paraId="5B3DBAAC"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(0.009)</w:t>
            </w:r>
          </w:p>
        </w:tc>
      </w:tr>
      <w:tr w:rsidR="00244248" w:rsidRPr="00287A95" w14:paraId="366645EE" w14:textId="77777777" w:rsidTr="00335B25">
        <w:tc>
          <w:tcPr>
            <w:tcW w:w="2977" w:type="dxa"/>
            <w:tcBorders>
              <w:left w:val="nil"/>
              <w:right w:val="nil"/>
            </w:tcBorders>
          </w:tcPr>
          <w:p w14:paraId="2FEF68B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left w:val="nil"/>
              <w:right w:val="nil"/>
            </w:tcBorders>
          </w:tcPr>
          <w:p w14:paraId="0E91446C"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35</w:t>
            </w:r>
            <w:r>
              <w:rPr>
                <w:rFonts w:asciiTheme="majorHAnsi" w:hAnsiTheme="majorHAnsi" w:cstheme="majorHAnsi"/>
                <w:sz w:val="20"/>
                <w:szCs w:val="20"/>
                <w:lang w:val="en-US"/>
              </w:rPr>
              <w:t>,</w:t>
            </w:r>
            <w:r w:rsidRPr="004C00BF">
              <w:rPr>
                <w:rFonts w:asciiTheme="majorHAnsi" w:hAnsiTheme="majorHAnsi" w:cstheme="majorHAnsi"/>
                <w:sz w:val="20"/>
                <w:szCs w:val="20"/>
                <w:lang w:val="en-US"/>
              </w:rPr>
              <w:t>881</w:t>
            </w:r>
          </w:p>
        </w:tc>
        <w:tc>
          <w:tcPr>
            <w:tcW w:w="1417" w:type="dxa"/>
            <w:tcBorders>
              <w:left w:val="nil"/>
              <w:right w:val="nil"/>
            </w:tcBorders>
          </w:tcPr>
          <w:p w14:paraId="75FA9416"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34</w:t>
            </w:r>
            <w:r>
              <w:rPr>
                <w:rFonts w:asciiTheme="majorHAnsi" w:hAnsiTheme="majorHAnsi" w:cstheme="majorHAnsi"/>
                <w:sz w:val="20"/>
                <w:szCs w:val="20"/>
                <w:lang w:val="en-US"/>
              </w:rPr>
              <w:t>,</w:t>
            </w:r>
            <w:r w:rsidRPr="004C00BF">
              <w:rPr>
                <w:rFonts w:asciiTheme="majorHAnsi" w:hAnsiTheme="majorHAnsi" w:cstheme="majorHAnsi"/>
                <w:sz w:val="20"/>
                <w:szCs w:val="20"/>
                <w:lang w:val="en-US"/>
              </w:rPr>
              <w:t>927</w:t>
            </w:r>
          </w:p>
        </w:tc>
        <w:tc>
          <w:tcPr>
            <w:tcW w:w="1666" w:type="dxa"/>
            <w:tcBorders>
              <w:left w:val="nil"/>
              <w:right w:val="nil"/>
            </w:tcBorders>
          </w:tcPr>
          <w:p w14:paraId="290FFA5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35</w:t>
            </w:r>
            <w:r>
              <w:rPr>
                <w:rFonts w:asciiTheme="majorHAnsi" w:hAnsiTheme="majorHAnsi" w:cstheme="majorHAnsi"/>
                <w:sz w:val="20"/>
                <w:szCs w:val="20"/>
                <w:lang w:val="en-US"/>
              </w:rPr>
              <w:t>,</w:t>
            </w:r>
            <w:r w:rsidRPr="004C00BF">
              <w:rPr>
                <w:rFonts w:asciiTheme="majorHAnsi" w:hAnsiTheme="majorHAnsi" w:cstheme="majorHAnsi"/>
                <w:sz w:val="20"/>
                <w:szCs w:val="20"/>
                <w:lang w:val="en-US"/>
              </w:rPr>
              <w:t>881</w:t>
            </w:r>
          </w:p>
        </w:tc>
        <w:tc>
          <w:tcPr>
            <w:tcW w:w="1984" w:type="dxa"/>
            <w:tcBorders>
              <w:left w:val="nil"/>
              <w:right w:val="nil"/>
            </w:tcBorders>
          </w:tcPr>
          <w:p w14:paraId="6502C5AC"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34</w:t>
            </w:r>
            <w:r>
              <w:rPr>
                <w:rFonts w:asciiTheme="majorHAnsi" w:hAnsiTheme="majorHAnsi" w:cstheme="majorHAnsi"/>
                <w:sz w:val="20"/>
                <w:szCs w:val="20"/>
                <w:lang w:val="en-US"/>
              </w:rPr>
              <w:t>,</w:t>
            </w:r>
            <w:r w:rsidRPr="004C00BF">
              <w:rPr>
                <w:rFonts w:asciiTheme="majorHAnsi" w:hAnsiTheme="majorHAnsi" w:cstheme="majorHAnsi"/>
                <w:sz w:val="20"/>
                <w:szCs w:val="20"/>
                <w:lang w:val="en-US"/>
              </w:rPr>
              <w:t>927</w:t>
            </w:r>
          </w:p>
        </w:tc>
      </w:tr>
      <w:tr w:rsidR="00244248" w:rsidRPr="00287A95" w14:paraId="7F4AB3D3" w14:textId="77777777" w:rsidTr="00335B25">
        <w:trPr>
          <w:trHeight w:val="439"/>
        </w:trPr>
        <w:tc>
          <w:tcPr>
            <w:tcW w:w="2977" w:type="dxa"/>
            <w:tcBorders>
              <w:left w:val="nil"/>
              <w:bottom w:val="single" w:sz="4" w:space="0" w:color="ED7D31" w:themeColor="accent2"/>
              <w:right w:val="nil"/>
            </w:tcBorders>
            <w:vAlign w:val="bottom"/>
          </w:tcPr>
          <w:p w14:paraId="0C958B4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First births</w:t>
            </w:r>
          </w:p>
        </w:tc>
        <w:tc>
          <w:tcPr>
            <w:tcW w:w="1531" w:type="dxa"/>
            <w:tcBorders>
              <w:left w:val="nil"/>
              <w:bottom w:val="single" w:sz="4" w:space="0" w:color="ED7D31" w:themeColor="accent2"/>
              <w:right w:val="nil"/>
            </w:tcBorders>
          </w:tcPr>
          <w:p w14:paraId="600C4DF9"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531831FB"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624252EE"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2574721E"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7D566589" w14:textId="77777777" w:rsidTr="00335B25">
        <w:tc>
          <w:tcPr>
            <w:tcW w:w="2977" w:type="dxa"/>
            <w:tcBorders>
              <w:top w:val="single" w:sz="4" w:space="0" w:color="ED7D31" w:themeColor="accent2"/>
              <w:left w:val="nil"/>
              <w:bottom w:val="nil"/>
              <w:right w:val="nil"/>
            </w:tcBorders>
          </w:tcPr>
          <w:p w14:paraId="6FE19811"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3C93AC1A"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0.026**</w:t>
            </w:r>
          </w:p>
        </w:tc>
        <w:tc>
          <w:tcPr>
            <w:tcW w:w="1417" w:type="dxa"/>
            <w:tcBorders>
              <w:top w:val="single" w:sz="4" w:space="0" w:color="ED7D31" w:themeColor="accent2"/>
              <w:left w:val="nil"/>
              <w:bottom w:val="nil"/>
              <w:right w:val="nil"/>
            </w:tcBorders>
          </w:tcPr>
          <w:p w14:paraId="083E38E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0.014</w:t>
            </w:r>
          </w:p>
        </w:tc>
        <w:tc>
          <w:tcPr>
            <w:tcW w:w="1666" w:type="dxa"/>
            <w:tcBorders>
              <w:top w:val="single" w:sz="4" w:space="0" w:color="ED7D31" w:themeColor="accent2"/>
              <w:left w:val="nil"/>
              <w:bottom w:val="nil"/>
              <w:right w:val="nil"/>
            </w:tcBorders>
          </w:tcPr>
          <w:p w14:paraId="5619355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0.034**</w:t>
            </w:r>
          </w:p>
        </w:tc>
        <w:tc>
          <w:tcPr>
            <w:tcW w:w="1984" w:type="dxa"/>
            <w:tcBorders>
              <w:top w:val="single" w:sz="4" w:space="0" w:color="ED7D31" w:themeColor="accent2"/>
              <w:left w:val="nil"/>
              <w:bottom w:val="nil"/>
              <w:right w:val="nil"/>
            </w:tcBorders>
          </w:tcPr>
          <w:p w14:paraId="201FC1B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0.021</w:t>
            </w:r>
          </w:p>
        </w:tc>
      </w:tr>
      <w:tr w:rsidR="00244248" w:rsidRPr="00287A95" w14:paraId="6851A191" w14:textId="77777777" w:rsidTr="00335B25">
        <w:tc>
          <w:tcPr>
            <w:tcW w:w="2977" w:type="dxa"/>
            <w:tcBorders>
              <w:top w:val="nil"/>
              <w:left w:val="nil"/>
              <w:right w:val="nil"/>
            </w:tcBorders>
          </w:tcPr>
          <w:p w14:paraId="7682287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7A5816A7"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(0.013)</w:t>
            </w:r>
          </w:p>
        </w:tc>
        <w:tc>
          <w:tcPr>
            <w:tcW w:w="1417" w:type="dxa"/>
            <w:tcBorders>
              <w:top w:val="nil"/>
              <w:left w:val="nil"/>
              <w:right w:val="nil"/>
            </w:tcBorders>
          </w:tcPr>
          <w:p w14:paraId="2069FD6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(0.013)</w:t>
            </w:r>
          </w:p>
        </w:tc>
        <w:tc>
          <w:tcPr>
            <w:tcW w:w="1666" w:type="dxa"/>
            <w:tcBorders>
              <w:top w:val="nil"/>
              <w:left w:val="nil"/>
              <w:right w:val="nil"/>
            </w:tcBorders>
          </w:tcPr>
          <w:p w14:paraId="1D2A3DB2"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(0.015)</w:t>
            </w:r>
          </w:p>
        </w:tc>
        <w:tc>
          <w:tcPr>
            <w:tcW w:w="1984" w:type="dxa"/>
            <w:tcBorders>
              <w:top w:val="nil"/>
              <w:left w:val="nil"/>
              <w:right w:val="nil"/>
            </w:tcBorders>
          </w:tcPr>
          <w:p w14:paraId="788D85C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(0.015)</w:t>
            </w:r>
          </w:p>
        </w:tc>
      </w:tr>
      <w:tr w:rsidR="00244248" w:rsidRPr="00287A95" w14:paraId="578366BA" w14:textId="77777777" w:rsidTr="00335B25">
        <w:tc>
          <w:tcPr>
            <w:tcW w:w="2977" w:type="dxa"/>
            <w:tcBorders>
              <w:top w:val="nil"/>
              <w:left w:val="nil"/>
              <w:right w:val="nil"/>
            </w:tcBorders>
          </w:tcPr>
          <w:p w14:paraId="1EB0312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right w:val="nil"/>
            </w:tcBorders>
          </w:tcPr>
          <w:p w14:paraId="6859D00C"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16</w:t>
            </w:r>
            <w:r>
              <w:rPr>
                <w:rFonts w:asciiTheme="majorHAnsi" w:hAnsiTheme="majorHAnsi" w:cstheme="majorHAnsi"/>
                <w:sz w:val="20"/>
                <w:szCs w:val="20"/>
                <w:lang w:val="en-US"/>
              </w:rPr>
              <w:t>,</w:t>
            </w:r>
            <w:r w:rsidRPr="004C00BF">
              <w:rPr>
                <w:rFonts w:asciiTheme="majorHAnsi" w:hAnsiTheme="majorHAnsi" w:cstheme="majorHAnsi"/>
                <w:sz w:val="20"/>
                <w:szCs w:val="20"/>
                <w:lang w:val="en-US"/>
              </w:rPr>
              <w:t>338</w:t>
            </w:r>
          </w:p>
        </w:tc>
        <w:tc>
          <w:tcPr>
            <w:tcW w:w="1417" w:type="dxa"/>
            <w:tcBorders>
              <w:top w:val="nil"/>
              <w:left w:val="nil"/>
              <w:right w:val="nil"/>
            </w:tcBorders>
          </w:tcPr>
          <w:p w14:paraId="588F4F60"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16</w:t>
            </w:r>
            <w:r>
              <w:rPr>
                <w:rFonts w:asciiTheme="majorHAnsi" w:hAnsiTheme="majorHAnsi" w:cstheme="majorHAnsi"/>
                <w:sz w:val="20"/>
                <w:szCs w:val="20"/>
                <w:lang w:val="en-US"/>
              </w:rPr>
              <w:t>,</w:t>
            </w:r>
            <w:r w:rsidRPr="004C00BF">
              <w:rPr>
                <w:rFonts w:asciiTheme="majorHAnsi" w:hAnsiTheme="majorHAnsi" w:cstheme="majorHAnsi"/>
                <w:sz w:val="20"/>
                <w:szCs w:val="20"/>
                <w:lang w:val="en-US"/>
              </w:rPr>
              <w:t>078</w:t>
            </w:r>
          </w:p>
        </w:tc>
        <w:tc>
          <w:tcPr>
            <w:tcW w:w="1666" w:type="dxa"/>
            <w:tcBorders>
              <w:top w:val="nil"/>
              <w:left w:val="nil"/>
              <w:right w:val="nil"/>
            </w:tcBorders>
          </w:tcPr>
          <w:p w14:paraId="0CE4E8C0"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16</w:t>
            </w:r>
            <w:r>
              <w:rPr>
                <w:rFonts w:asciiTheme="majorHAnsi" w:hAnsiTheme="majorHAnsi" w:cstheme="majorHAnsi"/>
                <w:sz w:val="20"/>
                <w:szCs w:val="20"/>
                <w:lang w:val="en-US"/>
              </w:rPr>
              <w:t>,</w:t>
            </w:r>
            <w:r w:rsidRPr="004C00BF">
              <w:rPr>
                <w:rFonts w:asciiTheme="majorHAnsi" w:hAnsiTheme="majorHAnsi" w:cstheme="majorHAnsi"/>
                <w:sz w:val="20"/>
                <w:szCs w:val="20"/>
                <w:lang w:val="en-US"/>
              </w:rPr>
              <w:t>338</w:t>
            </w:r>
          </w:p>
        </w:tc>
        <w:tc>
          <w:tcPr>
            <w:tcW w:w="1984" w:type="dxa"/>
            <w:tcBorders>
              <w:top w:val="nil"/>
              <w:left w:val="nil"/>
              <w:right w:val="nil"/>
            </w:tcBorders>
          </w:tcPr>
          <w:p w14:paraId="44C1BD2E"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16</w:t>
            </w:r>
            <w:r>
              <w:rPr>
                <w:rFonts w:asciiTheme="majorHAnsi" w:hAnsiTheme="majorHAnsi" w:cstheme="majorHAnsi"/>
                <w:sz w:val="20"/>
                <w:szCs w:val="20"/>
                <w:lang w:val="en-US"/>
              </w:rPr>
              <w:t>,</w:t>
            </w:r>
            <w:r w:rsidRPr="004C00BF">
              <w:rPr>
                <w:rFonts w:asciiTheme="majorHAnsi" w:hAnsiTheme="majorHAnsi" w:cstheme="majorHAnsi"/>
                <w:sz w:val="20"/>
                <w:szCs w:val="20"/>
                <w:lang w:val="en-US"/>
              </w:rPr>
              <w:t>078</w:t>
            </w:r>
          </w:p>
        </w:tc>
      </w:tr>
      <w:tr w:rsidR="00244248" w:rsidRPr="00287A95" w14:paraId="5A277351" w14:textId="77777777" w:rsidTr="00335B25">
        <w:trPr>
          <w:trHeight w:val="457"/>
        </w:trPr>
        <w:tc>
          <w:tcPr>
            <w:tcW w:w="2977" w:type="dxa"/>
            <w:tcBorders>
              <w:left w:val="nil"/>
              <w:bottom w:val="single" w:sz="4" w:space="0" w:color="ED7D31" w:themeColor="accent2"/>
              <w:right w:val="nil"/>
            </w:tcBorders>
            <w:vAlign w:val="center"/>
          </w:tcPr>
          <w:p w14:paraId="6708BF51"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Second births</w:t>
            </w:r>
          </w:p>
        </w:tc>
        <w:tc>
          <w:tcPr>
            <w:tcW w:w="1531" w:type="dxa"/>
            <w:tcBorders>
              <w:left w:val="nil"/>
              <w:bottom w:val="single" w:sz="4" w:space="0" w:color="ED7D31" w:themeColor="accent2"/>
              <w:right w:val="nil"/>
            </w:tcBorders>
          </w:tcPr>
          <w:p w14:paraId="55A066C8"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0593F72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187C52C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747F7E9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5E6B1813" w14:textId="77777777" w:rsidTr="00335B25">
        <w:tc>
          <w:tcPr>
            <w:tcW w:w="2977" w:type="dxa"/>
            <w:tcBorders>
              <w:top w:val="single" w:sz="4" w:space="0" w:color="ED7D31" w:themeColor="accent2"/>
              <w:left w:val="nil"/>
              <w:bottom w:val="nil"/>
              <w:right w:val="nil"/>
            </w:tcBorders>
          </w:tcPr>
          <w:p w14:paraId="367FC0F8"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5E1ABC10"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-0.012</w:t>
            </w:r>
          </w:p>
        </w:tc>
        <w:tc>
          <w:tcPr>
            <w:tcW w:w="1417" w:type="dxa"/>
            <w:tcBorders>
              <w:top w:val="single" w:sz="4" w:space="0" w:color="ED7D31" w:themeColor="accent2"/>
              <w:left w:val="nil"/>
              <w:bottom w:val="nil"/>
              <w:right w:val="nil"/>
            </w:tcBorders>
          </w:tcPr>
          <w:p w14:paraId="42ADA713"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0.026</w:t>
            </w:r>
          </w:p>
        </w:tc>
        <w:tc>
          <w:tcPr>
            <w:tcW w:w="1666" w:type="dxa"/>
            <w:tcBorders>
              <w:top w:val="single" w:sz="4" w:space="0" w:color="ED7D31" w:themeColor="accent2"/>
              <w:left w:val="nil"/>
              <w:bottom w:val="nil"/>
              <w:right w:val="nil"/>
            </w:tcBorders>
          </w:tcPr>
          <w:p w14:paraId="1AEF6802"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0.033</w:t>
            </w:r>
          </w:p>
        </w:tc>
        <w:tc>
          <w:tcPr>
            <w:tcW w:w="1984" w:type="dxa"/>
            <w:tcBorders>
              <w:top w:val="single" w:sz="4" w:space="0" w:color="ED7D31" w:themeColor="accent2"/>
              <w:left w:val="nil"/>
              <w:bottom w:val="nil"/>
              <w:right w:val="nil"/>
            </w:tcBorders>
          </w:tcPr>
          <w:p w14:paraId="6D75E1FA"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0.030</w:t>
            </w:r>
          </w:p>
        </w:tc>
      </w:tr>
      <w:tr w:rsidR="00244248" w:rsidRPr="00287A95" w14:paraId="093E8909" w14:textId="77777777" w:rsidTr="00335B25">
        <w:tc>
          <w:tcPr>
            <w:tcW w:w="2977" w:type="dxa"/>
            <w:tcBorders>
              <w:top w:val="nil"/>
              <w:left w:val="nil"/>
              <w:bottom w:val="nil"/>
              <w:right w:val="nil"/>
            </w:tcBorders>
          </w:tcPr>
          <w:p w14:paraId="4D876C3D"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5F504A1B"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(0.022)</w:t>
            </w:r>
          </w:p>
        </w:tc>
        <w:tc>
          <w:tcPr>
            <w:tcW w:w="1417" w:type="dxa"/>
            <w:tcBorders>
              <w:top w:val="nil"/>
              <w:left w:val="nil"/>
              <w:bottom w:val="nil"/>
              <w:right w:val="nil"/>
            </w:tcBorders>
          </w:tcPr>
          <w:p w14:paraId="2637E7DE"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(0.021)</w:t>
            </w:r>
          </w:p>
        </w:tc>
        <w:tc>
          <w:tcPr>
            <w:tcW w:w="1666" w:type="dxa"/>
            <w:tcBorders>
              <w:top w:val="nil"/>
              <w:left w:val="nil"/>
              <w:bottom w:val="nil"/>
              <w:right w:val="nil"/>
            </w:tcBorders>
          </w:tcPr>
          <w:p w14:paraId="49C7055E"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(0.029)</w:t>
            </w:r>
          </w:p>
        </w:tc>
        <w:tc>
          <w:tcPr>
            <w:tcW w:w="1984" w:type="dxa"/>
            <w:tcBorders>
              <w:top w:val="nil"/>
              <w:left w:val="nil"/>
              <w:bottom w:val="nil"/>
              <w:right w:val="nil"/>
            </w:tcBorders>
          </w:tcPr>
          <w:p w14:paraId="7325B93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(0.029)</w:t>
            </w:r>
          </w:p>
        </w:tc>
      </w:tr>
      <w:tr w:rsidR="00244248" w:rsidRPr="00287A95" w14:paraId="08855AF9" w14:textId="77777777" w:rsidTr="00335B25">
        <w:tc>
          <w:tcPr>
            <w:tcW w:w="2977" w:type="dxa"/>
            <w:tcBorders>
              <w:top w:val="nil"/>
              <w:left w:val="nil"/>
              <w:bottom w:val="nil"/>
              <w:right w:val="nil"/>
            </w:tcBorders>
          </w:tcPr>
          <w:p w14:paraId="3F1BD80A"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bottom w:val="nil"/>
              <w:right w:val="nil"/>
            </w:tcBorders>
          </w:tcPr>
          <w:p w14:paraId="2A3BD332"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7</w:t>
            </w:r>
            <w:r>
              <w:rPr>
                <w:rFonts w:asciiTheme="majorHAnsi" w:hAnsiTheme="majorHAnsi" w:cstheme="majorHAnsi"/>
                <w:sz w:val="20"/>
                <w:szCs w:val="20"/>
                <w:lang w:val="en-US"/>
              </w:rPr>
              <w:t>,</w:t>
            </w:r>
            <w:r w:rsidRPr="004C00BF">
              <w:rPr>
                <w:rFonts w:asciiTheme="majorHAnsi" w:hAnsiTheme="majorHAnsi" w:cstheme="majorHAnsi"/>
                <w:sz w:val="20"/>
                <w:szCs w:val="20"/>
                <w:lang w:val="en-US"/>
              </w:rPr>
              <w:t>179</w:t>
            </w:r>
          </w:p>
        </w:tc>
        <w:tc>
          <w:tcPr>
            <w:tcW w:w="1417" w:type="dxa"/>
            <w:tcBorders>
              <w:top w:val="nil"/>
              <w:left w:val="nil"/>
              <w:bottom w:val="nil"/>
              <w:right w:val="nil"/>
            </w:tcBorders>
          </w:tcPr>
          <w:p w14:paraId="5421FDA7"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7</w:t>
            </w:r>
            <w:r>
              <w:rPr>
                <w:rFonts w:asciiTheme="majorHAnsi" w:hAnsiTheme="majorHAnsi" w:cstheme="majorHAnsi"/>
                <w:sz w:val="20"/>
                <w:szCs w:val="20"/>
                <w:lang w:val="en-US"/>
              </w:rPr>
              <w:t>,</w:t>
            </w:r>
            <w:r w:rsidRPr="004C00BF">
              <w:rPr>
                <w:rFonts w:asciiTheme="majorHAnsi" w:hAnsiTheme="majorHAnsi" w:cstheme="majorHAnsi"/>
                <w:sz w:val="20"/>
                <w:szCs w:val="20"/>
                <w:lang w:val="en-US"/>
              </w:rPr>
              <w:t>005</w:t>
            </w:r>
          </w:p>
        </w:tc>
        <w:tc>
          <w:tcPr>
            <w:tcW w:w="1666" w:type="dxa"/>
            <w:tcBorders>
              <w:top w:val="nil"/>
              <w:left w:val="nil"/>
              <w:bottom w:val="nil"/>
              <w:right w:val="nil"/>
            </w:tcBorders>
          </w:tcPr>
          <w:p w14:paraId="370CDD5D"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7</w:t>
            </w:r>
            <w:r>
              <w:rPr>
                <w:rFonts w:asciiTheme="majorHAnsi" w:hAnsiTheme="majorHAnsi" w:cstheme="majorHAnsi"/>
                <w:sz w:val="20"/>
                <w:szCs w:val="20"/>
                <w:lang w:val="en-US"/>
              </w:rPr>
              <w:t>,</w:t>
            </w:r>
            <w:r w:rsidRPr="004C00BF">
              <w:rPr>
                <w:rFonts w:asciiTheme="majorHAnsi" w:hAnsiTheme="majorHAnsi" w:cstheme="majorHAnsi"/>
                <w:sz w:val="20"/>
                <w:szCs w:val="20"/>
                <w:lang w:val="en-US"/>
              </w:rPr>
              <w:t>179</w:t>
            </w:r>
          </w:p>
        </w:tc>
        <w:tc>
          <w:tcPr>
            <w:tcW w:w="1984" w:type="dxa"/>
            <w:tcBorders>
              <w:top w:val="nil"/>
              <w:left w:val="nil"/>
              <w:bottom w:val="nil"/>
              <w:right w:val="nil"/>
            </w:tcBorders>
          </w:tcPr>
          <w:p w14:paraId="03950FA2"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7</w:t>
            </w:r>
            <w:r>
              <w:rPr>
                <w:rFonts w:asciiTheme="majorHAnsi" w:hAnsiTheme="majorHAnsi" w:cstheme="majorHAnsi"/>
                <w:sz w:val="20"/>
                <w:szCs w:val="20"/>
                <w:lang w:val="en-US"/>
              </w:rPr>
              <w:t>,</w:t>
            </w:r>
            <w:r w:rsidRPr="004C00BF">
              <w:rPr>
                <w:rFonts w:asciiTheme="majorHAnsi" w:hAnsiTheme="majorHAnsi" w:cstheme="majorHAnsi"/>
                <w:sz w:val="20"/>
                <w:szCs w:val="20"/>
                <w:lang w:val="en-US"/>
              </w:rPr>
              <w:t>005</w:t>
            </w:r>
          </w:p>
        </w:tc>
      </w:tr>
      <w:tr w:rsidR="00244248" w:rsidRPr="00287A95" w14:paraId="5B770F9B" w14:textId="77777777" w:rsidTr="00335B25">
        <w:tc>
          <w:tcPr>
            <w:tcW w:w="2977" w:type="dxa"/>
            <w:tcBorders>
              <w:top w:val="nil"/>
              <w:left w:val="nil"/>
              <w:right w:val="nil"/>
            </w:tcBorders>
            <w:vAlign w:val="bottom"/>
          </w:tcPr>
          <w:p w14:paraId="7EFFC0DE"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right w:val="nil"/>
            </w:tcBorders>
          </w:tcPr>
          <w:p w14:paraId="3497109E"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right w:val="nil"/>
            </w:tcBorders>
          </w:tcPr>
          <w:p w14:paraId="22653C9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right w:val="nil"/>
            </w:tcBorders>
          </w:tcPr>
          <w:p w14:paraId="20D13EE0"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right w:val="nil"/>
            </w:tcBorders>
          </w:tcPr>
          <w:p w14:paraId="1665D3B2"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7232157C" w14:textId="77777777" w:rsidTr="00335B25">
        <w:tc>
          <w:tcPr>
            <w:tcW w:w="2977" w:type="dxa"/>
            <w:tcBorders>
              <w:top w:val="nil"/>
              <w:left w:val="nil"/>
              <w:bottom w:val="single" w:sz="4" w:space="0" w:color="ED7D31" w:themeColor="accent2"/>
              <w:right w:val="nil"/>
            </w:tcBorders>
            <w:vAlign w:val="center"/>
          </w:tcPr>
          <w:p w14:paraId="019E9324"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Pr>
                <w:rFonts w:asciiTheme="majorHAnsi" w:hAnsiTheme="majorHAnsi" w:cstheme="majorHAnsi"/>
                <w:b/>
                <w:bCs/>
                <w:sz w:val="20"/>
                <w:szCs w:val="20"/>
              </w:rPr>
              <w:t>Third births</w:t>
            </w:r>
          </w:p>
        </w:tc>
        <w:tc>
          <w:tcPr>
            <w:tcW w:w="1531" w:type="dxa"/>
            <w:tcBorders>
              <w:top w:val="nil"/>
              <w:left w:val="nil"/>
              <w:bottom w:val="single" w:sz="4" w:space="0" w:color="ED7D31" w:themeColor="accent2"/>
              <w:right w:val="nil"/>
            </w:tcBorders>
          </w:tcPr>
          <w:p w14:paraId="3B7F79C9"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246FE638"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73DFBB3F"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691F55F9"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37347A32" w14:textId="77777777" w:rsidTr="00335B25">
        <w:tc>
          <w:tcPr>
            <w:tcW w:w="2977" w:type="dxa"/>
            <w:tcBorders>
              <w:top w:val="single" w:sz="4" w:space="0" w:color="ED7D31" w:themeColor="accent2"/>
              <w:left w:val="nil"/>
              <w:right w:val="nil"/>
            </w:tcBorders>
          </w:tcPr>
          <w:p w14:paraId="066F22B2"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7092C8D3"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-0.017</w:t>
            </w:r>
          </w:p>
        </w:tc>
        <w:tc>
          <w:tcPr>
            <w:tcW w:w="1417" w:type="dxa"/>
            <w:tcBorders>
              <w:top w:val="single" w:sz="4" w:space="0" w:color="ED7D31" w:themeColor="accent2"/>
              <w:left w:val="nil"/>
              <w:right w:val="nil"/>
            </w:tcBorders>
          </w:tcPr>
          <w:p w14:paraId="4A2F2F67"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-0.006</w:t>
            </w:r>
          </w:p>
        </w:tc>
        <w:tc>
          <w:tcPr>
            <w:tcW w:w="1666" w:type="dxa"/>
            <w:tcBorders>
              <w:top w:val="single" w:sz="4" w:space="0" w:color="ED7D31" w:themeColor="accent2"/>
              <w:left w:val="nil"/>
              <w:right w:val="nil"/>
            </w:tcBorders>
          </w:tcPr>
          <w:p w14:paraId="0F3A59DD"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0.065***</w:t>
            </w:r>
          </w:p>
        </w:tc>
        <w:tc>
          <w:tcPr>
            <w:tcW w:w="1984" w:type="dxa"/>
            <w:tcBorders>
              <w:top w:val="single" w:sz="4" w:space="0" w:color="ED7D31" w:themeColor="accent2"/>
              <w:left w:val="nil"/>
              <w:right w:val="nil"/>
            </w:tcBorders>
          </w:tcPr>
          <w:p w14:paraId="4C9625C9"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0.043*</w:t>
            </w:r>
          </w:p>
        </w:tc>
      </w:tr>
      <w:tr w:rsidR="00244248" w:rsidRPr="00287A95" w14:paraId="4838109B" w14:textId="77777777" w:rsidTr="00335B25">
        <w:tc>
          <w:tcPr>
            <w:tcW w:w="2977" w:type="dxa"/>
            <w:tcBorders>
              <w:top w:val="nil"/>
              <w:left w:val="nil"/>
              <w:right w:val="nil"/>
            </w:tcBorders>
          </w:tcPr>
          <w:p w14:paraId="7340926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0F3D42C7"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(0.016)</w:t>
            </w:r>
          </w:p>
        </w:tc>
        <w:tc>
          <w:tcPr>
            <w:tcW w:w="1417" w:type="dxa"/>
            <w:tcBorders>
              <w:top w:val="nil"/>
              <w:left w:val="nil"/>
              <w:right w:val="nil"/>
            </w:tcBorders>
          </w:tcPr>
          <w:p w14:paraId="3C37792D"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(0.017)</w:t>
            </w:r>
          </w:p>
        </w:tc>
        <w:tc>
          <w:tcPr>
            <w:tcW w:w="1666" w:type="dxa"/>
            <w:tcBorders>
              <w:top w:val="nil"/>
              <w:left w:val="nil"/>
              <w:right w:val="nil"/>
            </w:tcBorders>
          </w:tcPr>
          <w:p w14:paraId="3730859F"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(0.022)</w:t>
            </w:r>
          </w:p>
        </w:tc>
        <w:tc>
          <w:tcPr>
            <w:tcW w:w="1984" w:type="dxa"/>
            <w:tcBorders>
              <w:top w:val="nil"/>
              <w:left w:val="nil"/>
              <w:right w:val="nil"/>
            </w:tcBorders>
          </w:tcPr>
          <w:p w14:paraId="5B82E92B"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lang w:val="en-US"/>
              </w:rPr>
              <w:t>(0.023)</w:t>
            </w:r>
          </w:p>
        </w:tc>
      </w:tr>
      <w:tr w:rsidR="00244248" w:rsidRPr="00287A95" w14:paraId="63BD6607" w14:textId="77777777" w:rsidTr="00335B25">
        <w:tc>
          <w:tcPr>
            <w:tcW w:w="2977" w:type="dxa"/>
            <w:tcBorders>
              <w:top w:val="nil"/>
              <w:left w:val="nil"/>
              <w:right w:val="nil"/>
            </w:tcBorders>
          </w:tcPr>
          <w:p w14:paraId="29E1D90F"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right w:val="nil"/>
            </w:tcBorders>
          </w:tcPr>
          <w:p w14:paraId="5850EA9E"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9</w:t>
            </w:r>
            <w:r>
              <w:rPr>
                <w:rFonts w:asciiTheme="majorHAnsi" w:hAnsiTheme="majorHAnsi" w:cstheme="majorHAnsi"/>
                <w:sz w:val="20"/>
                <w:szCs w:val="20"/>
                <w:lang w:val="en-US"/>
              </w:rPr>
              <w:t>,</w:t>
            </w:r>
            <w:r w:rsidRPr="004C00BF">
              <w:rPr>
                <w:rFonts w:asciiTheme="majorHAnsi" w:hAnsiTheme="majorHAnsi" w:cstheme="majorHAnsi"/>
                <w:sz w:val="20"/>
                <w:szCs w:val="20"/>
                <w:lang w:val="en-US"/>
              </w:rPr>
              <w:t>029</w:t>
            </w:r>
          </w:p>
        </w:tc>
        <w:tc>
          <w:tcPr>
            <w:tcW w:w="1417" w:type="dxa"/>
            <w:tcBorders>
              <w:top w:val="nil"/>
              <w:left w:val="nil"/>
              <w:right w:val="nil"/>
            </w:tcBorders>
          </w:tcPr>
          <w:p w14:paraId="334584E5"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8</w:t>
            </w:r>
            <w:r>
              <w:rPr>
                <w:rFonts w:asciiTheme="majorHAnsi" w:hAnsiTheme="majorHAnsi" w:cstheme="majorHAnsi"/>
                <w:sz w:val="20"/>
                <w:szCs w:val="20"/>
                <w:lang w:val="en-US"/>
              </w:rPr>
              <w:t>,</w:t>
            </w:r>
            <w:r w:rsidRPr="004C00BF">
              <w:rPr>
                <w:rFonts w:asciiTheme="majorHAnsi" w:hAnsiTheme="majorHAnsi" w:cstheme="majorHAnsi"/>
                <w:sz w:val="20"/>
                <w:szCs w:val="20"/>
                <w:lang w:val="en-US"/>
              </w:rPr>
              <w:t>706</w:t>
            </w:r>
          </w:p>
        </w:tc>
        <w:tc>
          <w:tcPr>
            <w:tcW w:w="1666" w:type="dxa"/>
            <w:tcBorders>
              <w:top w:val="nil"/>
              <w:left w:val="nil"/>
              <w:right w:val="nil"/>
            </w:tcBorders>
          </w:tcPr>
          <w:p w14:paraId="0D080256"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9</w:t>
            </w:r>
            <w:r>
              <w:rPr>
                <w:rFonts w:asciiTheme="majorHAnsi" w:hAnsiTheme="majorHAnsi" w:cstheme="majorHAnsi"/>
                <w:sz w:val="20"/>
                <w:szCs w:val="20"/>
                <w:lang w:val="en-US"/>
              </w:rPr>
              <w:t>,</w:t>
            </w:r>
            <w:r w:rsidRPr="004C00BF">
              <w:rPr>
                <w:rFonts w:asciiTheme="majorHAnsi" w:hAnsiTheme="majorHAnsi" w:cstheme="majorHAnsi"/>
                <w:sz w:val="20"/>
                <w:szCs w:val="20"/>
                <w:lang w:val="en-US"/>
              </w:rPr>
              <w:t>029</w:t>
            </w:r>
          </w:p>
        </w:tc>
        <w:tc>
          <w:tcPr>
            <w:tcW w:w="1984" w:type="dxa"/>
            <w:tcBorders>
              <w:top w:val="nil"/>
              <w:left w:val="nil"/>
              <w:right w:val="nil"/>
            </w:tcBorders>
          </w:tcPr>
          <w:p w14:paraId="074E591D"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8</w:t>
            </w:r>
            <w:r>
              <w:rPr>
                <w:rFonts w:asciiTheme="majorHAnsi" w:hAnsiTheme="majorHAnsi" w:cstheme="majorHAnsi"/>
                <w:sz w:val="20"/>
                <w:szCs w:val="20"/>
                <w:lang w:val="en-US"/>
              </w:rPr>
              <w:t>,</w:t>
            </w:r>
            <w:r w:rsidRPr="004C00BF">
              <w:rPr>
                <w:rFonts w:asciiTheme="majorHAnsi" w:hAnsiTheme="majorHAnsi" w:cstheme="majorHAnsi"/>
                <w:sz w:val="20"/>
                <w:szCs w:val="20"/>
                <w:lang w:val="en-US"/>
              </w:rPr>
              <w:t>706</w:t>
            </w:r>
          </w:p>
        </w:tc>
      </w:tr>
      <w:tr w:rsidR="00244248" w:rsidRPr="00287A95" w14:paraId="49213BE3" w14:textId="77777777" w:rsidTr="00335B25">
        <w:tc>
          <w:tcPr>
            <w:tcW w:w="2977" w:type="dxa"/>
            <w:tcBorders>
              <w:top w:val="nil"/>
              <w:left w:val="nil"/>
              <w:right w:val="nil"/>
            </w:tcBorders>
            <w:vAlign w:val="bottom"/>
          </w:tcPr>
          <w:p w14:paraId="74001918"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right w:val="nil"/>
            </w:tcBorders>
          </w:tcPr>
          <w:p w14:paraId="42CFA5E7"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right w:val="nil"/>
            </w:tcBorders>
          </w:tcPr>
          <w:p w14:paraId="331C763F"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right w:val="nil"/>
            </w:tcBorders>
          </w:tcPr>
          <w:p w14:paraId="65F114DE"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right w:val="nil"/>
            </w:tcBorders>
          </w:tcPr>
          <w:p w14:paraId="6CBA7B83" w14:textId="77777777" w:rsidR="00244248" w:rsidRPr="00231533"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7B9270F9" w14:textId="77777777" w:rsidTr="00335B25">
        <w:tc>
          <w:tcPr>
            <w:tcW w:w="2977" w:type="dxa"/>
            <w:tcBorders>
              <w:top w:val="nil"/>
              <w:left w:val="nil"/>
              <w:bottom w:val="single" w:sz="4" w:space="0" w:color="ED7D31" w:themeColor="accent2"/>
              <w:right w:val="nil"/>
            </w:tcBorders>
            <w:vAlign w:val="bottom"/>
          </w:tcPr>
          <w:p w14:paraId="1B035181"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b/>
                <w:bCs/>
                <w:sz w:val="20"/>
                <w:szCs w:val="20"/>
              </w:rPr>
              <w:t>Model specifications</w:t>
            </w:r>
          </w:p>
        </w:tc>
        <w:tc>
          <w:tcPr>
            <w:tcW w:w="1531" w:type="dxa"/>
            <w:tcBorders>
              <w:top w:val="nil"/>
              <w:left w:val="nil"/>
              <w:bottom w:val="single" w:sz="4" w:space="0" w:color="ED7D31" w:themeColor="accent2"/>
              <w:right w:val="nil"/>
            </w:tcBorders>
          </w:tcPr>
          <w:p w14:paraId="695A73C3" w14:textId="77777777" w:rsidR="00244248" w:rsidRPr="00931E61" w:rsidRDefault="00244248" w:rsidP="00335B25">
            <w:pPr>
              <w:widowControl w:val="0"/>
              <w:autoSpaceDE w:val="0"/>
              <w:autoSpaceDN w:val="0"/>
              <w:adjustRightInd w:val="0"/>
              <w:spacing w:after="0" w:line="240" w:lineRule="auto"/>
              <w:jc w:val="center"/>
            </w:pPr>
          </w:p>
        </w:tc>
        <w:tc>
          <w:tcPr>
            <w:tcW w:w="1417" w:type="dxa"/>
            <w:tcBorders>
              <w:top w:val="nil"/>
              <w:left w:val="nil"/>
              <w:bottom w:val="single" w:sz="4" w:space="0" w:color="ED7D31" w:themeColor="accent2"/>
              <w:right w:val="nil"/>
            </w:tcBorders>
          </w:tcPr>
          <w:p w14:paraId="4E17FEFE" w14:textId="77777777" w:rsidR="00244248" w:rsidRPr="00931E61" w:rsidRDefault="00244248" w:rsidP="00335B25">
            <w:pPr>
              <w:widowControl w:val="0"/>
              <w:autoSpaceDE w:val="0"/>
              <w:autoSpaceDN w:val="0"/>
              <w:adjustRightInd w:val="0"/>
              <w:spacing w:after="0" w:line="240" w:lineRule="auto"/>
              <w:jc w:val="center"/>
            </w:pPr>
          </w:p>
        </w:tc>
        <w:tc>
          <w:tcPr>
            <w:tcW w:w="1666" w:type="dxa"/>
            <w:tcBorders>
              <w:top w:val="nil"/>
              <w:left w:val="nil"/>
              <w:bottom w:val="single" w:sz="4" w:space="0" w:color="ED7D31" w:themeColor="accent2"/>
              <w:right w:val="nil"/>
            </w:tcBorders>
          </w:tcPr>
          <w:p w14:paraId="099E397B" w14:textId="77777777" w:rsidR="00244248" w:rsidRPr="00931E61" w:rsidRDefault="00244248" w:rsidP="00335B25">
            <w:pPr>
              <w:widowControl w:val="0"/>
              <w:autoSpaceDE w:val="0"/>
              <w:autoSpaceDN w:val="0"/>
              <w:adjustRightInd w:val="0"/>
              <w:spacing w:after="0" w:line="240" w:lineRule="auto"/>
              <w:jc w:val="center"/>
            </w:pPr>
          </w:p>
        </w:tc>
        <w:tc>
          <w:tcPr>
            <w:tcW w:w="1984" w:type="dxa"/>
            <w:tcBorders>
              <w:top w:val="nil"/>
              <w:left w:val="nil"/>
              <w:bottom w:val="single" w:sz="4" w:space="0" w:color="ED7D31" w:themeColor="accent2"/>
              <w:right w:val="nil"/>
            </w:tcBorders>
          </w:tcPr>
          <w:p w14:paraId="160FEA0B" w14:textId="77777777" w:rsidR="00244248" w:rsidRPr="00931E61" w:rsidRDefault="00244248" w:rsidP="00335B25">
            <w:pPr>
              <w:widowControl w:val="0"/>
              <w:autoSpaceDE w:val="0"/>
              <w:autoSpaceDN w:val="0"/>
              <w:adjustRightInd w:val="0"/>
              <w:spacing w:after="0" w:line="240" w:lineRule="auto"/>
              <w:jc w:val="center"/>
            </w:pPr>
          </w:p>
        </w:tc>
      </w:tr>
      <w:tr w:rsidR="00244248" w:rsidRPr="00287A95" w14:paraId="1C318AC3" w14:textId="77777777" w:rsidTr="00335B25">
        <w:tc>
          <w:tcPr>
            <w:tcW w:w="2977" w:type="dxa"/>
            <w:tcBorders>
              <w:top w:val="single" w:sz="4" w:space="0" w:color="ED7D31" w:themeColor="accent2"/>
              <w:left w:val="nil"/>
              <w:right w:val="nil"/>
            </w:tcBorders>
          </w:tcPr>
          <w:p w14:paraId="3C04FD8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287A95">
              <w:rPr>
                <w:rFonts w:asciiTheme="majorHAnsi" w:hAnsiTheme="majorHAnsi" w:cstheme="majorHAnsi"/>
                <w:sz w:val="20"/>
                <w:szCs w:val="20"/>
              </w:rPr>
              <w:t>Year and State Fixed Effects</w:t>
            </w:r>
          </w:p>
        </w:tc>
        <w:tc>
          <w:tcPr>
            <w:tcW w:w="1531" w:type="dxa"/>
            <w:tcBorders>
              <w:top w:val="single" w:sz="4" w:space="0" w:color="ED7D31" w:themeColor="accent2"/>
              <w:left w:val="nil"/>
              <w:right w:val="nil"/>
            </w:tcBorders>
          </w:tcPr>
          <w:p w14:paraId="267E6A93"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417" w:type="dxa"/>
            <w:tcBorders>
              <w:top w:val="single" w:sz="4" w:space="0" w:color="ED7D31" w:themeColor="accent2"/>
              <w:left w:val="nil"/>
              <w:right w:val="nil"/>
            </w:tcBorders>
          </w:tcPr>
          <w:p w14:paraId="5ACB5707"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666" w:type="dxa"/>
            <w:tcBorders>
              <w:top w:val="single" w:sz="4" w:space="0" w:color="ED7D31" w:themeColor="accent2"/>
              <w:left w:val="nil"/>
              <w:right w:val="nil"/>
            </w:tcBorders>
          </w:tcPr>
          <w:p w14:paraId="45D68846"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c>
          <w:tcPr>
            <w:tcW w:w="1984" w:type="dxa"/>
            <w:tcBorders>
              <w:top w:val="single" w:sz="4" w:space="0" w:color="ED7D31" w:themeColor="accent2"/>
              <w:left w:val="nil"/>
              <w:right w:val="nil"/>
            </w:tcBorders>
          </w:tcPr>
          <w:p w14:paraId="5236D260" w14:textId="77777777" w:rsidR="00244248" w:rsidRPr="00931E61" w:rsidRDefault="00244248" w:rsidP="00335B25">
            <w:pPr>
              <w:widowControl w:val="0"/>
              <w:autoSpaceDE w:val="0"/>
              <w:autoSpaceDN w:val="0"/>
              <w:adjustRightInd w:val="0"/>
              <w:spacing w:after="0" w:line="240" w:lineRule="auto"/>
              <w:jc w:val="center"/>
            </w:pPr>
            <w:r w:rsidRPr="00287A95">
              <w:rPr>
                <w:rFonts w:asciiTheme="majorHAnsi" w:hAnsiTheme="majorHAnsi" w:cstheme="majorHAnsi"/>
                <w:sz w:val="20"/>
                <w:szCs w:val="20"/>
              </w:rPr>
              <w:t>Yes</w:t>
            </w:r>
          </w:p>
        </w:tc>
      </w:tr>
      <w:tr w:rsidR="00244248" w:rsidRPr="00287A95" w14:paraId="71916874" w14:textId="77777777" w:rsidTr="00335B25">
        <w:tc>
          <w:tcPr>
            <w:tcW w:w="2977" w:type="dxa"/>
            <w:tcBorders>
              <w:top w:val="nil"/>
              <w:left w:val="nil"/>
              <w:right w:val="nil"/>
            </w:tcBorders>
          </w:tcPr>
          <w:p w14:paraId="33A5252B"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Time-varying Demographics</w:t>
            </w:r>
          </w:p>
        </w:tc>
        <w:tc>
          <w:tcPr>
            <w:tcW w:w="1531" w:type="dxa"/>
            <w:tcBorders>
              <w:top w:val="nil"/>
              <w:left w:val="nil"/>
              <w:right w:val="nil"/>
            </w:tcBorders>
          </w:tcPr>
          <w:p w14:paraId="618FC3A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right w:val="nil"/>
            </w:tcBorders>
          </w:tcPr>
          <w:p w14:paraId="6351C01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666" w:type="dxa"/>
            <w:tcBorders>
              <w:top w:val="nil"/>
              <w:left w:val="nil"/>
              <w:right w:val="nil"/>
            </w:tcBorders>
          </w:tcPr>
          <w:p w14:paraId="52445906"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984" w:type="dxa"/>
            <w:tcBorders>
              <w:top w:val="nil"/>
              <w:left w:val="nil"/>
              <w:right w:val="nil"/>
            </w:tcBorders>
          </w:tcPr>
          <w:p w14:paraId="23182D5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r>
      <w:tr w:rsidR="00244248" w:rsidRPr="00287A95" w14:paraId="5460B881" w14:textId="77777777" w:rsidTr="00335B25">
        <w:tc>
          <w:tcPr>
            <w:tcW w:w="2977" w:type="dxa"/>
            <w:tcBorders>
              <w:top w:val="nil"/>
              <w:left w:val="nil"/>
              <w:right w:val="nil"/>
            </w:tcBorders>
          </w:tcPr>
          <w:p w14:paraId="72612D43"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Time-invariant Demographics</w:t>
            </w:r>
          </w:p>
        </w:tc>
        <w:tc>
          <w:tcPr>
            <w:tcW w:w="1531" w:type="dxa"/>
            <w:tcBorders>
              <w:top w:val="nil"/>
              <w:left w:val="nil"/>
              <w:right w:val="nil"/>
            </w:tcBorders>
          </w:tcPr>
          <w:p w14:paraId="15125EC0"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right w:val="nil"/>
            </w:tcBorders>
          </w:tcPr>
          <w:p w14:paraId="7CC9A584"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666" w:type="dxa"/>
            <w:tcBorders>
              <w:top w:val="nil"/>
              <w:left w:val="nil"/>
              <w:right w:val="nil"/>
            </w:tcBorders>
          </w:tcPr>
          <w:p w14:paraId="5EDFBAE1"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984" w:type="dxa"/>
            <w:tcBorders>
              <w:top w:val="nil"/>
              <w:left w:val="nil"/>
              <w:right w:val="nil"/>
            </w:tcBorders>
          </w:tcPr>
          <w:p w14:paraId="48112261"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r>
      <w:tr w:rsidR="00244248" w:rsidRPr="00287A95" w14:paraId="5A57F5C7" w14:textId="77777777" w:rsidTr="00335B25">
        <w:tc>
          <w:tcPr>
            <w:tcW w:w="2977" w:type="dxa"/>
            <w:tcBorders>
              <w:top w:val="nil"/>
              <w:left w:val="nil"/>
              <w:bottom w:val="single" w:sz="4" w:space="0" w:color="ED7D31" w:themeColor="accent2"/>
              <w:right w:val="nil"/>
            </w:tcBorders>
          </w:tcPr>
          <w:p w14:paraId="1D9321D4"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30858A3F"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0E1570A0"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678E6684"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5CFFBF3A"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Yes</w:t>
            </w:r>
          </w:p>
        </w:tc>
      </w:tr>
    </w:tbl>
    <w:p w14:paraId="7B7CA7BC" w14:textId="77777777" w:rsidR="00244248"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783BCC55" w14:textId="77777777" w:rsidR="00244248"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291ACE98" w14:textId="77777777" w:rsidR="00244248" w:rsidRDefault="00244248" w:rsidP="00244248">
      <w:pPr>
        <w:rPr>
          <w:rFonts w:ascii="Tw Cen MT Condensed" w:hAnsi="Tw Cen MT Condensed"/>
          <w:sz w:val="28"/>
          <w:szCs w:val="28"/>
        </w:rPr>
      </w:pPr>
      <w:r>
        <w:rPr>
          <w:rFonts w:ascii="Tw Cen MT Condensed" w:hAnsi="Tw Cen MT Condensed"/>
          <w:sz w:val="28"/>
          <w:szCs w:val="28"/>
        </w:rPr>
        <w:br w:type="page"/>
      </w:r>
    </w:p>
    <w:p w14:paraId="04745E7C" w14:textId="6B5C5344" w:rsidR="00244248" w:rsidRDefault="00244248" w:rsidP="00244248">
      <w:r>
        <w:lastRenderedPageBreak/>
        <w:t xml:space="preserve">Table </w:t>
      </w:r>
      <w:r w:rsidR="00CE06A6">
        <w:t>52</w:t>
      </w:r>
      <w:r>
        <w:t xml:space="preserve"> shows the results for the additional fertility outcomes: childbearing desires, expectations and additionally intended children. </w:t>
      </w:r>
    </w:p>
    <w:p w14:paraId="7F597689" w14:textId="5EBD13EC" w:rsidR="00244248" w:rsidRDefault="00244248" w:rsidP="00244248">
      <w:pPr>
        <w:pStyle w:val="Caption"/>
        <w:keepNext/>
      </w:pPr>
      <w:r>
        <w:t xml:space="preserve">Table </w:t>
      </w:r>
      <w:fldSimple w:instr=" SEQ Table \* ARABIC ">
        <w:r w:rsidR="00115E22">
          <w:rPr>
            <w:noProof/>
          </w:rPr>
          <w:t>52</w:t>
        </w:r>
      </w:fldSimple>
      <w:r>
        <w:t xml:space="preserve"> </w:t>
      </w:r>
      <w:r w:rsidRPr="00EC194F">
        <w:t xml:space="preserve">Effect of </w:t>
      </w:r>
      <w:r>
        <w:t xml:space="preserve">Parental Leave Pay </w:t>
      </w:r>
      <w:r w:rsidRPr="00EC194F">
        <w:t xml:space="preserve"> on </w:t>
      </w:r>
      <w:r>
        <w:t>childbearing desires, expectations and additionally intended children</w:t>
      </w:r>
      <w:r w:rsidRPr="00EC194F">
        <w:t>: DiD estimates</w:t>
      </w:r>
      <w:r>
        <w:t xml:space="preserve"> (Identification strategy II)</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287A95" w14:paraId="7149BB2C" w14:textId="77777777" w:rsidTr="00335B25">
        <w:tc>
          <w:tcPr>
            <w:tcW w:w="2977" w:type="dxa"/>
            <w:tcBorders>
              <w:top w:val="single" w:sz="4" w:space="0" w:color="ED7D31" w:themeColor="accent2"/>
              <w:left w:val="nil"/>
              <w:bottom w:val="nil"/>
              <w:right w:val="nil"/>
            </w:tcBorders>
            <w:shd w:val="clear" w:color="auto" w:fill="FBE4D5" w:themeFill="accent2" w:themeFillTint="33"/>
          </w:tcPr>
          <w:p w14:paraId="26256E84"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ED7D31" w:themeColor="accent2"/>
              <w:left w:val="nil"/>
              <w:bottom w:val="nil"/>
              <w:right w:val="nil"/>
            </w:tcBorders>
            <w:shd w:val="clear" w:color="auto" w:fill="FBE4D5" w:themeFill="accent2" w:themeFillTint="33"/>
          </w:tcPr>
          <w:p w14:paraId="050D847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(1)</w:t>
            </w:r>
          </w:p>
        </w:tc>
        <w:tc>
          <w:tcPr>
            <w:tcW w:w="1417" w:type="dxa"/>
            <w:tcBorders>
              <w:top w:val="single" w:sz="4" w:space="0" w:color="ED7D31" w:themeColor="accent2"/>
              <w:left w:val="nil"/>
              <w:bottom w:val="nil"/>
              <w:right w:val="nil"/>
            </w:tcBorders>
            <w:shd w:val="clear" w:color="auto" w:fill="FBE4D5" w:themeFill="accent2" w:themeFillTint="33"/>
          </w:tcPr>
          <w:p w14:paraId="729F79C8"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(2)</w:t>
            </w:r>
          </w:p>
        </w:tc>
        <w:tc>
          <w:tcPr>
            <w:tcW w:w="1666" w:type="dxa"/>
            <w:tcBorders>
              <w:top w:val="single" w:sz="4" w:space="0" w:color="ED7D31" w:themeColor="accent2"/>
              <w:left w:val="nil"/>
              <w:bottom w:val="nil"/>
              <w:right w:val="nil"/>
            </w:tcBorders>
            <w:shd w:val="clear" w:color="auto" w:fill="FBE4D5" w:themeFill="accent2" w:themeFillTint="33"/>
          </w:tcPr>
          <w:p w14:paraId="6B0FE278"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(3)</w:t>
            </w:r>
          </w:p>
        </w:tc>
        <w:tc>
          <w:tcPr>
            <w:tcW w:w="1984" w:type="dxa"/>
            <w:tcBorders>
              <w:top w:val="single" w:sz="4" w:space="0" w:color="ED7D31" w:themeColor="accent2"/>
              <w:left w:val="nil"/>
              <w:bottom w:val="nil"/>
              <w:right w:val="nil"/>
            </w:tcBorders>
            <w:shd w:val="clear" w:color="auto" w:fill="FBE4D5" w:themeFill="accent2" w:themeFillTint="33"/>
          </w:tcPr>
          <w:p w14:paraId="5B6FF653"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(4)</w:t>
            </w:r>
          </w:p>
        </w:tc>
      </w:tr>
      <w:tr w:rsidR="00244248" w:rsidRPr="00287A95" w14:paraId="657AA654"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349E6BD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3C9BDD7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428BE736"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0C31D950"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6F6A8B9B"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87A95">
              <w:rPr>
                <w:rFonts w:asciiTheme="majorHAnsi" w:hAnsiTheme="majorHAnsi" w:cstheme="majorHAnsi"/>
                <w:sz w:val="20"/>
                <w:szCs w:val="20"/>
              </w:rPr>
              <w:t>OLS-fixed effect</w:t>
            </w:r>
          </w:p>
        </w:tc>
      </w:tr>
      <w:tr w:rsidR="00244248" w:rsidRPr="00287A95" w14:paraId="443EB17B"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2D4BC972"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Childbearing desires</w:t>
            </w:r>
          </w:p>
        </w:tc>
        <w:tc>
          <w:tcPr>
            <w:tcW w:w="1531" w:type="dxa"/>
            <w:tcBorders>
              <w:top w:val="single" w:sz="4" w:space="0" w:color="ED7D31" w:themeColor="accent2"/>
              <w:left w:val="nil"/>
              <w:bottom w:val="single" w:sz="4" w:space="0" w:color="ED7D31" w:themeColor="accent2"/>
              <w:right w:val="nil"/>
            </w:tcBorders>
          </w:tcPr>
          <w:p w14:paraId="4F7BE797"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5F706924"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767E6962"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6A9DD69A" w14:textId="77777777" w:rsidR="00244248" w:rsidRPr="00287A9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287A95" w14:paraId="371B2A9D" w14:textId="77777777" w:rsidTr="00335B25">
        <w:tc>
          <w:tcPr>
            <w:tcW w:w="2977" w:type="dxa"/>
            <w:tcBorders>
              <w:top w:val="single" w:sz="4" w:space="0" w:color="ED7D31" w:themeColor="accent2"/>
              <w:left w:val="nil"/>
              <w:right w:val="nil"/>
            </w:tcBorders>
          </w:tcPr>
          <w:p w14:paraId="342B85DD"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04BB4262"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0.115</w:t>
            </w:r>
          </w:p>
        </w:tc>
        <w:tc>
          <w:tcPr>
            <w:tcW w:w="1417" w:type="dxa"/>
            <w:tcBorders>
              <w:top w:val="single" w:sz="4" w:space="0" w:color="ED7D31" w:themeColor="accent2"/>
              <w:left w:val="nil"/>
              <w:right w:val="nil"/>
            </w:tcBorders>
          </w:tcPr>
          <w:p w14:paraId="1EEE6DF0"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0.117</w:t>
            </w:r>
          </w:p>
        </w:tc>
        <w:tc>
          <w:tcPr>
            <w:tcW w:w="1666" w:type="dxa"/>
            <w:tcBorders>
              <w:top w:val="single" w:sz="4" w:space="0" w:color="ED7D31" w:themeColor="accent2"/>
              <w:left w:val="nil"/>
              <w:right w:val="nil"/>
            </w:tcBorders>
          </w:tcPr>
          <w:p w14:paraId="3BFC5CD7"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0.143</w:t>
            </w:r>
          </w:p>
        </w:tc>
        <w:tc>
          <w:tcPr>
            <w:tcW w:w="1984" w:type="dxa"/>
            <w:tcBorders>
              <w:top w:val="single" w:sz="4" w:space="0" w:color="ED7D31" w:themeColor="accent2"/>
              <w:left w:val="nil"/>
              <w:right w:val="nil"/>
            </w:tcBorders>
          </w:tcPr>
          <w:p w14:paraId="5B8276FA"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0.091</w:t>
            </w:r>
          </w:p>
        </w:tc>
      </w:tr>
      <w:tr w:rsidR="00244248" w:rsidRPr="00287A95" w14:paraId="16D05E69" w14:textId="77777777" w:rsidTr="00335B25">
        <w:tc>
          <w:tcPr>
            <w:tcW w:w="2977" w:type="dxa"/>
            <w:tcBorders>
              <w:top w:val="nil"/>
              <w:left w:val="nil"/>
              <w:right w:val="nil"/>
            </w:tcBorders>
          </w:tcPr>
          <w:p w14:paraId="283EA20D"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05DB9E79"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(0.110)</w:t>
            </w:r>
          </w:p>
        </w:tc>
        <w:tc>
          <w:tcPr>
            <w:tcW w:w="1417" w:type="dxa"/>
            <w:tcBorders>
              <w:top w:val="nil"/>
              <w:left w:val="nil"/>
              <w:right w:val="nil"/>
            </w:tcBorders>
          </w:tcPr>
          <w:p w14:paraId="555B41F3"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(0.108)</w:t>
            </w:r>
          </w:p>
        </w:tc>
        <w:tc>
          <w:tcPr>
            <w:tcW w:w="1666" w:type="dxa"/>
            <w:tcBorders>
              <w:top w:val="nil"/>
              <w:left w:val="nil"/>
              <w:right w:val="nil"/>
            </w:tcBorders>
          </w:tcPr>
          <w:p w14:paraId="28FDF7BF"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(0.107)</w:t>
            </w:r>
          </w:p>
        </w:tc>
        <w:tc>
          <w:tcPr>
            <w:tcW w:w="1984" w:type="dxa"/>
            <w:tcBorders>
              <w:top w:val="nil"/>
              <w:left w:val="nil"/>
              <w:right w:val="nil"/>
            </w:tcBorders>
          </w:tcPr>
          <w:p w14:paraId="3216268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(0.105)</w:t>
            </w:r>
          </w:p>
        </w:tc>
      </w:tr>
      <w:tr w:rsidR="00244248" w:rsidRPr="00287A95" w14:paraId="0EABBF3E" w14:textId="77777777" w:rsidTr="00335B25">
        <w:tc>
          <w:tcPr>
            <w:tcW w:w="2977" w:type="dxa"/>
            <w:tcBorders>
              <w:left w:val="nil"/>
              <w:right w:val="nil"/>
            </w:tcBorders>
          </w:tcPr>
          <w:p w14:paraId="52C2AE6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left w:val="nil"/>
              <w:right w:val="nil"/>
            </w:tcBorders>
          </w:tcPr>
          <w:p w14:paraId="11AA3BA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rPr>
              <w:t>30,482</w:t>
            </w:r>
          </w:p>
        </w:tc>
        <w:tc>
          <w:tcPr>
            <w:tcW w:w="1417" w:type="dxa"/>
            <w:tcBorders>
              <w:left w:val="nil"/>
              <w:right w:val="nil"/>
            </w:tcBorders>
          </w:tcPr>
          <w:p w14:paraId="4ABE5386"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rPr>
              <w:t>29,695</w:t>
            </w:r>
          </w:p>
        </w:tc>
        <w:tc>
          <w:tcPr>
            <w:tcW w:w="1666" w:type="dxa"/>
            <w:tcBorders>
              <w:left w:val="nil"/>
              <w:right w:val="nil"/>
            </w:tcBorders>
          </w:tcPr>
          <w:p w14:paraId="029712D3"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rPr>
              <w:t>30,482</w:t>
            </w:r>
          </w:p>
        </w:tc>
        <w:tc>
          <w:tcPr>
            <w:tcW w:w="1984" w:type="dxa"/>
            <w:tcBorders>
              <w:left w:val="nil"/>
              <w:right w:val="nil"/>
            </w:tcBorders>
          </w:tcPr>
          <w:p w14:paraId="78B9E5A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rPr>
              <w:t>29,695</w:t>
            </w:r>
          </w:p>
        </w:tc>
      </w:tr>
      <w:tr w:rsidR="00244248" w:rsidRPr="00287A95" w14:paraId="0B9F111C" w14:textId="77777777" w:rsidTr="00335B25">
        <w:tc>
          <w:tcPr>
            <w:tcW w:w="2977" w:type="dxa"/>
            <w:tcBorders>
              <w:top w:val="nil"/>
              <w:left w:val="nil"/>
              <w:bottom w:val="nil"/>
              <w:right w:val="nil"/>
            </w:tcBorders>
          </w:tcPr>
          <w:p w14:paraId="6DD45EE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nil"/>
              <w:right w:val="nil"/>
            </w:tcBorders>
          </w:tcPr>
          <w:p w14:paraId="0749924C"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nil"/>
              <w:right w:val="nil"/>
            </w:tcBorders>
          </w:tcPr>
          <w:p w14:paraId="2C7E2116"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nil"/>
              <w:right w:val="nil"/>
            </w:tcBorders>
          </w:tcPr>
          <w:p w14:paraId="7DC81AA9"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nil"/>
              <w:right w:val="nil"/>
            </w:tcBorders>
          </w:tcPr>
          <w:p w14:paraId="00B3C527"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2743E805" w14:textId="77777777" w:rsidTr="00335B25">
        <w:trPr>
          <w:trHeight w:val="283"/>
        </w:trPr>
        <w:tc>
          <w:tcPr>
            <w:tcW w:w="2977" w:type="dxa"/>
            <w:tcBorders>
              <w:left w:val="nil"/>
              <w:bottom w:val="single" w:sz="4" w:space="0" w:color="ED7D31" w:themeColor="accent2"/>
              <w:right w:val="nil"/>
            </w:tcBorders>
            <w:vAlign w:val="bottom"/>
          </w:tcPr>
          <w:p w14:paraId="70600B8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8A6572">
              <w:rPr>
                <w:rFonts w:asciiTheme="majorHAnsi" w:hAnsiTheme="majorHAnsi" w:cstheme="majorHAnsi"/>
                <w:b/>
                <w:bCs/>
                <w:sz w:val="20"/>
                <w:szCs w:val="20"/>
              </w:rPr>
              <w:t>Childbearing expectations</w:t>
            </w:r>
          </w:p>
        </w:tc>
        <w:tc>
          <w:tcPr>
            <w:tcW w:w="1531" w:type="dxa"/>
            <w:tcBorders>
              <w:left w:val="nil"/>
              <w:bottom w:val="single" w:sz="4" w:space="0" w:color="ED7D31" w:themeColor="accent2"/>
              <w:right w:val="nil"/>
            </w:tcBorders>
          </w:tcPr>
          <w:p w14:paraId="2FA733C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left w:val="nil"/>
              <w:bottom w:val="single" w:sz="4" w:space="0" w:color="ED7D31" w:themeColor="accent2"/>
              <w:right w:val="nil"/>
            </w:tcBorders>
          </w:tcPr>
          <w:p w14:paraId="3C79AFDC"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235C539B"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28001C2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287A95" w14:paraId="6EBB25A7" w14:textId="77777777" w:rsidTr="00335B25">
        <w:tc>
          <w:tcPr>
            <w:tcW w:w="2977" w:type="dxa"/>
            <w:tcBorders>
              <w:top w:val="single" w:sz="4" w:space="0" w:color="ED7D31" w:themeColor="accent2"/>
              <w:left w:val="nil"/>
              <w:bottom w:val="nil"/>
              <w:right w:val="nil"/>
            </w:tcBorders>
          </w:tcPr>
          <w:p w14:paraId="7328CCF9"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7F4C5F65"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0.106</w:t>
            </w:r>
          </w:p>
        </w:tc>
        <w:tc>
          <w:tcPr>
            <w:tcW w:w="1417" w:type="dxa"/>
            <w:tcBorders>
              <w:top w:val="single" w:sz="4" w:space="0" w:color="ED7D31" w:themeColor="accent2"/>
              <w:left w:val="nil"/>
              <w:bottom w:val="nil"/>
              <w:right w:val="nil"/>
            </w:tcBorders>
          </w:tcPr>
          <w:p w14:paraId="2FF4981C"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0.105</w:t>
            </w:r>
          </w:p>
        </w:tc>
        <w:tc>
          <w:tcPr>
            <w:tcW w:w="1666" w:type="dxa"/>
            <w:tcBorders>
              <w:top w:val="single" w:sz="4" w:space="0" w:color="ED7D31" w:themeColor="accent2"/>
              <w:left w:val="nil"/>
              <w:bottom w:val="nil"/>
              <w:right w:val="nil"/>
            </w:tcBorders>
          </w:tcPr>
          <w:p w14:paraId="557C2BBC"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0.048</w:t>
            </w:r>
          </w:p>
        </w:tc>
        <w:tc>
          <w:tcPr>
            <w:tcW w:w="1984" w:type="dxa"/>
            <w:tcBorders>
              <w:top w:val="single" w:sz="4" w:space="0" w:color="ED7D31" w:themeColor="accent2"/>
              <w:left w:val="nil"/>
              <w:bottom w:val="nil"/>
              <w:right w:val="nil"/>
            </w:tcBorders>
          </w:tcPr>
          <w:p w14:paraId="17A6A2AB"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-0.020</w:t>
            </w:r>
          </w:p>
        </w:tc>
      </w:tr>
      <w:tr w:rsidR="00244248" w:rsidRPr="00287A95" w14:paraId="370C3BD1" w14:textId="77777777" w:rsidTr="00335B25">
        <w:tc>
          <w:tcPr>
            <w:tcW w:w="2977" w:type="dxa"/>
            <w:tcBorders>
              <w:top w:val="nil"/>
              <w:left w:val="nil"/>
              <w:right w:val="nil"/>
            </w:tcBorders>
          </w:tcPr>
          <w:p w14:paraId="1CA065F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50747697"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(0.099)</w:t>
            </w:r>
          </w:p>
        </w:tc>
        <w:tc>
          <w:tcPr>
            <w:tcW w:w="1417" w:type="dxa"/>
            <w:tcBorders>
              <w:top w:val="nil"/>
              <w:left w:val="nil"/>
              <w:right w:val="nil"/>
            </w:tcBorders>
          </w:tcPr>
          <w:p w14:paraId="1EF67219"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(0.097)</w:t>
            </w:r>
          </w:p>
        </w:tc>
        <w:tc>
          <w:tcPr>
            <w:tcW w:w="1666" w:type="dxa"/>
            <w:tcBorders>
              <w:top w:val="nil"/>
              <w:left w:val="nil"/>
              <w:right w:val="nil"/>
            </w:tcBorders>
          </w:tcPr>
          <w:p w14:paraId="6F83EA7E"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(0.098)</w:t>
            </w:r>
          </w:p>
        </w:tc>
        <w:tc>
          <w:tcPr>
            <w:tcW w:w="1984" w:type="dxa"/>
            <w:tcBorders>
              <w:top w:val="nil"/>
              <w:left w:val="nil"/>
              <w:right w:val="nil"/>
            </w:tcBorders>
          </w:tcPr>
          <w:p w14:paraId="32C7D39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(0.096)</w:t>
            </w:r>
          </w:p>
        </w:tc>
      </w:tr>
      <w:tr w:rsidR="00244248" w:rsidRPr="00287A95" w14:paraId="079368F6" w14:textId="77777777" w:rsidTr="00335B25">
        <w:tc>
          <w:tcPr>
            <w:tcW w:w="2977" w:type="dxa"/>
            <w:tcBorders>
              <w:top w:val="nil"/>
              <w:left w:val="nil"/>
              <w:right w:val="nil"/>
            </w:tcBorders>
          </w:tcPr>
          <w:p w14:paraId="6B5F881B"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top w:val="nil"/>
              <w:left w:val="nil"/>
              <w:right w:val="nil"/>
            </w:tcBorders>
          </w:tcPr>
          <w:p w14:paraId="4AF5631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lang w:val="en-US"/>
              </w:rPr>
              <w:t>30,442</w:t>
            </w:r>
          </w:p>
        </w:tc>
        <w:tc>
          <w:tcPr>
            <w:tcW w:w="1417" w:type="dxa"/>
            <w:tcBorders>
              <w:top w:val="nil"/>
              <w:left w:val="nil"/>
              <w:right w:val="nil"/>
            </w:tcBorders>
          </w:tcPr>
          <w:p w14:paraId="42E6C610"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lang w:val="en-US"/>
              </w:rPr>
              <w:t>29,657</w:t>
            </w:r>
          </w:p>
        </w:tc>
        <w:tc>
          <w:tcPr>
            <w:tcW w:w="1666" w:type="dxa"/>
            <w:tcBorders>
              <w:top w:val="nil"/>
              <w:left w:val="nil"/>
              <w:right w:val="nil"/>
            </w:tcBorders>
          </w:tcPr>
          <w:p w14:paraId="2A493ED0"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lang w:val="en-US"/>
              </w:rPr>
              <w:t>30,442</w:t>
            </w:r>
          </w:p>
        </w:tc>
        <w:tc>
          <w:tcPr>
            <w:tcW w:w="1984" w:type="dxa"/>
            <w:tcBorders>
              <w:top w:val="nil"/>
              <w:left w:val="nil"/>
              <w:right w:val="nil"/>
            </w:tcBorders>
          </w:tcPr>
          <w:p w14:paraId="56FB73B9"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lang w:val="en-US"/>
              </w:rPr>
              <w:t>29,657</w:t>
            </w:r>
          </w:p>
        </w:tc>
      </w:tr>
      <w:tr w:rsidR="00244248" w:rsidRPr="00287A95" w14:paraId="27C3B1E6" w14:textId="77777777" w:rsidTr="00335B25">
        <w:tc>
          <w:tcPr>
            <w:tcW w:w="2977" w:type="dxa"/>
            <w:tcBorders>
              <w:top w:val="nil"/>
              <w:left w:val="nil"/>
              <w:bottom w:val="single" w:sz="4" w:space="0" w:color="ED7D31" w:themeColor="accent2"/>
              <w:right w:val="nil"/>
            </w:tcBorders>
            <w:vAlign w:val="center"/>
          </w:tcPr>
          <w:p w14:paraId="3D2E564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8A6572">
              <w:rPr>
                <w:rFonts w:asciiTheme="majorHAnsi" w:hAnsiTheme="majorHAnsi" w:cstheme="majorHAnsi"/>
                <w:b/>
                <w:bCs/>
                <w:sz w:val="20"/>
                <w:szCs w:val="20"/>
              </w:rPr>
              <w:t>Additionally intended number of children</w:t>
            </w:r>
          </w:p>
        </w:tc>
        <w:tc>
          <w:tcPr>
            <w:tcW w:w="1531" w:type="dxa"/>
            <w:tcBorders>
              <w:top w:val="nil"/>
              <w:left w:val="nil"/>
              <w:bottom w:val="single" w:sz="4" w:space="0" w:color="ED7D31" w:themeColor="accent2"/>
              <w:right w:val="nil"/>
            </w:tcBorders>
          </w:tcPr>
          <w:p w14:paraId="35B16C8A"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729DB62F"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276310ED"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1E8D24A6"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791A3FB3" w14:textId="77777777" w:rsidTr="00335B25">
        <w:tc>
          <w:tcPr>
            <w:tcW w:w="2977" w:type="dxa"/>
            <w:tcBorders>
              <w:top w:val="single" w:sz="4" w:space="0" w:color="ED7D31" w:themeColor="accent2"/>
              <w:left w:val="nil"/>
              <w:right w:val="nil"/>
            </w:tcBorders>
          </w:tcPr>
          <w:p w14:paraId="198C83DF" w14:textId="77777777" w:rsidR="00244248"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287A95">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3EABC825"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0.026</w:t>
            </w:r>
          </w:p>
        </w:tc>
        <w:tc>
          <w:tcPr>
            <w:tcW w:w="1417" w:type="dxa"/>
            <w:tcBorders>
              <w:top w:val="single" w:sz="4" w:space="0" w:color="ED7D31" w:themeColor="accent2"/>
              <w:left w:val="nil"/>
              <w:right w:val="nil"/>
            </w:tcBorders>
          </w:tcPr>
          <w:p w14:paraId="5F2A0DE1"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0.037</w:t>
            </w:r>
          </w:p>
        </w:tc>
        <w:tc>
          <w:tcPr>
            <w:tcW w:w="1666" w:type="dxa"/>
            <w:tcBorders>
              <w:top w:val="single" w:sz="4" w:space="0" w:color="ED7D31" w:themeColor="accent2"/>
              <w:left w:val="nil"/>
              <w:right w:val="nil"/>
            </w:tcBorders>
          </w:tcPr>
          <w:p w14:paraId="6B6353CB"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-0.011</w:t>
            </w:r>
          </w:p>
        </w:tc>
        <w:tc>
          <w:tcPr>
            <w:tcW w:w="1984" w:type="dxa"/>
            <w:tcBorders>
              <w:top w:val="single" w:sz="4" w:space="0" w:color="ED7D31" w:themeColor="accent2"/>
              <w:left w:val="nil"/>
              <w:right w:val="nil"/>
            </w:tcBorders>
          </w:tcPr>
          <w:p w14:paraId="5C927187"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-0.010</w:t>
            </w:r>
          </w:p>
        </w:tc>
      </w:tr>
      <w:tr w:rsidR="00244248" w:rsidRPr="00287A95" w14:paraId="4AE104FE" w14:textId="77777777" w:rsidTr="00335B25">
        <w:tc>
          <w:tcPr>
            <w:tcW w:w="2977" w:type="dxa"/>
            <w:tcBorders>
              <w:top w:val="nil"/>
              <w:left w:val="nil"/>
              <w:right w:val="nil"/>
            </w:tcBorders>
          </w:tcPr>
          <w:p w14:paraId="7F0AB94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 xml:space="preserve">Standard error </w:t>
            </w:r>
          </w:p>
        </w:tc>
        <w:tc>
          <w:tcPr>
            <w:tcW w:w="1531" w:type="dxa"/>
            <w:tcBorders>
              <w:top w:val="nil"/>
              <w:left w:val="nil"/>
              <w:right w:val="nil"/>
            </w:tcBorders>
          </w:tcPr>
          <w:p w14:paraId="5973A1CD"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(0.030)</w:t>
            </w:r>
          </w:p>
        </w:tc>
        <w:tc>
          <w:tcPr>
            <w:tcW w:w="1417" w:type="dxa"/>
            <w:tcBorders>
              <w:top w:val="nil"/>
              <w:left w:val="nil"/>
              <w:right w:val="nil"/>
            </w:tcBorders>
          </w:tcPr>
          <w:p w14:paraId="441325CA"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(0.030)</w:t>
            </w:r>
          </w:p>
        </w:tc>
        <w:tc>
          <w:tcPr>
            <w:tcW w:w="1666" w:type="dxa"/>
            <w:tcBorders>
              <w:top w:val="nil"/>
              <w:left w:val="nil"/>
              <w:right w:val="nil"/>
            </w:tcBorders>
          </w:tcPr>
          <w:p w14:paraId="2D9D9AF0"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(0.025)</w:t>
            </w:r>
          </w:p>
        </w:tc>
        <w:tc>
          <w:tcPr>
            <w:tcW w:w="1984" w:type="dxa"/>
            <w:tcBorders>
              <w:top w:val="nil"/>
              <w:left w:val="nil"/>
              <w:right w:val="nil"/>
            </w:tcBorders>
          </w:tcPr>
          <w:p w14:paraId="124DB9E3"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(0.026)</w:t>
            </w:r>
          </w:p>
        </w:tc>
      </w:tr>
      <w:tr w:rsidR="00244248" w:rsidRPr="00287A95" w14:paraId="24CE5741" w14:textId="77777777" w:rsidTr="00335B25">
        <w:tc>
          <w:tcPr>
            <w:tcW w:w="2977" w:type="dxa"/>
            <w:tcBorders>
              <w:left w:val="nil"/>
              <w:right w:val="nil"/>
            </w:tcBorders>
          </w:tcPr>
          <w:p w14:paraId="358961B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Observations</w:t>
            </w:r>
          </w:p>
        </w:tc>
        <w:tc>
          <w:tcPr>
            <w:tcW w:w="1531" w:type="dxa"/>
            <w:tcBorders>
              <w:left w:val="nil"/>
              <w:right w:val="nil"/>
            </w:tcBorders>
          </w:tcPr>
          <w:p w14:paraId="727649FF"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rPr>
              <w:t>23,191</w:t>
            </w:r>
          </w:p>
        </w:tc>
        <w:tc>
          <w:tcPr>
            <w:tcW w:w="1417" w:type="dxa"/>
            <w:tcBorders>
              <w:left w:val="nil"/>
              <w:right w:val="nil"/>
            </w:tcBorders>
          </w:tcPr>
          <w:p w14:paraId="3F01B565"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rPr>
              <w:t>22,624</w:t>
            </w:r>
          </w:p>
        </w:tc>
        <w:tc>
          <w:tcPr>
            <w:tcW w:w="1666" w:type="dxa"/>
            <w:tcBorders>
              <w:left w:val="nil"/>
              <w:right w:val="nil"/>
            </w:tcBorders>
          </w:tcPr>
          <w:p w14:paraId="3F98C3FA"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rPr>
              <w:t>23,191</w:t>
            </w:r>
          </w:p>
        </w:tc>
        <w:tc>
          <w:tcPr>
            <w:tcW w:w="1984" w:type="dxa"/>
            <w:tcBorders>
              <w:left w:val="nil"/>
              <w:right w:val="nil"/>
            </w:tcBorders>
          </w:tcPr>
          <w:p w14:paraId="62A310F4" w14:textId="77777777" w:rsidR="00244248" w:rsidRPr="002D7B15"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2D7B15">
              <w:rPr>
                <w:rFonts w:asciiTheme="majorHAnsi" w:hAnsiTheme="majorHAnsi" w:cstheme="majorHAnsi"/>
                <w:sz w:val="20"/>
                <w:szCs w:val="20"/>
              </w:rPr>
              <w:t>22,624</w:t>
            </w:r>
          </w:p>
        </w:tc>
      </w:tr>
      <w:tr w:rsidR="00244248" w:rsidRPr="00287A95" w14:paraId="5881E991" w14:textId="77777777" w:rsidTr="00335B25">
        <w:tc>
          <w:tcPr>
            <w:tcW w:w="2977" w:type="dxa"/>
            <w:tcBorders>
              <w:top w:val="nil"/>
              <w:left w:val="nil"/>
              <w:right w:val="nil"/>
            </w:tcBorders>
            <w:vAlign w:val="bottom"/>
          </w:tcPr>
          <w:p w14:paraId="1AF620B2"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right w:val="nil"/>
            </w:tcBorders>
          </w:tcPr>
          <w:p w14:paraId="6F511C7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right w:val="nil"/>
            </w:tcBorders>
          </w:tcPr>
          <w:p w14:paraId="15BDC5DE"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right w:val="nil"/>
            </w:tcBorders>
          </w:tcPr>
          <w:p w14:paraId="2C5C97D0"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right w:val="nil"/>
            </w:tcBorders>
          </w:tcPr>
          <w:p w14:paraId="7738C8F2"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639634D4" w14:textId="77777777" w:rsidTr="00335B25">
        <w:tc>
          <w:tcPr>
            <w:tcW w:w="2977" w:type="dxa"/>
            <w:tcBorders>
              <w:top w:val="nil"/>
              <w:left w:val="nil"/>
              <w:bottom w:val="single" w:sz="4" w:space="0" w:color="ED7D31" w:themeColor="accent2"/>
              <w:right w:val="nil"/>
            </w:tcBorders>
            <w:vAlign w:val="bottom"/>
          </w:tcPr>
          <w:p w14:paraId="0AEA510C"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b/>
                <w:bCs/>
                <w:sz w:val="20"/>
                <w:szCs w:val="20"/>
              </w:rPr>
              <w:t>Model specifications</w:t>
            </w:r>
          </w:p>
        </w:tc>
        <w:tc>
          <w:tcPr>
            <w:tcW w:w="1531" w:type="dxa"/>
            <w:tcBorders>
              <w:top w:val="nil"/>
              <w:left w:val="nil"/>
              <w:bottom w:val="single" w:sz="4" w:space="0" w:color="ED7D31" w:themeColor="accent2"/>
              <w:right w:val="nil"/>
            </w:tcBorders>
          </w:tcPr>
          <w:p w14:paraId="5A33E604"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140C0B30"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2D15DAD9"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3A798954"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287A95" w14:paraId="3DD456F1" w14:textId="77777777" w:rsidTr="00335B25">
        <w:tc>
          <w:tcPr>
            <w:tcW w:w="2977" w:type="dxa"/>
            <w:tcBorders>
              <w:top w:val="single" w:sz="4" w:space="0" w:color="ED7D31" w:themeColor="accent2"/>
              <w:left w:val="nil"/>
              <w:right w:val="nil"/>
            </w:tcBorders>
          </w:tcPr>
          <w:p w14:paraId="147596A4"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287A95">
              <w:rPr>
                <w:rFonts w:asciiTheme="majorHAnsi" w:hAnsiTheme="majorHAnsi" w:cstheme="majorHAnsi"/>
                <w:sz w:val="20"/>
                <w:szCs w:val="20"/>
              </w:rPr>
              <w:t>Year and State Fixed Effects</w:t>
            </w:r>
          </w:p>
        </w:tc>
        <w:tc>
          <w:tcPr>
            <w:tcW w:w="1531" w:type="dxa"/>
            <w:tcBorders>
              <w:top w:val="single" w:sz="4" w:space="0" w:color="ED7D31" w:themeColor="accent2"/>
              <w:left w:val="nil"/>
              <w:right w:val="nil"/>
            </w:tcBorders>
          </w:tcPr>
          <w:p w14:paraId="7E20BB1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417" w:type="dxa"/>
            <w:tcBorders>
              <w:top w:val="single" w:sz="4" w:space="0" w:color="ED7D31" w:themeColor="accent2"/>
              <w:left w:val="nil"/>
              <w:right w:val="nil"/>
            </w:tcBorders>
          </w:tcPr>
          <w:p w14:paraId="48B62CF5"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666" w:type="dxa"/>
            <w:tcBorders>
              <w:top w:val="single" w:sz="4" w:space="0" w:color="ED7D31" w:themeColor="accent2"/>
              <w:left w:val="nil"/>
              <w:right w:val="nil"/>
            </w:tcBorders>
          </w:tcPr>
          <w:p w14:paraId="0FE7977C"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984" w:type="dxa"/>
            <w:tcBorders>
              <w:top w:val="single" w:sz="4" w:space="0" w:color="ED7D31" w:themeColor="accent2"/>
              <w:left w:val="nil"/>
              <w:right w:val="nil"/>
            </w:tcBorders>
          </w:tcPr>
          <w:p w14:paraId="42AB39C7"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r>
      <w:tr w:rsidR="00244248" w:rsidRPr="00287A95" w14:paraId="70200FB5" w14:textId="77777777" w:rsidTr="00335B25">
        <w:tc>
          <w:tcPr>
            <w:tcW w:w="2977" w:type="dxa"/>
            <w:tcBorders>
              <w:top w:val="nil"/>
              <w:left w:val="nil"/>
              <w:right w:val="nil"/>
            </w:tcBorders>
          </w:tcPr>
          <w:p w14:paraId="1618389D"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Time-varying Demographics</w:t>
            </w:r>
          </w:p>
        </w:tc>
        <w:tc>
          <w:tcPr>
            <w:tcW w:w="1531" w:type="dxa"/>
            <w:tcBorders>
              <w:top w:val="nil"/>
              <w:left w:val="nil"/>
              <w:right w:val="nil"/>
            </w:tcBorders>
          </w:tcPr>
          <w:p w14:paraId="3A40A971"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417" w:type="dxa"/>
            <w:tcBorders>
              <w:top w:val="nil"/>
              <w:left w:val="nil"/>
              <w:right w:val="nil"/>
            </w:tcBorders>
          </w:tcPr>
          <w:p w14:paraId="5DB115B0"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666" w:type="dxa"/>
            <w:tcBorders>
              <w:top w:val="nil"/>
              <w:left w:val="nil"/>
              <w:right w:val="nil"/>
            </w:tcBorders>
          </w:tcPr>
          <w:p w14:paraId="6D99DF45"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984" w:type="dxa"/>
            <w:tcBorders>
              <w:top w:val="nil"/>
              <w:left w:val="nil"/>
              <w:right w:val="nil"/>
            </w:tcBorders>
          </w:tcPr>
          <w:p w14:paraId="43174E35"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r>
      <w:tr w:rsidR="00244248" w:rsidRPr="00287A95" w14:paraId="0DC54E7F" w14:textId="77777777" w:rsidTr="00335B25">
        <w:tc>
          <w:tcPr>
            <w:tcW w:w="2977" w:type="dxa"/>
            <w:tcBorders>
              <w:top w:val="nil"/>
              <w:left w:val="nil"/>
              <w:right w:val="nil"/>
            </w:tcBorders>
          </w:tcPr>
          <w:p w14:paraId="19078566"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Time-invariant Demographics</w:t>
            </w:r>
          </w:p>
        </w:tc>
        <w:tc>
          <w:tcPr>
            <w:tcW w:w="1531" w:type="dxa"/>
            <w:tcBorders>
              <w:top w:val="nil"/>
              <w:left w:val="nil"/>
              <w:right w:val="nil"/>
            </w:tcBorders>
          </w:tcPr>
          <w:p w14:paraId="50954A3C"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417" w:type="dxa"/>
            <w:tcBorders>
              <w:top w:val="nil"/>
              <w:left w:val="nil"/>
              <w:right w:val="nil"/>
            </w:tcBorders>
          </w:tcPr>
          <w:p w14:paraId="0A4DB1C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666" w:type="dxa"/>
            <w:tcBorders>
              <w:top w:val="nil"/>
              <w:left w:val="nil"/>
              <w:right w:val="nil"/>
            </w:tcBorders>
          </w:tcPr>
          <w:p w14:paraId="61A9A177"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984" w:type="dxa"/>
            <w:tcBorders>
              <w:top w:val="nil"/>
              <w:left w:val="nil"/>
              <w:right w:val="nil"/>
            </w:tcBorders>
          </w:tcPr>
          <w:p w14:paraId="43A43656"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r>
      <w:tr w:rsidR="00244248" w:rsidRPr="00287A95" w14:paraId="2664E359" w14:textId="77777777" w:rsidTr="00335B25">
        <w:tc>
          <w:tcPr>
            <w:tcW w:w="2977" w:type="dxa"/>
            <w:tcBorders>
              <w:top w:val="nil"/>
              <w:left w:val="nil"/>
              <w:bottom w:val="single" w:sz="4" w:space="0" w:color="ED7D31" w:themeColor="accent2"/>
              <w:right w:val="nil"/>
            </w:tcBorders>
          </w:tcPr>
          <w:p w14:paraId="65611C07" w14:textId="77777777" w:rsidR="00244248" w:rsidRPr="00287A95"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287A95">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597D13BB"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2E6AC8F2"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51ABC7DA"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461ECB2A" w14:textId="77777777" w:rsidR="00244248" w:rsidRPr="008A6572"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8A6572">
              <w:rPr>
                <w:rFonts w:asciiTheme="majorHAnsi" w:hAnsiTheme="majorHAnsi" w:cstheme="majorHAnsi"/>
                <w:sz w:val="20"/>
                <w:szCs w:val="20"/>
              </w:rPr>
              <w:t>Yes</w:t>
            </w:r>
          </w:p>
        </w:tc>
      </w:tr>
    </w:tbl>
    <w:p w14:paraId="0772A60D" w14:textId="77777777" w:rsidR="00244248" w:rsidRDefault="00244248" w:rsidP="00244248">
      <w:pPr>
        <w:keepNext/>
        <w:widowControl w:val="0"/>
        <w:autoSpaceDE w:val="0"/>
        <w:autoSpaceDN w:val="0"/>
        <w:adjustRightInd w:val="0"/>
        <w:spacing w:after="0" w:line="240" w:lineRule="auto"/>
        <w:rPr>
          <w:rFonts w:ascii="Tw Cen MT Condensed" w:hAnsi="Tw Cen MT Condensed"/>
          <w:sz w:val="28"/>
          <w:szCs w:val="28"/>
        </w:rPr>
      </w:pPr>
    </w:p>
    <w:p w14:paraId="5458F698" w14:textId="77777777" w:rsidR="00244248" w:rsidRDefault="00244248" w:rsidP="00244248">
      <w:pPr>
        <w:rPr>
          <w:rFonts w:asciiTheme="majorHAnsi" w:eastAsiaTheme="majorEastAsia" w:hAnsiTheme="majorHAnsi" w:cstheme="majorBidi"/>
          <w:color w:val="2E74B5" w:themeColor="accent1" w:themeShade="BF"/>
          <w:sz w:val="26"/>
          <w:szCs w:val="26"/>
          <w:lang w:val="en-US"/>
        </w:rPr>
      </w:pPr>
      <w:r>
        <w:rPr>
          <w:lang w:val="en-US"/>
        </w:rPr>
        <w:br w:type="page"/>
      </w:r>
    </w:p>
    <w:p w14:paraId="73F9160F" w14:textId="77777777" w:rsidR="00244248" w:rsidRPr="00244248" w:rsidRDefault="00244248" w:rsidP="00244248">
      <w:pPr>
        <w:rPr>
          <w:rFonts w:asciiTheme="majorHAnsi" w:hAnsiTheme="majorHAnsi" w:cstheme="majorHAnsi"/>
          <w:color w:val="1F4E79" w:themeColor="accent1" w:themeShade="80"/>
          <w:sz w:val="26"/>
          <w:szCs w:val="26"/>
          <w:lang w:val="en-US"/>
        </w:rPr>
      </w:pPr>
      <w:r w:rsidRPr="00244248">
        <w:rPr>
          <w:rFonts w:asciiTheme="majorHAnsi" w:hAnsiTheme="majorHAnsi" w:cstheme="majorHAnsi"/>
          <w:color w:val="1F4E79" w:themeColor="accent1" w:themeShade="80"/>
          <w:sz w:val="26"/>
          <w:szCs w:val="26"/>
          <w:lang w:val="en-US"/>
        </w:rPr>
        <w:lastRenderedPageBreak/>
        <w:t>Paid Parental Leave – Identification strategy III</w:t>
      </w:r>
    </w:p>
    <w:p w14:paraId="35D02C6B" w14:textId="77777777" w:rsidR="00244248" w:rsidRDefault="00244248" w:rsidP="00244248">
      <w:pPr>
        <w:pStyle w:val="Caption"/>
        <w:keepNext/>
        <w:spacing w:line="276" w:lineRule="auto"/>
        <w:rPr>
          <w:i w:val="0"/>
          <w:iCs w:val="0"/>
          <w:color w:val="auto"/>
          <w:sz w:val="22"/>
          <w:szCs w:val="22"/>
        </w:rPr>
      </w:pPr>
      <w:r>
        <w:rPr>
          <w:i w:val="0"/>
          <w:iCs w:val="0"/>
          <w:color w:val="auto"/>
          <w:sz w:val="22"/>
          <w:szCs w:val="22"/>
        </w:rPr>
        <w:t>The</w:t>
      </w:r>
      <w:r w:rsidRPr="00AD0F37">
        <w:rPr>
          <w:i w:val="0"/>
          <w:iCs w:val="0"/>
          <w:color w:val="auto"/>
          <w:sz w:val="22"/>
          <w:szCs w:val="22"/>
        </w:rPr>
        <w:t xml:space="preserve"> third possible identification strategy uses a DiD-instrumental variable (IV) research design and exploits the fact that women from the public and private sectors are differentially affected by this scheme. Prior to the introduction of this scheme, the public sector already granted very generous leave compared to the private sector. This policy will presumably act on women who work in the private sector as they are the group for whom maternity leave becomes more generous. This identification is conducted mainly in the spirit of Bassford and Fisher (2020) and involves two stages of estimation. The first predicts women’s leave access prior to the policy based upon the sector in which she works.  Leave access is defined as the entitlement to paid parental leave and anticipated access under the PLP scheme from 2009. Then in the second stage the strategy estimates the effect of predicted leave access on fertility outcomes. </w:t>
      </w:r>
      <w:r>
        <w:rPr>
          <w:i w:val="0"/>
          <w:iCs w:val="0"/>
          <w:color w:val="auto"/>
          <w:sz w:val="22"/>
          <w:szCs w:val="22"/>
        </w:rPr>
        <w:t xml:space="preserve">  </w:t>
      </w:r>
    </w:p>
    <w:p w14:paraId="0E44DF2A" w14:textId="549AC185" w:rsidR="00244248" w:rsidRDefault="00244248" w:rsidP="00244248">
      <w:pPr>
        <w:pStyle w:val="Caption"/>
        <w:keepNext/>
        <w:spacing w:line="276" w:lineRule="auto"/>
      </w:pPr>
      <w:r w:rsidRPr="00DE151D">
        <w:t xml:space="preserve">Table </w:t>
      </w:r>
      <w:fldSimple w:instr=" SEQ Table \* ARABIC ">
        <w:r w:rsidR="00115E22">
          <w:rPr>
            <w:noProof/>
          </w:rPr>
          <w:t>53</w:t>
        </w:r>
      </w:fldSimple>
      <w:r w:rsidRPr="00DE151D">
        <w:t xml:space="preserve"> Effect of Paid Parental leave on selected fertility toucomes (Identification strategy III)</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DE6E2E" w14:paraId="62FC2561" w14:textId="77777777" w:rsidTr="00335B25">
        <w:tc>
          <w:tcPr>
            <w:tcW w:w="2977" w:type="dxa"/>
            <w:tcBorders>
              <w:top w:val="single" w:sz="4" w:space="0" w:color="auto"/>
              <w:left w:val="nil"/>
              <w:bottom w:val="nil"/>
              <w:right w:val="nil"/>
            </w:tcBorders>
            <w:shd w:val="clear" w:color="auto" w:fill="FBE4D5" w:themeFill="accent2" w:themeFillTint="33"/>
          </w:tcPr>
          <w:p w14:paraId="0331FD0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auto"/>
              <w:left w:val="nil"/>
              <w:bottom w:val="nil"/>
              <w:right w:val="nil"/>
            </w:tcBorders>
            <w:shd w:val="clear" w:color="auto" w:fill="FBE4D5" w:themeFill="accent2" w:themeFillTint="33"/>
          </w:tcPr>
          <w:p w14:paraId="2FC4431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(1)</w:t>
            </w:r>
          </w:p>
        </w:tc>
        <w:tc>
          <w:tcPr>
            <w:tcW w:w="1417" w:type="dxa"/>
            <w:tcBorders>
              <w:top w:val="single" w:sz="4" w:space="0" w:color="auto"/>
              <w:left w:val="nil"/>
              <w:bottom w:val="nil"/>
              <w:right w:val="nil"/>
            </w:tcBorders>
            <w:shd w:val="clear" w:color="auto" w:fill="FBE4D5" w:themeFill="accent2" w:themeFillTint="33"/>
          </w:tcPr>
          <w:p w14:paraId="174FA66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(2)</w:t>
            </w:r>
          </w:p>
        </w:tc>
        <w:tc>
          <w:tcPr>
            <w:tcW w:w="1666" w:type="dxa"/>
            <w:tcBorders>
              <w:top w:val="single" w:sz="4" w:space="0" w:color="auto"/>
              <w:left w:val="nil"/>
              <w:bottom w:val="nil"/>
              <w:right w:val="nil"/>
            </w:tcBorders>
            <w:shd w:val="clear" w:color="auto" w:fill="FBE4D5" w:themeFill="accent2" w:themeFillTint="33"/>
          </w:tcPr>
          <w:p w14:paraId="65AE7E8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(3)</w:t>
            </w:r>
          </w:p>
        </w:tc>
        <w:tc>
          <w:tcPr>
            <w:tcW w:w="1984" w:type="dxa"/>
            <w:tcBorders>
              <w:top w:val="single" w:sz="4" w:space="0" w:color="auto"/>
              <w:left w:val="nil"/>
              <w:bottom w:val="nil"/>
              <w:right w:val="nil"/>
            </w:tcBorders>
            <w:shd w:val="clear" w:color="auto" w:fill="FBE4D5" w:themeFill="accent2" w:themeFillTint="33"/>
          </w:tcPr>
          <w:p w14:paraId="7237D53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(4)</w:t>
            </w:r>
          </w:p>
        </w:tc>
      </w:tr>
      <w:tr w:rsidR="00244248" w:rsidRPr="00DE6E2E" w14:paraId="0AFEA8BB"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7E32D845"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7F9FCDB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IV</w:t>
            </w:r>
          </w:p>
        </w:tc>
        <w:tc>
          <w:tcPr>
            <w:tcW w:w="1417" w:type="dxa"/>
            <w:tcBorders>
              <w:top w:val="nil"/>
              <w:left w:val="nil"/>
              <w:bottom w:val="single" w:sz="4" w:space="0" w:color="ED7D31" w:themeColor="accent2"/>
              <w:right w:val="nil"/>
            </w:tcBorders>
            <w:shd w:val="clear" w:color="auto" w:fill="FBE4D5" w:themeFill="accent2" w:themeFillTint="33"/>
          </w:tcPr>
          <w:p w14:paraId="30A2FE9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IV</w:t>
            </w:r>
          </w:p>
        </w:tc>
        <w:tc>
          <w:tcPr>
            <w:tcW w:w="1666" w:type="dxa"/>
            <w:tcBorders>
              <w:top w:val="nil"/>
              <w:left w:val="nil"/>
              <w:bottom w:val="single" w:sz="4" w:space="0" w:color="ED7D31" w:themeColor="accent2"/>
              <w:right w:val="nil"/>
            </w:tcBorders>
            <w:shd w:val="clear" w:color="auto" w:fill="FBE4D5" w:themeFill="accent2" w:themeFillTint="33"/>
          </w:tcPr>
          <w:p w14:paraId="780E4B2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IV- fixed effect</w:t>
            </w:r>
          </w:p>
        </w:tc>
        <w:tc>
          <w:tcPr>
            <w:tcW w:w="1984" w:type="dxa"/>
            <w:tcBorders>
              <w:top w:val="nil"/>
              <w:left w:val="nil"/>
              <w:bottom w:val="single" w:sz="4" w:space="0" w:color="ED7D31" w:themeColor="accent2"/>
              <w:right w:val="nil"/>
            </w:tcBorders>
            <w:shd w:val="clear" w:color="auto" w:fill="FBE4D5" w:themeFill="accent2" w:themeFillTint="33"/>
          </w:tcPr>
          <w:p w14:paraId="57664F5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Pr>
                <w:rFonts w:asciiTheme="majorHAnsi" w:hAnsiTheme="majorHAnsi" w:cstheme="majorHAnsi"/>
                <w:sz w:val="20"/>
                <w:szCs w:val="20"/>
              </w:rPr>
              <w:t>IV-fixed effect</w:t>
            </w:r>
          </w:p>
        </w:tc>
      </w:tr>
      <w:tr w:rsidR="00244248" w:rsidRPr="00DE6E2E" w14:paraId="6BAB0B05"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669BC58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Births</w:t>
            </w:r>
          </w:p>
        </w:tc>
        <w:tc>
          <w:tcPr>
            <w:tcW w:w="1531" w:type="dxa"/>
            <w:tcBorders>
              <w:top w:val="single" w:sz="4" w:space="0" w:color="ED7D31" w:themeColor="accent2"/>
              <w:left w:val="nil"/>
              <w:bottom w:val="single" w:sz="4" w:space="0" w:color="ED7D31" w:themeColor="accent2"/>
              <w:right w:val="nil"/>
            </w:tcBorders>
          </w:tcPr>
          <w:p w14:paraId="00F5C3B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6F61AD4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114245C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367CC55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4189995C" w14:textId="77777777" w:rsidTr="00335B25">
        <w:tc>
          <w:tcPr>
            <w:tcW w:w="2977" w:type="dxa"/>
            <w:tcBorders>
              <w:top w:val="single" w:sz="4" w:space="0" w:color="ED7D31" w:themeColor="accent2"/>
              <w:left w:val="nil"/>
              <w:right w:val="nil"/>
            </w:tcBorders>
          </w:tcPr>
          <w:p w14:paraId="1BD2A10D"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7A79284A"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-0.004</w:t>
            </w:r>
          </w:p>
        </w:tc>
        <w:tc>
          <w:tcPr>
            <w:tcW w:w="1417" w:type="dxa"/>
            <w:tcBorders>
              <w:top w:val="single" w:sz="4" w:space="0" w:color="ED7D31" w:themeColor="accent2"/>
              <w:left w:val="nil"/>
              <w:right w:val="nil"/>
            </w:tcBorders>
          </w:tcPr>
          <w:p w14:paraId="150BA468"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-0.018</w:t>
            </w:r>
          </w:p>
        </w:tc>
        <w:tc>
          <w:tcPr>
            <w:tcW w:w="1666" w:type="dxa"/>
            <w:tcBorders>
              <w:top w:val="single" w:sz="4" w:space="0" w:color="ED7D31" w:themeColor="accent2"/>
              <w:left w:val="nil"/>
              <w:right w:val="nil"/>
            </w:tcBorders>
          </w:tcPr>
          <w:p w14:paraId="7AAEF7A1"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-0.004</w:t>
            </w:r>
          </w:p>
        </w:tc>
        <w:tc>
          <w:tcPr>
            <w:tcW w:w="1984" w:type="dxa"/>
            <w:tcBorders>
              <w:top w:val="single" w:sz="4" w:space="0" w:color="ED7D31" w:themeColor="accent2"/>
              <w:left w:val="nil"/>
              <w:right w:val="nil"/>
            </w:tcBorders>
          </w:tcPr>
          <w:p w14:paraId="255ED121"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0.001</w:t>
            </w:r>
          </w:p>
        </w:tc>
      </w:tr>
      <w:tr w:rsidR="00244248" w:rsidRPr="00C50205" w14:paraId="008B1415" w14:textId="77777777" w:rsidTr="00335B25">
        <w:tc>
          <w:tcPr>
            <w:tcW w:w="2977" w:type="dxa"/>
            <w:tcBorders>
              <w:top w:val="nil"/>
              <w:left w:val="nil"/>
              <w:right w:val="nil"/>
            </w:tcBorders>
          </w:tcPr>
          <w:p w14:paraId="56CD2501"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17117540"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(0.014)</w:t>
            </w:r>
          </w:p>
        </w:tc>
        <w:tc>
          <w:tcPr>
            <w:tcW w:w="1417" w:type="dxa"/>
            <w:tcBorders>
              <w:top w:val="nil"/>
              <w:left w:val="nil"/>
              <w:right w:val="nil"/>
            </w:tcBorders>
          </w:tcPr>
          <w:p w14:paraId="13CBE295"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(0.015)</w:t>
            </w:r>
          </w:p>
        </w:tc>
        <w:tc>
          <w:tcPr>
            <w:tcW w:w="1666" w:type="dxa"/>
            <w:tcBorders>
              <w:top w:val="nil"/>
              <w:left w:val="nil"/>
              <w:right w:val="nil"/>
            </w:tcBorders>
          </w:tcPr>
          <w:p w14:paraId="0FC028CD"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(0.019)</w:t>
            </w:r>
          </w:p>
        </w:tc>
        <w:tc>
          <w:tcPr>
            <w:tcW w:w="1984" w:type="dxa"/>
            <w:tcBorders>
              <w:top w:val="nil"/>
              <w:left w:val="nil"/>
              <w:right w:val="nil"/>
            </w:tcBorders>
          </w:tcPr>
          <w:p w14:paraId="59E9FC90"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(0.020)</w:t>
            </w:r>
          </w:p>
        </w:tc>
      </w:tr>
      <w:tr w:rsidR="00244248" w:rsidRPr="00DE6E2E" w14:paraId="08286B01" w14:textId="77777777" w:rsidTr="00335B25">
        <w:tc>
          <w:tcPr>
            <w:tcW w:w="2977" w:type="dxa"/>
            <w:tcBorders>
              <w:left w:val="nil"/>
              <w:right w:val="nil"/>
            </w:tcBorders>
          </w:tcPr>
          <w:p w14:paraId="728E0F1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left w:val="nil"/>
              <w:right w:val="nil"/>
            </w:tcBorders>
          </w:tcPr>
          <w:p w14:paraId="4EE5DEAA"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24</w:t>
            </w:r>
            <w:r>
              <w:rPr>
                <w:rFonts w:asciiTheme="majorHAnsi" w:hAnsiTheme="majorHAnsi" w:cstheme="majorHAnsi"/>
                <w:sz w:val="20"/>
                <w:szCs w:val="20"/>
              </w:rPr>
              <w:t>,</w:t>
            </w:r>
            <w:r w:rsidRPr="00DE151D">
              <w:rPr>
                <w:rFonts w:asciiTheme="majorHAnsi" w:hAnsiTheme="majorHAnsi" w:cstheme="majorHAnsi"/>
                <w:sz w:val="20"/>
                <w:szCs w:val="20"/>
              </w:rPr>
              <w:t>597</w:t>
            </w:r>
          </w:p>
        </w:tc>
        <w:tc>
          <w:tcPr>
            <w:tcW w:w="1417" w:type="dxa"/>
            <w:tcBorders>
              <w:left w:val="nil"/>
              <w:right w:val="nil"/>
            </w:tcBorders>
          </w:tcPr>
          <w:p w14:paraId="639C0822"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21</w:t>
            </w:r>
            <w:r>
              <w:rPr>
                <w:rFonts w:asciiTheme="majorHAnsi" w:hAnsiTheme="majorHAnsi" w:cstheme="majorHAnsi"/>
                <w:sz w:val="20"/>
                <w:szCs w:val="20"/>
              </w:rPr>
              <w:t>,</w:t>
            </w:r>
            <w:r w:rsidRPr="00DE151D">
              <w:rPr>
                <w:rFonts w:asciiTheme="majorHAnsi" w:hAnsiTheme="majorHAnsi" w:cstheme="majorHAnsi"/>
                <w:sz w:val="20"/>
                <w:szCs w:val="20"/>
              </w:rPr>
              <w:t>934</w:t>
            </w:r>
          </w:p>
        </w:tc>
        <w:tc>
          <w:tcPr>
            <w:tcW w:w="1666" w:type="dxa"/>
            <w:tcBorders>
              <w:left w:val="nil"/>
              <w:right w:val="nil"/>
            </w:tcBorders>
          </w:tcPr>
          <w:p w14:paraId="73F0DB29"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24</w:t>
            </w:r>
            <w:r>
              <w:rPr>
                <w:rFonts w:asciiTheme="majorHAnsi" w:hAnsiTheme="majorHAnsi" w:cstheme="majorHAnsi"/>
                <w:sz w:val="20"/>
                <w:szCs w:val="20"/>
              </w:rPr>
              <w:t>,</w:t>
            </w:r>
            <w:r w:rsidRPr="00DE151D">
              <w:rPr>
                <w:rFonts w:asciiTheme="majorHAnsi" w:hAnsiTheme="majorHAnsi" w:cstheme="majorHAnsi"/>
                <w:sz w:val="20"/>
                <w:szCs w:val="20"/>
              </w:rPr>
              <w:t>597</w:t>
            </w:r>
          </w:p>
        </w:tc>
        <w:tc>
          <w:tcPr>
            <w:tcW w:w="1984" w:type="dxa"/>
            <w:tcBorders>
              <w:left w:val="nil"/>
              <w:right w:val="nil"/>
            </w:tcBorders>
          </w:tcPr>
          <w:p w14:paraId="7A14B9CA"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21</w:t>
            </w:r>
            <w:r>
              <w:rPr>
                <w:rFonts w:asciiTheme="majorHAnsi" w:hAnsiTheme="majorHAnsi" w:cstheme="majorHAnsi"/>
                <w:sz w:val="20"/>
                <w:szCs w:val="20"/>
              </w:rPr>
              <w:t>,</w:t>
            </w:r>
            <w:r w:rsidRPr="00DE151D">
              <w:rPr>
                <w:rFonts w:asciiTheme="majorHAnsi" w:hAnsiTheme="majorHAnsi" w:cstheme="majorHAnsi"/>
                <w:sz w:val="20"/>
                <w:szCs w:val="20"/>
              </w:rPr>
              <w:t>934</w:t>
            </w:r>
          </w:p>
        </w:tc>
      </w:tr>
      <w:tr w:rsidR="00244248" w:rsidRPr="00DE6E2E" w14:paraId="49224D6F" w14:textId="77777777" w:rsidTr="00335B25">
        <w:trPr>
          <w:trHeight w:val="439"/>
        </w:trPr>
        <w:tc>
          <w:tcPr>
            <w:tcW w:w="2977" w:type="dxa"/>
            <w:tcBorders>
              <w:left w:val="nil"/>
              <w:bottom w:val="single" w:sz="4" w:space="0" w:color="ED7D31" w:themeColor="accent2"/>
              <w:right w:val="nil"/>
            </w:tcBorders>
            <w:vAlign w:val="bottom"/>
          </w:tcPr>
          <w:p w14:paraId="119DB92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 xml:space="preserve">Childbearing desire </w:t>
            </w:r>
          </w:p>
        </w:tc>
        <w:tc>
          <w:tcPr>
            <w:tcW w:w="1531" w:type="dxa"/>
            <w:tcBorders>
              <w:left w:val="nil"/>
              <w:bottom w:val="single" w:sz="4" w:space="0" w:color="ED7D31" w:themeColor="accent2"/>
              <w:right w:val="nil"/>
            </w:tcBorders>
          </w:tcPr>
          <w:p w14:paraId="6AD46142"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70A4103E"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611010AF"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405CF4A6"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6AD1E76A" w14:textId="77777777" w:rsidTr="00335B25">
        <w:tc>
          <w:tcPr>
            <w:tcW w:w="2977" w:type="dxa"/>
            <w:tcBorders>
              <w:top w:val="single" w:sz="4" w:space="0" w:color="ED7D31" w:themeColor="accent2"/>
              <w:left w:val="nil"/>
              <w:bottom w:val="nil"/>
              <w:right w:val="nil"/>
            </w:tcBorders>
          </w:tcPr>
          <w:p w14:paraId="44017FF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08968B4F"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0.594**</w:t>
            </w:r>
          </w:p>
        </w:tc>
        <w:tc>
          <w:tcPr>
            <w:tcW w:w="1417" w:type="dxa"/>
            <w:tcBorders>
              <w:top w:val="single" w:sz="4" w:space="0" w:color="ED7D31" w:themeColor="accent2"/>
              <w:left w:val="nil"/>
              <w:bottom w:val="nil"/>
              <w:right w:val="nil"/>
            </w:tcBorders>
          </w:tcPr>
          <w:p w14:paraId="126B1D1C"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0.399</w:t>
            </w:r>
          </w:p>
        </w:tc>
        <w:tc>
          <w:tcPr>
            <w:tcW w:w="1666" w:type="dxa"/>
            <w:tcBorders>
              <w:top w:val="single" w:sz="4" w:space="0" w:color="ED7D31" w:themeColor="accent2"/>
              <w:left w:val="nil"/>
              <w:bottom w:val="nil"/>
              <w:right w:val="nil"/>
            </w:tcBorders>
          </w:tcPr>
          <w:p w14:paraId="3248729F"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0.297</w:t>
            </w:r>
          </w:p>
        </w:tc>
        <w:tc>
          <w:tcPr>
            <w:tcW w:w="1984" w:type="dxa"/>
            <w:tcBorders>
              <w:top w:val="single" w:sz="4" w:space="0" w:color="ED7D31" w:themeColor="accent2"/>
              <w:left w:val="nil"/>
              <w:bottom w:val="nil"/>
              <w:right w:val="nil"/>
            </w:tcBorders>
          </w:tcPr>
          <w:p w14:paraId="20620120"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0.004</w:t>
            </w:r>
          </w:p>
        </w:tc>
      </w:tr>
      <w:tr w:rsidR="00244248" w:rsidRPr="00C50205" w14:paraId="4E89B559" w14:textId="77777777" w:rsidTr="00335B25">
        <w:tc>
          <w:tcPr>
            <w:tcW w:w="2977" w:type="dxa"/>
            <w:tcBorders>
              <w:top w:val="nil"/>
              <w:left w:val="nil"/>
              <w:right w:val="nil"/>
            </w:tcBorders>
          </w:tcPr>
          <w:p w14:paraId="11A7AF9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690804DA"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(0.285)</w:t>
            </w:r>
          </w:p>
        </w:tc>
        <w:tc>
          <w:tcPr>
            <w:tcW w:w="1417" w:type="dxa"/>
            <w:tcBorders>
              <w:top w:val="nil"/>
              <w:left w:val="nil"/>
              <w:right w:val="nil"/>
            </w:tcBorders>
          </w:tcPr>
          <w:p w14:paraId="73AF0698"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(0.312)</w:t>
            </w:r>
          </w:p>
        </w:tc>
        <w:tc>
          <w:tcPr>
            <w:tcW w:w="1666" w:type="dxa"/>
            <w:tcBorders>
              <w:top w:val="nil"/>
              <w:left w:val="nil"/>
              <w:right w:val="nil"/>
            </w:tcBorders>
          </w:tcPr>
          <w:p w14:paraId="1C9CE889"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(0.295)</w:t>
            </w:r>
          </w:p>
        </w:tc>
        <w:tc>
          <w:tcPr>
            <w:tcW w:w="1984" w:type="dxa"/>
            <w:tcBorders>
              <w:top w:val="nil"/>
              <w:left w:val="nil"/>
              <w:right w:val="nil"/>
            </w:tcBorders>
          </w:tcPr>
          <w:p w14:paraId="4A91983A"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(0.323)</w:t>
            </w:r>
          </w:p>
        </w:tc>
      </w:tr>
      <w:tr w:rsidR="00244248" w:rsidRPr="00DE6E2E" w14:paraId="2F05850B" w14:textId="77777777" w:rsidTr="00335B25">
        <w:tc>
          <w:tcPr>
            <w:tcW w:w="2977" w:type="dxa"/>
            <w:tcBorders>
              <w:top w:val="nil"/>
              <w:left w:val="nil"/>
              <w:right w:val="nil"/>
            </w:tcBorders>
          </w:tcPr>
          <w:p w14:paraId="13FEEDB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35F2BC9B"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22</w:t>
            </w:r>
            <w:r>
              <w:rPr>
                <w:rFonts w:asciiTheme="majorHAnsi" w:hAnsiTheme="majorHAnsi" w:cstheme="majorHAnsi"/>
                <w:sz w:val="20"/>
                <w:szCs w:val="20"/>
              </w:rPr>
              <w:t>,</w:t>
            </w:r>
            <w:r w:rsidRPr="00DE151D">
              <w:rPr>
                <w:rFonts w:asciiTheme="majorHAnsi" w:hAnsiTheme="majorHAnsi" w:cstheme="majorHAnsi"/>
                <w:sz w:val="20"/>
                <w:szCs w:val="20"/>
              </w:rPr>
              <w:t>470</w:t>
            </w:r>
          </w:p>
        </w:tc>
        <w:tc>
          <w:tcPr>
            <w:tcW w:w="1417" w:type="dxa"/>
            <w:tcBorders>
              <w:top w:val="nil"/>
              <w:left w:val="nil"/>
              <w:right w:val="nil"/>
            </w:tcBorders>
          </w:tcPr>
          <w:p w14:paraId="3C3A5D73"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20</w:t>
            </w:r>
            <w:r>
              <w:rPr>
                <w:rFonts w:asciiTheme="majorHAnsi" w:hAnsiTheme="majorHAnsi" w:cstheme="majorHAnsi"/>
                <w:sz w:val="20"/>
                <w:szCs w:val="20"/>
              </w:rPr>
              <w:t>,</w:t>
            </w:r>
            <w:r w:rsidRPr="00DE151D">
              <w:rPr>
                <w:rFonts w:asciiTheme="majorHAnsi" w:hAnsiTheme="majorHAnsi" w:cstheme="majorHAnsi"/>
                <w:sz w:val="20"/>
                <w:szCs w:val="20"/>
              </w:rPr>
              <w:t>085</w:t>
            </w:r>
          </w:p>
        </w:tc>
        <w:tc>
          <w:tcPr>
            <w:tcW w:w="1666" w:type="dxa"/>
            <w:tcBorders>
              <w:top w:val="nil"/>
              <w:left w:val="nil"/>
              <w:right w:val="nil"/>
            </w:tcBorders>
          </w:tcPr>
          <w:p w14:paraId="261FE822"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22</w:t>
            </w:r>
            <w:r>
              <w:rPr>
                <w:rFonts w:asciiTheme="majorHAnsi" w:hAnsiTheme="majorHAnsi" w:cstheme="majorHAnsi"/>
                <w:sz w:val="20"/>
                <w:szCs w:val="20"/>
              </w:rPr>
              <w:t>,</w:t>
            </w:r>
            <w:r w:rsidRPr="00DE151D">
              <w:rPr>
                <w:rFonts w:asciiTheme="majorHAnsi" w:hAnsiTheme="majorHAnsi" w:cstheme="majorHAnsi"/>
                <w:sz w:val="20"/>
                <w:szCs w:val="20"/>
              </w:rPr>
              <w:t>470</w:t>
            </w:r>
          </w:p>
        </w:tc>
        <w:tc>
          <w:tcPr>
            <w:tcW w:w="1984" w:type="dxa"/>
            <w:tcBorders>
              <w:top w:val="nil"/>
              <w:left w:val="nil"/>
              <w:right w:val="nil"/>
            </w:tcBorders>
          </w:tcPr>
          <w:p w14:paraId="311934A6"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20</w:t>
            </w:r>
            <w:r>
              <w:rPr>
                <w:rFonts w:asciiTheme="majorHAnsi" w:hAnsiTheme="majorHAnsi" w:cstheme="majorHAnsi"/>
                <w:sz w:val="20"/>
                <w:szCs w:val="20"/>
              </w:rPr>
              <w:t>,</w:t>
            </w:r>
            <w:r w:rsidRPr="00DE151D">
              <w:rPr>
                <w:rFonts w:asciiTheme="majorHAnsi" w:hAnsiTheme="majorHAnsi" w:cstheme="majorHAnsi"/>
                <w:sz w:val="20"/>
                <w:szCs w:val="20"/>
              </w:rPr>
              <w:t>085</w:t>
            </w:r>
          </w:p>
        </w:tc>
      </w:tr>
      <w:tr w:rsidR="00244248" w:rsidRPr="00DE6E2E" w14:paraId="2760128D" w14:textId="77777777" w:rsidTr="00335B25">
        <w:trPr>
          <w:trHeight w:val="457"/>
        </w:trPr>
        <w:tc>
          <w:tcPr>
            <w:tcW w:w="2977" w:type="dxa"/>
            <w:tcBorders>
              <w:left w:val="nil"/>
              <w:bottom w:val="single" w:sz="4" w:space="0" w:color="ED7D31" w:themeColor="accent2"/>
              <w:right w:val="nil"/>
            </w:tcBorders>
            <w:vAlign w:val="center"/>
          </w:tcPr>
          <w:p w14:paraId="01CDCE71"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Childbearing expectation</w:t>
            </w:r>
          </w:p>
        </w:tc>
        <w:tc>
          <w:tcPr>
            <w:tcW w:w="1531" w:type="dxa"/>
            <w:tcBorders>
              <w:left w:val="nil"/>
              <w:bottom w:val="single" w:sz="4" w:space="0" w:color="ED7D31" w:themeColor="accent2"/>
              <w:right w:val="nil"/>
            </w:tcBorders>
          </w:tcPr>
          <w:p w14:paraId="4F75778D"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68784665"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6931904B"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2D7973E6"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402DEE10" w14:textId="77777777" w:rsidTr="00335B25">
        <w:tc>
          <w:tcPr>
            <w:tcW w:w="2977" w:type="dxa"/>
            <w:tcBorders>
              <w:top w:val="single" w:sz="4" w:space="0" w:color="ED7D31" w:themeColor="accent2"/>
              <w:left w:val="nil"/>
              <w:bottom w:val="nil"/>
              <w:right w:val="nil"/>
            </w:tcBorders>
          </w:tcPr>
          <w:p w14:paraId="2BB4767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453101B4"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0.375</w:t>
            </w:r>
          </w:p>
        </w:tc>
        <w:tc>
          <w:tcPr>
            <w:tcW w:w="1417" w:type="dxa"/>
            <w:tcBorders>
              <w:top w:val="single" w:sz="4" w:space="0" w:color="ED7D31" w:themeColor="accent2"/>
              <w:left w:val="nil"/>
              <w:bottom w:val="nil"/>
              <w:right w:val="nil"/>
            </w:tcBorders>
          </w:tcPr>
          <w:p w14:paraId="041B2DC3"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0.267</w:t>
            </w:r>
          </w:p>
        </w:tc>
        <w:tc>
          <w:tcPr>
            <w:tcW w:w="1666" w:type="dxa"/>
            <w:tcBorders>
              <w:top w:val="single" w:sz="4" w:space="0" w:color="ED7D31" w:themeColor="accent2"/>
              <w:left w:val="nil"/>
              <w:bottom w:val="nil"/>
              <w:right w:val="nil"/>
            </w:tcBorders>
          </w:tcPr>
          <w:p w14:paraId="21B73D60"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-0.117</w:t>
            </w:r>
          </w:p>
        </w:tc>
        <w:tc>
          <w:tcPr>
            <w:tcW w:w="1984" w:type="dxa"/>
            <w:tcBorders>
              <w:top w:val="single" w:sz="4" w:space="0" w:color="ED7D31" w:themeColor="accent2"/>
              <w:left w:val="nil"/>
              <w:bottom w:val="nil"/>
              <w:right w:val="nil"/>
            </w:tcBorders>
          </w:tcPr>
          <w:p w14:paraId="0DBA53CF"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-0.310</w:t>
            </w:r>
          </w:p>
        </w:tc>
      </w:tr>
      <w:tr w:rsidR="00244248" w:rsidRPr="00C50205" w14:paraId="167B8DF3" w14:textId="77777777" w:rsidTr="00335B25">
        <w:tc>
          <w:tcPr>
            <w:tcW w:w="2977" w:type="dxa"/>
            <w:tcBorders>
              <w:top w:val="nil"/>
              <w:left w:val="nil"/>
              <w:bottom w:val="nil"/>
              <w:right w:val="nil"/>
            </w:tcBorders>
          </w:tcPr>
          <w:p w14:paraId="3D12A8B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0FDE4FB7"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(0.266)</w:t>
            </w:r>
          </w:p>
        </w:tc>
        <w:tc>
          <w:tcPr>
            <w:tcW w:w="1417" w:type="dxa"/>
            <w:tcBorders>
              <w:top w:val="nil"/>
              <w:left w:val="nil"/>
              <w:bottom w:val="nil"/>
              <w:right w:val="nil"/>
            </w:tcBorders>
          </w:tcPr>
          <w:p w14:paraId="5EA4E8E9"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(0.288)</w:t>
            </w:r>
          </w:p>
        </w:tc>
        <w:tc>
          <w:tcPr>
            <w:tcW w:w="1666" w:type="dxa"/>
            <w:tcBorders>
              <w:top w:val="nil"/>
              <w:left w:val="nil"/>
              <w:bottom w:val="nil"/>
              <w:right w:val="nil"/>
            </w:tcBorders>
          </w:tcPr>
          <w:p w14:paraId="77880CC8"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(0.283)</w:t>
            </w:r>
          </w:p>
        </w:tc>
        <w:tc>
          <w:tcPr>
            <w:tcW w:w="1984" w:type="dxa"/>
            <w:tcBorders>
              <w:top w:val="nil"/>
              <w:left w:val="nil"/>
              <w:bottom w:val="nil"/>
              <w:right w:val="nil"/>
            </w:tcBorders>
          </w:tcPr>
          <w:p w14:paraId="395F4234"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rPr>
              <w:t>(0.314)</w:t>
            </w:r>
          </w:p>
        </w:tc>
      </w:tr>
      <w:tr w:rsidR="00244248" w:rsidRPr="00DE6E2E" w14:paraId="17DC55E9" w14:textId="77777777" w:rsidTr="00335B25">
        <w:tc>
          <w:tcPr>
            <w:tcW w:w="2977" w:type="dxa"/>
            <w:tcBorders>
              <w:top w:val="nil"/>
              <w:left w:val="nil"/>
              <w:bottom w:val="nil"/>
              <w:right w:val="nil"/>
            </w:tcBorders>
          </w:tcPr>
          <w:p w14:paraId="1D015A9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bottom w:val="nil"/>
              <w:right w:val="nil"/>
            </w:tcBorders>
          </w:tcPr>
          <w:p w14:paraId="57FC9530"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22</w:t>
            </w:r>
            <w:r>
              <w:rPr>
                <w:rFonts w:asciiTheme="majorHAnsi" w:hAnsiTheme="majorHAnsi" w:cstheme="majorHAnsi"/>
                <w:sz w:val="20"/>
                <w:szCs w:val="20"/>
              </w:rPr>
              <w:t>,</w:t>
            </w:r>
            <w:r w:rsidRPr="00DE151D">
              <w:rPr>
                <w:rFonts w:asciiTheme="majorHAnsi" w:hAnsiTheme="majorHAnsi" w:cstheme="majorHAnsi"/>
                <w:sz w:val="20"/>
                <w:szCs w:val="20"/>
              </w:rPr>
              <w:t>430</w:t>
            </w:r>
          </w:p>
        </w:tc>
        <w:tc>
          <w:tcPr>
            <w:tcW w:w="1417" w:type="dxa"/>
            <w:tcBorders>
              <w:top w:val="nil"/>
              <w:left w:val="nil"/>
              <w:bottom w:val="nil"/>
              <w:right w:val="nil"/>
            </w:tcBorders>
          </w:tcPr>
          <w:p w14:paraId="0FF43FD6"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20</w:t>
            </w:r>
            <w:r>
              <w:rPr>
                <w:rFonts w:asciiTheme="majorHAnsi" w:hAnsiTheme="majorHAnsi" w:cstheme="majorHAnsi"/>
                <w:sz w:val="20"/>
                <w:szCs w:val="20"/>
              </w:rPr>
              <w:t>,</w:t>
            </w:r>
            <w:r w:rsidRPr="00DE151D">
              <w:rPr>
                <w:rFonts w:asciiTheme="majorHAnsi" w:hAnsiTheme="majorHAnsi" w:cstheme="majorHAnsi"/>
                <w:sz w:val="20"/>
                <w:szCs w:val="20"/>
              </w:rPr>
              <w:t>049</w:t>
            </w:r>
          </w:p>
        </w:tc>
        <w:tc>
          <w:tcPr>
            <w:tcW w:w="1666" w:type="dxa"/>
            <w:tcBorders>
              <w:top w:val="nil"/>
              <w:left w:val="nil"/>
              <w:bottom w:val="nil"/>
              <w:right w:val="nil"/>
            </w:tcBorders>
          </w:tcPr>
          <w:p w14:paraId="2841AFB6"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22</w:t>
            </w:r>
            <w:r>
              <w:rPr>
                <w:rFonts w:asciiTheme="majorHAnsi" w:hAnsiTheme="majorHAnsi" w:cstheme="majorHAnsi"/>
                <w:sz w:val="20"/>
                <w:szCs w:val="20"/>
              </w:rPr>
              <w:t>,</w:t>
            </w:r>
            <w:r w:rsidRPr="00DE151D">
              <w:rPr>
                <w:rFonts w:asciiTheme="majorHAnsi" w:hAnsiTheme="majorHAnsi" w:cstheme="majorHAnsi"/>
                <w:sz w:val="20"/>
                <w:szCs w:val="20"/>
              </w:rPr>
              <w:t>430</w:t>
            </w:r>
          </w:p>
        </w:tc>
        <w:tc>
          <w:tcPr>
            <w:tcW w:w="1984" w:type="dxa"/>
            <w:tcBorders>
              <w:top w:val="nil"/>
              <w:left w:val="nil"/>
              <w:bottom w:val="nil"/>
              <w:right w:val="nil"/>
            </w:tcBorders>
          </w:tcPr>
          <w:p w14:paraId="7AFEB114"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rPr>
              <w:t>20</w:t>
            </w:r>
            <w:r>
              <w:rPr>
                <w:rFonts w:asciiTheme="majorHAnsi" w:hAnsiTheme="majorHAnsi" w:cstheme="majorHAnsi"/>
                <w:sz w:val="20"/>
                <w:szCs w:val="20"/>
              </w:rPr>
              <w:t>,</w:t>
            </w:r>
            <w:r w:rsidRPr="00DE151D">
              <w:rPr>
                <w:rFonts w:asciiTheme="majorHAnsi" w:hAnsiTheme="majorHAnsi" w:cstheme="majorHAnsi"/>
                <w:sz w:val="20"/>
                <w:szCs w:val="20"/>
              </w:rPr>
              <w:t>049</w:t>
            </w:r>
          </w:p>
        </w:tc>
      </w:tr>
      <w:tr w:rsidR="00244248" w:rsidRPr="00DE6E2E" w14:paraId="356CD655" w14:textId="77777777" w:rsidTr="00335B25">
        <w:trPr>
          <w:trHeight w:val="474"/>
        </w:trPr>
        <w:tc>
          <w:tcPr>
            <w:tcW w:w="2977" w:type="dxa"/>
            <w:tcBorders>
              <w:top w:val="nil"/>
              <w:left w:val="nil"/>
              <w:bottom w:val="single" w:sz="4" w:space="0" w:color="ED7D31" w:themeColor="accent2"/>
              <w:right w:val="nil"/>
            </w:tcBorders>
            <w:vAlign w:val="bottom"/>
          </w:tcPr>
          <w:p w14:paraId="7AD8990B"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Additionally i</w:t>
            </w:r>
            <w:r w:rsidRPr="00DE6E2E">
              <w:rPr>
                <w:rFonts w:asciiTheme="majorHAnsi" w:hAnsiTheme="majorHAnsi" w:cstheme="majorHAnsi"/>
                <w:b/>
                <w:bCs/>
                <w:sz w:val="20"/>
                <w:szCs w:val="20"/>
              </w:rPr>
              <w:t xml:space="preserve">ntended number of children </w:t>
            </w:r>
          </w:p>
        </w:tc>
        <w:tc>
          <w:tcPr>
            <w:tcW w:w="1531" w:type="dxa"/>
            <w:tcBorders>
              <w:top w:val="nil"/>
              <w:left w:val="nil"/>
              <w:bottom w:val="single" w:sz="4" w:space="0" w:color="ED7D31" w:themeColor="accent2"/>
              <w:right w:val="nil"/>
            </w:tcBorders>
          </w:tcPr>
          <w:p w14:paraId="62742D2F"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1DF65D63"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0F69555E"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56FCA5AE"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0B46F79C" w14:textId="77777777" w:rsidTr="00335B25">
        <w:tc>
          <w:tcPr>
            <w:tcW w:w="2977" w:type="dxa"/>
            <w:tcBorders>
              <w:top w:val="single" w:sz="4" w:space="0" w:color="ED7D31" w:themeColor="accent2"/>
              <w:left w:val="nil"/>
              <w:right w:val="nil"/>
            </w:tcBorders>
          </w:tcPr>
          <w:p w14:paraId="2B6757B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369CE358"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lang w:val="en-US"/>
              </w:rPr>
              <w:t>0.110</w:t>
            </w:r>
          </w:p>
        </w:tc>
        <w:tc>
          <w:tcPr>
            <w:tcW w:w="1417" w:type="dxa"/>
            <w:tcBorders>
              <w:top w:val="single" w:sz="4" w:space="0" w:color="ED7D31" w:themeColor="accent2"/>
              <w:left w:val="nil"/>
              <w:right w:val="nil"/>
            </w:tcBorders>
          </w:tcPr>
          <w:p w14:paraId="3BCA74F8"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lang w:val="en-US"/>
              </w:rPr>
              <w:t>0.109</w:t>
            </w:r>
          </w:p>
        </w:tc>
        <w:tc>
          <w:tcPr>
            <w:tcW w:w="1666" w:type="dxa"/>
            <w:tcBorders>
              <w:top w:val="single" w:sz="4" w:space="0" w:color="ED7D31" w:themeColor="accent2"/>
              <w:left w:val="nil"/>
              <w:right w:val="nil"/>
            </w:tcBorders>
          </w:tcPr>
          <w:p w14:paraId="60F62B4E"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lang w:val="en-US"/>
              </w:rPr>
              <w:t>-0.007</w:t>
            </w:r>
          </w:p>
        </w:tc>
        <w:tc>
          <w:tcPr>
            <w:tcW w:w="1984" w:type="dxa"/>
            <w:tcBorders>
              <w:top w:val="single" w:sz="4" w:space="0" w:color="ED7D31" w:themeColor="accent2"/>
              <w:left w:val="nil"/>
              <w:right w:val="nil"/>
            </w:tcBorders>
          </w:tcPr>
          <w:p w14:paraId="5EE827AD"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lang w:val="en-US"/>
              </w:rPr>
              <w:t>0.012</w:t>
            </w:r>
          </w:p>
        </w:tc>
      </w:tr>
      <w:tr w:rsidR="00244248" w:rsidRPr="00C50205" w14:paraId="35FCAE74" w14:textId="77777777" w:rsidTr="00335B25">
        <w:tc>
          <w:tcPr>
            <w:tcW w:w="2977" w:type="dxa"/>
            <w:tcBorders>
              <w:top w:val="nil"/>
              <w:left w:val="nil"/>
              <w:right w:val="nil"/>
            </w:tcBorders>
          </w:tcPr>
          <w:p w14:paraId="3C95D465"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5B01ED6C"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lang w:val="en-US"/>
              </w:rPr>
              <w:t>(0.081)</w:t>
            </w:r>
          </w:p>
        </w:tc>
        <w:tc>
          <w:tcPr>
            <w:tcW w:w="1417" w:type="dxa"/>
            <w:tcBorders>
              <w:top w:val="nil"/>
              <w:left w:val="nil"/>
              <w:right w:val="nil"/>
            </w:tcBorders>
          </w:tcPr>
          <w:p w14:paraId="73FE340E"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lang w:val="en-US"/>
              </w:rPr>
              <w:t>(0.091)</w:t>
            </w:r>
          </w:p>
        </w:tc>
        <w:tc>
          <w:tcPr>
            <w:tcW w:w="1666" w:type="dxa"/>
            <w:tcBorders>
              <w:top w:val="nil"/>
              <w:left w:val="nil"/>
              <w:right w:val="nil"/>
            </w:tcBorders>
          </w:tcPr>
          <w:p w14:paraId="7A1FE588"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lang w:val="en-US"/>
              </w:rPr>
              <w:t>(0.074)</w:t>
            </w:r>
          </w:p>
        </w:tc>
        <w:tc>
          <w:tcPr>
            <w:tcW w:w="1984" w:type="dxa"/>
            <w:tcBorders>
              <w:top w:val="nil"/>
              <w:left w:val="nil"/>
              <w:right w:val="nil"/>
            </w:tcBorders>
          </w:tcPr>
          <w:p w14:paraId="34B59AB4" w14:textId="77777777" w:rsidR="00244248" w:rsidRPr="00C825CE"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C825CE">
              <w:rPr>
                <w:rFonts w:asciiTheme="majorHAnsi" w:hAnsiTheme="majorHAnsi" w:cstheme="majorHAnsi"/>
                <w:color w:val="808080" w:themeColor="background1" w:themeShade="80"/>
                <w:sz w:val="20"/>
                <w:szCs w:val="20"/>
                <w:lang w:val="en-US"/>
              </w:rPr>
              <w:t>(0.084)</w:t>
            </w:r>
          </w:p>
        </w:tc>
      </w:tr>
      <w:tr w:rsidR="00244248" w:rsidRPr="00DE6E2E" w14:paraId="24C50C0E" w14:textId="77777777" w:rsidTr="00335B25">
        <w:tc>
          <w:tcPr>
            <w:tcW w:w="2977" w:type="dxa"/>
            <w:tcBorders>
              <w:top w:val="nil"/>
              <w:left w:val="nil"/>
              <w:right w:val="nil"/>
            </w:tcBorders>
          </w:tcPr>
          <w:p w14:paraId="39BD616C"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314F3870"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lang w:val="en-US"/>
              </w:rPr>
              <w:t>17</w:t>
            </w:r>
            <w:r>
              <w:rPr>
                <w:rFonts w:asciiTheme="majorHAnsi" w:hAnsiTheme="majorHAnsi" w:cstheme="majorHAnsi"/>
                <w:sz w:val="20"/>
                <w:szCs w:val="20"/>
                <w:lang w:val="en-US"/>
              </w:rPr>
              <w:t>,</w:t>
            </w:r>
            <w:r w:rsidRPr="00DE151D">
              <w:rPr>
                <w:rFonts w:asciiTheme="majorHAnsi" w:hAnsiTheme="majorHAnsi" w:cstheme="majorHAnsi"/>
                <w:sz w:val="20"/>
                <w:szCs w:val="20"/>
                <w:lang w:val="en-US"/>
              </w:rPr>
              <w:t>210</w:t>
            </w:r>
          </w:p>
        </w:tc>
        <w:tc>
          <w:tcPr>
            <w:tcW w:w="1417" w:type="dxa"/>
            <w:tcBorders>
              <w:top w:val="nil"/>
              <w:left w:val="nil"/>
              <w:right w:val="nil"/>
            </w:tcBorders>
          </w:tcPr>
          <w:p w14:paraId="4734F01D"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lang w:val="en-US"/>
              </w:rPr>
              <w:t>15</w:t>
            </w:r>
            <w:r>
              <w:rPr>
                <w:rFonts w:asciiTheme="majorHAnsi" w:hAnsiTheme="majorHAnsi" w:cstheme="majorHAnsi"/>
                <w:sz w:val="20"/>
                <w:szCs w:val="20"/>
                <w:lang w:val="en-US"/>
              </w:rPr>
              <w:t>,</w:t>
            </w:r>
            <w:r w:rsidRPr="00DE151D">
              <w:rPr>
                <w:rFonts w:asciiTheme="majorHAnsi" w:hAnsiTheme="majorHAnsi" w:cstheme="majorHAnsi"/>
                <w:sz w:val="20"/>
                <w:szCs w:val="20"/>
                <w:lang w:val="en-US"/>
              </w:rPr>
              <w:t>435</w:t>
            </w:r>
          </w:p>
        </w:tc>
        <w:tc>
          <w:tcPr>
            <w:tcW w:w="1666" w:type="dxa"/>
            <w:tcBorders>
              <w:top w:val="nil"/>
              <w:left w:val="nil"/>
              <w:right w:val="nil"/>
            </w:tcBorders>
          </w:tcPr>
          <w:p w14:paraId="54EC50B1"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lang w:val="en-US"/>
              </w:rPr>
              <w:t>17</w:t>
            </w:r>
            <w:r>
              <w:rPr>
                <w:rFonts w:asciiTheme="majorHAnsi" w:hAnsiTheme="majorHAnsi" w:cstheme="majorHAnsi"/>
                <w:sz w:val="20"/>
                <w:szCs w:val="20"/>
                <w:lang w:val="en-US"/>
              </w:rPr>
              <w:t>,</w:t>
            </w:r>
            <w:r w:rsidRPr="00DE151D">
              <w:rPr>
                <w:rFonts w:asciiTheme="majorHAnsi" w:hAnsiTheme="majorHAnsi" w:cstheme="majorHAnsi"/>
                <w:sz w:val="20"/>
                <w:szCs w:val="20"/>
                <w:lang w:val="en-US"/>
              </w:rPr>
              <w:t>210</w:t>
            </w:r>
          </w:p>
        </w:tc>
        <w:tc>
          <w:tcPr>
            <w:tcW w:w="1984" w:type="dxa"/>
            <w:tcBorders>
              <w:top w:val="nil"/>
              <w:left w:val="nil"/>
              <w:right w:val="nil"/>
            </w:tcBorders>
          </w:tcPr>
          <w:p w14:paraId="08E06D12" w14:textId="77777777" w:rsidR="00244248" w:rsidRPr="00DE151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151D">
              <w:rPr>
                <w:rFonts w:asciiTheme="majorHAnsi" w:hAnsiTheme="majorHAnsi" w:cstheme="majorHAnsi"/>
                <w:sz w:val="20"/>
                <w:szCs w:val="20"/>
                <w:lang w:val="en-US"/>
              </w:rPr>
              <w:t>15</w:t>
            </w:r>
            <w:r>
              <w:rPr>
                <w:rFonts w:asciiTheme="majorHAnsi" w:hAnsiTheme="majorHAnsi" w:cstheme="majorHAnsi"/>
                <w:sz w:val="20"/>
                <w:szCs w:val="20"/>
                <w:lang w:val="en-US"/>
              </w:rPr>
              <w:t>,</w:t>
            </w:r>
            <w:r w:rsidRPr="00DE151D">
              <w:rPr>
                <w:rFonts w:asciiTheme="majorHAnsi" w:hAnsiTheme="majorHAnsi" w:cstheme="majorHAnsi"/>
                <w:sz w:val="20"/>
                <w:szCs w:val="20"/>
                <w:lang w:val="en-US"/>
              </w:rPr>
              <w:t>435</w:t>
            </w:r>
          </w:p>
        </w:tc>
      </w:tr>
      <w:tr w:rsidR="00244248" w:rsidRPr="00DE6E2E" w14:paraId="03FE9E4C" w14:textId="77777777" w:rsidTr="00335B25">
        <w:trPr>
          <w:trHeight w:val="385"/>
        </w:trPr>
        <w:tc>
          <w:tcPr>
            <w:tcW w:w="2977" w:type="dxa"/>
            <w:tcBorders>
              <w:left w:val="nil"/>
              <w:bottom w:val="single" w:sz="4" w:space="0" w:color="ED7D31" w:themeColor="accent2"/>
              <w:right w:val="nil"/>
            </w:tcBorders>
            <w:vAlign w:val="bottom"/>
          </w:tcPr>
          <w:p w14:paraId="366C37A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Model specifications</w:t>
            </w:r>
          </w:p>
        </w:tc>
        <w:tc>
          <w:tcPr>
            <w:tcW w:w="1531" w:type="dxa"/>
            <w:tcBorders>
              <w:left w:val="nil"/>
              <w:bottom w:val="single" w:sz="4" w:space="0" w:color="ED7D31" w:themeColor="accent2"/>
              <w:right w:val="nil"/>
            </w:tcBorders>
          </w:tcPr>
          <w:p w14:paraId="709EB3FD"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left w:val="nil"/>
              <w:bottom w:val="single" w:sz="4" w:space="0" w:color="ED7D31" w:themeColor="accent2"/>
              <w:right w:val="nil"/>
            </w:tcBorders>
          </w:tcPr>
          <w:p w14:paraId="136BD9F6"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2B957F52"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2142352C"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50674487" w14:textId="77777777" w:rsidTr="00335B25">
        <w:tc>
          <w:tcPr>
            <w:tcW w:w="2977" w:type="dxa"/>
            <w:tcBorders>
              <w:top w:val="single" w:sz="4" w:space="0" w:color="ED7D31" w:themeColor="accent2"/>
              <w:left w:val="nil"/>
              <w:bottom w:val="nil"/>
              <w:right w:val="nil"/>
            </w:tcBorders>
          </w:tcPr>
          <w:p w14:paraId="5A0B7DC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Year and State Fixed Effects</w:t>
            </w:r>
          </w:p>
        </w:tc>
        <w:tc>
          <w:tcPr>
            <w:tcW w:w="1531" w:type="dxa"/>
            <w:tcBorders>
              <w:top w:val="single" w:sz="4" w:space="0" w:color="ED7D31" w:themeColor="accent2"/>
              <w:left w:val="nil"/>
              <w:bottom w:val="nil"/>
              <w:right w:val="nil"/>
            </w:tcBorders>
          </w:tcPr>
          <w:p w14:paraId="05E4658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417" w:type="dxa"/>
            <w:tcBorders>
              <w:top w:val="single" w:sz="4" w:space="0" w:color="ED7D31" w:themeColor="accent2"/>
              <w:left w:val="nil"/>
              <w:bottom w:val="nil"/>
              <w:right w:val="nil"/>
            </w:tcBorders>
          </w:tcPr>
          <w:p w14:paraId="2616BA2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single" w:sz="4" w:space="0" w:color="ED7D31" w:themeColor="accent2"/>
              <w:left w:val="nil"/>
              <w:bottom w:val="nil"/>
              <w:right w:val="nil"/>
            </w:tcBorders>
          </w:tcPr>
          <w:p w14:paraId="50F0AED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single" w:sz="4" w:space="0" w:color="ED7D31" w:themeColor="accent2"/>
              <w:left w:val="nil"/>
              <w:bottom w:val="nil"/>
              <w:right w:val="nil"/>
            </w:tcBorders>
          </w:tcPr>
          <w:p w14:paraId="3C70D9F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26B14563" w14:textId="77777777" w:rsidTr="00335B25">
        <w:tc>
          <w:tcPr>
            <w:tcW w:w="2977" w:type="dxa"/>
            <w:tcBorders>
              <w:top w:val="nil"/>
              <w:left w:val="nil"/>
              <w:bottom w:val="nil"/>
              <w:right w:val="nil"/>
            </w:tcBorders>
          </w:tcPr>
          <w:p w14:paraId="24BCE0C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Time-varying Demographics</w:t>
            </w:r>
          </w:p>
        </w:tc>
        <w:tc>
          <w:tcPr>
            <w:tcW w:w="1531" w:type="dxa"/>
            <w:tcBorders>
              <w:top w:val="nil"/>
              <w:left w:val="nil"/>
              <w:bottom w:val="nil"/>
              <w:right w:val="nil"/>
            </w:tcBorders>
          </w:tcPr>
          <w:p w14:paraId="7D084E8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nil"/>
              <w:right w:val="nil"/>
            </w:tcBorders>
          </w:tcPr>
          <w:p w14:paraId="42B9137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bottom w:val="nil"/>
              <w:right w:val="nil"/>
            </w:tcBorders>
          </w:tcPr>
          <w:p w14:paraId="512BA8B2"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bottom w:val="nil"/>
              <w:right w:val="nil"/>
            </w:tcBorders>
          </w:tcPr>
          <w:p w14:paraId="12F39BE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79A6E66D" w14:textId="77777777" w:rsidTr="00335B25">
        <w:tc>
          <w:tcPr>
            <w:tcW w:w="2977" w:type="dxa"/>
            <w:tcBorders>
              <w:top w:val="nil"/>
              <w:left w:val="nil"/>
              <w:right w:val="nil"/>
            </w:tcBorders>
          </w:tcPr>
          <w:p w14:paraId="79BFB796"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Time-invariant Demographics</w:t>
            </w:r>
          </w:p>
        </w:tc>
        <w:tc>
          <w:tcPr>
            <w:tcW w:w="1531" w:type="dxa"/>
            <w:tcBorders>
              <w:top w:val="nil"/>
              <w:left w:val="nil"/>
              <w:right w:val="nil"/>
            </w:tcBorders>
          </w:tcPr>
          <w:p w14:paraId="4AF2E06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right w:val="nil"/>
            </w:tcBorders>
          </w:tcPr>
          <w:p w14:paraId="6298242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right w:val="nil"/>
            </w:tcBorders>
          </w:tcPr>
          <w:p w14:paraId="01AF468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right w:val="nil"/>
            </w:tcBorders>
          </w:tcPr>
          <w:p w14:paraId="3C328862"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r>
      <w:tr w:rsidR="00244248" w:rsidRPr="00DE6E2E" w14:paraId="5FFB0097" w14:textId="77777777" w:rsidTr="00335B25">
        <w:tc>
          <w:tcPr>
            <w:tcW w:w="2977" w:type="dxa"/>
            <w:tcBorders>
              <w:top w:val="nil"/>
              <w:left w:val="nil"/>
              <w:bottom w:val="single" w:sz="4" w:space="0" w:color="ED7D31" w:themeColor="accent2"/>
              <w:right w:val="nil"/>
            </w:tcBorders>
          </w:tcPr>
          <w:p w14:paraId="12E2D7BD"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237B361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48D7E92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1E1939B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48C8F20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bl>
    <w:p w14:paraId="3B528436" w14:textId="77777777" w:rsidR="00244248" w:rsidRPr="00F62A9A" w:rsidRDefault="00244248" w:rsidP="00244248">
      <w:pPr>
        <w:rPr>
          <w:rFonts w:asciiTheme="majorHAnsi" w:hAnsiTheme="majorHAnsi" w:cstheme="majorHAnsi"/>
          <w:sz w:val="18"/>
          <w:szCs w:val="18"/>
          <w:lang w:val="en-US"/>
        </w:rPr>
      </w:pPr>
      <w:r w:rsidRPr="00F62A9A">
        <w:rPr>
          <w:rFonts w:asciiTheme="majorHAnsi" w:hAnsiTheme="majorHAnsi" w:cstheme="majorHAnsi"/>
          <w:sz w:val="18"/>
          <w:szCs w:val="18"/>
          <w:lang w:val="en-US"/>
        </w:rPr>
        <w:t xml:space="preserve"> </w:t>
      </w:r>
      <w:r w:rsidRPr="00F62A9A">
        <w:rPr>
          <w:rFonts w:asciiTheme="majorHAnsi" w:eastAsiaTheme="minorEastAsia" w:hAnsiTheme="majorHAnsi" w:cstheme="majorHAnsi"/>
          <w:sz w:val="18"/>
          <w:szCs w:val="18"/>
          <w:lang w:val="en-US" w:eastAsia="en-AU"/>
        </w:rPr>
        <w:t>* p&lt;0.1, ** p&lt;0.05, *** p&lt;0.01</w:t>
      </w:r>
    </w:p>
    <w:p w14:paraId="709BCA42" w14:textId="77777777" w:rsidR="003206B1" w:rsidRDefault="00244248" w:rsidP="003206B1">
      <w:pPr>
        <w:pStyle w:val="Caption"/>
        <w:keepNext/>
        <w:rPr>
          <w:rFonts w:asciiTheme="majorHAnsi" w:eastAsiaTheme="majorEastAsia" w:hAnsiTheme="majorHAnsi" w:cstheme="majorBidi"/>
          <w:color w:val="2E74B5" w:themeColor="accent1" w:themeShade="BF"/>
          <w:sz w:val="26"/>
          <w:szCs w:val="26"/>
          <w:lang w:val="en-US"/>
        </w:rPr>
      </w:pPr>
      <w:r>
        <w:rPr>
          <w:rFonts w:asciiTheme="majorHAnsi" w:eastAsiaTheme="majorEastAsia" w:hAnsiTheme="majorHAnsi" w:cstheme="majorBidi"/>
          <w:color w:val="2E74B5" w:themeColor="accent1" w:themeShade="BF"/>
          <w:sz w:val="26"/>
          <w:szCs w:val="26"/>
          <w:lang w:val="en-US"/>
        </w:rPr>
        <w:br w:type="page"/>
      </w:r>
    </w:p>
    <w:p w14:paraId="4847563B" w14:textId="7EBAC7D4" w:rsidR="003206B1" w:rsidRPr="00244248" w:rsidRDefault="003206B1" w:rsidP="003206B1">
      <w:pPr>
        <w:rPr>
          <w:rFonts w:asciiTheme="majorHAnsi" w:hAnsiTheme="majorHAnsi" w:cstheme="majorHAnsi"/>
          <w:color w:val="1F4E79" w:themeColor="accent1" w:themeShade="80"/>
          <w:sz w:val="26"/>
          <w:szCs w:val="26"/>
          <w:lang w:val="en-US"/>
        </w:rPr>
      </w:pPr>
      <w:r w:rsidRPr="00244248">
        <w:rPr>
          <w:rFonts w:asciiTheme="majorHAnsi" w:hAnsiTheme="majorHAnsi" w:cstheme="majorHAnsi"/>
          <w:color w:val="1F4E79" w:themeColor="accent1" w:themeShade="80"/>
          <w:sz w:val="26"/>
          <w:szCs w:val="26"/>
          <w:lang w:val="en-US"/>
        </w:rPr>
        <w:lastRenderedPageBreak/>
        <w:t xml:space="preserve">Paid Parental Leave – </w:t>
      </w:r>
      <w:r>
        <w:rPr>
          <w:rFonts w:asciiTheme="majorHAnsi" w:hAnsiTheme="majorHAnsi" w:cstheme="majorHAnsi"/>
          <w:color w:val="1F4E79" w:themeColor="accent1" w:themeShade="80"/>
          <w:sz w:val="26"/>
          <w:szCs w:val="26"/>
          <w:lang w:val="en-US"/>
        </w:rPr>
        <w:t xml:space="preserve">Placebo tests </w:t>
      </w:r>
    </w:p>
    <w:p w14:paraId="4707C0A3" w14:textId="597E8779" w:rsidR="00880AFE" w:rsidRDefault="00880AFE" w:rsidP="00E47B1C">
      <w:pPr>
        <w:pStyle w:val="Caption"/>
        <w:keepNext/>
      </w:pPr>
      <w:bookmarkStart w:id="258" w:name="_Ref88566177"/>
      <w:r>
        <w:t xml:space="preserve">Figure </w:t>
      </w:r>
      <w:fldSimple w:instr=" SEQ Figure \* ARABIC ">
        <w:r w:rsidR="00115E22">
          <w:rPr>
            <w:noProof/>
          </w:rPr>
          <w:t>58</w:t>
        </w:r>
      </w:fldSimple>
      <w:bookmarkEnd w:id="258"/>
      <w:r w:rsidRPr="00A86369">
        <w:t xml:space="preserve"> Paid parental leave pay placebo tests. Coefficients of fixed effects with time-varying demographic controls. Highlighted year is introduction of policy.</w:t>
      </w:r>
    </w:p>
    <w:p w14:paraId="7553975A" w14:textId="77777777" w:rsidR="003206B1" w:rsidRDefault="003206B1" w:rsidP="003206B1">
      <w:pPr>
        <w:rPr>
          <w:lang w:val="en-US"/>
        </w:rPr>
      </w:pPr>
      <w:r>
        <w:rPr>
          <w:noProof/>
          <w:lang w:eastAsia="en-AU"/>
        </w:rPr>
        <w:drawing>
          <wp:inline distT="0" distB="0" distL="0" distR="0" wp14:anchorId="5CE62BD2" wp14:editId="1720620C">
            <wp:extent cx="5731510" cy="2856865"/>
            <wp:effectExtent l="0" t="0" r="2540" b="635"/>
            <wp:docPr id="213" name="Chart 213">
              <a:extLst xmlns:a="http://schemas.openxmlformats.org/drawingml/2006/main">
                <a:ext uri="{FF2B5EF4-FFF2-40B4-BE49-F238E27FC236}">
                  <a16:creationId xmlns:a16="http://schemas.microsoft.com/office/drawing/2014/main" id="{6097A90F-81ED-4DD7-8784-DCDAD2461C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7A6DFE9" w14:textId="22E2410C" w:rsidR="00244248" w:rsidRDefault="00244248" w:rsidP="00244248">
      <w:pPr>
        <w:rPr>
          <w:rFonts w:asciiTheme="majorHAnsi" w:eastAsiaTheme="majorEastAsia" w:hAnsiTheme="majorHAnsi" w:cstheme="majorBidi"/>
          <w:color w:val="2E74B5" w:themeColor="accent1" w:themeShade="BF"/>
          <w:sz w:val="26"/>
          <w:szCs w:val="26"/>
          <w:lang w:val="en-US"/>
        </w:rPr>
      </w:pPr>
    </w:p>
    <w:p w14:paraId="07E8D4C0" w14:textId="77777777" w:rsidR="00244248" w:rsidRDefault="00244248" w:rsidP="00244248">
      <w:pPr>
        <w:rPr>
          <w:rFonts w:asciiTheme="majorHAnsi" w:eastAsiaTheme="majorEastAsia" w:hAnsiTheme="majorHAnsi" w:cstheme="majorBidi"/>
          <w:color w:val="2E74B5" w:themeColor="accent1" w:themeShade="BF"/>
          <w:sz w:val="26"/>
          <w:szCs w:val="26"/>
          <w:lang w:val="en-US"/>
        </w:rPr>
      </w:pPr>
    </w:p>
    <w:p w14:paraId="63D308BB" w14:textId="77777777" w:rsidR="003206B1" w:rsidRDefault="003206B1">
      <w:pPr>
        <w:rPr>
          <w:rFonts w:asciiTheme="majorHAnsi" w:hAnsiTheme="majorHAnsi" w:cstheme="majorHAnsi"/>
          <w:color w:val="1F4E79" w:themeColor="accent1" w:themeShade="80"/>
          <w:sz w:val="26"/>
          <w:szCs w:val="26"/>
          <w:lang w:val="en-US"/>
        </w:rPr>
      </w:pPr>
      <w:r>
        <w:rPr>
          <w:rFonts w:asciiTheme="majorHAnsi" w:hAnsiTheme="majorHAnsi" w:cstheme="majorHAnsi"/>
          <w:color w:val="1F4E79" w:themeColor="accent1" w:themeShade="80"/>
          <w:sz w:val="26"/>
          <w:szCs w:val="26"/>
          <w:lang w:val="en-US"/>
        </w:rPr>
        <w:br w:type="page"/>
      </w:r>
    </w:p>
    <w:p w14:paraId="0A367AD5" w14:textId="6C2F0B57" w:rsidR="00244248" w:rsidRPr="00244248" w:rsidRDefault="00244248" w:rsidP="00244248">
      <w:pPr>
        <w:rPr>
          <w:rFonts w:asciiTheme="majorHAnsi" w:hAnsiTheme="majorHAnsi" w:cstheme="majorHAnsi"/>
          <w:color w:val="1F4E79" w:themeColor="accent1" w:themeShade="80"/>
          <w:sz w:val="26"/>
          <w:szCs w:val="26"/>
          <w:lang w:val="en-US"/>
        </w:rPr>
      </w:pPr>
      <w:r w:rsidRPr="00244248">
        <w:rPr>
          <w:rFonts w:asciiTheme="majorHAnsi" w:hAnsiTheme="majorHAnsi" w:cstheme="majorHAnsi"/>
          <w:color w:val="1F4E79" w:themeColor="accent1" w:themeShade="80"/>
          <w:sz w:val="26"/>
          <w:szCs w:val="26"/>
          <w:lang w:val="en-US"/>
        </w:rPr>
        <w:lastRenderedPageBreak/>
        <w:t xml:space="preserve">Dad and Partner Pay – Identification strategy II </w:t>
      </w:r>
    </w:p>
    <w:p w14:paraId="5C8974E9" w14:textId="77777777" w:rsidR="00244248" w:rsidRPr="00590027" w:rsidRDefault="00244248" w:rsidP="00244248">
      <w:pPr>
        <w:pBdr>
          <w:bottom w:val="single" w:sz="4" w:space="1" w:color="ED7D31" w:themeColor="accent2"/>
        </w:pBdr>
      </w:pPr>
      <w:r>
        <w:t xml:space="preserve">The identification strategy is similar to Idenfification I (based on eligibility of partners) but now we limit the analysis to women who were unemployed or out of labour force. This subsample of women should, in theory, be more affected by their partner’s access to DaPP compared to working women. However, this sample restriction leads to a large sample reduction and less precise estimates.  Further, women’s labour force status might itself be a function of this scheme.  If this is true, then this strategy may be subject to an issue of selecting on an endogenous condition, leading to biased estimates.      </w:t>
      </w:r>
    </w:p>
    <w:p w14:paraId="2056F73F" w14:textId="77777777" w:rsidR="00244248" w:rsidRDefault="00244248" w:rsidP="00244248">
      <w:pPr>
        <w:rPr>
          <w:lang w:val="en-US"/>
        </w:rPr>
      </w:pPr>
    </w:p>
    <w:p w14:paraId="4357F53E" w14:textId="2D2D929E" w:rsidR="00244248" w:rsidRDefault="00244248" w:rsidP="00244248">
      <w:pPr>
        <w:pStyle w:val="Caption"/>
        <w:keepNext/>
      </w:pPr>
      <w:r>
        <w:t xml:space="preserve">Table </w:t>
      </w:r>
      <w:fldSimple w:instr=" SEQ Table \* ARABIC ">
        <w:r w:rsidR="00115E22">
          <w:rPr>
            <w:noProof/>
          </w:rPr>
          <w:t>54</w:t>
        </w:r>
      </w:fldSimple>
      <w:r>
        <w:t xml:space="preserve"> Effect of DaPP  (Identification strategy II)</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DE6E2E" w14:paraId="2FDF956E" w14:textId="77777777" w:rsidTr="00335B25">
        <w:tc>
          <w:tcPr>
            <w:tcW w:w="2977" w:type="dxa"/>
            <w:tcBorders>
              <w:top w:val="single" w:sz="4" w:space="0" w:color="auto"/>
              <w:left w:val="nil"/>
              <w:bottom w:val="nil"/>
              <w:right w:val="nil"/>
            </w:tcBorders>
            <w:shd w:val="clear" w:color="auto" w:fill="FBE4D5" w:themeFill="accent2" w:themeFillTint="33"/>
          </w:tcPr>
          <w:p w14:paraId="20681EB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auto"/>
              <w:left w:val="nil"/>
              <w:bottom w:val="nil"/>
              <w:right w:val="nil"/>
            </w:tcBorders>
            <w:shd w:val="clear" w:color="auto" w:fill="FBE4D5" w:themeFill="accent2" w:themeFillTint="33"/>
          </w:tcPr>
          <w:p w14:paraId="556E5DF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(1)</w:t>
            </w:r>
          </w:p>
        </w:tc>
        <w:tc>
          <w:tcPr>
            <w:tcW w:w="1417" w:type="dxa"/>
            <w:tcBorders>
              <w:top w:val="single" w:sz="4" w:space="0" w:color="auto"/>
              <w:left w:val="nil"/>
              <w:bottom w:val="nil"/>
              <w:right w:val="nil"/>
            </w:tcBorders>
            <w:shd w:val="clear" w:color="auto" w:fill="FBE4D5" w:themeFill="accent2" w:themeFillTint="33"/>
          </w:tcPr>
          <w:p w14:paraId="0617BBA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(2)</w:t>
            </w:r>
          </w:p>
        </w:tc>
        <w:tc>
          <w:tcPr>
            <w:tcW w:w="1666" w:type="dxa"/>
            <w:tcBorders>
              <w:top w:val="single" w:sz="4" w:space="0" w:color="auto"/>
              <w:left w:val="nil"/>
              <w:bottom w:val="nil"/>
              <w:right w:val="nil"/>
            </w:tcBorders>
            <w:shd w:val="clear" w:color="auto" w:fill="FBE4D5" w:themeFill="accent2" w:themeFillTint="33"/>
          </w:tcPr>
          <w:p w14:paraId="5785BC5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(3)</w:t>
            </w:r>
          </w:p>
        </w:tc>
        <w:tc>
          <w:tcPr>
            <w:tcW w:w="1984" w:type="dxa"/>
            <w:tcBorders>
              <w:top w:val="single" w:sz="4" w:space="0" w:color="auto"/>
              <w:left w:val="nil"/>
              <w:bottom w:val="nil"/>
              <w:right w:val="nil"/>
            </w:tcBorders>
            <w:shd w:val="clear" w:color="auto" w:fill="FBE4D5" w:themeFill="accent2" w:themeFillTint="33"/>
          </w:tcPr>
          <w:p w14:paraId="40985AC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(4)</w:t>
            </w:r>
          </w:p>
        </w:tc>
      </w:tr>
      <w:tr w:rsidR="00244248" w:rsidRPr="00DE6E2E" w14:paraId="269DAB6E"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2F747095"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210FD2E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7719D7E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357CB4C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0C2FF38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OLS-fixed effect</w:t>
            </w:r>
          </w:p>
        </w:tc>
      </w:tr>
      <w:tr w:rsidR="00244248" w:rsidRPr="00DE6E2E" w14:paraId="3077F593"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09C64F5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Births</w:t>
            </w:r>
          </w:p>
        </w:tc>
        <w:tc>
          <w:tcPr>
            <w:tcW w:w="1531" w:type="dxa"/>
            <w:tcBorders>
              <w:top w:val="single" w:sz="4" w:space="0" w:color="ED7D31" w:themeColor="accent2"/>
              <w:left w:val="nil"/>
              <w:bottom w:val="single" w:sz="4" w:space="0" w:color="ED7D31" w:themeColor="accent2"/>
              <w:right w:val="nil"/>
            </w:tcBorders>
          </w:tcPr>
          <w:p w14:paraId="17DE6EC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4B4DC98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0238063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3A53809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12F485A0" w14:textId="77777777" w:rsidTr="00335B25">
        <w:tc>
          <w:tcPr>
            <w:tcW w:w="2977" w:type="dxa"/>
            <w:tcBorders>
              <w:top w:val="single" w:sz="4" w:space="0" w:color="ED7D31" w:themeColor="accent2"/>
              <w:left w:val="nil"/>
              <w:right w:val="nil"/>
            </w:tcBorders>
          </w:tcPr>
          <w:p w14:paraId="0514CA0B"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0997BFF9"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0.007</w:t>
            </w:r>
          </w:p>
        </w:tc>
        <w:tc>
          <w:tcPr>
            <w:tcW w:w="1417" w:type="dxa"/>
            <w:tcBorders>
              <w:top w:val="single" w:sz="4" w:space="0" w:color="ED7D31" w:themeColor="accent2"/>
              <w:left w:val="nil"/>
              <w:right w:val="nil"/>
            </w:tcBorders>
          </w:tcPr>
          <w:p w14:paraId="1DAC5ADF"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-0.012</w:t>
            </w:r>
          </w:p>
        </w:tc>
        <w:tc>
          <w:tcPr>
            <w:tcW w:w="1666" w:type="dxa"/>
            <w:tcBorders>
              <w:top w:val="single" w:sz="4" w:space="0" w:color="ED7D31" w:themeColor="accent2"/>
              <w:left w:val="nil"/>
              <w:right w:val="nil"/>
            </w:tcBorders>
          </w:tcPr>
          <w:p w14:paraId="7826E550"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-0.054</w:t>
            </w:r>
          </w:p>
        </w:tc>
        <w:tc>
          <w:tcPr>
            <w:tcW w:w="1984" w:type="dxa"/>
            <w:tcBorders>
              <w:top w:val="single" w:sz="4" w:space="0" w:color="ED7D31" w:themeColor="accent2"/>
              <w:left w:val="nil"/>
              <w:right w:val="nil"/>
            </w:tcBorders>
          </w:tcPr>
          <w:p w14:paraId="07383922"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-0.044</w:t>
            </w:r>
          </w:p>
        </w:tc>
      </w:tr>
      <w:tr w:rsidR="00244248" w:rsidRPr="00C50205" w14:paraId="51B3E6D5" w14:textId="77777777" w:rsidTr="00335B25">
        <w:tc>
          <w:tcPr>
            <w:tcW w:w="2977" w:type="dxa"/>
            <w:tcBorders>
              <w:top w:val="nil"/>
              <w:left w:val="nil"/>
              <w:right w:val="nil"/>
            </w:tcBorders>
          </w:tcPr>
          <w:p w14:paraId="49B70E69"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0EB0B055"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(0.028)</w:t>
            </w:r>
          </w:p>
        </w:tc>
        <w:tc>
          <w:tcPr>
            <w:tcW w:w="1417" w:type="dxa"/>
            <w:tcBorders>
              <w:top w:val="nil"/>
              <w:left w:val="nil"/>
              <w:right w:val="nil"/>
            </w:tcBorders>
          </w:tcPr>
          <w:p w14:paraId="2B696CB8"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(0.026)</w:t>
            </w:r>
          </w:p>
        </w:tc>
        <w:tc>
          <w:tcPr>
            <w:tcW w:w="1666" w:type="dxa"/>
            <w:tcBorders>
              <w:top w:val="nil"/>
              <w:left w:val="nil"/>
              <w:right w:val="nil"/>
            </w:tcBorders>
          </w:tcPr>
          <w:p w14:paraId="067C9F65"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(0.033)</w:t>
            </w:r>
          </w:p>
        </w:tc>
        <w:tc>
          <w:tcPr>
            <w:tcW w:w="1984" w:type="dxa"/>
            <w:tcBorders>
              <w:top w:val="nil"/>
              <w:left w:val="nil"/>
              <w:right w:val="nil"/>
            </w:tcBorders>
          </w:tcPr>
          <w:p w14:paraId="75FBA348"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(0.033)</w:t>
            </w:r>
          </w:p>
        </w:tc>
      </w:tr>
      <w:tr w:rsidR="00244248" w:rsidRPr="00DE6E2E" w14:paraId="02027676" w14:textId="77777777" w:rsidTr="00335B25">
        <w:tc>
          <w:tcPr>
            <w:tcW w:w="2977" w:type="dxa"/>
            <w:tcBorders>
              <w:left w:val="nil"/>
              <w:right w:val="nil"/>
            </w:tcBorders>
          </w:tcPr>
          <w:p w14:paraId="7DAB65F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left w:val="nil"/>
              <w:right w:val="nil"/>
            </w:tcBorders>
          </w:tcPr>
          <w:p w14:paraId="3372FCAF"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5</w:t>
            </w:r>
            <w:r>
              <w:rPr>
                <w:rFonts w:asciiTheme="majorHAnsi" w:hAnsiTheme="majorHAnsi" w:cstheme="majorHAnsi"/>
                <w:sz w:val="20"/>
                <w:szCs w:val="20"/>
              </w:rPr>
              <w:t>,</w:t>
            </w:r>
            <w:r w:rsidRPr="004C00BF">
              <w:rPr>
                <w:rFonts w:asciiTheme="majorHAnsi" w:hAnsiTheme="majorHAnsi" w:cstheme="majorHAnsi"/>
                <w:sz w:val="20"/>
                <w:szCs w:val="20"/>
              </w:rPr>
              <w:t>321</w:t>
            </w:r>
          </w:p>
        </w:tc>
        <w:tc>
          <w:tcPr>
            <w:tcW w:w="1417" w:type="dxa"/>
            <w:tcBorders>
              <w:left w:val="nil"/>
              <w:right w:val="nil"/>
            </w:tcBorders>
          </w:tcPr>
          <w:p w14:paraId="5D54A482"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5</w:t>
            </w:r>
            <w:r>
              <w:rPr>
                <w:rFonts w:asciiTheme="majorHAnsi" w:hAnsiTheme="majorHAnsi" w:cstheme="majorHAnsi"/>
                <w:sz w:val="20"/>
                <w:szCs w:val="20"/>
              </w:rPr>
              <w:t>,</w:t>
            </w:r>
            <w:r w:rsidRPr="004C00BF">
              <w:rPr>
                <w:rFonts w:asciiTheme="majorHAnsi" w:hAnsiTheme="majorHAnsi" w:cstheme="majorHAnsi"/>
                <w:sz w:val="20"/>
                <w:szCs w:val="20"/>
              </w:rPr>
              <w:t>309</w:t>
            </w:r>
          </w:p>
        </w:tc>
        <w:tc>
          <w:tcPr>
            <w:tcW w:w="1666" w:type="dxa"/>
            <w:tcBorders>
              <w:left w:val="nil"/>
              <w:right w:val="nil"/>
            </w:tcBorders>
          </w:tcPr>
          <w:p w14:paraId="1337EE63"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5</w:t>
            </w:r>
            <w:r>
              <w:rPr>
                <w:rFonts w:asciiTheme="majorHAnsi" w:hAnsiTheme="majorHAnsi" w:cstheme="majorHAnsi"/>
                <w:sz w:val="20"/>
                <w:szCs w:val="20"/>
              </w:rPr>
              <w:t>,</w:t>
            </w:r>
            <w:r w:rsidRPr="004C00BF">
              <w:rPr>
                <w:rFonts w:asciiTheme="majorHAnsi" w:hAnsiTheme="majorHAnsi" w:cstheme="majorHAnsi"/>
                <w:sz w:val="20"/>
                <w:szCs w:val="20"/>
              </w:rPr>
              <w:t>321</w:t>
            </w:r>
          </w:p>
        </w:tc>
        <w:tc>
          <w:tcPr>
            <w:tcW w:w="1984" w:type="dxa"/>
            <w:tcBorders>
              <w:left w:val="nil"/>
              <w:right w:val="nil"/>
            </w:tcBorders>
          </w:tcPr>
          <w:p w14:paraId="63C119AA"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5</w:t>
            </w:r>
            <w:r>
              <w:rPr>
                <w:rFonts w:asciiTheme="majorHAnsi" w:hAnsiTheme="majorHAnsi" w:cstheme="majorHAnsi"/>
                <w:sz w:val="20"/>
                <w:szCs w:val="20"/>
              </w:rPr>
              <w:t>,</w:t>
            </w:r>
            <w:r w:rsidRPr="004C00BF">
              <w:rPr>
                <w:rFonts w:asciiTheme="majorHAnsi" w:hAnsiTheme="majorHAnsi" w:cstheme="majorHAnsi"/>
                <w:sz w:val="20"/>
                <w:szCs w:val="20"/>
              </w:rPr>
              <w:t>309</w:t>
            </w:r>
          </w:p>
        </w:tc>
      </w:tr>
      <w:tr w:rsidR="00244248" w:rsidRPr="00DE6E2E" w14:paraId="7D0B9A02" w14:textId="77777777" w:rsidTr="00335B25">
        <w:trPr>
          <w:trHeight w:val="439"/>
        </w:trPr>
        <w:tc>
          <w:tcPr>
            <w:tcW w:w="2977" w:type="dxa"/>
            <w:tcBorders>
              <w:left w:val="nil"/>
              <w:bottom w:val="single" w:sz="4" w:space="0" w:color="ED7D31" w:themeColor="accent2"/>
              <w:right w:val="nil"/>
            </w:tcBorders>
            <w:vAlign w:val="bottom"/>
          </w:tcPr>
          <w:p w14:paraId="33874F5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 xml:space="preserve">Childbearing desire </w:t>
            </w:r>
          </w:p>
        </w:tc>
        <w:tc>
          <w:tcPr>
            <w:tcW w:w="1531" w:type="dxa"/>
            <w:tcBorders>
              <w:left w:val="nil"/>
              <w:bottom w:val="single" w:sz="4" w:space="0" w:color="ED7D31" w:themeColor="accent2"/>
              <w:right w:val="nil"/>
            </w:tcBorders>
          </w:tcPr>
          <w:p w14:paraId="68FB27C7"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0631DB1B"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41AF5E2B"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7FBC7CC5"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31AEFFC0" w14:textId="77777777" w:rsidTr="00335B25">
        <w:tc>
          <w:tcPr>
            <w:tcW w:w="2977" w:type="dxa"/>
            <w:tcBorders>
              <w:top w:val="single" w:sz="4" w:space="0" w:color="ED7D31" w:themeColor="accent2"/>
              <w:left w:val="nil"/>
              <w:bottom w:val="nil"/>
              <w:right w:val="nil"/>
            </w:tcBorders>
          </w:tcPr>
          <w:p w14:paraId="41203616"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0BC7D179"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-0.041</w:t>
            </w:r>
          </w:p>
        </w:tc>
        <w:tc>
          <w:tcPr>
            <w:tcW w:w="1417" w:type="dxa"/>
            <w:tcBorders>
              <w:top w:val="single" w:sz="4" w:space="0" w:color="ED7D31" w:themeColor="accent2"/>
              <w:left w:val="nil"/>
              <w:bottom w:val="nil"/>
              <w:right w:val="nil"/>
            </w:tcBorders>
          </w:tcPr>
          <w:p w14:paraId="0BBBBC84"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-0.149</w:t>
            </w:r>
          </w:p>
        </w:tc>
        <w:tc>
          <w:tcPr>
            <w:tcW w:w="1666" w:type="dxa"/>
            <w:tcBorders>
              <w:top w:val="single" w:sz="4" w:space="0" w:color="ED7D31" w:themeColor="accent2"/>
              <w:left w:val="nil"/>
              <w:bottom w:val="nil"/>
              <w:right w:val="nil"/>
            </w:tcBorders>
          </w:tcPr>
          <w:p w14:paraId="3C3BD837"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-0.385</w:t>
            </w:r>
          </w:p>
        </w:tc>
        <w:tc>
          <w:tcPr>
            <w:tcW w:w="1984" w:type="dxa"/>
            <w:tcBorders>
              <w:top w:val="single" w:sz="4" w:space="0" w:color="ED7D31" w:themeColor="accent2"/>
              <w:left w:val="nil"/>
              <w:bottom w:val="nil"/>
              <w:right w:val="nil"/>
            </w:tcBorders>
          </w:tcPr>
          <w:p w14:paraId="5EE27BAA"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-0.395</w:t>
            </w:r>
          </w:p>
        </w:tc>
      </w:tr>
      <w:tr w:rsidR="00244248" w:rsidRPr="00C50205" w14:paraId="386F1352" w14:textId="77777777" w:rsidTr="00335B25">
        <w:tc>
          <w:tcPr>
            <w:tcW w:w="2977" w:type="dxa"/>
            <w:tcBorders>
              <w:top w:val="nil"/>
              <w:left w:val="nil"/>
              <w:right w:val="nil"/>
            </w:tcBorders>
          </w:tcPr>
          <w:p w14:paraId="21963E2C"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1BDBD429"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(0.277)</w:t>
            </w:r>
          </w:p>
        </w:tc>
        <w:tc>
          <w:tcPr>
            <w:tcW w:w="1417" w:type="dxa"/>
            <w:tcBorders>
              <w:top w:val="nil"/>
              <w:left w:val="nil"/>
              <w:right w:val="nil"/>
            </w:tcBorders>
          </w:tcPr>
          <w:p w14:paraId="5B66E8E2"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(0.278)</w:t>
            </w:r>
          </w:p>
        </w:tc>
        <w:tc>
          <w:tcPr>
            <w:tcW w:w="1666" w:type="dxa"/>
            <w:tcBorders>
              <w:top w:val="nil"/>
              <w:left w:val="nil"/>
              <w:right w:val="nil"/>
            </w:tcBorders>
          </w:tcPr>
          <w:p w14:paraId="16010497"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(0.285)</w:t>
            </w:r>
          </w:p>
        </w:tc>
        <w:tc>
          <w:tcPr>
            <w:tcW w:w="1984" w:type="dxa"/>
            <w:tcBorders>
              <w:top w:val="nil"/>
              <w:left w:val="nil"/>
              <w:right w:val="nil"/>
            </w:tcBorders>
          </w:tcPr>
          <w:p w14:paraId="4019CA34"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(0.287)</w:t>
            </w:r>
          </w:p>
        </w:tc>
      </w:tr>
      <w:tr w:rsidR="00244248" w:rsidRPr="00DE6E2E" w14:paraId="2CE7BA9B" w14:textId="77777777" w:rsidTr="00335B25">
        <w:tc>
          <w:tcPr>
            <w:tcW w:w="2977" w:type="dxa"/>
            <w:tcBorders>
              <w:top w:val="nil"/>
              <w:left w:val="nil"/>
              <w:right w:val="nil"/>
            </w:tcBorders>
          </w:tcPr>
          <w:p w14:paraId="1844EFE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27B36255"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w:t>
            </w:r>
            <w:r>
              <w:rPr>
                <w:rFonts w:asciiTheme="majorHAnsi" w:hAnsiTheme="majorHAnsi" w:cstheme="majorHAnsi"/>
                <w:sz w:val="20"/>
                <w:szCs w:val="20"/>
              </w:rPr>
              <w:t>,</w:t>
            </w:r>
            <w:r w:rsidRPr="004C00BF">
              <w:rPr>
                <w:rFonts w:asciiTheme="majorHAnsi" w:hAnsiTheme="majorHAnsi" w:cstheme="majorHAnsi"/>
                <w:sz w:val="20"/>
                <w:szCs w:val="20"/>
              </w:rPr>
              <w:t>943</w:t>
            </w:r>
          </w:p>
        </w:tc>
        <w:tc>
          <w:tcPr>
            <w:tcW w:w="1417" w:type="dxa"/>
            <w:tcBorders>
              <w:top w:val="nil"/>
              <w:left w:val="nil"/>
              <w:right w:val="nil"/>
            </w:tcBorders>
          </w:tcPr>
          <w:p w14:paraId="27D01752"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w:t>
            </w:r>
            <w:r>
              <w:rPr>
                <w:rFonts w:asciiTheme="majorHAnsi" w:hAnsiTheme="majorHAnsi" w:cstheme="majorHAnsi"/>
                <w:sz w:val="20"/>
                <w:szCs w:val="20"/>
              </w:rPr>
              <w:t>,</w:t>
            </w:r>
            <w:r w:rsidRPr="004C00BF">
              <w:rPr>
                <w:rFonts w:asciiTheme="majorHAnsi" w:hAnsiTheme="majorHAnsi" w:cstheme="majorHAnsi"/>
                <w:sz w:val="20"/>
                <w:szCs w:val="20"/>
              </w:rPr>
              <w:t>933</w:t>
            </w:r>
          </w:p>
        </w:tc>
        <w:tc>
          <w:tcPr>
            <w:tcW w:w="1666" w:type="dxa"/>
            <w:tcBorders>
              <w:top w:val="nil"/>
              <w:left w:val="nil"/>
              <w:right w:val="nil"/>
            </w:tcBorders>
          </w:tcPr>
          <w:p w14:paraId="751B605B"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w:t>
            </w:r>
            <w:r>
              <w:rPr>
                <w:rFonts w:asciiTheme="majorHAnsi" w:hAnsiTheme="majorHAnsi" w:cstheme="majorHAnsi"/>
                <w:sz w:val="20"/>
                <w:szCs w:val="20"/>
              </w:rPr>
              <w:t>,</w:t>
            </w:r>
            <w:r w:rsidRPr="004C00BF">
              <w:rPr>
                <w:rFonts w:asciiTheme="majorHAnsi" w:hAnsiTheme="majorHAnsi" w:cstheme="majorHAnsi"/>
                <w:sz w:val="20"/>
                <w:szCs w:val="20"/>
              </w:rPr>
              <w:t>943</w:t>
            </w:r>
          </w:p>
        </w:tc>
        <w:tc>
          <w:tcPr>
            <w:tcW w:w="1984" w:type="dxa"/>
            <w:tcBorders>
              <w:top w:val="nil"/>
              <w:left w:val="nil"/>
              <w:right w:val="nil"/>
            </w:tcBorders>
          </w:tcPr>
          <w:p w14:paraId="364C6C69"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w:t>
            </w:r>
            <w:r>
              <w:rPr>
                <w:rFonts w:asciiTheme="majorHAnsi" w:hAnsiTheme="majorHAnsi" w:cstheme="majorHAnsi"/>
                <w:sz w:val="20"/>
                <w:szCs w:val="20"/>
              </w:rPr>
              <w:t>,</w:t>
            </w:r>
            <w:r w:rsidRPr="004C00BF">
              <w:rPr>
                <w:rFonts w:asciiTheme="majorHAnsi" w:hAnsiTheme="majorHAnsi" w:cstheme="majorHAnsi"/>
                <w:sz w:val="20"/>
                <w:szCs w:val="20"/>
              </w:rPr>
              <w:t>933</w:t>
            </w:r>
          </w:p>
        </w:tc>
      </w:tr>
      <w:tr w:rsidR="00244248" w:rsidRPr="00DE6E2E" w14:paraId="4FB519AA" w14:textId="77777777" w:rsidTr="00335B25">
        <w:trPr>
          <w:trHeight w:val="457"/>
        </w:trPr>
        <w:tc>
          <w:tcPr>
            <w:tcW w:w="2977" w:type="dxa"/>
            <w:tcBorders>
              <w:left w:val="nil"/>
              <w:bottom w:val="single" w:sz="4" w:space="0" w:color="ED7D31" w:themeColor="accent2"/>
              <w:right w:val="nil"/>
            </w:tcBorders>
            <w:vAlign w:val="center"/>
          </w:tcPr>
          <w:p w14:paraId="50EEAA91"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Childbearing expectation</w:t>
            </w:r>
          </w:p>
        </w:tc>
        <w:tc>
          <w:tcPr>
            <w:tcW w:w="1531" w:type="dxa"/>
            <w:tcBorders>
              <w:left w:val="nil"/>
              <w:bottom w:val="single" w:sz="4" w:space="0" w:color="ED7D31" w:themeColor="accent2"/>
              <w:right w:val="nil"/>
            </w:tcBorders>
          </w:tcPr>
          <w:p w14:paraId="6F1269D8"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30737643"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588CA64E"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26D4E07E"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12B416C4" w14:textId="77777777" w:rsidTr="00335B25">
        <w:tc>
          <w:tcPr>
            <w:tcW w:w="2977" w:type="dxa"/>
            <w:tcBorders>
              <w:top w:val="single" w:sz="4" w:space="0" w:color="ED7D31" w:themeColor="accent2"/>
              <w:left w:val="nil"/>
              <w:bottom w:val="nil"/>
              <w:right w:val="nil"/>
            </w:tcBorders>
          </w:tcPr>
          <w:p w14:paraId="71A66B11"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186662FD"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-0.118</w:t>
            </w:r>
          </w:p>
        </w:tc>
        <w:tc>
          <w:tcPr>
            <w:tcW w:w="1417" w:type="dxa"/>
            <w:tcBorders>
              <w:top w:val="single" w:sz="4" w:space="0" w:color="ED7D31" w:themeColor="accent2"/>
              <w:left w:val="nil"/>
              <w:bottom w:val="nil"/>
              <w:right w:val="nil"/>
            </w:tcBorders>
          </w:tcPr>
          <w:p w14:paraId="2AF04879"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-0.251</w:t>
            </w:r>
          </w:p>
        </w:tc>
        <w:tc>
          <w:tcPr>
            <w:tcW w:w="1666" w:type="dxa"/>
            <w:tcBorders>
              <w:top w:val="single" w:sz="4" w:space="0" w:color="ED7D31" w:themeColor="accent2"/>
              <w:left w:val="nil"/>
              <w:bottom w:val="nil"/>
              <w:right w:val="nil"/>
            </w:tcBorders>
          </w:tcPr>
          <w:p w14:paraId="5F190526"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-0.268</w:t>
            </w:r>
          </w:p>
        </w:tc>
        <w:tc>
          <w:tcPr>
            <w:tcW w:w="1984" w:type="dxa"/>
            <w:tcBorders>
              <w:top w:val="single" w:sz="4" w:space="0" w:color="ED7D31" w:themeColor="accent2"/>
              <w:left w:val="nil"/>
              <w:bottom w:val="nil"/>
              <w:right w:val="nil"/>
            </w:tcBorders>
          </w:tcPr>
          <w:p w14:paraId="5DE76FAD"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-0.251</w:t>
            </w:r>
          </w:p>
        </w:tc>
      </w:tr>
      <w:tr w:rsidR="00244248" w:rsidRPr="00C50205" w14:paraId="2C8F4469" w14:textId="77777777" w:rsidTr="00335B25">
        <w:tc>
          <w:tcPr>
            <w:tcW w:w="2977" w:type="dxa"/>
            <w:tcBorders>
              <w:top w:val="nil"/>
              <w:left w:val="nil"/>
              <w:bottom w:val="nil"/>
              <w:right w:val="nil"/>
            </w:tcBorders>
          </w:tcPr>
          <w:p w14:paraId="21DA2BA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49C98653"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(0.264)</w:t>
            </w:r>
          </w:p>
        </w:tc>
        <w:tc>
          <w:tcPr>
            <w:tcW w:w="1417" w:type="dxa"/>
            <w:tcBorders>
              <w:top w:val="nil"/>
              <w:left w:val="nil"/>
              <w:bottom w:val="nil"/>
              <w:right w:val="nil"/>
            </w:tcBorders>
          </w:tcPr>
          <w:p w14:paraId="53330421"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(0.266)</w:t>
            </w:r>
          </w:p>
        </w:tc>
        <w:tc>
          <w:tcPr>
            <w:tcW w:w="1666" w:type="dxa"/>
            <w:tcBorders>
              <w:top w:val="nil"/>
              <w:left w:val="nil"/>
              <w:bottom w:val="nil"/>
              <w:right w:val="nil"/>
            </w:tcBorders>
          </w:tcPr>
          <w:p w14:paraId="673247FE"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(0.274)</w:t>
            </w:r>
          </w:p>
        </w:tc>
        <w:tc>
          <w:tcPr>
            <w:tcW w:w="1984" w:type="dxa"/>
            <w:tcBorders>
              <w:top w:val="nil"/>
              <w:left w:val="nil"/>
              <w:bottom w:val="nil"/>
              <w:right w:val="nil"/>
            </w:tcBorders>
          </w:tcPr>
          <w:p w14:paraId="0F00CB98"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(0.275)</w:t>
            </w:r>
          </w:p>
        </w:tc>
      </w:tr>
      <w:tr w:rsidR="00244248" w:rsidRPr="00DE6E2E" w14:paraId="76C1A0B6" w14:textId="77777777" w:rsidTr="00335B25">
        <w:tc>
          <w:tcPr>
            <w:tcW w:w="2977" w:type="dxa"/>
            <w:tcBorders>
              <w:top w:val="nil"/>
              <w:left w:val="nil"/>
              <w:bottom w:val="nil"/>
              <w:right w:val="nil"/>
            </w:tcBorders>
          </w:tcPr>
          <w:p w14:paraId="0F4040D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bottom w:val="nil"/>
              <w:right w:val="nil"/>
            </w:tcBorders>
          </w:tcPr>
          <w:p w14:paraId="2F0469FF"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w:t>
            </w:r>
            <w:r>
              <w:rPr>
                <w:rFonts w:asciiTheme="majorHAnsi" w:hAnsiTheme="majorHAnsi" w:cstheme="majorHAnsi"/>
                <w:sz w:val="20"/>
                <w:szCs w:val="20"/>
              </w:rPr>
              <w:t>,</w:t>
            </w:r>
            <w:r w:rsidRPr="004C00BF">
              <w:rPr>
                <w:rFonts w:asciiTheme="majorHAnsi" w:hAnsiTheme="majorHAnsi" w:cstheme="majorHAnsi"/>
                <w:sz w:val="20"/>
                <w:szCs w:val="20"/>
              </w:rPr>
              <w:t>928</w:t>
            </w:r>
          </w:p>
        </w:tc>
        <w:tc>
          <w:tcPr>
            <w:tcW w:w="1417" w:type="dxa"/>
            <w:tcBorders>
              <w:top w:val="nil"/>
              <w:left w:val="nil"/>
              <w:bottom w:val="nil"/>
              <w:right w:val="nil"/>
            </w:tcBorders>
          </w:tcPr>
          <w:p w14:paraId="57633912"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w:t>
            </w:r>
            <w:r>
              <w:rPr>
                <w:rFonts w:asciiTheme="majorHAnsi" w:hAnsiTheme="majorHAnsi" w:cstheme="majorHAnsi"/>
                <w:sz w:val="20"/>
                <w:szCs w:val="20"/>
              </w:rPr>
              <w:t>,</w:t>
            </w:r>
            <w:r w:rsidRPr="004C00BF">
              <w:rPr>
                <w:rFonts w:asciiTheme="majorHAnsi" w:hAnsiTheme="majorHAnsi" w:cstheme="majorHAnsi"/>
                <w:sz w:val="20"/>
                <w:szCs w:val="20"/>
              </w:rPr>
              <w:t>918</w:t>
            </w:r>
          </w:p>
        </w:tc>
        <w:tc>
          <w:tcPr>
            <w:tcW w:w="1666" w:type="dxa"/>
            <w:tcBorders>
              <w:top w:val="nil"/>
              <w:left w:val="nil"/>
              <w:bottom w:val="nil"/>
              <w:right w:val="nil"/>
            </w:tcBorders>
          </w:tcPr>
          <w:p w14:paraId="149154CA"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w:t>
            </w:r>
            <w:r>
              <w:rPr>
                <w:rFonts w:asciiTheme="majorHAnsi" w:hAnsiTheme="majorHAnsi" w:cstheme="majorHAnsi"/>
                <w:sz w:val="20"/>
                <w:szCs w:val="20"/>
              </w:rPr>
              <w:t>,</w:t>
            </w:r>
            <w:r w:rsidRPr="004C00BF">
              <w:rPr>
                <w:rFonts w:asciiTheme="majorHAnsi" w:hAnsiTheme="majorHAnsi" w:cstheme="majorHAnsi"/>
                <w:sz w:val="20"/>
                <w:szCs w:val="20"/>
              </w:rPr>
              <w:t>928</w:t>
            </w:r>
          </w:p>
        </w:tc>
        <w:tc>
          <w:tcPr>
            <w:tcW w:w="1984" w:type="dxa"/>
            <w:tcBorders>
              <w:top w:val="nil"/>
              <w:left w:val="nil"/>
              <w:bottom w:val="nil"/>
              <w:right w:val="nil"/>
            </w:tcBorders>
          </w:tcPr>
          <w:p w14:paraId="266E766B"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w:t>
            </w:r>
            <w:r>
              <w:rPr>
                <w:rFonts w:asciiTheme="majorHAnsi" w:hAnsiTheme="majorHAnsi" w:cstheme="majorHAnsi"/>
                <w:sz w:val="20"/>
                <w:szCs w:val="20"/>
              </w:rPr>
              <w:t>,</w:t>
            </w:r>
            <w:r w:rsidRPr="004C00BF">
              <w:rPr>
                <w:rFonts w:asciiTheme="majorHAnsi" w:hAnsiTheme="majorHAnsi" w:cstheme="majorHAnsi"/>
                <w:sz w:val="20"/>
                <w:szCs w:val="20"/>
              </w:rPr>
              <w:t>918</w:t>
            </w:r>
          </w:p>
        </w:tc>
      </w:tr>
      <w:tr w:rsidR="00244248" w:rsidRPr="00DE6E2E" w14:paraId="16315FB7" w14:textId="77777777" w:rsidTr="00335B25">
        <w:trPr>
          <w:trHeight w:val="474"/>
        </w:trPr>
        <w:tc>
          <w:tcPr>
            <w:tcW w:w="2977" w:type="dxa"/>
            <w:tcBorders>
              <w:top w:val="nil"/>
              <w:left w:val="nil"/>
              <w:bottom w:val="single" w:sz="4" w:space="0" w:color="ED7D31" w:themeColor="accent2"/>
              <w:right w:val="nil"/>
            </w:tcBorders>
            <w:vAlign w:val="bottom"/>
          </w:tcPr>
          <w:p w14:paraId="7D3F6F02"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Additionally i</w:t>
            </w:r>
            <w:r w:rsidRPr="00DE6E2E">
              <w:rPr>
                <w:rFonts w:asciiTheme="majorHAnsi" w:hAnsiTheme="majorHAnsi" w:cstheme="majorHAnsi"/>
                <w:b/>
                <w:bCs/>
                <w:sz w:val="20"/>
                <w:szCs w:val="20"/>
              </w:rPr>
              <w:t xml:space="preserve">ntended number of children </w:t>
            </w:r>
          </w:p>
        </w:tc>
        <w:tc>
          <w:tcPr>
            <w:tcW w:w="1531" w:type="dxa"/>
            <w:tcBorders>
              <w:top w:val="nil"/>
              <w:left w:val="nil"/>
              <w:bottom w:val="single" w:sz="4" w:space="0" w:color="ED7D31" w:themeColor="accent2"/>
              <w:right w:val="nil"/>
            </w:tcBorders>
          </w:tcPr>
          <w:p w14:paraId="05929A8A"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643F4884"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6ACDEC7B"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78F62689"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4BD1544A" w14:textId="77777777" w:rsidTr="00335B25">
        <w:tc>
          <w:tcPr>
            <w:tcW w:w="2977" w:type="dxa"/>
            <w:tcBorders>
              <w:top w:val="single" w:sz="4" w:space="0" w:color="ED7D31" w:themeColor="accent2"/>
              <w:left w:val="nil"/>
              <w:right w:val="nil"/>
            </w:tcBorders>
          </w:tcPr>
          <w:p w14:paraId="7F31B263"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30958809"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-0.007</w:t>
            </w:r>
          </w:p>
        </w:tc>
        <w:tc>
          <w:tcPr>
            <w:tcW w:w="1417" w:type="dxa"/>
            <w:tcBorders>
              <w:top w:val="single" w:sz="4" w:space="0" w:color="ED7D31" w:themeColor="accent2"/>
              <w:left w:val="nil"/>
              <w:right w:val="nil"/>
            </w:tcBorders>
          </w:tcPr>
          <w:p w14:paraId="739095B6"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-0.030</w:t>
            </w:r>
          </w:p>
        </w:tc>
        <w:tc>
          <w:tcPr>
            <w:tcW w:w="1666" w:type="dxa"/>
            <w:tcBorders>
              <w:top w:val="single" w:sz="4" w:space="0" w:color="ED7D31" w:themeColor="accent2"/>
              <w:left w:val="nil"/>
              <w:right w:val="nil"/>
            </w:tcBorders>
          </w:tcPr>
          <w:p w14:paraId="0CCC5C29"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-0.130</w:t>
            </w:r>
          </w:p>
        </w:tc>
        <w:tc>
          <w:tcPr>
            <w:tcW w:w="1984" w:type="dxa"/>
            <w:tcBorders>
              <w:top w:val="single" w:sz="4" w:space="0" w:color="ED7D31" w:themeColor="accent2"/>
              <w:left w:val="nil"/>
              <w:right w:val="nil"/>
            </w:tcBorders>
          </w:tcPr>
          <w:p w14:paraId="16F839E2"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-0.132</w:t>
            </w:r>
          </w:p>
        </w:tc>
      </w:tr>
      <w:tr w:rsidR="00244248" w:rsidRPr="00C50205" w14:paraId="3354890A" w14:textId="77777777" w:rsidTr="00335B25">
        <w:tc>
          <w:tcPr>
            <w:tcW w:w="2977" w:type="dxa"/>
            <w:tcBorders>
              <w:top w:val="nil"/>
              <w:left w:val="nil"/>
              <w:right w:val="nil"/>
            </w:tcBorders>
          </w:tcPr>
          <w:p w14:paraId="389B75C6"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3F01ED12"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(0.069)</w:t>
            </w:r>
          </w:p>
        </w:tc>
        <w:tc>
          <w:tcPr>
            <w:tcW w:w="1417" w:type="dxa"/>
            <w:tcBorders>
              <w:top w:val="nil"/>
              <w:left w:val="nil"/>
              <w:right w:val="nil"/>
            </w:tcBorders>
          </w:tcPr>
          <w:p w14:paraId="47F09199"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(0.067)</w:t>
            </w:r>
          </w:p>
        </w:tc>
        <w:tc>
          <w:tcPr>
            <w:tcW w:w="1666" w:type="dxa"/>
            <w:tcBorders>
              <w:top w:val="nil"/>
              <w:left w:val="nil"/>
              <w:right w:val="nil"/>
            </w:tcBorders>
          </w:tcPr>
          <w:p w14:paraId="730E6E0D"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(0.096)</w:t>
            </w:r>
          </w:p>
        </w:tc>
        <w:tc>
          <w:tcPr>
            <w:tcW w:w="1984" w:type="dxa"/>
            <w:tcBorders>
              <w:top w:val="nil"/>
              <w:left w:val="nil"/>
              <w:right w:val="nil"/>
            </w:tcBorders>
          </w:tcPr>
          <w:p w14:paraId="0BA0CFE7" w14:textId="77777777" w:rsidR="00244248" w:rsidRPr="00DC7D3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(0.097)</w:t>
            </w:r>
          </w:p>
        </w:tc>
      </w:tr>
      <w:tr w:rsidR="00244248" w:rsidRPr="00DE6E2E" w14:paraId="4AB26377" w14:textId="77777777" w:rsidTr="00335B25">
        <w:tc>
          <w:tcPr>
            <w:tcW w:w="2977" w:type="dxa"/>
            <w:tcBorders>
              <w:top w:val="nil"/>
              <w:left w:val="nil"/>
              <w:right w:val="nil"/>
            </w:tcBorders>
          </w:tcPr>
          <w:p w14:paraId="4D1A205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7E57B664"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3</w:t>
            </w:r>
            <w:r>
              <w:rPr>
                <w:rFonts w:asciiTheme="majorHAnsi" w:hAnsiTheme="majorHAnsi" w:cstheme="majorHAnsi"/>
                <w:sz w:val="20"/>
                <w:szCs w:val="20"/>
              </w:rPr>
              <w:t>,</w:t>
            </w:r>
            <w:r w:rsidRPr="004C00BF">
              <w:rPr>
                <w:rFonts w:asciiTheme="majorHAnsi" w:hAnsiTheme="majorHAnsi" w:cstheme="majorHAnsi"/>
                <w:sz w:val="20"/>
                <w:szCs w:val="20"/>
              </w:rPr>
              <w:t>322</w:t>
            </w:r>
          </w:p>
        </w:tc>
        <w:tc>
          <w:tcPr>
            <w:tcW w:w="1417" w:type="dxa"/>
            <w:tcBorders>
              <w:top w:val="nil"/>
              <w:left w:val="nil"/>
              <w:right w:val="nil"/>
            </w:tcBorders>
          </w:tcPr>
          <w:p w14:paraId="05FD2626"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3</w:t>
            </w:r>
            <w:r>
              <w:rPr>
                <w:rFonts w:asciiTheme="majorHAnsi" w:hAnsiTheme="majorHAnsi" w:cstheme="majorHAnsi"/>
                <w:sz w:val="20"/>
                <w:szCs w:val="20"/>
              </w:rPr>
              <w:t>,</w:t>
            </w:r>
            <w:r w:rsidRPr="004C00BF">
              <w:rPr>
                <w:rFonts w:asciiTheme="majorHAnsi" w:hAnsiTheme="majorHAnsi" w:cstheme="majorHAnsi"/>
                <w:sz w:val="20"/>
                <w:szCs w:val="20"/>
              </w:rPr>
              <w:t>314</w:t>
            </w:r>
          </w:p>
        </w:tc>
        <w:tc>
          <w:tcPr>
            <w:tcW w:w="1666" w:type="dxa"/>
            <w:tcBorders>
              <w:top w:val="nil"/>
              <w:left w:val="nil"/>
              <w:right w:val="nil"/>
            </w:tcBorders>
          </w:tcPr>
          <w:p w14:paraId="5BAD312E"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3</w:t>
            </w:r>
            <w:r>
              <w:rPr>
                <w:rFonts w:asciiTheme="majorHAnsi" w:hAnsiTheme="majorHAnsi" w:cstheme="majorHAnsi"/>
                <w:sz w:val="20"/>
                <w:szCs w:val="20"/>
              </w:rPr>
              <w:t>,</w:t>
            </w:r>
            <w:r w:rsidRPr="004C00BF">
              <w:rPr>
                <w:rFonts w:asciiTheme="majorHAnsi" w:hAnsiTheme="majorHAnsi" w:cstheme="majorHAnsi"/>
                <w:sz w:val="20"/>
                <w:szCs w:val="20"/>
              </w:rPr>
              <w:t>322</w:t>
            </w:r>
          </w:p>
        </w:tc>
        <w:tc>
          <w:tcPr>
            <w:tcW w:w="1984" w:type="dxa"/>
            <w:tcBorders>
              <w:top w:val="nil"/>
              <w:left w:val="nil"/>
              <w:right w:val="nil"/>
            </w:tcBorders>
          </w:tcPr>
          <w:p w14:paraId="1E44A674" w14:textId="77777777" w:rsidR="00244248" w:rsidRPr="00F36C3D"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3</w:t>
            </w:r>
            <w:r>
              <w:rPr>
                <w:rFonts w:asciiTheme="majorHAnsi" w:hAnsiTheme="majorHAnsi" w:cstheme="majorHAnsi"/>
                <w:sz w:val="20"/>
                <w:szCs w:val="20"/>
              </w:rPr>
              <w:t>,</w:t>
            </w:r>
            <w:r w:rsidRPr="004C00BF">
              <w:rPr>
                <w:rFonts w:asciiTheme="majorHAnsi" w:hAnsiTheme="majorHAnsi" w:cstheme="majorHAnsi"/>
                <w:sz w:val="20"/>
                <w:szCs w:val="20"/>
              </w:rPr>
              <w:t>314</w:t>
            </w:r>
          </w:p>
        </w:tc>
      </w:tr>
      <w:tr w:rsidR="00244248" w:rsidRPr="00DE6E2E" w14:paraId="1B1BA25E" w14:textId="77777777" w:rsidTr="00335B25">
        <w:trPr>
          <w:trHeight w:val="385"/>
        </w:trPr>
        <w:tc>
          <w:tcPr>
            <w:tcW w:w="2977" w:type="dxa"/>
            <w:tcBorders>
              <w:left w:val="nil"/>
              <w:bottom w:val="single" w:sz="4" w:space="0" w:color="ED7D31" w:themeColor="accent2"/>
              <w:right w:val="nil"/>
            </w:tcBorders>
            <w:vAlign w:val="bottom"/>
          </w:tcPr>
          <w:p w14:paraId="389EB65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Model specifications</w:t>
            </w:r>
          </w:p>
        </w:tc>
        <w:tc>
          <w:tcPr>
            <w:tcW w:w="1531" w:type="dxa"/>
            <w:tcBorders>
              <w:left w:val="nil"/>
              <w:bottom w:val="single" w:sz="4" w:space="0" w:color="ED7D31" w:themeColor="accent2"/>
              <w:right w:val="nil"/>
            </w:tcBorders>
          </w:tcPr>
          <w:p w14:paraId="3BC59626"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left w:val="nil"/>
              <w:bottom w:val="single" w:sz="4" w:space="0" w:color="ED7D31" w:themeColor="accent2"/>
              <w:right w:val="nil"/>
            </w:tcBorders>
          </w:tcPr>
          <w:p w14:paraId="261DFD48"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678A85F3"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4841B077"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66B217AB" w14:textId="77777777" w:rsidTr="00335B25">
        <w:tc>
          <w:tcPr>
            <w:tcW w:w="2977" w:type="dxa"/>
            <w:tcBorders>
              <w:top w:val="single" w:sz="4" w:space="0" w:color="ED7D31" w:themeColor="accent2"/>
              <w:left w:val="nil"/>
              <w:bottom w:val="nil"/>
              <w:right w:val="nil"/>
            </w:tcBorders>
          </w:tcPr>
          <w:p w14:paraId="0E30C186"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Year and State Fixed Effects</w:t>
            </w:r>
          </w:p>
        </w:tc>
        <w:tc>
          <w:tcPr>
            <w:tcW w:w="1531" w:type="dxa"/>
            <w:tcBorders>
              <w:top w:val="single" w:sz="4" w:space="0" w:color="ED7D31" w:themeColor="accent2"/>
              <w:left w:val="nil"/>
              <w:bottom w:val="nil"/>
              <w:right w:val="nil"/>
            </w:tcBorders>
          </w:tcPr>
          <w:p w14:paraId="7F7CEF3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417" w:type="dxa"/>
            <w:tcBorders>
              <w:top w:val="single" w:sz="4" w:space="0" w:color="ED7D31" w:themeColor="accent2"/>
              <w:left w:val="nil"/>
              <w:bottom w:val="nil"/>
              <w:right w:val="nil"/>
            </w:tcBorders>
          </w:tcPr>
          <w:p w14:paraId="76F12FD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single" w:sz="4" w:space="0" w:color="ED7D31" w:themeColor="accent2"/>
              <w:left w:val="nil"/>
              <w:bottom w:val="nil"/>
              <w:right w:val="nil"/>
            </w:tcBorders>
          </w:tcPr>
          <w:p w14:paraId="1DC66EA2"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single" w:sz="4" w:space="0" w:color="ED7D31" w:themeColor="accent2"/>
              <w:left w:val="nil"/>
              <w:bottom w:val="nil"/>
              <w:right w:val="nil"/>
            </w:tcBorders>
          </w:tcPr>
          <w:p w14:paraId="608EF0A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1A58EDE2" w14:textId="77777777" w:rsidTr="00335B25">
        <w:tc>
          <w:tcPr>
            <w:tcW w:w="2977" w:type="dxa"/>
            <w:tcBorders>
              <w:top w:val="nil"/>
              <w:left w:val="nil"/>
              <w:bottom w:val="nil"/>
              <w:right w:val="nil"/>
            </w:tcBorders>
          </w:tcPr>
          <w:p w14:paraId="5942EA63"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Time-varying Demographics</w:t>
            </w:r>
          </w:p>
        </w:tc>
        <w:tc>
          <w:tcPr>
            <w:tcW w:w="1531" w:type="dxa"/>
            <w:tcBorders>
              <w:top w:val="nil"/>
              <w:left w:val="nil"/>
              <w:bottom w:val="nil"/>
              <w:right w:val="nil"/>
            </w:tcBorders>
          </w:tcPr>
          <w:p w14:paraId="7726CE0C"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nil"/>
              <w:right w:val="nil"/>
            </w:tcBorders>
          </w:tcPr>
          <w:p w14:paraId="26BBACC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bottom w:val="nil"/>
              <w:right w:val="nil"/>
            </w:tcBorders>
          </w:tcPr>
          <w:p w14:paraId="08DF2E7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bottom w:val="nil"/>
              <w:right w:val="nil"/>
            </w:tcBorders>
          </w:tcPr>
          <w:p w14:paraId="7506A0E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65F9FE59" w14:textId="77777777" w:rsidTr="00335B25">
        <w:tc>
          <w:tcPr>
            <w:tcW w:w="2977" w:type="dxa"/>
            <w:tcBorders>
              <w:top w:val="nil"/>
              <w:left w:val="nil"/>
              <w:right w:val="nil"/>
            </w:tcBorders>
          </w:tcPr>
          <w:p w14:paraId="60AAB0B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Time-invariant Demographics</w:t>
            </w:r>
          </w:p>
        </w:tc>
        <w:tc>
          <w:tcPr>
            <w:tcW w:w="1531" w:type="dxa"/>
            <w:tcBorders>
              <w:top w:val="nil"/>
              <w:left w:val="nil"/>
              <w:right w:val="nil"/>
            </w:tcBorders>
          </w:tcPr>
          <w:p w14:paraId="0F4A76D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right w:val="nil"/>
            </w:tcBorders>
          </w:tcPr>
          <w:p w14:paraId="36BDAA1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right w:val="nil"/>
            </w:tcBorders>
          </w:tcPr>
          <w:p w14:paraId="2533E11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right w:val="nil"/>
            </w:tcBorders>
          </w:tcPr>
          <w:p w14:paraId="525019C8"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r>
      <w:tr w:rsidR="00244248" w:rsidRPr="00DE6E2E" w14:paraId="384C2CA6" w14:textId="77777777" w:rsidTr="00335B25">
        <w:tc>
          <w:tcPr>
            <w:tcW w:w="2977" w:type="dxa"/>
            <w:tcBorders>
              <w:top w:val="nil"/>
              <w:left w:val="nil"/>
              <w:bottom w:val="single" w:sz="4" w:space="0" w:color="ED7D31" w:themeColor="accent2"/>
              <w:right w:val="nil"/>
            </w:tcBorders>
          </w:tcPr>
          <w:p w14:paraId="429F7D5D"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7B993B3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408286E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6A7EFDF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24E31FE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bl>
    <w:p w14:paraId="5D59B192" w14:textId="77777777" w:rsidR="00244248" w:rsidRPr="00F62A9A" w:rsidRDefault="00244248" w:rsidP="00244248">
      <w:pPr>
        <w:rPr>
          <w:rFonts w:asciiTheme="majorHAnsi" w:hAnsiTheme="majorHAnsi" w:cstheme="majorHAnsi"/>
          <w:sz w:val="18"/>
          <w:szCs w:val="18"/>
          <w:lang w:val="en-US"/>
        </w:rPr>
      </w:pPr>
      <w:r w:rsidRPr="00F62A9A">
        <w:rPr>
          <w:rFonts w:asciiTheme="majorHAnsi" w:hAnsiTheme="majorHAnsi" w:cstheme="majorHAnsi"/>
          <w:sz w:val="18"/>
          <w:szCs w:val="18"/>
          <w:lang w:val="en-US"/>
        </w:rPr>
        <w:t xml:space="preserve"> </w:t>
      </w:r>
      <w:r w:rsidRPr="00F62A9A">
        <w:rPr>
          <w:rFonts w:asciiTheme="majorHAnsi" w:eastAsiaTheme="minorEastAsia" w:hAnsiTheme="majorHAnsi" w:cstheme="majorHAnsi"/>
          <w:sz w:val="18"/>
          <w:szCs w:val="18"/>
          <w:lang w:val="en-US" w:eastAsia="en-AU"/>
        </w:rPr>
        <w:t>* p&lt;0.1, ** p&lt;0.05, *** p&lt;0.01</w:t>
      </w:r>
    </w:p>
    <w:p w14:paraId="54FE2300" w14:textId="77777777" w:rsidR="00244248" w:rsidRDefault="00244248" w:rsidP="00244248">
      <w:pPr>
        <w:rPr>
          <w:lang w:val="en-US"/>
        </w:rPr>
      </w:pPr>
    </w:p>
    <w:p w14:paraId="3491A598" w14:textId="77777777" w:rsidR="00244248" w:rsidRDefault="00244248" w:rsidP="00244248">
      <w:pPr>
        <w:rPr>
          <w:lang w:val="en-US"/>
        </w:rPr>
        <w:sectPr w:rsidR="00244248" w:rsidSect="00335B25">
          <w:pgSz w:w="11906" w:h="16838"/>
          <w:pgMar w:top="1276"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244248" w:rsidRPr="006A47EE" w14:paraId="76DB186F" w14:textId="77777777" w:rsidTr="00335B25">
        <w:tc>
          <w:tcPr>
            <w:tcW w:w="6974" w:type="dxa"/>
          </w:tcPr>
          <w:p w14:paraId="528A95F4" w14:textId="1B0E508B" w:rsidR="00244248" w:rsidRPr="00DC7D31" w:rsidRDefault="00244248" w:rsidP="00335B25">
            <w:pPr>
              <w:pStyle w:val="Caption"/>
              <w:keepNext/>
            </w:pPr>
            <w:r w:rsidRPr="00DC7D31">
              <w:lastRenderedPageBreak/>
              <w:t xml:space="preserve">Figure </w:t>
            </w:r>
            <w:fldSimple w:instr=" SEQ Figure \* ARABIC ">
              <w:r w:rsidR="00115E22">
                <w:rPr>
                  <w:noProof/>
                </w:rPr>
                <w:t>59</w:t>
              </w:r>
            </w:fldSimple>
            <w:r w:rsidRPr="00DC7D31">
              <w:t xml:space="preserve"> Probability of new birth, by treatment and control groups</w:t>
            </w:r>
          </w:p>
          <w:p w14:paraId="29A79466" w14:textId="77777777" w:rsidR="00244248" w:rsidRPr="00DC7D31" w:rsidRDefault="00244248" w:rsidP="00335B25">
            <w:r w:rsidRPr="004C00BF">
              <w:rPr>
                <w:noProof/>
                <w:lang w:eastAsia="en-AU"/>
              </w:rPr>
              <w:drawing>
                <wp:inline distT="0" distB="0" distL="0" distR="0" wp14:anchorId="13487A34" wp14:editId="5E84DE74">
                  <wp:extent cx="3260785" cy="23714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2992" cy="2380357"/>
                          </a:xfrm>
                          <a:prstGeom prst="rect">
                            <a:avLst/>
                          </a:prstGeom>
                          <a:noFill/>
                          <a:ln>
                            <a:noFill/>
                          </a:ln>
                        </pic:spPr>
                      </pic:pic>
                    </a:graphicData>
                  </a:graphic>
                </wp:inline>
              </w:drawing>
            </w:r>
          </w:p>
        </w:tc>
        <w:tc>
          <w:tcPr>
            <w:tcW w:w="6974" w:type="dxa"/>
          </w:tcPr>
          <w:p w14:paraId="1CF4CFF8" w14:textId="77777777" w:rsidR="00244248" w:rsidRPr="00DC7D31" w:rsidRDefault="00244248" w:rsidP="00335B25">
            <w:r w:rsidRPr="004C00BF">
              <w:rPr>
                <w:noProof/>
                <w:lang w:eastAsia="en-AU"/>
              </w:rPr>
              <w:drawing>
                <wp:inline distT="0" distB="0" distL="0" distR="0" wp14:anchorId="2A56DF82" wp14:editId="61C9501F">
                  <wp:extent cx="3390181" cy="2465586"/>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00694" cy="2473232"/>
                          </a:xfrm>
                          <a:prstGeom prst="rect">
                            <a:avLst/>
                          </a:prstGeom>
                          <a:noFill/>
                          <a:ln>
                            <a:noFill/>
                          </a:ln>
                        </pic:spPr>
                      </pic:pic>
                    </a:graphicData>
                  </a:graphic>
                </wp:inline>
              </w:drawing>
            </w:r>
            <w:r w:rsidRPr="000B6941">
              <w:rPr>
                <w:noProof/>
                <w:lang w:eastAsia="en-AU"/>
              </w:rPr>
              <mc:AlternateContent>
                <mc:Choice Requires="wps">
                  <w:drawing>
                    <wp:anchor distT="0" distB="0" distL="114300" distR="114300" simplePos="0" relativeHeight="251658275" behindDoc="0" locked="0" layoutInCell="1" allowOverlap="1" wp14:anchorId="0313A38F" wp14:editId="237666D0">
                      <wp:simplePos x="0" y="0"/>
                      <wp:positionH relativeFrom="column">
                        <wp:posOffset>169545</wp:posOffset>
                      </wp:positionH>
                      <wp:positionV relativeFrom="paragraph">
                        <wp:posOffset>0</wp:posOffset>
                      </wp:positionV>
                      <wp:extent cx="3496310" cy="154305"/>
                      <wp:effectExtent l="0" t="0" r="8890" b="0"/>
                      <wp:wrapTopAndBottom/>
                      <wp:docPr id="33" name="Text Box 33"/>
                      <wp:cNvGraphicFramePr/>
                      <a:graphic xmlns:a="http://schemas.openxmlformats.org/drawingml/2006/main">
                        <a:graphicData uri="http://schemas.microsoft.com/office/word/2010/wordprocessingShape">
                          <wps:wsp>
                            <wps:cNvSpPr txBox="1"/>
                            <wps:spPr>
                              <a:xfrm>
                                <a:off x="0" y="0"/>
                                <a:ext cx="3496310" cy="154305"/>
                              </a:xfrm>
                              <a:prstGeom prst="rect">
                                <a:avLst/>
                              </a:prstGeom>
                              <a:solidFill>
                                <a:prstClr val="white"/>
                              </a:solidFill>
                              <a:ln>
                                <a:noFill/>
                              </a:ln>
                            </wps:spPr>
                            <wps:txbx>
                              <w:txbxContent>
                                <w:p w14:paraId="64110FD1" w14:textId="2AD813D8" w:rsidR="00C33FAA" w:rsidRPr="009D2E24" w:rsidRDefault="00C33FAA" w:rsidP="00244248">
                                  <w:pPr>
                                    <w:pStyle w:val="Caption"/>
                                    <w:rPr>
                                      <w:noProof/>
                                      <w:sz w:val="24"/>
                                      <w:szCs w:val="24"/>
                                      <w:lang w:val="en-GB"/>
                                    </w:rPr>
                                  </w:pPr>
                                  <w:r>
                                    <w:t xml:space="preserve">Figure </w:t>
                                  </w:r>
                                  <w:fldSimple w:instr=" SEQ Figure \* ARABIC ">
                                    <w:r w:rsidR="00115E22">
                                      <w:rPr>
                                        <w:noProof/>
                                      </w:rPr>
                                      <w:t>60</w:t>
                                    </w:r>
                                  </w:fldSimple>
                                  <w:r>
                                    <w:t xml:space="preserve"> </w:t>
                                  </w:r>
                                  <w:r w:rsidRPr="00F523B5">
                                    <w:t xml:space="preserve">- </w:t>
                                  </w:r>
                                  <w:r>
                                    <w:t xml:space="preserve">Childbearing desires </w:t>
                                  </w:r>
                                  <w:r w:rsidRPr="00F523B5">
                                    <w:t>by treatment and control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3A38F" id="Text Box 33" o:spid="_x0000_s1083" type="#_x0000_t202" style="position:absolute;margin-left:13.35pt;margin-top:0;width:275.3pt;height:12.1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" stroked="f">
                      <v:textbox inset="0,0,0,0">
                        <w:txbxContent>
                          <w:p w14:paraId="64110FD1" w14:textId="2AD813D8" w:rsidR="00C33FAA" w:rsidRPr="009D2E24" w:rsidRDefault="00C33FAA" w:rsidP="00244248">
                            <w:pPr>
                              <w:pStyle w:val="Caption"/>
                              <w:rPr>
                                <w:noProof/>
                                <w:sz w:val="24"/>
                                <w:szCs w:val="24"/>
                                <w:lang w:val="en-GB"/>
                              </w:rPr>
                            </w:pPr>
                            <w:r>
                              <w:t xml:space="preserve">Figure </w:t>
                            </w:r>
                            <w:r w:rsidR="00166A92">
                              <w:fldChar w:fldCharType="begin"/>
                            </w:r>
                            <w:r w:rsidR="00166A92">
                              <w:instrText xml:space="preserve"> SEQ Figure \* ARABIC </w:instrText>
                            </w:r>
                            <w:r w:rsidR="00166A92">
                              <w:fldChar w:fldCharType="separate"/>
                            </w:r>
                            <w:r w:rsidR="00115E22">
                              <w:rPr>
                                <w:noProof/>
                              </w:rPr>
                              <w:t>60</w:t>
                            </w:r>
                            <w:r w:rsidR="00166A92">
                              <w:rPr>
                                <w:noProof/>
                              </w:rPr>
                              <w:fldChar w:fldCharType="end"/>
                            </w:r>
                            <w:r>
                              <w:t xml:space="preserve"> </w:t>
                            </w:r>
                            <w:r w:rsidRPr="00F523B5">
                              <w:t xml:space="preserve">- </w:t>
                            </w:r>
                            <w:r>
                              <w:t xml:space="preserve">Childbearing desires </w:t>
                            </w:r>
                            <w:r w:rsidRPr="00F523B5">
                              <w:t>by treatment and control group</w:t>
                            </w:r>
                          </w:p>
                        </w:txbxContent>
                      </v:textbox>
                      <w10:wrap type="topAndBottom"/>
                    </v:shape>
                  </w:pict>
                </mc:Fallback>
              </mc:AlternateContent>
            </w:r>
          </w:p>
        </w:tc>
      </w:tr>
      <w:tr w:rsidR="00244248" w14:paraId="7E565386" w14:textId="77777777" w:rsidTr="00335B25">
        <w:tc>
          <w:tcPr>
            <w:tcW w:w="6974" w:type="dxa"/>
          </w:tcPr>
          <w:p w14:paraId="4E455522" w14:textId="65D3AF50" w:rsidR="00244248" w:rsidRPr="00DC7D31" w:rsidRDefault="00244248" w:rsidP="00335B25">
            <w:pPr>
              <w:pStyle w:val="Caption"/>
              <w:keepNext/>
            </w:pPr>
            <w:r w:rsidRPr="00DC7D31">
              <w:t xml:space="preserve">Figure </w:t>
            </w:r>
            <w:fldSimple w:instr=" SEQ Figure \* ARABIC ">
              <w:r w:rsidR="00115E22">
                <w:rPr>
                  <w:noProof/>
                </w:rPr>
                <w:t>61</w:t>
              </w:r>
            </w:fldSimple>
            <w:r w:rsidRPr="00DC7D31">
              <w:t xml:space="preserve"> Childbearing expectation - by treatment and control group</w:t>
            </w:r>
            <w:r w:rsidRPr="00DC7D31">
              <w:rPr>
                <w:noProof/>
              </w:rPr>
              <w:t xml:space="preserve"> </w:t>
            </w:r>
            <w:r w:rsidRPr="00DC7D31">
              <w:rPr>
                <w:noProof/>
                <w:lang w:eastAsia="en-AU"/>
              </w:rPr>
              <w:drawing>
                <wp:inline distT="0" distB="0" distL="0" distR="0" wp14:anchorId="10530672" wp14:editId="5C2AF577">
                  <wp:extent cx="3510951" cy="255341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15515" cy="2556738"/>
                          </a:xfrm>
                          <a:prstGeom prst="rect">
                            <a:avLst/>
                          </a:prstGeom>
                          <a:noFill/>
                          <a:ln>
                            <a:noFill/>
                          </a:ln>
                        </pic:spPr>
                      </pic:pic>
                    </a:graphicData>
                  </a:graphic>
                </wp:inline>
              </w:drawing>
            </w:r>
          </w:p>
        </w:tc>
        <w:tc>
          <w:tcPr>
            <w:tcW w:w="6974" w:type="dxa"/>
          </w:tcPr>
          <w:p w14:paraId="54DFC81A" w14:textId="43D0515F" w:rsidR="00244248" w:rsidRPr="00DC7D31" w:rsidRDefault="00244248" w:rsidP="00335B25">
            <w:pPr>
              <w:pStyle w:val="Caption"/>
              <w:keepNext/>
            </w:pPr>
            <w:r w:rsidRPr="00DC7D31">
              <w:t xml:space="preserve">Figure </w:t>
            </w:r>
            <w:fldSimple w:instr=" SEQ Figure \* ARABIC ">
              <w:r w:rsidR="00115E22">
                <w:rPr>
                  <w:noProof/>
                </w:rPr>
                <w:t>62</w:t>
              </w:r>
            </w:fldSimple>
            <w:r w:rsidRPr="00DC7D31">
              <w:t xml:space="preserve"> Additionally intended children-  by treatment and control group</w:t>
            </w:r>
          </w:p>
          <w:p w14:paraId="280C639D" w14:textId="77777777" w:rsidR="00244248" w:rsidRPr="000B6941" w:rsidRDefault="00244248" w:rsidP="00335B25">
            <w:r w:rsidRPr="00C74489">
              <w:rPr>
                <w:noProof/>
                <w:lang w:eastAsia="en-AU"/>
              </w:rPr>
              <w:drawing>
                <wp:inline distT="0" distB="0" distL="0" distR="0" wp14:anchorId="7717BCF4" wp14:editId="64B8DDF7">
                  <wp:extent cx="3528204" cy="2565967"/>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36509" cy="2572007"/>
                          </a:xfrm>
                          <a:prstGeom prst="rect">
                            <a:avLst/>
                          </a:prstGeom>
                          <a:noFill/>
                          <a:ln>
                            <a:noFill/>
                          </a:ln>
                        </pic:spPr>
                      </pic:pic>
                    </a:graphicData>
                  </a:graphic>
                </wp:inline>
              </w:drawing>
            </w:r>
          </w:p>
        </w:tc>
      </w:tr>
    </w:tbl>
    <w:p w14:paraId="50CF458C" w14:textId="77777777" w:rsidR="00244248" w:rsidRPr="00F62A9A" w:rsidRDefault="00244248" w:rsidP="00244248">
      <w:pPr>
        <w:rPr>
          <w:lang w:val="en-US"/>
        </w:rPr>
        <w:sectPr w:rsidR="00244248" w:rsidRPr="00F62A9A" w:rsidSect="00335B25">
          <w:pgSz w:w="16838" w:h="11906" w:orient="landscape"/>
          <w:pgMar w:top="1440" w:right="1276" w:bottom="1440" w:left="1440" w:header="708" w:footer="708" w:gutter="0"/>
          <w:cols w:space="708"/>
          <w:docGrid w:linePitch="360"/>
        </w:sectPr>
      </w:pPr>
    </w:p>
    <w:p w14:paraId="29D67517" w14:textId="4EA1E0FF" w:rsidR="003206B1" w:rsidRPr="00244248" w:rsidRDefault="003206B1" w:rsidP="003206B1">
      <w:pPr>
        <w:rPr>
          <w:rFonts w:asciiTheme="majorHAnsi" w:hAnsiTheme="majorHAnsi" w:cstheme="majorHAnsi"/>
          <w:color w:val="1F4E79" w:themeColor="accent1" w:themeShade="80"/>
          <w:sz w:val="26"/>
          <w:szCs w:val="26"/>
          <w:lang w:val="en-US"/>
        </w:rPr>
      </w:pPr>
      <w:r>
        <w:rPr>
          <w:rFonts w:asciiTheme="majorHAnsi" w:hAnsiTheme="majorHAnsi" w:cstheme="majorHAnsi"/>
          <w:color w:val="1F4E79" w:themeColor="accent1" w:themeShade="80"/>
          <w:sz w:val="26"/>
          <w:szCs w:val="26"/>
          <w:lang w:val="en-US"/>
        </w:rPr>
        <w:lastRenderedPageBreak/>
        <w:t>Dad and Partner pay</w:t>
      </w:r>
      <w:r w:rsidRPr="00244248">
        <w:rPr>
          <w:rFonts w:asciiTheme="majorHAnsi" w:hAnsiTheme="majorHAnsi" w:cstheme="majorHAnsi"/>
          <w:color w:val="1F4E79" w:themeColor="accent1" w:themeShade="80"/>
          <w:sz w:val="26"/>
          <w:szCs w:val="26"/>
          <w:lang w:val="en-US"/>
        </w:rPr>
        <w:t xml:space="preserve"> – </w:t>
      </w:r>
      <w:r>
        <w:rPr>
          <w:rFonts w:asciiTheme="majorHAnsi" w:hAnsiTheme="majorHAnsi" w:cstheme="majorHAnsi"/>
          <w:color w:val="1F4E79" w:themeColor="accent1" w:themeShade="80"/>
          <w:sz w:val="26"/>
          <w:szCs w:val="26"/>
          <w:lang w:val="en-US"/>
        </w:rPr>
        <w:t xml:space="preserve">Placebo tests </w:t>
      </w:r>
    </w:p>
    <w:p w14:paraId="4BAF4F9D" w14:textId="2F6D4937" w:rsidR="003206B1" w:rsidRDefault="00880AFE" w:rsidP="00E47B1C">
      <w:pPr>
        <w:pStyle w:val="Caption"/>
        <w:rPr>
          <w:lang w:val="en-US"/>
        </w:rPr>
      </w:pPr>
      <w:bookmarkStart w:id="259" w:name="_Ref88566238"/>
      <w:r>
        <w:t xml:space="preserve">Figure </w:t>
      </w:r>
      <w:fldSimple w:instr=" SEQ Figure \* ARABIC ">
        <w:r w:rsidR="00115E22">
          <w:rPr>
            <w:noProof/>
          </w:rPr>
          <w:t>63</w:t>
        </w:r>
      </w:fldSimple>
      <w:bookmarkEnd w:id="259"/>
      <w:r>
        <w:t xml:space="preserve"> </w:t>
      </w:r>
      <w:r w:rsidRPr="002B1263">
        <w:t>Dad and partner pay placebo tests. Coefficients of fixed effects with time-varying demographic controls. Highlighted year is introduction of policy</w:t>
      </w:r>
    </w:p>
    <w:p w14:paraId="1F8E1F44" w14:textId="77777777" w:rsidR="003206B1" w:rsidRPr="00244248" w:rsidRDefault="003206B1" w:rsidP="003206B1">
      <w:pPr>
        <w:rPr>
          <w:lang w:val="en-US"/>
        </w:rPr>
      </w:pPr>
      <w:r>
        <w:rPr>
          <w:noProof/>
          <w:lang w:eastAsia="en-AU"/>
        </w:rPr>
        <w:drawing>
          <wp:inline distT="0" distB="0" distL="0" distR="0" wp14:anchorId="2A523664" wp14:editId="505E2B98">
            <wp:extent cx="5731510" cy="2856865"/>
            <wp:effectExtent l="0" t="0" r="2540" b="635"/>
            <wp:docPr id="215" name="Chart 215">
              <a:extLst xmlns:a="http://schemas.openxmlformats.org/drawingml/2006/main">
                <a:ext uri="{FF2B5EF4-FFF2-40B4-BE49-F238E27FC236}">
                  <a16:creationId xmlns:a16="http://schemas.microsoft.com/office/drawing/2014/main" id="{E643CD66-7963-48AD-8E80-170725C5B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8D0F8DC" w14:textId="77777777" w:rsidR="003206B1" w:rsidRDefault="003206B1" w:rsidP="00244248">
      <w:pPr>
        <w:rPr>
          <w:rFonts w:asciiTheme="majorHAnsi" w:hAnsiTheme="majorHAnsi" w:cstheme="majorHAnsi"/>
          <w:color w:val="1F4E79" w:themeColor="accent1" w:themeShade="80"/>
          <w:sz w:val="26"/>
          <w:szCs w:val="26"/>
          <w:lang w:val="en-US"/>
        </w:rPr>
      </w:pPr>
    </w:p>
    <w:p w14:paraId="58F12E27" w14:textId="77777777" w:rsidR="003206B1" w:rsidRDefault="003206B1">
      <w:pPr>
        <w:rPr>
          <w:rFonts w:asciiTheme="majorHAnsi" w:hAnsiTheme="majorHAnsi" w:cstheme="majorHAnsi"/>
          <w:color w:val="1F4E79" w:themeColor="accent1" w:themeShade="80"/>
          <w:sz w:val="26"/>
          <w:szCs w:val="26"/>
          <w:lang w:val="en-US"/>
        </w:rPr>
      </w:pPr>
      <w:r>
        <w:rPr>
          <w:rFonts w:asciiTheme="majorHAnsi" w:hAnsiTheme="majorHAnsi" w:cstheme="majorHAnsi"/>
          <w:color w:val="1F4E79" w:themeColor="accent1" w:themeShade="80"/>
          <w:sz w:val="26"/>
          <w:szCs w:val="26"/>
          <w:lang w:val="en-US"/>
        </w:rPr>
        <w:br w:type="page"/>
      </w:r>
    </w:p>
    <w:p w14:paraId="3AABEE17" w14:textId="17F2CEB8" w:rsidR="00244248" w:rsidRPr="00244248" w:rsidRDefault="00244248" w:rsidP="00244248">
      <w:pPr>
        <w:rPr>
          <w:rFonts w:asciiTheme="majorHAnsi" w:hAnsiTheme="majorHAnsi" w:cstheme="majorHAnsi"/>
          <w:color w:val="1F4E79" w:themeColor="accent1" w:themeShade="80"/>
          <w:sz w:val="26"/>
          <w:szCs w:val="26"/>
          <w:lang w:val="en-US"/>
        </w:rPr>
      </w:pPr>
      <w:r w:rsidRPr="00244248">
        <w:rPr>
          <w:rFonts w:asciiTheme="majorHAnsi" w:hAnsiTheme="majorHAnsi" w:cstheme="majorHAnsi"/>
          <w:color w:val="1F4E79" w:themeColor="accent1" w:themeShade="80"/>
          <w:sz w:val="26"/>
          <w:szCs w:val="26"/>
          <w:lang w:val="en-US"/>
        </w:rPr>
        <w:lastRenderedPageBreak/>
        <w:t>FTB – Identification strategy I</w:t>
      </w:r>
    </w:p>
    <w:p w14:paraId="6DBC612B" w14:textId="77777777" w:rsidR="00244248" w:rsidRDefault="00244248" w:rsidP="00244248">
      <w:r>
        <w:t xml:space="preserve">In this alternative identification strategy, we restrict the sample to FTB-A recipients, set as the treated women those with family taxable income fell into the taper rate affected range and as control women those family taxable income fell out of the affected range. </w:t>
      </w:r>
    </w:p>
    <w:p w14:paraId="6EE8A6E1" w14:textId="15707E5F" w:rsidR="00244248" w:rsidRDefault="00244248" w:rsidP="00244248">
      <w:pPr>
        <w:pStyle w:val="Caption"/>
        <w:keepNext/>
      </w:pPr>
      <w:r>
        <w:t xml:space="preserve">Table </w:t>
      </w:r>
      <w:fldSimple w:instr=" SEQ Table \* ARABIC ">
        <w:r w:rsidR="00115E22">
          <w:rPr>
            <w:noProof/>
          </w:rPr>
          <w:t>55</w:t>
        </w:r>
      </w:fldSimple>
      <w:r>
        <w:t xml:space="preserve"> Effect of FTB  (Identification strategy I)</w:t>
      </w:r>
    </w:p>
    <w:tbl>
      <w:tblPr>
        <w:tblW w:w="9575" w:type="dxa"/>
        <w:tblLayout w:type="fixed"/>
        <w:tblLook w:val="0000" w:firstRow="0" w:lastRow="0" w:firstColumn="0" w:lastColumn="0" w:noHBand="0" w:noVBand="0"/>
      </w:tblPr>
      <w:tblGrid>
        <w:gridCol w:w="2977"/>
        <w:gridCol w:w="1531"/>
        <w:gridCol w:w="1417"/>
        <w:gridCol w:w="1666"/>
        <w:gridCol w:w="1984"/>
      </w:tblGrid>
      <w:tr w:rsidR="00244248" w:rsidRPr="00DE6E2E" w14:paraId="61F264F4" w14:textId="77777777" w:rsidTr="00335B25">
        <w:tc>
          <w:tcPr>
            <w:tcW w:w="2977" w:type="dxa"/>
            <w:tcBorders>
              <w:top w:val="single" w:sz="4" w:space="0" w:color="auto"/>
              <w:left w:val="nil"/>
              <w:bottom w:val="nil"/>
              <w:right w:val="nil"/>
            </w:tcBorders>
            <w:shd w:val="clear" w:color="auto" w:fill="FBE4D5" w:themeFill="accent2" w:themeFillTint="33"/>
          </w:tcPr>
          <w:p w14:paraId="6E56F41B"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single" w:sz="4" w:space="0" w:color="auto"/>
              <w:left w:val="nil"/>
              <w:bottom w:val="nil"/>
              <w:right w:val="nil"/>
            </w:tcBorders>
            <w:shd w:val="clear" w:color="auto" w:fill="FBE4D5" w:themeFill="accent2" w:themeFillTint="33"/>
          </w:tcPr>
          <w:p w14:paraId="18DF9F1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(1)</w:t>
            </w:r>
          </w:p>
        </w:tc>
        <w:tc>
          <w:tcPr>
            <w:tcW w:w="1417" w:type="dxa"/>
            <w:tcBorders>
              <w:top w:val="single" w:sz="4" w:space="0" w:color="auto"/>
              <w:left w:val="nil"/>
              <w:bottom w:val="nil"/>
              <w:right w:val="nil"/>
            </w:tcBorders>
            <w:shd w:val="clear" w:color="auto" w:fill="FBE4D5" w:themeFill="accent2" w:themeFillTint="33"/>
          </w:tcPr>
          <w:p w14:paraId="55E6921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(2)</w:t>
            </w:r>
          </w:p>
        </w:tc>
        <w:tc>
          <w:tcPr>
            <w:tcW w:w="1666" w:type="dxa"/>
            <w:tcBorders>
              <w:top w:val="single" w:sz="4" w:space="0" w:color="auto"/>
              <w:left w:val="nil"/>
              <w:bottom w:val="nil"/>
              <w:right w:val="nil"/>
            </w:tcBorders>
            <w:shd w:val="clear" w:color="auto" w:fill="FBE4D5" w:themeFill="accent2" w:themeFillTint="33"/>
          </w:tcPr>
          <w:p w14:paraId="097E5AD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(3)</w:t>
            </w:r>
          </w:p>
        </w:tc>
        <w:tc>
          <w:tcPr>
            <w:tcW w:w="1984" w:type="dxa"/>
            <w:tcBorders>
              <w:top w:val="single" w:sz="4" w:space="0" w:color="auto"/>
              <w:left w:val="nil"/>
              <w:bottom w:val="nil"/>
              <w:right w:val="nil"/>
            </w:tcBorders>
            <w:shd w:val="clear" w:color="auto" w:fill="FBE4D5" w:themeFill="accent2" w:themeFillTint="33"/>
          </w:tcPr>
          <w:p w14:paraId="4F6E9FB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(4)</w:t>
            </w:r>
          </w:p>
        </w:tc>
      </w:tr>
      <w:tr w:rsidR="00244248" w:rsidRPr="00DE6E2E" w14:paraId="13C48E28" w14:textId="77777777" w:rsidTr="00335B25">
        <w:tc>
          <w:tcPr>
            <w:tcW w:w="2977" w:type="dxa"/>
            <w:tcBorders>
              <w:top w:val="nil"/>
              <w:left w:val="nil"/>
              <w:bottom w:val="single" w:sz="4" w:space="0" w:color="ED7D31" w:themeColor="accent2"/>
              <w:right w:val="nil"/>
            </w:tcBorders>
            <w:shd w:val="clear" w:color="auto" w:fill="FBE4D5" w:themeFill="accent2" w:themeFillTint="33"/>
          </w:tcPr>
          <w:p w14:paraId="2B17E24C"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p>
        </w:tc>
        <w:tc>
          <w:tcPr>
            <w:tcW w:w="1531" w:type="dxa"/>
            <w:tcBorders>
              <w:top w:val="nil"/>
              <w:left w:val="nil"/>
              <w:bottom w:val="single" w:sz="4" w:space="0" w:color="ED7D31" w:themeColor="accent2"/>
              <w:right w:val="nil"/>
            </w:tcBorders>
            <w:shd w:val="clear" w:color="auto" w:fill="FBE4D5" w:themeFill="accent2" w:themeFillTint="33"/>
          </w:tcPr>
          <w:p w14:paraId="4E51488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417" w:type="dxa"/>
            <w:tcBorders>
              <w:top w:val="nil"/>
              <w:left w:val="nil"/>
              <w:bottom w:val="single" w:sz="4" w:space="0" w:color="ED7D31" w:themeColor="accent2"/>
              <w:right w:val="nil"/>
            </w:tcBorders>
            <w:shd w:val="clear" w:color="auto" w:fill="FBE4D5" w:themeFill="accent2" w:themeFillTint="33"/>
          </w:tcPr>
          <w:p w14:paraId="1F58A230"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w:t>
            </w:r>
          </w:p>
        </w:tc>
        <w:tc>
          <w:tcPr>
            <w:tcW w:w="1666" w:type="dxa"/>
            <w:tcBorders>
              <w:top w:val="nil"/>
              <w:left w:val="nil"/>
              <w:bottom w:val="single" w:sz="4" w:space="0" w:color="ED7D31" w:themeColor="accent2"/>
              <w:right w:val="nil"/>
            </w:tcBorders>
            <w:shd w:val="clear" w:color="auto" w:fill="FBE4D5" w:themeFill="accent2" w:themeFillTint="33"/>
          </w:tcPr>
          <w:p w14:paraId="2652CCE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OLS-fixed effect</w:t>
            </w:r>
          </w:p>
        </w:tc>
        <w:tc>
          <w:tcPr>
            <w:tcW w:w="1984" w:type="dxa"/>
            <w:tcBorders>
              <w:top w:val="nil"/>
              <w:left w:val="nil"/>
              <w:bottom w:val="single" w:sz="4" w:space="0" w:color="ED7D31" w:themeColor="accent2"/>
              <w:right w:val="nil"/>
            </w:tcBorders>
            <w:shd w:val="clear" w:color="auto" w:fill="FBE4D5" w:themeFill="accent2" w:themeFillTint="33"/>
          </w:tcPr>
          <w:p w14:paraId="518C707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OLS-fixed effect</w:t>
            </w:r>
          </w:p>
        </w:tc>
      </w:tr>
      <w:tr w:rsidR="00244248" w:rsidRPr="00DE6E2E" w14:paraId="60F8C230" w14:textId="77777777" w:rsidTr="00335B25">
        <w:trPr>
          <w:trHeight w:val="357"/>
        </w:trPr>
        <w:tc>
          <w:tcPr>
            <w:tcW w:w="2977" w:type="dxa"/>
            <w:tcBorders>
              <w:top w:val="single" w:sz="4" w:space="0" w:color="ED7D31" w:themeColor="accent2"/>
              <w:left w:val="nil"/>
              <w:bottom w:val="single" w:sz="4" w:space="0" w:color="ED7D31" w:themeColor="accent2"/>
              <w:right w:val="nil"/>
            </w:tcBorders>
            <w:vAlign w:val="center"/>
          </w:tcPr>
          <w:p w14:paraId="768E5C16"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Births</w:t>
            </w:r>
          </w:p>
        </w:tc>
        <w:tc>
          <w:tcPr>
            <w:tcW w:w="1531" w:type="dxa"/>
            <w:tcBorders>
              <w:top w:val="single" w:sz="4" w:space="0" w:color="ED7D31" w:themeColor="accent2"/>
              <w:left w:val="nil"/>
              <w:bottom w:val="single" w:sz="4" w:space="0" w:color="ED7D31" w:themeColor="accent2"/>
              <w:right w:val="nil"/>
            </w:tcBorders>
          </w:tcPr>
          <w:p w14:paraId="4E6FA3BD"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top w:val="single" w:sz="4" w:space="0" w:color="ED7D31" w:themeColor="accent2"/>
              <w:left w:val="nil"/>
              <w:bottom w:val="single" w:sz="4" w:space="0" w:color="ED7D31" w:themeColor="accent2"/>
              <w:right w:val="nil"/>
            </w:tcBorders>
          </w:tcPr>
          <w:p w14:paraId="2BE96B4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top w:val="single" w:sz="4" w:space="0" w:color="ED7D31" w:themeColor="accent2"/>
              <w:left w:val="nil"/>
              <w:bottom w:val="single" w:sz="4" w:space="0" w:color="ED7D31" w:themeColor="accent2"/>
              <w:right w:val="nil"/>
            </w:tcBorders>
          </w:tcPr>
          <w:p w14:paraId="34C5E9B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top w:val="single" w:sz="4" w:space="0" w:color="ED7D31" w:themeColor="accent2"/>
              <w:left w:val="nil"/>
              <w:bottom w:val="single" w:sz="4" w:space="0" w:color="ED7D31" w:themeColor="accent2"/>
              <w:right w:val="nil"/>
            </w:tcBorders>
          </w:tcPr>
          <w:p w14:paraId="27A43101"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18396583" w14:textId="77777777" w:rsidTr="00335B25">
        <w:tc>
          <w:tcPr>
            <w:tcW w:w="2977" w:type="dxa"/>
            <w:tcBorders>
              <w:top w:val="single" w:sz="4" w:space="0" w:color="ED7D31" w:themeColor="accent2"/>
              <w:left w:val="nil"/>
              <w:right w:val="nil"/>
            </w:tcBorders>
          </w:tcPr>
          <w:p w14:paraId="423E8893"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740A40C6"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0.001</w:t>
            </w:r>
          </w:p>
        </w:tc>
        <w:tc>
          <w:tcPr>
            <w:tcW w:w="1417" w:type="dxa"/>
            <w:tcBorders>
              <w:top w:val="single" w:sz="4" w:space="0" w:color="ED7D31" w:themeColor="accent2"/>
              <w:left w:val="nil"/>
              <w:right w:val="nil"/>
            </w:tcBorders>
          </w:tcPr>
          <w:p w14:paraId="4863CFCF"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-0.003</w:t>
            </w:r>
          </w:p>
        </w:tc>
        <w:tc>
          <w:tcPr>
            <w:tcW w:w="1666" w:type="dxa"/>
            <w:tcBorders>
              <w:top w:val="single" w:sz="4" w:space="0" w:color="ED7D31" w:themeColor="accent2"/>
              <w:left w:val="nil"/>
              <w:right w:val="nil"/>
            </w:tcBorders>
          </w:tcPr>
          <w:p w14:paraId="382816FC"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-0.021</w:t>
            </w:r>
          </w:p>
        </w:tc>
        <w:tc>
          <w:tcPr>
            <w:tcW w:w="1984" w:type="dxa"/>
            <w:tcBorders>
              <w:top w:val="single" w:sz="4" w:space="0" w:color="ED7D31" w:themeColor="accent2"/>
              <w:left w:val="nil"/>
              <w:right w:val="nil"/>
            </w:tcBorders>
          </w:tcPr>
          <w:p w14:paraId="750692C4"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-0.025</w:t>
            </w:r>
          </w:p>
        </w:tc>
      </w:tr>
      <w:tr w:rsidR="00244248" w:rsidRPr="00C50205" w14:paraId="20E2AEAF" w14:textId="77777777" w:rsidTr="00335B25">
        <w:tc>
          <w:tcPr>
            <w:tcW w:w="2977" w:type="dxa"/>
            <w:tcBorders>
              <w:top w:val="nil"/>
              <w:left w:val="nil"/>
              <w:right w:val="nil"/>
            </w:tcBorders>
          </w:tcPr>
          <w:p w14:paraId="6CF8134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04077517"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rPr>
              <w:t>(0.017)</w:t>
            </w:r>
          </w:p>
        </w:tc>
        <w:tc>
          <w:tcPr>
            <w:tcW w:w="1417" w:type="dxa"/>
            <w:tcBorders>
              <w:top w:val="nil"/>
              <w:left w:val="nil"/>
              <w:right w:val="nil"/>
            </w:tcBorders>
          </w:tcPr>
          <w:p w14:paraId="2D23AA21"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rPr>
              <w:t>(0.018)</w:t>
            </w:r>
          </w:p>
        </w:tc>
        <w:tc>
          <w:tcPr>
            <w:tcW w:w="1666" w:type="dxa"/>
            <w:tcBorders>
              <w:top w:val="nil"/>
              <w:left w:val="nil"/>
              <w:right w:val="nil"/>
            </w:tcBorders>
          </w:tcPr>
          <w:p w14:paraId="4C42855C"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rPr>
              <w:t>(0.022)</w:t>
            </w:r>
          </w:p>
        </w:tc>
        <w:tc>
          <w:tcPr>
            <w:tcW w:w="1984" w:type="dxa"/>
            <w:tcBorders>
              <w:top w:val="nil"/>
              <w:left w:val="nil"/>
              <w:right w:val="nil"/>
            </w:tcBorders>
          </w:tcPr>
          <w:p w14:paraId="2F02FE4D"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rPr>
              <w:t>(0.023)</w:t>
            </w:r>
          </w:p>
        </w:tc>
      </w:tr>
      <w:tr w:rsidR="00244248" w:rsidRPr="00DE6E2E" w14:paraId="454367AC" w14:textId="77777777" w:rsidTr="00335B25">
        <w:tc>
          <w:tcPr>
            <w:tcW w:w="2977" w:type="dxa"/>
            <w:tcBorders>
              <w:left w:val="nil"/>
              <w:right w:val="nil"/>
            </w:tcBorders>
          </w:tcPr>
          <w:p w14:paraId="335439D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left w:val="nil"/>
              <w:right w:val="nil"/>
            </w:tcBorders>
          </w:tcPr>
          <w:p w14:paraId="413B5414"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7</w:t>
            </w:r>
            <w:r w:rsidRPr="000B6941">
              <w:rPr>
                <w:rFonts w:asciiTheme="majorHAnsi" w:hAnsiTheme="majorHAnsi" w:cstheme="majorHAnsi"/>
                <w:sz w:val="20"/>
                <w:szCs w:val="20"/>
              </w:rPr>
              <w:t>,</w:t>
            </w:r>
            <w:r w:rsidRPr="004C00BF">
              <w:rPr>
                <w:rFonts w:asciiTheme="majorHAnsi" w:hAnsiTheme="majorHAnsi" w:cstheme="majorHAnsi"/>
                <w:sz w:val="20"/>
                <w:szCs w:val="20"/>
              </w:rPr>
              <w:t>727</w:t>
            </w:r>
          </w:p>
        </w:tc>
        <w:tc>
          <w:tcPr>
            <w:tcW w:w="1417" w:type="dxa"/>
            <w:tcBorders>
              <w:left w:val="nil"/>
              <w:right w:val="nil"/>
            </w:tcBorders>
          </w:tcPr>
          <w:p w14:paraId="1C1569D8"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6</w:t>
            </w:r>
            <w:r w:rsidRPr="000B6941">
              <w:rPr>
                <w:rFonts w:asciiTheme="majorHAnsi" w:hAnsiTheme="majorHAnsi" w:cstheme="majorHAnsi"/>
                <w:sz w:val="20"/>
                <w:szCs w:val="20"/>
              </w:rPr>
              <w:t>,</w:t>
            </w:r>
            <w:r w:rsidRPr="004C00BF">
              <w:rPr>
                <w:rFonts w:asciiTheme="majorHAnsi" w:hAnsiTheme="majorHAnsi" w:cstheme="majorHAnsi"/>
                <w:sz w:val="20"/>
                <w:szCs w:val="20"/>
              </w:rPr>
              <w:t>466</w:t>
            </w:r>
          </w:p>
        </w:tc>
        <w:tc>
          <w:tcPr>
            <w:tcW w:w="1666" w:type="dxa"/>
            <w:tcBorders>
              <w:left w:val="nil"/>
              <w:right w:val="nil"/>
            </w:tcBorders>
          </w:tcPr>
          <w:p w14:paraId="7C8A507E"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7</w:t>
            </w:r>
            <w:r w:rsidRPr="000B6941">
              <w:rPr>
                <w:rFonts w:asciiTheme="majorHAnsi" w:hAnsiTheme="majorHAnsi" w:cstheme="majorHAnsi"/>
                <w:sz w:val="20"/>
                <w:szCs w:val="20"/>
              </w:rPr>
              <w:t>,</w:t>
            </w:r>
            <w:r w:rsidRPr="004C00BF">
              <w:rPr>
                <w:rFonts w:asciiTheme="majorHAnsi" w:hAnsiTheme="majorHAnsi" w:cstheme="majorHAnsi"/>
                <w:sz w:val="20"/>
                <w:szCs w:val="20"/>
              </w:rPr>
              <w:t>727</w:t>
            </w:r>
          </w:p>
        </w:tc>
        <w:tc>
          <w:tcPr>
            <w:tcW w:w="1984" w:type="dxa"/>
            <w:tcBorders>
              <w:left w:val="nil"/>
              <w:right w:val="nil"/>
            </w:tcBorders>
          </w:tcPr>
          <w:p w14:paraId="613EE77C"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6</w:t>
            </w:r>
            <w:r w:rsidRPr="000B6941">
              <w:rPr>
                <w:rFonts w:asciiTheme="majorHAnsi" w:hAnsiTheme="majorHAnsi" w:cstheme="majorHAnsi"/>
                <w:sz w:val="20"/>
                <w:szCs w:val="20"/>
              </w:rPr>
              <w:t>,</w:t>
            </w:r>
            <w:r w:rsidRPr="004C00BF">
              <w:rPr>
                <w:rFonts w:asciiTheme="majorHAnsi" w:hAnsiTheme="majorHAnsi" w:cstheme="majorHAnsi"/>
                <w:sz w:val="20"/>
                <w:szCs w:val="20"/>
              </w:rPr>
              <w:t>466</w:t>
            </w:r>
          </w:p>
        </w:tc>
      </w:tr>
      <w:tr w:rsidR="00244248" w:rsidRPr="00DE6E2E" w14:paraId="36485BFC" w14:textId="77777777" w:rsidTr="00335B25">
        <w:trPr>
          <w:trHeight w:val="439"/>
        </w:trPr>
        <w:tc>
          <w:tcPr>
            <w:tcW w:w="2977" w:type="dxa"/>
            <w:tcBorders>
              <w:left w:val="nil"/>
              <w:bottom w:val="single" w:sz="4" w:space="0" w:color="ED7D31" w:themeColor="accent2"/>
              <w:right w:val="nil"/>
            </w:tcBorders>
            <w:vAlign w:val="bottom"/>
          </w:tcPr>
          <w:p w14:paraId="45ED135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 xml:space="preserve">Childbearing desire </w:t>
            </w:r>
          </w:p>
        </w:tc>
        <w:tc>
          <w:tcPr>
            <w:tcW w:w="1531" w:type="dxa"/>
            <w:tcBorders>
              <w:left w:val="nil"/>
              <w:bottom w:val="single" w:sz="4" w:space="0" w:color="ED7D31" w:themeColor="accent2"/>
              <w:right w:val="nil"/>
            </w:tcBorders>
          </w:tcPr>
          <w:p w14:paraId="330BD2FD"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67A9FA57"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7EF5D1EA"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3782F6F1"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1A5AAC9B" w14:textId="77777777" w:rsidTr="00335B25">
        <w:tc>
          <w:tcPr>
            <w:tcW w:w="2977" w:type="dxa"/>
            <w:tcBorders>
              <w:top w:val="single" w:sz="4" w:space="0" w:color="ED7D31" w:themeColor="accent2"/>
              <w:left w:val="nil"/>
              <w:bottom w:val="nil"/>
              <w:right w:val="nil"/>
            </w:tcBorders>
          </w:tcPr>
          <w:p w14:paraId="10FDA39F"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6D7AD2C4"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-0.173</w:t>
            </w:r>
          </w:p>
        </w:tc>
        <w:tc>
          <w:tcPr>
            <w:tcW w:w="1417" w:type="dxa"/>
            <w:tcBorders>
              <w:top w:val="single" w:sz="4" w:space="0" w:color="ED7D31" w:themeColor="accent2"/>
              <w:left w:val="nil"/>
              <w:bottom w:val="nil"/>
              <w:right w:val="nil"/>
            </w:tcBorders>
          </w:tcPr>
          <w:p w14:paraId="1BF49866"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-0.193</w:t>
            </w:r>
          </w:p>
        </w:tc>
        <w:tc>
          <w:tcPr>
            <w:tcW w:w="1666" w:type="dxa"/>
            <w:tcBorders>
              <w:top w:val="single" w:sz="4" w:space="0" w:color="ED7D31" w:themeColor="accent2"/>
              <w:left w:val="nil"/>
              <w:bottom w:val="nil"/>
              <w:right w:val="nil"/>
            </w:tcBorders>
          </w:tcPr>
          <w:p w14:paraId="118749D0"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-0.179</w:t>
            </w:r>
          </w:p>
        </w:tc>
        <w:tc>
          <w:tcPr>
            <w:tcW w:w="1984" w:type="dxa"/>
            <w:tcBorders>
              <w:top w:val="single" w:sz="4" w:space="0" w:color="ED7D31" w:themeColor="accent2"/>
              <w:left w:val="nil"/>
              <w:bottom w:val="nil"/>
              <w:right w:val="nil"/>
            </w:tcBorders>
          </w:tcPr>
          <w:p w14:paraId="0E27725A"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0.014</w:t>
            </w:r>
          </w:p>
        </w:tc>
      </w:tr>
      <w:tr w:rsidR="00244248" w:rsidRPr="00C50205" w14:paraId="4ABF5C7C" w14:textId="77777777" w:rsidTr="00335B25">
        <w:tc>
          <w:tcPr>
            <w:tcW w:w="2977" w:type="dxa"/>
            <w:tcBorders>
              <w:top w:val="nil"/>
              <w:left w:val="nil"/>
              <w:right w:val="nil"/>
            </w:tcBorders>
          </w:tcPr>
          <w:p w14:paraId="239C7BD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4547D686"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lang w:val="en-US"/>
              </w:rPr>
              <w:t>(0.194)</w:t>
            </w:r>
          </w:p>
        </w:tc>
        <w:tc>
          <w:tcPr>
            <w:tcW w:w="1417" w:type="dxa"/>
            <w:tcBorders>
              <w:top w:val="nil"/>
              <w:left w:val="nil"/>
              <w:right w:val="nil"/>
            </w:tcBorders>
          </w:tcPr>
          <w:p w14:paraId="6FFDB056"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lang w:val="en-US"/>
              </w:rPr>
              <w:t>(0.194)</w:t>
            </w:r>
          </w:p>
        </w:tc>
        <w:tc>
          <w:tcPr>
            <w:tcW w:w="1666" w:type="dxa"/>
            <w:tcBorders>
              <w:top w:val="nil"/>
              <w:left w:val="nil"/>
              <w:right w:val="nil"/>
            </w:tcBorders>
          </w:tcPr>
          <w:p w14:paraId="7262D564"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lang w:val="en-US"/>
              </w:rPr>
              <w:t>(0.182)</w:t>
            </w:r>
          </w:p>
        </w:tc>
        <w:tc>
          <w:tcPr>
            <w:tcW w:w="1984" w:type="dxa"/>
            <w:tcBorders>
              <w:top w:val="nil"/>
              <w:left w:val="nil"/>
              <w:right w:val="nil"/>
            </w:tcBorders>
          </w:tcPr>
          <w:p w14:paraId="54A14ACC"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lang w:val="en-US"/>
              </w:rPr>
              <w:t>(0.183)</w:t>
            </w:r>
          </w:p>
        </w:tc>
      </w:tr>
      <w:tr w:rsidR="00244248" w:rsidRPr="00DE6E2E" w14:paraId="50CFB2F1" w14:textId="77777777" w:rsidTr="00335B25">
        <w:tc>
          <w:tcPr>
            <w:tcW w:w="2977" w:type="dxa"/>
            <w:tcBorders>
              <w:top w:val="nil"/>
              <w:left w:val="nil"/>
              <w:right w:val="nil"/>
            </w:tcBorders>
          </w:tcPr>
          <w:p w14:paraId="2A4BDBDD"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3B3E6675"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7974</w:t>
            </w:r>
          </w:p>
        </w:tc>
        <w:tc>
          <w:tcPr>
            <w:tcW w:w="1417" w:type="dxa"/>
            <w:tcBorders>
              <w:top w:val="nil"/>
              <w:left w:val="nil"/>
              <w:right w:val="nil"/>
            </w:tcBorders>
          </w:tcPr>
          <w:p w14:paraId="63ED60AE"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6</w:t>
            </w:r>
            <w:r w:rsidRPr="000B6941">
              <w:rPr>
                <w:rFonts w:asciiTheme="majorHAnsi" w:hAnsiTheme="majorHAnsi" w:cstheme="majorHAnsi"/>
                <w:sz w:val="20"/>
                <w:szCs w:val="20"/>
                <w:lang w:val="en-US"/>
              </w:rPr>
              <w:t>,</w:t>
            </w:r>
            <w:r w:rsidRPr="004C00BF">
              <w:rPr>
                <w:rFonts w:asciiTheme="majorHAnsi" w:hAnsiTheme="majorHAnsi" w:cstheme="majorHAnsi"/>
                <w:sz w:val="20"/>
                <w:szCs w:val="20"/>
                <w:lang w:val="en-US"/>
              </w:rPr>
              <w:t>654</w:t>
            </w:r>
          </w:p>
        </w:tc>
        <w:tc>
          <w:tcPr>
            <w:tcW w:w="1666" w:type="dxa"/>
            <w:tcBorders>
              <w:top w:val="nil"/>
              <w:left w:val="nil"/>
              <w:right w:val="nil"/>
            </w:tcBorders>
          </w:tcPr>
          <w:p w14:paraId="24A2ECAC"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7</w:t>
            </w:r>
            <w:r w:rsidRPr="000B6941">
              <w:rPr>
                <w:rFonts w:asciiTheme="majorHAnsi" w:hAnsiTheme="majorHAnsi" w:cstheme="majorHAnsi"/>
                <w:sz w:val="20"/>
                <w:szCs w:val="20"/>
                <w:lang w:val="en-US"/>
              </w:rPr>
              <w:t>,</w:t>
            </w:r>
            <w:r w:rsidRPr="004C00BF">
              <w:rPr>
                <w:rFonts w:asciiTheme="majorHAnsi" w:hAnsiTheme="majorHAnsi" w:cstheme="majorHAnsi"/>
                <w:sz w:val="20"/>
                <w:szCs w:val="20"/>
                <w:lang w:val="en-US"/>
              </w:rPr>
              <w:t>974</w:t>
            </w:r>
          </w:p>
        </w:tc>
        <w:tc>
          <w:tcPr>
            <w:tcW w:w="1984" w:type="dxa"/>
            <w:tcBorders>
              <w:top w:val="nil"/>
              <w:left w:val="nil"/>
              <w:right w:val="nil"/>
            </w:tcBorders>
          </w:tcPr>
          <w:p w14:paraId="195E46D2"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lang w:val="en-US"/>
              </w:rPr>
              <w:t>6</w:t>
            </w:r>
            <w:r w:rsidRPr="000B6941">
              <w:rPr>
                <w:rFonts w:asciiTheme="majorHAnsi" w:hAnsiTheme="majorHAnsi" w:cstheme="majorHAnsi"/>
                <w:sz w:val="20"/>
                <w:szCs w:val="20"/>
                <w:lang w:val="en-US"/>
              </w:rPr>
              <w:t>,</w:t>
            </w:r>
            <w:r w:rsidRPr="004C00BF">
              <w:rPr>
                <w:rFonts w:asciiTheme="majorHAnsi" w:hAnsiTheme="majorHAnsi" w:cstheme="majorHAnsi"/>
                <w:sz w:val="20"/>
                <w:szCs w:val="20"/>
                <w:lang w:val="en-US"/>
              </w:rPr>
              <w:t>654</w:t>
            </w:r>
          </w:p>
        </w:tc>
      </w:tr>
      <w:tr w:rsidR="00244248" w:rsidRPr="00DE6E2E" w14:paraId="5B188048" w14:textId="77777777" w:rsidTr="00335B25">
        <w:trPr>
          <w:trHeight w:val="457"/>
        </w:trPr>
        <w:tc>
          <w:tcPr>
            <w:tcW w:w="2977" w:type="dxa"/>
            <w:tcBorders>
              <w:left w:val="nil"/>
              <w:bottom w:val="single" w:sz="4" w:space="0" w:color="ED7D31" w:themeColor="accent2"/>
              <w:right w:val="nil"/>
            </w:tcBorders>
            <w:vAlign w:val="center"/>
          </w:tcPr>
          <w:p w14:paraId="4B109A6C"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Childbearing expectation</w:t>
            </w:r>
          </w:p>
        </w:tc>
        <w:tc>
          <w:tcPr>
            <w:tcW w:w="1531" w:type="dxa"/>
            <w:tcBorders>
              <w:left w:val="nil"/>
              <w:bottom w:val="single" w:sz="4" w:space="0" w:color="ED7D31" w:themeColor="accent2"/>
              <w:right w:val="nil"/>
            </w:tcBorders>
          </w:tcPr>
          <w:p w14:paraId="5700F707"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left w:val="nil"/>
              <w:bottom w:val="single" w:sz="4" w:space="0" w:color="ED7D31" w:themeColor="accent2"/>
              <w:right w:val="nil"/>
            </w:tcBorders>
          </w:tcPr>
          <w:p w14:paraId="5B11A08E"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left w:val="nil"/>
              <w:bottom w:val="single" w:sz="4" w:space="0" w:color="ED7D31" w:themeColor="accent2"/>
              <w:right w:val="nil"/>
            </w:tcBorders>
          </w:tcPr>
          <w:p w14:paraId="4E495FB2"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left w:val="nil"/>
              <w:bottom w:val="single" w:sz="4" w:space="0" w:color="ED7D31" w:themeColor="accent2"/>
              <w:right w:val="nil"/>
            </w:tcBorders>
          </w:tcPr>
          <w:p w14:paraId="6FE91005"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263C8B06" w14:textId="77777777" w:rsidTr="00335B25">
        <w:tc>
          <w:tcPr>
            <w:tcW w:w="2977" w:type="dxa"/>
            <w:tcBorders>
              <w:top w:val="single" w:sz="4" w:space="0" w:color="ED7D31" w:themeColor="accent2"/>
              <w:left w:val="nil"/>
              <w:bottom w:val="nil"/>
              <w:right w:val="nil"/>
            </w:tcBorders>
          </w:tcPr>
          <w:p w14:paraId="55FE3CB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bottom w:val="nil"/>
              <w:right w:val="nil"/>
            </w:tcBorders>
          </w:tcPr>
          <w:p w14:paraId="156C54A2"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0.051</w:t>
            </w:r>
          </w:p>
        </w:tc>
        <w:tc>
          <w:tcPr>
            <w:tcW w:w="1417" w:type="dxa"/>
            <w:tcBorders>
              <w:top w:val="single" w:sz="4" w:space="0" w:color="ED7D31" w:themeColor="accent2"/>
              <w:left w:val="nil"/>
              <w:bottom w:val="nil"/>
              <w:right w:val="nil"/>
            </w:tcBorders>
          </w:tcPr>
          <w:p w14:paraId="77F79301"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0.026</w:t>
            </w:r>
          </w:p>
        </w:tc>
        <w:tc>
          <w:tcPr>
            <w:tcW w:w="1666" w:type="dxa"/>
            <w:tcBorders>
              <w:top w:val="single" w:sz="4" w:space="0" w:color="ED7D31" w:themeColor="accent2"/>
              <w:left w:val="nil"/>
              <w:bottom w:val="nil"/>
              <w:right w:val="nil"/>
            </w:tcBorders>
          </w:tcPr>
          <w:p w14:paraId="6FCF8A7E"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-0.010</w:t>
            </w:r>
          </w:p>
        </w:tc>
        <w:tc>
          <w:tcPr>
            <w:tcW w:w="1984" w:type="dxa"/>
            <w:tcBorders>
              <w:top w:val="single" w:sz="4" w:space="0" w:color="ED7D31" w:themeColor="accent2"/>
              <w:left w:val="nil"/>
              <w:bottom w:val="nil"/>
              <w:right w:val="nil"/>
            </w:tcBorders>
          </w:tcPr>
          <w:p w14:paraId="0800EACE"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0.228</w:t>
            </w:r>
          </w:p>
        </w:tc>
      </w:tr>
      <w:tr w:rsidR="00244248" w:rsidRPr="00C50205" w14:paraId="530DC11B" w14:textId="77777777" w:rsidTr="00335B25">
        <w:tc>
          <w:tcPr>
            <w:tcW w:w="2977" w:type="dxa"/>
            <w:tcBorders>
              <w:top w:val="nil"/>
              <w:left w:val="nil"/>
              <w:bottom w:val="nil"/>
              <w:right w:val="nil"/>
            </w:tcBorders>
          </w:tcPr>
          <w:p w14:paraId="7BAE22C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bottom w:val="nil"/>
              <w:right w:val="nil"/>
            </w:tcBorders>
          </w:tcPr>
          <w:p w14:paraId="6278C53E"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rPr>
              <w:t>(0.168)</w:t>
            </w:r>
          </w:p>
        </w:tc>
        <w:tc>
          <w:tcPr>
            <w:tcW w:w="1417" w:type="dxa"/>
            <w:tcBorders>
              <w:top w:val="nil"/>
              <w:left w:val="nil"/>
              <w:bottom w:val="nil"/>
              <w:right w:val="nil"/>
            </w:tcBorders>
          </w:tcPr>
          <w:p w14:paraId="4E33C818"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rPr>
              <w:t>(0.170)</w:t>
            </w:r>
          </w:p>
        </w:tc>
        <w:tc>
          <w:tcPr>
            <w:tcW w:w="1666" w:type="dxa"/>
            <w:tcBorders>
              <w:top w:val="nil"/>
              <w:left w:val="nil"/>
              <w:bottom w:val="nil"/>
              <w:right w:val="nil"/>
            </w:tcBorders>
          </w:tcPr>
          <w:p w14:paraId="33902220"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rPr>
              <w:t>(0.164)</w:t>
            </w:r>
          </w:p>
        </w:tc>
        <w:tc>
          <w:tcPr>
            <w:tcW w:w="1984" w:type="dxa"/>
            <w:tcBorders>
              <w:top w:val="nil"/>
              <w:left w:val="nil"/>
              <w:bottom w:val="nil"/>
              <w:right w:val="nil"/>
            </w:tcBorders>
          </w:tcPr>
          <w:p w14:paraId="3B7A048F"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sz w:val="20"/>
                <w:szCs w:val="20"/>
              </w:rPr>
              <w:t>(0.163)</w:t>
            </w:r>
          </w:p>
        </w:tc>
      </w:tr>
      <w:tr w:rsidR="00244248" w:rsidRPr="00DE6E2E" w14:paraId="1B71C9F1" w14:textId="77777777" w:rsidTr="00335B25">
        <w:tc>
          <w:tcPr>
            <w:tcW w:w="2977" w:type="dxa"/>
            <w:tcBorders>
              <w:top w:val="nil"/>
              <w:left w:val="nil"/>
              <w:bottom w:val="nil"/>
              <w:right w:val="nil"/>
            </w:tcBorders>
          </w:tcPr>
          <w:p w14:paraId="51B61CDF"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bottom w:val="nil"/>
              <w:right w:val="nil"/>
            </w:tcBorders>
          </w:tcPr>
          <w:p w14:paraId="527E7EB6"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7</w:t>
            </w:r>
            <w:r w:rsidRPr="000B6941">
              <w:rPr>
                <w:rFonts w:asciiTheme="majorHAnsi" w:hAnsiTheme="majorHAnsi" w:cstheme="majorHAnsi"/>
                <w:sz w:val="20"/>
                <w:szCs w:val="20"/>
              </w:rPr>
              <w:t>,</w:t>
            </w:r>
            <w:r w:rsidRPr="004C00BF">
              <w:rPr>
                <w:rFonts w:asciiTheme="majorHAnsi" w:hAnsiTheme="majorHAnsi" w:cstheme="majorHAnsi"/>
                <w:sz w:val="20"/>
                <w:szCs w:val="20"/>
              </w:rPr>
              <w:t>970</w:t>
            </w:r>
          </w:p>
        </w:tc>
        <w:tc>
          <w:tcPr>
            <w:tcW w:w="1417" w:type="dxa"/>
            <w:tcBorders>
              <w:top w:val="nil"/>
              <w:left w:val="nil"/>
              <w:bottom w:val="nil"/>
              <w:right w:val="nil"/>
            </w:tcBorders>
          </w:tcPr>
          <w:p w14:paraId="59CFF4F1"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6</w:t>
            </w:r>
            <w:r w:rsidRPr="000B6941">
              <w:rPr>
                <w:rFonts w:asciiTheme="majorHAnsi" w:hAnsiTheme="majorHAnsi" w:cstheme="majorHAnsi"/>
                <w:sz w:val="20"/>
                <w:szCs w:val="20"/>
              </w:rPr>
              <w:t>,</w:t>
            </w:r>
            <w:r w:rsidRPr="004C00BF">
              <w:rPr>
                <w:rFonts w:asciiTheme="majorHAnsi" w:hAnsiTheme="majorHAnsi" w:cstheme="majorHAnsi"/>
                <w:sz w:val="20"/>
                <w:szCs w:val="20"/>
              </w:rPr>
              <w:t>649</w:t>
            </w:r>
          </w:p>
        </w:tc>
        <w:tc>
          <w:tcPr>
            <w:tcW w:w="1666" w:type="dxa"/>
            <w:tcBorders>
              <w:top w:val="nil"/>
              <w:left w:val="nil"/>
              <w:bottom w:val="nil"/>
              <w:right w:val="nil"/>
            </w:tcBorders>
          </w:tcPr>
          <w:p w14:paraId="19F49FD0"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7</w:t>
            </w:r>
            <w:r w:rsidRPr="000B6941">
              <w:rPr>
                <w:rFonts w:asciiTheme="majorHAnsi" w:hAnsiTheme="majorHAnsi" w:cstheme="majorHAnsi"/>
                <w:sz w:val="20"/>
                <w:szCs w:val="20"/>
              </w:rPr>
              <w:t>,</w:t>
            </w:r>
            <w:r w:rsidRPr="004C00BF">
              <w:rPr>
                <w:rFonts w:asciiTheme="majorHAnsi" w:hAnsiTheme="majorHAnsi" w:cstheme="majorHAnsi"/>
                <w:sz w:val="20"/>
                <w:szCs w:val="20"/>
              </w:rPr>
              <w:t>970</w:t>
            </w:r>
          </w:p>
        </w:tc>
        <w:tc>
          <w:tcPr>
            <w:tcW w:w="1984" w:type="dxa"/>
            <w:tcBorders>
              <w:top w:val="nil"/>
              <w:left w:val="nil"/>
              <w:bottom w:val="nil"/>
              <w:right w:val="nil"/>
            </w:tcBorders>
          </w:tcPr>
          <w:p w14:paraId="58A3B55E"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6</w:t>
            </w:r>
            <w:r w:rsidRPr="000B6941">
              <w:rPr>
                <w:rFonts w:asciiTheme="majorHAnsi" w:hAnsiTheme="majorHAnsi" w:cstheme="majorHAnsi"/>
                <w:sz w:val="20"/>
                <w:szCs w:val="20"/>
              </w:rPr>
              <w:t>,</w:t>
            </w:r>
            <w:r w:rsidRPr="004C00BF">
              <w:rPr>
                <w:rFonts w:asciiTheme="majorHAnsi" w:hAnsiTheme="majorHAnsi" w:cstheme="majorHAnsi"/>
                <w:sz w:val="20"/>
                <w:szCs w:val="20"/>
              </w:rPr>
              <w:t>649</w:t>
            </w:r>
          </w:p>
        </w:tc>
      </w:tr>
      <w:tr w:rsidR="00244248" w:rsidRPr="00DE6E2E" w14:paraId="69C274CA" w14:textId="77777777" w:rsidTr="00335B25">
        <w:trPr>
          <w:trHeight w:val="474"/>
        </w:trPr>
        <w:tc>
          <w:tcPr>
            <w:tcW w:w="2977" w:type="dxa"/>
            <w:tcBorders>
              <w:top w:val="nil"/>
              <w:left w:val="nil"/>
              <w:bottom w:val="single" w:sz="4" w:space="0" w:color="ED7D31" w:themeColor="accent2"/>
              <w:right w:val="nil"/>
            </w:tcBorders>
            <w:vAlign w:val="bottom"/>
          </w:tcPr>
          <w:p w14:paraId="775CE083"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Pr>
                <w:rFonts w:asciiTheme="majorHAnsi" w:hAnsiTheme="majorHAnsi" w:cstheme="majorHAnsi"/>
                <w:b/>
                <w:bCs/>
                <w:sz w:val="20"/>
                <w:szCs w:val="20"/>
              </w:rPr>
              <w:t>Additionally i</w:t>
            </w:r>
            <w:r w:rsidRPr="00DE6E2E">
              <w:rPr>
                <w:rFonts w:asciiTheme="majorHAnsi" w:hAnsiTheme="majorHAnsi" w:cstheme="majorHAnsi"/>
                <w:b/>
                <w:bCs/>
                <w:sz w:val="20"/>
                <w:szCs w:val="20"/>
              </w:rPr>
              <w:t xml:space="preserve">ntended number of children </w:t>
            </w:r>
          </w:p>
        </w:tc>
        <w:tc>
          <w:tcPr>
            <w:tcW w:w="1531" w:type="dxa"/>
            <w:tcBorders>
              <w:top w:val="nil"/>
              <w:left w:val="nil"/>
              <w:bottom w:val="single" w:sz="4" w:space="0" w:color="ED7D31" w:themeColor="accent2"/>
              <w:right w:val="nil"/>
            </w:tcBorders>
          </w:tcPr>
          <w:p w14:paraId="411E0A1C"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417" w:type="dxa"/>
            <w:tcBorders>
              <w:top w:val="nil"/>
              <w:left w:val="nil"/>
              <w:bottom w:val="single" w:sz="4" w:space="0" w:color="ED7D31" w:themeColor="accent2"/>
              <w:right w:val="nil"/>
            </w:tcBorders>
          </w:tcPr>
          <w:p w14:paraId="3876AC37"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666" w:type="dxa"/>
            <w:tcBorders>
              <w:top w:val="nil"/>
              <w:left w:val="nil"/>
              <w:bottom w:val="single" w:sz="4" w:space="0" w:color="ED7D31" w:themeColor="accent2"/>
              <w:right w:val="nil"/>
            </w:tcBorders>
          </w:tcPr>
          <w:p w14:paraId="3BB97DDE"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c>
          <w:tcPr>
            <w:tcW w:w="1984" w:type="dxa"/>
            <w:tcBorders>
              <w:top w:val="nil"/>
              <w:left w:val="nil"/>
              <w:bottom w:val="single" w:sz="4" w:space="0" w:color="ED7D31" w:themeColor="accent2"/>
              <w:right w:val="nil"/>
            </w:tcBorders>
          </w:tcPr>
          <w:p w14:paraId="561E76DA"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p>
        </w:tc>
      </w:tr>
      <w:tr w:rsidR="00244248" w:rsidRPr="00DE6E2E" w14:paraId="0228E8BC" w14:textId="77777777" w:rsidTr="00335B25">
        <w:tc>
          <w:tcPr>
            <w:tcW w:w="2977" w:type="dxa"/>
            <w:tcBorders>
              <w:top w:val="single" w:sz="4" w:space="0" w:color="ED7D31" w:themeColor="accent2"/>
              <w:left w:val="nil"/>
              <w:right w:val="nil"/>
            </w:tcBorders>
          </w:tcPr>
          <w:p w14:paraId="6407634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Coefficient</w:t>
            </w:r>
          </w:p>
        </w:tc>
        <w:tc>
          <w:tcPr>
            <w:tcW w:w="1531" w:type="dxa"/>
            <w:tcBorders>
              <w:top w:val="single" w:sz="4" w:space="0" w:color="ED7D31" w:themeColor="accent2"/>
              <w:left w:val="nil"/>
              <w:right w:val="nil"/>
            </w:tcBorders>
          </w:tcPr>
          <w:p w14:paraId="0A78FC08"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0.008</w:t>
            </w:r>
          </w:p>
        </w:tc>
        <w:tc>
          <w:tcPr>
            <w:tcW w:w="1417" w:type="dxa"/>
            <w:tcBorders>
              <w:top w:val="single" w:sz="4" w:space="0" w:color="ED7D31" w:themeColor="accent2"/>
              <w:left w:val="nil"/>
              <w:right w:val="nil"/>
            </w:tcBorders>
          </w:tcPr>
          <w:p w14:paraId="5E6972D4"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-0.018</w:t>
            </w:r>
          </w:p>
        </w:tc>
        <w:tc>
          <w:tcPr>
            <w:tcW w:w="1666" w:type="dxa"/>
            <w:tcBorders>
              <w:top w:val="single" w:sz="4" w:space="0" w:color="ED7D31" w:themeColor="accent2"/>
              <w:left w:val="nil"/>
              <w:right w:val="nil"/>
            </w:tcBorders>
          </w:tcPr>
          <w:p w14:paraId="0E672A80"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-0.027</w:t>
            </w:r>
          </w:p>
        </w:tc>
        <w:tc>
          <w:tcPr>
            <w:tcW w:w="1984" w:type="dxa"/>
            <w:tcBorders>
              <w:top w:val="single" w:sz="4" w:space="0" w:color="ED7D31" w:themeColor="accent2"/>
              <w:left w:val="nil"/>
              <w:right w:val="nil"/>
            </w:tcBorders>
          </w:tcPr>
          <w:p w14:paraId="26D6312A"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-0.011</w:t>
            </w:r>
          </w:p>
        </w:tc>
      </w:tr>
      <w:tr w:rsidR="00244248" w:rsidRPr="00C50205" w14:paraId="38386793" w14:textId="77777777" w:rsidTr="00335B25">
        <w:tc>
          <w:tcPr>
            <w:tcW w:w="2977" w:type="dxa"/>
            <w:tcBorders>
              <w:top w:val="nil"/>
              <w:left w:val="nil"/>
              <w:right w:val="nil"/>
            </w:tcBorders>
          </w:tcPr>
          <w:p w14:paraId="76752AEB"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 xml:space="preserve">Standard error </w:t>
            </w:r>
          </w:p>
        </w:tc>
        <w:tc>
          <w:tcPr>
            <w:tcW w:w="1531" w:type="dxa"/>
            <w:tcBorders>
              <w:top w:val="nil"/>
              <w:left w:val="nil"/>
              <w:right w:val="nil"/>
            </w:tcBorders>
          </w:tcPr>
          <w:p w14:paraId="07FC632D"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(0.043)</w:t>
            </w:r>
          </w:p>
        </w:tc>
        <w:tc>
          <w:tcPr>
            <w:tcW w:w="1417" w:type="dxa"/>
            <w:tcBorders>
              <w:top w:val="nil"/>
              <w:left w:val="nil"/>
              <w:right w:val="nil"/>
            </w:tcBorders>
          </w:tcPr>
          <w:p w14:paraId="78756BD1"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(0.042)</w:t>
            </w:r>
          </w:p>
        </w:tc>
        <w:tc>
          <w:tcPr>
            <w:tcW w:w="1666" w:type="dxa"/>
            <w:tcBorders>
              <w:top w:val="nil"/>
              <w:left w:val="nil"/>
              <w:right w:val="nil"/>
            </w:tcBorders>
          </w:tcPr>
          <w:p w14:paraId="4BB63327"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(0.034)</w:t>
            </w:r>
          </w:p>
        </w:tc>
        <w:tc>
          <w:tcPr>
            <w:tcW w:w="1984" w:type="dxa"/>
            <w:tcBorders>
              <w:top w:val="nil"/>
              <w:left w:val="nil"/>
              <w:right w:val="nil"/>
            </w:tcBorders>
          </w:tcPr>
          <w:p w14:paraId="27D52D52"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color w:val="808080" w:themeColor="background1" w:themeShade="80"/>
                <w:sz w:val="20"/>
                <w:szCs w:val="20"/>
              </w:rPr>
            </w:pPr>
            <w:r w:rsidRPr="004C00BF">
              <w:rPr>
                <w:rFonts w:asciiTheme="majorHAnsi" w:hAnsiTheme="majorHAnsi" w:cstheme="majorHAnsi"/>
                <w:color w:val="808080" w:themeColor="background1" w:themeShade="80"/>
                <w:sz w:val="20"/>
                <w:szCs w:val="20"/>
              </w:rPr>
              <w:t>(0.034)</w:t>
            </w:r>
          </w:p>
        </w:tc>
      </w:tr>
      <w:tr w:rsidR="00244248" w:rsidRPr="00DE6E2E" w14:paraId="007818A5" w14:textId="77777777" w:rsidTr="00335B25">
        <w:tc>
          <w:tcPr>
            <w:tcW w:w="2977" w:type="dxa"/>
            <w:tcBorders>
              <w:top w:val="nil"/>
              <w:left w:val="nil"/>
              <w:right w:val="nil"/>
            </w:tcBorders>
          </w:tcPr>
          <w:p w14:paraId="66EA4280"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Observations</w:t>
            </w:r>
          </w:p>
        </w:tc>
        <w:tc>
          <w:tcPr>
            <w:tcW w:w="1531" w:type="dxa"/>
            <w:tcBorders>
              <w:top w:val="nil"/>
              <w:left w:val="nil"/>
              <w:right w:val="nil"/>
            </w:tcBorders>
          </w:tcPr>
          <w:p w14:paraId="44060902"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5,241</w:t>
            </w:r>
          </w:p>
        </w:tc>
        <w:tc>
          <w:tcPr>
            <w:tcW w:w="1417" w:type="dxa"/>
            <w:tcBorders>
              <w:top w:val="nil"/>
              <w:left w:val="nil"/>
              <w:right w:val="nil"/>
            </w:tcBorders>
          </w:tcPr>
          <w:p w14:paraId="369469C5"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4,389</w:t>
            </w:r>
          </w:p>
        </w:tc>
        <w:tc>
          <w:tcPr>
            <w:tcW w:w="1666" w:type="dxa"/>
            <w:tcBorders>
              <w:top w:val="nil"/>
              <w:left w:val="nil"/>
              <w:right w:val="nil"/>
            </w:tcBorders>
          </w:tcPr>
          <w:p w14:paraId="76AA6E73"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5,241</w:t>
            </w:r>
          </w:p>
        </w:tc>
        <w:tc>
          <w:tcPr>
            <w:tcW w:w="1984" w:type="dxa"/>
            <w:tcBorders>
              <w:top w:val="nil"/>
              <w:left w:val="nil"/>
              <w:right w:val="nil"/>
            </w:tcBorders>
          </w:tcPr>
          <w:p w14:paraId="035C2159" w14:textId="77777777" w:rsidR="00244248" w:rsidRPr="000B6941"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4C00BF">
              <w:rPr>
                <w:rFonts w:asciiTheme="majorHAnsi" w:hAnsiTheme="majorHAnsi" w:cstheme="majorHAnsi"/>
                <w:sz w:val="20"/>
                <w:szCs w:val="20"/>
              </w:rPr>
              <w:t>4,389</w:t>
            </w:r>
          </w:p>
        </w:tc>
      </w:tr>
      <w:tr w:rsidR="00244248" w:rsidRPr="00DE6E2E" w14:paraId="1951B32A" w14:textId="77777777" w:rsidTr="00335B25">
        <w:trPr>
          <w:trHeight w:val="385"/>
        </w:trPr>
        <w:tc>
          <w:tcPr>
            <w:tcW w:w="2977" w:type="dxa"/>
            <w:tcBorders>
              <w:left w:val="nil"/>
              <w:bottom w:val="single" w:sz="4" w:space="0" w:color="ED7D31" w:themeColor="accent2"/>
              <w:right w:val="nil"/>
            </w:tcBorders>
            <w:vAlign w:val="bottom"/>
          </w:tcPr>
          <w:p w14:paraId="1A562618"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b/>
                <w:bCs/>
                <w:sz w:val="20"/>
                <w:szCs w:val="20"/>
              </w:rPr>
            </w:pPr>
            <w:r w:rsidRPr="00DE6E2E">
              <w:rPr>
                <w:rFonts w:asciiTheme="majorHAnsi" w:hAnsiTheme="majorHAnsi" w:cstheme="majorHAnsi"/>
                <w:b/>
                <w:bCs/>
                <w:sz w:val="20"/>
                <w:szCs w:val="20"/>
              </w:rPr>
              <w:t>Model specifications</w:t>
            </w:r>
          </w:p>
        </w:tc>
        <w:tc>
          <w:tcPr>
            <w:tcW w:w="1531" w:type="dxa"/>
            <w:tcBorders>
              <w:left w:val="nil"/>
              <w:bottom w:val="single" w:sz="4" w:space="0" w:color="ED7D31" w:themeColor="accent2"/>
              <w:right w:val="nil"/>
            </w:tcBorders>
          </w:tcPr>
          <w:p w14:paraId="76002A61"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417" w:type="dxa"/>
            <w:tcBorders>
              <w:left w:val="nil"/>
              <w:bottom w:val="single" w:sz="4" w:space="0" w:color="ED7D31" w:themeColor="accent2"/>
              <w:right w:val="nil"/>
            </w:tcBorders>
          </w:tcPr>
          <w:p w14:paraId="7F66B166"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666" w:type="dxa"/>
            <w:tcBorders>
              <w:left w:val="nil"/>
              <w:bottom w:val="single" w:sz="4" w:space="0" w:color="ED7D31" w:themeColor="accent2"/>
              <w:right w:val="nil"/>
            </w:tcBorders>
          </w:tcPr>
          <w:p w14:paraId="21B09CB4"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c>
          <w:tcPr>
            <w:tcW w:w="1984" w:type="dxa"/>
            <w:tcBorders>
              <w:left w:val="nil"/>
              <w:bottom w:val="single" w:sz="4" w:space="0" w:color="ED7D31" w:themeColor="accent2"/>
              <w:right w:val="nil"/>
            </w:tcBorders>
          </w:tcPr>
          <w:p w14:paraId="0F78689B" w14:textId="77777777" w:rsidR="00244248" w:rsidRPr="00EB2BD0" w:rsidRDefault="00244248" w:rsidP="00335B25">
            <w:pPr>
              <w:widowControl w:val="0"/>
              <w:autoSpaceDE w:val="0"/>
              <w:autoSpaceDN w:val="0"/>
              <w:adjustRightInd w:val="0"/>
              <w:spacing w:after="0" w:line="240" w:lineRule="auto"/>
              <w:jc w:val="center"/>
              <w:rPr>
                <w:rFonts w:asciiTheme="majorHAnsi" w:hAnsiTheme="majorHAnsi" w:cstheme="majorHAnsi"/>
                <w:b/>
                <w:bCs/>
                <w:sz w:val="20"/>
                <w:szCs w:val="20"/>
              </w:rPr>
            </w:pPr>
          </w:p>
        </w:tc>
      </w:tr>
      <w:tr w:rsidR="00244248" w:rsidRPr="00DE6E2E" w14:paraId="58B6339D" w14:textId="77777777" w:rsidTr="00335B25">
        <w:tc>
          <w:tcPr>
            <w:tcW w:w="2977" w:type="dxa"/>
            <w:tcBorders>
              <w:top w:val="single" w:sz="4" w:space="0" w:color="ED7D31" w:themeColor="accent2"/>
              <w:left w:val="nil"/>
              <w:bottom w:val="nil"/>
              <w:right w:val="nil"/>
            </w:tcBorders>
          </w:tcPr>
          <w:p w14:paraId="6E531637"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Year and State Fixed Effects</w:t>
            </w:r>
          </w:p>
        </w:tc>
        <w:tc>
          <w:tcPr>
            <w:tcW w:w="1531" w:type="dxa"/>
            <w:tcBorders>
              <w:top w:val="single" w:sz="4" w:space="0" w:color="ED7D31" w:themeColor="accent2"/>
              <w:left w:val="nil"/>
              <w:bottom w:val="nil"/>
              <w:right w:val="nil"/>
            </w:tcBorders>
          </w:tcPr>
          <w:p w14:paraId="04883285"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417" w:type="dxa"/>
            <w:tcBorders>
              <w:top w:val="single" w:sz="4" w:space="0" w:color="ED7D31" w:themeColor="accent2"/>
              <w:left w:val="nil"/>
              <w:bottom w:val="nil"/>
              <w:right w:val="nil"/>
            </w:tcBorders>
          </w:tcPr>
          <w:p w14:paraId="7806D993"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single" w:sz="4" w:space="0" w:color="ED7D31" w:themeColor="accent2"/>
              <w:left w:val="nil"/>
              <w:bottom w:val="nil"/>
              <w:right w:val="nil"/>
            </w:tcBorders>
          </w:tcPr>
          <w:p w14:paraId="39D5E49F"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single" w:sz="4" w:space="0" w:color="ED7D31" w:themeColor="accent2"/>
              <w:left w:val="nil"/>
              <w:bottom w:val="nil"/>
              <w:right w:val="nil"/>
            </w:tcBorders>
          </w:tcPr>
          <w:p w14:paraId="5DB08A4A"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7B83B01E" w14:textId="77777777" w:rsidTr="00335B25">
        <w:tc>
          <w:tcPr>
            <w:tcW w:w="2977" w:type="dxa"/>
            <w:tcBorders>
              <w:top w:val="nil"/>
              <w:left w:val="nil"/>
              <w:bottom w:val="nil"/>
              <w:right w:val="nil"/>
            </w:tcBorders>
          </w:tcPr>
          <w:p w14:paraId="60E6FC1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Time-varying Demographics</w:t>
            </w:r>
          </w:p>
        </w:tc>
        <w:tc>
          <w:tcPr>
            <w:tcW w:w="1531" w:type="dxa"/>
            <w:tcBorders>
              <w:top w:val="nil"/>
              <w:left w:val="nil"/>
              <w:bottom w:val="nil"/>
              <w:right w:val="nil"/>
            </w:tcBorders>
          </w:tcPr>
          <w:p w14:paraId="18626B22"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nil"/>
              <w:right w:val="nil"/>
            </w:tcBorders>
          </w:tcPr>
          <w:p w14:paraId="12B4AA3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bottom w:val="nil"/>
              <w:right w:val="nil"/>
            </w:tcBorders>
          </w:tcPr>
          <w:p w14:paraId="37F359B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bottom w:val="nil"/>
              <w:right w:val="nil"/>
            </w:tcBorders>
          </w:tcPr>
          <w:p w14:paraId="0DC5E234"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r w:rsidR="00244248" w:rsidRPr="00DE6E2E" w14:paraId="27A211C2" w14:textId="77777777" w:rsidTr="00335B25">
        <w:tc>
          <w:tcPr>
            <w:tcW w:w="2977" w:type="dxa"/>
            <w:tcBorders>
              <w:top w:val="nil"/>
              <w:left w:val="nil"/>
              <w:right w:val="nil"/>
            </w:tcBorders>
          </w:tcPr>
          <w:p w14:paraId="060856D4"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Time-invariant Demographics</w:t>
            </w:r>
          </w:p>
        </w:tc>
        <w:tc>
          <w:tcPr>
            <w:tcW w:w="1531" w:type="dxa"/>
            <w:tcBorders>
              <w:top w:val="nil"/>
              <w:left w:val="nil"/>
              <w:right w:val="nil"/>
            </w:tcBorders>
          </w:tcPr>
          <w:p w14:paraId="08F7B41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right w:val="nil"/>
            </w:tcBorders>
          </w:tcPr>
          <w:p w14:paraId="21C4D596"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666" w:type="dxa"/>
            <w:tcBorders>
              <w:top w:val="nil"/>
              <w:left w:val="nil"/>
              <w:right w:val="nil"/>
            </w:tcBorders>
          </w:tcPr>
          <w:p w14:paraId="17429F4E"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984" w:type="dxa"/>
            <w:tcBorders>
              <w:top w:val="nil"/>
              <w:left w:val="nil"/>
              <w:right w:val="nil"/>
            </w:tcBorders>
          </w:tcPr>
          <w:p w14:paraId="71E63592"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r>
      <w:tr w:rsidR="00244248" w:rsidRPr="00DE6E2E" w14:paraId="7B41ECB0" w14:textId="77777777" w:rsidTr="00335B25">
        <w:tc>
          <w:tcPr>
            <w:tcW w:w="2977" w:type="dxa"/>
            <w:tcBorders>
              <w:top w:val="nil"/>
              <w:left w:val="nil"/>
              <w:bottom w:val="single" w:sz="4" w:space="0" w:color="ED7D31" w:themeColor="accent2"/>
              <w:right w:val="nil"/>
            </w:tcBorders>
          </w:tcPr>
          <w:p w14:paraId="0F9012BA" w14:textId="77777777" w:rsidR="00244248" w:rsidRPr="00DE6E2E" w:rsidRDefault="00244248" w:rsidP="00335B25">
            <w:pPr>
              <w:widowControl w:val="0"/>
              <w:autoSpaceDE w:val="0"/>
              <w:autoSpaceDN w:val="0"/>
              <w:adjustRightInd w:val="0"/>
              <w:spacing w:after="0" w:line="240" w:lineRule="auto"/>
              <w:rPr>
                <w:rFonts w:asciiTheme="majorHAnsi" w:hAnsiTheme="majorHAnsi" w:cstheme="majorHAnsi"/>
                <w:sz w:val="20"/>
                <w:szCs w:val="20"/>
              </w:rPr>
            </w:pPr>
            <w:r w:rsidRPr="00DE6E2E">
              <w:rPr>
                <w:rFonts w:asciiTheme="majorHAnsi" w:hAnsiTheme="majorHAnsi" w:cstheme="majorHAnsi"/>
                <w:sz w:val="20"/>
                <w:szCs w:val="20"/>
              </w:rPr>
              <w:t>Individual Fixed Effect</w:t>
            </w:r>
          </w:p>
        </w:tc>
        <w:tc>
          <w:tcPr>
            <w:tcW w:w="1531" w:type="dxa"/>
            <w:tcBorders>
              <w:top w:val="nil"/>
              <w:left w:val="nil"/>
              <w:bottom w:val="single" w:sz="4" w:space="0" w:color="ED7D31" w:themeColor="accent2"/>
              <w:right w:val="nil"/>
            </w:tcBorders>
          </w:tcPr>
          <w:p w14:paraId="252B157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417" w:type="dxa"/>
            <w:tcBorders>
              <w:top w:val="nil"/>
              <w:left w:val="nil"/>
              <w:bottom w:val="single" w:sz="4" w:space="0" w:color="ED7D31" w:themeColor="accent2"/>
              <w:right w:val="nil"/>
            </w:tcBorders>
          </w:tcPr>
          <w:p w14:paraId="00E3D419"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No</w:t>
            </w:r>
          </w:p>
        </w:tc>
        <w:tc>
          <w:tcPr>
            <w:tcW w:w="1666" w:type="dxa"/>
            <w:tcBorders>
              <w:top w:val="nil"/>
              <w:left w:val="nil"/>
              <w:bottom w:val="single" w:sz="4" w:space="0" w:color="ED7D31" w:themeColor="accent2"/>
              <w:right w:val="nil"/>
            </w:tcBorders>
          </w:tcPr>
          <w:p w14:paraId="3F4C7057"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c>
          <w:tcPr>
            <w:tcW w:w="1984" w:type="dxa"/>
            <w:tcBorders>
              <w:top w:val="nil"/>
              <w:left w:val="nil"/>
              <w:bottom w:val="single" w:sz="4" w:space="0" w:color="ED7D31" w:themeColor="accent2"/>
              <w:right w:val="nil"/>
            </w:tcBorders>
          </w:tcPr>
          <w:p w14:paraId="727E885B" w14:textId="77777777" w:rsidR="00244248" w:rsidRPr="00DE6E2E" w:rsidRDefault="00244248" w:rsidP="00335B25">
            <w:pPr>
              <w:widowControl w:val="0"/>
              <w:autoSpaceDE w:val="0"/>
              <w:autoSpaceDN w:val="0"/>
              <w:adjustRightInd w:val="0"/>
              <w:spacing w:after="0" w:line="240" w:lineRule="auto"/>
              <w:jc w:val="center"/>
              <w:rPr>
                <w:rFonts w:asciiTheme="majorHAnsi" w:hAnsiTheme="majorHAnsi" w:cstheme="majorHAnsi"/>
                <w:sz w:val="20"/>
                <w:szCs w:val="20"/>
              </w:rPr>
            </w:pPr>
            <w:r w:rsidRPr="00DE6E2E">
              <w:rPr>
                <w:rFonts w:asciiTheme="majorHAnsi" w:hAnsiTheme="majorHAnsi" w:cstheme="majorHAnsi"/>
                <w:sz w:val="20"/>
                <w:szCs w:val="20"/>
              </w:rPr>
              <w:t>Yes</w:t>
            </w:r>
          </w:p>
        </w:tc>
      </w:tr>
    </w:tbl>
    <w:p w14:paraId="2B220FDA" w14:textId="77777777" w:rsidR="00244248" w:rsidRPr="00F62A9A" w:rsidRDefault="00244248" w:rsidP="00244248">
      <w:pPr>
        <w:rPr>
          <w:rFonts w:asciiTheme="majorHAnsi" w:hAnsiTheme="majorHAnsi" w:cstheme="majorHAnsi"/>
          <w:sz w:val="18"/>
          <w:szCs w:val="18"/>
          <w:lang w:val="en-US"/>
        </w:rPr>
      </w:pPr>
      <w:r w:rsidRPr="00F62A9A">
        <w:rPr>
          <w:rFonts w:asciiTheme="majorHAnsi" w:hAnsiTheme="majorHAnsi" w:cstheme="majorHAnsi"/>
          <w:sz w:val="18"/>
          <w:szCs w:val="18"/>
          <w:lang w:val="en-US"/>
        </w:rPr>
        <w:t xml:space="preserve"> </w:t>
      </w:r>
      <w:r w:rsidRPr="00F62A9A">
        <w:rPr>
          <w:rFonts w:asciiTheme="majorHAnsi" w:eastAsiaTheme="minorEastAsia" w:hAnsiTheme="majorHAnsi" w:cstheme="majorHAnsi"/>
          <w:sz w:val="18"/>
          <w:szCs w:val="18"/>
          <w:lang w:val="en-US" w:eastAsia="en-AU"/>
        </w:rPr>
        <w:t>* p&lt;0.1, ** p&lt;0.05, *** p&lt;0.01</w:t>
      </w:r>
    </w:p>
    <w:p w14:paraId="54C6F809" w14:textId="77777777" w:rsidR="00244248" w:rsidRDefault="00244248" w:rsidP="00244248">
      <w:pPr>
        <w:rPr>
          <w:lang w:val="en-US"/>
        </w:rPr>
      </w:pPr>
    </w:p>
    <w:p w14:paraId="702642F0" w14:textId="77777777" w:rsidR="00244248" w:rsidRDefault="00244248" w:rsidP="00244248">
      <w:pPr>
        <w:rPr>
          <w:lang w:val="en-US"/>
        </w:rPr>
        <w:sectPr w:rsidR="00244248" w:rsidSect="00335B25">
          <w:pgSz w:w="11906" w:h="16838"/>
          <w:pgMar w:top="1276" w:right="1440" w:bottom="1440" w:left="1440" w:header="708" w:footer="708" w:gutter="0"/>
          <w:cols w:space="708"/>
          <w:docGrid w:linePitch="360"/>
        </w:sectPr>
      </w:pPr>
    </w:p>
    <w:p w14:paraId="27833429" w14:textId="602056A2" w:rsidR="00CD7C71" w:rsidRPr="00244248" w:rsidRDefault="00CD7C71" w:rsidP="00CD7C71">
      <w:pPr>
        <w:rPr>
          <w:rFonts w:asciiTheme="majorHAnsi" w:hAnsiTheme="majorHAnsi" w:cstheme="majorHAnsi"/>
          <w:color w:val="1F4E79" w:themeColor="accent1" w:themeShade="80"/>
          <w:sz w:val="26"/>
          <w:szCs w:val="26"/>
          <w:lang w:val="en-US"/>
        </w:rPr>
      </w:pPr>
      <w:r>
        <w:rPr>
          <w:rFonts w:asciiTheme="majorHAnsi" w:hAnsiTheme="majorHAnsi" w:cstheme="majorHAnsi"/>
          <w:color w:val="1F4E79" w:themeColor="accent1" w:themeShade="80"/>
          <w:sz w:val="26"/>
          <w:szCs w:val="26"/>
          <w:lang w:val="en-US"/>
        </w:rPr>
        <w:lastRenderedPageBreak/>
        <w:t>Determinants of childbearing intentions—alternative models</w:t>
      </w:r>
    </w:p>
    <w:p w14:paraId="06E2F0F2" w14:textId="77777777" w:rsidR="00244248" w:rsidRDefault="00244248" w:rsidP="00244248"/>
    <w:p w14:paraId="4B421BDA" w14:textId="32790CA0" w:rsidR="00244248" w:rsidRDefault="00244248" w:rsidP="00244248">
      <w:pPr>
        <w:pStyle w:val="Caption"/>
        <w:keepNext/>
      </w:pPr>
      <w:bookmarkStart w:id="260" w:name="_Ref84939265"/>
      <w:r>
        <w:t xml:space="preserve">Table </w:t>
      </w:r>
      <w:fldSimple w:instr=" SEQ Table \* ARABIC ">
        <w:r w:rsidR="00115E22">
          <w:rPr>
            <w:noProof/>
          </w:rPr>
          <w:t>56</w:t>
        </w:r>
      </w:fldSimple>
      <w:bookmarkEnd w:id="254"/>
      <w:bookmarkEnd w:id="260"/>
      <w:r>
        <w:t xml:space="preserve"> Childbearing desires, by parity fixed effects</w:t>
      </w:r>
    </w:p>
    <w:tbl>
      <w:tblPr>
        <w:tblW w:w="11905" w:type="dxa"/>
        <w:tblLook w:val="04A0" w:firstRow="1" w:lastRow="0" w:firstColumn="1" w:lastColumn="0" w:noHBand="0" w:noVBand="1"/>
      </w:tblPr>
      <w:tblGrid>
        <w:gridCol w:w="3837"/>
        <w:gridCol w:w="1276"/>
        <w:gridCol w:w="840"/>
        <w:gridCol w:w="1135"/>
        <w:gridCol w:w="952"/>
        <w:gridCol w:w="7"/>
        <w:gridCol w:w="970"/>
        <w:gridCol w:w="952"/>
        <w:gridCol w:w="7"/>
        <w:gridCol w:w="970"/>
        <w:gridCol w:w="952"/>
        <w:gridCol w:w="7"/>
      </w:tblGrid>
      <w:tr w:rsidR="00244248" w:rsidRPr="008D4339" w14:paraId="61C28939" w14:textId="77777777" w:rsidTr="00335B25">
        <w:trPr>
          <w:gridAfter w:val="1"/>
          <w:wAfter w:w="7" w:type="dxa"/>
          <w:trHeight w:val="255"/>
        </w:trPr>
        <w:tc>
          <w:tcPr>
            <w:tcW w:w="3837" w:type="dxa"/>
            <w:tcBorders>
              <w:top w:val="nil"/>
              <w:left w:val="nil"/>
              <w:bottom w:val="nil"/>
              <w:right w:val="nil"/>
            </w:tcBorders>
            <w:shd w:val="clear" w:color="000000" w:fill="FBE4D5"/>
            <w:vAlign w:val="center"/>
            <w:hideMark/>
          </w:tcPr>
          <w:p w14:paraId="42334CE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w:t>
            </w:r>
          </w:p>
        </w:tc>
        <w:tc>
          <w:tcPr>
            <w:tcW w:w="2116" w:type="dxa"/>
            <w:gridSpan w:val="2"/>
            <w:tcBorders>
              <w:top w:val="nil"/>
              <w:left w:val="nil"/>
              <w:bottom w:val="nil"/>
              <w:right w:val="nil"/>
            </w:tcBorders>
            <w:shd w:val="clear" w:color="000000" w:fill="FBE4D5"/>
            <w:vAlign w:val="center"/>
            <w:hideMark/>
          </w:tcPr>
          <w:p w14:paraId="451A9B3A" w14:textId="77777777" w:rsidR="00244248" w:rsidRPr="008D4339" w:rsidRDefault="00244248" w:rsidP="00335B25">
            <w:pPr>
              <w:spacing w:after="0" w:line="240" w:lineRule="auto"/>
              <w:jc w:val="center"/>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Full sample</w:t>
            </w:r>
          </w:p>
        </w:tc>
        <w:tc>
          <w:tcPr>
            <w:tcW w:w="2087" w:type="dxa"/>
            <w:gridSpan w:val="2"/>
            <w:tcBorders>
              <w:top w:val="nil"/>
              <w:left w:val="nil"/>
              <w:bottom w:val="nil"/>
              <w:right w:val="nil"/>
            </w:tcBorders>
            <w:shd w:val="clear" w:color="000000" w:fill="FBE4D5"/>
            <w:vAlign w:val="center"/>
            <w:hideMark/>
          </w:tcPr>
          <w:p w14:paraId="28C1E154" w14:textId="77777777" w:rsidR="00244248" w:rsidRPr="008D4339" w:rsidRDefault="00244248" w:rsidP="00335B25">
            <w:pPr>
              <w:spacing w:after="0" w:line="240" w:lineRule="auto"/>
              <w:jc w:val="center"/>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Parity 0 </w:t>
            </w:r>
          </w:p>
        </w:tc>
        <w:tc>
          <w:tcPr>
            <w:tcW w:w="1929" w:type="dxa"/>
            <w:gridSpan w:val="3"/>
            <w:tcBorders>
              <w:top w:val="nil"/>
              <w:left w:val="nil"/>
              <w:bottom w:val="nil"/>
              <w:right w:val="nil"/>
            </w:tcBorders>
            <w:shd w:val="clear" w:color="000000" w:fill="FBE4D5"/>
            <w:vAlign w:val="center"/>
            <w:hideMark/>
          </w:tcPr>
          <w:p w14:paraId="30EE2484" w14:textId="77777777" w:rsidR="00244248" w:rsidRPr="008D4339" w:rsidRDefault="00244248" w:rsidP="00335B25">
            <w:pPr>
              <w:spacing w:after="0" w:line="240" w:lineRule="auto"/>
              <w:jc w:val="center"/>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Parity 1</w:t>
            </w:r>
          </w:p>
        </w:tc>
        <w:tc>
          <w:tcPr>
            <w:tcW w:w="1929" w:type="dxa"/>
            <w:gridSpan w:val="3"/>
            <w:tcBorders>
              <w:top w:val="nil"/>
              <w:left w:val="nil"/>
              <w:bottom w:val="nil"/>
              <w:right w:val="nil"/>
            </w:tcBorders>
            <w:shd w:val="clear" w:color="000000" w:fill="FBE4D5"/>
            <w:vAlign w:val="center"/>
            <w:hideMark/>
          </w:tcPr>
          <w:p w14:paraId="3AFB9CFE" w14:textId="77777777" w:rsidR="00244248" w:rsidRPr="008D4339" w:rsidRDefault="00244248" w:rsidP="00335B25">
            <w:pPr>
              <w:spacing w:after="0" w:line="240" w:lineRule="auto"/>
              <w:jc w:val="center"/>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Parity 2</w:t>
            </w:r>
          </w:p>
        </w:tc>
      </w:tr>
      <w:tr w:rsidR="00244248" w:rsidRPr="008D4339" w14:paraId="0150E402" w14:textId="77777777" w:rsidTr="00335B25">
        <w:trPr>
          <w:trHeight w:val="255"/>
        </w:trPr>
        <w:tc>
          <w:tcPr>
            <w:tcW w:w="3837" w:type="dxa"/>
            <w:tcBorders>
              <w:top w:val="nil"/>
              <w:left w:val="nil"/>
              <w:bottom w:val="single" w:sz="4" w:space="0" w:color="ED7D31"/>
              <w:right w:val="nil"/>
            </w:tcBorders>
            <w:shd w:val="clear" w:color="000000" w:fill="FBE4D5"/>
            <w:vAlign w:val="center"/>
            <w:hideMark/>
          </w:tcPr>
          <w:p w14:paraId="7F173E7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w:t>
            </w:r>
          </w:p>
        </w:tc>
        <w:tc>
          <w:tcPr>
            <w:tcW w:w="1276" w:type="dxa"/>
            <w:tcBorders>
              <w:top w:val="nil"/>
              <w:left w:val="nil"/>
              <w:bottom w:val="single" w:sz="4" w:space="0" w:color="ED7D31"/>
              <w:right w:val="nil"/>
            </w:tcBorders>
            <w:shd w:val="clear" w:color="000000" w:fill="FBE4D5"/>
            <w:vAlign w:val="center"/>
            <w:hideMark/>
          </w:tcPr>
          <w:p w14:paraId="39C3AD7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840" w:type="dxa"/>
            <w:tcBorders>
              <w:top w:val="nil"/>
              <w:left w:val="nil"/>
              <w:bottom w:val="single" w:sz="4" w:space="0" w:color="ED7D31"/>
              <w:right w:val="nil"/>
            </w:tcBorders>
            <w:shd w:val="clear" w:color="000000" w:fill="FBE4D5"/>
            <w:vAlign w:val="center"/>
            <w:hideMark/>
          </w:tcPr>
          <w:p w14:paraId="22E1EF5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c>
          <w:tcPr>
            <w:tcW w:w="1135" w:type="dxa"/>
            <w:tcBorders>
              <w:top w:val="nil"/>
              <w:left w:val="nil"/>
              <w:bottom w:val="single" w:sz="4" w:space="0" w:color="ED7D31"/>
              <w:right w:val="nil"/>
            </w:tcBorders>
            <w:shd w:val="clear" w:color="000000" w:fill="FBE4D5"/>
            <w:vAlign w:val="center"/>
            <w:hideMark/>
          </w:tcPr>
          <w:p w14:paraId="50A8B3C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959" w:type="dxa"/>
            <w:gridSpan w:val="2"/>
            <w:tcBorders>
              <w:top w:val="nil"/>
              <w:left w:val="nil"/>
              <w:bottom w:val="single" w:sz="4" w:space="0" w:color="ED7D31"/>
              <w:right w:val="nil"/>
            </w:tcBorders>
            <w:shd w:val="clear" w:color="000000" w:fill="FBE4D5"/>
            <w:vAlign w:val="center"/>
            <w:hideMark/>
          </w:tcPr>
          <w:p w14:paraId="7305AFD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c>
          <w:tcPr>
            <w:tcW w:w="970" w:type="dxa"/>
            <w:tcBorders>
              <w:top w:val="nil"/>
              <w:left w:val="nil"/>
              <w:bottom w:val="single" w:sz="4" w:space="0" w:color="ED7D31"/>
              <w:right w:val="nil"/>
            </w:tcBorders>
            <w:shd w:val="clear" w:color="000000" w:fill="FBE4D5"/>
            <w:vAlign w:val="center"/>
            <w:hideMark/>
          </w:tcPr>
          <w:p w14:paraId="3C3776B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959" w:type="dxa"/>
            <w:gridSpan w:val="2"/>
            <w:tcBorders>
              <w:top w:val="nil"/>
              <w:left w:val="nil"/>
              <w:bottom w:val="single" w:sz="4" w:space="0" w:color="ED7D31"/>
              <w:right w:val="nil"/>
            </w:tcBorders>
            <w:shd w:val="clear" w:color="000000" w:fill="FBE4D5"/>
            <w:vAlign w:val="center"/>
            <w:hideMark/>
          </w:tcPr>
          <w:p w14:paraId="36D2198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c>
          <w:tcPr>
            <w:tcW w:w="970" w:type="dxa"/>
            <w:tcBorders>
              <w:top w:val="nil"/>
              <w:left w:val="nil"/>
              <w:bottom w:val="single" w:sz="4" w:space="0" w:color="ED7D31"/>
              <w:right w:val="nil"/>
            </w:tcBorders>
            <w:shd w:val="clear" w:color="000000" w:fill="FBE4D5"/>
            <w:vAlign w:val="center"/>
            <w:hideMark/>
          </w:tcPr>
          <w:p w14:paraId="352A4216"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Coef. </w:t>
            </w:r>
          </w:p>
        </w:tc>
        <w:tc>
          <w:tcPr>
            <w:tcW w:w="959" w:type="dxa"/>
            <w:gridSpan w:val="2"/>
            <w:tcBorders>
              <w:top w:val="nil"/>
              <w:left w:val="nil"/>
              <w:bottom w:val="single" w:sz="4" w:space="0" w:color="ED7D31"/>
              <w:right w:val="nil"/>
            </w:tcBorders>
            <w:shd w:val="clear" w:color="000000" w:fill="FBE4D5"/>
            <w:vAlign w:val="center"/>
            <w:hideMark/>
          </w:tcPr>
          <w:p w14:paraId="31360B0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Se</w:t>
            </w:r>
          </w:p>
        </w:tc>
      </w:tr>
      <w:tr w:rsidR="00244248" w:rsidRPr="008D4339" w14:paraId="659BADC8" w14:textId="77777777" w:rsidTr="00335B25">
        <w:trPr>
          <w:trHeight w:val="255"/>
        </w:trPr>
        <w:tc>
          <w:tcPr>
            <w:tcW w:w="3837" w:type="dxa"/>
            <w:tcBorders>
              <w:top w:val="nil"/>
              <w:left w:val="nil"/>
              <w:bottom w:val="nil"/>
              <w:right w:val="nil"/>
            </w:tcBorders>
            <w:shd w:val="clear" w:color="auto" w:fill="auto"/>
            <w:vAlign w:val="center"/>
            <w:hideMark/>
          </w:tcPr>
          <w:p w14:paraId="1747CE83"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Number of children </w:t>
            </w:r>
            <w:r w:rsidRPr="008D4339">
              <w:rPr>
                <w:rFonts w:ascii="Calibri Light" w:eastAsia="Times New Roman" w:hAnsi="Calibri Light" w:cs="Calibri Light"/>
                <w:color w:val="000000"/>
                <w:sz w:val="20"/>
                <w:szCs w:val="20"/>
                <w:lang w:eastAsia="en-AU"/>
              </w:rPr>
              <w:t>(ref: childless)</w:t>
            </w:r>
          </w:p>
        </w:tc>
        <w:tc>
          <w:tcPr>
            <w:tcW w:w="1276" w:type="dxa"/>
            <w:tcBorders>
              <w:top w:val="nil"/>
              <w:left w:val="nil"/>
              <w:bottom w:val="nil"/>
              <w:right w:val="nil"/>
            </w:tcBorders>
            <w:shd w:val="clear" w:color="auto" w:fill="auto"/>
            <w:vAlign w:val="center"/>
            <w:hideMark/>
          </w:tcPr>
          <w:p w14:paraId="38CA2A65"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3EC92983"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464A6D64"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30537743"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0D130854"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2E3340D4"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7F4AD55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74E739A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32FF161B" w14:textId="77777777" w:rsidTr="00335B25">
        <w:trPr>
          <w:trHeight w:val="255"/>
        </w:trPr>
        <w:tc>
          <w:tcPr>
            <w:tcW w:w="3837" w:type="dxa"/>
            <w:tcBorders>
              <w:top w:val="nil"/>
              <w:left w:val="nil"/>
              <w:bottom w:val="nil"/>
              <w:right w:val="nil"/>
            </w:tcBorders>
            <w:shd w:val="clear" w:color="auto" w:fill="auto"/>
            <w:vAlign w:val="center"/>
            <w:hideMark/>
          </w:tcPr>
          <w:p w14:paraId="2066C41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 child</w:t>
            </w:r>
          </w:p>
        </w:tc>
        <w:tc>
          <w:tcPr>
            <w:tcW w:w="1276" w:type="dxa"/>
            <w:tcBorders>
              <w:top w:val="nil"/>
              <w:left w:val="nil"/>
              <w:bottom w:val="nil"/>
              <w:right w:val="nil"/>
            </w:tcBorders>
            <w:shd w:val="clear" w:color="auto" w:fill="auto"/>
            <w:vAlign w:val="center"/>
            <w:hideMark/>
          </w:tcPr>
          <w:p w14:paraId="217CCE6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-0.766***</w:t>
            </w:r>
          </w:p>
        </w:tc>
        <w:tc>
          <w:tcPr>
            <w:tcW w:w="840" w:type="dxa"/>
            <w:tcBorders>
              <w:top w:val="nil"/>
              <w:left w:val="nil"/>
              <w:bottom w:val="nil"/>
              <w:right w:val="nil"/>
            </w:tcBorders>
            <w:shd w:val="clear" w:color="auto" w:fill="auto"/>
            <w:vAlign w:val="center"/>
            <w:hideMark/>
          </w:tcPr>
          <w:p w14:paraId="4C06A2B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(0.076)</w:t>
            </w:r>
          </w:p>
        </w:tc>
        <w:tc>
          <w:tcPr>
            <w:tcW w:w="1135" w:type="dxa"/>
            <w:tcBorders>
              <w:top w:val="nil"/>
              <w:left w:val="nil"/>
              <w:bottom w:val="nil"/>
              <w:right w:val="nil"/>
            </w:tcBorders>
            <w:shd w:val="clear" w:color="auto" w:fill="auto"/>
            <w:vAlign w:val="center"/>
            <w:hideMark/>
          </w:tcPr>
          <w:p w14:paraId="359D8F9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gridSpan w:val="2"/>
            <w:tcBorders>
              <w:top w:val="nil"/>
              <w:left w:val="nil"/>
              <w:bottom w:val="nil"/>
              <w:right w:val="nil"/>
            </w:tcBorders>
            <w:shd w:val="clear" w:color="auto" w:fill="auto"/>
            <w:vAlign w:val="center"/>
            <w:hideMark/>
          </w:tcPr>
          <w:p w14:paraId="789A5B6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54B1B6E4"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40C22A7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73E3BE5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030A08C5"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616B743B" w14:textId="77777777" w:rsidTr="00335B25">
        <w:trPr>
          <w:trHeight w:val="255"/>
        </w:trPr>
        <w:tc>
          <w:tcPr>
            <w:tcW w:w="3837" w:type="dxa"/>
            <w:tcBorders>
              <w:top w:val="nil"/>
              <w:left w:val="nil"/>
              <w:bottom w:val="nil"/>
              <w:right w:val="nil"/>
            </w:tcBorders>
            <w:shd w:val="clear" w:color="auto" w:fill="auto"/>
            <w:vAlign w:val="center"/>
            <w:hideMark/>
          </w:tcPr>
          <w:p w14:paraId="7EFFC78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2 children</w:t>
            </w:r>
          </w:p>
        </w:tc>
        <w:tc>
          <w:tcPr>
            <w:tcW w:w="1276" w:type="dxa"/>
            <w:tcBorders>
              <w:top w:val="nil"/>
              <w:left w:val="nil"/>
              <w:bottom w:val="nil"/>
              <w:right w:val="nil"/>
            </w:tcBorders>
            <w:shd w:val="clear" w:color="auto" w:fill="auto"/>
            <w:vAlign w:val="center"/>
            <w:hideMark/>
          </w:tcPr>
          <w:p w14:paraId="3597507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-4.444***</w:t>
            </w:r>
          </w:p>
        </w:tc>
        <w:tc>
          <w:tcPr>
            <w:tcW w:w="840" w:type="dxa"/>
            <w:tcBorders>
              <w:top w:val="nil"/>
              <w:left w:val="nil"/>
              <w:bottom w:val="nil"/>
              <w:right w:val="nil"/>
            </w:tcBorders>
            <w:shd w:val="clear" w:color="auto" w:fill="auto"/>
            <w:vAlign w:val="center"/>
            <w:hideMark/>
          </w:tcPr>
          <w:p w14:paraId="08F733A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(0.105)</w:t>
            </w:r>
          </w:p>
        </w:tc>
        <w:tc>
          <w:tcPr>
            <w:tcW w:w="1135" w:type="dxa"/>
            <w:tcBorders>
              <w:top w:val="nil"/>
              <w:left w:val="nil"/>
              <w:bottom w:val="nil"/>
              <w:right w:val="nil"/>
            </w:tcBorders>
            <w:shd w:val="clear" w:color="auto" w:fill="auto"/>
            <w:vAlign w:val="center"/>
            <w:hideMark/>
          </w:tcPr>
          <w:p w14:paraId="0E859DF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gridSpan w:val="2"/>
            <w:tcBorders>
              <w:top w:val="nil"/>
              <w:left w:val="nil"/>
              <w:bottom w:val="nil"/>
              <w:right w:val="nil"/>
            </w:tcBorders>
            <w:shd w:val="clear" w:color="auto" w:fill="auto"/>
            <w:vAlign w:val="center"/>
            <w:hideMark/>
          </w:tcPr>
          <w:p w14:paraId="370A79E1"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27F28275"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1D83948E"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5BE6BB1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3DA4415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7D35D9DF" w14:textId="77777777" w:rsidTr="00335B25">
        <w:trPr>
          <w:trHeight w:val="255"/>
        </w:trPr>
        <w:tc>
          <w:tcPr>
            <w:tcW w:w="3837" w:type="dxa"/>
            <w:tcBorders>
              <w:top w:val="nil"/>
              <w:left w:val="nil"/>
              <w:bottom w:val="single" w:sz="4" w:space="0" w:color="ED7D31"/>
              <w:right w:val="nil"/>
            </w:tcBorders>
            <w:shd w:val="clear" w:color="auto" w:fill="auto"/>
            <w:vAlign w:val="center"/>
            <w:hideMark/>
          </w:tcPr>
          <w:p w14:paraId="7256DC2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 children</w:t>
            </w:r>
          </w:p>
        </w:tc>
        <w:tc>
          <w:tcPr>
            <w:tcW w:w="1276" w:type="dxa"/>
            <w:tcBorders>
              <w:top w:val="nil"/>
              <w:left w:val="nil"/>
              <w:bottom w:val="single" w:sz="8" w:space="0" w:color="ED7D31"/>
              <w:right w:val="nil"/>
            </w:tcBorders>
            <w:shd w:val="clear" w:color="auto" w:fill="auto"/>
            <w:vAlign w:val="center"/>
            <w:hideMark/>
          </w:tcPr>
          <w:p w14:paraId="0949243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-6.854***</w:t>
            </w:r>
          </w:p>
        </w:tc>
        <w:tc>
          <w:tcPr>
            <w:tcW w:w="840" w:type="dxa"/>
            <w:tcBorders>
              <w:top w:val="nil"/>
              <w:left w:val="nil"/>
              <w:bottom w:val="single" w:sz="8" w:space="0" w:color="ED7D31"/>
              <w:right w:val="nil"/>
            </w:tcBorders>
            <w:shd w:val="clear" w:color="auto" w:fill="auto"/>
            <w:vAlign w:val="center"/>
            <w:hideMark/>
          </w:tcPr>
          <w:p w14:paraId="55FEBCE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(0.144)</w:t>
            </w:r>
          </w:p>
        </w:tc>
        <w:tc>
          <w:tcPr>
            <w:tcW w:w="1135" w:type="dxa"/>
            <w:tcBorders>
              <w:top w:val="nil"/>
              <w:left w:val="nil"/>
              <w:bottom w:val="single" w:sz="8" w:space="0" w:color="ED7D31"/>
              <w:right w:val="nil"/>
            </w:tcBorders>
            <w:shd w:val="clear" w:color="auto" w:fill="auto"/>
            <w:vAlign w:val="center"/>
            <w:hideMark/>
          </w:tcPr>
          <w:p w14:paraId="28A2A85D" w14:textId="77777777" w:rsidR="00244248" w:rsidRPr="008D4339" w:rsidRDefault="00244248" w:rsidP="00335B25">
            <w:pPr>
              <w:spacing w:after="0" w:line="240" w:lineRule="auto"/>
              <w:rPr>
                <w:rFonts w:ascii="Calibri" w:eastAsia="Times New Roman" w:hAnsi="Calibri" w:cs="Calibri"/>
                <w:color w:val="000000"/>
                <w:lang w:eastAsia="en-AU"/>
              </w:rPr>
            </w:pPr>
            <w:r w:rsidRPr="008D4339">
              <w:rPr>
                <w:rFonts w:ascii="Calibri" w:eastAsia="Times New Roman" w:hAnsi="Calibri" w:cs="Calibri"/>
                <w:color w:val="000000"/>
                <w:lang w:eastAsia="en-AU"/>
              </w:rPr>
              <w:t> </w:t>
            </w:r>
          </w:p>
        </w:tc>
        <w:tc>
          <w:tcPr>
            <w:tcW w:w="959" w:type="dxa"/>
            <w:gridSpan w:val="2"/>
            <w:tcBorders>
              <w:top w:val="nil"/>
              <w:left w:val="nil"/>
              <w:bottom w:val="single" w:sz="8" w:space="0" w:color="ED7D31"/>
              <w:right w:val="nil"/>
            </w:tcBorders>
            <w:shd w:val="clear" w:color="auto" w:fill="auto"/>
            <w:vAlign w:val="center"/>
            <w:hideMark/>
          </w:tcPr>
          <w:p w14:paraId="0321D094" w14:textId="77777777" w:rsidR="00244248" w:rsidRPr="008D4339" w:rsidRDefault="00244248" w:rsidP="00335B25">
            <w:pPr>
              <w:spacing w:after="0" w:line="240" w:lineRule="auto"/>
              <w:rPr>
                <w:rFonts w:ascii="Calibri" w:eastAsia="Times New Roman" w:hAnsi="Calibri" w:cs="Calibri"/>
                <w:color w:val="808080"/>
                <w:lang w:eastAsia="en-AU"/>
              </w:rPr>
            </w:pPr>
            <w:r w:rsidRPr="008D4339">
              <w:rPr>
                <w:rFonts w:ascii="Calibri" w:eastAsia="Times New Roman" w:hAnsi="Calibri" w:cs="Calibri"/>
                <w:color w:val="808080"/>
                <w:lang w:eastAsia="en-AU"/>
              </w:rPr>
              <w:t> </w:t>
            </w:r>
          </w:p>
        </w:tc>
        <w:tc>
          <w:tcPr>
            <w:tcW w:w="970" w:type="dxa"/>
            <w:tcBorders>
              <w:top w:val="nil"/>
              <w:left w:val="nil"/>
              <w:bottom w:val="single" w:sz="8" w:space="0" w:color="ED7D31"/>
              <w:right w:val="nil"/>
            </w:tcBorders>
            <w:shd w:val="clear" w:color="auto" w:fill="auto"/>
            <w:vAlign w:val="center"/>
            <w:hideMark/>
          </w:tcPr>
          <w:p w14:paraId="434B7A9C" w14:textId="77777777" w:rsidR="00244248" w:rsidRPr="008D4339" w:rsidRDefault="00244248" w:rsidP="00335B25">
            <w:pPr>
              <w:spacing w:after="0" w:line="240" w:lineRule="auto"/>
              <w:rPr>
                <w:rFonts w:ascii="Calibri" w:eastAsia="Times New Roman" w:hAnsi="Calibri" w:cs="Calibri"/>
                <w:color w:val="000000"/>
                <w:lang w:eastAsia="en-AU"/>
              </w:rPr>
            </w:pPr>
            <w:r w:rsidRPr="008D4339">
              <w:rPr>
                <w:rFonts w:ascii="Calibri" w:eastAsia="Times New Roman" w:hAnsi="Calibri" w:cs="Calibri"/>
                <w:color w:val="000000"/>
                <w:lang w:eastAsia="en-AU"/>
              </w:rPr>
              <w:t> </w:t>
            </w:r>
          </w:p>
        </w:tc>
        <w:tc>
          <w:tcPr>
            <w:tcW w:w="959" w:type="dxa"/>
            <w:gridSpan w:val="2"/>
            <w:tcBorders>
              <w:top w:val="nil"/>
              <w:left w:val="nil"/>
              <w:bottom w:val="single" w:sz="8" w:space="0" w:color="ED7D31"/>
              <w:right w:val="nil"/>
            </w:tcBorders>
            <w:shd w:val="clear" w:color="auto" w:fill="auto"/>
            <w:vAlign w:val="center"/>
            <w:hideMark/>
          </w:tcPr>
          <w:p w14:paraId="41AB7908" w14:textId="77777777" w:rsidR="00244248" w:rsidRPr="008D4339" w:rsidRDefault="00244248" w:rsidP="00335B25">
            <w:pPr>
              <w:spacing w:after="0" w:line="240" w:lineRule="auto"/>
              <w:rPr>
                <w:rFonts w:ascii="Calibri" w:eastAsia="Times New Roman" w:hAnsi="Calibri" w:cs="Calibri"/>
                <w:color w:val="808080"/>
                <w:lang w:eastAsia="en-AU"/>
              </w:rPr>
            </w:pPr>
            <w:r w:rsidRPr="008D4339">
              <w:rPr>
                <w:rFonts w:ascii="Calibri" w:eastAsia="Times New Roman" w:hAnsi="Calibri" w:cs="Calibri"/>
                <w:color w:val="808080"/>
                <w:lang w:eastAsia="en-AU"/>
              </w:rPr>
              <w:t> </w:t>
            </w:r>
          </w:p>
        </w:tc>
        <w:tc>
          <w:tcPr>
            <w:tcW w:w="970" w:type="dxa"/>
            <w:tcBorders>
              <w:top w:val="nil"/>
              <w:left w:val="nil"/>
              <w:bottom w:val="single" w:sz="8" w:space="0" w:color="ED7D31"/>
              <w:right w:val="nil"/>
            </w:tcBorders>
            <w:shd w:val="clear" w:color="auto" w:fill="auto"/>
            <w:vAlign w:val="center"/>
            <w:hideMark/>
          </w:tcPr>
          <w:p w14:paraId="6A4F07E3" w14:textId="77777777" w:rsidR="00244248" w:rsidRPr="008D4339" w:rsidRDefault="00244248" w:rsidP="00335B25">
            <w:pPr>
              <w:spacing w:after="0" w:line="240" w:lineRule="auto"/>
              <w:rPr>
                <w:rFonts w:ascii="Calibri" w:eastAsia="Times New Roman" w:hAnsi="Calibri" w:cs="Calibri"/>
                <w:color w:val="000000"/>
                <w:lang w:eastAsia="en-AU"/>
              </w:rPr>
            </w:pPr>
            <w:r w:rsidRPr="008D4339">
              <w:rPr>
                <w:rFonts w:ascii="Calibri" w:eastAsia="Times New Roman" w:hAnsi="Calibri" w:cs="Calibri"/>
                <w:color w:val="000000"/>
                <w:lang w:eastAsia="en-AU"/>
              </w:rPr>
              <w:t> </w:t>
            </w:r>
          </w:p>
        </w:tc>
        <w:tc>
          <w:tcPr>
            <w:tcW w:w="959" w:type="dxa"/>
            <w:gridSpan w:val="2"/>
            <w:tcBorders>
              <w:top w:val="nil"/>
              <w:left w:val="nil"/>
              <w:bottom w:val="single" w:sz="8" w:space="0" w:color="ED7D31"/>
              <w:right w:val="nil"/>
            </w:tcBorders>
            <w:shd w:val="clear" w:color="auto" w:fill="auto"/>
            <w:vAlign w:val="center"/>
            <w:hideMark/>
          </w:tcPr>
          <w:p w14:paraId="74EE8373" w14:textId="77777777" w:rsidR="00244248" w:rsidRPr="008D4339" w:rsidRDefault="00244248" w:rsidP="00335B25">
            <w:pPr>
              <w:spacing w:after="0" w:line="240" w:lineRule="auto"/>
              <w:rPr>
                <w:rFonts w:ascii="Calibri" w:eastAsia="Times New Roman" w:hAnsi="Calibri" w:cs="Calibri"/>
                <w:color w:val="808080"/>
                <w:lang w:eastAsia="en-AU"/>
              </w:rPr>
            </w:pPr>
            <w:r w:rsidRPr="008D4339">
              <w:rPr>
                <w:rFonts w:ascii="Calibri" w:eastAsia="Times New Roman" w:hAnsi="Calibri" w:cs="Calibri"/>
                <w:color w:val="808080"/>
                <w:lang w:eastAsia="en-AU"/>
              </w:rPr>
              <w:t> </w:t>
            </w:r>
          </w:p>
        </w:tc>
      </w:tr>
      <w:tr w:rsidR="00244248" w:rsidRPr="008D4339" w14:paraId="56FC13D3" w14:textId="77777777" w:rsidTr="00335B25">
        <w:trPr>
          <w:trHeight w:val="255"/>
        </w:trPr>
        <w:tc>
          <w:tcPr>
            <w:tcW w:w="3837" w:type="dxa"/>
            <w:tcBorders>
              <w:top w:val="nil"/>
              <w:left w:val="nil"/>
              <w:bottom w:val="nil"/>
              <w:right w:val="nil"/>
            </w:tcBorders>
            <w:shd w:val="clear" w:color="auto" w:fill="auto"/>
            <w:vAlign w:val="center"/>
            <w:hideMark/>
          </w:tcPr>
          <w:p w14:paraId="15F42D09"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Age group </w:t>
            </w:r>
            <w:r w:rsidRPr="008D4339">
              <w:rPr>
                <w:rFonts w:ascii="Calibri Light" w:eastAsia="Times New Roman" w:hAnsi="Calibri Light" w:cs="Calibri Light"/>
                <w:color w:val="000000"/>
                <w:sz w:val="20"/>
                <w:szCs w:val="20"/>
                <w:lang w:eastAsia="en-AU"/>
              </w:rPr>
              <w:t>(ref: 25-29)</w:t>
            </w:r>
          </w:p>
        </w:tc>
        <w:tc>
          <w:tcPr>
            <w:tcW w:w="1276" w:type="dxa"/>
            <w:tcBorders>
              <w:top w:val="nil"/>
              <w:left w:val="nil"/>
              <w:bottom w:val="nil"/>
              <w:right w:val="nil"/>
            </w:tcBorders>
            <w:shd w:val="clear" w:color="auto" w:fill="auto"/>
            <w:vAlign w:val="center"/>
            <w:hideMark/>
          </w:tcPr>
          <w:p w14:paraId="537070D5"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1BA58EEC"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3968AAA8"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7F67CE5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4C63BB3E"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2913190F"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5CB51EA0"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2B64D99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46D6DC2D" w14:textId="77777777" w:rsidTr="00335B25">
        <w:trPr>
          <w:trHeight w:val="255"/>
        </w:trPr>
        <w:tc>
          <w:tcPr>
            <w:tcW w:w="3837" w:type="dxa"/>
            <w:tcBorders>
              <w:top w:val="nil"/>
              <w:left w:val="nil"/>
              <w:bottom w:val="nil"/>
              <w:right w:val="nil"/>
            </w:tcBorders>
            <w:shd w:val="clear" w:color="auto" w:fill="auto"/>
            <w:vAlign w:val="center"/>
            <w:hideMark/>
          </w:tcPr>
          <w:p w14:paraId="1F9178A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 xml:space="preserve"> 18-24</w:t>
            </w:r>
          </w:p>
        </w:tc>
        <w:tc>
          <w:tcPr>
            <w:tcW w:w="1276" w:type="dxa"/>
            <w:tcBorders>
              <w:top w:val="nil"/>
              <w:left w:val="nil"/>
              <w:bottom w:val="nil"/>
              <w:right w:val="nil"/>
            </w:tcBorders>
            <w:shd w:val="clear" w:color="auto" w:fill="auto"/>
            <w:vAlign w:val="center"/>
            <w:hideMark/>
          </w:tcPr>
          <w:p w14:paraId="2ACF0AF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-0.343***</w:t>
            </w:r>
          </w:p>
        </w:tc>
        <w:tc>
          <w:tcPr>
            <w:tcW w:w="840" w:type="dxa"/>
            <w:tcBorders>
              <w:top w:val="nil"/>
              <w:left w:val="nil"/>
              <w:bottom w:val="nil"/>
              <w:right w:val="nil"/>
            </w:tcBorders>
            <w:shd w:val="clear" w:color="auto" w:fill="auto"/>
            <w:vAlign w:val="center"/>
            <w:hideMark/>
          </w:tcPr>
          <w:p w14:paraId="63E5881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(0.054)</w:t>
            </w:r>
          </w:p>
        </w:tc>
        <w:tc>
          <w:tcPr>
            <w:tcW w:w="1135" w:type="dxa"/>
            <w:tcBorders>
              <w:top w:val="nil"/>
              <w:left w:val="nil"/>
              <w:bottom w:val="nil"/>
              <w:right w:val="nil"/>
            </w:tcBorders>
            <w:shd w:val="clear" w:color="auto" w:fill="auto"/>
            <w:vAlign w:val="center"/>
            <w:hideMark/>
          </w:tcPr>
          <w:p w14:paraId="77A1CD3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-0.107*</w:t>
            </w:r>
          </w:p>
        </w:tc>
        <w:tc>
          <w:tcPr>
            <w:tcW w:w="959" w:type="dxa"/>
            <w:gridSpan w:val="2"/>
            <w:tcBorders>
              <w:top w:val="nil"/>
              <w:left w:val="nil"/>
              <w:bottom w:val="nil"/>
              <w:right w:val="nil"/>
            </w:tcBorders>
            <w:shd w:val="clear" w:color="auto" w:fill="auto"/>
            <w:vAlign w:val="center"/>
            <w:hideMark/>
          </w:tcPr>
          <w:p w14:paraId="1549A28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(0.063)</w:t>
            </w:r>
          </w:p>
        </w:tc>
        <w:tc>
          <w:tcPr>
            <w:tcW w:w="970" w:type="dxa"/>
            <w:tcBorders>
              <w:top w:val="nil"/>
              <w:left w:val="nil"/>
              <w:bottom w:val="nil"/>
              <w:right w:val="nil"/>
            </w:tcBorders>
            <w:shd w:val="clear" w:color="auto" w:fill="auto"/>
            <w:vAlign w:val="center"/>
            <w:hideMark/>
          </w:tcPr>
          <w:p w14:paraId="44EDB54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0.084</w:t>
            </w:r>
          </w:p>
        </w:tc>
        <w:tc>
          <w:tcPr>
            <w:tcW w:w="959" w:type="dxa"/>
            <w:gridSpan w:val="2"/>
            <w:tcBorders>
              <w:top w:val="nil"/>
              <w:left w:val="nil"/>
              <w:bottom w:val="nil"/>
              <w:right w:val="nil"/>
            </w:tcBorders>
            <w:shd w:val="clear" w:color="auto" w:fill="auto"/>
            <w:vAlign w:val="center"/>
            <w:hideMark/>
          </w:tcPr>
          <w:p w14:paraId="6E50CF5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(0.237)</w:t>
            </w:r>
          </w:p>
        </w:tc>
        <w:tc>
          <w:tcPr>
            <w:tcW w:w="970" w:type="dxa"/>
            <w:tcBorders>
              <w:top w:val="nil"/>
              <w:left w:val="nil"/>
              <w:bottom w:val="nil"/>
              <w:right w:val="nil"/>
            </w:tcBorders>
            <w:shd w:val="clear" w:color="auto" w:fill="auto"/>
            <w:vAlign w:val="center"/>
            <w:hideMark/>
          </w:tcPr>
          <w:p w14:paraId="2D2E44C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-0.278</w:t>
            </w:r>
          </w:p>
        </w:tc>
        <w:tc>
          <w:tcPr>
            <w:tcW w:w="959" w:type="dxa"/>
            <w:gridSpan w:val="2"/>
            <w:tcBorders>
              <w:top w:val="nil"/>
              <w:left w:val="nil"/>
              <w:bottom w:val="nil"/>
              <w:right w:val="nil"/>
            </w:tcBorders>
            <w:shd w:val="clear" w:color="auto" w:fill="auto"/>
            <w:vAlign w:val="center"/>
            <w:hideMark/>
          </w:tcPr>
          <w:p w14:paraId="63120F03"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(0.054)</w:t>
            </w:r>
          </w:p>
        </w:tc>
      </w:tr>
      <w:tr w:rsidR="00244248" w:rsidRPr="008D4339" w14:paraId="14D500C6" w14:textId="77777777" w:rsidTr="00335B25">
        <w:trPr>
          <w:trHeight w:val="255"/>
        </w:trPr>
        <w:tc>
          <w:tcPr>
            <w:tcW w:w="3837" w:type="dxa"/>
            <w:tcBorders>
              <w:top w:val="nil"/>
              <w:left w:val="nil"/>
              <w:bottom w:val="nil"/>
              <w:right w:val="nil"/>
            </w:tcBorders>
            <w:shd w:val="clear" w:color="auto" w:fill="auto"/>
            <w:vAlign w:val="center"/>
            <w:hideMark/>
          </w:tcPr>
          <w:p w14:paraId="3BC98E6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30-34</w:t>
            </w:r>
          </w:p>
        </w:tc>
        <w:tc>
          <w:tcPr>
            <w:tcW w:w="1276" w:type="dxa"/>
            <w:tcBorders>
              <w:top w:val="nil"/>
              <w:left w:val="nil"/>
              <w:bottom w:val="nil"/>
              <w:right w:val="nil"/>
            </w:tcBorders>
            <w:shd w:val="clear" w:color="auto" w:fill="auto"/>
            <w:vAlign w:val="center"/>
            <w:hideMark/>
          </w:tcPr>
          <w:p w14:paraId="3E67E58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0.058</w:t>
            </w:r>
          </w:p>
        </w:tc>
        <w:tc>
          <w:tcPr>
            <w:tcW w:w="840" w:type="dxa"/>
            <w:tcBorders>
              <w:top w:val="nil"/>
              <w:left w:val="nil"/>
              <w:bottom w:val="nil"/>
              <w:right w:val="nil"/>
            </w:tcBorders>
            <w:shd w:val="clear" w:color="auto" w:fill="auto"/>
            <w:vAlign w:val="center"/>
            <w:hideMark/>
          </w:tcPr>
          <w:p w14:paraId="32DD07B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(0.060)</w:t>
            </w:r>
          </w:p>
        </w:tc>
        <w:tc>
          <w:tcPr>
            <w:tcW w:w="1135" w:type="dxa"/>
            <w:tcBorders>
              <w:top w:val="nil"/>
              <w:left w:val="nil"/>
              <w:bottom w:val="nil"/>
              <w:right w:val="nil"/>
            </w:tcBorders>
            <w:shd w:val="clear" w:color="auto" w:fill="auto"/>
            <w:vAlign w:val="center"/>
            <w:hideMark/>
          </w:tcPr>
          <w:p w14:paraId="647CEC1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-0.000</w:t>
            </w:r>
          </w:p>
        </w:tc>
        <w:tc>
          <w:tcPr>
            <w:tcW w:w="959" w:type="dxa"/>
            <w:gridSpan w:val="2"/>
            <w:tcBorders>
              <w:top w:val="nil"/>
              <w:left w:val="nil"/>
              <w:bottom w:val="nil"/>
              <w:right w:val="nil"/>
            </w:tcBorders>
            <w:shd w:val="clear" w:color="auto" w:fill="auto"/>
            <w:vAlign w:val="center"/>
            <w:hideMark/>
          </w:tcPr>
          <w:p w14:paraId="277AF41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(0.087)</w:t>
            </w:r>
          </w:p>
        </w:tc>
        <w:tc>
          <w:tcPr>
            <w:tcW w:w="970" w:type="dxa"/>
            <w:tcBorders>
              <w:top w:val="nil"/>
              <w:left w:val="nil"/>
              <w:bottom w:val="nil"/>
              <w:right w:val="nil"/>
            </w:tcBorders>
            <w:shd w:val="clear" w:color="auto" w:fill="auto"/>
            <w:vAlign w:val="center"/>
            <w:hideMark/>
          </w:tcPr>
          <w:p w14:paraId="32F220B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0.335*</w:t>
            </w:r>
          </w:p>
        </w:tc>
        <w:tc>
          <w:tcPr>
            <w:tcW w:w="959" w:type="dxa"/>
            <w:gridSpan w:val="2"/>
            <w:tcBorders>
              <w:top w:val="nil"/>
              <w:left w:val="nil"/>
              <w:bottom w:val="nil"/>
              <w:right w:val="nil"/>
            </w:tcBorders>
            <w:shd w:val="clear" w:color="auto" w:fill="auto"/>
            <w:vAlign w:val="center"/>
            <w:hideMark/>
          </w:tcPr>
          <w:p w14:paraId="0DDE05F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(0.183)</w:t>
            </w:r>
          </w:p>
        </w:tc>
        <w:tc>
          <w:tcPr>
            <w:tcW w:w="970" w:type="dxa"/>
            <w:tcBorders>
              <w:top w:val="nil"/>
              <w:left w:val="nil"/>
              <w:bottom w:val="nil"/>
              <w:right w:val="nil"/>
            </w:tcBorders>
            <w:shd w:val="clear" w:color="auto" w:fill="auto"/>
            <w:vAlign w:val="center"/>
            <w:hideMark/>
          </w:tcPr>
          <w:p w14:paraId="1996B2E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-0.029</w:t>
            </w:r>
          </w:p>
        </w:tc>
        <w:tc>
          <w:tcPr>
            <w:tcW w:w="959" w:type="dxa"/>
            <w:gridSpan w:val="2"/>
            <w:tcBorders>
              <w:top w:val="nil"/>
              <w:left w:val="nil"/>
              <w:bottom w:val="nil"/>
              <w:right w:val="nil"/>
            </w:tcBorders>
            <w:shd w:val="clear" w:color="auto" w:fill="auto"/>
            <w:vAlign w:val="center"/>
            <w:hideMark/>
          </w:tcPr>
          <w:p w14:paraId="45597B1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(0.060)</w:t>
            </w:r>
          </w:p>
        </w:tc>
      </w:tr>
      <w:tr w:rsidR="00244248" w:rsidRPr="008D4339" w14:paraId="1A8D604E" w14:textId="77777777" w:rsidTr="00335B25">
        <w:trPr>
          <w:trHeight w:val="255"/>
        </w:trPr>
        <w:tc>
          <w:tcPr>
            <w:tcW w:w="3837" w:type="dxa"/>
            <w:tcBorders>
              <w:top w:val="nil"/>
              <w:left w:val="nil"/>
              <w:bottom w:val="nil"/>
              <w:right w:val="nil"/>
            </w:tcBorders>
            <w:shd w:val="clear" w:color="auto" w:fill="auto"/>
            <w:vAlign w:val="center"/>
            <w:hideMark/>
          </w:tcPr>
          <w:p w14:paraId="4A8B5B5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35-39</w:t>
            </w:r>
          </w:p>
        </w:tc>
        <w:tc>
          <w:tcPr>
            <w:tcW w:w="1276" w:type="dxa"/>
            <w:tcBorders>
              <w:top w:val="nil"/>
              <w:left w:val="nil"/>
              <w:bottom w:val="nil"/>
              <w:right w:val="nil"/>
            </w:tcBorders>
            <w:shd w:val="clear" w:color="auto" w:fill="auto"/>
            <w:vAlign w:val="center"/>
            <w:hideMark/>
          </w:tcPr>
          <w:p w14:paraId="5F3CB16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-0.595***</w:t>
            </w:r>
          </w:p>
        </w:tc>
        <w:tc>
          <w:tcPr>
            <w:tcW w:w="840" w:type="dxa"/>
            <w:tcBorders>
              <w:top w:val="nil"/>
              <w:left w:val="nil"/>
              <w:bottom w:val="nil"/>
              <w:right w:val="nil"/>
            </w:tcBorders>
            <w:shd w:val="clear" w:color="auto" w:fill="auto"/>
            <w:vAlign w:val="center"/>
            <w:hideMark/>
          </w:tcPr>
          <w:p w14:paraId="366FE76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(0.091)</w:t>
            </w:r>
          </w:p>
        </w:tc>
        <w:tc>
          <w:tcPr>
            <w:tcW w:w="1135" w:type="dxa"/>
            <w:tcBorders>
              <w:top w:val="nil"/>
              <w:left w:val="nil"/>
              <w:bottom w:val="nil"/>
              <w:right w:val="nil"/>
            </w:tcBorders>
            <w:shd w:val="clear" w:color="auto" w:fill="auto"/>
            <w:vAlign w:val="center"/>
            <w:hideMark/>
          </w:tcPr>
          <w:p w14:paraId="7E0E6DA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-0.806***</w:t>
            </w:r>
          </w:p>
        </w:tc>
        <w:tc>
          <w:tcPr>
            <w:tcW w:w="959" w:type="dxa"/>
            <w:gridSpan w:val="2"/>
            <w:tcBorders>
              <w:top w:val="nil"/>
              <w:left w:val="nil"/>
              <w:bottom w:val="nil"/>
              <w:right w:val="nil"/>
            </w:tcBorders>
            <w:shd w:val="clear" w:color="auto" w:fill="auto"/>
            <w:vAlign w:val="center"/>
            <w:hideMark/>
          </w:tcPr>
          <w:p w14:paraId="0A929CA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(0.172)</w:t>
            </w:r>
          </w:p>
        </w:tc>
        <w:tc>
          <w:tcPr>
            <w:tcW w:w="970" w:type="dxa"/>
            <w:tcBorders>
              <w:top w:val="nil"/>
              <w:left w:val="nil"/>
              <w:bottom w:val="nil"/>
              <w:right w:val="nil"/>
            </w:tcBorders>
            <w:shd w:val="clear" w:color="auto" w:fill="auto"/>
            <w:vAlign w:val="center"/>
            <w:hideMark/>
          </w:tcPr>
          <w:p w14:paraId="35918B6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0.038</w:t>
            </w:r>
          </w:p>
        </w:tc>
        <w:tc>
          <w:tcPr>
            <w:tcW w:w="959" w:type="dxa"/>
            <w:gridSpan w:val="2"/>
            <w:tcBorders>
              <w:top w:val="nil"/>
              <w:left w:val="nil"/>
              <w:bottom w:val="nil"/>
              <w:right w:val="nil"/>
            </w:tcBorders>
            <w:shd w:val="clear" w:color="auto" w:fill="auto"/>
            <w:vAlign w:val="center"/>
            <w:hideMark/>
          </w:tcPr>
          <w:p w14:paraId="2B9E30E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(0.288)</w:t>
            </w:r>
          </w:p>
        </w:tc>
        <w:tc>
          <w:tcPr>
            <w:tcW w:w="970" w:type="dxa"/>
            <w:tcBorders>
              <w:top w:val="nil"/>
              <w:left w:val="nil"/>
              <w:bottom w:val="nil"/>
              <w:right w:val="nil"/>
            </w:tcBorders>
            <w:shd w:val="clear" w:color="auto" w:fill="auto"/>
            <w:vAlign w:val="center"/>
            <w:hideMark/>
          </w:tcPr>
          <w:p w14:paraId="6EC808F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-0.360*</w:t>
            </w:r>
          </w:p>
        </w:tc>
        <w:tc>
          <w:tcPr>
            <w:tcW w:w="959" w:type="dxa"/>
            <w:gridSpan w:val="2"/>
            <w:tcBorders>
              <w:top w:val="nil"/>
              <w:left w:val="nil"/>
              <w:bottom w:val="nil"/>
              <w:right w:val="nil"/>
            </w:tcBorders>
            <w:shd w:val="clear" w:color="auto" w:fill="auto"/>
            <w:vAlign w:val="center"/>
            <w:hideMark/>
          </w:tcPr>
          <w:p w14:paraId="0B0D5BF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(0.091)</w:t>
            </w:r>
          </w:p>
        </w:tc>
      </w:tr>
      <w:tr w:rsidR="00244248" w:rsidRPr="008D4339" w14:paraId="74A4277F" w14:textId="77777777" w:rsidTr="00335B25">
        <w:trPr>
          <w:trHeight w:val="255"/>
        </w:trPr>
        <w:tc>
          <w:tcPr>
            <w:tcW w:w="3837" w:type="dxa"/>
            <w:tcBorders>
              <w:top w:val="nil"/>
              <w:left w:val="nil"/>
              <w:bottom w:val="nil"/>
              <w:right w:val="nil"/>
            </w:tcBorders>
            <w:shd w:val="clear" w:color="auto" w:fill="auto"/>
            <w:vAlign w:val="center"/>
            <w:hideMark/>
          </w:tcPr>
          <w:p w14:paraId="3CB460C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40-44</w:t>
            </w:r>
          </w:p>
        </w:tc>
        <w:tc>
          <w:tcPr>
            <w:tcW w:w="1276" w:type="dxa"/>
            <w:tcBorders>
              <w:top w:val="nil"/>
              <w:left w:val="nil"/>
              <w:bottom w:val="nil"/>
              <w:right w:val="nil"/>
            </w:tcBorders>
            <w:shd w:val="clear" w:color="auto" w:fill="auto"/>
            <w:vAlign w:val="center"/>
            <w:hideMark/>
          </w:tcPr>
          <w:p w14:paraId="6EF2C22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-1.442***</w:t>
            </w:r>
          </w:p>
        </w:tc>
        <w:tc>
          <w:tcPr>
            <w:tcW w:w="840" w:type="dxa"/>
            <w:tcBorders>
              <w:top w:val="nil"/>
              <w:left w:val="nil"/>
              <w:bottom w:val="nil"/>
              <w:right w:val="nil"/>
            </w:tcBorders>
            <w:shd w:val="clear" w:color="auto" w:fill="auto"/>
            <w:vAlign w:val="center"/>
            <w:hideMark/>
          </w:tcPr>
          <w:p w14:paraId="72106ED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(0.116)</w:t>
            </w:r>
          </w:p>
        </w:tc>
        <w:tc>
          <w:tcPr>
            <w:tcW w:w="1135" w:type="dxa"/>
            <w:tcBorders>
              <w:top w:val="nil"/>
              <w:left w:val="nil"/>
              <w:bottom w:val="nil"/>
              <w:right w:val="nil"/>
            </w:tcBorders>
            <w:shd w:val="clear" w:color="auto" w:fill="auto"/>
            <w:vAlign w:val="center"/>
            <w:hideMark/>
          </w:tcPr>
          <w:p w14:paraId="7B7A4D2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-2.225***</w:t>
            </w:r>
          </w:p>
        </w:tc>
        <w:tc>
          <w:tcPr>
            <w:tcW w:w="959" w:type="dxa"/>
            <w:gridSpan w:val="2"/>
            <w:tcBorders>
              <w:top w:val="nil"/>
              <w:left w:val="nil"/>
              <w:bottom w:val="nil"/>
              <w:right w:val="nil"/>
            </w:tcBorders>
            <w:shd w:val="clear" w:color="auto" w:fill="auto"/>
            <w:vAlign w:val="center"/>
            <w:hideMark/>
          </w:tcPr>
          <w:p w14:paraId="1DEDEF6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(0.244)</w:t>
            </w:r>
          </w:p>
        </w:tc>
        <w:tc>
          <w:tcPr>
            <w:tcW w:w="970" w:type="dxa"/>
            <w:tcBorders>
              <w:top w:val="nil"/>
              <w:left w:val="nil"/>
              <w:bottom w:val="nil"/>
              <w:right w:val="nil"/>
            </w:tcBorders>
            <w:shd w:val="clear" w:color="auto" w:fill="auto"/>
            <w:vAlign w:val="center"/>
            <w:hideMark/>
          </w:tcPr>
          <w:p w14:paraId="4C05814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-0.818**</w:t>
            </w:r>
          </w:p>
        </w:tc>
        <w:tc>
          <w:tcPr>
            <w:tcW w:w="959" w:type="dxa"/>
            <w:gridSpan w:val="2"/>
            <w:tcBorders>
              <w:top w:val="nil"/>
              <w:left w:val="nil"/>
              <w:bottom w:val="nil"/>
              <w:right w:val="nil"/>
            </w:tcBorders>
            <w:shd w:val="clear" w:color="auto" w:fill="auto"/>
            <w:vAlign w:val="center"/>
            <w:hideMark/>
          </w:tcPr>
          <w:p w14:paraId="0A3E6D1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(0.392)</w:t>
            </w:r>
          </w:p>
        </w:tc>
        <w:tc>
          <w:tcPr>
            <w:tcW w:w="970" w:type="dxa"/>
            <w:tcBorders>
              <w:top w:val="nil"/>
              <w:left w:val="nil"/>
              <w:bottom w:val="nil"/>
              <w:right w:val="nil"/>
            </w:tcBorders>
            <w:shd w:val="clear" w:color="auto" w:fill="auto"/>
            <w:vAlign w:val="center"/>
            <w:hideMark/>
          </w:tcPr>
          <w:p w14:paraId="17EC10C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-0.527**</w:t>
            </w:r>
          </w:p>
        </w:tc>
        <w:tc>
          <w:tcPr>
            <w:tcW w:w="959" w:type="dxa"/>
            <w:gridSpan w:val="2"/>
            <w:tcBorders>
              <w:top w:val="nil"/>
              <w:left w:val="nil"/>
              <w:bottom w:val="nil"/>
              <w:right w:val="nil"/>
            </w:tcBorders>
            <w:shd w:val="clear" w:color="auto" w:fill="auto"/>
            <w:vAlign w:val="center"/>
            <w:hideMark/>
          </w:tcPr>
          <w:p w14:paraId="564D759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(0.116)</w:t>
            </w:r>
          </w:p>
        </w:tc>
      </w:tr>
      <w:tr w:rsidR="00244248" w:rsidRPr="008D4339" w14:paraId="0799A70D" w14:textId="77777777" w:rsidTr="00335B25">
        <w:trPr>
          <w:trHeight w:val="255"/>
        </w:trPr>
        <w:tc>
          <w:tcPr>
            <w:tcW w:w="3837" w:type="dxa"/>
            <w:tcBorders>
              <w:top w:val="nil"/>
              <w:left w:val="nil"/>
              <w:bottom w:val="single" w:sz="4" w:space="0" w:color="ED7D31"/>
              <w:right w:val="nil"/>
            </w:tcBorders>
            <w:shd w:val="clear" w:color="auto" w:fill="auto"/>
            <w:vAlign w:val="center"/>
            <w:hideMark/>
          </w:tcPr>
          <w:p w14:paraId="588C1B96"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45-49</w:t>
            </w:r>
          </w:p>
        </w:tc>
        <w:tc>
          <w:tcPr>
            <w:tcW w:w="1276" w:type="dxa"/>
            <w:tcBorders>
              <w:top w:val="nil"/>
              <w:left w:val="nil"/>
              <w:bottom w:val="single" w:sz="8" w:space="0" w:color="ED7D31"/>
              <w:right w:val="nil"/>
            </w:tcBorders>
            <w:shd w:val="clear" w:color="auto" w:fill="auto"/>
            <w:vAlign w:val="center"/>
            <w:hideMark/>
          </w:tcPr>
          <w:p w14:paraId="120B2B6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-1.724***</w:t>
            </w:r>
          </w:p>
        </w:tc>
        <w:tc>
          <w:tcPr>
            <w:tcW w:w="840" w:type="dxa"/>
            <w:tcBorders>
              <w:top w:val="nil"/>
              <w:left w:val="nil"/>
              <w:bottom w:val="single" w:sz="8" w:space="0" w:color="ED7D31"/>
              <w:right w:val="nil"/>
            </w:tcBorders>
            <w:shd w:val="clear" w:color="auto" w:fill="auto"/>
            <w:vAlign w:val="center"/>
            <w:hideMark/>
          </w:tcPr>
          <w:p w14:paraId="518DB79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(0.143)</w:t>
            </w:r>
          </w:p>
        </w:tc>
        <w:tc>
          <w:tcPr>
            <w:tcW w:w="1135" w:type="dxa"/>
            <w:tcBorders>
              <w:top w:val="nil"/>
              <w:left w:val="nil"/>
              <w:bottom w:val="single" w:sz="8" w:space="0" w:color="ED7D31"/>
              <w:right w:val="nil"/>
            </w:tcBorders>
            <w:shd w:val="clear" w:color="auto" w:fill="auto"/>
            <w:vAlign w:val="center"/>
            <w:hideMark/>
          </w:tcPr>
          <w:p w14:paraId="44C8B7C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-3.275***</w:t>
            </w:r>
          </w:p>
        </w:tc>
        <w:tc>
          <w:tcPr>
            <w:tcW w:w="959" w:type="dxa"/>
            <w:gridSpan w:val="2"/>
            <w:tcBorders>
              <w:top w:val="nil"/>
              <w:left w:val="nil"/>
              <w:bottom w:val="single" w:sz="8" w:space="0" w:color="ED7D31"/>
              <w:right w:val="nil"/>
            </w:tcBorders>
            <w:shd w:val="clear" w:color="auto" w:fill="auto"/>
            <w:vAlign w:val="center"/>
            <w:hideMark/>
          </w:tcPr>
          <w:p w14:paraId="63402A2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(0.317)</w:t>
            </w:r>
          </w:p>
        </w:tc>
        <w:tc>
          <w:tcPr>
            <w:tcW w:w="970" w:type="dxa"/>
            <w:tcBorders>
              <w:top w:val="nil"/>
              <w:left w:val="nil"/>
              <w:bottom w:val="single" w:sz="8" w:space="0" w:color="ED7D31"/>
              <w:right w:val="nil"/>
            </w:tcBorders>
            <w:shd w:val="clear" w:color="auto" w:fill="auto"/>
            <w:vAlign w:val="center"/>
            <w:hideMark/>
          </w:tcPr>
          <w:p w14:paraId="2F9E35F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-1.121**</w:t>
            </w:r>
          </w:p>
        </w:tc>
        <w:tc>
          <w:tcPr>
            <w:tcW w:w="959" w:type="dxa"/>
            <w:gridSpan w:val="2"/>
            <w:tcBorders>
              <w:top w:val="nil"/>
              <w:left w:val="nil"/>
              <w:bottom w:val="single" w:sz="8" w:space="0" w:color="ED7D31"/>
              <w:right w:val="nil"/>
            </w:tcBorders>
            <w:shd w:val="clear" w:color="auto" w:fill="auto"/>
            <w:vAlign w:val="center"/>
            <w:hideMark/>
          </w:tcPr>
          <w:p w14:paraId="6388509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(0.485)</w:t>
            </w:r>
          </w:p>
        </w:tc>
        <w:tc>
          <w:tcPr>
            <w:tcW w:w="970" w:type="dxa"/>
            <w:tcBorders>
              <w:top w:val="nil"/>
              <w:left w:val="nil"/>
              <w:bottom w:val="single" w:sz="8" w:space="0" w:color="ED7D31"/>
              <w:right w:val="nil"/>
            </w:tcBorders>
            <w:shd w:val="clear" w:color="auto" w:fill="auto"/>
            <w:vAlign w:val="center"/>
            <w:hideMark/>
          </w:tcPr>
          <w:p w14:paraId="7F889C3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-0.309</w:t>
            </w:r>
          </w:p>
        </w:tc>
        <w:tc>
          <w:tcPr>
            <w:tcW w:w="959" w:type="dxa"/>
            <w:gridSpan w:val="2"/>
            <w:tcBorders>
              <w:top w:val="nil"/>
              <w:left w:val="nil"/>
              <w:bottom w:val="single" w:sz="8" w:space="0" w:color="ED7D31"/>
              <w:right w:val="nil"/>
            </w:tcBorders>
            <w:shd w:val="clear" w:color="auto" w:fill="auto"/>
            <w:vAlign w:val="center"/>
            <w:hideMark/>
          </w:tcPr>
          <w:p w14:paraId="36DE4213"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(0.143)</w:t>
            </w:r>
          </w:p>
        </w:tc>
      </w:tr>
      <w:tr w:rsidR="00244248" w:rsidRPr="008D4339" w14:paraId="2676C10A" w14:textId="77777777" w:rsidTr="00335B25">
        <w:trPr>
          <w:trHeight w:val="255"/>
        </w:trPr>
        <w:tc>
          <w:tcPr>
            <w:tcW w:w="3837" w:type="dxa"/>
            <w:tcBorders>
              <w:top w:val="nil"/>
              <w:left w:val="nil"/>
              <w:bottom w:val="nil"/>
              <w:right w:val="nil"/>
            </w:tcBorders>
            <w:shd w:val="clear" w:color="auto" w:fill="auto"/>
            <w:vAlign w:val="center"/>
            <w:hideMark/>
          </w:tcPr>
          <w:p w14:paraId="2CAA5087"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Education level </w:t>
            </w:r>
            <w:r w:rsidRPr="008D4339">
              <w:rPr>
                <w:rFonts w:ascii="Calibri Light" w:eastAsia="Times New Roman" w:hAnsi="Calibri Light" w:cs="Calibri Light"/>
                <w:color w:val="000000"/>
                <w:sz w:val="20"/>
                <w:szCs w:val="20"/>
                <w:lang w:eastAsia="en-AU"/>
              </w:rPr>
              <w:t>(ref: Year 11 or below)</w:t>
            </w:r>
          </w:p>
        </w:tc>
        <w:tc>
          <w:tcPr>
            <w:tcW w:w="1276" w:type="dxa"/>
            <w:tcBorders>
              <w:top w:val="nil"/>
              <w:left w:val="nil"/>
              <w:bottom w:val="nil"/>
              <w:right w:val="nil"/>
            </w:tcBorders>
            <w:shd w:val="clear" w:color="auto" w:fill="auto"/>
            <w:vAlign w:val="center"/>
            <w:hideMark/>
          </w:tcPr>
          <w:p w14:paraId="1CE0045E"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59143BE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784AD7C5"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6A448C03"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62BC3B3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6A386493"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10775311"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4CBA69B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0F39E480" w14:textId="77777777" w:rsidTr="00335B25">
        <w:trPr>
          <w:trHeight w:val="255"/>
        </w:trPr>
        <w:tc>
          <w:tcPr>
            <w:tcW w:w="3837" w:type="dxa"/>
            <w:tcBorders>
              <w:top w:val="nil"/>
              <w:left w:val="nil"/>
              <w:bottom w:val="nil"/>
              <w:right w:val="nil"/>
            </w:tcBorders>
            <w:shd w:val="clear" w:color="auto" w:fill="auto"/>
            <w:vAlign w:val="center"/>
            <w:hideMark/>
          </w:tcPr>
          <w:p w14:paraId="34D8668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Bachelor Degree or higher</w:t>
            </w:r>
          </w:p>
        </w:tc>
        <w:tc>
          <w:tcPr>
            <w:tcW w:w="1276" w:type="dxa"/>
            <w:tcBorders>
              <w:top w:val="nil"/>
              <w:left w:val="nil"/>
              <w:bottom w:val="nil"/>
              <w:right w:val="nil"/>
            </w:tcBorders>
            <w:shd w:val="clear" w:color="auto" w:fill="auto"/>
            <w:vAlign w:val="center"/>
            <w:hideMark/>
          </w:tcPr>
          <w:p w14:paraId="6CE18D2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0.443***</w:t>
            </w:r>
          </w:p>
        </w:tc>
        <w:tc>
          <w:tcPr>
            <w:tcW w:w="840" w:type="dxa"/>
            <w:tcBorders>
              <w:top w:val="nil"/>
              <w:left w:val="nil"/>
              <w:bottom w:val="nil"/>
              <w:right w:val="nil"/>
            </w:tcBorders>
            <w:shd w:val="clear" w:color="auto" w:fill="auto"/>
            <w:vAlign w:val="center"/>
            <w:hideMark/>
          </w:tcPr>
          <w:p w14:paraId="23F1CC2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(0.138)</w:t>
            </w:r>
          </w:p>
        </w:tc>
        <w:tc>
          <w:tcPr>
            <w:tcW w:w="1135" w:type="dxa"/>
            <w:tcBorders>
              <w:top w:val="nil"/>
              <w:left w:val="nil"/>
              <w:bottom w:val="nil"/>
              <w:right w:val="nil"/>
            </w:tcBorders>
            <w:shd w:val="clear" w:color="auto" w:fill="auto"/>
            <w:vAlign w:val="center"/>
            <w:hideMark/>
          </w:tcPr>
          <w:p w14:paraId="0E3258C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0.060</w:t>
            </w:r>
          </w:p>
        </w:tc>
        <w:tc>
          <w:tcPr>
            <w:tcW w:w="959" w:type="dxa"/>
            <w:gridSpan w:val="2"/>
            <w:tcBorders>
              <w:top w:val="nil"/>
              <w:left w:val="nil"/>
              <w:bottom w:val="nil"/>
              <w:right w:val="nil"/>
            </w:tcBorders>
            <w:shd w:val="clear" w:color="auto" w:fill="auto"/>
            <w:vAlign w:val="center"/>
            <w:hideMark/>
          </w:tcPr>
          <w:p w14:paraId="3C8484E3"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(0.154)</w:t>
            </w:r>
          </w:p>
        </w:tc>
        <w:tc>
          <w:tcPr>
            <w:tcW w:w="970" w:type="dxa"/>
            <w:tcBorders>
              <w:top w:val="nil"/>
              <w:left w:val="nil"/>
              <w:bottom w:val="nil"/>
              <w:right w:val="nil"/>
            </w:tcBorders>
            <w:shd w:val="clear" w:color="auto" w:fill="auto"/>
            <w:vAlign w:val="center"/>
            <w:hideMark/>
          </w:tcPr>
          <w:p w14:paraId="42EAD3F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0.208</w:t>
            </w:r>
          </w:p>
        </w:tc>
        <w:tc>
          <w:tcPr>
            <w:tcW w:w="959" w:type="dxa"/>
            <w:gridSpan w:val="2"/>
            <w:tcBorders>
              <w:top w:val="nil"/>
              <w:left w:val="nil"/>
              <w:bottom w:val="nil"/>
              <w:right w:val="nil"/>
            </w:tcBorders>
            <w:shd w:val="clear" w:color="auto" w:fill="auto"/>
            <w:vAlign w:val="center"/>
            <w:hideMark/>
          </w:tcPr>
          <w:p w14:paraId="45D2092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(0.725)</w:t>
            </w:r>
          </w:p>
        </w:tc>
        <w:tc>
          <w:tcPr>
            <w:tcW w:w="970" w:type="dxa"/>
            <w:tcBorders>
              <w:top w:val="nil"/>
              <w:left w:val="nil"/>
              <w:bottom w:val="nil"/>
              <w:right w:val="nil"/>
            </w:tcBorders>
            <w:shd w:val="clear" w:color="auto" w:fill="auto"/>
            <w:vAlign w:val="center"/>
            <w:hideMark/>
          </w:tcPr>
          <w:p w14:paraId="25B65BB6"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1.599***</w:t>
            </w:r>
          </w:p>
        </w:tc>
        <w:tc>
          <w:tcPr>
            <w:tcW w:w="959" w:type="dxa"/>
            <w:gridSpan w:val="2"/>
            <w:tcBorders>
              <w:top w:val="nil"/>
              <w:left w:val="nil"/>
              <w:bottom w:val="nil"/>
              <w:right w:val="nil"/>
            </w:tcBorders>
            <w:shd w:val="clear" w:color="auto" w:fill="auto"/>
            <w:vAlign w:val="center"/>
            <w:hideMark/>
          </w:tcPr>
          <w:p w14:paraId="5FE92B9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(0.138)</w:t>
            </w:r>
          </w:p>
        </w:tc>
      </w:tr>
      <w:tr w:rsidR="00244248" w:rsidRPr="008D4339" w14:paraId="0298C113" w14:textId="77777777" w:rsidTr="00335B25">
        <w:trPr>
          <w:trHeight w:val="255"/>
        </w:trPr>
        <w:tc>
          <w:tcPr>
            <w:tcW w:w="3837" w:type="dxa"/>
            <w:tcBorders>
              <w:top w:val="nil"/>
              <w:left w:val="nil"/>
              <w:bottom w:val="nil"/>
              <w:right w:val="nil"/>
            </w:tcBorders>
            <w:shd w:val="clear" w:color="auto" w:fill="auto"/>
            <w:vAlign w:val="center"/>
            <w:hideMark/>
          </w:tcPr>
          <w:p w14:paraId="3AFFAF2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Diploma/ Cert III/IV</w:t>
            </w:r>
          </w:p>
        </w:tc>
        <w:tc>
          <w:tcPr>
            <w:tcW w:w="1276" w:type="dxa"/>
            <w:tcBorders>
              <w:top w:val="nil"/>
              <w:left w:val="nil"/>
              <w:bottom w:val="nil"/>
              <w:right w:val="nil"/>
            </w:tcBorders>
            <w:shd w:val="clear" w:color="auto" w:fill="auto"/>
            <w:vAlign w:val="center"/>
            <w:hideMark/>
          </w:tcPr>
          <w:p w14:paraId="7DEF754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0.431***</w:t>
            </w:r>
          </w:p>
        </w:tc>
        <w:tc>
          <w:tcPr>
            <w:tcW w:w="840" w:type="dxa"/>
            <w:tcBorders>
              <w:top w:val="nil"/>
              <w:left w:val="nil"/>
              <w:bottom w:val="nil"/>
              <w:right w:val="nil"/>
            </w:tcBorders>
            <w:shd w:val="clear" w:color="auto" w:fill="auto"/>
            <w:vAlign w:val="center"/>
            <w:hideMark/>
          </w:tcPr>
          <w:p w14:paraId="66725C1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(0.119)</w:t>
            </w:r>
          </w:p>
        </w:tc>
        <w:tc>
          <w:tcPr>
            <w:tcW w:w="1135" w:type="dxa"/>
            <w:tcBorders>
              <w:top w:val="nil"/>
              <w:left w:val="nil"/>
              <w:bottom w:val="nil"/>
              <w:right w:val="nil"/>
            </w:tcBorders>
            <w:shd w:val="clear" w:color="auto" w:fill="auto"/>
            <w:vAlign w:val="center"/>
            <w:hideMark/>
          </w:tcPr>
          <w:p w14:paraId="4C44972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0.320**</w:t>
            </w:r>
          </w:p>
        </w:tc>
        <w:tc>
          <w:tcPr>
            <w:tcW w:w="959" w:type="dxa"/>
            <w:gridSpan w:val="2"/>
            <w:tcBorders>
              <w:top w:val="nil"/>
              <w:left w:val="nil"/>
              <w:bottom w:val="nil"/>
              <w:right w:val="nil"/>
            </w:tcBorders>
            <w:shd w:val="clear" w:color="auto" w:fill="auto"/>
            <w:vAlign w:val="center"/>
            <w:hideMark/>
          </w:tcPr>
          <w:p w14:paraId="7E68A6F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(0.152)</w:t>
            </w:r>
          </w:p>
        </w:tc>
        <w:tc>
          <w:tcPr>
            <w:tcW w:w="970" w:type="dxa"/>
            <w:tcBorders>
              <w:top w:val="nil"/>
              <w:left w:val="nil"/>
              <w:bottom w:val="nil"/>
              <w:right w:val="nil"/>
            </w:tcBorders>
            <w:shd w:val="clear" w:color="auto" w:fill="auto"/>
            <w:vAlign w:val="center"/>
            <w:hideMark/>
          </w:tcPr>
          <w:p w14:paraId="0FDA10C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0.365</w:t>
            </w:r>
          </w:p>
        </w:tc>
        <w:tc>
          <w:tcPr>
            <w:tcW w:w="959" w:type="dxa"/>
            <w:gridSpan w:val="2"/>
            <w:tcBorders>
              <w:top w:val="nil"/>
              <w:left w:val="nil"/>
              <w:bottom w:val="nil"/>
              <w:right w:val="nil"/>
            </w:tcBorders>
            <w:shd w:val="clear" w:color="auto" w:fill="auto"/>
            <w:vAlign w:val="center"/>
            <w:hideMark/>
          </w:tcPr>
          <w:p w14:paraId="3BC1401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(0.421)</w:t>
            </w:r>
          </w:p>
        </w:tc>
        <w:tc>
          <w:tcPr>
            <w:tcW w:w="970" w:type="dxa"/>
            <w:tcBorders>
              <w:top w:val="nil"/>
              <w:left w:val="nil"/>
              <w:bottom w:val="nil"/>
              <w:right w:val="nil"/>
            </w:tcBorders>
            <w:shd w:val="clear" w:color="auto" w:fill="auto"/>
            <w:vAlign w:val="center"/>
            <w:hideMark/>
          </w:tcPr>
          <w:p w14:paraId="7FC4578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0.491*</w:t>
            </w:r>
          </w:p>
        </w:tc>
        <w:tc>
          <w:tcPr>
            <w:tcW w:w="959" w:type="dxa"/>
            <w:gridSpan w:val="2"/>
            <w:tcBorders>
              <w:top w:val="nil"/>
              <w:left w:val="nil"/>
              <w:bottom w:val="nil"/>
              <w:right w:val="nil"/>
            </w:tcBorders>
            <w:shd w:val="clear" w:color="auto" w:fill="auto"/>
            <w:vAlign w:val="center"/>
            <w:hideMark/>
          </w:tcPr>
          <w:p w14:paraId="2A5E66C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(0.119)</w:t>
            </w:r>
          </w:p>
        </w:tc>
      </w:tr>
      <w:tr w:rsidR="00244248" w:rsidRPr="008D4339" w14:paraId="1EEA01A7" w14:textId="77777777" w:rsidTr="00335B25">
        <w:trPr>
          <w:trHeight w:val="255"/>
        </w:trPr>
        <w:tc>
          <w:tcPr>
            <w:tcW w:w="3837" w:type="dxa"/>
            <w:tcBorders>
              <w:top w:val="nil"/>
              <w:left w:val="nil"/>
              <w:bottom w:val="single" w:sz="4" w:space="0" w:color="ED7D31"/>
              <w:right w:val="nil"/>
            </w:tcBorders>
            <w:shd w:val="clear" w:color="auto" w:fill="auto"/>
            <w:vAlign w:val="center"/>
            <w:hideMark/>
          </w:tcPr>
          <w:p w14:paraId="3933A9E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Year 12</w:t>
            </w:r>
          </w:p>
        </w:tc>
        <w:tc>
          <w:tcPr>
            <w:tcW w:w="1276" w:type="dxa"/>
            <w:tcBorders>
              <w:top w:val="nil"/>
              <w:left w:val="nil"/>
              <w:bottom w:val="single" w:sz="8" w:space="0" w:color="ED7D31"/>
              <w:right w:val="nil"/>
            </w:tcBorders>
            <w:shd w:val="clear" w:color="auto" w:fill="auto"/>
            <w:vAlign w:val="center"/>
            <w:hideMark/>
          </w:tcPr>
          <w:p w14:paraId="0E09DF0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0.213*</w:t>
            </w:r>
          </w:p>
        </w:tc>
        <w:tc>
          <w:tcPr>
            <w:tcW w:w="840" w:type="dxa"/>
            <w:tcBorders>
              <w:top w:val="nil"/>
              <w:left w:val="nil"/>
              <w:bottom w:val="single" w:sz="8" w:space="0" w:color="ED7D31"/>
              <w:right w:val="nil"/>
            </w:tcBorders>
            <w:shd w:val="clear" w:color="auto" w:fill="auto"/>
            <w:vAlign w:val="center"/>
            <w:hideMark/>
          </w:tcPr>
          <w:p w14:paraId="2BBD234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(0.123)</w:t>
            </w:r>
          </w:p>
        </w:tc>
        <w:tc>
          <w:tcPr>
            <w:tcW w:w="1135" w:type="dxa"/>
            <w:tcBorders>
              <w:top w:val="nil"/>
              <w:left w:val="nil"/>
              <w:bottom w:val="single" w:sz="8" w:space="0" w:color="ED7D31"/>
              <w:right w:val="nil"/>
            </w:tcBorders>
            <w:shd w:val="clear" w:color="auto" w:fill="auto"/>
            <w:vAlign w:val="center"/>
            <w:hideMark/>
          </w:tcPr>
          <w:p w14:paraId="11FEFC3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0.011</w:t>
            </w:r>
          </w:p>
        </w:tc>
        <w:tc>
          <w:tcPr>
            <w:tcW w:w="959" w:type="dxa"/>
            <w:gridSpan w:val="2"/>
            <w:tcBorders>
              <w:top w:val="nil"/>
              <w:left w:val="nil"/>
              <w:bottom w:val="single" w:sz="8" w:space="0" w:color="ED7D31"/>
              <w:right w:val="nil"/>
            </w:tcBorders>
            <w:shd w:val="clear" w:color="auto" w:fill="auto"/>
            <w:vAlign w:val="center"/>
            <w:hideMark/>
          </w:tcPr>
          <w:p w14:paraId="7E1E7DE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(0.133)</w:t>
            </w:r>
          </w:p>
        </w:tc>
        <w:tc>
          <w:tcPr>
            <w:tcW w:w="970" w:type="dxa"/>
            <w:tcBorders>
              <w:top w:val="nil"/>
              <w:left w:val="nil"/>
              <w:bottom w:val="single" w:sz="8" w:space="0" w:color="ED7D31"/>
              <w:right w:val="nil"/>
            </w:tcBorders>
            <w:shd w:val="clear" w:color="auto" w:fill="auto"/>
            <w:vAlign w:val="center"/>
            <w:hideMark/>
          </w:tcPr>
          <w:p w14:paraId="72D10266"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-0.338</w:t>
            </w:r>
          </w:p>
        </w:tc>
        <w:tc>
          <w:tcPr>
            <w:tcW w:w="959" w:type="dxa"/>
            <w:gridSpan w:val="2"/>
            <w:tcBorders>
              <w:top w:val="nil"/>
              <w:left w:val="nil"/>
              <w:bottom w:val="single" w:sz="8" w:space="0" w:color="ED7D31"/>
              <w:right w:val="nil"/>
            </w:tcBorders>
            <w:shd w:val="clear" w:color="auto" w:fill="auto"/>
            <w:vAlign w:val="center"/>
            <w:hideMark/>
          </w:tcPr>
          <w:p w14:paraId="5755EA1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(0.578)</w:t>
            </w:r>
          </w:p>
        </w:tc>
        <w:tc>
          <w:tcPr>
            <w:tcW w:w="970" w:type="dxa"/>
            <w:tcBorders>
              <w:top w:val="nil"/>
              <w:left w:val="nil"/>
              <w:bottom w:val="single" w:sz="8" w:space="0" w:color="ED7D31"/>
              <w:right w:val="nil"/>
            </w:tcBorders>
            <w:shd w:val="clear" w:color="auto" w:fill="auto"/>
            <w:vAlign w:val="center"/>
            <w:hideMark/>
          </w:tcPr>
          <w:p w14:paraId="1601F82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0.419</w:t>
            </w:r>
          </w:p>
        </w:tc>
        <w:tc>
          <w:tcPr>
            <w:tcW w:w="959" w:type="dxa"/>
            <w:gridSpan w:val="2"/>
            <w:tcBorders>
              <w:top w:val="nil"/>
              <w:left w:val="nil"/>
              <w:bottom w:val="single" w:sz="8" w:space="0" w:color="ED7D31"/>
              <w:right w:val="nil"/>
            </w:tcBorders>
            <w:shd w:val="clear" w:color="auto" w:fill="auto"/>
            <w:vAlign w:val="center"/>
            <w:hideMark/>
          </w:tcPr>
          <w:p w14:paraId="649ABA4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(0.123)</w:t>
            </w:r>
          </w:p>
        </w:tc>
      </w:tr>
      <w:tr w:rsidR="00244248" w:rsidRPr="008D4339" w14:paraId="741E7C1E" w14:textId="77777777" w:rsidTr="00335B25">
        <w:trPr>
          <w:trHeight w:val="255"/>
        </w:trPr>
        <w:tc>
          <w:tcPr>
            <w:tcW w:w="3837" w:type="dxa"/>
            <w:tcBorders>
              <w:top w:val="nil"/>
              <w:left w:val="nil"/>
              <w:bottom w:val="nil"/>
              <w:right w:val="nil"/>
            </w:tcBorders>
            <w:shd w:val="clear" w:color="auto" w:fill="auto"/>
            <w:vAlign w:val="center"/>
            <w:hideMark/>
          </w:tcPr>
          <w:p w14:paraId="124E29CE"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Relationship status </w:t>
            </w:r>
            <w:r w:rsidRPr="008D4339">
              <w:rPr>
                <w:rFonts w:ascii="Calibri Light" w:eastAsia="Times New Roman" w:hAnsi="Calibri Light" w:cs="Calibri Light"/>
                <w:color w:val="000000"/>
                <w:sz w:val="20"/>
                <w:szCs w:val="20"/>
                <w:lang w:eastAsia="en-AU"/>
              </w:rPr>
              <w:t>(ref: Single)</w:t>
            </w:r>
          </w:p>
        </w:tc>
        <w:tc>
          <w:tcPr>
            <w:tcW w:w="1276" w:type="dxa"/>
            <w:tcBorders>
              <w:top w:val="nil"/>
              <w:left w:val="nil"/>
              <w:bottom w:val="nil"/>
              <w:right w:val="nil"/>
            </w:tcBorders>
            <w:shd w:val="clear" w:color="auto" w:fill="auto"/>
            <w:vAlign w:val="center"/>
            <w:hideMark/>
          </w:tcPr>
          <w:p w14:paraId="5BA677E9"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1C5308B4"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388199D0"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5EF691C9"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3443A1F7"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21A9415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753BB04A"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0DE70E5B"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1159F98D" w14:textId="77777777" w:rsidTr="00335B25">
        <w:trPr>
          <w:trHeight w:val="255"/>
        </w:trPr>
        <w:tc>
          <w:tcPr>
            <w:tcW w:w="3837" w:type="dxa"/>
            <w:tcBorders>
              <w:top w:val="nil"/>
              <w:left w:val="nil"/>
              <w:bottom w:val="nil"/>
              <w:right w:val="nil"/>
            </w:tcBorders>
            <w:shd w:val="clear" w:color="auto" w:fill="auto"/>
            <w:vAlign w:val="center"/>
            <w:hideMark/>
          </w:tcPr>
          <w:p w14:paraId="508C7A8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Married</w:t>
            </w:r>
          </w:p>
        </w:tc>
        <w:tc>
          <w:tcPr>
            <w:tcW w:w="1276" w:type="dxa"/>
            <w:tcBorders>
              <w:top w:val="nil"/>
              <w:left w:val="nil"/>
              <w:bottom w:val="nil"/>
              <w:right w:val="nil"/>
            </w:tcBorders>
            <w:shd w:val="clear" w:color="auto" w:fill="auto"/>
            <w:vAlign w:val="center"/>
            <w:hideMark/>
          </w:tcPr>
          <w:p w14:paraId="3845F2D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0.784***</w:t>
            </w:r>
          </w:p>
        </w:tc>
        <w:tc>
          <w:tcPr>
            <w:tcW w:w="840" w:type="dxa"/>
            <w:tcBorders>
              <w:top w:val="nil"/>
              <w:left w:val="nil"/>
              <w:bottom w:val="nil"/>
              <w:right w:val="nil"/>
            </w:tcBorders>
            <w:shd w:val="clear" w:color="auto" w:fill="auto"/>
            <w:vAlign w:val="center"/>
            <w:hideMark/>
          </w:tcPr>
          <w:p w14:paraId="6E824C3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(0.068)</w:t>
            </w:r>
          </w:p>
        </w:tc>
        <w:tc>
          <w:tcPr>
            <w:tcW w:w="1135" w:type="dxa"/>
            <w:tcBorders>
              <w:top w:val="nil"/>
              <w:left w:val="nil"/>
              <w:bottom w:val="nil"/>
              <w:right w:val="nil"/>
            </w:tcBorders>
            <w:shd w:val="clear" w:color="auto" w:fill="auto"/>
            <w:vAlign w:val="center"/>
            <w:hideMark/>
          </w:tcPr>
          <w:p w14:paraId="17B1DA1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0.700***</w:t>
            </w:r>
          </w:p>
        </w:tc>
        <w:tc>
          <w:tcPr>
            <w:tcW w:w="959" w:type="dxa"/>
            <w:gridSpan w:val="2"/>
            <w:tcBorders>
              <w:top w:val="nil"/>
              <w:left w:val="nil"/>
              <w:bottom w:val="nil"/>
              <w:right w:val="nil"/>
            </w:tcBorders>
            <w:shd w:val="clear" w:color="auto" w:fill="auto"/>
            <w:vAlign w:val="center"/>
            <w:hideMark/>
          </w:tcPr>
          <w:p w14:paraId="1D0808D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(0.105)</w:t>
            </w:r>
          </w:p>
        </w:tc>
        <w:tc>
          <w:tcPr>
            <w:tcW w:w="970" w:type="dxa"/>
            <w:tcBorders>
              <w:top w:val="nil"/>
              <w:left w:val="nil"/>
              <w:bottom w:val="nil"/>
              <w:right w:val="nil"/>
            </w:tcBorders>
            <w:shd w:val="clear" w:color="auto" w:fill="auto"/>
            <w:vAlign w:val="center"/>
            <w:hideMark/>
          </w:tcPr>
          <w:p w14:paraId="5848A05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0.958***</w:t>
            </w:r>
          </w:p>
        </w:tc>
        <w:tc>
          <w:tcPr>
            <w:tcW w:w="959" w:type="dxa"/>
            <w:gridSpan w:val="2"/>
            <w:tcBorders>
              <w:top w:val="nil"/>
              <w:left w:val="nil"/>
              <w:bottom w:val="nil"/>
              <w:right w:val="nil"/>
            </w:tcBorders>
            <w:shd w:val="clear" w:color="auto" w:fill="auto"/>
            <w:vAlign w:val="center"/>
            <w:hideMark/>
          </w:tcPr>
          <w:p w14:paraId="753CCB5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(0.251)</w:t>
            </w:r>
          </w:p>
        </w:tc>
        <w:tc>
          <w:tcPr>
            <w:tcW w:w="970" w:type="dxa"/>
            <w:tcBorders>
              <w:top w:val="nil"/>
              <w:left w:val="nil"/>
              <w:bottom w:val="nil"/>
              <w:right w:val="nil"/>
            </w:tcBorders>
            <w:shd w:val="clear" w:color="auto" w:fill="auto"/>
            <w:vAlign w:val="center"/>
            <w:hideMark/>
          </w:tcPr>
          <w:p w14:paraId="3852250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0.117</w:t>
            </w:r>
          </w:p>
        </w:tc>
        <w:tc>
          <w:tcPr>
            <w:tcW w:w="959" w:type="dxa"/>
            <w:gridSpan w:val="2"/>
            <w:tcBorders>
              <w:top w:val="nil"/>
              <w:left w:val="nil"/>
              <w:bottom w:val="nil"/>
              <w:right w:val="nil"/>
            </w:tcBorders>
            <w:shd w:val="clear" w:color="auto" w:fill="auto"/>
            <w:vAlign w:val="center"/>
            <w:hideMark/>
          </w:tcPr>
          <w:p w14:paraId="4263FFD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(0.068)</w:t>
            </w:r>
          </w:p>
        </w:tc>
      </w:tr>
      <w:tr w:rsidR="00244248" w:rsidRPr="008D4339" w14:paraId="77EB159F" w14:textId="77777777" w:rsidTr="00335B25">
        <w:trPr>
          <w:trHeight w:val="255"/>
        </w:trPr>
        <w:tc>
          <w:tcPr>
            <w:tcW w:w="3837" w:type="dxa"/>
            <w:tcBorders>
              <w:top w:val="nil"/>
              <w:left w:val="nil"/>
              <w:bottom w:val="single" w:sz="4" w:space="0" w:color="ED7D31"/>
              <w:right w:val="nil"/>
            </w:tcBorders>
            <w:shd w:val="clear" w:color="auto" w:fill="auto"/>
            <w:vAlign w:val="center"/>
            <w:hideMark/>
          </w:tcPr>
          <w:p w14:paraId="43C75D0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Cohabiting</w:t>
            </w:r>
          </w:p>
        </w:tc>
        <w:tc>
          <w:tcPr>
            <w:tcW w:w="1276" w:type="dxa"/>
            <w:tcBorders>
              <w:top w:val="nil"/>
              <w:left w:val="nil"/>
              <w:bottom w:val="single" w:sz="8" w:space="0" w:color="ED7D31"/>
              <w:right w:val="nil"/>
            </w:tcBorders>
            <w:shd w:val="clear" w:color="auto" w:fill="auto"/>
            <w:vAlign w:val="center"/>
            <w:hideMark/>
          </w:tcPr>
          <w:p w14:paraId="5248C85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0.824***</w:t>
            </w:r>
          </w:p>
        </w:tc>
        <w:tc>
          <w:tcPr>
            <w:tcW w:w="840" w:type="dxa"/>
            <w:tcBorders>
              <w:top w:val="nil"/>
              <w:left w:val="nil"/>
              <w:bottom w:val="single" w:sz="8" w:space="0" w:color="ED7D31"/>
              <w:right w:val="nil"/>
            </w:tcBorders>
            <w:shd w:val="clear" w:color="auto" w:fill="auto"/>
            <w:vAlign w:val="center"/>
            <w:hideMark/>
          </w:tcPr>
          <w:p w14:paraId="4D3A493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(0.054)</w:t>
            </w:r>
          </w:p>
        </w:tc>
        <w:tc>
          <w:tcPr>
            <w:tcW w:w="1135" w:type="dxa"/>
            <w:tcBorders>
              <w:top w:val="nil"/>
              <w:left w:val="nil"/>
              <w:bottom w:val="single" w:sz="8" w:space="0" w:color="ED7D31"/>
              <w:right w:val="nil"/>
            </w:tcBorders>
            <w:shd w:val="clear" w:color="auto" w:fill="auto"/>
            <w:vAlign w:val="center"/>
            <w:hideMark/>
          </w:tcPr>
          <w:p w14:paraId="5017586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0.563***</w:t>
            </w:r>
          </w:p>
        </w:tc>
        <w:tc>
          <w:tcPr>
            <w:tcW w:w="959" w:type="dxa"/>
            <w:gridSpan w:val="2"/>
            <w:tcBorders>
              <w:top w:val="nil"/>
              <w:left w:val="nil"/>
              <w:bottom w:val="single" w:sz="8" w:space="0" w:color="ED7D31"/>
              <w:right w:val="nil"/>
            </w:tcBorders>
            <w:shd w:val="clear" w:color="auto" w:fill="auto"/>
            <w:vAlign w:val="center"/>
            <w:hideMark/>
          </w:tcPr>
          <w:p w14:paraId="2AA78C09"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(0.065)</w:t>
            </w:r>
          </w:p>
        </w:tc>
        <w:tc>
          <w:tcPr>
            <w:tcW w:w="970" w:type="dxa"/>
            <w:tcBorders>
              <w:top w:val="nil"/>
              <w:left w:val="nil"/>
              <w:bottom w:val="single" w:sz="8" w:space="0" w:color="ED7D31"/>
              <w:right w:val="nil"/>
            </w:tcBorders>
            <w:shd w:val="clear" w:color="auto" w:fill="auto"/>
            <w:vAlign w:val="center"/>
            <w:hideMark/>
          </w:tcPr>
          <w:p w14:paraId="78B4119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1.136***</w:t>
            </w:r>
          </w:p>
        </w:tc>
        <w:tc>
          <w:tcPr>
            <w:tcW w:w="959" w:type="dxa"/>
            <w:gridSpan w:val="2"/>
            <w:tcBorders>
              <w:top w:val="nil"/>
              <w:left w:val="nil"/>
              <w:bottom w:val="single" w:sz="8" w:space="0" w:color="ED7D31"/>
              <w:right w:val="nil"/>
            </w:tcBorders>
            <w:shd w:val="clear" w:color="auto" w:fill="auto"/>
            <w:vAlign w:val="center"/>
            <w:hideMark/>
          </w:tcPr>
          <w:p w14:paraId="2F13529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(0.204)</w:t>
            </w:r>
          </w:p>
        </w:tc>
        <w:tc>
          <w:tcPr>
            <w:tcW w:w="970" w:type="dxa"/>
            <w:tcBorders>
              <w:top w:val="nil"/>
              <w:left w:val="nil"/>
              <w:bottom w:val="single" w:sz="8" w:space="0" w:color="ED7D31"/>
              <w:right w:val="nil"/>
            </w:tcBorders>
            <w:shd w:val="clear" w:color="auto" w:fill="auto"/>
            <w:vAlign w:val="center"/>
            <w:hideMark/>
          </w:tcPr>
          <w:p w14:paraId="1353BC5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0.527***</w:t>
            </w:r>
          </w:p>
        </w:tc>
        <w:tc>
          <w:tcPr>
            <w:tcW w:w="959" w:type="dxa"/>
            <w:gridSpan w:val="2"/>
            <w:tcBorders>
              <w:top w:val="nil"/>
              <w:left w:val="nil"/>
              <w:bottom w:val="single" w:sz="8" w:space="0" w:color="ED7D31"/>
              <w:right w:val="nil"/>
            </w:tcBorders>
            <w:shd w:val="clear" w:color="auto" w:fill="auto"/>
            <w:vAlign w:val="center"/>
            <w:hideMark/>
          </w:tcPr>
          <w:p w14:paraId="0E6C9DB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(0.054)</w:t>
            </w:r>
          </w:p>
        </w:tc>
      </w:tr>
      <w:tr w:rsidR="00244248" w:rsidRPr="008D4339" w14:paraId="133CC686" w14:textId="77777777" w:rsidTr="00335B25">
        <w:trPr>
          <w:trHeight w:val="255"/>
        </w:trPr>
        <w:tc>
          <w:tcPr>
            <w:tcW w:w="3837" w:type="dxa"/>
            <w:tcBorders>
              <w:top w:val="nil"/>
              <w:left w:val="nil"/>
              <w:bottom w:val="nil"/>
              <w:right w:val="nil"/>
            </w:tcBorders>
            <w:shd w:val="clear" w:color="auto" w:fill="auto"/>
            <w:vAlign w:val="center"/>
            <w:hideMark/>
          </w:tcPr>
          <w:p w14:paraId="10A9720C"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 xml:space="preserve">Employment </w:t>
            </w:r>
            <w:r w:rsidRPr="008D4339">
              <w:rPr>
                <w:rFonts w:ascii="Calibri Light" w:eastAsia="Times New Roman" w:hAnsi="Calibri Light" w:cs="Calibri Light"/>
                <w:color w:val="000000"/>
                <w:sz w:val="20"/>
                <w:szCs w:val="20"/>
                <w:lang w:eastAsia="en-AU"/>
              </w:rPr>
              <w:t>(ref: Permanent full-time)</w:t>
            </w:r>
          </w:p>
        </w:tc>
        <w:tc>
          <w:tcPr>
            <w:tcW w:w="1276" w:type="dxa"/>
            <w:tcBorders>
              <w:top w:val="nil"/>
              <w:left w:val="nil"/>
              <w:bottom w:val="nil"/>
              <w:right w:val="nil"/>
            </w:tcBorders>
            <w:shd w:val="clear" w:color="auto" w:fill="auto"/>
            <w:vAlign w:val="center"/>
            <w:hideMark/>
          </w:tcPr>
          <w:p w14:paraId="4F88DE72"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50CA9C1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shd w:val="clear" w:color="auto" w:fill="auto"/>
            <w:vAlign w:val="center"/>
            <w:hideMark/>
          </w:tcPr>
          <w:p w14:paraId="07D24485"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289B5DF6"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6B70705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5391DE58"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1E0BA6D2"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c>
          <w:tcPr>
            <w:tcW w:w="959" w:type="dxa"/>
            <w:gridSpan w:val="2"/>
            <w:tcBorders>
              <w:top w:val="nil"/>
              <w:left w:val="nil"/>
              <w:bottom w:val="nil"/>
              <w:right w:val="nil"/>
            </w:tcBorders>
            <w:shd w:val="clear" w:color="auto" w:fill="auto"/>
            <w:vAlign w:val="center"/>
            <w:hideMark/>
          </w:tcPr>
          <w:p w14:paraId="400B7964" w14:textId="77777777" w:rsidR="00244248" w:rsidRPr="008D4339" w:rsidRDefault="00244248" w:rsidP="00335B25">
            <w:pPr>
              <w:spacing w:after="0" w:line="240" w:lineRule="auto"/>
              <w:rPr>
                <w:rFonts w:ascii="Times New Roman" w:eastAsia="Times New Roman" w:hAnsi="Times New Roman" w:cs="Times New Roman"/>
                <w:sz w:val="20"/>
                <w:szCs w:val="20"/>
                <w:lang w:eastAsia="en-AU"/>
              </w:rPr>
            </w:pPr>
          </w:p>
        </w:tc>
      </w:tr>
      <w:tr w:rsidR="00244248" w:rsidRPr="008D4339" w14:paraId="321495BF" w14:textId="77777777" w:rsidTr="00335B25">
        <w:trPr>
          <w:trHeight w:val="255"/>
        </w:trPr>
        <w:tc>
          <w:tcPr>
            <w:tcW w:w="3837" w:type="dxa"/>
            <w:tcBorders>
              <w:top w:val="nil"/>
              <w:left w:val="nil"/>
              <w:bottom w:val="nil"/>
              <w:right w:val="nil"/>
            </w:tcBorders>
            <w:shd w:val="clear" w:color="auto" w:fill="auto"/>
            <w:vAlign w:val="center"/>
            <w:hideMark/>
          </w:tcPr>
          <w:p w14:paraId="1D98CA50"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Permanent part-time</w:t>
            </w:r>
          </w:p>
        </w:tc>
        <w:tc>
          <w:tcPr>
            <w:tcW w:w="1276" w:type="dxa"/>
            <w:tcBorders>
              <w:top w:val="nil"/>
              <w:left w:val="nil"/>
              <w:bottom w:val="nil"/>
              <w:right w:val="nil"/>
            </w:tcBorders>
            <w:shd w:val="clear" w:color="auto" w:fill="auto"/>
            <w:vAlign w:val="center"/>
            <w:hideMark/>
          </w:tcPr>
          <w:p w14:paraId="09962B6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-0.054</w:t>
            </w:r>
          </w:p>
        </w:tc>
        <w:tc>
          <w:tcPr>
            <w:tcW w:w="840" w:type="dxa"/>
            <w:tcBorders>
              <w:top w:val="nil"/>
              <w:left w:val="nil"/>
              <w:bottom w:val="nil"/>
              <w:right w:val="nil"/>
            </w:tcBorders>
            <w:shd w:val="clear" w:color="auto" w:fill="auto"/>
            <w:vAlign w:val="center"/>
            <w:hideMark/>
          </w:tcPr>
          <w:p w14:paraId="610C5ED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(0.047)</w:t>
            </w:r>
          </w:p>
        </w:tc>
        <w:tc>
          <w:tcPr>
            <w:tcW w:w="1135" w:type="dxa"/>
            <w:tcBorders>
              <w:top w:val="nil"/>
              <w:left w:val="nil"/>
              <w:bottom w:val="nil"/>
              <w:right w:val="nil"/>
            </w:tcBorders>
            <w:shd w:val="clear" w:color="auto" w:fill="auto"/>
            <w:vAlign w:val="center"/>
            <w:hideMark/>
          </w:tcPr>
          <w:p w14:paraId="32A050E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0.027</w:t>
            </w:r>
          </w:p>
        </w:tc>
        <w:tc>
          <w:tcPr>
            <w:tcW w:w="959" w:type="dxa"/>
            <w:gridSpan w:val="2"/>
            <w:tcBorders>
              <w:top w:val="nil"/>
              <w:left w:val="nil"/>
              <w:bottom w:val="nil"/>
              <w:right w:val="nil"/>
            </w:tcBorders>
            <w:shd w:val="clear" w:color="auto" w:fill="auto"/>
            <w:vAlign w:val="center"/>
            <w:hideMark/>
          </w:tcPr>
          <w:p w14:paraId="4B4D6B9D"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(0.067)</w:t>
            </w:r>
          </w:p>
        </w:tc>
        <w:tc>
          <w:tcPr>
            <w:tcW w:w="970" w:type="dxa"/>
            <w:tcBorders>
              <w:top w:val="nil"/>
              <w:left w:val="nil"/>
              <w:bottom w:val="nil"/>
              <w:right w:val="nil"/>
            </w:tcBorders>
            <w:shd w:val="clear" w:color="auto" w:fill="auto"/>
            <w:vAlign w:val="center"/>
            <w:hideMark/>
          </w:tcPr>
          <w:p w14:paraId="742645D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0.154</w:t>
            </w:r>
          </w:p>
        </w:tc>
        <w:tc>
          <w:tcPr>
            <w:tcW w:w="959" w:type="dxa"/>
            <w:gridSpan w:val="2"/>
            <w:tcBorders>
              <w:top w:val="nil"/>
              <w:left w:val="nil"/>
              <w:bottom w:val="nil"/>
              <w:right w:val="nil"/>
            </w:tcBorders>
            <w:shd w:val="clear" w:color="auto" w:fill="auto"/>
            <w:vAlign w:val="center"/>
            <w:hideMark/>
          </w:tcPr>
          <w:p w14:paraId="7B533BB3"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(0.139)</w:t>
            </w:r>
          </w:p>
        </w:tc>
        <w:tc>
          <w:tcPr>
            <w:tcW w:w="970" w:type="dxa"/>
            <w:tcBorders>
              <w:top w:val="nil"/>
              <w:left w:val="nil"/>
              <w:bottom w:val="nil"/>
              <w:right w:val="nil"/>
            </w:tcBorders>
            <w:shd w:val="clear" w:color="auto" w:fill="auto"/>
            <w:vAlign w:val="center"/>
            <w:hideMark/>
          </w:tcPr>
          <w:p w14:paraId="43262B2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-0.027</w:t>
            </w:r>
          </w:p>
        </w:tc>
        <w:tc>
          <w:tcPr>
            <w:tcW w:w="959" w:type="dxa"/>
            <w:gridSpan w:val="2"/>
            <w:tcBorders>
              <w:top w:val="nil"/>
              <w:left w:val="nil"/>
              <w:bottom w:val="nil"/>
              <w:right w:val="nil"/>
            </w:tcBorders>
            <w:shd w:val="clear" w:color="auto" w:fill="auto"/>
            <w:vAlign w:val="center"/>
            <w:hideMark/>
          </w:tcPr>
          <w:p w14:paraId="2A524B04"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(0.047)</w:t>
            </w:r>
          </w:p>
        </w:tc>
      </w:tr>
      <w:tr w:rsidR="00244248" w:rsidRPr="008D4339" w14:paraId="351AFCA1" w14:textId="77777777" w:rsidTr="00335B25">
        <w:trPr>
          <w:trHeight w:val="255"/>
        </w:trPr>
        <w:tc>
          <w:tcPr>
            <w:tcW w:w="3837" w:type="dxa"/>
            <w:tcBorders>
              <w:top w:val="nil"/>
              <w:left w:val="nil"/>
              <w:bottom w:val="nil"/>
              <w:right w:val="nil"/>
            </w:tcBorders>
            <w:shd w:val="clear" w:color="auto" w:fill="auto"/>
            <w:vAlign w:val="center"/>
            <w:hideMark/>
          </w:tcPr>
          <w:p w14:paraId="5AC18A31"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Casual full-time</w:t>
            </w:r>
          </w:p>
        </w:tc>
        <w:tc>
          <w:tcPr>
            <w:tcW w:w="1276" w:type="dxa"/>
            <w:tcBorders>
              <w:top w:val="nil"/>
              <w:left w:val="nil"/>
              <w:bottom w:val="nil"/>
              <w:right w:val="nil"/>
            </w:tcBorders>
            <w:shd w:val="clear" w:color="auto" w:fill="auto"/>
            <w:vAlign w:val="center"/>
            <w:hideMark/>
          </w:tcPr>
          <w:p w14:paraId="4DDF506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0.072</w:t>
            </w:r>
          </w:p>
        </w:tc>
        <w:tc>
          <w:tcPr>
            <w:tcW w:w="840" w:type="dxa"/>
            <w:tcBorders>
              <w:top w:val="nil"/>
              <w:left w:val="nil"/>
              <w:bottom w:val="nil"/>
              <w:right w:val="nil"/>
            </w:tcBorders>
            <w:shd w:val="clear" w:color="auto" w:fill="auto"/>
            <w:vAlign w:val="center"/>
            <w:hideMark/>
          </w:tcPr>
          <w:p w14:paraId="0B1CF1D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(0.062)</w:t>
            </w:r>
          </w:p>
        </w:tc>
        <w:tc>
          <w:tcPr>
            <w:tcW w:w="1135" w:type="dxa"/>
            <w:tcBorders>
              <w:top w:val="nil"/>
              <w:left w:val="nil"/>
              <w:bottom w:val="nil"/>
              <w:right w:val="nil"/>
            </w:tcBorders>
            <w:shd w:val="clear" w:color="auto" w:fill="auto"/>
            <w:vAlign w:val="center"/>
            <w:hideMark/>
          </w:tcPr>
          <w:p w14:paraId="7075835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0.137*</w:t>
            </w:r>
          </w:p>
        </w:tc>
        <w:tc>
          <w:tcPr>
            <w:tcW w:w="959" w:type="dxa"/>
            <w:gridSpan w:val="2"/>
            <w:tcBorders>
              <w:top w:val="nil"/>
              <w:left w:val="nil"/>
              <w:bottom w:val="nil"/>
              <w:right w:val="nil"/>
            </w:tcBorders>
            <w:shd w:val="clear" w:color="auto" w:fill="auto"/>
            <w:vAlign w:val="center"/>
            <w:hideMark/>
          </w:tcPr>
          <w:p w14:paraId="673C851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(0.076)</w:t>
            </w:r>
          </w:p>
        </w:tc>
        <w:tc>
          <w:tcPr>
            <w:tcW w:w="970" w:type="dxa"/>
            <w:tcBorders>
              <w:top w:val="nil"/>
              <w:left w:val="nil"/>
              <w:bottom w:val="nil"/>
              <w:right w:val="nil"/>
            </w:tcBorders>
            <w:shd w:val="clear" w:color="auto" w:fill="auto"/>
            <w:vAlign w:val="center"/>
            <w:hideMark/>
          </w:tcPr>
          <w:p w14:paraId="17CA66C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0.197</w:t>
            </w:r>
          </w:p>
        </w:tc>
        <w:tc>
          <w:tcPr>
            <w:tcW w:w="959" w:type="dxa"/>
            <w:gridSpan w:val="2"/>
            <w:tcBorders>
              <w:top w:val="nil"/>
              <w:left w:val="nil"/>
              <w:bottom w:val="nil"/>
              <w:right w:val="nil"/>
            </w:tcBorders>
            <w:shd w:val="clear" w:color="auto" w:fill="auto"/>
            <w:vAlign w:val="center"/>
            <w:hideMark/>
          </w:tcPr>
          <w:p w14:paraId="4AD676B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(0.290)</w:t>
            </w:r>
          </w:p>
        </w:tc>
        <w:tc>
          <w:tcPr>
            <w:tcW w:w="970" w:type="dxa"/>
            <w:tcBorders>
              <w:top w:val="nil"/>
              <w:left w:val="nil"/>
              <w:bottom w:val="nil"/>
              <w:right w:val="nil"/>
            </w:tcBorders>
            <w:shd w:val="clear" w:color="auto" w:fill="auto"/>
            <w:vAlign w:val="center"/>
            <w:hideMark/>
          </w:tcPr>
          <w:p w14:paraId="2095968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-0.045</w:t>
            </w:r>
          </w:p>
        </w:tc>
        <w:tc>
          <w:tcPr>
            <w:tcW w:w="959" w:type="dxa"/>
            <w:gridSpan w:val="2"/>
            <w:tcBorders>
              <w:top w:val="nil"/>
              <w:left w:val="nil"/>
              <w:bottom w:val="nil"/>
              <w:right w:val="nil"/>
            </w:tcBorders>
            <w:shd w:val="clear" w:color="auto" w:fill="auto"/>
            <w:vAlign w:val="center"/>
            <w:hideMark/>
          </w:tcPr>
          <w:p w14:paraId="25BBEA5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(0.062)</w:t>
            </w:r>
          </w:p>
        </w:tc>
      </w:tr>
      <w:tr w:rsidR="00244248" w:rsidRPr="008D4339" w14:paraId="0017117B" w14:textId="77777777" w:rsidTr="00335B25">
        <w:trPr>
          <w:trHeight w:val="255"/>
        </w:trPr>
        <w:tc>
          <w:tcPr>
            <w:tcW w:w="3837" w:type="dxa"/>
            <w:tcBorders>
              <w:top w:val="nil"/>
              <w:left w:val="nil"/>
              <w:bottom w:val="nil"/>
              <w:right w:val="nil"/>
            </w:tcBorders>
            <w:shd w:val="clear" w:color="auto" w:fill="auto"/>
            <w:vAlign w:val="center"/>
            <w:hideMark/>
          </w:tcPr>
          <w:p w14:paraId="675A763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Casual part-time</w:t>
            </w:r>
          </w:p>
        </w:tc>
        <w:tc>
          <w:tcPr>
            <w:tcW w:w="1276" w:type="dxa"/>
            <w:tcBorders>
              <w:top w:val="nil"/>
              <w:left w:val="nil"/>
              <w:bottom w:val="nil"/>
              <w:right w:val="nil"/>
            </w:tcBorders>
            <w:shd w:val="clear" w:color="auto" w:fill="auto"/>
            <w:vAlign w:val="center"/>
            <w:hideMark/>
          </w:tcPr>
          <w:p w14:paraId="147611FF"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0.046</w:t>
            </w:r>
          </w:p>
        </w:tc>
        <w:tc>
          <w:tcPr>
            <w:tcW w:w="840" w:type="dxa"/>
            <w:tcBorders>
              <w:top w:val="nil"/>
              <w:left w:val="nil"/>
              <w:bottom w:val="nil"/>
              <w:right w:val="nil"/>
            </w:tcBorders>
            <w:shd w:val="clear" w:color="auto" w:fill="auto"/>
            <w:vAlign w:val="center"/>
            <w:hideMark/>
          </w:tcPr>
          <w:p w14:paraId="109D1A5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(0.045)</w:t>
            </w:r>
          </w:p>
        </w:tc>
        <w:tc>
          <w:tcPr>
            <w:tcW w:w="1135" w:type="dxa"/>
            <w:tcBorders>
              <w:top w:val="nil"/>
              <w:left w:val="nil"/>
              <w:bottom w:val="nil"/>
              <w:right w:val="nil"/>
            </w:tcBorders>
            <w:shd w:val="clear" w:color="auto" w:fill="auto"/>
            <w:vAlign w:val="center"/>
            <w:hideMark/>
          </w:tcPr>
          <w:p w14:paraId="76081FA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0.018</w:t>
            </w:r>
          </w:p>
        </w:tc>
        <w:tc>
          <w:tcPr>
            <w:tcW w:w="959" w:type="dxa"/>
            <w:gridSpan w:val="2"/>
            <w:tcBorders>
              <w:top w:val="nil"/>
              <w:left w:val="nil"/>
              <w:bottom w:val="nil"/>
              <w:right w:val="nil"/>
            </w:tcBorders>
            <w:shd w:val="clear" w:color="auto" w:fill="auto"/>
            <w:vAlign w:val="center"/>
            <w:hideMark/>
          </w:tcPr>
          <w:p w14:paraId="30B2E4F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(0.057)</w:t>
            </w:r>
          </w:p>
        </w:tc>
        <w:tc>
          <w:tcPr>
            <w:tcW w:w="970" w:type="dxa"/>
            <w:tcBorders>
              <w:top w:val="nil"/>
              <w:left w:val="nil"/>
              <w:bottom w:val="nil"/>
              <w:right w:val="nil"/>
            </w:tcBorders>
            <w:shd w:val="clear" w:color="auto" w:fill="auto"/>
            <w:vAlign w:val="center"/>
            <w:hideMark/>
          </w:tcPr>
          <w:p w14:paraId="5A05CFE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0.442**</w:t>
            </w:r>
          </w:p>
        </w:tc>
        <w:tc>
          <w:tcPr>
            <w:tcW w:w="959" w:type="dxa"/>
            <w:gridSpan w:val="2"/>
            <w:tcBorders>
              <w:top w:val="nil"/>
              <w:left w:val="nil"/>
              <w:bottom w:val="nil"/>
              <w:right w:val="nil"/>
            </w:tcBorders>
            <w:shd w:val="clear" w:color="auto" w:fill="auto"/>
            <w:vAlign w:val="center"/>
            <w:hideMark/>
          </w:tcPr>
          <w:p w14:paraId="2C05053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(0.178)</w:t>
            </w:r>
          </w:p>
        </w:tc>
        <w:tc>
          <w:tcPr>
            <w:tcW w:w="970" w:type="dxa"/>
            <w:tcBorders>
              <w:top w:val="nil"/>
              <w:left w:val="nil"/>
              <w:bottom w:val="nil"/>
              <w:right w:val="nil"/>
            </w:tcBorders>
            <w:shd w:val="clear" w:color="auto" w:fill="auto"/>
            <w:vAlign w:val="center"/>
            <w:hideMark/>
          </w:tcPr>
          <w:p w14:paraId="57A6E3D4"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0.127</w:t>
            </w:r>
          </w:p>
        </w:tc>
        <w:tc>
          <w:tcPr>
            <w:tcW w:w="959" w:type="dxa"/>
            <w:gridSpan w:val="2"/>
            <w:tcBorders>
              <w:top w:val="nil"/>
              <w:left w:val="nil"/>
              <w:bottom w:val="nil"/>
              <w:right w:val="nil"/>
            </w:tcBorders>
            <w:shd w:val="clear" w:color="auto" w:fill="auto"/>
            <w:vAlign w:val="center"/>
            <w:hideMark/>
          </w:tcPr>
          <w:p w14:paraId="387F20B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(0.045)</w:t>
            </w:r>
          </w:p>
        </w:tc>
      </w:tr>
      <w:tr w:rsidR="00244248" w:rsidRPr="008D4339" w14:paraId="6CA73E71" w14:textId="77777777" w:rsidTr="00335B25">
        <w:trPr>
          <w:trHeight w:val="255"/>
        </w:trPr>
        <w:tc>
          <w:tcPr>
            <w:tcW w:w="3837" w:type="dxa"/>
            <w:tcBorders>
              <w:top w:val="nil"/>
              <w:left w:val="nil"/>
              <w:bottom w:val="nil"/>
              <w:right w:val="nil"/>
            </w:tcBorders>
            <w:shd w:val="clear" w:color="auto" w:fill="auto"/>
            <w:vAlign w:val="center"/>
            <w:hideMark/>
          </w:tcPr>
          <w:p w14:paraId="10065EF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Self-employed</w:t>
            </w:r>
          </w:p>
        </w:tc>
        <w:tc>
          <w:tcPr>
            <w:tcW w:w="1276" w:type="dxa"/>
            <w:tcBorders>
              <w:top w:val="nil"/>
              <w:left w:val="nil"/>
              <w:bottom w:val="nil"/>
              <w:right w:val="nil"/>
            </w:tcBorders>
            <w:shd w:val="clear" w:color="auto" w:fill="auto"/>
            <w:vAlign w:val="center"/>
            <w:hideMark/>
          </w:tcPr>
          <w:p w14:paraId="5F762E47"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0.145*</w:t>
            </w:r>
          </w:p>
        </w:tc>
        <w:tc>
          <w:tcPr>
            <w:tcW w:w="840" w:type="dxa"/>
            <w:tcBorders>
              <w:top w:val="nil"/>
              <w:left w:val="nil"/>
              <w:bottom w:val="nil"/>
              <w:right w:val="nil"/>
            </w:tcBorders>
            <w:shd w:val="clear" w:color="auto" w:fill="auto"/>
            <w:vAlign w:val="center"/>
            <w:hideMark/>
          </w:tcPr>
          <w:p w14:paraId="53DA4DA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(0.087)</w:t>
            </w:r>
          </w:p>
        </w:tc>
        <w:tc>
          <w:tcPr>
            <w:tcW w:w="1135" w:type="dxa"/>
            <w:tcBorders>
              <w:top w:val="nil"/>
              <w:left w:val="nil"/>
              <w:bottom w:val="nil"/>
              <w:right w:val="nil"/>
            </w:tcBorders>
            <w:shd w:val="clear" w:color="auto" w:fill="auto"/>
            <w:vAlign w:val="center"/>
            <w:hideMark/>
          </w:tcPr>
          <w:p w14:paraId="78E1CA9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-0.053</w:t>
            </w:r>
          </w:p>
        </w:tc>
        <w:tc>
          <w:tcPr>
            <w:tcW w:w="959" w:type="dxa"/>
            <w:gridSpan w:val="2"/>
            <w:tcBorders>
              <w:top w:val="nil"/>
              <w:left w:val="nil"/>
              <w:bottom w:val="nil"/>
              <w:right w:val="nil"/>
            </w:tcBorders>
            <w:shd w:val="clear" w:color="auto" w:fill="auto"/>
            <w:vAlign w:val="center"/>
            <w:hideMark/>
          </w:tcPr>
          <w:p w14:paraId="09261BA3"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(0.151)</w:t>
            </w:r>
          </w:p>
        </w:tc>
        <w:tc>
          <w:tcPr>
            <w:tcW w:w="970" w:type="dxa"/>
            <w:tcBorders>
              <w:top w:val="nil"/>
              <w:left w:val="nil"/>
              <w:bottom w:val="nil"/>
              <w:right w:val="nil"/>
            </w:tcBorders>
            <w:shd w:val="clear" w:color="auto" w:fill="auto"/>
            <w:vAlign w:val="center"/>
            <w:hideMark/>
          </w:tcPr>
          <w:p w14:paraId="15FEFDC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0.401</w:t>
            </w:r>
          </w:p>
        </w:tc>
        <w:tc>
          <w:tcPr>
            <w:tcW w:w="959" w:type="dxa"/>
            <w:gridSpan w:val="2"/>
            <w:tcBorders>
              <w:top w:val="nil"/>
              <w:left w:val="nil"/>
              <w:bottom w:val="nil"/>
              <w:right w:val="nil"/>
            </w:tcBorders>
            <w:shd w:val="clear" w:color="auto" w:fill="auto"/>
            <w:vAlign w:val="center"/>
            <w:hideMark/>
          </w:tcPr>
          <w:p w14:paraId="725A92A8"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(0.283)</w:t>
            </w:r>
          </w:p>
        </w:tc>
        <w:tc>
          <w:tcPr>
            <w:tcW w:w="970" w:type="dxa"/>
            <w:tcBorders>
              <w:top w:val="nil"/>
              <w:left w:val="nil"/>
              <w:bottom w:val="nil"/>
              <w:right w:val="nil"/>
            </w:tcBorders>
            <w:shd w:val="clear" w:color="auto" w:fill="auto"/>
            <w:vAlign w:val="center"/>
            <w:hideMark/>
          </w:tcPr>
          <w:p w14:paraId="17B92F4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0.113</w:t>
            </w:r>
          </w:p>
        </w:tc>
        <w:tc>
          <w:tcPr>
            <w:tcW w:w="959" w:type="dxa"/>
            <w:gridSpan w:val="2"/>
            <w:tcBorders>
              <w:top w:val="nil"/>
              <w:left w:val="nil"/>
              <w:bottom w:val="nil"/>
              <w:right w:val="nil"/>
            </w:tcBorders>
            <w:shd w:val="clear" w:color="auto" w:fill="auto"/>
            <w:vAlign w:val="center"/>
            <w:hideMark/>
          </w:tcPr>
          <w:p w14:paraId="36581841"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(0.087)</w:t>
            </w:r>
          </w:p>
        </w:tc>
      </w:tr>
      <w:tr w:rsidR="00244248" w:rsidRPr="008D4339" w14:paraId="228F5700" w14:textId="77777777" w:rsidTr="00335B25">
        <w:trPr>
          <w:trHeight w:val="255"/>
        </w:trPr>
        <w:tc>
          <w:tcPr>
            <w:tcW w:w="3837" w:type="dxa"/>
            <w:tcBorders>
              <w:top w:val="nil"/>
              <w:left w:val="nil"/>
              <w:bottom w:val="single" w:sz="4" w:space="0" w:color="ED7D31"/>
              <w:right w:val="nil"/>
            </w:tcBorders>
            <w:shd w:val="clear" w:color="auto" w:fill="auto"/>
            <w:vAlign w:val="center"/>
            <w:hideMark/>
          </w:tcPr>
          <w:p w14:paraId="6713642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Not working</w:t>
            </w:r>
          </w:p>
        </w:tc>
        <w:tc>
          <w:tcPr>
            <w:tcW w:w="1276" w:type="dxa"/>
            <w:tcBorders>
              <w:top w:val="nil"/>
              <w:left w:val="nil"/>
              <w:bottom w:val="single" w:sz="8" w:space="0" w:color="ED7D31"/>
              <w:right w:val="nil"/>
            </w:tcBorders>
            <w:shd w:val="clear" w:color="auto" w:fill="auto"/>
            <w:vAlign w:val="center"/>
            <w:hideMark/>
          </w:tcPr>
          <w:p w14:paraId="6DF6ADD8"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0.116**</w:t>
            </w:r>
          </w:p>
        </w:tc>
        <w:tc>
          <w:tcPr>
            <w:tcW w:w="840" w:type="dxa"/>
            <w:tcBorders>
              <w:top w:val="nil"/>
              <w:left w:val="nil"/>
              <w:bottom w:val="single" w:sz="8" w:space="0" w:color="ED7D31"/>
              <w:right w:val="nil"/>
            </w:tcBorders>
            <w:shd w:val="clear" w:color="auto" w:fill="auto"/>
            <w:vAlign w:val="center"/>
            <w:hideMark/>
          </w:tcPr>
          <w:p w14:paraId="2B782AB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(0.050)</w:t>
            </w:r>
          </w:p>
        </w:tc>
        <w:tc>
          <w:tcPr>
            <w:tcW w:w="1135" w:type="dxa"/>
            <w:tcBorders>
              <w:top w:val="nil"/>
              <w:left w:val="nil"/>
              <w:bottom w:val="single" w:sz="8" w:space="0" w:color="ED7D31"/>
              <w:right w:val="nil"/>
            </w:tcBorders>
            <w:shd w:val="clear" w:color="auto" w:fill="auto"/>
            <w:vAlign w:val="center"/>
            <w:hideMark/>
          </w:tcPr>
          <w:p w14:paraId="3C0B49A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-0.009</w:t>
            </w:r>
          </w:p>
        </w:tc>
        <w:tc>
          <w:tcPr>
            <w:tcW w:w="959" w:type="dxa"/>
            <w:gridSpan w:val="2"/>
            <w:tcBorders>
              <w:top w:val="nil"/>
              <w:left w:val="nil"/>
              <w:bottom w:val="single" w:sz="8" w:space="0" w:color="ED7D31"/>
              <w:right w:val="nil"/>
            </w:tcBorders>
            <w:shd w:val="clear" w:color="auto" w:fill="auto"/>
            <w:vAlign w:val="center"/>
            <w:hideMark/>
          </w:tcPr>
          <w:p w14:paraId="18166F9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(0.070)</w:t>
            </w:r>
          </w:p>
        </w:tc>
        <w:tc>
          <w:tcPr>
            <w:tcW w:w="970" w:type="dxa"/>
            <w:tcBorders>
              <w:top w:val="nil"/>
              <w:left w:val="nil"/>
              <w:bottom w:val="single" w:sz="8" w:space="0" w:color="ED7D31"/>
              <w:right w:val="nil"/>
            </w:tcBorders>
            <w:shd w:val="clear" w:color="auto" w:fill="auto"/>
            <w:vAlign w:val="center"/>
            <w:hideMark/>
          </w:tcPr>
          <w:p w14:paraId="2FC352A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0.005</w:t>
            </w:r>
          </w:p>
        </w:tc>
        <w:tc>
          <w:tcPr>
            <w:tcW w:w="959" w:type="dxa"/>
            <w:gridSpan w:val="2"/>
            <w:tcBorders>
              <w:top w:val="nil"/>
              <w:left w:val="nil"/>
              <w:bottom w:val="single" w:sz="8" w:space="0" w:color="ED7D31"/>
              <w:right w:val="nil"/>
            </w:tcBorders>
            <w:shd w:val="clear" w:color="auto" w:fill="auto"/>
            <w:vAlign w:val="center"/>
            <w:hideMark/>
          </w:tcPr>
          <w:p w14:paraId="73470BB0"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(0.169)</w:t>
            </w:r>
          </w:p>
        </w:tc>
        <w:tc>
          <w:tcPr>
            <w:tcW w:w="970" w:type="dxa"/>
            <w:tcBorders>
              <w:top w:val="nil"/>
              <w:left w:val="nil"/>
              <w:bottom w:val="single" w:sz="8" w:space="0" w:color="ED7D31"/>
              <w:right w:val="nil"/>
            </w:tcBorders>
            <w:shd w:val="clear" w:color="auto" w:fill="auto"/>
            <w:vAlign w:val="center"/>
            <w:hideMark/>
          </w:tcPr>
          <w:p w14:paraId="0798472B"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0.132</w:t>
            </w:r>
          </w:p>
        </w:tc>
        <w:tc>
          <w:tcPr>
            <w:tcW w:w="959" w:type="dxa"/>
            <w:gridSpan w:val="2"/>
            <w:tcBorders>
              <w:top w:val="nil"/>
              <w:left w:val="nil"/>
              <w:bottom w:val="single" w:sz="8" w:space="0" w:color="ED7D31"/>
              <w:right w:val="nil"/>
            </w:tcBorders>
            <w:shd w:val="clear" w:color="auto" w:fill="auto"/>
            <w:vAlign w:val="center"/>
            <w:hideMark/>
          </w:tcPr>
          <w:p w14:paraId="77EEE335"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(0.050)</w:t>
            </w:r>
          </w:p>
        </w:tc>
      </w:tr>
      <w:tr w:rsidR="00244248" w:rsidRPr="008D4339" w14:paraId="12FBA802" w14:textId="77777777" w:rsidTr="00335B25">
        <w:trPr>
          <w:trHeight w:val="255"/>
        </w:trPr>
        <w:tc>
          <w:tcPr>
            <w:tcW w:w="3837" w:type="dxa"/>
            <w:tcBorders>
              <w:top w:val="nil"/>
              <w:left w:val="nil"/>
              <w:bottom w:val="single" w:sz="4" w:space="0" w:color="ED7D31"/>
              <w:right w:val="nil"/>
            </w:tcBorders>
            <w:shd w:val="clear" w:color="auto" w:fill="auto"/>
            <w:vAlign w:val="center"/>
            <w:hideMark/>
          </w:tcPr>
          <w:p w14:paraId="70096075"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Household income (log)</w:t>
            </w:r>
          </w:p>
        </w:tc>
        <w:tc>
          <w:tcPr>
            <w:tcW w:w="1276" w:type="dxa"/>
            <w:tcBorders>
              <w:top w:val="nil"/>
              <w:left w:val="nil"/>
              <w:bottom w:val="single" w:sz="8" w:space="0" w:color="ED7D31"/>
              <w:right w:val="nil"/>
            </w:tcBorders>
            <w:shd w:val="clear" w:color="auto" w:fill="auto"/>
            <w:vAlign w:val="center"/>
            <w:hideMark/>
          </w:tcPr>
          <w:p w14:paraId="32C650F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-0.014</w:t>
            </w:r>
          </w:p>
        </w:tc>
        <w:tc>
          <w:tcPr>
            <w:tcW w:w="840" w:type="dxa"/>
            <w:tcBorders>
              <w:top w:val="nil"/>
              <w:left w:val="nil"/>
              <w:bottom w:val="single" w:sz="8" w:space="0" w:color="ED7D31"/>
              <w:right w:val="nil"/>
            </w:tcBorders>
            <w:shd w:val="clear" w:color="auto" w:fill="auto"/>
            <w:vAlign w:val="center"/>
            <w:hideMark/>
          </w:tcPr>
          <w:p w14:paraId="7D1C829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(0.027)</w:t>
            </w:r>
          </w:p>
        </w:tc>
        <w:tc>
          <w:tcPr>
            <w:tcW w:w="1135" w:type="dxa"/>
            <w:tcBorders>
              <w:top w:val="nil"/>
              <w:left w:val="nil"/>
              <w:bottom w:val="single" w:sz="8" w:space="0" w:color="ED7D31"/>
              <w:right w:val="nil"/>
            </w:tcBorders>
            <w:shd w:val="clear" w:color="auto" w:fill="auto"/>
            <w:vAlign w:val="center"/>
            <w:hideMark/>
          </w:tcPr>
          <w:p w14:paraId="49CA0463"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-0.006</w:t>
            </w:r>
          </w:p>
        </w:tc>
        <w:tc>
          <w:tcPr>
            <w:tcW w:w="959" w:type="dxa"/>
            <w:gridSpan w:val="2"/>
            <w:tcBorders>
              <w:top w:val="nil"/>
              <w:left w:val="nil"/>
              <w:bottom w:val="single" w:sz="8" w:space="0" w:color="ED7D31"/>
              <w:right w:val="nil"/>
            </w:tcBorders>
            <w:shd w:val="clear" w:color="auto" w:fill="auto"/>
            <w:vAlign w:val="center"/>
            <w:hideMark/>
          </w:tcPr>
          <w:p w14:paraId="661732CA"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(0.030)</w:t>
            </w:r>
          </w:p>
        </w:tc>
        <w:tc>
          <w:tcPr>
            <w:tcW w:w="970" w:type="dxa"/>
            <w:tcBorders>
              <w:top w:val="nil"/>
              <w:left w:val="nil"/>
              <w:bottom w:val="single" w:sz="8" w:space="0" w:color="ED7D31"/>
              <w:right w:val="nil"/>
            </w:tcBorders>
            <w:shd w:val="clear" w:color="auto" w:fill="auto"/>
            <w:vAlign w:val="center"/>
            <w:hideMark/>
          </w:tcPr>
          <w:p w14:paraId="23044DA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0.009</w:t>
            </w:r>
          </w:p>
        </w:tc>
        <w:tc>
          <w:tcPr>
            <w:tcW w:w="959" w:type="dxa"/>
            <w:gridSpan w:val="2"/>
            <w:tcBorders>
              <w:top w:val="nil"/>
              <w:left w:val="nil"/>
              <w:bottom w:val="single" w:sz="8" w:space="0" w:color="ED7D31"/>
              <w:right w:val="nil"/>
            </w:tcBorders>
            <w:shd w:val="clear" w:color="auto" w:fill="auto"/>
            <w:vAlign w:val="center"/>
            <w:hideMark/>
          </w:tcPr>
          <w:p w14:paraId="772379B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(0.106)</w:t>
            </w:r>
          </w:p>
        </w:tc>
        <w:tc>
          <w:tcPr>
            <w:tcW w:w="970" w:type="dxa"/>
            <w:tcBorders>
              <w:top w:val="nil"/>
              <w:left w:val="nil"/>
              <w:bottom w:val="single" w:sz="8" w:space="0" w:color="ED7D31"/>
              <w:right w:val="nil"/>
            </w:tcBorders>
            <w:shd w:val="clear" w:color="auto" w:fill="auto"/>
            <w:vAlign w:val="center"/>
            <w:hideMark/>
          </w:tcPr>
          <w:p w14:paraId="2702872E"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0.141</w:t>
            </w:r>
          </w:p>
        </w:tc>
        <w:tc>
          <w:tcPr>
            <w:tcW w:w="959" w:type="dxa"/>
            <w:gridSpan w:val="2"/>
            <w:tcBorders>
              <w:top w:val="nil"/>
              <w:left w:val="nil"/>
              <w:bottom w:val="single" w:sz="8" w:space="0" w:color="ED7D31"/>
              <w:right w:val="nil"/>
            </w:tcBorders>
            <w:shd w:val="clear" w:color="auto" w:fill="auto"/>
            <w:vAlign w:val="center"/>
            <w:hideMark/>
          </w:tcPr>
          <w:p w14:paraId="2708ADA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(0.027)</w:t>
            </w:r>
          </w:p>
        </w:tc>
      </w:tr>
      <w:tr w:rsidR="00244248" w:rsidRPr="008D4339" w14:paraId="1E2F71B5" w14:textId="77777777" w:rsidTr="00335B25">
        <w:trPr>
          <w:trHeight w:val="255"/>
        </w:trPr>
        <w:tc>
          <w:tcPr>
            <w:tcW w:w="3837" w:type="dxa"/>
            <w:tcBorders>
              <w:top w:val="nil"/>
              <w:left w:val="nil"/>
              <w:bottom w:val="single" w:sz="4" w:space="0" w:color="ED7D31"/>
              <w:right w:val="nil"/>
            </w:tcBorders>
            <w:shd w:val="clear" w:color="auto" w:fill="auto"/>
            <w:vAlign w:val="center"/>
            <w:hideMark/>
          </w:tcPr>
          <w:p w14:paraId="5B690641" w14:textId="77777777" w:rsidR="00244248" w:rsidRPr="008D4339" w:rsidRDefault="00244248" w:rsidP="00335B25">
            <w:pPr>
              <w:spacing w:after="0" w:line="240" w:lineRule="auto"/>
              <w:rPr>
                <w:rFonts w:ascii="Calibri Light" w:eastAsia="Times New Roman" w:hAnsi="Calibri Light" w:cs="Calibri Light"/>
                <w:b/>
                <w:bCs/>
                <w:color w:val="000000"/>
                <w:sz w:val="20"/>
                <w:szCs w:val="20"/>
                <w:lang w:eastAsia="en-AU"/>
              </w:rPr>
            </w:pPr>
            <w:r w:rsidRPr="008D4339">
              <w:rPr>
                <w:rFonts w:ascii="Calibri Light" w:eastAsia="Times New Roman" w:hAnsi="Calibri Light" w:cs="Calibri Light"/>
                <w:b/>
                <w:bCs/>
                <w:color w:val="000000"/>
                <w:sz w:val="20"/>
                <w:szCs w:val="20"/>
                <w:lang w:eastAsia="en-AU"/>
              </w:rPr>
              <w:t>Remote area</w:t>
            </w:r>
          </w:p>
        </w:tc>
        <w:tc>
          <w:tcPr>
            <w:tcW w:w="1276" w:type="dxa"/>
            <w:tcBorders>
              <w:top w:val="nil"/>
              <w:left w:val="nil"/>
              <w:bottom w:val="single" w:sz="8" w:space="0" w:color="ED7D31"/>
              <w:right w:val="nil"/>
            </w:tcBorders>
            <w:shd w:val="clear" w:color="auto" w:fill="auto"/>
            <w:vAlign w:val="center"/>
            <w:hideMark/>
          </w:tcPr>
          <w:p w14:paraId="6721C7EC"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-0.180**</w:t>
            </w:r>
          </w:p>
        </w:tc>
        <w:tc>
          <w:tcPr>
            <w:tcW w:w="840" w:type="dxa"/>
            <w:tcBorders>
              <w:top w:val="nil"/>
              <w:left w:val="nil"/>
              <w:bottom w:val="single" w:sz="8" w:space="0" w:color="ED7D31"/>
              <w:right w:val="nil"/>
            </w:tcBorders>
            <w:shd w:val="clear" w:color="auto" w:fill="auto"/>
            <w:vAlign w:val="center"/>
            <w:hideMark/>
          </w:tcPr>
          <w:p w14:paraId="15FFA08C"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(0.074)</w:t>
            </w:r>
          </w:p>
        </w:tc>
        <w:tc>
          <w:tcPr>
            <w:tcW w:w="1135" w:type="dxa"/>
            <w:tcBorders>
              <w:top w:val="nil"/>
              <w:left w:val="nil"/>
              <w:bottom w:val="single" w:sz="8" w:space="0" w:color="ED7D31"/>
              <w:right w:val="nil"/>
            </w:tcBorders>
            <w:shd w:val="clear" w:color="auto" w:fill="auto"/>
            <w:vAlign w:val="center"/>
            <w:hideMark/>
          </w:tcPr>
          <w:p w14:paraId="0ABEDF59"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-0.091</w:t>
            </w:r>
          </w:p>
        </w:tc>
        <w:tc>
          <w:tcPr>
            <w:tcW w:w="959" w:type="dxa"/>
            <w:gridSpan w:val="2"/>
            <w:tcBorders>
              <w:top w:val="nil"/>
              <w:left w:val="nil"/>
              <w:bottom w:val="single" w:sz="8" w:space="0" w:color="ED7D31"/>
              <w:right w:val="nil"/>
            </w:tcBorders>
            <w:shd w:val="clear" w:color="auto" w:fill="auto"/>
            <w:vAlign w:val="center"/>
            <w:hideMark/>
          </w:tcPr>
          <w:p w14:paraId="578B0D8E"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(0.103)</w:t>
            </w:r>
          </w:p>
        </w:tc>
        <w:tc>
          <w:tcPr>
            <w:tcW w:w="970" w:type="dxa"/>
            <w:tcBorders>
              <w:top w:val="nil"/>
              <w:left w:val="nil"/>
              <w:bottom w:val="single" w:sz="8" w:space="0" w:color="ED7D31"/>
              <w:right w:val="nil"/>
            </w:tcBorders>
            <w:shd w:val="clear" w:color="auto" w:fill="auto"/>
            <w:vAlign w:val="center"/>
            <w:hideMark/>
          </w:tcPr>
          <w:p w14:paraId="0C93F19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-0.060</w:t>
            </w:r>
          </w:p>
        </w:tc>
        <w:tc>
          <w:tcPr>
            <w:tcW w:w="959" w:type="dxa"/>
            <w:gridSpan w:val="2"/>
            <w:tcBorders>
              <w:top w:val="nil"/>
              <w:left w:val="nil"/>
              <w:bottom w:val="single" w:sz="8" w:space="0" w:color="ED7D31"/>
              <w:right w:val="nil"/>
            </w:tcBorders>
            <w:shd w:val="clear" w:color="auto" w:fill="auto"/>
            <w:vAlign w:val="center"/>
            <w:hideMark/>
          </w:tcPr>
          <w:p w14:paraId="22A7914F"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(0.275)</w:t>
            </w:r>
          </w:p>
        </w:tc>
        <w:tc>
          <w:tcPr>
            <w:tcW w:w="970" w:type="dxa"/>
            <w:tcBorders>
              <w:top w:val="nil"/>
              <w:left w:val="nil"/>
              <w:bottom w:val="single" w:sz="8" w:space="0" w:color="ED7D31"/>
              <w:right w:val="nil"/>
            </w:tcBorders>
            <w:shd w:val="clear" w:color="auto" w:fill="auto"/>
            <w:vAlign w:val="center"/>
            <w:hideMark/>
          </w:tcPr>
          <w:p w14:paraId="117E55A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-0.279</w:t>
            </w:r>
          </w:p>
        </w:tc>
        <w:tc>
          <w:tcPr>
            <w:tcW w:w="959" w:type="dxa"/>
            <w:gridSpan w:val="2"/>
            <w:tcBorders>
              <w:top w:val="nil"/>
              <w:left w:val="nil"/>
              <w:bottom w:val="single" w:sz="8" w:space="0" w:color="ED7D31"/>
              <w:right w:val="nil"/>
            </w:tcBorders>
            <w:shd w:val="clear" w:color="auto" w:fill="auto"/>
            <w:vAlign w:val="center"/>
            <w:hideMark/>
          </w:tcPr>
          <w:p w14:paraId="36A97662"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(0.074)</w:t>
            </w:r>
          </w:p>
        </w:tc>
      </w:tr>
      <w:tr w:rsidR="00244248" w:rsidRPr="008D4339" w14:paraId="64EF3D0C" w14:textId="77777777" w:rsidTr="00335B25">
        <w:trPr>
          <w:trHeight w:val="255"/>
        </w:trPr>
        <w:tc>
          <w:tcPr>
            <w:tcW w:w="3837" w:type="dxa"/>
            <w:tcBorders>
              <w:top w:val="nil"/>
              <w:left w:val="nil"/>
              <w:bottom w:val="single" w:sz="4" w:space="0" w:color="ED7D31"/>
              <w:right w:val="nil"/>
            </w:tcBorders>
            <w:shd w:val="clear" w:color="auto" w:fill="auto"/>
            <w:vAlign w:val="center"/>
            <w:hideMark/>
          </w:tcPr>
          <w:p w14:paraId="1D29FA02"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Observations</w:t>
            </w:r>
          </w:p>
        </w:tc>
        <w:tc>
          <w:tcPr>
            <w:tcW w:w="1276" w:type="dxa"/>
            <w:tcBorders>
              <w:top w:val="nil"/>
              <w:left w:val="nil"/>
              <w:bottom w:val="single" w:sz="8" w:space="0" w:color="ED7D31"/>
              <w:right w:val="nil"/>
            </w:tcBorders>
            <w:shd w:val="clear" w:color="auto" w:fill="auto"/>
            <w:vAlign w:val="center"/>
            <w:hideMark/>
          </w:tcPr>
          <w:p w14:paraId="6E68DC9D"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65</w:t>
            </w:r>
            <w:r>
              <w:rPr>
                <w:rFonts w:ascii="Calibri Light" w:eastAsia="Times New Roman" w:hAnsi="Calibri Light" w:cs="Calibri Light"/>
                <w:color w:val="000000"/>
                <w:sz w:val="20"/>
                <w:szCs w:val="20"/>
                <w:lang w:eastAsia="en-AU"/>
              </w:rPr>
              <w:t>,</w:t>
            </w:r>
            <w:r w:rsidRPr="008D4339">
              <w:rPr>
                <w:rFonts w:ascii="Calibri Light" w:eastAsia="Times New Roman" w:hAnsi="Calibri Light" w:cs="Calibri Light"/>
                <w:color w:val="000000"/>
                <w:sz w:val="20"/>
                <w:szCs w:val="20"/>
                <w:lang w:eastAsia="en-AU"/>
              </w:rPr>
              <w:t>520</w:t>
            </w:r>
          </w:p>
        </w:tc>
        <w:tc>
          <w:tcPr>
            <w:tcW w:w="840" w:type="dxa"/>
            <w:tcBorders>
              <w:top w:val="nil"/>
              <w:left w:val="nil"/>
              <w:bottom w:val="single" w:sz="8" w:space="0" w:color="ED7D31"/>
              <w:right w:val="nil"/>
            </w:tcBorders>
            <w:shd w:val="clear" w:color="auto" w:fill="auto"/>
            <w:vAlign w:val="center"/>
            <w:hideMark/>
          </w:tcPr>
          <w:p w14:paraId="47E47496"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c>
          <w:tcPr>
            <w:tcW w:w="1135" w:type="dxa"/>
            <w:tcBorders>
              <w:top w:val="nil"/>
              <w:left w:val="nil"/>
              <w:bottom w:val="single" w:sz="8" w:space="0" w:color="ED7D31"/>
              <w:right w:val="nil"/>
            </w:tcBorders>
            <w:shd w:val="clear" w:color="auto" w:fill="auto"/>
            <w:vAlign w:val="center"/>
            <w:hideMark/>
          </w:tcPr>
          <w:p w14:paraId="22597A9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24</w:t>
            </w:r>
            <w:r>
              <w:rPr>
                <w:rFonts w:ascii="Calibri Light" w:eastAsia="Times New Roman" w:hAnsi="Calibri Light" w:cs="Calibri Light"/>
                <w:color w:val="000000"/>
                <w:sz w:val="20"/>
                <w:szCs w:val="20"/>
                <w:lang w:eastAsia="en-AU"/>
              </w:rPr>
              <w:t>,</w:t>
            </w:r>
            <w:r w:rsidRPr="008D4339">
              <w:rPr>
                <w:rFonts w:ascii="Calibri Light" w:eastAsia="Times New Roman" w:hAnsi="Calibri Light" w:cs="Calibri Light"/>
                <w:color w:val="000000"/>
                <w:sz w:val="20"/>
                <w:szCs w:val="20"/>
                <w:lang w:eastAsia="en-AU"/>
              </w:rPr>
              <w:t>528</w:t>
            </w:r>
          </w:p>
        </w:tc>
        <w:tc>
          <w:tcPr>
            <w:tcW w:w="959" w:type="dxa"/>
            <w:gridSpan w:val="2"/>
            <w:tcBorders>
              <w:top w:val="nil"/>
              <w:left w:val="nil"/>
              <w:bottom w:val="single" w:sz="8" w:space="0" w:color="ED7D31"/>
              <w:right w:val="nil"/>
            </w:tcBorders>
            <w:shd w:val="clear" w:color="auto" w:fill="auto"/>
            <w:vAlign w:val="center"/>
            <w:hideMark/>
          </w:tcPr>
          <w:p w14:paraId="5DC062AB"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c>
          <w:tcPr>
            <w:tcW w:w="970" w:type="dxa"/>
            <w:tcBorders>
              <w:top w:val="nil"/>
              <w:left w:val="nil"/>
              <w:bottom w:val="single" w:sz="8" w:space="0" w:color="ED7D31"/>
              <w:right w:val="nil"/>
            </w:tcBorders>
            <w:shd w:val="clear" w:color="auto" w:fill="auto"/>
            <w:vAlign w:val="center"/>
            <w:hideMark/>
          </w:tcPr>
          <w:p w14:paraId="38963155"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74</w:t>
            </w:r>
            <w:r>
              <w:rPr>
                <w:rFonts w:ascii="Calibri Light" w:eastAsia="Times New Roman" w:hAnsi="Calibri Light" w:cs="Calibri Light"/>
                <w:color w:val="000000"/>
                <w:sz w:val="20"/>
                <w:szCs w:val="20"/>
                <w:lang w:eastAsia="en-AU"/>
              </w:rPr>
              <w:t>,</w:t>
            </w:r>
            <w:r w:rsidRPr="008D4339">
              <w:rPr>
                <w:rFonts w:ascii="Calibri Light" w:eastAsia="Times New Roman" w:hAnsi="Calibri Light" w:cs="Calibri Light"/>
                <w:color w:val="000000"/>
                <w:sz w:val="20"/>
                <w:szCs w:val="20"/>
                <w:lang w:eastAsia="en-AU"/>
              </w:rPr>
              <w:t>22</w:t>
            </w:r>
          </w:p>
        </w:tc>
        <w:tc>
          <w:tcPr>
            <w:tcW w:w="959" w:type="dxa"/>
            <w:gridSpan w:val="2"/>
            <w:tcBorders>
              <w:top w:val="nil"/>
              <w:left w:val="nil"/>
              <w:bottom w:val="single" w:sz="8" w:space="0" w:color="ED7D31"/>
              <w:right w:val="nil"/>
            </w:tcBorders>
            <w:shd w:val="clear" w:color="auto" w:fill="auto"/>
            <w:vAlign w:val="center"/>
            <w:hideMark/>
          </w:tcPr>
          <w:p w14:paraId="74EF635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c>
          <w:tcPr>
            <w:tcW w:w="970" w:type="dxa"/>
            <w:tcBorders>
              <w:top w:val="nil"/>
              <w:left w:val="nil"/>
              <w:bottom w:val="single" w:sz="8" w:space="0" w:color="ED7D31"/>
              <w:right w:val="nil"/>
            </w:tcBorders>
            <w:shd w:val="clear" w:color="auto" w:fill="auto"/>
            <w:vAlign w:val="center"/>
            <w:hideMark/>
          </w:tcPr>
          <w:p w14:paraId="1EC2FC2A" w14:textId="77777777" w:rsidR="00244248" w:rsidRPr="008D4339" w:rsidRDefault="00244248" w:rsidP="00335B25">
            <w:pPr>
              <w:spacing w:after="0" w:line="240" w:lineRule="auto"/>
              <w:rPr>
                <w:rFonts w:ascii="Calibri Light" w:eastAsia="Times New Roman" w:hAnsi="Calibri Light" w:cs="Calibri Light"/>
                <w:color w:val="000000"/>
                <w:sz w:val="20"/>
                <w:szCs w:val="20"/>
                <w:lang w:eastAsia="en-AU"/>
              </w:rPr>
            </w:pPr>
            <w:r w:rsidRPr="008D4339">
              <w:rPr>
                <w:rFonts w:ascii="Calibri Light" w:eastAsia="Times New Roman" w:hAnsi="Calibri Light" w:cs="Calibri Light"/>
                <w:color w:val="000000"/>
                <w:sz w:val="20"/>
                <w:szCs w:val="20"/>
                <w:lang w:eastAsia="en-AU"/>
              </w:rPr>
              <w:t>11</w:t>
            </w:r>
            <w:r>
              <w:rPr>
                <w:rFonts w:ascii="Calibri Light" w:eastAsia="Times New Roman" w:hAnsi="Calibri Light" w:cs="Calibri Light"/>
                <w:color w:val="000000"/>
                <w:sz w:val="20"/>
                <w:szCs w:val="20"/>
                <w:lang w:eastAsia="en-AU"/>
              </w:rPr>
              <w:t>,</w:t>
            </w:r>
            <w:r w:rsidRPr="008D4339">
              <w:rPr>
                <w:rFonts w:ascii="Calibri Light" w:eastAsia="Times New Roman" w:hAnsi="Calibri Light" w:cs="Calibri Light"/>
                <w:color w:val="000000"/>
                <w:sz w:val="20"/>
                <w:szCs w:val="20"/>
                <w:lang w:eastAsia="en-AU"/>
              </w:rPr>
              <w:t>426</w:t>
            </w:r>
          </w:p>
        </w:tc>
        <w:tc>
          <w:tcPr>
            <w:tcW w:w="959" w:type="dxa"/>
            <w:gridSpan w:val="2"/>
            <w:tcBorders>
              <w:top w:val="nil"/>
              <w:left w:val="nil"/>
              <w:bottom w:val="single" w:sz="8" w:space="0" w:color="ED7D31"/>
              <w:right w:val="nil"/>
            </w:tcBorders>
            <w:shd w:val="clear" w:color="auto" w:fill="auto"/>
            <w:vAlign w:val="center"/>
            <w:hideMark/>
          </w:tcPr>
          <w:p w14:paraId="39509EF7" w14:textId="77777777" w:rsidR="00244248" w:rsidRPr="008D4339" w:rsidRDefault="00244248" w:rsidP="00335B25">
            <w:pPr>
              <w:spacing w:after="0" w:line="240" w:lineRule="auto"/>
              <w:rPr>
                <w:rFonts w:ascii="Calibri Light" w:eastAsia="Times New Roman" w:hAnsi="Calibri Light" w:cs="Calibri Light"/>
                <w:color w:val="808080"/>
                <w:sz w:val="20"/>
                <w:szCs w:val="20"/>
                <w:lang w:eastAsia="en-AU"/>
              </w:rPr>
            </w:pPr>
            <w:r w:rsidRPr="008D4339">
              <w:rPr>
                <w:rFonts w:ascii="Calibri Light" w:eastAsia="Times New Roman" w:hAnsi="Calibri Light" w:cs="Calibri Light"/>
                <w:color w:val="808080"/>
                <w:sz w:val="20"/>
                <w:szCs w:val="20"/>
                <w:lang w:eastAsia="en-AU"/>
              </w:rPr>
              <w:t> </w:t>
            </w:r>
          </w:p>
        </w:tc>
      </w:tr>
    </w:tbl>
    <w:p w14:paraId="4905F4F6" w14:textId="77777777" w:rsidR="00244248" w:rsidRDefault="00244248" w:rsidP="00244248"/>
    <w:p w14:paraId="767105CA" w14:textId="1C4B83E2" w:rsidR="00244248" w:rsidRDefault="00244248" w:rsidP="00244248">
      <w:pPr>
        <w:pStyle w:val="Caption"/>
        <w:keepNext/>
      </w:pPr>
      <w:bookmarkStart w:id="261" w:name="_Ref84579649"/>
      <w:r>
        <w:lastRenderedPageBreak/>
        <w:t xml:space="preserve">Table </w:t>
      </w:r>
      <w:fldSimple w:instr=" SEQ Table \* ARABIC ">
        <w:r w:rsidR="00115E22">
          <w:rPr>
            <w:noProof/>
          </w:rPr>
          <w:t>57</w:t>
        </w:r>
      </w:fldSimple>
      <w:bookmarkEnd w:id="261"/>
      <w:r>
        <w:t xml:space="preserve"> Childbearing expectations, by parity fixed effects</w:t>
      </w:r>
    </w:p>
    <w:tbl>
      <w:tblPr>
        <w:tblW w:w="12299" w:type="dxa"/>
        <w:tblLook w:val="04A0" w:firstRow="1" w:lastRow="0" w:firstColumn="1" w:lastColumn="0" w:noHBand="0" w:noVBand="1"/>
      </w:tblPr>
      <w:tblGrid>
        <w:gridCol w:w="3837"/>
        <w:gridCol w:w="1276"/>
        <w:gridCol w:w="840"/>
        <w:gridCol w:w="1277"/>
        <w:gridCol w:w="959"/>
        <w:gridCol w:w="970"/>
        <w:gridCol w:w="959"/>
        <w:gridCol w:w="1222"/>
        <w:gridCol w:w="959"/>
      </w:tblGrid>
      <w:tr w:rsidR="00244248" w:rsidRPr="007A3658" w14:paraId="4516D7E3" w14:textId="77777777" w:rsidTr="00335B25">
        <w:trPr>
          <w:trHeight w:val="283"/>
        </w:trPr>
        <w:tc>
          <w:tcPr>
            <w:tcW w:w="3837" w:type="dxa"/>
            <w:tcBorders>
              <w:top w:val="nil"/>
              <w:left w:val="nil"/>
              <w:bottom w:val="nil"/>
              <w:right w:val="nil"/>
            </w:tcBorders>
            <w:shd w:val="clear" w:color="000000" w:fill="FBE4D5"/>
            <w:vAlign w:val="center"/>
            <w:hideMark/>
          </w:tcPr>
          <w:p w14:paraId="68F7FE4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276" w:type="dxa"/>
            <w:tcBorders>
              <w:top w:val="nil"/>
              <w:left w:val="nil"/>
              <w:bottom w:val="nil"/>
              <w:right w:val="nil"/>
            </w:tcBorders>
            <w:shd w:val="clear" w:color="000000" w:fill="FBE4D5"/>
            <w:vAlign w:val="center"/>
            <w:hideMark/>
          </w:tcPr>
          <w:p w14:paraId="0CE3F42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Full sample</w:t>
            </w:r>
          </w:p>
        </w:tc>
        <w:tc>
          <w:tcPr>
            <w:tcW w:w="840" w:type="dxa"/>
            <w:tcBorders>
              <w:top w:val="nil"/>
              <w:left w:val="nil"/>
              <w:bottom w:val="nil"/>
              <w:right w:val="nil"/>
            </w:tcBorders>
            <w:shd w:val="clear" w:color="000000" w:fill="FBE4D5"/>
            <w:vAlign w:val="center"/>
            <w:hideMark/>
          </w:tcPr>
          <w:p w14:paraId="2019E1F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277" w:type="dxa"/>
            <w:tcBorders>
              <w:top w:val="nil"/>
              <w:left w:val="nil"/>
              <w:bottom w:val="nil"/>
              <w:right w:val="nil"/>
            </w:tcBorders>
            <w:shd w:val="clear" w:color="000000" w:fill="FBE4D5"/>
            <w:vAlign w:val="center"/>
            <w:hideMark/>
          </w:tcPr>
          <w:p w14:paraId="1BFDC4B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Parity 0 </w:t>
            </w:r>
          </w:p>
        </w:tc>
        <w:tc>
          <w:tcPr>
            <w:tcW w:w="959" w:type="dxa"/>
            <w:tcBorders>
              <w:top w:val="nil"/>
              <w:left w:val="nil"/>
              <w:bottom w:val="nil"/>
              <w:right w:val="nil"/>
            </w:tcBorders>
            <w:shd w:val="clear" w:color="000000" w:fill="FBE4D5"/>
            <w:vAlign w:val="center"/>
            <w:hideMark/>
          </w:tcPr>
          <w:p w14:paraId="7170D5C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970" w:type="dxa"/>
            <w:tcBorders>
              <w:top w:val="nil"/>
              <w:left w:val="nil"/>
              <w:bottom w:val="nil"/>
              <w:right w:val="nil"/>
            </w:tcBorders>
            <w:shd w:val="clear" w:color="000000" w:fill="FBE4D5"/>
            <w:vAlign w:val="center"/>
            <w:hideMark/>
          </w:tcPr>
          <w:p w14:paraId="10C72F8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Parity 1</w:t>
            </w:r>
          </w:p>
        </w:tc>
        <w:tc>
          <w:tcPr>
            <w:tcW w:w="959" w:type="dxa"/>
            <w:tcBorders>
              <w:top w:val="nil"/>
              <w:left w:val="nil"/>
              <w:bottom w:val="nil"/>
              <w:right w:val="nil"/>
            </w:tcBorders>
            <w:shd w:val="clear" w:color="000000" w:fill="FBE4D5"/>
            <w:vAlign w:val="center"/>
            <w:hideMark/>
          </w:tcPr>
          <w:p w14:paraId="44782DD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222" w:type="dxa"/>
            <w:tcBorders>
              <w:top w:val="nil"/>
              <w:left w:val="nil"/>
              <w:bottom w:val="nil"/>
              <w:right w:val="nil"/>
            </w:tcBorders>
            <w:shd w:val="clear" w:color="000000" w:fill="FBE4D5"/>
            <w:vAlign w:val="center"/>
            <w:hideMark/>
          </w:tcPr>
          <w:p w14:paraId="518316A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Parity 2</w:t>
            </w:r>
          </w:p>
        </w:tc>
        <w:tc>
          <w:tcPr>
            <w:tcW w:w="959" w:type="dxa"/>
            <w:tcBorders>
              <w:top w:val="nil"/>
              <w:left w:val="nil"/>
              <w:bottom w:val="nil"/>
              <w:right w:val="nil"/>
            </w:tcBorders>
            <w:shd w:val="clear" w:color="000000" w:fill="FBE4D5"/>
            <w:vAlign w:val="center"/>
            <w:hideMark/>
          </w:tcPr>
          <w:p w14:paraId="2D08C914" w14:textId="77777777" w:rsidR="00244248" w:rsidRPr="007A3658" w:rsidRDefault="00244248" w:rsidP="00335B25">
            <w:pPr>
              <w:spacing w:after="0" w:line="240" w:lineRule="auto"/>
              <w:jc w:val="center"/>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r>
      <w:tr w:rsidR="00244248" w:rsidRPr="007A3658" w14:paraId="4BE1A3A6" w14:textId="77777777" w:rsidTr="00335B25">
        <w:trPr>
          <w:trHeight w:val="283"/>
        </w:trPr>
        <w:tc>
          <w:tcPr>
            <w:tcW w:w="3837" w:type="dxa"/>
            <w:tcBorders>
              <w:top w:val="nil"/>
              <w:left w:val="nil"/>
              <w:bottom w:val="single" w:sz="4" w:space="0" w:color="ED7D31"/>
              <w:right w:val="nil"/>
            </w:tcBorders>
            <w:shd w:val="clear" w:color="000000" w:fill="FBE4D5"/>
            <w:vAlign w:val="center"/>
            <w:hideMark/>
          </w:tcPr>
          <w:p w14:paraId="1864EE38"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w:t>
            </w:r>
          </w:p>
        </w:tc>
        <w:tc>
          <w:tcPr>
            <w:tcW w:w="1276" w:type="dxa"/>
            <w:tcBorders>
              <w:top w:val="nil"/>
              <w:left w:val="nil"/>
              <w:bottom w:val="single" w:sz="4" w:space="0" w:color="ED7D31"/>
              <w:right w:val="nil"/>
            </w:tcBorders>
            <w:shd w:val="clear" w:color="000000" w:fill="FBE4D5"/>
            <w:vAlign w:val="center"/>
            <w:hideMark/>
          </w:tcPr>
          <w:p w14:paraId="73138A2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Coef. </w:t>
            </w:r>
          </w:p>
        </w:tc>
        <w:tc>
          <w:tcPr>
            <w:tcW w:w="840" w:type="dxa"/>
            <w:tcBorders>
              <w:top w:val="nil"/>
              <w:left w:val="nil"/>
              <w:bottom w:val="single" w:sz="4" w:space="0" w:color="ED7D31"/>
              <w:right w:val="nil"/>
            </w:tcBorders>
            <w:shd w:val="clear" w:color="000000" w:fill="FBE4D5"/>
            <w:vAlign w:val="center"/>
            <w:hideMark/>
          </w:tcPr>
          <w:p w14:paraId="4FA7A94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Se</w:t>
            </w:r>
          </w:p>
        </w:tc>
        <w:tc>
          <w:tcPr>
            <w:tcW w:w="1277" w:type="dxa"/>
            <w:tcBorders>
              <w:top w:val="nil"/>
              <w:left w:val="nil"/>
              <w:bottom w:val="single" w:sz="4" w:space="0" w:color="ED7D31"/>
              <w:right w:val="nil"/>
            </w:tcBorders>
            <w:shd w:val="clear" w:color="000000" w:fill="FBE4D5"/>
            <w:vAlign w:val="center"/>
            <w:hideMark/>
          </w:tcPr>
          <w:p w14:paraId="6E16AC3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76D896A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Se</w:t>
            </w:r>
          </w:p>
        </w:tc>
        <w:tc>
          <w:tcPr>
            <w:tcW w:w="970" w:type="dxa"/>
            <w:tcBorders>
              <w:top w:val="nil"/>
              <w:left w:val="nil"/>
              <w:bottom w:val="single" w:sz="4" w:space="0" w:color="ED7D31"/>
              <w:right w:val="nil"/>
            </w:tcBorders>
            <w:shd w:val="clear" w:color="000000" w:fill="FBE4D5"/>
            <w:vAlign w:val="center"/>
            <w:hideMark/>
          </w:tcPr>
          <w:p w14:paraId="6E17C5F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2111FA4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Se</w:t>
            </w:r>
          </w:p>
        </w:tc>
        <w:tc>
          <w:tcPr>
            <w:tcW w:w="1222" w:type="dxa"/>
            <w:tcBorders>
              <w:top w:val="nil"/>
              <w:left w:val="nil"/>
              <w:bottom w:val="single" w:sz="4" w:space="0" w:color="ED7D31"/>
              <w:right w:val="nil"/>
            </w:tcBorders>
            <w:shd w:val="clear" w:color="000000" w:fill="FBE4D5"/>
            <w:vAlign w:val="center"/>
            <w:hideMark/>
          </w:tcPr>
          <w:p w14:paraId="49BB718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Coef. </w:t>
            </w:r>
          </w:p>
        </w:tc>
        <w:tc>
          <w:tcPr>
            <w:tcW w:w="959" w:type="dxa"/>
            <w:tcBorders>
              <w:top w:val="nil"/>
              <w:left w:val="nil"/>
              <w:bottom w:val="single" w:sz="4" w:space="0" w:color="ED7D31"/>
              <w:right w:val="nil"/>
            </w:tcBorders>
            <w:shd w:val="clear" w:color="000000" w:fill="FBE4D5"/>
            <w:vAlign w:val="center"/>
            <w:hideMark/>
          </w:tcPr>
          <w:p w14:paraId="36FE111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Se</w:t>
            </w:r>
          </w:p>
        </w:tc>
      </w:tr>
      <w:tr w:rsidR="00244248" w:rsidRPr="007A3658" w14:paraId="42EEA2C9" w14:textId="77777777" w:rsidTr="00335B25">
        <w:trPr>
          <w:trHeight w:val="283"/>
        </w:trPr>
        <w:tc>
          <w:tcPr>
            <w:tcW w:w="3837" w:type="dxa"/>
            <w:tcBorders>
              <w:top w:val="nil"/>
              <w:left w:val="nil"/>
              <w:bottom w:val="nil"/>
              <w:right w:val="nil"/>
            </w:tcBorders>
            <w:shd w:val="clear" w:color="auto" w:fill="auto"/>
            <w:vAlign w:val="center"/>
            <w:hideMark/>
          </w:tcPr>
          <w:p w14:paraId="2A4FF56B"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Number of children </w:t>
            </w:r>
            <w:r w:rsidRPr="007A3658">
              <w:rPr>
                <w:rFonts w:ascii="Calibri Light" w:eastAsia="Times New Roman" w:hAnsi="Calibri Light" w:cs="Calibri Light"/>
                <w:color w:val="000000"/>
                <w:sz w:val="20"/>
                <w:szCs w:val="20"/>
                <w:lang w:eastAsia="en-AU"/>
              </w:rPr>
              <w:t>(ref: childless)</w:t>
            </w:r>
          </w:p>
        </w:tc>
        <w:tc>
          <w:tcPr>
            <w:tcW w:w="1276" w:type="dxa"/>
            <w:tcBorders>
              <w:top w:val="nil"/>
              <w:left w:val="nil"/>
              <w:bottom w:val="nil"/>
              <w:right w:val="nil"/>
            </w:tcBorders>
            <w:shd w:val="clear" w:color="auto" w:fill="auto"/>
            <w:vAlign w:val="center"/>
            <w:hideMark/>
          </w:tcPr>
          <w:p w14:paraId="5886C2BE"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44E9C7B1"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579EB4E1"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7E8E04E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296045E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D676DBC"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22" w:type="dxa"/>
            <w:tcBorders>
              <w:top w:val="nil"/>
              <w:left w:val="nil"/>
              <w:bottom w:val="nil"/>
              <w:right w:val="nil"/>
            </w:tcBorders>
            <w:shd w:val="clear" w:color="auto" w:fill="auto"/>
            <w:vAlign w:val="center"/>
            <w:hideMark/>
          </w:tcPr>
          <w:p w14:paraId="33E9C0EE"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99B3936"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4B3F56AE" w14:textId="77777777" w:rsidTr="00335B25">
        <w:trPr>
          <w:trHeight w:val="283"/>
        </w:trPr>
        <w:tc>
          <w:tcPr>
            <w:tcW w:w="3837" w:type="dxa"/>
            <w:tcBorders>
              <w:top w:val="nil"/>
              <w:left w:val="nil"/>
              <w:bottom w:val="nil"/>
              <w:right w:val="nil"/>
            </w:tcBorders>
            <w:shd w:val="clear" w:color="auto" w:fill="auto"/>
            <w:vAlign w:val="center"/>
            <w:hideMark/>
          </w:tcPr>
          <w:p w14:paraId="57E7CE8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 child</w:t>
            </w:r>
          </w:p>
        </w:tc>
        <w:tc>
          <w:tcPr>
            <w:tcW w:w="1276" w:type="dxa"/>
            <w:tcBorders>
              <w:top w:val="nil"/>
              <w:left w:val="nil"/>
              <w:bottom w:val="nil"/>
              <w:right w:val="nil"/>
            </w:tcBorders>
            <w:shd w:val="clear" w:color="auto" w:fill="auto"/>
            <w:vAlign w:val="center"/>
            <w:hideMark/>
          </w:tcPr>
          <w:p w14:paraId="72EA5B18"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-0.889***</w:t>
            </w:r>
          </w:p>
        </w:tc>
        <w:tc>
          <w:tcPr>
            <w:tcW w:w="840" w:type="dxa"/>
            <w:tcBorders>
              <w:top w:val="nil"/>
              <w:left w:val="nil"/>
              <w:bottom w:val="nil"/>
              <w:right w:val="nil"/>
            </w:tcBorders>
            <w:shd w:val="clear" w:color="auto" w:fill="auto"/>
            <w:vAlign w:val="center"/>
            <w:hideMark/>
          </w:tcPr>
          <w:p w14:paraId="23B589F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(0.077)</w:t>
            </w:r>
          </w:p>
        </w:tc>
        <w:tc>
          <w:tcPr>
            <w:tcW w:w="1277" w:type="dxa"/>
            <w:tcBorders>
              <w:top w:val="nil"/>
              <w:left w:val="nil"/>
              <w:bottom w:val="nil"/>
              <w:right w:val="nil"/>
            </w:tcBorders>
            <w:shd w:val="clear" w:color="auto" w:fill="auto"/>
            <w:vAlign w:val="center"/>
            <w:hideMark/>
          </w:tcPr>
          <w:p w14:paraId="067A0E3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tcBorders>
              <w:top w:val="nil"/>
              <w:left w:val="nil"/>
              <w:bottom w:val="nil"/>
              <w:right w:val="nil"/>
            </w:tcBorders>
            <w:shd w:val="clear" w:color="auto" w:fill="auto"/>
            <w:vAlign w:val="center"/>
            <w:hideMark/>
          </w:tcPr>
          <w:p w14:paraId="13800CC7"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3276FBF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19AE26FA"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22" w:type="dxa"/>
            <w:tcBorders>
              <w:top w:val="nil"/>
              <w:left w:val="nil"/>
              <w:bottom w:val="nil"/>
              <w:right w:val="nil"/>
            </w:tcBorders>
            <w:shd w:val="clear" w:color="auto" w:fill="auto"/>
            <w:vAlign w:val="center"/>
            <w:hideMark/>
          </w:tcPr>
          <w:p w14:paraId="491A0748"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696336B"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641B18EC" w14:textId="77777777" w:rsidTr="00335B25">
        <w:trPr>
          <w:trHeight w:val="283"/>
        </w:trPr>
        <w:tc>
          <w:tcPr>
            <w:tcW w:w="3837" w:type="dxa"/>
            <w:tcBorders>
              <w:top w:val="nil"/>
              <w:left w:val="nil"/>
              <w:bottom w:val="nil"/>
              <w:right w:val="nil"/>
            </w:tcBorders>
            <w:shd w:val="clear" w:color="auto" w:fill="auto"/>
            <w:vAlign w:val="center"/>
            <w:hideMark/>
          </w:tcPr>
          <w:p w14:paraId="57ED1DA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 children</w:t>
            </w:r>
          </w:p>
        </w:tc>
        <w:tc>
          <w:tcPr>
            <w:tcW w:w="1276" w:type="dxa"/>
            <w:tcBorders>
              <w:top w:val="nil"/>
              <w:left w:val="nil"/>
              <w:bottom w:val="nil"/>
              <w:right w:val="nil"/>
            </w:tcBorders>
            <w:shd w:val="clear" w:color="auto" w:fill="auto"/>
            <w:vAlign w:val="center"/>
            <w:hideMark/>
          </w:tcPr>
          <w:p w14:paraId="3E96DA8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-4.847***</w:t>
            </w:r>
          </w:p>
        </w:tc>
        <w:tc>
          <w:tcPr>
            <w:tcW w:w="840" w:type="dxa"/>
            <w:tcBorders>
              <w:top w:val="nil"/>
              <w:left w:val="nil"/>
              <w:bottom w:val="nil"/>
              <w:right w:val="nil"/>
            </w:tcBorders>
            <w:shd w:val="clear" w:color="auto" w:fill="auto"/>
            <w:vAlign w:val="center"/>
            <w:hideMark/>
          </w:tcPr>
          <w:p w14:paraId="3C4AE8A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(0.099)</w:t>
            </w:r>
          </w:p>
        </w:tc>
        <w:tc>
          <w:tcPr>
            <w:tcW w:w="1277" w:type="dxa"/>
            <w:tcBorders>
              <w:top w:val="nil"/>
              <w:left w:val="nil"/>
              <w:bottom w:val="nil"/>
              <w:right w:val="nil"/>
            </w:tcBorders>
            <w:shd w:val="clear" w:color="auto" w:fill="auto"/>
            <w:vAlign w:val="center"/>
            <w:hideMark/>
          </w:tcPr>
          <w:p w14:paraId="20CC269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p>
        </w:tc>
        <w:tc>
          <w:tcPr>
            <w:tcW w:w="959" w:type="dxa"/>
            <w:tcBorders>
              <w:top w:val="nil"/>
              <w:left w:val="nil"/>
              <w:bottom w:val="nil"/>
              <w:right w:val="nil"/>
            </w:tcBorders>
            <w:shd w:val="clear" w:color="auto" w:fill="auto"/>
            <w:vAlign w:val="center"/>
            <w:hideMark/>
          </w:tcPr>
          <w:p w14:paraId="52F01843"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5FDF93C9"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1F3570D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22" w:type="dxa"/>
            <w:tcBorders>
              <w:top w:val="nil"/>
              <w:left w:val="nil"/>
              <w:bottom w:val="nil"/>
              <w:right w:val="nil"/>
            </w:tcBorders>
            <w:shd w:val="clear" w:color="auto" w:fill="auto"/>
            <w:vAlign w:val="center"/>
            <w:hideMark/>
          </w:tcPr>
          <w:p w14:paraId="6037CF3C"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581621CA"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36A059DF" w14:textId="77777777" w:rsidTr="00335B25">
        <w:trPr>
          <w:trHeight w:val="283"/>
        </w:trPr>
        <w:tc>
          <w:tcPr>
            <w:tcW w:w="3837" w:type="dxa"/>
            <w:tcBorders>
              <w:top w:val="nil"/>
              <w:left w:val="nil"/>
              <w:bottom w:val="single" w:sz="4" w:space="0" w:color="ED7D31"/>
              <w:right w:val="nil"/>
            </w:tcBorders>
            <w:shd w:val="clear" w:color="auto" w:fill="auto"/>
            <w:vAlign w:val="center"/>
            <w:hideMark/>
          </w:tcPr>
          <w:p w14:paraId="7E980E1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 children</w:t>
            </w:r>
          </w:p>
        </w:tc>
        <w:tc>
          <w:tcPr>
            <w:tcW w:w="1276" w:type="dxa"/>
            <w:tcBorders>
              <w:top w:val="nil"/>
              <w:left w:val="nil"/>
              <w:bottom w:val="single" w:sz="8" w:space="0" w:color="ED7D31"/>
              <w:right w:val="nil"/>
            </w:tcBorders>
            <w:shd w:val="clear" w:color="auto" w:fill="auto"/>
            <w:vAlign w:val="center"/>
            <w:hideMark/>
          </w:tcPr>
          <w:p w14:paraId="2A60977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-7.168***</w:t>
            </w:r>
          </w:p>
        </w:tc>
        <w:tc>
          <w:tcPr>
            <w:tcW w:w="840" w:type="dxa"/>
            <w:tcBorders>
              <w:top w:val="nil"/>
              <w:left w:val="nil"/>
              <w:bottom w:val="single" w:sz="8" w:space="0" w:color="ED7D31"/>
              <w:right w:val="nil"/>
            </w:tcBorders>
            <w:shd w:val="clear" w:color="auto" w:fill="auto"/>
            <w:vAlign w:val="center"/>
            <w:hideMark/>
          </w:tcPr>
          <w:p w14:paraId="569E87D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(0.135)</w:t>
            </w:r>
          </w:p>
        </w:tc>
        <w:tc>
          <w:tcPr>
            <w:tcW w:w="1277" w:type="dxa"/>
            <w:tcBorders>
              <w:top w:val="nil"/>
              <w:left w:val="nil"/>
              <w:bottom w:val="single" w:sz="8" w:space="0" w:color="ED7D31"/>
              <w:right w:val="nil"/>
            </w:tcBorders>
            <w:shd w:val="clear" w:color="auto" w:fill="auto"/>
            <w:vAlign w:val="center"/>
            <w:hideMark/>
          </w:tcPr>
          <w:p w14:paraId="1ACF23DF" w14:textId="77777777" w:rsidR="00244248" w:rsidRPr="007A3658" w:rsidRDefault="00244248" w:rsidP="00335B25">
            <w:pPr>
              <w:spacing w:after="0" w:line="240" w:lineRule="auto"/>
              <w:rPr>
                <w:rFonts w:ascii="Calibri" w:eastAsia="Times New Roman" w:hAnsi="Calibri" w:cs="Calibri"/>
                <w:color w:val="000000"/>
                <w:lang w:eastAsia="en-AU"/>
              </w:rPr>
            </w:pPr>
            <w:r w:rsidRPr="007A3658">
              <w:rPr>
                <w:rFonts w:ascii="Calibri" w:eastAsia="Times New Roman" w:hAnsi="Calibri" w:cs="Calibri"/>
                <w:color w:val="000000"/>
                <w:lang w:eastAsia="en-AU"/>
              </w:rPr>
              <w:t> </w:t>
            </w:r>
          </w:p>
        </w:tc>
        <w:tc>
          <w:tcPr>
            <w:tcW w:w="959" w:type="dxa"/>
            <w:tcBorders>
              <w:top w:val="nil"/>
              <w:left w:val="nil"/>
              <w:bottom w:val="single" w:sz="8" w:space="0" w:color="ED7D31"/>
              <w:right w:val="nil"/>
            </w:tcBorders>
            <w:shd w:val="clear" w:color="auto" w:fill="auto"/>
            <w:vAlign w:val="center"/>
            <w:hideMark/>
          </w:tcPr>
          <w:p w14:paraId="179FDBC9" w14:textId="77777777" w:rsidR="00244248" w:rsidRPr="007A3658" w:rsidRDefault="00244248" w:rsidP="00335B25">
            <w:pPr>
              <w:spacing w:after="0" w:line="240" w:lineRule="auto"/>
              <w:rPr>
                <w:rFonts w:ascii="Calibri" w:eastAsia="Times New Roman" w:hAnsi="Calibri" w:cs="Calibri"/>
                <w:color w:val="808080"/>
                <w:lang w:eastAsia="en-AU"/>
              </w:rPr>
            </w:pPr>
            <w:r w:rsidRPr="007A3658">
              <w:rPr>
                <w:rFonts w:ascii="Calibri" w:eastAsia="Times New Roman" w:hAnsi="Calibri" w:cs="Calibri"/>
                <w:color w:val="808080"/>
                <w:lang w:eastAsia="en-AU"/>
              </w:rPr>
              <w:t> </w:t>
            </w:r>
          </w:p>
        </w:tc>
        <w:tc>
          <w:tcPr>
            <w:tcW w:w="970" w:type="dxa"/>
            <w:tcBorders>
              <w:top w:val="nil"/>
              <w:left w:val="nil"/>
              <w:bottom w:val="single" w:sz="8" w:space="0" w:color="ED7D31"/>
              <w:right w:val="nil"/>
            </w:tcBorders>
            <w:shd w:val="clear" w:color="auto" w:fill="auto"/>
            <w:vAlign w:val="center"/>
            <w:hideMark/>
          </w:tcPr>
          <w:p w14:paraId="6ABF6337" w14:textId="77777777" w:rsidR="00244248" w:rsidRPr="007A3658" w:rsidRDefault="00244248" w:rsidP="00335B25">
            <w:pPr>
              <w:spacing w:after="0" w:line="240" w:lineRule="auto"/>
              <w:rPr>
                <w:rFonts w:ascii="Calibri" w:eastAsia="Times New Roman" w:hAnsi="Calibri" w:cs="Calibri"/>
                <w:color w:val="000000"/>
                <w:lang w:eastAsia="en-AU"/>
              </w:rPr>
            </w:pPr>
            <w:r w:rsidRPr="007A3658">
              <w:rPr>
                <w:rFonts w:ascii="Calibri" w:eastAsia="Times New Roman" w:hAnsi="Calibri" w:cs="Calibri"/>
                <w:color w:val="000000"/>
                <w:lang w:eastAsia="en-AU"/>
              </w:rPr>
              <w:t> </w:t>
            </w:r>
          </w:p>
        </w:tc>
        <w:tc>
          <w:tcPr>
            <w:tcW w:w="959" w:type="dxa"/>
            <w:tcBorders>
              <w:top w:val="nil"/>
              <w:left w:val="nil"/>
              <w:bottom w:val="single" w:sz="8" w:space="0" w:color="ED7D31"/>
              <w:right w:val="nil"/>
            </w:tcBorders>
            <w:shd w:val="clear" w:color="auto" w:fill="auto"/>
            <w:vAlign w:val="center"/>
            <w:hideMark/>
          </w:tcPr>
          <w:p w14:paraId="4B4E33D5" w14:textId="77777777" w:rsidR="00244248" w:rsidRPr="007A3658" w:rsidRDefault="00244248" w:rsidP="00335B25">
            <w:pPr>
              <w:spacing w:after="0" w:line="240" w:lineRule="auto"/>
              <w:rPr>
                <w:rFonts w:ascii="Calibri" w:eastAsia="Times New Roman" w:hAnsi="Calibri" w:cs="Calibri"/>
                <w:color w:val="808080"/>
                <w:lang w:eastAsia="en-AU"/>
              </w:rPr>
            </w:pPr>
            <w:r w:rsidRPr="007A3658">
              <w:rPr>
                <w:rFonts w:ascii="Calibri" w:eastAsia="Times New Roman" w:hAnsi="Calibri" w:cs="Calibri"/>
                <w:color w:val="808080"/>
                <w:lang w:eastAsia="en-AU"/>
              </w:rPr>
              <w:t> </w:t>
            </w:r>
          </w:p>
        </w:tc>
        <w:tc>
          <w:tcPr>
            <w:tcW w:w="1222" w:type="dxa"/>
            <w:tcBorders>
              <w:top w:val="nil"/>
              <w:left w:val="nil"/>
              <w:bottom w:val="single" w:sz="8" w:space="0" w:color="ED7D31"/>
              <w:right w:val="nil"/>
            </w:tcBorders>
            <w:shd w:val="clear" w:color="auto" w:fill="auto"/>
            <w:vAlign w:val="center"/>
            <w:hideMark/>
          </w:tcPr>
          <w:p w14:paraId="12276014" w14:textId="77777777" w:rsidR="00244248" w:rsidRPr="007A3658" w:rsidRDefault="00244248" w:rsidP="00335B25">
            <w:pPr>
              <w:spacing w:after="0" w:line="240" w:lineRule="auto"/>
              <w:rPr>
                <w:rFonts w:ascii="Calibri" w:eastAsia="Times New Roman" w:hAnsi="Calibri" w:cs="Calibri"/>
                <w:color w:val="000000"/>
                <w:lang w:eastAsia="en-AU"/>
              </w:rPr>
            </w:pPr>
            <w:r w:rsidRPr="007A3658">
              <w:rPr>
                <w:rFonts w:ascii="Calibri" w:eastAsia="Times New Roman" w:hAnsi="Calibri" w:cs="Calibri"/>
                <w:color w:val="000000"/>
                <w:lang w:eastAsia="en-AU"/>
              </w:rPr>
              <w:t> </w:t>
            </w:r>
          </w:p>
        </w:tc>
        <w:tc>
          <w:tcPr>
            <w:tcW w:w="959" w:type="dxa"/>
            <w:tcBorders>
              <w:top w:val="nil"/>
              <w:left w:val="nil"/>
              <w:bottom w:val="single" w:sz="8" w:space="0" w:color="ED7D31"/>
              <w:right w:val="nil"/>
            </w:tcBorders>
            <w:shd w:val="clear" w:color="auto" w:fill="auto"/>
            <w:vAlign w:val="center"/>
            <w:hideMark/>
          </w:tcPr>
          <w:p w14:paraId="0B9D8FBF" w14:textId="77777777" w:rsidR="00244248" w:rsidRPr="007A3658" w:rsidRDefault="00244248" w:rsidP="00335B25">
            <w:pPr>
              <w:spacing w:after="0" w:line="240" w:lineRule="auto"/>
              <w:rPr>
                <w:rFonts w:ascii="Calibri" w:eastAsia="Times New Roman" w:hAnsi="Calibri" w:cs="Calibri"/>
                <w:color w:val="808080"/>
                <w:lang w:eastAsia="en-AU"/>
              </w:rPr>
            </w:pPr>
            <w:r w:rsidRPr="007A3658">
              <w:rPr>
                <w:rFonts w:ascii="Calibri" w:eastAsia="Times New Roman" w:hAnsi="Calibri" w:cs="Calibri"/>
                <w:color w:val="808080"/>
                <w:lang w:eastAsia="en-AU"/>
              </w:rPr>
              <w:t> </w:t>
            </w:r>
          </w:p>
        </w:tc>
      </w:tr>
      <w:tr w:rsidR="00244248" w:rsidRPr="007A3658" w14:paraId="4909351C" w14:textId="77777777" w:rsidTr="00335B25">
        <w:trPr>
          <w:trHeight w:val="283"/>
        </w:trPr>
        <w:tc>
          <w:tcPr>
            <w:tcW w:w="3837" w:type="dxa"/>
            <w:tcBorders>
              <w:top w:val="nil"/>
              <w:left w:val="nil"/>
              <w:bottom w:val="nil"/>
              <w:right w:val="nil"/>
            </w:tcBorders>
            <w:shd w:val="clear" w:color="auto" w:fill="auto"/>
            <w:vAlign w:val="center"/>
            <w:hideMark/>
          </w:tcPr>
          <w:p w14:paraId="40A47E6D"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Age group </w:t>
            </w:r>
            <w:r w:rsidRPr="007A3658">
              <w:rPr>
                <w:rFonts w:ascii="Calibri Light" w:eastAsia="Times New Roman" w:hAnsi="Calibri Light" w:cs="Calibri Light"/>
                <w:color w:val="000000"/>
                <w:sz w:val="20"/>
                <w:szCs w:val="20"/>
                <w:lang w:eastAsia="en-AU"/>
              </w:rPr>
              <w:t>(ref: 25-29)</w:t>
            </w:r>
          </w:p>
        </w:tc>
        <w:tc>
          <w:tcPr>
            <w:tcW w:w="1276" w:type="dxa"/>
            <w:tcBorders>
              <w:top w:val="nil"/>
              <w:left w:val="nil"/>
              <w:bottom w:val="nil"/>
              <w:right w:val="nil"/>
            </w:tcBorders>
            <w:shd w:val="clear" w:color="auto" w:fill="auto"/>
            <w:vAlign w:val="center"/>
            <w:hideMark/>
          </w:tcPr>
          <w:p w14:paraId="01930134"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7FA1E70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0129E2A7"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3EE8C229"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026D8028"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3DDA34A1"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22" w:type="dxa"/>
            <w:tcBorders>
              <w:top w:val="nil"/>
              <w:left w:val="nil"/>
              <w:bottom w:val="nil"/>
              <w:right w:val="nil"/>
            </w:tcBorders>
            <w:shd w:val="clear" w:color="auto" w:fill="auto"/>
            <w:vAlign w:val="center"/>
            <w:hideMark/>
          </w:tcPr>
          <w:p w14:paraId="7721E3D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A2FDB9E"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4878E88C" w14:textId="77777777" w:rsidTr="00335B25">
        <w:trPr>
          <w:trHeight w:val="283"/>
        </w:trPr>
        <w:tc>
          <w:tcPr>
            <w:tcW w:w="3837" w:type="dxa"/>
            <w:tcBorders>
              <w:top w:val="nil"/>
              <w:left w:val="nil"/>
              <w:bottom w:val="nil"/>
              <w:right w:val="nil"/>
            </w:tcBorders>
            <w:shd w:val="clear" w:color="auto" w:fill="auto"/>
            <w:vAlign w:val="center"/>
            <w:hideMark/>
          </w:tcPr>
          <w:p w14:paraId="01473E8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 xml:space="preserve"> 18-24</w:t>
            </w:r>
          </w:p>
        </w:tc>
        <w:tc>
          <w:tcPr>
            <w:tcW w:w="1276" w:type="dxa"/>
            <w:tcBorders>
              <w:top w:val="nil"/>
              <w:left w:val="nil"/>
              <w:bottom w:val="nil"/>
              <w:right w:val="nil"/>
            </w:tcBorders>
            <w:shd w:val="clear" w:color="auto" w:fill="auto"/>
            <w:vAlign w:val="center"/>
            <w:hideMark/>
          </w:tcPr>
          <w:p w14:paraId="253776B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-0.225***</w:t>
            </w:r>
          </w:p>
        </w:tc>
        <w:tc>
          <w:tcPr>
            <w:tcW w:w="840" w:type="dxa"/>
            <w:tcBorders>
              <w:top w:val="nil"/>
              <w:left w:val="nil"/>
              <w:bottom w:val="nil"/>
              <w:right w:val="nil"/>
            </w:tcBorders>
            <w:shd w:val="clear" w:color="auto" w:fill="auto"/>
            <w:vAlign w:val="center"/>
            <w:hideMark/>
          </w:tcPr>
          <w:p w14:paraId="5BD2665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(0.052)</w:t>
            </w:r>
          </w:p>
        </w:tc>
        <w:tc>
          <w:tcPr>
            <w:tcW w:w="1277" w:type="dxa"/>
            <w:tcBorders>
              <w:top w:val="nil"/>
              <w:left w:val="nil"/>
              <w:bottom w:val="nil"/>
              <w:right w:val="nil"/>
            </w:tcBorders>
            <w:shd w:val="clear" w:color="auto" w:fill="auto"/>
            <w:vAlign w:val="center"/>
            <w:hideMark/>
          </w:tcPr>
          <w:p w14:paraId="31ACA90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-0.075</w:t>
            </w:r>
          </w:p>
        </w:tc>
        <w:tc>
          <w:tcPr>
            <w:tcW w:w="959" w:type="dxa"/>
            <w:tcBorders>
              <w:top w:val="nil"/>
              <w:left w:val="nil"/>
              <w:bottom w:val="nil"/>
              <w:right w:val="nil"/>
            </w:tcBorders>
            <w:shd w:val="clear" w:color="auto" w:fill="auto"/>
            <w:vAlign w:val="center"/>
            <w:hideMark/>
          </w:tcPr>
          <w:p w14:paraId="47DD411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(0.061)</w:t>
            </w:r>
          </w:p>
        </w:tc>
        <w:tc>
          <w:tcPr>
            <w:tcW w:w="970" w:type="dxa"/>
            <w:tcBorders>
              <w:top w:val="nil"/>
              <w:left w:val="nil"/>
              <w:bottom w:val="nil"/>
              <w:right w:val="nil"/>
            </w:tcBorders>
            <w:shd w:val="clear" w:color="auto" w:fill="auto"/>
            <w:vAlign w:val="center"/>
            <w:hideMark/>
          </w:tcPr>
          <w:p w14:paraId="0E17F1F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0.242</w:t>
            </w:r>
          </w:p>
        </w:tc>
        <w:tc>
          <w:tcPr>
            <w:tcW w:w="959" w:type="dxa"/>
            <w:tcBorders>
              <w:top w:val="nil"/>
              <w:left w:val="nil"/>
              <w:bottom w:val="nil"/>
              <w:right w:val="nil"/>
            </w:tcBorders>
            <w:shd w:val="clear" w:color="auto" w:fill="auto"/>
            <w:vAlign w:val="center"/>
            <w:hideMark/>
          </w:tcPr>
          <w:p w14:paraId="47AB6BC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(0.206)</w:t>
            </w:r>
          </w:p>
        </w:tc>
        <w:tc>
          <w:tcPr>
            <w:tcW w:w="1222" w:type="dxa"/>
            <w:tcBorders>
              <w:top w:val="nil"/>
              <w:left w:val="nil"/>
              <w:bottom w:val="nil"/>
              <w:right w:val="nil"/>
            </w:tcBorders>
            <w:shd w:val="clear" w:color="auto" w:fill="auto"/>
            <w:vAlign w:val="center"/>
            <w:hideMark/>
          </w:tcPr>
          <w:p w14:paraId="165358B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0.130</w:t>
            </w:r>
          </w:p>
        </w:tc>
        <w:tc>
          <w:tcPr>
            <w:tcW w:w="959" w:type="dxa"/>
            <w:tcBorders>
              <w:top w:val="nil"/>
              <w:left w:val="nil"/>
              <w:bottom w:val="nil"/>
              <w:right w:val="nil"/>
            </w:tcBorders>
            <w:shd w:val="clear" w:color="auto" w:fill="auto"/>
            <w:vAlign w:val="center"/>
            <w:hideMark/>
          </w:tcPr>
          <w:p w14:paraId="1680062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(0.052)</w:t>
            </w:r>
          </w:p>
        </w:tc>
      </w:tr>
      <w:tr w:rsidR="00244248" w:rsidRPr="007A3658" w14:paraId="36E6B45C" w14:textId="77777777" w:rsidTr="00335B25">
        <w:trPr>
          <w:trHeight w:val="283"/>
        </w:trPr>
        <w:tc>
          <w:tcPr>
            <w:tcW w:w="3837" w:type="dxa"/>
            <w:tcBorders>
              <w:top w:val="nil"/>
              <w:left w:val="nil"/>
              <w:bottom w:val="nil"/>
              <w:right w:val="nil"/>
            </w:tcBorders>
            <w:shd w:val="clear" w:color="auto" w:fill="auto"/>
            <w:vAlign w:val="center"/>
            <w:hideMark/>
          </w:tcPr>
          <w:p w14:paraId="617E2FA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30-34</w:t>
            </w:r>
          </w:p>
        </w:tc>
        <w:tc>
          <w:tcPr>
            <w:tcW w:w="1276" w:type="dxa"/>
            <w:tcBorders>
              <w:top w:val="nil"/>
              <w:left w:val="nil"/>
              <w:bottom w:val="nil"/>
              <w:right w:val="nil"/>
            </w:tcBorders>
            <w:shd w:val="clear" w:color="auto" w:fill="auto"/>
            <w:vAlign w:val="center"/>
            <w:hideMark/>
          </w:tcPr>
          <w:p w14:paraId="40F70FF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-0.098*</w:t>
            </w:r>
          </w:p>
        </w:tc>
        <w:tc>
          <w:tcPr>
            <w:tcW w:w="840" w:type="dxa"/>
            <w:tcBorders>
              <w:top w:val="nil"/>
              <w:left w:val="nil"/>
              <w:bottom w:val="nil"/>
              <w:right w:val="nil"/>
            </w:tcBorders>
            <w:shd w:val="clear" w:color="auto" w:fill="auto"/>
            <w:vAlign w:val="center"/>
            <w:hideMark/>
          </w:tcPr>
          <w:p w14:paraId="612CE2C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(0.059)</w:t>
            </w:r>
          </w:p>
        </w:tc>
        <w:tc>
          <w:tcPr>
            <w:tcW w:w="1277" w:type="dxa"/>
            <w:tcBorders>
              <w:top w:val="nil"/>
              <w:left w:val="nil"/>
              <w:bottom w:val="nil"/>
              <w:right w:val="nil"/>
            </w:tcBorders>
            <w:shd w:val="clear" w:color="auto" w:fill="auto"/>
            <w:vAlign w:val="center"/>
            <w:hideMark/>
          </w:tcPr>
          <w:p w14:paraId="1203E66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-0.149*</w:t>
            </w:r>
          </w:p>
        </w:tc>
        <w:tc>
          <w:tcPr>
            <w:tcW w:w="959" w:type="dxa"/>
            <w:tcBorders>
              <w:top w:val="nil"/>
              <w:left w:val="nil"/>
              <w:bottom w:val="nil"/>
              <w:right w:val="nil"/>
            </w:tcBorders>
            <w:shd w:val="clear" w:color="auto" w:fill="auto"/>
            <w:vAlign w:val="center"/>
            <w:hideMark/>
          </w:tcPr>
          <w:p w14:paraId="3AAA9A3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(0.088)</w:t>
            </w:r>
          </w:p>
        </w:tc>
        <w:tc>
          <w:tcPr>
            <w:tcW w:w="970" w:type="dxa"/>
            <w:tcBorders>
              <w:top w:val="nil"/>
              <w:left w:val="nil"/>
              <w:bottom w:val="nil"/>
              <w:right w:val="nil"/>
            </w:tcBorders>
            <w:shd w:val="clear" w:color="auto" w:fill="auto"/>
            <w:vAlign w:val="center"/>
            <w:hideMark/>
          </w:tcPr>
          <w:p w14:paraId="3DEA1A0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-0.016</w:t>
            </w:r>
          </w:p>
        </w:tc>
        <w:tc>
          <w:tcPr>
            <w:tcW w:w="959" w:type="dxa"/>
            <w:tcBorders>
              <w:top w:val="nil"/>
              <w:left w:val="nil"/>
              <w:bottom w:val="nil"/>
              <w:right w:val="nil"/>
            </w:tcBorders>
            <w:shd w:val="clear" w:color="auto" w:fill="auto"/>
            <w:vAlign w:val="center"/>
            <w:hideMark/>
          </w:tcPr>
          <w:p w14:paraId="58F62CCD"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(0.185)</w:t>
            </w:r>
          </w:p>
        </w:tc>
        <w:tc>
          <w:tcPr>
            <w:tcW w:w="1222" w:type="dxa"/>
            <w:tcBorders>
              <w:top w:val="nil"/>
              <w:left w:val="nil"/>
              <w:bottom w:val="nil"/>
              <w:right w:val="nil"/>
            </w:tcBorders>
            <w:shd w:val="clear" w:color="auto" w:fill="auto"/>
            <w:vAlign w:val="center"/>
            <w:hideMark/>
          </w:tcPr>
          <w:p w14:paraId="7721AAA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-0.160</w:t>
            </w:r>
          </w:p>
        </w:tc>
        <w:tc>
          <w:tcPr>
            <w:tcW w:w="959" w:type="dxa"/>
            <w:tcBorders>
              <w:top w:val="nil"/>
              <w:left w:val="nil"/>
              <w:bottom w:val="nil"/>
              <w:right w:val="nil"/>
            </w:tcBorders>
            <w:shd w:val="clear" w:color="auto" w:fill="auto"/>
            <w:vAlign w:val="center"/>
            <w:hideMark/>
          </w:tcPr>
          <w:p w14:paraId="619BF3D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(0.059)</w:t>
            </w:r>
          </w:p>
        </w:tc>
      </w:tr>
      <w:tr w:rsidR="00244248" w:rsidRPr="007A3658" w14:paraId="33315654" w14:textId="77777777" w:rsidTr="00335B25">
        <w:trPr>
          <w:trHeight w:val="283"/>
        </w:trPr>
        <w:tc>
          <w:tcPr>
            <w:tcW w:w="3837" w:type="dxa"/>
            <w:tcBorders>
              <w:top w:val="nil"/>
              <w:left w:val="nil"/>
              <w:bottom w:val="nil"/>
              <w:right w:val="nil"/>
            </w:tcBorders>
            <w:shd w:val="clear" w:color="auto" w:fill="auto"/>
            <w:vAlign w:val="center"/>
            <w:hideMark/>
          </w:tcPr>
          <w:p w14:paraId="4BA1EFC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35-39</w:t>
            </w:r>
          </w:p>
        </w:tc>
        <w:tc>
          <w:tcPr>
            <w:tcW w:w="1276" w:type="dxa"/>
            <w:tcBorders>
              <w:top w:val="nil"/>
              <w:left w:val="nil"/>
              <w:bottom w:val="nil"/>
              <w:right w:val="nil"/>
            </w:tcBorders>
            <w:shd w:val="clear" w:color="auto" w:fill="auto"/>
            <w:vAlign w:val="center"/>
            <w:hideMark/>
          </w:tcPr>
          <w:p w14:paraId="1E79AF7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-0.831***</w:t>
            </w:r>
          </w:p>
        </w:tc>
        <w:tc>
          <w:tcPr>
            <w:tcW w:w="840" w:type="dxa"/>
            <w:tcBorders>
              <w:top w:val="nil"/>
              <w:left w:val="nil"/>
              <w:bottom w:val="nil"/>
              <w:right w:val="nil"/>
            </w:tcBorders>
            <w:shd w:val="clear" w:color="auto" w:fill="auto"/>
            <w:vAlign w:val="center"/>
            <w:hideMark/>
          </w:tcPr>
          <w:p w14:paraId="3D4E3FB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(0.087)</w:t>
            </w:r>
          </w:p>
        </w:tc>
        <w:tc>
          <w:tcPr>
            <w:tcW w:w="1277" w:type="dxa"/>
            <w:tcBorders>
              <w:top w:val="nil"/>
              <w:left w:val="nil"/>
              <w:bottom w:val="nil"/>
              <w:right w:val="nil"/>
            </w:tcBorders>
            <w:shd w:val="clear" w:color="auto" w:fill="auto"/>
            <w:vAlign w:val="center"/>
            <w:hideMark/>
          </w:tcPr>
          <w:p w14:paraId="7DEEA87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-1.055***</w:t>
            </w:r>
          </w:p>
        </w:tc>
        <w:tc>
          <w:tcPr>
            <w:tcW w:w="959" w:type="dxa"/>
            <w:tcBorders>
              <w:top w:val="nil"/>
              <w:left w:val="nil"/>
              <w:bottom w:val="nil"/>
              <w:right w:val="nil"/>
            </w:tcBorders>
            <w:shd w:val="clear" w:color="auto" w:fill="auto"/>
            <w:vAlign w:val="center"/>
            <w:hideMark/>
          </w:tcPr>
          <w:p w14:paraId="47C0DEE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(0.167)</w:t>
            </w:r>
          </w:p>
        </w:tc>
        <w:tc>
          <w:tcPr>
            <w:tcW w:w="970" w:type="dxa"/>
            <w:tcBorders>
              <w:top w:val="nil"/>
              <w:left w:val="nil"/>
              <w:bottom w:val="nil"/>
              <w:right w:val="nil"/>
            </w:tcBorders>
            <w:shd w:val="clear" w:color="auto" w:fill="auto"/>
            <w:vAlign w:val="center"/>
            <w:hideMark/>
          </w:tcPr>
          <w:p w14:paraId="4D34147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-0.309</w:t>
            </w:r>
          </w:p>
        </w:tc>
        <w:tc>
          <w:tcPr>
            <w:tcW w:w="959" w:type="dxa"/>
            <w:tcBorders>
              <w:top w:val="nil"/>
              <w:left w:val="nil"/>
              <w:bottom w:val="nil"/>
              <w:right w:val="nil"/>
            </w:tcBorders>
            <w:shd w:val="clear" w:color="auto" w:fill="auto"/>
            <w:vAlign w:val="center"/>
            <w:hideMark/>
          </w:tcPr>
          <w:p w14:paraId="6201FD2F"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(0.265)</w:t>
            </w:r>
          </w:p>
        </w:tc>
        <w:tc>
          <w:tcPr>
            <w:tcW w:w="1222" w:type="dxa"/>
            <w:tcBorders>
              <w:top w:val="nil"/>
              <w:left w:val="nil"/>
              <w:bottom w:val="nil"/>
              <w:right w:val="nil"/>
            </w:tcBorders>
            <w:shd w:val="clear" w:color="auto" w:fill="auto"/>
            <w:vAlign w:val="center"/>
            <w:hideMark/>
          </w:tcPr>
          <w:p w14:paraId="015AD9C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-0.518***</w:t>
            </w:r>
          </w:p>
        </w:tc>
        <w:tc>
          <w:tcPr>
            <w:tcW w:w="959" w:type="dxa"/>
            <w:tcBorders>
              <w:top w:val="nil"/>
              <w:left w:val="nil"/>
              <w:bottom w:val="nil"/>
              <w:right w:val="nil"/>
            </w:tcBorders>
            <w:shd w:val="clear" w:color="auto" w:fill="auto"/>
            <w:vAlign w:val="center"/>
            <w:hideMark/>
          </w:tcPr>
          <w:p w14:paraId="1560874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(0.087)</w:t>
            </w:r>
          </w:p>
        </w:tc>
      </w:tr>
      <w:tr w:rsidR="00244248" w:rsidRPr="007A3658" w14:paraId="7ACBF205" w14:textId="77777777" w:rsidTr="00335B25">
        <w:trPr>
          <w:trHeight w:val="283"/>
        </w:trPr>
        <w:tc>
          <w:tcPr>
            <w:tcW w:w="3837" w:type="dxa"/>
            <w:tcBorders>
              <w:top w:val="nil"/>
              <w:left w:val="nil"/>
              <w:bottom w:val="nil"/>
              <w:right w:val="nil"/>
            </w:tcBorders>
            <w:shd w:val="clear" w:color="auto" w:fill="auto"/>
            <w:vAlign w:val="center"/>
            <w:hideMark/>
          </w:tcPr>
          <w:p w14:paraId="06C99CB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40-44</w:t>
            </w:r>
          </w:p>
        </w:tc>
        <w:tc>
          <w:tcPr>
            <w:tcW w:w="1276" w:type="dxa"/>
            <w:tcBorders>
              <w:top w:val="nil"/>
              <w:left w:val="nil"/>
              <w:bottom w:val="nil"/>
              <w:right w:val="nil"/>
            </w:tcBorders>
            <w:shd w:val="clear" w:color="auto" w:fill="auto"/>
            <w:vAlign w:val="center"/>
            <w:hideMark/>
          </w:tcPr>
          <w:p w14:paraId="7F8DB92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-1.417***</w:t>
            </w:r>
          </w:p>
        </w:tc>
        <w:tc>
          <w:tcPr>
            <w:tcW w:w="840" w:type="dxa"/>
            <w:tcBorders>
              <w:top w:val="nil"/>
              <w:left w:val="nil"/>
              <w:bottom w:val="nil"/>
              <w:right w:val="nil"/>
            </w:tcBorders>
            <w:shd w:val="clear" w:color="auto" w:fill="auto"/>
            <w:vAlign w:val="center"/>
            <w:hideMark/>
          </w:tcPr>
          <w:p w14:paraId="7B06381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(0.107)</w:t>
            </w:r>
          </w:p>
        </w:tc>
        <w:tc>
          <w:tcPr>
            <w:tcW w:w="1277" w:type="dxa"/>
            <w:tcBorders>
              <w:top w:val="nil"/>
              <w:left w:val="nil"/>
              <w:bottom w:val="nil"/>
              <w:right w:val="nil"/>
            </w:tcBorders>
            <w:shd w:val="clear" w:color="auto" w:fill="auto"/>
            <w:vAlign w:val="center"/>
            <w:hideMark/>
          </w:tcPr>
          <w:p w14:paraId="38A1F3A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-2.078***</w:t>
            </w:r>
          </w:p>
        </w:tc>
        <w:tc>
          <w:tcPr>
            <w:tcW w:w="959" w:type="dxa"/>
            <w:tcBorders>
              <w:top w:val="nil"/>
              <w:left w:val="nil"/>
              <w:bottom w:val="nil"/>
              <w:right w:val="nil"/>
            </w:tcBorders>
            <w:shd w:val="clear" w:color="auto" w:fill="auto"/>
            <w:vAlign w:val="center"/>
            <w:hideMark/>
          </w:tcPr>
          <w:p w14:paraId="380D949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(0.213)</w:t>
            </w:r>
          </w:p>
        </w:tc>
        <w:tc>
          <w:tcPr>
            <w:tcW w:w="970" w:type="dxa"/>
            <w:tcBorders>
              <w:top w:val="nil"/>
              <w:left w:val="nil"/>
              <w:bottom w:val="nil"/>
              <w:right w:val="nil"/>
            </w:tcBorders>
            <w:shd w:val="clear" w:color="auto" w:fill="auto"/>
            <w:vAlign w:val="center"/>
            <w:hideMark/>
          </w:tcPr>
          <w:p w14:paraId="7C0ABB9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-0.839**</w:t>
            </w:r>
          </w:p>
        </w:tc>
        <w:tc>
          <w:tcPr>
            <w:tcW w:w="959" w:type="dxa"/>
            <w:tcBorders>
              <w:top w:val="nil"/>
              <w:left w:val="nil"/>
              <w:bottom w:val="nil"/>
              <w:right w:val="nil"/>
            </w:tcBorders>
            <w:shd w:val="clear" w:color="auto" w:fill="auto"/>
            <w:vAlign w:val="center"/>
            <w:hideMark/>
          </w:tcPr>
          <w:p w14:paraId="42CBCCC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(0.332)</w:t>
            </w:r>
          </w:p>
        </w:tc>
        <w:tc>
          <w:tcPr>
            <w:tcW w:w="1222" w:type="dxa"/>
            <w:tcBorders>
              <w:top w:val="nil"/>
              <w:left w:val="nil"/>
              <w:bottom w:val="nil"/>
              <w:right w:val="nil"/>
            </w:tcBorders>
            <w:shd w:val="clear" w:color="auto" w:fill="auto"/>
            <w:vAlign w:val="center"/>
            <w:hideMark/>
          </w:tcPr>
          <w:p w14:paraId="1F7AB87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-0.456**</w:t>
            </w:r>
          </w:p>
        </w:tc>
        <w:tc>
          <w:tcPr>
            <w:tcW w:w="959" w:type="dxa"/>
            <w:tcBorders>
              <w:top w:val="nil"/>
              <w:left w:val="nil"/>
              <w:bottom w:val="nil"/>
              <w:right w:val="nil"/>
            </w:tcBorders>
            <w:shd w:val="clear" w:color="auto" w:fill="auto"/>
            <w:vAlign w:val="center"/>
            <w:hideMark/>
          </w:tcPr>
          <w:p w14:paraId="4202A6F6"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(0.107)</w:t>
            </w:r>
          </w:p>
        </w:tc>
      </w:tr>
      <w:tr w:rsidR="00244248" w:rsidRPr="007A3658" w14:paraId="3018668F" w14:textId="77777777" w:rsidTr="00335B25">
        <w:trPr>
          <w:trHeight w:val="283"/>
        </w:trPr>
        <w:tc>
          <w:tcPr>
            <w:tcW w:w="3837" w:type="dxa"/>
            <w:tcBorders>
              <w:top w:val="nil"/>
              <w:left w:val="nil"/>
              <w:bottom w:val="single" w:sz="4" w:space="0" w:color="ED7D31"/>
              <w:right w:val="nil"/>
            </w:tcBorders>
            <w:shd w:val="clear" w:color="auto" w:fill="auto"/>
            <w:vAlign w:val="center"/>
            <w:hideMark/>
          </w:tcPr>
          <w:p w14:paraId="7D10B508"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45-49</w:t>
            </w:r>
          </w:p>
        </w:tc>
        <w:tc>
          <w:tcPr>
            <w:tcW w:w="1276" w:type="dxa"/>
            <w:tcBorders>
              <w:top w:val="nil"/>
              <w:left w:val="nil"/>
              <w:bottom w:val="single" w:sz="8" w:space="0" w:color="ED7D31"/>
              <w:right w:val="nil"/>
            </w:tcBorders>
            <w:shd w:val="clear" w:color="auto" w:fill="auto"/>
            <w:vAlign w:val="center"/>
            <w:hideMark/>
          </w:tcPr>
          <w:p w14:paraId="04FDE0A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-1.317***</w:t>
            </w:r>
          </w:p>
        </w:tc>
        <w:tc>
          <w:tcPr>
            <w:tcW w:w="840" w:type="dxa"/>
            <w:tcBorders>
              <w:top w:val="nil"/>
              <w:left w:val="nil"/>
              <w:bottom w:val="single" w:sz="8" w:space="0" w:color="ED7D31"/>
              <w:right w:val="nil"/>
            </w:tcBorders>
            <w:shd w:val="clear" w:color="auto" w:fill="auto"/>
            <w:vAlign w:val="center"/>
            <w:hideMark/>
          </w:tcPr>
          <w:p w14:paraId="1A9F498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(0.129)</w:t>
            </w:r>
          </w:p>
        </w:tc>
        <w:tc>
          <w:tcPr>
            <w:tcW w:w="1277" w:type="dxa"/>
            <w:tcBorders>
              <w:top w:val="nil"/>
              <w:left w:val="nil"/>
              <w:bottom w:val="single" w:sz="8" w:space="0" w:color="ED7D31"/>
              <w:right w:val="nil"/>
            </w:tcBorders>
            <w:shd w:val="clear" w:color="auto" w:fill="auto"/>
            <w:vAlign w:val="center"/>
            <w:hideMark/>
          </w:tcPr>
          <w:p w14:paraId="6BD5372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-2.373***</w:t>
            </w:r>
          </w:p>
        </w:tc>
        <w:tc>
          <w:tcPr>
            <w:tcW w:w="959" w:type="dxa"/>
            <w:tcBorders>
              <w:top w:val="nil"/>
              <w:left w:val="nil"/>
              <w:bottom w:val="single" w:sz="8" w:space="0" w:color="ED7D31"/>
              <w:right w:val="nil"/>
            </w:tcBorders>
            <w:shd w:val="clear" w:color="auto" w:fill="auto"/>
            <w:vAlign w:val="center"/>
            <w:hideMark/>
          </w:tcPr>
          <w:p w14:paraId="6DB1D55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(0.267)</w:t>
            </w:r>
          </w:p>
        </w:tc>
        <w:tc>
          <w:tcPr>
            <w:tcW w:w="970" w:type="dxa"/>
            <w:tcBorders>
              <w:top w:val="nil"/>
              <w:left w:val="nil"/>
              <w:bottom w:val="single" w:sz="8" w:space="0" w:color="ED7D31"/>
              <w:right w:val="nil"/>
            </w:tcBorders>
            <w:shd w:val="clear" w:color="auto" w:fill="auto"/>
            <w:vAlign w:val="center"/>
            <w:hideMark/>
          </w:tcPr>
          <w:p w14:paraId="5A5171E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-0.625</w:t>
            </w:r>
          </w:p>
        </w:tc>
        <w:tc>
          <w:tcPr>
            <w:tcW w:w="959" w:type="dxa"/>
            <w:tcBorders>
              <w:top w:val="nil"/>
              <w:left w:val="nil"/>
              <w:bottom w:val="single" w:sz="8" w:space="0" w:color="ED7D31"/>
              <w:right w:val="nil"/>
            </w:tcBorders>
            <w:shd w:val="clear" w:color="auto" w:fill="auto"/>
            <w:vAlign w:val="center"/>
            <w:hideMark/>
          </w:tcPr>
          <w:p w14:paraId="018B469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(0.406)</w:t>
            </w:r>
          </w:p>
        </w:tc>
        <w:tc>
          <w:tcPr>
            <w:tcW w:w="1222" w:type="dxa"/>
            <w:tcBorders>
              <w:top w:val="nil"/>
              <w:left w:val="nil"/>
              <w:bottom w:val="single" w:sz="8" w:space="0" w:color="ED7D31"/>
              <w:right w:val="nil"/>
            </w:tcBorders>
            <w:shd w:val="clear" w:color="auto" w:fill="auto"/>
            <w:vAlign w:val="center"/>
            <w:hideMark/>
          </w:tcPr>
          <w:p w14:paraId="571F037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-0.086</w:t>
            </w:r>
          </w:p>
        </w:tc>
        <w:tc>
          <w:tcPr>
            <w:tcW w:w="959" w:type="dxa"/>
            <w:tcBorders>
              <w:top w:val="nil"/>
              <w:left w:val="nil"/>
              <w:bottom w:val="single" w:sz="8" w:space="0" w:color="ED7D31"/>
              <w:right w:val="nil"/>
            </w:tcBorders>
            <w:shd w:val="clear" w:color="auto" w:fill="auto"/>
            <w:vAlign w:val="center"/>
            <w:hideMark/>
          </w:tcPr>
          <w:p w14:paraId="5BD5B1F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(0.129)</w:t>
            </w:r>
          </w:p>
        </w:tc>
      </w:tr>
      <w:tr w:rsidR="00244248" w:rsidRPr="007A3658" w14:paraId="0A58CECE" w14:textId="77777777" w:rsidTr="00335B25">
        <w:trPr>
          <w:trHeight w:val="283"/>
        </w:trPr>
        <w:tc>
          <w:tcPr>
            <w:tcW w:w="3837" w:type="dxa"/>
            <w:tcBorders>
              <w:top w:val="nil"/>
              <w:left w:val="nil"/>
              <w:bottom w:val="nil"/>
              <w:right w:val="nil"/>
            </w:tcBorders>
            <w:shd w:val="clear" w:color="auto" w:fill="auto"/>
            <w:vAlign w:val="center"/>
            <w:hideMark/>
          </w:tcPr>
          <w:p w14:paraId="33234707"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Education level </w:t>
            </w:r>
            <w:r w:rsidRPr="007A3658">
              <w:rPr>
                <w:rFonts w:ascii="Calibri Light" w:eastAsia="Times New Roman" w:hAnsi="Calibri Light" w:cs="Calibri Light"/>
                <w:color w:val="000000"/>
                <w:sz w:val="20"/>
                <w:szCs w:val="20"/>
                <w:lang w:eastAsia="en-AU"/>
              </w:rPr>
              <w:t>(ref: Year 11 or below)</w:t>
            </w:r>
          </w:p>
        </w:tc>
        <w:tc>
          <w:tcPr>
            <w:tcW w:w="1276" w:type="dxa"/>
            <w:tcBorders>
              <w:top w:val="nil"/>
              <w:left w:val="nil"/>
              <w:bottom w:val="nil"/>
              <w:right w:val="nil"/>
            </w:tcBorders>
            <w:shd w:val="clear" w:color="auto" w:fill="auto"/>
            <w:vAlign w:val="center"/>
            <w:hideMark/>
          </w:tcPr>
          <w:p w14:paraId="6B68B188"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2A6F8E04"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14A8009A"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C2BE2EC"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0AAD3C72"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32F4AA8C"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22" w:type="dxa"/>
            <w:tcBorders>
              <w:top w:val="nil"/>
              <w:left w:val="nil"/>
              <w:bottom w:val="nil"/>
              <w:right w:val="nil"/>
            </w:tcBorders>
            <w:shd w:val="clear" w:color="auto" w:fill="auto"/>
            <w:vAlign w:val="center"/>
            <w:hideMark/>
          </w:tcPr>
          <w:p w14:paraId="6F3F7B1F"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7163524A"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1EBA75EA" w14:textId="77777777" w:rsidTr="00335B25">
        <w:trPr>
          <w:trHeight w:val="283"/>
        </w:trPr>
        <w:tc>
          <w:tcPr>
            <w:tcW w:w="3837" w:type="dxa"/>
            <w:tcBorders>
              <w:top w:val="nil"/>
              <w:left w:val="nil"/>
              <w:bottom w:val="nil"/>
              <w:right w:val="nil"/>
            </w:tcBorders>
            <w:shd w:val="clear" w:color="auto" w:fill="auto"/>
            <w:vAlign w:val="center"/>
            <w:hideMark/>
          </w:tcPr>
          <w:p w14:paraId="0C027A4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Bachelor Degree or higher</w:t>
            </w:r>
          </w:p>
        </w:tc>
        <w:tc>
          <w:tcPr>
            <w:tcW w:w="1276" w:type="dxa"/>
            <w:tcBorders>
              <w:top w:val="nil"/>
              <w:left w:val="nil"/>
              <w:bottom w:val="nil"/>
              <w:right w:val="nil"/>
            </w:tcBorders>
            <w:shd w:val="clear" w:color="auto" w:fill="auto"/>
            <w:vAlign w:val="center"/>
            <w:hideMark/>
          </w:tcPr>
          <w:p w14:paraId="561A77B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0.404***</w:t>
            </w:r>
          </w:p>
        </w:tc>
        <w:tc>
          <w:tcPr>
            <w:tcW w:w="840" w:type="dxa"/>
            <w:tcBorders>
              <w:top w:val="nil"/>
              <w:left w:val="nil"/>
              <w:bottom w:val="nil"/>
              <w:right w:val="nil"/>
            </w:tcBorders>
            <w:shd w:val="clear" w:color="auto" w:fill="auto"/>
            <w:vAlign w:val="center"/>
            <w:hideMark/>
          </w:tcPr>
          <w:p w14:paraId="506EC97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(0.131)</w:t>
            </w:r>
          </w:p>
        </w:tc>
        <w:tc>
          <w:tcPr>
            <w:tcW w:w="1277" w:type="dxa"/>
            <w:tcBorders>
              <w:top w:val="nil"/>
              <w:left w:val="nil"/>
              <w:bottom w:val="nil"/>
              <w:right w:val="nil"/>
            </w:tcBorders>
            <w:shd w:val="clear" w:color="auto" w:fill="auto"/>
            <w:vAlign w:val="center"/>
            <w:hideMark/>
          </w:tcPr>
          <w:p w14:paraId="4532F5D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0.014</w:t>
            </w:r>
          </w:p>
        </w:tc>
        <w:tc>
          <w:tcPr>
            <w:tcW w:w="959" w:type="dxa"/>
            <w:tcBorders>
              <w:top w:val="nil"/>
              <w:left w:val="nil"/>
              <w:bottom w:val="nil"/>
              <w:right w:val="nil"/>
            </w:tcBorders>
            <w:shd w:val="clear" w:color="auto" w:fill="auto"/>
            <w:vAlign w:val="center"/>
            <w:hideMark/>
          </w:tcPr>
          <w:p w14:paraId="4F0D909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(0.150)</w:t>
            </w:r>
          </w:p>
        </w:tc>
        <w:tc>
          <w:tcPr>
            <w:tcW w:w="970" w:type="dxa"/>
            <w:tcBorders>
              <w:top w:val="nil"/>
              <w:left w:val="nil"/>
              <w:bottom w:val="nil"/>
              <w:right w:val="nil"/>
            </w:tcBorders>
            <w:shd w:val="clear" w:color="auto" w:fill="auto"/>
            <w:vAlign w:val="center"/>
            <w:hideMark/>
          </w:tcPr>
          <w:p w14:paraId="5670009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0.299</w:t>
            </w:r>
          </w:p>
        </w:tc>
        <w:tc>
          <w:tcPr>
            <w:tcW w:w="959" w:type="dxa"/>
            <w:tcBorders>
              <w:top w:val="nil"/>
              <w:left w:val="nil"/>
              <w:bottom w:val="nil"/>
              <w:right w:val="nil"/>
            </w:tcBorders>
            <w:shd w:val="clear" w:color="auto" w:fill="auto"/>
            <w:vAlign w:val="center"/>
            <w:hideMark/>
          </w:tcPr>
          <w:p w14:paraId="21D45D2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(0.637)</w:t>
            </w:r>
          </w:p>
        </w:tc>
        <w:tc>
          <w:tcPr>
            <w:tcW w:w="1222" w:type="dxa"/>
            <w:tcBorders>
              <w:top w:val="nil"/>
              <w:left w:val="nil"/>
              <w:bottom w:val="nil"/>
              <w:right w:val="nil"/>
            </w:tcBorders>
            <w:shd w:val="clear" w:color="auto" w:fill="auto"/>
            <w:vAlign w:val="center"/>
            <w:hideMark/>
          </w:tcPr>
          <w:p w14:paraId="6B05898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1.573***</w:t>
            </w:r>
          </w:p>
        </w:tc>
        <w:tc>
          <w:tcPr>
            <w:tcW w:w="959" w:type="dxa"/>
            <w:tcBorders>
              <w:top w:val="nil"/>
              <w:left w:val="nil"/>
              <w:bottom w:val="nil"/>
              <w:right w:val="nil"/>
            </w:tcBorders>
            <w:shd w:val="clear" w:color="auto" w:fill="auto"/>
            <w:vAlign w:val="center"/>
            <w:hideMark/>
          </w:tcPr>
          <w:p w14:paraId="4E794E3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(0.131)</w:t>
            </w:r>
          </w:p>
        </w:tc>
      </w:tr>
      <w:tr w:rsidR="00244248" w:rsidRPr="007A3658" w14:paraId="03084F73" w14:textId="77777777" w:rsidTr="00335B25">
        <w:trPr>
          <w:trHeight w:val="283"/>
        </w:trPr>
        <w:tc>
          <w:tcPr>
            <w:tcW w:w="3837" w:type="dxa"/>
            <w:tcBorders>
              <w:top w:val="nil"/>
              <w:left w:val="nil"/>
              <w:bottom w:val="nil"/>
              <w:right w:val="nil"/>
            </w:tcBorders>
            <w:shd w:val="clear" w:color="auto" w:fill="auto"/>
            <w:vAlign w:val="center"/>
            <w:hideMark/>
          </w:tcPr>
          <w:p w14:paraId="724A54F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Diploma/ Cert III/IV</w:t>
            </w:r>
          </w:p>
        </w:tc>
        <w:tc>
          <w:tcPr>
            <w:tcW w:w="1276" w:type="dxa"/>
            <w:tcBorders>
              <w:top w:val="nil"/>
              <w:left w:val="nil"/>
              <w:bottom w:val="nil"/>
              <w:right w:val="nil"/>
            </w:tcBorders>
            <w:shd w:val="clear" w:color="auto" w:fill="auto"/>
            <w:vAlign w:val="center"/>
            <w:hideMark/>
          </w:tcPr>
          <w:p w14:paraId="28AB7CF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0.413***</w:t>
            </w:r>
          </w:p>
        </w:tc>
        <w:tc>
          <w:tcPr>
            <w:tcW w:w="840" w:type="dxa"/>
            <w:tcBorders>
              <w:top w:val="nil"/>
              <w:left w:val="nil"/>
              <w:bottom w:val="nil"/>
              <w:right w:val="nil"/>
            </w:tcBorders>
            <w:shd w:val="clear" w:color="auto" w:fill="auto"/>
            <w:vAlign w:val="center"/>
            <w:hideMark/>
          </w:tcPr>
          <w:p w14:paraId="55E546AD"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(0.112)</w:t>
            </w:r>
          </w:p>
        </w:tc>
        <w:tc>
          <w:tcPr>
            <w:tcW w:w="1277" w:type="dxa"/>
            <w:tcBorders>
              <w:top w:val="nil"/>
              <w:left w:val="nil"/>
              <w:bottom w:val="nil"/>
              <w:right w:val="nil"/>
            </w:tcBorders>
            <w:shd w:val="clear" w:color="auto" w:fill="auto"/>
            <w:vAlign w:val="center"/>
            <w:hideMark/>
          </w:tcPr>
          <w:p w14:paraId="57D530D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0.348**</w:t>
            </w:r>
          </w:p>
        </w:tc>
        <w:tc>
          <w:tcPr>
            <w:tcW w:w="959" w:type="dxa"/>
            <w:tcBorders>
              <w:top w:val="nil"/>
              <w:left w:val="nil"/>
              <w:bottom w:val="nil"/>
              <w:right w:val="nil"/>
            </w:tcBorders>
            <w:shd w:val="clear" w:color="auto" w:fill="auto"/>
            <w:vAlign w:val="center"/>
            <w:hideMark/>
          </w:tcPr>
          <w:p w14:paraId="28C07C3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(0.151)</w:t>
            </w:r>
          </w:p>
        </w:tc>
        <w:tc>
          <w:tcPr>
            <w:tcW w:w="970" w:type="dxa"/>
            <w:tcBorders>
              <w:top w:val="nil"/>
              <w:left w:val="nil"/>
              <w:bottom w:val="nil"/>
              <w:right w:val="nil"/>
            </w:tcBorders>
            <w:shd w:val="clear" w:color="auto" w:fill="auto"/>
            <w:vAlign w:val="center"/>
            <w:hideMark/>
          </w:tcPr>
          <w:p w14:paraId="7B69C2A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-0.050</w:t>
            </w:r>
          </w:p>
        </w:tc>
        <w:tc>
          <w:tcPr>
            <w:tcW w:w="959" w:type="dxa"/>
            <w:tcBorders>
              <w:top w:val="nil"/>
              <w:left w:val="nil"/>
              <w:bottom w:val="nil"/>
              <w:right w:val="nil"/>
            </w:tcBorders>
            <w:shd w:val="clear" w:color="auto" w:fill="auto"/>
            <w:vAlign w:val="center"/>
            <w:hideMark/>
          </w:tcPr>
          <w:p w14:paraId="235CC8B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(0.381)</w:t>
            </w:r>
          </w:p>
        </w:tc>
        <w:tc>
          <w:tcPr>
            <w:tcW w:w="1222" w:type="dxa"/>
            <w:tcBorders>
              <w:top w:val="nil"/>
              <w:left w:val="nil"/>
              <w:bottom w:val="nil"/>
              <w:right w:val="nil"/>
            </w:tcBorders>
            <w:shd w:val="clear" w:color="auto" w:fill="auto"/>
            <w:vAlign w:val="center"/>
            <w:hideMark/>
          </w:tcPr>
          <w:p w14:paraId="398C3AA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0.488**</w:t>
            </w:r>
          </w:p>
        </w:tc>
        <w:tc>
          <w:tcPr>
            <w:tcW w:w="959" w:type="dxa"/>
            <w:tcBorders>
              <w:top w:val="nil"/>
              <w:left w:val="nil"/>
              <w:bottom w:val="nil"/>
              <w:right w:val="nil"/>
            </w:tcBorders>
            <w:shd w:val="clear" w:color="auto" w:fill="auto"/>
            <w:vAlign w:val="center"/>
            <w:hideMark/>
          </w:tcPr>
          <w:p w14:paraId="53B2879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(0.112)</w:t>
            </w:r>
          </w:p>
        </w:tc>
      </w:tr>
      <w:tr w:rsidR="00244248" w:rsidRPr="007A3658" w14:paraId="784EBDDD" w14:textId="77777777" w:rsidTr="00335B25">
        <w:trPr>
          <w:trHeight w:val="283"/>
        </w:trPr>
        <w:tc>
          <w:tcPr>
            <w:tcW w:w="3837" w:type="dxa"/>
            <w:tcBorders>
              <w:top w:val="nil"/>
              <w:left w:val="nil"/>
              <w:bottom w:val="single" w:sz="4" w:space="0" w:color="ED7D31"/>
              <w:right w:val="nil"/>
            </w:tcBorders>
            <w:shd w:val="clear" w:color="auto" w:fill="auto"/>
            <w:vAlign w:val="center"/>
            <w:hideMark/>
          </w:tcPr>
          <w:p w14:paraId="70DCACF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Year 12</w:t>
            </w:r>
          </w:p>
        </w:tc>
        <w:tc>
          <w:tcPr>
            <w:tcW w:w="1276" w:type="dxa"/>
            <w:tcBorders>
              <w:top w:val="nil"/>
              <w:left w:val="nil"/>
              <w:bottom w:val="single" w:sz="8" w:space="0" w:color="ED7D31"/>
              <w:right w:val="nil"/>
            </w:tcBorders>
            <w:shd w:val="clear" w:color="auto" w:fill="auto"/>
            <w:vAlign w:val="center"/>
            <w:hideMark/>
          </w:tcPr>
          <w:p w14:paraId="5CE476C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0.263**</w:t>
            </w:r>
          </w:p>
        </w:tc>
        <w:tc>
          <w:tcPr>
            <w:tcW w:w="840" w:type="dxa"/>
            <w:tcBorders>
              <w:top w:val="nil"/>
              <w:left w:val="nil"/>
              <w:bottom w:val="single" w:sz="8" w:space="0" w:color="ED7D31"/>
              <w:right w:val="nil"/>
            </w:tcBorders>
            <w:shd w:val="clear" w:color="auto" w:fill="auto"/>
            <w:vAlign w:val="center"/>
            <w:hideMark/>
          </w:tcPr>
          <w:p w14:paraId="43AE2C4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(0.118)</w:t>
            </w:r>
          </w:p>
        </w:tc>
        <w:tc>
          <w:tcPr>
            <w:tcW w:w="1277" w:type="dxa"/>
            <w:tcBorders>
              <w:top w:val="nil"/>
              <w:left w:val="nil"/>
              <w:bottom w:val="single" w:sz="8" w:space="0" w:color="ED7D31"/>
              <w:right w:val="nil"/>
            </w:tcBorders>
            <w:shd w:val="clear" w:color="auto" w:fill="auto"/>
            <w:vAlign w:val="center"/>
            <w:hideMark/>
          </w:tcPr>
          <w:p w14:paraId="0BE5742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0.005</w:t>
            </w:r>
          </w:p>
        </w:tc>
        <w:tc>
          <w:tcPr>
            <w:tcW w:w="959" w:type="dxa"/>
            <w:tcBorders>
              <w:top w:val="nil"/>
              <w:left w:val="nil"/>
              <w:bottom w:val="single" w:sz="8" w:space="0" w:color="ED7D31"/>
              <w:right w:val="nil"/>
            </w:tcBorders>
            <w:shd w:val="clear" w:color="auto" w:fill="auto"/>
            <w:vAlign w:val="center"/>
            <w:hideMark/>
          </w:tcPr>
          <w:p w14:paraId="7CA636F6"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(0.131)</w:t>
            </w:r>
          </w:p>
        </w:tc>
        <w:tc>
          <w:tcPr>
            <w:tcW w:w="970" w:type="dxa"/>
            <w:tcBorders>
              <w:top w:val="nil"/>
              <w:left w:val="nil"/>
              <w:bottom w:val="single" w:sz="8" w:space="0" w:color="ED7D31"/>
              <w:right w:val="nil"/>
            </w:tcBorders>
            <w:shd w:val="clear" w:color="auto" w:fill="auto"/>
            <w:vAlign w:val="center"/>
            <w:hideMark/>
          </w:tcPr>
          <w:p w14:paraId="0F97750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-0.360</w:t>
            </w:r>
          </w:p>
        </w:tc>
        <w:tc>
          <w:tcPr>
            <w:tcW w:w="959" w:type="dxa"/>
            <w:tcBorders>
              <w:top w:val="nil"/>
              <w:left w:val="nil"/>
              <w:bottom w:val="single" w:sz="8" w:space="0" w:color="ED7D31"/>
              <w:right w:val="nil"/>
            </w:tcBorders>
            <w:shd w:val="clear" w:color="auto" w:fill="auto"/>
            <w:vAlign w:val="center"/>
            <w:hideMark/>
          </w:tcPr>
          <w:p w14:paraId="40724CF6"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(0.544)</w:t>
            </w:r>
          </w:p>
        </w:tc>
        <w:tc>
          <w:tcPr>
            <w:tcW w:w="1222" w:type="dxa"/>
            <w:tcBorders>
              <w:top w:val="nil"/>
              <w:left w:val="nil"/>
              <w:bottom w:val="single" w:sz="8" w:space="0" w:color="ED7D31"/>
              <w:right w:val="nil"/>
            </w:tcBorders>
            <w:shd w:val="clear" w:color="auto" w:fill="auto"/>
            <w:vAlign w:val="center"/>
            <w:hideMark/>
          </w:tcPr>
          <w:p w14:paraId="7BFF600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0.251</w:t>
            </w:r>
          </w:p>
        </w:tc>
        <w:tc>
          <w:tcPr>
            <w:tcW w:w="959" w:type="dxa"/>
            <w:tcBorders>
              <w:top w:val="nil"/>
              <w:left w:val="nil"/>
              <w:bottom w:val="single" w:sz="8" w:space="0" w:color="ED7D31"/>
              <w:right w:val="nil"/>
            </w:tcBorders>
            <w:shd w:val="clear" w:color="auto" w:fill="auto"/>
            <w:vAlign w:val="center"/>
            <w:hideMark/>
          </w:tcPr>
          <w:p w14:paraId="0F1373D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(0.118)</w:t>
            </w:r>
          </w:p>
        </w:tc>
      </w:tr>
      <w:tr w:rsidR="00244248" w:rsidRPr="007A3658" w14:paraId="1D9F8EB6" w14:textId="77777777" w:rsidTr="00335B25">
        <w:trPr>
          <w:trHeight w:val="283"/>
        </w:trPr>
        <w:tc>
          <w:tcPr>
            <w:tcW w:w="3837" w:type="dxa"/>
            <w:tcBorders>
              <w:top w:val="nil"/>
              <w:left w:val="nil"/>
              <w:bottom w:val="nil"/>
              <w:right w:val="nil"/>
            </w:tcBorders>
            <w:shd w:val="clear" w:color="auto" w:fill="auto"/>
            <w:vAlign w:val="center"/>
            <w:hideMark/>
          </w:tcPr>
          <w:p w14:paraId="7FD6B62D"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Relationship status </w:t>
            </w:r>
            <w:r w:rsidRPr="007A3658">
              <w:rPr>
                <w:rFonts w:ascii="Calibri Light" w:eastAsia="Times New Roman" w:hAnsi="Calibri Light" w:cs="Calibri Light"/>
                <w:color w:val="000000"/>
                <w:sz w:val="20"/>
                <w:szCs w:val="20"/>
                <w:lang w:eastAsia="en-AU"/>
              </w:rPr>
              <w:t>(ref: Single)</w:t>
            </w:r>
          </w:p>
        </w:tc>
        <w:tc>
          <w:tcPr>
            <w:tcW w:w="1276" w:type="dxa"/>
            <w:tcBorders>
              <w:top w:val="nil"/>
              <w:left w:val="nil"/>
              <w:bottom w:val="nil"/>
              <w:right w:val="nil"/>
            </w:tcBorders>
            <w:shd w:val="clear" w:color="auto" w:fill="auto"/>
            <w:vAlign w:val="center"/>
            <w:hideMark/>
          </w:tcPr>
          <w:p w14:paraId="6B17D5F4"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0C77EA5B"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6F664A25"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2376A46"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62F4CA95"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640C9716"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22" w:type="dxa"/>
            <w:tcBorders>
              <w:top w:val="nil"/>
              <w:left w:val="nil"/>
              <w:bottom w:val="nil"/>
              <w:right w:val="nil"/>
            </w:tcBorders>
            <w:shd w:val="clear" w:color="auto" w:fill="auto"/>
            <w:vAlign w:val="center"/>
            <w:hideMark/>
          </w:tcPr>
          <w:p w14:paraId="520D027B"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5824FA34"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1A376F3E" w14:textId="77777777" w:rsidTr="00335B25">
        <w:trPr>
          <w:trHeight w:val="283"/>
        </w:trPr>
        <w:tc>
          <w:tcPr>
            <w:tcW w:w="3837" w:type="dxa"/>
            <w:tcBorders>
              <w:top w:val="nil"/>
              <w:left w:val="nil"/>
              <w:bottom w:val="nil"/>
              <w:right w:val="nil"/>
            </w:tcBorders>
            <w:shd w:val="clear" w:color="auto" w:fill="auto"/>
            <w:vAlign w:val="center"/>
            <w:hideMark/>
          </w:tcPr>
          <w:p w14:paraId="0D328C3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Married</w:t>
            </w:r>
          </w:p>
        </w:tc>
        <w:tc>
          <w:tcPr>
            <w:tcW w:w="1276" w:type="dxa"/>
            <w:tcBorders>
              <w:top w:val="nil"/>
              <w:left w:val="nil"/>
              <w:bottom w:val="nil"/>
              <w:right w:val="nil"/>
            </w:tcBorders>
            <w:shd w:val="clear" w:color="auto" w:fill="auto"/>
            <w:vAlign w:val="center"/>
            <w:hideMark/>
          </w:tcPr>
          <w:p w14:paraId="673A31B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0.891***</w:t>
            </w:r>
          </w:p>
        </w:tc>
        <w:tc>
          <w:tcPr>
            <w:tcW w:w="840" w:type="dxa"/>
            <w:tcBorders>
              <w:top w:val="nil"/>
              <w:left w:val="nil"/>
              <w:bottom w:val="nil"/>
              <w:right w:val="nil"/>
            </w:tcBorders>
            <w:shd w:val="clear" w:color="auto" w:fill="auto"/>
            <w:vAlign w:val="center"/>
            <w:hideMark/>
          </w:tcPr>
          <w:p w14:paraId="3E91E62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(0.066)</w:t>
            </w:r>
          </w:p>
        </w:tc>
        <w:tc>
          <w:tcPr>
            <w:tcW w:w="1277" w:type="dxa"/>
            <w:tcBorders>
              <w:top w:val="nil"/>
              <w:left w:val="nil"/>
              <w:bottom w:val="nil"/>
              <w:right w:val="nil"/>
            </w:tcBorders>
            <w:shd w:val="clear" w:color="auto" w:fill="auto"/>
            <w:vAlign w:val="center"/>
            <w:hideMark/>
          </w:tcPr>
          <w:p w14:paraId="7E36B07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0.898***</w:t>
            </w:r>
          </w:p>
        </w:tc>
        <w:tc>
          <w:tcPr>
            <w:tcW w:w="959" w:type="dxa"/>
            <w:tcBorders>
              <w:top w:val="nil"/>
              <w:left w:val="nil"/>
              <w:bottom w:val="nil"/>
              <w:right w:val="nil"/>
            </w:tcBorders>
            <w:shd w:val="clear" w:color="auto" w:fill="auto"/>
            <w:vAlign w:val="center"/>
            <w:hideMark/>
          </w:tcPr>
          <w:p w14:paraId="131BD63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(0.101)</w:t>
            </w:r>
          </w:p>
        </w:tc>
        <w:tc>
          <w:tcPr>
            <w:tcW w:w="970" w:type="dxa"/>
            <w:tcBorders>
              <w:top w:val="nil"/>
              <w:left w:val="nil"/>
              <w:bottom w:val="nil"/>
              <w:right w:val="nil"/>
            </w:tcBorders>
            <w:shd w:val="clear" w:color="auto" w:fill="auto"/>
            <w:vAlign w:val="center"/>
            <w:hideMark/>
          </w:tcPr>
          <w:p w14:paraId="2DF4C21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1.124***</w:t>
            </w:r>
          </w:p>
        </w:tc>
        <w:tc>
          <w:tcPr>
            <w:tcW w:w="959" w:type="dxa"/>
            <w:tcBorders>
              <w:top w:val="nil"/>
              <w:left w:val="nil"/>
              <w:bottom w:val="nil"/>
              <w:right w:val="nil"/>
            </w:tcBorders>
            <w:shd w:val="clear" w:color="auto" w:fill="auto"/>
            <w:vAlign w:val="center"/>
            <w:hideMark/>
          </w:tcPr>
          <w:p w14:paraId="21C686E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(0.237)</w:t>
            </w:r>
          </w:p>
        </w:tc>
        <w:tc>
          <w:tcPr>
            <w:tcW w:w="1222" w:type="dxa"/>
            <w:tcBorders>
              <w:top w:val="nil"/>
              <w:left w:val="nil"/>
              <w:bottom w:val="nil"/>
              <w:right w:val="nil"/>
            </w:tcBorders>
            <w:shd w:val="clear" w:color="auto" w:fill="auto"/>
            <w:vAlign w:val="center"/>
            <w:hideMark/>
          </w:tcPr>
          <w:p w14:paraId="58314B1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-0.006</w:t>
            </w:r>
          </w:p>
        </w:tc>
        <w:tc>
          <w:tcPr>
            <w:tcW w:w="959" w:type="dxa"/>
            <w:tcBorders>
              <w:top w:val="nil"/>
              <w:left w:val="nil"/>
              <w:bottom w:val="nil"/>
              <w:right w:val="nil"/>
            </w:tcBorders>
            <w:shd w:val="clear" w:color="auto" w:fill="auto"/>
            <w:vAlign w:val="center"/>
            <w:hideMark/>
          </w:tcPr>
          <w:p w14:paraId="761B8E8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(0.066)</w:t>
            </w:r>
          </w:p>
        </w:tc>
      </w:tr>
      <w:tr w:rsidR="00244248" w:rsidRPr="007A3658" w14:paraId="3FA89386" w14:textId="77777777" w:rsidTr="00335B25">
        <w:trPr>
          <w:trHeight w:val="283"/>
        </w:trPr>
        <w:tc>
          <w:tcPr>
            <w:tcW w:w="3837" w:type="dxa"/>
            <w:tcBorders>
              <w:top w:val="nil"/>
              <w:left w:val="nil"/>
              <w:bottom w:val="single" w:sz="4" w:space="0" w:color="ED7D31"/>
              <w:right w:val="nil"/>
            </w:tcBorders>
            <w:shd w:val="clear" w:color="auto" w:fill="auto"/>
            <w:vAlign w:val="center"/>
            <w:hideMark/>
          </w:tcPr>
          <w:p w14:paraId="5BB358C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Cohabiting</w:t>
            </w:r>
          </w:p>
        </w:tc>
        <w:tc>
          <w:tcPr>
            <w:tcW w:w="1276" w:type="dxa"/>
            <w:tcBorders>
              <w:top w:val="nil"/>
              <w:left w:val="nil"/>
              <w:bottom w:val="single" w:sz="8" w:space="0" w:color="ED7D31"/>
              <w:right w:val="nil"/>
            </w:tcBorders>
            <w:shd w:val="clear" w:color="auto" w:fill="auto"/>
            <w:vAlign w:val="center"/>
            <w:hideMark/>
          </w:tcPr>
          <w:p w14:paraId="0A62313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1.012***</w:t>
            </w:r>
          </w:p>
        </w:tc>
        <w:tc>
          <w:tcPr>
            <w:tcW w:w="840" w:type="dxa"/>
            <w:tcBorders>
              <w:top w:val="nil"/>
              <w:left w:val="nil"/>
              <w:bottom w:val="single" w:sz="8" w:space="0" w:color="ED7D31"/>
              <w:right w:val="nil"/>
            </w:tcBorders>
            <w:shd w:val="clear" w:color="auto" w:fill="auto"/>
            <w:vAlign w:val="center"/>
            <w:hideMark/>
          </w:tcPr>
          <w:p w14:paraId="74072A8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(0.053)</w:t>
            </w:r>
          </w:p>
        </w:tc>
        <w:tc>
          <w:tcPr>
            <w:tcW w:w="1277" w:type="dxa"/>
            <w:tcBorders>
              <w:top w:val="nil"/>
              <w:left w:val="nil"/>
              <w:bottom w:val="single" w:sz="8" w:space="0" w:color="ED7D31"/>
              <w:right w:val="nil"/>
            </w:tcBorders>
            <w:shd w:val="clear" w:color="auto" w:fill="auto"/>
            <w:vAlign w:val="center"/>
            <w:hideMark/>
          </w:tcPr>
          <w:p w14:paraId="51F665B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0.797***</w:t>
            </w:r>
          </w:p>
        </w:tc>
        <w:tc>
          <w:tcPr>
            <w:tcW w:w="959" w:type="dxa"/>
            <w:tcBorders>
              <w:top w:val="nil"/>
              <w:left w:val="nil"/>
              <w:bottom w:val="single" w:sz="8" w:space="0" w:color="ED7D31"/>
              <w:right w:val="nil"/>
            </w:tcBorders>
            <w:shd w:val="clear" w:color="auto" w:fill="auto"/>
            <w:vAlign w:val="center"/>
            <w:hideMark/>
          </w:tcPr>
          <w:p w14:paraId="74A7EE1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(0.064)</w:t>
            </w:r>
          </w:p>
        </w:tc>
        <w:tc>
          <w:tcPr>
            <w:tcW w:w="970" w:type="dxa"/>
            <w:tcBorders>
              <w:top w:val="nil"/>
              <w:left w:val="nil"/>
              <w:bottom w:val="single" w:sz="8" w:space="0" w:color="ED7D31"/>
              <w:right w:val="nil"/>
            </w:tcBorders>
            <w:shd w:val="clear" w:color="auto" w:fill="auto"/>
            <w:vAlign w:val="center"/>
            <w:hideMark/>
          </w:tcPr>
          <w:p w14:paraId="6965204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1.566***</w:t>
            </w:r>
          </w:p>
        </w:tc>
        <w:tc>
          <w:tcPr>
            <w:tcW w:w="959" w:type="dxa"/>
            <w:tcBorders>
              <w:top w:val="nil"/>
              <w:left w:val="nil"/>
              <w:bottom w:val="single" w:sz="8" w:space="0" w:color="ED7D31"/>
              <w:right w:val="nil"/>
            </w:tcBorders>
            <w:shd w:val="clear" w:color="auto" w:fill="auto"/>
            <w:vAlign w:val="center"/>
            <w:hideMark/>
          </w:tcPr>
          <w:p w14:paraId="6794017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(0.188)</w:t>
            </w:r>
          </w:p>
        </w:tc>
        <w:tc>
          <w:tcPr>
            <w:tcW w:w="1222" w:type="dxa"/>
            <w:tcBorders>
              <w:top w:val="nil"/>
              <w:left w:val="nil"/>
              <w:bottom w:val="single" w:sz="8" w:space="0" w:color="ED7D31"/>
              <w:right w:val="nil"/>
            </w:tcBorders>
            <w:shd w:val="clear" w:color="auto" w:fill="auto"/>
            <w:vAlign w:val="center"/>
            <w:hideMark/>
          </w:tcPr>
          <w:p w14:paraId="3408D22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0.386**</w:t>
            </w:r>
          </w:p>
        </w:tc>
        <w:tc>
          <w:tcPr>
            <w:tcW w:w="959" w:type="dxa"/>
            <w:tcBorders>
              <w:top w:val="nil"/>
              <w:left w:val="nil"/>
              <w:bottom w:val="single" w:sz="8" w:space="0" w:color="ED7D31"/>
              <w:right w:val="nil"/>
            </w:tcBorders>
            <w:shd w:val="clear" w:color="auto" w:fill="auto"/>
            <w:vAlign w:val="center"/>
            <w:hideMark/>
          </w:tcPr>
          <w:p w14:paraId="5172E42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(0.053)</w:t>
            </w:r>
          </w:p>
        </w:tc>
      </w:tr>
      <w:tr w:rsidR="00244248" w:rsidRPr="007A3658" w14:paraId="434B82E7" w14:textId="77777777" w:rsidTr="00335B25">
        <w:trPr>
          <w:trHeight w:val="283"/>
        </w:trPr>
        <w:tc>
          <w:tcPr>
            <w:tcW w:w="3837" w:type="dxa"/>
            <w:tcBorders>
              <w:top w:val="nil"/>
              <w:left w:val="nil"/>
              <w:bottom w:val="nil"/>
              <w:right w:val="nil"/>
            </w:tcBorders>
            <w:shd w:val="clear" w:color="auto" w:fill="auto"/>
            <w:vAlign w:val="center"/>
            <w:hideMark/>
          </w:tcPr>
          <w:p w14:paraId="41305B37"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 xml:space="preserve">Employment </w:t>
            </w:r>
            <w:r w:rsidRPr="007A3658">
              <w:rPr>
                <w:rFonts w:ascii="Calibri Light" w:eastAsia="Times New Roman" w:hAnsi="Calibri Light" w:cs="Calibri Light"/>
                <w:color w:val="000000"/>
                <w:sz w:val="20"/>
                <w:szCs w:val="20"/>
                <w:lang w:eastAsia="en-AU"/>
              </w:rPr>
              <w:t>(ref: Permanent full-time)</w:t>
            </w:r>
          </w:p>
        </w:tc>
        <w:tc>
          <w:tcPr>
            <w:tcW w:w="1276" w:type="dxa"/>
            <w:tcBorders>
              <w:top w:val="nil"/>
              <w:left w:val="nil"/>
              <w:bottom w:val="nil"/>
              <w:right w:val="nil"/>
            </w:tcBorders>
            <w:shd w:val="clear" w:color="auto" w:fill="auto"/>
            <w:vAlign w:val="center"/>
            <w:hideMark/>
          </w:tcPr>
          <w:p w14:paraId="77281728"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580D52F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77" w:type="dxa"/>
            <w:tcBorders>
              <w:top w:val="nil"/>
              <w:left w:val="nil"/>
              <w:bottom w:val="nil"/>
              <w:right w:val="nil"/>
            </w:tcBorders>
            <w:shd w:val="clear" w:color="auto" w:fill="auto"/>
            <w:vAlign w:val="center"/>
            <w:hideMark/>
          </w:tcPr>
          <w:p w14:paraId="12359EB0"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2E157332"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70" w:type="dxa"/>
            <w:tcBorders>
              <w:top w:val="nil"/>
              <w:left w:val="nil"/>
              <w:bottom w:val="nil"/>
              <w:right w:val="nil"/>
            </w:tcBorders>
            <w:shd w:val="clear" w:color="auto" w:fill="auto"/>
            <w:vAlign w:val="center"/>
            <w:hideMark/>
          </w:tcPr>
          <w:p w14:paraId="07F113EB"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4695CE2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1222" w:type="dxa"/>
            <w:tcBorders>
              <w:top w:val="nil"/>
              <w:left w:val="nil"/>
              <w:bottom w:val="nil"/>
              <w:right w:val="nil"/>
            </w:tcBorders>
            <w:shd w:val="clear" w:color="auto" w:fill="auto"/>
            <w:vAlign w:val="center"/>
            <w:hideMark/>
          </w:tcPr>
          <w:p w14:paraId="7C1369D6"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c>
          <w:tcPr>
            <w:tcW w:w="959" w:type="dxa"/>
            <w:tcBorders>
              <w:top w:val="nil"/>
              <w:left w:val="nil"/>
              <w:bottom w:val="nil"/>
              <w:right w:val="nil"/>
            </w:tcBorders>
            <w:shd w:val="clear" w:color="auto" w:fill="auto"/>
            <w:vAlign w:val="center"/>
            <w:hideMark/>
          </w:tcPr>
          <w:p w14:paraId="0FD0409D" w14:textId="77777777" w:rsidR="00244248" w:rsidRPr="007A3658"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3658" w14:paraId="2521D442" w14:textId="77777777" w:rsidTr="00335B25">
        <w:trPr>
          <w:trHeight w:val="283"/>
        </w:trPr>
        <w:tc>
          <w:tcPr>
            <w:tcW w:w="3837" w:type="dxa"/>
            <w:tcBorders>
              <w:top w:val="nil"/>
              <w:left w:val="nil"/>
              <w:bottom w:val="nil"/>
              <w:right w:val="nil"/>
            </w:tcBorders>
            <w:shd w:val="clear" w:color="auto" w:fill="auto"/>
            <w:vAlign w:val="center"/>
            <w:hideMark/>
          </w:tcPr>
          <w:p w14:paraId="42E9B6C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Permanent part-time</w:t>
            </w:r>
          </w:p>
        </w:tc>
        <w:tc>
          <w:tcPr>
            <w:tcW w:w="1276" w:type="dxa"/>
            <w:tcBorders>
              <w:top w:val="nil"/>
              <w:left w:val="nil"/>
              <w:bottom w:val="nil"/>
              <w:right w:val="nil"/>
            </w:tcBorders>
            <w:shd w:val="clear" w:color="auto" w:fill="auto"/>
            <w:vAlign w:val="center"/>
            <w:hideMark/>
          </w:tcPr>
          <w:p w14:paraId="1B15C87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-0.052</w:t>
            </w:r>
          </w:p>
        </w:tc>
        <w:tc>
          <w:tcPr>
            <w:tcW w:w="840" w:type="dxa"/>
            <w:tcBorders>
              <w:top w:val="nil"/>
              <w:left w:val="nil"/>
              <w:bottom w:val="nil"/>
              <w:right w:val="nil"/>
            </w:tcBorders>
            <w:shd w:val="clear" w:color="auto" w:fill="auto"/>
            <w:vAlign w:val="center"/>
            <w:hideMark/>
          </w:tcPr>
          <w:p w14:paraId="2DB90EDF"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(0.043)</w:t>
            </w:r>
          </w:p>
        </w:tc>
        <w:tc>
          <w:tcPr>
            <w:tcW w:w="1277" w:type="dxa"/>
            <w:tcBorders>
              <w:top w:val="nil"/>
              <w:left w:val="nil"/>
              <w:bottom w:val="nil"/>
              <w:right w:val="nil"/>
            </w:tcBorders>
            <w:shd w:val="clear" w:color="auto" w:fill="auto"/>
            <w:vAlign w:val="center"/>
            <w:hideMark/>
          </w:tcPr>
          <w:p w14:paraId="2F7C41F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-0.073</w:t>
            </w:r>
          </w:p>
        </w:tc>
        <w:tc>
          <w:tcPr>
            <w:tcW w:w="959" w:type="dxa"/>
            <w:tcBorders>
              <w:top w:val="nil"/>
              <w:left w:val="nil"/>
              <w:bottom w:val="nil"/>
              <w:right w:val="nil"/>
            </w:tcBorders>
            <w:shd w:val="clear" w:color="auto" w:fill="auto"/>
            <w:vAlign w:val="center"/>
            <w:hideMark/>
          </w:tcPr>
          <w:p w14:paraId="4CFBD9C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(0.067)</w:t>
            </w:r>
          </w:p>
        </w:tc>
        <w:tc>
          <w:tcPr>
            <w:tcW w:w="970" w:type="dxa"/>
            <w:tcBorders>
              <w:top w:val="nil"/>
              <w:left w:val="nil"/>
              <w:bottom w:val="nil"/>
              <w:right w:val="nil"/>
            </w:tcBorders>
            <w:shd w:val="clear" w:color="auto" w:fill="auto"/>
            <w:vAlign w:val="center"/>
            <w:hideMark/>
          </w:tcPr>
          <w:p w14:paraId="74DF805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0.040</w:t>
            </w:r>
          </w:p>
        </w:tc>
        <w:tc>
          <w:tcPr>
            <w:tcW w:w="959" w:type="dxa"/>
            <w:tcBorders>
              <w:top w:val="nil"/>
              <w:left w:val="nil"/>
              <w:bottom w:val="nil"/>
              <w:right w:val="nil"/>
            </w:tcBorders>
            <w:shd w:val="clear" w:color="auto" w:fill="auto"/>
            <w:vAlign w:val="center"/>
            <w:hideMark/>
          </w:tcPr>
          <w:p w14:paraId="3D4B4E8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(0.129)</w:t>
            </w:r>
          </w:p>
        </w:tc>
        <w:tc>
          <w:tcPr>
            <w:tcW w:w="1222" w:type="dxa"/>
            <w:tcBorders>
              <w:top w:val="nil"/>
              <w:left w:val="nil"/>
              <w:bottom w:val="nil"/>
              <w:right w:val="nil"/>
            </w:tcBorders>
            <w:shd w:val="clear" w:color="auto" w:fill="auto"/>
            <w:vAlign w:val="center"/>
            <w:hideMark/>
          </w:tcPr>
          <w:p w14:paraId="0D10E22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0.117*</w:t>
            </w:r>
          </w:p>
        </w:tc>
        <w:tc>
          <w:tcPr>
            <w:tcW w:w="959" w:type="dxa"/>
            <w:tcBorders>
              <w:top w:val="nil"/>
              <w:left w:val="nil"/>
              <w:bottom w:val="nil"/>
              <w:right w:val="nil"/>
            </w:tcBorders>
            <w:shd w:val="clear" w:color="auto" w:fill="auto"/>
            <w:vAlign w:val="center"/>
            <w:hideMark/>
          </w:tcPr>
          <w:p w14:paraId="5BC163E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(0.043)</w:t>
            </w:r>
          </w:p>
        </w:tc>
      </w:tr>
      <w:tr w:rsidR="00244248" w:rsidRPr="007A3658" w14:paraId="787DF3BD" w14:textId="77777777" w:rsidTr="00335B25">
        <w:trPr>
          <w:trHeight w:val="283"/>
        </w:trPr>
        <w:tc>
          <w:tcPr>
            <w:tcW w:w="3837" w:type="dxa"/>
            <w:tcBorders>
              <w:top w:val="nil"/>
              <w:left w:val="nil"/>
              <w:bottom w:val="nil"/>
              <w:right w:val="nil"/>
            </w:tcBorders>
            <w:shd w:val="clear" w:color="auto" w:fill="auto"/>
            <w:vAlign w:val="center"/>
            <w:hideMark/>
          </w:tcPr>
          <w:p w14:paraId="1DD8A4D2"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Casual full-time</w:t>
            </w:r>
          </w:p>
        </w:tc>
        <w:tc>
          <w:tcPr>
            <w:tcW w:w="1276" w:type="dxa"/>
            <w:tcBorders>
              <w:top w:val="nil"/>
              <w:left w:val="nil"/>
              <w:bottom w:val="nil"/>
              <w:right w:val="nil"/>
            </w:tcBorders>
            <w:shd w:val="clear" w:color="auto" w:fill="auto"/>
            <w:vAlign w:val="center"/>
            <w:hideMark/>
          </w:tcPr>
          <w:p w14:paraId="1B37D2A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0.034</w:t>
            </w:r>
          </w:p>
        </w:tc>
        <w:tc>
          <w:tcPr>
            <w:tcW w:w="840" w:type="dxa"/>
            <w:tcBorders>
              <w:top w:val="nil"/>
              <w:left w:val="nil"/>
              <w:bottom w:val="nil"/>
              <w:right w:val="nil"/>
            </w:tcBorders>
            <w:shd w:val="clear" w:color="auto" w:fill="auto"/>
            <w:vAlign w:val="center"/>
            <w:hideMark/>
          </w:tcPr>
          <w:p w14:paraId="4798F34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(0.058)</w:t>
            </w:r>
          </w:p>
        </w:tc>
        <w:tc>
          <w:tcPr>
            <w:tcW w:w="1277" w:type="dxa"/>
            <w:tcBorders>
              <w:top w:val="nil"/>
              <w:left w:val="nil"/>
              <w:bottom w:val="nil"/>
              <w:right w:val="nil"/>
            </w:tcBorders>
            <w:shd w:val="clear" w:color="auto" w:fill="auto"/>
            <w:vAlign w:val="center"/>
            <w:hideMark/>
          </w:tcPr>
          <w:p w14:paraId="51BA0E3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0.078</w:t>
            </w:r>
          </w:p>
        </w:tc>
        <w:tc>
          <w:tcPr>
            <w:tcW w:w="959" w:type="dxa"/>
            <w:tcBorders>
              <w:top w:val="nil"/>
              <w:left w:val="nil"/>
              <w:bottom w:val="nil"/>
              <w:right w:val="nil"/>
            </w:tcBorders>
            <w:shd w:val="clear" w:color="auto" w:fill="auto"/>
            <w:vAlign w:val="center"/>
            <w:hideMark/>
          </w:tcPr>
          <w:p w14:paraId="69C00D86"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(0.075)</w:t>
            </w:r>
          </w:p>
        </w:tc>
        <w:tc>
          <w:tcPr>
            <w:tcW w:w="970" w:type="dxa"/>
            <w:tcBorders>
              <w:top w:val="nil"/>
              <w:left w:val="nil"/>
              <w:bottom w:val="nil"/>
              <w:right w:val="nil"/>
            </w:tcBorders>
            <w:shd w:val="clear" w:color="auto" w:fill="auto"/>
            <w:vAlign w:val="center"/>
            <w:hideMark/>
          </w:tcPr>
          <w:p w14:paraId="07D3BAB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-0.200</w:t>
            </w:r>
          </w:p>
        </w:tc>
        <w:tc>
          <w:tcPr>
            <w:tcW w:w="959" w:type="dxa"/>
            <w:tcBorders>
              <w:top w:val="nil"/>
              <w:left w:val="nil"/>
              <w:bottom w:val="nil"/>
              <w:right w:val="nil"/>
            </w:tcBorders>
            <w:shd w:val="clear" w:color="auto" w:fill="auto"/>
            <w:vAlign w:val="center"/>
            <w:hideMark/>
          </w:tcPr>
          <w:p w14:paraId="60AE49E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(0.247)</w:t>
            </w:r>
          </w:p>
        </w:tc>
        <w:tc>
          <w:tcPr>
            <w:tcW w:w="1222" w:type="dxa"/>
            <w:tcBorders>
              <w:top w:val="nil"/>
              <w:left w:val="nil"/>
              <w:bottom w:val="nil"/>
              <w:right w:val="nil"/>
            </w:tcBorders>
            <w:shd w:val="clear" w:color="auto" w:fill="auto"/>
            <w:vAlign w:val="center"/>
            <w:hideMark/>
          </w:tcPr>
          <w:p w14:paraId="1955295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0.124</w:t>
            </w:r>
          </w:p>
        </w:tc>
        <w:tc>
          <w:tcPr>
            <w:tcW w:w="959" w:type="dxa"/>
            <w:tcBorders>
              <w:top w:val="nil"/>
              <w:left w:val="nil"/>
              <w:bottom w:val="nil"/>
              <w:right w:val="nil"/>
            </w:tcBorders>
            <w:shd w:val="clear" w:color="auto" w:fill="auto"/>
            <w:vAlign w:val="center"/>
            <w:hideMark/>
          </w:tcPr>
          <w:p w14:paraId="731E9D1A"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(0.058)</w:t>
            </w:r>
          </w:p>
        </w:tc>
      </w:tr>
      <w:tr w:rsidR="00244248" w:rsidRPr="007A3658" w14:paraId="195C124D" w14:textId="77777777" w:rsidTr="00335B25">
        <w:trPr>
          <w:trHeight w:val="283"/>
        </w:trPr>
        <w:tc>
          <w:tcPr>
            <w:tcW w:w="3837" w:type="dxa"/>
            <w:tcBorders>
              <w:top w:val="nil"/>
              <w:left w:val="nil"/>
              <w:bottom w:val="nil"/>
              <w:right w:val="nil"/>
            </w:tcBorders>
            <w:shd w:val="clear" w:color="auto" w:fill="auto"/>
            <w:vAlign w:val="center"/>
            <w:hideMark/>
          </w:tcPr>
          <w:p w14:paraId="12FC9F43"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Casual part-time</w:t>
            </w:r>
          </w:p>
        </w:tc>
        <w:tc>
          <w:tcPr>
            <w:tcW w:w="1276" w:type="dxa"/>
            <w:tcBorders>
              <w:top w:val="nil"/>
              <w:left w:val="nil"/>
              <w:bottom w:val="nil"/>
              <w:right w:val="nil"/>
            </w:tcBorders>
            <w:shd w:val="clear" w:color="auto" w:fill="auto"/>
            <w:vAlign w:val="center"/>
            <w:hideMark/>
          </w:tcPr>
          <w:p w14:paraId="00767BB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0.033</w:t>
            </w:r>
          </w:p>
        </w:tc>
        <w:tc>
          <w:tcPr>
            <w:tcW w:w="840" w:type="dxa"/>
            <w:tcBorders>
              <w:top w:val="nil"/>
              <w:left w:val="nil"/>
              <w:bottom w:val="nil"/>
              <w:right w:val="nil"/>
            </w:tcBorders>
            <w:shd w:val="clear" w:color="auto" w:fill="auto"/>
            <w:vAlign w:val="center"/>
            <w:hideMark/>
          </w:tcPr>
          <w:p w14:paraId="5C752C6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(0.043)</w:t>
            </w:r>
          </w:p>
        </w:tc>
        <w:tc>
          <w:tcPr>
            <w:tcW w:w="1277" w:type="dxa"/>
            <w:tcBorders>
              <w:top w:val="nil"/>
              <w:left w:val="nil"/>
              <w:bottom w:val="nil"/>
              <w:right w:val="nil"/>
            </w:tcBorders>
            <w:shd w:val="clear" w:color="auto" w:fill="auto"/>
            <w:vAlign w:val="center"/>
            <w:hideMark/>
          </w:tcPr>
          <w:p w14:paraId="1634DD69"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-0.061</w:t>
            </w:r>
          </w:p>
        </w:tc>
        <w:tc>
          <w:tcPr>
            <w:tcW w:w="959" w:type="dxa"/>
            <w:tcBorders>
              <w:top w:val="nil"/>
              <w:left w:val="nil"/>
              <w:bottom w:val="nil"/>
              <w:right w:val="nil"/>
            </w:tcBorders>
            <w:shd w:val="clear" w:color="auto" w:fill="auto"/>
            <w:vAlign w:val="center"/>
            <w:hideMark/>
          </w:tcPr>
          <w:p w14:paraId="051EC55D"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(0.058)</w:t>
            </w:r>
          </w:p>
        </w:tc>
        <w:tc>
          <w:tcPr>
            <w:tcW w:w="970" w:type="dxa"/>
            <w:tcBorders>
              <w:top w:val="nil"/>
              <w:left w:val="nil"/>
              <w:bottom w:val="nil"/>
              <w:right w:val="nil"/>
            </w:tcBorders>
            <w:shd w:val="clear" w:color="auto" w:fill="auto"/>
            <w:vAlign w:val="center"/>
            <w:hideMark/>
          </w:tcPr>
          <w:p w14:paraId="0886277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0.308*</w:t>
            </w:r>
          </w:p>
        </w:tc>
        <w:tc>
          <w:tcPr>
            <w:tcW w:w="959" w:type="dxa"/>
            <w:tcBorders>
              <w:top w:val="nil"/>
              <w:left w:val="nil"/>
              <w:bottom w:val="nil"/>
              <w:right w:val="nil"/>
            </w:tcBorders>
            <w:shd w:val="clear" w:color="auto" w:fill="auto"/>
            <w:vAlign w:val="center"/>
            <w:hideMark/>
          </w:tcPr>
          <w:p w14:paraId="1DA43621"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(0.161)</w:t>
            </w:r>
          </w:p>
        </w:tc>
        <w:tc>
          <w:tcPr>
            <w:tcW w:w="1222" w:type="dxa"/>
            <w:tcBorders>
              <w:top w:val="nil"/>
              <w:left w:val="nil"/>
              <w:bottom w:val="nil"/>
              <w:right w:val="nil"/>
            </w:tcBorders>
            <w:shd w:val="clear" w:color="auto" w:fill="auto"/>
            <w:vAlign w:val="center"/>
            <w:hideMark/>
          </w:tcPr>
          <w:p w14:paraId="3FBD512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0.171*</w:t>
            </w:r>
          </w:p>
        </w:tc>
        <w:tc>
          <w:tcPr>
            <w:tcW w:w="959" w:type="dxa"/>
            <w:tcBorders>
              <w:top w:val="nil"/>
              <w:left w:val="nil"/>
              <w:bottom w:val="nil"/>
              <w:right w:val="nil"/>
            </w:tcBorders>
            <w:shd w:val="clear" w:color="auto" w:fill="auto"/>
            <w:vAlign w:val="center"/>
            <w:hideMark/>
          </w:tcPr>
          <w:p w14:paraId="5CE0063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(0.043)</w:t>
            </w:r>
          </w:p>
        </w:tc>
      </w:tr>
      <w:tr w:rsidR="00244248" w:rsidRPr="007A3658" w14:paraId="71886F93" w14:textId="77777777" w:rsidTr="00335B25">
        <w:trPr>
          <w:trHeight w:val="283"/>
        </w:trPr>
        <w:tc>
          <w:tcPr>
            <w:tcW w:w="3837" w:type="dxa"/>
            <w:tcBorders>
              <w:top w:val="nil"/>
              <w:left w:val="nil"/>
              <w:bottom w:val="nil"/>
              <w:right w:val="nil"/>
            </w:tcBorders>
            <w:shd w:val="clear" w:color="auto" w:fill="auto"/>
            <w:vAlign w:val="center"/>
            <w:hideMark/>
          </w:tcPr>
          <w:p w14:paraId="7C36DA07"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Self-employed</w:t>
            </w:r>
          </w:p>
        </w:tc>
        <w:tc>
          <w:tcPr>
            <w:tcW w:w="1276" w:type="dxa"/>
            <w:tcBorders>
              <w:top w:val="nil"/>
              <w:left w:val="nil"/>
              <w:bottom w:val="nil"/>
              <w:right w:val="nil"/>
            </w:tcBorders>
            <w:shd w:val="clear" w:color="auto" w:fill="auto"/>
            <w:vAlign w:val="center"/>
            <w:hideMark/>
          </w:tcPr>
          <w:p w14:paraId="5F57386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0.077</w:t>
            </w:r>
          </w:p>
        </w:tc>
        <w:tc>
          <w:tcPr>
            <w:tcW w:w="840" w:type="dxa"/>
            <w:tcBorders>
              <w:top w:val="nil"/>
              <w:left w:val="nil"/>
              <w:bottom w:val="nil"/>
              <w:right w:val="nil"/>
            </w:tcBorders>
            <w:shd w:val="clear" w:color="auto" w:fill="auto"/>
            <w:vAlign w:val="center"/>
            <w:hideMark/>
          </w:tcPr>
          <w:p w14:paraId="301AA234"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(0.079)</w:t>
            </w:r>
          </w:p>
        </w:tc>
        <w:tc>
          <w:tcPr>
            <w:tcW w:w="1277" w:type="dxa"/>
            <w:tcBorders>
              <w:top w:val="nil"/>
              <w:left w:val="nil"/>
              <w:bottom w:val="nil"/>
              <w:right w:val="nil"/>
            </w:tcBorders>
            <w:shd w:val="clear" w:color="auto" w:fill="auto"/>
            <w:vAlign w:val="center"/>
            <w:hideMark/>
          </w:tcPr>
          <w:p w14:paraId="08CD6AE1"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-0.024</w:t>
            </w:r>
          </w:p>
        </w:tc>
        <w:tc>
          <w:tcPr>
            <w:tcW w:w="959" w:type="dxa"/>
            <w:tcBorders>
              <w:top w:val="nil"/>
              <w:left w:val="nil"/>
              <w:bottom w:val="nil"/>
              <w:right w:val="nil"/>
            </w:tcBorders>
            <w:shd w:val="clear" w:color="auto" w:fill="auto"/>
            <w:vAlign w:val="center"/>
            <w:hideMark/>
          </w:tcPr>
          <w:p w14:paraId="4B89DFE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(0.125)</w:t>
            </w:r>
          </w:p>
        </w:tc>
        <w:tc>
          <w:tcPr>
            <w:tcW w:w="970" w:type="dxa"/>
            <w:tcBorders>
              <w:top w:val="nil"/>
              <w:left w:val="nil"/>
              <w:bottom w:val="nil"/>
              <w:right w:val="nil"/>
            </w:tcBorders>
            <w:shd w:val="clear" w:color="auto" w:fill="auto"/>
            <w:vAlign w:val="center"/>
            <w:hideMark/>
          </w:tcPr>
          <w:p w14:paraId="035E7FA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0.155</w:t>
            </w:r>
          </w:p>
        </w:tc>
        <w:tc>
          <w:tcPr>
            <w:tcW w:w="959" w:type="dxa"/>
            <w:tcBorders>
              <w:top w:val="nil"/>
              <w:left w:val="nil"/>
              <w:bottom w:val="nil"/>
              <w:right w:val="nil"/>
            </w:tcBorders>
            <w:shd w:val="clear" w:color="auto" w:fill="auto"/>
            <w:vAlign w:val="center"/>
            <w:hideMark/>
          </w:tcPr>
          <w:p w14:paraId="5B54C78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(0.260)</w:t>
            </w:r>
          </w:p>
        </w:tc>
        <w:tc>
          <w:tcPr>
            <w:tcW w:w="1222" w:type="dxa"/>
            <w:tcBorders>
              <w:top w:val="nil"/>
              <w:left w:val="nil"/>
              <w:bottom w:val="nil"/>
              <w:right w:val="nil"/>
            </w:tcBorders>
            <w:shd w:val="clear" w:color="auto" w:fill="auto"/>
            <w:vAlign w:val="center"/>
            <w:hideMark/>
          </w:tcPr>
          <w:p w14:paraId="5E77119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0.076</w:t>
            </w:r>
          </w:p>
        </w:tc>
        <w:tc>
          <w:tcPr>
            <w:tcW w:w="959" w:type="dxa"/>
            <w:tcBorders>
              <w:top w:val="nil"/>
              <w:left w:val="nil"/>
              <w:bottom w:val="nil"/>
              <w:right w:val="nil"/>
            </w:tcBorders>
            <w:shd w:val="clear" w:color="auto" w:fill="auto"/>
            <w:vAlign w:val="center"/>
            <w:hideMark/>
          </w:tcPr>
          <w:p w14:paraId="18EA59EC"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(0.079)</w:t>
            </w:r>
          </w:p>
        </w:tc>
      </w:tr>
      <w:tr w:rsidR="00244248" w:rsidRPr="007A3658" w14:paraId="63404BBF" w14:textId="77777777" w:rsidTr="00335B25">
        <w:trPr>
          <w:trHeight w:val="283"/>
        </w:trPr>
        <w:tc>
          <w:tcPr>
            <w:tcW w:w="3837" w:type="dxa"/>
            <w:tcBorders>
              <w:top w:val="nil"/>
              <w:left w:val="nil"/>
              <w:bottom w:val="single" w:sz="4" w:space="0" w:color="ED7D31"/>
              <w:right w:val="nil"/>
            </w:tcBorders>
            <w:shd w:val="clear" w:color="auto" w:fill="auto"/>
            <w:vAlign w:val="center"/>
            <w:hideMark/>
          </w:tcPr>
          <w:p w14:paraId="1A2D4720"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Not working</w:t>
            </w:r>
          </w:p>
        </w:tc>
        <w:tc>
          <w:tcPr>
            <w:tcW w:w="1276" w:type="dxa"/>
            <w:tcBorders>
              <w:top w:val="nil"/>
              <w:left w:val="nil"/>
              <w:bottom w:val="single" w:sz="8" w:space="0" w:color="ED7D31"/>
              <w:right w:val="nil"/>
            </w:tcBorders>
            <w:shd w:val="clear" w:color="auto" w:fill="auto"/>
            <w:vAlign w:val="center"/>
            <w:hideMark/>
          </w:tcPr>
          <w:p w14:paraId="560E5FAE"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0.170***</w:t>
            </w:r>
          </w:p>
        </w:tc>
        <w:tc>
          <w:tcPr>
            <w:tcW w:w="840" w:type="dxa"/>
            <w:tcBorders>
              <w:top w:val="nil"/>
              <w:left w:val="nil"/>
              <w:bottom w:val="single" w:sz="8" w:space="0" w:color="ED7D31"/>
              <w:right w:val="nil"/>
            </w:tcBorders>
            <w:shd w:val="clear" w:color="auto" w:fill="auto"/>
            <w:vAlign w:val="center"/>
            <w:hideMark/>
          </w:tcPr>
          <w:p w14:paraId="007973E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(0.047)</w:t>
            </w:r>
          </w:p>
        </w:tc>
        <w:tc>
          <w:tcPr>
            <w:tcW w:w="1277" w:type="dxa"/>
            <w:tcBorders>
              <w:top w:val="nil"/>
              <w:left w:val="nil"/>
              <w:bottom w:val="single" w:sz="8" w:space="0" w:color="ED7D31"/>
              <w:right w:val="nil"/>
            </w:tcBorders>
            <w:shd w:val="clear" w:color="auto" w:fill="auto"/>
            <w:vAlign w:val="center"/>
            <w:hideMark/>
          </w:tcPr>
          <w:p w14:paraId="4E5F0DC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-0.035</w:t>
            </w:r>
          </w:p>
        </w:tc>
        <w:tc>
          <w:tcPr>
            <w:tcW w:w="959" w:type="dxa"/>
            <w:tcBorders>
              <w:top w:val="nil"/>
              <w:left w:val="nil"/>
              <w:bottom w:val="single" w:sz="8" w:space="0" w:color="ED7D31"/>
              <w:right w:val="nil"/>
            </w:tcBorders>
            <w:shd w:val="clear" w:color="auto" w:fill="auto"/>
            <w:vAlign w:val="center"/>
            <w:hideMark/>
          </w:tcPr>
          <w:p w14:paraId="2FA13882"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(0.068)</w:t>
            </w:r>
          </w:p>
        </w:tc>
        <w:tc>
          <w:tcPr>
            <w:tcW w:w="970" w:type="dxa"/>
            <w:tcBorders>
              <w:top w:val="nil"/>
              <w:left w:val="nil"/>
              <w:bottom w:val="single" w:sz="8" w:space="0" w:color="ED7D31"/>
              <w:right w:val="nil"/>
            </w:tcBorders>
            <w:shd w:val="clear" w:color="auto" w:fill="auto"/>
            <w:vAlign w:val="center"/>
            <w:hideMark/>
          </w:tcPr>
          <w:p w14:paraId="570199A8"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0.205</w:t>
            </w:r>
          </w:p>
        </w:tc>
        <w:tc>
          <w:tcPr>
            <w:tcW w:w="959" w:type="dxa"/>
            <w:tcBorders>
              <w:top w:val="nil"/>
              <w:left w:val="nil"/>
              <w:bottom w:val="single" w:sz="8" w:space="0" w:color="ED7D31"/>
              <w:right w:val="nil"/>
            </w:tcBorders>
            <w:shd w:val="clear" w:color="auto" w:fill="auto"/>
            <w:vAlign w:val="center"/>
            <w:hideMark/>
          </w:tcPr>
          <w:p w14:paraId="7370B85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(0.139)</w:t>
            </w:r>
          </w:p>
        </w:tc>
        <w:tc>
          <w:tcPr>
            <w:tcW w:w="1222" w:type="dxa"/>
            <w:tcBorders>
              <w:top w:val="nil"/>
              <w:left w:val="nil"/>
              <w:bottom w:val="single" w:sz="8" w:space="0" w:color="ED7D31"/>
              <w:right w:val="nil"/>
            </w:tcBorders>
            <w:shd w:val="clear" w:color="auto" w:fill="auto"/>
            <w:vAlign w:val="center"/>
            <w:hideMark/>
          </w:tcPr>
          <w:p w14:paraId="465CDA8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0.249***</w:t>
            </w:r>
          </w:p>
        </w:tc>
        <w:tc>
          <w:tcPr>
            <w:tcW w:w="959" w:type="dxa"/>
            <w:tcBorders>
              <w:top w:val="nil"/>
              <w:left w:val="nil"/>
              <w:bottom w:val="single" w:sz="8" w:space="0" w:color="ED7D31"/>
              <w:right w:val="nil"/>
            </w:tcBorders>
            <w:shd w:val="clear" w:color="auto" w:fill="auto"/>
            <w:vAlign w:val="center"/>
            <w:hideMark/>
          </w:tcPr>
          <w:p w14:paraId="7338C09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(0.047)</w:t>
            </w:r>
          </w:p>
        </w:tc>
      </w:tr>
      <w:tr w:rsidR="00244248" w:rsidRPr="007A3658" w14:paraId="6180C04B" w14:textId="77777777" w:rsidTr="00335B25">
        <w:trPr>
          <w:trHeight w:val="283"/>
        </w:trPr>
        <w:tc>
          <w:tcPr>
            <w:tcW w:w="3837" w:type="dxa"/>
            <w:tcBorders>
              <w:top w:val="nil"/>
              <w:left w:val="nil"/>
              <w:bottom w:val="single" w:sz="4" w:space="0" w:color="ED7D31"/>
              <w:right w:val="nil"/>
            </w:tcBorders>
            <w:shd w:val="clear" w:color="auto" w:fill="auto"/>
            <w:vAlign w:val="center"/>
            <w:hideMark/>
          </w:tcPr>
          <w:p w14:paraId="34A6CCE8"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Household income (log)</w:t>
            </w:r>
          </w:p>
        </w:tc>
        <w:tc>
          <w:tcPr>
            <w:tcW w:w="1276" w:type="dxa"/>
            <w:tcBorders>
              <w:top w:val="nil"/>
              <w:left w:val="nil"/>
              <w:bottom w:val="single" w:sz="8" w:space="0" w:color="ED7D31"/>
              <w:right w:val="nil"/>
            </w:tcBorders>
            <w:shd w:val="clear" w:color="auto" w:fill="auto"/>
            <w:vAlign w:val="center"/>
            <w:hideMark/>
          </w:tcPr>
          <w:p w14:paraId="7E0FB70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0.013</w:t>
            </w:r>
          </w:p>
        </w:tc>
        <w:tc>
          <w:tcPr>
            <w:tcW w:w="840" w:type="dxa"/>
            <w:tcBorders>
              <w:top w:val="nil"/>
              <w:left w:val="nil"/>
              <w:bottom w:val="single" w:sz="8" w:space="0" w:color="ED7D31"/>
              <w:right w:val="nil"/>
            </w:tcBorders>
            <w:shd w:val="clear" w:color="auto" w:fill="auto"/>
            <w:vAlign w:val="center"/>
            <w:hideMark/>
          </w:tcPr>
          <w:p w14:paraId="3BEE2E3D"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(0.026)</w:t>
            </w:r>
          </w:p>
        </w:tc>
        <w:tc>
          <w:tcPr>
            <w:tcW w:w="1277" w:type="dxa"/>
            <w:tcBorders>
              <w:top w:val="nil"/>
              <w:left w:val="nil"/>
              <w:bottom w:val="single" w:sz="8" w:space="0" w:color="ED7D31"/>
              <w:right w:val="nil"/>
            </w:tcBorders>
            <w:shd w:val="clear" w:color="auto" w:fill="auto"/>
            <w:vAlign w:val="center"/>
            <w:hideMark/>
          </w:tcPr>
          <w:p w14:paraId="3B709CC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0.022</w:t>
            </w:r>
          </w:p>
        </w:tc>
        <w:tc>
          <w:tcPr>
            <w:tcW w:w="959" w:type="dxa"/>
            <w:tcBorders>
              <w:top w:val="nil"/>
              <w:left w:val="nil"/>
              <w:bottom w:val="single" w:sz="8" w:space="0" w:color="ED7D31"/>
              <w:right w:val="nil"/>
            </w:tcBorders>
            <w:shd w:val="clear" w:color="auto" w:fill="auto"/>
            <w:vAlign w:val="center"/>
            <w:hideMark/>
          </w:tcPr>
          <w:p w14:paraId="6A3B1DC3"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(0.029)</w:t>
            </w:r>
          </w:p>
        </w:tc>
        <w:tc>
          <w:tcPr>
            <w:tcW w:w="970" w:type="dxa"/>
            <w:tcBorders>
              <w:top w:val="nil"/>
              <w:left w:val="nil"/>
              <w:bottom w:val="single" w:sz="8" w:space="0" w:color="ED7D31"/>
              <w:right w:val="nil"/>
            </w:tcBorders>
            <w:shd w:val="clear" w:color="auto" w:fill="auto"/>
            <w:vAlign w:val="center"/>
            <w:hideMark/>
          </w:tcPr>
          <w:p w14:paraId="78F1A6C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-0.027</w:t>
            </w:r>
          </w:p>
        </w:tc>
        <w:tc>
          <w:tcPr>
            <w:tcW w:w="959" w:type="dxa"/>
            <w:tcBorders>
              <w:top w:val="nil"/>
              <w:left w:val="nil"/>
              <w:bottom w:val="single" w:sz="8" w:space="0" w:color="ED7D31"/>
              <w:right w:val="nil"/>
            </w:tcBorders>
            <w:shd w:val="clear" w:color="auto" w:fill="auto"/>
            <w:vAlign w:val="center"/>
            <w:hideMark/>
          </w:tcPr>
          <w:p w14:paraId="6997A0BE"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(0.099)</w:t>
            </w:r>
          </w:p>
        </w:tc>
        <w:tc>
          <w:tcPr>
            <w:tcW w:w="1222" w:type="dxa"/>
            <w:tcBorders>
              <w:top w:val="nil"/>
              <w:left w:val="nil"/>
              <w:bottom w:val="single" w:sz="8" w:space="0" w:color="ED7D31"/>
              <w:right w:val="nil"/>
            </w:tcBorders>
            <w:shd w:val="clear" w:color="auto" w:fill="auto"/>
            <w:vAlign w:val="center"/>
            <w:hideMark/>
          </w:tcPr>
          <w:p w14:paraId="78FE7675"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0.141*</w:t>
            </w:r>
          </w:p>
        </w:tc>
        <w:tc>
          <w:tcPr>
            <w:tcW w:w="959" w:type="dxa"/>
            <w:tcBorders>
              <w:top w:val="nil"/>
              <w:left w:val="nil"/>
              <w:bottom w:val="single" w:sz="8" w:space="0" w:color="ED7D31"/>
              <w:right w:val="nil"/>
            </w:tcBorders>
            <w:shd w:val="clear" w:color="auto" w:fill="auto"/>
            <w:vAlign w:val="center"/>
            <w:hideMark/>
          </w:tcPr>
          <w:p w14:paraId="551353C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(0.026)</w:t>
            </w:r>
          </w:p>
        </w:tc>
      </w:tr>
      <w:tr w:rsidR="00244248" w:rsidRPr="007A3658" w14:paraId="14C7BF21" w14:textId="77777777" w:rsidTr="00335B25">
        <w:trPr>
          <w:trHeight w:val="283"/>
        </w:trPr>
        <w:tc>
          <w:tcPr>
            <w:tcW w:w="3837" w:type="dxa"/>
            <w:tcBorders>
              <w:top w:val="nil"/>
              <w:left w:val="nil"/>
              <w:bottom w:val="single" w:sz="4" w:space="0" w:color="ED7D31"/>
              <w:right w:val="nil"/>
            </w:tcBorders>
            <w:shd w:val="clear" w:color="auto" w:fill="auto"/>
            <w:vAlign w:val="center"/>
            <w:hideMark/>
          </w:tcPr>
          <w:p w14:paraId="235DEB65" w14:textId="77777777" w:rsidR="00244248" w:rsidRPr="007A3658" w:rsidRDefault="00244248" w:rsidP="00335B25">
            <w:pPr>
              <w:spacing w:after="0" w:line="240" w:lineRule="auto"/>
              <w:rPr>
                <w:rFonts w:ascii="Calibri Light" w:eastAsia="Times New Roman" w:hAnsi="Calibri Light" w:cs="Calibri Light"/>
                <w:b/>
                <w:bCs/>
                <w:color w:val="000000"/>
                <w:sz w:val="20"/>
                <w:szCs w:val="20"/>
                <w:lang w:eastAsia="en-AU"/>
              </w:rPr>
            </w:pPr>
            <w:r w:rsidRPr="007A3658">
              <w:rPr>
                <w:rFonts w:ascii="Calibri Light" w:eastAsia="Times New Roman" w:hAnsi="Calibri Light" w:cs="Calibri Light"/>
                <w:b/>
                <w:bCs/>
                <w:color w:val="000000"/>
                <w:sz w:val="20"/>
                <w:szCs w:val="20"/>
                <w:lang w:eastAsia="en-AU"/>
              </w:rPr>
              <w:t>Remote area</w:t>
            </w:r>
          </w:p>
        </w:tc>
        <w:tc>
          <w:tcPr>
            <w:tcW w:w="1276" w:type="dxa"/>
            <w:tcBorders>
              <w:top w:val="nil"/>
              <w:left w:val="nil"/>
              <w:bottom w:val="single" w:sz="8" w:space="0" w:color="ED7D31"/>
              <w:right w:val="nil"/>
            </w:tcBorders>
            <w:shd w:val="clear" w:color="auto" w:fill="auto"/>
            <w:vAlign w:val="center"/>
            <w:hideMark/>
          </w:tcPr>
          <w:p w14:paraId="651C359D"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-0.078</w:t>
            </w:r>
          </w:p>
        </w:tc>
        <w:tc>
          <w:tcPr>
            <w:tcW w:w="840" w:type="dxa"/>
            <w:tcBorders>
              <w:top w:val="nil"/>
              <w:left w:val="nil"/>
              <w:bottom w:val="single" w:sz="8" w:space="0" w:color="ED7D31"/>
              <w:right w:val="nil"/>
            </w:tcBorders>
            <w:shd w:val="clear" w:color="auto" w:fill="auto"/>
            <w:vAlign w:val="center"/>
            <w:hideMark/>
          </w:tcPr>
          <w:p w14:paraId="0641C38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(0.073)</w:t>
            </w:r>
          </w:p>
        </w:tc>
        <w:tc>
          <w:tcPr>
            <w:tcW w:w="1277" w:type="dxa"/>
            <w:tcBorders>
              <w:top w:val="nil"/>
              <w:left w:val="nil"/>
              <w:bottom w:val="single" w:sz="8" w:space="0" w:color="ED7D31"/>
              <w:right w:val="nil"/>
            </w:tcBorders>
            <w:shd w:val="clear" w:color="auto" w:fill="auto"/>
            <w:vAlign w:val="center"/>
            <w:hideMark/>
          </w:tcPr>
          <w:p w14:paraId="23F685FB"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-0.043</w:t>
            </w:r>
          </w:p>
        </w:tc>
        <w:tc>
          <w:tcPr>
            <w:tcW w:w="959" w:type="dxa"/>
            <w:tcBorders>
              <w:top w:val="nil"/>
              <w:left w:val="nil"/>
              <w:bottom w:val="single" w:sz="8" w:space="0" w:color="ED7D31"/>
              <w:right w:val="nil"/>
            </w:tcBorders>
            <w:shd w:val="clear" w:color="auto" w:fill="auto"/>
            <w:vAlign w:val="center"/>
            <w:hideMark/>
          </w:tcPr>
          <w:p w14:paraId="437EBEA8"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(0.099)</w:t>
            </w:r>
          </w:p>
        </w:tc>
        <w:tc>
          <w:tcPr>
            <w:tcW w:w="970" w:type="dxa"/>
            <w:tcBorders>
              <w:top w:val="nil"/>
              <w:left w:val="nil"/>
              <w:bottom w:val="single" w:sz="8" w:space="0" w:color="ED7D31"/>
              <w:right w:val="nil"/>
            </w:tcBorders>
            <w:shd w:val="clear" w:color="auto" w:fill="auto"/>
            <w:vAlign w:val="center"/>
            <w:hideMark/>
          </w:tcPr>
          <w:p w14:paraId="70651004"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0.102</w:t>
            </w:r>
          </w:p>
        </w:tc>
        <w:tc>
          <w:tcPr>
            <w:tcW w:w="959" w:type="dxa"/>
            <w:tcBorders>
              <w:top w:val="nil"/>
              <w:left w:val="nil"/>
              <w:bottom w:val="single" w:sz="8" w:space="0" w:color="ED7D31"/>
              <w:right w:val="nil"/>
            </w:tcBorders>
            <w:shd w:val="clear" w:color="auto" w:fill="auto"/>
            <w:vAlign w:val="center"/>
            <w:hideMark/>
          </w:tcPr>
          <w:p w14:paraId="70245340"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(0.265)</w:t>
            </w:r>
          </w:p>
        </w:tc>
        <w:tc>
          <w:tcPr>
            <w:tcW w:w="1222" w:type="dxa"/>
            <w:tcBorders>
              <w:top w:val="nil"/>
              <w:left w:val="nil"/>
              <w:bottom w:val="single" w:sz="8" w:space="0" w:color="ED7D31"/>
              <w:right w:val="nil"/>
            </w:tcBorders>
            <w:shd w:val="clear" w:color="auto" w:fill="auto"/>
            <w:vAlign w:val="center"/>
            <w:hideMark/>
          </w:tcPr>
          <w:p w14:paraId="3C9AAA5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-0.242</w:t>
            </w:r>
          </w:p>
        </w:tc>
        <w:tc>
          <w:tcPr>
            <w:tcW w:w="959" w:type="dxa"/>
            <w:tcBorders>
              <w:top w:val="nil"/>
              <w:left w:val="nil"/>
              <w:bottom w:val="single" w:sz="8" w:space="0" w:color="ED7D31"/>
              <w:right w:val="nil"/>
            </w:tcBorders>
            <w:shd w:val="clear" w:color="auto" w:fill="auto"/>
            <w:vAlign w:val="center"/>
            <w:hideMark/>
          </w:tcPr>
          <w:p w14:paraId="1486DC8D"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(0.073)</w:t>
            </w:r>
          </w:p>
        </w:tc>
      </w:tr>
      <w:tr w:rsidR="00244248" w:rsidRPr="007A3658" w14:paraId="268CF021" w14:textId="77777777" w:rsidTr="00335B25">
        <w:trPr>
          <w:trHeight w:val="283"/>
        </w:trPr>
        <w:tc>
          <w:tcPr>
            <w:tcW w:w="3837" w:type="dxa"/>
            <w:tcBorders>
              <w:top w:val="nil"/>
              <w:left w:val="nil"/>
              <w:bottom w:val="single" w:sz="4" w:space="0" w:color="ED7D31"/>
              <w:right w:val="nil"/>
            </w:tcBorders>
            <w:shd w:val="clear" w:color="auto" w:fill="auto"/>
            <w:vAlign w:val="center"/>
            <w:hideMark/>
          </w:tcPr>
          <w:p w14:paraId="4DFC076A"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Observations</w:t>
            </w:r>
          </w:p>
        </w:tc>
        <w:tc>
          <w:tcPr>
            <w:tcW w:w="1276" w:type="dxa"/>
            <w:tcBorders>
              <w:top w:val="nil"/>
              <w:left w:val="nil"/>
              <w:bottom w:val="single" w:sz="8" w:space="0" w:color="ED7D31"/>
              <w:right w:val="nil"/>
            </w:tcBorders>
            <w:shd w:val="clear" w:color="auto" w:fill="auto"/>
            <w:vAlign w:val="center"/>
            <w:hideMark/>
          </w:tcPr>
          <w:p w14:paraId="58B550B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65</w:t>
            </w:r>
            <w:r>
              <w:rPr>
                <w:rFonts w:ascii="Calibri Light" w:eastAsia="Times New Roman" w:hAnsi="Calibri Light" w:cs="Calibri Light"/>
                <w:color w:val="000000"/>
                <w:sz w:val="20"/>
                <w:szCs w:val="20"/>
                <w:lang w:eastAsia="en-AU"/>
              </w:rPr>
              <w:t>,</w:t>
            </w:r>
            <w:r w:rsidRPr="007A3658">
              <w:rPr>
                <w:rFonts w:ascii="Calibri Light" w:eastAsia="Times New Roman" w:hAnsi="Calibri Light" w:cs="Calibri Light"/>
                <w:color w:val="000000"/>
                <w:sz w:val="20"/>
                <w:szCs w:val="20"/>
                <w:lang w:eastAsia="en-AU"/>
              </w:rPr>
              <w:t>352</w:t>
            </w:r>
          </w:p>
        </w:tc>
        <w:tc>
          <w:tcPr>
            <w:tcW w:w="840" w:type="dxa"/>
            <w:tcBorders>
              <w:top w:val="nil"/>
              <w:left w:val="nil"/>
              <w:bottom w:val="single" w:sz="8" w:space="0" w:color="ED7D31"/>
              <w:right w:val="nil"/>
            </w:tcBorders>
            <w:shd w:val="clear" w:color="auto" w:fill="auto"/>
            <w:vAlign w:val="center"/>
            <w:hideMark/>
          </w:tcPr>
          <w:p w14:paraId="3EE642D7"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c>
          <w:tcPr>
            <w:tcW w:w="1277" w:type="dxa"/>
            <w:tcBorders>
              <w:top w:val="nil"/>
              <w:left w:val="nil"/>
              <w:bottom w:val="single" w:sz="8" w:space="0" w:color="ED7D31"/>
              <w:right w:val="nil"/>
            </w:tcBorders>
            <w:shd w:val="clear" w:color="auto" w:fill="auto"/>
            <w:vAlign w:val="center"/>
            <w:hideMark/>
          </w:tcPr>
          <w:p w14:paraId="229EFB16"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24</w:t>
            </w:r>
            <w:r>
              <w:rPr>
                <w:rFonts w:ascii="Calibri Light" w:eastAsia="Times New Roman" w:hAnsi="Calibri Light" w:cs="Calibri Light"/>
                <w:color w:val="000000"/>
                <w:sz w:val="20"/>
                <w:szCs w:val="20"/>
                <w:lang w:eastAsia="en-AU"/>
              </w:rPr>
              <w:t>,</w:t>
            </w:r>
            <w:r w:rsidRPr="007A3658">
              <w:rPr>
                <w:rFonts w:ascii="Calibri Light" w:eastAsia="Times New Roman" w:hAnsi="Calibri Light" w:cs="Calibri Light"/>
                <w:color w:val="000000"/>
                <w:sz w:val="20"/>
                <w:szCs w:val="20"/>
                <w:lang w:eastAsia="en-AU"/>
              </w:rPr>
              <w:t>452</w:t>
            </w:r>
          </w:p>
        </w:tc>
        <w:tc>
          <w:tcPr>
            <w:tcW w:w="959" w:type="dxa"/>
            <w:tcBorders>
              <w:top w:val="nil"/>
              <w:left w:val="nil"/>
              <w:bottom w:val="single" w:sz="8" w:space="0" w:color="ED7D31"/>
              <w:right w:val="nil"/>
            </w:tcBorders>
            <w:shd w:val="clear" w:color="auto" w:fill="auto"/>
            <w:vAlign w:val="center"/>
            <w:hideMark/>
          </w:tcPr>
          <w:p w14:paraId="481351AF"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c>
          <w:tcPr>
            <w:tcW w:w="970" w:type="dxa"/>
            <w:tcBorders>
              <w:top w:val="nil"/>
              <w:left w:val="nil"/>
              <w:bottom w:val="single" w:sz="8" w:space="0" w:color="ED7D31"/>
              <w:right w:val="nil"/>
            </w:tcBorders>
            <w:shd w:val="clear" w:color="auto" w:fill="auto"/>
            <w:vAlign w:val="center"/>
            <w:hideMark/>
          </w:tcPr>
          <w:p w14:paraId="2831867C"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7</w:t>
            </w:r>
            <w:r>
              <w:rPr>
                <w:rFonts w:ascii="Calibri Light" w:eastAsia="Times New Roman" w:hAnsi="Calibri Light" w:cs="Calibri Light"/>
                <w:color w:val="000000"/>
                <w:sz w:val="20"/>
                <w:szCs w:val="20"/>
                <w:lang w:eastAsia="en-AU"/>
              </w:rPr>
              <w:t>,</w:t>
            </w:r>
            <w:r w:rsidRPr="007A3658">
              <w:rPr>
                <w:rFonts w:ascii="Calibri Light" w:eastAsia="Times New Roman" w:hAnsi="Calibri Light" w:cs="Calibri Light"/>
                <w:color w:val="000000"/>
                <w:sz w:val="20"/>
                <w:szCs w:val="20"/>
                <w:lang w:eastAsia="en-AU"/>
              </w:rPr>
              <w:t>404</w:t>
            </w:r>
          </w:p>
        </w:tc>
        <w:tc>
          <w:tcPr>
            <w:tcW w:w="959" w:type="dxa"/>
            <w:tcBorders>
              <w:top w:val="nil"/>
              <w:left w:val="nil"/>
              <w:bottom w:val="single" w:sz="8" w:space="0" w:color="ED7D31"/>
              <w:right w:val="nil"/>
            </w:tcBorders>
            <w:shd w:val="clear" w:color="auto" w:fill="auto"/>
            <w:vAlign w:val="center"/>
            <w:hideMark/>
          </w:tcPr>
          <w:p w14:paraId="0F0109B5"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c>
          <w:tcPr>
            <w:tcW w:w="1222" w:type="dxa"/>
            <w:tcBorders>
              <w:top w:val="nil"/>
              <w:left w:val="nil"/>
              <w:bottom w:val="single" w:sz="8" w:space="0" w:color="ED7D31"/>
              <w:right w:val="nil"/>
            </w:tcBorders>
            <w:shd w:val="clear" w:color="auto" w:fill="auto"/>
            <w:vAlign w:val="center"/>
            <w:hideMark/>
          </w:tcPr>
          <w:p w14:paraId="35DE233F" w14:textId="77777777" w:rsidR="00244248" w:rsidRPr="007A3658" w:rsidRDefault="00244248" w:rsidP="00335B25">
            <w:pPr>
              <w:spacing w:after="0" w:line="240" w:lineRule="auto"/>
              <w:rPr>
                <w:rFonts w:ascii="Calibri Light" w:eastAsia="Times New Roman" w:hAnsi="Calibri Light" w:cs="Calibri Light"/>
                <w:color w:val="000000"/>
                <w:sz w:val="20"/>
                <w:szCs w:val="20"/>
                <w:lang w:eastAsia="en-AU"/>
              </w:rPr>
            </w:pPr>
            <w:r w:rsidRPr="007A3658">
              <w:rPr>
                <w:rFonts w:ascii="Calibri Light" w:eastAsia="Times New Roman" w:hAnsi="Calibri Light" w:cs="Calibri Light"/>
                <w:color w:val="000000"/>
                <w:sz w:val="20"/>
                <w:szCs w:val="20"/>
                <w:lang w:eastAsia="en-AU"/>
              </w:rPr>
              <w:t>11</w:t>
            </w:r>
            <w:r>
              <w:rPr>
                <w:rFonts w:ascii="Calibri Light" w:eastAsia="Times New Roman" w:hAnsi="Calibri Light" w:cs="Calibri Light"/>
                <w:color w:val="000000"/>
                <w:sz w:val="20"/>
                <w:szCs w:val="20"/>
                <w:lang w:eastAsia="en-AU"/>
              </w:rPr>
              <w:t>,</w:t>
            </w:r>
            <w:r w:rsidRPr="007A3658">
              <w:rPr>
                <w:rFonts w:ascii="Calibri Light" w:eastAsia="Times New Roman" w:hAnsi="Calibri Light" w:cs="Calibri Light"/>
                <w:color w:val="000000"/>
                <w:sz w:val="20"/>
                <w:szCs w:val="20"/>
                <w:lang w:eastAsia="en-AU"/>
              </w:rPr>
              <w:t>414</w:t>
            </w:r>
          </w:p>
        </w:tc>
        <w:tc>
          <w:tcPr>
            <w:tcW w:w="959" w:type="dxa"/>
            <w:tcBorders>
              <w:top w:val="nil"/>
              <w:left w:val="nil"/>
              <w:bottom w:val="single" w:sz="8" w:space="0" w:color="ED7D31"/>
              <w:right w:val="nil"/>
            </w:tcBorders>
            <w:shd w:val="clear" w:color="auto" w:fill="auto"/>
            <w:vAlign w:val="center"/>
            <w:hideMark/>
          </w:tcPr>
          <w:p w14:paraId="25FAEE19" w14:textId="77777777" w:rsidR="00244248" w:rsidRPr="007A3658" w:rsidRDefault="00244248" w:rsidP="00335B25">
            <w:pPr>
              <w:spacing w:after="0" w:line="240" w:lineRule="auto"/>
              <w:rPr>
                <w:rFonts w:ascii="Calibri Light" w:eastAsia="Times New Roman" w:hAnsi="Calibri Light" w:cs="Calibri Light"/>
                <w:color w:val="808080"/>
                <w:sz w:val="20"/>
                <w:szCs w:val="20"/>
                <w:lang w:eastAsia="en-AU"/>
              </w:rPr>
            </w:pPr>
            <w:r w:rsidRPr="007A3658">
              <w:rPr>
                <w:rFonts w:ascii="Calibri Light" w:eastAsia="Times New Roman" w:hAnsi="Calibri Light" w:cs="Calibri Light"/>
                <w:color w:val="808080"/>
                <w:sz w:val="20"/>
                <w:szCs w:val="20"/>
                <w:lang w:eastAsia="en-AU"/>
              </w:rPr>
              <w:t> </w:t>
            </w:r>
          </w:p>
        </w:tc>
      </w:tr>
    </w:tbl>
    <w:p w14:paraId="71A17F1B" w14:textId="011F5568" w:rsidR="00244248" w:rsidRDefault="00244248" w:rsidP="00244248">
      <w:pPr>
        <w:pStyle w:val="Caption"/>
        <w:keepNext/>
      </w:pPr>
      <w:bookmarkStart w:id="262" w:name="_Ref84582805"/>
      <w:r>
        <w:lastRenderedPageBreak/>
        <w:t xml:space="preserve">Table </w:t>
      </w:r>
      <w:fldSimple w:instr=" SEQ Table \* ARABIC ">
        <w:r w:rsidR="00115E22">
          <w:rPr>
            <w:noProof/>
          </w:rPr>
          <w:t>58</w:t>
        </w:r>
      </w:fldSimple>
      <w:bookmarkEnd w:id="262"/>
      <w:r>
        <w:t xml:space="preserve"> High childbearing desire but low expectation</w:t>
      </w:r>
      <w:r w:rsidRPr="00803C32">
        <w:t>, by parity</w:t>
      </w:r>
      <w:r>
        <w:t xml:space="preserve">, </w:t>
      </w:r>
      <w:r w:rsidRPr="00803C32">
        <w:t xml:space="preserve"> fixed effects</w:t>
      </w:r>
    </w:p>
    <w:tbl>
      <w:tblPr>
        <w:tblW w:w="12124" w:type="dxa"/>
        <w:tblLook w:val="04A0" w:firstRow="1" w:lastRow="0" w:firstColumn="1" w:lastColumn="0" w:noHBand="0" w:noVBand="1"/>
      </w:tblPr>
      <w:tblGrid>
        <w:gridCol w:w="3856"/>
        <w:gridCol w:w="1101"/>
        <w:gridCol w:w="999"/>
        <w:gridCol w:w="1134"/>
        <w:gridCol w:w="954"/>
        <w:gridCol w:w="6"/>
        <w:gridCol w:w="1046"/>
        <w:gridCol w:w="959"/>
        <w:gridCol w:w="6"/>
        <w:gridCol w:w="1098"/>
        <w:gridCol w:w="954"/>
        <w:gridCol w:w="11"/>
      </w:tblGrid>
      <w:tr w:rsidR="00244248" w:rsidRPr="00F9625D" w14:paraId="5EE30F2D" w14:textId="77777777" w:rsidTr="00335B25">
        <w:trPr>
          <w:gridAfter w:val="1"/>
          <w:wAfter w:w="11" w:type="dxa"/>
          <w:trHeight w:val="255"/>
        </w:trPr>
        <w:tc>
          <w:tcPr>
            <w:tcW w:w="3860" w:type="dxa"/>
            <w:tcBorders>
              <w:top w:val="nil"/>
              <w:left w:val="nil"/>
              <w:bottom w:val="nil"/>
              <w:right w:val="nil"/>
            </w:tcBorders>
            <w:shd w:val="clear" w:color="000000" w:fill="FBE4D5"/>
            <w:vAlign w:val="center"/>
            <w:hideMark/>
          </w:tcPr>
          <w:p w14:paraId="5B9622DF"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 </w:t>
            </w:r>
          </w:p>
        </w:tc>
        <w:tc>
          <w:tcPr>
            <w:tcW w:w="2096" w:type="dxa"/>
            <w:gridSpan w:val="2"/>
            <w:tcBorders>
              <w:top w:val="nil"/>
              <w:left w:val="nil"/>
              <w:bottom w:val="nil"/>
              <w:right w:val="nil"/>
            </w:tcBorders>
            <w:shd w:val="clear" w:color="000000" w:fill="FBE4D5"/>
            <w:vAlign w:val="center"/>
            <w:hideMark/>
          </w:tcPr>
          <w:p w14:paraId="29C4ACCA" w14:textId="77777777" w:rsidR="00244248" w:rsidRPr="00F9625D" w:rsidRDefault="00244248" w:rsidP="00335B25">
            <w:pPr>
              <w:spacing w:after="0" w:line="240" w:lineRule="auto"/>
              <w:jc w:val="center"/>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Full sample</w:t>
            </w:r>
          </w:p>
        </w:tc>
        <w:tc>
          <w:tcPr>
            <w:tcW w:w="2088" w:type="dxa"/>
            <w:gridSpan w:val="2"/>
            <w:tcBorders>
              <w:top w:val="nil"/>
              <w:left w:val="nil"/>
              <w:bottom w:val="nil"/>
              <w:right w:val="nil"/>
            </w:tcBorders>
            <w:shd w:val="clear" w:color="000000" w:fill="FBE4D5"/>
            <w:vAlign w:val="center"/>
            <w:hideMark/>
          </w:tcPr>
          <w:p w14:paraId="79258ACF" w14:textId="77777777" w:rsidR="00244248" w:rsidRPr="00F9625D" w:rsidRDefault="00244248" w:rsidP="00335B25">
            <w:pPr>
              <w:spacing w:after="0" w:line="240" w:lineRule="auto"/>
              <w:jc w:val="center"/>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 xml:space="preserve">Parity 0 </w:t>
            </w:r>
          </w:p>
        </w:tc>
        <w:tc>
          <w:tcPr>
            <w:tcW w:w="2011" w:type="dxa"/>
            <w:gridSpan w:val="3"/>
            <w:tcBorders>
              <w:top w:val="nil"/>
              <w:left w:val="nil"/>
              <w:bottom w:val="nil"/>
              <w:right w:val="nil"/>
            </w:tcBorders>
            <w:shd w:val="clear" w:color="000000" w:fill="FBE4D5"/>
            <w:vAlign w:val="center"/>
            <w:hideMark/>
          </w:tcPr>
          <w:p w14:paraId="304B27B4" w14:textId="77777777" w:rsidR="00244248" w:rsidRPr="00F9625D" w:rsidRDefault="00244248" w:rsidP="00335B25">
            <w:pPr>
              <w:spacing w:after="0" w:line="240" w:lineRule="auto"/>
              <w:jc w:val="center"/>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Parity 1</w:t>
            </w:r>
          </w:p>
        </w:tc>
        <w:tc>
          <w:tcPr>
            <w:tcW w:w="2058" w:type="dxa"/>
            <w:gridSpan w:val="3"/>
            <w:tcBorders>
              <w:top w:val="nil"/>
              <w:left w:val="nil"/>
              <w:bottom w:val="nil"/>
              <w:right w:val="nil"/>
            </w:tcBorders>
            <w:shd w:val="clear" w:color="000000" w:fill="FBE4D5"/>
            <w:vAlign w:val="center"/>
            <w:hideMark/>
          </w:tcPr>
          <w:p w14:paraId="4E3EEBA6" w14:textId="77777777" w:rsidR="00244248" w:rsidRPr="00F9625D" w:rsidRDefault="00244248" w:rsidP="00335B25">
            <w:pPr>
              <w:spacing w:after="0" w:line="240" w:lineRule="auto"/>
              <w:jc w:val="center"/>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Parity 2</w:t>
            </w:r>
          </w:p>
        </w:tc>
      </w:tr>
      <w:tr w:rsidR="00244248" w:rsidRPr="00F9625D" w14:paraId="5BF17C32" w14:textId="77777777" w:rsidTr="00335B25">
        <w:trPr>
          <w:trHeight w:val="255"/>
        </w:trPr>
        <w:tc>
          <w:tcPr>
            <w:tcW w:w="3860" w:type="dxa"/>
            <w:tcBorders>
              <w:top w:val="nil"/>
              <w:left w:val="nil"/>
              <w:bottom w:val="single" w:sz="4" w:space="0" w:color="ED7D31"/>
              <w:right w:val="nil"/>
            </w:tcBorders>
            <w:shd w:val="clear" w:color="000000" w:fill="FBE4D5"/>
            <w:vAlign w:val="center"/>
            <w:hideMark/>
          </w:tcPr>
          <w:p w14:paraId="47CA2350"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 </w:t>
            </w:r>
          </w:p>
        </w:tc>
        <w:tc>
          <w:tcPr>
            <w:tcW w:w="1102" w:type="dxa"/>
            <w:tcBorders>
              <w:top w:val="nil"/>
              <w:left w:val="nil"/>
              <w:bottom w:val="single" w:sz="4" w:space="0" w:color="ED7D31"/>
              <w:right w:val="nil"/>
            </w:tcBorders>
            <w:shd w:val="clear" w:color="000000" w:fill="FBE4D5"/>
            <w:vAlign w:val="center"/>
            <w:hideMark/>
          </w:tcPr>
          <w:p w14:paraId="30B99878"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 xml:space="preserve">Coef. </w:t>
            </w:r>
          </w:p>
        </w:tc>
        <w:tc>
          <w:tcPr>
            <w:tcW w:w="999" w:type="dxa"/>
            <w:tcBorders>
              <w:top w:val="nil"/>
              <w:left w:val="nil"/>
              <w:bottom w:val="single" w:sz="4" w:space="0" w:color="ED7D31"/>
              <w:right w:val="nil"/>
            </w:tcBorders>
            <w:shd w:val="clear" w:color="000000" w:fill="FBE4D5"/>
            <w:vAlign w:val="center"/>
            <w:hideMark/>
          </w:tcPr>
          <w:p w14:paraId="5B1AF65B"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Se</w:t>
            </w:r>
          </w:p>
        </w:tc>
        <w:tc>
          <w:tcPr>
            <w:tcW w:w="1134" w:type="dxa"/>
            <w:tcBorders>
              <w:top w:val="nil"/>
              <w:left w:val="nil"/>
              <w:bottom w:val="single" w:sz="4" w:space="0" w:color="ED7D31"/>
              <w:right w:val="nil"/>
            </w:tcBorders>
            <w:shd w:val="clear" w:color="000000" w:fill="FBE4D5"/>
            <w:vAlign w:val="center"/>
            <w:hideMark/>
          </w:tcPr>
          <w:p w14:paraId="3469D4D4"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 xml:space="preserve">Coef. </w:t>
            </w:r>
          </w:p>
        </w:tc>
        <w:tc>
          <w:tcPr>
            <w:tcW w:w="960" w:type="dxa"/>
            <w:gridSpan w:val="2"/>
            <w:tcBorders>
              <w:top w:val="nil"/>
              <w:left w:val="nil"/>
              <w:bottom w:val="single" w:sz="4" w:space="0" w:color="ED7D31"/>
              <w:right w:val="nil"/>
            </w:tcBorders>
            <w:shd w:val="clear" w:color="000000" w:fill="FBE4D5"/>
            <w:vAlign w:val="center"/>
            <w:hideMark/>
          </w:tcPr>
          <w:p w14:paraId="5B16A5B3"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Se</w:t>
            </w:r>
          </w:p>
        </w:tc>
        <w:tc>
          <w:tcPr>
            <w:tcW w:w="1046" w:type="dxa"/>
            <w:tcBorders>
              <w:top w:val="nil"/>
              <w:left w:val="nil"/>
              <w:bottom w:val="single" w:sz="4" w:space="0" w:color="ED7D31"/>
              <w:right w:val="nil"/>
            </w:tcBorders>
            <w:shd w:val="clear" w:color="000000" w:fill="FBE4D5"/>
            <w:vAlign w:val="center"/>
            <w:hideMark/>
          </w:tcPr>
          <w:p w14:paraId="0EDFB852"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 xml:space="preserve">Coef. </w:t>
            </w:r>
          </w:p>
        </w:tc>
        <w:tc>
          <w:tcPr>
            <w:tcW w:w="965" w:type="dxa"/>
            <w:gridSpan w:val="2"/>
            <w:tcBorders>
              <w:top w:val="nil"/>
              <w:left w:val="nil"/>
              <w:bottom w:val="single" w:sz="4" w:space="0" w:color="ED7D31"/>
              <w:right w:val="nil"/>
            </w:tcBorders>
            <w:shd w:val="clear" w:color="000000" w:fill="FBE4D5"/>
            <w:vAlign w:val="center"/>
            <w:hideMark/>
          </w:tcPr>
          <w:p w14:paraId="37AED1AB"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Se</w:t>
            </w:r>
          </w:p>
        </w:tc>
        <w:tc>
          <w:tcPr>
            <w:tcW w:w="1098" w:type="dxa"/>
            <w:tcBorders>
              <w:top w:val="nil"/>
              <w:left w:val="nil"/>
              <w:bottom w:val="single" w:sz="4" w:space="0" w:color="ED7D31"/>
              <w:right w:val="nil"/>
            </w:tcBorders>
            <w:shd w:val="clear" w:color="000000" w:fill="FBE4D5"/>
            <w:vAlign w:val="center"/>
            <w:hideMark/>
          </w:tcPr>
          <w:p w14:paraId="48AE6995"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 xml:space="preserve">Coef. </w:t>
            </w:r>
          </w:p>
        </w:tc>
        <w:tc>
          <w:tcPr>
            <w:tcW w:w="960" w:type="dxa"/>
            <w:gridSpan w:val="2"/>
            <w:tcBorders>
              <w:top w:val="nil"/>
              <w:left w:val="nil"/>
              <w:bottom w:val="single" w:sz="4" w:space="0" w:color="ED7D31"/>
              <w:right w:val="nil"/>
            </w:tcBorders>
            <w:shd w:val="clear" w:color="000000" w:fill="FBE4D5"/>
            <w:vAlign w:val="center"/>
            <w:hideMark/>
          </w:tcPr>
          <w:p w14:paraId="66155883"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Se</w:t>
            </w:r>
          </w:p>
        </w:tc>
      </w:tr>
      <w:tr w:rsidR="00244248" w:rsidRPr="00F9625D" w14:paraId="54197AD3" w14:textId="77777777" w:rsidTr="00335B25">
        <w:trPr>
          <w:trHeight w:val="255"/>
        </w:trPr>
        <w:tc>
          <w:tcPr>
            <w:tcW w:w="3860" w:type="dxa"/>
            <w:tcBorders>
              <w:top w:val="nil"/>
              <w:left w:val="nil"/>
              <w:bottom w:val="nil"/>
              <w:right w:val="nil"/>
            </w:tcBorders>
            <w:shd w:val="clear" w:color="auto" w:fill="auto"/>
            <w:vAlign w:val="center"/>
            <w:hideMark/>
          </w:tcPr>
          <w:p w14:paraId="5A366580"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r w:rsidRPr="00F9625D">
              <w:rPr>
                <w:rFonts w:ascii="Calibri Light" w:eastAsia="Times New Roman" w:hAnsi="Calibri Light" w:cs="Calibri Light"/>
                <w:b/>
                <w:bCs/>
                <w:color w:val="000000"/>
                <w:sz w:val="20"/>
                <w:szCs w:val="20"/>
                <w:lang w:eastAsia="en-AU"/>
              </w:rPr>
              <w:t xml:space="preserve">Number of children </w:t>
            </w:r>
            <w:r w:rsidRPr="00F9625D">
              <w:rPr>
                <w:rFonts w:ascii="Calibri Light" w:eastAsia="Times New Roman" w:hAnsi="Calibri Light" w:cs="Calibri Light"/>
                <w:color w:val="000000"/>
                <w:sz w:val="20"/>
                <w:szCs w:val="20"/>
                <w:lang w:eastAsia="en-AU"/>
              </w:rPr>
              <w:t>(ref: childless)</w:t>
            </w:r>
          </w:p>
        </w:tc>
        <w:tc>
          <w:tcPr>
            <w:tcW w:w="1102" w:type="dxa"/>
            <w:tcBorders>
              <w:top w:val="nil"/>
              <w:left w:val="nil"/>
              <w:bottom w:val="nil"/>
              <w:right w:val="nil"/>
            </w:tcBorders>
            <w:shd w:val="clear" w:color="auto" w:fill="auto"/>
            <w:vAlign w:val="center"/>
            <w:hideMark/>
          </w:tcPr>
          <w:p w14:paraId="73E0C972"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999" w:type="dxa"/>
            <w:tcBorders>
              <w:top w:val="nil"/>
              <w:left w:val="nil"/>
              <w:bottom w:val="nil"/>
              <w:right w:val="nil"/>
            </w:tcBorders>
            <w:shd w:val="clear" w:color="auto" w:fill="auto"/>
            <w:vAlign w:val="center"/>
            <w:hideMark/>
          </w:tcPr>
          <w:p w14:paraId="119D147A"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52273BC0"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462C0DC4"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46" w:type="dxa"/>
            <w:tcBorders>
              <w:top w:val="nil"/>
              <w:left w:val="nil"/>
              <w:bottom w:val="nil"/>
              <w:right w:val="nil"/>
            </w:tcBorders>
            <w:shd w:val="clear" w:color="auto" w:fill="auto"/>
            <w:vAlign w:val="center"/>
            <w:hideMark/>
          </w:tcPr>
          <w:p w14:paraId="2318E9F4"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5" w:type="dxa"/>
            <w:gridSpan w:val="2"/>
            <w:tcBorders>
              <w:top w:val="nil"/>
              <w:left w:val="nil"/>
              <w:bottom w:val="nil"/>
              <w:right w:val="nil"/>
            </w:tcBorders>
            <w:shd w:val="clear" w:color="auto" w:fill="auto"/>
            <w:vAlign w:val="center"/>
            <w:hideMark/>
          </w:tcPr>
          <w:p w14:paraId="0DD3EFA3"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98" w:type="dxa"/>
            <w:tcBorders>
              <w:top w:val="nil"/>
              <w:left w:val="nil"/>
              <w:bottom w:val="nil"/>
              <w:right w:val="nil"/>
            </w:tcBorders>
            <w:shd w:val="clear" w:color="auto" w:fill="auto"/>
            <w:vAlign w:val="center"/>
            <w:hideMark/>
          </w:tcPr>
          <w:p w14:paraId="169D0A52"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21A1B7EB"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r>
      <w:tr w:rsidR="00244248" w:rsidRPr="00F9625D" w14:paraId="116DA66C" w14:textId="77777777" w:rsidTr="00335B25">
        <w:trPr>
          <w:trHeight w:val="255"/>
        </w:trPr>
        <w:tc>
          <w:tcPr>
            <w:tcW w:w="3860" w:type="dxa"/>
            <w:tcBorders>
              <w:top w:val="nil"/>
              <w:left w:val="nil"/>
              <w:bottom w:val="nil"/>
              <w:right w:val="nil"/>
            </w:tcBorders>
            <w:shd w:val="clear" w:color="auto" w:fill="auto"/>
            <w:vAlign w:val="center"/>
            <w:hideMark/>
          </w:tcPr>
          <w:p w14:paraId="7089E34A"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 child</w:t>
            </w:r>
          </w:p>
        </w:tc>
        <w:tc>
          <w:tcPr>
            <w:tcW w:w="1102" w:type="dxa"/>
            <w:tcBorders>
              <w:top w:val="nil"/>
              <w:left w:val="nil"/>
              <w:bottom w:val="nil"/>
              <w:right w:val="nil"/>
            </w:tcBorders>
            <w:shd w:val="clear" w:color="auto" w:fill="auto"/>
            <w:vAlign w:val="center"/>
            <w:hideMark/>
          </w:tcPr>
          <w:p w14:paraId="74E18AA3"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0.539***</w:t>
            </w:r>
          </w:p>
        </w:tc>
        <w:tc>
          <w:tcPr>
            <w:tcW w:w="999" w:type="dxa"/>
            <w:tcBorders>
              <w:top w:val="nil"/>
              <w:left w:val="nil"/>
              <w:bottom w:val="nil"/>
              <w:right w:val="nil"/>
            </w:tcBorders>
            <w:shd w:val="clear" w:color="auto" w:fill="auto"/>
            <w:vAlign w:val="center"/>
            <w:hideMark/>
          </w:tcPr>
          <w:p w14:paraId="0B9079B1"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(0.111)</w:t>
            </w:r>
          </w:p>
        </w:tc>
        <w:tc>
          <w:tcPr>
            <w:tcW w:w="1134" w:type="dxa"/>
            <w:tcBorders>
              <w:top w:val="nil"/>
              <w:left w:val="nil"/>
              <w:bottom w:val="nil"/>
              <w:right w:val="nil"/>
            </w:tcBorders>
            <w:shd w:val="clear" w:color="auto" w:fill="auto"/>
            <w:vAlign w:val="center"/>
            <w:hideMark/>
          </w:tcPr>
          <w:p w14:paraId="4099331F"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p>
        </w:tc>
        <w:tc>
          <w:tcPr>
            <w:tcW w:w="960" w:type="dxa"/>
            <w:gridSpan w:val="2"/>
            <w:tcBorders>
              <w:top w:val="nil"/>
              <w:left w:val="nil"/>
              <w:bottom w:val="nil"/>
              <w:right w:val="nil"/>
            </w:tcBorders>
            <w:shd w:val="clear" w:color="auto" w:fill="auto"/>
            <w:vAlign w:val="center"/>
            <w:hideMark/>
          </w:tcPr>
          <w:p w14:paraId="504B1277"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46" w:type="dxa"/>
            <w:tcBorders>
              <w:top w:val="nil"/>
              <w:left w:val="nil"/>
              <w:bottom w:val="nil"/>
              <w:right w:val="nil"/>
            </w:tcBorders>
            <w:shd w:val="clear" w:color="auto" w:fill="auto"/>
            <w:vAlign w:val="center"/>
            <w:hideMark/>
          </w:tcPr>
          <w:p w14:paraId="6B102FC7"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5" w:type="dxa"/>
            <w:gridSpan w:val="2"/>
            <w:tcBorders>
              <w:top w:val="nil"/>
              <w:left w:val="nil"/>
              <w:bottom w:val="nil"/>
              <w:right w:val="nil"/>
            </w:tcBorders>
            <w:shd w:val="clear" w:color="auto" w:fill="auto"/>
            <w:vAlign w:val="center"/>
            <w:hideMark/>
          </w:tcPr>
          <w:p w14:paraId="6705C93F"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98" w:type="dxa"/>
            <w:tcBorders>
              <w:top w:val="nil"/>
              <w:left w:val="nil"/>
              <w:bottom w:val="nil"/>
              <w:right w:val="nil"/>
            </w:tcBorders>
            <w:shd w:val="clear" w:color="auto" w:fill="auto"/>
            <w:vAlign w:val="center"/>
            <w:hideMark/>
          </w:tcPr>
          <w:p w14:paraId="64065BB6"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62F94F8C"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r>
      <w:tr w:rsidR="00244248" w:rsidRPr="00F9625D" w14:paraId="49E368C6" w14:textId="77777777" w:rsidTr="00335B25">
        <w:trPr>
          <w:trHeight w:val="255"/>
        </w:trPr>
        <w:tc>
          <w:tcPr>
            <w:tcW w:w="3860" w:type="dxa"/>
            <w:tcBorders>
              <w:top w:val="nil"/>
              <w:left w:val="nil"/>
              <w:bottom w:val="nil"/>
              <w:right w:val="nil"/>
            </w:tcBorders>
            <w:shd w:val="clear" w:color="auto" w:fill="auto"/>
            <w:vAlign w:val="center"/>
            <w:hideMark/>
          </w:tcPr>
          <w:p w14:paraId="36963AA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2 children</w:t>
            </w:r>
          </w:p>
        </w:tc>
        <w:tc>
          <w:tcPr>
            <w:tcW w:w="1102" w:type="dxa"/>
            <w:tcBorders>
              <w:top w:val="nil"/>
              <w:left w:val="nil"/>
              <w:bottom w:val="nil"/>
              <w:right w:val="nil"/>
            </w:tcBorders>
            <w:shd w:val="clear" w:color="auto" w:fill="auto"/>
            <w:vAlign w:val="center"/>
            <w:hideMark/>
          </w:tcPr>
          <w:p w14:paraId="3C55D697"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2.329***</w:t>
            </w:r>
          </w:p>
        </w:tc>
        <w:tc>
          <w:tcPr>
            <w:tcW w:w="999" w:type="dxa"/>
            <w:tcBorders>
              <w:top w:val="nil"/>
              <w:left w:val="nil"/>
              <w:bottom w:val="nil"/>
              <w:right w:val="nil"/>
            </w:tcBorders>
            <w:shd w:val="clear" w:color="auto" w:fill="auto"/>
            <w:vAlign w:val="center"/>
            <w:hideMark/>
          </w:tcPr>
          <w:p w14:paraId="44162D3B"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(0.150)</w:t>
            </w:r>
          </w:p>
        </w:tc>
        <w:tc>
          <w:tcPr>
            <w:tcW w:w="1134" w:type="dxa"/>
            <w:tcBorders>
              <w:top w:val="nil"/>
              <w:left w:val="nil"/>
              <w:bottom w:val="nil"/>
              <w:right w:val="nil"/>
            </w:tcBorders>
            <w:shd w:val="clear" w:color="auto" w:fill="auto"/>
            <w:vAlign w:val="center"/>
            <w:hideMark/>
          </w:tcPr>
          <w:p w14:paraId="21D20A20"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p>
        </w:tc>
        <w:tc>
          <w:tcPr>
            <w:tcW w:w="960" w:type="dxa"/>
            <w:gridSpan w:val="2"/>
            <w:tcBorders>
              <w:top w:val="nil"/>
              <w:left w:val="nil"/>
              <w:bottom w:val="nil"/>
              <w:right w:val="nil"/>
            </w:tcBorders>
            <w:shd w:val="clear" w:color="auto" w:fill="auto"/>
            <w:vAlign w:val="center"/>
            <w:hideMark/>
          </w:tcPr>
          <w:p w14:paraId="11DB315D"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46" w:type="dxa"/>
            <w:tcBorders>
              <w:top w:val="nil"/>
              <w:left w:val="nil"/>
              <w:bottom w:val="nil"/>
              <w:right w:val="nil"/>
            </w:tcBorders>
            <w:shd w:val="clear" w:color="auto" w:fill="auto"/>
            <w:vAlign w:val="center"/>
            <w:hideMark/>
          </w:tcPr>
          <w:p w14:paraId="2101780E"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5" w:type="dxa"/>
            <w:gridSpan w:val="2"/>
            <w:tcBorders>
              <w:top w:val="nil"/>
              <w:left w:val="nil"/>
              <w:bottom w:val="nil"/>
              <w:right w:val="nil"/>
            </w:tcBorders>
            <w:shd w:val="clear" w:color="auto" w:fill="auto"/>
            <w:vAlign w:val="center"/>
            <w:hideMark/>
          </w:tcPr>
          <w:p w14:paraId="50677E90"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98" w:type="dxa"/>
            <w:tcBorders>
              <w:top w:val="nil"/>
              <w:left w:val="nil"/>
              <w:bottom w:val="nil"/>
              <w:right w:val="nil"/>
            </w:tcBorders>
            <w:shd w:val="clear" w:color="auto" w:fill="auto"/>
            <w:vAlign w:val="center"/>
            <w:hideMark/>
          </w:tcPr>
          <w:p w14:paraId="2D6F2D1C"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1D225A00"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r>
      <w:tr w:rsidR="00244248" w:rsidRPr="00F9625D" w14:paraId="44BFB2E2" w14:textId="77777777" w:rsidTr="00335B25">
        <w:trPr>
          <w:trHeight w:val="255"/>
        </w:trPr>
        <w:tc>
          <w:tcPr>
            <w:tcW w:w="3860" w:type="dxa"/>
            <w:tcBorders>
              <w:top w:val="nil"/>
              <w:left w:val="nil"/>
              <w:bottom w:val="single" w:sz="4" w:space="0" w:color="ED7D31"/>
              <w:right w:val="nil"/>
            </w:tcBorders>
            <w:shd w:val="clear" w:color="auto" w:fill="auto"/>
            <w:vAlign w:val="center"/>
            <w:hideMark/>
          </w:tcPr>
          <w:p w14:paraId="3437454E"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3 children</w:t>
            </w:r>
          </w:p>
        </w:tc>
        <w:tc>
          <w:tcPr>
            <w:tcW w:w="1102" w:type="dxa"/>
            <w:tcBorders>
              <w:top w:val="nil"/>
              <w:left w:val="nil"/>
              <w:bottom w:val="single" w:sz="4" w:space="0" w:color="ED7D31"/>
              <w:right w:val="nil"/>
            </w:tcBorders>
            <w:shd w:val="clear" w:color="auto" w:fill="auto"/>
            <w:vAlign w:val="center"/>
            <w:hideMark/>
          </w:tcPr>
          <w:p w14:paraId="476A7EDA"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3.438***</w:t>
            </w:r>
          </w:p>
        </w:tc>
        <w:tc>
          <w:tcPr>
            <w:tcW w:w="999" w:type="dxa"/>
            <w:tcBorders>
              <w:top w:val="nil"/>
              <w:left w:val="nil"/>
              <w:bottom w:val="single" w:sz="4" w:space="0" w:color="ED7D31"/>
              <w:right w:val="nil"/>
            </w:tcBorders>
            <w:shd w:val="clear" w:color="auto" w:fill="auto"/>
            <w:vAlign w:val="center"/>
            <w:hideMark/>
          </w:tcPr>
          <w:p w14:paraId="5B914FE7"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(0.240)</w:t>
            </w:r>
          </w:p>
        </w:tc>
        <w:tc>
          <w:tcPr>
            <w:tcW w:w="1134" w:type="dxa"/>
            <w:tcBorders>
              <w:top w:val="nil"/>
              <w:left w:val="nil"/>
              <w:bottom w:val="single" w:sz="4" w:space="0" w:color="ED7D31"/>
              <w:right w:val="nil"/>
            </w:tcBorders>
            <w:shd w:val="clear" w:color="auto" w:fill="auto"/>
            <w:vAlign w:val="center"/>
            <w:hideMark/>
          </w:tcPr>
          <w:p w14:paraId="70B34188" w14:textId="77777777" w:rsidR="00244248" w:rsidRPr="00F9625D" w:rsidRDefault="00244248" w:rsidP="00335B25">
            <w:pPr>
              <w:spacing w:after="0" w:line="240" w:lineRule="auto"/>
              <w:rPr>
                <w:rFonts w:ascii="Calibri" w:eastAsia="Times New Roman" w:hAnsi="Calibri" w:cs="Calibri"/>
                <w:color w:val="000000"/>
                <w:lang w:eastAsia="en-AU"/>
              </w:rPr>
            </w:pPr>
            <w:r w:rsidRPr="00F9625D">
              <w:rPr>
                <w:rFonts w:ascii="Calibri" w:eastAsia="Times New Roman" w:hAnsi="Calibri" w:cs="Calibri"/>
                <w:color w:val="000000"/>
                <w:lang w:eastAsia="en-AU"/>
              </w:rPr>
              <w:t> </w:t>
            </w:r>
          </w:p>
        </w:tc>
        <w:tc>
          <w:tcPr>
            <w:tcW w:w="960" w:type="dxa"/>
            <w:gridSpan w:val="2"/>
            <w:tcBorders>
              <w:top w:val="nil"/>
              <w:left w:val="nil"/>
              <w:bottom w:val="single" w:sz="4" w:space="0" w:color="ED7D31"/>
              <w:right w:val="nil"/>
            </w:tcBorders>
            <w:shd w:val="clear" w:color="auto" w:fill="auto"/>
            <w:vAlign w:val="center"/>
            <w:hideMark/>
          </w:tcPr>
          <w:p w14:paraId="27E5FED6" w14:textId="77777777" w:rsidR="00244248" w:rsidRPr="00F9625D" w:rsidRDefault="00244248" w:rsidP="00335B25">
            <w:pPr>
              <w:spacing w:after="0" w:line="240" w:lineRule="auto"/>
              <w:rPr>
                <w:rFonts w:ascii="Calibri" w:eastAsia="Times New Roman" w:hAnsi="Calibri" w:cs="Calibri"/>
                <w:color w:val="808080"/>
                <w:lang w:eastAsia="en-AU"/>
              </w:rPr>
            </w:pPr>
            <w:r w:rsidRPr="00F9625D">
              <w:rPr>
                <w:rFonts w:ascii="Calibri" w:eastAsia="Times New Roman" w:hAnsi="Calibri" w:cs="Calibri"/>
                <w:color w:val="808080"/>
                <w:lang w:eastAsia="en-AU"/>
              </w:rPr>
              <w:t> </w:t>
            </w:r>
          </w:p>
        </w:tc>
        <w:tc>
          <w:tcPr>
            <w:tcW w:w="1046" w:type="dxa"/>
            <w:tcBorders>
              <w:top w:val="nil"/>
              <w:left w:val="nil"/>
              <w:bottom w:val="single" w:sz="4" w:space="0" w:color="ED7D31"/>
              <w:right w:val="nil"/>
            </w:tcBorders>
            <w:shd w:val="clear" w:color="auto" w:fill="auto"/>
            <w:vAlign w:val="center"/>
            <w:hideMark/>
          </w:tcPr>
          <w:p w14:paraId="3D6E181B" w14:textId="77777777" w:rsidR="00244248" w:rsidRPr="00F9625D" w:rsidRDefault="00244248" w:rsidP="00335B25">
            <w:pPr>
              <w:spacing w:after="0" w:line="240" w:lineRule="auto"/>
              <w:rPr>
                <w:rFonts w:ascii="Calibri" w:eastAsia="Times New Roman" w:hAnsi="Calibri" w:cs="Calibri"/>
                <w:color w:val="000000"/>
                <w:lang w:eastAsia="en-AU"/>
              </w:rPr>
            </w:pPr>
            <w:r w:rsidRPr="00F9625D">
              <w:rPr>
                <w:rFonts w:ascii="Calibri" w:eastAsia="Times New Roman" w:hAnsi="Calibri" w:cs="Calibri"/>
                <w:color w:val="000000"/>
                <w:lang w:eastAsia="en-AU"/>
              </w:rPr>
              <w:t> </w:t>
            </w:r>
          </w:p>
        </w:tc>
        <w:tc>
          <w:tcPr>
            <w:tcW w:w="965" w:type="dxa"/>
            <w:gridSpan w:val="2"/>
            <w:tcBorders>
              <w:top w:val="nil"/>
              <w:left w:val="nil"/>
              <w:bottom w:val="single" w:sz="4" w:space="0" w:color="ED7D31"/>
              <w:right w:val="nil"/>
            </w:tcBorders>
            <w:shd w:val="clear" w:color="auto" w:fill="auto"/>
            <w:vAlign w:val="center"/>
            <w:hideMark/>
          </w:tcPr>
          <w:p w14:paraId="439F9EC6" w14:textId="77777777" w:rsidR="00244248" w:rsidRPr="00F9625D" w:rsidRDefault="00244248" w:rsidP="00335B25">
            <w:pPr>
              <w:spacing w:after="0" w:line="240" w:lineRule="auto"/>
              <w:rPr>
                <w:rFonts w:ascii="Calibri" w:eastAsia="Times New Roman" w:hAnsi="Calibri" w:cs="Calibri"/>
                <w:color w:val="808080"/>
                <w:lang w:eastAsia="en-AU"/>
              </w:rPr>
            </w:pPr>
            <w:r w:rsidRPr="00F9625D">
              <w:rPr>
                <w:rFonts w:ascii="Calibri" w:eastAsia="Times New Roman" w:hAnsi="Calibri" w:cs="Calibri"/>
                <w:color w:val="808080"/>
                <w:lang w:eastAsia="en-AU"/>
              </w:rPr>
              <w:t> </w:t>
            </w:r>
          </w:p>
        </w:tc>
        <w:tc>
          <w:tcPr>
            <w:tcW w:w="1098" w:type="dxa"/>
            <w:tcBorders>
              <w:top w:val="nil"/>
              <w:left w:val="nil"/>
              <w:bottom w:val="single" w:sz="4" w:space="0" w:color="ED7D31"/>
              <w:right w:val="nil"/>
            </w:tcBorders>
            <w:shd w:val="clear" w:color="auto" w:fill="auto"/>
            <w:vAlign w:val="center"/>
            <w:hideMark/>
          </w:tcPr>
          <w:p w14:paraId="5D9AD909" w14:textId="77777777" w:rsidR="00244248" w:rsidRPr="00F9625D" w:rsidRDefault="00244248" w:rsidP="00335B25">
            <w:pPr>
              <w:spacing w:after="0" w:line="240" w:lineRule="auto"/>
              <w:rPr>
                <w:rFonts w:ascii="Calibri" w:eastAsia="Times New Roman" w:hAnsi="Calibri" w:cs="Calibri"/>
                <w:color w:val="000000"/>
                <w:lang w:eastAsia="en-AU"/>
              </w:rPr>
            </w:pPr>
            <w:r w:rsidRPr="00F9625D">
              <w:rPr>
                <w:rFonts w:ascii="Calibri" w:eastAsia="Times New Roman" w:hAnsi="Calibri" w:cs="Calibri"/>
                <w:color w:val="000000"/>
                <w:lang w:eastAsia="en-AU"/>
              </w:rPr>
              <w:t> </w:t>
            </w:r>
          </w:p>
        </w:tc>
        <w:tc>
          <w:tcPr>
            <w:tcW w:w="960" w:type="dxa"/>
            <w:gridSpan w:val="2"/>
            <w:tcBorders>
              <w:top w:val="nil"/>
              <w:left w:val="nil"/>
              <w:bottom w:val="single" w:sz="4" w:space="0" w:color="ED7D31"/>
              <w:right w:val="nil"/>
            </w:tcBorders>
            <w:shd w:val="clear" w:color="auto" w:fill="auto"/>
            <w:vAlign w:val="center"/>
            <w:hideMark/>
          </w:tcPr>
          <w:p w14:paraId="18851693" w14:textId="77777777" w:rsidR="00244248" w:rsidRPr="00F9625D" w:rsidRDefault="00244248" w:rsidP="00335B25">
            <w:pPr>
              <w:spacing w:after="0" w:line="240" w:lineRule="auto"/>
              <w:rPr>
                <w:rFonts w:ascii="Calibri" w:eastAsia="Times New Roman" w:hAnsi="Calibri" w:cs="Calibri"/>
                <w:color w:val="808080"/>
                <w:lang w:eastAsia="en-AU"/>
              </w:rPr>
            </w:pPr>
            <w:r w:rsidRPr="00F9625D">
              <w:rPr>
                <w:rFonts w:ascii="Calibri" w:eastAsia="Times New Roman" w:hAnsi="Calibri" w:cs="Calibri"/>
                <w:color w:val="808080"/>
                <w:lang w:eastAsia="en-AU"/>
              </w:rPr>
              <w:t> </w:t>
            </w:r>
          </w:p>
        </w:tc>
      </w:tr>
      <w:tr w:rsidR="00244248" w:rsidRPr="00F9625D" w14:paraId="78DDE091" w14:textId="77777777" w:rsidTr="00335B25">
        <w:trPr>
          <w:trHeight w:val="255"/>
        </w:trPr>
        <w:tc>
          <w:tcPr>
            <w:tcW w:w="3860" w:type="dxa"/>
            <w:tcBorders>
              <w:top w:val="nil"/>
              <w:left w:val="nil"/>
              <w:bottom w:val="nil"/>
              <w:right w:val="nil"/>
            </w:tcBorders>
            <w:shd w:val="clear" w:color="auto" w:fill="auto"/>
            <w:vAlign w:val="center"/>
            <w:hideMark/>
          </w:tcPr>
          <w:p w14:paraId="093E6BC3"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r w:rsidRPr="00F9625D">
              <w:rPr>
                <w:rFonts w:ascii="Calibri Light" w:eastAsia="Times New Roman" w:hAnsi="Calibri Light" w:cs="Calibri Light"/>
                <w:b/>
                <w:bCs/>
                <w:color w:val="000000"/>
                <w:sz w:val="20"/>
                <w:szCs w:val="20"/>
                <w:lang w:eastAsia="en-AU"/>
              </w:rPr>
              <w:t xml:space="preserve">Age group </w:t>
            </w:r>
            <w:r w:rsidRPr="00F9625D">
              <w:rPr>
                <w:rFonts w:ascii="Calibri Light" w:eastAsia="Times New Roman" w:hAnsi="Calibri Light" w:cs="Calibri Light"/>
                <w:color w:val="000000"/>
                <w:sz w:val="20"/>
                <w:szCs w:val="20"/>
                <w:lang w:eastAsia="en-AU"/>
              </w:rPr>
              <w:t>(ref: 25-29)</w:t>
            </w:r>
          </w:p>
        </w:tc>
        <w:tc>
          <w:tcPr>
            <w:tcW w:w="1102" w:type="dxa"/>
            <w:tcBorders>
              <w:top w:val="nil"/>
              <w:left w:val="nil"/>
              <w:bottom w:val="nil"/>
              <w:right w:val="nil"/>
            </w:tcBorders>
            <w:shd w:val="clear" w:color="auto" w:fill="auto"/>
            <w:vAlign w:val="center"/>
            <w:hideMark/>
          </w:tcPr>
          <w:p w14:paraId="3AB8BB48"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999" w:type="dxa"/>
            <w:tcBorders>
              <w:top w:val="nil"/>
              <w:left w:val="nil"/>
              <w:bottom w:val="nil"/>
              <w:right w:val="nil"/>
            </w:tcBorders>
            <w:shd w:val="clear" w:color="auto" w:fill="auto"/>
            <w:vAlign w:val="center"/>
            <w:hideMark/>
          </w:tcPr>
          <w:p w14:paraId="5BF58FC6"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769977DE"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789870C9"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46" w:type="dxa"/>
            <w:tcBorders>
              <w:top w:val="nil"/>
              <w:left w:val="nil"/>
              <w:bottom w:val="nil"/>
              <w:right w:val="nil"/>
            </w:tcBorders>
            <w:shd w:val="clear" w:color="auto" w:fill="auto"/>
            <w:vAlign w:val="center"/>
            <w:hideMark/>
          </w:tcPr>
          <w:p w14:paraId="0B2BDA04"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5" w:type="dxa"/>
            <w:gridSpan w:val="2"/>
            <w:tcBorders>
              <w:top w:val="nil"/>
              <w:left w:val="nil"/>
              <w:bottom w:val="nil"/>
              <w:right w:val="nil"/>
            </w:tcBorders>
            <w:shd w:val="clear" w:color="auto" w:fill="auto"/>
            <w:vAlign w:val="center"/>
            <w:hideMark/>
          </w:tcPr>
          <w:p w14:paraId="2C577CD5"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98" w:type="dxa"/>
            <w:tcBorders>
              <w:top w:val="nil"/>
              <w:left w:val="nil"/>
              <w:bottom w:val="nil"/>
              <w:right w:val="nil"/>
            </w:tcBorders>
            <w:shd w:val="clear" w:color="auto" w:fill="auto"/>
            <w:vAlign w:val="center"/>
            <w:hideMark/>
          </w:tcPr>
          <w:p w14:paraId="335CC5C1"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091B56CE"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r>
      <w:tr w:rsidR="00244248" w:rsidRPr="00F9625D" w14:paraId="74E170DB" w14:textId="77777777" w:rsidTr="00335B25">
        <w:trPr>
          <w:trHeight w:val="255"/>
        </w:trPr>
        <w:tc>
          <w:tcPr>
            <w:tcW w:w="3860" w:type="dxa"/>
            <w:tcBorders>
              <w:top w:val="nil"/>
              <w:left w:val="nil"/>
              <w:bottom w:val="nil"/>
              <w:right w:val="nil"/>
            </w:tcBorders>
            <w:shd w:val="clear" w:color="auto" w:fill="auto"/>
            <w:vAlign w:val="center"/>
            <w:hideMark/>
          </w:tcPr>
          <w:p w14:paraId="72FD22AB"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 xml:space="preserve"> 18-24</w:t>
            </w:r>
          </w:p>
        </w:tc>
        <w:tc>
          <w:tcPr>
            <w:tcW w:w="1102" w:type="dxa"/>
            <w:tcBorders>
              <w:top w:val="nil"/>
              <w:left w:val="nil"/>
              <w:bottom w:val="nil"/>
              <w:right w:val="nil"/>
            </w:tcBorders>
            <w:shd w:val="clear" w:color="auto" w:fill="auto"/>
            <w:vAlign w:val="center"/>
            <w:hideMark/>
          </w:tcPr>
          <w:p w14:paraId="7427EE08"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0.253**</w:t>
            </w:r>
          </w:p>
        </w:tc>
        <w:tc>
          <w:tcPr>
            <w:tcW w:w="999" w:type="dxa"/>
            <w:tcBorders>
              <w:top w:val="nil"/>
              <w:left w:val="nil"/>
              <w:bottom w:val="nil"/>
              <w:right w:val="nil"/>
            </w:tcBorders>
            <w:shd w:val="clear" w:color="auto" w:fill="auto"/>
            <w:vAlign w:val="center"/>
            <w:hideMark/>
          </w:tcPr>
          <w:p w14:paraId="3AE3A91C"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(0.113)</w:t>
            </w:r>
          </w:p>
        </w:tc>
        <w:tc>
          <w:tcPr>
            <w:tcW w:w="1134" w:type="dxa"/>
            <w:tcBorders>
              <w:top w:val="nil"/>
              <w:left w:val="nil"/>
              <w:bottom w:val="nil"/>
              <w:right w:val="nil"/>
            </w:tcBorders>
            <w:shd w:val="clear" w:color="auto" w:fill="auto"/>
            <w:vAlign w:val="center"/>
            <w:hideMark/>
          </w:tcPr>
          <w:p w14:paraId="4ADB68EB"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-1.138***</w:t>
            </w:r>
          </w:p>
        </w:tc>
        <w:tc>
          <w:tcPr>
            <w:tcW w:w="960" w:type="dxa"/>
            <w:gridSpan w:val="2"/>
            <w:tcBorders>
              <w:top w:val="nil"/>
              <w:left w:val="nil"/>
              <w:bottom w:val="nil"/>
              <w:right w:val="nil"/>
            </w:tcBorders>
            <w:shd w:val="clear" w:color="auto" w:fill="auto"/>
            <w:vAlign w:val="center"/>
            <w:hideMark/>
          </w:tcPr>
          <w:p w14:paraId="5E54DFBA"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(0.111)</w:t>
            </w:r>
          </w:p>
        </w:tc>
        <w:tc>
          <w:tcPr>
            <w:tcW w:w="1046" w:type="dxa"/>
            <w:tcBorders>
              <w:top w:val="nil"/>
              <w:left w:val="nil"/>
              <w:bottom w:val="nil"/>
              <w:right w:val="nil"/>
            </w:tcBorders>
            <w:shd w:val="clear" w:color="auto" w:fill="auto"/>
            <w:vAlign w:val="center"/>
            <w:hideMark/>
          </w:tcPr>
          <w:p w14:paraId="7917D309"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0.454</w:t>
            </w:r>
          </w:p>
        </w:tc>
        <w:tc>
          <w:tcPr>
            <w:tcW w:w="965" w:type="dxa"/>
            <w:gridSpan w:val="2"/>
            <w:tcBorders>
              <w:top w:val="nil"/>
              <w:left w:val="nil"/>
              <w:bottom w:val="nil"/>
              <w:right w:val="nil"/>
            </w:tcBorders>
            <w:shd w:val="clear" w:color="auto" w:fill="auto"/>
            <w:vAlign w:val="center"/>
            <w:hideMark/>
          </w:tcPr>
          <w:p w14:paraId="2207F2C3"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(0.379)</w:t>
            </w:r>
          </w:p>
        </w:tc>
        <w:tc>
          <w:tcPr>
            <w:tcW w:w="1098" w:type="dxa"/>
            <w:tcBorders>
              <w:top w:val="nil"/>
              <w:left w:val="nil"/>
              <w:bottom w:val="nil"/>
              <w:right w:val="nil"/>
            </w:tcBorders>
            <w:shd w:val="clear" w:color="auto" w:fill="auto"/>
            <w:vAlign w:val="center"/>
            <w:hideMark/>
          </w:tcPr>
          <w:p w14:paraId="25F8EB4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0.158</w:t>
            </w:r>
          </w:p>
        </w:tc>
        <w:tc>
          <w:tcPr>
            <w:tcW w:w="960" w:type="dxa"/>
            <w:gridSpan w:val="2"/>
            <w:tcBorders>
              <w:top w:val="nil"/>
              <w:left w:val="nil"/>
              <w:bottom w:val="nil"/>
              <w:right w:val="nil"/>
            </w:tcBorders>
            <w:shd w:val="clear" w:color="auto" w:fill="auto"/>
            <w:vAlign w:val="center"/>
            <w:hideMark/>
          </w:tcPr>
          <w:p w14:paraId="59678EE3"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(0.113)</w:t>
            </w:r>
          </w:p>
        </w:tc>
      </w:tr>
      <w:tr w:rsidR="00244248" w:rsidRPr="00F9625D" w14:paraId="16E45AC0" w14:textId="77777777" w:rsidTr="00335B25">
        <w:trPr>
          <w:trHeight w:val="255"/>
        </w:trPr>
        <w:tc>
          <w:tcPr>
            <w:tcW w:w="3860" w:type="dxa"/>
            <w:tcBorders>
              <w:top w:val="nil"/>
              <w:left w:val="nil"/>
              <w:bottom w:val="nil"/>
              <w:right w:val="nil"/>
            </w:tcBorders>
            <w:shd w:val="clear" w:color="auto" w:fill="auto"/>
            <w:vAlign w:val="center"/>
            <w:hideMark/>
          </w:tcPr>
          <w:p w14:paraId="07B36BF6"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30-34</w:t>
            </w:r>
          </w:p>
        </w:tc>
        <w:tc>
          <w:tcPr>
            <w:tcW w:w="1102" w:type="dxa"/>
            <w:tcBorders>
              <w:top w:val="nil"/>
              <w:left w:val="nil"/>
              <w:bottom w:val="nil"/>
              <w:right w:val="nil"/>
            </w:tcBorders>
            <w:shd w:val="clear" w:color="auto" w:fill="auto"/>
            <w:vAlign w:val="center"/>
            <w:hideMark/>
          </w:tcPr>
          <w:p w14:paraId="09416D26"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0.244**</w:t>
            </w:r>
          </w:p>
        </w:tc>
        <w:tc>
          <w:tcPr>
            <w:tcW w:w="999" w:type="dxa"/>
            <w:tcBorders>
              <w:top w:val="nil"/>
              <w:left w:val="nil"/>
              <w:bottom w:val="nil"/>
              <w:right w:val="nil"/>
            </w:tcBorders>
            <w:shd w:val="clear" w:color="auto" w:fill="auto"/>
            <w:vAlign w:val="center"/>
            <w:hideMark/>
          </w:tcPr>
          <w:p w14:paraId="2E0507CC"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(0.106)</w:t>
            </w:r>
          </w:p>
        </w:tc>
        <w:tc>
          <w:tcPr>
            <w:tcW w:w="1134" w:type="dxa"/>
            <w:tcBorders>
              <w:top w:val="nil"/>
              <w:left w:val="nil"/>
              <w:bottom w:val="nil"/>
              <w:right w:val="nil"/>
            </w:tcBorders>
            <w:shd w:val="clear" w:color="auto" w:fill="auto"/>
            <w:vAlign w:val="center"/>
            <w:hideMark/>
          </w:tcPr>
          <w:p w14:paraId="1208F168"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1.347***</w:t>
            </w:r>
          </w:p>
        </w:tc>
        <w:tc>
          <w:tcPr>
            <w:tcW w:w="960" w:type="dxa"/>
            <w:gridSpan w:val="2"/>
            <w:tcBorders>
              <w:top w:val="nil"/>
              <w:left w:val="nil"/>
              <w:bottom w:val="nil"/>
              <w:right w:val="nil"/>
            </w:tcBorders>
            <w:shd w:val="clear" w:color="auto" w:fill="auto"/>
            <w:vAlign w:val="center"/>
            <w:hideMark/>
          </w:tcPr>
          <w:p w14:paraId="7C21E384"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(0.114)</w:t>
            </w:r>
          </w:p>
        </w:tc>
        <w:tc>
          <w:tcPr>
            <w:tcW w:w="1046" w:type="dxa"/>
            <w:tcBorders>
              <w:top w:val="nil"/>
              <w:left w:val="nil"/>
              <w:bottom w:val="nil"/>
              <w:right w:val="nil"/>
            </w:tcBorders>
            <w:shd w:val="clear" w:color="auto" w:fill="auto"/>
            <w:vAlign w:val="center"/>
            <w:hideMark/>
          </w:tcPr>
          <w:p w14:paraId="3B223CC2"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0.701*</w:t>
            </w:r>
          </w:p>
        </w:tc>
        <w:tc>
          <w:tcPr>
            <w:tcW w:w="965" w:type="dxa"/>
            <w:gridSpan w:val="2"/>
            <w:tcBorders>
              <w:top w:val="nil"/>
              <w:left w:val="nil"/>
              <w:bottom w:val="nil"/>
              <w:right w:val="nil"/>
            </w:tcBorders>
            <w:shd w:val="clear" w:color="auto" w:fill="auto"/>
            <w:vAlign w:val="center"/>
            <w:hideMark/>
          </w:tcPr>
          <w:p w14:paraId="2B81B76B"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(0.398)</w:t>
            </w:r>
          </w:p>
        </w:tc>
        <w:tc>
          <w:tcPr>
            <w:tcW w:w="1098" w:type="dxa"/>
            <w:tcBorders>
              <w:top w:val="nil"/>
              <w:left w:val="nil"/>
              <w:bottom w:val="nil"/>
              <w:right w:val="nil"/>
            </w:tcBorders>
            <w:shd w:val="clear" w:color="auto" w:fill="auto"/>
            <w:vAlign w:val="center"/>
            <w:hideMark/>
          </w:tcPr>
          <w:p w14:paraId="2A664EA7"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0.234</w:t>
            </w:r>
          </w:p>
        </w:tc>
        <w:tc>
          <w:tcPr>
            <w:tcW w:w="960" w:type="dxa"/>
            <w:gridSpan w:val="2"/>
            <w:tcBorders>
              <w:top w:val="nil"/>
              <w:left w:val="nil"/>
              <w:bottom w:val="nil"/>
              <w:right w:val="nil"/>
            </w:tcBorders>
            <w:shd w:val="clear" w:color="auto" w:fill="auto"/>
            <w:vAlign w:val="center"/>
            <w:hideMark/>
          </w:tcPr>
          <w:p w14:paraId="31E41AC9"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(0.106)</w:t>
            </w:r>
          </w:p>
        </w:tc>
      </w:tr>
      <w:tr w:rsidR="00244248" w:rsidRPr="00F9625D" w14:paraId="51213D0C" w14:textId="77777777" w:rsidTr="00335B25">
        <w:trPr>
          <w:trHeight w:val="255"/>
        </w:trPr>
        <w:tc>
          <w:tcPr>
            <w:tcW w:w="3860" w:type="dxa"/>
            <w:tcBorders>
              <w:top w:val="nil"/>
              <w:left w:val="nil"/>
              <w:bottom w:val="nil"/>
              <w:right w:val="nil"/>
            </w:tcBorders>
            <w:shd w:val="clear" w:color="auto" w:fill="auto"/>
            <w:vAlign w:val="center"/>
            <w:hideMark/>
          </w:tcPr>
          <w:p w14:paraId="517A4766"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35-39</w:t>
            </w:r>
          </w:p>
        </w:tc>
        <w:tc>
          <w:tcPr>
            <w:tcW w:w="1102" w:type="dxa"/>
            <w:tcBorders>
              <w:top w:val="nil"/>
              <w:left w:val="nil"/>
              <w:bottom w:val="nil"/>
              <w:right w:val="nil"/>
            </w:tcBorders>
            <w:shd w:val="clear" w:color="auto" w:fill="auto"/>
            <w:vAlign w:val="center"/>
            <w:hideMark/>
          </w:tcPr>
          <w:p w14:paraId="5B11F11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0.433**</w:t>
            </w:r>
          </w:p>
        </w:tc>
        <w:tc>
          <w:tcPr>
            <w:tcW w:w="999" w:type="dxa"/>
            <w:tcBorders>
              <w:top w:val="nil"/>
              <w:left w:val="nil"/>
              <w:bottom w:val="nil"/>
              <w:right w:val="nil"/>
            </w:tcBorders>
            <w:shd w:val="clear" w:color="auto" w:fill="auto"/>
            <w:vAlign w:val="center"/>
            <w:hideMark/>
          </w:tcPr>
          <w:p w14:paraId="5A5BD64D"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(0.172)</w:t>
            </w:r>
          </w:p>
        </w:tc>
        <w:tc>
          <w:tcPr>
            <w:tcW w:w="1134" w:type="dxa"/>
            <w:tcBorders>
              <w:top w:val="nil"/>
              <w:left w:val="nil"/>
              <w:bottom w:val="nil"/>
              <w:right w:val="nil"/>
            </w:tcBorders>
            <w:shd w:val="clear" w:color="auto" w:fill="auto"/>
            <w:vAlign w:val="center"/>
            <w:hideMark/>
          </w:tcPr>
          <w:p w14:paraId="10392FFA"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3.036***</w:t>
            </w:r>
          </w:p>
        </w:tc>
        <w:tc>
          <w:tcPr>
            <w:tcW w:w="960" w:type="dxa"/>
            <w:gridSpan w:val="2"/>
            <w:tcBorders>
              <w:top w:val="nil"/>
              <w:left w:val="nil"/>
              <w:bottom w:val="nil"/>
              <w:right w:val="nil"/>
            </w:tcBorders>
            <w:shd w:val="clear" w:color="auto" w:fill="auto"/>
            <w:vAlign w:val="center"/>
            <w:hideMark/>
          </w:tcPr>
          <w:p w14:paraId="7CF241CA"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(0.154)</w:t>
            </w:r>
          </w:p>
        </w:tc>
        <w:tc>
          <w:tcPr>
            <w:tcW w:w="1046" w:type="dxa"/>
            <w:tcBorders>
              <w:top w:val="nil"/>
              <w:left w:val="nil"/>
              <w:bottom w:val="nil"/>
              <w:right w:val="nil"/>
            </w:tcBorders>
            <w:shd w:val="clear" w:color="auto" w:fill="auto"/>
            <w:vAlign w:val="center"/>
            <w:hideMark/>
          </w:tcPr>
          <w:p w14:paraId="74D2D685"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0.416</w:t>
            </w:r>
          </w:p>
        </w:tc>
        <w:tc>
          <w:tcPr>
            <w:tcW w:w="965" w:type="dxa"/>
            <w:gridSpan w:val="2"/>
            <w:tcBorders>
              <w:top w:val="nil"/>
              <w:left w:val="nil"/>
              <w:bottom w:val="nil"/>
              <w:right w:val="nil"/>
            </w:tcBorders>
            <w:shd w:val="clear" w:color="auto" w:fill="auto"/>
            <w:vAlign w:val="center"/>
            <w:hideMark/>
          </w:tcPr>
          <w:p w14:paraId="577C9B22"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(0.585)</w:t>
            </w:r>
          </w:p>
        </w:tc>
        <w:tc>
          <w:tcPr>
            <w:tcW w:w="1098" w:type="dxa"/>
            <w:tcBorders>
              <w:top w:val="nil"/>
              <w:left w:val="nil"/>
              <w:bottom w:val="nil"/>
              <w:right w:val="nil"/>
            </w:tcBorders>
            <w:shd w:val="clear" w:color="auto" w:fill="auto"/>
            <w:vAlign w:val="center"/>
            <w:hideMark/>
          </w:tcPr>
          <w:p w14:paraId="62585A11"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0.559</w:t>
            </w:r>
          </w:p>
        </w:tc>
        <w:tc>
          <w:tcPr>
            <w:tcW w:w="960" w:type="dxa"/>
            <w:gridSpan w:val="2"/>
            <w:tcBorders>
              <w:top w:val="nil"/>
              <w:left w:val="nil"/>
              <w:bottom w:val="nil"/>
              <w:right w:val="nil"/>
            </w:tcBorders>
            <w:shd w:val="clear" w:color="auto" w:fill="auto"/>
            <w:vAlign w:val="center"/>
            <w:hideMark/>
          </w:tcPr>
          <w:p w14:paraId="72841B89"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(0.172)</w:t>
            </w:r>
          </w:p>
        </w:tc>
      </w:tr>
      <w:tr w:rsidR="00244248" w:rsidRPr="00F9625D" w14:paraId="1FA0FBD4" w14:textId="77777777" w:rsidTr="00335B25">
        <w:trPr>
          <w:trHeight w:val="255"/>
        </w:trPr>
        <w:tc>
          <w:tcPr>
            <w:tcW w:w="3860" w:type="dxa"/>
            <w:tcBorders>
              <w:top w:val="nil"/>
              <w:left w:val="nil"/>
              <w:bottom w:val="nil"/>
              <w:right w:val="nil"/>
            </w:tcBorders>
            <w:shd w:val="clear" w:color="auto" w:fill="auto"/>
            <w:vAlign w:val="center"/>
            <w:hideMark/>
          </w:tcPr>
          <w:p w14:paraId="032FCCF4"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40-44</w:t>
            </w:r>
          </w:p>
        </w:tc>
        <w:tc>
          <w:tcPr>
            <w:tcW w:w="1102" w:type="dxa"/>
            <w:tcBorders>
              <w:top w:val="nil"/>
              <w:left w:val="nil"/>
              <w:bottom w:val="nil"/>
              <w:right w:val="nil"/>
            </w:tcBorders>
            <w:shd w:val="clear" w:color="auto" w:fill="auto"/>
            <w:vAlign w:val="center"/>
            <w:hideMark/>
          </w:tcPr>
          <w:p w14:paraId="5BD66D14"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1.049***</w:t>
            </w:r>
          </w:p>
        </w:tc>
        <w:tc>
          <w:tcPr>
            <w:tcW w:w="999" w:type="dxa"/>
            <w:tcBorders>
              <w:top w:val="nil"/>
              <w:left w:val="nil"/>
              <w:bottom w:val="nil"/>
              <w:right w:val="nil"/>
            </w:tcBorders>
            <w:shd w:val="clear" w:color="auto" w:fill="auto"/>
            <w:vAlign w:val="center"/>
            <w:hideMark/>
          </w:tcPr>
          <w:p w14:paraId="4C237A33"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(0.260)</w:t>
            </w:r>
          </w:p>
        </w:tc>
        <w:tc>
          <w:tcPr>
            <w:tcW w:w="1134" w:type="dxa"/>
            <w:tcBorders>
              <w:top w:val="nil"/>
              <w:left w:val="nil"/>
              <w:bottom w:val="nil"/>
              <w:right w:val="nil"/>
            </w:tcBorders>
            <w:shd w:val="clear" w:color="auto" w:fill="auto"/>
            <w:vAlign w:val="center"/>
            <w:hideMark/>
          </w:tcPr>
          <w:p w14:paraId="0813D085"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4.713***</w:t>
            </w:r>
          </w:p>
        </w:tc>
        <w:tc>
          <w:tcPr>
            <w:tcW w:w="960" w:type="dxa"/>
            <w:gridSpan w:val="2"/>
            <w:tcBorders>
              <w:top w:val="nil"/>
              <w:left w:val="nil"/>
              <w:bottom w:val="nil"/>
              <w:right w:val="nil"/>
            </w:tcBorders>
            <w:shd w:val="clear" w:color="auto" w:fill="auto"/>
            <w:vAlign w:val="center"/>
            <w:hideMark/>
          </w:tcPr>
          <w:p w14:paraId="7B33378F"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(0.219)</w:t>
            </w:r>
          </w:p>
        </w:tc>
        <w:tc>
          <w:tcPr>
            <w:tcW w:w="1046" w:type="dxa"/>
            <w:tcBorders>
              <w:top w:val="nil"/>
              <w:left w:val="nil"/>
              <w:bottom w:val="nil"/>
              <w:right w:val="nil"/>
            </w:tcBorders>
            <w:shd w:val="clear" w:color="auto" w:fill="auto"/>
            <w:vAlign w:val="center"/>
            <w:hideMark/>
          </w:tcPr>
          <w:p w14:paraId="76E76075"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0.833</w:t>
            </w:r>
          </w:p>
        </w:tc>
        <w:tc>
          <w:tcPr>
            <w:tcW w:w="965" w:type="dxa"/>
            <w:gridSpan w:val="2"/>
            <w:tcBorders>
              <w:top w:val="nil"/>
              <w:left w:val="nil"/>
              <w:bottom w:val="nil"/>
              <w:right w:val="nil"/>
            </w:tcBorders>
            <w:shd w:val="clear" w:color="auto" w:fill="auto"/>
            <w:vAlign w:val="center"/>
            <w:hideMark/>
          </w:tcPr>
          <w:p w14:paraId="256C5DEB"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(0.802)</w:t>
            </w:r>
          </w:p>
        </w:tc>
        <w:tc>
          <w:tcPr>
            <w:tcW w:w="1098" w:type="dxa"/>
            <w:tcBorders>
              <w:top w:val="nil"/>
              <w:left w:val="nil"/>
              <w:bottom w:val="nil"/>
              <w:right w:val="nil"/>
            </w:tcBorders>
            <w:shd w:val="clear" w:color="auto" w:fill="auto"/>
            <w:vAlign w:val="center"/>
            <w:hideMark/>
          </w:tcPr>
          <w:p w14:paraId="495BCC20"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1.964*</w:t>
            </w:r>
          </w:p>
        </w:tc>
        <w:tc>
          <w:tcPr>
            <w:tcW w:w="960" w:type="dxa"/>
            <w:gridSpan w:val="2"/>
            <w:tcBorders>
              <w:top w:val="nil"/>
              <w:left w:val="nil"/>
              <w:bottom w:val="nil"/>
              <w:right w:val="nil"/>
            </w:tcBorders>
            <w:shd w:val="clear" w:color="auto" w:fill="auto"/>
            <w:vAlign w:val="center"/>
            <w:hideMark/>
          </w:tcPr>
          <w:p w14:paraId="61B2B39A"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(0.260)</w:t>
            </w:r>
          </w:p>
        </w:tc>
      </w:tr>
      <w:tr w:rsidR="00244248" w:rsidRPr="00F9625D" w14:paraId="5AE5AF25" w14:textId="77777777" w:rsidTr="00335B25">
        <w:trPr>
          <w:trHeight w:val="255"/>
        </w:trPr>
        <w:tc>
          <w:tcPr>
            <w:tcW w:w="3860" w:type="dxa"/>
            <w:tcBorders>
              <w:top w:val="nil"/>
              <w:left w:val="nil"/>
              <w:bottom w:val="single" w:sz="4" w:space="0" w:color="ED7D31"/>
              <w:right w:val="nil"/>
            </w:tcBorders>
            <w:shd w:val="clear" w:color="auto" w:fill="auto"/>
            <w:vAlign w:val="center"/>
            <w:hideMark/>
          </w:tcPr>
          <w:p w14:paraId="7DE9C888"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45-49</w:t>
            </w:r>
          </w:p>
        </w:tc>
        <w:tc>
          <w:tcPr>
            <w:tcW w:w="1102" w:type="dxa"/>
            <w:tcBorders>
              <w:top w:val="nil"/>
              <w:left w:val="nil"/>
              <w:bottom w:val="single" w:sz="8" w:space="0" w:color="ED7D31"/>
              <w:right w:val="nil"/>
            </w:tcBorders>
            <w:shd w:val="clear" w:color="auto" w:fill="auto"/>
            <w:vAlign w:val="center"/>
            <w:hideMark/>
          </w:tcPr>
          <w:p w14:paraId="0CBF056B"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1.418***</w:t>
            </w:r>
          </w:p>
        </w:tc>
        <w:tc>
          <w:tcPr>
            <w:tcW w:w="999" w:type="dxa"/>
            <w:tcBorders>
              <w:top w:val="nil"/>
              <w:left w:val="nil"/>
              <w:bottom w:val="single" w:sz="8" w:space="0" w:color="ED7D31"/>
              <w:right w:val="nil"/>
            </w:tcBorders>
            <w:shd w:val="clear" w:color="auto" w:fill="auto"/>
            <w:vAlign w:val="center"/>
            <w:hideMark/>
          </w:tcPr>
          <w:p w14:paraId="173F7EAA"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(0.430)</w:t>
            </w:r>
          </w:p>
        </w:tc>
        <w:tc>
          <w:tcPr>
            <w:tcW w:w="1134" w:type="dxa"/>
            <w:tcBorders>
              <w:top w:val="nil"/>
              <w:left w:val="nil"/>
              <w:bottom w:val="single" w:sz="8" w:space="0" w:color="ED7D31"/>
              <w:right w:val="nil"/>
            </w:tcBorders>
            <w:shd w:val="clear" w:color="auto" w:fill="auto"/>
            <w:vAlign w:val="center"/>
            <w:hideMark/>
          </w:tcPr>
          <w:p w14:paraId="79EAFA59"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5.927***</w:t>
            </w:r>
          </w:p>
        </w:tc>
        <w:tc>
          <w:tcPr>
            <w:tcW w:w="960" w:type="dxa"/>
            <w:gridSpan w:val="2"/>
            <w:tcBorders>
              <w:top w:val="nil"/>
              <w:left w:val="nil"/>
              <w:bottom w:val="single" w:sz="8" w:space="0" w:color="ED7D31"/>
              <w:right w:val="nil"/>
            </w:tcBorders>
            <w:shd w:val="clear" w:color="auto" w:fill="auto"/>
            <w:vAlign w:val="center"/>
            <w:hideMark/>
          </w:tcPr>
          <w:p w14:paraId="46932A2F"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(0.451)</w:t>
            </w:r>
          </w:p>
        </w:tc>
        <w:tc>
          <w:tcPr>
            <w:tcW w:w="1046" w:type="dxa"/>
            <w:tcBorders>
              <w:top w:val="nil"/>
              <w:left w:val="nil"/>
              <w:bottom w:val="single" w:sz="8" w:space="0" w:color="ED7D31"/>
              <w:right w:val="nil"/>
            </w:tcBorders>
            <w:shd w:val="clear" w:color="auto" w:fill="auto"/>
            <w:vAlign w:val="center"/>
            <w:hideMark/>
          </w:tcPr>
          <w:p w14:paraId="16C61EA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1.527</w:t>
            </w:r>
          </w:p>
        </w:tc>
        <w:tc>
          <w:tcPr>
            <w:tcW w:w="965" w:type="dxa"/>
            <w:gridSpan w:val="2"/>
            <w:tcBorders>
              <w:top w:val="nil"/>
              <w:left w:val="nil"/>
              <w:bottom w:val="single" w:sz="8" w:space="0" w:color="ED7D31"/>
              <w:right w:val="nil"/>
            </w:tcBorders>
            <w:shd w:val="clear" w:color="auto" w:fill="auto"/>
            <w:vAlign w:val="center"/>
            <w:hideMark/>
          </w:tcPr>
          <w:p w14:paraId="49937EE8"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(1.233)</w:t>
            </w:r>
          </w:p>
        </w:tc>
        <w:tc>
          <w:tcPr>
            <w:tcW w:w="1098" w:type="dxa"/>
            <w:tcBorders>
              <w:top w:val="nil"/>
              <w:left w:val="nil"/>
              <w:bottom w:val="single" w:sz="8" w:space="0" w:color="ED7D31"/>
              <w:right w:val="nil"/>
            </w:tcBorders>
            <w:shd w:val="clear" w:color="auto" w:fill="auto"/>
            <w:vAlign w:val="center"/>
            <w:hideMark/>
          </w:tcPr>
          <w:p w14:paraId="3A785CA1"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16.396</w:t>
            </w:r>
          </w:p>
        </w:tc>
        <w:tc>
          <w:tcPr>
            <w:tcW w:w="960" w:type="dxa"/>
            <w:gridSpan w:val="2"/>
            <w:tcBorders>
              <w:top w:val="nil"/>
              <w:left w:val="nil"/>
              <w:bottom w:val="single" w:sz="8" w:space="0" w:color="ED7D31"/>
              <w:right w:val="nil"/>
            </w:tcBorders>
            <w:shd w:val="clear" w:color="auto" w:fill="auto"/>
            <w:vAlign w:val="center"/>
            <w:hideMark/>
          </w:tcPr>
          <w:p w14:paraId="368657DE"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(0.430)</w:t>
            </w:r>
          </w:p>
        </w:tc>
      </w:tr>
      <w:tr w:rsidR="00244248" w:rsidRPr="00F9625D" w14:paraId="778D622A" w14:textId="77777777" w:rsidTr="00335B25">
        <w:trPr>
          <w:trHeight w:val="255"/>
        </w:trPr>
        <w:tc>
          <w:tcPr>
            <w:tcW w:w="3860" w:type="dxa"/>
            <w:tcBorders>
              <w:top w:val="nil"/>
              <w:left w:val="nil"/>
              <w:bottom w:val="nil"/>
              <w:right w:val="nil"/>
            </w:tcBorders>
            <w:shd w:val="clear" w:color="auto" w:fill="auto"/>
            <w:vAlign w:val="center"/>
            <w:hideMark/>
          </w:tcPr>
          <w:p w14:paraId="387D13EE"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r w:rsidRPr="00F9625D">
              <w:rPr>
                <w:rFonts w:ascii="Calibri Light" w:eastAsia="Times New Roman" w:hAnsi="Calibri Light" w:cs="Calibri Light"/>
                <w:b/>
                <w:bCs/>
                <w:color w:val="000000"/>
                <w:sz w:val="20"/>
                <w:szCs w:val="20"/>
                <w:lang w:eastAsia="en-AU"/>
              </w:rPr>
              <w:t xml:space="preserve">Education level </w:t>
            </w:r>
            <w:r w:rsidRPr="00F9625D">
              <w:rPr>
                <w:rFonts w:ascii="Calibri Light" w:eastAsia="Times New Roman" w:hAnsi="Calibri Light" w:cs="Calibri Light"/>
                <w:color w:val="000000"/>
                <w:sz w:val="20"/>
                <w:szCs w:val="20"/>
                <w:lang w:eastAsia="en-AU"/>
              </w:rPr>
              <w:t>(ref: Year 11 or below)</w:t>
            </w:r>
          </w:p>
        </w:tc>
        <w:tc>
          <w:tcPr>
            <w:tcW w:w="1102" w:type="dxa"/>
            <w:tcBorders>
              <w:top w:val="nil"/>
              <w:left w:val="nil"/>
              <w:bottom w:val="nil"/>
              <w:right w:val="nil"/>
            </w:tcBorders>
            <w:shd w:val="clear" w:color="auto" w:fill="auto"/>
            <w:vAlign w:val="center"/>
            <w:hideMark/>
          </w:tcPr>
          <w:p w14:paraId="3172641C"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999" w:type="dxa"/>
            <w:tcBorders>
              <w:top w:val="nil"/>
              <w:left w:val="nil"/>
              <w:bottom w:val="nil"/>
              <w:right w:val="nil"/>
            </w:tcBorders>
            <w:shd w:val="clear" w:color="auto" w:fill="auto"/>
            <w:vAlign w:val="center"/>
            <w:hideMark/>
          </w:tcPr>
          <w:p w14:paraId="0C774710"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56EDEFD3"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011668A5"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46" w:type="dxa"/>
            <w:tcBorders>
              <w:top w:val="nil"/>
              <w:left w:val="nil"/>
              <w:bottom w:val="nil"/>
              <w:right w:val="nil"/>
            </w:tcBorders>
            <w:shd w:val="clear" w:color="auto" w:fill="auto"/>
            <w:vAlign w:val="center"/>
            <w:hideMark/>
          </w:tcPr>
          <w:p w14:paraId="53B92023"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5" w:type="dxa"/>
            <w:gridSpan w:val="2"/>
            <w:tcBorders>
              <w:top w:val="nil"/>
              <w:left w:val="nil"/>
              <w:bottom w:val="nil"/>
              <w:right w:val="nil"/>
            </w:tcBorders>
            <w:shd w:val="clear" w:color="auto" w:fill="auto"/>
            <w:vAlign w:val="center"/>
            <w:hideMark/>
          </w:tcPr>
          <w:p w14:paraId="0012C047"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98" w:type="dxa"/>
            <w:tcBorders>
              <w:top w:val="nil"/>
              <w:left w:val="nil"/>
              <w:bottom w:val="nil"/>
              <w:right w:val="nil"/>
            </w:tcBorders>
            <w:shd w:val="clear" w:color="auto" w:fill="auto"/>
            <w:vAlign w:val="center"/>
            <w:hideMark/>
          </w:tcPr>
          <w:p w14:paraId="6A670F66"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0EC6B152"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r>
      <w:tr w:rsidR="00244248" w:rsidRPr="00F9625D" w14:paraId="28CE1B7C" w14:textId="77777777" w:rsidTr="00335B25">
        <w:trPr>
          <w:trHeight w:val="255"/>
        </w:trPr>
        <w:tc>
          <w:tcPr>
            <w:tcW w:w="3860" w:type="dxa"/>
            <w:tcBorders>
              <w:top w:val="nil"/>
              <w:left w:val="nil"/>
              <w:bottom w:val="nil"/>
              <w:right w:val="nil"/>
            </w:tcBorders>
            <w:shd w:val="clear" w:color="auto" w:fill="auto"/>
            <w:vAlign w:val="center"/>
            <w:hideMark/>
          </w:tcPr>
          <w:p w14:paraId="05FBDB20"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Bachelor Degree or higher</w:t>
            </w:r>
          </w:p>
        </w:tc>
        <w:tc>
          <w:tcPr>
            <w:tcW w:w="1102" w:type="dxa"/>
            <w:tcBorders>
              <w:top w:val="nil"/>
              <w:left w:val="nil"/>
              <w:bottom w:val="nil"/>
              <w:right w:val="nil"/>
            </w:tcBorders>
            <w:shd w:val="clear" w:color="auto" w:fill="auto"/>
            <w:vAlign w:val="center"/>
            <w:hideMark/>
          </w:tcPr>
          <w:p w14:paraId="2A120376"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-0.122</w:t>
            </w:r>
          </w:p>
        </w:tc>
        <w:tc>
          <w:tcPr>
            <w:tcW w:w="999" w:type="dxa"/>
            <w:tcBorders>
              <w:top w:val="nil"/>
              <w:left w:val="nil"/>
              <w:bottom w:val="nil"/>
              <w:right w:val="nil"/>
            </w:tcBorders>
            <w:shd w:val="clear" w:color="auto" w:fill="auto"/>
            <w:vAlign w:val="center"/>
            <w:hideMark/>
          </w:tcPr>
          <w:p w14:paraId="101B9F7C"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(0.261)</w:t>
            </w:r>
          </w:p>
        </w:tc>
        <w:tc>
          <w:tcPr>
            <w:tcW w:w="1134" w:type="dxa"/>
            <w:tcBorders>
              <w:top w:val="nil"/>
              <w:left w:val="nil"/>
              <w:bottom w:val="nil"/>
              <w:right w:val="nil"/>
            </w:tcBorders>
            <w:shd w:val="clear" w:color="auto" w:fill="auto"/>
            <w:vAlign w:val="center"/>
            <w:hideMark/>
          </w:tcPr>
          <w:p w14:paraId="0EC214D1"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-0.890***</w:t>
            </w:r>
          </w:p>
        </w:tc>
        <w:tc>
          <w:tcPr>
            <w:tcW w:w="960" w:type="dxa"/>
            <w:gridSpan w:val="2"/>
            <w:tcBorders>
              <w:top w:val="nil"/>
              <w:left w:val="nil"/>
              <w:bottom w:val="nil"/>
              <w:right w:val="nil"/>
            </w:tcBorders>
            <w:shd w:val="clear" w:color="auto" w:fill="auto"/>
            <w:vAlign w:val="center"/>
            <w:hideMark/>
          </w:tcPr>
          <w:p w14:paraId="46A55551"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(0.171)</w:t>
            </w:r>
          </w:p>
        </w:tc>
        <w:tc>
          <w:tcPr>
            <w:tcW w:w="1046" w:type="dxa"/>
            <w:tcBorders>
              <w:top w:val="nil"/>
              <w:left w:val="nil"/>
              <w:bottom w:val="nil"/>
              <w:right w:val="nil"/>
            </w:tcBorders>
            <w:shd w:val="clear" w:color="auto" w:fill="auto"/>
            <w:vAlign w:val="center"/>
            <w:hideMark/>
          </w:tcPr>
          <w:p w14:paraId="4FC6D187"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0.926</w:t>
            </w:r>
          </w:p>
        </w:tc>
        <w:tc>
          <w:tcPr>
            <w:tcW w:w="965" w:type="dxa"/>
            <w:gridSpan w:val="2"/>
            <w:tcBorders>
              <w:top w:val="nil"/>
              <w:left w:val="nil"/>
              <w:bottom w:val="nil"/>
              <w:right w:val="nil"/>
            </w:tcBorders>
            <w:shd w:val="clear" w:color="auto" w:fill="auto"/>
            <w:vAlign w:val="center"/>
            <w:hideMark/>
          </w:tcPr>
          <w:p w14:paraId="1960FE5D"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(1.166)</w:t>
            </w:r>
          </w:p>
        </w:tc>
        <w:tc>
          <w:tcPr>
            <w:tcW w:w="1098" w:type="dxa"/>
            <w:tcBorders>
              <w:top w:val="nil"/>
              <w:left w:val="nil"/>
              <w:bottom w:val="nil"/>
              <w:right w:val="nil"/>
            </w:tcBorders>
            <w:shd w:val="clear" w:color="auto" w:fill="auto"/>
            <w:vAlign w:val="center"/>
            <w:hideMark/>
          </w:tcPr>
          <w:p w14:paraId="390AF2DA"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-2.536</w:t>
            </w:r>
          </w:p>
        </w:tc>
        <w:tc>
          <w:tcPr>
            <w:tcW w:w="960" w:type="dxa"/>
            <w:gridSpan w:val="2"/>
            <w:tcBorders>
              <w:top w:val="nil"/>
              <w:left w:val="nil"/>
              <w:bottom w:val="nil"/>
              <w:right w:val="nil"/>
            </w:tcBorders>
            <w:shd w:val="clear" w:color="auto" w:fill="auto"/>
            <w:vAlign w:val="center"/>
            <w:hideMark/>
          </w:tcPr>
          <w:p w14:paraId="74137075"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(0.261)</w:t>
            </w:r>
          </w:p>
        </w:tc>
      </w:tr>
      <w:tr w:rsidR="00244248" w:rsidRPr="00F9625D" w14:paraId="4E3B5075" w14:textId="77777777" w:rsidTr="00335B25">
        <w:trPr>
          <w:trHeight w:val="255"/>
        </w:trPr>
        <w:tc>
          <w:tcPr>
            <w:tcW w:w="3860" w:type="dxa"/>
            <w:tcBorders>
              <w:top w:val="nil"/>
              <w:left w:val="nil"/>
              <w:bottom w:val="nil"/>
              <w:right w:val="nil"/>
            </w:tcBorders>
            <w:shd w:val="clear" w:color="auto" w:fill="auto"/>
            <w:vAlign w:val="center"/>
            <w:hideMark/>
          </w:tcPr>
          <w:p w14:paraId="06013BF1"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Diploma/ Cert III/IV</w:t>
            </w:r>
          </w:p>
        </w:tc>
        <w:tc>
          <w:tcPr>
            <w:tcW w:w="1102" w:type="dxa"/>
            <w:tcBorders>
              <w:top w:val="nil"/>
              <w:left w:val="nil"/>
              <w:bottom w:val="nil"/>
              <w:right w:val="nil"/>
            </w:tcBorders>
            <w:shd w:val="clear" w:color="auto" w:fill="auto"/>
            <w:vAlign w:val="center"/>
            <w:hideMark/>
          </w:tcPr>
          <w:p w14:paraId="7865427F"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-0.587***</w:t>
            </w:r>
          </w:p>
        </w:tc>
        <w:tc>
          <w:tcPr>
            <w:tcW w:w="999" w:type="dxa"/>
            <w:tcBorders>
              <w:top w:val="nil"/>
              <w:left w:val="nil"/>
              <w:bottom w:val="nil"/>
              <w:right w:val="nil"/>
            </w:tcBorders>
            <w:shd w:val="clear" w:color="auto" w:fill="auto"/>
            <w:vAlign w:val="center"/>
            <w:hideMark/>
          </w:tcPr>
          <w:p w14:paraId="5FB4F9F2"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(0.195)</w:t>
            </w:r>
          </w:p>
        </w:tc>
        <w:tc>
          <w:tcPr>
            <w:tcW w:w="1134" w:type="dxa"/>
            <w:tcBorders>
              <w:top w:val="nil"/>
              <w:left w:val="nil"/>
              <w:bottom w:val="nil"/>
              <w:right w:val="nil"/>
            </w:tcBorders>
            <w:shd w:val="clear" w:color="auto" w:fill="auto"/>
            <w:vAlign w:val="center"/>
            <w:hideMark/>
          </w:tcPr>
          <w:p w14:paraId="3CE5A3D6"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-0.645***</w:t>
            </w:r>
          </w:p>
        </w:tc>
        <w:tc>
          <w:tcPr>
            <w:tcW w:w="960" w:type="dxa"/>
            <w:gridSpan w:val="2"/>
            <w:tcBorders>
              <w:top w:val="nil"/>
              <w:left w:val="nil"/>
              <w:bottom w:val="nil"/>
              <w:right w:val="nil"/>
            </w:tcBorders>
            <w:shd w:val="clear" w:color="auto" w:fill="auto"/>
            <w:vAlign w:val="center"/>
            <w:hideMark/>
          </w:tcPr>
          <w:p w14:paraId="50CB2A4C"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(0.166)</w:t>
            </w:r>
          </w:p>
        </w:tc>
        <w:tc>
          <w:tcPr>
            <w:tcW w:w="1046" w:type="dxa"/>
            <w:tcBorders>
              <w:top w:val="nil"/>
              <w:left w:val="nil"/>
              <w:bottom w:val="nil"/>
              <w:right w:val="nil"/>
            </w:tcBorders>
            <w:shd w:val="clear" w:color="auto" w:fill="auto"/>
            <w:vAlign w:val="center"/>
            <w:hideMark/>
          </w:tcPr>
          <w:p w14:paraId="1D22927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1.009</w:t>
            </w:r>
          </w:p>
        </w:tc>
        <w:tc>
          <w:tcPr>
            <w:tcW w:w="965" w:type="dxa"/>
            <w:gridSpan w:val="2"/>
            <w:tcBorders>
              <w:top w:val="nil"/>
              <w:left w:val="nil"/>
              <w:bottom w:val="nil"/>
              <w:right w:val="nil"/>
            </w:tcBorders>
            <w:shd w:val="clear" w:color="auto" w:fill="auto"/>
            <w:vAlign w:val="center"/>
            <w:hideMark/>
          </w:tcPr>
          <w:p w14:paraId="525A4F9A"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(0.821)</w:t>
            </w:r>
          </w:p>
        </w:tc>
        <w:tc>
          <w:tcPr>
            <w:tcW w:w="1098" w:type="dxa"/>
            <w:tcBorders>
              <w:top w:val="nil"/>
              <w:left w:val="nil"/>
              <w:bottom w:val="nil"/>
              <w:right w:val="nil"/>
            </w:tcBorders>
            <w:shd w:val="clear" w:color="auto" w:fill="auto"/>
            <w:vAlign w:val="center"/>
            <w:hideMark/>
          </w:tcPr>
          <w:p w14:paraId="6DAC9565"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-2.383*</w:t>
            </w:r>
          </w:p>
        </w:tc>
        <w:tc>
          <w:tcPr>
            <w:tcW w:w="960" w:type="dxa"/>
            <w:gridSpan w:val="2"/>
            <w:tcBorders>
              <w:top w:val="nil"/>
              <w:left w:val="nil"/>
              <w:bottom w:val="nil"/>
              <w:right w:val="nil"/>
            </w:tcBorders>
            <w:shd w:val="clear" w:color="auto" w:fill="auto"/>
            <w:vAlign w:val="center"/>
            <w:hideMark/>
          </w:tcPr>
          <w:p w14:paraId="10EC245A"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(0.195)</w:t>
            </w:r>
          </w:p>
        </w:tc>
      </w:tr>
      <w:tr w:rsidR="00244248" w:rsidRPr="00F9625D" w14:paraId="3FAD09E4" w14:textId="77777777" w:rsidTr="00335B25">
        <w:trPr>
          <w:trHeight w:val="255"/>
        </w:trPr>
        <w:tc>
          <w:tcPr>
            <w:tcW w:w="3860" w:type="dxa"/>
            <w:tcBorders>
              <w:top w:val="nil"/>
              <w:left w:val="nil"/>
              <w:bottom w:val="single" w:sz="4" w:space="0" w:color="ED7D31"/>
              <w:right w:val="nil"/>
            </w:tcBorders>
            <w:shd w:val="clear" w:color="auto" w:fill="auto"/>
            <w:vAlign w:val="center"/>
            <w:hideMark/>
          </w:tcPr>
          <w:p w14:paraId="548A8872"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Year 12</w:t>
            </w:r>
          </w:p>
        </w:tc>
        <w:tc>
          <w:tcPr>
            <w:tcW w:w="1102" w:type="dxa"/>
            <w:tcBorders>
              <w:top w:val="nil"/>
              <w:left w:val="nil"/>
              <w:bottom w:val="single" w:sz="8" w:space="0" w:color="ED7D31"/>
              <w:right w:val="nil"/>
            </w:tcBorders>
            <w:shd w:val="clear" w:color="auto" w:fill="auto"/>
            <w:vAlign w:val="center"/>
            <w:hideMark/>
          </w:tcPr>
          <w:p w14:paraId="61A1657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-0.219</w:t>
            </w:r>
          </w:p>
        </w:tc>
        <w:tc>
          <w:tcPr>
            <w:tcW w:w="999" w:type="dxa"/>
            <w:tcBorders>
              <w:top w:val="nil"/>
              <w:left w:val="nil"/>
              <w:bottom w:val="single" w:sz="8" w:space="0" w:color="ED7D31"/>
              <w:right w:val="nil"/>
            </w:tcBorders>
            <w:shd w:val="clear" w:color="auto" w:fill="auto"/>
            <w:vAlign w:val="center"/>
            <w:hideMark/>
          </w:tcPr>
          <w:p w14:paraId="07BF51B8"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(0.222)</w:t>
            </w:r>
          </w:p>
        </w:tc>
        <w:tc>
          <w:tcPr>
            <w:tcW w:w="1134" w:type="dxa"/>
            <w:tcBorders>
              <w:top w:val="nil"/>
              <w:left w:val="nil"/>
              <w:bottom w:val="single" w:sz="8" w:space="0" w:color="ED7D31"/>
              <w:right w:val="nil"/>
            </w:tcBorders>
            <w:shd w:val="clear" w:color="auto" w:fill="auto"/>
            <w:vAlign w:val="center"/>
            <w:hideMark/>
          </w:tcPr>
          <w:p w14:paraId="51AEA322"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-0.719***</w:t>
            </w:r>
          </w:p>
        </w:tc>
        <w:tc>
          <w:tcPr>
            <w:tcW w:w="960" w:type="dxa"/>
            <w:gridSpan w:val="2"/>
            <w:tcBorders>
              <w:top w:val="nil"/>
              <w:left w:val="nil"/>
              <w:bottom w:val="single" w:sz="8" w:space="0" w:color="ED7D31"/>
              <w:right w:val="nil"/>
            </w:tcBorders>
            <w:shd w:val="clear" w:color="auto" w:fill="auto"/>
            <w:vAlign w:val="center"/>
            <w:hideMark/>
          </w:tcPr>
          <w:p w14:paraId="33B53E65"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(0.160)</w:t>
            </w:r>
          </w:p>
        </w:tc>
        <w:tc>
          <w:tcPr>
            <w:tcW w:w="1046" w:type="dxa"/>
            <w:tcBorders>
              <w:top w:val="nil"/>
              <w:left w:val="nil"/>
              <w:bottom w:val="single" w:sz="8" w:space="0" w:color="ED7D31"/>
              <w:right w:val="nil"/>
            </w:tcBorders>
            <w:shd w:val="clear" w:color="auto" w:fill="auto"/>
            <w:vAlign w:val="center"/>
            <w:hideMark/>
          </w:tcPr>
          <w:p w14:paraId="4B2789DF"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1.484</w:t>
            </w:r>
          </w:p>
        </w:tc>
        <w:tc>
          <w:tcPr>
            <w:tcW w:w="965" w:type="dxa"/>
            <w:gridSpan w:val="2"/>
            <w:tcBorders>
              <w:top w:val="nil"/>
              <w:left w:val="nil"/>
              <w:bottom w:val="single" w:sz="8" w:space="0" w:color="ED7D31"/>
              <w:right w:val="nil"/>
            </w:tcBorders>
            <w:shd w:val="clear" w:color="auto" w:fill="auto"/>
            <w:vAlign w:val="center"/>
            <w:hideMark/>
          </w:tcPr>
          <w:p w14:paraId="46E12067"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(0.939)</w:t>
            </w:r>
          </w:p>
        </w:tc>
        <w:tc>
          <w:tcPr>
            <w:tcW w:w="1098" w:type="dxa"/>
            <w:tcBorders>
              <w:top w:val="nil"/>
              <w:left w:val="nil"/>
              <w:bottom w:val="single" w:sz="8" w:space="0" w:color="ED7D31"/>
              <w:right w:val="nil"/>
            </w:tcBorders>
            <w:shd w:val="clear" w:color="auto" w:fill="auto"/>
            <w:vAlign w:val="center"/>
            <w:hideMark/>
          </w:tcPr>
          <w:p w14:paraId="45A4FAF1"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-18.836</w:t>
            </w:r>
          </w:p>
        </w:tc>
        <w:tc>
          <w:tcPr>
            <w:tcW w:w="960" w:type="dxa"/>
            <w:gridSpan w:val="2"/>
            <w:tcBorders>
              <w:top w:val="nil"/>
              <w:left w:val="nil"/>
              <w:bottom w:val="single" w:sz="8" w:space="0" w:color="ED7D31"/>
              <w:right w:val="nil"/>
            </w:tcBorders>
            <w:shd w:val="clear" w:color="auto" w:fill="auto"/>
            <w:vAlign w:val="center"/>
            <w:hideMark/>
          </w:tcPr>
          <w:p w14:paraId="653BBC20"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(0.222)</w:t>
            </w:r>
          </w:p>
        </w:tc>
      </w:tr>
      <w:tr w:rsidR="00244248" w:rsidRPr="00F9625D" w14:paraId="0D5C51A2" w14:textId="77777777" w:rsidTr="00335B25">
        <w:trPr>
          <w:trHeight w:val="255"/>
        </w:trPr>
        <w:tc>
          <w:tcPr>
            <w:tcW w:w="3860" w:type="dxa"/>
            <w:tcBorders>
              <w:top w:val="nil"/>
              <w:left w:val="nil"/>
              <w:bottom w:val="nil"/>
              <w:right w:val="nil"/>
            </w:tcBorders>
            <w:shd w:val="clear" w:color="auto" w:fill="auto"/>
            <w:vAlign w:val="center"/>
            <w:hideMark/>
          </w:tcPr>
          <w:p w14:paraId="6C6149BD"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r w:rsidRPr="00F9625D">
              <w:rPr>
                <w:rFonts w:ascii="Calibri Light" w:eastAsia="Times New Roman" w:hAnsi="Calibri Light" w:cs="Calibri Light"/>
                <w:b/>
                <w:bCs/>
                <w:color w:val="000000"/>
                <w:sz w:val="20"/>
                <w:szCs w:val="20"/>
                <w:lang w:eastAsia="en-AU"/>
              </w:rPr>
              <w:t xml:space="preserve">Relationship status </w:t>
            </w:r>
            <w:r w:rsidRPr="00F9625D">
              <w:rPr>
                <w:rFonts w:ascii="Calibri Light" w:eastAsia="Times New Roman" w:hAnsi="Calibri Light" w:cs="Calibri Light"/>
                <w:color w:val="000000"/>
                <w:sz w:val="20"/>
                <w:szCs w:val="20"/>
                <w:lang w:eastAsia="en-AU"/>
              </w:rPr>
              <w:t>(ref: Single)</w:t>
            </w:r>
          </w:p>
        </w:tc>
        <w:tc>
          <w:tcPr>
            <w:tcW w:w="1102" w:type="dxa"/>
            <w:tcBorders>
              <w:top w:val="nil"/>
              <w:left w:val="nil"/>
              <w:bottom w:val="nil"/>
              <w:right w:val="nil"/>
            </w:tcBorders>
            <w:shd w:val="clear" w:color="auto" w:fill="auto"/>
            <w:vAlign w:val="center"/>
            <w:hideMark/>
          </w:tcPr>
          <w:p w14:paraId="6B56D6A9"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999" w:type="dxa"/>
            <w:tcBorders>
              <w:top w:val="nil"/>
              <w:left w:val="nil"/>
              <w:bottom w:val="nil"/>
              <w:right w:val="nil"/>
            </w:tcBorders>
            <w:shd w:val="clear" w:color="auto" w:fill="auto"/>
            <w:vAlign w:val="center"/>
            <w:hideMark/>
          </w:tcPr>
          <w:p w14:paraId="7D760D19"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34E17417"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482F6182"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46" w:type="dxa"/>
            <w:tcBorders>
              <w:top w:val="nil"/>
              <w:left w:val="nil"/>
              <w:bottom w:val="nil"/>
              <w:right w:val="nil"/>
            </w:tcBorders>
            <w:shd w:val="clear" w:color="auto" w:fill="auto"/>
            <w:vAlign w:val="center"/>
            <w:hideMark/>
          </w:tcPr>
          <w:p w14:paraId="5CBC992F"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5" w:type="dxa"/>
            <w:gridSpan w:val="2"/>
            <w:tcBorders>
              <w:top w:val="nil"/>
              <w:left w:val="nil"/>
              <w:bottom w:val="nil"/>
              <w:right w:val="nil"/>
            </w:tcBorders>
            <w:shd w:val="clear" w:color="auto" w:fill="auto"/>
            <w:vAlign w:val="center"/>
            <w:hideMark/>
          </w:tcPr>
          <w:p w14:paraId="4A4D7B90"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98" w:type="dxa"/>
            <w:tcBorders>
              <w:top w:val="nil"/>
              <w:left w:val="nil"/>
              <w:bottom w:val="nil"/>
              <w:right w:val="nil"/>
            </w:tcBorders>
            <w:shd w:val="clear" w:color="auto" w:fill="auto"/>
            <w:vAlign w:val="center"/>
            <w:hideMark/>
          </w:tcPr>
          <w:p w14:paraId="198A14D6"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614E2131"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r>
      <w:tr w:rsidR="00244248" w:rsidRPr="00F9625D" w14:paraId="47C375F8" w14:textId="77777777" w:rsidTr="00335B25">
        <w:trPr>
          <w:trHeight w:val="255"/>
        </w:trPr>
        <w:tc>
          <w:tcPr>
            <w:tcW w:w="3860" w:type="dxa"/>
            <w:tcBorders>
              <w:top w:val="nil"/>
              <w:left w:val="nil"/>
              <w:bottom w:val="nil"/>
              <w:right w:val="nil"/>
            </w:tcBorders>
            <w:shd w:val="clear" w:color="auto" w:fill="auto"/>
            <w:vAlign w:val="center"/>
            <w:hideMark/>
          </w:tcPr>
          <w:p w14:paraId="29B47EDB"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Married</w:t>
            </w:r>
          </w:p>
        </w:tc>
        <w:tc>
          <w:tcPr>
            <w:tcW w:w="1102" w:type="dxa"/>
            <w:tcBorders>
              <w:top w:val="nil"/>
              <w:left w:val="nil"/>
              <w:bottom w:val="nil"/>
              <w:right w:val="nil"/>
            </w:tcBorders>
            <w:shd w:val="clear" w:color="auto" w:fill="auto"/>
            <w:vAlign w:val="center"/>
            <w:hideMark/>
          </w:tcPr>
          <w:p w14:paraId="0C736A95"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-1.354***</w:t>
            </w:r>
          </w:p>
        </w:tc>
        <w:tc>
          <w:tcPr>
            <w:tcW w:w="999" w:type="dxa"/>
            <w:tcBorders>
              <w:top w:val="nil"/>
              <w:left w:val="nil"/>
              <w:bottom w:val="nil"/>
              <w:right w:val="nil"/>
            </w:tcBorders>
            <w:shd w:val="clear" w:color="auto" w:fill="auto"/>
            <w:vAlign w:val="center"/>
            <w:hideMark/>
          </w:tcPr>
          <w:p w14:paraId="42CC937F"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(0.116)</w:t>
            </w:r>
          </w:p>
        </w:tc>
        <w:tc>
          <w:tcPr>
            <w:tcW w:w="1134" w:type="dxa"/>
            <w:tcBorders>
              <w:top w:val="nil"/>
              <w:left w:val="nil"/>
              <w:bottom w:val="nil"/>
              <w:right w:val="nil"/>
            </w:tcBorders>
            <w:shd w:val="clear" w:color="auto" w:fill="auto"/>
            <w:vAlign w:val="center"/>
            <w:hideMark/>
          </w:tcPr>
          <w:p w14:paraId="3D433FE9"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-1.180***</w:t>
            </w:r>
          </w:p>
        </w:tc>
        <w:tc>
          <w:tcPr>
            <w:tcW w:w="960" w:type="dxa"/>
            <w:gridSpan w:val="2"/>
            <w:tcBorders>
              <w:top w:val="nil"/>
              <w:left w:val="nil"/>
              <w:bottom w:val="nil"/>
              <w:right w:val="nil"/>
            </w:tcBorders>
            <w:shd w:val="clear" w:color="auto" w:fill="auto"/>
            <w:vAlign w:val="center"/>
            <w:hideMark/>
          </w:tcPr>
          <w:p w14:paraId="57F7A024"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(0.137)</w:t>
            </w:r>
          </w:p>
        </w:tc>
        <w:tc>
          <w:tcPr>
            <w:tcW w:w="1046" w:type="dxa"/>
            <w:tcBorders>
              <w:top w:val="nil"/>
              <w:left w:val="nil"/>
              <w:bottom w:val="nil"/>
              <w:right w:val="nil"/>
            </w:tcBorders>
            <w:shd w:val="clear" w:color="auto" w:fill="auto"/>
            <w:vAlign w:val="center"/>
            <w:hideMark/>
          </w:tcPr>
          <w:p w14:paraId="51C75E64"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-1.810***</w:t>
            </w:r>
          </w:p>
        </w:tc>
        <w:tc>
          <w:tcPr>
            <w:tcW w:w="965" w:type="dxa"/>
            <w:gridSpan w:val="2"/>
            <w:tcBorders>
              <w:top w:val="nil"/>
              <w:left w:val="nil"/>
              <w:bottom w:val="nil"/>
              <w:right w:val="nil"/>
            </w:tcBorders>
            <w:shd w:val="clear" w:color="auto" w:fill="auto"/>
            <w:vAlign w:val="center"/>
            <w:hideMark/>
          </w:tcPr>
          <w:p w14:paraId="687D0FF2"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(0.430)</w:t>
            </w:r>
          </w:p>
        </w:tc>
        <w:tc>
          <w:tcPr>
            <w:tcW w:w="1098" w:type="dxa"/>
            <w:tcBorders>
              <w:top w:val="nil"/>
              <w:left w:val="nil"/>
              <w:bottom w:val="nil"/>
              <w:right w:val="nil"/>
            </w:tcBorders>
            <w:shd w:val="clear" w:color="auto" w:fill="auto"/>
            <w:vAlign w:val="center"/>
            <w:hideMark/>
          </w:tcPr>
          <w:p w14:paraId="20D9AD27"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-1.326**</w:t>
            </w:r>
          </w:p>
        </w:tc>
        <w:tc>
          <w:tcPr>
            <w:tcW w:w="960" w:type="dxa"/>
            <w:gridSpan w:val="2"/>
            <w:tcBorders>
              <w:top w:val="nil"/>
              <w:left w:val="nil"/>
              <w:bottom w:val="nil"/>
              <w:right w:val="nil"/>
            </w:tcBorders>
            <w:shd w:val="clear" w:color="auto" w:fill="auto"/>
            <w:vAlign w:val="center"/>
            <w:hideMark/>
          </w:tcPr>
          <w:p w14:paraId="59D47CC5"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(0.116)</w:t>
            </w:r>
          </w:p>
        </w:tc>
      </w:tr>
      <w:tr w:rsidR="00244248" w:rsidRPr="00F9625D" w14:paraId="6E0C803F" w14:textId="77777777" w:rsidTr="00335B25">
        <w:trPr>
          <w:trHeight w:val="255"/>
        </w:trPr>
        <w:tc>
          <w:tcPr>
            <w:tcW w:w="3860" w:type="dxa"/>
            <w:tcBorders>
              <w:top w:val="nil"/>
              <w:left w:val="nil"/>
              <w:bottom w:val="single" w:sz="4" w:space="0" w:color="ED7D31"/>
              <w:right w:val="nil"/>
            </w:tcBorders>
            <w:shd w:val="clear" w:color="auto" w:fill="auto"/>
            <w:vAlign w:val="center"/>
            <w:hideMark/>
          </w:tcPr>
          <w:p w14:paraId="30919438"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Cohabiting</w:t>
            </w:r>
          </w:p>
        </w:tc>
        <w:tc>
          <w:tcPr>
            <w:tcW w:w="1102" w:type="dxa"/>
            <w:tcBorders>
              <w:top w:val="nil"/>
              <w:left w:val="nil"/>
              <w:bottom w:val="single" w:sz="8" w:space="0" w:color="ED7D31"/>
              <w:right w:val="nil"/>
            </w:tcBorders>
            <w:shd w:val="clear" w:color="auto" w:fill="auto"/>
            <w:vAlign w:val="center"/>
            <w:hideMark/>
          </w:tcPr>
          <w:p w14:paraId="5BEFFC1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-1.441***</w:t>
            </w:r>
          </w:p>
        </w:tc>
        <w:tc>
          <w:tcPr>
            <w:tcW w:w="999" w:type="dxa"/>
            <w:tcBorders>
              <w:top w:val="nil"/>
              <w:left w:val="nil"/>
              <w:bottom w:val="single" w:sz="8" w:space="0" w:color="ED7D31"/>
              <w:right w:val="nil"/>
            </w:tcBorders>
            <w:shd w:val="clear" w:color="auto" w:fill="auto"/>
            <w:vAlign w:val="center"/>
            <w:hideMark/>
          </w:tcPr>
          <w:p w14:paraId="20A7C139"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(0.096)</w:t>
            </w:r>
          </w:p>
        </w:tc>
        <w:tc>
          <w:tcPr>
            <w:tcW w:w="1134" w:type="dxa"/>
            <w:tcBorders>
              <w:top w:val="nil"/>
              <w:left w:val="nil"/>
              <w:bottom w:val="single" w:sz="8" w:space="0" w:color="ED7D31"/>
              <w:right w:val="nil"/>
            </w:tcBorders>
            <w:shd w:val="clear" w:color="auto" w:fill="auto"/>
            <w:vAlign w:val="center"/>
            <w:hideMark/>
          </w:tcPr>
          <w:p w14:paraId="5EAC75A2"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-1.345***</w:t>
            </w:r>
          </w:p>
        </w:tc>
        <w:tc>
          <w:tcPr>
            <w:tcW w:w="960" w:type="dxa"/>
            <w:gridSpan w:val="2"/>
            <w:tcBorders>
              <w:top w:val="nil"/>
              <w:left w:val="nil"/>
              <w:bottom w:val="single" w:sz="8" w:space="0" w:color="ED7D31"/>
              <w:right w:val="nil"/>
            </w:tcBorders>
            <w:shd w:val="clear" w:color="auto" w:fill="auto"/>
            <w:vAlign w:val="center"/>
            <w:hideMark/>
          </w:tcPr>
          <w:p w14:paraId="19299E19"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(0.109)</w:t>
            </w:r>
          </w:p>
        </w:tc>
        <w:tc>
          <w:tcPr>
            <w:tcW w:w="1046" w:type="dxa"/>
            <w:tcBorders>
              <w:top w:val="nil"/>
              <w:left w:val="nil"/>
              <w:bottom w:val="single" w:sz="8" w:space="0" w:color="ED7D31"/>
              <w:right w:val="nil"/>
            </w:tcBorders>
            <w:shd w:val="clear" w:color="auto" w:fill="auto"/>
            <w:vAlign w:val="center"/>
            <w:hideMark/>
          </w:tcPr>
          <w:p w14:paraId="6CA2DB2E"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-2.215***</w:t>
            </w:r>
          </w:p>
        </w:tc>
        <w:tc>
          <w:tcPr>
            <w:tcW w:w="965" w:type="dxa"/>
            <w:gridSpan w:val="2"/>
            <w:tcBorders>
              <w:top w:val="nil"/>
              <w:left w:val="nil"/>
              <w:bottom w:val="single" w:sz="8" w:space="0" w:color="ED7D31"/>
              <w:right w:val="nil"/>
            </w:tcBorders>
            <w:shd w:val="clear" w:color="auto" w:fill="auto"/>
            <w:vAlign w:val="center"/>
            <w:hideMark/>
          </w:tcPr>
          <w:p w14:paraId="3EBF5318"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(0.346)</w:t>
            </w:r>
          </w:p>
        </w:tc>
        <w:tc>
          <w:tcPr>
            <w:tcW w:w="1098" w:type="dxa"/>
            <w:tcBorders>
              <w:top w:val="nil"/>
              <w:left w:val="nil"/>
              <w:bottom w:val="single" w:sz="8" w:space="0" w:color="ED7D31"/>
              <w:right w:val="nil"/>
            </w:tcBorders>
            <w:shd w:val="clear" w:color="auto" w:fill="auto"/>
            <w:vAlign w:val="center"/>
            <w:hideMark/>
          </w:tcPr>
          <w:p w14:paraId="4CE3A266"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-1.371**</w:t>
            </w:r>
          </w:p>
        </w:tc>
        <w:tc>
          <w:tcPr>
            <w:tcW w:w="960" w:type="dxa"/>
            <w:gridSpan w:val="2"/>
            <w:tcBorders>
              <w:top w:val="nil"/>
              <w:left w:val="nil"/>
              <w:bottom w:val="single" w:sz="8" w:space="0" w:color="ED7D31"/>
              <w:right w:val="nil"/>
            </w:tcBorders>
            <w:shd w:val="clear" w:color="auto" w:fill="auto"/>
            <w:vAlign w:val="center"/>
            <w:hideMark/>
          </w:tcPr>
          <w:p w14:paraId="53DA055C"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(0.096)</w:t>
            </w:r>
          </w:p>
        </w:tc>
      </w:tr>
      <w:tr w:rsidR="00244248" w:rsidRPr="00F9625D" w14:paraId="41648430" w14:textId="77777777" w:rsidTr="00335B25">
        <w:trPr>
          <w:trHeight w:val="255"/>
        </w:trPr>
        <w:tc>
          <w:tcPr>
            <w:tcW w:w="3860" w:type="dxa"/>
            <w:tcBorders>
              <w:top w:val="nil"/>
              <w:left w:val="nil"/>
              <w:bottom w:val="nil"/>
              <w:right w:val="nil"/>
            </w:tcBorders>
            <w:shd w:val="clear" w:color="auto" w:fill="auto"/>
            <w:vAlign w:val="center"/>
            <w:hideMark/>
          </w:tcPr>
          <w:p w14:paraId="70A0EB51"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r w:rsidRPr="00F9625D">
              <w:rPr>
                <w:rFonts w:ascii="Calibri Light" w:eastAsia="Times New Roman" w:hAnsi="Calibri Light" w:cs="Calibri Light"/>
                <w:b/>
                <w:bCs/>
                <w:color w:val="000000"/>
                <w:sz w:val="20"/>
                <w:szCs w:val="20"/>
                <w:lang w:eastAsia="en-AU"/>
              </w:rPr>
              <w:t xml:space="preserve">Employment </w:t>
            </w:r>
            <w:r w:rsidRPr="00F9625D">
              <w:rPr>
                <w:rFonts w:ascii="Calibri Light" w:eastAsia="Times New Roman" w:hAnsi="Calibri Light" w:cs="Calibri Light"/>
                <w:color w:val="000000"/>
                <w:sz w:val="20"/>
                <w:szCs w:val="20"/>
                <w:lang w:eastAsia="en-AU"/>
              </w:rPr>
              <w:t>(ref: Permanent full-time)</w:t>
            </w:r>
          </w:p>
        </w:tc>
        <w:tc>
          <w:tcPr>
            <w:tcW w:w="1102" w:type="dxa"/>
            <w:tcBorders>
              <w:top w:val="nil"/>
              <w:left w:val="nil"/>
              <w:bottom w:val="nil"/>
              <w:right w:val="nil"/>
            </w:tcBorders>
            <w:shd w:val="clear" w:color="auto" w:fill="auto"/>
            <w:vAlign w:val="center"/>
            <w:hideMark/>
          </w:tcPr>
          <w:p w14:paraId="68707B22"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999" w:type="dxa"/>
            <w:tcBorders>
              <w:top w:val="nil"/>
              <w:left w:val="nil"/>
              <w:bottom w:val="nil"/>
              <w:right w:val="nil"/>
            </w:tcBorders>
            <w:shd w:val="clear" w:color="auto" w:fill="auto"/>
            <w:vAlign w:val="center"/>
            <w:hideMark/>
          </w:tcPr>
          <w:p w14:paraId="3E30B92B"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6E3C7D16"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2197A65C"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46" w:type="dxa"/>
            <w:tcBorders>
              <w:top w:val="nil"/>
              <w:left w:val="nil"/>
              <w:bottom w:val="nil"/>
              <w:right w:val="nil"/>
            </w:tcBorders>
            <w:shd w:val="clear" w:color="auto" w:fill="auto"/>
            <w:vAlign w:val="center"/>
            <w:hideMark/>
          </w:tcPr>
          <w:p w14:paraId="51D5EA84"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5" w:type="dxa"/>
            <w:gridSpan w:val="2"/>
            <w:tcBorders>
              <w:top w:val="nil"/>
              <w:left w:val="nil"/>
              <w:bottom w:val="nil"/>
              <w:right w:val="nil"/>
            </w:tcBorders>
            <w:shd w:val="clear" w:color="auto" w:fill="auto"/>
            <w:vAlign w:val="center"/>
            <w:hideMark/>
          </w:tcPr>
          <w:p w14:paraId="1692B4A7"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1098" w:type="dxa"/>
            <w:tcBorders>
              <w:top w:val="nil"/>
              <w:left w:val="nil"/>
              <w:bottom w:val="nil"/>
              <w:right w:val="nil"/>
            </w:tcBorders>
            <w:shd w:val="clear" w:color="auto" w:fill="auto"/>
            <w:vAlign w:val="center"/>
            <w:hideMark/>
          </w:tcPr>
          <w:p w14:paraId="15293753"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c>
          <w:tcPr>
            <w:tcW w:w="960" w:type="dxa"/>
            <w:gridSpan w:val="2"/>
            <w:tcBorders>
              <w:top w:val="nil"/>
              <w:left w:val="nil"/>
              <w:bottom w:val="nil"/>
              <w:right w:val="nil"/>
            </w:tcBorders>
            <w:shd w:val="clear" w:color="auto" w:fill="auto"/>
            <w:vAlign w:val="center"/>
            <w:hideMark/>
          </w:tcPr>
          <w:p w14:paraId="693C17A8" w14:textId="77777777" w:rsidR="00244248" w:rsidRPr="00F9625D" w:rsidRDefault="00244248" w:rsidP="00335B25">
            <w:pPr>
              <w:spacing w:after="0" w:line="240" w:lineRule="auto"/>
              <w:rPr>
                <w:rFonts w:ascii="Times New Roman" w:eastAsia="Times New Roman" w:hAnsi="Times New Roman" w:cs="Times New Roman"/>
                <w:sz w:val="20"/>
                <w:szCs w:val="20"/>
                <w:lang w:eastAsia="en-AU"/>
              </w:rPr>
            </w:pPr>
          </w:p>
        </w:tc>
      </w:tr>
      <w:tr w:rsidR="00244248" w:rsidRPr="00F9625D" w14:paraId="1524D993" w14:textId="77777777" w:rsidTr="00335B25">
        <w:trPr>
          <w:trHeight w:val="255"/>
        </w:trPr>
        <w:tc>
          <w:tcPr>
            <w:tcW w:w="3860" w:type="dxa"/>
            <w:tcBorders>
              <w:top w:val="nil"/>
              <w:left w:val="nil"/>
              <w:bottom w:val="nil"/>
              <w:right w:val="nil"/>
            </w:tcBorders>
            <w:shd w:val="clear" w:color="auto" w:fill="auto"/>
            <w:vAlign w:val="center"/>
            <w:hideMark/>
          </w:tcPr>
          <w:p w14:paraId="482FFE74"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Permanent part-time</w:t>
            </w:r>
          </w:p>
        </w:tc>
        <w:tc>
          <w:tcPr>
            <w:tcW w:w="1102" w:type="dxa"/>
            <w:tcBorders>
              <w:top w:val="nil"/>
              <w:left w:val="nil"/>
              <w:bottom w:val="nil"/>
              <w:right w:val="nil"/>
            </w:tcBorders>
            <w:shd w:val="clear" w:color="auto" w:fill="auto"/>
            <w:vAlign w:val="center"/>
            <w:hideMark/>
          </w:tcPr>
          <w:p w14:paraId="744179E2"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0.073</w:t>
            </w:r>
          </w:p>
        </w:tc>
        <w:tc>
          <w:tcPr>
            <w:tcW w:w="999" w:type="dxa"/>
            <w:tcBorders>
              <w:top w:val="nil"/>
              <w:left w:val="nil"/>
              <w:bottom w:val="nil"/>
              <w:right w:val="nil"/>
            </w:tcBorders>
            <w:shd w:val="clear" w:color="auto" w:fill="auto"/>
            <w:vAlign w:val="center"/>
            <w:hideMark/>
          </w:tcPr>
          <w:p w14:paraId="0EEDD9D3"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(0.097)</w:t>
            </w:r>
          </w:p>
        </w:tc>
        <w:tc>
          <w:tcPr>
            <w:tcW w:w="1134" w:type="dxa"/>
            <w:tcBorders>
              <w:top w:val="nil"/>
              <w:left w:val="nil"/>
              <w:bottom w:val="nil"/>
              <w:right w:val="nil"/>
            </w:tcBorders>
            <w:shd w:val="clear" w:color="auto" w:fill="auto"/>
            <w:vAlign w:val="center"/>
            <w:hideMark/>
          </w:tcPr>
          <w:p w14:paraId="55CA3DE8"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0.174</w:t>
            </w:r>
          </w:p>
        </w:tc>
        <w:tc>
          <w:tcPr>
            <w:tcW w:w="960" w:type="dxa"/>
            <w:gridSpan w:val="2"/>
            <w:tcBorders>
              <w:top w:val="nil"/>
              <w:left w:val="nil"/>
              <w:bottom w:val="nil"/>
              <w:right w:val="nil"/>
            </w:tcBorders>
            <w:shd w:val="clear" w:color="auto" w:fill="auto"/>
            <w:vAlign w:val="center"/>
            <w:hideMark/>
          </w:tcPr>
          <w:p w14:paraId="4AB5C758"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(0.142)</w:t>
            </w:r>
          </w:p>
        </w:tc>
        <w:tc>
          <w:tcPr>
            <w:tcW w:w="1046" w:type="dxa"/>
            <w:tcBorders>
              <w:top w:val="nil"/>
              <w:left w:val="nil"/>
              <w:bottom w:val="nil"/>
              <w:right w:val="nil"/>
            </w:tcBorders>
            <w:shd w:val="clear" w:color="auto" w:fill="auto"/>
            <w:vAlign w:val="center"/>
            <w:hideMark/>
          </w:tcPr>
          <w:p w14:paraId="3AAD618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0.176</w:t>
            </w:r>
          </w:p>
        </w:tc>
        <w:tc>
          <w:tcPr>
            <w:tcW w:w="965" w:type="dxa"/>
            <w:gridSpan w:val="2"/>
            <w:tcBorders>
              <w:top w:val="nil"/>
              <w:left w:val="nil"/>
              <w:bottom w:val="nil"/>
              <w:right w:val="nil"/>
            </w:tcBorders>
            <w:shd w:val="clear" w:color="auto" w:fill="auto"/>
            <w:vAlign w:val="center"/>
            <w:hideMark/>
          </w:tcPr>
          <w:p w14:paraId="288404E3"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(0.293)</w:t>
            </w:r>
          </w:p>
        </w:tc>
        <w:tc>
          <w:tcPr>
            <w:tcW w:w="1098" w:type="dxa"/>
            <w:tcBorders>
              <w:top w:val="nil"/>
              <w:left w:val="nil"/>
              <w:bottom w:val="nil"/>
              <w:right w:val="nil"/>
            </w:tcBorders>
            <w:shd w:val="clear" w:color="auto" w:fill="auto"/>
            <w:vAlign w:val="center"/>
            <w:hideMark/>
          </w:tcPr>
          <w:p w14:paraId="6BBC47D0"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-0.383</w:t>
            </w:r>
          </w:p>
        </w:tc>
        <w:tc>
          <w:tcPr>
            <w:tcW w:w="960" w:type="dxa"/>
            <w:gridSpan w:val="2"/>
            <w:tcBorders>
              <w:top w:val="nil"/>
              <w:left w:val="nil"/>
              <w:bottom w:val="nil"/>
              <w:right w:val="nil"/>
            </w:tcBorders>
            <w:shd w:val="clear" w:color="auto" w:fill="auto"/>
            <w:vAlign w:val="center"/>
            <w:hideMark/>
          </w:tcPr>
          <w:p w14:paraId="311BDE1D"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(0.097)</w:t>
            </w:r>
          </w:p>
        </w:tc>
      </w:tr>
      <w:tr w:rsidR="00244248" w:rsidRPr="00F9625D" w14:paraId="11A50A84" w14:textId="77777777" w:rsidTr="00335B25">
        <w:trPr>
          <w:trHeight w:val="255"/>
        </w:trPr>
        <w:tc>
          <w:tcPr>
            <w:tcW w:w="3860" w:type="dxa"/>
            <w:tcBorders>
              <w:top w:val="nil"/>
              <w:left w:val="nil"/>
              <w:bottom w:val="nil"/>
              <w:right w:val="nil"/>
            </w:tcBorders>
            <w:shd w:val="clear" w:color="auto" w:fill="auto"/>
            <w:vAlign w:val="center"/>
            <w:hideMark/>
          </w:tcPr>
          <w:p w14:paraId="41BBAA7A"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Casual full-time</w:t>
            </w:r>
          </w:p>
        </w:tc>
        <w:tc>
          <w:tcPr>
            <w:tcW w:w="1102" w:type="dxa"/>
            <w:tcBorders>
              <w:top w:val="nil"/>
              <w:left w:val="nil"/>
              <w:bottom w:val="nil"/>
              <w:right w:val="nil"/>
            </w:tcBorders>
            <w:shd w:val="clear" w:color="auto" w:fill="auto"/>
            <w:vAlign w:val="center"/>
            <w:hideMark/>
          </w:tcPr>
          <w:p w14:paraId="5787EE80"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0.081</w:t>
            </w:r>
          </w:p>
        </w:tc>
        <w:tc>
          <w:tcPr>
            <w:tcW w:w="999" w:type="dxa"/>
            <w:tcBorders>
              <w:top w:val="nil"/>
              <w:left w:val="nil"/>
              <w:bottom w:val="nil"/>
              <w:right w:val="nil"/>
            </w:tcBorders>
            <w:shd w:val="clear" w:color="auto" w:fill="auto"/>
            <w:vAlign w:val="center"/>
            <w:hideMark/>
          </w:tcPr>
          <w:p w14:paraId="14D578B9"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(0.139)</w:t>
            </w:r>
          </w:p>
        </w:tc>
        <w:tc>
          <w:tcPr>
            <w:tcW w:w="1134" w:type="dxa"/>
            <w:tcBorders>
              <w:top w:val="nil"/>
              <w:left w:val="nil"/>
              <w:bottom w:val="nil"/>
              <w:right w:val="nil"/>
            </w:tcBorders>
            <w:shd w:val="clear" w:color="auto" w:fill="auto"/>
            <w:vAlign w:val="center"/>
            <w:hideMark/>
          </w:tcPr>
          <w:p w14:paraId="5C850AFA"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0.195</w:t>
            </w:r>
          </w:p>
        </w:tc>
        <w:tc>
          <w:tcPr>
            <w:tcW w:w="960" w:type="dxa"/>
            <w:gridSpan w:val="2"/>
            <w:tcBorders>
              <w:top w:val="nil"/>
              <w:left w:val="nil"/>
              <w:bottom w:val="nil"/>
              <w:right w:val="nil"/>
            </w:tcBorders>
            <w:shd w:val="clear" w:color="auto" w:fill="auto"/>
            <w:vAlign w:val="center"/>
            <w:hideMark/>
          </w:tcPr>
          <w:p w14:paraId="7702F461"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(0.156)</w:t>
            </w:r>
          </w:p>
        </w:tc>
        <w:tc>
          <w:tcPr>
            <w:tcW w:w="1046" w:type="dxa"/>
            <w:tcBorders>
              <w:top w:val="nil"/>
              <w:left w:val="nil"/>
              <w:bottom w:val="nil"/>
              <w:right w:val="nil"/>
            </w:tcBorders>
            <w:shd w:val="clear" w:color="auto" w:fill="auto"/>
            <w:vAlign w:val="center"/>
            <w:hideMark/>
          </w:tcPr>
          <w:p w14:paraId="47662C17"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0.524</w:t>
            </w:r>
          </w:p>
        </w:tc>
        <w:tc>
          <w:tcPr>
            <w:tcW w:w="965" w:type="dxa"/>
            <w:gridSpan w:val="2"/>
            <w:tcBorders>
              <w:top w:val="nil"/>
              <w:left w:val="nil"/>
              <w:bottom w:val="nil"/>
              <w:right w:val="nil"/>
            </w:tcBorders>
            <w:shd w:val="clear" w:color="auto" w:fill="auto"/>
            <w:vAlign w:val="center"/>
            <w:hideMark/>
          </w:tcPr>
          <w:p w14:paraId="35B65C20"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(0.533)</w:t>
            </w:r>
          </w:p>
        </w:tc>
        <w:tc>
          <w:tcPr>
            <w:tcW w:w="1098" w:type="dxa"/>
            <w:tcBorders>
              <w:top w:val="nil"/>
              <w:left w:val="nil"/>
              <w:bottom w:val="nil"/>
              <w:right w:val="nil"/>
            </w:tcBorders>
            <w:shd w:val="clear" w:color="auto" w:fill="auto"/>
            <w:vAlign w:val="center"/>
            <w:hideMark/>
          </w:tcPr>
          <w:p w14:paraId="2FF91570"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-2.753**</w:t>
            </w:r>
          </w:p>
        </w:tc>
        <w:tc>
          <w:tcPr>
            <w:tcW w:w="960" w:type="dxa"/>
            <w:gridSpan w:val="2"/>
            <w:tcBorders>
              <w:top w:val="nil"/>
              <w:left w:val="nil"/>
              <w:bottom w:val="nil"/>
              <w:right w:val="nil"/>
            </w:tcBorders>
            <w:shd w:val="clear" w:color="auto" w:fill="auto"/>
            <w:vAlign w:val="center"/>
            <w:hideMark/>
          </w:tcPr>
          <w:p w14:paraId="01B82D0D"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(0.139)</w:t>
            </w:r>
          </w:p>
        </w:tc>
      </w:tr>
      <w:tr w:rsidR="00244248" w:rsidRPr="00F9625D" w14:paraId="02FC4422" w14:textId="77777777" w:rsidTr="00335B25">
        <w:trPr>
          <w:trHeight w:val="255"/>
        </w:trPr>
        <w:tc>
          <w:tcPr>
            <w:tcW w:w="3860" w:type="dxa"/>
            <w:tcBorders>
              <w:top w:val="nil"/>
              <w:left w:val="nil"/>
              <w:bottom w:val="nil"/>
              <w:right w:val="nil"/>
            </w:tcBorders>
            <w:shd w:val="clear" w:color="auto" w:fill="auto"/>
            <w:vAlign w:val="center"/>
            <w:hideMark/>
          </w:tcPr>
          <w:p w14:paraId="039125A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Casual part-time</w:t>
            </w:r>
          </w:p>
        </w:tc>
        <w:tc>
          <w:tcPr>
            <w:tcW w:w="1102" w:type="dxa"/>
            <w:tcBorders>
              <w:top w:val="nil"/>
              <w:left w:val="nil"/>
              <w:bottom w:val="nil"/>
              <w:right w:val="nil"/>
            </w:tcBorders>
            <w:shd w:val="clear" w:color="auto" w:fill="auto"/>
            <w:vAlign w:val="center"/>
            <w:hideMark/>
          </w:tcPr>
          <w:p w14:paraId="725F1F68"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-0.037</w:t>
            </w:r>
          </w:p>
        </w:tc>
        <w:tc>
          <w:tcPr>
            <w:tcW w:w="999" w:type="dxa"/>
            <w:tcBorders>
              <w:top w:val="nil"/>
              <w:left w:val="nil"/>
              <w:bottom w:val="nil"/>
              <w:right w:val="nil"/>
            </w:tcBorders>
            <w:shd w:val="clear" w:color="auto" w:fill="auto"/>
            <w:vAlign w:val="center"/>
            <w:hideMark/>
          </w:tcPr>
          <w:p w14:paraId="4644D683"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(0.098)</w:t>
            </w:r>
          </w:p>
        </w:tc>
        <w:tc>
          <w:tcPr>
            <w:tcW w:w="1134" w:type="dxa"/>
            <w:tcBorders>
              <w:top w:val="nil"/>
              <w:left w:val="nil"/>
              <w:bottom w:val="nil"/>
              <w:right w:val="nil"/>
            </w:tcBorders>
            <w:shd w:val="clear" w:color="auto" w:fill="auto"/>
            <w:vAlign w:val="center"/>
            <w:hideMark/>
          </w:tcPr>
          <w:p w14:paraId="59E631A3"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0.015</w:t>
            </w:r>
          </w:p>
        </w:tc>
        <w:tc>
          <w:tcPr>
            <w:tcW w:w="960" w:type="dxa"/>
            <w:gridSpan w:val="2"/>
            <w:tcBorders>
              <w:top w:val="nil"/>
              <w:left w:val="nil"/>
              <w:bottom w:val="nil"/>
              <w:right w:val="nil"/>
            </w:tcBorders>
            <w:shd w:val="clear" w:color="auto" w:fill="auto"/>
            <w:vAlign w:val="center"/>
            <w:hideMark/>
          </w:tcPr>
          <w:p w14:paraId="6F0B1015"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(0.117)</w:t>
            </w:r>
          </w:p>
        </w:tc>
        <w:tc>
          <w:tcPr>
            <w:tcW w:w="1046" w:type="dxa"/>
            <w:tcBorders>
              <w:top w:val="nil"/>
              <w:left w:val="nil"/>
              <w:bottom w:val="nil"/>
              <w:right w:val="nil"/>
            </w:tcBorders>
            <w:shd w:val="clear" w:color="auto" w:fill="auto"/>
            <w:vAlign w:val="center"/>
            <w:hideMark/>
          </w:tcPr>
          <w:p w14:paraId="1674D59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-0.192</w:t>
            </w:r>
          </w:p>
        </w:tc>
        <w:tc>
          <w:tcPr>
            <w:tcW w:w="965" w:type="dxa"/>
            <w:gridSpan w:val="2"/>
            <w:tcBorders>
              <w:top w:val="nil"/>
              <w:left w:val="nil"/>
              <w:bottom w:val="nil"/>
              <w:right w:val="nil"/>
            </w:tcBorders>
            <w:shd w:val="clear" w:color="auto" w:fill="auto"/>
            <w:vAlign w:val="center"/>
            <w:hideMark/>
          </w:tcPr>
          <w:p w14:paraId="1B33B5BD"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(0.319)</w:t>
            </w:r>
          </w:p>
        </w:tc>
        <w:tc>
          <w:tcPr>
            <w:tcW w:w="1098" w:type="dxa"/>
            <w:tcBorders>
              <w:top w:val="nil"/>
              <w:left w:val="nil"/>
              <w:bottom w:val="nil"/>
              <w:right w:val="nil"/>
            </w:tcBorders>
            <w:shd w:val="clear" w:color="auto" w:fill="auto"/>
            <w:vAlign w:val="center"/>
            <w:hideMark/>
          </w:tcPr>
          <w:p w14:paraId="29CFD500"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-0.738</w:t>
            </w:r>
          </w:p>
        </w:tc>
        <w:tc>
          <w:tcPr>
            <w:tcW w:w="960" w:type="dxa"/>
            <w:gridSpan w:val="2"/>
            <w:tcBorders>
              <w:top w:val="nil"/>
              <w:left w:val="nil"/>
              <w:bottom w:val="nil"/>
              <w:right w:val="nil"/>
            </w:tcBorders>
            <w:shd w:val="clear" w:color="auto" w:fill="auto"/>
            <w:vAlign w:val="center"/>
            <w:hideMark/>
          </w:tcPr>
          <w:p w14:paraId="252B2377"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(0.098)</w:t>
            </w:r>
          </w:p>
        </w:tc>
      </w:tr>
      <w:tr w:rsidR="00244248" w:rsidRPr="00F9625D" w14:paraId="49AC1DD4" w14:textId="77777777" w:rsidTr="00335B25">
        <w:trPr>
          <w:trHeight w:val="255"/>
        </w:trPr>
        <w:tc>
          <w:tcPr>
            <w:tcW w:w="3860" w:type="dxa"/>
            <w:tcBorders>
              <w:top w:val="nil"/>
              <w:left w:val="nil"/>
              <w:bottom w:val="nil"/>
              <w:right w:val="nil"/>
            </w:tcBorders>
            <w:shd w:val="clear" w:color="auto" w:fill="auto"/>
            <w:vAlign w:val="center"/>
            <w:hideMark/>
          </w:tcPr>
          <w:p w14:paraId="22CE6CC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Self-employed</w:t>
            </w:r>
          </w:p>
        </w:tc>
        <w:tc>
          <w:tcPr>
            <w:tcW w:w="1102" w:type="dxa"/>
            <w:tcBorders>
              <w:top w:val="nil"/>
              <w:left w:val="nil"/>
              <w:bottom w:val="nil"/>
              <w:right w:val="nil"/>
            </w:tcBorders>
            <w:shd w:val="clear" w:color="auto" w:fill="auto"/>
            <w:vAlign w:val="center"/>
            <w:hideMark/>
          </w:tcPr>
          <w:p w14:paraId="64309A89"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0.040</w:t>
            </w:r>
          </w:p>
        </w:tc>
        <w:tc>
          <w:tcPr>
            <w:tcW w:w="999" w:type="dxa"/>
            <w:tcBorders>
              <w:top w:val="nil"/>
              <w:left w:val="nil"/>
              <w:bottom w:val="nil"/>
              <w:right w:val="nil"/>
            </w:tcBorders>
            <w:shd w:val="clear" w:color="auto" w:fill="auto"/>
            <w:vAlign w:val="center"/>
            <w:hideMark/>
          </w:tcPr>
          <w:p w14:paraId="37A5751A"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(0.172)</w:t>
            </w:r>
          </w:p>
        </w:tc>
        <w:tc>
          <w:tcPr>
            <w:tcW w:w="1134" w:type="dxa"/>
            <w:tcBorders>
              <w:top w:val="nil"/>
              <w:left w:val="nil"/>
              <w:bottom w:val="nil"/>
              <w:right w:val="nil"/>
            </w:tcBorders>
            <w:shd w:val="clear" w:color="auto" w:fill="auto"/>
            <w:vAlign w:val="center"/>
            <w:hideMark/>
          </w:tcPr>
          <w:p w14:paraId="618A3F89"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-0.074</w:t>
            </w:r>
          </w:p>
        </w:tc>
        <w:tc>
          <w:tcPr>
            <w:tcW w:w="960" w:type="dxa"/>
            <w:gridSpan w:val="2"/>
            <w:tcBorders>
              <w:top w:val="nil"/>
              <w:left w:val="nil"/>
              <w:bottom w:val="nil"/>
              <w:right w:val="nil"/>
            </w:tcBorders>
            <w:shd w:val="clear" w:color="auto" w:fill="auto"/>
            <w:vAlign w:val="center"/>
            <w:hideMark/>
          </w:tcPr>
          <w:p w14:paraId="0FB4437D"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(0.238)</w:t>
            </w:r>
          </w:p>
        </w:tc>
        <w:tc>
          <w:tcPr>
            <w:tcW w:w="1046" w:type="dxa"/>
            <w:tcBorders>
              <w:top w:val="nil"/>
              <w:left w:val="nil"/>
              <w:bottom w:val="nil"/>
              <w:right w:val="nil"/>
            </w:tcBorders>
            <w:shd w:val="clear" w:color="auto" w:fill="auto"/>
            <w:vAlign w:val="center"/>
            <w:hideMark/>
          </w:tcPr>
          <w:p w14:paraId="118DC849"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0.089</w:t>
            </w:r>
          </w:p>
        </w:tc>
        <w:tc>
          <w:tcPr>
            <w:tcW w:w="965" w:type="dxa"/>
            <w:gridSpan w:val="2"/>
            <w:tcBorders>
              <w:top w:val="nil"/>
              <w:left w:val="nil"/>
              <w:bottom w:val="nil"/>
              <w:right w:val="nil"/>
            </w:tcBorders>
            <w:shd w:val="clear" w:color="auto" w:fill="auto"/>
            <w:vAlign w:val="center"/>
            <w:hideMark/>
          </w:tcPr>
          <w:p w14:paraId="07496301"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(0.490)</w:t>
            </w:r>
          </w:p>
        </w:tc>
        <w:tc>
          <w:tcPr>
            <w:tcW w:w="1098" w:type="dxa"/>
            <w:tcBorders>
              <w:top w:val="nil"/>
              <w:left w:val="nil"/>
              <w:bottom w:val="nil"/>
              <w:right w:val="nil"/>
            </w:tcBorders>
            <w:shd w:val="clear" w:color="auto" w:fill="auto"/>
            <w:vAlign w:val="center"/>
            <w:hideMark/>
          </w:tcPr>
          <w:p w14:paraId="2567BF9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0.856</w:t>
            </w:r>
          </w:p>
        </w:tc>
        <w:tc>
          <w:tcPr>
            <w:tcW w:w="960" w:type="dxa"/>
            <w:gridSpan w:val="2"/>
            <w:tcBorders>
              <w:top w:val="nil"/>
              <w:left w:val="nil"/>
              <w:bottom w:val="nil"/>
              <w:right w:val="nil"/>
            </w:tcBorders>
            <w:shd w:val="clear" w:color="auto" w:fill="auto"/>
            <w:vAlign w:val="center"/>
            <w:hideMark/>
          </w:tcPr>
          <w:p w14:paraId="182E7786"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(0.172)</w:t>
            </w:r>
          </w:p>
        </w:tc>
      </w:tr>
      <w:tr w:rsidR="00244248" w:rsidRPr="00F9625D" w14:paraId="2807D8B9" w14:textId="77777777" w:rsidTr="00335B25">
        <w:trPr>
          <w:trHeight w:val="255"/>
        </w:trPr>
        <w:tc>
          <w:tcPr>
            <w:tcW w:w="3860" w:type="dxa"/>
            <w:tcBorders>
              <w:top w:val="nil"/>
              <w:left w:val="nil"/>
              <w:bottom w:val="single" w:sz="4" w:space="0" w:color="ED7D31"/>
              <w:right w:val="nil"/>
            </w:tcBorders>
            <w:shd w:val="clear" w:color="auto" w:fill="auto"/>
            <w:vAlign w:val="center"/>
            <w:hideMark/>
          </w:tcPr>
          <w:p w14:paraId="6B013929"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Not working</w:t>
            </w:r>
          </w:p>
        </w:tc>
        <w:tc>
          <w:tcPr>
            <w:tcW w:w="1102" w:type="dxa"/>
            <w:tcBorders>
              <w:top w:val="nil"/>
              <w:left w:val="nil"/>
              <w:bottom w:val="single" w:sz="8" w:space="0" w:color="ED7D31"/>
              <w:right w:val="nil"/>
            </w:tcBorders>
            <w:shd w:val="clear" w:color="auto" w:fill="auto"/>
            <w:vAlign w:val="center"/>
            <w:hideMark/>
          </w:tcPr>
          <w:p w14:paraId="28FAD05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0.050</w:t>
            </w:r>
          </w:p>
        </w:tc>
        <w:tc>
          <w:tcPr>
            <w:tcW w:w="999" w:type="dxa"/>
            <w:tcBorders>
              <w:top w:val="nil"/>
              <w:left w:val="nil"/>
              <w:bottom w:val="single" w:sz="8" w:space="0" w:color="ED7D31"/>
              <w:right w:val="nil"/>
            </w:tcBorders>
            <w:shd w:val="clear" w:color="auto" w:fill="auto"/>
            <w:vAlign w:val="center"/>
            <w:hideMark/>
          </w:tcPr>
          <w:p w14:paraId="391813A4"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(0.095)</w:t>
            </w:r>
          </w:p>
        </w:tc>
        <w:tc>
          <w:tcPr>
            <w:tcW w:w="1134" w:type="dxa"/>
            <w:tcBorders>
              <w:top w:val="nil"/>
              <w:left w:val="nil"/>
              <w:bottom w:val="single" w:sz="8" w:space="0" w:color="ED7D31"/>
              <w:right w:val="nil"/>
            </w:tcBorders>
            <w:shd w:val="clear" w:color="auto" w:fill="auto"/>
            <w:vAlign w:val="center"/>
            <w:hideMark/>
          </w:tcPr>
          <w:p w14:paraId="6BB65996"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0.454***</w:t>
            </w:r>
          </w:p>
        </w:tc>
        <w:tc>
          <w:tcPr>
            <w:tcW w:w="960" w:type="dxa"/>
            <w:gridSpan w:val="2"/>
            <w:tcBorders>
              <w:top w:val="nil"/>
              <w:left w:val="nil"/>
              <w:bottom w:val="single" w:sz="8" w:space="0" w:color="ED7D31"/>
              <w:right w:val="nil"/>
            </w:tcBorders>
            <w:shd w:val="clear" w:color="auto" w:fill="auto"/>
            <w:vAlign w:val="center"/>
            <w:hideMark/>
          </w:tcPr>
          <w:p w14:paraId="4D97B59E"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(0.123)</w:t>
            </w:r>
          </w:p>
        </w:tc>
        <w:tc>
          <w:tcPr>
            <w:tcW w:w="1046" w:type="dxa"/>
            <w:tcBorders>
              <w:top w:val="nil"/>
              <w:left w:val="nil"/>
              <w:bottom w:val="single" w:sz="8" w:space="0" w:color="ED7D31"/>
              <w:right w:val="nil"/>
            </w:tcBorders>
            <w:shd w:val="clear" w:color="auto" w:fill="auto"/>
            <w:vAlign w:val="center"/>
            <w:hideMark/>
          </w:tcPr>
          <w:p w14:paraId="501F5E6A"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-0.195</w:t>
            </w:r>
          </w:p>
        </w:tc>
        <w:tc>
          <w:tcPr>
            <w:tcW w:w="965" w:type="dxa"/>
            <w:gridSpan w:val="2"/>
            <w:tcBorders>
              <w:top w:val="nil"/>
              <w:left w:val="nil"/>
              <w:bottom w:val="single" w:sz="8" w:space="0" w:color="ED7D31"/>
              <w:right w:val="nil"/>
            </w:tcBorders>
            <w:shd w:val="clear" w:color="auto" w:fill="auto"/>
            <w:vAlign w:val="center"/>
            <w:hideMark/>
          </w:tcPr>
          <w:p w14:paraId="5E75F78D"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(0.313)</w:t>
            </w:r>
          </w:p>
        </w:tc>
        <w:tc>
          <w:tcPr>
            <w:tcW w:w="1098" w:type="dxa"/>
            <w:tcBorders>
              <w:top w:val="nil"/>
              <w:left w:val="nil"/>
              <w:bottom w:val="single" w:sz="8" w:space="0" w:color="ED7D31"/>
              <w:right w:val="nil"/>
            </w:tcBorders>
            <w:shd w:val="clear" w:color="auto" w:fill="auto"/>
            <w:vAlign w:val="center"/>
            <w:hideMark/>
          </w:tcPr>
          <w:p w14:paraId="6EA6BD67"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-0.486</w:t>
            </w:r>
          </w:p>
        </w:tc>
        <w:tc>
          <w:tcPr>
            <w:tcW w:w="960" w:type="dxa"/>
            <w:gridSpan w:val="2"/>
            <w:tcBorders>
              <w:top w:val="nil"/>
              <w:left w:val="nil"/>
              <w:bottom w:val="single" w:sz="8" w:space="0" w:color="ED7D31"/>
              <w:right w:val="nil"/>
            </w:tcBorders>
            <w:shd w:val="clear" w:color="auto" w:fill="auto"/>
            <w:vAlign w:val="center"/>
            <w:hideMark/>
          </w:tcPr>
          <w:p w14:paraId="0DBD08D0"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(0.095)</w:t>
            </w:r>
          </w:p>
        </w:tc>
      </w:tr>
      <w:tr w:rsidR="00244248" w:rsidRPr="00F9625D" w14:paraId="21087964" w14:textId="77777777" w:rsidTr="00335B25">
        <w:trPr>
          <w:trHeight w:val="255"/>
        </w:trPr>
        <w:tc>
          <w:tcPr>
            <w:tcW w:w="3860" w:type="dxa"/>
            <w:tcBorders>
              <w:top w:val="nil"/>
              <w:left w:val="nil"/>
              <w:bottom w:val="single" w:sz="4" w:space="0" w:color="ED7D31"/>
              <w:right w:val="nil"/>
            </w:tcBorders>
            <w:shd w:val="clear" w:color="auto" w:fill="auto"/>
            <w:vAlign w:val="center"/>
            <w:hideMark/>
          </w:tcPr>
          <w:p w14:paraId="5011FDC8"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r w:rsidRPr="00F9625D">
              <w:rPr>
                <w:rFonts w:ascii="Calibri Light" w:eastAsia="Times New Roman" w:hAnsi="Calibri Light" w:cs="Calibri Light"/>
                <w:b/>
                <w:bCs/>
                <w:color w:val="000000"/>
                <w:sz w:val="20"/>
                <w:szCs w:val="20"/>
                <w:lang w:eastAsia="en-AU"/>
              </w:rPr>
              <w:t>Household income (log)</w:t>
            </w:r>
          </w:p>
        </w:tc>
        <w:tc>
          <w:tcPr>
            <w:tcW w:w="1102" w:type="dxa"/>
            <w:tcBorders>
              <w:top w:val="nil"/>
              <w:left w:val="nil"/>
              <w:bottom w:val="single" w:sz="8" w:space="0" w:color="ED7D31"/>
              <w:right w:val="nil"/>
            </w:tcBorders>
            <w:shd w:val="clear" w:color="auto" w:fill="auto"/>
            <w:vAlign w:val="center"/>
            <w:hideMark/>
          </w:tcPr>
          <w:p w14:paraId="5D41D3E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-0.012</w:t>
            </w:r>
          </w:p>
        </w:tc>
        <w:tc>
          <w:tcPr>
            <w:tcW w:w="999" w:type="dxa"/>
            <w:tcBorders>
              <w:top w:val="nil"/>
              <w:left w:val="nil"/>
              <w:bottom w:val="single" w:sz="8" w:space="0" w:color="ED7D31"/>
              <w:right w:val="nil"/>
            </w:tcBorders>
            <w:shd w:val="clear" w:color="auto" w:fill="auto"/>
            <w:vAlign w:val="center"/>
            <w:hideMark/>
          </w:tcPr>
          <w:p w14:paraId="416BDEA6"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(0.055)</w:t>
            </w:r>
          </w:p>
        </w:tc>
        <w:tc>
          <w:tcPr>
            <w:tcW w:w="1134" w:type="dxa"/>
            <w:tcBorders>
              <w:top w:val="nil"/>
              <w:left w:val="nil"/>
              <w:bottom w:val="single" w:sz="8" w:space="0" w:color="ED7D31"/>
              <w:right w:val="nil"/>
            </w:tcBorders>
            <w:shd w:val="clear" w:color="auto" w:fill="auto"/>
            <w:vAlign w:val="center"/>
            <w:hideMark/>
          </w:tcPr>
          <w:p w14:paraId="62495EF1"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-0.173***</w:t>
            </w:r>
          </w:p>
        </w:tc>
        <w:tc>
          <w:tcPr>
            <w:tcW w:w="960" w:type="dxa"/>
            <w:gridSpan w:val="2"/>
            <w:tcBorders>
              <w:top w:val="nil"/>
              <w:left w:val="nil"/>
              <w:bottom w:val="single" w:sz="8" w:space="0" w:color="ED7D31"/>
              <w:right w:val="nil"/>
            </w:tcBorders>
            <w:shd w:val="clear" w:color="auto" w:fill="auto"/>
            <w:vAlign w:val="center"/>
            <w:hideMark/>
          </w:tcPr>
          <w:p w14:paraId="33CC3F2F"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(0.055)</w:t>
            </w:r>
          </w:p>
        </w:tc>
        <w:tc>
          <w:tcPr>
            <w:tcW w:w="1046" w:type="dxa"/>
            <w:tcBorders>
              <w:top w:val="nil"/>
              <w:left w:val="nil"/>
              <w:bottom w:val="single" w:sz="8" w:space="0" w:color="ED7D31"/>
              <w:right w:val="nil"/>
            </w:tcBorders>
            <w:shd w:val="clear" w:color="auto" w:fill="auto"/>
            <w:vAlign w:val="center"/>
            <w:hideMark/>
          </w:tcPr>
          <w:p w14:paraId="3DA0BCA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0.321</w:t>
            </w:r>
          </w:p>
        </w:tc>
        <w:tc>
          <w:tcPr>
            <w:tcW w:w="965" w:type="dxa"/>
            <w:gridSpan w:val="2"/>
            <w:tcBorders>
              <w:top w:val="nil"/>
              <w:left w:val="nil"/>
              <w:bottom w:val="single" w:sz="8" w:space="0" w:color="ED7D31"/>
              <w:right w:val="nil"/>
            </w:tcBorders>
            <w:shd w:val="clear" w:color="auto" w:fill="auto"/>
            <w:vAlign w:val="center"/>
            <w:hideMark/>
          </w:tcPr>
          <w:p w14:paraId="5A730114"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(0.235)</w:t>
            </w:r>
          </w:p>
        </w:tc>
        <w:tc>
          <w:tcPr>
            <w:tcW w:w="1098" w:type="dxa"/>
            <w:tcBorders>
              <w:top w:val="nil"/>
              <w:left w:val="nil"/>
              <w:bottom w:val="single" w:sz="8" w:space="0" w:color="ED7D31"/>
              <w:right w:val="nil"/>
            </w:tcBorders>
            <w:shd w:val="clear" w:color="auto" w:fill="auto"/>
            <w:vAlign w:val="center"/>
            <w:hideMark/>
          </w:tcPr>
          <w:p w14:paraId="08FD3A01"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-0.070</w:t>
            </w:r>
          </w:p>
        </w:tc>
        <w:tc>
          <w:tcPr>
            <w:tcW w:w="960" w:type="dxa"/>
            <w:gridSpan w:val="2"/>
            <w:tcBorders>
              <w:top w:val="nil"/>
              <w:left w:val="nil"/>
              <w:bottom w:val="single" w:sz="8" w:space="0" w:color="ED7D31"/>
              <w:right w:val="nil"/>
            </w:tcBorders>
            <w:shd w:val="clear" w:color="auto" w:fill="auto"/>
            <w:vAlign w:val="center"/>
            <w:hideMark/>
          </w:tcPr>
          <w:p w14:paraId="75A6F4C1"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(0.055)</w:t>
            </w:r>
          </w:p>
        </w:tc>
      </w:tr>
      <w:tr w:rsidR="00244248" w:rsidRPr="00F9625D" w14:paraId="70579F06" w14:textId="77777777" w:rsidTr="00335B25">
        <w:trPr>
          <w:trHeight w:val="255"/>
        </w:trPr>
        <w:tc>
          <w:tcPr>
            <w:tcW w:w="3860" w:type="dxa"/>
            <w:tcBorders>
              <w:top w:val="nil"/>
              <w:left w:val="nil"/>
              <w:bottom w:val="single" w:sz="4" w:space="0" w:color="ED7D31"/>
              <w:right w:val="nil"/>
            </w:tcBorders>
            <w:shd w:val="clear" w:color="auto" w:fill="auto"/>
            <w:vAlign w:val="center"/>
            <w:hideMark/>
          </w:tcPr>
          <w:p w14:paraId="5D25ACBF" w14:textId="77777777" w:rsidR="00244248" w:rsidRPr="00F9625D" w:rsidRDefault="00244248" w:rsidP="00335B25">
            <w:pPr>
              <w:spacing w:after="0" w:line="240" w:lineRule="auto"/>
              <w:rPr>
                <w:rFonts w:ascii="Calibri Light" w:eastAsia="Times New Roman" w:hAnsi="Calibri Light" w:cs="Calibri Light"/>
                <w:b/>
                <w:bCs/>
                <w:color w:val="000000"/>
                <w:sz w:val="20"/>
                <w:szCs w:val="20"/>
                <w:lang w:eastAsia="en-AU"/>
              </w:rPr>
            </w:pPr>
            <w:r w:rsidRPr="00F9625D">
              <w:rPr>
                <w:rFonts w:ascii="Calibri Light" w:eastAsia="Times New Roman" w:hAnsi="Calibri Light" w:cs="Calibri Light"/>
                <w:b/>
                <w:bCs/>
                <w:color w:val="000000"/>
                <w:sz w:val="20"/>
                <w:szCs w:val="20"/>
                <w:lang w:eastAsia="en-AU"/>
              </w:rPr>
              <w:t>Remote area</w:t>
            </w:r>
          </w:p>
        </w:tc>
        <w:tc>
          <w:tcPr>
            <w:tcW w:w="1102" w:type="dxa"/>
            <w:tcBorders>
              <w:top w:val="nil"/>
              <w:left w:val="nil"/>
              <w:bottom w:val="single" w:sz="8" w:space="0" w:color="ED7D31"/>
              <w:right w:val="nil"/>
            </w:tcBorders>
            <w:shd w:val="clear" w:color="auto" w:fill="auto"/>
            <w:vAlign w:val="center"/>
            <w:hideMark/>
          </w:tcPr>
          <w:p w14:paraId="0960F6CE"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-0.167</w:t>
            </w:r>
          </w:p>
        </w:tc>
        <w:tc>
          <w:tcPr>
            <w:tcW w:w="999" w:type="dxa"/>
            <w:tcBorders>
              <w:top w:val="nil"/>
              <w:left w:val="nil"/>
              <w:bottom w:val="single" w:sz="8" w:space="0" w:color="ED7D31"/>
              <w:right w:val="nil"/>
            </w:tcBorders>
            <w:shd w:val="clear" w:color="auto" w:fill="auto"/>
            <w:vAlign w:val="center"/>
            <w:hideMark/>
          </w:tcPr>
          <w:p w14:paraId="67E8E106"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(0.133)</w:t>
            </w:r>
          </w:p>
        </w:tc>
        <w:tc>
          <w:tcPr>
            <w:tcW w:w="1134" w:type="dxa"/>
            <w:tcBorders>
              <w:top w:val="nil"/>
              <w:left w:val="nil"/>
              <w:bottom w:val="single" w:sz="8" w:space="0" w:color="ED7D31"/>
              <w:right w:val="nil"/>
            </w:tcBorders>
            <w:shd w:val="clear" w:color="auto" w:fill="auto"/>
            <w:vAlign w:val="center"/>
            <w:hideMark/>
          </w:tcPr>
          <w:p w14:paraId="6C0D991D"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0.099</w:t>
            </w:r>
          </w:p>
        </w:tc>
        <w:tc>
          <w:tcPr>
            <w:tcW w:w="960" w:type="dxa"/>
            <w:gridSpan w:val="2"/>
            <w:tcBorders>
              <w:top w:val="nil"/>
              <w:left w:val="nil"/>
              <w:bottom w:val="single" w:sz="8" w:space="0" w:color="ED7D31"/>
              <w:right w:val="nil"/>
            </w:tcBorders>
            <w:shd w:val="clear" w:color="auto" w:fill="auto"/>
            <w:vAlign w:val="center"/>
            <w:hideMark/>
          </w:tcPr>
          <w:p w14:paraId="60B7E9FD"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(0.120)</w:t>
            </w:r>
          </w:p>
        </w:tc>
        <w:tc>
          <w:tcPr>
            <w:tcW w:w="1046" w:type="dxa"/>
            <w:tcBorders>
              <w:top w:val="nil"/>
              <w:left w:val="nil"/>
              <w:bottom w:val="single" w:sz="8" w:space="0" w:color="ED7D31"/>
              <w:right w:val="nil"/>
            </w:tcBorders>
            <w:shd w:val="clear" w:color="auto" w:fill="auto"/>
            <w:vAlign w:val="center"/>
            <w:hideMark/>
          </w:tcPr>
          <w:p w14:paraId="0A9883E0"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0.292</w:t>
            </w:r>
          </w:p>
        </w:tc>
        <w:tc>
          <w:tcPr>
            <w:tcW w:w="965" w:type="dxa"/>
            <w:gridSpan w:val="2"/>
            <w:tcBorders>
              <w:top w:val="nil"/>
              <w:left w:val="nil"/>
              <w:bottom w:val="single" w:sz="8" w:space="0" w:color="ED7D31"/>
              <w:right w:val="nil"/>
            </w:tcBorders>
            <w:shd w:val="clear" w:color="auto" w:fill="auto"/>
            <w:vAlign w:val="center"/>
            <w:hideMark/>
          </w:tcPr>
          <w:p w14:paraId="1807F09C"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(0.539)</w:t>
            </w:r>
          </w:p>
        </w:tc>
        <w:tc>
          <w:tcPr>
            <w:tcW w:w="1098" w:type="dxa"/>
            <w:tcBorders>
              <w:top w:val="nil"/>
              <w:left w:val="nil"/>
              <w:bottom w:val="single" w:sz="8" w:space="0" w:color="ED7D31"/>
              <w:right w:val="nil"/>
            </w:tcBorders>
            <w:shd w:val="clear" w:color="auto" w:fill="auto"/>
            <w:vAlign w:val="center"/>
            <w:hideMark/>
          </w:tcPr>
          <w:p w14:paraId="03A6480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1.003</w:t>
            </w:r>
          </w:p>
        </w:tc>
        <w:tc>
          <w:tcPr>
            <w:tcW w:w="960" w:type="dxa"/>
            <w:gridSpan w:val="2"/>
            <w:tcBorders>
              <w:top w:val="nil"/>
              <w:left w:val="nil"/>
              <w:bottom w:val="single" w:sz="8" w:space="0" w:color="ED7D31"/>
              <w:right w:val="nil"/>
            </w:tcBorders>
            <w:shd w:val="clear" w:color="auto" w:fill="auto"/>
            <w:vAlign w:val="center"/>
            <w:hideMark/>
          </w:tcPr>
          <w:p w14:paraId="1D26B0C1"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(0.133)</w:t>
            </w:r>
          </w:p>
        </w:tc>
      </w:tr>
      <w:tr w:rsidR="00244248" w:rsidRPr="00F9625D" w14:paraId="1DBFCE39" w14:textId="77777777" w:rsidTr="00335B25">
        <w:trPr>
          <w:trHeight w:val="255"/>
        </w:trPr>
        <w:tc>
          <w:tcPr>
            <w:tcW w:w="3860" w:type="dxa"/>
            <w:tcBorders>
              <w:top w:val="nil"/>
              <w:left w:val="nil"/>
              <w:bottom w:val="single" w:sz="4" w:space="0" w:color="ED7D31"/>
              <w:right w:val="nil"/>
            </w:tcBorders>
            <w:shd w:val="clear" w:color="auto" w:fill="auto"/>
            <w:vAlign w:val="center"/>
            <w:hideMark/>
          </w:tcPr>
          <w:p w14:paraId="6C7C8AE2"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Observations</w:t>
            </w:r>
          </w:p>
        </w:tc>
        <w:tc>
          <w:tcPr>
            <w:tcW w:w="1102" w:type="dxa"/>
            <w:tcBorders>
              <w:top w:val="nil"/>
              <w:left w:val="nil"/>
              <w:bottom w:val="single" w:sz="8" w:space="0" w:color="ED7D31"/>
              <w:right w:val="nil"/>
            </w:tcBorders>
            <w:shd w:val="clear" w:color="auto" w:fill="auto"/>
            <w:vAlign w:val="center"/>
            <w:hideMark/>
          </w:tcPr>
          <w:p w14:paraId="00E8FAEA"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13</w:t>
            </w:r>
            <w:r>
              <w:rPr>
                <w:rFonts w:ascii="Calibri Light" w:eastAsia="Times New Roman" w:hAnsi="Calibri Light" w:cs="Calibri Light"/>
                <w:color w:val="000000"/>
                <w:sz w:val="20"/>
                <w:szCs w:val="20"/>
                <w:lang w:eastAsia="en-AU"/>
              </w:rPr>
              <w:t>,</w:t>
            </w:r>
            <w:r w:rsidRPr="00F9625D">
              <w:rPr>
                <w:rFonts w:ascii="Calibri Light" w:eastAsia="Times New Roman" w:hAnsi="Calibri Light" w:cs="Calibri Light"/>
                <w:color w:val="000000"/>
                <w:sz w:val="20"/>
                <w:szCs w:val="20"/>
                <w:lang w:eastAsia="en-AU"/>
              </w:rPr>
              <w:t>462</w:t>
            </w:r>
          </w:p>
        </w:tc>
        <w:tc>
          <w:tcPr>
            <w:tcW w:w="999" w:type="dxa"/>
            <w:tcBorders>
              <w:top w:val="nil"/>
              <w:left w:val="nil"/>
              <w:bottom w:val="single" w:sz="8" w:space="0" w:color="ED7D31"/>
              <w:right w:val="nil"/>
            </w:tcBorders>
            <w:shd w:val="clear" w:color="auto" w:fill="auto"/>
            <w:vAlign w:val="center"/>
            <w:hideMark/>
          </w:tcPr>
          <w:p w14:paraId="04EE8B66"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 </w:t>
            </w:r>
          </w:p>
        </w:tc>
        <w:tc>
          <w:tcPr>
            <w:tcW w:w="1134" w:type="dxa"/>
            <w:tcBorders>
              <w:top w:val="nil"/>
              <w:left w:val="nil"/>
              <w:bottom w:val="single" w:sz="8" w:space="0" w:color="ED7D31"/>
              <w:right w:val="nil"/>
            </w:tcBorders>
            <w:shd w:val="clear" w:color="auto" w:fill="auto"/>
            <w:vAlign w:val="center"/>
            <w:hideMark/>
          </w:tcPr>
          <w:p w14:paraId="4E6677DC"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17</w:t>
            </w:r>
            <w:r>
              <w:rPr>
                <w:rFonts w:ascii="Calibri Light" w:eastAsia="Times New Roman" w:hAnsi="Calibri Light" w:cs="Calibri Light"/>
                <w:color w:val="000000"/>
                <w:sz w:val="20"/>
                <w:szCs w:val="20"/>
                <w:lang w:eastAsia="en-AU"/>
              </w:rPr>
              <w:t>,</w:t>
            </w:r>
            <w:r w:rsidRPr="00F9625D">
              <w:rPr>
                <w:rFonts w:ascii="Calibri Light" w:eastAsia="Times New Roman" w:hAnsi="Calibri Light" w:cs="Calibri Light"/>
                <w:color w:val="000000"/>
                <w:sz w:val="20"/>
                <w:szCs w:val="20"/>
                <w:lang w:eastAsia="en-AU"/>
              </w:rPr>
              <w:t>982</w:t>
            </w:r>
          </w:p>
        </w:tc>
        <w:tc>
          <w:tcPr>
            <w:tcW w:w="960" w:type="dxa"/>
            <w:gridSpan w:val="2"/>
            <w:tcBorders>
              <w:top w:val="nil"/>
              <w:left w:val="nil"/>
              <w:bottom w:val="single" w:sz="8" w:space="0" w:color="ED7D31"/>
              <w:right w:val="nil"/>
            </w:tcBorders>
            <w:shd w:val="clear" w:color="auto" w:fill="auto"/>
            <w:vAlign w:val="center"/>
            <w:hideMark/>
          </w:tcPr>
          <w:p w14:paraId="4C1113E9"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 </w:t>
            </w:r>
          </w:p>
        </w:tc>
        <w:tc>
          <w:tcPr>
            <w:tcW w:w="1046" w:type="dxa"/>
            <w:tcBorders>
              <w:top w:val="nil"/>
              <w:left w:val="nil"/>
              <w:bottom w:val="single" w:sz="8" w:space="0" w:color="ED7D31"/>
              <w:right w:val="nil"/>
            </w:tcBorders>
            <w:shd w:val="clear" w:color="auto" w:fill="auto"/>
            <w:vAlign w:val="center"/>
            <w:hideMark/>
          </w:tcPr>
          <w:p w14:paraId="4635BC31"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1</w:t>
            </w:r>
            <w:r>
              <w:rPr>
                <w:rFonts w:ascii="Calibri Light" w:eastAsia="Times New Roman" w:hAnsi="Calibri Light" w:cs="Calibri Light"/>
                <w:color w:val="000000"/>
                <w:sz w:val="20"/>
                <w:szCs w:val="20"/>
                <w:lang w:eastAsia="en-AU"/>
              </w:rPr>
              <w:t>,</w:t>
            </w:r>
            <w:r w:rsidRPr="00F9625D">
              <w:rPr>
                <w:rFonts w:ascii="Calibri Light" w:eastAsia="Times New Roman" w:hAnsi="Calibri Light" w:cs="Calibri Light"/>
                <w:color w:val="000000"/>
                <w:sz w:val="20"/>
                <w:szCs w:val="20"/>
                <w:lang w:eastAsia="en-AU"/>
              </w:rPr>
              <w:t>243</w:t>
            </w:r>
          </w:p>
        </w:tc>
        <w:tc>
          <w:tcPr>
            <w:tcW w:w="965" w:type="dxa"/>
            <w:gridSpan w:val="2"/>
            <w:tcBorders>
              <w:top w:val="nil"/>
              <w:left w:val="nil"/>
              <w:bottom w:val="single" w:sz="8" w:space="0" w:color="ED7D31"/>
              <w:right w:val="nil"/>
            </w:tcBorders>
            <w:shd w:val="clear" w:color="auto" w:fill="auto"/>
            <w:vAlign w:val="center"/>
            <w:hideMark/>
          </w:tcPr>
          <w:p w14:paraId="168188E2"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 </w:t>
            </w:r>
          </w:p>
        </w:tc>
        <w:tc>
          <w:tcPr>
            <w:tcW w:w="1098" w:type="dxa"/>
            <w:tcBorders>
              <w:top w:val="nil"/>
              <w:left w:val="nil"/>
              <w:bottom w:val="single" w:sz="8" w:space="0" w:color="ED7D31"/>
              <w:right w:val="nil"/>
            </w:tcBorders>
            <w:shd w:val="clear" w:color="auto" w:fill="auto"/>
            <w:vAlign w:val="center"/>
            <w:hideMark/>
          </w:tcPr>
          <w:p w14:paraId="026CFADB" w14:textId="77777777" w:rsidR="00244248" w:rsidRPr="00F9625D" w:rsidRDefault="00244248" w:rsidP="00335B25">
            <w:pPr>
              <w:spacing w:after="0" w:line="240" w:lineRule="auto"/>
              <w:rPr>
                <w:rFonts w:ascii="Calibri Light" w:eastAsia="Times New Roman" w:hAnsi="Calibri Light" w:cs="Calibri Light"/>
                <w:color w:val="000000"/>
                <w:sz w:val="20"/>
                <w:szCs w:val="20"/>
                <w:lang w:eastAsia="en-AU"/>
              </w:rPr>
            </w:pPr>
            <w:r w:rsidRPr="00F9625D">
              <w:rPr>
                <w:rFonts w:ascii="Calibri Light" w:eastAsia="Times New Roman" w:hAnsi="Calibri Light" w:cs="Calibri Light"/>
                <w:color w:val="000000"/>
                <w:sz w:val="20"/>
                <w:szCs w:val="20"/>
                <w:lang w:eastAsia="en-AU"/>
              </w:rPr>
              <w:t>642</w:t>
            </w:r>
          </w:p>
        </w:tc>
        <w:tc>
          <w:tcPr>
            <w:tcW w:w="960" w:type="dxa"/>
            <w:gridSpan w:val="2"/>
            <w:tcBorders>
              <w:top w:val="nil"/>
              <w:left w:val="nil"/>
              <w:bottom w:val="single" w:sz="8" w:space="0" w:color="ED7D31"/>
              <w:right w:val="nil"/>
            </w:tcBorders>
            <w:shd w:val="clear" w:color="auto" w:fill="auto"/>
            <w:vAlign w:val="center"/>
            <w:hideMark/>
          </w:tcPr>
          <w:p w14:paraId="29E0523E" w14:textId="77777777" w:rsidR="00244248" w:rsidRPr="00F9625D" w:rsidRDefault="00244248" w:rsidP="00335B25">
            <w:pPr>
              <w:spacing w:after="0" w:line="240" w:lineRule="auto"/>
              <w:rPr>
                <w:rFonts w:ascii="Calibri Light" w:eastAsia="Times New Roman" w:hAnsi="Calibri Light" w:cs="Calibri Light"/>
                <w:color w:val="808080"/>
                <w:sz w:val="20"/>
                <w:szCs w:val="20"/>
                <w:lang w:eastAsia="en-AU"/>
              </w:rPr>
            </w:pPr>
            <w:r w:rsidRPr="00F9625D">
              <w:rPr>
                <w:rFonts w:ascii="Calibri Light" w:eastAsia="Times New Roman" w:hAnsi="Calibri Light" w:cs="Calibri Light"/>
                <w:color w:val="808080"/>
                <w:sz w:val="20"/>
                <w:szCs w:val="20"/>
                <w:lang w:eastAsia="en-AU"/>
              </w:rPr>
              <w:t> </w:t>
            </w:r>
          </w:p>
        </w:tc>
      </w:tr>
    </w:tbl>
    <w:p w14:paraId="625725F0" w14:textId="77777777" w:rsidR="00244248" w:rsidRDefault="00244248" w:rsidP="00244248"/>
    <w:p w14:paraId="44576219" w14:textId="77777777" w:rsidR="00244248" w:rsidRDefault="00244248" w:rsidP="00244248"/>
    <w:p w14:paraId="675B20DC" w14:textId="5E301E18" w:rsidR="00244248" w:rsidRDefault="00244248" w:rsidP="00244248">
      <w:pPr>
        <w:pStyle w:val="Caption"/>
        <w:keepNext/>
      </w:pPr>
      <w:r>
        <w:lastRenderedPageBreak/>
        <w:t xml:space="preserve">Table </w:t>
      </w:r>
      <w:fldSimple w:instr=" SEQ Table \* ARABIC ">
        <w:r w:rsidR="00115E22">
          <w:rPr>
            <w:noProof/>
          </w:rPr>
          <w:t>59</w:t>
        </w:r>
      </w:fldSimple>
      <w:r>
        <w:t xml:space="preserve"> Number of additional children intended</w:t>
      </w:r>
      <w:r w:rsidRPr="00803C32">
        <w:t>, by parity</w:t>
      </w:r>
      <w:r>
        <w:t>,</w:t>
      </w:r>
      <w:r w:rsidRPr="00803C32">
        <w:t xml:space="preserve"> fixed effects</w:t>
      </w:r>
    </w:p>
    <w:tbl>
      <w:tblPr>
        <w:tblW w:w="12030" w:type="dxa"/>
        <w:tblLook w:val="04A0" w:firstRow="1" w:lastRow="0" w:firstColumn="1" w:lastColumn="0" w:noHBand="0" w:noVBand="1"/>
      </w:tblPr>
      <w:tblGrid>
        <w:gridCol w:w="3852"/>
        <w:gridCol w:w="1278"/>
        <w:gridCol w:w="840"/>
        <w:gridCol w:w="1260"/>
        <w:gridCol w:w="960"/>
        <w:gridCol w:w="960"/>
        <w:gridCol w:w="960"/>
        <w:gridCol w:w="960"/>
        <w:gridCol w:w="960"/>
      </w:tblGrid>
      <w:tr w:rsidR="00244248" w:rsidRPr="007A742B" w14:paraId="032DDC13" w14:textId="77777777" w:rsidTr="00335B25">
        <w:trPr>
          <w:trHeight w:val="20"/>
        </w:trPr>
        <w:tc>
          <w:tcPr>
            <w:tcW w:w="3852" w:type="dxa"/>
            <w:tcBorders>
              <w:top w:val="nil"/>
              <w:left w:val="nil"/>
              <w:bottom w:val="nil"/>
              <w:right w:val="nil"/>
            </w:tcBorders>
            <w:shd w:val="clear" w:color="000000" w:fill="FBE4D5"/>
            <w:vAlign w:val="center"/>
            <w:hideMark/>
          </w:tcPr>
          <w:p w14:paraId="2E08989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w:t>
            </w:r>
          </w:p>
        </w:tc>
        <w:tc>
          <w:tcPr>
            <w:tcW w:w="2118" w:type="dxa"/>
            <w:gridSpan w:val="2"/>
            <w:tcBorders>
              <w:top w:val="nil"/>
              <w:left w:val="nil"/>
              <w:bottom w:val="nil"/>
              <w:right w:val="nil"/>
            </w:tcBorders>
            <w:shd w:val="clear" w:color="000000" w:fill="FBE4D5"/>
            <w:vAlign w:val="center"/>
            <w:hideMark/>
          </w:tcPr>
          <w:p w14:paraId="1AD2148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Full sample </w:t>
            </w:r>
          </w:p>
        </w:tc>
        <w:tc>
          <w:tcPr>
            <w:tcW w:w="2220" w:type="dxa"/>
            <w:gridSpan w:val="2"/>
            <w:tcBorders>
              <w:top w:val="nil"/>
              <w:left w:val="nil"/>
              <w:bottom w:val="nil"/>
              <w:right w:val="nil"/>
            </w:tcBorders>
            <w:shd w:val="clear" w:color="000000" w:fill="FBE4D5"/>
            <w:vAlign w:val="center"/>
            <w:hideMark/>
          </w:tcPr>
          <w:p w14:paraId="086A195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Parity 0  </w:t>
            </w:r>
          </w:p>
        </w:tc>
        <w:tc>
          <w:tcPr>
            <w:tcW w:w="1920" w:type="dxa"/>
            <w:gridSpan w:val="2"/>
            <w:tcBorders>
              <w:top w:val="nil"/>
              <w:left w:val="nil"/>
              <w:bottom w:val="nil"/>
              <w:right w:val="nil"/>
            </w:tcBorders>
            <w:shd w:val="clear" w:color="000000" w:fill="FBE4D5"/>
            <w:vAlign w:val="center"/>
            <w:hideMark/>
          </w:tcPr>
          <w:p w14:paraId="695B157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Parity 1 </w:t>
            </w:r>
          </w:p>
        </w:tc>
        <w:tc>
          <w:tcPr>
            <w:tcW w:w="1920" w:type="dxa"/>
            <w:gridSpan w:val="2"/>
            <w:tcBorders>
              <w:top w:val="nil"/>
              <w:left w:val="nil"/>
              <w:bottom w:val="nil"/>
              <w:right w:val="nil"/>
            </w:tcBorders>
            <w:shd w:val="clear" w:color="000000" w:fill="FBE4D5"/>
            <w:vAlign w:val="center"/>
            <w:hideMark/>
          </w:tcPr>
          <w:p w14:paraId="66526D0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000000"/>
                <w:sz w:val="20"/>
                <w:szCs w:val="20"/>
                <w:lang w:eastAsia="en-AU"/>
              </w:rPr>
              <w:t>Parity 2</w:t>
            </w:r>
          </w:p>
        </w:tc>
      </w:tr>
      <w:tr w:rsidR="00244248" w:rsidRPr="007A742B" w14:paraId="41B646EE" w14:textId="77777777" w:rsidTr="00335B25">
        <w:trPr>
          <w:trHeight w:val="20"/>
        </w:trPr>
        <w:tc>
          <w:tcPr>
            <w:tcW w:w="3852" w:type="dxa"/>
            <w:tcBorders>
              <w:top w:val="nil"/>
              <w:left w:val="nil"/>
              <w:bottom w:val="single" w:sz="4" w:space="0" w:color="ED7D31"/>
              <w:right w:val="nil"/>
            </w:tcBorders>
            <w:shd w:val="clear" w:color="000000" w:fill="FBE4D5"/>
            <w:vAlign w:val="center"/>
            <w:hideMark/>
          </w:tcPr>
          <w:p w14:paraId="1160644D"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w:t>
            </w:r>
          </w:p>
        </w:tc>
        <w:tc>
          <w:tcPr>
            <w:tcW w:w="1278" w:type="dxa"/>
            <w:tcBorders>
              <w:top w:val="nil"/>
              <w:left w:val="nil"/>
              <w:bottom w:val="single" w:sz="4" w:space="0" w:color="ED7D31"/>
              <w:right w:val="nil"/>
            </w:tcBorders>
            <w:shd w:val="clear" w:color="000000" w:fill="FBE4D5"/>
            <w:vAlign w:val="center"/>
            <w:hideMark/>
          </w:tcPr>
          <w:p w14:paraId="39F4959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Coef. </w:t>
            </w:r>
          </w:p>
        </w:tc>
        <w:tc>
          <w:tcPr>
            <w:tcW w:w="840" w:type="dxa"/>
            <w:tcBorders>
              <w:top w:val="nil"/>
              <w:left w:val="nil"/>
              <w:bottom w:val="single" w:sz="4" w:space="0" w:color="ED7D31"/>
              <w:right w:val="nil"/>
            </w:tcBorders>
            <w:shd w:val="clear" w:color="000000" w:fill="FBE4D5"/>
            <w:vAlign w:val="center"/>
            <w:hideMark/>
          </w:tcPr>
          <w:p w14:paraId="771AEA5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Se</w:t>
            </w:r>
          </w:p>
        </w:tc>
        <w:tc>
          <w:tcPr>
            <w:tcW w:w="1260" w:type="dxa"/>
            <w:tcBorders>
              <w:top w:val="nil"/>
              <w:left w:val="nil"/>
              <w:bottom w:val="single" w:sz="4" w:space="0" w:color="ED7D31"/>
              <w:right w:val="nil"/>
            </w:tcBorders>
            <w:shd w:val="clear" w:color="000000" w:fill="FBE4D5"/>
            <w:vAlign w:val="center"/>
            <w:hideMark/>
          </w:tcPr>
          <w:p w14:paraId="5E9CDF7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Coef. </w:t>
            </w:r>
          </w:p>
        </w:tc>
        <w:tc>
          <w:tcPr>
            <w:tcW w:w="960" w:type="dxa"/>
            <w:tcBorders>
              <w:top w:val="nil"/>
              <w:left w:val="nil"/>
              <w:bottom w:val="single" w:sz="4" w:space="0" w:color="ED7D31"/>
              <w:right w:val="nil"/>
            </w:tcBorders>
            <w:shd w:val="clear" w:color="000000" w:fill="FBE4D5"/>
            <w:vAlign w:val="center"/>
            <w:hideMark/>
          </w:tcPr>
          <w:p w14:paraId="43352282"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Se</w:t>
            </w:r>
          </w:p>
        </w:tc>
        <w:tc>
          <w:tcPr>
            <w:tcW w:w="960" w:type="dxa"/>
            <w:tcBorders>
              <w:top w:val="nil"/>
              <w:left w:val="nil"/>
              <w:bottom w:val="single" w:sz="4" w:space="0" w:color="ED7D31"/>
              <w:right w:val="nil"/>
            </w:tcBorders>
            <w:shd w:val="clear" w:color="000000" w:fill="FBE4D5"/>
            <w:vAlign w:val="center"/>
            <w:hideMark/>
          </w:tcPr>
          <w:p w14:paraId="6879A5F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Coef. </w:t>
            </w:r>
          </w:p>
        </w:tc>
        <w:tc>
          <w:tcPr>
            <w:tcW w:w="960" w:type="dxa"/>
            <w:tcBorders>
              <w:top w:val="nil"/>
              <w:left w:val="nil"/>
              <w:bottom w:val="single" w:sz="4" w:space="0" w:color="ED7D31"/>
              <w:right w:val="nil"/>
            </w:tcBorders>
            <w:shd w:val="clear" w:color="000000" w:fill="FBE4D5"/>
            <w:vAlign w:val="center"/>
            <w:hideMark/>
          </w:tcPr>
          <w:p w14:paraId="1DE2208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Se</w:t>
            </w:r>
          </w:p>
        </w:tc>
        <w:tc>
          <w:tcPr>
            <w:tcW w:w="960" w:type="dxa"/>
            <w:tcBorders>
              <w:top w:val="nil"/>
              <w:left w:val="nil"/>
              <w:bottom w:val="single" w:sz="4" w:space="0" w:color="ED7D31"/>
              <w:right w:val="nil"/>
            </w:tcBorders>
            <w:shd w:val="clear" w:color="000000" w:fill="FBE4D5"/>
            <w:vAlign w:val="center"/>
            <w:hideMark/>
          </w:tcPr>
          <w:p w14:paraId="0705817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Coef. </w:t>
            </w:r>
          </w:p>
        </w:tc>
        <w:tc>
          <w:tcPr>
            <w:tcW w:w="960" w:type="dxa"/>
            <w:tcBorders>
              <w:top w:val="nil"/>
              <w:left w:val="nil"/>
              <w:bottom w:val="single" w:sz="4" w:space="0" w:color="ED7D31"/>
              <w:right w:val="nil"/>
            </w:tcBorders>
            <w:shd w:val="clear" w:color="000000" w:fill="FBE4D5"/>
            <w:vAlign w:val="center"/>
            <w:hideMark/>
          </w:tcPr>
          <w:p w14:paraId="7944066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Se</w:t>
            </w:r>
          </w:p>
        </w:tc>
      </w:tr>
      <w:tr w:rsidR="00244248" w:rsidRPr="007A742B" w14:paraId="043632E6" w14:textId="77777777" w:rsidTr="00335B25">
        <w:trPr>
          <w:trHeight w:val="20"/>
        </w:trPr>
        <w:tc>
          <w:tcPr>
            <w:tcW w:w="3852" w:type="dxa"/>
            <w:tcBorders>
              <w:top w:val="nil"/>
              <w:left w:val="nil"/>
              <w:bottom w:val="nil"/>
              <w:right w:val="nil"/>
            </w:tcBorders>
            <w:shd w:val="clear" w:color="auto" w:fill="auto"/>
            <w:vAlign w:val="center"/>
            <w:hideMark/>
          </w:tcPr>
          <w:p w14:paraId="08CBE438"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Number of children </w:t>
            </w:r>
            <w:r w:rsidRPr="007A742B">
              <w:rPr>
                <w:rFonts w:ascii="Calibri Light" w:eastAsia="Times New Roman" w:hAnsi="Calibri Light" w:cs="Calibri Light"/>
                <w:color w:val="000000"/>
                <w:sz w:val="20"/>
                <w:szCs w:val="20"/>
                <w:lang w:eastAsia="en-AU"/>
              </w:rPr>
              <w:t>(ref: childless)</w:t>
            </w:r>
          </w:p>
        </w:tc>
        <w:tc>
          <w:tcPr>
            <w:tcW w:w="1278" w:type="dxa"/>
            <w:tcBorders>
              <w:top w:val="nil"/>
              <w:left w:val="nil"/>
              <w:bottom w:val="nil"/>
              <w:right w:val="nil"/>
            </w:tcBorders>
            <w:shd w:val="clear" w:color="auto" w:fill="auto"/>
            <w:vAlign w:val="center"/>
            <w:hideMark/>
          </w:tcPr>
          <w:p w14:paraId="10FEDDF6"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1C95E0E4"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60" w:type="dxa"/>
            <w:tcBorders>
              <w:top w:val="nil"/>
              <w:left w:val="nil"/>
              <w:bottom w:val="nil"/>
              <w:right w:val="nil"/>
            </w:tcBorders>
            <w:shd w:val="clear" w:color="auto" w:fill="auto"/>
            <w:vAlign w:val="center"/>
            <w:hideMark/>
          </w:tcPr>
          <w:p w14:paraId="3CE138FC"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2753F131"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5A58AFE1"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176024BB"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5E6DD32D"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364B5CDC"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6F483EA1" w14:textId="77777777" w:rsidTr="00335B25">
        <w:trPr>
          <w:trHeight w:val="20"/>
        </w:trPr>
        <w:tc>
          <w:tcPr>
            <w:tcW w:w="3852" w:type="dxa"/>
            <w:tcBorders>
              <w:top w:val="nil"/>
              <w:left w:val="nil"/>
              <w:bottom w:val="nil"/>
              <w:right w:val="nil"/>
            </w:tcBorders>
            <w:shd w:val="clear" w:color="auto" w:fill="auto"/>
            <w:vAlign w:val="center"/>
            <w:hideMark/>
          </w:tcPr>
          <w:p w14:paraId="2E4B664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 child</w:t>
            </w:r>
          </w:p>
        </w:tc>
        <w:tc>
          <w:tcPr>
            <w:tcW w:w="1278" w:type="dxa"/>
            <w:tcBorders>
              <w:top w:val="nil"/>
              <w:left w:val="nil"/>
              <w:bottom w:val="nil"/>
              <w:right w:val="nil"/>
            </w:tcBorders>
            <w:shd w:val="clear" w:color="auto" w:fill="auto"/>
            <w:vAlign w:val="center"/>
            <w:hideMark/>
          </w:tcPr>
          <w:p w14:paraId="1D9F07D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-0.823***</w:t>
            </w:r>
          </w:p>
        </w:tc>
        <w:tc>
          <w:tcPr>
            <w:tcW w:w="840" w:type="dxa"/>
            <w:tcBorders>
              <w:top w:val="nil"/>
              <w:left w:val="nil"/>
              <w:bottom w:val="nil"/>
              <w:right w:val="nil"/>
            </w:tcBorders>
            <w:shd w:val="clear" w:color="auto" w:fill="auto"/>
            <w:vAlign w:val="center"/>
            <w:hideMark/>
          </w:tcPr>
          <w:p w14:paraId="78FC5B0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(0.020)</w:t>
            </w:r>
          </w:p>
        </w:tc>
        <w:tc>
          <w:tcPr>
            <w:tcW w:w="1260" w:type="dxa"/>
            <w:tcBorders>
              <w:top w:val="nil"/>
              <w:left w:val="nil"/>
              <w:bottom w:val="nil"/>
              <w:right w:val="nil"/>
            </w:tcBorders>
            <w:shd w:val="clear" w:color="auto" w:fill="auto"/>
            <w:vAlign w:val="center"/>
            <w:hideMark/>
          </w:tcPr>
          <w:p w14:paraId="043C336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p>
        </w:tc>
        <w:tc>
          <w:tcPr>
            <w:tcW w:w="960" w:type="dxa"/>
            <w:tcBorders>
              <w:top w:val="nil"/>
              <w:left w:val="nil"/>
              <w:bottom w:val="nil"/>
              <w:right w:val="nil"/>
            </w:tcBorders>
            <w:shd w:val="clear" w:color="auto" w:fill="auto"/>
            <w:vAlign w:val="center"/>
            <w:hideMark/>
          </w:tcPr>
          <w:p w14:paraId="148C7140"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6AE169A2"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649E4D55"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28099BDC"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13AD0291"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51DCB1C8" w14:textId="77777777" w:rsidTr="00335B25">
        <w:trPr>
          <w:trHeight w:val="20"/>
        </w:trPr>
        <w:tc>
          <w:tcPr>
            <w:tcW w:w="3852" w:type="dxa"/>
            <w:tcBorders>
              <w:top w:val="nil"/>
              <w:left w:val="nil"/>
              <w:bottom w:val="nil"/>
              <w:right w:val="nil"/>
            </w:tcBorders>
            <w:shd w:val="clear" w:color="auto" w:fill="auto"/>
            <w:vAlign w:val="center"/>
            <w:hideMark/>
          </w:tcPr>
          <w:p w14:paraId="41978B0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2 children</w:t>
            </w:r>
          </w:p>
        </w:tc>
        <w:tc>
          <w:tcPr>
            <w:tcW w:w="1278" w:type="dxa"/>
            <w:tcBorders>
              <w:top w:val="nil"/>
              <w:left w:val="nil"/>
              <w:bottom w:val="nil"/>
              <w:right w:val="nil"/>
            </w:tcBorders>
            <w:shd w:val="clear" w:color="auto" w:fill="auto"/>
            <w:vAlign w:val="center"/>
            <w:hideMark/>
          </w:tcPr>
          <w:p w14:paraId="6DBDF5D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-1.557***</w:t>
            </w:r>
          </w:p>
        </w:tc>
        <w:tc>
          <w:tcPr>
            <w:tcW w:w="840" w:type="dxa"/>
            <w:tcBorders>
              <w:top w:val="nil"/>
              <w:left w:val="nil"/>
              <w:bottom w:val="nil"/>
              <w:right w:val="nil"/>
            </w:tcBorders>
            <w:shd w:val="clear" w:color="auto" w:fill="auto"/>
            <w:vAlign w:val="center"/>
            <w:hideMark/>
          </w:tcPr>
          <w:p w14:paraId="2B8D38EF"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(0.029)</w:t>
            </w:r>
          </w:p>
        </w:tc>
        <w:tc>
          <w:tcPr>
            <w:tcW w:w="1260" w:type="dxa"/>
            <w:tcBorders>
              <w:top w:val="nil"/>
              <w:left w:val="nil"/>
              <w:bottom w:val="nil"/>
              <w:right w:val="nil"/>
            </w:tcBorders>
            <w:shd w:val="clear" w:color="auto" w:fill="auto"/>
            <w:vAlign w:val="center"/>
            <w:hideMark/>
          </w:tcPr>
          <w:p w14:paraId="63CDFE2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p>
        </w:tc>
        <w:tc>
          <w:tcPr>
            <w:tcW w:w="960" w:type="dxa"/>
            <w:tcBorders>
              <w:top w:val="nil"/>
              <w:left w:val="nil"/>
              <w:bottom w:val="nil"/>
              <w:right w:val="nil"/>
            </w:tcBorders>
            <w:shd w:val="clear" w:color="auto" w:fill="auto"/>
            <w:vAlign w:val="center"/>
            <w:hideMark/>
          </w:tcPr>
          <w:p w14:paraId="709C8D30"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40E154E9"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1F834CD5"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0B274739"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7CE3FFE3"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219EE9C1" w14:textId="77777777" w:rsidTr="00335B25">
        <w:trPr>
          <w:trHeight w:val="20"/>
        </w:trPr>
        <w:tc>
          <w:tcPr>
            <w:tcW w:w="3852" w:type="dxa"/>
            <w:tcBorders>
              <w:top w:val="nil"/>
              <w:left w:val="nil"/>
              <w:bottom w:val="single" w:sz="4" w:space="0" w:color="ED7D31"/>
              <w:right w:val="nil"/>
            </w:tcBorders>
            <w:shd w:val="clear" w:color="auto" w:fill="auto"/>
            <w:vAlign w:val="center"/>
            <w:hideMark/>
          </w:tcPr>
          <w:p w14:paraId="1A9D2B7D"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3 children</w:t>
            </w:r>
          </w:p>
        </w:tc>
        <w:tc>
          <w:tcPr>
            <w:tcW w:w="1278" w:type="dxa"/>
            <w:tcBorders>
              <w:top w:val="nil"/>
              <w:left w:val="nil"/>
              <w:bottom w:val="single" w:sz="4" w:space="0" w:color="ED7D31"/>
              <w:right w:val="nil"/>
            </w:tcBorders>
            <w:shd w:val="clear" w:color="auto" w:fill="auto"/>
            <w:vAlign w:val="center"/>
            <w:hideMark/>
          </w:tcPr>
          <w:p w14:paraId="1A9A081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-1.985***</w:t>
            </w:r>
          </w:p>
        </w:tc>
        <w:tc>
          <w:tcPr>
            <w:tcW w:w="840" w:type="dxa"/>
            <w:tcBorders>
              <w:top w:val="nil"/>
              <w:left w:val="nil"/>
              <w:bottom w:val="single" w:sz="4" w:space="0" w:color="ED7D31"/>
              <w:right w:val="nil"/>
            </w:tcBorders>
            <w:shd w:val="clear" w:color="auto" w:fill="auto"/>
            <w:vAlign w:val="center"/>
            <w:hideMark/>
          </w:tcPr>
          <w:p w14:paraId="2236391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(0.042)</w:t>
            </w:r>
          </w:p>
        </w:tc>
        <w:tc>
          <w:tcPr>
            <w:tcW w:w="1260" w:type="dxa"/>
            <w:tcBorders>
              <w:top w:val="nil"/>
              <w:left w:val="nil"/>
              <w:bottom w:val="single" w:sz="4" w:space="0" w:color="ED7D31"/>
              <w:right w:val="nil"/>
            </w:tcBorders>
            <w:shd w:val="clear" w:color="auto" w:fill="auto"/>
            <w:vAlign w:val="center"/>
            <w:hideMark/>
          </w:tcPr>
          <w:p w14:paraId="15393187" w14:textId="77777777" w:rsidR="00244248" w:rsidRPr="007A742B" w:rsidRDefault="00244248" w:rsidP="00335B25">
            <w:pPr>
              <w:spacing w:after="0" w:line="240" w:lineRule="auto"/>
              <w:rPr>
                <w:rFonts w:ascii="Calibri" w:eastAsia="Times New Roman" w:hAnsi="Calibri" w:cs="Calibri"/>
                <w:color w:val="000000"/>
                <w:lang w:eastAsia="en-AU"/>
              </w:rPr>
            </w:pPr>
            <w:r w:rsidRPr="007A742B">
              <w:rPr>
                <w:rFonts w:ascii="Calibri" w:eastAsia="Times New Roman" w:hAnsi="Calibri" w:cs="Calibri"/>
                <w:color w:val="000000"/>
                <w:lang w:eastAsia="en-AU"/>
              </w:rPr>
              <w:t> </w:t>
            </w:r>
          </w:p>
        </w:tc>
        <w:tc>
          <w:tcPr>
            <w:tcW w:w="960" w:type="dxa"/>
            <w:tcBorders>
              <w:top w:val="nil"/>
              <w:left w:val="nil"/>
              <w:bottom w:val="single" w:sz="4" w:space="0" w:color="ED7D31"/>
              <w:right w:val="nil"/>
            </w:tcBorders>
            <w:shd w:val="clear" w:color="auto" w:fill="auto"/>
            <w:vAlign w:val="center"/>
            <w:hideMark/>
          </w:tcPr>
          <w:p w14:paraId="4E2DB96C" w14:textId="77777777" w:rsidR="00244248" w:rsidRPr="007A742B" w:rsidRDefault="00244248" w:rsidP="00335B25">
            <w:pPr>
              <w:spacing w:after="0" w:line="240" w:lineRule="auto"/>
              <w:rPr>
                <w:rFonts w:ascii="Calibri" w:eastAsia="Times New Roman" w:hAnsi="Calibri" w:cs="Calibri"/>
                <w:color w:val="808080"/>
                <w:lang w:eastAsia="en-AU"/>
              </w:rPr>
            </w:pPr>
            <w:r w:rsidRPr="007A742B">
              <w:rPr>
                <w:rFonts w:ascii="Calibri" w:eastAsia="Times New Roman" w:hAnsi="Calibri" w:cs="Calibri"/>
                <w:color w:val="808080"/>
                <w:lang w:eastAsia="en-AU"/>
              </w:rPr>
              <w:t> </w:t>
            </w:r>
          </w:p>
        </w:tc>
        <w:tc>
          <w:tcPr>
            <w:tcW w:w="960" w:type="dxa"/>
            <w:tcBorders>
              <w:top w:val="nil"/>
              <w:left w:val="nil"/>
              <w:bottom w:val="single" w:sz="4" w:space="0" w:color="ED7D31"/>
              <w:right w:val="nil"/>
            </w:tcBorders>
            <w:shd w:val="clear" w:color="auto" w:fill="auto"/>
            <w:vAlign w:val="center"/>
            <w:hideMark/>
          </w:tcPr>
          <w:p w14:paraId="4B2F329C" w14:textId="77777777" w:rsidR="00244248" w:rsidRPr="007A742B" w:rsidRDefault="00244248" w:rsidP="00335B25">
            <w:pPr>
              <w:spacing w:after="0" w:line="240" w:lineRule="auto"/>
              <w:rPr>
                <w:rFonts w:ascii="Calibri" w:eastAsia="Times New Roman" w:hAnsi="Calibri" w:cs="Calibri"/>
                <w:color w:val="000000"/>
                <w:lang w:eastAsia="en-AU"/>
              </w:rPr>
            </w:pPr>
            <w:r w:rsidRPr="007A742B">
              <w:rPr>
                <w:rFonts w:ascii="Calibri" w:eastAsia="Times New Roman" w:hAnsi="Calibri" w:cs="Calibri"/>
                <w:color w:val="000000"/>
                <w:lang w:eastAsia="en-AU"/>
              </w:rPr>
              <w:t> </w:t>
            </w:r>
          </w:p>
        </w:tc>
        <w:tc>
          <w:tcPr>
            <w:tcW w:w="960" w:type="dxa"/>
            <w:tcBorders>
              <w:top w:val="nil"/>
              <w:left w:val="nil"/>
              <w:bottom w:val="single" w:sz="4" w:space="0" w:color="ED7D31"/>
              <w:right w:val="nil"/>
            </w:tcBorders>
            <w:shd w:val="clear" w:color="auto" w:fill="auto"/>
            <w:vAlign w:val="center"/>
            <w:hideMark/>
          </w:tcPr>
          <w:p w14:paraId="6CB5645C" w14:textId="77777777" w:rsidR="00244248" w:rsidRPr="007A742B" w:rsidRDefault="00244248" w:rsidP="00335B25">
            <w:pPr>
              <w:spacing w:after="0" w:line="240" w:lineRule="auto"/>
              <w:rPr>
                <w:rFonts w:ascii="Calibri" w:eastAsia="Times New Roman" w:hAnsi="Calibri" w:cs="Calibri"/>
                <w:color w:val="808080"/>
                <w:lang w:eastAsia="en-AU"/>
              </w:rPr>
            </w:pPr>
            <w:r w:rsidRPr="007A742B">
              <w:rPr>
                <w:rFonts w:ascii="Calibri" w:eastAsia="Times New Roman" w:hAnsi="Calibri" w:cs="Calibri"/>
                <w:color w:val="808080"/>
                <w:lang w:eastAsia="en-AU"/>
              </w:rPr>
              <w:t> </w:t>
            </w:r>
          </w:p>
        </w:tc>
        <w:tc>
          <w:tcPr>
            <w:tcW w:w="960" w:type="dxa"/>
            <w:tcBorders>
              <w:top w:val="nil"/>
              <w:left w:val="nil"/>
              <w:bottom w:val="single" w:sz="4" w:space="0" w:color="ED7D31"/>
              <w:right w:val="nil"/>
            </w:tcBorders>
            <w:shd w:val="clear" w:color="auto" w:fill="auto"/>
            <w:vAlign w:val="center"/>
            <w:hideMark/>
          </w:tcPr>
          <w:p w14:paraId="05D80786" w14:textId="77777777" w:rsidR="00244248" w:rsidRPr="007A742B" w:rsidRDefault="00244248" w:rsidP="00335B25">
            <w:pPr>
              <w:spacing w:after="0" w:line="240" w:lineRule="auto"/>
              <w:rPr>
                <w:rFonts w:ascii="Calibri" w:eastAsia="Times New Roman" w:hAnsi="Calibri" w:cs="Calibri"/>
                <w:color w:val="000000"/>
                <w:lang w:eastAsia="en-AU"/>
              </w:rPr>
            </w:pPr>
            <w:r w:rsidRPr="007A742B">
              <w:rPr>
                <w:rFonts w:ascii="Calibri" w:eastAsia="Times New Roman" w:hAnsi="Calibri" w:cs="Calibri"/>
                <w:color w:val="000000"/>
                <w:lang w:eastAsia="en-AU"/>
              </w:rPr>
              <w:t> </w:t>
            </w:r>
          </w:p>
        </w:tc>
        <w:tc>
          <w:tcPr>
            <w:tcW w:w="960" w:type="dxa"/>
            <w:tcBorders>
              <w:top w:val="nil"/>
              <w:left w:val="nil"/>
              <w:bottom w:val="single" w:sz="4" w:space="0" w:color="ED7D31"/>
              <w:right w:val="nil"/>
            </w:tcBorders>
            <w:shd w:val="clear" w:color="auto" w:fill="auto"/>
            <w:vAlign w:val="center"/>
            <w:hideMark/>
          </w:tcPr>
          <w:p w14:paraId="4BA55AF3" w14:textId="77777777" w:rsidR="00244248" w:rsidRPr="007A742B" w:rsidRDefault="00244248" w:rsidP="00335B25">
            <w:pPr>
              <w:spacing w:after="0" w:line="240" w:lineRule="auto"/>
              <w:rPr>
                <w:rFonts w:ascii="Calibri" w:eastAsia="Times New Roman" w:hAnsi="Calibri" w:cs="Calibri"/>
                <w:color w:val="808080"/>
                <w:lang w:eastAsia="en-AU"/>
              </w:rPr>
            </w:pPr>
            <w:r w:rsidRPr="007A742B">
              <w:rPr>
                <w:rFonts w:ascii="Calibri" w:eastAsia="Times New Roman" w:hAnsi="Calibri" w:cs="Calibri"/>
                <w:color w:val="808080"/>
                <w:lang w:eastAsia="en-AU"/>
              </w:rPr>
              <w:t> </w:t>
            </w:r>
          </w:p>
        </w:tc>
      </w:tr>
      <w:tr w:rsidR="00244248" w:rsidRPr="007A742B" w14:paraId="5A2C5920" w14:textId="77777777" w:rsidTr="00335B25">
        <w:trPr>
          <w:trHeight w:val="20"/>
        </w:trPr>
        <w:tc>
          <w:tcPr>
            <w:tcW w:w="3852" w:type="dxa"/>
            <w:tcBorders>
              <w:top w:val="nil"/>
              <w:left w:val="nil"/>
              <w:bottom w:val="nil"/>
              <w:right w:val="nil"/>
            </w:tcBorders>
            <w:shd w:val="clear" w:color="auto" w:fill="auto"/>
            <w:vAlign w:val="center"/>
            <w:hideMark/>
          </w:tcPr>
          <w:p w14:paraId="687A63E8"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Age group </w:t>
            </w:r>
            <w:r w:rsidRPr="007A742B">
              <w:rPr>
                <w:rFonts w:ascii="Calibri Light" w:eastAsia="Times New Roman" w:hAnsi="Calibri Light" w:cs="Calibri Light"/>
                <w:color w:val="000000"/>
                <w:sz w:val="20"/>
                <w:szCs w:val="20"/>
                <w:lang w:eastAsia="en-AU"/>
              </w:rPr>
              <w:t>(ref: 25-29)</w:t>
            </w:r>
          </w:p>
        </w:tc>
        <w:tc>
          <w:tcPr>
            <w:tcW w:w="1278" w:type="dxa"/>
            <w:tcBorders>
              <w:top w:val="nil"/>
              <w:left w:val="nil"/>
              <w:bottom w:val="nil"/>
              <w:right w:val="nil"/>
            </w:tcBorders>
            <w:shd w:val="clear" w:color="auto" w:fill="auto"/>
            <w:vAlign w:val="center"/>
            <w:hideMark/>
          </w:tcPr>
          <w:p w14:paraId="3A57B078"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5119C8BB"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60" w:type="dxa"/>
            <w:tcBorders>
              <w:top w:val="nil"/>
              <w:left w:val="nil"/>
              <w:bottom w:val="nil"/>
              <w:right w:val="nil"/>
            </w:tcBorders>
            <w:shd w:val="clear" w:color="auto" w:fill="auto"/>
            <w:vAlign w:val="center"/>
            <w:hideMark/>
          </w:tcPr>
          <w:p w14:paraId="65367F4E"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76BEB736"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0D8797B1"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25D32B8F"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313AC0A7"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35FD86E2"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3C74EB21" w14:textId="77777777" w:rsidTr="00335B25">
        <w:trPr>
          <w:trHeight w:val="20"/>
        </w:trPr>
        <w:tc>
          <w:tcPr>
            <w:tcW w:w="3852" w:type="dxa"/>
            <w:tcBorders>
              <w:top w:val="nil"/>
              <w:left w:val="nil"/>
              <w:bottom w:val="nil"/>
              <w:right w:val="nil"/>
            </w:tcBorders>
            <w:shd w:val="clear" w:color="auto" w:fill="auto"/>
            <w:vAlign w:val="center"/>
            <w:hideMark/>
          </w:tcPr>
          <w:p w14:paraId="7264165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 xml:space="preserve"> 18-24</w:t>
            </w:r>
          </w:p>
        </w:tc>
        <w:tc>
          <w:tcPr>
            <w:tcW w:w="1278" w:type="dxa"/>
            <w:tcBorders>
              <w:top w:val="nil"/>
              <w:left w:val="nil"/>
              <w:bottom w:val="nil"/>
              <w:right w:val="nil"/>
            </w:tcBorders>
            <w:shd w:val="clear" w:color="auto" w:fill="auto"/>
            <w:vAlign w:val="center"/>
            <w:hideMark/>
          </w:tcPr>
          <w:p w14:paraId="04B9C8C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0.018</w:t>
            </w:r>
          </w:p>
        </w:tc>
        <w:tc>
          <w:tcPr>
            <w:tcW w:w="840" w:type="dxa"/>
            <w:tcBorders>
              <w:top w:val="nil"/>
              <w:left w:val="nil"/>
              <w:bottom w:val="nil"/>
              <w:right w:val="nil"/>
            </w:tcBorders>
            <w:shd w:val="clear" w:color="auto" w:fill="auto"/>
            <w:vAlign w:val="center"/>
            <w:hideMark/>
          </w:tcPr>
          <w:p w14:paraId="6658EEC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(0.016)</w:t>
            </w:r>
          </w:p>
        </w:tc>
        <w:tc>
          <w:tcPr>
            <w:tcW w:w="1260" w:type="dxa"/>
            <w:tcBorders>
              <w:top w:val="nil"/>
              <w:left w:val="nil"/>
              <w:bottom w:val="nil"/>
              <w:right w:val="nil"/>
            </w:tcBorders>
            <w:shd w:val="clear" w:color="auto" w:fill="auto"/>
            <w:vAlign w:val="center"/>
            <w:hideMark/>
          </w:tcPr>
          <w:p w14:paraId="7CCD631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-0.004</w:t>
            </w:r>
          </w:p>
        </w:tc>
        <w:tc>
          <w:tcPr>
            <w:tcW w:w="960" w:type="dxa"/>
            <w:tcBorders>
              <w:top w:val="nil"/>
              <w:left w:val="nil"/>
              <w:bottom w:val="nil"/>
              <w:right w:val="nil"/>
            </w:tcBorders>
            <w:shd w:val="clear" w:color="auto" w:fill="auto"/>
            <w:vAlign w:val="center"/>
            <w:hideMark/>
          </w:tcPr>
          <w:p w14:paraId="6E5F73E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(0.021)</w:t>
            </w:r>
          </w:p>
        </w:tc>
        <w:tc>
          <w:tcPr>
            <w:tcW w:w="960" w:type="dxa"/>
            <w:tcBorders>
              <w:top w:val="nil"/>
              <w:left w:val="nil"/>
              <w:bottom w:val="nil"/>
              <w:right w:val="nil"/>
            </w:tcBorders>
            <w:shd w:val="clear" w:color="auto" w:fill="auto"/>
            <w:vAlign w:val="center"/>
            <w:hideMark/>
          </w:tcPr>
          <w:p w14:paraId="5EEE12D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-0.041</w:t>
            </w:r>
          </w:p>
        </w:tc>
        <w:tc>
          <w:tcPr>
            <w:tcW w:w="960" w:type="dxa"/>
            <w:tcBorders>
              <w:top w:val="nil"/>
              <w:left w:val="nil"/>
              <w:bottom w:val="nil"/>
              <w:right w:val="nil"/>
            </w:tcBorders>
            <w:shd w:val="clear" w:color="auto" w:fill="auto"/>
            <w:vAlign w:val="center"/>
            <w:hideMark/>
          </w:tcPr>
          <w:p w14:paraId="6E55F60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(0.064)</w:t>
            </w:r>
          </w:p>
        </w:tc>
        <w:tc>
          <w:tcPr>
            <w:tcW w:w="960" w:type="dxa"/>
            <w:tcBorders>
              <w:top w:val="nil"/>
              <w:left w:val="nil"/>
              <w:bottom w:val="nil"/>
              <w:right w:val="nil"/>
            </w:tcBorders>
            <w:shd w:val="clear" w:color="auto" w:fill="auto"/>
            <w:vAlign w:val="center"/>
            <w:hideMark/>
          </w:tcPr>
          <w:p w14:paraId="72CB892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0.053</w:t>
            </w:r>
          </w:p>
        </w:tc>
        <w:tc>
          <w:tcPr>
            <w:tcW w:w="960" w:type="dxa"/>
            <w:tcBorders>
              <w:top w:val="nil"/>
              <w:left w:val="nil"/>
              <w:bottom w:val="nil"/>
              <w:right w:val="nil"/>
            </w:tcBorders>
            <w:shd w:val="clear" w:color="auto" w:fill="auto"/>
            <w:vAlign w:val="center"/>
            <w:hideMark/>
          </w:tcPr>
          <w:p w14:paraId="0558D87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(0.016)</w:t>
            </w:r>
          </w:p>
        </w:tc>
      </w:tr>
      <w:tr w:rsidR="00244248" w:rsidRPr="007A742B" w14:paraId="2C941D7B" w14:textId="77777777" w:rsidTr="00335B25">
        <w:trPr>
          <w:trHeight w:val="20"/>
        </w:trPr>
        <w:tc>
          <w:tcPr>
            <w:tcW w:w="3852" w:type="dxa"/>
            <w:tcBorders>
              <w:top w:val="nil"/>
              <w:left w:val="nil"/>
              <w:bottom w:val="nil"/>
              <w:right w:val="nil"/>
            </w:tcBorders>
            <w:shd w:val="clear" w:color="auto" w:fill="auto"/>
            <w:vAlign w:val="center"/>
            <w:hideMark/>
          </w:tcPr>
          <w:p w14:paraId="6C6D16A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30-34</w:t>
            </w:r>
          </w:p>
        </w:tc>
        <w:tc>
          <w:tcPr>
            <w:tcW w:w="1278" w:type="dxa"/>
            <w:tcBorders>
              <w:top w:val="nil"/>
              <w:left w:val="nil"/>
              <w:bottom w:val="nil"/>
              <w:right w:val="nil"/>
            </w:tcBorders>
            <w:shd w:val="clear" w:color="auto" w:fill="auto"/>
            <w:vAlign w:val="center"/>
            <w:hideMark/>
          </w:tcPr>
          <w:p w14:paraId="300B9B7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-0.082***</w:t>
            </w:r>
          </w:p>
        </w:tc>
        <w:tc>
          <w:tcPr>
            <w:tcW w:w="840" w:type="dxa"/>
            <w:tcBorders>
              <w:top w:val="nil"/>
              <w:left w:val="nil"/>
              <w:bottom w:val="nil"/>
              <w:right w:val="nil"/>
            </w:tcBorders>
            <w:shd w:val="clear" w:color="auto" w:fill="auto"/>
            <w:vAlign w:val="center"/>
            <w:hideMark/>
          </w:tcPr>
          <w:p w14:paraId="48586CD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(0.017)</w:t>
            </w:r>
          </w:p>
        </w:tc>
        <w:tc>
          <w:tcPr>
            <w:tcW w:w="1260" w:type="dxa"/>
            <w:tcBorders>
              <w:top w:val="nil"/>
              <w:left w:val="nil"/>
              <w:bottom w:val="nil"/>
              <w:right w:val="nil"/>
            </w:tcBorders>
            <w:shd w:val="clear" w:color="auto" w:fill="auto"/>
            <w:vAlign w:val="center"/>
            <w:hideMark/>
          </w:tcPr>
          <w:p w14:paraId="03534B1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-0.080***</w:t>
            </w:r>
          </w:p>
        </w:tc>
        <w:tc>
          <w:tcPr>
            <w:tcW w:w="960" w:type="dxa"/>
            <w:tcBorders>
              <w:top w:val="nil"/>
              <w:left w:val="nil"/>
              <w:bottom w:val="nil"/>
              <w:right w:val="nil"/>
            </w:tcBorders>
            <w:shd w:val="clear" w:color="auto" w:fill="auto"/>
            <w:vAlign w:val="center"/>
            <w:hideMark/>
          </w:tcPr>
          <w:p w14:paraId="2D73AD6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(0.030)</w:t>
            </w:r>
          </w:p>
        </w:tc>
        <w:tc>
          <w:tcPr>
            <w:tcW w:w="960" w:type="dxa"/>
            <w:tcBorders>
              <w:top w:val="nil"/>
              <w:left w:val="nil"/>
              <w:bottom w:val="nil"/>
              <w:right w:val="nil"/>
            </w:tcBorders>
            <w:shd w:val="clear" w:color="auto" w:fill="auto"/>
            <w:vAlign w:val="center"/>
            <w:hideMark/>
          </w:tcPr>
          <w:p w14:paraId="49D04DA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-0.012</w:t>
            </w:r>
          </w:p>
        </w:tc>
        <w:tc>
          <w:tcPr>
            <w:tcW w:w="960" w:type="dxa"/>
            <w:tcBorders>
              <w:top w:val="nil"/>
              <w:left w:val="nil"/>
              <w:bottom w:val="nil"/>
              <w:right w:val="nil"/>
            </w:tcBorders>
            <w:shd w:val="clear" w:color="auto" w:fill="auto"/>
            <w:vAlign w:val="center"/>
            <w:hideMark/>
          </w:tcPr>
          <w:p w14:paraId="573F7BC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(0.049)</w:t>
            </w:r>
          </w:p>
        </w:tc>
        <w:tc>
          <w:tcPr>
            <w:tcW w:w="960" w:type="dxa"/>
            <w:tcBorders>
              <w:top w:val="nil"/>
              <w:left w:val="nil"/>
              <w:bottom w:val="nil"/>
              <w:right w:val="nil"/>
            </w:tcBorders>
            <w:shd w:val="clear" w:color="auto" w:fill="auto"/>
            <w:vAlign w:val="center"/>
            <w:hideMark/>
          </w:tcPr>
          <w:p w14:paraId="397C23B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-0.025</w:t>
            </w:r>
          </w:p>
        </w:tc>
        <w:tc>
          <w:tcPr>
            <w:tcW w:w="960" w:type="dxa"/>
            <w:tcBorders>
              <w:top w:val="nil"/>
              <w:left w:val="nil"/>
              <w:bottom w:val="nil"/>
              <w:right w:val="nil"/>
            </w:tcBorders>
            <w:shd w:val="clear" w:color="auto" w:fill="auto"/>
            <w:vAlign w:val="center"/>
            <w:hideMark/>
          </w:tcPr>
          <w:p w14:paraId="6A71D8B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(0.017)</w:t>
            </w:r>
          </w:p>
        </w:tc>
      </w:tr>
      <w:tr w:rsidR="00244248" w:rsidRPr="007A742B" w14:paraId="7D9C0E78" w14:textId="77777777" w:rsidTr="00335B25">
        <w:trPr>
          <w:trHeight w:val="20"/>
        </w:trPr>
        <w:tc>
          <w:tcPr>
            <w:tcW w:w="3852" w:type="dxa"/>
            <w:tcBorders>
              <w:top w:val="nil"/>
              <w:left w:val="nil"/>
              <w:bottom w:val="nil"/>
              <w:right w:val="nil"/>
            </w:tcBorders>
            <w:shd w:val="clear" w:color="auto" w:fill="auto"/>
            <w:vAlign w:val="center"/>
            <w:hideMark/>
          </w:tcPr>
          <w:p w14:paraId="493BBD3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35-39</w:t>
            </w:r>
          </w:p>
        </w:tc>
        <w:tc>
          <w:tcPr>
            <w:tcW w:w="1278" w:type="dxa"/>
            <w:tcBorders>
              <w:top w:val="nil"/>
              <w:left w:val="nil"/>
              <w:bottom w:val="nil"/>
              <w:right w:val="nil"/>
            </w:tcBorders>
            <w:shd w:val="clear" w:color="auto" w:fill="auto"/>
            <w:vAlign w:val="center"/>
            <w:hideMark/>
          </w:tcPr>
          <w:p w14:paraId="13D6D66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-0.181***</w:t>
            </w:r>
          </w:p>
        </w:tc>
        <w:tc>
          <w:tcPr>
            <w:tcW w:w="840" w:type="dxa"/>
            <w:tcBorders>
              <w:top w:val="nil"/>
              <w:left w:val="nil"/>
              <w:bottom w:val="nil"/>
              <w:right w:val="nil"/>
            </w:tcBorders>
            <w:shd w:val="clear" w:color="auto" w:fill="auto"/>
            <w:vAlign w:val="center"/>
            <w:hideMark/>
          </w:tcPr>
          <w:p w14:paraId="33EBE4B7"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(0.026)</w:t>
            </w:r>
          </w:p>
        </w:tc>
        <w:tc>
          <w:tcPr>
            <w:tcW w:w="1260" w:type="dxa"/>
            <w:tcBorders>
              <w:top w:val="nil"/>
              <w:left w:val="nil"/>
              <w:bottom w:val="nil"/>
              <w:right w:val="nil"/>
            </w:tcBorders>
            <w:shd w:val="clear" w:color="auto" w:fill="auto"/>
            <w:vAlign w:val="center"/>
            <w:hideMark/>
          </w:tcPr>
          <w:p w14:paraId="7BB21C4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-0.373***</w:t>
            </w:r>
          </w:p>
        </w:tc>
        <w:tc>
          <w:tcPr>
            <w:tcW w:w="960" w:type="dxa"/>
            <w:tcBorders>
              <w:top w:val="nil"/>
              <w:left w:val="nil"/>
              <w:bottom w:val="nil"/>
              <w:right w:val="nil"/>
            </w:tcBorders>
            <w:shd w:val="clear" w:color="auto" w:fill="auto"/>
            <w:vAlign w:val="center"/>
            <w:hideMark/>
          </w:tcPr>
          <w:p w14:paraId="7AF34A1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(0.070)</w:t>
            </w:r>
          </w:p>
        </w:tc>
        <w:tc>
          <w:tcPr>
            <w:tcW w:w="960" w:type="dxa"/>
            <w:tcBorders>
              <w:top w:val="nil"/>
              <w:left w:val="nil"/>
              <w:bottom w:val="nil"/>
              <w:right w:val="nil"/>
            </w:tcBorders>
            <w:shd w:val="clear" w:color="auto" w:fill="auto"/>
            <w:vAlign w:val="center"/>
            <w:hideMark/>
          </w:tcPr>
          <w:p w14:paraId="626E826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-0.098</w:t>
            </w:r>
          </w:p>
        </w:tc>
        <w:tc>
          <w:tcPr>
            <w:tcW w:w="960" w:type="dxa"/>
            <w:tcBorders>
              <w:top w:val="nil"/>
              <w:left w:val="nil"/>
              <w:bottom w:val="nil"/>
              <w:right w:val="nil"/>
            </w:tcBorders>
            <w:shd w:val="clear" w:color="auto" w:fill="auto"/>
            <w:vAlign w:val="center"/>
            <w:hideMark/>
          </w:tcPr>
          <w:p w14:paraId="448DF48C"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(0.069)</w:t>
            </w:r>
          </w:p>
        </w:tc>
        <w:tc>
          <w:tcPr>
            <w:tcW w:w="960" w:type="dxa"/>
            <w:tcBorders>
              <w:top w:val="nil"/>
              <w:left w:val="nil"/>
              <w:bottom w:val="nil"/>
              <w:right w:val="nil"/>
            </w:tcBorders>
            <w:shd w:val="clear" w:color="auto" w:fill="auto"/>
            <w:vAlign w:val="center"/>
            <w:hideMark/>
          </w:tcPr>
          <w:p w14:paraId="14EB891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-0.077*</w:t>
            </w:r>
          </w:p>
        </w:tc>
        <w:tc>
          <w:tcPr>
            <w:tcW w:w="960" w:type="dxa"/>
            <w:tcBorders>
              <w:top w:val="nil"/>
              <w:left w:val="nil"/>
              <w:bottom w:val="nil"/>
              <w:right w:val="nil"/>
            </w:tcBorders>
            <w:shd w:val="clear" w:color="auto" w:fill="auto"/>
            <w:vAlign w:val="center"/>
            <w:hideMark/>
          </w:tcPr>
          <w:p w14:paraId="2AF7C06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(0.026)</w:t>
            </w:r>
          </w:p>
        </w:tc>
      </w:tr>
      <w:tr w:rsidR="00244248" w:rsidRPr="007A742B" w14:paraId="365A435A" w14:textId="77777777" w:rsidTr="00335B25">
        <w:trPr>
          <w:trHeight w:val="20"/>
        </w:trPr>
        <w:tc>
          <w:tcPr>
            <w:tcW w:w="3852" w:type="dxa"/>
            <w:tcBorders>
              <w:top w:val="nil"/>
              <w:left w:val="nil"/>
              <w:bottom w:val="nil"/>
              <w:right w:val="nil"/>
            </w:tcBorders>
            <w:shd w:val="clear" w:color="auto" w:fill="auto"/>
            <w:vAlign w:val="center"/>
            <w:hideMark/>
          </w:tcPr>
          <w:p w14:paraId="66E40B8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40-44</w:t>
            </w:r>
          </w:p>
        </w:tc>
        <w:tc>
          <w:tcPr>
            <w:tcW w:w="1278" w:type="dxa"/>
            <w:tcBorders>
              <w:top w:val="nil"/>
              <w:left w:val="nil"/>
              <w:bottom w:val="nil"/>
              <w:right w:val="nil"/>
            </w:tcBorders>
            <w:shd w:val="clear" w:color="auto" w:fill="auto"/>
            <w:vAlign w:val="center"/>
            <w:hideMark/>
          </w:tcPr>
          <w:p w14:paraId="559A1BB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-0.171***</w:t>
            </w:r>
          </w:p>
        </w:tc>
        <w:tc>
          <w:tcPr>
            <w:tcW w:w="840" w:type="dxa"/>
            <w:tcBorders>
              <w:top w:val="nil"/>
              <w:left w:val="nil"/>
              <w:bottom w:val="nil"/>
              <w:right w:val="nil"/>
            </w:tcBorders>
            <w:shd w:val="clear" w:color="auto" w:fill="auto"/>
            <w:vAlign w:val="center"/>
            <w:hideMark/>
          </w:tcPr>
          <w:p w14:paraId="1426431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(0.033)</w:t>
            </w:r>
          </w:p>
        </w:tc>
        <w:tc>
          <w:tcPr>
            <w:tcW w:w="1260" w:type="dxa"/>
            <w:tcBorders>
              <w:top w:val="nil"/>
              <w:left w:val="nil"/>
              <w:bottom w:val="nil"/>
              <w:right w:val="nil"/>
            </w:tcBorders>
            <w:shd w:val="clear" w:color="auto" w:fill="auto"/>
            <w:vAlign w:val="center"/>
            <w:hideMark/>
          </w:tcPr>
          <w:p w14:paraId="1AE90D7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-0.559***</w:t>
            </w:r>
          </w:p>
        </w:tc>
        <w:tc>
          <w:tcPr>
            <w:tcW w:w="960" w:type="dxa"/>
            <w:tcBorders>
              <w:top w:val="nil"/>
              <w:left w:val="nil"/>
              <w:bottom w:val="nil"/>
              <w:right w:val="nil"/>
            </w:tcBorders>
            <w:shd w:val="clear" w:color="auto" w:fill="auto"/>
            <w:vAlign w:val="center"/>
            <w:hideMark/>
          </w:tcPr>
          <w:p w14:paraId="79B58F7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(0.090)</w:t>
            </w:r>
          </w:p>
        </w:tc>
        <w:tc>
          <w:tcPr>
            <w:tcW w:w="960" w:type="dxa"/>
            <w:tcBorders>
              <w:top w:val="nil"/>
              <w:left w:val="nil"/>
              <w:bottom w:val="nil"/>
              <w:right w:val="nil"/>
            </w:tcBorders>
            <w:shd w:val="clear" w:color="auto" w:fill="auto"/>
            <w:vAlign w:val="center"/>
            <w:hideMark/>
          </w:tcPr>
          <w:p w14:paraId="454D221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-0.146*</w:t>
            </w:r>
          </w:p>
        </w:tc>
        <w:tc>
          <w:tcPr>
            <w:tcW w:w="960" w:type="dxa"/>
            <w:tcBorders>
              <w:top w:val="nil"/>
              <w:left w:val="nil"/>
              <w:bottom w:val="nil"/>
              <w:right w:val="nil"/>
            </w:tcBorders>
            <w:shd w:val="clear" w:color="auto" w:fill="auto"/>
            <w:vAlign w:val="center"/>
            <w:hideMark/>
          </w:tcPr>
          <w:p w14:paraId="3B21BB2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(0.083)</w:t>
            </w:r>
          </w:p>
        </w:tc>
        <w:tc>
          <w:tcPr>
            <w:tcW w:w="960" w:type="dxa"/>
            <w:tcBorders>
              <w:top w:val="nil"/>
              <w:left w:val="nil"/>
              <w:bottom w:val="nil"/>
              <w:right w:val="nil"/>
            </w:tcBorders>
            <w:shd w:val="clear" w:color="auto" w:fill="auto"/>
            <w:vAlign w:val="center"/>
            <w:hideMark/>
          </w:tcPr>
          <w:p w14:paraId="181679A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-0.058</w:t>
            </w:r>
          </w:p>
        </w:tc>
        <w:tc>
          <w:tcPr>
            <w:tcW w:w="960" w:type="dxa"/>
            <w:tcBorders>
              <w:top w:val="nil"/>
              <w:left w:val="nil"/>
              <w:bottom w:val="nil"/>
              <w:right w:val="nil"/>
            </w:tcBorders>
            <w:shd w:val="clear" w:color="auto" w:fill="auto"/>
            <w:vAlign w:val="center"/>
            <w:hideMark/>
          </w:tcPr>
          <w:p w14:paraId="3144C58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(0.033)</w:t>
            </w:r>
          </w:p>
        </w:tc>
      </w:tr>
      <w:tr w:rsidR="00244248" w:rsidRPr="007A742B" w14:paraId="694D47EF" w14:textId="77777777" w:rsidTr="00335B25">
        <w:trPr>
          <w:trHeight w:val="20"/>
        </w:trPr>
        <w:tc>
          <w:tcPr>
            <w:tcW w:w="3852" w:type="dxa"/>
            <w:tcBorders>
              <w:top w:val="nil"/>
              <w:left w:val="nil"/>
              <w:bottom w:val="single" w:sz="4" w:space="0" w:color="ED7D31"/>
              <w:right w:val="nil"/>
            </w:tcBorders>
            <w:shd w:val="clear" w:color="auto" w:fill="auto"/>
            <w:vAlign w:val="center"/>
            <w:hideMark/>
          </w:tcPr>
          <w:p w14:paraId="3FD6AAD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45-49</w:t>
            </w:r>
          </w:p>
        </w:tc>
        <w:tc>
          <w:tcPr>
            <w:tcW w:w="1278" w:type="dxa"/>
            <w:tcBorders>
              <w:top w:val="nil"/>
              <w:left w:val="nil"/>
              <w:bottom w:val="single" w:sz="4" w:space="0" w:color="ED7D31"/>
              <w:right w:val="nil"/>
            </w:tcBorders>
            <w:shd w:val="clear" w:color="auto" w:fill="auto"/>
            <w:vAlign w:val="center"/>
            <w:hideMark/>
          </w:tcPr>
          <w:p w14:paraId="2964B71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-0.041</w:t>
            </w:r>
          </w:p>
        </w:tc>
        <w:tc>
          <w:tcPr>
            <w:tcW w:w="840" w:type="dxa"/>
            <w:tcBorders>
              <w:top w:val="nil"/>
              <w:left w:val="nil"/>
              <w:bottom w:val="single" w:sz="4" w:space="0" w:color="ED7D31"/>
              <w:right w:val="nil"/>
            </w:tcBorders>
            <w:shd w:val="clear" w:color="auto" w:fill="auto"/>
            <w:vAlign w:val="center"/>
            <w:hideMark/>
          </w:tcPr>
          <w:p w14:paraId="17D10E6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(0.039)</w:t>
            </w:r>
          </w:p>
        </w:tc>
        <w:tc>
          <w:tcPr>
            <w:tcW w:w="1260" w:type="dxa"/>
            <w:tcBorders>
              <w:top w:val="nil"/>
              <w:left w:val="nil"/>
              <w:bottom w:val="single" w:sz="4" w:space="0" w:color="ED7D31"/>
              <w:right w:val="nil"/>
            </w:tcBorders>
            <w:shd w:val="clear" w:color="auto" w:fill="auto"/>
            <w:vAlign w:val="center"/>
            <w:hideMark/>
          </w:tcPr>
          <w:p w14:paraId="4A215FF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-0.503***</w:t>
            </w:r>
          </w:p>
        </w:tc>
        <w:tc>
          <w:tcPr>
            <w:tcW w:w="960" w:type="dxa"/>
            <w:tcBorders>
              <w:top w:val="nil"/>
              <w:left w:val="nil"/>
              <w:bottom w:val="single" w:sz="4" w:space="0" w:color="ED7D31"/>
              <w:right w:val="nil"/>
            </w:tcBorders>
            <w:shd w:val="clear" w:color="auto" w:fill="auto"/>
            <w:vAlign w:val="center"/>
            <w:hideMark/>
          </w:tcPr>
          <w:p w14:paraId="7D6BD142"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(0.105)</w:t>
            </w:r>
          </w:p>
        </w:tc>
        <w:tc>
          <w:tcPr>
            <w:tcW w:w="960" w:type="dxa"/>
            <w:tcBorders>
              <w:top w:val="nil"/>
              <w:left w:val="nil"/>
              <w:bottom w:val="single" w:sz="4" w:space="0" w:color="ED7D31"/>
              <w:right w:val="nil"/>
            </w:tcBorders>
            <w:shd w:val="clear" w:color="auto" w:fill="auto"/>
            <w:vAlign w:val="center"/>
            <w:hideMark/>
          </w:tcPr>
          <w:p w14:paraId="2C47D03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-0.059</w:t>
            </w:r>
          </w:p>
        </w:tc>
        <w:tc>
          <w:tcPr>
            <w:tcW w:w="960" w:type="dxa"/>
            <w:tcBorders>
              <w:top w:val="nil"/>
              <w:left w:val="nil"/>
              <w:bottom w:val="single" w:sz="4" w:space="0" w:color="ED7D31"/>
              <w:right w:val="nil"/>
            </w:tcBorders>
            <w:shd w:val="clear" w:color="auto" w:fill="auto"/>
            <w:vAlign w:val="center"/>
            <w:hideMark/>
          </w:tcPr>
          <w:p w14:paraId="5A0B453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(0.099)</w:t>
            </w:r>
          </w:p>
        </w:tc>
        <w:tc>
          <w:tcPr>
            <w:tcW w:w="960" w:type="dxa"/>
            <w:tcBorders>
              <w:top w:val="nil"/>
              <w:left w:val="nil"/>
              <w:bottom w:val="single" w:sz="4" w:space="0" w:color="ED7D31"/>
              <w:right w:val="nil"/>
            </w:tcBorders>
            <w:shd w:val="clear" w:color="auto" w:fill="auto"/>
            <w:vAlign w:val="center"/>
            <w:hideMark/>
          </w:tcPr>
          <w:p w14:paraId="7D6B1F2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0.002</w:t>
            </w:r>
          </w:p>
        </w:tc>
        <w:tc>
          <w:tcPr>
            <w:tcW w:w="960" w:type="dxa"/>
            <w:tcBorders>
              <w:top w:val="nil"/>
              <w:left w:val="nil"/>
              <w:bottom w:val="single" w:sz="4" w:space="0" w:color="ED7D31"/>
              <w:right w:val="nil"/>
            </w:tcBorders>
            <w:shd w:val="clear" w:color="auto" w:fill="auto"/>
            <w:vAlign w:val="center"/>
            <w:hideMark/>
          </w:tcPr>
          <w:p w14:paraId="119702A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(0.039)</w:t>
            </w:r>
          </w:p>
        </w:tc>
      </w:tr>
      <w:tr w:rsidR="00244248" w:rsidRPr="007A742B" w14:paraId="19744B92" w14:textId="77777777" w:rsidTr="00335B25">
        <w:trPr>
          <w:trHeight w:val="20"/>
        </w:trPr>
        <w:tc>
          <w:tcPr>
            <w:tcW w:w="3852" w:type="dxa"/>
            <w:tcBorders>
              <w:top w:val="nil"/>
              <w:left w:val="nil"/>
              <w:bottom w:val="nil"/>
              <w:right w:val="nil"/>
            </w:tcBorders>
            <w:shd w:val="clear" w:color="auto" w:fill="auto"/>
            <w:vAlign w:val="center"/>
            <w:hideMark/>
          </w:tcPr>
          <w:p w14:paraId="54CD8D6A"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Education level </w:t>
            </w:r>
            <w:r w:rsidRPr="007A742B">
              <w:rPr>
                <w:rFonts w:ascii="Calibri Light" w:eastAsia="Times New Roman" w:hAnsi="Calibri Light" w:cs="Calibri Light"/>
                <w:color w:val="000000"/>
                <w:sz w:val="20"/>
                <w:szCs w:val="20"/>
                <w:lang w:eastAsia="en-AU"/>
              </w:rPr>
              <w:t>(ref: Year 11 or below)</w:t>
            </w:r>
          </w:p>
        </w:tc>
        <w:tc>
          <w:tcPr>
            <w:tcW w:w="1278" w:type="dxa"/>
            <w:tcBorders>
              <w:top w:val="nil"/>
              <w:left w:val="nil"/>
              <w:bottom w:val="nil"/>
              <w:right w:val="nil"/>
            </w:tcBorders>
            <w:shd w:val="clear" w:color="auto" w:fill="auto"/>
            <w:vAlign w:val="center"/>
            <w:hideMark/>
          </w:tcPr>
          <w:p w14:paraId="6CB7036E"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440B90B1"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60" w:type="dxa"/>
            <w:tcBorders>
              <w:top w:val="nil"/>
              <w:left w:val="nil"/>
              <w:bottom w:val="nil"/>
              <w:right w:val="nil"/>
            </w:tcBorders>
            <w:shd w:val="clear" w:color="auto" w:fill="auto"/>
            <w:vAlign w:val="center"/>
            <w:hideMark/>
          </w:tcPr>
          <w:p w14:paraId="0ABAA85A"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35D93433"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68B46882"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6C1A3737"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44C519B7"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58784823"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6DADF4BE" w14:textId="77777777" w:rsidTr="00335B25">
        <w:trPr>
          <w:trHeight w:val="20"/>
        </w:trPr>
        <w:tc>
          <w:tcPr>
            <w:tcW w:w="3852" w:type="dxa"/>
            <w:tcBorders>
              <w:top w:val="nil"/>
              <w:left w:val="nil"/>
              <w:bottom w:val="nil"/>
              <w:right w:val="nil"/>
            </w:tcBorders>
            <w:shd w:val="clear" w:color="auto" w:fill="auto"/>
            <w:vAlign w:val="center"/>
            <w:hideMark/>
          </w:tcPr>
          <w:p w14:paraId="1D83E64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Bachelor Degree or higher</w:t>
            </w:r>
          </w:p>
        </w:tc>
        <w:tc>
          <w:tcPr>
            <w:tcW w:w="1278" w:type="dxa"/>
            <w:tcBorders>
              <w:top w:val="nil"/>
              <w:left w:val="nil"/>
              <w:bottom w:val="nil"/>
              <w:right w:val="nil"/>
            </w:tcBorders>
            <w:shd w:val="clear" w:color="auto" w:fill="auto"/>
            <w:vAlign w:val="center"/>
            <w:hideMark/>
          </w:tcPr>
          <w:p w14:paraId="6824E04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0.115***</w:t>
            </w:r>
          </w:p>
        </w:tc>
        <w:tc>
          <w:tcPr>
            <w:tcW w:w="840" w:type="dxa"/>
            <w:tcBorders>
              <w:top w:val="nil"/>
              <w:left w:val="nil"/>
              <w:bottom w:val="nil"/>
              <w:right w:val="nil"/>
            </w:tcBorders>
            <w:shd w:val="clear" w:color="auto" w:fill="auto"/>
            <w:vAlign w:val="center"/>
            <w:hideMark/>
          </w:tcPr>
          <w:p w14:paraId="69BD7C2E"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(0.040)</w:t>
            </w:r>
          </w:p>
        </w:tc>
        <w:tc>
          <w:tcPr>
            <w:tcW w:w="1260" w:type="dxa"/>
            <w:tcBorders>
              <w:top w:val="nil"/>
              <w:left w:val="nil"/>
              <w:bottom w:val="nil"/>
              <w:right w:val="nil"/>
            </w:tcBorders>
            <w:shd w:val="clear" w:color="auto" w:fill="auto"/>
            <w:vAlign w:val="center"/>
            <w:hideMark/>
          </w:tcPr>
          <w:p w14:paraId="2551CFD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0.097*</w:t>
            </w:r>
          </w:p>
        </w:tc>
        <w:tc>
          <w:tcPr>
            <w:tcW w:w="960" w:type="dxa"/>
            <w:tcBorders>
              <w:top w:val="nil"/>
              <w:left w:val="nil"/>
              <w:bottom w:val="nil"/>
              <w:right w:val="nil"/>
            </w:tcBorders>
            <w:shd w:val="clear" w:color="auto" w:fill="auto"/>
            <w:vAlign w:val="center"/>
            <w:hideMark/>
          </w:tcPr>
          <w:p w14:paraId="4EA06BB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(0.056)</w:t>
            </w:r>
          </w:p>
        </w:tc>
        <w:tc>
          <w:tcPr>
            <w:tcW w:w="960" w:type="dxa"/>
            <w:tcBorders>
              <w:top w:val="nil"/>
              <w:left w:val="nil"/>
              <w:bottom w:val="nil"/>
              <w:right w:val="nil"/>
            </w:tcBorders>
            <w:shd w:val="clear" w:color="auto" w:fill="auto"/>
            <w:vAlign w:val="center"/>
            <w:hideMark/>
          </w:tcPr>
          <w:p w14:paraId="7B510CD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0.092</w:t>
            </w:r>
          </w:p>
        </w:tc>
        <w:tc>
          <w:tcPr>
            <w:tcW w:w="960" w:type="dxa"/>
            <w:tcBorders>
              <w:top w:val="nil"/>
              <w:left w:val="nil"/>
              <w:bottom w:val="nil"/>
              <w:right w:val="nil"/>
            </w:tcBorders>
            <w:shd w:val="clear" w:color="auto" w:fill="auto"/>
            <w:vAlign w:val="center"/>
            <w:hideMark/>
          </w:tcPr>
          <w:p w14:paraId="6F6596BF"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(0.150)</w:t>
            </w:r>
          </w:p>
        </w:tc>
        <w:tc>
          <w:tcPr>
            <w:tcW w:w="960" w:type="dxa"/>
            <w:tcBorders>
              <w:top w:val="nil"/>
              <w:left w:val="nil"/>
              <w:bottom w:val="nil"/>
              <w:right w:val="nil"/>
            </w:tcBorders>
            <w:shd w:val="clear" w:color="auto" w:fill="auto"/>
            <w:vAlign w:val="center"/>
            <w:hideMark/>
          </w:tcPr>
          <w:p w14:paraId="2755221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0.182*</w:t>
            </w:r>
          </w:p>
        </w:tc>
        <w:tc>
          <w:tcPr>
            <w:tcW w:w="960" w:type="dxa"/>
            <w:tcBorders>
              <w:top w:val="nil"/>
              <w:left w:val="nil"/>
              <w:bottom w:val="nil"/>
              <w:right w:val="nil"/>
            </w:tcBorders>
            <w:shd w:val="clear" w:color="auto" w:fill="auto"/>
            <w:vAlign w:val="center"/>
            <w:hideMark/>
          </w:tcPr>
          <w:p w14:paraId="080973D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(0.040)</w:t>
            </w:r>
          </w:p>
        </w:tc>
      </w:tr>
      <w:tr w:rsidR="00244248" w:rsidRPr="007A742B" w14:paraId="20978DE9" w14:textId="77777777" w:rsidTr="00335B25">
        <w:trPr>
          <w:trHeight w:val="20"/>
        </w:trPr>
        <w:tc>
          <w:tcPr>
            <w:tcW w:w="3852" w:type="dxa"/>
            <w:tcBorders>
              <w:top w:val="nil"/>
              <w:left w:val="nil"/>
              <w:bottom w:val="nil"/>
              <w:right w:val="nil"/>
            </w:tcBorders>
            <w:shd w:val="clear" w:color="auto" w:fill="auto"/>
            <w:vAlign w:val="center"/>
            <w:hideMark/>
          </w:tcPr>
          <w:p w14:paraId="4592FD9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Diploma/ Cert III/IV</w:t>
            </w:r>
          </w:p>
        </w:tc>
        <w:tc>
          <w:tcPr>
            <w:tcW w:w="1278" w:type="dxa"/>
            <w:tcBorders>
              <w:top w:val="nil"/>
              <w:left w:val="nil"/>
              <w:bottom w:val="nil"/>
              <w:right w:val="nil"/>
            </w:tcBorders>
            <w:shd w:val="clear" w:color="auto" w:fill="auto"/>
            <w:vAlign w:val="center"/>
            <w:hideMark/>
          </w:tcPr>
          <w:p w14:paraId="3318026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0.111***</w:t>
            </w:r>
          </w:p>
        </w:tc>
        <w:tc>
          <w:tcPr>
            <w:tcW w:w="840" w:type="dxa"/>
            <w:tcBorders>
              <w:top w:val="nil"/>
              <w:left w:val="nil"/>
              <w:bottom w:val="nil"/>
              <w:right w:val="nil"/>
            </w:tcBorders>
            <w:shd w:val="clear" w:color="auto" w:fill="auto"/>
            <w:vAlign w:val="center"/>
            <w:hideMark/>
          </w:tcPr>
          <w:p w14:paraId="3B20A36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(0.032)</w:t>
            </w:r>
          </w:p>
        </w:tc>
        <w:tc>
          <w:tcPr>
            <w:tcW w:w="1260" w:type="dxa"/>
            <w:tcBorders>
              <w:top w:val="nil"/>
              <w:left w:val="nil"/>
              <w:bottom w:val="nil"/>
              <w:right w:val="nil"/>
            </w:tcBorders>
            <w:shd w:val="clear" w:color="auto" w:fill="auto"/>
            <w:vAlign w:val="center"/>
            <w:hideMark/>
          </w:tcPr>
          <w:p w14:paraId="6E2A520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0.139**</w:t>
            </w:r>
          </w:p>
        </w:tc>
        <w:tc>
          <w:tcPr>
            <w:tcW w:w="960" w:type="dxa"/>
            <w:tcBorders>
              <w:top w:val="nil"/>
              <w:left w:val="nil"/>
              <w:bottom w:val="nil"/>
              <w:right w:val="nil"/>
            </w:tcBorders>
            <w:shd w:val="clear" w:color="auto" w:fill="auto"/>
            <w:vAlign w:val="center"/>
            <w:hideMark/>
          </w:tcPr>
          <w:p w14:paraId="689ACB8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(0.059)</w:t>
            </w:r>
          </w:p>
        </w:tc>
        <w:tc>
          <w:tcPr>
            <w:tcW w:w="960" w:type="dxa"/>
            <w:tcBorders>
              <w:top w:val="nil"/>
              <w:left w:val="nil"/>
              <w:bottom w:val="nil"/>
              <w:right w:val="nil"/>
            </w:tcBorders>
            <w:shd w:val="clear" w:color="auto" w:fill="auto"/>
            <w:vAlign w:val="center"/>
            <w:hideMark/>
          </w:tcPr>
          <w:p w14:paraId="157F28B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0.063</w:t>
            </w:r>
          </w:p>
        </w:tc>
        <w:tc>
          <w:tcPr>
            <w:tcW w:w="960" w:type="dxa"/>
            <w:tcBorders>
              <w:top w:val="nil"/>
              <w:left w:val="nil"/>
              <w:bottom w:val="nil"/>
              <w:right w:val="nil"/>
            </w:tcBorders>
            <w:shd w:val="clear" w:color="auto" w:fill="auto"/>
            <w:vAlign w:val="center"/>
            <w:hideMark/>
          </w:tcPr>
          <w:p w14:paraId="4A49446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(0.099)</w:t>
            </w:r>
          </w:p>
        </w:tc>
        <w:tc>
          <w:tcPr>
            <w:tcW w:w="960" w:type="dxa"/>
            <w:tcBorders>
              <w:top w:val="nil"/>
              <w:left w:val="nil"/>
              <w:bottom w:val="nil"/>
              <w:right w:val="nil"/>
            </w:tcBorders>
            <w:shd w:val="clear" w:color="auto" w:fill="auto"/>
            <w:vAlign w:val="center"/>
            <w:hideMark/>
          </w:tcPr>
          <w:p w14:paraId="77D0FF8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0.052</w:t>
            </w:r>
          </w:p>
        </w:tc>
        <w:tc>
          <w:tcPr>
            <w:tcW w:w="960" w:type="dxa"/>
            <w:tcBorders>
              <w:top w:val="nil"/>
              <w:left w:val="nil"/>
              <w:bottom w:val="nil"/>
              <w:right w:val="nil"/>
            </w:tcBorders>
            <w:shd w:val="clear" w:color="auto" w:fill="auto"/>
            <w:vAlign w:val="center"/>
            <w:hideMark/>
          </w:tcPr>
          <w:p w14:paraId="27E8948C"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(0.032)</w:t>
            </w:r>
          </w:p>
        </w:tc>
      </w:tr>
      <w:tr w:rsidR="00244248" w:rsidRPr="007A742B" w14:paraId="7E38714A" w14:textId="77777777" w:rsidTr="00335B25">
        <w:trPr>
          <w:trHeight w:val="20"/>
        </w:trPr>
        <w:tc>
          <w:tcPr>
            <w:tcW w:w="3852" w:type="dxa"/>
            <w:tcBorders>
              <w:top w:val="nil"/>
              <w:left w:val="nil"/>
              <w:bottom w:val="single" w:sz="4" w:space="0" w:color="ED7D31"/>
              <w:right w:val="nil"/>
            </w:tcBorders>
            <w:shd w:val="clear" w:color="auto" w:fill="auto"/>
            <w:vAlign w:val="center"/>
            <w:hideMark/>
          </w:tcPr>
          <w:p w14:paraId="712BEF5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Year 12</w:t>
            </w:r>
          </w:p>
        </w:tc>
        <w:tc>
          <w:tcPr>
            <w:tcW w:w="1278" w:type="dxa"/>
            <w:tcBorders>
              <w:top w:val="nil"/>
              <w:left w:val="nil"/>
              <w:bottom w:val="single" w:sz="4" w:space="0" w:color="ED7D31"/>
              <w:right w:val="nil"/>
            </w:tcBorders>
            <w:shd w:val="clear" w:color="auto" w:fill="auto"/>
            <w:vAlign w:val="center"/>
            <w:hideMark/>
          </w:tcPr>
          <w:p w14:paraId="3D89082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0.112***</w:t>
            </w:r>
          </w:p>
        </w:tc>
        <w:tc>
          <w:tcPr>
            <w:tcW w:w="840" w:type="dxa"/>
            <w:tcBorders>
              <w:top w:val="nil"/>
              <w:left w:val="nil"/>
              <w:bottom w:val="single" w:sz="4" w:space="0" w:color="ED7D31"/>
              <w:right w:val="nil"/>
            </w:tcBorders>
            <w:shd w:val="clear" w:color="auto" w:fill="auto"/>
            <w:vAlign w:val="center"/>
            <w:hideMark/>
          </w:tcPr>
          <w:p w14:paraId="4D0AF1F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(0.036)</w:t>
            </w:r>
          </w:p>
        </w:tc>
        <w:tc>
          <w:tcPr>
            <w:tcW w:w="1260" w:type="dxa"/>
            <w:tcBorders>
              <w:top w:val="nil"/>
              <w:left w:val="nil"/>
              <w:bottom w:val="single" w:sz="4" w:space="0" w:color="ED7D31"/>
              <w:right w:val="nil"/>
            </w:tcBorders>
            <w:shd w:val="clear" w:color="auto" w:fill="auto"/>
            <w:vAlign w:val="center"/>
            <w:hideMark/>
          </w:tcPr>
          <w:p w14:paraId="37F1B89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0.066</w:t>
            </w:r>
          </w:p>
        </w:tc>
        <w:tc>
          <w:tcPr>
            <w:tcW w:w="960" w:type="dxa"/>
            <w:tcBorders>
              <w:top w:val="nil"/>
              <w:left w:val="nil"/>
              <w:bottom w:val="single" w:sz="4" w:space="0" w:color="ED7D31"/>
              <w:right w:val="nil"/>
            </w:tcBorders>
            <w:shd w:val="clear" w:color="auto" w:fill="auto"/>
            <w:vAlign w:val="center"/>
            <w:hideMark/>
          </w:tcPr>
          <w:p w14:paraId="4F428E1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(0.051)</w:t>
            </w:r>
          </w:p>
        </w:tc>
        <w:tc>
          <w:tcPr>
            <w:tcW w:w="960" w:type="dxa"/>
            <w:tcBorders>
              <w:top w:val="nil"/>
              <w:left w:val="nil"/>
              <w:bottom w:val="single" w:sz="4" w:space="0" w:color="ED7D31"/>
              <w:right w:val="nil"/>
            </w:tcBorders>
            <w:shd w:val="clear" w:color="auto" w:fill="auto"/>
            <w:vAlign w:val="center"/>
            <w:hideMark/>
          </w:tcPr>
          <w:p w14:paraId="47519BB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-0.055</w:t>
            </w:r>
          </w:p>
        </w:tc>
        <w:tc>
          <w:tcPr>
            <w:tcW w:w="960" w:type="dxa"/>
            <w:tcBorders>
              <w:top w:val="nil"/>
              <w:left w:val="nil"/>
              <w:bottom w:val="single" w:sz="4" w:space="0" w:color="ED7D31"/>
              <w:right w:val="nil"/>
            </w:tcBorders>
            <w:shd w:val="clear" w:color="auto" w:fill="auto"/>
            <w:vAlign w:val="center"/>
            <w:hideMark/>
          </w:tcPr>
          <w:p w14:paraId="20CE838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(0.143)</w:t>
            </w:r>
          </w:p>
        </w:tc>
        <w:tc>
          <w:tcPr>
            <w:tcW w:w="960" w:type="dxa"/>
            <w:tcBorders>
              <w:top w:val="nil"/>
              <w:left w:val="nil"/>
              <w:bottom w:val="single" w:sz="4" w:space="0" w:color="ED7D31"/>
              <w:right w:val="nil"/>
            </w:tcBorders>
            <w:shd w:val="clear" w:color="auto" w:fill="auto"/>
            <w:vAlign w:val="center"/>
            <w:hideMark/>
          </w:tcPr>
          <w:p w14:paraId="2D98D50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0.070</w:t>
            </w:r>
          </w:p>
        </w:tc>
        <w:tc>
          <w:tcPr>
            <w:tcW w:w="960" w:type="dxa"/>
            <w:tcBorders>
              <w:top w:val="nil"/>
              <w:left w:val="nil"/>
              <w:bottom w:val="single" w:sz="4" w:space="0" w:color="ED7D31"/>
              <w:right w:val="nil"/>
            </w:tcBorders>
            <w:shd w:val="clear" w:color="auto" w:fill="auto"/>
            <w:vAlign w:val="center"/>
            <w:hideMark/>
          </w:tcPr>
          <w:p w14:paraId="5B30E7C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(0.036)</w:t>
            </w:r>
          </w:p>
        </w:tc>
      </w:tr>
      <w:tr w:rsidR="00244248" w:rsidRPr="007A742B" w14:paraId="34D28E38" w14:textId="77777777" w:rsidTr="00335B25">
        <w:trPr>
          <w:trHeight w:val="20"/>
        </w:trPr>
        <w:tc>
          <w:tcPr>
            <w:tcW w:w="3852" w:type="dxa"/>
            <w:tcBorders>
              <w:top w:val="nil"/>
              <w:left w:val="nil"/>
              <w:bottom w:val="nil"/>
              <w:right w:val="nil"/>
            </w:tcBorders>
            <w:shd w:val="clear" w:color="auto" w:fill="auto"/>
            <w:vAlign w:val="center"/>
            <w:hideMark/>
          </w:tcPr>
          <w:p w14:paraId="565F2655"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Relationship status </w:t>
            </w:r>
            <w:r w:rsidRPr="007A742B">
              <w:rPr>
                <w:rFonts w:ascii="Calibri Light" w:eastAsia="Times New Roman" w:hAnsi="Calibri Light" w:cs="Calibri Light"/>
                <w:color w:val="000000"/>
                <w:sz w:val="20"/>
                <w:szCs w:val="20"/>
                <w:lang w:eastAsia="en-AU"/>
              </w:rPr>
              <w:t>(ref: Single)</w:t>
            </w:r>
          </w:p>
        </w:tc>
        <w:tc>
          <w:tcPr>
            <w:tcW w:w="1278" w:type="dxa"/>
            <w:tcBorders>
              <w:top w:val="nil"/>
              <w:left w:val="nil"/>
              <w:bottom w:val="nil"/>
              <w:right w:val="nil"/>
            </w:tcBorders>
            <w:shd w:val="clear" w:color="auto" w:fill="auto"/>
            <w:vAlign w:val="center"/>
            <w:hideMark/>
          </w:tcPr>
          <w:p w14:paraId="1B4E6DDD"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2AD968BD"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60" w:type="dxa"/>
            <w:tcBorders>
              <w:top w:val="nil"/>
              <w:left w:val="nil"/>
              <w:bottom w:val="nil"/>
              <w:right w:val="nil"/>
            </w:tcBorders>
            <w:shd w:val="clear" w:color="auto" w:fill="auto"/>
            <w:vAlign w:val="center"/>
            <w:hideMark/>
          </w:tcPr>
          <w:p w14:paraId="7193F000"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536B2BEE"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51813415"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64B7F5AC"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0058C4D8"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68844186"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3377A2E3" w14:textId="77777777" w:rsidTr="00335B25">
        <w:trPr>
          <w:trHeight w:val="20"/>
        </w:trPr>
        <w:tc>
          <w:tcPr>
            <w:tcW w:w="3852" w:type="dxa"/>
            <w:tcBorders>
              <w:top w:val="nil"/>
              <w:left w:val="nil"/>
              <w:bottom w:val="nil"/>
              <w:right w:val="nil"/>
            </w:tcBorders>
            <w:shd w:val="clear" w:color="auto" w:fill="auto"/>
            <w:vAlign w:val="center"/>
            <w:hideMark/>
          </w:tcPr>
          <w:p w14:paraId="0CA6C8B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Married</w:t>
            </w:r>
          </w:p>
        </w:tc>
        <w:tc>
          <w:tcPr>
            <w:tcW w:w="1278" w:type="dxa"/>
            <w:tcBorders>
              <w:top w:val="nil"/>
              <w:left w:val="nil"/>
              <w:bottom w:val="nil"/>
              <w:right w:val="nil"/>
            </w:tcBorders>
            <w:shd w:val="clear" w:color="auto" w:fill="auto"/>
            <w:vAlign w:val="center"/>
            <w:hideMark/>
          </w:tcPr>
          <w:p w14:paraId="756F148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0.021</w:t>
            </w:r>
          </w:p>
        </w:tc>
        <w:tc>
          <w:tcPr>
            <w:tcW w:w="840" w:type="dxa"/>
            <w:tcBorders>
              <w:top w:val="nil"/>
              <w:left w:val="nil"/>
              <w:bottom w:val="nil"/>
              <w:right w:val="nil"/>
            </w:tcBorders>
            <w:shd w:val="clear" w:color="auto" w:fill="auto"/>
            <w:vAlign w:val="center"/>
            <w:hideMark/>
          </w:tcPr>
          <w:p w14:paraId="41738F8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(0.019)</w:t>
            </w:r>
          </w:p>
        </w:tc>
        <w:tc>
          <w:tcPr>
            <w:tcW w:w="1260" w:type="dxa"/>
            <w:tcBorders>
              <w:top w:val="nil"/>
              <w:left w:val="nil"/>
              <w:bottom w:val="nil"/>
              <w:right w:val="nil"/>
            </w:tcBorders>
            <w:shd w:val="clear" w:color="auto" w:fill="auto"/>
            <w:vAlign w:val="center"/>
            <w:hideMark/>
          </w:tcPr>
          <w:p w14:paraId="0955298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0.043</w:t>
            </w:r>
          </w:p>
        </w:tc>
        <w:tc>
          <w:tcPr>
            <w:tcW w:w="960" w:type="dxa"/>
            <w:tcBorders>
              <w:top w:val="nil"/>
              <w:left w:val="nil"/>
              <w:bottom w:val="nil"/>
              <w:right w:val="nil"/>
            </w:tcBorders>
            <w:shd w:val="clear" w:color="auto" w:fill="auto"/>
            <w:vAlign w:val="center"/>
            <w:hideMark/>
          </w:tcPr>
          <w:p w14:paraId="2325BA9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(0.035)</w:t>
            </w:r>
          </w:p>
        </w:tc>
        <w:tc>
          <w:tcPr>
            <w:tcW w:w="960" w:type="dxa"/>
            <w:tcBorders>
              <w:top w:val="nil"/>
              <w:left w:val="nil"/>
              <w:bottom w:val="nil"/>
              <w:right w:val="nil"/>
            </w:tcBorders>
            <w:shd w:val="clear" w:color="auto" w:fill="auto"/>
            <w:vAlign w:val="center"/>
            <w:hideMark/>
          </w:tcPr>
          <w:p w14:paraId="7974EBD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0.106*</w:t>
            </w:r>
          </w:p>
        </w:tc>
        <w:tc>
          <w:tcPr>
            <w:tcW w:w="960" w:type="dxa"/>
            <w:tcBorders>
              <w:top w:val="nil"/>
              <w:left w:val="nil"/>
              <w:bottom w:val="nil"/>
              <w:right w:val="nil"/>
            </w:tcBorders>
            <w:shd w:val="clear" w:color="auto" w:fill="auto"/>
            <w:vAlign w:val="center"/>
            <w:hideMark/>
          </w:tcPr>
          <w:p w14:paraId="1588193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(0.060)</w:t>
            </w:r>
          </w:p>
        </w:tc>
        <w:tc>
          <w:tcPr>
            <w:tcW w:w="960" w:type="dxa"/>
            <w:tcBorders>
              <w:top w:val="nil"/>
              <w:left w:val="nil"/>
              <w:bottom w:val="nil"/>
              <w:right w:val="nil"/>
            </w:tcBorders>
            <w:shd w:val="clear" w:color="auto" w:fill="auto"/>
            <w:vAlign w:val="center"/>
            <w:hideMark/>
          </w:tcPr>
          <w:p w14:paraId="213BBD0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0.034</w:t>
            </w:r>
          </w:p>
        </w:tc>
        <w:tc>
          <w:tcPr>
            <w:tcW w:w="960" w:type="dxa"/>
            <w:tcBorders>
              <w:top w:val="nil"/>
              <w:left w:val="nil"/>
              <w:bottom w:val="nil"/>
              <w:right w:val="nil"/>
            </w:tcBorders>
            <w:shd w:val="clear" w:color="auto" w:fill="auto"/>
            <w:vAlign w:val="center"/>
            <w:hideMark/>
          </w:tcPr>
          <w:p w14:paraId="0BCF86E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(0.019)</w:t>
            </w:r>
          </w:p>
        </w:tc>
      </w:tr>
      <w:tr w:rsidR="00244248" w:rsidRPr="007A742B" w14:paraId="63826D88" w14:textId="77777777" w:rsidTr="00335B25">
        <w:trPr>
          <w:trHeight w:val="20"/>
        </w:trPr>
        <w:tc>
          <w:tcPr>
            <w:tcW w:w="3852" w:type="dxa"/>
            <w:tcBorders>
              <w:top w:val="nil"/>
              <w:left w:val="nil"/>
              <w:bottom w:val="single" w:sz="4" w:space="0" w:color="ED7D31"/>
              <w:right w:val="nil"/>
            </w:tcBorders>
            <w:shd w:val="clear" w:color="auto" w:fill="auto"/>
            <w:vAlign w:val="center"/>
            <w:hideMark/>
          </w:tcPr>
          <w:p w14:paraId="0FB0BD2D"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Cohabiting</w:t>
            </w:r>
          </w:p>
        </w:tc>
        <w:tc>
          <w:tcPr>
            <w:tcW w:w="1278" w:type="dxa"/>
            <w:tcBorders>
              <w:top w:val="nil"/>
              <w:left w:val="nil"/>
              <w:bottom w:val="single" w:sz="4" w:space="0" w:color="ED7D31"/>
              <w:right w:val="nil"/>
            </w:tcBorders>
            <w:shd w:val="clear" w:color="auto" w:fill="auto"/>
            <w:vAlign w:val="center"/>
            <w:hideMark/>
          </w:tcPr>
          <w:p w14:paraId="0A56319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0.060***</w:t>
            </w:r>
          </w:p>
        </w:tc>
        <w:tc>
          <w:tcPr>
            <w:tcW w:w="840" w:type="dxa"/>
            <w:tcBorders>
              <w:top w:val="nil"/>
              <w:left w:val="nil"/>
              <w:bottom w:val="single" w:sz="4" w:space="0" w:color="ED7D31"/>
              <w:right w:val="nil"/>
            </w:tcBorders>
            <w:shd w:val="clear" w:color="auto" w:fill="auto"/>
            <w:vAlign w:val="center"/>
            <w:hideMark/>
          </w:tcPr>
          <w:p w14:paraId="27B9BB0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(0.016)</w:t>
            </w:r>
          </w:p>
        </w:tc>
        <w:tc>
          <w:tcPr>
            <w:tcW w:w="1260" w:type="dxa"/>
            <w:tcBorders>
              <w:top w:val="nil"/>
              <w:left w:val="nil"/>
              <w:bottom w:val="single" w:sz="4" w:space="0" w:color="ED7D31"/>
              <w:right w:val="nil"/>
            </w:tcBorders>
            <w:shd w:val="clear" w:color="auto" w:fill="auto"/>
            <w:vAlign w:val="center"/>
            <w:hideMark/>
          </w:tcPr>
          <w:p w14:paraId="1B48224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0.041*</w:t>
            </w:r>
          </w:p>
        </w:tc>
        <w:tc>
          <w:tcPr>
            <w:tcW w:w="960" w:type="dxa"/>
            <w:tcBorders>
              <w:top w:val="nil"/>
              <w:left w:val="nil"/>
              <w:bottom w:val="single" w:sz="4" w:space="0" w:color="ED7D31"/>
              <w:right w:val="nil"/>
            </w:tcBorders>
            <w:shd w:val="clear" w:color="auto" w:fill="auto"/>
            <w:vAlign w:val="center"/>
            <w:hideMark/>
          </w:tcPr>
          <w:p w14:paraId="3958D75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(0.023)</w:t>
            </w:r>
          </w:p>
        </w:tc>
        <w:tc>
          <w:tcPr>
            <w:tcW w:w="960" w:type="dxa"/>
            <w:tcBorders>
              <w:top w:val="nil"/>
              <w:left w:val="nil"/>
              <w:bottom w:val="single" w:sz="4" w:space="0" w:color="ED7D31"/>
              <w:right w:val="nil"/>
            </w:tcBorders>
            <w:shd w:val="clear" w:color="auto" w:fill="auto"/>
            <w:vAlign w:val="center"/>
            <w:hideMark/>
          </w:tcPr>
          <w:p w14:paraId="204ADA2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0.103**</w:t>
            </w:r>
          </w:p>
        </w:tc>
        <w:tc>
          <w:tcPr>
            <w:tcW w:w="960" w:type="dxa"/>
            <w:tcBorders>
              <w:top w:val="nil"/>
              <w:left w:val="nil"/>
              <w:bottom w:val="single" w:sz="4" w:space="0" w:color="ED7D31"/>
              <w:right w:val="nil"/>
            </w:tcBorders>
            <w:shd w:val="clear" w:color="auto" w:fill="auto"/>
            <w:vAlign w:val="center"/>
            <w:hideMark/>
          </w:tcPr>
          <w:p w14:paraId="729F31E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(0.049)</w:t>
            </w:r>
          </w:p>
        </w:tc>
        <w:tc>
          <w:tcPr>
            <w:tcW w:w="960" w:type="dxa"/>
            <w:tcBorders>
              <w:top w:val="nil"/>
              <w:left w:val="nil"/>
              <w:bottom w:val="single" w:sz="4" w:space="0" w:color="ED7D31"/>
              <w:right w:val="nil"/>
            </w:tcBorders>
            <w:shd w:val="clear" w:color="auto" w:fill="auto"/>
            <w:vAlign w:val="center"/>
            <w:hideMark/>
          </w:tcPr>
          <w:p w14:paraId="604A45CE"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0.060*</w:t>
            </w:r>
          </w:p>
        </w:tc>
        <w:tc>
          <w:tcPr>
            <w:tcW w:w="960" w:type="dxa"/>
            <w:tcBorders>
              <w:top w:val="nil"/>
              <w:left w:val="nil"/>
              <w:bottom w:val="single" w:sz="4" w:space="0" w:color="ED7D31"/>
              <w:right w:val="nil"/>
            </w:tcBorders>
            <w:shd w:val="clear" w:color="auto" w:fill="auto"/>
            <w:vAlign w:val="center"/>
            <w:hideMark/>
          </w:tcPr>
          <w:p w14:paraId="1C64D66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(0.016)</w:t>
            </w:r>
          </w:p>
        </w:tc>
      </w:tr>
      <w:tr w:rsidR="00244248" w:rsidRPr="007A742B" w14:paraId="1BD5804B" w14:textId="77777777" w:rsidTr="00335B25">
        <w:trPr>
          <w:trHeight w:val="20"/>
        </w:trPr>
        <w:tc>
          <w:tcPr>
            <w:tcW w:w="3852" w:type="dxa"/>
            <w:tcBorders>
              <w:top w:val="nil"/>
              <w:left w:val="nil"/>
              <w:bottom w:val="nil"/>
              <w:right w:val="nil"/>
            </w:tcBorders>
            <w:shd w:val="clear" w:color="auto" w:fill="auto"/>
            <w:vAlign w:val="center"/>
            <w:hideMark/>
          </w:tcPr>
          <w:p w14:paraId="1DB0F01F"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 xml:space="preserve">Employment </w:t>
            </w:r>
            <w:r w:rsidRPr="007A742B">
              <w:rPr>
                <w:rFonts w:ascii="Calibri Light" w:eastAsia="Times New Roman" w:hAnsi="Calibri Light" w:cs="Calibri Light"/>
                <w:color w:val="000000"/>
                <w:sz w:val="20"/>
                <w:szCs w:val="20"/>
                <w:lang w:eastAsia="en-AU"/>
              </w:rPr>
              <w:t>(ref: Permanent full-time)</w:t>
            </w:r>
          </w:p>
        </w:tc>
        <w:tc>
          <w:tcPr>
            <w:tcW w:w="1278" w:type="dxa"/>
            <w:tcBorders>
              <w:top w:val="nil"/>
              <w:left w:val="nil"/>
              <w:bottom w:val="nil"/>
              <w:right w:val="nil"/>
            </w:tcBorders>
            <w:shd w:val="clear" w:color="auto" w:fill="auto"/>
            <w:vAlign w:val="center"/>
            <w:hideMark/>
          </w:tcPr>
          <w:p w14:paraId="27F89673"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p>
        </w:tc>
        <w:tc>
          <w:tcPr>
            <w:tcW w:w="840" w:type="dxa"/>
            <w:tcBorders>
              <w:top w:val="nil"/>
              <w:left w:val="nil"/>
              <w:bottom w:val="nil"/>
              <w:right w:val="nil"/>
            </w:tcBorders>
            <w:shd w:val="clear" w:color="auto" w:fill="auto"/>
            <w:vAlign w:val="center"/>
            <w:hideMark/>
          </w:tcPr>
          <w:p w14:paraId="06B094AB"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1260" w:type="dxa"/>
            <w:tcBorders>
              <w:top w:val="nil"/>
              <w:left w:val="nil"/>
              <w:bottom w:val="nil"/>
              <w:right w:val="nil"/>
            </w:tcBorders>
            <w:shd w:val="clear" w:color="auto" w:fill="auto"/>
            <w:vAlign w:val="center"/>
            <w:hideMark/>
          </w:tcPr>
          <w:p w14:paraId="3F442443"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342FE466"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2C59F087"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116D2BDC"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24384EF8"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vAlign w:val="center"/>
            <w:hideMark/>
          </w:tcPr>
          <w:p w14:paraId="1F3A54D7" w14:textId="77777777" w:rsidR="00244248" w:rsidRPr="007A742B" w:rsidRDefault="00244248" w:rsidP="00335B25">
            <w:pPr>
              <w:spacing w:after="0" w:line="240" w:lineRule="auto"/>
              <w:rPr>
                <w:rFonts w:ascii="Times New Roman" w:eastAsia="Times New Roman" w:hAnsi="Times New Roman" w:cs="Times New Roman"/>
                <w:sz w:val="20"/>
                <w:szCs w:val="20"/>
                <w:lang w:eastAsia="en-AU"/>
              </w:rPr>
            </w:pPr>
          </w:p>
        </w:tc>
      </w:tr>
      <w:tr w:rsidR="00244248" w:rsidRPr="007A742B" w14:paraId="0CC60962" w14:textId="77777777" w:rsidTr="00335B25">
        <w:trPr>
          <w:trHeight w:val="20"/>
        </w:trPr>
        <w:tc>
          <w:tcPr>
            <w:tcW w:w="3852" w:type="dxa"/>
            <w:tcBorders>
              <w:top w:val="nil"/>
              <w:left w:val="nil"/>
              <w:bottom w:val="nil"/>
              <w:right w:val="nil"/>
            </w:tcBorders>
            <w:shd w:val="clear" w:color="auto" w:fill="auto"/>
            <w:vAlign w:val="center"/>
            <w:hideMark/>
          </w:tcPr>
          <w:p w14:paraId="68A77BF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Permanent part-time</w:t>
            </w:r>
          </w:p>
        </w:tc>
        <w:tc>
          <w:tcPr>
            <w:tcW w:w="1278" w:type="dxa"/>
            <w:tcBorders>
              <w:top w:val="nil"/>
              <w:left w:val="nil"/>
              <w:bottom w:val="nil"/>
              <w:right w:val="nil"/>
            </w:tcBorders>
            <w:shd w:val="clear" w:color="auto" w:fill="auto"/>
            <w:vAlign w:val="center"/>
            <w:hideMark/>
          </w:tcPr>
          <w:p w14:paraId="7C4B677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-0.018</w:t>
            </w:r>
          </w:p>
        </w:tc>
        <w:tc>
          <w:tcPr>
            <w:tcW w:w="840" w:type="dxa"/>
            <w:tcBorders>
              <w:top w:val="nil"/>
              <w:left w:val="nil"/>
              <w:bottom w:val="nil"/>
              <w:right w:val="nil"/>
            </w:tcBorders>
            <w:shd w:val="clear" w:color="auto" w:fill="auto"/>
            <w:vAlign w:val="center"/>
            <w:hideMark/>
          </w:tcPr>
          <w:p w14:paraId="73CDAEB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(0.012)</w:t>
            </w:r>
          </w:p>
        </w:tc>
        <w:tc>
          <w:tcPr>
            <w:tcW w:w="1260" w:type="dxa"/>
            <w:tcBorders>
              <w:top w:val="nil"/>
              <w:left w:val="nil"/>
              <w:bottom w:val="nil"/>
              <w:right w:val="nil"/>
            </w:tcBorders>
            <w:shd w:val="clear" w:color="auto" w:fill="auto"/>
            <w:vAlign w:val="center"/>
            <w:hideMark/>
          </w:tcPr>
          <w:p w14:paraId="34B4F5B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0.005</w:t>
            </w:r>
          </w:p>
        </w:tc>
        <w:tc>
          <w:tcPr>
            <w:tcW w:w="960" w:type="dxa"/>
            <w:tcBorders>
              <w:top w:val="nil"/>
              <w:left w:val="nil"/>
              <w:bottom w:val="nil"/>
              <w:right w:val="nil"/>
            </w:tcBorders>
            <w:shd w:val="clear" w:color="auto" w:fill="auto"/>
            <w:vAlign w:val="center"/>
            <w:hideMark/>
          </w:tcPr>
          <w:p w14:paraId="1D42D60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(0.022)</w:t>
            </w:r>
          </w:p>
        </w:tc>
        <w:tc>
          <w:tcPr>
            <w:tcW w:w="960" w:type="dxa"/>
            <w:tcBorders>
              <w:top w:val="nil"/>
              <w:left w:val="nil"/>
              <w:bottom w:val="nil"/>
              <w:right w:val="nil"/>
            </w:tcBorders>
            <w:shd w:val="clear" w:color="auto" w:fill="auto"/>
            <w:vAlign w:val="center"/>
            <w:hideMark/>
          </w:tcPr>
          <w:p w14:paraId="2819AA0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0.006</w:t>
            </w:r>
          </w:p>
        </w:tc>
        <w:tc>
          <w:tcPr>
            <w:tcW w:w="960" w:type="dxa"/>
            <w:tcBorders>
              <w:top w:val="nil"/>
              <w:left w:val="nil"/>
              <w:bottom w:val="nil"/>
              <w:right w:val="nil"/>
            </w:tcBorders>
            <w:shd w:val="clear" w:color="auto" w:fill="auto"/>
            <w:vAlign w:val="center"/>
            <w:hideMark/>
          </w:tcPr>
          <w:p w14:paraId="7B9BAB92"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(0.029)</w:t>
            </w:r>
          </w:p>
        </w:tc>
        <w:tc>
          <w:tcPr>
            <w:tcW w:w="960" w:type="dxa"/>
            <w:tcBorders>
              <w:top w:val="nil"/>
              <w:left w:val="nil"/>
              <w:bottom w:val="nil"/>
              <w:right w:val="nil"/>
            </w:tcBorders>
            <w:shd w:val="clear" w:color="auto" w:fill="auto"/>
            <w:vAlign w:val="center"/>
            <w:hideMark/>
          </w:tcPr>
          <w:p w14:paraId="1E11FD9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0.010</w:t>
            </w:r>
          </w:p>
        </w:tc>
        <w:tc>
          <w:tcPr>
            <w:tcW w:w="960" w:type="dxa"/>
            <w:tcBorders>
              <w:top w:val="nil"/>
              <w:left w:val="nil"/>
              <w:bottom w:val="nil"/>
              <w:right w:val="nil"/>
            </w:tcBorders>
            <w:shd w:val="clear" w:color="auto" w:fill="auto"/>
            <w:vAlign w:val="center"/>
            <w:hideMark/>
          </w:tcPr>
          <w:p w14:paraId="333B80B9"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(0.012)</w:t>
            </w:r>
          </w:p>
        </w:tc>
      </w:tr>
      <w:tr w:rsidR="00244248" w:rsidRPr="007A742B" w14:paraId="0A517F66" w14:textId="77777777" w:rsidTr="00335B25">
        <w:trPr>
          <w:trHeight w:val="20"/>
        </w:trPr>
        <w:tc>
          <w:tcPr>
            <w:tcW w:w="3852" w:type="dxa"/>
            <w:tcBorders>
              <w:top w:val="nil"/>
              <w:left w:val="nil"/>
              <w:bottom w:val="nil"/>
              <w:right w:val="nil"/>
            </w:tcBorders>
            <w:shd w:val="clear" w:color="auto" w:fill="auto"/>
            <w:vAlign w:val="center"/>
            <w:hideMark/>
          </w:tcPr>
          <w:p w14:paraId="2462B5B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Casual full-time</w:t>
            </w:r>
          </w:p>
        </w:tc>
        <w:tc>
          <w:tcPr>
            <w:tcW w:w="1278" w:type="dxa"/>
            <w:tcBorders>
              <w:top w:val="nil"/>
              <w:left w:val="nil"/>
              <w:bottom w:val="nil"/>
              <w:right w:val="nil"/>
            </w:tcBorders>
            <w:shd w:val="clear" w:color="auto" w:fill="auto"/>
            <w:vAlign w:val="center"/>
            <w:hideMark/>
          </w:tcPr>
          <w:p w14:paraId="79E20166"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-0.018</w:t>
            </w:r>
          </w:p>
        </w:tc>
        <w:tc>
          <w:tcPr>
            <w:tcW w:w="840" w:type="dxa"/>
            <w:tcBorders>
              <w:top w:val="nil"/>
              <w:left w:val="nil"/>
              <w:bottom w:val="nil"/>
              <w:right w:val="nil"/>
            </w:tcBorders>
            <w:shd w:val="clear" w:color="auto" w:fill="auto"/>
            <w:vAlign w:val="center"/>
            <w:hideMark/>
          </w:tcPr>
          <w:p w14:paraId="6E5C90A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(0.020)</w:t>
            </w:r>
          </w:p>
        </w:tc>
        <w:tc>
          <w:tcPr>
            <w:tcW w:w="1260" w:type="dxa"/>
            <w:tcBorders>
              <w:top w:val="nil"/>
              <w:left w:val="nil"/>
              <w:bottom w:val="nil"/>
              <w:right w:val="nil"/>
            </w:tcBorders>
            <w:shd w:val="clear" w:color="auto" w:fill="auto"/>
            <w:vAlign w:val="center"/>
            <w:hideMark/>
          </w:tcPr>
          <w:p w14:paraId="702728F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-0.026</w:t>
            </w:r>
          </w:p>
        </w:tc>
        <w:tc>
          <w:tcPr>
            <w:tcW w:w="960" w:type="dxa"/>
            <w:tcBorders>
              <w:top w:val="nil"/>
              <w:left w:val="nil"/>
              <w:bottom w:val="nil"/>
              <w:right w:val="nil"/>
            </w:tcBorders>
            <w:shd w:val="clear" w:color="auto" w:fill="auto"/>
            <w:vAlign w:val="center"/>
            <w:hideMark/>
          </w:tcPr>
          <w:p w14:paraId="295B902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(0.029)</w:t>
            </w:r>
          </w:p>
        </w:tc>
        <w:tc>
          <w:tcPr>
            <w:tcW w:w="960" w:type="dxa"/>
            <w:tcBorders>
              <w:top w:val="nil"/>
              <w:left w:val="nil"/>
              <w:bottom w:val="nil"/>
              <w:right w:val="nil"/>
            </w:tcBorders>
            <w:shd w:val="clear" w:color="auto" w:fill="auto"/>
            <w:vAlign w:val="center"/>
            <w:hideMark/>
          </w:tcPr>
          <w:p w14:paraId="38B51A5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0.022</w:t>
            </w:r>
          </w:p>
        </w:tc>
        <w:tc>
          <w:tcPr>
            <w:tcW w:w="960" w:type="dxa"/>
            <w:tcBorders>
              <w:top w:val="nil"/>
              <w:left w:val="nil"/>
              <w:bottom w:val="nil"/>
              <w:right w:val="nil"/>
            </w:tcBorders>
            <w:shd w:val="clear" w:color="auto" w:fill="auto"/>
            <w:vAlign w:val="center"/>
            <w:hideMark/>
          </w:tcPr>
          <w:p w14:paraId="16BFE847"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(0.056)</w:t>
            </w:r>
          </w:p>
        </w:tc>
        <w:tc>
          <w:tcPr>
            <w:tcW w:w="960" w:type="dxa"/>
            <w:tcBorders>
              <w:top w:val="nil"/>
              <w:left w:val="nil"/>
              <w:bottom w:val="nil"/>
              <w:right w:val="nil"/>
            </w:tcBorders>
            <w:shd w:val="clear" w:color="auto" w:fill="auto"/>
            <w:vAlign w:val="center"/>
            <w:hideMark/>
          </w:tcPr>
          <w:p w14:paraId="5B3EA48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-0.020</w:t>
            </w:r>
          </w:p>
        </w:tc>
        <w:tc>
          <w:tcPr>
            <w:tcW w:w="960" w:type="dxa"/>
            <w:tcBorders>
              <w:top w:val="nil"/>
              <w:left w:val="nil"/>
              <w:bottom w:val="nil"/>
              <w:right w:val="nil"/>
            </w:tcBorders>
            <w:shd w:val="clear" w:color="auto" w:fill="auto"/>
            <w:vAlign w:val="center"/>
            <w:hideMark/>
          </w:tcPr>
          <w:p w14:paraId="0D3A22B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(0.020)</w:t>
            </w:r>
          </w:p>
        </w:tc>
      </w:tr>
      <w:tr w:rsidR="00244248" w:rsidRPr="007A742B" w14:paraId="2B07E7B6" w14:textId="77777777" w:rsidTr="00335B25">
        <w:trPr>
          <w:trHeight w:val="20"/>
        </w:trPr>
        <w:tc>
          <w:tcPr>
            <w:tcW w:w="3852" w:type="dxa"/>
            <w:tcBorders>
              <w:top w:val="nil"/>
              <w:left w:val="nil"/>
              <w:bottom w:val="nil"/>
              <w:right w:val="nil"/>
            </w:tcBorders>
            <w:shd w:val="clear" w:color="auto" w:fill="auto"/>
            <w:vAlign w:val="center"/>
            <w:hideMark/>
          </w:tcPr>
          <w:p w14:paraId="73912E2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Casual part-time</w:t>
            </w:r>
          </w:p>
        </w:tc>
        <w:tc>
          <w:tcPr>
            <w:tcW w:w="1278" w:type="dxa"/>
            <w:tcBorders>
              <w:top w:val="nil"/>
              <w:left w:val="nil"/>
              <w:bottom w:val="nil"/>
              <w:right w:val="nil"/>
            </w:tcBorders>
            <w:shd w:val="clear" w:color="auto" w:fill="auto"/>
            <w:vAlign w:val="center"/>
            <w:hideMark/>
          </w:tcPr>
          <w:p w14:paraId="23A3FCDD"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-0.001</w:t>
            </w:r>
          </w:p>
        </w:tc>
        <w:tc>
          <w:tcPr>
            <w:tcW w:w="840" w:type="dxa"/>
            <w:tcBorders>
              <w:top w:val="nil"/>
              <w:left w:val="nil"/>
              <w:bottom w:val="nil"/>
              <w:right w:val="nil"/>
            </w:tcBorders>
            <w:shd w:val="clear" w:color="auto" w:fill="auto"/>
            <w:vAlign w:val="center"/>
            <w:hideMark/>
          </w:tcPr>
          <w:p w14:paraId="65285F68"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(0.013)</w:t>
            </w:r>
          </w:p>
        </w:tc>
        <w:tc>
          <w:tcPr>
            <w:tcW w:w="1260" w:type="dxa"/>
            <w:tcBorders>
              <w:top w:val="nil"/>
              <w:left w:val="nil"/>
              <w:bottom w:val="nil"/>
              <w:right w:val="nil"/>
            </w:tcBorders>
            <w:shd w:val="clear" w:color="auto" w:fill="auto"/>
            <w:vAlign w:val="center"/>
            <w:hideMark/>
          </w:tcPr>
          <w:p w14:paraId="58E110A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0.003</w:t>
            </w:r>
          </w:p>
        </w:tc>
        <w:tc>
          <w:tcPr>
            <w:tcW w:w="960" w:type="dxa"/>
            <w:tcBorders>
              <w:top w:val="nil"/>
              <w:left w:val="nil"/>
              <w:bottom w:val="nil"/>
              <w:right w:val="nil"/>
            </w:tcBorders>
            <w:shd w:val="clear" w:color="auto" w:fill="auto"/>
            <w:vAlign w:val="center"/>
            <w:hideMark/>
          </w:tcPr>
          <w:p w14:paraId="4D493B9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(0.020)</w:t>
            </w:r>
          </w:p>
        </w:tc>
        <w:tc>
          <w:tcPr>
            <w:tcW w:w="960" w:type="dxa"/>
            <w:tcBorders>
              <w:top w:val="nil"/>
              <w:left w:val="nil"/>
              <w:bottom w:val="nil"/>
              <w:right w:val="nil"/>
            </w:tcBorders>
            <w:shd w:val="clear" w:color="auto" w:fill="auto"/>
            <w:vAlign w:val="center"/>
            <w:hideMark/>
          </w:tcPr>
          <w:p w14:paraId="0D7F4CD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0.093**</w:t>
            </w:r>
          </w:p>
        </w:tc>
        <w:tc>
          <w:tcPr>
            <w:tcW w:w="960" w:type="dxa"/>
            <w:tcBorders>
              <w:top w:val="nil"/>
              <w:left w:val="nil"/>
              <w:bottom w:val="nil"/>
              <w:right w:val="nil"/>
            </w:tcBorders>
            <w:shd w:val="clear" w:color="auto" w:fill="auto"/>
            <w:vAlign w:val="center"/>
            <w:hideMark/>
          </w:tcPr>
          <w:p w14:paraId="67B4D20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(0.043)</w:t>
            </w:r>
          </w:p>
        </w:tc>
        <w:tc>
          <w:tcPr>
            <w:tcW w:w="960" w:type="dxa"/>
            <w:tcBorders>
              <w:top w:val="nil"/>
              <w:left w:val="nil"/>
              <w:bottom w:val="nil"/>
              <w:right w:val="nil"/>
            </w:tcBorders>
            <w:shd w:val="clear" w:color="auto" w:fill="auto"/>
            <w:vAlign w:val="center"/>
            <w:hideMark/>
          </w:tcPr>
          <w:p w14:paraId="1EE9B67A"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0.013</w:t>
            </w:r>
          </w:p>
        </w:tc>
        <w:tc>
          <w:tcPr>
            <w:tcW w:w="960" w:type="dxa"/>
            <w:tcBorders>
              <w:top w:val="nil"/>
              <w:left w:val="nil"/>
              <w:bottom w:val="nil"/>
              <w:right w:val="nil"/>
            </w:tcBorders>
            <w:shd w:val="clear" w:color="auto" w:fill="auto"/>
            <w:vAlign w:val="center"/>
            <w:hideMark/>
          </w:tcPr>
          <w:p w14:paraId="070A23B1"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(0.013)</w:t>
            </w:r>
          </w:p>
        </w:tc>
      </w:tr>
      <w:tr w:rsidR="00244248" w:rsidRPr="007A742B" w14:paraId="46420749" w14:textId="77777777" w:rsidTr="00335B25">
        <w:trPr>
          <w:trHeight w:val="20"/>
        </w:trPr>
        <w:tc>
          <w:tcPr>
            <w:tcW w:w="3852" w:type="dxa"/>
            <w:tcBorders>
              <w:top w:val="nil"/>
              <w:left w:val="nil"/>
              <w:bottom w:val="nil"/>
              <w:right w:val="nil"/>
            </w:tcBorders>
            <w:shd w:val="clear" w:color="auto" w:fill="auto"/>
            <w:vAlign w:val="center"/>
            <w:hideMark/>
          </w:tcPr>
          <w:p w14:paraId="6951039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Self-employed</w:t>
            </w:r>
          </w:p>
        </w:tc>
        <w:tc>
          <w:tcPr>
            <w:tcW w:w="1278" w:type="dxa"/>
            <w:tcBorders>
              <w:top w:val="nil"/>
              <w:left w:val="nil"/>
              <w:bottom w:val="nil"/>
              <w:right w:val="nil"/>
            </w:tcBorders>
            <w:shd w:val="clear" w:color="auto" w:fill="auto"/>
            <w:vAlign w:val="center"/>
            <w:hideMark/>
          </w:tcPr>
          <w:p w14:paraId="6404775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-0.013</w:t>
            </w:r>
          </w:p>
        </w:tc>
        <w:tc>
          <w:tcPr>
            <w:tcW w:w="840" w:type="dxa"/>
            <w:tcBorders>
              <w:top w:val="nil"/>
              <w:left w:val="nil"/>
              <w:bottom w:val="nil"/>
              <w:right w:val="nil"/>
            </w:tcBorders>
            <w:shd w:val="clear" w:color="auto" w:fill="auto"/>
            <w:vAlign w:val="center"/>
            <w:hideMark/>
          </w:tcPr>
          <w:p w14:paraId="1A637EF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(0.020)</w:t>
            </w:r>
          </w:p>
        </w:tc>
        <w:tc>
          <w:tcPr>
            <w:tcW w:w="1260" w:type="dxa"/>
            <w:tcBorders>
              <w:top w:val="nil"/>
              <w:left w:val="nil"/>
              <w:bottom w:val="nil"/>
              <w:right w:val="nil"/>
            </w:tcBorders>
            <w:shd w:val="clear" w:color="auto" w:fill="auto"/>
            <w:vAlign w:val="center"/>
            <w:hideMark/>
          </w:tcPr>
          <w:p w14:paraId="760A268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-0.030</w:t>
            </w:r>
          </w:p>
        </w:tc>
        <w:tc>
          <w:tcPr>
            <w:tcW w:w="960" w:type="dxa"/>
            <w:tcBorders>
              <w:top w:val="nil"/>
              <w:left w:val="nil"/>
              <w:bottom w:val="nil"/>
              <w:right w:val="nil"/>
            </w:tcBorders>
            <w:shd w:val="clear" w:color="auto" w:fill="auto"/>
            <w:vAlign w:val="center"/>
            <w:hideMark/>
          </w:tcPr>
          <w:p w14:paraId="7E74618D"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(0.042)</w:t>
            </w:r>
          </w:p>
        </w:tc>
        <w:tc>
          <w:tcPr>
            <w:tcW w:w="960" w:type="dxa"/>
            <w:tcBorders>
              <w:top w:val="nil"/>
              <w:left w:val="nil"/>
              <w:bottom w:val="nil"/>
              <w:right w:val="nil"/>
            </w:tcBorders>
            <w:shd w:val="clear" w:color="auto" w:fill="auto"/>
            <w:vAlign w:val="center"/>
            <w:hideMark/>
          </w:tcPr>
          <w:p w14:paraId="51CF6910"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0.098</w:t>
            </w:r>
          </w:p>
        </w:tc>
        <w:tc>
          <w:tcPr>
            <w:tcW w:w="960" w:type="dxa"/>
            <w:tcBorders>
              <w:top w:val="nil"/>
              <w:left w:val="nil"/>
              <w:bottom w:val="nil"/>
              <w:right w:val="nil"/>
            </w:tcBorders>
            <w:shd w:val="clear" w:color="auto" w:fill="auto"/>
            <w:vAlign w:val="center"/>
            <w:hideMark/>
          </w:tcPr>
          <w:p w14:paraId="1CFE7AFC"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(0.065)</w:t>
            </w:r>
          </w:p>
        </w:tc>
        <w:tc>
          <w:tcPr>
            <w:tcW w:w="960" w:type="dxa"/>
            <w:tcBorders>
              <w:top w:val="nil"/>
              <w:left w:val="nil"/>
              <w:bottom w:val="nil"/>
              <w:right w:val="nil"/>
            </w:tcBorders>
            <w:shd w:val="clear" w:color="auto" w:fill="auto"/>
            <w:vAlign w:val="center"/>
            <w:hideMark/>
          </w:tcPr>
          <w:p w14:paraId="69C0C5C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-0.022</w:t>
            </w:r>
          </w:p>
        </w:tc>
        <w:tc>
          <w:tcPr>
            <w:tcW w:w="960" w:type="dxa"/>
            <w:tcBorders>
              <w:top w:val="nil"/>
              <w:left w:val="nil"/>
              <w:bottom w:val="nil"/>
              <w:right w:val="nil"/>
            </w:tcBorders>
            <w:shd w:val="clear" w:color="auto" w:fill="auto"/>
            <w:vAlign w:val="center"/>
            <w:hideMark/>
          </w:tcPr>
          <w:p w14:paraId="2371226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(0.020)</w:t>
            </w:r>
          </w:p>
        </w:tc>
      </w:tr>
      <w:tr w:rsidR="00244248" w:rsidRPr="007A742B" w14:paraId="057C1993" w14:textId="77777777" w:rsidTr="00335B25">
        <w:trPr>
          <w:trHeight w:val="20"/>
        </w:trPr>
        <w:tc>
          <w:tcPr>
            <w:tcW w:w="3852" w:type="dxa"/>
            <w:tcBorders>
              <w:top w:val="nil"/>
              <w:left w:val="nil"/>
              <w:bottom w:val="single" w:sz="4" w:space="0" w:color="ED7D31"/>
              <w:right w:val="nil"/>
            </w:tcBorders>
            <w:shd w:val="clear" w:color="auto" w:fill="auto"/>
            <w:vAlign w:val="center"/>
            <w:hideMark/>
          </w:tcPr>
          <w:p w14:paraId="6E1E5FFF"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Not working</w:t>
            </w:r>
          </w:p>
        </w:tc>
        <w:tc>
          <w:tcPr>
            <w:tcW w:w="1278" w:type="dxa"/>
            <w:tcBorders>
              <w:top w:val="nil"/>
              <w:left w:val="nil"/>
              <w:bottom w:val="single" w:sz="4" w:space="0" w:color="ED7D31"/>
              <w:right w:val="nil"/>
            </w:tcBorders>
            <w:shd w:val="clear" w:color="auto" w:fill="auto"/>
            <w:vAlign w:val="center"/>
            <w:hideMark/>
          </w:tcPr>
          <w:p w14:paraId="1E55A9B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-0.026*</w:t>
            </w:r>
          </w:p>
        </w:tc>
        <w:tc>
          <w:tcPr>
            <w:tcW w:w="840" w:type="dxa"/>
            <w:tcBorders>
              <w:top w:val="nil"/>
              <w:left w:val="nil"/>
              <w:bottom w:val="single" w:sz="4" w:space="0" w:color="ED7D31"/>
              <w:right w:val="nil"/>
            </w:tcBorders>
            <w:shd w:val="clear" w:color="auto" w:fill="auto"/>
            <w:vAlign w:val="center"/>
            <w:hideMark/>
          </w:tcPr>
          <w:p w14:paraId="575D3A9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(0.013)</w:t>
            </w:r>
          </w:p>
        </w:tc>
        <w:tc>
          <w:tcPr>
            <w:tcW w:w="1260" w:type="dxa"/>
            <w:tcBorders>
              <w:top w:val="nil"/>
              <w:left w:val="nil"/>
              <w:bottom w:val="single" w:sz="4" w:space="0" w:color="ED7D31"/>
              <w:right w:val="nil"/>
            </w:tcBorders>
            <w:shd w:val="clear" w:color="auto" w:fill="auto"/>
            <w:vAlign w:val="center"/>
            <w:hideMark/>
          </w:tcPr>
          <w:p w14:paraId="2E9D433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-0.020</w:t>
            </w:r>
          </w:p>
        </w:tc>
        <w:tc>
          <w:tcPr>
            <w:tcW w:w="960" w:type="dxa"/>
            <w:tcBorders>
              <w:top w:val="nil"/>
              <w:left w:val="nil"/>
              <w:bottom w:val="single" w:sz="4" w:space="0" w:color="ED7D31"/>
              <w:right w:val="nil"/>
            </w:tcBorders>
            <w:shd w:val="clear" w:color="auto" w:fill="auto"/>
            <w:vAlign w:val="center"/>
            <w:hideMark/>
          </w:tcPr>
          <w:p w14:paraId="6227793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(0.023)</w:t>
            </w:r>
          </w:p>
        </w:tc>
        <w:tc>
          <w:tcPr>
            <w:tcW w:w="960" w:type="dxa"/>
            <w:tcBorders>
              <w:top w:val="nil"/>
              <w:left w:val="nil"/>
              <w:bottom w:val="single" w:sz="4" w:space="0" w:color="ED7D31"/>
              <w:right w:val="nil"/>
            </w:tcBorders>
            <w:shd w:val="clear" w:color="auto" w:fill="auto"/>
            <w:vAlign w:val="center"/>
            <w:hideMark/>
          </w:tcPr>
          <w:p w14:paraId="1F61A7E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0.077**</w:t>
            </w:r>
          </w:p>
        </w:tc>
        <w:tc>
          <w:tcPr>
            <w:tcW w:w="960" w:type="dxa"/>
            <w:tcBorders>
              <w:top w:val="nil"/>
              <w:left w:val="nil"/>
              <w:bottom w:val="single" w:sz="4" w:space="0" w:color="ED7D31"/>
              <w:right w:val="nil"/>
            </w:tcBorders>
            <w:shd w:val="clear" w:color="auto" w:fill="auto"/>
            <w:vAlign w:val="center"/>
            <w:hideMark/>
          </w:tcPr>
          <w:p w14:paraId="0072B42B"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(0.037)</w:t>
            </w:r>
          </w:p>
        </w:tc>
        <w:tc>
          <w:tcPr>
            <w:tcW w:w="960" w:type="dxa"/>
            <w:tcBorders>
              <w:top w:val="nil"/>
              <w:left w:val="nil"/>
              <w:bottom w:val="single" w:sz="4" w:space="0" w:color="ED7D31"/>
              <w:right w:val="nil"/>
            </w:tcBorders>
            <w:shd w:val="clear" w:color="auto" w:fill="auto"/>
            <w:vAlign w:val="center"/>
            <w:hideMark/>
          </w:tcPr>
          <w:p w14:paraId="4B767D0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0.028</w:t>
            </w:r>
          </w:p>
        </w:tc>
        <w:tc>
          <w:tcPr>
            <w:tcW w:w="960" w:type="dxa"/>
            <w:tcBorders>
              <w:top w:val="nil"/>
              <w:left w:val="nil"/>
              <w:bottom w:val="single" w:sz="4" w:space="0" w:color="ED7D31"/>
              <w:right w:val="nil"/>
            </w:tcBorders>
            <w:shd w:val="clear" w:color="auto" w:fill="auto"/>
            <w:vAlign w:val="center"/>
            <w:hideMark/>
          </w:tcPr>
          <w:p w14:paraId="1BA78A9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(0.013)</w:t>
            </w:r>
          </w:p>
        </w:tc>
      </w:tr>
      <w:tr w:rsidR="00244248" w:rsidRPr="007A742B" w14:paraId="342CF4F8" w14:textId="77777777" w:rsidTr="00335B25">
        <w:trPr>
          <w:trHeight w:val="20"/>
        </w:trPr>
        <w:tc>
          <w:tcPr>
            <w:tcW w:w="3852" w:type="dxa"/>
            <w:tcBorders>
              <w:top w:val="nil"/>
              <w:left w:val="nil"/>
              <w:bottom w:val="single" w:sz="4" w:space="0" w:color="ED7D31"/>
              <w:right w:val="nil"/>
            </w:tcBorders>
            <w:shd w:val="clear" w:color="auto" w:fill="auto"/>
            <w:vAlign w:val="center"/>
            <w:hideMark/>
          </w:tcPr>
          <w:p w14:paraId="04EDCCA9"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Household income (log)</w:t>
            </w:r>
          </w:p>
        </w:tc>
        <w:tc>
          <w:tcPr>
            <w:tcW w:w="1278" w:type="dxa"/>
            <w:tcBorders>
              <w:top w:val="nil"/>
              <w:left w:val="nil"/>
              <w:bottom w:val="single" w:sz="4" w:space="0" w:color="ED7D31"/>
              <w:right w:val="nil"/>
            </w:tcBorders>
            <w:shd w:val="clear" w:color="auto" w:fill="auto"/>
            <w:vAlign w:val="center"/>
            <w:hideMark/>
          </w:tcPr>
          <w:p w14:paraId="31D121F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0.015*</w:t>
            </w:r>
          </w:p>
        </w:tc>
        <w:tc>
          <w:tcPr>
            <w:tcW w:w="840" w:type="dxa"/>
            <w:tcBorders>
              <w:top w:val="nil"/>
              <w:left w:val="nil"/>
              <w:bottom w:val="single" w:sz="4" w:space="0" w:color="ED7D31"/>
              <w:right w:val="nil"/>
            </w:tcBorders>
            <w:shd w:val="clear" w:color="auto" w:fill="auto"/>
            <w:vAlign w:val="center"/>
            <w:hideMark/>
          </w:tcPr>
          <w:p w14:paraId="3F11183C"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(0.008)</w:t>
            </w:r>
          </w:p>
        </w:tc>
        <w:tc>
          <w:tcPr>
            <w:tcW w:w="1260" w:type="dxa"/>
            <w:tcBorders>
              <w:top w:val="nil"/>
              <w:left w:val="nil"/>
              <w:bottom w:val="single" w:sz="4" w:space="0" w:color="ED7D31"/>
              <w:right w:val="nil"/>
            </w:tcBorders>
            <w:shd w:val="clear" w:color="auto" w:fill="auto"/>
            <w:vAlign w:val="center"/>
            <w:hideMark/>
          </w:tcPr>
          <w:p w14:paraId="0DDB9A47"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0.014</w:t>
            </w:r>
          </w:p>
        </w:tc>
        <w:tc>
          <w:tcPr>
            <w:tcW w:w="960" w:type="dxa"/>
            <w:tcBorders>
              <w:top w:val="nil"/>
              <w:left w:val="nil"/>
              <w:bottom w:val="single" w:sz="4" w:space="0" w:color="ED7D31"/>
              <w:right w:val="nil"/>
            </w:tcBorders>
            <w:shd w:val="clear" w:color="auto" w:fill="auto"/>
            <w:vAlign w:val="center"/>
            <w:hideMark/>
          </w:tcPr>
          <w:p w14:paraId="3CBA5F8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(0.011)</w:t>
            </w:r>
          </w:p>
        </w:tc>
        <w:tc>
          <w:tcPr>
            <w:tcW w:w="960" w:type="dxa"/>
            <w:tcBorders>
              <w:top w:val="nil"/>
              <w:left w:val="nil"/>
              <w:bottom w:val="single" w:sz="4" w:space="0" w:color="ED7D31"/>
              <w:right w:val="nil"/>
            </w:tcBorders>
            <w:shd w:val="clear" w:color="auto" w:fill="auto"/>
            <w:vAlign w:val="center"/>
            <w:hideMark/>
          </w:tcPr>
          <w:p w14:paraId="54EF6754"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0.013</w:t>
            </w:r>
          </w:p>
        </w:tc>
        <w:tc>
          <w:tcPr>
            <w:tcW w:w="960" w:type="dxa"/>
            <w:tcBorders>
              <w:top w:val="nil"/>
              <w:left w:val="nil"/>
              <w:bottom w:val="single" w:sz="4" w:space="0" w:color="ED7D31"/>
              <w:right w:val="nil"/>
            </w:tcBorders>
            <w:shd w:val="clear" w:color="auto" w:fill="auto"/>
            <w:vAlign w:val="center"/>
            <w:hideMark/>
          </w:tcPr>
          <w:p w14:paraId="7F5BDE9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(0.031)</w:t>
            </w:r>
          </w:p>
        </w:tc>
        <w:tc>
          <w:tcPr>
            <w:tcW w:w="960" w:type="dxa"/>
            <w:tcBorders>
              <w:top w:val="nil"/>
              <w:left w:val="nil"/>
              <w:bottom w:val="single" w:sz="4" w:space="0" w:color="ED7D31"/>
              <w:right w:val="nil"/>
            </w:tcBorders>
            <w:shd w:val="clear" w:color="auto" w:fill="auto"/>
            <w:vAlign w:val="center"/>
            <w:hideMark/>
          </w:tcPr>
          <w:p w14:paraId="02769E2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0.029**</w:t>
            </w:r>
          </w:p>
        </w:tc>
        <w:tc>
          <w:tcPr>
            <w:tcW w:w="960" w:type="dxa"/>
            <w:tcBorders>
              <w:top w:val="nil"/>
              <w:left w:val="nil"/>
              <w:bottom w:val="single" w:sz="4" w:space="0" w:color="ED7D31"/>
              <w:right w:val="nil"/>
            </w:tcBorders>
            <w:shd w:val="clear" w:color="auto" w:fill="auto"/>
            <w:vAlign w:val="center"/>
            <w:hideMark/>
          </w:tcPr>
          <w:p w14:paraId="1B9EBFB3"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(0.008)</w:t>
            </w:r>
          </w:p>
        </w:tc>
      </w:tr>
      <w:tr w:rsidR="00244248" w:rsidRPr="007A742B" w14:paraId="2E92EBA4" w14:textId="77777777" w:rsidTr="00335B25">
        <w:trPr>
          <w:trHeight w:val="20"/>
        </w:trPr>
        <w:tc>
          <w:tcPr>
            <w:tcW w:w="3852" w:type="dxa"/>
            <w:tcBorders>
              <w:top w:val="nil"/>
              <w:left w:val="nil"/>
              <w:bottom w:val="single" w:sz="4" w:space="0" w:color="ED7D31"/>
              <w:right w:val="nil"/>
            </w:tcBorders>
            <w:shd w:val="clear" w:color="auto" w:fill="auto"/>
            <w:vAlign w:val="center"/>
            <w:hideMark/>
          </w:tcPr>
          <w:p w14:paraId="3BBEAEC0" w14:textId="77777777" w:rsidR="00244248" w:rsidRPr="007A742B" w:rsidRDefault="00244248" w:rsidP="00335B25">
            <w:pPr>
              <w:spacing w:after="0" w:line="240" w:lineRule="auto"/>
              <w:rPr>
                <w:rFonts w:ascii="Calibri Light" w:eastAsia="Times New Roman" w:hAnsi="Calibri Light" w:cs="Calibri Light"/>
                <w:b/>
                <w:bCs/>
                <w:color w:val="000000"/>
                <w:sz w:val="20"/>
                <w:szCs w:val="20"/>
                <w:lang w:eastAsia="en-AU"/>
              </w:rPr>
            </w:pPr>
            <w:r w:rsidRPr="007A742B">
              <w:rPr>
                <w:rFonts w:ascii="Calibri Light" w:eastAsia="Times New Roman" w:hAnsi="Calibri Light" w:cs="Calibri Light"/>
                <w:b/>
                <w:bCs/>
                <w:color w:val="000000"/>
                <w:sz w:val="20"/>
                <w:szCs w:val="20"/>
                <w:lang w:eastAsia="en-AU"/>
              </w:rPr>
              <w:t>Remote area</w:t>
            </w:r>
          </w:p>
        </w:tc>
        <w:tc>
          <w:tcPr>
            <w:tcW w:w="1278" w:type="dxa"/>
            <w:tcBorders>
              <w:top w:val="nil"/>
              <w:left w:val="nil"/>
              <w:bottom w:val="single" w:sz="4" w:space="0" w:color="ED7D31"/>
              <w:right w:val="nil"/>
            </w:tcBorders>
            <w:shd w:val="clear" w:color="auto" w:fill="auto"/>
            <w:vAlign w:val="center"/>
            <w:hideMark/>
          </w:tcPr>
          <w:p w14:paraId="1D42E1BB"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-0.005</w:t>
            </w:r>
          </w:p>
        </w:tc>
        <w:tc>
          <w:tcPr>
            <w:tcW w:w="840" w:type="dxa"/>
            <w:tcBorders>
              <w:top w:val="nil"/>
              <w:left w:val="nil"/>
              <w:bottom w:val="single" w:sz="4" w:space="0" w:color="ED7D31"/>
              <w:right w:val="nil"/>
            </w:tcBorders>
            <w:shd w:val="clear" w:color="auto" w:fill="auto"/>
            <w:vAlign w:val="center"/>
            <w:hideMark/>
          </w:tcPr>
          <w:p w14:paraId="29DA7E9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(0.021)</w:t>
            </w:r>
          </w:p>
        </w:tc>
        <w:tc>
          <w:tcPr>
            <w:tcW w:w="1260" w:type="dxa"/>
            <w:tcBorders>
              <w:top w:val="nil"/>
              <w:left w:val="nil"/>
              <w:bottom w:val="single" w:sz="4" w:space="0" w:color="ED7D31"/>
              <w:right w:val="nil"/>
            </w:tcBorders>
            <w:shd w:val="clear" w:color="auto" w:fill="auto"/>
            <w:vAlign w:val="center"/>
            <w:hideMark/>
          </w:tcPr>
          <w:p w14:paraId="3E36BDB8"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-0.010</w:t>
            </w:r>
          </w:p>
        </w:tc>
        <w:tc>
          <w:tcPr>
            <w:tcW w:w="960" w:type="dxa"/>
            <w:tcBorders>
              <w:top w:val="nil"/>
              <w:left w:val="nil"/>
              <w:bottom w:val="single" w:sz="4" w:space="0" w:color="ED7D31"/>
              <w:right w:val="nil"/>
            </w:tcBorders>
            <w:shd w:val="clear" w:color="auto" w:fill="auto"/>
            <w:vAlign w:val="center"/>
            <w:hideMark/>
          </w:tcPr>
          <w:p w14:paraId="55192066"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(0.032)</w:t>
            </w:r>
          </w:p>
        </w:tc>
        <w:tc>
          <w:tcPr>
            <w:tcW w:w="960" w:type="dxa"/>
            <w:tcBorders>
              <w:top w:val="nil"/>
              <w:left w:val="nil"/>
              <w:bottom w:val="single" w:sz="4" w:space="0" w:color="ED7D31"/>
              <w:right w:val="nil"/>
            </w:tcBorders>
            <w:shd w:val="clear" w:color="auto" w:fill="auto"/>
            <w:vAlign w:val="center"/>
            <w:hideMark/>
          </w:tcPr>
          <w:p w14:paraId="3FFCB9C1"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0.006</w:t>
            </w:r>
          </w:p>
        </w:tc>
        <w:tc>
          <w:tcPr>
            <w:tcW w:w="960" w:type="dxa"/>
            <w:tcBorders>
              <w:top w:val="nil"/>
              <w:left w:val="nil"/>
              <w:bottom w:val="single" w:sz="4" w:space="0" w:color="ED7D31"/>
              <w:right w:val="nil"/>
            </w:tcBorders>
            <w:shd w:val="clear" w:color="auto" w:fill="auto"/>
            <w:vAlign w:val="center"/>
            <w:hideMark/>
          </w:tcPr>
          <w:p w14:paraId="5D6EECA4"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(0.057)</w:t>
            </w:r>
          </w:p>
        </w:tc>
        <w:tc>
          <w:tcPr>
            <w:tcW w:w="960" w:type="dxa"/>
            <w:tcBorders>
              <w:top w:val="nil"/>
              <w:left w:val="nil"/>
              <w:bottom w:val="single" w:sz="4" w:space="0" w:color="ED7D31"/>
              <w:right w:val="nil"/>
            </w:tcBorders>
            <w:shd w:val="clear" w:color="auto" w:fill="auto"/>
            <w:vAlign w:val="center"/>
            <w:hideMark/>
          </w:tcPr>
          <w:p w14:paraId="03792D05"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-0.073</w:t>
            </w:r>
          </w:p>
        </w:tc>
        <w:tc>
          <w:tcPr>
            <w:tcW w:w="960" w:type="dxa"/>
            <w:tcBorders>
              <w:top w:val="nil"/>
              <w:left w:val="nil"/>
              <w:bottom w:val="single" w:sz="4" w:space="0" w:color="ED7D31"/>
              <w:right w:val="nil"/>
            </w:tcBorders>
            <w:shd w:val="clear" w:color="auto" w:fill="auto"/>
            <w:vAlign w:val="center"/>
            <w:hideMark/>
          </w:tcPr>
          <w:p w14:paraId="5AC0B955"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(0.021)</w:t>
            </w:r>
          </w:p>
        </w:tc>
      </w:tr>
      <w:tr w:rsidR="00244248" w:rsidRPr="007A742B" w14:paraId="4F50E0D4" w14:textId="77777777" w:rsidTr="00335B25">
        <w:trPr>
          <w:trHeight w:val="20"/>
        </w:trPr>
        <w:tc>
          <w:tcPr>
            <w:tcW w:w="3852" w:type="dxa"/>
            <w:tcBorders>
              <w:top w:val="nil"/>
              <w:left w:val="nil"/>
              <w:bottom w:val="single" w:sz="4" w:space="0" w:color="ED7D31"/>
              <w:right w:val="nil"/>
            </w:tcBorders>
            <w:shd w:val="clear" w:color="auto" w:fill="auto"/>
            <w:vAlign w:val="center"/>
            <w:hideMark/>
          </w:tcPr>
          <w:p w14:paraId="5566AC6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Observations</w:t>
            </w:r>
          </w:p>
        </w:tc>
        <w:tc>
          <w:tcPr>
            <w:tcW w:w="1278" w:type="dxa"/>
            <w:tcBorders>
              <w:top w:val="nil"/>
              <w:left w:val="nil"/>
              <w:bottom w:val="single" w:sz="4" w:space="0" w:color="ED7D31"/>
              <w:right w:val="nil"/>
            </w:tcBorders>
            <w:shd w:val="clear" w:color="auto" w:fill="auto"/>
            <w:vAlign w:val="center"/>
            <w:hideMark/>
          </w:tcPr>
          <w:p w14:paraId="5EF18DC3"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48</w:t>
            </w:r>
            <w:r>
              <w:rPr>
                <w:rFonts w:ascii="Calibri Light" w:eastAsia="Times New Roman" w:hAnsi="Calibri Light" w:cs="Calibri Light"/>
                <w:color w:val="000000"/>
                <w:sz w:val="20"/>
                <w:szCs w:val="20"/>
                <w:lang w:eastAsia="en-AU"/>
              </w:rPr>
              <w:t>,</w:t>
            </w:r>
            <w:r w:rsidRPr="007A742B">
              <w:rPr>
                <w:rFonts w:ascii="Calibri Light" w:eastAsia="Times New Roman" w:hAnsi="Calibri Light" w:cs="Calibri Light"/>
                <w:color w:val="000000"/>
                <w:sz w:val="20"/>
                <w:szCs w:val="20"/>
                <w:lang w:eastAsia="en-AU"/>
              </w:rPr>
              <w:t>426</w:t>
            </w:r>
          </w:p>
        </w:tc>
        <w:tc>
          <w:tcPr>
            <w:tcW w:w="840" w:type="dxa"/>
            <w:tcBorders>
              <w:top w:val="nil"/>
              <w:left w:val="nil"/>
              <w:bottom w:val="single" w:sz="4" w:space="0" w:color="ED7D31"/>
              <w:right w:val="nil"/>
            </w:tcBorders>
            <w:shd w:val="clear" w:color="auto" w:fill="auto"/>
            <w:vAlign w:val="center"/>
            <w:hideMark/>
          </w:tcPr>
          <w:p w14:paraId="73D86C92"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c>
          <w:tcPr>
            <w:tcW w:w="1260" w:type="dxa"/>
            <w:tcBorders>
              <w:top w:val="nil"/>
              <w:left w:val="nil"/>
              <w:bottom w:val="single" w:sz="4" w:space="0" w:color="ED7D31"/>
              <w:right w:val="nil"/>
            </w:tcBorders>
            <w:shd w:val="clear" w:color="auto" w:fill="auto"/>
            <w:vAlign w:val="center"/>
            <w:hideMark/>
          </w:tcPr>
          <w:p w14:paraId="50CA0B1C"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18</w:t>
            </w:r>
            <w:r>
              <w:rPr>
                <w:rFonts w:ascii="Calibri Light" w:eastAsia="Times New Roman" w:hAnsi="Calibri Light" w:cs="Calibri Light"/>
                <w:color w:val="000000"/>
                <w:sz w:val="20"/>
                <w:szCs w:val="20"/>
                <w:lang w:eastAsia="en-AU"/>
              </w:rPr>
              <w:t>,</w:t>
            </w:r>
            <w:r w:rsidRPr="007A742B">
              <w:rPr>
                <w:rFonts w:ascii="Calibri Light" w:eastAsia="Times New Roman" w:hAnsi="Calibri Light" w:cs="Calibri Light"/>
                <w:color w:val="000000"/>
                <w:sz w:val="20"/>
                <w:szCs w:val="20"/>
                <w:lang w:eastAsia="en-AU"/>
              </w:rPr>
              <w:t>949</w:t>
            </w:r>
          </w:p>
        </w:tc>
        <w:tc>
          <w:tcPr>
            <w:tcW w:w="960" w:type="dxa"/>
            <w:tcBorders>
              <w:top w:val="nil"/>
              <w:left w:val="nil"/>
              <w:bottom w:val="single" w:sz="4" w:space="0" w:color="ED7D31"/>
              <w:right w:val="nil"/>
            </w:tcBorders>
            <w:shd w:val="clear" w:color="auto" w:fill="auto"/>
            <w:vAlign w:val="center"/>
            <w:hideMark/>
          </w:tcPr>
          <w:p w14:paraId="72190490"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c>
          <w:tcPr>
            <w:tcW w:w="960" w:type="dxa"/>
            <w:tcBorders>
              <w:top w:val="nil"/>
              <w:left w:val="nil"/>
              <w:bottom w:val="single" w:sz="4" w:space="0" w:color="ED7D31"/>
              <w:right w:val="nil"/>
            </w:tcBorders>
            <w:shd w:val="clear" w:color="auto" w:fill="auto"/>
            <w:vAlign w:val="center"/>
            <w:hideMark/>
          </w:tcPr>
          <w:p w14:paraId="44D10EE2"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5</w:t>
            </w:r>
            <w:r>
              <w:rPr>
                <w:rFonts w:ascii="Calibri Light" w:eastAsia="Times New Roman" w:hAnsi="Calibri Light" w:cs="Calibri Light"/>
                <w:color w:val="000000"/>
                <w:sz w:val="20"/>
                <w:szCs w:val="20"/>
                <w:lang w:eastAsia="en-AU"/>
              </w:rPr>
              <w:t>,</w:t>
            </w:r>
            <w:r w:rsidRPr="007A742B">
              <w:rPr>
                <w:rFonts w:ascii="Calibri Light" w:eastAsia="Times New Roman" w:hAnsi="Calibri Light" w:cs="Calibri Light"/>
                <w:color w:val="000000"/>
                <w:sz w:val="20"/>
                <w:szCs w:val="20"/>
                <w:lang w:eastAsia="en-AU"/>
              </w:rPr>
              <w:t>265</w:t>
            </w:r>
          </w:p>
        </w:tc>
        <w:tc>
          <w:tcPr>
            <w:tcW w:w="960" w:type="dxa"/>
            <w:tcBorders>
              <w:top w:val="nil"/>
              <w:left w:val="nil"/>
              <w:bottom w:val="single" w:sz="4" w:space="0" w:color="ED7D31"/>
              <w:right w:val="nil"/>
            </w:tcBorders>
            <w:shd w:val="clear" w:color="auto" w:fill="auto"/>
            <w:vAlign w:val="center"/>
            <w:hideMark/>
          </w:tcPr>
          <w:p w14:paraId="2334D6A2"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c>
          <w:tcPr>
            <w:tcW w:w="960" w:type="dxa"/>
            <w:tcBorders>
              <w:top w:val="nil"/>
              <w:left w:val="nil"/>
              <w:bottom w:val="single" w:sz="4" w:space="0" w:color="ED7D31"/>
              <w:right w:val="nil"/>
            </w:tcBorders>
            <w:shd w:val="clear" w:color="auto" w:fill="auto"/>
            <w:vAlign w:val="center"/>
            <w:hideMark/>
          </w:tcPr>
          <w:p w14:paraId="3D1AD939" w14:textId="77777777" w:rsidR="00244248" w:rsidRPr="007A742B" w:rsidRDefault="00244248" w:rsidP="00335B25">
            <w:pPr>
              <w:spacing w:after="0" w:line="240" w:lineRule="auto"/>
              <w:rPr>
                <w:rFonts w:ascii="Calibri Light" w:eastAsia="Times New Roman" w:hAnsi="Calibri Light" w:cs="Calibri Light"/>
                <w:color w:val="000000"/>
                <w:sz w:val="20"/>
                <w:szCs w:val="20"/>
                <w:lang w:eastAsia="en-AU"/>
              </w:rPr>
            </w:pPr>
            <w:r w:rsidRPr="007A742B">
              <w:rPr>
                <w:rFonts w:ascii="Calibri Light" w:eastAsia="Times New Roman" w:hAnsi="Calibri Light" w:cs="Calibri Light"/>
                <w:color w:val="000000"/>
                <w:sz w:val="20"/>
                <w:szCs w:val="20"/>
                <w:lang w:eastAsia="en-AU"/>
              </w:rPr>
              <w:t>8</w:t>
            </w:r>
            <w:r>
              <w:rPr>
                <w:rFonts w:ascii="Calibri Light" w:eastAsia="Times New Roman" w:hAnsi="Calibri Light" w:cs="Calibri Light"/>
                <w:color w:val="000000"/>
                <w:sz w:val="20"/>
                <w:szCs w:val="20"/>
                <w:lang w:eastAsia="en-AU"/>
              </w:rPr>
              <w:t>,</w:t>
            </w:r>
            <w:r w:rsidRPr="007A742B">
              <w:rPr>
                <w:rFonts w:ascii="Calibri Light" w:eastAsia="Times New Roman" w:hAnsi="Calibri Light" w:cs="Calibri Light"/>
                <w:color w:val="000000"/>
                <w:sz w:val="20"/>
                <w:szCs w:val="20"/>
                <w:lang w:eastAsia="en-AU"/>
              </w:rPr>
              <w:t>176</w:t>
            </w:r>
          </w:p>
        </w:tc>
        <w:tc>
          <w:tcPr>
            <w:tcW w:w="960" w:type="dxa"/>
            <w:tcBorders>
              <w:top w:val="nil"/>
              <w:left w:val="nil"/>
              <w:bottom w:val="single" w:sz="4" w:space="0" w:color="ED7D31"/>
              <w:right w:val="nil"/>
            </w:tcBorders>
            <w:shd w:val="clear" w:color="auto" w:fill="auto"/>
            <w:vAlign w:val="center"/>
            <w:hideMark/>
          </w:tcPr>
          <w:p w14:paraId="4A0C276A" w14:textId="77777777" w:rsidR="00244248" w:rsidRPr="007A742B" w:rsidRDefault="00244248" w:rsidP="00335B25">
            <w:pPr>
              <w:spacing w:after="0" w:line="240" w:lineRule="auto"/>
              <w:rPr>
                <w:rFonts w:ascii="Calibri Light" w:eastAsia="Times New Roman" w:hAnsi="Calibri Light" w:cs="Calibri Light"/>
                <w:color w:val="808080"/>
                <w:sz w:val="20"/>
                <w:szCs w:val="20"/>
                <w:lang w:eastAsia="en-AU"/>
              </w:rPr>
            </w:pPr>
            <w:r w:rsidRPr="007A742B">
              <w:rPr>
                <w:rFonts w:ascii="Calibri Light" w:eastAsia="Times New Roman" w:hAnsi="Calibri Light" w:cs="Calibri Light"/>
                <w:color w:val="808080"/>
                <w:sz w:val="20"/>
                <w:szCs w:val="20"/>
                <w:lang w:eastAsia="en-AU"/>
              </w:rPr>
              <w:t> </w:t>
            </w:r>
          </w:p>
        </w:tc>
      </w:tr>
    </w:tbl>
    <w:p w14:paraId="6CCDFE41" w14:textId="77777777" w:rsidR="00244248" w:rsidRDefault="00244248" w:rsidP="00244248"/>
    <w:p w14:paraId="1D728C00" w14:textId="77777777" w:rsidR="00244248" w:rsidRPr="00244248" w:rsidRDefault="00244248" w:rsidP="00244248">
      <w:pPr>
        <w:rPr>
          <w:lang w:val="en-US"/>
        </w:rPr>
      </w:pPr>
    </w:p>
    <w:p w14:paraId="3638D765" w14:textId="5F63A34A" w:rsidR="00FB68F0" w:rsidRDefault="00244248" w:rsidP="00FB68F0">
      <w:pPr>
        <w:pStyle w:val="Caption"/>
        <w:keepNext/>
      </w:pPr>
      <w:r>
        <w:rPr>
          <w:rFonts w:cstheme="majorHAnsi"/>
          <w:color w:val="5B9BD5" w:themeColor="accent1"/>
        </w:rPr>
        <w:br w:type="page"/>
      </w:r>
      <w:bookmarkStart w:id="263" w:name="_Ref85777293"/>
      <w:r w:rsidR="00FB68F0">
        <w:lastRenderedPageBreak/>
        <w:t xml:space="preserve">Table </w:t>
      </w:r>
      <w:fldSimple w:instr=" SEQ Table \* ARABIC ">
        <w:r w:rsidR="00115E22">
          <w:rPr>
            <w:noProof/>
          </w:rPr>
          <w:t>60</w:t>
        </w:r>
      </w:fldSimple>
      <w:bookmarkEnd w:id="263"/>
      <w:r w:rsidR="00FB68F0" w:rsidRPr="00C81DED">
        <w:t xml:space="preserve"> </w:t>
      </w:r>
      <w:r w:rsidR="00FB68F0">
        <w:t>Predictive margins from l</w:t>
      </w:r>
      <w:r w:rsidR="00FB68F0" w:rsidRPr="00C81DED">
        <w:t>ogit regression of stating each factor was a ‘very important’  consideration for having (more) children.</w:t>
      </w:r>
    </w:p>
    <w:tbl>
      <w:tblPr>
        <w:tblW w:w="13838" w:type="dxa"/>
        <w:tblLook w:val="04A0" w:firstRow="1" w:lastRow="0" w:firstColumn="1" w:lastColumn="0" w:noHBand="0" w:noVBand="1"/>
      </w:tblPr>
      <w:tblGrid>
        <w:gridCol w:w="2127"/>
        <w:gridCol w:w="1098"/>
        <w:gridCol w:w="1170"/>
        <w:gridCol w:w="1169"/>
        <w:gridCol w:w="1311"/>
        <w:gridCol w:w="1151"/>
        <w:gridCol w:w="1134"/>
        <w:gridCol w:w="1001"/>
        <w:gridCol w:w="1297"/>
        <w:gridCol w:w="1158"/>
        <w:gridCol w:w="1222"/>
      </w:tblGrid>
      <w:tr w:rsidR="00FB68F0" w:rsidRPr="00706CD6" w14:paraId="653B2C7B" w14:textId="77777777" w:rsidTr="00335B25">
        <w:trPr>
          <w:trHeight w:val="1134"/>
        </w:trPr>
        <w:tc>
          <w:tcPr>
            <w:tcW w:w="2127" w:type="dxa"/>
            <w:tcBorders>
              <w:top w:val="single" w:sz="4" w:space="0" w:color="ED7D31" w:themeColor="accent2"/>
              <w:left w:val="nil"/>
              <w:bottom w:val="single" w:sz="8" w:space="0" w:color="ED7D31"/>
              <w:right w:val="nil"/>
            </w:tcBorders>
            <w:shd w:val="clear" w:color="000000" w:fill="FBE4D5"/>
            <w:noWrap/>
            <w:vAlign w:val="bottom"/>
            <w:hideMark/>
          </w:tcPr>
          <w:p w14:paraId="3DABFF8E" w14:textId="77777777" w:rsidR="00FB68F0" w:rsidRPr="00706CD6" w:rsidRDefault="00FB68F0" w:rsidP="00BC70D8">
            <w:pPr>
              <w:spacing w:after="0" w:line="240" w:lineRule="auto"/>
              <w:rPr>
                <w:rFonts w:ascii="Calibri Light" w:eastAsia="Times New Roman" w:hAnsi="Calibri Light" w:cs="Calibri Light"/>
                <w:color w:val="000000"/>
                <w:lang w:eastAsia="en-AU"/>
              </w:rPr>
            </w:pPr>
            <w:r w:rsidRPr="00706CD6">
              <w:rPr>
                <w:rFonts w:ascii="Calibri Light" w:eastAsia="Times New Roman" w:hAnsi="Calibri Light" w:cs="Calibri Light"/>
                <w:color w:val="000000"/>
                <w:lang w:eastAsia="en-AU"/>
              </w:rPr>
              <w:t> </w:t>
            </w:r>
          </w:p>
        </w:tc>
        <w:tc>
          <w:tcPr>
            <w:tcW w:w="1098" w:type="dxa"/>
            <w:tcBorders>
              <w:top w:val="single" w:sz="4" w:space="0" w:color="ED7D31" w:themeColor="accent2"/>
              <w:left w:val="nil"/>
              <w:bottom w:val="single" w:sz="8" w:space="0" w:color="ED7D31"/>
              <w:right w:val="nil"/>
            </w:tcBorders>
            <w:shd w:val="clear" w:color="000000" w:fill="FBE4D5"/>
            <w:vAlign w:val="center"/>
            <w:hideMark/>
          </w:tcPr>
          <w:p w14:paraId="0A77B777"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How old you are</w:t>
            </w:r>
          </w:p>
        </w:tc>
        <w:tc>
          <w:tcPr>
            <w:tcW w:w="1170" w:type="dxa"/>
            <w:tcBorders>
              <w:top w:val="single" w:sz="4" w:space="0" w:color="ED7D31" w:themeColor="accent2"/>
              <w:left w:val="nil"/>
              <w:bottom w:val="single" w:sz="8" w:space="0" w:color="ED7D31"/>
              <w:right w:val="nil"/>
            </w:tcBorders>
            <w:shd w:val="clear" w:color="000000" w:fill="FBE4D5"/>
            <w:vAlign w:val="center"/>
            <w:hideMark/>
          </w:tcPr>
          <w:p w14:paraId="2DC611A5"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Being able to buy a home or a better home</w:t>
            </w:r>
          </w:p>
        </w:tc>
        <w:tc>
          <w:tcPr>
            <w:tcW w:w="1169" w:type="dxa"/>
            <w:tcBorders>
              <w:top w:val="single" w:sz="4" w:space="0" w:color="ED7D31" w:themeColor="accent2"/>
              <w:left w:val="nil"/>
              <w:bottom w:val="single" w:sz="8" w:space="0" w:color="ED7D31"/>
              <w:right w:val="nil"/>
            </w:tcBorders>
            <w:shd w:val="clear" w:color="000000" w:fill="FBE4D5"/>
            <w:vAlign w:val="center"/>
            <w:hideMark/>
          </w:tcPr>
          <w:p w14:paraId="229FB060"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Having someone to care for you when you are old</w:t>
            </w:r>
          </w:p>
        </w:tc>
        <w:tc>
          <w:tcPr>
            <w:tcW w:w="1311" w:type="dxa"/>
            <w:tcBorders>
              <w:top w:val="single" w:sz="4" w:space="0" w:color="ED7D31" w:themeColor="accent2"/>
              <w:left w:val="nil"/>
              <w:bottom w:val="single" w:sz="8" w:space="0" w:color="ED7D31"/>
              <w:right w:val="nil"/>
            </w:tcBorders>
            <w:shd w:val="clear" w:color="000000" w:fill="FBE4D5"/>
            <w:vAlign w:val="center"/>
            <w:hideMark/>
          </w:tcPr>
          <w:p w14:paraId="633E06A6"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The availability and affordability of quality child care</w:t>
            </w:r>
          </w:p>
        </w:tc>
        <w:tc>
          <w:tcPr>
            <w:tcW w:w="1151" w:type="dxa"/>
            <w:tcBorders>
              <w:top w:val="single" w:sz="4" w:space="0" w:color="ED7D31" w:themeColor="accent2"/>
              <w:left w:val="nil"/>
              <w:bottom w:val="single" w:sz="8" w:space="0" w:color="ED7D31"/>
              <w:right w:val="nil"/>
            </w:tcBorders>
            <w:shd w:val="clear" w:color="000000" w:fill="FBE4D5"/>
            <w:vAlign w:val="center"/>
            <w:hideMark/>
          </w:tcPr>
          <w:p w14:paraId="5D91FBD9"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The general cost of raising children</w:t>
            </w:r>
          </w:p>
        </w:tc>
        <w:tc>
          <w:tcPr>
            <w:tcW w:w="1134" w:type="dxa"/>
            <w:tcBorders>
              <w:top w:val="single" w:sz="4" w:space="0" w:color="ED7D31" w:themeColor="accent2"/>
              <w:left w:val="nil"/>
              <w:bottom w:val="single" w:sz="8" w:space="0" w:color="ED7D31"/>
              <w:right w:val="nil"/>
            </w:tcBorders>
            <w:shd w:val="clear" w:color="000000" w:fill="FBE4D5"/>
            <w:vAlign w:val="center"/>
            <w:hideMark/>
          </w:tcPr>
          <w:p w14:paraId="4477A31A"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The security of your, or your partners job</w:t>
            </w:r>
          </w:p>
        </w:tc>
        <w:tc>
          <w:tcPr>
            <w:tcW w:w="1001" w:type="dxa"/>
            <w:tcBorders>
              <w:top w:val="single" w:sz="4" w:space="0" w:color="ED7D31" w:themeColor="accent2"/>
              <w:left w:val="nil"/>
              <w:bottom w:val="single" w:sz="8" w:space="0" w:color="ED7D31"/>
              <w:right w:val="nil"/>
            </w:tcBorders>
            <w:shd w:val="clear" w:color="000000" w:fill="FBE4D5"/>
            <w:vAlign w:val="center"/>
            <w:hideMark/>
          </w:tcPr>
          <w:p w14:paraId="3CB8EC2B"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Having someone to love</w:t>
            </w:r>
          </w:p>
        </w:tc>
        <w:tc>
          <w:tcPr>
            <w:tcW w:w="1297" w:type="dxa"/>
            <w:tcBorders>
              <w:top w:val="single" w:sz="4" w:space="0" w:color="ED7D31" w:themeColor="accent2"/>
              <w:left w:val="nil"/>
              <w:bottom w:val="single" w:sz="8" w:space="0" w:color="ED7D31"/>
              <w:right w:val="nil"/>
            </w:tcBorders>
            <w:shd w:val="clear" w:color="000000" w:fill="FBE4D5"/>
            <w:vAlign w:val="center"/>
            <w:hideMark/>
          </w:tcPr>
          <w:p w14:paraId="1D4911A7"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Having time for leisure or social activities</w:t>
            </w:r>
          </w:p>
        </w:tc>
        <w:tc>
          <w:tcPr>
            <w:tcW w:w="1158" w:type="dxa"/>
            <w:tcBorders>
              <w:top w:val="single" w:sz="4" w:space="0" w:color="ED7D31" w:themeColor="accent2"/>
              <w:left w:val="nil"/>
              <w:bottom w:val="single" w:sz="8" w:space="0" w:color="ED7D31"/>
              <w:right w:val="nil"/>
            </w:tcBorders>
            <w:shd w:val="clear" w:color="000000" w:fill="FBE4D5"/>
            <w:vAlign w:val="center"/>
            <w:hideMark/>
          </w:tcPr>
          <w:p w14:paraId="1736F9F4"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Having time and energy for your career</w:t>
            </w:r>
          </w:p>
        </w:tc>
        <w:tc>
          <w:tcPr>
            <w:tcW w:w="1222" w:type="dxa"/>
            <w:tcBorders>
              <w:top w:val="single" w:sz="4" w:space="0" w:color="ED7D31" w:themeColor="accent2"/>
              <w:left w:val="nil"/>
              <w:bottom w:val="single" w:sz="8" w:space="0" w:color="ED7D31"/>
              <w:right w:val="nil"/>
            </w:tcBorders>
            <w:shd w:val="clear" w:color="000000" w:fill="FBE4D5"/>
            <w:vAlign w:val="center"/>
            <w:hideMark/>
          </w:tcPr>
          <w:p w14:paraId="331FC7A7"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Giving your parents grandchildren</w:t>
            </w:r>
          </w:p>
        </w:tc>
      </w:tr>
      <w:tr w:rsidR="00FB68F0" w:rsidRPr="00706CD6" w14:paraId="24C387D6" w14:textId="77777777" w:rsidTr="00CE5B70">
        <w:trPr>
          <w:trHeight w:hRule="exact" w:val="284"/>
        </w:trPr>
        <w:tc>
          <w:tcPr>
            <w:tcW w:w="2127" w:type="dxa"/>
            <w:tcBorders>
              <w:top w:val="nil"/>
              <w:left w:val="nil"/>
              <w:bottom w:val="nil"/>
              <w:right w:val="nil"/>
            </w:tcBorders>
            <w:shd w:val="clear" w:color="auto" w:fill="auto"/>
            <w:noWrap/>
            <w:vAlign w:val="center"/>
            <w:hideMark/>
          </w:tcPr>
          <w:p w14:paraId="2A264A38"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Number of children</w:t>
            </w:r>
          </w:p>
        </w:tc>
        <w:tc>
          <w:tcPr>
            <w:tcW w:w="1098" w:type="dxa"/>
            <w:tcBorders>
              <w:top w:val="nil"/>
              <w:left w:val="nil"/>
              <w:bottom w:val="nil"/>
              <w:right w:val="nil"/>
            </w:tcBorders>
            <w:shd w:val="clear" w:color="auto" w:fill="auto"/>
            <w:noWrap/>
            <w:vAlign w:val="center"/>
            <w:hideMark/>
          </w:tcPr>
          <w:p w14:paraId="19FA1087"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 </w:t>
            </w:r>
          </w:p>
        </w:tc>
        <w:tc>
          <w:tcPr>
            <w:tcW w:w="1170" w:type="dxa"/>
            <w:tcBorders>
              <w:top w:val="nil"/>
              <w:left w:val="nil"/>
              <w:bottom w:val="nil"/>
              <w:right w:val="nil"/>
            </w:tcBorders>
            <w:shd w:val="clear" w:color="auto" w:fill="auto"/>
            <w:noWrap/>
            <w:vAlign w:val="bottom"/>
            <w:hideMark/>
          </w:tcPr>
          <w:p w14:paraId="2958B7C7" w14:textId="77777777" w:rsidR="00FB68F0" w:rsidRPr="00706CD6" w:rsidRDefault="00FB68F0" w:rsidP="00335B25">
            <w:pPr>
              <w:rPr>
                <w:rFonts w:ascii="Calibri Light" w:eastAsia="Times New Roman" w:hAnsi="Calibri Light" w:cs="Calibri Light"/>
                <w:b/>
                <w:bCs/>
                <w:color w:val="000000"/>
                <w:sz w:val="20"/>
                <w:szCs w:val="20"/>
                <w:lang w:eastAsia="en-AU"/>
              </w:rPr>
            </w:pPr>
          </w:p>
        </w:tc>
        <w:tc>
          <w:tcPr>
            <w:tcW w:w="1169" w:type="dxa"/>
            <w:tcBorders>
              <w:top w:val="nil"/>
              <w:left w:val="nil"/>
              <w:bottom w:val="nil"/>
              <w:right w:val="nil"/>
            </w:tcBorders>
            <w:shd w:val="clear" w:color="auto" w:fill="auto"/>
            <w:noWrap/>
            <w:vAlign w:val="bottom"/>
            <w:hideMark/>
          </w:tcPr>
          <w:p w14:paraId="4B8F11A1" w14:textId="77777777" w:rsidR="00FB68F0" w:rsidRPr="00706CD6" w:rsidRDefault="00FB68F0" w:rsidP="00335B25">
            <w:pPr>
              <w:rPr>
                <w:rFonts w:ascii="Times New Roman" w:eastAsia="Times New Roman" w:hAnsi="Times New Roman" w:cs="Times New Roman"/>
                <w:sz w:val="20"/>
                <w:szCs w:val="20"/>
                <w:lang w:eastAsia="en-AU"/>
              </w:rPr>
            </w:pPr>
          </w:p>
        </w:tc>
        <w:tc>
          <w:tcPr>
            <w:tcW w:w="1311" w:type="dxa"/>
            <w:tcBorders>
              <w:top w:val="nil"/>
              <w:left w:val="nil"/>
              <w:bottom w:val="nil"/>
              <w:right w:val="nil"/>
            </w:tcBorders>
            <w:shd w:val="clear" w:color="auto" w:fill="auto"/>
            <w:noWrap/>
            <w:vAlign w:val="bottom"/>
            <w:hideMark/>
          </w:tcPr>
          <w:p w14:paraId="4AA41A24" w14:textId="77777777" w:rsidR="00FB68F0" w:rsidRPr="00706CD6" w:rsidRDefault="00FB68F0" w:rsidP="00335B25">
            <w:pPr>
              <w:rPr>
                <w:rFonts w:ascii="Times New Roman" w:eastAsia="Times New Roman" w:hAnsi="Times New Roman" w:cs="Times New Roman"/>
                <w:sz w:val="20"/>
                <w:szCs w:val="20"/>
                <w:lang w:eastAsia="en-AU"/>
              </w:rPr>
            </w:pPr>
          </w:p>
        </w:tc>
        <w:tc>
          <w:tcPr>
            <w:tcW w:w="1151" w:type="dxa"/>
            <w:tcBorders>
              <w:top w:val="nil"/>
              <w:left w:val="nil"/>
              <w:bottom w:val="nil"/>
              <w:right w:val="nil"/>
            </w:tcBorders>
            <w:shd w:val="clear" w:color="auto" w:fill="auto"/>
            <w:noWrap/>
            <w:vAlign w:val="bottom"/>
            <w:hideMark/>
          </w:tcPr>
          <w:p w14:paraId="148BA9F4" w14:textId="77777777" w:rsidR="00FB68F0" w:rsidRPr="00706CD6" w:rsidRDefault="00FB68F0" w:rsidP="00335B25">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bottom"/>
            <w:hideMark/>
          </w:tcPr>
          <w:p w14:paraId="4D03A512" w14:textId="77777777" w:rsidR="00FB68F0" w:rsidRPr="00706CD6" w:rsidRDefault="00FB68F0" w:rsidP="00335B25">
            <w:pPr>
              <w:rPr>
                <w:rFonts w:ascii="Times New Roman" w:eastAsia="Times New Roman" w:hAnsi="Times New Roman" w:cs="Times New Roman"/>
                <w:sz w:val="20"/>
                <w:szCs w:val="20"/>
                <w:lang w:eastAsia="en-AU"/>
              </w:rPr>
            </w:pPr>
          </w:p>
        </w:tc>
        <w:tc>
          <w:tcPr>
            <w:tcW w:w="1001" w:type="dxa"/>
            <w:tcBorders>
              <w:top w:val="nil"/>
              <w:left w:val="nil"/>
              <w:bottom w:val="nil"/>
              <w:right w:val="nil"/>
            </w:tcBorders>
            <w:shd w:val="clear" w:color="auto" w:fill="auto"/>
            <w:noWrap/>
            <w:vAlign w:val="bottom"/>
            <w:hideMark/>
          </w:tcPr>
          <w:p w14:paraId="1FE07C8E" w14:textId="77777777" w:rsidR="00FB68F0" w:rsidRPr="00706CD6" w:rsidRDefault="00FB68F0" w:rsidP="00335B25">
            <w:pPr>
              <w:rPr>
                <w:rFonts w:ascii="Times New Roman" w:eastAsia="Times New Roman" w:hAnsi="Times New Roman" w:cs="Times New Roman"/>
                <w:sz w:val="20"/>
                <w:szCs w:val="20"/>
                <w:lang w:eastAsia="en-AU"/>
              </w:rPr>
            </w:pPr>
          </w:p>
        </w:tc>
        <w:tc>
          <w:tcPr>
            <w:tcW w:w="1297" w:type="dxa"/>
            <w:tcBorders>
              <w:top w:val="nil"/>
              <w:left w:val="nil"/>
              <w:bottom w:val="nil"/>
              <w:right w:val="nil"/>
            </w:tcBorders>
            <w:shd w:val="clear" w:color="auto" w:fill="auto"/>
            <w:noWrap/>
            <w:vAlign w:val="bottom"/>
            <w:hideMark/>
          </w:tcPr>
          <w:p w14:paraId="02172556" w14:textId="77777777" w:rsidR="00FB68F0" w:rsidRPr="00706CD6" w:rsidRDefault="00FB68F0" w:rsidP="00335B25">
            <w:pPr>
              <w:rPr>
                <w:rFonts w:ascii="Times New Roman" w:eastAsia="Times New Roman" w:hAnsi="Times New Roman" w:cs="Times New Roman"/>
                <w:sz w:val="20"/>
                <w:szCs w:val="20"/>
                <w:lang w:eastAsia="en-AU"/>
              </w:rPr>
            </w:pPr>
          </w:p>
        </w:tc>
        <w:tc>
          <w:tcPr>
            <w:tcW w:w="1158" w:type="dxa"/>
            <w:tcBorders>
              <w:top w:val="nil"/>
              <w:left w:val="nil"/>
              <w:bottom w:val="nil"/>
              <w:right w:val="nil"/>
            </w:tcBorders>
            <w:shd w:val="clear" w:color="auto" w:fill="auto"/>
            <w:noWrap/>
            <w:vAlign w:val="bottom"/>
            <w:hideMark/>
          </w:tcPr>
          <w:p w14:paraId="4D000E3C" w14:textId="77777777" w:rsidR="00FB68F0" w:rsidRPr="00706CD6" w:rsidRDefault="00FB68F0" w:rsidP="00335B25">
            <w:pPr>
              <w:rPr>
                <w:rFonts w:ascii="Times New Roman" w:eastAsia="Times New Roman" w:hAnsi="Times New Roman" w:cs="Times New Roman"/>
                <w:sz w:val="20"/>
                <w:szCs w:val="20"/>
                <w:lang w:eastAsia="en-AU"/>
              </w:rPr>
            </w:pPr>
          </w:p>
        </w:tc>
        <w:tc>
          <w:tcPr>
            <w:tcW w:w="1222" w:type="dxa"/>
            <w:tcBorders>
              <w:top w:val="nil"/>
              <w:left w:val="nil"/>
              <w:bottom w:val="nil"/>
              <w:right w:val="nil"/>
            </w:tcBorders>
            <w:shd w:val="clear" w:color="auto" w:fill="auto"/>
            <w:noWrap/>
            <w:vAlign w:val="bottom"/>
            <w:hideMark/>
          </w:tcPr>
          <w:p w14:paraId="162F0445" w14:textId="77777777" w:rsidR="00FB68F0" w:rsidRPr="00706CD6" w:rsidRDefault="00FB68F0" w:rsidP="00335B25">
            <w:pPr>
              <w:rPr>
                <w:rFonts w:ascii="Times New Roman" w:eastAsia="Times New Roman" w:hAnsi="Times New Roman" w:cs="Times New Roman"/>
                <w:sz w:val="20"/>
                <w:szCs w:val="20"/>
                <w:lang w:eastAsia="en-AU"/>
              </w:rPr>
            </w:pPr>
          </w:p>
        </w:tc>
      </w:tr>
      <w:tr w:rsidR="00FB68F0" w:rsidRPr="00706CD6" w14:paraId="1968A15E" w14:textId="77777777" w:rsidTr="00CE5B70">
        <w:trPr>
          <w:trHeight w:hRule="exact" w:val="284"/>
        </w:trPr>
        <w:tc>
          <w:tcPr>
            <w:tcW w:w="2127" w:type="dxa"/>
            <w:tcBorders>
              <w:top w:val="nil"/>
              <w:left w:val="nil"/>
              <w:right w:val="nil"/>
            </w:tcBorders>
            <w:shd w:val="clear" w:color="auto" w:fill="auto"/>
            <w:noWrap/>
            <w:vAlign w:val="center"/>
            <w:hideMark/>
          </w:tcPr>
          <w:p w14:paraId="7C3EDC21"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Childless</w:t>
            </w:r>
          </w:p>
        </w:tc>
        <w:tc>
          <w:tcPr>
            <w:tcW w:w="1098" w:type="dxa"/>
            <w:tcBorders>
              <w:top w:val="nil"/>
              <w:left w:val="nil"/>
              <w:right w:val="nil"/>
            </w:tcBorders>
            <w:shd w:val="clear" w:color="auto" w:fill="auto"/>
            <w:noWrap/>
            <w:vAlign w:val="bottom"/>
            <w:hideMark/>
          </w:tcPr>
          <w:p w14:paraId="128FD17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0.27</w:t>
            </w:r>
          </w:p>
        </w:tc>
        <w:tc>
          <w:tcPr>
            <w:tcW w:w="1170" w:type="dxa"/>
            <w:tcBorders>
              <w:top w:val="nil"/>
              <w:left w:val="nil"/>
              <w:right w:val="nil"/>
            </w:tcBorders>
            <w:shd w:val="clear" w:color="auto" w:fill="auto"/>
            <w:noWrap/>
            <w:vAlign w:val="bottom"/>
            <w:hideMark/>
          </w:tcPr>
          <w:p w14:paraId="3263258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0.34</w:t>
            </w:r>
          </w:p>
        </w:tc>
        <w:tc>
          <w:tcPr>
            <w:tcW w:w="1169" w:type="dxa"/>
            <w:tcBorders>
              <w:top w:val="nil"/>
              <w:left w:val="nil"/>
              <w:right w:val="nil"/>
            </w:tcBorders>
            <w:shd w:val="clear" w:color="auto" w:fill="auto"/>
            <w:noWrap/>
            <w:vAlign w:val="bottom"/>
            <w:hideMark/>
          </w:tcPr>
          <w:p w14:paraId="20A3BCCF"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c>
          <w:tcPr>
            <w:tcW w:w="1311" w:type="dxa"/>
            <w:tcBorders>
              <w:top w:val="nil"/>
              <w:left w:val="nil"/>
              <w:right w:val="nil"/>
            </w:tcBorders>
            <w:shd w:val="clear" w:color="auto" w:fill="auto"/>
            <w:noWrap/>
            <w:vAlign w:val="bottom"/>
            <w:hideMark/>
          </w:tcPr>
          <w:p w14:paraId="448F01F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1" w:type="dxa"/>
            <w:tcBorders>
              <w:top w:val="nil"/>
              <w:left w:val="nil"/>
              <w:right w:val="nil"/>
            </w:tcBorders>
            <w:shd w:val="clear" w:color="auto" w:fill="auto"/>
            <w:noWrap/>
            <w:vAlign w:val="bottom"/>
            <w:hideMark/>
          </w:tcPr>
          <w:p w14:paraId="3D4BB72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0.40</w:t>
            </w:r>
          </w:p>
        </w:tc>
        <w:tc>
          <w:tcPr>
            <w:tcW w:w="1134" w:type="dxa"/>
            <w:tcBorders>
              <w:top w:val="nil"/>
              <w:left w:val="nil"/>
              <w:right w:val="nil"/>
            </w:tcBorders>
            <w:shd w:val="clear" w:color="auto" w:fill="auto"/>
            <w:noWrap/>
            <w:vAlign w:val="bottom"/>
            <w:hideMark/>
          </w:tcPr>
          <w:p w14:paraId="1CBF0DA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0.41</w:t>
            </w:r>
          </w:p>
        </w:tc>
        <w:tc>
          <w:tcPr>
            <w:tcW w:w="1001" w:type="dxa"/>
            <w:tcBorders>
              <w:top w:val="nil"/>
              <w:left w:val="nil"/>
              <w:right w:val="nil"/>
            </w:tcBorders>
            <w:shd w:val="clear" w:color="auto" w:fill="auto"/>
            <w:noWrap/>
            <w:vAlign w:val="bottom"/>
            <w:hideMark/>
          </w:tcPr>
          <w:p w14:paraId="687B33A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0.34</w:t>
            </w:r>
          </w:p>
        </w:tc>
        <w:tc>
          <w:tcPr>
            <w:tcW w:w="1297" w:type="dxa"/>
            <w:tcBorders>
              <w:top w:val="nil"/>
              <w:left w:val="nil"/>
              <w:right w:val="nil"/>
            </w:tcBorders>
            <w:shd w:val="clear" w:color="auto" w:fill="auto"/>
            <w:noWrap/>
            <w:vAlign w:val="bottom"/>
            <w:hideMark/>
          </w:tcPr>
          <w:p w14:paraId="597A71A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8" w:type="dxa"/>
            <w:tcBorders>
              <w:top w:val="nil"/>
              <w:left w:val="nil"/>
              <w:right w:val="nil"/>
            </w:tcBorders>
            <w:shd w:val="clear" w:color="auto" w:fill="auto"/>
            <w:noWrap/>
            <w:vAlign w:val="bottom"/>
            <w:hideMark/>
          </w:tcPr>
          <w:p w14:paraId="4966EC8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222" w:type="dxa"/>
            <w:tcBorders>
              <w:top w:val="nil"/>
              <w:left w:val="nil"/>
              <w:right w:val="nil"/>
            </w:tcBorders>
            <w:shd w:val="clear" w:color="auto" w:fill="auto"/>
            <w:noWrap/>
            <w:vAlign w:val="bottom"/>
            <w:hideMark/>
          </w:tcPr>
          <w:p w14:paraId="0C8D079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r>
      <w:tr w:rsidR="00FB68F0" w:rsidRPr="00706CD6" w14:paraId="67C1A91E"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center"/>
            <w:hideMark/>
          </w:tcPr>
          <w:p w14:paraId="5E035C80"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At least 1 child</w:t>
            </w:r>
          </w:p>
        </w:tc>
        <w:tc>
          <w:tcPr>
            <w:tcW w:w="1098" w:type="dxa"/>
            <w:tcBorders>
              <w:top w:val="nil"/>
              <w:left w:val="nil"/>
              <w:bottom w:val="single" w:sz="4" w:space="0" w:color="ED7D31" w:themeColor="accent2"/>
              <w:right w:val="nil"/>
            </w:tcBorders>
            <w:shd w:val="clear" w:color="auto" w:fill="auto"/>
            <w:noWrap/>
            <w:vAlign w:val="bottom"/>
            <w:hideMark/>
          </w:tcPr>
          <w:p w14:paraId="4200940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0.31</w:t>
            </w:r>
          </w:p>
        </w:tc>
        <w:tc>
          <w:tcPr>
            <w:tcW w:w="1170" w:type="dxa"/>
            <w:tcBorders>
              <w:top w:val="nil"/>
              <w:left w:val="nil"/>
              <w:bottom w:val="single" w:sz="4" w:space="0" w:color="ED7D31" w:themeColor="accent2"/>
              <w:right w:val="nil"/>
            </w:tcBorders>
            <w:shd w:val="clear" w:color="auto" w:fill="auto"/>
            <w:noWrap/>
            <w:vAlign w:val="bottom"/>
            <w:hideMark/>
          </w:tcPr>
          <w:p w14:paraId="2B3BE89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169" w:type="dxa"/>
            <w:tcBorders>
              <w:top w:val="nil"/>
              <w:left w:val="nil"/>
              <w:bottom w:val="single" w:sz="4" w:space="0" w:color="ED7D31" w:themeColor="accent2"/>
              <w:right w:val="nil"/>
            </w:tcBorders>
            <w:shd w:val="clear" w:color="auto" w:fill="auto"/>
            <w:noWrap/>
            <w:vAlign w:val="bottom"/>
            <w:hideMark/>
          </w:tcPr>
          <w:p w14:paraId="345617EF"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0.13</w:t>
            </w:r>
          </w:p>
        </w:tc>
        <w:tc>
          <w:tcPr>
            <w:tcW w:w="1311" w:type="dxa"/>
            <w:tcBorders>
              <w:top w:val="nil"/>
              <w:left w:val="nil"/>
              <w:bottom w:val="single" w:sz="4" w:space="0" w:color="ED7D31" w:themeColor="accent2"/>
              <w:right w:val="nil"/>
            </w:tcBorders>
            <w:shd w:val="clear" w:color="auto" w:fill="auto"/>
            <w:noWrap/>
            <w:vAlign w:val="bottom"/>
            <w:hideMark/>
          </w:tcPr>
          <w:p w14:paraId="65E0FF1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0.25</w:t>
            </w:r>
          </w:p>
        </w:tc>
        <w:tc>
          <w:tcPr>
            <w:tcW w:w="1151" w:type="dxa"/>
            <w:tcBorders>
              <w:top w:val="nil"/>
              <w:left w:val="nil"/>
              <w:bottom w:val="single" w:sz="4" w:space="0" w:color="ED7D31" w:themeColor="accent2"/>
              <w:right w:val="nil"/>
            </w:tcBorders>
            <w:shd w:val="clear" w:color="auto" w:fill="auto"/>
            <w:noWrap/>
            <w:vAlign w:val="bottom"/>
            <w:hideMark/>
          </w:tcPr>
          <w:p w14:paraId="03A627D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0.41</w:t>
            </w:r>
          </w:p>
        </w:tc>
        <w:tc>
          <w:tcPr>
            <w:tcW w:w="1134" w:type="dxa"/>
            <w:tcBorders>
              <w:top w:val="nil"/>
              <w:left w:val="nil"/>
              <w:bottom w:val="single" w:sz="4" w:space="0" w:color="ED7D31" w:themeColor="accent2"/>
              <w:right w:val="nil"/>
            </w:tcBorders>
            <w:shd w:val="clear" w:color="auto" w:fill="auto"/>
            <w:noWrap/>
            <w:vAlign w:val="bottom"/>
            <w:hideMark/>
          </w:tcPr>
          <w:p w14:paraId="18521AF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0.37</w:t>
            </w:r>
          </w:p>
        </w:tc>
        <w:tc>
          <w:tcPr>
            <w:tcW w:w="1001" w:type="dxa"/>
            <w:tcBorders>
              <w:top w:val="nil"/>
              <w:left w:val="nil"/>
              <w:bottom w:val="single" w:sz="4" w:space="0" w:color="ED7D31" w:themeColor="accent2"/>
              <w:right w:val="nil"/>
            </w:tcBorders>
            <w:shd w:val="clear" w:color="auto" w:fill="auto"/>
            <w:noWrap/>
            <w:vAlign w:val="bottom"/>
            <w:hideMark/>
          </w:tcPr>
          <w:p w14:paraId="20E1961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0.41</w:t>
            </w:r>
          </w:p>
        </w:tc>
        <w:tc>
          <w:tcPr>
            <w:tcW w:w="1297" w:type="dxa"/>
            <w:tcBorders>
              <w:top w:val="nil"/>
              <w:left w:val="nil"/>
              <w:bottom w:val="single" w:sz="4" w:space="0" w:color="ED7D31" w:themeColor="accent2"/>
              <w:right w:val="nil"/>
            </w:tcBorders>
            <w:shd w:val="clear" w:color="auto" w:fill="auto"/>
            <w:noWrap/>
            <w:vAlign w:val="bottom"/>
            <w:hideMark/>
          </w:tcPr>
          <w:p w14:paraId="09474C0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8" w:type="dxa"/>
            <w:tcBorders>
              <w:top w:val="nil"/>
              <w:left w:val="nil"/>
              <w:bottom w:val="single" w:sz="4" w:space="0" w:color="ED7D31" w:themeColor="accent2"/>
              <w:right w:val="nil"/>
            </w:tcBorders>
            <w:shd w:val="clear" w:color="auto" w:fill="auto"/>
            <w:noWrap/>
            <w:vAlign w:val="bottom"/>
            <w:hideMark/>
          </w:tcPr>
          <w:p w14:paraId="0F3C0BA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0.18</w:t>
            </w:r>
          </w:p>
        </w:tc>
        <w:tc>
          <w:tcPr>
            <w:tcW w:w="1222" w:type="dxa"/>
            <w:tcBorders>
              <w:top w:val="nil"/>
              <w:left w:val="nil"/>
              <w:bottom w:val="single" w:sz="4" w:space="0" w:color="ED7D31" w:themeColor="accent2"/>
              <w:right w:val="nil"/>
            </w:tcBorders>
            <w:shd w:val="clear" w:color="auto" w:fill="auto"/>
            <w:noWrap/>
            <w:vAlign w:val="bottom"/>
            <w:hideMark/>
          </w:tcPr>
          <w:p w14:paraId="0D96A84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0.09</w:t>
            </w:r>
          </w:p>
        </w:tc>
      </w:tr>
      <w:tr w:rsidR="00FB68F0" w:rsidRPr="00706CD6" w14:paraId="223B72E2" w14:textId="77777777" w:rsidTr="00CE5B70">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0B81C622"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Sex</w:t>
            </w:r>
          </w:p>
        </w:tc>
        <w:tc>
          <w:tcPr>
            <w:tcW w:w="1098" w:type="dxa"/>
            <w:tcBorders>
              <w:top w:val="single" w:sz="4" w:space="0" w:color="ED7D31" w:themeColor="accent2"/>
              <w:left w:val="nil"/>
              <w:bottom w:val="nil"/>
              <w:right w:val="nil"/>
            </w:tcBorders>
            <w:shd w:val="clear" w:color="auto" w:fill="auto"/>
            <w:noWrap/>
            <w:vAlign w:val="bottom"/>
            <w:hideMark/>
          </w:tcPr>
          <w:p w14:paraId="0C9ABEDA" w14:textId="77777777" w:rsidR="00FB68F0" w:rsidRPr="00706CD6" w:rsidRDefault="00FB68F0" w:rsidP="00335B25">
            <w:pPr>
              <w:jc w:val="center"/>
              <w:rPr>
                <w:rFonts w:ascii="Calibri Light" w:eastAsia="Times New Roman" w:hAnsi="Calibri Light" w:cs="Calibri Light"/>
                <w:b/>
                <w:bCs/>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hideMark/>
          </w:tcPr>
          <w:p w14:paraId="27986306"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hideMark/>
          </w:tcPr>
          <w:p w14:paraId="1C1BAF01"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hideMark/>
          </w:tcPr>
          <w:p w14:paraId="6D157A53"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hideMark/>
          </w:tcPr>
          <w:p w14:paraId="6C02AE7F"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3DED3127"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001" w:type="dxa"/>
            <w:tcBorders>
              <w:top w:val="single" w:sz="4" w:space="0" w:color="ED7D31" w:themeColor="accent2"/>
              <w:left w:val="nil"/>
              <w:bottom w:val="nil"/>
              <w:right w:val="nil"/>
            </w:tcBorders>
            <w:shd w:val="clear" w:color="auto" w:fill="auto"/>
            <w:noWrap/>
            <w:vAlign w:val="bottom"/>
            <w:hideMark/>
          </w:tcPr>
          <w:p w14:paraId="4F83781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hideMark/>
          </w:tcPr>
          <w:p w14:paraId="01A3CD4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hideMark/>
          </w:tcPr>
          <w:p w14:paraId="0407B182"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363173FD" w14:textId="77777777" w:rsidR="00FB68F0" w:rsidRPr="00706CD6" w:rsidRDefault="00FB68F0" w:rsidP="00335B25">
            <w:pPr>
              <w:jc w:val="center"/>
              <w:rPr>
                <w:rFonts w:ascii="Times New Roman" w:eastAsia="Times New Roman" w:hAnsi="Times New Roman" w:cs="Times New Roman"/>
                <w:sz w:val="20"/>
                <w:szCs w:val="20"/>
                <w:lang w:eastAsia="en-AU"/>
              </w:rPr>
            </w:pPr>
          </w:p>
        </w:tc>
      </w:tr>
      <w:tr w:rsidR="00FB68F0" w:rsidRPr="00706CD6" w14:paraId="6CED9B21" w14:textId="77777777" w:rsidTr="00CE5B70">
        <w:trPr>
          <w:trHeight w:hRule="exact" w:val="284"/>
        </w:trPr>
        <w:tc>
          <w:tcPr>
            <w:tcW w:w="2127" w:type="dxa"/>
            <w:tcBorders>
              <w:top w:val="nil"/>
              <w:left w:val="nil"/>
              <w:right w:val="nil"/>
            </w:tcBorders>
            <w:shd w:val="clear" w:color="auto" w:fill="auto"/>
            <w:noWrap/>
            <w:vAlign w:val="center"/>
            <w:hideMark/>
          </w:tcPr>
          <w:p w14:paraId="5DB304A4"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Male</w:t>
            </w:r>
          </w:p>
        </w:tc>
        <w:tc>
          <w:tcPr>
            <w:tcW w:w="1098" w:type="dxa"/>
            <w:tcBorders>
              <w:top w:val="nil"/>
              <w:left w:val="nil"/>
              <w:right w:val="nil"/>
            </w:tcBorders>
            <w:shd w:val="clear" w:color="auto" w:fill="auto"/>
            <w:noWrap/>
            <w:vAlign w:val="bottom"/>
            <w:hideMark/>
          </w:tcPr>
          <w:p w14:paraId="37C5FEC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70" w:type="dxa"/>
            <w:tcBorders>
              <w:top w:val="nil"/>
              <w:left w:val="nil"/>
              <w:right w:val="nil"/>
            </w:tcBorders>
            <w:shd w:val="clear" w:color="auto" w:fill="auto"/>
            <w:noWrap/>
            <w:vAlign w:val="bottom"/>
            <w:hideMark/>
          </w:tcPr>
          <w:p w14:paraId="41CC64D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0.28</w:t>
            </w:r>
          </w:p>
        </w:tc>
        <w:tc>
          <w:tcPr>
            <w:tcW w:w="1169" w:type="dxa"/>
            <w:tcBorders>
              <w:top w:val="nil"/>
              <w:left w:val="nil"/>
              <w:right w:val="nil"/>
            </w:tcBorders>
            <w:shd w:val="clear" w:color="auto" w:fill="auto"/>
            <w:noWrap/>
            <w:vAlign w:val="bottom"/>
            <w:hideMark/>
          </w:tcPr>
          <w:p w14:paraId="5945AE06"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c>
          <w:tcPr>
            <w:tcW w:w="1311" w:type="dxa"/>
            <w:tcBorders>
              <w:top w:val="nil"/>
              <w:left w:val="nil"/>
              <w:right w:val="nil"/>
            </w:tcBorders>
            <w:shd w:val="clear" w:color="auto" w:fill="auto"/>
            <w:noWrap/>
            <w:vAlign w:val="bottom"/>
            <w:hideMark/>
          </w:tcPr>
          <w:p w14:paraId="61320A2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0.20</w:t>
            </w:r>
          </w:p>
        </w:tc>
        <w:tc>
          <w:tcPr>
            <w:tcW w:w="1151" w:type="dxa"/>
            <w:tcBorders>
              <w:top w:val="nil"/>
              <w:left w:val="nil"/>
              <w:right w:val="nil"/>
            </w:tcBorders>
            <w:shd w:val="clear" w:color="auto" w:fill="auto"/>
            <w:noWrap/>
            <w:vAlign w:val="bottom"/>
            <w:hideMark/>
          </w:tcPr>
          <w:p w14:paraId="57BD2CB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0.36</w:t>
            </w:r>
          </w:p>
        </w:tc>
        <w:tc>
          <w:tcPr>
            <w:tcW w:w="1134" w:type="dxa"/>
            <w:tcBorders>
              <w:top w:val="nil"/>
              <w:left w:val="nil"/>
              <w:right w:val="nil"/>
            </w:tcBorders>
            <w:shd w:val="clear" w:color="auto" w:fill="auto"/>
            <w:noWrap/>
            <w:vAlign w:val="bottom"/>
            <w:hideMark/>
          </w:tcPr>
          <w:p w14:paraId="0F68AC6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0.36</w:t>
            </w:r>
          </w:p>
        </w:tc>
        <w:tc>
          <w:tcPr>
            <w:tcW w:w="1001" w:type="dxa"/>
            <w:tcBorders>
              <w:top w:val="nil"/>
              <w:left w:val="nil"/>
              <w:right w:val="nil"/>
            </w:tcBorders>
            <w:shd w:val="clear" w:color="auto" w:fill="auto"/>
            <w:noWrap/>
            <w:vAlign w:val="bottom"/>
            <w:hideMark/>
          </w:tcPr>
          <w:p w14:paraId="3DAA383E"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0.38</w:t>
            </w:r>
          </w:p>
        </w:tc>
        <w:tc>
          <w:tcPr>
            <w:tcW w:w="1297" w:type="dxa"/>
            <w:tcBorders>
              <w:top w:val="nil"/>
              <w:left w:val="nil"/>
              <w:right w:val="nil"/>
            </w:tcBorders>
            <w:shd w:val="clear" w:color="auto" w:fill="auto"/>
            <w:noWrap/>
            <w:vAlign w:val="bottom"/>
            <w:hideMark/>
          </w:tcPr>
          <w:p w14:paraId="463C7A0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8" w:type="dxa"/>
            <w:tcBorders>
              <w:top w:val="nil"/>
              <w:left w:val="nil"/>
              <w:right w:val="nil"/>
            </w:tcBorders>
            <w:shd w:val="clear" w:color="auto" w:fill="auto"/>
            <w:noWrap/>
            <w:vAlign w:val="bottom"/>
            <w:hideMark/>
          </w:tcPr>
          <w:p w14:paraId="1922B17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222" w:type="dxa"/>
            <w:tcBorders>
              <w:top w:val="nil"/>
              <w:left w:val="nil"/>
              <w:right w:val="nil"/>
            </w:tcBorders>
            <w:shd w:val="clear" w:color="auto" w:fill="auto"/>
            <w:noWrap/>
            <w:vAlign w:val="bottom"/>
            <w:hideMark/>
          </w:tcPr>
          <w:p w14:paraId="62FF084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r>
      <w:tr w:rsidR="00FB68F0" w:rsidRPr="00706CD6" w14:paraId="5F1DD2EF"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center"/>
            <w:hideMark/>
          </w:tcPr>
          <w:p w14:paraId="72652D2F"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Female</w:t>
            </w:r>
          </w:p>
        </w:tc>
        <w:tc>
          <w:tcPr>
            <w:tcW w:w="1098" w:type="dxa"/>
            <w:tcBorders>
              <w:top w:val="nil"/>
              <w:left w:val="nil"/>
              <w:bottom w:val="single" w:sz="4" w:space="0" w:color="ED7D31" w:themeColor="accent2"/>
              <w:right w:val="nil"/>
            </w:tcBorders>
            <w:shd w:val="clear" w:color="auto" w:fill="auto"/>
            <w:noWrap/>
            <w:vAlign w:val="bottom"/>
            <w:hideMark/>
          </w:tcPr>
          <w:p w14:paraId="2E83490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0.33</w:t>
            </w:r>
          </w:p>
        </w:tc>
        <w:tc>
          <w:tcPr>
            <w:tcW w:w="1170" w:type="dxa"/>
            <w:tcBorders>
              <w:top w:val="nil"/>
              <w:left w:val="nil"/>
              <w:bottom w:val="single" w:sz="4" w:space="0" w:color="ED7D31" w:themeColor="accent2"/>
              <w:right w:val="nil"/>
            </w:tcBorders>
            <w:shd w:val="clear" w:color="auto" w:fill="auto"/>
            <w:noWrap/>
            <w:vAlign w:val="bottom"/>
            <w:hideMark/>
          </w:tcPr>
          <w:p w14:paraId="7D94789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0.31</w:t>
            </w:r>
          </w:p>
        </w:tc>
        <w:tc>
          <w:tcPr>
            <w:tcW w:w="1169" w:type="dxa"/>
            <w:tcBorders>
              <w:top w:val="nil"/>
              <w:left w:val="nil"/>
              <w:bottom w:val="single" w:sz="4" w:space="0" w:color="ED7D31" w:themeColor="accent2"/>
              <w:right w:val="nil"/>
            </w:tcBorders>
            <w:shd w:val="clear" w:color="auto" w:fill="auto"/>
            <w:noWrap/>
            <w:vAlign w:val="bottom"/>
            <w:hideMark/>
          </w:tcPr>
          <w:p w14:paraId="43E4034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0.12</w:t>
            </w:r>
          </w:p>
        </w:tc>
        <w:tc>
          <w:tcPr>
            <w:tcW w:w="1311" w:type="dxa"/>
            <w:tcBorders>
              <w:top w:val="nil"/>
              <w:left w:val="nil"/>
              <w:bottom w:val="single" w:sz="4" w:space="0" w:color="ED7D31" w:themeColor="accent2"/>
              <w:right w:val="nil"/>
            </w:tcBorders>
            <w:shd w:val="clear" w:color="auto" w:fill="auto"/>
            <w:noWrap/>
            <w:vAlign w:val="bottom"/>
            <w:hideMark/>
          </w:tcPr>
          <w:p w14:paraId="1D5F093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0.28</w:t>
            </w:r>
          </w:p>
        </w:tc>
        <w:tc>
          <w:tcPr>
            <w:tcW w:w="1151" w:type="dxa"/>
            <w:tcBorders>
              <w:top w:val="nil"/>
              <w:left w:val="nil"/>
              <w:bottom w:val="single" w:sz="4" w:space="0" w:color="ED7D31" w:themeColor="accent2"/>
              <w:right w:val="nil"/>
            </w:tcBorders>
            <w:shd w:val="clear" w:color="auto" w:fill="auto"/>
            <w:noWrap/>
            <w:vAlign w:val="bottom"/>
            <w:hideMark/>
          </w:tcPr>
          <w:p w14:paraId="61F1934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0.44</w:t>
            </w:r>
          </w:p>
        </w:tc>
        <w:tc>
          <w:tcPr>
            <w:tcW w:w="1134" w:type="dxa"/>
            <w:tcBorders>
              <w:top w:val="nil"/>
              <w:left w:val="nil"/>
              <w:bottom w:val="single" w:sz="4" w:space="0" w:color="ED7D31" w:themeColor="accent2"/>
              <w:right w:val="nil"/>
            </w:tcBorders>
            <w:shd w:val="clear" w:color="auto" w:fill="auto"/>
            <w:noWrap/>
            <w:vAlign w:val="bottom"/>
            <w:hideMark/>
          </w:tcPr>
          <w:p w14:paraId="0BAC77F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0.43</w:t>
            </w:r>
          </w:p>
        </w:tc>
        <w:tc>
          <w:tcPr>
            <w:tcW w:w="1001" w:type="dxa"/>
            <w:tcBorders>
              <w:top w:val="nil"/>
              <w:left w:val="nil"/>
              <w:bottom w:val="single" w:sz="4" w:space="0" w:color="ED7D31" w:themeColor="accent2"/>
              <w:right w:val="nil"/>
            </w:tcBorders>
            <w:shd w:val="clear" w:color="auto" w:fill="auto"/>
            <w:noWrap/>
            <w:vAlign w:val="bottom"/>
            <w:hideMark/>
          </w:tcPr>
          <w:p w14:paraId="72822E4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0.36</w:t>
            </w:r>
          </w:p>
        </w:tc>
        <w:tc>
          <w:tcPr>
            <w:tcW w:w="1297" w:type="dxa"/>
            <w:tcBorders>
              <w:top w:val="nil"/>
              <w:left w:val="nil"/>
              <w:bottom w:val="single" w:sz="4" w:space="0" w:color="ED7D31" w:themeColor="accent2"/>
              <w:right w:val="nil"/>
            </w:tcBorders>
            <w:shd w:val="clear" w:color="auto" w:fill="auto"/>
            <w:noWrap/>
            <w:vAlign w:val="bottom"/>
            <w:hideMark/>
          </w:tcPr>
          <w:p w14:paraId="0735DF1E"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8" w:type="dxa"/>
            <w:tcBorders>
              <w:top w:val="nil"/>
              <w:left w:val="nil"/>
              <w:bottom w:val="single" w:sz="4" w:space="0" w:color="ED7D31" w:themeColor="accent2"/>
              <w:right w:val="nil"/>
            </w:tcBorders>
            <w:shd w:val="clear" w:color="auto" w:fill="auto"/>
            <w:noWrap/>
            <w:vAlign w:val="bottom"/>
            <w:hideMark/>
          </w:tcPr>
          <w:p w14:paraId="38BD317B"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0.25</w:t>
            </w:r>
          </w:p>
        </w:tc>
        <w:tc>
          <w:tcPr>
            <w:tcW w:w="1222" w:type="dxa"/>
            <w:tcBorders>
              <w:top w:val="nil"/>
              <w:left w:val="nil"/>
              <w:bottom w:val="single" w:sz="4" w:space="0" w:color="ED7D31" w:themeColor="accent2"/>
              <w:right w:val="nil"/>
            </w:tcBorders>
            <w:shd w:val="clear" w:color="auto" w:fill="auto"/>
            <w:noWrap/>
            <w:vAlign w:val="bottom"/>
            <w:hideMark/>
          </w:tcPr>
          <w:p w14:paraId="4D1FFC4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0.09</w:t>
            </w:r>
          </w:p>
        </w:tc>
      </w:tr>
      <w:tr w:rsidR="00FB68F0" w:rsidRPr="00706CD6" w14:paraId="61FAEC6F" w14:textId="77777777" w:rsidTr="00CE5B70">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1631FBEF"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Age</w:t>
            </w:r>
          </w:p>
        </w:tc>
        <w:tc>
          <w:tcPr>
            <w:tcW w:w="1098" w:type="dxa"/>
            <w:tcBorders>
              <w:top w:val="single" w:sz="4" w:space="0" w:color="ED7D31" w:themeColor="accent2"/>
              <w:left w:val="nil"/>
              <w:bottom w:val="nil"/>
              <w:right w:val="nil"/>
            </w:tcBorders>
            <w:shd w:val="clear" w:color="auto" w:fill="auto"/>
            <w:noWrap/>
            <w:vAlign w:val="bottom"/>
            <w:hideMark/>
          </w:tcPr>
          <w:p w14:paraId="169AC2E3" w14:textId="77777777" w:rsidR="00FB68F0" w:rsidRPr="00706CD6" w:rsidRDefault="00FB68F0" w:rsidP="00335B25">
            <w:pPr>
              <w:jc w:val="center"/>
              <w:rPr>
                <w:rFonts w:ascii="Calibri Light" w:eastAsia="Times New Roman" w:hAnsi="Calibri Light" w:cs="Calibri Light"/>
                <w:b/>
                <w:bCs/>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hideMark/>
          </w:tcPr>
          <w:p w14:paraId="4A3347BF"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hideMark/>
          </w:tcPr>
          <w:p w14:paraId="2C543697"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hideMark/>
          </w:tcPr>
          <w:p w14:paraId="35BF0E48"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hideMark/>
          </w:tcPr>
          <w:p w14:paraId="7D93A84F"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24ACDBD5"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001" w:type="dxa"/>
            <w:tcBorders>
              <w:top w:val="single" w:sz="4" w:space="0" w:color="ED7D31" w:themeColor="accent2"/>
              <w:left w:val="nil"/>
              <w:bottom w:val="nil"/>
              <w:right w:val="nil"/>
            </w:tcBorders>
            <w:shd w:val="clear" w:color="auto" w:fill="auto"/>
            <w:noWrap/>
            <w:vAlign w:val="bottom"/>
            <w:hideMark/>
          </w:tcPr>
          <w:p w14:paraId="167A3B0B"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hideMark/>
          </w:tcPr>
          <w:p w14:paraId="6A37E578"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hideMark/>
          </w:tcPr>
          <w:p w14:paraId="7D6B0994"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0E5B5C91" w14:textId="77777777" w:rsidR="00FB68F0" w:rsidRPr="00706CD6" w:rsidRDefault="00FB68F0" w:rsidP="00335B25">
            <w:pPr>
              <w:jc w:val="center"/>
              <w:rPr>
                <w:rFonts w:ascii="Times New Roman" w:eastAsia="Times New Roman" w:hAnsi="Times New Roman" w:cs="Times New Roman"/>
                <w:sz w:val="20"/>
                <w:szCs w:val="20"/>
                <w:lang w:eastAsia="en-AU"/>
              </w:rPr>
            </w:pPr>
          </w:p>
        </w:tc>
      </w:tr>
      <w:tr w:rsidR="00FB68F0" w:rsidRPr="00706CD6" w14:paraId="5C5D4BFA" w14:textId="77777777" w:rsidTr="00CE5B70">
        <w:trPr>
          <w:trHeight w:hRule="exact" w:val="284"/>
        </w:trPr>
        <w:tc>
          <w:tcPr>
            <w:tcW w:w="2127" w:type="dxa"/>
            <w:tcBorders>
              <w:top w:val="nil"/>
              <w:left w:val="nil"/>
              <w:right w:val="nil"/>
            </w:tcBorders>
            <w:shd w:val="clear" w:color="auto" w:fill="auto"/>
            <w:noWrap/>
            <w:vAlign w:val="center"/>
            <w:hideMark/>
          </w:tcPr>
          <w:p w14:paraId="724D3C48"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18-29</w:t>
            </w:r>
          </w:p>
        </w:tc>
        <w:tc>
          <w:tcPr>
            <w:tcW w:w="1098" w:type="dxa"/>
            <w:tcBorders>
              <w:top w:val="nil"/>
              <w:left w:val="nil"/>
              <w:right w:val="nil"/>
            </w:tcBorders>
            <w:shd w:val="clear" w:color="auto" w:fill="auto"/>
            <w:noWrap/>
            <w:vAlign w:val="bottom"/>
            <w:hideMark/>
          </w:tcPr>
          <w:p w14:paraId="180E8DD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0.27</w:t>
            </w:r>
          </w:p>
        </w:tc>
        <w:tc>
          <w:tcPr>
            <w:tcW w:w="1170" w:type="dxa"/>
            <w:tcBorders>
              <w:top w:val="nil"/>
              <w:left w:val="nil"/>
              <w:right w:val="nil"/>
            </w:tcBorders>
            <w:shd w:val="clear" w:color="auto" w:fill="auto"/>
            <w:noWrap/>
            <w:vAlign w:val="bottom"/>
            <w:hideMark/>
          </w:tcPr>
          <w:p w14:paraId="016367E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0.38</w:t>
            </w:r>
          </w:p>
        </w:tc>
        <w:tc>
          <w:tcPr>
            <w:tcW w:w="1169" w:type="dxa"/>
            <w:tcBorders>
              <w:top w:val="nil"/>
              <w:left w:val="nil"/>
              <w:right w:val="nil"/>
            </w:tcBorders>
            <w:shd w:val="clear" w:color="auto" w:fill="auto"/>
            <w:noWrap/>
            <w:vAlign w:val="bottom"/>
            <w:hideMark/>
          </w:tcPr>
          <w:p w14:paraId="5D963F7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c>
          <w:tcPr>
            <w:tcW w:w="1311" w:type="dxa"/>
            <w:tcBorders>
              <w:top w:val="nil"/>
              <w:left w:val="nil"/>
              <w:right w:val="nil"/>
            </w:tcBorders>
            <w:shd w:val="clear" w:color="auto" w:fill="auto"/>
            <w:noWrap/>
            <w:vAlign w:val="bottom"/>
            <w:hideMark/>
          </w:tcPr>
          <w:p w14:paraId="680CBE2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0.29</w:t>
            </w:r>
          </w:p>
        </w:tc>
        <w:tc>
          <w:tcPr>
            <w:tcW w:w="1151" w:type="dxa"/>
            <w:tcBorders>
              <w:top w:val="nil"/>
              <w:left w:val="nil"/>
              <w:right w:val="nil"/>
            </w:tcBorders>
            <w:shd w:val="clear" w:color="auto" w:fill="auto"/>
            <w:noWrap/>
            <w:vAlign w:val="bottom"/>
            <w:hideMark/>
          </w:tcPr>
          <w:p w14:paraId="4BE8876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0.49</w:t>
            </w:r>
          </w:p>
        </w:tc>
        <w:tc>
          <w:tcPr>
            <w:tcW w:w="1134" w:type="dxa"/>
            <w:tcBorders>
              <w:top w:val="nil"/>
              <w:left w:val="nil"/>
              <w:right w:val="nil"/>
            </w:tcBorders>
            <w:shd w:val="clear" w:color="auto" w:fill="auto"/>
            <w:noWrap/>
            <w:vAlign w:val="bottom"/>
            <w:hideMark/>
          </w:tcPr>
          <w:p w14:paraId="329F906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0.48</w:t>
            </w:r>
          </w:p>
        </w:tc>
        <w:tc>
          <w:tcPr>
            <w:tcW w:w="1001" w:type="dxa"/>
            <w:tcBorders>
              <w:top w:val="nil"/>
              <w:left w:val="nil"/>
              <w:right w:val="nil"/>
            </w:tcBorders>
            <w:shd w:val="clear" w:color="auto" w:fill="auto"/>
            <w:noWrap/>
            <w:vAlign w:val="bottom"/>
            <w:hideMark/>
          </w:tcPr>
          <w:p w14:paraId="2E7471C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0.44</w:t>
            </w:r>
          </w:p>
        </w:tc>
        <w:tc>
          <w:tcPr>
            <w:tcW w:w="1297" w:type="dxa"/>
            <w:tcBorders>
              <w:top w:val="nil"/>
              <w:left w:val="nil"/>
              <w:right w:val="nil"/>
            </w:tcBorders>
            <w:shd w:val="clear" w:color="auto" w:fill="auto"/>
            <w:noWrap/>
            <w:vAlign w:val="bottom"/>
            <w:hideMark/>
          </w:tcPr>
          <w:p w14:paraId="443E94E6"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0.25</w:t>
            </w:r>
          </w:p>
        </w:tc>
        <w:tc>
          <w:tcPr>
            <w:tcW w:w="1158" w:type="dxa"/>
            <w:tcBorders>
              <w:top w:val="nil"/>
              <w:left w:val="nil"/>
              <w:right w:val="nil"/>
            </w:tcBorders>
            <w:shd w:val="clear" w:color="auto" w:fill="auto"/>
            <w:noWrap/>
            <w:vAlign w:val="bottom"/>
            <w:hideMark/>
          </w:tcPr>
          <w:p w14:paraId="2FE303B6"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0.28</w:t>
            </w:r>
          </w:p>
        </w:tc>
        <w:tc>
          <w:tcPr>
            <w:tcW w:w="1222" w:type="dxa"/>
            <w:tcBorders>
              <w:top w:val="nil"/>
              <w:left w:val="nil"/>
              <w:right w:val="nil"/>
            </w:tcBorders>
            <w:shd w:val="clear" w:color="auto" w:fill="auto"/>
            <w:noWrap/>
            <w:vAlign w:val="bottom"/>
            <w:hideMark/>
          </w:tcPr>
          <w:p w14:paraId="331233E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r>
      <w:tr w:rsidR="00FB68F0" w:rsidRPr="00706CD6" w14:paraId="514EDE81"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center"/>
            <w:hideMark/>
          </w:tcPr>
          <w:p w14:paraId="02389EB9"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30-49</w:t>
            </w:r>
          </w:p>
        </w:tc>
        <w:tc>
          <w:tcPr>
            <w:tcW w:w="1098" w:type="dxa"/>
            <w:tcBorders>
              <w:top w:val="nil"/>
              <w:left w:val="nil"/>
              <w:bottom w:val="single" w:sz="4" w:space="0" w:color="ED7D31" w:themeColor="accent2"/>
              <w:right w:val="nil"/>
            </w:tcBorders>
            <w:shd w:val="clear" w:color="auto" w:fill="auto"/>
            <w:noWrap/>
            <w:vAlign w:val="bottom"/>
            <w:hideMark/>
          </w:tcPr>
          <w:p w14:paraId="512DDE1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0.30</w:t>
            </w:r>
          </w:p>
        </w:tc>
        <w:tc>
          <w:tcPr>
            <w:tcW w:w="1170" w:type="dxa"/>
            <w:tcBorders>
              <w:top w:val="nil"/>
              <w:left w:val="nil"/>
              <w:bottom w:val="single" w:sz="4" w:space="0" w:color="ED7D31" w:themeColor="accent2"/>
              <w:right w:val="nil"/>
            </w:tcBorders>
            <w:shd w:val="clear" w:color="auto" w:fill="auto"/>
            <w:noWrap/>
            <w:vAlign w:val="bottom"/>
            <w:hideMark/>
          </w:tcPr>
          <w:p w14:paraId="67AD419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69" w:type="dxa"/>
            <w:tcBorders>
              <w:top w:val="nil"/>
              <w:left w:val="nil"/>
              <w:bottom w:val="single" w:sz="4" w:space="0" w:color="ED7D31" w:themeColor="accent2"/>
              <w:right w:val="nil"/>
            </w:tcBorders>
            <w:shd w:val="clear" w:color="auto" w:fill="auto"/>
            <w:noWrap/>
            <w:vAlign w:val="bottom"/>
            <w:hideMark/>
          </w:tcPr>
          <w:p w14:paraId="7CBA21A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c>
          <w:tcPr>
            <w:tcW w:w="1311" w:type="dxa"/>
            <w:tcBorders>
              <w:top w:val="nil"/>
              <w:left w:val="nil"/>
              <w:bottom w:val="single" w:sz="4" w:space="0" w:color="ED7D31" w:themeColor="accent2"/>
              <w:right w:val="nil"/>
            </w:tcBorders>
            <w:shd w:val="clear" w:color="auto" w:fill="auto"/>
            <w:noWrap/>
            <w:vAlign w:val="bottom"/>
            <w:hideMark/>
          </w:tcPr>
          <w:p w14:paraId="0BAA282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151" w:type="dxa"/>
            <w:tcBorders>
              <w:top w:val="nil"/>
              <w:left w:val="nil"/>
              <w:bottom w:val="single" w:sz="4" w:space="0" w:color="ED7D31" w:themeColor="accent2"/>
              <w:right w:val="nil"/>
            </w:tcBorders>
            <w:shd w:val="clear" w:color="auto" w:fill="auto"/>
            <w:noWrap/>
            <w:vAlign w:val="bottom"/>
            <w:hideMark/>
          </w:tcPr>
          <w:p w14:paraId="19D2952B"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0.35</w:t>
            </w:r>
          </w:p>
        </w:tc>
        <w:tc>
          <w:tcPr>
            <w:tcW w:w="1134" w:type="dxa"/>
            <w:tcBorders>
              <w:top w:val="nil"/>
              <w:left w:val="nil"/>
              <w:bottom w:val="single" w:sz="4" w:space="0" w:color="ED7D31" w:themeColor="accent2"/>
              <w:right w:val="nil"/>
            </w:tcBorders>
            <w:shd w:val="clear" w:color="auto" w:fill="auto"/>
            <w:noWrap/>
            <w:vAlign w:val="bottom"/>
            <w:hideMark/>
          </w:tcPr>
          <w:p w14:paraId="3EB14CE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0.34</w:t>
            </w:r>
          </w:p>
        </w:tc>
        <w:tc>
          <w:tcPr>
            <w:tcW w:w="1001" w:type="dxa"/>
            <w:tcBorders>
              <w:top w:val="nil"/>
              <w:left w:val="nil"/>
              <w:bottom w:val="single" w:sz="4" w:space="0" w:color="ED7D31" w:themeColor="accent2"/>
              <w:right w:val="nil"/>
            </w:tcBorders>
            <w:shd w:val="clear" w:color="auto" w:fill="auto"/>
            <w:noWrap/>
            <w:vAlign w:val="bottom"/>
            <w:hideMark/>
          </w:tcPr>
          <w:p w14:paraId="32E092F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0.33</w:t>
            </w:r>
          </w:p>
        </w:tc>
        <w:tc>
          <w:tcPr>
            <w:tcW w:w="1297" w:type="dxa"/>
            <w:tcBorders>
              <w:top w:val="nil"/>
              <w:left w:val="nil"/>
              <w:bottom w:val="single" w:sz="4" w:space="0" w:color="ED7D31" w:themeColor="accent2"/>
              <w:right w:val="nil"/>
            </w:tcBorders>
            <w:shd w:val="clear" w:color="auto" w:fill="auto"/>
            <w:noWrap/>
            <w:vAlign w:val="bottom"/>
            <w:hideMark/>
          </w:tcPr>
          <w:p w14:paraId="6C73AF8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158" w:type="dxa"/>
            <w:tcBorders>
              <w:top w:val="nil"/>
              <w:left w:val="nil"/>
              <w:bottom w:val="single" w:sz="4" w:space="0" w:color="ED7D31" w:themeColor="accent2"/>
              <w:right w:val="nil"/>
            </w:tcBorders>
            <w:shd w:val="clear" w:color="auto" w:fill="auto"/>
            <w:noWrap/>
            <w:vAlign w:val="bottom"/>
            <w:hideMark/>
          </w:tcPr>
          <w:p w14:paraId="2D22A48B"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0.19</w:t>
            </w:r>
          </w:p>
        </w:tc>
        <w:tc>
          <w:tcPr>
            <w:tcW w:w="1222" w:type="dxa"/>
            <w:tcBorders>
              <w:top w:val="nil"/>
              <w:left w:val="nil"/>
              <w:bottom w:val="single" w:sz="4" w:space="0" w:color="ED7D31" w:themeColor="accent2"/>
              <w:right w:val="nil"/>
            </w:tcBorders>
            <w:shd w:val="clear" w:color="auto" w:fill="auto"/>
            <w:noWrap/>
            <w:vAlign w:val="bottom"/>
            <w:hideMark/>
          </w:tcPr>
          <w:p w14:paraId="250F26C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r>
      <w:tr w:rsidR="00FB68F0" w:rsidRPr="00706CD6" w14:paraId="5BB7918E" w14:textId="77777777" w:rsidTr="00CE5B70">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59BAE8A2"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Education</w:t>
            </w:r>
            <w:r w:rsidRPr="00706CD6">
              <w:rPr>
                <w:rFonts w:ascii="Calibri Light" w:eastAsia="Times New Roman" w:hAnsi="Calibri Light" w:cs="Calibri Light"/>
                <w:color w:val="000000"/>
                <w:sz w:val="20"/>
                <w:szCs w:val="20"/>
                <w:lang w:eastAsia="en-AU"/>
              </w:rPr>
              <w:t xml:space="preserve"> </w:t>
            </w:r>
          </w:p>
        </w:tc>
        <w:tc>
          <w:tcPr>
            <w:tcW w:w="1098" w:type="dxa"/>
            <w:tcBorders>
              <w:top w:val="single" w:sz="4" w:space="0" w:color="ED7D31" w:themeColor="accent2"/>
              <w:left w:val="nil"/>
              <w:bottom w:val="nil"/>
              <w:right w:val="nil"/>
            </w:tcBorders>
            <w:shd w:val="clear" w:color="auto" w:fill="auto"/>
            <w:noWrap/>
            <w:vAlign w:val="bottom"/>
            <w:hideMark/>
          </w:tcPr>
          <w:p w14:paraId="727B6CA9" w14:textId="77777777" w:rsidR="00FB68F0" w:rsidRPr="00706CD6" w:rsidRDefault="00FB68F0" w:rsidP="00335B25">
            <w:pPr>
              <w:jc w:val="center"/>
              <w:rPr>
                <w:rFonts w:ascii="Calibri Light" w:eastAsia="Times New Roman" w:hAnsi="Calibri Light" w:cs="Calibri Light"/>
                <w:b/>
                <w:bCs/>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hideMark/>
          </w:tcPr>
          <w:p w14:paraId="0404791F"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hideMark/>
          </w:tcPr>
          <w:p w14:paraId="3AA75921"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hideMark/>
          </w:tcPr>
          <w:p w14:paraId="411309A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hideMark/>
          </w:tcPr>
          <w:p w14:paraId="1266FEA7"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1444071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001" w:type="dxa"/>
            <w:tcBorders>
              <w:top w:val="single" w:sz="4" w:space="0" w:color="ED7D31" w:themeColor="accent2"/>
              <w:left w:val="nil"/>
              <w:bottom w:val="nil"/>
              <w:right w:val="nil"/>
            </w:tcBorders>
            <w:shd w:val="clear" w:color="auto" w:fill="auto"/>
            <w:noWrap/>
            <w:vAlign w:val="bottom"/>
            <w:hideMark/>
          </w:tcPr>
          <w:p w14:paraId="10D1B117"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hideMark/>
          </w:tcPr>
          <w:p w14:paraId="578372C1"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hideMark/>
          </w:tcPr>
          <w:p w14:paraId="68D6472E"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7F758D38" w14:textId="77777777" w:rsidR="00FB68F0" w:rsidRPr="00706CD6" w:rsidRDefault="00FB68F0" w:rsidP="00335B25">
            <w:pPr>
              <w:jc w:val="center"/>
              <w:rPr>
                <w:rFonts w:ascii="Times New Roman" w:eastAsia="Times New Roman" w:hAnsi="Times New Roman" w:cs="Times New Roman"/>
                <w:sz w:val="20"/>
                <w:szCs w:val="20"/>
                <w:lang w:eastAsia="en-AU"/>
              </w:rPr>
            </w:pPr>
          </w:p>
        </w:tc>
      </w:tr>
      <w:tr w:rsidR="00FB68F0" w:rsidRPr="00706CD6" w14:paraId="57581A21" w14:textId="77777777" w:rsidTr="00CE5B70">
        <w:trPr>
          <w:trHeight w:hRule="exact" w:val="284"/>
        </w:trPr>
        <w:tc>
          <w:tcPr>
            <w:tcW w:w="2127" w:type="dxa"/>
            <w:tcBorders>
              <w:top w:val="nil"/>
              <w:left w:val="nil"/>
              <w:bottom w:val="nil"/>
              <w:right w:val="nil"/>
            </w:tcBorders>
            <w:shd w:val="clear" w:color="auto" w:fill="auto"/>
            <w:noWrap/>
            <w:vAlign w:val="center"/>
            <w:hideMark/>
          </w:tcPr>
          <w:p w14:paraId="2C57EA4D"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Postgraduate</w:t>
            </w:r>
          </w:p>
        </w:tc>
        <w:tc>
          <w:tcPr>
            <w:tcW w:w="1098" w:type="dxa"/>
            <w:tcBorders>
              <w:top w:val="nil"/>
              <w:left w:val="nil"/>
              <w:bottom w:val="nil"/>
              <w:right w:val="nil"/>
            </w:tcBorders>
            <w:shd w:val="clear" w:color="auto" w:fill="auto"/>
            <w:noWrap/>
            <w:vAlign w:val="bottom"/>
            <w:hideMark/>
          </w:tcPr>
          <w:p w14:paraId="43C44D2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0.34</w:t>
            </w:r>
          </w:p>
        </w:tc>
        <w:tc>
          <w:tcPr>
            <w:tcW w:w="1170" w:type="dxa"/>
            <w:tcBorders>
              <w:top w:val="nil"/>
              <w:left w:val="nil"/>
              <w:bottom w:val="nil"/>
              <w:right w:val="nil"/>
            </w:tcBorders>
            <w:shd w:val="clear" w:color="auto" w:fill="auto"/>
            <w:noWrap/>
            <w:vAlign w:val="bottom"/>
            <w:hideMark/>
          </w:tcPr>
          <w:p w14:paraId="5CD0F8C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0.30</w:t>
            </w:r>
          </w:p>
        </w:tc>
        <w:tc>
          <w:tcPr>
            <w:tcW w:w="1169" w:type="dxa"/>
            <w:tcBorders>
              <w:top w:val="nil"/>
              <w:left w:val="nil"/>
              <w:bottom w:val="nil"/>
              <w:right w:val="nil"/>
            </w:tcBorders>
            <w:shd w:val="clear" w:color="auto" w:fill="auto"/>
            <w:noWrap/>
            <w:vAlign w:val="bottom"/>
            <w:hideMark/>
          </w:tcPr>
          <w:p w14:paraId="57E4F72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0.14</w:t>
            </w:r>
          </w:p>
        </w:tc>
        <w:tc>
          <w:tcPr>
            <w:tcW w:w="1311" w:type="dxa"/>
            <w:tcBorders>
              <w:top w:val="nil"/>
              <w:left w:val="nil"/>
              <w:bottom w:val="nil"/>
              <w:right w:val="nil"/>
            </w:tcBorders>
            <w:shd w:val="clear" w:color="auto" w:fill="auto"/>
            <w:noWrap/>
            <w:vAlign w:val="bottom"/>
            <w:hideMark/>
          </w:tcPr>
          <w:p w14:paraId="05EAA5F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0.29</w:t>
            </w:r>
          </w:p>
        </w:tc>
        <w:tc>
          <w:tcPr>
            <w:tcW w:w="1151" w:type="dxa"/>
            <w:tcBorders>
              <w:top w:val="nil"/>
              <w:left w:val="nil"/>
              <w:bottom w:val="nil"/>
              <w:right w:val="nil"/>
            </w:tcBorders>
            <w:shd w:val="clear" w:color="auto" w:fill="auto"/>
            <w:noWrap/>
            <w:vAlign w:val="bottom"/>
            <w:hideMark/>
          </w:tcPr>
          <w:p w14:paraId="15ED551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0.42</w:t>
            </w:r>
          </w:p>
        </w:tc>
        <w:tc>
          <w:tcPr>
            <w:tcW w:w="1134" w:type="dxa"/>
            <w:tcBorders>
              <w:top w:val="nil"/>
              <w:left w:val="nil"/>
              <w:bottom w:val="nil"/>
              <w:right w:val="nil"/>
            </w:tcBorders>
            <w:shd w:val="clear" w:color="auto" w:fill="auto"/>
            <w:noWrap/>
            <w:vAlign w:val="bottom"/>
            <w:hideMark/>
          </w:tcPr>
          <w:p w14:paraId="4CE6FA5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0.39</w:t>
            </w:r>
          </w:p>
        </w:tc>
        <w:tc>
          <w:tcPr>
            <w:tcW w:w="1001" w:type="dxa"/>
            <w:tcBorders>
              <w:top w:val="nil"/>
              <w:left w:val="nil"/>
              <w:bottom w:val="nil"/>
              <w:right w:val="nil"/>
            </w:tcBorders>
            <w:shd w:val="clear" w:color="auto" w:fill="auto"/>
            <w:noWrap/>
            <w:vAlign w:val="bottom"/>
            <w:hideMark/>
          </w:tcPr>
          <w:p w14:paraId="541F06BE"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0.39</w:t>
            </w:r>
          </w:p>
        </w:tc>
        <w:tc>
          <w:tcPr>
            <w:tcW w:w="1297" w:type="dxa"/>
            <w:tcBorders>
              <w:top w:val="nil"/>
              <w:left w:val="nil"/>
              <w:bottom w:val="nil"/>
              <w:right w:val="nil"/>
            </w:tcBorders>
            <w:shd w:val="clear" w:color="auto" w:fill="auto"/>
            <w:noWrap/>
            <w:vAlign w:val="bottom"/>
            <w:hideMark/>
          </w:tcPr>
          <w:p w14:paraId="45527BC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8" w:type="dxa"/>
            <w:tcBorders>
              <w:top w:val="nil"/>
              <w:left w:val="nil"/>
              <w:bottom w:val="nil"/>
              <w:right w:val="nil"/>
            </w:tcBorders>
            <w:shd w:val="clear" w:color="auto" w:fill="auto"/>
            <w:noWrap/>
            <w:vAlign w:val="bottom"/>
            <w:hideMark/>
          </w:tcPr>
          <w:p w14:paraId="0862F8C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222" w:type="dxa"/>
            <w:tcBorders>
              <w:top w:val="nil"/>
              <w:left w:val="nil"/>
              <w:bottom w:val="nil"/>
              <w:right w:val="nil"/>
            </w:tcBorders>
            <w:shd w:val="clear" w:color="auto" w:fill="auto"/>
            <w:noWrap/>
            <w:vAlign w:val="bottom"/>
            <w:hideMark/>
          </w:tcPr>
          <w:p w14:paraId="57EDC2D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r>
      <w:tr w:rsidR="00FB68F0" w:rsidRPr="00706CD6" w14:paraId="49153472" w14:textId="77777777" w:rsidTr="00CE5B70">
        <w:trPr>
          <w:trHeight w:hRule="exact" w:val="284"/>
        </w:trPr>
        <w:tc>
          <w:tcPr>
            <w:tcW w:w="2127" w:type="dxa"/>
            <w:tcBorders>
              <w:top w:val="nil"/>
              <w:left w:val="nil"/>
              <w:bottom w:val="nil"/>
              <w:right w:val="nil"/>
            </w:tcBorders>
            <w:shd w:val="clear" w:color="auto" w:fill="auto"/>
            <w:noWrap/>
            <w:vAlign w:val="center"/>
            <w:hideMark/>
          </w:tcPr>
          <w:p w14:paraId="69EF3908"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Bachelors</w:t>
            </w:r>
          </w:p>
        </w:tc>
        <w:tc>
          <w:tcPr>
            <w:tcW w:w="1098" w:type="dxa"/>
            <w:tcBorders>
              <w:top w:val="nil"/>
              <w:left w:val="nil"/>
              <w:bottom w:val="nil"/>
              <w:right w:val="nil"/>
            </w:tcBorders>
            <w:shd w:val="clear" w:color="auto" w:fill="auto"/>
            <w:noWrap/>
            <w:vAlign w:val="bottom"/>
            <w:hideMark/>
          </w:tcPr>
          <w:p w14:paraId="196BC7F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0.30</w:t>
            </w:r>
          </w:p>
        </w:tc>
        <w:tc>
          <w:tcPr>
            <w:tcW w:w="1170" w:type="dxa"/>
            <w:tcBorders>
              <w:top w:val="nil"/>
              <w:left w:val="nil"/>
              <w:bottom w:val="nil"/>
              <w:right w:val="nil"/>
            </w:tcBorders>
            <w:shd w:val="clear" w:color="auto" w:fill="auto"/>
            <w:noWrap/>
            <w:vAlign w:val="bottom"/>
            <w:hideMark/>
          </w:tcPr>
          <w:p w14:paraId="56E3235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169" w:type="dxa"/>
            <w:tcBorders>
              <w:top w:val="nil"/>
              <w:left w:val="nil"/>
              <w:bottom w:val="nil"/>
              <w:right w:val="nil"/>
            </w:tcBorders>
            <w:shd w:val="clear" w:color="auto" w:fill="auto"/>
            <w:noWrap/>
            <w:vAlign w:val="bottom"/>
            <w:hideMark/>
          </w:tcPr>
          <w:p w14:paraId="62CF03C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c>
          <w:tcPr>
            <w:tcW w:w="1311" w:type="dxa"/>
            <w:tcBorders>
              <w:top w:val="nil"/>
              <w:left w:val="nil"/>
              <w:bottom w:val="nil"/>
              <w:right w:val="nil"/>
            </w:tcBorders>
            <w:shd w:val="clear" w:color="auto" w:fill="auto"/>
            <w:noWrap/>
            <w:vAlign w:val="bottom"/>
            <w:hideMark/>
          </w:tcPr>
          <w:p w14:paraId="3AD03D2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151" w:type="dxa"/>
            <w:tcBorders>
              <w:top w:val="nil"/>
              <w:left w:val="nil"/>
              <w:bottom w:val="nil"/>
              <w:right w:val="nil"/>
            </w:tcBorders>
            <w:shd w:val="clear" w:color="auto" w:fill="auto"/>
            <w:noWrap/>
            <w:vAlign w:val="bottom"/>
            <w:hideMark/>
          </w:tcPr>
          <w:p w14:paraId="61C7284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0.33</w:t>
            </w:r>
          </w:p>
        </w:tc>
        <w:tc>
          <w:tcPr>
            <w:tcW w:w="1134" w:type="dxa"/>
            <w:tcBorders>
              <w:top w:val="nil"/>
              <w:left w:val="nil"/>
              <w:bottom w:val="nil"/>
              <w:right w:val="nil"/>
            </w:tcBorders>
            <w:shd w:val="clear" w:color="auto" w:fill="auto"/>
            <w:noWrap/>
            <w:vAlign w:val="bottom"/>
            <w:hideMark/>
          </w:tcPr>
          <w:p w14:paraId="3060481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0.34</w:t>
            </w:r>
          </w:p>
        </w:tc>
        <w:tc>
          <w:tcPr>
            <w:tcW w:w="1001" w:type="dxa"/>
            <w:tcBorders>
              <w:top w:val="nil"/>
              <w:left w:val="nil"/>
              <w:bottom w:val="nil"/>
              <w:right w:val="nil"/>
            </w:tcBorders>
            <w:shd w:val="clear" w:color="auto" w:fill="auto"/>
            <w:noWrap/>
            <w:vAlign w:val="bottom"/>
            <w:hideMark/>
          </w:tcPr>
          <w:p w14:paraId="78B970B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0.41</w:t>
            </w:r>
          </w:p>
        </w:tc>
        <w:tc>
          <w:tcPr>
            <w:tcW w:w="1297" w:type="dxa"/>
            <w:tcBorders>
              <w:top w:val="nil"/>
              <w:left w:val="nil"/>
              <w:bottom w:val="nil"/>
              <w:right w:val="nil"/>
            </w:tcBorders>
            <w:shd w:val="clear" w:color="auto" w:fill="auto"/>
            <w:noWrap/>
            <w:vAlign w:val="bottom"/>
            <w:hideMark/>
          </w:tcPr>
          <w:p w14:paraId="7D2613B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8" w:type="dxa"/>
            <w:tcBorders>
              <w:top w:val="nil"/>
              <w:left w:val="nil"/>
              <w:bottom w:val="nil"/>
              <w:right w:val="nil"/>
            </w:tcBorders>
            <w:shd w:val="clear" w:color="auto" w:fill="auto"/>
            <w:noWrap/>
            <w:vAlign w:val="bottom"/>
            <w:hideMark/>
          </w:tcPr>
          <w:p w14:paraId="38CE46D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222" w:type="dxa"/>
            <w:tcBorders>
              <w:top w:val="nil"/>
              <w:left w:val="nil"/>
              <w:bottom w:val="nil"/>
              <w:right w:val="nil"/>
            </w:tcBorders>
            <w:shd w:val="clear" w:color="auto" w:fill="auto"/>
            <w:noWrap/>
            <w:vAlign w:val="bottom"/>
            <w:hideMark/>
          </w:tcPr>
          <w:p w14:paraId="5C80825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r>
      <w:tr w:rsidR="00FB68F0" w:rsidRPr="00706CD6" w14:paraId="556A9C1B" w14:textId="77777777" w:rsidTr="00CE5B70">
        <w:trPr>
          <w:trHeight w:hRule="exact" w:val="284"/>
        </w:trPr>
        <w:tc>
          <w:tcPr>
            <w:tcW w:w="2127" w:type="dxa"/>
            <w:tcBorders>
              <w:top w:val="nil"/>
              <w:left w:val="nil"/>
              <w:right w:val="nil"/>
            </w:tcBorders>
            <w:shd w:val="clear" w:color="auto" w:fill="auto"/>
            <w:noWrap/>
            <w:vAlign w:val="center"/>
            <w:hideMark/>
          </w:tcPr>
          <w:p w14:paraId="4D89E862"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Diploma or Cert III/IV</w:t>
            </w:r>
          </w:p>
        </w:tc>
        <w:tc>
          <w:tcPr>
            <w:tcW w:w="1098" w:type="dxa"/>
            <w:tcBorders>
              <w:top w:val="nil"/>
              <w:left w:val="nil"/>
              <w:right w:val="nil"/>
            </w:tcBorders>
            <w:shd w:val="clear" w:color="auto" w:fill="auto"/>
            <w:noWrap/>
            <w:vAlign w:val="bottom"/>
            <w:hideMark/>
          </w:tcPr>
          <w:p w14:paraId="3EA4D1D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70" w:type="dxa"/>
            <w:tcBorders>
              <w:top w:val="nil"/>
              <w:left w:val="nil"/>
              <w:right w:val="nil"/>
            </w:tcBorders>
            <w:shd w:val="clear" w:color="auto" w:fill="auto"/>
            <w:noWrap/>
            <w:vAlign w:val="bottom"/>
            <w:hideMark/>
          </w:tcPr>
          <w:p w14:paraId="54120D1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69" w:type="dxa"/>
            <w:tcBorders>
              <w:top w:val="nil"/>
              <w:left w:val="nil"/>
              <w:right w:val="nil"/>
            </w:tcBorders>
            <w:shd w:val="clear" w:color="auto" w:fill="auto"/>
            <w:noWrap/>
            <w:vAlign w:val="bottom"/>
            <w:hideMark/>
          </w:tcPr>
          <w:p w14:paraId="538C7D0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0.08</w:t>
            </w:r>
          </w:p>
        </w:tc>
        <w:tc>
          <w:tcPr>
            <w:tcW w:w="1311" w:type="dxa"/>
            <w:tcBorders>
              <w:top w:val="nil"/>
              <w:left w:val="nil"/>
              <w:right w:val="nil"/>
            </w:tcBorders>
            <w:shd w:val="clear" w:color="auto" w:fill="auto"/>
            <w:noWrap/>
            <w:vAlign w:val="bottom"/>
            <w:hideMark/>
          </w:tcPr>
          <w:p w14:paraId="4FA62BD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0.20</w:t>
            </w:r>
          </w:p>
        </w:tc>
        <w:tc>
          <w:tcPr>
            <w:tcW w:w="1151" w:type="dxa"/>
            <w:tcBorders>
              <w:top w:val="nil"/>
              <w:left w:val="nil"/>
              <w:right w:val="nil"/>
            </w:tcBorders>
            <w:shd w:val="clear" w:color="auto" w:fill="auto"/>
            <w:noWrap/>
            <w:vAlign w:val="bottom"/>
            <w:hideMark/>
          </w:tcPr>
          <w:p w14:paraId="34EBF7C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0.41</w:t>
            </w:r>
          </w:p>
        </w:tc>
        <w:tc>
          <w:tcPr>
            <w:tcW w:w="1134" w:type="dxa"/>
            <w:tcBorders>
              <w:top w:val="nil"/>
              <w:left w:val="nil"/>
              <w:right w:val="nil"/>
            </w:tcBorders>
            <w:shd w:val="clear" w:color="auto" w:fill="auto"/>
            <w:noWrap/>
            <w:vAlign w:val="bottom"/>
            <w:hideMark/>
          </w:tcPr>
          <w:p w14:paraId="5B8E2526"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0.40</w:t>
            </w:r>
          </w:p>
        </w:tc>
        <w:tc>
          <w:tcPr>
            <w:tcW w:w="1001" w:type="dxa"/>
            <w:tcBorders>
              <w:top w:val="nil"/>
              <w:left w:val="nil"/>
              <w:right w:val="nil"/>
            </w:tcBorders>
            <w:shd w:val="clear" w:color="auto" w:fill="auto"/>
            <w:noWrap/>
            <w:vAlign w:val="bottom"/>
            <w:hideMark/>
          </w:tcPr>
          <w:p w14:paraId="77340D0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0.34</w:t>
            </w:r>
          </w:p>
        </w:tc>
        <w:tc>
          <w:tcPr>
            <w:tcW w:w="1297" w:type="dxa"/>
            <w:tcBorders>
              <w:top w:val="nil"/>
              <w:left w:val="nil"/>
              <w:right w:val="nil"/>
            </w:tcBorders>
            <w:shd w:val="clear" w:color="auto" w:fill="auto"/>
            <w:noWrap/>
            <w:vAlign w:val="bottom"/>
            <w:hideMark/>
          </w:tcPr>
          <w:p w14:paraId="22E59B4B"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158" w:type="dxa"/>
            <w:tcBorders>
              <w:top w:val="nil"/>
              <w:left w:val="nil"/>
              <w:right w:val="nil"/>
            </w:tcBorders>
            <w:shd w:val="clear" w:color="auto" w:fill="auto"/>
            <w:noWrap/>
            <w:vAlign w:val="bottom"/>
            <w:hideMark/>
          </w:tcPr>
          <w:p w14:paraId="5D83518E"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0.18</w:t>
            </w:r>
          </w:p>
        </w:tc>
        <w:tc>
          <w:tcPr>
            <w:tcW w:w="1222" w:type="dxa"/>
            <w:tcBorders>
              <w:top w:val="nil"/>
              <w:left w:val="nil"/>
              <w:right w:val="nil"/>
            </w:tcBorders>
            <w:shd w:val="clear" w:color="auto" w:fill="auto"/>
            <w:noWrap/>
            <w:vAlign w:val="bottom"/>
            <w:hideMark/>
          </w:tcPr>
          <w:p w14:paraId="11DC8F1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r>
      <w:tr w:rsidR="00FB68F0" w:rsidRPr="00706CD6" w14:paraId="7130DD4E"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center"/>
            <w:hideMark/>
          </w:tcPr>
          <w:p w14:paraId="75F39278"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Year 12 or below</w:t>
            </w:r>
          </w:p>
        </w:tc>
        <w:tc>
          <w:tcPr>
            <w:tcW w:w="1098" w:type="dxa"/>
            <w:tcBorders>
              <w:top w:val="nil"/>
              <w:left w:val="nil"/>
              <w:bottom w:val="single" w:sz="4" w:space="0" w:color="ED7D31" w:themeColor="accent2"/>
              <w:right w:val="nil"/>
            </w:tcBorders>
            <w:shd w:val="clear" w:color="auto" w:fill="auto"/>
            <w:noWrap/>
            <w:vAlign w:val="bottom"/>
            <w:hideMark/>
          </w:tcPr>
          <w:p w14:paraId="1C46FD8E"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0.29</w:t>
            </w:r>
          </w:p>
        </w:tc>
        <w:tc>
          <w:tcPr>
            <w:tcW w:w="1170" w:type="dxa"/>
            <w:tcBorders>
              <w:top w:val="nil"/>
              <w:left w:val="nil"/>
              <w:bottom w:val="single" w:sz="4" w:space="0" w:color="ED7D31" w:themeColor="accent2"/>
              <w:right w:val="nil"/>
            </w:tcBorders>
            <w:shd w:val="clear" w:color="auto" w:fill="auto"/>
            <w:noWrap/>
            <w:vAlign w:val="bottom"/>
            <w:hideMark/>
          </w:tcPr>
          <w:p w14:paraId="6A7A031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0.36</w:t>
            </w:r>
          </w:p>
        </w:tc>
        <w:tc>
          <w:tcPr>
            <w:tcW w:w="1169" w:type="dxa"/>
            <w:tcBorders>
              <w:top w:val="nil"/>
              <w:left w:val="nil"/>
              <w:bottom w:val="single" w:sz="4" w:space="0" w:color="ED7D31" w:themeColor="accent2"/>
              <w:right w:val="nil"/>
            </w:tcBorders>
            <w:shd w:val="clear" w:color="auto" w:fill="auto"/>
            <w:noWrap/>
            <w:vAlign w:val="bottom"/>
            <w:hideMark/>
          </w:tcPr>
          <w:p w14:paraId="65D515F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0.13</w:t>
            </w:r>
          </w:p>
        </w:tc>
        <w:tc>
          <w:tcPr>
            <w:tcW w:w="1311" w:type="dxa"/>
            <w:tcBorders>
              <w:top w:val="nil"/>
              <w:left w:val="nil"/>
              <w:bottom w:val="single" w:sz="4" w:space="0" w:color="ED7D31" w:themeColor="accent2"/>
              <w:right w:val="nil"/>
            </w:tcBorders>
            <w:shd w:val="clear" w:color="auto" w:fill="auto"/>
            <w:noWrap/>
            <w:vAlign w:val="bottom"/>
            <w:hideMark/>
          </w:tcPr>
          <w:p w14:paraId="3AB7AC2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51" w:type="dxa"/>
            <w:tcBorders>
              <w:top w:val="nil"/>
              <w:left w:val="nil"/>
              <w:bottom w:val="single" w:sz="4" w:space="0" w:color="ED7D31" w:themeColor="accent2"/>
              <w:right w:val="nil"/>
            </w:tcBorders>
            <w:shd w:val="clear" w:color="auto" w:fill="auto"/>
            <w:noWrap/>
            <w:vAlign w:val="bottom"/>
            <w:hideMark/>
          </w:tcPr>
          <w:p w14:paraId="3354E3D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0.42</w:t>
            </w:r>
          </w:p>
        </w:tc>
        <w:tc>
          <w:tcPr>
            <w:tcW w:w="1134" w:type="dxa"/>
            <w:tcBorders>
              <w:top w:val="nil"/>
              <w:left w:val="nil"/>
              <w:bottom w:val="single" w:sz="4" w:space="0" w:color="ED7D31" w:themeColor="accent2"/>
              <w:right w:val="nil"/>
            </w:tcBorders>
            <w:shd w:val="clear" w:color="auto" w:fill="auto"/>
            <w:noWrap/>
            <w:vAlign w:val="bottom"/>
            <w:hideMark/>
          </w:tcPr>
          <w:p w14:paraId="5AB63A86"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0.42</w:t>
            </w:r>
          </w:p>
        </w:tc>
        <w:tc>
          <w:tcPr>
            <w:tcW w:w="1001" w:type="dxa"/>
            <w:tcBorders>
              <w:top w:val="nil"/>
              <w:left w:val="nil"/>
              <w:bottom w:val="single" w:sz="4" w:space="0" w:color="ED7D31" w:themeColor="accent2"/>
              <w:right w:val="nil"/>
            </w:tcBorders>
            <w:shd w:val="clear" w:color="auto" w:fill="auto"/>
            <w:noWrap/>
            <w:vAlign w:val="bottom"/>
            <w:hideMark/>
          </w:tcPr>
          <w:p w14:paraId="1BF00B16"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0.37</w:t>
            </w:r>
          </w:p>
        </w:tc>
        <w:tc>
          <w:tcPr>
            <w:tcW w:w="1297" w:type="dxa"/>
            <w:tcBorders>
              <w:top w:val="nil"/>
              <w:left w:val="nil"/>
              <w:bottom w:val="single" w:sz="4" w:space="0" w:color="ED7D31" w:themeColor="accent2"/>
              <w:right w:val="nil"/>
            </w:tcBorders>
            <w:shd w:val="clear" w:color="auto" w:fill="auto"/>
            <w:noWrap/>
            <w:vAlign w:val="bottom"/>
            <w:hideMark/>
          </w:tcPr>
          <w:p w14:paraId="62E60DC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58" w:type="dxa"/>
            <w:tcBorders>
              <w:top w:val="nil"/>
              <w:left w:val="nil"/>
              <w:bottom w:val="single" w:sz="4" w:space="0" w:color="ED7D31" w:themeColor="accent2"/>
              <w:right w:val="nil"/>
            </w:tcBorders>
            <w:shd w:val="clear" w:color="auto" w:fill="auto"/>
            <w:noWrap/>
            <w:vAlign w:val="bottom"/>
            <w:hideMark/>
          </w:tcPr>
          <w:p w14:paraId="2EAA78E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0.27</w:t>
            </w:r>
          </w:p>
        </w:tc>
        <w:tc>
          <w:tcPr>
            <w:tcW w:w="1222" w:type="dxa"/>
            <w:tcBorders>
              <w:top w:val="nil"/>
              <w:left w:val="nil"/>
              <w:bottom w:val="single" w:sz="4" w:space="0" w:color="ED7D31" w:themeColor="accent2"/>
              <w:right w:val="nil"/>
            </w:tcBorders>
            <w:shd w:val="clear" w:color="auto" w:fill="auto"/>
            <w:noWrap/>
            <w:vAlign w:val="bottom"/>
            <w:hideMark/>
          </w:tcPr>
          <w:p w14:paraId="5CEC52C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r>
      <w:tr w:rsidR="00FB68F0" w:rsidRPr="00706CD6" w14:paraId="265E4E59" w14:textId="77777777" w:rsidTr="00CE5B70">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7AA6F5F0"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Employed</w:t>
            </w:r>
            <w:r w:rsidRPr="00706CD6">
              <w:rPr>
                <w:rFonts w:ascii="Calibri Light" w:eastAsia="Times New Roman" w:hAnsi="Calibri Light" w:cs="Calibri Light"/>
                <w:color w:val="000000"/>
                <w:sz w:val="20"/>
                <w:szCs w:val="20"/>
                <w:lang w:eastAsia="en-AU"/>
              </w:rPr>
              <w:t xml:space="preserve"> </w:t>
            </w:r>
          </w:p>
        </w:tc>
        <w:tc>
          <w:tcPr>
            <w:tcW w:w="1098" w:type="dxa"/>
            <w:tcBorders>
              <w:top w:val="single" w:sz="4" w:space="0" w:color="ED7D31" w:themeColor="accent2"/>
              <w:left w:val="nil"/>
              <w:bottom w:val="nil"/>
              <w:right w:val="nil"/>
            </w:tcBorders>
            <w:shd w:val="clear" w:color="auto" w:fill="auto"/>
            <w:noWrap/>
            <w:vAlign w:val="bottom"/>
            <w:hideMark/>
          </w:tcPr>
          <w:p w14:paraId="7235FB16" w14:textId="77777777" w:rsidR="00FB68F0" w:rsidRPr="00706CD6" w:rsidRDefault="00FB68F0" w:rsidP="00335B25">
            <w:pPr>
              <w:jc w:val="center"/>
              <w:rPr>
                <w:rFonts w:ascii="Calibri Light" w:eastAsia="Times New Roman" w:hAnsi="Calibri Light" w:cs="Calibri Light"/>
                <w:b/>
                <w:bCs/>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hideMark/>
          </w:tcPr>
          <w:p w14:paraId="1BEE616C"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hideMark/>
          </w:tcPr>
          <w:p w14:paraId="231C2B67"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hideMark/>
          </w:tcPr>
          <w:p w14:paraId="0AB9C69E"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hideMark/>
          </w:tcPr>
          <w:p w14:paraId="140557B8"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2C02E9CA"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001" w:type="dxa"/>
            <w:tcBorders>
              <w:top w:val="single" w:sz="4" w:space="0" w:color="ED7D31" w:themeColor="accent2"/>
              <w:left w:val="nil"/>
              <w:bottom w:val="nil"/>
              <w:right w:val="nil"/>
            </w:tcBorders>
            <w:shd w:val="clear" w:color="auto" w:fill="auto"/>
            <w:noWrap/>
            <w:vAlign w:val="bottom"/>
            <w:hideMark/>
          </w:tcPr>
          <w:p w14:paraId="06CFA9DA"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hideMark/>
          </w:tcPr>
          <w:p w14:paraId="67B3BDE6"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hideMark/>
          </w:tcPr>
          <w:p w14:paraId="7589191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27955157" w14:textId="77777777" w:rsidR="00FB68F0" w:rsidRPr="00706CD6" w:rsidRDefault="00FB68F0" w:rsidP="00335B25">
            <w:pPr>
              <w:jc w:val="center"/>
              <w:rPr>
                <w:rFonts w:ascii="Times New Roman" w:eastAsia="Times New Roman" w:hAnsi="Times New Roman" w:cs="Times New Roman"/>
                <w:sz w:val="20"/>
                <w:szCs w:val="20"/>
                <w:lang w:eastAsia="en-AU"/>
              </w:rPr>
            </w:pPr>
          </w:p>
        </w:tc>
      </w:tr>
      <w:tr w:rsidR="00FB68F0" w:rsidRPr="00706CD6" w14:paraId="37FCE22B" w14:textId="77777777" w:rsidTr="00CE5B70">
        <w:trPr>
          <w:trHeight w:hRule="exact" w:val="284"/>
        </w:trPr>
        <w:tc>
          <w:tcPr>
            <w:tcW w:w="2127" w:type="dxa"/>
            <w:tcBorders>
              <w:top w:val="nil"/>
              <w:left w:val="nil"/>
              <w:right w:val="nil"/>
            </w:tcBorders>
            <w:shd w:val="clear" w:color="auto" w:fill="auto"/>
            <w:noWrap/>
            <w:vAlign w:val="center"/>
            <w:hideMark/>
          </w:tcPr>
          <w:p w14:paraId="0AF07AB6"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No</w:t>
            </w:r>
          </w:p>
        </w:tc>
        <w:tc>
          <w:tcPr>
            <w:tcW w:w="1098" w:type="dxa"/>
            <w:tcBorders>
              <w:top w:val="nil"/>
              <w:left w:val="nil"/>
              <w:right w:val="nil"/>
            </w:tcBorders>
            <w:shd w:val="clear" w:color="auto" w:fill="auto"/>
            <w:noWrap/>
            <w:vAlign w:val="bottom"/>
            <w:hideMark/>
          </w:tcPr>
          <w:p w14:paraId="46A04B7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70" w:type="dxa"/>
            <w:tcBorders>
              <w:top w:val="nil"/>
              <w:left w:val="nil"/>
              <w:right w:val="nil"/>
            </w:tcBorders>
            <w:shd w:val="clear" w:color="auto" w:fill="auto"/>
            <w:noWrap/>
            <w:vAlign w:val="bottom"/>
            <w:hideMark/>
          </w:tcPr>
          <w:p w14:paraId="0E7B182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0.28</w:t>
            </w:r>
          </w:p>
        </w:tc>
        <w:tc>
          <w:tcPr>
            <w:tcW w:w="1169" w:type="dxa"/>
            <w:tcBorders>
              <w:top w:val="nil"/>
              <w:left w:val="nil"/>
              <w:right w:val="nil"/>
            </w:tcBorders>
            <w:shd w:val="clear" w:color="auto" w:fill="auto"/>
            <w:noWrap/>
            <w:vAlign w:val="bottom"/>
            <w:hideMark/>
          </w:tcPr>
          <w:p w14:paraId="235A4B7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0.13</w:t>
            </w:r>
          </w:p>
        </w:tc>
        <w:tc>
          <w:tcPr>
            <w:tcW w:w="1311" w:type="dxa"/>
            <w:tcBorders>
              <w:top w:val="nil"/>
              <w:left w:val="nil"/>
              <w:right w:val="nil"/>
            </w:tcBorders>
            <w:shd w:val="clear" w:color="auto" w:fill="auto"/>
            <w:noWrap/>
            <w:vAlign w:val="bottom"/>
            <w:hideMark/>
          </w:tcPr>
          <w:p w14:paraId="5A0CD52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51" w:type="dxa"/>
            <w:tcBorders>
              <w:top w:val="nil"/>
              <w:left w:val="nil"/>
              <w:right w:val="nil"/>
            </w:tcBorders>
            <w:shd w:val="clear" w:color="auto" w:fill="auto"/>
            <w:noWrap/>
            <w:vAlign w:val="bottom"/>
            <w:hideMark/>
          </w:tcPr>
          <w:p w14:paraId="395A7F0E"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0.41</w:t>
            </w:r>
          </w:p>
        </w:tc>
        <w:tc>
          <w:tcPr>
            <w:tcW w:w="1134" w:type="dxa"/>
            <w:tcBorders>
              <w:top w:val="nil"/>
              <w:left w:val="nil"/>
              <w:right w:val="nil"/>
            </w:tcBorders>
            <w:shd w:val="clear" w:color="auto" w:fill="auto"/>
            <w:noWrap/>
            <w:vAlign w:val="bottom"/>
            <w:hideMark/>
          </w:tcPr>
          <w:p w14:paraId="5FC90AE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0.35</w:t>
            </w:r>
          </w:p>
        </w:tc>
        <w:tc>
          <w:tcPr>
            <w:tcW w:w="1001" w:type="dxa"/>
            <w:tcBorders>
              <w:top w:val="nil"/>
              <w:left w:val="nil"/>
              <w:right w:val="nil"/>
            </w:tcBorders>
            <w:shd w:val="clear" w:color="auto" w:fill="auto"/>
            <w:noWrap/>
            <w:vAlign w:val="bottom"/>
            <w:hideMark/>
          </w:tcPr>
          <w:p w14:paraId="3EB469C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0.36</w:t>
            </w:r>
          </w:p>
        </w:tc>
        <w:tc>
          <w:tcPr>
            <w:tcW w:w="1297" w:type="dxa"/>
            <w:tcBorders>
              <w:top w:val="nil"/>
              <w:left w:val="nil"/>
              <w:right w:val="nil"/>
            </w:tcBorders>
            <w:shd w:val="clear" w:color="auto" w:fill="auto"/>
            <w:noWrap/>
            <w:vAlign w:val="bottom"/>
            <w:hideMark/>
          </w:tcPr>
          <w:p w14:paraId="2A4AEF0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158" w:type="dxa"/>
            <w:tcBorders>
              <w:top w:val="nil"/>
              <w:left w:val="nil"/>
              <w:right w:val="nil"/>
            </w:tcBorders>
            <w:shd w:val="clear" w:color="auto" w:fill="auto"/>
            <w:noWrap/>
            <w:vAlign w:val="bottom"/>
            <w:hideMark/>
          </w:tcPr>
          <w:p w14:paraId="17C0C36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222" w:type="dxa"/>
            <w:tcBorders>
              <w:top w:val="nil"/>
              <w:left w:val="nil"/>
              <w:right w:val="nil"/>
            </w:tcBorders>
            <w:shd w:val="clear" w:color="auto" w:fill="auto"/>
            <w:noWrap/>
            <w:vAlign w:val="bottom"/>
            <w:hideMark/>
          </w:tcPr>
          <w:p w14:paraId="5915E4F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0.12</w:t>
            </w:r>
          </w:p>
        </w:tc>
      </w:tr>
      <w:tr w:rsidR="00FB68F0" w:rsidRPr="00706CD6" w14:paraId="0991C9BA"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bottom"/>
            <w:hideMark/>
          </w:tcPr>
          <w:p w14:paraId="7B7D65AE" w14:textId="77777777" w:rsidR="00FB68F0" w:rsidRPr="00706CD6" w:rsidRDefault="00FB68F0" w:rsidP="00335B25">
            <w:pPr>
              <w:rPr>
                <w:rFonts w:ascii="Calibri Light" w:eastAsia="Times New Roman" w:hAnsi="Calibri Light" w:cs="Calibri Light"/>
                <w:color w:val="000000"/>
                <w:lang w:eastAsia="en-AU"/>
              </w:rPr>
            </w:pPr>
            <w:r w:rsidRPr="00706CD6">
              <w:rPr>
                <w:rFonts w:ascii="Calibri Light" w:eastAsia="Times New Roman" w:hAnsi="Calibri Light" w:cs="Calibri Light"/>
                <w:color w:val="000000"/>
                <w:lang w:eastAsia="en-AU"/>
              </w:rPr>
              <w:t>Yes</w:t>
            </w:r>
          </w:p>
        </w:tc>
        <w:tc>
          <w:tcPr>
            <w:tcW w:w="1098" w:type="dxa"/>
            <w:tcBorders>
              <w:top w:val="nil"/>
              <w:left w:val="nil"/>
              <w:bottom w:val="single" w:sz="4" w:space="0" w:color="ED7D31" w:themeColor="accent2"/>
              <w:right w:val="nil"/>
            </w:tcBorders>
            <w:shd w:val="clear" w:color="auto" w:fill="auto"/>
            <w:noWrap/>
            <w:vAlign w:val="bottom"/>
            <w:hideMark/>
          </w:tcPr>
          <w:p w14:paraId="14B2D12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0.30</w:t>
            </w:r>
          </w:p>
        </w:tc>
        <w:tc>
          <w:tcPr>
            <w:tcW w:w="1170" w:type="dxa"/>
            <w:tcBorders>
              <w:top w:val="nil"/>
              <w:left w:val="nil"/>
              <w:bottom w:val="single" w:sz="4" w:space="0" w:color="ED7D31" w:themeColor="accent2"/>
              <w:right w:val="nil"/>
            </w:tcBorders>
            <w:shd w:val="clear" w:color="auto" w:fill="auto"/>
            <w:noWrap/>
            <w:vAlign w:val="bottom"/>
            <w:hideMark/>
          </w:tcPr>
          <w:p w14:paraId="2B0E924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0.30</w:t>
            </w:r>
          </w:p>
        </w:tc>
        <w:tc>
          <w:tcPr>
            <w:tcW w:w="1169" w:type="dxa"/>
            <w:tcBorders>
              <w:top w:val="nil"/>
              <w:left w:val="nil"/>
              <w:bottom w:val="single" w:sz="4" w:space="0" w:color="ED7D31" w:themeColor="accent2"/>
              <w:right w:val="nil"/>
            </w:tcBorders>
            <w:shd w:val="clear" w:color="auto" w:fill="auto"/>
            <w:noWrap/>
            <w:vAlign w:val="bottom"/>
            <w:hideMark/>
          </w:tcPr>
          <w:p w14:paraId="690E376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c>
          <w:tcPr>
            <w:tcW w:w="1311" w:type="dxa"/>
            <w:tcBorders>
              <w:top w:val="nil"/>
              <w:left w:val="nil"/>
              <w:bottom w:val="single" w:sz="4" w:space="0" w:color="ED7D31" w:themeColor="accent2"/>
              <w:right w:val="nil"/>
            </w:tcBorders>
            <w:shd w:val="clear" w:color="auto" w:fill="auto"/>
            <w:noWrap/>
            <w:vAlign w:val="bottom"/>
            <w:hideMark/>
          </w:tcPr>
          <w:p w14:paraId="616F8E0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1" w:type="dxa"/>
            <w:tcBorders>
              <w:top w:val="nil"/>
              <w:left w:val="nil"/>
              <w:bottom w:val="single" w:sz="4" w:space="0" w:color="ED7D31" w:themeColor="accent2"/>
              <w:right w:val="nil"/>
            </w:tcBorders>
            <w:shd w:val="clear" w:color="auto" w:fill="auto"/>
            <w:noWrap/>
            <w:vAlign w:val="bottom"/>
            <w:hideMark/>
          </w:tcPr>
          <w:p w14:paraId="0FA8A42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0.40</w:t>
            </w:r>
          </w:p>
        </w:tc>
        <w:tc>
          <w:tcPr>
            <w:tcW w:w="1134" w:type="dxa"/>
            <w:tcBorders>
              <w:top w:val="nil"/>
              <w:left w:val="nil"/>
              <w:bottom w:val="single" w:sz="4" w:space="0" w:color="ED7D31" w:themeColor="accent2"/>
              <w:right w:val="nil"/>
            </w:tcBorders>
            <w:shd w:val="clear" w:color="auto" w:fill="auto"/>
            <w:noWrap/>
            <w:vAlign w:val="bottom"/>
            <w:hideMark/>
          </w:tcPr>
          <w:p w14:paraId="53AEE89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0.41</w:t>
            </w:r>
          </w:p>
        </w:tc>
        <w:tc>
          <w:tcPr>
            <w:tcW w:w="1001" w:type="dxa"/>
            <w:tcBorders>
              <w:top w:val="nil"/>
              <w:left w:val="nil"/>
              <w:bottom w:val="single" w:sz="4" w:space="0" w:color="ED7D31" w:themeColor="accent2"/>
              <w:right w:val="nil"/>
            </w:tcBorders>
            <w:shd w:val="clear" w:color="auto" w:fill="auto"/>
            <w:noWrap/>
            <w:vAlign w:val="bottom"/>
            <w:hideMark/>
          </w:tcPr>
          <w:p w14:paraId="781E33C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0.37</w:t>
            </w:r>
          </w:p>
        </w:tc>
        <w:tc>
          <w:tcPr>
            <w:tcW w:w="1297" w:type="dxa"/>
            <w:tcBorders>
              <w:top w:val="nil"/>
              <w:left w:val="nil"/>
              <w:bottom w:val="single" w:sz="4" w:space="0" w:color="ED7D31" w:themeColor="accent2"/>
              <w:right w:val="nil"/>
            </w:tcBorders>
            <w:shd w:val="clear" w:color="auto" w:fill="auto"/>
            <w:noWrap/>
            <w:vAlign w:val="bottom"/>
            <w:hideMark/>
          </w:tcPr>
          <w:p w14:paraId="39B4952F"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8" w:type="dxa"/>
            <w:tcBorders>
              <w:top w:val="nil"/>
              <w:left w:val="nil"/>
              <w:bottom w:val="single" w:sz="4" w:space="0" w:color="ED7D31" w:themeColor="accent2"/>
              <w:right w:val="nil"/>
            </w:tcBorders>
            <w:shd w:val="clear" w:color="auto" w:fill="auto"/>
            <w:noWrap/>
            <w:vAlign w:val="bottom"/>
            <w:hideMark/>
          </w:tcPr>
          <w:p w14:paraId="5FCC01B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222" w:type="dxa"/>
            <w:tcBorders>
              <w:top w:val="nil"/>
              <w:left w:val="nil"/>
              <w:bottom w:val="single" w:sz="4" w:space="0" w:color="ED7D31" w:themeColor="accent2"/>
              <w:right w:val="nil"/>
            </w:tcBorders>
            <w:shd w:val="clear" w:color="auto" w:fill="auto"/>
            <w:noWrap/>
            <w:vAlign w:val="bottom"/>
            <w:hideMark/>
          </w:tcPr>
          <w:p w14:paraId="306ABAE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0.09</w:t>
            </w:r>
          </w:p>
        </w:tc>
      </w:tr>
      <w:tr w:rsidR="00FB68F0" w:rsidRPr="00706CD6" w14:paraId="5941F3D8" w14:textId="77777777" w:rsidTr="00CE5B70">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38F49DD1"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In a relationship</w:t>
            </w:r>
          </w:p>
        </w:tc>
        <w:tc>
          <w:tcPr>
            <w:tcW w:w="1098" w:type="dxa"/>
            <w:tcBorders>
              <w:top w:val="single" w:sz="4" w:space="0" w:color="ED7D31" w:themeColor="accent2"/>
              <w:left w:val="nil"/>
              <w:bottom w:val="nil"/>
              <w:right w:val="nil"/>
            </w:tcBorders>
            <w:shd w:val="clear" w:color="auto" w:fill="auto"/>
            <w:noWrap/>
            <w:vAlign w:val="bottom"/>
            <w:hideMark/>
          </w:tcPr>
          <w:p w14:paraId="1B572C13" w14:textId="77777777" w:rsidR="00FB68F0" w:rsidRPr="00706CD6" w:rsidRDefault="00FB68F0" w:rsidP="00335B25">
            <w:pPr>
              <w:jc w:val="center"/>
              <w:rPr>
                <w:rFonts w:ascii="Calibri Light" w:eastAsia="Times New Roman" w:hAnsi="Calibri Light" w:cs="Calibri Light"/>
                <w:b/>
                <w:bCs/>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hideMark/>
          </w:tcPr>
          <w:p w14:paraId="7A42A3E0"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hideMark/>
          </w:tcPr>
          <w:p w14:paraId="6995B372"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hideMark/>
          </w:tcPr>
          <w:p w14:paraId="2F120BFC"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hideMark/>
          </w:tcPr>
          <w:p w14:paraId="626287C7"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78FFD733"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001" w:type="dxa"/>
            <w:tcBorders>
              <w:top w:val="single" w:sz="4" w:space="0" w:color="ED7D31" w:themeColor="accent2"/>
              <w:left w:val="nil"/>
              <w:bottom w:val="nil"/>
              <w:right w:val="nil"/>
            </w:tcBorders>
            <w:shd w:val="clear" w:color="auto" w:fill="auto"/>
            <w:noWrap/>
            <w:vAlign w:val="bottom"/>
            <w:hideMark/>
          </w:tcPr>
          <w:p w14:paraId="09EFADA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hideMark/>
          </w:tcPr>
          <w:p w14:paraId="4AE679EC"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hideMark/>
          </w:tcPr>
          <w:p w14:paraId="06E035CB"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627C652A" w14:textId="77777777" w:rsidR="00FB68F0" w:rsidRPr="00706CD6" w:rsidRDefault="00FB68F0" w:rsidP="00335B25">
            <w:pPr>
              <w:jc w:val="center"/>
              <w:rPr>
                <w:rFonts w:ascii="Times New Roman" w:eastAsia="Times New Roman" w:hAnsi="Times New Roman" w:cs="Times New Roman"/>
                <w:sz w:val="20"/>
                <w:szCs w:val="20"/>
                <w:lang w:eastAsia="en-AU"/>
              </w:rPr>
            </w:pPr>
          </w:p>
        </w:tc>
      </w:tr>
      <w:tr w:rsidR="00FB68F0" w:rsidRPr="00706CD6" w14:paraId="6A8F45BC" w14:textId="77777777" w:rsidTr="00CE5B70">
        <w:trPr>
          <w:trHeight w:hRule="exact" w:val="284"/>
        </w:trPr>
        <w:tc>
          <w:tcPr>
            <w:tcW w:w="2127" w:type="dxa"/>
            <w:tcBorders>
              <w:top w:val="nil"/>
              <w:left w:val="nil"/>
              <w:right w:val="nil"/>
            </w:tcBorders>
            <w:shd w:val="clear" w:color="auto" w:fill="auto"/>
            <w:noWrap/>
            <w:vAlign w:val="center"/>
            <w:hideMark/>
          </w:tcPr>
          <w:p w14:paraId="52347B69"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No</w:t>
            </w:r>
          </w:p>
        </w:tc>
        <w:tc>
          <w:tcPr>
            <w:tcW w:w="1098" w:type="dxa"/>
            <w:tcBorders>
              <w:top w:val="nil"/>
              <w:left w:val="nil"/>
              <w:right w:val="nil"/>
            </w:tcBorders>
            <w:shd w:val="clear" w:color="auto" w:fill="auto"/>
            <w:noWrap/>
            <w:vAlign w:val="bottom"/>
            <w:hideMark/>
          </w:tcPr>
          <w:p w14:paraId="426F521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0.29</w:t>
            </w:r>
          </w:p>
        </w:tc>
        <w:tc>
          <w:tcPr>
            <w:tcW w:w="1170" w:type="dxa"/>
            <w:tcBorders>
              <w:top w:val="nil"/>
              <w:left w:val="nil"/>
              <w:right w:val="nil"/>
            </w:tcBorders>
            <w:shd w:val="clear" w:color="auto" w:fill="auto"/>
            <w:noWrap/>
            <w:vAlign w:val="bottom"/>
            <w:hideMark/>
          </w:tcPr>
          <w:p w14:paraId="43AD5296"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0.27</w:t>
            </w:r>
          </w:p>
        </w:tc>
        <w:tc>
          <w:tcPr>
            <w:tcW w:w="1169" w:type="dxa"/>
            <w:tcBorders>
              <w:top w:val="nil"/>
              <w:left w:val="nil"/>
              <w:right w:val="nil"/>
            </w:tcBorders>
            <w:shd w:val="clear" w:color="auto" w:fill="auto"/>
            <w:noWrap/>
            <w:vAlign w:val="bottom"/>
            <w:hideMark/>
          </w:tcPr>
          <w:p w14:paraId="6B46259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0.13</w:t>
            </w:r>
          </w:p>
        </w:tc>
        <w:tc>
          <w:tcPr>
            <w:tcW w:w="1311" w:type="dxa"/>
            <w:tcBorders>
              <w:top w:val="nil"/>
              <w:left w:val="nil"/>
              <w:right w:val="nil"/>
            </w:tcBorders>
            <w:shd w:val="clear" w:color="auto" w:fill="auto"/>
            <w:noWrap/>
            <w:vAlign w:val="bottom"/>
            <w:hideMark/>
          </w:tcPr>
          <w:p w14:paraId="7D1D480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1" w:type="dxa"/>
            <w:tcBorders>
              <w:top w:val="nil"/>
              <w:left w:val="nil"/>
              <w:right w:val="nil"/>
            </w:tcBorders>
            <w:shd w:val="clear" w:color="auto" w:fill="auto"/>
            <w:noWrap/>
            <w:vAlign w:val="bottom"/>
            <w:hideMark/>
          </w:tcPr>
          <w:p w14:paraId="67603E1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0.40</w:t>
            </w:r>
          </w:p>
        </w:tc>
        <w:tc>
          <w:tcPr>
            <w:tcW w:w="1134" w:type="dxa"/>
            <w:tcBorders>
              <w:top w:val="nil"/>
              <w:left w:val="nil"/>
              <w:right w:val="nil"/>
            </w:tcBorders>
            <w:shd w:val="clear" w:color="auto" w:fill="auto"/>
            <w:noWrap/>
            <w:vAlign w:val="bottom"/>
            <w:hideMark/>
          </w:tcPr>
          <w:p w14:paraId="723A7EDF"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0.32</w:t>
            </w:r>
          </w:p>
        </w:tc>
        <w:tc>
          <w:tcPr>
            <w:tcW w:w="1001" w:type="dxa"/>
            <w:tcBorders>
              <w:top w:val="nil"/>
              <w:left w:val="nil"/>
              <w:right w:val="nil"/>
            </w:tcBorders>
            <w:shd w:val="clear" w:color="auto" w:fill="auto"/>
            <w:noWrap/>
            <w:vAlign w:val="bottom"/>
            <w:hideMark/>
          </w:tcPr>
          <w:p w14:paraId="492229A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0.37</w:t>
            </w:r>
          </w:p>
        </w:tc>
        <w:tc>
          <w:tcPr>
            <w:tcW w:w="1297" w:type="dxa"/>
            <w:tcBorders>
              <w:top w:val="nil"/>
              <w:left w:val="nil"/>
              <w:right w:val="nil"/>
            </w:tcBorders>
            <w:shd w:val="clear" w:color="auto" w:fill="auto"/>
            <w:noWrap/>
            <w:vAlign w:val="bottom"/>
            <w:hideMark/>
          </w:tcPr>
          <w:p w14:paraId="3EA489D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58" w:type="dxa"/>
            <w:tcBorders>
              <w:top w:val="nil"/>
              <w:left w:val="nil"/>
              <w:right w:val="nil"/>
            </w:tcBorders>
            <w:shd w:val="clear" w:color="auto" w:fill="auto"/>
            <w:noWrap/>
            <w:vAlign w:val="bottom"/>
            <w:hideMark/>
          </w:tcPr>
          <w:p w14:paraId="4949C4D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222" w:type="dxa"/>
            <w:tcBorders>
              <w:top w:val="nil"/>
              <w:left w:val="nil"/>
              <w:right w:val="nil"/>
            </w:tcBorders>
            <w:shd w:val="clear" w:color="auto" w:fill="auto"/>
            <w:noWrap/>
            <w:vAlign w:val="bottom"/>
            <w:hideMark/>
          </w:tcPr>
          <w:p w14:paraId="2E1158F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r>
      <w:tr w:rsidR="00FB68F0" w:rsidRPr="00706CD6" w14:paraId="1D8C1AB5"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bottom"/>
            <w:hideMark/>
          </w:tcPr>
          <w:p w14:paraId="1573321D" w14:textId="77777777" w:rsidR="00FB68F0" w:rsidRPr="00706CD6" w:rsidRDefault="00FB68F0" w:rsidP="00335B25">
            <w:pPr>
              <w:rPr>
                <w:rFonts w:ascii="Calibri Light" w:eastAsia="Times New Roman" w:hAnsi="Calibri Light" w:cs="Calibri Light"/>
                <w:color w:val="000000"/>
                <w:lang w:eastAsia="en-AU"/>
              </w:rPr>
            </w:pPr>
            <w:r w:rsidRPr="00706CD6">
              <w:rPr>
                <w:rFonts w:ascii="Calibri Light" w:eastAsia="Times New Roman" w:hAnsi="Calibri Light" w:cs="Calibri Light"/>
                <w:color w:val="000000"/>
                <w:lang w:eastAsia="en-AU"/>
              </w:rPr>
              <w:t>Yes</w:t>
            </w:r>
          </w:p>
        </w:tc>
        <w:tc>
          <w:tcPr>
            <w:tcW w:w="1098" w:type="dxa"/>
            <w:tcBorders>
              <w:top w:val="nil"/>
              <w:left w:val="nil"/>
              <w:bottom w:val="single" w:sz="4" w:space="0" w:color="ED7D31" w:themeColor="accent2"/>
              <w:right w:val="nil"/>
            </w:tcBorders>
            <w:shd w:val="clear" w:color="auto" w:fill="auto"/>
            <w:noWrap/>
            <w:vAlign w:val="bottom"/>
            <w:hideMark/>
          </w:tcPr>
          <w:p w14:paraId="7F563CD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0.29</w:t>
            </w:r>
          </w:p>
        </w:tc>
        <w:tc>
          <w:tcPr>
            <w:tcW w:w="1170" w:type="dxa"/>
            <w:tcBorders>
              <w:top w:val="nil"/>
              <w:left w:val="nil"/>
              <w:bottom w:val="single" w:sz="4" w:space="0" w:color="ED7D31" w:themeColor="accent2"/>
              <w:right w:val="nil"/>
            </w:tcBorders>
            <w:shd w:val="clear" w:color="auto" w:fill="auto"/>
            <w:noWrap/>
            <w:vAlign w:val="bottom"/>
            <w:hideMark/>
          </w:tcPr>
          <w:p w14:paraId="2A6876FF"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0.31</w:t>
            </w:r>
          </w:p>
        </w:tc>
        <w:tc>
          <w:tcPr>
            <w:tcW w:w="1169" w:type="dxa"/>
            <w:tcBorders>
              <w:top w:val="nil"/>
              <w:left w:val="nil"/>
              <w:bottom w:val="single" w:sz="4" w:space="0" w:color="ED7D31" w:themeColor="accent2"/>
              <w:right w:val="nil"/>
            </w:tcBorders>
            <w:shd w:val="clear" w:color="auto" w:fill="auto"/>
            <w:noWrap/>
            <w:vAlign w:val="bottom"/>
            <w:hideMark/>
          </w:tcPr>
          <w:p w14:paraId="04A9D05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c>
          <w:tcPr>
            <w:tcW w:w="1311" w:type="dxa"/>
            <w:tcBorders>
              <w:top w:val="nil"/>
              <w:left w:val="nil"/>
              <w:bottom w:val="single" w:sz="4" w:space="0" w:color="ED7D31" w:themeColor="accent2"/>
              <w:right w:val="nil"/>
            </w:tcBorders>
            <w:shd w:val="clear" w:color="auto" w:fill="auto"/>
            <w:noWrap/>
            <w:vAlign w:val="bottom"/>
            <w:hideMark/>
          </w:tcPr>
          <w:p w14:paraId="01AB03F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51" w:type="dxa"/>
            <w:tcBorders>
              <w:top w:val="nil"/>
              <w:left w:val="nil"/>
              <w:bottom w:val="single" w:sz="4" w:space="0" w:color="ED7D31" w:themeColor="accent2"/>
              <w:right w:val="nil"/>
            </w:tcBorders>
            <w:shd w:val="clear" w:color="auto" w:fill="auto"/>
            <w:noWrap/>
            <w:vAlign w:val="bottom"/>
            <w:hideMark/>
          </w:tcPr>
          <w:p w14:paraId="18C4949E"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0.41</w:t>
            </w:r>
          </w:p>
        </w:tc>
        <w:tc>
          <w:tcPr>
            <w:tcW w:w="1134" w:type="dxa"/>
            <w:tcBorders>
              <w:top w:val="nil"/>
              <w:left w:val="nil"/>
              <w:bottom w:val="single" w:sz="4" w:space="0" w:color="ED7D31" w:themeColor="accent2"/>
              <w:right w:val="nil"/>
            </w:tcBorders>
            <w:shd w:val="clear" w:color="auto" w:fill="auto"/>
            <w:noWrap/>
            <w:vAlign w:val="bottom"/>
            <w:hideMark/>
          </w:tcPr>
          <w:p w14:paraId="4886427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0.44</w:t>
            </w:r>
          </w:p>
        </w:tc>
        <w:tc>
          <w:tcPr>
            <w:tcW w:w="1001" w:type="dxa"/>
            <w:tcBorders>
              <w:top w:val="nil"/>
              <w:left w:val="nil"/>
              <w:bottom w:val="single" w:sz="4" w:space="0" w:color="ED7D31" w:themeColor="accent2"/>
              <w:right w:val="nil"/>
            </w:tcBorders>
            <w:shd w:val="clear" w:color="auto" w:fill="auto"/>
            <w:noWrap/>
            <w:vAlign w:val="bottom"/>
            <w:hideMark/>
          </w:tcPr>
          <w:p w14:paraId="61B0FAF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0.37</w:t>
            </w:r>
          </w:p>
        </w:tc>
        <w:tc>
          <w:tcPr>
            <w:tcW w:w="1297" w:type="dxa"/>
            <w:tcBorders>
              <w:top w:val="nil"/>
              <w:left w:val="nil"/>
              <w:bottom w:val="single" w:sz="4" w:space="0" w:color="ED7D31" w:themeColor="accent2"/>
              <w:right w:val="nil"/>
            </w:tcBorders>
            <w:shd w:val="clear" w:color="auto" w:fill="auto"/>
            <w:noWrap/>
            <w:vAlign w:val="bottom"/>
            <w:hideMark/>
          </w:tcPr>
          <w:p w14:paraId="5D98BBDB"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158" w:type="dxa"/>
            <w:tcBorders>
              <w:top w:val="nil"/>
              <w:left w:val="nil"/>
              <w:bottom w:val="single" w:sz="4" w:space="0" w:color="ED7D31" w:themeColor="accent2"/>
              <w:right w:val="nil"/>
            </w:tcBorders>
            <w:shd w:val="clear" w:color="auto" w:fill="auto"/>
            <w:noWrap/>
            <w:vAlign w:val="bottom"/>
            <w:hideMark/>
          </w:tcPr>
          <w:p w14:paraId="476BB08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222" w:type="dxa"/>
            <w:tcBorders>
              <w:top w:val="nil"/>
              <w:left w:val="nil"/>
              <w:bottom w:val="single" w:sz="4" w:space="0" w:color="ED7D31" w:themeColor="accent2"/>
              <w:right w:val="nil"/>
            </w:tcBorders>
            <w:shd w:val="clear" w:color="auto" w:fill="auto"/>
            <w:noWrap/>
            <w:vAlign w:val="bottom"/>
            <w:hideMark/>
          </w:tcPr>
          <w:p w14:paraId="095F069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r>
    </w:tbl>
    <w:p w14:paraId="22E95B69" w14:textId="77777777" w:rsidR="00FB68F0" w:rsidRDefault="00FB68F0" w:rsidP="00FB68F0"/>
    <w:p w14:paraId="6D6493D3" w14:textId="77777777" w:rsidR="00FB68F0" w:rsidRDefault="00FB68F0" w:rsidP="00FB68F0"/>
    <w:p w14:paraId="4687E6D6" w14:textId="77777777" w:rsidR="00FB68F0" w:rsidRDefault="00FB68F0" w:rsidP="00FB68F0"/>
    <w:p w14:paraId="63AFAC75" w14:textId="2C3604F6" w:rsidR="003206B1" w:rsidRDefault="003206B1" w:rsidP="003206B1">
      <w:pPr>
        <w:pStyle w:val="Caption"/>
        <w:keepNext/>
      </w:pPr>
      <w:r>
        <w:rPr>
          <w:rFonts w:cstheme="majorHAnsi"/>
          <w:color w:val="5B9BD5" w:themeColor="accent1"/>
        </w:rPr>
        <w:br w:type="page"/>
      </w:r>
      <w:r>
        <w:lastRenderedPageBreak/>
        <w:t>Table 60 Predictive margins from l</w:t>
      </w:r>
      <w:r w:rsidRPr="00C81DED">
        <w:t>ogit regression of stating each factor was a ‘very important’  consideration for having (more) children</w:t>
      </w:r>
      <w:r>
        <w:t xml:space="preserve"> (continued)</w:t>
      </w:r>
    </w:p>
    <w:tbl>
      <w:tblPr>
        <w:tblW w:w="14167" w:type="dxa"/>
        <w:tblLook w:val="04A0" w:firstRow="1" w:lastRow="0" w:firstColumn="1" w:lastColumn="0" w:noHBand="0" w:noVBand="1"/>
      </w:tblPr>
      <w:tblGrid>
        <w:gridCol w:w="2127"/>
        <w:gridCol w:w="1098"/>
        <w:gridCol w:w="1170"/>
        <w:gridCol w:w="1169"/>
        <w:gridCol w:w="1311"/>
        <w:gridCol w:w="1151"/>
        <w:gridCol w:w="1134"/>
        <w:gridCol w:w="1330"/>
        <w:gridCol w:w="1297"/>
        <w:gridCol w:w="1158"/>
        <w:gridCol w:w="1222"/>
      </w:tblGrid>
      <w:tr w:rsidR="00FB68F0" w:rsidRPr="00706CD6" w14:paraId="6E35248B" w14:textId="77777777" w:rsidTr="00335B25">
        <w:trPr>
          <w:trHeight w:val="330"/>
        </w:trPr>
        <w:tc>
          <w:tcPr>
            <w:tcW w:w="2127" w:type="dxa"/>
            <w:tcBorders>
              <w:top w:val="single" w:sz="4" w:space="0" w:color="ED7D31" w:themeColor="accent2"/>
              <w:left w:val="nil"/>
              <w:bottom w:val="single" w:sz="4" w:space="0" w:color="ED7D31" w:themeColor="accent2"/>
              <w:right w:val="nil"/>
            </w:tcBorders>
            <w:shd w:val="clear" w:color="000000" w:fill="FBE4D5"/>
            <w:noWrap/>
            <w:vAlign w:val="bottom"/>
            <w:hideMark/>
          </w:tcPr>
          <w:p w14:paraId="727C75F5" w14:textId="77777777" w:rsidR="00FB68F0" w:rsidRPr="00706CD6" w:rsidRDefault="00FB68F0" w:rsidP="00BC70D8">
            <w:pPr>
              <w:spacing w:after="0" w:line="240" w:lineRule="auto"/>
              <w:rPr>
                <w:rFonts w:ascii="Calibri Light" w:eastAsia="Times New Roman" w:hAnsi="Calibri Light" w:cs="Calibri Light"/>
                <w:color w:val="000000"/>
                <w:lang w:eastAsia="en-AU"/>
              </w:rPr>
            </w:pPr>
            <w:r w:rsidRPr="00706CD6">
              <w:rPr>
                <w:rFonts w:ascii="Calibri Light" w:eastAsia="Times New Roman" w:hAnsi="Calibri Light" w:cs="Calibri Light"/>
                <w:color w:val="000000"/>
                <w:lang w:eastAsia="en-AU"/>
              </w:rPr>
              <w:t> </w:t>
            </w:r>
          </w:p>
        </w:tc>
        <w:tc>
          <w:tcPr>
            <w:tcW w:w="1098"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2BC626D3"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Your spouse or partner having time and energy for a career</w:t>
            </w:r>
          </w:p>
        </w:tc>
        <w:tc>
          <w:tcPr>
            <w:tcW w:w="1170"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6BCC3900"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Being able to make major purchases</w:t>
            </w:r>
          </w:p>
        </w:tc>
        <w:tc>
          <w:tcPr>
            <w:tcW w:w="1169"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14B3B8BA"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Providing more purpose to life</w:t>
            </w:r>
          </w:p>
        </w:tc>
        <w:tc>
          <w:tcPr>
            <w:tcW w:w="1311"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4DC277A2"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The stress and worry of raising children</w:t>
            </w:r>
          </w:p>
        </w:tc>
        <w:tc>
          <w:tcPr>
            <w:tcW w:w="1151"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3874674E"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The impact children would have on the environment</w:t>
            </w:r>
          </w:p>
        </w:tc>
        <w:tc>
          <w:tcPr>
            <w:tcW w:w="1134"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64ABF2ED"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Uncertainty due to the COVID-19 pandemic</w:t>
            </w:r>
          </w:p>
        </w:tc>
        <w:tc>
          <w:tcPr>
            <w:tcW w:w="1330"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339354E6"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Impact children would have on economic growth and the retirement system</w:t>
            </w:r>
          </w:p>
        </w:tc>
        <w:tc>
          <w:tcPr>
            <w:tcW w:w="1297"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362CDD7D"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Other caring responsibilities (for example for those with a disability or elderly relatives)</w:t>
            </w:r>
          </w:p>
        </w:tc>
        <w:tc>
          <w:tcPr>
            <w:tcW w:w="1158"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7239C765"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The benefits or costs of additional siblings for your existing children</w:t>
            </w:r>
          </w:p>
        </w:tc>
        <w:tc>
          <w:tcPr>
            <w:tcW w:w="1222" w:type="dxa"/>
            <w:tcBorders>
              <w:top w:val="single" w:sz="4" w:space="0" w:color="ED7D31" w:themeColor="accent2"/>
              <w:left w:val="nil"/>
              <w:bottom w:val="single" w:sz="4" w:space="0" w:color="ED7D31" w:themeColor="accent2"/>
              <w:right w:val="nil"/>
            </w:tcBorders>
            <w:shd w:val="clear" w:color="000000" w:fill="FBE4D5"/>
            <w:noWrap/>
            <w:vAlign w:val="center"/>
            <w:hideMark/>
          </w:tcPr>
          <w:p w14:paraId="2DA3565E" w14:textId="77777777" w:rsidR="00FB68F0" w:rsidRPr="00706CD6" w:rsidRDefault="00FB68F0" w:rsidP="00BC70D8">
            <w:pPr>
              <w:spacing w:after="0" w:line="240" w:lineRule="auto"/>
              <w:rPr>
                <w:rFonts w:ascii="Calibri Light" w:eastAsia="Times New Roman" w:hAnsi="Calibri Light" w:cs="Calibri Light"/>
                <w:color w:val="000000"/>
                <w:sz w:val="18"/>
                <w:szCs w:val="18"/>
                <w:lang w:eastAsia="en-AU"/>
              </w:rPr>
            </w:pPr>
            <w:r w:rsidRPr="00706CD6">
              <w:rPr>
                <w:rFonts w:ascii="Calibri Light" w:eastAsia="Times New Roman" w:hAnsi="Calibri Light" w:cs="Calibri Light"/>
                <w:color w:val="000000"/>
                <w:sz w:val="18"/>
                <w:szCs w:val="18"/>
                <w:lang w:eastAsia="en-AU"/>
              </w:rPr>
              <w:t>The gender of your existing children</w:t>
            </w:r>
          </w:p>
        </w:tc>
      </w:tr>
      <w:tr w:rsidR="00FB68F0" w:rsidRPr="00706CD6" w14:paraId="156B9B0B" w14:textId="77777777" w:rsidTr="001411BE">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07C7E4E1"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Number of children</w:t>
            </w:r>
          </w:p>
        </w:tc>
        <w:tc>
          <w:tcPr>
            <w:tcW w:w="1098" w:type="dxa"/>
            <w:tcBorders>
              <w:top w:val="single" w:sz="4" w:space="0" w:color="ED7D31" w:themeColor="accent2"/>
              <w:left w:val="nil"/>
              <w:bottom w:val="nil"/>
              <w:right w:val="nil"/>
            </w:tcBorders>
            <w:shd w:val="clear" w:color="auto" w:fill="auto"/>
            <w:noWrap/>
            <w:vAlign w:val="bottom"/>
          </w:tcPr>
          <w:p w14:paraId="1AA4534C" w14:textId="341AD9D7"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tcPr>
          <w:p w14:paraId="2D1C4FFF" w14:textId="04044D6C"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tcPr>
          <w:p w14:paraId="3235A4C2" w14:textId="2E6F6F0F"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tcPr>
          <w:p w14:paraId="4EFE6604" w14:textId="57BDFBBD"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tcPr>
          <w:p w14:paraId="109C827F" w14:textId="2F8D3884"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tcPr>
          <w:p w14:paraId="5F46E9D9" w14:textId="48C10297"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330" w:type="dxa"/>
            <w:tcBorders>
              <w:top w:val="single" w:sz="4" w:space="0" w:color="ED7D31" w:themeColor="accent2"/>
              <w:left w:val="nil"/>
              <w:bottom w:val="nil"/>
              <w:right w:val="nil"/>
            </w:tcBorders>
            <w:shd w:val="clear" w:color="auto" w:fill="auto"/>
            <w:noWrap/>
            <w:vAlign w:val="bottom"/>
          </w:tcPr>
          <w:p w14:paraId="3E860E03" w14:textId="4F8F551C"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tcPr>
          <w:p w14:paraId="37D45D4F" w14:textId="23FA2CA4"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hideMark/>
          </w:tcPr>
          <w:p w14:paraId="690C7FD4" w14:textId="77777777"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1F90E9F2" w14:textId="77777777" w:rsidR="00FB68F0" w:rsidRPr="00706CD6" w:rsidRDefault="00FB68F0" w:rsidP="00335B25">
            <w:pPr>
              <w:jc w:val="center"/>
              <w:rPr>
                <w:rFonts w:ascii="Times New Roman" w:eastAsia="Times New Roman" w:hAnsi="Times New Roman" w:cs="Times New Roman"/>
                <w:sz w:val="20"/>
                <w:szCs w:val="20"/>
                <w:lang w:eastAsia="en-AU"/>
              </w:rPr>
            </w:pPr>
          </w:p>
        </w:tc>
      </w:tr>
      <w:tr w:rsidR="001411BE" w:rsidRPr="00706CD6" w14:paraId="7466D082" w14:textId="77777777" w:rsidTr="00CE5B70">
        <w:trPr>
          <w:trHeight w:hRule="exact" w:val="284"/>
        </w:trPr>
        <w:tc>
          <w:tcPr>
            <w:tcW w:w="2127" w:type="dxa"/>
            <w:tcBorders>
              <w:top w:val="nil"/>
              <w:left w:val="nil"/>
              <w:right w:val="nil"/>
            </w:tcBorders>
            <w:shd w:val="clear" w:color="auto" w:fill="auto"/>
            <w:noWrap/>
            <w:vAlign w:val="center"/>
            <w:hideMark/>
          </w:tcPr>
          <w:p w14:paraId="5C27BC54"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Childless</w:t>
            </w:r>
          </w:p>
        </w:tc>
        <w:tc>
          <w:tcPr>
            <w:tcW w:w="1098" w:type="dxa"/>
            <w:tcBorders>
              <w:top w:val="nil"/>
              <w:left w:val="nil"/>
              <w:right w:val="nil"/>
            </w:tcBorders>
            <w:shd w:val="clear" w:color="auto" w:fill="auto"/>
            <w:noWrap/>
            <w:vAlign w:val="bottom"/>
            <w:hideMark/>
          </w:tcPr>
          <w:p w14:paraId="7B70B95B" w14:textId="6E6511C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70" w:type="dxa"/>
            <w:tcBorders>
              <w:top w:val="nil"/>
              <w:left w:val="nil"/>
              <w:right w:val="nil"/>
            </w:tcBorders>
            <w:shd w:val="clear" w:color="auto" w:fill="auto"/>
            <w:noWrap/>
            <w:vAlign w:val="bottom"/>
            <w:hideMark/>
          </w:tcPr>
          <w:p w14:paraId="2E83C5E8" w14:textId="7CF8E893"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0.18</w:t>
            </w:r>
          </w:p>
        </w:tc>
        <w:tc>
          <w:tcPr>
            <w:tcW w:w="1169" w:type="dxa"/>
            <w:tcBorders>
              <w:top w:val="nil"/>
              <w:left w:val="nil"/>
              <w:right w:val="nil"/>
            </w:tcBorders>
            <w:shd w:val="clear" w:color="auto" w:fill="auto"/>
            <w:noWrap/>
            <w:vAlign w:val="bottom"/>
            <w:hideMark/>
          </w:tcPr>
          <w:p w14:paraId="104C13DA" w14:textId="24BD5DB6"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311" w:type="dxa"/>
            <w:tcBorders>
              <w:top w:val="nil"/>
              <w:left w:val="nil"/>
              <w:right w:val="nil"/>
            </w:tcBorders>
            <w:shd w:val="clear" w:color="auto" w:fill="auto"/>
            <w:noWrap/>
            <w:vAlign w:val="bottom"/>
            <w:hideMark/>
          </w:tcPr>
          <w:p w14:paraId="51A23902" w14:textId="71F30782"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0.31</w:t>
            </w:r>
          </w:p>
        </w:tc>
        <w:tc>
          <w:tcPr>
            <w:tcW w:w="1151" w:type="dxa"/>
            <w:tcBorders>
              <w:top w:val="nil"/>
              <w:left w:val="nil"/>
              <w:right w:val="nil"/>
            </w:tcBorders>
            <w:shd w:val="clear" w:color="auto" w:fill="auto"/>
            <w:noWrap/>
            <w:vAlign w:val="bottom"/>
            <w:hideMark/>
          </w:tcPr>
          <w:p w14:paraId="5771DF03" w14:textId="627B5A7C"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0.18</w:t>
            </w:r>
          </w:p>
        </w:tc>
        <w:tc>
          <w:tcPr>
            <w:tcW w:w="1134" w:type="dxa"/>
            <w:tcBorders>
              <w:top w:val="nil"/>
              <w:left w:val="nil"/>
              <w:right w:val="nil"/>
            </w:tcBorders>
            <w:shd w:val="clear" w:color="auto" w:fill="auto"/>
            <w:noWrap/>
            <w:vAlign w:val="bottom"/>
            <w:hideMark/>
          </w:tcPr>
          <w:p w14:paraId="46855566" w14:textId="2E752562"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0.19</w:t>
            </w:r>
          </w:p>
        </w:tc>
        <w:tc>
          <w:tcPr>
            <w:tcW w:w="1330" w:type="dxa"/>
            <w:tcBorders>
              <w:top w:val="nil"/>
              <w:left w:val="nil"/>
              <w:right w:val="nil"/>
            </w:tcBorders>
            <w:shd w:val="clear" w:color="auto" w:fill="auto"/>
            <w:noWrap/>
            <w:vAlign w:val="bottom"/>
            <w:hideMark/>
          </w:tcPr>
          <w:p w14:paraId="042A05B2" w14:textId="18D1547B"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c>
          <w:tcPr>
            <w:tcW w:w="1297" w:type="dxa"/>
            <w:tcBorders>
              <w:top w:val="nil"/>
              <w:left w:val="nil"/>
              <w:right w:val="nil"/>
            </w:tcBorders>
            <w:shd w:val="clear" w:color="auto" w:fill="auto"/>
            <w:noWrap/>
            <w:vAlign w:val="bottom"/>
            <w:hideMark/>
          </w:tcPr>
          <w:p w14:paraId="5B2936C2" w14:textId="47F2A2E3"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0.12</w:t>
            </w:r>
          </w:p>
        </w:tc>
        <w:tc>
          <w:tcPr>
            <w:tcW w:w="1158" w:type="dxa"/>
            <w:tcBorders>
              <w:top w:val="nil"/>
              <w:left w:val="nil"/>
              <w:right w:val="nil"/>
            </w:tcBorders>
            <w:shd w:val="clear" w:color="auto" w:fill="auto"/>
            <w:noWrap/>
            <w:vAlign w:val="bottom"/>
            <w:hideMark/>
          </w:tcPr>
          <w:p w14:paraId="57269A0D" w14:textId="7F4C4B9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222" w:type="dxa"/>
            <w:tcBorders>
              <w:top w:val="nil"/>
              <w:left w:val="nil"/>
              <w:right w:val="nil"/>
            </w:tcBorders>
            <w:shd w:val="clear" w:color="auto" w:fill="auto"/>
            <w:noWrap/>
            <w:vAlign w:val="bottom"/>
            <w:hideMark/>
          </w:tcPr>
          <w:p w14:paraId="7EF0BBF0" w14:textId="2CFE039B"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0.18</w:t>
            </w:r>
          </w:p>
        </w:tc>
      </w:tr>
      <w:tr w:rsidR="001411BE" w:rsidRPr="00706CD6" w14:paraId="083A1FE5"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center"/>
            <w:hideMark/>
          </w:tcPr>
          <w:p w14:paraId="275A01D7"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At least 1 child</w:t>
            </w:r>
          </w:p>
        </w:tc>
        <w:tc>
          <w:tcPr>
            <w:tcW w:w="1098" w:type="dxa"/>
            <w:tcBorders>
              <w:top w:val="nil"/>
              <w:left w:val="nil"/>
              <w:bottom w:val="single" w:sz="4" w:space="0" w:color="ED7D31" w:themeColor="accent2"/>
              <w:right w:val="nil"/>
            </w:tcBorders>
            <w:shd w:val="clear" w:color="auto" w:fill="auto"/>
            <w:noWrap/>
            <w:vAlign w:val="bottom"/>
            <w:hideMark/>
          </w:tcPr>
          <w:p w14:paraId="43055D43" w14:textId="425FA8A5"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0.17</w:t>
            </w:r>
          </w:p>
        </w:tc>
        <w:tc>
          <w:tcPr>
            <w:tcW w:w="1170" w:type="dxa"/>
            <w:tcBorders>
              <w:top w:val="nil"/>
              <w:left w:val="nil"/>
              <w:bottom w:val="single" w:sz="4" w:space="0" w:color="ED7D31" w:themeColor="accent2"/>
              <w:right w:val="nil"/>
            </w:tcBorders>
            <w:shd w:val="clear" w:color="auto" w:fill="auto"/>
            <w:noWrap/>
            <w:vAlign w:val="bottom"/>
            <w:hideMark/>
          </w:tcPr>
          <w:p w14:paraId="3FD7AA1B" w14:textId="6AD59509"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0.14</w:t>
            </w:r>
          </w:p>
        </w:tc>
        <w:tc>
          <w:tcPr>
            <w:tcW w:w="1169" w:type="dxa"/>
            <w:tcBorders>
              <w:top w:val="nil"/>
              <w:left w:val="nil"/>
              <w:bottom w:val="single" w:sz="4" w:space="0" w:color="ED7D31" w:themeColor="accent2"/>
              <w:right w:val="nil"/>
            </w:tcBorders>
            <w:shd w:val="clear" w:color="auto" w:fill="auto"/>
            <w:noWrap/>
            <w:vAlign w:val="bottom"/>
            <w:hideMark/>
          </w:tcPr>
          <w:p w14:paraId="4FA5B4AF" w14:textId="1EC364F8"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0.27</w:t>
            </w:r>
          </w:p>
        </w:tc>
        <w:tc>
          <w:tcPr>
            <w:tcW w:w="1311" w:type="dxa"/>
            <w:tcBorders>
              <w:top w:val="nil"/>
              <w:left w:val="nil"/>
              <w:bottom w:val="single" w:sz="4" w:space="0" w:color="ED7D31" w:themeColor="accent2"/>
              <w:right w:val="nil"/>
            </w:tcBorders>
            <w:shd w:val="clear" w:color="auto" w:fill="auto"/>
            <w:noWrap/>
            <w:vAlign w:val="bottom"/>
            <w:hideMark/>
          </w:tcPr>
          <w:p w14:paraId="2311867A" w14:textId="49054ABF"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0.20</w:t>
            </w:r>
          </w:p>
        </w:tc>
        <w:tc>
          <w:tcPr>
            <w:tcW w:w="1151" w:type="dxa"/>
            <w:tcBorders>
              <w:top w:val="nil"/>
              <w:left w:val="nil"/>
              <w:bottom w:val="single" w:sz="4" w:space="0" w:color="ED7D31" w:themeColor="accent2"/>
              <w:right w:val="nil"/>
            </w:tcBorders>
            <w:shd w:val="clear" w:color="auto" w:fill="auto"/>
            <w:noWrap/>
            <w:vAlign w:val="bottom"/>
            <w:hideMark/>
          </w:tcPr>
          <w:p w14:paraId="7260B52F" w14:textId="6B115441"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0.14</w:t>
            </w:r>
          </w:p>
        </w:tc>
        <w:tc>
          <w:tcPr>
            <w:tcW w:w="1134" w:type="dxa"/>
            <w:tcBorders>
              <w:top w:val="nil"/>
              <w:left w:val="nil"/>
              <w:bottom w:val="single" w:sz="4" w:space="0" w:color="ED7D31" w:themeColor="accent2"/>
              <w:right w:val="nil"/>
            </w:tcBorders>
            <w:shd w:val="clear" w:color="auto" w:fill="auto"/>
            <w:noWrap/>
            <w:vAlign w:val="bottom"/>
            <w:hideMark/>
          </w:tcPr>
          <w:p w14:paraId="0313B521" w14:textId="12DA3DC6"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0.17</w:t>
            </w:r>
          </w:p>
        </w:tc>
        <w:tc>
          <w:tcPr>
            <w:tcW w:w="1330" w:type="dxa"/>
            <w:tcBorders>
              <w:top w:val="nil"/>
              <w:left w:val="nil"/>
              <w:bottom w:val="single" w:sz="4" w:space="0" w:color="ED7D31" w:themeColor="accent2"/>
              <w:right w:val="nil"/>
            </w:tcBorders>
            <w:shd w:val="clear" w:color="auto" w:fill="auto"/>
            <w:noWrap/>
            <w:vAlign w:val="bottom"/>
            <w:hideMark/>
          </w:tcPr>
          <w:p w14:paraId="26185994" w14:textId="598087A8"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0.10</w:t>
            </w:r>
          </w:p>
        </w:tc>
        <w:tc>
          <w:tcPr>
            <w:tcW w:w="1297" w:type="dxa"/>
            <w:tcBorders>
              <w:top w:val="nil"/>
              <w:left w:val="nil"/>
              <w:bottom w:val="single" w:sz="4" w:space="0" w:color="ED7D31" w:themeColor="accent2"/>
              <w:right w:val="nil"/>
            </w:tcBorders>
            <w:shd w:val="clear" w:color="auto" w:fill="auto"/>
            <w:noWrap/>
            <w:vAlign w:val="bottom"/>
            <w:hideMark/>
          </w:tcPr>
          <w:p w14:paraId="0F314B27" w14:textId="32E110BF"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0.11</w:t>
            </w:r>
          </w:p>
        </w:tc>
        <w:tc>
          <w:tcPr>
            <w:tcW w:w="1158" w:type="dxa"/>
            <w:tcBorders>
              <w:top w:val="nil"/>
              <w:left w:val="nil"/>
              <w:bottom w:val="single" w:sz="4" w:space="0" w:color="ED7D31" w:themeColor="accent2"/>
              <w:right w:val="nil"/>
            </w:tcBorders>
            <w:shd w:val="clear" w:color="auto" w:fill="auto"/>
            <w:noWrap/>
            <w:vAlign w:val="bottom"/>
            <w:hideMark/>
          </w:tcPr>
          <w:p w14:paraId="711CCD1D" w14:textId="27DD1A11"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0.17</w:t>
            </w:r>
          </w:p>
        </w:tc>
        <w:tc>
          <w:tcPr>
            <w:tcW w:w="1222" w:type="dxa"/>
            <w:tcBorders>
              <w:top w:val="nil"/>
              <w:left w:val="nil"/>
              <w:bottom w:val="single" w:sz="4" w:space="0" w:color="ED7D31" w:themeColor="accent2"/>
              <w:right w:val="nil"/>
            </w:tcBorders>
            <w:shd w:val="clear" w:color="auto" w:fill="auto"/>
            <w:noWrap/>
            <w:vAlign w:val="bottom"/>
            <w:hideMark/>
          </w:tcPr>
          <w:p w14:paraId="78F5C958" w14:textId="683DBFF6"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0.14</w:t>
            </w:r>
          </w:p>
        </w:tc>
      </w:tr>
      <w:tr w:rsidR="00FB68F0" w:rsidRPr="00706CD6" w14:paraId="34E01EDC" w14:textId="77777777" w:rsidTr="001411BE">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38E64F76"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Sex</w:t>
            </w:r>
          </w:p>
        </w:tc>
        <w:tc>
          <w:tcPr>
            <w:tcW w:w="1098" w:type="dxa"/>
            <w:tcBorders>
              <w:top w:val="single" w:sz="4" w:space="0" w:color="ED7D31" w:themeColor="accent2"/>
              <w:left w:val="nil"/>
              <w:bottom w:val="nil"/>
              <w:right w:val="nil"/>
            </w:tcBorders>
            <w:shd w:val="clear" w:color="auto" w:fill="auto"/>
            <w:noWrap/>
            <w:vAlign w:val="bottom"/>
          </w:tcPr>
          <w:p w14:paraId="76832F57" w14:textId="532B1105"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tcPr>
          <w:p w14:paraId="21BC15C4" w14:textId="7E490AAA"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tcPr>
          <w:p w14:paraId="479BCF1A" w14:textId="0005EC5B"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tcPr>
          <w:p w14:paraId="3F64FC8D" w14:textId="46D8A384"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tcPr>
          <w:p w14:paraId="20397A7A" w14:textId="01CD94F8"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tcPr>
          <w:p w14:paraId="581C5836" w14:textId="7711D2B6"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330" w:type="dxa"/>
            <w:tcBorders>
              <w:top w:val="single" w:sz="4" w:space="0" w:color="ED7D31" w:themeColor="accent2"/>
              <w:left w:val="nil"/>
              <w:bottom w:val="nil"/>
              <w:right w:val="nil"/>
            </w:tcBorders>
            <w:shd w:val="clear" w:color="auto" w:fill="auto"/>
            <w:noWrap/>
            <w:vAlign w:val="bottom"/>
          </w:tcPr>
          <w:p w14:paraId="5270EACE" w14:textId="357F7E02"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tcPr>
          <w:p w14:paraId="50ECBCD9" w14:textId="17911FD9"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tcPr>
          <w:p w14:paraId="2515ACC5" w14:textId="1FA85351"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tcPr>
          <w:p w14:paraId="4B91D689" w14:textId="5114A26F" w:rsidR="00FB68F0" w:rsidRPr="00706CD6" w:rsidRDefault="00FB68F0" w:rsidP="00335B25">
            <w:pPr>
              <w:jc w:val="center"/>
              <w:rPr>
                <w:rFonts w:ascii="Calibri Light" w:eastAsia="Times New Roman" w:hAnsi="Calibri Light" w:cs="Calibri Light"/>
                <w:color w:val="000000"/>
                <w:sz w:val="20"/>
                <w:szCs w:val="20"/>
                <w:lang w:eastAsia="en-AU"/>
              </w:rPr>
            </w:pPr>
          </w:p>
        </w:tc>
      </w:tr>
      <w:tr w:rsidR="001411BE" w:rsidRPr="00706CD6" w14:paraId="371607A6" w14:textId="77777777" w:rsidTr="00CE5B70">
        <w:trPr>
          <w:trHeight w:hRule="exact" w:val="284"/>
        </w:trPr>
        <w:tc>
          <w:tcPr>
            <w:tcW w:w="2127" w:type="dxa"/>
            <w:tcBorders>
              <w:top w:val="nil"/>
              <w:left w:val="nil"/>
              <w:right w:val="nil"/>
            </w:tcBorders>
            <w:shd w:val="clear" w:color="auto" w:fill="auto"/>
            <w:noWrap/>
            <w:vAlign w:val="center"/>
            <w:hideMark/>
          </w:tcPr>
          <w:p w14:paraId="150CB6A4"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Male</w:t>
            </w:r>
          </w:p>
        </w:tc>
        <w:tc>
          <w:tcPr>
            <w:tcW w:w="1098" w:type="dxa"/>
            <w:tcBorders>
              <w:top w:val="nil"/>
              <w:left w:val="nil"/>
              <w:right w:val="nil"/>
            </w:tcBorders>
            <w:shd w:val="clear" w:color="auto" w:fill="auto"/>
            <w:noWrap/>
            <w:vAlign w:val="bottom"/>
            <w:hideMark/>
          </w:tcPr>
          <w:p w14:paraId="23C76774" w14:textId="69A1BA05"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170" w:type="dxa"/>
            <w:tcBorders>
              <w:top w:val="nil"/>
              <w:left w:val="nil"/>
              <w:right w:val="nil"/>
            </w:tcBorders>
            <w:shd w:val="clear" w:color="auto" w:fill="auto"/>
            <w:noWrap/>
            <w:vAlign w:val="bottom"/>
            <w:hideMark/>
          </w:tcPr>
          <w:p w14:paraId="33D8979F" w14:textId="14F365D6"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0.17</w:t>
            </w:r>
          </w:p>
        </w:tc>
        <w:tc>
          <w:tcPr>
            <w:tcW w:w="1169" w:type="dxa"/>
            <w:tcBorders>
              <w:top w:val="nil"/>
              <w:left w:val="nil"/>
              <w:right w:val="nil"/>
            </w:tcBorders>
            <w:shd w:val="clear" w:color="auto" w:fill="auto"/>
            <w:noWrap/>
            <w:vAlign w:val="bottom"/>
            <w:hideMark/>
          </w:tcPr>
          <w:p w14:paraId="173D775F" w14:textId="22A06D38"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311" w:type="dxa"/>
            <w:tcBorders>
              <w:top w:val="nil"/>
              <w:left w:val="nil"/>
              <w:right w:val="nil"/>
            </w:tcBorders>
            <w:shd w:val="clear" w:color="auto" w:fill="auto"/>
            <w:noWrap/>
            <w:vAlign w:val="bottom"/>
            <w:hideMark/>
          </w:tcPr>
          <w:p w14:paraId="2C192B5D" w14:textId="0B0F4787"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0.25</w:t>
            </w:r>
          </w:p>
        </w:tc>
        <w:tc>
          <w:tcPr>
            <w:tcW w:w="1151" w:type="dxa"/>
            <w:tcBorders>
              <w:top w:val="nil"/>
              <w:left w:val="nil"/>
              <w:right w:val="nil"/>
            </w:tcBorders>
            <w:shd w:val="clear" w:color="auto" w:fill="auto"/>
            <w:noWrap/>
            <w:vAlign w:val="bottom"/>
            <w:hideMark/>
          </w:tcPr>
          <w:p w14:paraId="5CA15CEF" w14:textId="495EEEC8"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0.16</w:t>
            </w:r>
          </w:p>
        </w:tc>
        <w:tc>
          <w:tcPr>
            <w:tcW w:w="1134" w:type="dxa"/>
            <w:tcBorders>
              <w:top w:val="nil"/>
              <w:left w:val="nil"/>
              <w:right w:val="nil"/>
            </w:tcBorders>
            <w:shd w:val="clear" w:color="auto" w:fill="auto"/>
            <w:noWrap/>
            <w:vAlign w:val="bottom"/>
            <w:hideMark/>
          </w:tcPr>
          <w:p w14:paraId="357727F9" w14:textId="1721CCE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0.18</w:t>
            </w:r>
          </w:p>
        </w:tc>
        <w:tc>
          <w:tcPr>
            <w:tcW w:w="1330" w:type="dxa"/>
            <w:tcBorders>
              <w:top w:val="nil"/>
              <w:left w:val="nil"/>
              <w:right w:val="nil"/>
            </w:tcBorders>
            <w:shd w:val="clear" w:color="auto" w:fill="auto"/>
            <w:noWrap/>
            <w:vAlign w:val="bottom"/>
            <w:hideMark/>
          </w:tcPr>
          <w:p w14:paraId="37454B8E" w14:textId="01C2ECA6"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0.09</w:t>
            </w:r>
          </w:p>
        </w:tc>
        <w:tc>
          <w:tcPr>
            <w:tcW w:w="1297" w:type="dxa"/>
            <w:tcBorders>
              <w:top w:val="nil"/>
              <w:left w:val="nil"/>
              <w:right w:val="nil"/>
            </w:tcBorders>
            <w:shd w:val="clear" w:color="auto" w:fill="auto"/>
            <w:noWrap/>
            <w:vAlign w:val="bottom"/>
            <w:hideMark/>
          </w:tcPr>
          <w:p w14:paraId="78706717" w14:textId="6732DCA0"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0.08</w:t>
            </w:r>
          </w:p>
        </w:tc>
        <w:tc>
          <w:tcPr>
            <w:tcW w:w="1158" w:type="dxa"/>
            <w:tcBorders>
              <w:top w:val="nil"/>
              <w:left w:val="nil"/>
              <w:right w:val="nil"/>
            </w:tcBorders>
            <w:shd w:val="clear" w:color="auto" w:fill="auto"/>
            <w:noWrap/>
            <w:vAlign w:val="bottom"/>
            <w:hideMark/>
          </w:tcPr>
          <w:p w14:paraId="0B2FDBC3" w14:textId="299AB1BC"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0.19</w:t>
            </w:r>
          </w:p>
        </w:tc>
        <w:tc>
          <w:tcPr>
            <w:tcW w:w="1222" w:type="dxa"/>
            <w:tcBorders>
              <w:top w:val="nil"/>
              <w:left w:val="nil"/>
              <w:right w:val="nil"/>
            </w:tcBorders>
            <w:shd w:val="clear" w:color="auto" w:fill="auto"/>
            <w:noWrap/>
            <w:vAlign w:val="bottom"/>
            <w:hideMark/>
          </w:tcPr>
          <w:p w14:paraId="460E8BCD" w14:textId="7D3EA00C"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0.05</w:t>
            </w:r>
          </w:p>
        </w:tc>
      </w:tr>
      <w:tr w:rsidR="001411BE" w:rsidRPr="00706CD6" w14:paraId="1C435D6C"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center"/>
            <w:hideMark/>
          </w:tcPr>
          <w:p w14:paraId="63302C6A"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Female</w:t>
            </w:r>
          </w:p>
        </w:tc>
        <w:tc>
          <w:tcPr>
            <w:tcW w:w="1098" w:type="dxa"/>
            <w:tcBorders>
              <w:top w:val="nil"/>
              <w:left w:val="nil"/>
              <w:bottom w:val="single" w:sz="4" w:space="0" w:color="ED7D31" w:themeColor="accent2"/>
              <w:right w:val="nil"/>
            </w:tcBorders>
            <w:shd w:val="clear" w:color="auto" w:fill="auto"/>
            <w:noWrap/>
            <w:vAlign w:val="bottom"/>
            <w:hideMark/>
          </w:tcPr>
          <w:p w14:paraId="4A24D8CA" w14:textId="668EF3AE"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170" w:type="dxa"/>
            <w:tcBorders>
              <w:top w:val="nil"/>
              <w:left w:val="nil"/>
              <w:bottom w:val="single" w:sz="4" w:space="0" w:color="ED7D31" w:themeColor="accent2"/>
              <w:right w:val="nil"/>
            </w:tcBorders>
            <w:shd w:val="clear" w:color="auto" w:fill="auto"/>
            <w:noWrap/>
            <w:vAlign w:val="bottom"/>
            <w:hideMark/>
          </w:tcPr>
          <w:p w14:paraId="029DA803" w14:textId="152735DA"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0.15</w:t>
            </w:r>
          </w:p>
        </w:tc>
        <w:tc>
          <w:tcPr>
            <w:tcW w:w="1169" w:type="dxa"/>
            <w:tcBorders>
              <w:top w:val="nil"/>
              <w:left w:val="nil"/>
              <w:bottom w:val="single" w:sz="4" w:space="0" w:color="ED7D31" w:themeColor="accent2"/>
              <w:right w:val="nil"/>
            </w:tcBorders>
            <w:shd w:val="clear" w:color="auto" w:fill="auto"/>
            <w:noWrap/>
            <w:vAlign w:val="bottom"/>
            <w:hideMark/>
          </w:tcPr>
          <w:p w14:paraId="75431A68" w14:textId="1C49A54B"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0.24</w:t>
            </w:r>
          </w:p>
        </w:tc>
        <w:tc>
          <w:tcPr>
            <w:tcW w:w="1311" w:type="dxa"/>
            <w:tcBorders>
              <w:top w:val="nil"/>
              <w:left w:val="nil"/>
              <w:bottom w:val="single" w:sz="4" w:space="0" w:color="ED7D31" w:themeColor="accent2"/>
              <w:right w:val="nil"/>
            </w:tcBorders>
            <w:shd w:val="clear" w:color="auto" w:fill="auto"/>
            <w:noWrap/>
            <w:vAlign w:val="bottom"/>
            <w:hideMark/>
          </w:tcPr>
          <w:p w14:paraId="2A590524" w14:textId="5056F175"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0.27</w:t>
            </w:r>
          </w:p>
        </w:tc>
        <w:tc>
          <w:tcPr>
            <w:tcW w:w="1151" w:type="dxa"/>
            <w:tcBorders>
              <w:top w:val="nil"/>
              <w:left w:val="nil"/>
              <w:bottom w:val="single" w:sz="4" w:space="0" w:color="ED7D31" w:themeColor="accent2"/>
              <w:right w:val="nil"/>
            </w:tcBorders>
            <w:shd w:val="clear" w:color="auto" w:fill="auto"/>
            <w:noWrap/>
            <w:vAlign w:val="bottom"/>
            <w:hideMark/>
          </w:tcPr>
          <w:p w14:paraId="3426FC23" w14:textId="3279ECB9"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0.16</w:t>
            </w:r>
          </w:p>
        </w:tc>
        <w:tc>
          <w:tcPr>
            <w:tcW w:w="1134" w:type="dxa"/>
            <w:tcBorders>
              <w:top w:val="nil"/>
              <w:left w:val="nil"/>
              <w:bottom w:val="single" w:sz="4" w:space="0" w:color="ED7D31" w:themeColor="accent2"/>
              <w:right w:val="nil"/>
            </w:tcBorders>
            <w:shd w:val="clear" w:color="auto" w:fill="auto"/>
            <w:noWrap/>
            <w:vAlign w:val="bottom"/>
            <w:hideMark/>
          </w:tcPr>
          <w:p w14:paraId="56A39E2F" w14:textId="0A7B392C"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0.18</w:t>
            </w:r>
          </w:p>
        </w:tc>
        <w:tc>
          <w:tcPr>
            <w:tcW w:w="1330" w:type="dxa"/>
            <w:tcBorders>
              <w:top w:val="nil"/>
              <w:left w:val="nil"/>
              <w:bottom w:val="single" w:sz="4" w:space="0" w:color="ED7D31" w:themeColor="accent2"/>
              <w:right w:val="nil"/>
            </w:tcBorders>
            <w:shd w:val="clear" w:color="auto" w:fill="auto"/>
            <w:noWrap/>
            <w:vAlign w:val="bottom"/>
            <w:hideMark/>
          </w:tcPr>
          <w:p w14:paraId="5DF85840" w14:textId="344CF6CC"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0.11</w:t>
            </w:r>
          </w:p>
        </w:tc>
        <w:tc>
          <w:tcPr>
            <w:tcW w:w="1297" w:type="dxa"/>
            <w:tcBorders>
              <w:top w:val="nil"/>
              <w:left w:val="nil"/>
              <w:bottom w:val="single" w:sz="4" w:space="0" w:color="ED7D31" w:themeColor="accent2"/>
              <w:right w:val="nil"/>
            </w:tcBorders>
            <w:shd w:val="clear" w:color="auto" w:fill="auto"/>
            <w:noWrap/>
            <w:vAlign w:val="bottom"/>
            <w:hideMark/>
          </w:tcPr>
          <w:p w14:paraId="1B5E6DAA" w14:textId="07A4B13A"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0.15</w:t>
            </w:r>
          </w:p>
        </w:tc>
        <w:tc>
          <w:tcPr>
            <w:tcW w:w="1158" w:type="dxa"/>
            <w:tcBorders>
              <w:top w:val="nil"/>
              <w:left w:val="nil"/>
              <w:bottom w:val="single" w:sz="4" w:space="0" w:color="ED7D31" w:themeColor="accent2"/>
              <w:right w:val="nil"/>
            </w:tcBorders>
            <w:shd w:val="clear" w:color="auto" w:fill="auto"/>
            <w:noWrap/>
            <w:vAlign w:val="bottom"/>
            <w:hideMark/>
          </w:tcPr>
          <w:p w14:paraId="10A1C124" w14:textId="542FABA0"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0.23</w:t>
            </w:r>
          </w:p>
        </w:tc>
        <w:tc>
          <w:tcPr>
            <w:tcW w:w="1222" w:type="dxa"/>
            <w:tcBorders>
              <w:top w:val="nil"/>
              <w:left w:val="nil"/>
              <w:bottom w:val="single" w:sz="4" w:space="0" w:color="ED7D31" w:themeColor="accent2"/>
              <w:right w:val="nil"/>
            </w:tcBorders>
            <w:shd w:val="clear" w:color="auto" w:fill="auto"/>
            <w:noWrap/>
            <w:vAlign w:val="bottom"/>
            <w:hideMark/>
          </w:tcPr>
          <w:p w14:paraId="287B4644" w14:textId="43D803C0"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0.03</w:t>
            </w:r>
          </w:p>
        </w:tc>
      </w:tr>
      <w:tr w:rsidR="00FB68F0" w:rsidRPr="00706CD6" w14:paraId="3DD519D9" w14:textId="77777777" w:rsidTr="001411BE">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5F63ACFB"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Age</w:t>
            </w:r>
          </w:p>
        </w:tc>
        <w:tc>
          <w:tcPr>
            <w:tcW w:w="1098" w:type="dxa"/>
            <w:tcBorders>
              <w:top w:val="single" w:sz="4" w:space="0" w:color="ED7D31" w:themeColor="accent2"/>
              <w:left w:val="nil"/>
              <w:bottom w:val="nil"/>
              <w:right w:val="nil"/>
            </w:tcBorders>
            <w:shd w:val="clear" w:color="auto" w:fill="auto"/>
            <w:noWrap/>
            <w:vAlign w:val="bottom"/>
          </w:tcPr>
          <w:p w14:paraId="0DF01498" w14:textId="44B6F359"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tcPr>
          <w:p w14:paraId="4E52C4EA" w14:textId="099C1AA5"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tcPr>
          <w:p w14:paraId="5859199A" w14:textId="67A6EB41"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tcPr>
          <w:p w14:paraId="6D38058E" w14:textId="4DA25515"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tcPr>
          <w:p w14:paraId="193A05E9" w14:textId="20649484"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tcPr>
          <w:p w14:paraId="62016FB8" w14:textId="597CB625"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330" w:type="dxa"/>
            <w:tcBorders>
              <w:top w:val="single" w:sz="4" w:space="0" w:color="ED7D31" w:themeColor="accent2"/>
              <w:left w:val="nil"/>
              <w:bottom w:val="nil"/>
              <w:right w:val="nil"/>
            </w:tcBorders>
            <w:shd w:val="clear" w:color="auto" w:fill="auto"/>
            <w:noWrap/>
            <w:vAlign w:val="bottom"/>
          </w:tcPr>
          <w:p w14:paraId="6C27C8E6" w14:textId="22094A86"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tcPr>
          <w:p w14:paraId="4D52FE57" w14:textId="02DE37A4"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tcPr>
          <w:p w14:paraId="03F420E8" w14:textId="2C02CF7A"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tcPr>
          <w:p w14:paraId="479F1AD4" w14:textId="280391F3" w:rsidR="00FB68F0" w:rsidRPr="00706CD6" w:rsidRDefault="00FB68F0" w:rsidP="00335B25">
            <w:pPr>
              <w:jc w:val="center"/>
              <w:rPr>
                <w:rFonts w:ascii="Calibri Light" w:eastAsia="Times New Roman" w:hAnsi="Calibri Light" w:cs="Calibri Light"/>
                <w:color w:val="000000"/>
                <w:sz w:val="20"/>
                <w:szCs w:val="20"/>
                <w:lang w:eastAsia="en-AU"/>
              </w:rPr>
            </w:pPr>
          </w:p>
        </w:tc>
      </w:tr>
      <w:tr w:rsidR="001411BE" w:rsidRPr="00706CD6" w14:paraId="69465915" w14:textId="77777777" w:rsidTr="00CE5B70">
        <w:trPr>
          <w:trHeight w:hRule="exact" w:val="284"/>
        </w:trPr>
        <w:tc>
          <w:tcPr>
            <w:tcW w:w="2127" w:type="dxa"/>
            <w:tcBorders>
              <w:top w:val="nil"/>
              <w:left w:val="nil"/>
              <w:right w:val="nil"/>
            </w:tcBorders>
            <w:shd w:val="clear" w:color="auto" w:fill="auto"/>
            <w:noWrap/>
            <w:vAlign w:val="center"/>
            <w:hideMark/>
          </w:tcPr>
          <w:p w14:paraId="334D63B6"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18-29</w:t>
            </w:r>
          </w:p>
        </w:tc>
        <w:tc>
          <w:tcPr>
            <w:tcW w:w="1098" w:type="dxa"/>
            <w:tcBorders>
              <w:top w:val="nil"/>
              <w:left w:val="nil"/>
              <w:right w:val="nil"/>
            </w:tcBorders>
            <w:shd w:val="clear" w:color="auto" w:fill="auto"/>
            <w:noWrap/>
            <w:vAlign w:val="bottom"/>
            <w:hideMark/>
          </w:tcPr>
          <w:p w14:paraId="3AF71AB4" w14:textId="514E9C7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70" w:type="dxa"/>
            <w:tcBorders>
              <w:top w:val="nil"/>
              <w:left w:val="nil"/>
              <w:right w:val="nil"/>
            </w:tcBorders>
            <w:shd w:val="clear" w:color="auto" w:fill="auto"/>
            <w:noWrap/>
            <w:vAlign w:val="bottom"/>
            <w:hideMark/>
          </w:tcPr>
          <w:p w14:paraId="34C84036" w14:textId="753C9F8D"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169" w:type="dxa"/>
            <w:tcBorders>
              <w:top w:val="nil"/>
              <w:left w:val="nil"/>
              <w:right w:val="nil"/>
            </w:tcBorders>
            <w:shd w:val="clear" w:color="auto" w:fill="auto"/>
            <w:noWrap/>
            <w:vAlign w:val="bottom"/>
            <w:hideMark/>
          </w:tcPr>
          <w:p w14:paraId="015422C6" w14:textId="72D00486"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0.28</w:t>
            </w:r>
          </w:p>
        </w:tc>
        <w:tc>
          <w:tcPr>
            <w:tcW w:w="1311" w:type="dxa"/>
            <w:tcBorders>
              <w:top w:val="nil"/>
              <w:left w:val="nil"/>
              <w:right w:val="nil"/>
            </w:tcBorders>
            <w:shd w:val="clear" w:color="auto" w:fill="auto"/>
            <w:noWrap/>
            <w:vAlign w:val="bottom"/>
            <w:hideMark/>
          </w:tcPr>
          <w:p w14:paraId="13C6C087" w14:textId="0F2AE933"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0.29</w:t>
            </w:r>
          </w:p>
        </w:tc>
        <w:tc>
          <w:tcPr>
            <w:tcW w:w="1151" w:type="dxa"/>
            <w:tcBorders>
              <w:top w:val="nil"/>
              <w:left w:val="nil"/>
              <w:right w:val="nil"/>
            </w:tcBorders>
            <w:shd w:val="clear" w:color="auto" w:fill="auto"/>
            <w:noWrap/>
            <w:vAlign w:val="bottom"/>
            <w:hideMark/>
          </w:tcPr>
          <w:p w14:paraId="4AD4B02B" w14:textId="65D1EE8A"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0.19</w:t>
            </w:r>
          </w:p>
        </w:tc>
        <w:tc>
          <w:tcPr>
            <w:tcW w:w="1134" w:type="dxa"/>
            <w:tcBorders>
              <w:top w:val="nil"/>
              <w:left w:val="nil"/>
              <w:right w:val="nil"/>
            </w:tcBorders>
            <w:shd w:val="clear" w:color="auto" w:fill="auto"/>
            <w:noWrap/>
            <w:vAlign w:val="bottom"/>
            <w:hideMark/>
          </w:tcPr>
          <w:p w14:paraId="5C773EA5" w14:textId="7491A17C"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330" w:type="dxa"/>
            <w:tcBorders>
              <w:top w:val="nil"/>
              <w:left w:val="nil"/>
              <w:right w:val="nil"/>
            </w:tcBorders>
            <w:shd w:val="clear" w:color="auto" w:fill="auto"/>
            <w:noWrap/>
            <w:vAlign w:val="bottom"/>
            <w:hideMark/>
          </w:tcPr>
          <w:p w14:paraId="65AB1A01" w14:textId="4B6C9AD4"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0.12</w:t>
            </w:r>
          </w:p>
        </w:tc>
        <w:tc>
          <w:tcPr>
            <w:tcW w:w="1297" w:type="dxa"/>
            <w:tcBorders>
              <w:top w:val="nil"/>
              <w:left w:val="nil"/>
              <w:right w:val="nil"/>
            </w:tcBorders>
            <w:shd w:val="clear" w:color="auto" w:fill="auto"/>
            <w:noWrap/>
            <w:vAlign w:val="bottom"/>
            <w:hideMark/>
          </w:tcPr>
          <w:p w14:paraId="70117EF0" w14:textId="67468249"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0.12</w:t>
            </w:r>
          </w:p>
        </w:tc>
        <w:tc>
          <w:tcPr>
            <w:tcW w:w="1158" w:type="dxa"/>
            <w:tcBorders>
              <w:top w:val="nil"/>
              <w:left w:val="nil"/>
              <w:right w:val="nil"/>
            </w:tcBorders>
            <w:shd w:val="clear" w:color="auto" w:fill="auto"/>
            <w:noWrap/>
            <w:vAlign w:val="bottom"/>
            <w:hideMark/>
          </w:tcPr>
          <w:p w14:paraId="6A3FB093" w14:textId="22553271"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0.27</w:t>
            </w:r>
          </w:p>
        </w:tc>
        <w:tc>
          <w:tcPr>
            <w:tcW w:w="1222" w:type="dxa"/>
            <w:tcBorders>
              <w:top w:val="nil"/>
              <w:left w:val="nil"/>
              <w:right w:val="nil"/>
            </w:tcBorders>
            <w:shd w:val="clear" w:color="auto" w:fill="auto"/>
            <w:noWrap/>
            <w:vAlign w:val="bottom"/>
            <w:hideMark/>
          </w:tcPr>
          <w:p w14:paraId="2865ED1E" w14:textId="073D2080"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0.09</w:t>
            </w:r>
          </w:p>
        </w:tc>
      </w:tr>
      <w:tr w:rsidR="001411BE" w:rsidRPr="00706CD6" w14:paraId="27D90594"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center"/>
            <w:hideMark/>
          </w:tcPr>
          <w:p w14:paraId="4AD47BE1"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30-49</w:t>
            </w:r>
          </w:p>
        </w:tc>
        <w:tc>
          <w:tcPr>
            <w:tcW w:w="1098" w:type="dxa"/>
            <w:tcBorders>
              <w:top w:val="nil"/>
              <w:left w:val="nil"/>
              <w:bottom w:val="single" w:sz="4" w:space="0" w:color="ED7D31" w:themeColor="accent2"/>
              <w:right w:val="nil"/>
            </w:tcBorders>
            <w:shd w:val="clear" w:color="auto" w:fill="auto"/>
            <w:noWrap/>
            <w:vAlign w:val="bottom"/>
            <w:hideMark/>
          </w:tcPr>
          <w:p w14:paraId="54A14D3D" w14:textId="4F1471DE"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0.19</w:t>
            </w:r>
          </w:p>
        </w:tc>
        <w:tc>
          <w:tcPr>
            <w:tcW w:w="1170" w:type="dxa"/>
            <w:tcBorders>
              <w:top w:val="nil"/>
              <w:left w:val="nil"/>
              <w:bottom w:val="single" w:sz="4" w:space="0" w:color="ED7D31" w:themeColor="accent2"/>
              <w:right w:val="nil"/>
            </w:tcBorders>
            <w:shd w:val="clear" w:color="auto" w:fill="auto"/>
            <w:noWrap/>
            <w:vAlign w:val="bottom"/>
            <w:hideMark/>
          </w:tcPr>
          <w:p w14:paraId="4B1D0995" w14:textId="5E61214C"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0.13</w:t>
            </w:r>
          </w:p>
        </w:tc>
        <w:tc>
          <w:tcPr>
            <w:tcW w:w="1169" w:type="dxa"/>
            <w:tcBorders>
              <w:top w:val="nil"/>
              <w:left w:val="nil"/>
              <w:bottom w:val="single" w:sz="4" w:space="0" w:color="ED7D31" w:themeColor="accent2"/>
              <w:right w:val="nil"/>
            </w:tcBorders>
            <w:shd w:val="clear" w:color="auto" w:fill="auto"/>
            <w:noWrap/>
            <w:vAlign w:val="bottom"/>
            <w:hideMark/>
          </w:tcPr>
          <w:p w14:paraId="34056C9A" w14:textId="4F473DAB"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0.23</w:t>
            </w:r>
          </w:p>
        </w:tc>
        <w:tc>
          <w:tcPr>
            <w:tcW w:w="1311" w:type="dxa"/>
            <w:tcBorders>
              <w:top w:val="nil"/>
              <w:left w:val="nil"/>
              <w:bottom w:val="single" w:sz="4" w:space="0" w:color="ED7D31" w:themeColor="accent2"/>
              <w:right w:val="nil"/>
            </w:tcBorders>
            <w:shd w:val="clear" w:color="auto" w:fill="auto"/>
            <w:noWrap/>
            <w:vAlign w:val="bottom"/>
            <w:hideMark/>
          </w:tcPr>
          <w:p w14:paraId="4F2410C2" w14:textId="7B15B9E3"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0.24</w:t>
            </w:r>
          </w:p>
        </w:tc>
        <w:tc>
          <w:tcPr>
            <w:tcW w:w="1151" w:type="dxa"/>
            <w:tcBorders>
              <w:top w:val="nil"/>
              <w:left w:val="nil"/>
              <w:bottom w:val="single" w:sz="4" w:space="0" w:color="ED7D31" w:themeColor="accent2"/>
              <w:right w:val="nil"/>
            </w:tcBorders>
            <w:shd w:val="clear" w:color="auto" w:fill="auto"/>
            <w:noWrap/>
            <w:vAlign w:val="bottom"/>
            <w:hideMark/>
          </w:tcPr>
          <w:p w14:paraId="35A3C0E3" w14:textId="0B892178"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0.15</w:t>
            </w:r>
          </w:p>
        </w:tc>
        <w:tc>
          <w:tcPr>
            <w:tcW w:w="1134" w:type="dxa"/>
            <w:tcBorders>
              <w:top w:val="nil"/>
              <w:left w:val="nil"/>
              <w:bottom w:val="single" w:sz="4" w:space="0" w:color="ED7D31" w:themeColor="accent2"/>
              <w:right w:val="nil"/>
            </w:tcBorders>
            <w:shd w:val="clear" w:color="auto" w:fill="auto"/>
            <w:noWrap/>
            <w:vAlign w:val="bottom"/>
            <w:hideMark/>
          </w:tcPr>
          <w:p w14:paraId="662B9935" w14:textId="26D5B091"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0.16</w:t>
            </w:r>
          </w:p>
        </w:tc>
        <w:tc>
          <w:tcPr>
            <w:tcW w:w="1330" w:type="dxa"/>
            <w:tcBorders>
              <w:top w:val="nil"/>
              <w:left w:val="nil"/>
              <w:bottom w:val="single" w:sz="4" w:space="0" w:color="ED7D31" w:themeColor="accent2"/>
              <w:right w:val="nil"/>
            </w:tcBorders>
            <w:shd w:val="clear" w:color="auto" w:fill="auto"/>
            <w:noWrap/>
            <w:vAlign w:val="bottom"/>
            <w:hideMark/>
          </w:tcPr>
          <w:p w14:paraId="31A170CE" w14:textId="6EE37873"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0.09</w:t>
            </w:r>
          </w:p>
        </w:tc>
        <w:tc>
          <w:tcPr>
            <w:tcW w:w="1297" w:type="dxa"/>
            <w:tcBorders>
              <w:top w:val="nil"/>
              <w:left w:val="nil"/>
              <w:bottom w:val="single" w:sz="4" w:space="0" w:color="ED7D31" w:themeColor="accent2"/>
              <w:right w:val="nil"/>
            </w:tcBorders>
            <w:shd w:val="clear" w:color="auto" w:fill="auto"/>
            <w:noWrap/>
            <w:vAlign w:val="bottom"/>
            <w:hideMark/>
          </w:tcPr>
          <w:p w14:paraId="19714D8E" w14:textId="2790C273"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0.11</w:t>
            </w:r>
          </w:p>
        </w:tc>
        <w:tc>
          <w:tcPr>
            <w:tcW w:w="1158" w:type="dxa"/>
            <w:tcBorders>
              <w:top w:val="nil"/>
              <w:left w:val="nil"/>
              <w:bottom w:val="single" w:sz="4" w:space="0" w:color="ED7D31" w:themeColor="accent2"/>
              <w:right w:val="nil"/>
            </w:tcBorders>
            <w:shd w:val="clear" w:color="auto" w:fill="auto"/>
            <w:noWrap/>
            <w:vAlign w:val="bottom"/>
            <w:hideMark/>
          </w:tcPr>
          <w:p w14:paraId="2AB8F556" w14:textId="77807431"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0.21</w:t>
            </w:r>
          </w:p>
        </w:tc>
        <w:tc>
          <w:tcPr>
            <w:tcW w:w="1222" w:type="dxa"/>
            <w:tcBorders>
              <w:top w:val="nil"/>
              <w:left w:val="nil"/>
              <w:bottom w:val="single" w:sz="4" w:space="0" w:color="ED7D31" w:themeColor="accent2"/>
              <w:right w:val="nil"/>
            </w:tcBorders>
            <w:shd w:val="clear" w:color="auto" w:fill="auto"/>
            <w:noWrap/>
            <w:vAlign w:val="bottom"/>
            <w:hideMark/>
          </w:tcPr>
          <w:p w14:paraId="14A8B94A" w14:textId="15F66168"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0.03</w:t>
            </w:r>
          </w:p>
        </w:tc>
      </w:tr>
      <w:tr w:rsidR="00FB68F0" w:rsidRPr="00706CD6" w14:paraId="7755AA73" w14:textId="77777777" w:rsidTr="001411BE">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4BB7D35C"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Education</w:t>
            </w:r>
            <w:r w:rsidRPr="00706CD6">
              <w:rPr>
                <w:rFonts w:ascii="Calibri Light" w:eastAsia="Times New Roman" w:hAnsi="Calibri Light" w:cs="Calibri Light"/>
                <w:color w:val="000000"/>
                <w:sz w:val="20"/>
                <w:szCs w:val="20"/>
                <w:lang w:eastAsia="en-AU"/>
              </w:rPr>
              <w:t xml:space="preserve"> </w:t>
            </w:r>
          </w:p>
        </w:tc>
        <w:tc>
          <w:tcPr>
            <w:tcW w:w="1098" w:type="dxa"/>
            <w:tcBorders>
              <w:top w:val="single" w:sz="4" w:space="0" w:color="ED7D31" w:themeColor="accent2"/>
              <w:left w:val="nil"/>
              <w:bottom w:val="nil"/>
              <w:right w:val="nil"/>
            </w:tcBorders>
            <w:shd w:val="clear" w:color="auto" w:fill="auto"/>
            <w:noWrap/>
            <w:vAlign w:val="bottom"/>
          </w:tcPr>
          <w:p w14:paraId="66344D08" w14:textId="7D84D13C"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tcPr>
          <w:p w14:paraId="7F7C1939" w14:textId="33EBF0E2"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tcPr>
          <w:p w14:paraId="56E0A06F" w14:textId="1047F76E"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tcPr>
          <w:p w14:paraId="02779E91" w14:textId="25E65497"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tcPr>
          <w:p w14:paraId="420AC4CB" w14:textId="69D184F3"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tcPr>
          <w:p w14:paraId="322C685B" w14:textId="4CA82648"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330" w:type="dxa"/>
            <w:tcBorders>
              <w:top w:val="single" w:sz="4" w:space="0" w:color="ED7D31" w:themeColor="accent2"/>
              <w:left w:val="nil"/>
              <w:bottom w:val="nil"/>
              <w:right w:val="nil"/>
            </w:tcBorders>
            <w:shd w:val="clear" w:color="auto" w:fill="auto"/>
            <w:noWrap/>
            <w:vAlign w:val="bottom"/>
          </w:tcPr>
          <w:p w14:paraId="6CAC35E9" w14:textId="163D6714"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tcPr>
          <w:p w14:paraId="259D1718" w14:textId="06A8D699"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tcPr>
          <w:p w14:paraId="168BB97B" w14:textId="097FCB59" w:rsidR="00FB68F0" w:rsidRPr="00706CD6" w:rsidRDefault="00FB68F0" w:rsidP="00335B25">
            <w:pPr>
              <w:jc w:val="center"/>
              <w:rPr>
                <w:rFonts w:ascii="Calibri Light" w:eastAsia="Times New Roman" w:hAnsi="Calibri Light" w:cs="Calibri Light"/>
                <w:color w:val="000000"/>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tcPr>
          <w:p w14:paraId="09575B49" w14:textId="42DF3EFA" w:rsidR="00FB68F0" w:rsidRPr="00706CD6" w:rsidRDefault="00FB68F0" w:rsidP="00335B25">
            <w:pPr>
              <w:jc w:val="center"/>
              <w:rPr>
                <w:rFonts w:ascii="Calibri Light" w:eastAsia="Times New Roman" w:hAnsi="Calibri Light" w:cs="Calibri Light"/>
                <w:color w:val="000000"/>
                <w:sz w:val="20"/>
                <w:szCs w:val="20"/>
                <w:lang w:eastAsia="en-AU"/>
              </w:rPr>
            </w:pPr>
          </w:p>
        </w:tc>
      </w:tr>
      <w:tr w:rsidR="001411BE" w:rsidRPr="00706CD6" w14:paraId="20F2B9F4" w14:textId="77777777" w:rsidTr="00CE5B70">
        <w:trPr>
          <w:trHeight w:hRule="exact" w:val="284"/>
        </w:trPr>
        <w:tc>
          <w:tcPr>
            <w:tcW w:w="2127" w:type="dxa"/>
            <w:tcBorders>
              <w:top w:val="nil"/>
              <w:left w:val="nil"/>
              <w:bottom w:val="nil"/>
              <w:right w:val="nil"/>
            </w:tcBorders>
            <w:shd w:val="clear" w:color="auto" w:fill="auto"/>
            <w:noWrap/>
            <w:vAlign w:val="center"/>
            <w:hideMark/>
          </w:tcPr>
          <w:p w14:paraId="2C79010E"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Postgraduate</w:t>
            </w:r>
          </w:p>
        </w:tc>
        <w:tc>
          <w:tcPr>
            <w:tcW w:w="1098" w:type="dxa"/>
            <w:tcBorders>
              <w:top w:val="nil"/>
              <w:left w:val="nil"/>
              <w:bottom w:val="nil"/>
              <w:right w:val="nil"/>
            </w:tcBorders>
            <w:shd w:val="clear" w:color="auto" w:fill="auto"/>
            <w:noWrap/>
            <w:vAlign w:val="bottom"/>
            <w:hideMark/>
          </w:tcPr>
          <w:p w14:paraId="392A328E" w14:textId="58AB2F61"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170" w:type="dxa"/>
            <w:tcBorders>
              <w:top w:val="nil"/>
              <w:left w:val="nil"/>
              <w:bottom w:val="nil"/>
              <w:right w:val="nil"/>
            </w:tcBorders>
            <w:shd w:val="clear" w:color="auto" w:fill="auto"/>
            <w:noWrap/>
            <w:vAlign w:val="bottom"/>
            <w:hideMark/>
          </w:tcPr>
          <w:p w14:paraId="22E23B78" w14:textId="1753BD7B"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0.15</w:t>
            </w:r>
          </w:p>
        </w:tc>
        <w:tc>
          <w:tcPr>
            <w:tcW w:w="1169" w:type="dxa"/>
            <w:tcBorders>
              <w:top w:val="nil"/>
              <w:left w:val="nil"/>
              <w:bottom w:val="nil"/>
              <w:right w:val="nil"/>
            </w:tcBorders>
            <w:shd w:val="clear" w:color="auto" w:fill="auto"/>
            <w:noWrap/>
            <w:vAlign w:val="bottom"/>
            <w:hideMark/>
          </w:tcPr>
          <w:p w14:paraId="5C1021D1" w14:textId="3D82755D"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311" w:type="dxa"/>
            <w:tcBorders>
              <w:top w:val="nil"/>
              <w:left w:val="nil"/>
              <w:bottom w:val="nil"/>
              <w:right w:val="nil"/>
            </w:tcBorders>
            <w:shd w:val="clear" w:color="auto" w:fill="auto"/>
            <w:noWrap/>
            <w:vAlign w:val="bottom"/>
            <w:hideMark/>
          </w:tcPr>
          <w:p w14:paraId="71EE23BE" w14:textId="55E654E4"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151" w:type="dxa"/>
            <w:tcBorders>
              <w:top w:val="nil"/>
              <w:left w:val="nil"/>
              <w:bottom w:val="nil"/>
              <w:right w:val="nil"/>
            </w:tcBorders>
            <w:shd w:val="clear" w:color="auto" w:fill="auto"/>
            <w:noWrap/>
            <w:vAlign w:val="bottom"/>
            <w:hideMark/>
          </w:tcPr>
          <w:p w14:paraId="57DE218A" w14:textId="22C8361A"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0.14</w:t>
            </w:r>
          </w:p>
        </w:tc>
        <w:tc>
          <w:tcPr>
            <w:tcW w:w="1134" w:type="dxa"/>
            <w:tcBorders>
              <w:top w:val="nil"/>
              <w:left w:val="nil"/>
              <w:bottom w:val="nil"/>
              <w:right w:val="nil"/>
            </w:tcBorders>
            <w:shd w:val="clear" w:color="auto" w:fill="auto"/>
            <w:noWrap/>
            <w:vAlign w:val="bottom"/>
            <w:hideMark/>
          </w:tcPr>
          <w:p w14:paraId="7FB98C29" w14:textId="51CC054A"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0.19</w:t>
            </w:r>
          </w:p>
        </w:tc>
        <w:tc>
          <w:tcPr>
            <w:tcW w:w="1330" w:type="dxa"/>
            <w:tcBorders>
              <w:top w:val="nil"/>
              <w:left w:val="nil"/>
              <w:bottom w:val="nil"/>
              <w:right w:val="nil"/>
            </w:tcBorders>
            <w:shd w:val="clear" w:color="auto" w:fill="auto"/>
            <w:noWrap/>
            <w:vAlign w:val="bottom"/>
            <w:hideMark/>
          </w:tcPr>
          <w:p w14:paraId="0C4309B8" w14:textId="15589C80"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0.09</w:t>
            </w:r>
          </w:p>
        </w:tc>
        <w:tc>
          <w:tcPr>
            <w:tcW w:w="1297" w:type="dxa"/>
            <w:tcBorders>
              <w:top w:val="nil"/>
              <w:left w:val="nil"/>
              <w:bottom w:val="nil"/>
              <w:right w:val="nil"/>
            </w:tcBorders>
            <w:shd w:val="clear" w:color="auto" w:fill="auto"/>
            <w:noWrap/>
            <w:vAlign w:val="bottom"/>
            <w:hideMark/>
          </w:tcPr>
          <w:p w14:paraId="02D87F09" w14:textId="45FF1E0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0.12</w:t>
            </w:r>
          </w:p>
        </w:tc>
        <w:tc>
          <w:tcPr>
            <w:tcW w:w="1158" w:type="dxa"/>
            <w:tcBorders>
              <w:top w:val="nil"/>
              <w:left w:val="nil"/>
              <w:bottom w:val="nil"/>
              <w:right w:val="nil"/>
            </w:tcBorders>
            <w:shd w:val="clear" w:color="auto" w:fill="auto"/>
            <w:noWrap/>
            <w:vAlign w:val="bottom"/>
            <w:hideMark/>
          </w:tcPr>
          <w:p w14:paraId="468E2FAC" w14:textId="5B2F290A"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222" w:type="dxa"/>
            <w:tcBorders>
              <w:top w:val="nil"/>
              <w:left w:val="nil"/>
              <w:bottom w:val="nil"/>
              <w:right w:val="nil"/>
            </w:tcBorders>
            <w:shd w:val="clear" w:color="auto" w:fill="auto"/>
            <w:noWrap/>
            <w:vAlign w:val="bottom"/>
            <w:hideMark/>
          </w:tcPr>
          <w:p w14:paraId="57C7A430" w14:textId="139A99D1"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0.04</w:t>
            </w:r>
          </w:p>
        </w:tc>
      </w:tr>
      <w:tr w:rsidR="001411BE" w:rsidRPr="00706CD6" w14:paraId="5E3FB8C2" w14:textId="77777777" w:rsidTr="00CE5B70">
        <w:trPr>
          <w:trHeight w:hRule="exact" w:val="284"/>
        </w:trPr>
        <w:tc>
          <w:tcPr>
            <w:tcW w:w="2127" w:type="dxa"/>
            <w:tcBorders>
              <w:top w:val="nil"/>
              <w:left w:val="nil"/>
              <w:bottom w:val="nil"/>
              <w:right w:val="nil"/>
            </w:tcBorders>
            <w:shd w:val="clear" w:color="auto" w:fill="auto"/>
            <w:noWrap/>
            <w:vAlign w:val="center"/>
            <w:hideMark/>
          </w:tcPr>
          <w:p w14:paraId="1AD48A6D"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Bachelors</w:t>
            </w:r>
          </w:p>
        </w:tc>
        <w:tc>
          <w:tcPr>
            <w:tcW w:w="1098" w:type="dxa"/>
            <w:tcBorders>
              <w:top w:val="nil"/>
              <w:left w:val="nil"/>
              <w:bottom w:val="nil"/>
              <w:right w:val="nil"/>
            </w:tcBorders>
            <w:shd w:val="clear" w:color="auto" w:fill="auto"/>
            <w:noWrap/>
            <w:vAlign w:val="bottom"/>
            <w:hideMark/>
          </w:tcPr>
          <w:p w14:paraId="66CF47B2" w14:textId="346B0DD8"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170" w:type="dxa"/>
            <w:tcBorders>
              <w:top w:val="nil"/>
              <w:left w:val="nil"/>
              <w:bottom w:val="nil"/>
              <w:right w:val="nil"/>
            </w:tcBorders>
            <w:shd w:val="clear" w:color="auto" w:fill="auto"/>
            <w:noWrap/>
            <w:vAlign w:val="bottom"/>
            <w:hideMark/>
          </w:tcPr>
          <w:p w14:paraId="38FE582C" w14:textId="14C6F203"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0.14</w:t>
            </w:r>
          </w:p>
        </w:tc>
        <w:tc>
          <w:tcPr>
            <w:tcW w:w="1169" w:type="dxa"/>
            <w:tcBorders>
              <w:top w:val="nil"/>
              <w:left w:val="nil"/>
              <w:bottom w:val="nil"/>
              <w:right w:val="nil"/>
            </w:tcBorders>
            <w:shd w:val="clear" w:color="auto" w:fill="auto"/>
            <w:noWrap/>
            <w:vAlign w:val="bottom"/>
            <w:hideMark/>
          </w:tcPr>
          <w:p w14:paraId="10896807" w14:textId="228ACF6B"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0.28</w:t>
            </w:r>
          </w:p>
        </w:tc>
        <w:tc>
          <w:tcPr>
            <w:tcW w:w="1311" w:type="dxa"/>
            <w:tcBorders>
              <w:top w:val="nil"/>
              <w:left w:val="nil"/>
              <w:bottom w:val="nil"/>
              <w:right w:val="nil"/>
            </w:tcBorders>
            <w:shd w:val="clear" w:color="auto" w:fill="auto"/>
            <w:noWrap/>
            <w:vAlign w:val="bottom"/>
            <w:hideMark/>
          </w:tcPr>
          <w:p w14:paraId="0268986F" w14:textId="44AC2AB5"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0.19</w:t>
            </w:r>
          </w:p>
        </w:tc>
        <w:tc>
          <w:tcPr>
            <w:tcW w:w="1151" w:type="dxa"/>
            <w:tcBorders>
              <w:top w:val="nil"/>
              <w:left w:val="nil"/>
              <w:bottom w:val="nil"/>
              <w:right w:val="nil"/>
            </w:tcBorders>
            <w:shd w:val="clear" w:color="auto" w:fill="auto"/>
            <w:noWrap/>
            <w:vAlign w:val="bottom"/>
            <w:hideMark/>
          </w:tcPr>
          <w:p w14:paraId="01AC7D2C" w14:textId="4668E9E3"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0.15</w:t>
            </w:r>
          </w:p>
        </w:tc>
        <w:tc>
          <w:tcPr>
            <w:tcW w:w="1134" w:type="dxa"/>
            <w:tcBorders>
              <w:top w:val="nil"/>
              <w:left w:val="nil"/>
              <w:bottom w:val="nil"/>
              <w:right w:val="nil"/>
            </w:tcBorders>
            <w:shd w:val="clear" w:color="auto" w:fill="auto"/>
            <w:noWrap/>
            <w:vAlign w:val="bottom"/>
            <w:hideMark/>
          </w:tcPr>
          <w:p w14:paraId="514A9FDB" w14:textId="03D8D49D"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0.18</w:t>
            </w:r>
          </w:p>
        </w:tc>
        <w:tc>
          <w:tcPr>
            <w:tcW w:w="1330" w:type="dxa"/>
            <w:tcBorders>
              <w:top w:val="nil"/>
              <w:left w:val="nil"/>
              <w:bottom w:val="nil"/>
              <w:right w:val="nil"/>
            </w:tcBorders>
            <w:shd w:val="clear" w:color="auto" w:fill="auto"/>
            <w:noWrap/>
            <w:vAlign w:val="bottom"/>
            <w:hideMark/>
          </w:tcPr>
          <w:p w14:paraId="36E37F1A" w14:textId="1F966305"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0.09</w:t>
            </w:r>
          </w:p>
        </w:tc>
        <w:tc>
          <w:tcPr>
            <w:tcW w:w="1297" w:type="dxa"/>
            <w:tcBorders>
              <w:top w:val="nil"/>
              <w:left w:val="nil"/>
              <w:bottom w:val="nil"/>
              <w:right w:val="nil"/>
            </w:tcBorders>
            <w:shd w:val="clear" w:color="auto" w:fill="auto"/>
            <w:noWrap/>
            <w:vAlign w:val="bottom"/>
            <w:hideMark/>
          </w:tcPr>
          <w:p w14:paraId="508FE5E1" w14:textId="2228AF09"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0.08</w:t>
            </w:r>
          </w:p>
        </w:tc>
        <w:tc>
          <w:tcPr>
            <w:tcW w:w="1158" w:type="dxa"/>
            <w:tcBorders>
              <w:top w:val="nil"/>
              <w:left w:val="nil"/>
              <w:bottom w:val="nil"/>
              <w:right w:val="nil"/>
            </w:tcBorders>
            <w:shd w:val="clear" w:color="auto" w:fill="auto"/>
            <w:noWrap/>
            <w:vAlign w:val="bottom"/>
            <w:hideMark/>
          </w:tcPr>
          <w:p w14:paraId="3B72D5FC" w14:textId="7609FC30"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222" w:type="dxa"/>
            <w:tcBorders>
              <w:top w:val="nil"/>
              <w:left w:val="nil"/>
              <w:bottom w:val="nil"/>
              <w:right w:val="nil"/>
            </w:tcBorders>
            <w:shd w:val="clear" w:color="auto" w:fill="auto"/>
            <w:noWrap/>
            <w:vAlign w:val="bottom"/>
            <w:hideMark/>
          </w:tcPr>
          <w:p w14:paraId="3F87F7F1" w14:textId="7F3CE9F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0.04</w:t>
            </w:r>
          </w:p>
        </w:tc>
      </w:tr>
      <w:tr w:rsidR="001411BE" w:rsidRPr="00706CD6" w14:paraId="7196FEDC" w14:textId="77777777" w:rsidTr="00CE5B70">
        <w:trPr>
          <w:trHeight w:hRule="exact" w:val="284"/>
        </w:trPr>
        <w:tc>
          <w:tcPr>
            <w:tcW w:w="2127" w:type="dxa"/>
            <w:tcBorders>
              <w:top w:val="nil"/>
              <w:left w:val="nil"/>
              <w:right w:val="nil"/>
            </w:tcBorders>
            <w:shd w:val="clear" w:color="auto" w:fill="auto"/>
            <w:noWrap/>
            <w:vAlign w:val="center"/>
            <w:hideMark/>
          </w:tcPr>
          <w:p w14:paraId="4D9FCD02"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Diploma or Cert III/IV</w:t>
            </w:r>
          </w:p>
        </w:tc>
        <w:tc>
          <w:tcPr>
            <w:tcW w:w="1098" w:type="dxa"/>
            <w:tcBorders>
              <w:top w:val="nil"/>
              <w:left w:val="nil"/>
              <w:right w:val="nil"/>
            </w:tcBorders>
            <w:shd w:val="clear" w:color="auto" w:fill="auto"/>
            <w:noWrap/>
            <w:vAlign w:val="bottom"/>
            <w:hideMark/>
          </w:tcPr>
          <w:p w14:paraId="06889A1A" w14:textId="4D8F4E3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0.20</w:t>
            </w:r>
          </w:p>
        </w:tc>
        <w:tc>
          <w:tcPr>
            <w:tcW w:w="1170" w:type="dxa"/>
            <w:tcBorders>
              <w:top w:val="nil"/>
              <w:left w:val="nil"/>
              <w:right w:val="nil"/>
            </w:tcBorders>
            <w:shd w:val="clear" w:color="auto" w:fill="auto"/>
            <w:noWrap/>
            <w:vAlign w:val="bottom"/>
            <w:hideMark/>
          </w:tcPr>
          <w:p w14:paraId="418C78CA" w14:textId="276B9952"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0.15</w:t>
            </w:r>
          </w:p>
        </w:tc>
        <w:tc>
          <w:tcPr>
            <w:tcW w:w="1169" w:type="dxa"/>
            <w:tcBorders>
              <w:top w:val="nil"/>
              <w:left w:val="nil"/>
              <w:right w:val="nil"/>
            </w:tcBorders>
            <w:shd w:val="clear" w:color="auto" w:fill="auto"/>
            <w:noWrap/>
            <w:vAlign w:val="bottom"/>
            <w:hideMark/>
          </w:tcPr>
          <w:p w14:paraId="4502B0B4" w14:textId="33D2A4B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0.25</w:t>
            </w:r>
          </w:p>
        </w:tc>
        <w:tc>
          <w:tcPr>
            <w:tcW w:w="1311" w:type="dxa"/>
            <w:tcBorders>
              <w:top w:val="nil"/>
              <w:left w:val="nil"/>
              <w:right w:val="nil"/>
            </w:tcBorders>
            <w:shd w:val="clear" w:color="auto" w:fill="auto"/>
            <w:noWrap/>
            <w:vAlign w:val="bottom"/>
            <w:hideMark/>
          </w:tcPr>
          <w:p w14:paraId="1341C2A2" w14:textId="2E90B2E5"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0.28</w:t>
            </w:r>
          </w:p>
        </w:tc>
        <w:tc>
          <w:tcPr>
            <w:tcW w:w="1151" w:type="dxa"/>
            <w:tcBorders>
              <w:top w:val="nil"/>
              <w:left w:val="nil"/>
              <w:right w:val="nil"/>
            </w:tcBorders>
            <w:shd w:val="clear" w:color="auto" w:fill="auto"/>
            <w:noWrap/>
            <w:vAlign w:val="bottom"/>
            <w:hideMark/>
          </w:tcPr>
          <w:p w14:paraId="5CD48123" w14:textId="2817B971"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0.16</w:t>
            </w:r>
          </w:p>
        </w:tc>
        <w:tc>
          <w:tcPr>
            <w:tcW w:w="1134" w:type="dxa"/>
            <w:tcBorders>
              <w:top w:val="nil"/>
              <w:left w:val="nil"/>
              <w:right w:val="nil"/>
            </w:tcBorders>
            <w:shd w:val="clear" w:color="auto" w:fill="auto"/>
            <w:noWrap/>
            <w:vAlign w:val="bottom"/>
            <w:hideMark/>
          </w:tcPr>
          <w:p w14:paraId="5F6B1612" w14:textId="608511D5"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0.20</w:t>
            </w:r>
          </w:p>
        </w:tc>
        <w:tc>
          <w:tcPr>
            <w:tcW w:w="1330" w:type="dxa"/>
            <w:tcBorders>
              <w:top w:val="nil"/>
              <w:left w:val="nil"/>
              <w:right w:val="nil"/>
            </w:tcBorders>
            <w:shd w:val="clear" w:color="auto" w:fill="auto"/>
            <w:noWrap/>
            <w:vAlign w:val="bottom"/>
            <w:hideMark/>
          </w:tcPr>
          <w:p w14:paraId="2A3AA222" w14:textId="5672AAE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c>
          <w:tcPr>
            <w:tcW w:w="1297" w:type="dxa"/>
            <w:tcBorders>
              <w:top w:val="nil"/>
              <w:left w:val="nil"/>
              <w:right w:val="nil"/>
            </w:tcBorders>
            <w:shd w:val="clear" w:color="auto" w:fill="auto"/>
            <w:noWrap/>
            <w:vAlign w:val="bottom"/>
            <w:hideMark/>
          </w:tcPr>
          <w:p w14:paraId="266AB3EA" w14:textId="155CA79E"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0.13</w:t>
            </w:r>
          </w:p>
        </w:tc>
        <w:tc>
          <w:tcPr>
            <w:tcW w:w="1158" w:type="dxa"/>
            <w:tcBorders>
              <w:top w:val="nil"/>
              <w:left w:val="nil"/>
              <w:right w:val="nil"/>
            </w:tcBorders>
            <w:shd w:val="clear" w:color="auto" w:fill="auto"/>
            <w:noWrap/>
            <w:vAlign w:val="bottom"/>
            <w:hideMark/>
          </w:tcPr>
          <w:p w14:paraId="6684EF5F" w14:textId="26EB3CCE"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0.18</w:t>
            </w:r>
          </w:p>
        </w:tc>
        <w:tc>
          <w:tcPr>
            <w:tcW w:w="1222" w:type="dxa"/>
            <w:tcBorders>
              <w:top w:val="nil"/>
              <w:left w:val="nil"/>
              <w:right w:val="nil"/>
            </w:tcBorders>
            <w:shd w:val="clear" w:color="auto" w:fill="auto"/>
            <w:noWrap/>
            <w:vAlign w:val="bottom"/>
            <w:hideMark/>
          </w:tcPr>
          <w:p w14:paraId="14E007C6" w14:textId="6FE1B15F"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0.03</w:t>
            </w:r>
          </w:p>
        </w:tc>
      </w:tr>
      <w:tr w:rsidR="001411BE" w:rsidRPr="00706CD6" w14:paraId="6FEDFD40"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center"/>
            <w:hideMark/>
          </w:tcPr>
          <w:p w14:paraId="48BC2626" w14:textId="77777777" w:rsidR="001411BE" w:rsidRPr="00706CD6" w:rsidRDefault="001411BE" w:rsidP="001411BE">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Year 12 or below</w:t>
            </w:r>
          </w:p>
        </w:tc>
        <w:tc>
          <w:tcPr>
            <w:tcW w:w="1098" w:type="dxa"/>
            <w:tcBorders>
              <w:top w:val="nil"/>
              <w:left w:val="nil"/>
              <w:bottom w:val="single" w:sz="4" w:space="0" w:color="ED7D31" w:themeColor="accent2"/>
              <w:right w:val="nil"/>
            </w:tcBorders>
            <w:shd w:val="clear" w:color="auto" w:fill="auto"/>
            <w:noWrap/>
            <w:vAlign w:val="bottom"/>
            <w:hideMark/>
          </w:tcPr>
          <w:p w14:paraId="75104CC1" w14:textId="405E6AD8" w:rsidR="001411BE" w:rsidRPr="00706CD6" w:rsidRDefault="001411BE" w:rsidP="001411BE">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170" w:type="dxa"/>
            <w:tcBorders>
              <w:top w:val="nil"/>
              <w:left w:val="nil"/>
              <w:bottom w:val="single" w:sz="4" w:space="0" w:color="ED7D31" w:themeColor="accent2"/>
              <w:right w:val="nil"/>
            </w:tcBorders>
            <w:shd w:val="clear" w:color="auto" w:fill="auto"/>
            <w:noWrap/>
            <w:vAlign w:val="bottom"/>
            <w:hideMark/>
          </w:tcPr>
          <w:p w14:paraId="0D5D76DC" w14:textId="0135B883"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0.19</w:t>
            </w:r>
          </w:p>
        </w:tc>
        <w:tc>
          <w:tcPr>
            <w:tcW w:w="1169" w:type="dxa"/>
            <w:tcBorders>
              <w:top w:val="nil"/>
              <w:left w:val="nil"/>
              <w:bottom w:val="single" w:sz="4" w:space="0" w:color="ED7D31" w:themeColor="accent2"/>
              <w:right w:val="nil"/>
            </w:tcBorders>
            <w:shd w:val="clear" w:color="auto" w:fill="auto"/>
            <w:noWrap/>
            <w:vAlign w:val="bottom"/>
            <w:hideMark/>
          </w:tcPr>
          <w:p w14:paraId="55A59B61" w14:textId="04F43D7B"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0.24</w:t>
            </w:r>
          </w:p>
        </w:tc>
        <w:tc>
          <w:tcPr>
            <w:tcW w:w="1311" w:type="dxa"/>
            <w:tcBorders>
              <w:top w:val="nil"/>
              <w:left w:val="nil"/>
              <w:bottom w:val="single" w:sz="4" w:space="0" w:color="ED7D31" w:themeColor="accent2"/>
              <w:right w:val="nil"/>
            </w:tcBorders>
            <w:shd w:val="clear" w:color="auto" w:fill="auto"/>
            <w:noWrap/>
            <w:vAlign w:val="bottom"/>
            <w:hideMark/>
          </w:tcPr>
          <w:p w14:paraId="4D46C0B0" w14:textId="28E73A87"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0.29</w:t>
            </w:r>
          </w:p>
        </w:tc>
        <w:tc>
          <w:tcPr>
            <w:tcW w:w="1151" w:type="dxa"/>
            <w:tcBorders>
              <w:top w:val="nil"/>
              <w:left w:val="nil"/>
              <w:bottom w:val="single" w:sz="4" w:space="0" w:color="ED7D31" w:themeColor="accent2"/>
              <w:right w:val="nil"/>
            </w:tcBorders>
            <w:shd w:val="clear" w:color="auto" w:fill="auto"/>
            <w:noWrap/>
            <w:vAlign w:val="bottom"/>
            <w:hideMark/>
          </w:tcPr>
          <w:p w14:paraId="2E5B01B8" w14:textId="49BD1DC6"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0.18</w:t>
            </w:r>
          </w:p>
        </w:tc>
        <w:tc>
          <w:tcPr>
            <w:tcW w:w="1134" w:type="dxa"/>
            <w:tcBorders>
              <w:top w:val="nil"/>
              <w:left w:val="nil"/>
              <w:bottom w:val="single" w:sz="4" w:space="0" w:color="ED7D31" w:themeColor="accent2"/>
              <w:right w:val="nil"/>
            </w:tcBorders>
            <w:shd w:val="clear" w:color="auto" w:fill="auto"/>
            <w:noWrap/>
            <w:vAlign w:val="bottom"/>
            <w:hideMark/>
          </w:tcPr>
          <w:p w14:paraId="745DCB41" w14:textId="772C0F7A"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0.17</w:t>
            </w:r>
          </w:p>
        </w:tc>
        <w:tc>
          <w:tcPr>
            <w:tcW w:w="1330" w:type="dxa"/>
            <w:tcBorders>
              <w:top w:val="nil"/>
              <w:left w:val="nil"/>
              <w:bottom w:val="single" w:sz="4" w:space="0" w:color="ED7D31" w:themeColor="accent2"/>
              <w:right w:val="nil"/>
            </w:tcBorders>
            <w:shd w:val="clear" w:color="auto" w:fill="auto"/>
            <w:noWrap/>
            <w:vAlign w:val="bottom"/>
            <w:hideMark/>
          </w:tcPr>
          <w:p w14:paraId="4D4B6D88" w14:textId="705ABC0B"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0.11</w:t>
            </w:r>
          </w:p>
        </w:tc>
        <w:tc>
          <w:tcPr>
            <w:tcW w:w="1297" w:type="dxa"/>
            <w:tcBorders>
              <w:top w:val="nil"/>
              <w:left w:val="nil"/>
              <w:bottom w:val="single" w:sz="4" w:space="0" w:color="ED7D31" w:themeColor="accent2"/>
              <w:right w:val="nil"/>
            </w:tcBorders>
            <w:shd w:val="clear" w:color="auto" w:fill="auto"/>
            <w:noWrap/>
            <w:vAlign w:val="bottom"/>
            <w:hideMark/>
          </w:tcPr>
          <w:p w14:paraId="61B5CA0E" w14:textId="63ECF498"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0.12</w:t>
            </w:r>
          </w:p>
        </w:tc>
        <w:tc>
          <w:tcPr>
            <w:tcW w:w="1158" w:type="dxa"/>
            <w:tcBorders>
              <w:top w:val="nil"/>
              <w:left w:val="nil"/>
              <w:bottom w:val="single" w:sz="4" w:space="0" w:color="ED7D31" w:themeColor="accent2"/>
              <w:right w:val="nil"/>
            </w:tcBorders>
            <w:shd w:val="clear" w:color="auto" w:fill="auto"/>
            <w:noWrap/>
            <w:vAlign w:val="bottom"/>
            <w:hideMark/>
          </w:tcPr>
          <w:p w14:paraId="16155826" w14:textId="14705C23"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0.24</w:t>
            </w:r>
          </w:p>
        </w:tc>
        <w:tc>
          <w:tcPr>
            <w:tcW w:w="1222" w:type="dxa"/>
            <w:tcBorders>
              <w:top w:val="nil"/>
              <w:left w:val="nil"/>
              <w:bottom w:val="single" w:sz="4" w:space="0" w:color="ED7D31" w:themeColor="accent2"/>
              <w:right w:val="nil"/>
            </w:tcBorders>
            <w:shd w:val="clear" w:color="auto" w:fill="auto"/>
            <w:noWrap/>
            <w:vAlign w:val="bottom"/>
            <w:hideMark/>
          </w:tcPr>
          <w:p w14:paraId="4BE37435" w14:textId="358B7A4A" w:rsidR="001411BE" w:rsidRPr="00706CD6" w:rsidRDefault="001411BE" w:rsidP="001411BE">
            <w:pPr>
              <w:jc w:val="center"/>
              <w:rPr>
                <w:rFonts w:ascii="Times New Roman" w:eastAsia="Times New Roman" w:hAnsi="Times New Roman" w:cs="Times New Roman"/>
                <w:sz w:val="20"/>
                <w:szCs w:val="20"/>
                <w:lang w:eastAsia="en-AU"/>
              </w:rPr>
            </w:pPr>
            <w:r w:rsidRPr="00706CD6">
              <w:rPr>
                <w:rFonts w:ascii="Calibri Light" w:eastAsia="Times New Roman" w:hAnsi="Calibri Light" w:cs="Calibri Light"/>
                <w:color w:val="000000"/>
                <w:sz w:val="20"/>
                <w:szCs w:val="20"/>
                <w:lang w:eastAsia="en-AU"/>
              </w:rPr>
              <w:t>0.04</w:t>
            </w:r>
          </w:p>
        </w:tc>
      </w:tr>
      <w:tr w:rsidR="00FB68F0" w:rsidRPr="00706CD6" w14:paraId="3B752829" w14:textId="77777777" w:rsidTr="00CE5B70">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181984F3"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Employed</w:t>
            </w:r>
            <w:r w:rsidRPr="00706CD6">
              <w:rPr>
                <w:rFonts w:ascii="Calibri Light" w:eastAsia="Times New Roman" w:hAnsi="Calibri Light" w:cs="Calibri Light"/>
                <w:color w:val="000000"/>
                <w:sz w:val="20"/>
                <w:szCs w:val="20"/>
                <w:lang w:eastAsia="en-AU"/>
              </w:rPr>
              <w:t xml:space="preserve"> </w:t>
            </w:r>
          </w:p>
        </w:tc>
        <w:tc>
          <w:tcPr>
            <w:tcW w:w="1098" w:type="dxa"/>
            <w:tcBorders>
              <w:top w:val="single" w:sz="4" w:space="0" w:color="ED7D31" w:themeColor="accent2"/>
              <w:left w:val="nil"/>
              <w:bottom w:val="nil"/>
              <w:right w:val="nil"/>
            </w:tcBorders>
            <w:shd w:val="clear" w:color="auto" w:fill="auto"/>
            <w:noWrap/>
            <w:vAlign w:val="bottom"/>
            <w:hideMark/>
          </w:tcPr>
          <w:p w14:paraId="260E2C2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0.23</w:t>
            </w:r>
          </w:p>
        </w:tc>
        <w:tc>
          <w:tcPr>
            <w:tcW w:w="1170" w:type="dxa"/>
            <w:tcBorders>
              <w:top w:val="single" w:sz="4" w:space="0" w:color="ED7D31" w:themeColor="accent2"/>
              <w:left w:val="nil"/>
              <w:bottom w:val="nil"/>
              <w:right w:val="nil"/>
            </w:tcBorders>
            <w:shd w:val="clear" w:color="auto" w:fill="auto"/>
            <w:noWrap/>
            <w:vAlign w:val="bottom"/>
            <w:hideMark/>
          </w:tcPr>
          <w:p w14:paraId="08BFBD4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0.17</w:t>
            </w:r>
          </w:p>
        </w:tc>
        <w:tc>
          <w:tcPr>
            <w:tcW w:w="1169" w:type="dxa"/>
            <w:tcBorders>
              <w:top w:val="single" w:sz="4" w:space="0" w:color="ED7D31" w:themeColor="accent2"/>
              <w:left w:val="nil"/>
              <w:bottom w:val="nil"/>
              <w:right w:val="nil"/>
            </w:tcBorders>
            <w:shd w:val="clear" w:color="auto" w:fill="auto"/>
            <w:noWrap/>
            <w:vAlign w:val="bottom"/>
            <w:hideMark/>
          </w:tcPr>
          <w:p w14:paraId="3ECC93E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0.28</w:t>
            </w:r>
          </w:p>
        </w:tc>
        <w:tc>
          <w:tcPr>
            <w:tcW w:w="1311" w:type="dxa"/>
            <w:tcBorders>
              <w:top w:val="single" w:sz="4" w:space="0" w:color="ED7D31" w:themeColor="accent2"/>
              <w:left w:val="nil"/>
              <w:bottom w:val="nil"/>
              <w:right w:val="nil"/>
            </w:tcBorders>
            <w:shd w:val="clear" w:color="auto" w:fill="auto"/>
            <w:noWrap/>
            <w:vAlign w:val="bottom"/>
            <w:hideMark/>
          </w:tcPr>
          <w:p w14:paraId="4953A3BE"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0.25</w:t>
            </w:r>
          </w:p>
        </w:tc>
        <w:tc>
          <w:tcPr>
            <w:tcW w:w="1151" w:type="dxa"/>
            <w:tcBorders>
              <w:top w:val="single" w:sz="4" w:space="0" w:color="ED7D31" w:themeColor="accent2"/>
              <w:left w:val="nil"/>
              <w:bottom w:val="nil"/>
              <w:right w:val="nil"/>
            </w:tcBorders>
            <w:shd w:val="clear" w:color="auto" w:fill="auto"/>
            <w:noWrap/>
            <w:vAlign w:val="bottom"/>
            <w:hideMark/>
          </w:tcPr>
          <w:p w14:paraId="28BD962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0.17</w:t>
            </w:r>
          </w:p>
        </w:tc>
        <w:tc>
          <w:tcPr>
            <w:tcW w:w="1134" w:type="dxa"/>
            <w:tcBorders>
              <w:top w:val="single" w:sz="4" w:space="0" w:color="ED7D31" w:themeColor="accent2"/>
              <w:left w:val="nil"/>
              <w:bottom w:val="nil"/>
              <w:right w:val="nil"/>
            </w:tcBorders>
            <w:shd w:val="clear" w:color="auto" w:fill="auto"/>
            <w:noWrap/>
            <w:vAlign w:val="bottom"/>
            <w:hideMark/>
          </w:tcPr>
          <w:p w14:paraId="0C361FC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330" w:type="dxa"/>
            <w:tcBorders>
              <w:top w:val="single" w:sz="4" w:space="0" w:color="ED7D31" w:themeColor="accent2"/>
              <w:left w:val="nil"/>
              <w:bottom w:val="nil"/>
              <w:right w:val="nil"/>
            </w:tcBorders>
            <w:shd w:val="clear" w:color="auto" w:fill="auto"/>
            <w:noWrap/>
            <w:vAlign w:val="bottom"/>
            <w:hideMark/>
          </w:tcPr>
          <w:p w14:paraId="136CCA7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c>
          <w:tcPr>
            <w:tcW w:w="1297" w:type="dxa"/>
            <w:tcBorders>
              <w:top w:val="single" w:sz="4" w:space="0" w:color="ED7D31" w:themeColor="accent2"/>
              <w:left w:val="nil"/>
              <w:bottom w:val="nil"/>
              <w:right w:val="nil"/>
            </w:tcBorders>
            <w:shd w:val="clear" w:color="auto" w:fill="auto"/>
            <w:noWrap/>
            <w:vAlign w:val="bottom"/>
            <w:hideMark/>
          </w:tcPr>
          <w:p w14:paraId="4F9FF62B"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0.14</w:t>
            </w:r>
          </w:p>
        </w:tc>
        <w:tc>
          <w:tcPr>
            <w:tcW w:w="1158" w:type="dxa"/>
            <w:tcBorders>
              <w:top w:val="single" w:sz="4" w:space="0" w:color="ED7D31" w:themeColor="accent2"/>
              <w:left w:val="nil"/>
              <w:bottom w:val="nil"/>
              <w:right w:val="nil"/>
            </w:tcBorders>
            <w:shd w:val="clear" w:color="auto" w:fill="auto"/>
            <w:noWrap/>
            <w:vAlign w:val="bottom"/>
            <w:hideMark/>
          </w:tcPr>
          <w:p w14:paraId="46B3BFA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222" w:type="dxa"/>
            <w:tcBorders>
              <w:top w:val="single" w:sz="4" w:space="0" w:color="ED7D31" w:themeColor="accent2"/>
              <w:left w:val="nil"/>
              <w:bottom w:val="nil"/>
              <w:right w:val="nil"/>
            </w:tcBorders>
            <w:shd w:val="clear" w:color="auto" w:fill="auto"/>
            <w:noWrap/>
            <w:vAlign w:val="bottom"/>
            <w:hideMark/>
          </w:tcPr>
          <w:p w14:paraId="78CBBF4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0.06</w:t>
            </w:r>
          </w:p>
        </w:tc>
      </w:tr>
      <w:tr w:rsidR="00FB68F0" w:rsidRPr="00706CD6" w14:paraId="19DAC64C" w14:textId="77777777" w:rsidTr="00CE5B70">
        <w:trPr>
          <w:trHeight w:hRule="exact" w:val="284"/>
        </w:trPr>
        <w:tc>
          <w:tcPr>
            <w:tcW w:w="2127" w:type="dxa"/>
            <w:tcBorders>
              <w:top w:val="nil"/>
              <w:left w:val="nil"/>
              <w:right w:val="nil"/>
            </w:tcBorders>
            <w:shd w:val="clear" w:color="auto" w:fill="auto"/>
            <w:noWrap/>
            <w:vAlign w:val="center"/>
            <w:hideMark/>
          </w:tcPr>
          <w:p w14:paraId="18927700"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No</w:t>
            </w:r>
          </w:p>
        </w:tc>
        <w:tc>
          <w:tcPr>
            <w:tcW w:w="1098" w:type="dxa"/>
            <w:tcBorders>
              <w:top w:val="nil"/>
              <w:left w:val="nil"/>
              <w:right w:val="nil"/>
            </w:tcBorders>
            <w:shd w:val="clear" w:color="auto" w:fill="auto"/>
            <w:noWrap/>
            <w:vAlign w:val="bottom"/>
            <w:hideMark/>
          </w:tcPr>
          <w:p w14:paraId="45EC072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170" w:type="dxa"/>
            <w:tcBorders>
              <w:top w:val="nil"/>
              <w:left w:val="nil"/>
              <w:right w:val="nil"/>
            </w:tcBorders>
            <w:shd w:val="clear" w:color="auto" w:fill="auto"/>
            <w:noWrap/>
            <w:vAlign w:val="bottom"/>
            <w:hideMark/>
          </w:tcPr>
          <w:p w14:paraId="0ADA457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0.16</w:t>
            </w:r>
          </w:p>
        </w:tc>
        <w:tc>
          <w:tcPr>
            <w:tcW w:w="1169" w:type="dxa"/>
            <w:tcBorders>
              <w:top w:val="nil"/>
              <w:left w:val="nil"/>
              <w:right w:val="nil"/>
            </w:tcBorders>
            <w:shd w:val="clear" w:color="auto" w:fill="auto"/>
            <w:noWrap/>
            <w:vAlign w:val="bottom"/>
            <w:hideMark/>
          </w:tcPr>
          <w:p w14:paraId="72A6F2B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311" w:type="dxa"/>
            <w:tcBorders>
              <w:top w:val="nil"/>
              <w:left w:val="nil"/>
              <w:right w:val="nil"/>
            </w:tcBorders>
            <w:shd w:val="clear" w:color="auto" w:fill="auto"/>
            <w:noWrap/>
            <w:vAlign w:val="bottom"/>
            <w:hideMark/>
          </w:tcPr>
          <w:p w14:paraId="09B946B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51" w:type="dxa"/>
            <w:tcBorders>
              <w:top w:val="nil"/>
              <w:left w:val="nil"/>
              <w:right w:val="nil"/>
            </w:tcBorders>
            <w:shd w:val="clear" w:color="auto" w:fill="auto"/>
            <w:noWrap/>
            <w:vAlign w:val="bottom"/>
            <w:hideMark/>
          </w:tcPr>
          <w:p w14:paraId="23D9DEC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0.16</w:t>
            </w:r>
          </w:p>
        </w:tc>
        <w:tc>
          <w:tcPr>
            <w:tcW w:w="1134" w:type="dxa"/>
            <w:tcBorders>
              <w:top w:val="nil"/>
              <w:left w:val="nil"/>
              <w:right w:val="nil"/>
            </w:tcBorders>
            <w:shd w:val="clear" w:color="auto" w:fill="auto"/>
            <w:noWrap/>
            <w:vAlign w:val="bottom"/>
            <w:hideMark/>
          </w:tcPr>
          <w:p w14:paraId="78443009"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0.18</w:t>
            </w:r>
          </w:p>
        </w:tc>
        <w:tc>
          <w:tcPr>
            <w:tcW w:w="1330" w:type="dxa"/>
            <w:tcBorders>
              <w:top w:val="nil"/>
              <w:left w:val="nil"/>
              <w:right w:val="nil"/>
            </w:tcBorders>
            <w:shd w:val="clear" w:color="auto" w:fill="auto"/>
            <w:noWrap/>
            <w:vAlign w:val="bottom"/>
            <w:hideMark/>
          </w:tcPr>
          <w:p w14:paraId="6AF3CEDD"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c>
          <w:tcPr>
            <w:tcW w:w="1297" w:type="dxa"/>
            <w:tcBorders>
              <w:top w:val="nil"/>
              <w:left w:val="nil"/>
              <w:right w:val="nil"/>
            </w:tcBorders>
            <w:shd w:val="clear" w:color="auto" w:fill="auto"/>
            <w:noWrap/>
            <w:vAlign w:val="bottom"/>
            <w:hideMark/>
          </w:tcPr>
          <w:p w14:paraId="2653EF65"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c>
          <w:tcPr>
            <w:tcW w:w="1158" w:type="dxa"/>
            <w:tcBorders>
              <w:top w:val="nil"/>
              <w:left w:val="nil"/>
              <w:right w:val="nil"/>
            </w:tcBorders>
            <w:shd w:val="clear" w:color="auto" w:fill="auto"/>
            <w:noWrap/>
            <w:vAlign w:val="bottom"/>
            <w:hideMark/>
          </w:tcPr>
          <w:p w14:paraId="7D13B9F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0.22</w:t>
            </w:r>
          </w:p>
        </w:tc>
        <w:tc>
          <w:tcPr>
            <w:tcW w:w="1222" w:type="dxa"/>
            <w:tcBorders>
              <w:top w:val="nil"/>
              <w:left w:val="nil"/>
              <w:right w:val="nil"/>
            </w:tcBorders>
            <w:shd w:val="clear" w:color="auto" w:fill="auto"/>
            <w:noWrap/>
            <w:vAlign w:val="bottom"/>
            <w:hideMark/>
          </w:tcPr>
          <w:p w14:paraId="78D18B5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0.03</w:t>
            </w:r>
          </w:p>
        </w:tc>
      </w:tr>
      <w:tr w:rsidR="00FB68F0" w:rsidRPr="00706CD6" w14:paraId="60E51317"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bottom"/>
            <w:hideMark/>
          </w:tcPr>
          <w:p w14:paraId="78F60EAC" w14:textId="77777777" w:rsidR="00FB68F0" w:rsidRPr="00706CD6" w:rsidRDefault="00FB68F0" w:rsidP="00335B25">
            <w:pPr>
              <w:rPr>
                <w:rFonts w:ascii="Calibri Light" w:eastAsia="Times New Roman" w:hAnsi="Calibri Light" w:cs="Calibri Light"/>
                <w:color w:val="000000"/>
                <w:lang w:eastAsia="en-AU"/>
              </w:rPr>
            </w:pPr>
            <w:r w:rsidRPr="00706CD6">
              <w:rPr>
                <w:rFonts w:ascii="Calibri Light" w:eastAsia="Times New Roman" w:hAnsi="Calibri Light" w:cs="Calibri Light"/>
                <w:color w:val="000000"/>
                <w:lang w:eastAsia="en-AU"/>
              </w:rPr>
              <w:t>Yes</w:t>
            </w:r>
          </w:p>
        </w:tc>
        <w:tc>
          <w:tcPr>
            <w:tcW w:w="1098" w:type="dxa"/>
            <w:tcBorders>
              <w:top w:val="nil"/>
              <w:left w:val="nil"/>
              <w:bottom w:val="single" w:sz="4" w:space="0" w:color="ED7D31" w:themeColor="accent2"/>
              <w:right w:val="nil"/>
            </w:tcBorders>
            <w:shd w:val="clear" w:color="auto" w:fill="auto"/>
            <w:noWrap/>
            <w:vAlign w:val="bottom"/>
            <w:hideMark/>
          </w:tcPr>
          <w:p w14:paraId="129DDE1D" w14:textId="77777777" w:rsidR="00FB68F0" w:rsidRPr="00706CD6" w:rsidRDefault="00FB68F0" w:rsidP="00335B25">
            <w:pPr>
              <w:jc w:val="center"/>
              <w:rPr>
                <w:rFonts w:ascii="Calibri Light" w:eastAsia="Times New Roman" w:hAnsi="Calibri Light" w:cs="Calibri Light"/>
                <w:color w:val="000000"/>
                <w:lang w:eastAsia="en-AU"/>
              </w:rPr>
            </w:pPr>
          </w:p>
        </w:tc>
        <w:tc>
          <w:tcPr>
            <w:tcW w:w="1170" w:type="dxa"/>
            <w:tcBorders>
              <w:top w:val="nil"/>
              <w:left w:val="nil"/>
              <w:bottom w:val="single" w:sz="4" w:space="0" w:color="ED7D31" w:themeColor="accent2"/>
              <w:right w:val="nil"/>
            </w:tcBorders>
            <w:shd w:val="clear" w:color="auto" w:fill="auto"/>
            <w:noWrap/>
            <w:vAlign w:val="bottom"/>
            <w:hideMark/>
          </w:tcPr>
          <w:p w14:paraId="4D5EBB4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69" w:type="dxa"/>
            <w:tcBorders>
              <w:top w:val="nil"/>
              <w:left w:val="nil"/>
              <w:bottom w:val="single" w:sz="4" w:space="0" w:color="ED7D31" w:themeColor="accent2"/>
              <w:right w:val="nil"/>
            </w:tcBorders>
            <w:shd w:val="clear" w:color="auto" w:fill="auto"/>
            <w:noWrap/>
            <w:vAlign w:val="bottom"/>
            <w:hideMark/>
          </w:tcPr>
          <w:p w14:paraId="46445EBA"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11" w:type="dxa"/>
            <w:tcBorders>
              <w:top w:val="nil"/>
              <w:left w:val="nil"/>
              <w:bottom w:val="single" w:sz="4" w:space="0" w:color="ED7D31" w:themeColor="accent2"/>
              <w:right w:val="nil"/>
            </w:tcBorders>
            <w:shd w:val="clear" w:color="auto" w:fill="auto"/>
            <w:noWrap/>
            <w:vAlign w:val="bottom"/>
            <w:hideMark/>
          </w:tcPr>
          <w:p w14:paraId="47F2D2AC"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1" w:type="dxa"/>
            <w:tcBorders>
              <w:top w:val="nil"/>
              <w:left w:val="nil"/>
              <w:bottom w:val="single" w:sz="4" w:space="0" w:color="ED7D31" w:themeColor="accent2"/>
              <w:right w:val="nil"/>
            </w:tcBorders>
            <w:shd w:val="clear" w:color="auto" w:fill="auto"/>
            <w:noWrap/>
            <w:vAlign w:val="bottom"/>
            <w:hideMark/>
          </w:tcPr>
          <w:p w14:paraId="4988E6C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34" w:type="dxa"/>
            <w:tcBorders>
              <w:top w:val="nil"/>
              <w:left w:val="nil"/>
              <w:bottom w:val="single" w:sz="4" w:space="0" w:color="ED7D31" w:themeColor="accent2"/>
              <w:right w:val="nil"/>
            </w:tcBorders>
            <w:shd w:val="clear" w:color="auto" w:fill="auto"/>
            <w:noWrap/>
            <w:vAlign w:val="bottom"/>
            <w:hideMark/>
          </w:tcPr>
          <w:p w14:paraId="240B29E8"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30" w:type="dxa"/>
            <w:tcBorders>
              <w:top w:val="nil"/>
              <w:left w:val="nil"/>
              <w:bottom w:val="single" w:sz="4" w:space="0" w:color="ED7D31" w:themeColor="accent2"/>
              <w:right w:val="nil"/>
            </w:tcBorders>
            <w:shd w:val="clear" w:color="auto" w:fill="auto"/>
            <w:noWrap/>
            <w:vAlign w:val="bottom"/>
            <w:hideMark/>
          </w:tcPr>
          <w:p w14:paraId="5B535E2E"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97" w:type="dxa"/>
            <w:tcBorders>
              <w:top w:val="nil"/>
              <w:left w:val="nil"/>
              <w:bottom w:val="single" w:sz="4" w:space="0" w:color="ED7D31" w:themeColor="accent2"/>
              <w:right w:val="nil"/>
            </w:tcBorders>
            <w:shd w:val="clear" w:color="auto" w:fill="auto"/>
            <w:noWrap/>
            <w:vAlign w:val="bottom"/>
            <w:hideMark/>
          </w:tcPr>
          <w:p w14:paraId="2850EDB1"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8" w:type="dxa"/>
            <w:tcBorders>
              <w:top w:val="nil"/>
              <w:left w:val="nil"/>
              <w:bottom w:val="single" w:sz="4" w:space="0" w:color="ED7D31" w:themeColor="accent2"/>
              <w:right w:val="nil"/>
            </w:tcBorders>
            <w:shd w:val="clear" w:color="auto" w:fill="auto"/>
            <w:noWrap/>
            <w:vAlign w:val="bottom"/>
            <w:hideMark/>
          </w:tcPr>
          <w:p w14:paraId="43BB771E"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22" w:type="dxa"/>
            <w:tcBorders>
              <w:top w:val="nil"/>
              <w:left w:val="nil"/>
              <w:bottom w:val="single" w:sz="4" w:space="0" w:color="ED7D31" w:themeColor="accent2"/>
              <w:right w:val="nil"/>
            </w:tcBorders>
            <w:shd w:val="clear" w:color="auto" w:fill="auto"/>
            <w:noWrap/>
            <w:vAlign w:val="bottom"/>
            <w:hideMark/>
          </w:tcPr>
          <w:p w14:paraId="09D58F3F" w14:textId="77777777" w:rsidR="00FB68F0" w:rsidRPr="00706CD6" w:rsidRDefault="00FB68F0" w:rsidP="00335B25">
            <w:pPr>
              <w:jc w:val="center"/>
              <w:rPr>
                <w:rFonts w:ascii="Times New Roman" w:eastAsia="Times New Roman" w:hAnsi="Times New Roman" w:cs="Times New Roman"/>
                <w:sz w:val="20"/>
                <w:szCs w:val="20"/>
                <w:lang w:eastAsia="en-AU"/>
              </w:rPr>
            </w:pPr>
          </w:p>
        </w:tc>
      </w:tr>
      <w:tr w:rsidR="00FB68F0" w:rsidRPr="00706CD6" w14:paraId="49C5D403" w14:textId="77777777" w:rsidTr="00CE5B70">
        <w:trPr>
          <w:trHeight w:hRule="exact" w:val="284"/>
        </w:trPr>
        <w:tc>
          <w:tcPr>
            <w:tcW w:w="2127" w:type="dxa"/>
            <w:tcBorders>
              <w:top w:val="single" w:sz="4" w:space="0" w:color="ED7D31" w:themeColor="accent2"/>
              <w:left w:val="nil"/>
              <w:bottom w:val="nil"/>
              <w:right w:val="nil"/>
            </w:tcBorders>
            <w:shd w:val="clear" w:color="auto" w:fill="auto"/>
            <w:noWrap/>
            <w:vAlign w:val="center"/>
            <w:hideMark/>
          </w:tcPr>
          <w:p w14:paraId="4F1A43D4" w14:textId="77777777" w:rsidR="00FB68F0" w:rsidRPr="00706CD6" w:rsidRDefault="00FB68F0" w:rsidP="00335B25">
            <w:pPr>
              <w:rPr>
                <w:rFonts w:ascii="Calibri Light" w:eastAsia="Times New Roman" w:hAnsi="Calibri Light" w:cs="Calibri Light"/>
                <w:b/>
                <w:bCs/>
                <w:color w:val="000000"/>
                <w:sz w:val="20"/>
                <w:szCs w:val="20"/>
                <w:lang w:eastAsia="en-AU"/>
              </w:rPr>
            </w:pPr>
            <w:r w:rsidRPr="00706CD6">
              <w:rPr>
                <w:rFonts w:ascii="Calibri Light" w:eastAsia="Times New Roman" w:hAnsi="Calibri Light" w:cs="Calibri Light"/>
                <w:b/>
                <w:bCs/>
                <w:color w:val="000000"/>
                <w:sz w:val="20"/>
                <w:szCs w:val="20"/>
                <w:lang w:eastAsia="en-AU"/>
              </w:rPr>
              <w:t>In a relationship</w:t>
            </w:r>
          </w:p>
        </w:tc>
        <w:tc>
          <w:tcPr>
            <w:tcW w:w="1098" w:type="dxa"/>
            <w:tcBorders>
              <w:top w:val="single" w:sz="4" w:space="0" w:color="ED7D31" w:themeColor="accent2"/>
              <w:left w:val="nil"/>
              <w:bottom w:val="nil"/>
              <w:right w:val="nil"/>
            </w:tcBorders>
            <w:shd w:val="clear" w:color="auto" w:fill="auto"/>
            <w:noWrap/>
            <w:vAlign w:val="bottom"/>
            <w:hideMark/>
          </w:tcPr>
          <w:p w14:paraId="3DA8FA20" w14:textId="77777777" w:rsidR="00FB68F0" w:rsidRPr="00706CD6" w:rsidRDefault="00FB68F0" w:rsidP="00335B25">
            <w:pPr>
              <w:jc w:val="center"/>
              <w:rPr>
                <w:rFonts w:ascii="Calibri Light" w:eastAsia="Times New Roman" w:hAnsi="Calibri Light" w:cs="Calibri Light"/>
                <w:b/>
                <w:bCs/>
                <w:color w:val="000000"/>
                <w:sz w:val="20"/>
                <w:szCs w:val="20"/>
                <w:lang w:eastAsia="en-AU"/>
              </w:rPr>
            </w:pPr>
          </w:p>
        </w:tc>
        <w:tc>
          <w:tcPr>
            <w:tcW w:w="1170" w:type="dxa"/>
            <w:tcBorders>
              <w:top w:val="single" w:sz="4" w:space="0" w:color="ED7D31" w:themeColor="accent2"/>
              <w:left w:val="nil"/>
              <w:bottom w:val="nil"/>
              <w:right w:val="nil"/>
            </w:tcBorders>
            <w:shd w:val="clear" w:color="auto" w:fill="auto"/>
            <w:noWrap/>
            <w:vAlign w:val="bottom"/>
            <w:hideMark/>
          </w:tcPr>
          <w:p w14:paraId="16907CD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69" w:type="dxa"/>
            <w:tcBorders>
              <w:top w:val="single" w:sz="4" w:space="0" w:color="ED7D31" w:themeColor="accent2"/>
              <w:left w:val="nil"/>
              <w:bottom w:val="nil"/>
              <w:right w:val="nil"/>
            </w:tcBorders>
            <w:shd w:val="clear" w:color="auto" w:fill="auto"/>
            <w:noWrap/>
            <w:vAlign w:val="bottom"/>
            <w:hideMark/>
          </w:tcPr>
          <w:p w14:paraId="4012D897"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11" w:type="dxa"/>
            <w:tcBorders>
              <w:top w:val="single" w:sz="4" w:space="0" w:color="ED7D31" w:themeColor="accent2"/>
              <w:left w:val="nil"/>
              <w:bottom w:val="nil"/>
              <w:right w:val="nil"/>
            </w:tcBorders>
            <w:shd w:val="clear" w:color="auto" w:fill="auto"/>
            <w:noWrap/>
            <w:vAlign w:val="bottom"/>
            <w:hideMark/>
          </w:tcPr>
          <w:p w14:paraId="2E0BFC70"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1" w:type="dxa"/>
            <w:tcBorders>
              <w:top w:val="single" w:sz="4" w:space="0" w:color="ED7D31" w:themeColor="accent2"/>
              <w:left w:val="nil"/>
              <w:bottom w:val="nil"/>
              <w:right w:val="nil"/>
            </w:tcBorders>
            <w:shd w:val="clear" w:color="auto" w:fill="auto"/>
            <w:noWrap/>
            <w:vAlign w:val="bottom"/>
            <w:hideMark/>
          </w:tcPr>
          <w:p w14:paraId="1CE01787"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34" w:type="dxa"/>
            <w:tcBorders>
              <w:top w:val="single" w:sz="4" w:space="0" w:color="ED7D31" w:themeColor="accent2"/>
              <w:left w:val="nil"/>
              <w:bottom w:val="nil"/>
              <w:right w:val="nil"/>
            </w:tcBorders>
            <w:shd w:val="clear" w:color="auto" w:fill="auto"/>
            <w:noWrap/>
            <w:vAlign w:val="bottom"/>
            <w:hideMark/>
          </w:tcPr>
          <w:p w14:paraId="5BF34A6B"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330" w:type="dxa"/>
            <w:tcBorders>
              <w:top w:val="single" w:sz="4" w:space="0" w:color="ED7D31" w:themeColor="accent2"/>
              <w:left w:val="nil"/>
              <w:bottom w:val="nil"/>
              <w:right w:val="nil"/>
            </w:tcBorders>
            <w:shd w:val="clear" w:color="auto" w:fill="auto"/>
            <w:noWrap/>
            <w:vAlign w:val="bottom"/>
            <w:hideMark/>
          </w:tcPr>
          <w:p w14:paraId="1F7AC370"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97" w:type="dxa"/>
            <w:tcBorders>
              <w:top w:val="single" w:sz="4" w:space="0" w:color="ED7D31" w:themeColor="accent2"/>
              <w:left w:val="nil"/>
              <w:bottom w:val="nil"/>
              <w:right w:val="nil"/>
            </w:tcBorders>
            <w:shd w:val="clear" w:color="auto" w:fill="auto"/>
            <w:noWrap/>
            <w:vAlign w:val="bottom"/>
            <w:hideMark/>
          </w:tcPr>
          <w:p w14:paraId="43A86DFD"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158" w:type="dxa"/>
            <w:tcBorders>
              <w:top w:val="single" w:sz="4" w:space="0" w:color="ED7D31" w:themeColor="accent2"/>
              <w:left w:val="nil"/>
              <w:bottom w:val="nil"/>
              <w:right w:val="nil"/>
            </w:tcBorders>
            <w:shd w:val="clear" w:color="auto" w:fill="auto"/>
            <w:noWrap/>
            <w:vAlign w:val="bottom"/>
            <w:hideMark/>
          </w:tcPr>
          <w:p w14:paraId="2F9055A2" w14:textId="77777777" w:rsidR="00FB68F0" w:rsidRPr="00706CD6" w:rsidRDefault="00FB68F0" w:rsidP="00335B25">
            <w:pPr>
              <w:jc w:val="center"/>
              <w:rPr>
                <w:rFonts w:ascii="Times New Roman" w:eastAsia="Times New Roman" w:hAnsi="Times New Roman" w:cs="Times New Roman"/>
                <w:sz w:val="20"/>
                <w:szCs w:val="20"/>
                <w:lang w:eastAsia="en-AU"/>
              </w:rPr>
            </w:pPr>
          </w:p>
        </w:tc>
        <w:tc>
          <w:tcPr>
            <w:tcW w:w="1222" w:type="dxa"/>
            <w:tcBorders>
              <w:top w:val="single" w:sz="4" w:space="0" w:color="ED7D31" w:themeColor="accent2"/>
              <w:left w:val="nil"/>
              <w:bottom w:val="nil"/>
              <w:right w:val="nil"/>
            </w:tcBorders>
            <w:shd w:val="clear" w:color="auto" w:fill="auto"/>
            <w:noWrap/>
            <w:vAlign w:val="bottom"/>
            <w:hideMark/>
          </w:tcPr>
          <w:p w14:paraId="4F31EFB5" w14:textId="77777777" w:rsidR="00FB68F0" w:rsidRPr="00706CD6" w:rsidRDefault="00FB68F0" w:rsidP="00335B25">
            <w:pPr>
              <w:jc w:val="center"/>
              <w:rPr>
                <w:rFonts w:ascii="Times New Roman" w:eastAsia="Times New Roman" w:hAnsi="Times New Roman" w:cs="Times New Roman"/>
                <w:sz w:val="20"/>
                <w:szCs w:val="20"/>
                <w:lang w:eastAsia="en-AU"/>
              </w:rPr>
            </w:pPr>
          </w:p>
        </w:tc>
      </w:tr>
      <w:tr w:rsidR="00FB68F0" w:rsidRPr="00706CD6" w14:paraId="7C23544F" w14:textId="77777777" w:rsidTr="00CE5B70">
        <w:trPr>
          <w:trHeight w:hRule="exact" w:val="284"/>
        </w:trPr>
        <w:tc>
          <w:tcPr>
            <w:tcW w:w="2127" w:type="dxa"/>
            <w:tcBorders>
              <w:top w:val="nil"/>
              <w:left w:val="nil"/>
              <w:right w:val="nil"/>
            </w:tcBorders>
            <w:shd w:val="clear" w:color="auto" w:fill="auto"/>
            <w:noWrap/>
            <w:vAlign w:val="center"/>
            <w:hideMark/>
          </w:tcPr>
          <w:p w14:paraId="45634816" w14:textId="77777777" w:rsidR="00FB68F0" w:rsidRPr="00706CD6" w:rsidRDefault="00FB68F0" w:rsidP="00335B25">
            <w:pP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No</w:t>
            </w:r>
          </w:p>
        </w:tc>
        <w:tc>
          <w:tcPr>
            <w:tcW w:w="1098" w:type="dxa"/>
            <w:tcBorders>
              <w:top w:val="nil"/>
              <w:left w:val="nil"/>
              <w:right w:val="nil"/>
            </w:tcBorders>
            <w:shd w:val="clear" w:color="auto" w:fill="auto"/>
            <w:noWrap/>
            <w:vAlign w:val="bottom"/>
            <w:hideMark/>
          </w:tcPr>
          <w:p w14:paraId="0CD15B66"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0.17</w:t>
            </w:r>
          </w:p>
        </w:tc>
        <w:tc>
          <w:tcPr>
            <w:tcW w:w="1170" w:type="dxa"/>
            <w:tcBorders>
              <w:top w:val="nil"/>
              <w:left w:val="nil"/>
              <w:right w:val="nil"/>
            </w:tcBorders>
            <w:shd w:val="clear" w:color="auto" w:fill="auto"/>
            <w:noWrap/>
            <w:vAlign w:val="bottom"/>
            <w:hideMark/>
          </w:tcPr>
          <w:p w14:paraId="56ABFEA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0.16</w:t>
            </w:r>
          </w:p>
        </w:tc>
        <w:tc>
          <w:tcPr>
            <w:tcW w:w="1169" w:type="dxa"/>
            <w:tcBorders>
              <w:top w:val="nil"/>
              <w:left w:val="nil"/>
              <w:right w:val="nil"/>
            </w:tcBorders>
            <w:shd w:val="clear" w:color="auto" w:fill="auto"/>
            <w:noWrap/>
            <w:vAlign w:val="bottom"/>
            <w:hideMark/>
          </w:tcPr>
          <w:p w14:paraId="1F54C85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0.27</w:t>
            </w:r>
          </w:p>
        </w:tc>
        <w:tc>
          <w:tcPr>
            <w:tcW w:w="1311" w:type="dxa"/>
            <w:tcBorders>
              <w:top w:val="nil"/>
              <w:left w:val="nil"/>
              <w:right w:val="nil"/>
            </w:tcBorders>
            <w:shd w:val="clear" w:color="auto" w:fill="auto"/>
            <w:noWrap/>
            <w:vAlign w:val="bottom"/>
            <w:hideMark/>
          </w:tcPr>
          <w:p w14:paraId="1295DD7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151" w:type="dxa"/>
            <w:tcBorders>
              <w:top w:val="nil"/>
              <w:left w:val="nil"/>
              <w:right w:val="nil"/>
            </w:tcBorders>
            <w:shd w:val="clear" w:color="auto" w:fill="auto"/>
            <w:noWrap/>
            <w:vAlign w:val="bottom"/>
            <w:hideMark/>
          </w:tcPr>
          <w:p w14:paraId="1A5DD262"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0.15</w:t>
            </w:r>
          </w:p>
        </w:tc>
        <w:tc>
          <w:tcPr>
            <w:tcW w:w="1134" w:type="dxa"/>
            <w:tcBorders>
              <w:top w:val="nil"/>
              <w:left w:val="nil"/>
              <w:right w:val="nil"/>
            </w:tcBorders>
            <w:shd w:val="clear" w:color="auto" w:fill="auto"/>
            <w:noWrap/>
            <w:vAlign w:val="bottom"/>
            <w:hideMark/>
          </w:tcPr>
          <w:p w14:paraId="1C5CBD4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0.17</w:t>
            </w:r>
          </w:p>
        </w:tc>
        <w:tc>
          <w:tcPr>
            <w:tcW w:w="1330" w:type="dxa"/>
            <w:tcBorders>
              <w:top w:val="nil"/>
              <w:left w:val="nil"/>
              <w:right w:val="nil"/>
            </w:tcBorders>
            <w:shd w:val="clear" w:color="auto" w:fill="auto"/>
            <w:noWrap/>
            <w:vAlign w:val="bottom"/>
            <w:hideMark/>
          </w:tcPr>
          <w:p w14:paraId="2CD58E0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c>
          <w:tcPr>
            <w:tcW w:w="1297" w:type="dxa"/>
            <w:tcBorders>
              <w:top w:val="nil"/>
              <w:left w:val="nil"/>
              <w:right w:val="nil"/>
            </w:tcBorders>
            <w:shd w:val="clear" w:color="auto" w:fill="auto"/>
            <w:noWrap/>
            <w:vAlign w:val="bottom"/>
            <w:hideMark/>
          </w:tcPr>
          <w:p w14:paraId="17B58DF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0.12</w:t>
            </w:r>
          </w:p>
        </w:tc>
        <w:tc>
          <w:tcPr>
            <w:tcW w:w="1158" w:type="dxa"/>
            <w:tcBorders>
              <w:top w:val="nil"/>
              <w:left w:val="nil"/>
              <w:right w:val="nil"/>
            </w:tcBorders>
            <w:shd w:val="clear" w:color="auto" w:fill="auto"/>
            <w:noWrap/>
            <w:vAlign w:val="bottom"/>
            <w:hideMark/>
          </w:tcPr>
          <w:p w14:paraId="2B13E8CA"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222" w:type="dxa"/>
            <w:tcBorders>
              <w:top w:val="nil"/>
              <w:left w:val="nil"/>
              <w:right w:val="nil"/>
            </w:tcBorders>
            <w:shd w:val="clear" w:color="auto" w:fill="auto"/>
            <w:noWrap/>
            <w:vAlign w:val="bottom"/>
            <w:hideMark/>
          </w:tcPr>
          <w:p w14:paraId="35D65FBB"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0.04</w:t>
            </w:r>
          </w:p>
        </w:tc>
      </w:tr>
      <w:tr w:rsidR="00FB68F0" w:rsidRPr="00706CD6" w14:paraId="32D302A2" w14:textId="77777777" w:rsidTr="00CE5B70">
        <w:trPr>
          <w:trHeight w:hRule="exact" w:val="284"/>
        </w:trPr>
        <w:tc>
          <w:tcPr>
            <w:tcW w:w="2127" w:type="dxa"/>
            <w:tcBorders>
              <w:top w:val="nil"/>
              <w:left w:val="nil"/>
              <w:bottom w:val="single" w:sz="4" w:space="0" w:color="ED7D31" w:themeColor="accent2"/>
              <w:right w:val="nil"/>
            </w:tcBorders>
            <w:shd w:val="clear" w:color="auto" w:fill="auto"/>
            <w:noWrap/>
            <w:vAlign w:val="bottom"/>
            <w:hideMark/>
          </w:tcPr>
          <w:p w14:paraId="7266508F" w14:textId="77777777" w:rsidR="00FB68F0" w:rsidRPr="00706CD6" w:rsidRDefault="00FB68F0" w:rsidP="00335B25">
            <w:pPr>
              <w:rPr>
                <w:rFonts w:ascii="Calibri Light" w:eastAsia="Times New Roman" w:hAnsi="Calibri Light" w:cs="Calibri Light"/>
                <w:color w:val="000000"/>
                <w:lang w:eastAsia="en-AU"/>
              </w:rPr>
            </w:pPr>
            <w:r w:rsidRPr="00706CD6">
              <w:rPr>
                <w:rFonts w:ascii="Calibri Light" w:eastAsia="Times New Roman" w:hAnsi="Calibri Light" w:cs="Calibri Light"/>
                <w:color w:val="000000"/>
                <w:lang w:eastAsia="en-AU"/>
              </w:rPr>
              <w:t>Yes</w:t>
            </w:r>
          </w:p>
        </w:tc>
        <w:tc>
          <w:tcPr>
            <w:tcW w:w="1098" w:type="dxa"/>
            <w:tcBorders>
              <w:top w:val="nil"/>
              <w:left w:val="nil"/>
              <w:bottom w:val="single" w:sz="4" w:space="0" w:color="ED7D31" w:themeColor="accent2"/>
              <w:right w:val="nil"/>
            </w:tcBorders>
            <w:shd w:val="clear" w:color="auto" w:fill="auto"/>
            <w:noWrap/>
            <w:vAlign w:val="bottom"/>
            <w:hideMark/>
          </w:tcPr>
          <w:p w14:paraId="5A2D738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0.26</w:t>
            </w:r>
          </w:p>
        </w:tc>
        <w:tc>
          <w:tcPr>
            <w:tcW w:w="1170" w:type="dxa"/>
            <w:tcBorders>
              <w:top w:val="nil"/>
              <w:left w:val="nil"/>
              <w:bottom w:val="single" w:sz="4" w:space="0" w:color="ED7D31" w:themeColor="accent2"/>
              <w:right w:val="nil"/>
            </w:tcBorders>
            <w:shd w:val="clear" w:color="auto" w:fill="auto"/>
            <w:noWrap/>
            <w:vAlign w:val="bottom"/>
            <w:hideMark/>
          </w:tcPr>
          <w:p w14:paraId="1CB54248"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0.16</w:t>
            </w:r>
          </w:p>
        </w:tc>
        <w:tc>
          <w:tcPr>
            <w:tcW w:w="1169" w:type="dxa"/>
            <w:tcBorders>
              <w:top w:val="nil"/>
              <w:left w:val="nil"/>
              <w:bottom w:val="single" w:sz="4" w:space="0" w:color="ED7D31" w:themeColor="accent2"/>
              <w:right w:val="nil"/>
            </w:tcBorders>
            <w:shd w:val="clear" w:color="auto" w:fill="auto"/>
            <w:noWrap/>
            <w:vAlign w:val="bottom"/>
            <w:hideMark/>
          </w:tcPr>
          <w:p w14:paraId="70BC87E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0.24</w:t>
            </w:r>
          </w:p>
        </w:tc>
        <w:tc>
          <w:tcPr>
            <w:tcW w:w="1311" w:type="dxa"/>
            <w:tcBorders>
              <w:top w:val="nil"/>
              <w:left w:val="nil"/>
              <w:bottom w:val="single" w:sz="4" w:space="0" w:color="ED7D31" w:themeColor="accent2"/>
              <w:right w:val="nil"/>
            </w:tcBorders>
            <w:shd w:val="clear" w:color="auto" w:fill="auto"/>
            <w:noWrap/>
            <w:vAlign w:val="bottom"/>
            <w:hideMark/>
          </w:tcPr>
          <w:p w14:paraId="0BB61777"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0.30</w:t>
            </w:r>
          </w:p>
        </w:tc>
        <w:tc>
          <w:tcPr>
            <w:tcW w:w="1151" w:type="dxa"/>
            <w:tcBorders>
              <w:top w:val="nil"/>
              <w:left w:val="nil"/>
              <w:bottom w:val="single" w:sz="4" w:space="0" w:color="ED7D31" w:themeColor="accent2"/>
              <w:right w:val="nil"/>
            </w:tcBorders>
            <w:shd w:val="clear" w:color="auto" w:fill="auto"/>
            <w:noWrap/>
            <w:vAlign w:val="bottom"/>
            <w:hideMark/>
          </w:tcPr>
          <w:p w14:paraId="63AED76B"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0.17</w:t>
            </w:r>
          </w:p>
        </w:tc>
        <w:tc>
          <w:tcPr>
            <w:tcW w:w="1134" w:type="dxa"/>
            <w:tcBorders>
              <w:top w:val="nil"/>
              <w:left w:val="nil"/>
              <w:bottom w:val="single" w:sz="4" w:space="0" w:color="ED7D31" w:themeColor="accent2"/>
              <w:right w:val="nil"/>
            </w:tcBorders>
            <w:shd w:val="clear" w:color="auto" w:fill="auto"/>
            <w:noWrap/>
            <w:vAlign w:val="bottom"/>
            <w:hideMark/>
          </w:tcPr>
          <w:p w14:paraId="458AFDA3"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0.19</w:t>
            </w:r>
          </w:p>
        </w:tc>
        <w:tc>
          <w:tcPr>
            <w:tcW w:w="1330" w:type="dxa"/>
            <w:tcBorders>
              <w:top w:val="nil"/>
              <w:left w:val="nil"/>
              <w:bottom w:val="single" w:sz="4" w:space="0" w:color="ED7D31" w:themeColor="accent2"/>
              <w:right w:val="nil"/>
            </w:tcBorders>
            <w:shd w:val="clear" w:color="auto" w:fill="auto"/>
            <w:noWrap/>
            <w:vAlign w:val="bottom"/>
            <w:hideMark/>
          </w:tcPr>
          <w:p w14:paraId="003120EC"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0.10</w:t>
            </w:r>
          </w:p>
        </w:tc>
        <w:tc>
          <w:tcPr>
            <w:tcW w:w="1297" w:type="dxa"/>
            <w:tcBorders>
              <w:top w:val="nil"/>
              <w:left w:val="nil"/>
              <w:bottom w:val="single" w:sz="4" w:space="0" w:color="ED7D31" w:themeColor="accent2"/>
              <w:right w:val="nil"/>
            </w:tcBorders>
            <w:shd w:val="clear" w:color="auto" w:fill="auto"/>
            <w:noWrap/>
            <w:vAlign w:val="bottom"/>
            <w:hideMark/>
          </w:tcPr>
          <w:p w14:paraId="77C8B4E1"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0.11</w:t>
            </w:r>
          </w:p>
        </w:tc>
        <w:tc>
          <w:tcPr>
            <w:tcW w:w="1158" w:type="dxa"/>
            <w:tcBorders>
              <w:top w:val="nil"/>
              <w:left w:val="nil"/>
              <w:bottom w:val="single" w:sz="4" w:space="0" w:color="ED7D31" w:themeColor="accent2"/>
              <w:right w:val="nil"/>
            </w:tcBorders>
            <w:shd w:val="clear" w:color="auto" w:fill="auto"/>
            <w:noWrap/>
            <w:vAlign w:val="bottom"/>
            <w:hideMark/>
          </w:tcPr>
          <w:p w14:paraId="69D00FF4"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0.21</w:t>
            </w:r>
          </w:p>
        </w:tc>
        <w:tc>
          <w:tcPr>
            <w:tcW w:w="1222" w:type="dxa"/>
            <w:tcBorders>
              <w:top w:val="nil"/>
              <w:left w:val="nil"/>
              <w:bottom w:val="single" w:sz="4" w:space="0" w:color="ED7D31" w:themeColor="accent2"/>
              <w:right w:val="nil"/>
            </w:tcBorders>
            <w:shd w:val="clear" w:color="auto" w:fill="auto"/>
            <w:noWrap/>
            <w:vAlign w:val="bottom"/>
            <w:hideMark/>
          </w:tcPr>
          <w:p w14:paraId="6E00E160" w14:textId="77777777" w:rsidR="00FB68F0" w:rsidRPr="00706CD6" w:rsidRDefault="00FB68F0" w:rsidP="00335B25">
            <w:pPr>
              <w:jc w:val="center"/>
              <w:rPr>
                <w:rFonts w:ascii="Calibri Light" w:eastAsia="Times New Roman" w:hAnsi="Calibri Light" w:cs="Calibri Light"/>
                <w:color w:val="000000"/>
                <w:sz w:val="20"/>
                <w:szCs w:val="20"/>
                <w:lang w:eastAsia="en-AU"/>
              </w:rPr>
            </w:pPr>
            <w:r w:rsidRPr="00706CD6">
              <w:rPr>
                <w:rFonts w:ascii="Calibri Light" w:eastAsia="Times New Roman" w:hAnsi="Calibri Light" w:cs="Calibri Light"/>
                <w:color w:val="000000"/>
                <w:sz w:val="20"/>
                <w:szCs w:val="20"/>
                <w:lang w:eastAsia="en-AU"/>
              </w:rPr>
              <w:t>0.04</w:t>
            </w:r>
          </w:p>
        </w:tc>
      </w:tr>
    </w:tbl>
    <w:p w14:paraId="4E532F6F" w14:textId="77777777" w:rsidR="00880AFE" w:rsidRDefault="003206B1" w:rsidP="003206B1">
      <w:pPr>
        <w:tabs>
          <w:tab w:val="left" w:pos="1333"/>
        </w:tabs>
        <w:rPr>
          <w:lang w:val="en-US"/>
        </w:rPr>
        <w:sectPr w:rsidR="00880AFE" w:rsidSect="00CE5B70">
          <w:pgSz w:w="16838" w:h="11906" w:orient="landscape"/>
          <w:pgMar w:top="1440" w:right="1440" w:bottom="1440" w:left="1440" w:header="708" w:footer="708" w:gutter="0"/>
          <w:cols w:space="720"/>
          <w:docGrid w:linePitch="299"/>
        </w:sectPr>
      </w:pPr>
      <w:r>
        <w:rPr>
          <w:lang w:val="en-US"/>
        </w:rPr>
        <w:tab/>
      </w:r>
    </w:p>
    <w:p w14:paraId="0F178691" w14:textId="6D33C15D" w:rsidR="00E55341" w:rsidRPr="00244248" w:rsidRDefault="00E55341" w:rsidP="00E47B1C">
      <w:pPr>
        <w:tabs>
          <w:tab w:val="left" w:pos="1333"/>
        </w:tabs>
        <w:rPr>
          <w:lang w:val="en-US"/>
        </w:rPr>
      </w:pPr>
    </w:p>
    <w:sectPr w:rsidR="00E55341" w:rsidRPr="00244248" w:rsidSect="00E47B1C">
      <w:type w:val="continuous"/>
      <w:pgSz w:w="16838" w:h="11906" w:orient="landscape"/>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2931" w14:textId="77777777" w:rsidR="00DE280D" w:rsidRDefault="00DE280D" w:rsidP="00CB13B8">
      <w:pPr>
        <w:spacing w:after="0" w:line="240" w:lineRule="auto"/>
      </w:pPr>
      <w:r>
        <w:separator/>
      </w:r>
    </w:p>
  </w:endnote>
  <w:endnote w:type="continuationSeparator" w:id="0">
    <w:p w14:paraId="0D0CF233" w14:textId="77777777" w:rsidR="00DE280D" w:rsidRDefault="00DE280D" w:rsidP="00CB13B8">
      <w:pPr>
        <w:spacing w:after="0" w:line="240" w:lineRule="auto"/>
      </w:pPr>
      <w:r>
        <w:continuationSeparator/>
      </w:r>
    </w:p>
  </w:endnote>
  <w:endnote w:type="continuationNotice" w:id="1">
    <w:p w14:paraId="523B1333" w14:textId="77777777" w:rsidR="00DE280D" w:rsidRDefault="00DE28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MSS9">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w Cen MT Condensed">
    <w:panose1 w:val="020B0606020104020203"/>
    <w:charset w:val="00"/>
    <w:family w:val="swiss"/>
    <w:pitch w:val="variable"/>
    <w:sig w:usb0="00000007" w:usb1="00000000" w:usb2="00000000" w:usb3="00000000" w:csb0="00000003" w:csb1="00000000"/>
  </w:font>
  <w:font w:name="Arial Nova Cond Light">
    <w:altName w:val="Arial"/>
    <w:charset w:val="00"/>
    <w:family w:val="swiss"/>
    <w:pitch w:val="variable"/>
    <w:sig w:usb0="2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Tw Cen MT">
    <w:panose1 w:val="020B0602020104020603"/>
    <w:charset w:val="00"/>
    <w:family w:val="swiss"/>
    <w:pitch w:val="variable"/>
    <w:sig w:usb0="00000007" w:usb1="00000000" w:usb2="00000000" w:usb3="00000000" w:csb0="00000003" w:csb1="00000000"/>
  </w:font>
  <w:font w:name="Open Sans">
    <w:altName w:val="Tahoma"/>
    <w:panose1 w:val="020B0606030504020204"/>
    <w:charset w:val="00"/>
    <w:family w:val="swiss"/>
    <w:pitch w:val="variable"/>
    <w:sig w:usb0="E00002EF" w:usb1="4000205B" w:usb2="00000028"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127078"/>
      <w:docPartObj>
        <w:docPartGallery w:val="Page Numbers (Bottom of Page)"/>
        <w:docPartUnique/>
      </w:docPartObj>
    </w:sdtPr>
    <w:sdtEndPr>
      <w:rPr>
        <w:noProof/>
      </w:rPr>
    </w:sdtEndPr>
    <w:sdtContent>
      <w:p w14:paraId="2C493443" w14:textId="60FACFA1" w:rsidR="00C33FAA" w:rsidRDefault="00C33FAA">
        <w:pPr>
          <w:pStyle w:val="Footer"/>
          <w:jc w:val="right"/>
        </w:pPr>
        <w:r>
          <w:fldChar w:fldCharType="begin"/>
        </w:r>
        <w:r>
          <w:instrText xml:space="preserve"> PAGE   \* MERGEFORMAT </w:instrText>
        </w:r>
        <w:r>
          <w:fldChar w:fldCharType="separate"/>
        </w:r>
        <w:r w:rsidR="002736EC">
          <w:rPr>
            <w:noProof/>
          </w:rPr>
          <w:t>4</w:t>
        </w:r>
        <w:r>
          <w:rPr>
            <w:noProof/>
          </w:rPr>
          <w:fldChar w:fldCharType="end"/>
        </w:r>
      </w:p>
    </w:sdtContent>
  </w:sdt>
  <w:p w14:paraId="0F66C017" w14:textId="77777777" w:rsidR="00C33FAA" w:rsidRDefault="00C33FAA">
    <w:pPr>
      <w:pStyle w:val="Footer"/>
    </w:pPr>
  </w:p>
  <w:p w14:paraId="2A0EDF58" w14:textId="77777777" w:rsidR="00C33FAA" w:rsidRDefault="00C33F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528442"/>
      <w:docPartObj>
        <w:docPartGallery w:val="Page Numbers (Bottom of Page)"/>
        <w:docPartUnique/>
      </w:docPartObj>
    </w:sdtPr>
    <w:sdtEndPr>
      <w:rPr>
        <w:noProof/>
      </w:rPr>
    </w:sdtEndPr>
    <w:sdtContent>
      <w:p w14:paraId="23699039" w14:textId="21DB53B7" w:rsidR="00C33FAA" w:rsidRDefault="00C33FAA">
        <w:pPr>
          <w:pStyle w:val="Footer"/>
          <w:jc w:val="right"/>
        </w:pPr>
        <w:r>
          <w:fldChar w:fldCharType="begin"/>
        </w:r>
        <w:r>
          <w:instrText xml:space="preserve"> PAGE   \* MERGEFORMAT </w:instrText>
        </w:r>
        <w:r>
          <w:fldChar w:fldCharType="separate"/>
        </w:r>
        <w:r w:rsidR="002736EC">
          <w:rPr>
            <w:noProof/>
          </w:rPr>
          <w:t>83</w:t>
        </w:r>
        <w:r>
          <w:rPr>
            <w:noProof/>
          </w:rPr>
          <w:fldChar w:fldCharType="end"/>
        </w:r>
      </w:p>
    </w:sdtContent>
  </w:sdt>
  <w:p w14:paraId="23CE8F9C" w14:textId="77777777" w:rsidR="00C33FAA" w:rsidRDefault="00C33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674596"/>
      <w:docPartObj>
        <w:docPartGallery w:val="Page Numbers (Bottom of Page)"/>
        <w:docPartUnique/>
      </w:docPartObj>
    </w:sdtPr>
    <w:sdtEndPr>
      <w:rPr>
        <w:noProof/>
      </w:rPr>
    </w:sdtEndPr>
    <w:sdtContent>
      <w:p w14:paraId="2C1D6A7C" w14:textId="23C3A2C7" w:rsidR="00C33FAA" w:rsidRDefault="00C33FAA">
        <w:pPr>
          <w:pStyle w:val="Footer"/>
          <w:jc w:val="right"/>
        </w:pPr>
        <w:r>
          <w:fldChar w:fldCharType="begin"/>
        </w:r>
        <w:r>
          <w:instrText xml:space="preserve"> PAGE   \* MERGEFORMAT </w:instrText>
        </w:r>
        <w:r>
          <w:fldChar w:fldCharType="separate"/>
        </w:r>
        <w:r w:rsidR="002736EC">
          <w:rPr>
            <w:noProof/>
          </w:rPr>
          <w:t>93</w:t>
        </w:r>
        <w:r>
          <w:rPr>
            <w:noProof/>
          </w:rPr>
          <w:fldChar w:fldCharType="end"/>
        </w:r>
      </w:p>
    </w:sdtContent>
  </w:sdt>
  <w:p w14:paraId="7F8AE81E" w14:textId="77777777" w:rsidR="00C33FAA" w:rsidRDefault="00C33F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9C0E" w14:textId="77777777" w:rsidR="00C33FAA" w:rsidRDefault="00C33F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103278"/>
      <w:docPartObj>
        <w:docPartGallery w:val="Page Numbers (Bottom of Page)"/>
        <w:docPartUnique/>
      </w:docPartObj>
    </w:sdtPr>
    <w:sdtEndPr>
      <w:rPr>
        <w:noProof/>
      </w:rPr>
    </w:sdtEndPr>
    <w:sdtContent>
      <w:p w14:paraId="7C1D51A4" w14:textId="6F487CBD" w:rsidR="00C33FAA" w:rsidRDefault="00C33FAA">
        <w:pPr>
          <w:pStyle w:val="Footer"/>
          <w:jc w:val="center"/>
        </w:pPr>
        <w:r>
          <w:fldChar w:fldCharType="begin"/>
        </w:r>
        <w:r>
          <w:instrText xml:space="preserve"> PAGE   \* MERGEFORMAT </w:instrText>
        </w:r>
        <w:r>
          <w:fldChar w:fldCharType="separate"/>
        </w:r>
        <w:r w:rsidR="002736EC">
          <w:rPr>
            <w:noProof/>
          </w:rPr>
          <w:t>110</w:t>
        </w:r>
        <w:r>
          <w:rPr>
            <w:noProof/>
          </w:rPr>
          <w:fldChar w:fldCharType="end"/>
        </w:r>
      </w:p>
    </w:sdtContent>
  </w:sdt>
  <w:p w14:paraId="0BD1EDAD" w14:textId="77777777" w:rsidR="00C33FAA" w:rsidRDefault="00C33F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824984"/>
      <w:docPartObj>
        <w:docPartGallery w:val="Page Numbers (Bottom of Page)"/>
        <w:docPartUnique/>
      </w:docPartObj>
    </w:sdtPr>
    <w:sdtEndPr>
      <w:rPr>
        <w:noProof/>
      </w:rPr>
    </w:sdtEndPr>
    <w:sdtContent>
      <w:p w14:paraId="4D5F57C9" w14:textId="57A8B699" w:rsidR="00C33FAA" w:rsidRDefault="00C33FAA">
        <w:pPr>
          <w:pStyle w:val="Footer"/>
          <w:jc w:val="center"/>
        </w:pPr>
        <w:r>
          <w:fldChar w:fldCharType="begin"/>
        </w:r>
        <w:r>
          <w:instrText xml:space="preserve"> PAGE   \* MERGEFORMAT </w:instrText>
        </w:r>
        <w:r>
          <w:fldChar w:fldCharType="separate"/>
        </w:r>
        <w:r w:rsidR="002736EC">
          <w:rPr>
            <w:noProof/>
          </w:rPr>
          <w:t>118</w:t>
        </w:r>
        <w:r>
          <w:rPr>
            <w:noProof/>
          </w:rPr>
          <w:fldChar w:fldCharType="end"/>
        </w:r>
      </w:p>
    </w:sdtContent>
  </w:sdt>
  <w:p w14:paraId="5DB79BCD" w14:textId="77777777" w:rsidR="00C33FAA" w:rsidRDefault="00C33FA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874870"/>
      <w:docPartObj>
        <w:docPartGallery w:val="Page Numbers (Bottom of Page)"/>
        <w:docPartUnique/>
      </w:docPartObj>
    </w:sdtPr>
    <w:sdtEndPr>
      <w:rPr>
        <w:noProof/>
      </w:rPr>
    </w:sdtEndPr>
    <w:sdtContent>
      <w:p w14:paraId="396CE905" w14:textId="7549D192" w:rsidR="00C33FAA" w:rsidRDefault="00C33FAA">
        <w:pPr>
          <w:pStyle w:val="Footer"/>
          <w:jc w:val="right"/>
        </w:pPr>
        <w:r>
          <w:fldChar w:fldCharType="begin"/>
        </w:r>
        <w:r>
          <w:instrText xml:space="preserve"> PAGE   \* MERGEFORMAT </w:instrText>
        </w:r>
        <w:r>
          <w:fldChar w:fldCharType="separate"/>
        </w:r>
        <w:r w:rsidR="002736EC">
          <w:rPr>
            <w:noProof/>
          </w:rPr>
          <w:t>124</w:t>
        </w:r>
        <w:r>
          <w:rPr>
            <w:noProof/>
          </w:rPr>
          <w:fldChar w:fldCharType="end"/>
        </w:r>
      </w:p>
    </w:sdtContent>
  </w:sdt>
  <w:p w14:paraId="22343464" w14:textId="77777777" w:rsidR="00C33FAA" w:rsidRDefault="00C33FA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472193"/>
      <w:docPartObj>
        <w:docPartGallery w:val="Page Numbers (Bottom of Page)"/>
        <w:docPartUnique/>
      </w:docPartObj>
    </w:sdtPr>
    <w:sdtEndPr>
      <w:rPr>
        <w:noProof/>
      </w:rPr>
    </w:sdtEndPr>
    <w:sdtContent>
      <w:p w14:paraId="46C51BC2" w14:textId="7178EEF1" w:rsidR="00C33FAA" w:rsidRDefault="00C33FAA">
        <w:pPr>
          <w:pStyle w:val="Footer"/>
          <w:jc w:val="right"/>
        </w:pPr>
        <w:r>
          <w:fldChar w:fldCharType="begin"/>
        </w:r>
        <w:r>
          <w:instrText xml:space="preserve"> PAGE   \* MERGEFORMAT </w:instrText>
        </w:r>
        <w:r>
          <w:fldChar w:fldCharType="separate"/>
        </w:r>
        <w:r w:rsidR="002736EC">
          <w:rPr>
            <w:noProof/>
          </w:rPr>
          <w:t>148</w:t>
        </w:r>
        <w:r>
          <w:rPr>
            <w:noProof/>
          </w:rPr>
          <w:fldChar w:fldCharType="end"/>
        </w:r>
      </w:p>
    </w:sdtContent>
  </w:sdt>
  <w:p w14:paraId="12C6C91B" w14:textId="77777777" w:rsidR="00C33FAA" w:rsidRDefault="00C33FA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743923"/>
      <w:docPartObj>
        <w:docPartGallery w:val="Page Numbers (Bottom of Page)"/>
        <w:docPartUnique/>
      </w:docPartObj>
    </w:sdtPr>
    <w:sdtEndPr>
      <w:rPr>
        <w:noProof/>
      </w:rPr>
    </w:sdtEndPr>
    <w:sdtContent>
      <w:p w14:paraId="56BD1BF9" w14:textId="5576DFCB" w:rsidR="00C33FAA" w:rsidRDefault="00C33FAA">
        <w:pPr>
          <w:pStyle w:val="Footer"/>
          <w:jc w:val="right"/>
        </w:pPr>
        <w:r>
          <w:fldChar w:fldCharType="begin"/>
        </w:r>
        <w:r>
          <w:instrText xml:space="preserve"> PAGE   \* MERGEFORMAT </w:instrText>
        </w:r>
        <w:r>
          <w:fldChar w:fldCharType="separate"/>
        </w:r>
        <w:r w:rsidR="002736EC">
          <w:rPr>
            <w:noProof/>
          </w:rPr>
          <w:t>184</w:t>
        </w:r>
        <w:r>
          <w:rPr>
            <w:noProof/>
          </w:rPr>
          <w:fldChar w:fldCharType="end"/>
        </w:r>
      </w:p>
    </w:sdtContent>
  </w:sdt>
  <w:p w14:paraId="2FE70EA7" w14:textId="77777777" w:rsidR="00C33FAA" w:rsidRDefault="00C33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46D3" w14:textId="77777777" w:rsidR="00DE280D" w:rsidRDefault="00DE280D" w:rsidP="00CB13B8">
      <w:pPr>
        <w:spacing w:after="0" w:line="240" w:lineRule="auto"/>
      </w:pPr>
      <w:r>
        <w:separator/>
      </w:r>
    </w:p>
  </w:footnote>
  <w:footnote w:type="continuationSeparator" w:id="0">
    <w:p w14:paraId="263088E4" w14:textId="77777777" w:rsidR="00DE280D" w:rsidRDefault="00DE280D" w:rsidP="00CB13B8">
      <w:pPr>
        <w:spacing w:after="0" w:line="240" w:lineRule="auto"/>
      </w:pPr>
      <w:r>
        <w:continuationSeparator/>
      </w:r>
    </w:p>
  </w:footnote>
  <w:footnote w:type="continuationNotice" w:id="1">
    <w:p w14:paraId="3CE89E38" w14:textId="77777777" w:rsidR="00DE280D" w:rsidRDefault="00DE280D">
      <w:pPr>
        <w:spacing w:after="0" w:line="240" w:lineRule="auto"/>
      </w:pPr>
    </w:p>
  </w:footnote>
  <w:footnote w:id="2">
    <w:p w14:paraId="57816232" w14:textId="130B60AF" w:rsidR="00C33FAA" w:rsidRPr="00C44652" w:rsidRDefault="00C33FAA" w:rsidP="009D2483">
      <w:pPr>
        <w:spacing w:line="240" w:lineRule="auto"/>
      </w:pPr>
      <w:r>
        <w:rPr>
          <w:rStyle w:val="FootnoteReference"/>
        </w:rPr>
        <w:footnoteRef/>
      </w:r>
      <w:r>
        <w:t xml:space="preserve"> </w:t>
      </w:r>
      <w:r w:rsidRPr="00BC5105">
        <w:rPr>
          <w:iCs/>
          <w:color w:val="000000" w:themeColor="text1"/>
          <w:sz w:val="18"/>
          <w:szCs w:val="18"/>
        </w:rPr>
        <w:t xml:space="preserve">Low education corresponds to </w:t>
      </w:r>
      <w:r>
        <w:rPr>
          <w:iCs/>
          <w:color w:val="000000" w:themeColor="text1"/>
          <w:sz w:val="18"/>
          <w:szCs w:val="18"/>
        </w:rPr>
        <w:t>lower</w:t>
      </w:r>
      <w:r w:rsidRPr="00BC5105">
        <w:rPr>
          <w:iCs/>
          <w:color w:val="000000" w:themeColor="text1"/>
          <w:sz w:val="18"/>
          <w:szCs w:val="18"/>
        </w:rPr>
        <w:t xml:space="preserve"> secondary qualifications and below; medium education corresponds to senior secondary and certificate qualifications; high education corresponds to diploma and universit</w:t>
      </w:r>
      <w:r>
        <w:rPr>
          <w:iCs/>
          <w:color w:val="000000" w:themeColor="text1"/>
          <w:sz w:val="18"/>
          <w:szCs w:val="18"/>
        </w:rPr>
        <w:t>y</w:t>
      </w:r>
      <w:r w:rsidRPr="00BC5105">
        <w:rPr>
          <w:iCs/>
          <w:color w:val="000000" w:themeColor="text1"/>
          <w:sz w:val="18"/>
          <w:szCs w:val="18"/>
        </w:rPr>
        <w:t xml:space="preserve"> qualifications.</w:t>
      </w:r>
    </w:p>
  </w:footnote>
  <w:footnote w:id="3">
    <w:p w14:paraId="5C7B68C4" w14:textId="77777777" w:rsidR="00C33FAA" w:rsidRPr="00C44652" w:rsidRDefault="00C33FAA" w:rsidP="009D2483">
      <w:pPr>
        <w:spacing w:line="240" w:lineRule="auto"/>
        <w:rPr>
          <w:i/>
          <w:iCs/>
          <w:color w:val="44546A" w:themeColor="text2"/>
          <w:sz w:val="18"/>
          <w:szCs w:val="18"/>
        </w:rPr>
      </w:pPr>
      <w:r>
        <w:rPr>
          <w:rStyle w:val="FootnoteReference"/>
        </w:rPr>
        <w:footnoteRef/>
      </w:r>
      <w:r>
        <w:t xml:space="preserve"> </w:t>
      </w:r>
      <w:r w:rsidRPr="00BC5105">
        <w:rPr>
          <w:iCs/>
          <w:color w:val="000000" w:themeColor="text1"/>
          <w:sz w:val="18"/>
          <w:szCs w:val="18"/>
        </w:rPr>
        <w:t xml:space="preserve">Low education corresponds to </w:t>
      </w:r>
      <w:r>
        <w:rPr>
          <w:iCs/>
          <w:color w:val="000000" w:themeColor="text1"/>
          <w:sz w:val="18"/>
          <w:szCs w:val="18"/>
        </w:rPr>
        <w:t>lower</w:t>
      </w:r>
      <w:r w:rsidRPr="00BC5105">
        <w:rPr>
          <w:iCs/>
          <w:color w:val="000000" w:themeColor="text1"/>
          <w:sz w:val="18"/>
          <w:szCs w:val="18"/>
        </w:rPr>
        <w:t xml:space="preserve"> secondary qualifications and below; medium education corresponds to senior secondary and certificate qualifications; high education corresponds to diploma and universit</w:t>
      </w:r>
      <w:r>
        <w:rPr>
          <w:iCs/>
          <w:color w:val="000000" w:themeColor="text1"/>
          <w:sz w:val="18"/>
          <w:szCs w:val="18"/>
        </w:rPr>
        <w:t>y</w:t>
      </w:r>
      <w:r w:rsidRPr="00BC5105">
        <w:rPr>
          <w:iCs/>
          <w:color w:val="000000" w:themeColor="text1"/>
          <w:sz w:val="18"/>
          <w:szCs w:val="18"/>
        </w:rPr>
        <w:t xml:space="preserve"> qualifications.</w:t>
      </w:r>
    </w:p>
    <w:p w14:paraId="056F1F2B" w14:textId="77777777" w:rsidR="00C33FAA" w:rsidRPr="00C44652" w:rsidRDefault="00C33FAA" w:rsidP="009D2483">
      <w:pPr>
        <w:pStyle w:val="FootnoteText"/>
      </w:pPr>
    </w:p>
  </w:footnote>
  <w:footnote w:id="4">
    <w:p w14:paraId="15C8392C" w14:textId="01285E0E" w:rsidR="00C33FAA" w:rsidRPr="00BC5105" w:rsidRDefault="00C33FAA">
      <w:pPr>
        <w:pStyle w:val="FootnoteText"/>
        <w:rPr>
          <w:sz w:val="18"/>
          <w:szCs w:val="18"/>
        </w:rPr>
      </w:pPr>
      <w:r w:rsidRPr="00BC5105">
        <w:rPr>
          <w:rStyle w:val="FootnoteReference"/>
          <w:sz w:val="18"/>
          <w:szCs w:val="18"/>
        </w:rPr>
        <w:footnoteRef/>
      </w:r>
      <w:r w:rsidRPr="00BC5105">
        <w:rPr>
          <w:sz w:val="18"/>
          <w:szCs w:val="18"/>
        </w:rPr>
        <w:t xml:space="preserve"> Authors’ calculations from HILDA Wave 1-Wave 19</w:t>
      </w:r>
    </w:p>
  </w:footnote>
  <w:footnote w:id="5">
    <w:p w14:paraId="0EC2CBF5" w14:textId="031ABE53" w:rsidR="00C33FAA" w:rsidRDefault="00C33FAA">
      <w:pPr>
        <w:pStyle w:val="FootnoteText"/>
      </w:pPr>
      <w:r>
        <w:rPr>
          <w:rStyle w:val="FootnoteReference"/>
        </w:rPr>
        <w:footnoteRef/>
      </w:r>
      <w:r>
        <w:t xml:space="preserve"> </w:t>
      </w:r>
      <w:r w:rsidRPr="00893D45">
        <w:rPr>
          <w:sz w:val="16"/>
          <w:szCs w:val="16"/>
        </w:rPr>
        <w:t xml:space="preserve">Authors’ own calculations based on Australian Census data (1986 and 2016). Women who did not state the number of children are not included in the calculation of parity progression rates. </w:t>
      </w:r>
    </w:p>
  </w:footnote>
  <w:footnote w:id="6">
    <w:p w14:paraId="5A0612A8" w14:textId="3AD808F1" w:rsidR="00C33FAA" w:rsidRPr="00BC5105" w:rsidRDefault="00C33FAA">
      <w:pPr>
        <w:pStyle w:val="FootnoteText"/>
        <w:rPr>
          <w:sz w:val="18"/>
          <w:szCs w:val="18"/>
        </w:rPr>
      </w:pPr>
      <w:r>
        <w:rPr>
          <w:rStyle w:val="FootnoteReference"/>
        </w:rPr>
        <w:t>1</w:t>
      </w:r>
      <w:r>
        <w:t xml:space="preserve"> </w:t>
      </w:r>
      <w:r w:rsidRPr="00BC5105">
        <w:rPr>
          <w:sz w:val="18"/>
          <w:szCs w:val="18"/>
        </w:rPr>
        <w:t xml:space="preserve">Authors’ own calculations based on HILDA Wave 19. Percentages restricted to those asked the question, and are weighted using responding person population weight. </w:t>
      </w:r>
    </w:p>
  </w:footnote>
  <w:footnote w:id="7">
    <w:p w14:paraId="6F0059CF" w14:textId="511BAF28" w:rsidR="00C33FAA" w:rsidRDefault="00C33FAA">
      <w:pPr>
        <w:pStyle w:val="FootnoteText"/>
      </w:pPr>
      <w:r>
        <w:rPr>
          <w:rStyle w:val="FootnoteReference"/>
        </w:rPr>
        <w:footnoteRef/>
      </w:r>
      <w:r>
        <w:t xml:space="preserve"> As opposed to families, private companies, or not-for-profits.</w:t>
      </w:r>
    </w:p>
  </w:footnote>
  <w:footnote w:id="8">
    <w:p w14:paraId="3A31A73F" w14:textId="77777777" w:rsidR="00C33FAA" w:rsidRDefault="00C33FAA" w:rsidP="00CB787B">
      <w:pPr>
        <w:pStyle w:val="FootnoteText"/>
      </w:pPr>
      <w:r>
        <w:rPr>
          <w:rStyle w:val="FootnoteReference"/>
        </w:rPr>
        <w:footnoteRef/>
      </w:r>
      <w:r>
        <w:t xml:space="preserve"> Parenthood Provisional Housing Scheme, </w:t>
      </w:r>
      <w:hyperlink r:id="rId1" w:history="1">
        <w:r>
          <w:rPr>
            <w:rStyle w:val="Hyperlink"/>
          </w:rPr>
          <w:t>https://www.hdb.gov.sg/residential/renting-a-flat/renting-from-hdb/parenthood-provisional-housing-schemepphs</w:t>
        </w:r>
      </w:hyperlink>
    </w:p>
    <w:p w14:paraId="1DE9DC8D" w14:textId="77777777" w:rsidR="00C33FAA" w:rsidRDefault="00C33FAA" w:rsidP="00CB787B">
      <w:pPr>
        <w:pStyle w:val="FootnoteText"/>
      </w:pPr>
    </w:p>
    <w:p w14:paraId="2FBEDDB2" w14:textId="77777777" w:rsidR="00C33FAA" w:rsidRDefault="00C33FAA" w:rsidP="00CB787B">
      <w:pPr>
        <w:pStyle w:val="FootnoteText"/>
      </w:pPr>
    </w:p>
  </w:footnote>
  <w:footnote w:id="9">
    <w:p w14:paraId="1901A481" w14:textId="77777777" w:rsidR="00C33FAA" w:rsidRDefault="00C33FAA" w:rsidP="00605EFB">
      <w:pPr>
        <w:pStyle w:val="FootnoteText"/>
        <w:jc w:val="both"/>
      </w:pPr>
      <w:r>
        <w:rPr>
          <w:rStyle w:val="FootnoteReference"/>
        </w:rPr>
        <w:footnoteRef/>
      </w:r>
      <w:r>
        <w:t xml:space="preserve"> </w:t>
      </w:r>
      <w:r w:rsidRPr="00134A19">
        <w:rPr>
          <w:sz w:val="18"/>
          <w:szCs w:val="18"/>
        </w:rPr>
        <w:t>Hoem (2008) gives another example to illustrate endogeneity. In 1998, the German government started allowing unmarried parents to have joint custody of their children. Subsequently non-marital childbearing increased subsequently but it is unclear, if the changed regulations caused non-marital fertility to increase, or whether the government was simply responding to the general trend in non-marital childbearing.</w:t>
      </w:r>
    </w:p>
  </w:footnote>
  <w:footnote w:id="10">
    <w:p w14:paraId="79F9BB7D" w14:textId="77777777" w:rsidR="00C33FAA" w:rsidRDefault="00C33FAA" w:rsidP="00F31FC5">
      <w:pPr>
        <w:pStyle w:val="FootnoteText"/>
      </w:pPr>
      <w:r>
        <w:rPr>
          <w:rStyle w:val="FootnoteReference"/>
        </w:rPr>
        <w:footnoteRef/>
      </w:r>
      <w:r>
        <w:t xml:space="preserve"> Latest available data</w:t>
      </w:r>
    </w:p>
  </w:footnote>
  <w:footnote w:id="11">
    <w:p w14:paraId="7C9A97A7" w14:textId="77777777" w:rsidR="00C33FAA" w:rsidRDefault="00C33FAA" w:rsidP="00F31FC5">
      <w:pPr>
        <w:pStyle w:val="FootnoteText"/>
      </w:pPr>
      <w:r>
        <w:rPr>
          <w:rStyle w:val="FootnoteReference"/>
        </w:rPr>
        <w:footnoteRef/>
      </w:r>
      <w:r>
        <w:t xml:space="preserve"> Payment amount correct as of June 2021</w:t>
      </w:r>
    </w:p>
  </w:footnote>
  <w:footnote w:id="12">
    <w:p w14:paraId="6614FE9D" w14:textId="31692DC4" w:rsidR="00C33FAA" w:rsidRDefault="00C33FAA">
      <w:pPr>
        <w:pStyle w:val="FootnoteText"/>
      </w:pPr>
      <w:r>
        <w:rPr>
          <w:rStyle w:val="FootnoteReference"/>
        </w:rPr>
        <w:footnoteRef/>
      </w:r>
      <w:r>
        <w:t>This is calculated by dividing the programs’s total cost by the number of additional children born that would not have been born in the absence of the program.</w:t>
      </w:r>
    </w:p>
  </w:footnote>
  <w:footnote w:id="13">
    <w:p w14:paraId="51B8DB93" w14:textId="5A8B36EE" w:rsidR="00C33FAA" w:rsidRDefault="00C33FAA">
      <w:pPr>
        <w:pStyle w:val="FootnoteText"/>
      </w:pPr>
      <w:r>
        <w:rPr>
          <w:rStyle w:val="FootnoteReference"/>
        </w:rPr>
        <w:footnoteRef/>
      </w:r>
      <w:r>
        <w:t xml:space="preserve"> </w:t>
      </w:r>
      <w:r>
        <w:rPr>
          <w:sz w:val="18"/>
          <w:szCs w:val="18"/>
        </w:rPr>
        <w:t>The ‘</w:t>
      </w:r>
      <w:r w:rsidRPr="00DB0F1E">
        <w:rPr>
          <w:sz w:val="18"/>
          <w:szCs w:val="18"/>
        </w:rPr>
        <w:t>average payment rate</w:t>
      </w:r>
      <w:r>
        <w:rPr>
          <w:sz w:val="18"/>
          <w:szCs w:val="18"/>
        </w:rPr>
        <w:t>’</w:t>
      </w:r>
      <w:r w:rsidRPr="00DB0F1E">
        <w:rPr>
          <w:sz w:val="18"/>
          <w:szCs w:val="18"/>
        </w:rPr>
        <w:t xml:space="preserve"> refers the proportion of previous earnings replaced by the benefit over the length of the paid leave entitlement for a person earning 100% of average national full-time earnings</w:t>
      </w:r>
      <w:r>
        <w:rPr>
          <w:sz w:val="18"/>
          <w:szCs w:val="18"/>
        </w:rPr>
        <w:t>.</w:t>
      </w:r>
    </w:p>
  </w:footnote>
  <w:footnote w:id="14">
    <w:p w14:paraId="2C1F291C" w14:textId="3BF67FD7" w:rsidR="00C33FAA" w:rsidRPr="00BB3130" w:rsidRDefault="00C33FAA" w:rsidP="00BB3130">
      <w:pPr>
        <w:shd w:val="clear" w:color="auto" w:fill="FFFFFF"/>
        <w:spacing w:before="100" w:beforeAutospacing="1" w:after="100" w:afterAutospacing="1" w:line="240" w:lineRule="auto"/>
        <w:rPr>
          <w:sz w:val="18"/>
          <w:szCs w:val="18"/>
        </w:rPr>
      </w:pPr>
      <w:r>
        <w:rPr>
          <w:rStyle w:val="FootnoteReference"/>
        </w:rPr>
        <w:footnoteRef/>
      </w:r>
      <w:r>
        <w:t xml:space="preserve"> </w:t>
      </w:r>
      <w:r w:rsidRPr="00BB3130">
        <w:rPr>
          <w:sz w:val="18"/>
          <w:szCs w:val="18"/>
        </w:rPr>
        <w:t>The primary carer, can also be the  initial primary carer of an adopted child placed in care by an authorised party for the purpose of adoption, or another person caring for a child under </w:t>
      </w:r>
      <w:hyperlink r:id="rId2" w:history="1">
        <w:r w:rsidRPr="00BB3130">
          <w:rPr>
            <w:sz w:val="18"/>
            <w:szCs w:val="18"/>
          </w:rPr>
          <w:t>exceptional circumstances</w:t>
        </w:r>
      </w:hyperlink>
      <w:r w:rsidRPr="00BB3130">
        <w:rPr>
          <w:sz w:val="18"/>
          <w:szCs w:val="18"/>
        </w:rPr>
        <w:t xml:space="preserve"> such as severe illness or serious accident </w:t>
      </w:r>
      <w:r>
        <w:rPr>
          <w:noProof/>
          <w:sz w:val="18"/>
          <w:szCs w:val="18"/>
        </w:rPr>
        <w:t>(Services Australia, 2021b)</w:t>
      </w:r>
      <w:r w:rsidRPr="00BB3130">
        <w:rPr>
          <w:sz w:val="18"/>
          <w:szCs w:val="18"/>
        </w:rPr>
        <w:t>.</w:t>
      </w:r>
    </w:p>
    <w:p w14:paraId="16CA20D5" w14:textId="203DF7EA" w:rsidR="00C33FAA" w:rsidRPr="00BB3130" w:rsidRDefault="00C33FAA">
      <w:pPr>
        <w:pStyle w:val="FootnoteText"/>
        <w:rPr>
          <w:sz w:val="16"/>
          <w:szCs w:val="16"/>
        </w:rPr>
      </w:pPr>
    </w:p>
  </w:footnote>
  <w:footnote w:id="15">
    <w:p w14:paraId="132BA54E" w14:textId="2EC01870" w:rsidR="00C33FAA" w:rsidRDefault="00C33FAA">
      <w:pPr>
        <w:pStyle w:val="FootnoteText"/>
      </w:pPr>
      <w:r>
        <w:rPr>
          <w:rStyle w:val="FootnoteReference"/>
        </w:rPr>
        <w:footnoteRef/>
      </w:r>
      <w:r>
        <w:t xml:space="preserve"> The latest available data is used, from the OECD Family Database. Spending for all countries may have changed since 2015.</w:t>
      </w:r>
    </w:p>
  </w:footnote>
  <w:footnote w:id="16">
    <w:p w14:paraId="3BCC849F" w14:textId="5520D47E" w:rsidR="00C33FAA" w:rsidRDefault="00C33FAA" w:rsidP="00F31FC5">
      <w:pPr>
        <w:pStyle w:val="FootnoteText"/>
      </w:pPr>
      <w:r>
        <w:rPr>
          <w:rStyle w:val="FootnoteReference"/>
        </w:rPr>
        <w:footnoteRef/>
      </w:r>
      <w:r>
        <w:t xml:space="preserve"> </w:t>
      </w:r>
      <w:r w:rsidRPr="00410650">
        <w:rPr>
          <w:sz w:val="18"/>
          <w:szCs w:val="18"/>
        </w:rPr>
        <w:t xml:space="preserve">Net </w:t>
      </w:r>
      <w:r w:rsidR="008D52A6">
        <w:rPr>
          <w:sz w:val="18"/>
          <w:szCs w:val="18"/>
        </w:rPr>
        <w:t>child care</w:t>
      </w:r>
      <w:r w:rsidRPr="00410650">
        <w:rPr>
          <w:sz w:val="18"/>
          <w:szCs w:val="18"/>
        </w:rPr>
        <w:t xml:space="preserve"> costs are gross fees less </w:t>
      </w:r>
      <w:r w:rsidR="008D52A6">
        <w:rPr>
          <w:sz w:val="18"/>
          <w:szCs w:val="18"/>
        </w:rPr>
        <w:t>child care</w:t>
      </w:r>
      <w:r w:rsidRPr="00410650">
        <w:rPr>
          <w:sz w:val="18"/>
          <w:szCs w:val="18"/>
        </w:rPr>
        <w:t xml:space="preserve"> benefits/rebates and tax deductions, plus any resulting changes in other taxes and benefits following the use of </w:t>
      </w:r>
      <w:r w:rsidR="008D52A6">
        <w:rPr>
          <w:sz w:val="18"/>
          <w:szCs w:val="18"/>
        </w:rPr>
        <w:t>child care</w:t>
      </w:r>
      <w:r w:rsidRPr="00410650">
        <w:rPr>
          <w:sz w:val="18"/>
          <w:szCs w:val="18"/>
        </w:rPr>
        <w:t>.</w:t>
      </w:r>
    </w:p>
  </w:footnote>
  <w:footnote w:id="17">
    <w:p w14:paraId="4482D107" w14:textId="65A85325" w:rsidR="00C33FAA" w:rsidRDefault="00C33FAA" w:rsidP="00EA2EC5">
      <w:pPr>
        <w:pStyle w:val="FootnoteText"/>
      </w:pPr>
      <w:r>
        <w:rPr>
          <w:rStyle w:val="FootnoteReference"/>
        </w:rPr>
        <w:footnoteRef/>
      </w:r>
      <w:r>
        <w:t xml:space="preserve"> </w:t>
      </w:r>
      <w:hyperlink r:id="rId3" w:history="1">
        <w:r w:rsidRPr="005B4A76">
          <w:rPr>
            <w:rStyle w:val="Hyperlink"/>
          </w:rPr>
          <w:t>https://minedu.fi/en/client-fees-ecec</w:t>
        </w:r>
      </w:hyperlink>
    </w:p>
  </w:footnote>
  <w:footnote w:id="18">
    <w:p w14:paraId="250B13F7" w14:textId="77777777" w:rsidR="00C33FAA" w:rsidRDefault="00C33FAA" w:rsidP="00F31FC5">
      <w:pPr>
        <w:pStyle w:val="NormalWeb"/>
        <w:shd w:val="clear" w:color="auto" w:fill="FFFFFF"/>
        <w:spacing w:before="0" w:beforeAutospacing="0" w:after="113" w:afterAutospacing="0"/>
      </w:pPr>
      <w:r>
        <w:rPr>
          <w:rStyle w:val="FootnoteReference"/>
        </w:rPr>
        <w:footnoteRef/>
      </w:r>
      <w:r>
        <w:t xml:space="preserve"> </w:t>
      </w:r>
      <w:r w:rsidRPr="00CD5703">
        <w:rPr>
          <w:rFonts w:asciiTheme="minorHAnsi" w:eastAsiaTheme="minorHAnsi" w:hAnsiTheme="minorHAnsi" w:cstheme="minorBidi"/>
          <w:sz w:val="18"/>
          <w:szCs w:val="18"/>
          <w:lang w:eastAsia="en-US"/>
        </w:rPr>
        <w:t>In the Australian Capital Territory, New South Wales and the Northern Territory, ECE programs are called preschool. In Tasmania, Victoria and Western Australia, they are known as kindergarten, in Queensland, they are known as kindergarten and Pre-Preparatory (Pre-Prep) and in South Australia they are known as preschool and kindergarten.</w:t>
      </w:r>
    </w:p>
  </w:footnote>
  <w:footnote w:id="19">
    <w:p w14:paraId="3509B7AF" w14:textId="7839F5D1" w:rsidR="00C33FAA" w:rsidRPr="0076582B" w:rsidRDefault="00C33FAA" w:rsidP="00F31FC5">
      <w:pPr>
        <w:shd w:val="clear" w:color="auto" w:fill="FFFFFF"/>
        <w:spacing w:after="0" w:line="240" w:lineRule="auto"/>
      </w:pPr>
      <w:r w:rsidRPr="0076582B">
        <w:rPr>
          <w:rStyle w:val="FootnoteReference"/>
        </w:rPr>
        <w:footnoteRef/>
      </w:r>
      <w:r w:rsidRPr="0076582B">
        <w:t xml:space="preserve"> </w:t>
      </w:r>
      <w:r w:rsidRPr="0076582B">
        <w:rPr>
          <w:sz w:val="18"/>
          <w:szCs w:val="18"/>
        </w:rPr>
        <w:t xml:space="preserve"> The 2021-22 Budget includes a change to the Child Care Subsidy (CCS) rate, </w:t>
      </w:r>
      <w:r>
        <w:rPr>
          <w:sz w:val="18"/>
          <w:szCs w:val="18"/>
        </w:rPr>
        <w:t>increasing</w:t>
      </w:r>
      <w:r w:rsidRPr="0076582B">
        <w:rPr>
          <w:sz w:val="18"/>
          <w:szCs w:val="18"/>
        </w:rPr>
        <w:t xml:space="preserve"> it by 30 percentage points for the second child and subsequent children aged five years and under in care, up to a maximum CCS rate of 95 per cent for these children, commencing on </w:t>
      </w:r>
      <w:r>
        <w:rPr>
          <w:sz w:val="18"/>
          <w:szCs w:val="18"/>
        </w:rPr>
        <w:t>7 March 2022.</w:t>
      </w:r>
    </w:p>
    <w:p w14:paraId="50D87CF4" w14:textId="77777777" w:rsidR="00C33FAA" w:rsidRPr="0076582B" w:rsidRDefault="00C33FAA" w:rsidP="00F31FC5">
      <w:pPr>
        <w:shd w:val="clear" w:color="auto" w:fill="FFFFFF"/>
        <w:spacing w:after="0" w:line="240" w:lineRule="auto"/>
      </w:pPr>
    </w:p>
  </w:footnote>
  <w:footnote w:id="20">
    <w:p w14:paraId="08F30063" w14:textId="62983A2D" w:rsidR="00C33FAA" w:rsidRPr="00BC5105" w:rsidRDefault="00C33FAA" w:rsidP="00E57842">
      <w:pPr>
        <w:shd w:val="clear" w:color="auto" w:fill="FFFFFF"/>
        <w:spacing w:after="0" w:line="240" w:lineRule="auto"/>
        <w:rPr>
          <w:sz w:val="20"/>
          <w:szCs w:val="20"/>
        </w:rPr>
      </w:pPr>
      <w:r w:rsidRPr="0076582B">
        <w:rPr>
          <w:sz w:val="18"/>
          <w:szCs w:val="18"/>
        </w:rPr>
        <w:footnoteRef/>
      </w:r>
      <w:r w:rsidRPr="0076582B">
        <w:rPr>
          <w:sz w:val="18"/>
          <w:szCs w:val="18"/>
        </w:rPr>
        <w:t xml:space="preserve"> At incomes between $189,390 and $353,680 the subsidy </w:t>
      </w:r>
      <w:r>
        <w:rPr>
          <w:sz w:val="18"/>
          <w:szCs w:val="18"/>
        </w:rPr>
        <w:t>was</w:t>
      </w:r>
      <w:r w:rsidRPr="0076582B">
        <w:rPr>
          <w:sz w:val="18"/>
          <w:szCs w:val="18"/>
        </w:rPr>
        <w:t xml:space="preserve"> capped to $10,560 per child each financial year. This cap has been removed in the 2021-22 Budget, commencing on </w:t>
      </w:r>
      <w:r>
        <w:rPr>
          <w:sz w:val="18"/>
          <w:szCs w:val="18"/>
        </w:rPr>
        <w:t>10 December 2021 and applying retrospectively to the whole of the 2021-22 financial year</w:t>
      </w:r>
      <w:r w:rsidRPr="0076582B">
        <w:rPr>
          <w:sz w:val="18"/>
          <w:szCs w:val="18"/>
        </w:rPr>
        <w:t>.</w:t>
      </w:r>
      <w:r w:rsidRPr="0076582B">
        <w:t xml:space="preserve"> </w:t>
      </w:r>
    </w:p>
    <w:p w14:paraId="1C3E8851" w14:textId="1F9A95A4" w:rsidR="00C33FAA" w:rsidRPr="00BC5105" w:rsidRDefault="00C33FAA" w:rsidP="00F31FC5">
      <w:pPr>
        <w:shd w:val="clear" w:color="auto" w:fill="FFFFFF"/>
        <w:spacing w:after="0" w:line="240" w:lineRule="auto"/>
        <w:rPr>
          <w:sz w:val="20"/>
          <w:szCs w:val="20"/>
        </w:rPr>
      </w:pPr>
    </w:p>
  </w:footnote>
  <w:footnote w:id="21">
    <w:p w14:paraId="0F1B8FB9" w14:textId="77777777" w:rsidR="00C33FAA" w:rsidRPr="006C6E6D" w:rsidRDefault="00C33FAA" w:rsidP="00132048">
      <w:pPr>
        <w:pStyle w:val="FootnoteText"/>
        <w:rPr>
          <w:sz w:val="16"/>
          <w:szCs w:val="16"/>
        </w:rPr>
      </w:pPr>
      <w:r w:rsidRPr="006C6E6D">
        <w:rPr>
          <w:rStyle w:val="FootnoteReference"/>
          <w:sz w:val="16"/>
          <w:szCs w:val="16"/>
        </w:rPr>
        <w:footnoteRef/>
      </w:r>
      <w:r w:rsidRPr="006C6E6D">
        <w:rPr>
          <w:sz w:val="16"/>
          <w:szCs w:val="16"/>
        </w:rPr>
        <w:t xml:space="preserve"> Belgium, Denmark, France, Italy, the Netherlands, Spain, UK</w:t>
      </w:r>
    </w:p>
  </w:footnote>
  <w:footnote w:id="22">
    <w:p w14:paraId="58690F56" w14:textId="77777777" w:rsidR="00C33FAA" w:rsidRPr="006C6E6D" w:rsidRDefault="00C33FAA" w:rsidP="00132048">
      <w:pPr>
        <w:pStyle w:val="FootnoteText"/>
        <w:rPr>
          <w:sz w:val="16"/>
          <w:szCs w:val="16"/>
        </w:rPr>
      </w:pPr>
      <w:r w:rsidRPr="006C6E6D">
        <w:rPr>
          <w:rStyle w:val="FootnoteReference"/>
          <w:sz w:val="16"/>
          <w:szCs w:val="16"/>
        </w:rPr>
        <w:footnoteRef/>
      </w:r>
      <w:r w:rsidRPr="006C6E6D">
        <w:rPr>
          <w:sz w:val="16"/>
          <w:szCs w:val="16"/>
        </w:rPr>
        <w:t xml:space="preserve"> Austria, Belgium, Denmark, Finland, France, Germany, Greece, Ireland, Italy, Luxembourg, Netherlands, Norway, Portugal, Spain, Sweden, UK</w:t>
      </w:r>
    </w:p>
  </w:footnote>
  <w:footnote w:id="23">
    <w:p w14:paraId="53948EFC" w14:textId="3025D558" w:rsidR="00C33FAA" w:rsidRDefault="00C33FAA">
      <w:pPr>
        <w:pStyle w:val="FootnoteText"/>
      </w:pPr>
      <w:r w:rsidRPr="006C6E6D">
        <w:rPr>
          <w:rStyle w:val="FootnoteReference"/>
          <w:sz w:val="16"/>
          <w:szCs w:val="16"/>
        </w:rPr>
        <w:footnoteRef/>
      </w:r>
      <w:r w:rsidRPr="006C6E6D">
        <w:rPr>
          <w:sz w:val="16"/>
          <w:szCs w:val="16"/>
        </w:rPr>
        <w:t xml:space="preserve"> Belgium, Canada, Denmark, Finland, France, Germany, Greece, Ireland, Italy, Japan, Netherlands, Portugal, Spain, Sweden, </w:t>
      </w:r>
      <w:r>
        <w:rPr>
          <w:sz w:val="16"/>
          <w:szCs w:val="16"/>
        </w:rPr>
        <w:t>UK, and US</w:t>
      </w:r>
    </w:p>
  </w:footnote>
  <w:footnote w:id="24">
    <w:p w14:paraId="584B5323" w14:textId="36764E56" w:rsidR="00C33FAA" w:rsidRDefault="00C33FAA">
      <w:pPr>
        <w:pStyle w:val="FootnoteText"/>
      </w:pPr>
      <w:r w:rsidRPr="007E15F6">
        <w:rPr>
          <w:rStyle w:val="FootnoteReference"/>
        </w:rPr>
        <w:footnoteRef/>
      </w:r>
      <w:r w:rsidRPr="007E15F6">
        <w:rPr>
          <w:sz w:val="16"/>
          <w:szCs w:val="16"/>
        </w:rPr>
        <w:t xml:space="preserve">Austria, </w:t>
      </w:r>
      <w:r w:rsidRPr="00F95595">
        <w:rPr>
          <w:sz w:val="16"/>
          <w:szCs w:val="16"/>
        </w:rPr>
        <w:t>Belgium, Denmark, Finland, France, Germany, Greece, Ireland, Italy, Netherlands, Portugal, Spain, Sweden, Switzerland UK</w:t>
      </w:r>
    </w:p>
  </w:footnote>
  <w:footnote w:id="25">
    <w:p w14:paraId="656DEAF5" w14:textId="77777777" w:rsidR="00C33FAA" w:rsidRDefault="00C33FAA" w:rsidP="00293E5C">
      <w:pPr>
        <w:pStyle w:val="FootnoteText"/>
      </w:pPr>
      <w:r>
        <w:rPr>
          <w:rStyle w:val="FootnoteReference"/>
        </w:rPr>
        <w:footnoteRef/>
      </w:r>
      <w:r>
        <w:t xml:space="preserve"> In Singapore, the government does actively try to support young people to find partners as this has been identified as one reason for low fertility. </w:t>
      </w:r>
      <w:hyperlink r:id="rId4" w:history="1">
        <w:r>
          <w:rPr>
            <w:rStyle w:val="Hyperlink"/>
          </w:rPr>
          <w:t>https://www.msf.gov.sg/policies/Marriages/Pages/Finding-a-Partner.aspx</w:t>
        </w:r>
      </w:hyperlink>
    </w:p>
    <w:p w14:paraId="44DBA01B" w14:textId="77777777" w:rsidR="00C33FAA" w:rsidRDefault="00C33FAA" w:rsidP="00293E5C">
      <w:pPr>
        <w:pStyle w:val="FootnoteText"/>
      </w:pPr>
    </w:p>
  </w:footnote>
  <w:footnote w:id="26">
    <w:p w14:paraId="389A0340" w14:textId="77777777" w:rsidR="00C33FAA" w:rsidRDefault="00C33FAA" w:rsidP="00293E5C">
      <w:pPr>
        <w:pStyle w:val="FootnoteText"/>
      </w:pPr>
      <w:r>
        <w:rPr>
          <w:rStyle w:val="FootnoteReference"/>
        </w:rPr>
        <w:footnoteRef/>
      </w:r>
      <w:r>
        <w:t xml:space="preserve"> The OECD average for women aged 15-64, with at least one child aged 0-14 is 53% working full-time, whereas in Australia the percentage is 32% (OECD Family Database, Part LMF1.2). </w:t>
      </w:r>
    </w:p>
  </w:footnote>
  <w:footnote w:id="27">
    <w:p w14:paraId="47EC09F4" w14:textId="77777777" w:rsidR="00C33FAA" w:rsidRDefault="00C33FAA" w:rsidP="00244248">
      <w:pPr>
        <w:pStyle w:val="FootnoteText"/>
      </w:pPr>
      <w:r>
        <w:rPr>
          <w:rStyle w:val="FootnoteReference"/>
        </w:rPr>
        <w:footnoteRef/>
      </w:r>
      <w:r>
        <w:t xml:space="preserve"> </w:t>
      </w:r>
      <w:r w:rsidRPr="00DC05CA">
        <w:rPr>
          <w:rFonts w:cstheme="minorHAnsi"/>
          <w:color w:val="222222"/>
          <w:shd w:val="clear" w:color="auto" w:fill="FFFFFF"/>
        </w:rPr>
        <w:t>Bassford and Fisher (2020). “The impact of paid parental leave on fertility intentions.” </w:t>
      </w:r>
      <w:r w:rsidRPr="00DC05CA">
        <w:rPr>
          <w:rFonts w:cstheme="minorHAnsi"/>
          <w:i/>
          <w:iCs/>
          <w:color w:val="222222"/>
          <w:shd w:val="clear" w:color="auto" w:fill="FFFFFF"/>
        </w:rPr>
        <w:t>Economic Record</w:t>
      </w:r>
      <w:r w:rsidRPr="00DC05CA">
        <w:rPr>
          <w:rFonts w:cstheme="minorHAnsi"/>
          <w:color w:val="222222"/>
          <w:shd w:val="clear" w:color="auto" w:fill="FFFFFF"/>
        </w:rPr>
        <w:t>, </w:t>
      </w:r>
      <w:r w:rsidRPr="00DC05CA">
        <w:rPr>
          <w:rFonts w:cstheme="minorHAnsi"/>
          <w:i/>
          <w:iCs/>
          <w:color w:val="222222"/>
          <w:shd w:val="clear" w:color="auto" w:fill="FFFFFF"/>
        </w:rPr>
        <w:t>96</w:t>
      </w:r>
      <w:r w:rsidRPr="00DC05CA">
        <w:rPr>
          <w:rFonts w:cstheme="minorHAnsi"/>
          <w:color w:val="222222"/>
          <w:shd w:val="clear" w:color="auto" w:fill="FFFFFF"/>
        </w:rPr>
        <w:t>(315), 402-430.</w:t>
      </w:r>
    </w:p>
  </w:footnote>
  <w:footnote w:id="28">
    <w:p w14:paraId="4546BA0B" w14:textId="77777777" w:rsidR="00C33FAA" w:rsidRDefault="00C33FAA" w:rsidP="00244248">
      <w:pPr>
        <w:pStyle w:val="FootnoteText"/>
      </w:pPr>
      <w:r>
        <w:rPr>
          <w:rStyle w:val="FootnoteReference"/>
        </w:rPr>
        <w:footnoteRef/>
      </w:r>
      <w:r>
        <w:t xml:space="preserve"> </w:t>
      </w:r>
      <w:r w:rsidRPr="002953E8">
        <w:t>These measures are described in more detail below.</w:t>
      </w:r>
    </w:p>
  </w:footnote>
  <w:footnote w:id="29">
    <w:p w14:paraId="455C211F" w14:textId="77777777" w:rsidR="00C33FAA" w:rsidRDefault="00C33FAA" w:rsidP="00244248">
      <w:pPr>
        <w:pStyle w:val="FootnoteText"/>
      </w:pPr>
      <w:r>
        <w:rPr>
          <w:rStyle w:val="FootnoteReference"/>
        </w:rPr>
        <w:footnoteRef/>
      </w:r>
      <w:r>
        <w:t xml:space="preserve"> </w:t>
      </w:r>
      <w:r w:rsidRPr="002E19DF">
        <w:t>The latter group will be</w:t>
      </w:r>
      <w:r>
        <w:t>,</w:t>
      </w:r>
      <w:r w:rsidRPr="002E19DF">
        <w:t xml:space="preserve"> </w:t>
      </w:r>
      <w:r>
        <w:t>o</w:t>
      </w:r>
      <w:r w:rsidRPr="002E19DF">
        <w:t>n average</w:t>
      </w:r>
      <w:r>
        <w:t>,</w:t>
      </w:r>
      <w:r w:rsidRPr="002E19DF">
        <w:t xml:space="preserve"> in a better financial position and therefor arguably less re</w:t>
      </w:r>
      <w:r>
        <w:t>sponsive</w:t>
      </w:r>
      <w:r w:rsidRPr="002E19DF">
        <w:t xml:space="preserve"> to the policy</w:t>
      </w:r>
      <w:r>
        <w:t>.  W</w:t>
      </w:r>
      <w:r w:rsidRPr="002E19DF">
        <w:t xml:space="preserve">e test this </w:t>
      </w:r>
      <w:r>
        <w:t xml:space="preserve">in </w:t>
      </w:r>
      <w:r w:rsidRPr="002E19DF">
        <w:t>a separate identification strategy</w:t>
      </w:r>
      <w:r>
        <w:t>,</w:t>
      </w:r>
      <w:r w:rsidRPr="002E19DF">
        <w:t xml:space="preserve"> results can be found in the Appendix.</w:t>
      </w:r>
    </w:p>
  </w:footnote>
  <w:footnote w:id="30">
    <w:p w14:paraId="7A6F7607" w14:textId="77777777" w:rsidR="00C33FAA" w:rsidRDefault="00C33FAA" w:rsidP="00244248">
      <w:pPr>
        <w:pStyle w:val="FootnoteText"/>
      </w:pPr>
      <w:r>
        <w:rPr>
          <w:rStyle w:val="FootnoteReference"/>
        </w:rPr>
        <w:footnoteRef/>
      </w:r>
      <w:r>
        <w:t xml:space="preserve"> </w:t>
      </w:r>
      <w:r w:rsidRPr="002E19DF">
        <w:t>We also run these regressions with alternative treatment age groups of 25-29 and 18-29, results are not reported but do not qualitatively vary from w</w:t>
      </w:r>
      <w:r>
        <w:t xml:space="preserve">hat we report when we use </w:t>
      </w:r>
      <w:r w:rsidRPr="002E19DF">
        <w:t xml:space="preserve">18-24 year olds </w:t>
      </w:r>
      <w:r>
        <w:t>as the</w:t>
      </w:r>
      <w:r w:rsidRPr="002E19DF">
        <w:t xml:space="preserve"> treatment group.</w:t>
      </w:r>
    </w:p>
  </w:footnote>
  <w:footnote w:id="31">
    <w:p w14:paraId="210FED98" w14:textId="77777777" w:rsidR="00C33FAA" w:rsidRPr="00176DB0" w:rsidRDefault="00C33FAA" w:rsidP="00244248">
      <w:pPr>
        <w:pStyle w:val="FootnoteText"/>
      </w:pPr>
      <w:r>
        <w:rPr>
          <w:rStyle w:val="FootnoteReference"/>
        </w:rPr>
        <w:footnoteRef/>
      </w:r>
      <w:r>
        <w:t xml:space="preserve"> See Taylor, M. (2021), “Horizontal equity in the design of Australian family payments for newborns”, </w:t>
      </w:r>
      <w:r>
        <w:rPr>
          <w:i/>
          <w:iCs/>
        </w:rPr>
        <w:t>Australian Journal of Social Issues</w:t>
      </w:r>
      <w:r>
        <w:t xml:space="preserve">.  Available online at </w:t>
      </w:r>
      <w:r w:rsidRPr="00176DB0">
        <w:t>https://doi.org/10.1002/ajs4.159</w:t>
      </w:r>
      <w:r>
        <w:t>.</w:t>
      </w:r>
    </w:p>
  </w:footnote>
  <w:footnote w:id="32">
    <w:p w14:paraId="7B1AAE37" w14:textId="77777777" w:rsidR="00C33FAA" w:rsidRDefault="00C33FAA" w:rsidP="00244248">
      <w:pPr>
        <w:pStyle w:val="FootnoteText"/>
      </w:pPr>
      <w:r>
        <w:rPr>
          <w:rStyle w:val="FootnoteReference"/>
        </w:rPr>
        <w:footnoteRef/>
      </w:r>
      <w:r>
        <w:t xml:space="preserve"> We thank Matthew Taylor for his assistance in identifying treatment and control groups in the HILDA data.</w:t>
      </w:r>
    </w:p>
  </w:footnote>
  <w:footnote w:id="33">
    <w:p w14:paraId="499A778E" w14:textId="77777777" w:rsidR="00C33FAA" w:rsidRDefault="00C33FAA" w:rsidP="00244248">
      <w:pPr>
        <w:pStyle w:val="FootnoteText"/>
      </w:pPr>
      <w:r>
        <w:rPr>
          <w:rStyle w:val="FootnoteReference"/>
        </w:rPr>
        <w:footnoteRef/>
      </w:r>
      <w:r>
        <w:t xml:space="preserve"> Gong and Breunig (2014), “Channels of labour supply responses of lone parents to changed work incentives" </w:t>
      </w:r>
      <w:r w:rsidRPr="00E72323">
        <w:rPr>
          <w:i/>
          <w:iCs/>
        </w:rPr>
        <w:t>Oxford Economic Papers</w:t>
      </w:r>
      <w:r>
        <w:t xml:space="preserve"> 66 (4) pp. 891-915.</w:t>
      </w:r>
    </w:p>
  </w:footnote>
  <w:footnote w:id="34">
    <w:p w14:paraId="45E95AED" w14:textId="77777777" w:rsidR="00C33FAA" w:rsidRDefault="00C33FAA" w:rsidP="00244248">
      <w:pPr>
        <w:pStyle w:val="FootnoteText"/>
      </w:pPr>
      <w:r>
        <w:rPr>
          <w:rStyle w:val="FootnoteReference"/>
        </w:rPr>
        <w:footnoteRef/>
      </w:r>
      <w:r>
        <w:t xml:space="preserve"> Upper and lower confidence intervals</w:t>
      </w:r>
    </w:p>
  </w:footnote>
  <w:footnote w:id="35">
    <w:p w14:paraId="64192A62" w14:textId="77777777" w:rsidR="00C33FAA" w:rsidRDefault="00C33FAA" w:rsidP="00244248">
      <w:pPr>
        <w:pStyle w:val="FootnoteText"/>
      </w:pPr>
      <w:r>
        <w:rPr>
          <w:rStyle w:val="FootnoteReference"/>
        </w:rPr>
        <w:footnoteRef/>
      </w:r>
      <w:r>
        <w:t xml:space="preserve"> Respondents who already had children were asked the same question but the wording at the end was changed to “</w:t>
      </w:r>
      <w:r w:rsidRPr="0023520B">
        <w:rPr>
          <w:i/>
          <w:iCs/>
        </w:rPr>
        <w:t>Please select a number between 0 and 10 to show how you feel about having more children in the future</w:t>
      </w:r>
      <w:r w:rsidRPr="001E61B0">
        <w:t>.</w:t>
      </w:r>
      <w:r>
        <w:t>”</w:t>
      </w:r>
    </w:p>
  </w:footnote>
  <w:footnote w:id="36">
    <w:p w14:paraId="347BD209" w14:textId="77777777" w:rsidR="00C33FAA" w:rsidRDefault="00C33FAA" w:rsidP="00244248">
      <w:pPr>
        <w:pStyle w:val="FootnoteText"/>
      </w:pPr>
      <w:r>
        <w:rPr>
          <w:rStyle w:val="FootnoteReference"/>
        </w:rPr>
        <w:footnoteRef/>
      </w:r>
      <w:r>
        <w:t xml:space="preserve"> The exception is HILDA Wave 15 and Wave 19 (conducted in 2015 and 2019) when fertility intentions were asked to a more restricted sample of respondents in HILDA. </w:t>
      </w:r>
    </w:p>
  </w:footnote>
  <w:footnote w:id="37">
    <w:p w14:paraId="0D357458" w14:textId="77777777" w:rsidR="00C33FAA" w:rsidRDefault="00C33FAA" w:rsidP="00244248">
      <w:pPr>
        <w:pStyle w:val="FootnoteText"/>
      </w:pPr>
      <w:r>
        <w:rPr>
          <w:rStyle w:val="FootnoteReference"/>
        </w:rPr>
        <w:footnoteRef/>
      </w:r>
      <w:r>
        <w:t xml:space="preserve"> The figure of 36% differs from 37% mentioned earlier in the text, as 36% is based is on total distribution also including those who did not know or refused to answer. </w:t>
      </w:r>
    </w:p>
  </w:footnote>
  <w:footnote w:id="38">
    <w:p w14:paraId="23283A5A" w14:textId="77777777" w:rsidR="00C33FAA" w:rsidRDefault="00C33FAA" w:rsidP="00244248">
      <w:pPr>
        <w:pStyle w:val="FootnoteText"/>
      </w:pPr>
      <w:r>
        <w:rPr>
          <w:rStyle w:val="FootnoteReference"/>
        </w:rPr>
        <w:footnoteRef/>
      </w:r>
      <w:r>
        <w:t xml:space="preserve"> For some analysis women with missing values, or those not asked were dropped leading to a lower sample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4181" w14:textId="118601CD" w:rsidR="00C33FAA" w:rsidRPr="00F60198" w:rsidRDefault="00C33FAA" w:rsidP="00E04BA2">
    <w:pPr>
      <w:pStyle w:val="HeaderOdd"/>
    </w:pPr>
  </w:p>
  <w:p w14:paraId="6C284C4E" w14:textId="1D494A12" w:rsidR="00C33FAA" w:rsidRDefault="00C33FAA">
    <w:pPr>
      <w:pStyle w:val="Header"/>
    </w:pPr>
  </w:p>
  <w:p w14:paraId="5018E69C" w14:textId="77777777" w:rsidR="00C33FAA" w:rsidRDefault="00C33F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0DC5" w14:textId="1C0CCB4C" w:rsidR="00C33FAA" w:rsidRPr="00F60198" w:rsidRDefault="00166A92" w:rsidP="00E04BA2">
    <w:pPr>
      <w:pStyle w:val="HeaderOdd"/>
    </w:pPr>
    <w:fldSimple w:instr=" STYLEREF  &quot;Heading 1&quot;  \* MERGEFORMAT ">
      <w:r w:rsidR="0054074B">
        <w:rPr>
          <w:noProof/>
        </w:rPr>
        <w:t>The main driving forces of low fertility</w:t>
      </w:r>
    </w:fldSimple>
  </w:p>
  <w:p w14:paraId="37BB2658" w14:textId="77777777" w:rsidR="00C33FAA" w:rsidRDefault="00C33FAA">
    <w:pPr>
      <w:pStyle w:val="Header"/>
    </w:pPr>
  </w:p>
  <w:p w14:paraId="21BAC767" w14:textId="77777777" w:rsidR="00C33FAA" w:rsidRDefault="00C33F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DAF5" w14:textId="47C14A2B" w:rsidR="00C33FAA" w:rsidRDefault="00C33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4067"/>
    <w:multiLevelType w:val="hybridMultilevel"/>
    <w:tmpl w:val="1B305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9022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AE1085"/>
    <w:multiLevelType w:val="multilevel"/>
    <w:tmpl w:val="F9F0FCE4"/>
    <w:lvl w:ilvl="0">
      <w:start w:val="13"/>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2561D1"/>
    <w:multiLevelType w:val="multilevel"/>
    <w:tmpl w:val="1EB68D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2A332BC"/>
    <w:multiLevelType w:val="hybridMultilevel"/>
    <w:tmpl w:val="1570A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83A5E"/>
    <w:multiLevelType w:val="hybridMultilevel"/>
    <w:tmpl w:val="C3DC72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4A812F7"/>
    <w:multiLevelType w:val="hybridMultilevel"/>
    <w:tmpl w:val="9AD43AAC"/>
    <w:lvl w:ilvl="0" w:tplc="685AB3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E49CE"/>
    <w:multiLevelType w:val="hybridMultilevel"/>
    <w:tmpl w:val="49D25EE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3E16C2"/>
    <w:multiLevelType w:val="hybridMultilevel"/>
    <w:tmpl w:val="7D4C3822"/>
    <w:lvl w:ilvl="0" w:tplc="7F4ACEA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5283E"/>
    <w:multiLevelType w:val="hybridMultilevel"/>
    <w:tmpl w:val="F906DE8C"/>
    <w:lvl w:ilvl="0" w:tplc="685AB36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74B75"/>
    <w:multiLevelType w:val="multilevel"/>
    <w:tmpl w:val="23A0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26BF0"/>
    <w:multiLevelType w:val="multilevel"/>
    <w:tmpl w:val="863C3022"/>
    <w:lvl w:ilvl="0">
      <w:start w:val="1"/>
      <w:numFmt w:val="lowerRoman"/>
      <w:pStyle w:val="Romannumeral"/>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A76AF8"/>
    <w:multiLevelType w:val="hybridMultilevel"/>
    <w:tmpl w:val="DB62F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5163A2"/>
    <w:multiLevelType w:val="hybridMultilevel"/>
    <w:tmpl w:val="E256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5B0EE9"/>
    <w:multiLevelType w:val="multilevel"/>
    <w:tmpl w:val="8F5A10EA"/>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796626"/>
    <w:multiLevelType w:val="hybridMultilevel"/>
    <w:tmpl w:val="F59C2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8860C8"/>
    <w:multiLevelType w:val="multilevel"/>
    <w:tmpl w:val="059A5AC8"/>
    <w:styleLink w:val="CurrentList1"/>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1DA455E"/>
    <w:multiLevelType w:val="multilevel"/>
    <w:tmpl w:val="669CF068"/>
    <w:lvl w:ilvl="0">
      <w:start w:val="13"/>
      <w:numFmt w:val="decimal"/>
      <w:lvlText w:val="%1."/>
      <w:lvlJc w:val="left"/>
      <w:pPr>
        <w:ind w:left="360" w:hanging="360"/>
      </w:pPr>
      <w:rPr>
        <w:rFonts w:hint="default"/>
      </w:rPr>
    </w:lvl>
    <w:lvl w:ilvl="1">
      <w:start w:val="1"/>
      <w:numFmt w:val="decimal"/>
      <w:lvlText w:val="%1.%2."/>
      <w:lvlJc w:val="left"/>
      <w:pPr>
        <w:ind w:left="851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4258B7"/>
    <w:multiLevelType w:val="hybridMultilevel"/>
    <w:tmpl w:val="484E35E6"/>
    <w:lvl w:ilvl="0" w:tplc="7F4ACEA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C613DA"/>
    <w:multiLevelType w:val="multilevel"/>
    <w:tmpl w:val="C5DAF2C6"/>
    <w:styleLink w:val="CurrentList2"/>
    <w:lvl w:ilvl="0">
      <w:start w:val="1"/>
      <w:numFmt w:val="decimal"/>
      <w:lvlText w:val="%12"/>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7296149"/>
    <w:multiLevelType w:val="hybridMultilevel"/>
    <w:tmpl w:val="F3521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C51067"/>
    <w:multiLevelType w:val="hybridMultilevel"/>
    <w:tmpl w:val="F2184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BF3ABA"/>
    <w:multiLevelType w:val="multilevel"/>
    <w:tmpl w:val="4FE2E3A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tentative="1">
      <w:start w:val="1"/>
      <w:numFmt w:val="bullet"/>
      <w:lvlText w:val=""/>
      <w:lvlJc w:val="left"/>
      <w:pPr>
        <w:tabs>
          <w:tab w:val="num" w:pos="1080"/>
        </w:tabs>
        <w:ind w:left="1080" w:hanging="360"/>
      </w:pPr>
      <w:rPr>
        <w:rFonts w:ascii="Wingdings" w:hAnsi="Wingdings" w:hint="default"/>
        <w:sz w:val="20"/>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24" w15:restartNumberingAfterBreak="0">
    <w:nsid w:val="400C4D4E"/>
    <w:multiLevelType w:val="hybridMultilevel"/>
    <w:tmpl w:val="D1509AF0"/>
    <w:lvl w:ilvl="0" w:tplc="685AB3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8994A12"/>
    <w:multiLevelType w:val="hybridMultilevel"/>
    <w:tmpl w:val="CB2C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B73DB9"/>
    <w:multiLevelType w:val="hybridMultilevel"/>
    <w:tmpl w:val="33BE5648"/>
    <w:lvl w:ilvl="0" w:tplc="5BE4979E">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6C3759"/>
    <w:multiLevelType w:val="hybridMultilevel"/>
    <w:tmpl w:val="5970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3A5CC2"/>
    <w:multiLevelType w:val="hybridMultilevel"/>
    <w:tmpl w:val="72500400"/>
    <w:lvl w:ilvl="0" w:tplc="0C090001">
      <w:start w:val="1"/>
      <w:numFmt w:val="bullet"/>
      <w:lvlText w:val=""/>
      <w:lvlJc w:val="left"/>
      <w:pPr>
        <w:ind w:left="720" w:hanging="360"/>
      </w:pPr>
      <w:rPr>
        <w:rFonts w:ascii="Symbol" w:hAnsi="Symbol" w:hint="default"/>
      </w:rPr>
    </w:lvl>
    <w:lvl w:ilvl="1" w:tplc="B32072DC">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8D0676"/>
    <w:multiLevelType w:val="hybridMultilevel"/>
    <w:tmpl w:val="5DA04E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950193"/>
    <w:multiLevelType w:val="hybridMultilevel"/>
    <w:tmpl w:val="3830D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8D21B3"/>
    <w:multiLevelType w:val="hybridMultilevel"/>
    <w:tmpl w:val="18A6DBC2"/>
    <w:lvl w:ilvl="0" w:tplc="685AB3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E911999"/>
    <w:multiLevelType w:val="hybridMultilevel"/>
    <w:tmpl w:val="82BCE4CE"/>
    <w:lvl w:ilvl="0" w:tplc="685AB3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3BC637E"/>
    <w:multiLevelType w:val="multilevel"/>
    <w:tmpl w:val="5E881A1C"/>
    <w:styleLink w:val="CurrentList3"/>
    <w:lvl w:ilvl="0">
      <w:start w:val="1"/>
      <w:numFmt w:val="decimal"/>
      <w:lvlText w:val="%12"/>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3D81031"/>
    <w:multiLevelType w:val="hybridMultilevel"/>
    <w:tmpl w:val="D0D63230"/>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35" w15:restartNumberingAfterBreak="0">
    <w:nsid w:val="643876C1"/>
    <w:multiLevelType w:val="hybridMultilevel"/>
    <w:tmpl w:val="1882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4166F3"/>
    <w:multiLevelType w:val="hybridMultilevel"/>
    <w:tmpl w:val="6E8EB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117755"/>
    <w:multiLevelType w:val="multilevel"/>
    <w:tmpl w:val="1116FC3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3200" w:hanging="360"/>
      </w:pPr>
    </w:lvl>
    <w:lvl w:ilvl="4">
      <w:start w:val="1"/>
      <w:numFmt w:val="lowerLetter"/>
      <w:lvlText w:val="(%5)"/>
      <w:lvlJc w:val="left"/>
      <w:pPr>
        <w:ind w:left="3560" w:hanging="360"/>
      </w:pPr>
    </w:lvl>
    <w:lvl w:ilvl="5">
      <w:start w:val="1"/>
      <w:numFmt w:val="lowerRoman"/>
      <w:lvlText w:val="(%6)"/>
      <w:lvlJc w:val="left"/>
      <w:pPr>
        <w:ind w:left="3920" w:hanging="360"/>
      </w:pPr>
    </w:lvl>
    <w:lvl w:ilvl="6">
      <w:start w:val="1"/>
      <w:numFmt w:val="decimal"/>
      <w:lvlText w:val="%7."/>
      <w:lvlJc w:val="left"/>
      <w:pPr>
        <w:ind w:left="4280" w:hanging="360"/>
      </w:pPr>
    </w:lvl>
    <w:lvl w:ilvl="7">
      <w:start w:val="1"/>
      <w:numFmt w:val="lowerLetter"/>
      <w:lvlText w:val="%8."/>
      <w:lvlJc w:val="left"/>
      <w:pPr>
        <w:ind w:left="4640" w:hanging="360"/>
      </w:pPr>
    </w:lvl>
    <w:lvl w:ilvl="8">
      <w:start w:val="1"/>
      <w:numFmt w:val="lowerRoman"/>
      <w:lvlText w:val="%9."/>
      <w:lvlJc w:val="left"/>
      <w:pPr>
        <w:ind w:left="5000" w:hanging="360"/>
      </w:pPr>
    </w:lvl>
  </w:abstractNum>
  <w:abstractNum w:abstractNumId="38" w15:restartNumberingAfterBreak="0">
    <w:nsid w:val="65261C4F"/>
    <w:multiLevelType w:val="hybridMultilevel"/>
    <w:tmpl w:val="57B6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555CEE"/>
    <w:multiLevelType w:val="hybridMultilevel"/>
    <w:tmpl w:val="D172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A325F6"/>
    <w:multiLevelType w:val="hybridMultilevel"/>
    <w:tmpl w:val="16007768"/>
    <w:lvl w:ilvl="0" w:tplc="7F4ACEAA">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E0050F7"/>
    <w:multiLevelType w:val="multilevel"/>
    <w:tmpl w:val="B84C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0E4BC9"/>
    <w:multiLevelType w:val="multilevel"/>
    <w:tmpl w:val="D0F027F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3665C63"/>
    <w:multiLevelType w:val="hybridMultilevel"/>
    <w:tmpl w:val="028890D0"/>
    <w:lvl w:ilvl="0" w:tplc="7F4ACEA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11"/>
  </w:num>
  <w:num w:numId="4">
    <w:abstractNumId w:val="26"/>
  </w:num>
  <w:num w:numId="5">
    <w:abstractNumId w:val="27"/>
  </w:num>
  <w:num w:numId="6">
    <w:abstractNumId w:val="8"/>
  </w:num>
  <w:num w:numId="7">
    <w:abstractNumId w:val="32"/>
  </w:num>
  <w:num w:numId="8">
    <w:abstractNumId w:val="31"/>
  </w:num>
  <w:num w:numId="9">
    <w:abstractNumId w:val="24"/>
  </w:num>
  <w:num w:numId="10">
    <w:abstractNumId w:val="7"/>
  </w:num>
  <w:num w:numId="11">
    <w:abstractNumId w:val="10"/>
  </w:num>
  <w:num w:numId="12">
    <w:abstractNumId w:val="37"/>
  </w:num>
  <w:num w:numId="13">
    <w:abstractNumId w:val="14"/>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41"/>
  </w:num>
  <w:num w:numId="18">
    <w:abstractNumId w:val="23"/>
  </w:num>
  <w:num w:numId="19">
    <w:abstractNumId w:val="38"/>
  </w:num>
  <w:num w:numId="20">
    <w:abstractNumId w:val="25"/>
  </w:num>
  <w:num w:numId="21">
    <w:abstractNumId w:val="34"/>
  </w:num>
  <w:num w:numId="22">
    <w:abstractNumId w:val="16"/>
  </w:num>
  <w:num w:numId="23">
    <w:abstractNumId w:val="39"/>
  </w:num>
  <w:num w:numId="24">
    <w:abstractNumId w:val="40"/>
  </w:num>
  <w:num w:numId="25">
    <w:abstractNumId w:val="19"/>
  </w:num>
  <w:num w:numId="26">
    <w:abstractNumId w:val="9"/>
  </w:num>
  <w:num w:numId="27">
    <w:abstractNumId w:val="43"/>
  </w:num>
  <w:num w:numId="28">
    <w:abstractNumId w:val="22"/>
  </w:num>
  <w:num w:numId="29">
    <w:abstractNumId w:val="5"/>
  </w:num>
  <w:num w:numId="30">
    <w:abstractNumId w:val="13"/>
  </w:num>
  <w:num w:numId="31">
    <w:abstractNumId w:val="17"/>
  </w:num>
  <w:num w:numId="32">
    <w:abstractNumId w:val="20"/>
  </w:num>
  <w:num w:numId="33">
    <w:abstractNumId w:val="33"/>
  </w:num>
  <w:num w:numId="34">
    <w:abstractNumId w:val="1"/>
  </w:num>
  <w:num w:numId="35">
    <w:abstractNumId w:val="15"/>
  </w:num>
  <w:num w:numId="36">
    <w:abstractNumId w:val="35"/>
  </w:num>
  <w:num w:numId="37">
    <w:abstractNumId w:val="18"/>
  </w:num>
  <w:num w:numId="38">
    <w:abstractNumId w:val="28"/>
  </w:num>
  <w:num w:numId="39">
    <w:abstractNumId w:val="2"/>
  </w:num>
  <w:num w:numId="40">
    <w:abstractNumId w:val="29"/>
  </w:num>
  <w:num w:numId="41">
    <w:abstractNumId w:val="21"/>
  </w:num>
  <w:num w:numId="42">
    <w:abstractNumId w:val="6"/>
  </w:num>
  <w:num w:numId="43">
    <w:abstractNumId w:val="3"/>
  </w:num>
  <w:num w:numId="44">
    <w:abstractNumId w:val="12"/>
  </w:num>
  <w:num w:numId="45">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yMLa0MDMxMzY2tzRX0lEKTi0uzszPAykwMqoFANf26kMtAAAA"/>
  </w:docVars>
  <w:rsids>
    <w:rsidRoot w:val="00157FC5"/>
    <w:rsid w:val="000005F0"/>
    <w:rsid w:val="00002A67"/>
    <w:rsid w:val="00003096"/>
    <w:rsid w:val="000119AD"/>
    <w:rsid w:val="00012EBA"/>
    <w:rsid w:val="000144B1"/>
    <w:rsid w:val="00014F39"/>
    <w:rsid w:val="00014FE7"/>
    <w:rsid w:val="0001706A"/>
    <w:rsid w:val="00017448"/>
    <w:rsid w:val="0001762E"/>
    <w:rsid w:val="00017E3C"/>
    <w:rsid w:val="0002092F"/>
    <w:rsid w:val="000209F1"/>
    <w:rsid w:val="00021530"/>
    <w:rsid w:val="000231A1"/>
    <w:rsid w:val="00024FC9"/>
    <w:rsid w:val="000251E3"/>
    <w:rsid w:val="0002554D"/>
    <w:rsid w:val="0002568E"/>
    <w:rsid w:val="0002605C"/>
    <w:rsid w:val="000261A3"/>
    <w:rsid w:val="00026942"/>
    <w:rsid w:val="00026ED1"/>
    <w:rsid w:val="00027A9B"/>
    <w:rsid w:val="00027DC5"/>
    <w:rsid w:val="00027F91"/>
    <w:rsid w:val="00030655"/>
    <w:rsid w:val="00030B18"/>
    <w:rsid w:val="00031258"/>
    <w:rsid w:val="00031C1C"/>
    <w:rsid w:val="00032220"/>
    <w:rsid w:val="000324B9"/>
    <w:rsid w:val="000335A0"/>
    <w:rsid w:val="00035703"/>
    <w:rsid w:val="00035840"/>
    <w:rsid w:val="00036159"/>
    <w:rsid w:val="000367F5"/>
    <w:rsid w:val="000372F1"/>
    <w:rsid w:val="00037447"/>
    <w:rsid w:val="00037E41"/>
    <w:rsid w:val="0004153C"/>
    <w:rsid w:val="00043885"/>
    <w:rsid w:val="000445EC"/>
    <w:rsid w:val="00046C77"/>
    <w:rsid w:val="00047E97"/>
    <w:rsid w:val="00053EBA"/>
    <w:rsid w:val="00054312"/>
    <w:rsid w:val="000548C7"/>
    <w:rsid w:val="00061D9A"/>
    <w:rsid w:val="00061E65"/>
    <w:rsid w:val="000627B7"/>
    <w:rsid w:val="00063EB0"/>
    <w:rsid w:val="00064DCC"/>
    <w:rsid w:val="00066A13"/>
    <w:rsid w:val="00066F76"/>
    <w:rsid w:val="00067A57"/>
    <w:rsid w:val="00070722"/>
    <w:rsid w:val="000721D9"/>
    <w:rsid w:val="0007339F"/>
    <w:rsid w:val="0007618E"/>
    <w:rsid w:val="000767E4"/>
    <w:rsid w:val="00077D36"/>
    <w:rsid w:val="000803EB"/>
    <w:rsid w:val="0008045B"/>
    <w:rsid w:val="000806A4"/>
    <w:rsid w:val="0008072A"/>
    <w:rsid w:val="000815BF"/>
    <w:rsid w:val="00081B9D"/>
    <w:rsid w:val="000829CE"/>
    <w:rsid w:val="000832E6"/>
    <w:rsid w:val="00083754"/>
    <w:rsid w:val="00084725"/>
    <w:rsid w:val="00084969"/>
    <w:rsid w:val="000850DA"/>
    <w:rsid w:val="000857DB"/>
    <w:rsid w:val="00086285"/>
    <w:rsid w:val="00090681"/>
    <w:rsid w:val="00090AB6"/>
    <w:rsid w:val="00090C33"/>
    <w:rsid w:val="00091259"/>
    <w:rsid w:val="00093B4C"/>
    <w:rsid w:val="00094B00"/>
    <w:rsid w:val="0009511C"/>
    <w:rsid w:val="000953DE"/>
    <w:rsid w:val="0009747B"/>
    <w:rsid w:val="00097884"/>
    <w:rsid w:val="00097D0C"/>
    <w:rsid w:val="000A05A6"/>
    <w:rsid w:val="000A06DB"/>
    <w:rsid w:val="000A108F"/>
    <w:rsid w:val="000A22FC"/>
    <w:rsid w:val="000A24BA"/>
    <w:rsid w:val="000A3768"/>
    <w:rsid w:val="000A3840"/>
    <w:rsid w:val="000A4949"/>
    <w:rsid w:val="000A5A0B"/>
    <w:rsid w:val="000A60E8"/>
    <w:rsid w:val="000B0900"/>
    <w:rsid w:val="000B0EBF"/>
    <w:rsid w:val="000B1545"/>
    <w:rsid w:val="000B15C7"/>
    <w:rsid w:val="000B2351"/>
    <w:rsid w:val="000B516A"/>
    <w:rsid w:val="000B548D"/>
    <w:rsid w:val="000B6879"/>
    <w:rsid w:val="000B6A72"/>
    <w:rsid w:val="000B6E36"/>
    <w:rsid w:val="000B7822"/>
    <w:rsid w:val="000B7B15"/>
    <w:rsid w:val="000C082D"/>
    <w:rsid w:val="000C0C56"/>
    <w:rsid w:val="000C4AB4"/>
    <w:rsid w:val="000C6922"/>
    <w:rsid w:val="000C6C79"/>
    <w:rsid w:val="000C7D3A"/>
    <w:rsid w:val="000D0B76"/>
    <w:rsid w:val="000D1017"/>
    <w:rsid w:val="000D34C5"/>
    <w:rsid w:val="000D3A3D"/>
    <w:rsid w:val="000D5997"/>
    <w:rsid w:val="000D5D95"/>
    <w:rsid w:val="000D74B1"/>
    <w:rsid w:val="000D7D1B"/>
    <w:rsid w:val="000D7FF8"/>
    <w:rsid w:val="000E1E6A"/>
    <w:rsid w:val="000E23AE"/>
    <w:rsid w:val="000E425B"/>
    <w:rsid w:val="000E44A2"/>
    <w:rsid w:val="000E7EFB"/>
    <w:rsid w:val="000F01DD"/>
    <w:rsid w:val="000F1683"/>
    <w:rsid w:val="000F1EBD"/>
    <w:rsid w:val="000F3E44"/>
    <w:rsid w:val="000F5804"/>
    <w:rsid w:val="000F6E51"/>
    <w:rsid w:val="000F7AF6"/>
    <w:rsid w:val="001001A5"/>
    <w:rsid w:val="001005A5"/>
    <w:rsid w:val="00100F3E"/>
    <w:rsid w:val="00104CCA"/>
    <w:rsid w:val="00106F2F"/>
    <w:rsid w:val="001102F0"/>
    <w:rsid w:val="001105EE"/>
    <w:rsid w:val="001112D6"/>
    <w:rsid w:val="001114B5"/>
    <w:rsid w:val="00114115"/>
    <w:rsid w:val="0011465C"/>
    <w:rsid w:val="00115E22"/>
    <w:rsid w:val="001230D1"/>
    <w:rsid w:val="00123358"/>
    <w:rsid w:val="001244DA"/>
    <w:rsid w:val="00124789"/>
    <w:rsid w:val="00124A92"/>
    <w:rsid w:val="00124BAD"/>
    <w:rsid w:val="001253A2"/>
    <w:rsid w:val="00126291"/>
    <w:rsid w:val="0012766C"/>
    <w:rsid w:val="00127B94"/>
    <w:rsid w:val="00132048"/>
    <w:rsid w:val="00132493"/>
    <w:rsid w:val="0013420C"/>
    <w:rsid w:val="00134AB7"/>
    <w:rsid w:val="00134E27"/>
    <w:rsid w:val="0013573E"/>
    <w:rsid w:val="001368C7"/>
    <w:rsid w:val="00136EE9"/>
    <w:rsid w:val="001372A9"/>
    <w:rsid w:val="00140F1C"/>
    <w:rsid w:val="001411BE"/>
    <w:rsid w:val="00142D17"/>
    <w:rsid w:val="0014388E"/>
    <w:rsid w:val="00146E78"/>
    <w:rsid w:val="00151566"/>
    <w:rsid w:val="00152D1D"/>
    <w:rsid w:val="001534B5"/>
    <w:rsid w:val="00157DCE"/>
    <w:rsid w:val="00157FC5"/>
    <w:rsid w:val="00161F0C"/>
    <w:rsid w:val="001632DD"/>
    <w:rsid w:val="001645A1"/>
    <w:rsid w:val="00164738"/>
    <w:rsid w:val="00164EAB"/>
    <w:rsid w:val="00165F0E"/>
    <w:rsid w:val="001669B2"/>
    <w:rsid w:val="00166A92"/>
    <w:rsid w:val="00167A13"/>
    <w:rsid w:val="0017148B"/>
    <w:rsid w:val="00171F6B"/>
    <w:rsid w:val="001738AC"/>
    <w:rsid w:val="00173F2C"/>
    <w:rsid w:val="00173FD4"/>
    <w:rsid w:val="00174257"/>
    <w:rsid w:val="00175E61"/>
    <w:rsid w:val="00175FA8"/>
    <w:rsid w:val="00176AF6"/>
    <w:rsid w:val="001776E3"/>
    <w:rsid w:val="00177C9B"/>
    <w:rsid w:val="0018055B"/>
    <w:rsid w:val="00185CA7"/>
    <w:rsid w:val="00186180"/>
    <w:rsid w:val="00187434"/>
    <w:rsid w:val="001910D9"/>
    <w:rsid w:val="001923B9"/>
    <w:rsid w:val="00193101"/>
    <w:rsid w:val="001942B4"/>
    <w:rsid w:val="001965DB"/>
    <w:rsid w:val="001A0D82"/>
    <w:rsid w:val="001A1ACB"/>
    <w:rsid w:val="001A4417"/>
    <w:rsid w:val="001A5130"/>
    <w:rsid w:val="001A533E"/>
    <w:rsid w:val="001A6360"/>
    <w:rsid w:val="001B0784"/>
    <w:rsid w:val="001B3DC7"/>
    <w:rsid w:val="001B4BFE"/>
    <w:rsid w:val="001B7D3F"/>
    <w:rsid w:val="001C2B62"/>
    <w:rsid w:val="001C39EC"/>
    <w:rsid w:val="001C478F"/>
    <w:rsid w:val="001C5EA9"/>
    <w:rsid w:val="001D120C"/>
    <w:rsid w:val="001D32B0"/>
    <w:rsid w:val="001D393D"/>
    <w:rsid w:val="001D3B56"/>
    <w:rsid w:val="001D5C8E"/>
    <w:rsid w:val="001E0F6C"/>
    <w:rsid w:val="001E2874"/>
    <w:rsid w:val="001E53A9"/>
    <w:rsid w:val="001E68C7"/>
    <w:rsid w:val="001E6B32"/>
    <w:rsid w:val="001E6E97"/>
    <w:rsid w:val="001E6EF0"/>
    <w:rsid w:val="001E797C"/>
    <w:rsid w:val="001E7BD2"/>
    <w:rsid w:val="001F01C9"/>
    <w:rsid w:val="001F0776"/>
    <w:rsid w:val="001F30A2"/>
    <w:rsid w:val="001F6931"/>
    <w:rsid w:val="001F7FDC"/>
    <w:rsid w:val="002014B5"/>
    <w:rsid w:val="002015B3"/>
    <w:rsid w:val="0020230F"/>
    <w:rsid w:val="002037BB"/>
    <w:rsid w:val="00203E7C"/>
    <w:rsid w:val="002045A5"/>
    <w:rsid w:val="00206AA7"/>
    <w:rsid w:val="00206D1F"/>
    <w:rsid w:val="00210377"/>
    <w:rsid w:val="002107B7"/>
    <w:rsid w:val="00211111"/>
    <w:rsid w:val="002124EE"/>
    <w:rsid w:val="00212C27"/>
    <w:rsid w:val="00213539"/>
    <w:rsid w:val="00213A9B"/>
    <w:rsid w:val="00214A11"/>
    <w:rsid w:val="00214C1F"/>
    <w:rsid w:val="00223C3A"/>
    <w:rsid w:val="00224973"/>
    <w:rsid w:val="0022676A"/>
    <w:rsid w:val="002271C9"/>
    <w:rsid w:val="00230BA5"/>
    <w:rsid w:val="0023179F"/>
    <w:rsid w:val="00232F89"/>
    <w:rsid w:val="00235179"/>
    <w:rsid w:val="0023547F"/>
    <w:rsid w:val="0023687F"/>
    <w:rsid w:val="00236E03"/>
    <w:rsid w:val="00243674"/>
    <w:rsid w:val="00243C37"/>
    <w:rsid w:val="00244248"/>
    <w:rsid w:val="002454C0"/>
    <w:rsid w:val="00246733"/>
    <w:rsid w:val="002471CE"/>
    <w:rsid w:val="002501F5"/>
    <w:rsid w:val="0025040C"/>
    <w:rsid w:val="0025110C"/>
    <w:rsid w:val="0025211F"/>
    <w:rsid w:val="00252D7E"/>
    <w:rsid w:val="0025384E"/>
    <w:rsid w:val="00253D4B"/>
    <w:rsid w:val="0025501A"/>
    <w:rsid w:val="00255EAF"/>
    <w:rsid w:val="00256B63"/>
    <w:rsid w:val="00257D94"/>
    <w:rsid w:val="00257F9E"/>
    <w:rsid w:val="00260FAE"/>
    <w:rsid w:val="00261CC2"/>
    <w:rsid w:val="00265299"/>
    <w:rsid w:val="00265C05"/>
    <w:rsid w:val="00265C34"/>
    <w:rsid w:val="0026646C"/>
    <w:rsid w:val="00267531"/>
    <w:rsid w:val="00267F7E"/>
    <w:rsid w:val="0027197D"/>
    <w:rsid w:val="00272163"/>
    <w:rsid w:val="00272FD1"/>
    <w:rsid w:val="002736EC"/>
    <w:rsid w:val="00277039"/>
    <w:rsid w:val="002770F1"/>
    <w:rsid w:val="00277E3C"/>
    <w:rsid w:val="0028005C"/>
    <w:rsid w:val="002823D9"/>
    <w:rsid w:val="0028294B"/>
    <w:rsid w:val="00283853"/>
    <w:rsid w:val="0028489B"/>
    <w:rsid w:val="0028653B"/>
    <w:rsid w:val="002876DB"/>
    <w:rsid w:val="00287BD5"/>
    <w:rsid w:val="002908A1"/>
    <w:rsid w:val="0029133E"/>
    <w:rsid w:val="002923C6"/>
    <w:rsid w:val="0029306D"/>
    <w:rsid w:val="00293343"/>
    <w:rsid w:val="00293E5C"/>
    <w:rsid w:val="00294725"/>
    <w:rsid w:val="002955A2"/>
    <w:rsid w:val="002960D2"/>
    <w:rsid w:val="0029613E"/>
    <w:rsid w:val="002961E2"/>
    <w:rsid w:val="00296658"/>
    <w:rsid w:val="00296E6B"/>
    <w:rsid w:val="002A15E1"/>
    <w:rsid w:val="002A2FD6"/>
    <w:rsid w:val="002A3B69"/>
    <w:rsid w:val="002A51B7"/>
    <w:rsid w:val="002A5727"/>
    <w:rsid w:val="002A6E7C"/>
    <w:rsid w:val="002A7018"/>
    <w:rsid w:val="002A7DED"/>
    <w:rsid w:val="002B03D1"/>
    <w:rsid w:val="002B0973"/>
    <w:rsid w:val="002B0CA7"/>
    <w:rsid w:val="002B0DE0"/>
    <w:rsid w:val="002B1C9F"/>
    <w:rsid w:val="002B2AE7"/>
    <w:rsid w:val="002B3898"/>
    <w:rsid w:val="002B38FD"/>
    <w:rsid w:val="002B3AF0"/>
    <w:rsid w:val="002B4F52"/>
    <w:rsid w:val="002B5C21"/>
    <w:rsid w:val="002B6C94"/>
    <w:rsid w:val="002B6DF0"/>
    <w:rsid w:val="002B7AC2"/>
    <w:rsid w:val="002C009D"/>
    <w:rsid w:val="002C0271"/>
    <w:rsid w:val="002C1D85"/>
    <w:rsid w:val="002C1FAF"/>
    <w:rsid w:val="002C1FCD"/>
    <w:rsid w:val="002C3592"/>
    <w:rsid w:val="002C4052"/>
    <w:rsid w:val="002C4DA1"/>
    <w:rsid w:val="002C58E8"/>
    <w:rsid w:val="002C6810"/>
    <w:rsid w:val="002C6DA3"/>
    <w:rsid w:val="002D0A08"/>
    <w:rsid w:val="002D33B8"/>
    <w:rsid w:val="002D3C9D"/>
    <w:rsid w:val="002D4711"/>
    <w:rsid w:val="002D4920"/>
    <w:rsid w:val="002D4CA3"/>
    <w:rsid w:val="002D4F77"/>
    <w:rsid w:val="002D54F2"/>
    <w:rsid w:val="002D78CE"/>
    <w:rsid w:val="002D7CF6"/>
    <w:rsid w:val="002E0C8E"/>
    <w:rsid w:val="002E2751"/>
    <w:rsid w:val="002E2A5C"/>
    <w:rsid w:val="002E3247"/>
    <w:rsid w:val="002E3C0A"/>
    <w:rsid w:val="002E46D8"/>
    <w:rsid w:val="002E4D8E"/>
    <w:rsid w:val="002E52D7"/>
    <w:rsid w:val="002E5852"/>
    <w:rsid w:val="002E732F"/>
    <w:rsid w:val="002F0438"/>
    <w:rsid w:val="002F3C5D"/>
    <w:rsid w:val="002F3F9C"/>
    <w:rsid w:val="002F4E7F"/>
    <w:rsid w:val="002F5B2D"/>
    <w:rsid w:val="002F628F"/>
    <w:rsid w:val="00301FAA"/>
    <w:rsid w:val="00302582"/>
    <w:rsid w:val="0030322D"/>
    <w:rsid w:val="00303441"/>
    <w:rsid w:val="003039B8"/>
    <w:rsid w:val="00304CA0"/>
    <w:rsid w:val="0030628D"/>
    <w:rsid w:val="00306684"/>
    <w:rsid w:val="00307A12"/>
    <w:rsid w:val="00310C3F"/>
    <w:rsid w:val="00310EF1"/>
    <w:rsid w:val="003120FB"/>
    <w:rsid w:val="00315B78"/>
    <w:rsid w:val="003172F9"/>
    <w:rsid w:val="003206B1"/>
    <w:rsid w:val="00322C5F"/>
    <w:rsid w:val="0032406E"/>
    <w:rsid w:val="00325C45"/>
    <w:rsid w:val="0033083E"/>
    <w:rsid w:val="00331346"/>
    <w:rsid w:val="00331B98"/>
    <w:rsid w:val="00331EAF"/>
    <w:rsid w:val="0033245B"/>
    <w:rsid w:val="00334C53"/>
    <w:rsid w:val="00334C99"/>
    <w:rsid w:val="00334ED0"/>
    <w:rsid w:val="00335B25"/>
    <w:rsid w:val="00341A91"/>
    <w:rsid w:val="003422B5"/>
    <w:rsid w:val="00342652"/>
    <w:rsid w:val="00343A92"/>
    <w:rsid w:val="00344C9B"/>
    <w:rsid w:val="00345B67"/>
    <w:rsid w:val="0035335C"/>
    <w:rsid w:val="00354AC1"/>
    <w:rsid w:val="00355DB7"/>
    <w:rsid w:val="00356770"/>
    <w:rsid w:val="00357F25"/>
    <w:rsid w:val="00360013"/>
    <w:rsid w:val="00360ABE"/>
    <w:rsid w:val="003635BF"/>
    <w:rsid w:val="00363C31"/>
    <w:rsid w:val="00365814"/>
    <w:rsid w:val="00366518"/>
    <w:rsid w:val="00367529"/>
    <w:rsid w:val="00367571"/>
    <w:rsid w:val="003705C1"/>
    <w:rsid w:val="00372768"/>
    <w:rsid w:val="00374258"/>
    <w:rsid w:val="00374596"/>
    <w:rsid w:val="003745A5"/>
    <w:rsid w:val="00374AE8"/>
    <w:rsid w:val="00377F87"/>
    <w:rsid w:val="00380FE7"/>
    <w:rsid w:val="003830D4"/>
    <w:rsid w:val="00383136"/>
    <w:rsid w:val="0038398E"/>
    <w:rsid w:val="00383C21"/>
    <w:rsid w:val="003857F9"/>
    <w:rsid w:val="0038704A"/>
    <w:rsid w:val="00387B30"/>
    <w:rsid w:val="003979D0"/>
    <w:rsid w:val="003A1A83"/>
    <w:rsid w:val="003A5027"/>
    <w:rsid w:val="003A654D"/>
    <w:rsid w:val="003A75FA"/>
    <w:rsid w:val="003A7EEC"/>
    <w:rsid w:val="003B0FB4"/>
    <w:rsid w:val="003B2182"/>
    <w:rsid w:val="003B34F4"/>
    <w:rsid w:val="003B4A44"/>
    <w:rsid w:val="003B5768"/>
    <w:rsid w:val="003B6CB8"/>
    <w:rsid w:val="003B70F6"/>
    <w:rsid w:val="003C045B"/>
    <w:rsid w:val="003C057A"/>
    <w:rsid w:val="003C07EA"/>
    <w:rsid w:val="003C212B"/>
    <w:rsid w:val="003C3693"/>
    <w:rsid w:val="003D2E40"/>
    <w:rsid w:val="003D4676"/>
    <w:rsid w:val="003D5241"/>
    <w:rsid w:val="003D5C49"/>
    <w:rsid w:val="003D677E"/>
    <w:rsid w:val="003D7C82"/>
    <w:rsid w:val="003E08B2"/>
    <w:rsid w:val="003E0C42"/>
    <w:rsid w:val="003E19DB"/>
    <w:rsid w:val="003E250F"/>
    <w:rsid w:val="003E4630"/>
    <w:rsid w:val="003E5B77"/>
    <w:rsid w:val="003E71D4"/>
    <w:rsid w:val="003E771F"/>
    <w:rsid w:val="003E7ABC"/>
    <w:rsid w:val="003F094A"/>
    <w:rsid w:val="003F4298"/>
    <w:rsid w:val="003F7A7C"/>
    <w:rsid w:val="003F7F8B"/>
    <w:rsid w:val="004001A2"/>
    <w:rsid w:val="00401D59"/>
    <w:rsid w:val="00402C80"/>
    <w:rsid w:val="00403524"/>
    <w:rsid w:val="0040391B"/>
    <w:rsid w:val="004048E6"/>
    <w:rsid w:val="00404E33"/>
    <w:rsid w:val="004063C2"/>
    <w:rsid w:val="004065EF"/>
    <w:rsid w:val="00406D20"/>
    <w:rsid w:val="00410650"/>
    <w:rsid w:val="00410EEB"/>
    <w:rsid w:val="00411F64"/>
    <w:rsid w:val="004129FC"/>
    <w:rsid w:val="00412FFB"/>
    <w:rsid w:val="00413F16"/>
    <w:rsid w:val="00414014"/>
    <w:rsid w:val="00414063"/>
    <w:rsid w:val="00416135"/>
    <w:rsid w:val="004167A7"/>
    <w:rsid w:val="00416C38"/>
    <w:rsid w:val="004177FF"/>
    <w:rsid w:val="00420299"/>
    <w:rsid w:val="00421EA7"/>
    <w:rsid w:val="0042201E"/>
    <w:rsid w:val="00422627"/>
    <w:rsid w:val="00422D5A"/>
    <w:rsid w:val="00423954"/>
    <w:rsid w:val="00424A15"/>
    <w:rsid w:val="00424A23"/>
    <w:rsid w:val="00424CD5"/>
    <w:rsid w:val="00425227"/>
    <w:rsid w:val="0043125B"/>
    <w:rsid w:val="00431A0A"/>
    <w:rsid w:val="0043335D"/>
    <w:rsid w:val="00434E9A"/>
    <w:rsid w:val="00434FED"/>
    <w:rsid w:val="00440D4E"/>
    <w:rsid w:val="00442524"/>
    <w:rsid w:val="004429AF"/>
    <w:rsid w:val="00444B6D"/>
    <w:rsid w:val="00444D52"/>
    <w:rsid w:val="00447E9C"/>
    <w:rsid w:val="00452307"/>
    <w:rsid w:val="00453106"/>
    <w:rsid w:val="00453404"/>
    <w:rsid w:val="00453549"/>
    <w:rsid w:val="004548F6"/>
    <w:rsid w:val="004554B3"/>
    <w:rsid w:val="004576B0"/>
    <w:rsid w:val="00457C57"/>
    <w:rsid w:val="00460474"/>
    <w:rsid w:val="0046165A"/>
    <w:rsid w:val="00462F17"/>
    <w:rsid w:val="00463FE0"/>
    <w:rsid w:val="004657A5"/>
    <w:rsid w:val="00470B1A"/>
    <w:rsid w:val="004714F9"/>
    <w:rsid w:val="0047156B"/>
    <w:rsid w:val="0047191C"/>
    <w:rsid w:val="00471AEE"/>
    <w:rsid w:val="00472860"/>
    <w:rsid w:val="00475D7A"/>
    <w:rsid w:val="00480CAC"/>
    <w:rsid w:val="00482FDB"/>
    <w:rsid w:val="00484CC2"/>
    <w:rsid w:val="00485DAE"/>
    <w:rsid w:val="00486804"/>
    <w:rsid w:val="00487C2A"/>
    <w:rsid w:val="00490D73"/>
    <w:rsid w:val="0049139A"/>
    <w:rsid w:val="0049153D"/>
    <w:rsid w:val="0049184D"/>
    <w:rsid w:val="0049442D"/>
    <w:rsid w:val="00496014"/>
    <w:rsid w:val="00496406"/>
    <w:rsid w:val="004966A8"/>
    <w:rsid w:val="00496FB8"/>
    <w:rsid w:val="004972DB"/>
    <w:rsid w:val="004A1195"/>
    <w:rsid w:val="004A1E21"/>
    <w:rsid w:val="004A2403"/>
    <w:rsid w:val="004A2B31"/>
    <w:rsid w:val="004A49F1"/>
    <w:rsid w:val="004A50EC"/>
    <w:rsid w:val="004B1D83"/>
    <w:rsid w:val="004B2BCB"/>
    <w:rsid w:val="004B360A"/>
    <w:rsid w:val="004B4775"/>
    <w:rsid w:val="004B4D50"/>
    <w:rsid w:val="004B748D"/>
    <w:rsid w:val="004C0E77"/>
    <w:rsid w:val="004C245B"/>
    <w:rsid w:val="004C42F4"/>
    <w:rsid w:val="004C48FE"/>
    <w:rsid w:val="004C5513"/>
    <w:rsid w:val="004C71DD"/>
    <w:rsid w:val="004C7A8B"/>
    <w:rsid w:val="004D0068"/>
    <w:rsid w:val="004D040D"/>
    <w:rsid w:val="004D15A8"/>
    <w:rsid w:val="004D17F0"/>
    <w:rsid w:val="004D2B35"/>
    <w:rsid w:val="004D2C12"/>
    <w:rsid w:val="004D2DCB"/>
    <w:rsid w:val="004D3015"/>
    <w:rsid w:val="004D4EE4"/>
    <w:rsid w:val="004D52D1"/>
    <w:rsid w:val="004D5B81"/>
    <w:rsid w:val="004D7325"/>
    <w:rsid w:val="004D7F85"/>
    <w:rsid w:val="004E158B"/>
    <w:rsid w:val="004E2D17"/>
    <w:rsid w:val="004E3DF3"/>
    <w:rsid w:val="004E4730"/>
    <w:rsid w:val="004E4737"/>
    <w:rsid w:val="004E4762"/>
    <w:rsid w:val="004E6445"/>
    <w:rsid w:val="004E64F4"/>
    <w:rsid w:val="004F02CC"/>
    <w:rsid w:val="004F0DA0"/>
    <w:rsid w:val="004F11F4"/>
    <w:rsid w:val="004F23A5"/>
    <w:rsid w:val="004F3EB9"/>
    <w:rsid w:val="004F5EA6"/>
    <w:rsid w:val="004F616F"/>
    <w:rsid w:val="004F65F3"/>
    <w:rsid w:val="004F6B65"/>
    <w:rsid w:val="004F798A"/>
    <w:rsid w:val="005002DE"/>
    <w:rsid w:val="00500CE3"/>
    <w:rsid w:val="00501141"/>
    <w:rsid w:val="00501288"/>
    <w:rsid w:val="00501EB3"/>
    <w:rsid w:val="00501F5A"/>
    <w:rsid w:val="00505738"/>
    <w:rsid w:val="005058B8"/>
    <w:rsid w:val="00507055"/>
    <w:rsid w:val="00507B1F"/>
    <w:rsid w:val="005107A1"/>
    <w:rsid w:val="00510CC4"/>
    <w:rsid w:val="005125F6"/>
    <w:rsid w:val="00512C33"/>
    <w:rsid w:val="00512D13"/>
    <w:rsid w:val="005169AA"/>
    <w:rsid w:val="00516FB5"/>
    <w:rsid w:val="00517687"/>
    <w:rsid w:val="005209D6"/>
    <w:rsid w:val="005223E9"/>
    <w:rsid w:val="00523A30"/>
    <w:rsid w:val="00525927"/>
    <w:rsid w:val="005269EC"/>
    <w:rsid w:val="0053003E"/>
    <w:rsid w:val="0053343E"/>
    <w:rsid w:val="0053394A"/>
    <w:rsid w:val="00540009"/>
    <w:rsid w:val="0054074B"/>
    <w:rsid w:val="00541027"/>
    <w:rsid w:val="00541583"/>
    <w:rsid w:val="00542A04"/>
    <w:rsid w:val="00542BED"/>
    <w:rsid w:val="00542BF3"/>
    <w:rsid w:val="0054424C"/>
    <w:rsid w:val="00545000"/>
    <w:rsid w:val="0054521C"/>
    <w:rsid w:val="0054544E"/>
    <w:rsid w:val="00546435"/>
    <w:rsid w:val="00547051"/>
    <w:rsid w:val="00552620"/>
    <w:rsid w:val="00552B6C"/>
    <w:rsid w:val="0055384E"/>
    <w:rsid w:val="00553D33"/>
    <w:rsid w:val="005546C3"/>
    <w:rsid w:val="00555167"/>
    <w:rsid w:val="00556563"/>
    <w:rsid w:val="005568B8"/>
    <w:rsid w:val="0055693E"/>
    <w:rsid w:val="00556CEF"/>
    <w:rsid w:val="00560BF0"/>
    <w:rsid w:val="005618E8"/>
    <w:rsid w:val="005630F0"/>
    <w:rsid w:val="0056424D"/>
    <w:rsid w:val="0056470A"/>
    <w:rsid w:val="00565332"/>
    <w:rsid w:val="00565FBB"/>
    <w:rsid w:val="005671AA"/>
    <w:rsid w:val="0057083C"/>
    <w:rsid w:val="00571B01"/>
    <w:rsid w:val="00573D0E"/>
    <w:rsid w:val="00577A5F"/>
    <w:rsid w:val="00580759"/>
    <w:rsid w:val="00580A8C"/>
    <w:rsid w:val="00580EE8"/>
    <w:rsid w:val="00581A91"/>
    <w:rsid w:val="00586C31"/>
    <w:rsid w:val="005912DA"/>
    <w:rsid w:val="00595C2D"/>
    <w:rsid w:val="00595D94"/>
    <w:rsid w:val="005976D8"/>
    <w:rsid w:val="005A0680"/>
    <w:rsid w:val="005A09E5"/>
    <w:rsid w:val="005A2815"/>
    <w:rsid w:val="005A3184"/>
    <w:rsid w:val="005A5078"/>
    <w:rsid w:val="005A6E5A"/>
    <w:rsid w:val="005A709F"/>
    <w:rsid w:val="005B3755"/>
    <w:rsid w:val="005B455E"/>
    <w:rsid w:val="005B47D6"/>
    <w:rsid w:val="005B5653"/>
    <w:rsid w:val="005C0D43"/>
    <w:rsid w:val="005C20BA"/>
    <w:rsid w:val="005C2A97"/>
    <w:rsid w:val="005C3ED3"/>
    <w:rsid w:val="005C4C0B"/>
    <w:rsid w:val="005C5641"/>
    <w:rsid w:val="005D00D7"/>
    <w:rsid w:val="005D0BF3"/>
    <w:rsid w:val="005D133B"/>
    <w:rsid w:val="005D1D50"/>
    <w:rsid w:val="005D1D9A"/>
    <w:rsid w:val="005D2CFB"/>
    <w:rsid w:val="005D43E2"/>
    <w:rsid w:val="005D4C52"/>
    <w:rsid w:val="005D5041"/>
    <w:rsid w:val="005E3610"/>
    <w:rsid w:val="005E402D"/>
    <w:rsid w:val="005E4F9F"/>
    <w:rsid w:val="005E5304"/>
    <w:rsid w:val="005E6513"/>
    <w:rsid w:val="005E7B05"/>
    <w:rsid w:val="005F0E34"/>
    <w:rsid w:val="005F3EBC"/>
    <w:rsid w:val="005F5337"/>
    <w:rsid w:val="005F7A6B"/>
    <w:rsid w:val="00601AFC"/>
    <w:rsid w:val="0060343B"/>
    <w:rsid w:val="00603864"/>
    <w:rsid w:val="00605EFB"/>
    <w:rsid w:val="00606320"/>
    <w:rsid w:val="00607EB4"/>
    <w:rsid w:val="00610439"/>
    <w:rsid w:val="00610E35"/>
    <w:rsid w:val="006110F1"/>
    <w:rsid w:val="006131D9"/>
    <w:rsid w:val="0061497D"/>
    <w:rsid w:val="00615891"/>
    <w:rsid w:val="0061594E"/>
    <w:rsid w:val="0062411A"/>
    <w:rsid w:val="0062603D"/>
    <w:rsid w:val="006262AC"/>
    <w:rsid w:val="00634491"/>
    <w:rsid w:val="006347FD"/>
    <w:rsid w:val="00636377"/>
    <w:rsid w:val="006368EB"/>
    <w:rsid w:val="00637099"/>
    <w:rsid w:val="00640279"/>
    <w:rsid w:val="00640E97"/>
    <w:rsid w:val="006429B2"/>
    <w:rsid w:val="00642E53"/>
    <w:rsid w:val="00643E82"/>
    <w:rsid w:val="00643FB8"/>
    <w:rsid w:val="006472C4"/>
    <w:rsid w:val="006472E7"/>
    <w:rsid w:val="00647A9A"/>
    <w:rsid w:val="0065014A"/>
    <w:rsid w:val="006534A4"/>
    <w:rsid w:val="00653590"/>
    <w:rsid w:val="00653953"/>
    <w:rsid w:val="00663B9D"/>
    <w:rsid w:val="00665F2F"/>
    <w:rsid w:val="006668B8"/>
    <w:rsid w:val="00670FC0"/>
    <w:rsid w:val="006726EE"/>
    <w:rsid w:val="00672760"/>
    <w:rsid w:val="006733F5"/>
    <w:rsid w:val="006735E5"/>
    <w:rsid w:val="00674CA5"/>
    <w:rsid w:val="00674D12"/>
    <w:rsid w:val="00675270"/>
    <w:rsid w:val="006811C9"/>
    <w:rsid w:val="00681995"/>
    <w:rsid w:val="00682ACA"/>
    <w:rsid w:val="0068330E"/>
    <w:rsid w:val="00692F9F"/>
    <w:rsid w:val="00693478"/>
    <w:rsid w:val="00693DCD"/>
    <w:rsid w:val="00694E4A"/>
    <w:rsid w:val="00696C3A"/>
    <w:rsid w:val="006A088E"/>
    <w:rsid w:val="006A1A29"/>
    <w:rsid w:val="006A2135"/>
    <w:rsid w:val="006A2517"/>
    <w:rsid w:val="006A2E5C"/>
    <w:rsid w:val="006A413D"/>
    <w:rsid w:val="006A421A"/>
    <w:rsid w:val="006A49D8"/>
    <w:rsid w:val="006A55EB"/>
    <w:rsid w:val="006A56FE"/>
    <w:rsid w:val="006A6119"/>
    <w:rsid w:val="006A6C68"/>
    <w:rsid w:val="006B0AB2"/>
    <w:rsid w:val="006B2531"/>
    <w:rsid w:val="006B278E"/>
    <w:rsid w:val="006B6595"/>
    <w:rsid w:val="006B7BC0"/>
    <w:rsid w:val="006C0DB1"/>
    <w:rsid w:val="006C14DE"/>
    <w:rsid w:val="006C2718"/>
    <w:rsid w:val="006C3E83"/>
    <w:rsid w:val="006C5368"/>
    <w:rsid w:val="006C6676"/>
    <w:rsid w:val="006C6E6D"/>
    <w:rsid w:val="006C7BAA"/>
    <w:rsid w:val="006D00E6"/>
    <w:rsid w:val="006D0BAF"/>
    <w:rsid w:val="006D1501"/>
    <w:rsid w:val="006D19FB"/>
    <w:rsid w:val="006D28E6"/>
    <w:rsid w:val="006D33EA"/>
    <w:rsid w:val="006D50E4"/>
    <w:rsid w:val="006D6C00"/>
    <w:rsid w:val="006D6C8D"/>
    <w:rsid w:val="006E0D40"/>
    <w:rsid w:val="006E14FF"/>
    <w:rsid w:val="006E301C"/>
    <w:rsid w:val="006E3DB9"/>
    <w:rsid w:val="006E544A"/>
    <w:rsid w:val="006E67F0"/>
    <w:rsid w:val="006E726D"/>
    <w:rsid w:val="006F1002"/>
    <w:rsid w:val="006F25AC"/>
    <w:rsid w:val="006F34BD"/>
    <w:rsid w:val="006F4749"/>
    <w:rsid w:val="006F5CDD"/>
    <w:rsid w:val="006F61AE"/>
    <w:rsid w:val="006F6B14"/>
    <w:rsid w:val="006F6EA5"/>
    <w:rsid w:val="00701E14"/>
    <w:rsid w:val="007045D2"/>
    <w:rsid w:val="007051A5"/>
    <w:rsid w:val="00705B8B"/>
    <w:rsid w:val="00705DA5"/>
    <w:rsid w:val="00706308"/>
    <w:rsid w:val="007065D0"/>
    <w:rsid w:val="00707130"/>
    <w:rsid w:val="00707D80"/>
    <w:rsid w:val="00707EEC"/>
    <w:rsid w:val="00710CB2"/>
    <w:rsid w:val="007137DB"/>
    <w:rsid w:val="00715025"/>
    <w:rsid w:val="00716A2A"/>
    <w:rsid w:val="00722F28"/>
    <w:rsid w:val="00723351"/>
    <w:rsid w:val="007235F6"/>
    <w:rsid w:val="00724C80"/>
    <w:rsid w:val="00725F4E"/>
    <w:rsid w:val="00726F11"/>
    <w:rsid w:val="0072740A"/>
    <w:rsid w:val="0073045D"/>
    <w:rsid w:val="0073228B"/>
    <w:rsid w:val="007339BA"/>
    <w:rsid w:val="007348B4"/>
    <w:rsid w:val="00734993"/>
    <w:rsid w:val="00734CB9"/>
    <w:rsid w:val="00735314"/>
    <w:rsid w:val="00735CFF"/>
    <w:rsid w:val="00736C7F"/>
    <w:rsid w:val="00740C94"/>
    <w:rsid w:val="00741598"/>
    <w:rsid w:val="00742570"/>
    <w:rsid w:val="0074429E"/>
    <w:rsid w:val="007443F0"/>
    <w:rsid w:val="0074454F"/>
    <w:rsid w:val="00746083"/>
    <w:rsid w:val="00746948"/>
    <w:rsid w:val="007470D5"/>
    <w:rsid w:val="007479B6"/>
    <w:rsid w:val="0075027E"/>
    <w:rsid w:val="00750FBE"/>
    <w:rsid w:val="0075220B"/>
    <w:rsid w:val="00752558"/>
    <w:rsid w:val="00752FCD"/>
    <w:rsid w:val="007541BE"/>
    <w:rsid w:val="00760DC1"/>
    <w:rsid w:val="00760EE4"/>
    <w:rsid w:val="007636A8"/>
    <w:rsid w:val="0076536C"/>
    <w:rsid w:val="007657A4"/>
    <w:rsid w:val="0076582B"/>
    <w:rsid w:val="00765E38"/>
    <w:rsid w:val="00767377"/>
    <w:rsid w:val="0076763B"/>
    <w:rsid w:val="00770500"/>
    <w:rsid w:val="00770C4F"/>
    <w:rsid w:val="007730F0"/>
    <w:rsid w:val="00774121"/>
    <w:rsid w:val="00774EEC"/>
    <w:rsid w:val="00775638"/>
    <w:rsid w:val="00776D3E"/>
    <w:rsid w:val="00777FB0"/>
    <w:rsid w:val="00780512"/>
    <w:rsid w:val="00781461"/>
    <w:rsid w:val="007832E2"/>
    <w:rsid w:val="0078451D"/>
    <w:rsid w:val="00784BD1"/>
    <w:rsid w:val="007852ED"/>
    <w:rsid w:val="007863A3"/>
    <w:rsid w:val="00786C71"/>
    <w:rsid w:val="00787D0B"/>
    <w:rsid w:val="007909D7"/>
    <w:rsid w:val="007915DC"/>
    <w:rsid w:val="00791F6B"/>
    <w:rsid w:val="007925C6"/>
    <w:rsid w:val="00792B1B"/>
    <w:rsid w:val="00792F34"/>
    <w:rsid w:val="00796540"/>
    <w:rsid w:val="00796909"/>
    <w:rsid w:val="007975B2"/>
    <w:rsid w:val="0079794A"/>
    <w:rsid w:val="00797B16"/>
    <w:rsid w:val="00797D7B"/>
    <w:rsid w:val="00797EF7"/>
    <w:rsid w:val="007A05F4"/>
    <w:rsid w:val="007A1D4E"/>
    <w:rsid w:val="007A2407"/>
    <w:rsid w:val="007A5035"/>
    <w:rsid w:val="007A5249"/>
    <w:rsid w:val="007A57B4"/>
    <w:rsid w:val="007A652A"/>
    <w:rsid w:val="007A77D0"/>
    <w:rsid w:val="007B24E5"/>
    <w:rsid w:val="007B39BF"/>
    <w:rsid w:val="007B5BB4"/>
    <w:rsid w:val="007B7847"/>
    <w:rsid w:val="007C257E"/>
    <w:rsid w:val="007C468F"/>
    <w:rsid w:val="007C47BB"/>
    <w:rsid w:val="007C50F6"/>
    <w:rsid w:val="007C5778"/>
    <w:rsid w:val="007C5D4D"/>
    <w:rsid w:val="007C61E4"/>
    <w:rsid w:val="007D0138"/>
    <w:rsid w:val="007D13CB"/>
    <w:rsid w:val="007D2F78"/>
    <w:rsid w:val="007D5E5C"/>
    <w:rsid w:val="007D6CDD"/>
    <w:rsid w:val="007D7EF4"/>
    <w:rsid w:val="007E09F0"/>
    <w:rsid w:val="007E0F06"/>
    <w:rsid w:val="007E103D"/>
    <w:rsid w:val="007E15F6"/>
    <w:rsid w:val="007E2AF9"/>
    <w:rsid w:val="007E3530"/>
    <w:rsid w:val="007E3D84"/>
    <w:rsid w:val="007E4ADE"/>
    <w:rsid w:val="007E50F8"/>
    <w:rsid w:val="007E5DE7"/>
    <w:rsid w:val="007E7329"/>
    <w:rsid w:val="007E7B16"/>
    <w:rsid w:val="007F00AF"/>
    <w:rsid w:val="007F0734"/>
    <w:rsid w:val="007F0EE0"/>
    <w:rsid w:val="007F1A3E"/>
    <w:rsid w:val="007F2AD8"/>
    <w:rsid w:val="007F50D8"/>
    <w:rsid w:val="007F6412"/>
    <w:rsid w:val="007F66F1"/>
    <w:rsid w:val="00802B9C"/>
    <w:rsid w:val="00802BD1"/>
    <w:rsid w:val="00802EEC"/>
    <w:rsid w:val="00807630"/>
    <w:rsid w:val="00813299"/>
    <w:rsid w:val="00813F34"/>
    <w:rsid w:val="00814D4E"/>
    <w:rsid w:val="00814E40"/>
    <w:rsid w:val="008162E0"/>
    <w:rsid w:val="0081670D"/>
    <w:rsid w:val="00817CDA"/>
    <w:rsid w:val="00817D2F"/>
    <w:rsid w:val="00821FDE"/>
    <w:rsid w:val="00822455"/>
    <w:rsid w:val="00822F39"/>
    <w:rsid w:val="0082346E"/>
    <w:rsid w:val="00825521"/>
    <w:rsid w:val="008265EE"/>
    <w:rsid w:val="00827737"/>
    <w:rsid w:val="008279D6"/>
    <w:rsid w:val="008324F5"/>
    <w:rsid w:val="0083281C"/>
    <w:rsid w:val="008332A9"/>
    <w:rsid w:val="00836D8B"/>
    <w:rsid w:val="00836DEC"/>
    <w:rsid w:val="00841369"/>
    <w:rsid w:val="00841C8C"/>
    <w:rsid w:val="0084364C"/>
    <w:rsid w:val="00844A09"/>
    <w:rsid w:val="0084678F"/>
    <w:rsid w:val="00846836"/>
    <w:rsid w:val="00847398"/>
    <w:rsid w:val="00847C1A"/>
    <w:rsid w:val="0085475E"/>
    <w:rsid w:val="00855161"/>
    <w:rsid w:val="008561DA"/>
    <w:rsid w:val="00863B00"/>
    <w:rsid w:val="00863F26"/>
    <w:rsid w:val="00864886"/>
    <w:rsid w:val="00867A60"/>
    <w:rsid w:val="00867FBA"/>
    <w:rsid w:val="008701B2"/>
    <w:rsid w:val="0087060C"/>
    <w:rsid w:val="00870B40"/>
    <w:rsid w:val="008717B2"/>
    <w:rsid w:val="008725F7"/>
    <w:rsid w:val="00872F02"/>
    <w:rsid w:val="00873A89"/>
    <w:rsid w:val="00874066"/>
    <w:rsid w:val="008743B9"/>
    <w:rsid w:val="00876F7B"/>
    <w:rsid w:val="00880692"/>
    <w:rsid w:val="00880AFE"/>
    <w:rsid w:val="00881257"/>
    <w:rsid w:val="008819D5"/>
    <w:rsid w:val="008834D5"/>
    <w:rsid w:val="00884F91"/>
    <w:rsid w:val="008855B4"/>
    <w:rsid w:val="00885E05"/>
    <w:rsid w:val="008860DD"/>
    <w:rsid w:val="008903E3"/>
    <w:rsid w:val="00890999"/>
    <w:rsid w:val="00891F27"/>
    <w:rsid w:val="00892676"/>
    <w:rsid w:val="00893D45"/>
    <w:rsid w:val="00894886"/>
    <w:rsid w:val="00895294"/>
    <w:rsid w:val="00897366"/>
    <w:rsid w:val="008A11C9"/>
    <w:rsid w:val="008A1DB5"/>
    <w:rsid w:val="008A1F40"/>
    <w:rsid w:val="008A2080"/>
    <w:rsid w:val="008A24B9"/>
    <w:rsid w:val="008A350F"/>
    <w:rsid w:val="008A47AE"/>
    <w:rsid w:val="008A7DE7"/>
    <w:rsid w:val="008B2EBF"/>
    <w:rsid w:val="008B2F29"/>
    <w:rsid w:val="008B4FA7"/>
    <w:rsid w:val="008B7DD2"/>
    <w:rsid w:val="008B7DFA"/>
    <w:rsid w:val="008C0990"/>
    <w:rsid w:val="008C16E3"/>
    <w:rsid w:val="008C1ABC"/>
    <w:rsid w:val="008C1ECC"/>
    <w:rsid w:val="008C27B1"/>
    <w:rsid w:val="008C2AEE"/>
    <w:rsid w:val="008C2B3F"/>
    <w:rsid w:val="008C3088"/>
    <w:rsid w:val="008C36D9"/>
    <w:rsid w:val="008C75A0"/>
    <w:rsid w:val="008D00E0"/>
    <w:rsid w:val="008D18C1"/>
    <w:rsid w:val="008D2B35"/>
    <w:rsid w:val="008D354D"/>
    <w:rsid w:val="008D38AF"/>
    <w:rsid w:val="008D497B"/>
    <w:rsid w:val="008D52A6"/>
    <w:rsid w:val="008D5C69"/>
    <w:rsid w:val="008D688B"/>
    <w:rsid w:val="008E3BE2"/>
    <w:rsid w:val="008E412A"/>
    <w:rsid w:val="008E4B14"/>
    <w:rsid w:val="008E7096"/>
    <w:rsid w:val="008F0921"/>
    <w:rsid w:val="008F16B8"/>
    <w:rsid w:val="008F360D"/>
    <w:rsid w:val="008F4C30"/>
    <w:rsid w:val="008F4C5B"/>
    <w:rsid w:val="008F4ECD"/>
    <w:rsid w:val="008F566D"/>
    <w:rsid w:val="009009D5"/>
    <w:rsid w:val="00900D3A"/>
    <w:rsid w:val="00902476"/>
    <w:rsid w:val="00902580"/>
    <w:rsid w:val="00902EAE"/>
    <w:rsid w:val="009040CB"/>
    <w:rsid w:val="00905517"/>
    <w:rsid w:val="00905D04"/>
    <w:rsid w:val="00906853"/>
    <w:rsid w:val="00911AC1"/>
    <w:rsid w:val="009127B1"/>
    <w:rsid w:val="00912B36"/>
    <w:rsid w:val="0091572B"/>
    <w:rsid w:val="009172F7"/>
    <w:rsid w:val="009202C6"/>
    <w:rsid w:val="00921928"/>
    <w:rsid w:val="0092253A"/>
    <w:rsid w:val="00922AF3"/>
    <w:rsid w:val="00922B18"/>
    <w:rsid w:val="00923366"/>
    <w:rsid w:val="00924610"/>
    <w:rsid w:val="00924A9C"/>
    <w:rsid w:val="009258C1"/>
    <w:rsid w:val="00926483"/>
    <w:rsid w:val="00927C24"/>
    <w:rsid w:val="00927FAB"/>
    <w:rsid w:val="0093025F"/>
    <w:rsid w:val="0093033E"/>
    <w:rsid w:val="0093146B"/>
    <w:rsid w:val="00932322"/>
    <w:rsid w:val="00933CAB"/>
    <w:rsid w:val="00937602"/>
    <w:rsid w:val="00937BE0"/>
    <w:rsid w:val="009459C0"/>
    <w:rsid w:val="00945D4B"/>
    <w:rsid w:val="009466C7"/>
    <w:rsid w:val="00946E54"/>
    <w:rsid w:val="009473B5"/>
    <w:rsid w:val="00951CE8"/>
    <w:rsid w:val="0095422B"/>
    <w:rsid w:val="00960165"/>
    <w:rsid w:val="009642AE"/>
    <w:rsid w:val="009646C3"/>
    <w:rsid w:val="009709BE"/>
    <w:rsid w:val="00971E24"/>
    <w:rsid w:val="0097559F"/>
    <w:rsid w:val="009765B9"/>
    <w:rsid w:val="00976F29"/>
    <w:rsid w:val="00977B25"/>
    <w:rsid w:val="00977FEC"/>
    <w:rsid w:val="00981BF3"/>
    <w:rsid w:val="00982033"/>
    <w:rsid w:val="00983877"/>
    <w:rsid w:val="00983E09"/>
    <w:rsid w:val="0098563F"/>
    <w:rsid w:val="00987E88"/>
    <w:rsid w:val="00990419"/>
    <w:rsid w:val="00990E55"/>
    <w:rsid w:val="009929D5"/>
    <w:rsid w:val="00992A09"/>
    <w:rsid w:val="00994B1A"/>
    <w:rsid w:val="00994DE8"/>
    <w:rsid w:val="009953C8"/>
    <w:rsid w:val="00995C57"/>
    <w:rsid w:val="009961F3"/>
    <w:rsid w:val="009A11F5"/>
    <w:rsid w:val="009A22F7"/>
    <w:rsid w:val="009A4963"/>
    <w:rsid w:val="009A4F3D"/>
    <w:rsid w:val="009A63B3"/>
    <w:rsid w:val="009A6E5C"/>
    <w:rsid w:val="009A757B"/>
    <w:rsid w:val="009B1A5D"/>
    <w:rsid w:val="009B275A"/>
    <w:rsid w:val="009B3607"/>
    <w:rsid w:val="009B4835"/>
    <w:rsid w:val="009B4ADE"/>
    <w:rsid w:val="009B60DD"/>
    <w:rsid w:val="009B6DA2"/>
    <w:rsid w:val="009B7272"/>
    <w:rsid w:val="009C252F"/>
    <w:rsid w:val="009C297C"/>
    <w:rsid w:val="009C420A"/>
    <w:rsid w:val="009C49C0"/>
    <w:rsid w:val="009C59C4"/>
    <w:rsid w:val="009C730A"/>
    <w:rsid w:val="009C7D7F"/>
    <w:rsid w:val="009D11BA"/>
    <w:rsid w:val="009D1B98"/>
    <w:rsid w:val="009D1DAC"/>
    <w:rsid w:val="009D2483"/>
    <w:rsid w:val="009D2AA2"/>
    <w:rsid w:val="009D3223"/>
    <w:rsid w:val="009D4ABE"/>
    <w:rsid w:val="009D5B98"/>
    <w:rsid w:val="009D5E97"/>
    <w:rsid w:val="009D61EC"/>
    <w:rsid w:val="009D7761"/>
    <w:rsid w:val="009E3202"/>
    <w:rsid w:val="009E4C23"/>
    <w:rsid w:val="009E4EC8"/>
    <w:rsid w:val="009E558B"/>
    <w:rsid w:val="009E5AEE"/>
    <w:rsid w:val="009E5AF6"/>
    <w:rsid w:val="009E6589"/>
    <w:rsid w:val="009E7EBB"/>
    <w:rsid w:val="009F0298"/>
    <w:rsid w:val="009F0FAC"/>
    <w:rsid w:val="009F1627"/>
    <w:rsid w:val="009F243E"/>
    <w:rsid w:val="009F2B80"/>
    <w:rsid w:val="009F3FE3"/>
    <w:rsid w:val="009F5F0F"/>
    <w:rsid w:val="009F696A"/>
    <w:rsid w:val="009F7190"/>
    <w:rsid w:val="00A014B7"/>
    <w:rsid w:val="00A0217C"/>
    <w:rsid w:val="00A02A34"/>
    <w:rsid w:val="00A02B3C"/>
    <w:rsid w:val="00A03316"/>
    <w:rsid w:val="00A036E1"/>
    <w:rsid w:val="00A03F30"/>
    <w:rsid w:val="00A05B52"/>
    <w:rsid w:val="00A068B3"/>
    <w:rsid w:val="00A07454"/>
    <w:rsid w:val="00A1057C"/>
    <w:rsid w:val="00A12C88"/>
    <w:rsid w:val="00A1335B"/>
    <w:rsid w:val="00A23449"/>
    <w:rsid w:val="00A2399E"/>
    <w:rsid w:val="00A2405A"/>
    <w:rsid w:val="00A24619"/>
    <w:rsid w:val="00A25C0E"/>
    <w:rsid w:val="00A269D4"/>
    <w:rsid w:val="00A2723C"/>
    <w:rsid w:val="00A30D6F"/>
    <w:rsid w:val="00A32014"/>
    <w:rsid w:val="00A3251B"/>
    <w:rsid w:val="00A33821"/>
    <w:rsid w:val="00A3584B"/>
    <w:rsid w:val="00A36022"/>
    <w:rsid w:val="00A360FB"/>
    <w:rsid w:val="00A3692F"/>
    <w:rsid w:val="00A376AD"/>
    <w:rsid w:val="00A37B8A"/>
    <w:rsid w:val="00A40DE2"/>
    <w:rsid w:val="00A421DE"/>
    <w:rsid w:val="00A429DA"/>
    <w:rsid w:val="00A435D3"/>
    <w:rsid w:val="00A440CD"/>
    <w:rsid w:val="00A46D2B"/>
    <w:rsid w:val="00A46D48"/>
    <w:rsid w:val="00A46EAD"/>
    <w:rsid w:val="00A47FA2"/>
    <w:rsid w:val="00A53FD8"/>
    <w:rsid w:val="00A545D5"/>
    <w:rsid w:val="00A57A29"/>
    <w:rsid w:val="00A57FDE"/>
    <w:rsid w:val="00A60882"/>
    <w:rsid w:val="00A60EE3"/>
    <w:rsid w:val="00A61ED1"/>
    <w:rsid w:val="00A62711"/>
    <w:rsid w:val="00A62868"/>
    <w:rsid w:val="00A62B04"/>
    <w:rsid w:val="00A62BDE"/>
    <w:rsid w:val="00A64B49"/>
    <w:rsid w:val="00A65257"/>
    <w:rsid w:val="00A663C8"/>
    <w:rsid w:val="00A70A29"/>
    <w:rsid w:val="00A7170D"/>
    <w:rsid w:val="00A767DD"/>
    <w:rsid w:val="00A76B57"/>
    <w:rsid w:val="00A7718F"/>
    <w:rsid w:val="00A82AEA"/>
    <w:rsid w:val="00A82E60"/>
    <w:rsid w:val="00A84FA5"/>
    <w:rsid w:val="00A85621"/>
    <w:rsid w:val="00A86ED5"/>
    <w:rsid w:val="00A90E23"/>
    <w:rsid w:val="00A92177"/>
    <w:rsid w:val="00A92E8B"/>
    <w:rsid w:val="00A94EFA"/>
    <w:rsid w:val="00A955A7"/>
    <w:rsid w:val="00A972D3"/>
    <w:rsid w:val="00AA0165"/>
    <w:rsid w:val="00AA0667"/>
    <w:rsid w:val="00AA2600"/>
    <w:rsid w:val="00AA3061"/>
    <w:rsid w:val="00AA5662"/>
    <w:rsid w:val="00AB038E"/>
    <w:rsid w:val="00AB1A34"/>
    <w:rsid w:val="00AB313B"/>
    <w:rsid w:val="00AB7A03"/>
    <w:rsid w:val="00AB7AF0"/>
    <w:rsid w:val="00AC01B0"/>
    <w:rsid w:val="00AC0B66"/>
    <w:rsid w:val="00AC32F7"/>
    <w:rsid w:val="00AC4CEA"/>
    <w:rsid w:val="00AC510E"/>
    <w:rsid w:val="00AC5BCC"/>
    <w:rsid w:val="00AC5BDA"/>
    <w:rsid w:val="00AC5F84"/>
    <w:rsid w:val="00AC6A56"/>
    <w:rsid w:val="00AC6D1A"/>
    <w:rsid w:val="00AD11BA"/>
    <w:rsid w:val="00AD28C1"/>
    <w:rsid w:val="00AD2AEC"/>
    <w:rsid w:val="00AD6E5D"/>
    <w:rsid w:val="00AE2198"/>
    <w:rsid w:val="00AE3B00"/>
    <w:rsid w:val="00AE5A1E"/>
    <w:rsid w:val="00AE70F9"/>
    <w:rsid w:val="00AE7AD0"/>
    <w:rsid w:val="00AF0C53"/>
    <w:rsid w:val="00AF11DA"/>
    <w:rsid w:val="00AF1EAE"/>
    <w:rsid w:val="00AF2E3B"/>
    <w:rsid w:val="00AF3090"/>
    <w:rsid w:val="00AF6059"/>
    <w:rsid w:val="00B00CEA"/>
    <w:rsid w:val="00B0173D"/>
    <w:rsid w:val="00B017F2"/>
    <w:rsid w:val="00B06189"/>
    <w:rsid w:val="00B066CB"/>
    <w:rsid w:val="00B1099A"/>
    <w:rsid w:val="00B11957"/>
    <w:rsid w:val="00B12C7E"/>
    <w:rsid w:val="00B15349"/>
    <w:rsid w:val="00B1722D"/>
    <w:rsid w:val="00B17A94"/>
    <w:rsid w:val="00B21A00"/>
    <w:rsid w:val="00B23788"/>
    <w:rsid w:val="00B239C2"/>
    <w:rsid w:val="00B23F31"/>
    <w:rsid w:val="00B25B55"/>
    <w:rsid w:val="00B26336"/>
    <w:rsid w:val="00B2667E"/>
    <w:rsid w:val="00B27EA8"/>
    <w:rsid w:val="00B3007B"/>
    <w:rsid w:val="00B31599"/>
    <w:rsid w:val="00B316A2"/>
    <w:rsid w:val="00B3347D"/>
    <w:rsid w:val="00B33E91"/>
    <w:rsid w:val="00B350D7"/>
    <w:rsid w:val="00B3513B"/>
    <w:rsid w:val="00B3551B"/>
    <w:rsid w:val="00B35C7B"/>
    <w:rsid w:val="00B35CA1"/>
    <w:rsid w:val="00B404F7"/>
    <w:rsid w:val="00B40879"/>
    <w:rsid w:val="00B40A67"/>
    <w:rsid w:val="00B416FF"/>
    <w:rsid w:val="00B430AB"/>
    <w:rsid w:val="00B4317A"/>
    <w:rsid w:val="00B43717"/>
    <w:rsid w:val="00B45EF5"/>
    <w:rsid w:val="00B47DD2"/>
    <w:rsid w:val="00B5011A"/>
    <w:rsid w:val="00B513EC"/>
    <w:rsid w:val="00B51B48"/>
    <w:rsid w:val="00B51DB3"/>
    <w:rsid w:val="00B52049"/>
    <w:rsid w:val="00B52363"/>
    <w:rsid w:val="00B52C55"/>
    <w:rsid w:val="00B54270"/>
    <w:rsid w:val="00B56137"/>
    <w:rsid w:val="00B565C8"/>
    <w:rsid w:val="00B616F9"/>
    <w:rsid w:val="00B618A5"/>
    <w:rsid w:val="00B6353E"/>
    <w:rsid w:val="00B64E2D"/>
    <w:rsid w:val="00B6667C"/>
    <w:rsid w:val="00B66F16"/>
    <w:rsid w:val="00B67052"/>
    <w:rsid w:val="00B67082"/>
    <w:rsid w:val="00B67539"/>
    <w:rsid w:val="00B70529"/>
    <w:rsid w:val="00B7053A"/>
    <w:rsid w:val="00B7117B"/>
    <w:rsid w:val="00B71971"/>
    <w:rsid w:val="00B72117"/>
    <w:rsid w:val="00B75189"/>
    <w:rsid w:val="00B76014"/>
    <w:rsid w:val="00B777EB"/>
    <w:rsid w:val="00B801B9"/>
    <w:rsid w:val="00B8080F"/>
    <w:rsid w:val="00B826BA"/>
    <w:rsid w:val="00B83122"/>
    <w:rsid w:val="00B831EE"/>
    <w:rsid w:val="00B83618"/>
    <w:rsid w:val="00B84461"/>
    <w:rsid w:val="00B9366A"/>
    <w:rsid w:val="00B93F7F"/>
    <w:rsid w:val="00B95174"/>
    <w:rsid w:val="00B957F9"/>
    <w:rsid w:val="00BA0CAD"/>
    <w:rsid w:val="00BA1B81"/>
    <w:rsid w:val="00BA29BB"/>
    <w:rsid w:val="00BA2EFD"/>
    <w:rsid w:val="00BA336E"/>
    <w:rsid w:val="00BA3A58"/>
    <w:rsid w:val="00BA3FD5"/>
    <w:rsid w:val="00BA4FE6"/>
    <w:rsid w:val="00BA5981"/>
    <w:rsid w:val="00BA6211"/>
    <w:rsid w:val="00BA6B5E"/>
    <w:rsid w:val="00BA6E8D"/>
    <w:rsid w:val="00BA77C4"/>
    <w:rsid w:val="00BA7A9F"/>
    <w:rsid w:val="00BA7B90"/>
    <w:rsid w:val="00BB0074"/>
    <w:rsid w:val="00BB1E5E"/>
    <w:rsid w:val="00BB3057"/>
    <w:rsid w:val="00BB3130"/>
    <w:rsid w:val="00BB4253"/>
    <w:rsid w:val="00BB4ED1"/>
    <w:rsid w:val="00BB5CCB"/>
    <w:rsid w:val="00BB6B19"/>
    <w:rsid w:val="00BB7683"/>
    <w:rsid w:val="00BC01C7"/>
    <w:rsid w:val="00BC198D"/>
    <w:rsid w:val="00BC2F62"/>
    <w:rsid w:val="00BC5105"/>
    <w:rsid w:val="00BC53AA"/>
    <w:rsid w:val="00BC60ED"/>
    <w:rsid w:val="00BC6463"/>
    <w:rsid w:val="00BC6E97"/>
    <w:rsid w:val="00BC70D8"/>
    <w:rsid w:val="00BC7206"/>
    <w:rsid w:val="00BD0FE8"/>
    <w:rsid w:val="00BD32AE"/>
    <w:rsid w:val="00BD6113"/>
    <w:rsid w:val="00BD6E2D"/>
    <w:rsid w:val="00BE07B8"/>
    <w:rsid w:val="00BE2883"/>
    <w:rsid w:val="00BE2A38"/>
    <w:rsid w:val="00BE2DD4"/>
    <w:rsid w:val="00BE2E6F"/>
    <w:rsid w:val="00BE3274"/>
    <w:rsid w:val="00BE3B6E"/>
    <w:rsid w:val="00BE46B5"/>
    <w:rsid w:val="00BE4AB9"/>
    <w:rsid w:val="00BE570A"/>
    <w:rsid w:val="00BE66F0"/>
    <w:rsid w:val="00BF0166"/>
    <w:rsid w:val="00BF0616"/>
    <w:rsid w:val="00BF08EF"/>
    <w:rsid w:val="00BF0C90"/>
    <w:rsid w:val="00BF31BB"/>
    <w:rsid w:val="00BF3E5F"/>
    <w:rsid w:val="00BF3F79"/>
    <w:rsid w:val="00BF4508"/>
    <w:rsid w:val="00BF4742"/>
    <w:rsid w:val="00BF484A"/>
    <w:rsid w:val="00BF4974"/>
    <w:rsid w:val="00BF4D22"/>
    <w:rsid w:val="00BF4E07"/>
    <w:rsid w:val="00BF54F8"/>
    <w:rsid w:val="00BF59DE"/>
    <w:rsid w:val="00BF6AAF"/>
    <w:rsid w:val="00BF7A5E"/>
    <w:rsid w:val="00BF7F46"/>
    <w:rsid w:val="00C048AA"/>
    <w:rsid w:val="00C04F44"/>
    <w:rsid w:val="00C0571E"/>
    <w:rsid w:val="00C06344"/>
    <w:rsid w:val="00C07C0C"/>
    <w:rsid w:val="00C118F7"/>
    <w:rsid w:val="00C138CB"/>
    <w:rsid w:val="00C138DC"/>
    <w:rsid w:val="00C15D47"/>
    <w:rsid w:val="00C16434"/>
    <w:rsid w:val="00C1783A"/>
    <w:rsid w:val="00C23016"/>
    <w:rsid w:val="00C23568"/>
    <w:rsid w:val="00C2425D"/>
    <w:rsid w:val="00C24CBC"/>
    <w:rsid w:val="00C33FAA"/>
    <w:rsid w:val="00C35E45"/>
    <w:rsid w:val="00C374CC"/>
    <w:rsid w:val="00C378A3"/>
    <w:rsid w:val="00C40238"/>
    <w:rsid w:val="00C4028C"/>
    <w:rsid w:val="00C43B9C"/>
    <w:rsid w:val="00C44477"/>
    <w:rsid w:val="00C44652"/>
    <w:rsid w:val="00C44BD8"/>
    <w:rsid w:val="00C4549B"/>
    <w:rsid w:val="00C45E4A"/>
    <w:rsid w:val="00C47297"/>
    <w:rsid w:val="00C514D8"/>
    <w:rsid w:val="00C5244A"/>
    <w:rsid w:val="00C52A68"/>
    <w:rsid w:val="00C5312B"/>
    <w:rsid w:val="00C54732"/>
    <w:rsid w:val="00C568EF"/>
    <w:rsid w:val="00C60A2E"/>
    <w:rsid w:val="00C61131"/>
    <w:rsid w:val="00C6164F"/>
    <w:rsid w:val="00C63F74"/>
    <w:rsid w:val="00C649B3"/>
    <w:rsid w:val="00C65D52"/>
    <w:rsid w:val="00C6625B"/>
    <w:rsid w:val="00C66BAE"/>
    <w:rsid w:val="00C702A1"/>
    <w:rsid w:val="00C7426C"/>
    <w:rsid w:val="00C748D9"/>
    <w:rsid w:val="00C74A17"/>
    <w:rsid w:val="00C754B7"/>
    <w:rsid w:val="00C75D2E"/>
    <w:rsid w:val="00C767D7"/>
    <w:rsid w:val="00C7713A"/>
    <w:rsid w:val="00C77AD1"/>
    <w:rsid w:val="00C802B5"/>
    <w:rsid w:val="00C805AC"/>
    <w:rsid w:val="00C80697"/>
    <w:rsid w:val="00C815AE"/>
    <w:rsid w:val="00C83033"/>
    <w:rsid w:val="00C836B7"/>
    <w:rsid w:val="00C83CA3"/>
    <w:rsid w:val="00C861DB"/>
    <w:rsid w:val="00C86A0E"/>
    <w:rsid w:val="00C8774D"/>
    <w:rsid w:val="00C87913"/>
    <w:rsid w:val="00C90D2A"/>
    <w:rsid w:val="00C91DAC"/>
    <w:rsid w:val="00C93F6E"/>
    <w:rsid w:val="00C94628"/>
    <w:rsid w:val="00C9485E"/>
    <w:rsid w:val="00C95191"/>
    <w:rsid w:val="00C962AF"/>
    <w:rsid w:val="00C96C57"/>
    <w:rsid w:val="00C97043"/>
    <w:rsid w:val="00C970E4"/>
    <w:rsid w:val="00CA15DC"/>
    <w:rsid w:val="00CA3CB8"/>
    <w:rsid w:val="00CA52C4"/>
    <w:rsid w:val="00CA683D"/>
    <w:rsid w:val="00CA750C"/>
    <w:rsid w:val="00CB0DBB"/>
    <w:rsid w:val="00CB13B8"/>
    <w:rsid w:val="00CB2CFC"/>
    <w:rsid w:val="00CB3150"/>
    <w:rsid w:val="00CB32DA"/>
    <w:rsid w:val="00CB65DE"/>
    <w:rsid w:val="00CB787B"/>
    <w:rsid w:val="00CB7BE7"/>
    <w:rsid w:val="00CC1D57"/>
    <w:rsid w:val="00CC20AB"/>
    <w:rsid w:val="00CC2455"/>
    <w:rsid w:val="00CC24EE"/>
    <w:rsid w:val="00CC3363"/>
    <w:rsid w:val="00CC3EC0"/>
    <w:rsid w:val="00CC4E55"/>
    <w:rsid w:val="00CC68DD"/>
    <w:rsid w:val="00CC6FAF"/>
    <w:rsid w:val="00CD5703"/>
    <w:rsid w:val="00CD5C48"/>
    <w:rsid w:val="00CD6A90"/>
    <w:rsid w:val="00CD7C71"/>
    <w:rsid w:val="00CE06A6"/>
    <w:rsid w:val="00CE1ED7"/>
    <w:rsid w:val="00CE2A2F"/>
    <w:rsid w:val="00CE3011"/>
    <w:rsid w:val="00CE3BAB"/>
    <w:rsid w:val="00CE4D99"/>
    <w:rsid w:val="00CE5B70"/>
    <w:rsid w:val="00CE6C9E"/>
    <w:rsid w:val="00CE7F12"/>
    <w:rsid w:val="00CF05DA"/>
    <w:rsid w:val="00CF18AE"/>
    <w:rsid w:val="00CF1A76"/>
    <w:rsid w:val="00CF2415"/>
    <w:rsid w:val="00CF42BE"/>
    <w:rsid w:val="00CF4750"/>
    <w:rsid w:val="00CF7626"/>
    <w:rsid w:val="00CF7B67"/>
    <w:rsid w:val="00D00AA7"/>
    <w:rsid w:val="00D0232F"/>
    <w:rsid w:val="00D044A1"/>
    <w:rsid w:val="00D114AC"/>
    <w:rsid w:val="00D12F72"/>
    <w:rsid w:val="00D13F26"/>
    <w:rsid w:val="00D161F6"/>
    <w:rsid w:val="00D170DB"/>
    <w:rsid w:val="00D21835"/>
    <w:rsid w:val="00D21CD3"/>
    <w:rsid w:val="00D22053"/>
    <w:rsid w:val="00D227B8"/>
    <w:rsid w:val="00D23B88"/>
    <w:rsid w:val="00D241F1"/>
    <w:rsid w:val="00D257A6"/>
    <w:rsid w:val="00D26761"/>
    <w:rsid w:val="00D30BF5"/>
    <w:rsid w:val="00D35306"/>
    <w:rsid w:val="00D370DD"/>
    <w:rsid w:val="00D4217C"/>
    <w:rsid w:val="00D438AD"/>
    <w:rsid w:val="00D43C20"/>
    <w:rsid w:val="00D516BE"/>
    <w:rsid w:val="00D52DEE"/>
    <w:rsid w:val="00D52E62"/>
    <w:rsid w:val="00D55871"/>
    <w:rsid w:val="00D55EFE"/>
    <w:rsid w:val="00D57045"/>
    <w:rsid w:val="00D60BFC"/>
    <w:rsid w:val="00D62960"/>
    <w:rsid w:val="00D6354C"/>
    <w:rsid w:val="00D6406D"/>
    <w:rsid w:val="00D64BD0"/>
    <w:rsid w:val="00D66C5A"/>
    <w:rsid w:val="00D66CEC"/>
    <w:rsid w:val="00D66F76"/>
    <w:rsid w:val="00D67C57"/>
    <w:rsid w:val="00D7026E"/>
    <w:rsid w:val="00D707BF"/>
    <w:rsid w:val="00D711AF"/>
    <w:rsid w:val="00D724DE"/>
    <w:rsid w:val="00D74DFB"/>
    <w:rsid w:val="00D75BA1"/>
    <w:rsid w:val="00D75E4A"/>
    <w:rsid w:val="00D76C06"/>
    <w:rsid w:val="00D7714D"/>
    <w:rsid w:val="00D803C9"/>
    <w:rsid w:val="00D816B2"/>
    <w:rsid w:val="00D81E2C"/>
    <w:rsid w:val="00D82D27"/>
    <w:rsid w:val="00D83166"/>
    <w:rsid w:val="00D85E82"/>
    <w:rsid w:val="00D91CA2"/>
    <w:rsid w:val="00D91FE8"/>
    <w:rsid w:val="00D937EC"/>
    <w:rsid w:val="00D94220"/>
    <w:rsid w:val="00D970B6"/>
    <w:rsid w:val="00D9745A"/>
    <w:rsid w:val="00DA3082"/>
    <w:rsid w:val="00DA3B0E"/>
    <w:rsid w:val="00DA6280"/>
    <w:rsid w:val="00DA705F"/>
    <w:rsid w:val="00DA7092"/>
    <w:rsid w:val="00DB0A5B"/>
    <w:rsid w:val="00DB0B4E"/>
    <w:rsid w:val="00DB0F1E"/>
    <w:rsid w:val="00DB3371"/>
    <w:rsid w:val="00DB3ECE"/>
    <w:rsid w:val="00DB40BD"/>
    <w:rsid w:val="00DB4697"/>
    <w:rsid w:val="00DB4DC6"/>
    <w:rsid w:val="00DB5AF5"/>
    <w:rsid w:val="00DC2CA4"/>
    <w:rsid w:val="00DC3084"/>
    <w:rsid w:val="00DC35DB"/>
    <w:rsid w:val="00DC36AF"/>
    <w:rsid w:val="00DC37CD"/>
    <w:rsid w:val="00DC3F49"/>
    <w:rsid w:val="00DC7131"/>
    <w:rsid w:val="00DC78CA"/>
    <w:rsid w:val="00DD05DB"/>
    <w:rsid w:val="00DD27B2"/>
    <w:rsid w:val="00DD28A3"/>
    <w:rsid w:val="00DD2B21"/>
    <w:rsid w:val="00DD31D4"/>
    <w:rsid w:val="00DD3BA9"/>
    <w:rsid w:val="00DD760A"/>
    <w:rsid w:val="00DE018E"/>
    <w:rsid w:val="00DE1D5E"/>
    <w:rsid w:val="00DE1DE7"/>
    <w:rsid w:val="00DE280D"/>
    <w:rsid w:val="00DE2B71"/>
    <w:rsid w:val="00DE4774"/>
    <w:rsid w:val="00DE481C"/>
    <w:rsid w:val="00DE5BCF"/>
    <w:rsid w:val="00DE60AE"/>
    <w:rsid w:val="00DE681D"/>
    <w:rsid w:val="00DE6ABE"/>
    <w:rsid w:val="00DE6C92"/>
    <w:rsid w:val="00DF24D2"/>
    <w:rsid w:val="00DF2FB3"/>
    <w:rsid w:val="00DF31F6"/>
    <w:rsid w:val="00DF3C3A"/>
    <w:rsid w:val="00DF6F8E"/>
    <w:rsid w:val="00E02B6A"/>
    <w:rsid w:val="00E02EE1"/>
    <w:rsid w:val="00E04BA2"/>
    <w:rsid w:val="00E067CB"/>
    <w:rsid w:val="00E06A28"/>
    <w:rsid w:val="00E1038F"/>
    <w:rsid w:val="00E13813"/>
    <w:rsid w:val="00E16D6C"/>
    <w:rsid w:val="00E207F4"/>
    <w:rsid w:val="00E21E01"/>
    <w:rsid w:val="00E22C52"/>
    <w:rsid w:val="00E23293"/>
    <w:rsid w:val="00E2531A"/>
    <w:rsid w:val="00E26638"/>
    <w:rsid w:val="00E272F2"/>
    <w:rsid w:val="00E274C4"/>
    <w:rsid w:val="00E2760C"/>
    <w:rsid w:val="00E31125"/>
    <w:rsid w:val="00E3166E"/>
    <w:rsid w:val="00E35755"/>
    <w:rsid w:val="00E3602D"/>
    <w:rsid w:val="00E37A3B"/>
    <w:rsid w:val="00E407D5"/>
    <w:rsid w:val="00E40F6D"/>
    <w:rsid w:val="00E412DC"/>
    <w:rsid w:val="00E41B3D"/>
    <w:rsid w:val="00E434B7"/>
    <w:rsid w:val="00E438C7"/>
    <w:rsid w:val="00E45F4A"/>
    <w:rsid w:val="00E470AF"/>
    <w:rsid w:val="00E47A56"/>
    <w:rsid w:val="00E47B1C"/>
    <w:rsid w:val="00E51C66"/>
    <w:rsid w:val="00E52A74"/>
    <w:rsid w:val="00E52B2A"/>
    <w:rsid w:val="00E55341"/>
    <w:rsid w:val="00E56939"/>
    <w:rsid w:val="00E57842"/>
    <w:rsid w:val="00E57A80"/>
    <w:rsid w:val="00E60DE0"/>
    <w:rsid w:val="00E61411"/>
    <w:rsid w:val="00E62159"/>
    <w:rsid w:val="00E6278E"/>
    <w:rsid w:val="00E62BC8"/>
    <w:rsid w:val="00E7188F"/>
    <w:rsid w:val="00E725BF"/>
    <w:rsid w:val="00E73589"/>
    <w:rsid w:val="00E7449A"/>
    <w:rsid w:val="00E748B6"/>
    <w:rsid w:val="00E74CE4"/>
    <w:rsid w:val="00E75095"/>
    <w:rsid w:val="00E75216"/>
    <w:rsid w:val="00E75473"/>
    <w:rsid w:val="00E75504"/>
    <w:rsid w:val="00E759A9"/>
    <w:rsid w:val="00E80D36"/>
    <w:rsid w:val="00E83624"/>
    <w:rsid w:val="00E83A20"/>
    <w:rsid w:val="00E850AC"/>
    <w:rsid w:val="00E85DB4"/>
    <w:rsid w:val="00E86544"/>
    <w:rsid w:val="00E86C96"/>
    <w:rsid w:val="00E8720B"/>
    <w:rsid w:val="00E911DF"/>
    <w:rsid w:val="00E92CE7"/>
    <w:rsid w:val="00E931F9"/>
    <w:rsid w:val="00E94355"/>
    <w:rsid w:val="00E95FC8"/>
    <w:rsid w:val="00E963EC"/>
    <w:rsid w:val="00E976AF"/>
    <w:rsid w:val="00EA01A1"/>
    <w:rsid w:val="00EA0DDD"/>
    <w:rsid w:val="00EA1A9D"/>
    <w:rsid w:val="00EA27A0"/>
    <w:rsid w:val="00EA2EC5"/>
    <w:rsid w:val="00EA32C0"/>
    <w:rsid w:val="00EA60CC"/>
    <w:rsid w:val="00EA633F"/>
    <w:rsid w:val="00EA74AB"/>
    <w:rsid w:val="00EB079C"/>
    <w:rsid w:val="00EB0BA0"/>
    <w:rsid w:val="00EB18EE"/>
    <w:rsid w:val="00EB236B"/>
    <w:rsid w:val="00EB2EAB"/>
    <w:rsid w:val="00EB3476"/>
    <w:rsid w:val="00EB37A4"/>
    <w:rsid w:val="00EB510B"/>
    <w:rsid w:val="00EB588E"/>
    <w:rsid w:val="00EB5B20"/>
    <w:rsid w:val="00EB5BA3"/>
    <w:rsid w:val="00EB652E"/>
    <w:rsid w:val="00EB7882"/>
    <w:rsid w:val="00EC1263"/>
    <w:rsid w:val="00EC1A74"/>
    <w:rsid w:val="00EC1B4E"/>
    <w:rsid w:val="00EC2600"/>
    <w:rsid w:val="00EC2E2B"/>
    <w:rsid w:val="00EC3298"/>
    <w:rsid w:val="00EC408A"/>
    <w:rsid w:val="00EC58D5"/>
    <w:rsid w:val="00EC5CC8"/>
    <w:rsid w:val="00EC6D35"/>
    <w:rsid w:val="00ED00D8"/>
    <w:rsid w:val="00ED1615"/>
    <w:rsid w:val="00ED1737"/>
    <w:rsid w:val="00ED2362"/>
    <w:rsid w:val="00ED28FD"/>
    <w:rsid w:val="00ED3A74"/>
    <w:rsid w:val="00ED5295"/>
    <w:rsid w:val="00ED7019"/>
    <w:rsid w:val="00ED74EC"/>
    <w:rsid w:val="00EE05D1"/>
    <w:rsid w:val="00EE1549"/>
    <w:rsid w:val="00EE3B17"/>
    <w:rsid w:val="00EE5FA6"/>
    <w:rsid w:val="00EE670A"/>
    <w:rsid w:val="00EE6F75"/>
    <w:rsid w:val="00EE7686"/>
    <w:rsid w:val="00EE7AD7"/>
    <w:rsid w:val="00EE7B83"/>
    <w:rsid w:val="00EF019B"/>
    <w:rsid w:val="00EF050F"/>
    <w:rsid w:val="00EF1DCE"/>
    <w:rsid w:val="00EF2378"/>
    <w:rsid w:val="00EF3694"/>
    <w:rsid w:val="00EF5C1A"/>
    <w:rsid w:val="00EF5DA3"/>
    <w:rsid w:val="00EF7281"/>
    <w:rsid w:val="00F00356"/>
    <w:rsid w:val="00F00437"/>
    <w:rsid w:val="00F0069B"/>
    <w:rsid w:val="00F02D9D"/>
    <w:rsid w:val="00F04DA3"/>
    <w:rsid w:val="00F05EE2"/>
    <w:rsid w:val="00F078D6"/>
    <w:rsid w:val="00F125CC"/>
    <w:rsid w:val="00F157AA"/>
    <w:rsid w:val="00F16394"/>
    <w:rsid w:val="00F163BF"/>
    <w:rsid w:val="00F16E98"/>
    <w:rsid w:val="00F17725"/>
    <w:rsid w:val="00F2034D"/>
    <w:rsid w:val="00F204C0"/>
    <w:rsid w:val="00F20D20"/>
    <w:rsid w:val="00F21498"/>
    <w:rsid w:val="00F21D99"/>
    <w:rsid w:val="00F26D99"/>
    <w:rsid w:val="00F26ED7"/>
    <w:rsid w:val="00F27CCB"/>
    <w:rsid w:val="00F309AF"/>
    <w:rsid w:val="00F31749"/>
    <w:rsid w:val="00F3181C"/>
    <w:rsid w:val="00F31CEC"/>
    <w:rsid w:val="00F31FC5"/>
    <w:rsid w:val="00F33068"/>
    <w:rsid w:val="00F3348D"/>
    <w:rsid w:val="00F33A52"/>
    <w:rsid w:val="00F35695"/>
    <w:rsid w:val="00F35E5A"/>
    <w:rsid w:val="00F36BA1"/>
    <w:rsid w:val="00F36E0D"/>
    <w:rsid w:val="00F37B04"/>
    <w:rsid w:val="00F40F93"/>
    <w:rsid w:val="00F424EB"/>
    <w:rsid w:val="00F44CED"/>
    <w:rsid w:val="00F45204"/>
    <w:rsid w:val="00F46966"/>
    <w:rsid w:val="00F46CED"/>
    <w:rsid w:val="00F473C8"/>
    <w:rsid w:val="00F5132D"/>
    <w:rsid w:val="00F524FB"/>
    <w:rsid w:val="00F526EE"/>
    <w:rsid w:val="00F53392"/>
    <w:rsid w:val="00F54758"/>
    <w:rsid w:val="00F54FFB"/>
    <w:rsid w:val="00F60DA4"/>
    <w:rsid w:val="00F610BD"/>
    <w:rsid w:val="00F6395D"/>
    <w:rsid w:val="00F64B04"/>
    <w:rsid w:val="00F64E23"/>
    <w:rsid w:val="00F6533B"/>
    <w:rsid w:val="00F662F8"/>
    <w:rsid w:val="00F71646"/>
    <w:rsid w:val="00F71F27"/>
    <w:rsid w:val="00F720E9"/>
    <w:rsid w:val="00F73AB4"/>
    <w:rsid w:val="00F75527"/>
    <w:rsid w:val="00F76FCF"/>
    <w:rsid w:val="00F77991"/>
    <w:rsid w:val="00F80704"/>
    <w:rsid w:val="00F813E6"/>
    <w:rsid w:val="00F849CD"/>
    <w:rsid w:val="00F85E89"/>
    <w:rsid w:val="00F90B89"/>
    <w:rsid w:val="00F90C3A"/>
    <w:rsid w:val="00F927C4"/>
    <w:rsid w:val="00F927D6"/>
    <w:rsid w:val="00F92CAB"/>
    <w:rsid w:val="00F9320F"/>
    <w:rsid w:val="00F947C0"/>
    <w:rsid w:val="00F94BB5"/>
    <w:rsid w:val="00F94BD9"/>
    <w:rsid w:val="00F94DD4"/>
    <w:rsid w:val="00F95595"/>
    <w:rsid w:val="00F95F09"/>
    <w:rsid w:val="00F96520"/>
    <w:rsid w:val="00F96C1B"/>
    <w:rsid w:val="00F971AF"/>
    <w:rsid w:val="00FA09E1"/>
    <w:rsid w:val="00FA0F73"/>
    <w:rsid w:val="00FA2569"/>
    <w:rsid w:val="00FA26C1"/>
    <w:rsid w:val="00FA2824"/>
    <w:rsid w:val="00FA545B"/>
    <w:rsid w:val="00FA63AE"/>
    <w:rsid w:val="00FA72C6"/>
    <w:rsid w:val="00FA7C1B"/>
    <w:rsid w:val="00FB1A0B"/>
    <w:rsid w:val="00FB333E"/>
    <w:rsid w:val="00FB3A80"/>
    <w:rsid w:val="00FB3DE1"/>
    <w:rsid w:val="00FB4E6A"/>
    <w:rsid w:val="00FB5153"/>
    <w:rsid w:val="00FB518F"/>
    <w:rsid w:val="00FB661D"/>
    <w:rsid w:val="00FB6637"/>
    <w:rsid w:val="00FB68F0"/>
    <w:rsid w:val="00FB6924"/>
    <w:rsid w:val="00FB7055"/>
    <w:rsid w:val="00FC0338"/>
    <w:rsid w:val="00FC1994"/>
    <w:rsid w:val="00FC3112"/>
    <w:rsid w:val="00FC3A52"/>
    <w:rsid w:val="00FC3CC2"/>
    <w:rsid w:val="00FC55DC"/>
    <w:rsid w:val="00FC5B12"/>
    <w:rsid w:val="00FD02A0"/>
    <w:rsid w:val="00FD32D5"/>
    <w:rsid w:val="00FD452E"/>
    <w:rsid w:val="00FD793D"/>
    <w:rsid w:val="00FD7E0C"/>
    <w:rsid w:val="00FE05F3"/>
    <w:rsid w:val="00FE125E"/>
    <w:rsid w:val="00FE3A87"/>
    <w:rsid w:val="00FE6890"/>
    <w:rsid w:val="00FE6D64"/>
    <w:rsid w:val="00FE7243"/>
    <w:rsid w:val="00FE7D4B"/>
    <w:rsid w:val="00FF0686"/>
    <w:rsid w:val="00FF35D0"/>
    <w:rsid w:val="00FF3875"/>
    <w:rsid w:val="00FF4E2C"/>
    <w:rsid w:val="00FF5C8C"/>
    <w:rsid w:val="00FF70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DAA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FC5"/>
  </w:style>
  <w:style w:type="paragraph" w:styleId="Heading1">
    <w:name w:val="heading 1"/>
    <w:basedOn w:val="Normal"/>
    <w:next w:val="Normal"/>
    <w:link w:val="Heading1Char"/>
    <w:uiPriority w:val="9"/>
    <w:qFormat/>
    <w:rsid w:val="00AB038E"/>
    <w:pPr>
      <w:keepNext/>
      <w:keepLines/>
      <w:numPr>
        <w:numId w:val="14"/>
      </w:numPr>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157FC5"/>
    <w:pPr>
      <w:keepNext/>
      <w:keepLines/>
      <w:numPr>
        <w:ilvl w:val="1"/>
        <w:numId w:val="1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038E"/>
    <w:pPr>
      <w:keepNext/>
      <w:keepLines/>
      <w:numPr>
        <w:ilvl w:val="2"/>
        <w:numId w:val="1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204C0"/>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F1A76"/>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F1A76"/>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F1A76"/>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F1A76"/>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1A76"/>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7FC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157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7FC5"/>
    <w:rPr>
      <w:color w:val="0563C1" w:themeColor="hyperlink"/>
      <w:u w:val="single"/>
    </w:rPr>
  </w:style>
  <w:style w:type="paragraph" w:styleId="ListParagraph">
    <w:name w:val="List Paragraph"/>
    <w:basedOn w:val="Normal"/>
    <w:uiPriority w:val="34"/>
    <w:qFormat/>
    <w:rsid w:val="00157FC5"/>
    <w:pPr>
      <w:ind w:left="720"/>
      <w:contextualSpacing/>
    </w:pPr>
  </w:style>
  <w:style w:type="paragraph" w:styleId="Caption">
    <w:name w:val="caption"/>
    <w:basedOn w:val="Normal"/>
    <w:next w:val="Normal"/>
    <w:uiPriority w:val="35"/>
    <w:unhideWhenUsed/>
    <w:qFormat/>
    <w:rsid w:val="00157FC5"/>
    <w:pPr>
      <w:spacing w:after="200" w:line="240" w:lineRule="auto"/>
    </w:pPr>
    <w:rPr>
      <w:i/>
      <w:iCs/>
      <w:color w:val="44546A" w:themeColor="text2"/>
      <w:sz w:val="18"/>
      <w:szCs w:val="18"/>
    </w:rPr>
  </w:style>
  <w:style w:type="paragraph" w:styleId="NormalWeb">
    <w:name w:val="Normal (Web)"/>
    <w:basedOn w:val="Normal"/>
    <w:uiPriority w:val="99"/>
    <w:unhideWhenUsed/>
    <w:rsid w:val="00157F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57FC5"/>
    <w:rPr>
      <w:b/>
      <w:bCs/>
    </w:rPr>
  </w:style>
  <w:style w:type="character" w:styleId="Emphasis">
    <w:name w:val="Emphasis"/>
    <w:basedOn w:val="DefaultParagraphFont"/>
    <w:uiPriority w:val="20"/>
    <w:qFormat/>
    <w:rsid w:val="00157FC5"/>
    <w:rPr>
      <w:i/>
      <w:iCs/>
    </w:rPr>
  </w:style>
  <w:style w:type="paragraph" w:styleId="BalloonText">
    <w:name w:val="Balloon Text"/>
    <w:basedOn w:val="Normal"/>
    <w:link w:val="BalloonTextChar"/>
    <w:uiPriority w:val="99"/>
    <w:semiHidden/>
    <w:unhideWhenUsed/>
    <w:rsid w:val="001A5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130"/>
    <w:rPr>
      <w:rFonts w:ascii="Segoe UI" w:hAnsi="Segoe UI" w:cs="Segoe UI"/>
      <w:sz w:val="18"/>
      <w:szCs w:val="18"/>
    </w:rPr>
  </w:style>
  <w:style w:type="paragraph" w:styleId="FootnoteText">
    <w:name w:val="footnote text"/>
    <w:basedOn w:val="Normal"/>
    <w:link w:val="FootnoteTextChar"/>
    <w:uiPriority w:val="99"/>
    <w:semiHidden/>
    <w:unhideWhenUsed/>
    <w:rsid w:val="00CB13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13B8"/>
    <w:rPr>
      <w:sz w:val="20"/>
      <w:szCs w:val="20"/>
    </w:rPr>
  </w:style>
  <w:style w:type="character" w:styleId="FootnoteReference">
    <w:name w:val="footnote reference"/>
    <w:basedOn w:val="DefaultParagraphFont"/>
    <w:uiPriority w:val="99"/>
    <w:semiHidden/>
    <w:unhideWhenUsed/>
    <w:rsid w:val="00CB13B8"/>
    <w:rPr>
      <w:vertAlign w:val="superscript"/>
    </w:rPr>
  </w:style>
  <w:style w:type="character" w:customStyle="1" w:styleId="UnresolvedMention1">
    <w:name w:val="Unresolved Mention1"/>
    <w:basedOn w:val="DefaultParagraphFont"/>
    <w:uiPriority w:val="99"/>
    <w:semiHidden/>
    <w:unhideWhenUsed/>
    <w:rsid w:val="00485DAE"/>
    <w:rPr>
      <w:color w:val="605E5C"/>
      <w:shd w:val="clear" w:color="auto" w:fill="E1DFDD"/>
    </w:rPr>
  </w:style>
  <w:style w:type="paragraph" w:styleId="Title">
    <w:name w:val="Title"/>
    <w:basedOn w:val="Normal"/>
    <w:next w:val="Normal"/>
    <w:link w:val="TitleChar"/>
    <w:uiPriority w:val="10"/>
    <w:qFormat/>
    <w:rsid w:val="00444D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D52"/>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444D52"/>
    <w:rPr>
      <w:color w:val="954F72" w:themeColor="followedHyperlink"/>
      <w:u w:val="single"/>
    </w:rPr>
  </w:style>
  <w:style w:type="paragraph" w:styleId="Header">
    <w:name w:val="header"/>
    <w:basedOn w:val="Normal"/>
    <w:link w:val="HeaderChar"/>
    <w:uiPriority w:val="99"/>
    <w:unhideWhenUsed/>
    <w:rsid w:val="00B33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47D"/>
  </w:style>
  <w:style w:type="paragraph" w:styleId="Footer">
    <w:name w:val="footer"/>
    <w:basedOn w:val="Normal"/>
    <w:link w:val="FooterChar"/>
    <w:uiPriority w:val="99"/>
    <w:unhideWhenUsed/>
    <w:rsid w:val="00B33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47D"/>
  </w:style>
  <w:style w:type="character" w:customStyle="1" w:styleId="Heading1Char">
    <w:name w:val="Heading 1 Char"/>
    <w:basedOn w:val="DefaultParagraphFont"/>
    <w:link w:val="Heading1"/>
    <w:uiPriority w:val="9"/>
    <w:rsid w:val="00AB038E"/>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basedOn w:val="DefaultParagraphFont"/>
    <w:link w:val="Heading3"/>
    <w:uiPriority w:val="9"/>
    <w:rsid w:val="00AB038E"/>
    <w:rPr>
      <w:rFonts w:asciiTheme="majorHAnsi" w:eastAsiaTheme="majorEastAsia" w:hAnsiTheme="majorHAnsi" w:cstheme="majorBidi"/>
      <w:color w:val="1F4D78" w:themeColor="accent1" w:themeShade="7F"/>
      <w:sz w:val="24"/>
      <w:szCs w:val="24"/>
    </w:rPr>
  </w:style>
  <w:style w:type="table" w:styleId="PlainTable2">
    <w:name w:val="Plain Table 2"/>
    <w:basedOn w:val="TableNormal"/>
    <w:uiPriority w:val="42"/>
    <w:rsid w:val="00AB03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AB038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visually-hidden">
    <w:name w:val="u-visually-hidden"/>
    <w:basedOn w:val="DefaultParagraphFont"/>
    <w:rsid w:val="00AB038E"/>
  </w:style>
  <w:style w:type="paragraph" w:styleId="Bibliography">
    <w:name w:val="Bibliography"/>
    <w:basedOn w:val="Normal"/>
    <w:next w:val="Normal"/>
    <w:uiPriority w:val="37"/>
    <w:unhideWhenUsed/>
    <w:rsid w:val="00AB038E"/>
  </w:style>
  <w:style w:type="character" w:styleId="CommentReference">
    <w:name w:val="annotation reference"/>
    <w:basedOn w:val="DefaultParagraphFont"/>
    <w:uiPriority w:val="99"/>
    <w:semiHidden/>
    <w:unhideWhenUsed/>
    <w:rsid w:val="00AB038E"/>
    <w:rPr>
      <w:sz w:val="16"/>
      <w:szCs w:val="16"/>
    </w:rPr>
  </w:style>
  <w:style w:type="paragraph" w:styleId="CommentText">
    <w:name w:val="annotation text"/>
    <w:basedOn w:val="Normal"/>
    <w:link w:val="CommentTextChar"/>
    <w:uiPriority w:val="99"/>
    <w:unhideWhenUsed/>
    <w:rsid w:val="00AB038E"/>
    <w:pPr>
      <w:spacing w:line="240" w:lineRule="auto"/>
    </w:pPr>
    <w:rPr>
      <w:sz w:val="20"/>
      <w:szCs w:val="20"/>
    </w:rPr>
  </w:style>
  <w:style w:type="character" w:customStyle="1" w:styleId="CommentTextChar">
    <w:name w:val="Comment Text Char"/>
    <w:basedOn w:val="DefaultParagraphFont"/>
    <w:link w:val="CommentText"/>
    <w:uiPriority w:val="99"/>
    <w:rsid w:val="00AB038E"/>
    <w:rPr>
      <w:sz w:val="20"/>
      <w:szCs w:val="20"/>
    </w:rPr>
  </w:style>
  <w:style w:type="paragraph" w:styleId="CommentSubject">
    <w:name w:val="annotation subject"/>
    <w:basedOn w:val="CommentText"/>
    <w:next w:val="CommentText"/>
    <w:link w:val="CommentSubjectChar"/>
    <w:uiPriority w:val="99"/>
    <w:semiHidden/>
    <w:unhideWhenUsed/>
    <w:rsid w:val="00AB038E"/>
    <w:rPr>
      <w:b/>
      <w:bCs/>
    </w:rPr>
  </w:style>
  <w:style w:type="character" w:customStyle="1" w:styleId="CommentSubjectChar">
    <w:name w:val="Comment Subject Char"/>
    <w:basedOn w:val="CommentTextChar"/>
    <w:link w:val="CommentSubject"/>
    <w:uiPriority w:val="99"/>
    <w:semiHidden/>
    <w:rsid w:val="00AB038E"/>
    <w:rPr>
      <w:b/>
      <w:bCs/>
      <w:sz w:val="20"/>
      <w:szCs w:val="20"/>
    </w:rPr>
  </w:style>
  <w:style w:type="character" w:customStyle="1" w:styleId="Heading4Char">
    <w:name w:val="Heading 4 Char"/>
    <w:basedOn w:val="DefaultParagraphFont"/>
    <w:link w:val="Heading4"/>
    <w:uiPriority w:val="9"/>
    <w:semiHidden/>
    <w:rsid w:val="00F204C0"/>
    <w:rPr>
      <w:rFonts w:asciiTheme="majorHAnsi" w:eastAsiaTheme="majorEastAsia" w:hAnsiTheme="majorHAnsi" w:cstheme="majorBidi"/>
      <w:i/>
      <w:iCs/>
      <w:color w:val="2E74B5" w:themeColor="accent1" w:themeShade="BF"/>
    </w:rPr>
  </w:style>
  <w:style w:type="paragraph" w:customStyle="1" w:styleId="Bullet">
    <w:name w:val="Bullet"/>
    <w:basedOn w:val="Normal"/>
    <w:link w:val="BulletChar"/>
    <w:rsid w:val="00F204C0"/>
    <w:pPr>
      <w:numPr>
        <w:numId w:val="12"/>
      </w:numPr>
    </w:pPr>
  </w:style>
  <w:style w:type="character" w:customStyle="1" w:styleId="BulletChar">
    <w:name w:val="Bullet Char"/>
    <w:basedOn w:val="DefaultParagraphFont"/>
    <w:link w:val="Bullet"/>
    <w:rsid w:val="00F204C0"/>
  </w:style>
  <w:style w:type="paragraph" w:customStyle="1" w:styleId="Dash">
    <w:name w:val="Dash"/>
    <w:basedOn w:val="Normal"/>
    <w:link w:val="DashChar"/>
    <w:rsid w:val="00F204C0"/>
    <w:pPr>
      <w:numPr>
        <w:ilvl w:val="1"/>
        <w:numId w:val="12"/>
      </w:numPr>
    </w:pPr>
  </w:style>
  <w:style w:type="paragraph" w:customStyle="1" w:styleId="DoubleDot">
    <w:name w:val="Double Dot"/>
    <w:basedOn w:val="Normal"/>
    <w:rsid w:val="00F204C0"/>
    <w:pPr>
      <w:numPr>
        <w:ilvl w:val="2"/>
        <w:numId w:val="12"/>
      </w:numPr>
    </w:pPr>
  </w:style>
  <w:style w:type="character" w:customStyle="1" w:styleId="ref-lnk">
    <w:name w:val="ref-lnk"/>
    <w:basedOn w:val="DefaultParagraphFont"/>
    <w:rsid w:val="00F204C0"/>
  </w:style>
  <w:style w:type="character" w:customStyle="1" w:styleId="a">
    <w:name w:val="_"/>
    <w:basedOn w:val="DefaultParagraphFont"/>
    <w:rsid w:val="00F204C0"/>
  </w:style>
  <w:style w:type="character" w:customStyle="1" w:styleId="ff1">
    <w:name w:val="ff1"/>
    <w:basedOn w:val="DefaultParagraphFont"/>
    <w:rsid w:val="00F204C0"/>
  </w:style>
  <w:style w:type="table" w:styleId="GridTable5Dark-Accent2">
    <w:name w:val="Grid Table 5 Dark Accent 2"/>
    <w:basedOn w:val="TableNormal"/>
    <w:uiPriority w:val="50"/>
    <w:rsid w:val="00F204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F204C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6">
    <w:name w:val="Grid Table 5 Dark Accent 6"/>
    <w:basedOn w:val="TableNormal"/>
    <w:uiPriority w:val="50"/>
    <w:rsid w:val="00F204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6Colorful-Accent2">
    <w:name w:val="List Table 6 Colorful Accent 2"/>
    <w:basedOn w:val="TableNormal"/>
    <w:uiPriority w:val="51"/>
    <w:rsid w:val="00F204C0"/>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F204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F204C0"/>
    <w:pPr>
      <w:outlineLvl w:val="9"/>
    </w:pPr>
  </w:style>
  <w:style w:type="paragraph" w:styleId="TOC1">
    <w:name w:val="toc 1"/>
    <w:basedOn w:val="Normal"/>
    <w:next w:val="Normal"/>
    <w:autoRedefine/>
    <w:uiPriority w:val="39"/>
    <w:unhideWhenUsed/>
    <w:rsid w:val="00B83618"/>
    <w:pPr>
      <w:tabs>
        <w:tab w:val="right" w:leader="dot" w:pos="9016"/>
      </w:tabs>
      <w:spacing w:after="100"/>
    </w:pPr>
  </w:style>
  <w:style w:type="paragraph" w:styleId="TOC2">
    <w:name w:val="toc 2"/>
    <w:basedOn w:val="Normal"/>
    <w:next w:val="Normal"/>
    <w:autoRedefine/>
    <w:uiPriority w:val="39"/>
    <w:unhideWhenUsed/>
    <w:rsid w:val="002736EC"/>
    <w:pPr>
      <w:tabs>
        <w:tab w:val="left" w:pos="880"/>
        <w:tab w:val="right" w:leader="dot" w:pos="9016"/>
      </w:tabs>
      <w:spacing w:after="100"/>
      <w:ind w:left="220"/>
    </w:pPr>
  </w:style>
  <w:style w:type="paragraph" w:styleId="TOC3">
    <w:name w:val="toc 3"/>
    <w:basedOn w:val="Normal"/>
    <w:next w:val="Normal"/>
    <w:autoRedefine/>
    <w:uiPriority w:val="39"/>
    <w:unhideWhenUsed/>
    <w:rsid w:val="00F46966"/>
    <w:pPr>
      <w:tabs>
        <w:tab w:val="left" w:pos="1320"/>
        <w:tab w:val="right" w:leader="dot" w:pos="9016"/>
      </w:tabs>
      <w:spacing w:after="100"/>
      <w:ind w:left="440"/>
    </w:pPr>
  </w:style>
  <w:style w:type="table" w:styleId="ListTable3-Accent2">
    <w:name w:val="List Table 3 Accent 2"/>
    <w:basedOn w:val="TableNormal"/>
    <w:uiPriority w:val="48"/>
    <w:rsid w:val="00F204C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1hzxw">
    <w:name w:val="_1hzxw"/>
    <w:basedOn w:val="Normal"/>
    <w:rsid w:val="00F204C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itle-text">
    <w:name w:val="title-text"/>
    <w:basedOn w:val="DefaultParagraphFont"/>
    <w:rsid w:val="00F204C0"/>
  </w:style>
  <w:style w:type="paragraph" w:customStyle="1" w:styleId="p">
    <w:name w:val="p"/>
    <w:basedOn w:val="Normal"/>
    <w:rsid w:val="00F204C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semiHidden/>
    <w:rsid w:val="00CF1A7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F1A7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F1A7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F1A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1A76"/>
    <w:rPr>
      <w:rFonts w:asciiTheme="majorHAnsi" w:eastAsiaTheme="majorEastAsia" w:hAnsiTheme="majorHAnsi" w:cstheme="majorBidi"/>
      <w:i/>
      <w:iCs/>
      <w:color w:val="272727" w:themeColor="text1" w:themeTint="D8"/>
      <w:sz w:val="21"/>
      <w:szCs w:val="21"/>
    </w:rPr>
  </w:style>
  <w:style w:type="character" w:customStyle="1" w:styleId="UnresolvedMention11">
    <w:name w:val="Unresolved Mention11"/>
    <w:basedOn w:val="DefaultParagraphFont"/>
    <w:uiPriority w:val="99"/>
    <w:semiHidden/>
    <w:unhideWhenUsed/>
    <w:rsid w:val="00F31FC5"/>
    <w:rPr>
      <w:color w:val="605E5C"/>
      <w:shd w:val="clear" w:color="auto" w:fill="E1DFDD"/>
    </w:rPr>
  </w:style>
  <w:style w:type="character" w:customStyle="1" w:styleId="UnresolvedMention2">
    <w:name w:val="Unresolved Mention2"/>
    <w:basedOn w:val="DefaultParagraphFont"/>
    <w:uiPriority w:val="99"/>
    <w:semiHidden/>
    <w:unhideWhenUsed/>
    <w:rsid w:val="002B2AE7"/>
    <w:rPr>
      <w:color w:val="605E5C"/>
      <w:shd w:val="clear" w:color="auto" w:fill="E1DFDD"/>
    </w:rPr>
  </w:style>
  <w:style w:type="paragraph" w:styleId="Revision">
    <w:name w:val="Revision"/>
    <w:hidden/>
    <w:uiPriority w:val="99"/>
    <w:semiHidden/>
    <w:rsid w:val="006A56FE"/>
    <w:pPr>
      <w:spacing w:after="0" w:line="240" w:lineRule="auto"/>
    </w:pPr>
  </w:style>
  <w:style w:type="character" w:styleId="SubtleEmphasis">
    <w:name w:val="Subtle Emphasis"/>
    <w:basedOn w:val="DefaultParagraphFont"/>
    <w:uiPriority w:val="19"/>
    <w:qFormat/>
    <w:rsid w:val="00C6164F"/>
    <w:rPr>
      <w:i/>
      <w:iCs/>
      <w:color w:val="404040" w:themeColor="text1" w:themeTint="BF"/>
    </w:rPr>
  </w:style>
  <w:style w:type="paragraph" w:customStyle="1" w:styleId="Default">
    <w:name w:val="Default"/>
    <w:rsid w:val="007A05F4"/>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unhideWhenUsed/>
    <w:rsid w:val="00CF05DA"/>
    <w:rPr>
      <w:color w:val="605E5C"/>
      <w:shd w:val="clear" w:color="auto" w:fill="E1DFDD"/>
    </w:rPr>
  </w:style>
  <w:style w:type="paragraph" w:styleId="NoSpacing">
    <w:name w:val="No Spacing"/>
    <w:uiPriority w:val="1"/>
    <w:qFormat/>
    <w:rsid w:val="002B4F52"/>
    <w:pPr>
      <w:spacing w:after="0" w:line="240" w:lineRule="auto"/>
    </w:pPr>
  </w:style>
  <w:style w:type="character" w:customStyle="1" w:styleId="UnresolvedMention4">
    <w:name w:val="Unresolved Mention4"/>
    <w:basedOn w:val="DefaultParagraphFont"/>
    <w:uiPriority w:val="99"/>
    <w:semiHidden/>
    <w:unhideWhenUsed/>
    <w:rsid w:val="00510CC4"/>
    <w:rPr>
      <w:color w:val="605E5C"/>
      <w:shd w:val="clear" w:color="auto" w:fill="E1DFDD"/>
    </w:rPr>
  </w:style>
  <w:style w:type="paragraph" w:customStyle="1" w:styleId="chapter-para">
    <w:name w:val="chapter-para"/>
    <w:basedOn w:val="Normal"/>
    <w:rsid w:val="00E274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5">
    <w:name w:val="Unresolved Mention5"/>
    <w:basedOn w:val="DefaultParagraphFont"/>
    <w:uiPriority w:val="99"/>
    <w:semiHidden/>
    <w:unhideWhenUsed/>
    <w:rsid w:val="007E0F06"/>
    <w:rPr>
      <w:color w:val="605E5C"/>
      <w:shd w:val="clear" w:color="auto" w:fill="E1DFDD"/>
    </w:rPr>
  </w:style>
  <w:style w:type="character" w:customStyle="1" w:styleId="normaltextrun">
    <w:name w:val="normaltextrun"/>
    <w:basedOn w:val="DefaultParagraphFont"/>
    <w:rsid w:val="002F4E7F"/>
  </w:style>
  <w:style w:type="paragraph" w:customStyle="1" w:styleId="Style1">
    <w:name w:val="Style1"/>
    <w:basedOn w:val="Title"/>
    <w:qFormat/>
    <w:rsid w:val="002471CE"/>
    <w:pPr>
      <w:outlineLvl w:val="0"/>
    </w:pPr>
    <w:rPr>
      <w:rFonts w:cstheme="majorHAnsi"/>
      <w:color w:val="5B9BD5" w:themeColor="accent1"/>
    </w:rPr>
  </w:style>
  <w:style w:type="character" w:customStyle="1" w:styleId="fontstyle01">
    <w:name w:val="fontstyle01"/>
    <w:rsid w:val="00244248"/>
    <w:rPr>
      <w:rFonts w:ascii="CMSS9" w:hAnsi="CMSS9"/>
      <w:color w:val="000000"/>
      <w:sz w:val="18"/>
    </w:rPr>
  </w:style>
  <w:style w:type="paragraph" w:customStyle="1" w:styleId="paragraph">
    <w:name w:val="paragraph"/>
    <w:basedOn w:val="Normal"/>
    <w:rsid w:val="00244248"/>
    <w:pPr>
      <w:spacing w:before="100" w:beforeAutospacing="1" w:after="100" w:afterAutospacing="1" w:line="240" w:lineRule="auto"/>
      <w:jc w:val="both"/>
    </w:pPr>
    <w:rPr>
      <w:rFonts w:ascii="Times New Roman" w:eastAsia="Times New Roman" w:hAnsi="Times New Roman" w:cs="Times New Roman"/>
      <w:sz w:val="24"/>
      <w:szCs w:val="24"/>
      <w:lang w:eastAsia="en-AU"/>
    </w:rPr>
  </w:style>
  <w:style w:type="character" w:customStyle="1" w:styleId="eop">
    <w:name w:val="eop"/>
    <w:basedOn w:val="DefaultParagraphFont"/>
    <w:rsid w:val="00244248"/>
  </w:style>
  <w:style w:type="character" w:customStyle="1" w:styleId="tabchar">
    <w:name w:val="tabchar"/>
    <w:basedOn w:val="DefaultParagraphFont"/>
    <w:rsid w:val="00244248"/>
  </w:style>
  <w:style w:type="numbering" w:customStyle="1" w:styleId="CurrentList1">
    <w:name w:val="Current List1"/>
    <w:uiPriority w:val="99"/>
    <w:rsid w:val="00244248"/>
    <w:pPr>
      <w:numPr>
        <w:numId w:val="31"/>
      </w:numPr>
    </w:pPr>
  </w:style>
  <w:style w:type="numbering" w:customStyle="1" w:styleId="CurrentList2">
    <w:name w:val="Current List2"/>
    <w:uiPriority w:val="99"/>
    <w:rsid w:val="00244248"/>
    <w:pPr>
      <w:numPr>
        <w:numId w:val="32"/>
      </w:numPr>
    </w:pPr>
  </w:style>
  <w:style w:type="numbering" w:customStyle="1" w:styleId="CurrentList3">
    <w:name w:val="Current List3"/>
    <w:uiPriority w:val="99"/>
    <w:rsid w:val="00244248"/>
    <w:pPr>
      <w:numPr>
        <w:numId w:val="33"/>
      </w:numPr>
    </w:pPr>
  </w:style>
  <w:style w:type="character" w:customStyle="1" w:styleId="SRCQnChar">
    <w:name w:val="SRC Qn Char"/>
    <w:basedOn w:val="DefaultParagraphFont"/>
    <w:link w:val="SRCQn"/>
    <w:locked/>
    <w:rsid w:val="00244248"/>
    <w:rPr>
      <w:rFonts w:ascii="Arial" w:hAnsi="Arial" w:cs="Arial"/>
      <w:sz w:val="20"/>
      <w:szCs w:val="20"/>
    </w:rPr>
  </w:style>
  <w:style w:type="paragraph" w:customStyle="1" w:styleId="SRCQn">
    <w:name w:val="SRC Qn"/>
    <w:basedOn w:val="Normal"/>
    <w:link w:val="SRCQnChar"/>
    <w:qFormat/>
    <w:rsid w:val="00244248"/>
    <w:pPr>
      <w:spacing w:after="0" w:line="240" w:lineRule="auto"/>
      <w:ind w:left="851" w:hanging="851"/>
    </w:pPr>
    <w:rPr>
      <w:rFonts w:ascii="Arial" w:hAnsi="Arial" w:cs="Arial"/>
      <w:sz w:val="20"/>
      <w:szCs w:val="20"/>
    </w:rPr>
  </w:style>
  <w:style w:type="character" w:customStyle="1" w:styleId="SRCCodeframe1Char">
    <w:name w:val="SRC Codeframe 1 Char"/>
    <w:basedOn w:val="DefaultParagraphFont"/>
    <w:link w:val="SRCCodeframe1"/>
    <w:locked/>
    <w:rsid w:val="00244248"/>
    <w:rPr>
      <w:rFonts w:ascii="Arial" w:hAnsi="Arial" w:cs="Arial"/>
      <w:sz w:val="20"/>
      <w:szCs w:val="20"/>
    </w:rPr>
  </w:style>
  <w:style w:type="paragraph" w:customStyle="1" w:styleId="SRCCodeframe1">
    <w:name w:val="SRC Codeframe 1"/>
    <w:basedOn w:val="Normal"/>
    <w:link w:val="SRCCodeframe1Char"/>
    <w:qFormat/>
    <w:rsid w:val="00244248"/>
    <w:pPr>
      <w:spacing w:after="0" w:line="240" w:lineRule="auto"/>
      <w:ind w:left="1418" w:hanging="567"/>
    </w:pPr>
    <w:rPr>
      <w:rFonts w:ascii="Arial" w:hAnsi="Arial" w:cs="Arial"/>
      <w:sz w:val="20"/>
      <w:szCs w:val="20"/>
    </w:rPr>
  </w:style>
  <w:style w:type="paragraph" w:customStyle="1" w:styleId="FooterEven">
    <w:name w:val="Footer Even"/>
    <w:basedOn w:val="Footer"/>
    <w:rsid w:val="002A5727"/>
    <w:pPr>
      <w:keepNext/>
      <w:tabs>
        <w:tab w:val="clear" w:pos="4513"/>
        <w:tab w:val="clear" w:pos="9026"/>
      </w:tabs>
      <w:spacing w:line="276" w:lineRule="auto"/>
    </w:pPr>
    <w:rPr>
      <w:rFonts w:eastAsia="SimSun"/>
      <w:noProof/>
      <w:color w:val="017163"/>
      <w:sz w:val="20"/>
      <w:szCs w:val="20"/>
    </w:rPr>
  </w:style>
  <w:style w:type="paragraph" w:customStyle="1" w:styleId="FooterOdd">
    <w:name w:val="Footer Odd"/>
    <w:basedOn w:val="Footer"/>
    <w:rsid w:val="002A5727"/>
    <w:pPr>
      <w:keepNext/>
      <w:tabs>
        <w:tab w:val="clear" w:pos="4513"/>
        <w:tab w:val="clear" w:pos="9026"/>
      </w:tabs>
      <w:spacing w:line="276" w:lineRule="auto"/>
      <w:jc w:val="right"/>
    </w:pPr>
    <w:rPr>
      <w:rFonts w:eastAsia="SimSun"/>
      <w:color w:val="017163"/>
      <w:sz w:val="20"/>
      <w:szCs w:val="20"/>
    </w:rPr>
  </w:style>
  <w:style w:type="paragraph" w:customStyle="1" w:styleId="OutlineNumbered1">
    <w:name w:val="Outline Numbered 1"/>
    <w:basedOn w:val="Normal"/>
    <w:rsid w:val="002A5727"/>
    <w:pPr>
      <w:numPr>
        <w:numId w:val="43"/>
      </w:numPr>
      <w:tabs>
        <w:tab w:val="clear" w:pos="851"/>
        <w:tab w:val="num" w:pos="472"/>
      </w:tabs>
      <w:spacing w:after="200" w:line="276" w:lineRule="auto"/>
      <w:ind w:left="472" w:hanging="472"/>
    </w:pPr>
    <w:rPr>
      <w:rFonts w:eastAsia="SimSun"/>
      <w:sz w:val="20"/>
      <w:szCs w:val="20"/>
    </w:rPr>
  </w:style>
  <w:style w:type="paragraph" w:customStyle="1" w:styleId="OutlineNumbered2">
    <w:name w:val="Outline Numbered 2"/>
    <w:basedOn w:val="Normal"/>
    <w:rsid w:val="002A5727"/>
    <w:pPr>
      <w:numPr>
        <w:ilvl w:val="1"/>
        <w:numId w:val="43"/>
      </w:numPr>
      <w:tabs>
        <w:tab w:val="clear" w:pos="1134"/>
        <w:tab w:val="num" w:pos="944"/>
      </w:tabs>
      <w:spacing w:after="200" w:line="276" w:lineRule="auto"/>
      <w:ind w:left="944" w:hanging="472"/>
    </w:pPr>
    <w:rPr>
      <w:rFonts w:eastAsia="SimSun"/>
      <w:sz w:val="20"/>
      <w:szCs w:val="20"/>
    </w:rPr>
  </w:style>
  <w:style w:type="paragraph" w:customStyle="1" w:styleId="OutlineNumbered3">
    <w:name w:val="Outline Numbered 3"/>
    <w:basedOn w:val="Normal"/>
    <w:rsid w:val="002A5727"/>
    <w:pPr>
      <w:numPr>
        <w:ilvl w:val="2"/>
        <w:numId w:val="43"/>
      </w:numPr>
      <w:tabs>
        <w:tab w:val="clear" w:pos="1418"/>
        <w:tab w:val="num" w:pos="1416"/>
      </w:tabs>
      <w:spacing w:after="200" w:line="276" w:lineRule="auto"/>
      <w:ind w:left="1416" w:hanging="472"/>
    </w:pPr>
    <w:rPr>
      <w:rFonts w:eastAsia="SimSun"/>
      <w:sz w:val="20"/>
      <w:szCs w:val="20"/>
    </w:rPr>
  </w:style>
  <w:style w:type="paragraph" w:customStyle="1" w:styleId="Romannumeral">
    <w:name w:val="Roman numeral"/>
    <w:basedOn w:val="Normal"/>
    <w:rsid w:val="002A5727"/>
    <w:pPr>
      <w:numPr>
        <w:numId w:val="44"/>
      </w:numPr>
      <w:tabs>
        <w:tab w:val="clear" w:pos="720"/>
        <w:tab w:val="num" w:pos="851"/>
      </w:tabs>
      <w:spacing w:after="200" w:line="276" w:lineRule="auto"/>
      <w:ind w:hanging="360"/>
    </w:pPr>
    <w:rPr>
      <w:rFonts w:eastAsia="SimSun"/>
      <w:sz w:val="20"/>
      <w:szCs w:val="20"/>
    </w:rPr>
  </w:style>
  <w:style w:type="numbering" w:customStyle="1" w:styleId="OutlineList">
    <w:name w:val="OutlineList"/>
    <w:uiPriority w:val="99"/>
    <w:rsid w:val="002A5727"/>
    <w:pPr>
      <w:numPr>
        <w:numId w:val="43"/>
      </w:numPr>
    </w:pPr>
  </w:style>
  <w:style w:type="paragraph" w:customStyle="1" w:styleId="HeaderEven">
    <w:name w:val="Header Even"/>
    <w:basedOn w:val="Header"/>
    <w:rsid w:val="002A5727"/>
    <w:pPr>
      <w:keepNext/>
      <w:tabs>
        <w:tab w:val="clear" w:pos="4513"/>
        <w:tab w:val="clear" w:pos="9026"/>
      </w:tabs>
      <w:spacing w:line="276" w:lineRule="auto"/>
    </w:pPr>
    <w:rPr>
      <w:rFonts w:eastAsia="SimSun"/>
      <w:color w:val="38AFCF"/>
      <w:sz w:val="20"/>
      <w:szCs w:val="20"/>
    </w:rPr>
  </w:style>
  <w:style w:type="paragraph" w:customStyle="1" w:styleId="HeaderOdd">
    <w:name w:val="Header Odd"/>
    <w:basedOn w:val="Header"/>
    <w:rsid w:val="002A5727"/>
    <w:pPr>
      <w:keepNext/>
      <w:tabs>
        <w:tab w:val="clear" w:pos="4513"/>
        <w:tab w:val="clear" w:pos="9026"/>
      </w:tabs>
      <w:spacing w:line="276" w:lineRule="auto"/>
      <w:jc w:val="right"/>
    </w:pPr>
    <w:rPr>
      <w:rFonts w:eastAsia="SimSun"/>
      <w:color w:val="38AFCF"/>
      <w:sz w:val="20"/>
      <w:szCs w:val="20"/>
    </w:rPr>
  </w:style>
  <w:style w:type="paragraph" w:styleId="TOC4">
    <w:name w:val="toc 4"/>
    <w:basedOn w:val="Normal"/>
    <w:next w:val="Normal"/>
    <w:autoRedefine/>
    <w:uiPriority w:val="39"/>
    <w:unhideWhenUsed/>
    <w:rsid w:val="002A5727"/>
    <w:pPr>
      <w:spacing w:after="100"/>
      <w:ind w:left="660"/>
    </w:pPr>
    <w:rPr>
      <w:rFonts w:eastAsiaTheme="minorEastAsia"/>
      <w:lang w:eastAsia="en-AU"/>
    </w:rPr>
  </w:style>
  <w:style w:type="paragraph" w:styleId="TOC5">
    <w:name w:val="toc 5"/>
    <w:basedOn w:val="Normal"/>
    <w:next w:val="Normal"/>
    <w:autoRedefine/>
    <w:uiPriority w:val="39"/>
    <w:unhideWhenUsed/>
    <w:rsid w:val="002A5727"/>
    <w:pPr>
      <w:spacing w:after="100"/>
      <w:ind w:left="880"/>
    </w:pPr>
    <w:rPr>
      <w:rFonts w:eastAsiaTheme="minorEastAsia"/>
      <w:lang w:eastAsia="en-AU"/>
    </w:rPr>
  </w:style>
  <w:style w:type="paragraph" w:styleId="TOC6">
    <w:name w:val="toc 6"/>
    <w:basedOn w:val="Normal"/>
    <w:next w:val="Normal"/>
    <w:autoRedefine/>
    <w:uiPriority w:val="39"/>
    <w:unhideWhenUsed/>
    <w:rsid w:val="002A5727"/>
    <w:pPr>
      <w:spacing w:after="100"/>
      <w:ind w:left="1100"/>
    </w:pPr>
    <w:rPr>
      <w:rFonts w:eastAsiaTheme="minorEastAsia"/>
      <w:lang w:eastAsia="en-AU"/>
    </w:rPr>
  </w:style>
  <w:style w:type="paragraph" w:styleId="TOC7">
    <w:name w:val="toc 7"/>
    <w:basedOn w:val="Normal"/>
    <w:next w:val="Normal"/>
    <w:autoRedefine/>
    <w:uiPriority w:val="39"/>
    <w:unhideWhenUsed/>
    <w:rsid w:val="002A5727"/>
    <w:pPr>
      <w:spacing w:after="100"/>
      <w:ind w:left="1320"/>
    </w:pPr>
    <w:rPr>
      <w:rFonts w:eastAsiaTheme="minorEastAsia"/>
      <w:lang w:eastAsia="en-AU"/>
    </w:rPr>
  </w:style>
  <w:style w:type="paragraph" w:styleId="TOC8">
    <w:name w:val="toc 8"/>
    <w:basedOn w:val="Normal"/>
    <w:next w:val="Normal"/>
    <w:autoRedefine/>
    <w:uiPriority w:val="39"/>
    <w:unhideWhenUsed/>
    <w:rsid w:val="002A5727"/>
    <w:pPr>
      <w:spacing w:after="100"/>
      <w:ind w:left="1540"/>
    </w:pPr>
    <w:rPr>
      <w:rFonts w:eastAsiaTheme="minorEastAsia"/>
      <w:lang w:eastAsia="en-AU"/>
    </w:rPr>
  </w:style>
  <w:style w:type="paragraph" w:styleId="TOC9">
    <w:name w:val="toc 9"/>
    <w:basedOn w:val="Normal"/>
    <w:next w:val="Normal"/>
    <w:autoRedefine/>
    <w:uiPriority w:val="39"/>
    <w:unhideWhenUsed/>
    <w:rsid w:val="002A5727"/>
    <w:pPr>
      <w:spacing w:after="100"/>
      <w:ind w:left="1760"/>
    </w:pPr>
    <w:rPr>
      <w:rFonts w:eastAsiaTheme="minorEastAsia"/>
      <w:lang w:eastAsia="en-AU"/>
    </w:rPr>
  </w:style>
  <w:style w:type="character" w:customStyle="1" w:styleId="UnresolvedMention6">
    <w:name w:val="Unresolved Mention6"/>
    <w:basedOn w:val="DefaultParagraphFont"/>
    <w:uiPriority w:val="99"/>
    <w:semiHidden/>
    <w:unhideWhenUsed/>
    <w:rsid w:val="002A5727"/>
    <w:rPr>
      <w:color w:val="605E5C"/>
      <w:shd w:val="clear" w:color="auto" w:fill="E1DFDD"/>
    </w:rPr>
  </w:style>
  <w:style w:type="character" w:customStyle="1" w:styleId="DashChar">
    <w:name w:val="Dash Char"/>
    <w:basedOn w:val="DefaultParagraphFont"/>
    <w:link w:val="Dash"/>
    <w:locked/>
    <w:rsid w:val="002A5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05">
      <w:bodyDiv w:val="1"/>
      <w:marLeft w:val="0"/>
      <w:marRight w:val="0"/>
      <w:marTop w:val="0"/>
      <w:marBottom w:val="0"/>
      <w:divBdr>
        <w:top w:val="none" w:sz="0" w:space="0" w:color="auto"/>
        <w:left w:val="none" w:sz="0" w:space="0" w:color="auto"/>
        <w:bottom w:val="none" w:sz="0" w:space="0" w:color="auto"/>
        <w:right w:val="none" w:sz="0" w:space="0" w:color="auto"/>
      </w:divBdr>
    </w:div>
    <w:div w:id="553963">
      <w:bodyDiv w:val="1"/>
      <w:marLeft w:val="0"/>
      <w:marRight w:val="0"/>
      <w:marTop w:val="0"/>
      <w:marBottom w:val="0"/>
      <w:divBdr>
        <w:top w:val="none" w:sz="0" w:space="0" w:color="auto"/>
        <w:left w:val="none" w:sz="0" w:space="0" w:color="auto"/>
        <w:bottom w:val="none" w:sz="0" w:space="0" w:color="auto"/>
        <w:right w:val="none" w:sz="0" w:space="0" w:color="auto"/>
      </w:divBdr>
    </w:div>
    <w:div w:id="1012513">
      <w:bodyDiv w:val="1"/>
      <w:marLeft w:val="0"/>
      <w:marRight w:val="0"/>
      <w:marTop w:val="0"/>
      <w:marBottom w:val="0"/>
      <w:divBdr>
        <w:top w:val="none" w:sz="0" w:space="0" w:color="auto"/>
        <w:left w:val="none" w:sz="0" w:space="0" w:color="auto"/>
        <w:bottom w:val="none" w:sz="0" w:space="0" w:color="auto"/>
        <w:right w:val="none" w:sz="0" w:space="0" w:color="auto"/>
      </w:divBdr>
    </w:div>
    <w:div w:id="1012752">
      <w:bodyDiv w:val="1"/>
      <w:marLeft w:val="0"/>
      <w:marRight w:val="0"/>
      <w:marTop w:val="0"/>
      <w:marBottom w:val="0"/>
      <w:divBdr>
        <w:top w:val="none" w:sz="0" w:space="0" w:color="auto"/>
        <w:left w:val="none" w:sz="0" w:space="0" w:color="auto"/>
        <w:bottom w:val="none" w:sz="0" w:space="0" w:color="auto"/>
        <w:right w:val="none" w:sz="0" w:space="0" w:color="auto"/>
      </w:divBdr>
    </w:div>
    <w:div w:id="2128668">
      <w:bodyDiv w:val="1"/>
      <w:marLeft w:val="0"/>
      <w:marRight w:val="0"/>
      <w:marTop w:val="0"/>
      <w:marBottom w:val="0"/>
      <w:divBdr>
        <w:top w:val="none" w:sz="0" w:space="0" w:color="auto"/>
        <w:left w:val="none" w:sz="0" w:space="0" w:color="auto"/>
        <w:bottom w:val="none" w:sz="0" w:space="0" w:color="auto"/>
        <w:right w:val="none" w:sz="0" w:space="0" w:color="auto"/>
      </w:divBdr>
    </w:div>
    <w:div w:id="2322579">
      <w:bodyDiv w:val="1"/>
      <w:marLeft w:val="0"/>
      <w:marRight w:val="0"/>
      <w:marTop w:val="0"/>
      <w:marBottom w:val="0"/>
      <w:divBdr>
        <w:top w:val="none" w:sz="0" w:space="0" w:color="auto"/>
        <w:left w:val="none" w:sz="0" w:space="0" w:color="auto"/>
        <w:bottom w:val="none" w:sz="0" w:space="0" w:color="auto"/>
        <w:right w:val="none" w:sz="0" w:space="0" w:color="auto"/>
      </w:divBdr>
    </w:div>
    <w:div w:id="2558405">
      <w:bodyDiv w:val="1"/>
      <w:marLeft w:val="0"/>
      <w:marRight w:val="0"/>
      <w:marTop w:val="0"/>
      <w:marBottom w:val="0"/>
      <w:divBdr>
        <w:top w:val="none" w:sz="0" w:space="0" w:color="auto"/>
        <w:left w:val="none" w:sz="0" w:space="0" w:color="auto"/>
        <w:bottom w:val="none" w:sz="0" w:space="0" w:color="auto"/>
        <w:right w:val="none" w:sz="0" w:space="0" w:color="auto"/>
      </w:divBdr>
    </w:div>
    <w:div w:id="2560734">
      <w:bodyDiv w:val="1"/>
      <w:marLeft w:val="0"/>
      <w:marRight w:val="0"/>
      <w:marTop w:val="0"/>
      <w:marBottom w:val="0"/>
      <w:divBdr>
        <w:top w:val="none" w:sz="0" w:space="0" w:color="auto"/>
        <w:left w:val="none" w:sz="0" w:space="0" w:color="auto"/>
        <w:bottom w:val="none" w:sz="0" w:space="0" w:color="auto"/>
        <w:right w:val="none" w:sz="0" w:space="0" w:color="auto"/>
      </w:divBdr>
    </w:div>
    <w:div w:id="3291795">
      <w:bodyDiv w:val="1"/>
      <w:marLeft w:val="0"/>
      <w:marRight w:val="0"/>
      <w:marTop w:val="0"/>
      <w:marBottom w:val="0"/>
      <w:divBdr>
        <w:top w:val="none" w:sz="0" w:space="0" w:color="auto"/>
        <w:left w:val="none" w:sz="0" w:space="0" w:color="auto"/>
        <w:bottom w:val="none" w:sz="0" w:space="0" w:color="auto"/>
        <w:right w:val="none" w:sz="0" w:space="0" w:color="auto"/>
      </w:divBdr>
    </w:div>
    <w:div w:id="4018933">
      <w:bodyDiv w:val="1"/>
      <w:marLeft w:val="0"/>
      <w:marRight w:val="0"/>
      <w:marTop w:val="0"/>
      <w:marBottom w:val="0"/>
      <w:divBdr>
        <w:top w:val="none" w:sz="0" w:space="0" w:color="auto"/>
        <w:left w:val="none" w:sz="0" w:space="0" w:color="auto"/>
        <w:bottom w:val="none" w:sz="0" w:space="0" w:color="auto"/>
        <w:right w:val="none" w:sz="0" w:space="0" w:color="auto"/>
      </w:divBdr>
    </w:div>
    <w:div w:id="4527995">
      <w:bodyDiv w:val="1"/>
      <w:marLeft w:val="0"/>
      <w:marRight w:val="0"/>
      <w:marTop w:val="0"/>
      <w:marBottom w:val="0"/>
      <w:divBdr>
        <w:top w:val="none" w:sz="0" w:space="0" w:color="auto"/>
        <w:left w:val="none" w:sz="0" w:space="0" w:color="auto"/>
        <w:bottom w:val="none" w:sz="0" w:space="0" w:color="auto"/>
        <w:right w:val="none" w:sz="0" w:space="0" w:color="auto"/>
      </w:divBdr>
    </w:div>
    <w:div w:id="4596646">
      <w:bodyDiv w:val="1"/>
      <w:marLeft w:val="0"/>
      <w:marRight w:val="0"/>
      <w:marTop w:val="0"/>
      <w:marBottom w:val="0"/>
      <w:divBdr>
        <w:top w:val="none" w:sz="0" w:space="0" w:color="auto"/>
        <w:left w:val="none" w:sz="0" w:space="0" w:color="auto"/>
        <w:bottom w:val="none" w:sz="0" w:space="0" w:color="auto"/>
        <w:right w:val="none" w:sz="0" w:space="0" w:color="auto"/>
      </w:divBdr>
    </w:div>
    <w:div w:id="4864197">
      <w:bodyDiv w:val="1"/>
      <w:marLeft w:val="0"/>
      <w:marRight w:val="0"/>
      <w:marTop w:val="0"/>
      <w:marBottom w:val="0"/>
      <w:divBdr>
        <w:top w:val="none" w:sz="0" w:space="0" w:color="auto"/>
        <w:left w:val="none" w:sz="0" w:space="0" w:color="auto"/>
        <w:bottom w:val="none" w:sz="0" w:space="0" w:color="auto"/>
        <w:right w:val="none" w:sz="0" w:space="0" w:color="auto"/>
      </w:divBdr>
    </w:div>
    <w:div w:id="5334059">
      <w:bodyDiv w:val="1"/>
      <w:marLeft w:val="0"/>
      <w:marRight w:val="0"/>
      <w:marTop w:val="0"/>
      <w:marBottom w:val="0"/>
      <w:divBdr>
        <w:top w:val="none" w:sz="0" w:space="0" w:color="auto"/>
        <w:left w:val="none" w:sz="0" w:space="0" w:color="auto"/>
        <w:bottom w:val="none" w:sz="0" w:space="0" w:color="auto"/>
        <w:right w:val="none" w:sz="0" w:space="0" w:color="auto"/>
      </w:divBdr>
    </w:div>
    <w:div w:id="6055367">
      <w:bodyDiv w:val="1"/>
      <w:marLeft w:val="0"/>
      <w:marRight w:val="0"/>
      <w:marTop w:val="0"/>
      <w:marBottom w:val="0"/>
      <w:divBdr>
        <w:top w:val="none" w:sz="0" w:space="0" w:color="auto"/>
        <w:left w:val="none" w:sz="0" w:space="0" w:color="auto"/>
        <w:bottom w:val="none" w:sz="0" w:space="0" w:color="auto"/>
        <w:right w:val="none" w:sz="0" w:space="0" w:color="auto"/>
      </w:divBdr>
    </w:div>
    <w:div w:id="6249678">
      <w:bodyDiv w:val="1"/>
      <w:marLeft w:val="0"/>
      <w:marRight w:val="0"/>
      <w:marTop w:val="0"/>
      <w:marBottom w:val="0"/>
      <w:divBdr>
        <w:top w:val="none" w:sz="0" w:space="0" w:color="auto"/>
        <w:left w:val="none" w:sz="0" w:space="0" w:color="auto"/>
        <w:bottom w:val="none" w:sz="0" w:space="0" w:color="auto"/>
        <w:right w:val="none" w:sz="0" w:space="0" w:color="auto"/>
      </w:divBdr>
    </w:div>
    <w:div w:id="6640958">
      <w:bodyDiv w:val="1"/>
      <w:marLeft w:val="0"/>
      <w:marRight w:val="0"/>
      <w:marTop w:val="0"/>
      <w:marBottom w:val="0"/>
      <w:divBdr>
        <w:top w:val="none" w:sz="0" w:space="0" w:color="auto"/>
        <w:left w:val="none" w:sz="0" w:space="0" w:color="auto"/>
        <w:bottom w:val="none" w:sz="0" w:space="0" w:color="auto"/>
        <w:right w:val="none" w:sz="0" w:space="0" w:color="auto"/>
      </w:divBdr>
    </w:div>
    <w:div w:id="7104595">
      <w:bodyDiv w:val="1"/>
      <w:marLeft w:val="0"/>
      <w:marRight w:val="0"/>
      <w:marTop w:val="0"/>
      <w:marBottom w:val="0"/>
      <w:divBdr>
        <w:top w:val="none" w:sz="0" w:space="0" w:color="auto"/>
        <w:left w:val="none" w:sz="0" w:space="0" w:color="auto"/>
        <w:bottom w:val="none" w:sz="0" w:space="0" w:color="auto"/>
        <w:right w:val="none" w:sz="0" w:space="0" w:color="auto"/>
      </w:divBdr>
    </w:div>
    <w:div w:id="7173177">
      <w:bodyDiv w:val="1"/>
      <w:marLeft w:val="0"/>
      <w:marRight w:val="0"/>
      <w:marTop w:val="0"/>
      <w:marBottom w:val="0"/>
      <w:divBdr>
        <w:top w:val="none" w:sz="0" w:space="0" w:color="auto"/>
        <w:left w:val="none" w:sz="0" w:space="0" w:color="auto"/>
        <w:bottom w:val="none" w:sz="0" w:space="0" w:color="auto"/>
        <w:right w:val="none" w:sz="0" w:space="0" w:color="auto"/>
      </w:divBdr>
    </w:div>
    <w:div w:id="7759909">
      <w:bodyDiv w:val="1"/>
      <w:marLeft w:val="0"/>
      <w:marRight w:val="0"/>
      <w:marTop w:val="0"/>
      <w:marBottom w:val="0"/>
      <w:divBdr>
        <w:top w:val="none" w:sz="0" w:space="0" w:color="auto"/>
        <w:left w:val="none" w:sz="0" w:space="0" w:color="auto"/>
        <w:bottom w:val="none" w:sz="0" w:space="0" w:color="auto"/>
        <w:right w:val="none" w:sz="0" w:space="0" w:color="auto"/>
      </w:divBdr>
    </w:div>
    <w:div w:id="8601241">
      <w:bodyDiv w:val="1"/>
      <w:marLeft w:val="0"/>
      <w:marRight w:val="0"/>
      <w:marTop w:val="0"/>
      <w:marBottom w:val="0"/>
      <w:divBdr>
        <w:top w:val="none" w:sz="0" w:space="0" w:color="auto"/>
        <w:left w:val="none" w:sz="0" w:space="0" w:color="auto"/>
        <w:bottom w:val="none" w:sz="0" w:space="0" w:color="auto"/>
        <w:right w:val="none" w:sz="0" w:space="0" w:color="auto"/>
      </w:divBdr>
    </w:div>
    <w:div w:id="8603059">
      <w:bodyDiv w:val="1"/>
      <w:marLeft w:val="0"/>
      <w:marRight w:val="0"/>
      <w:marTop w:val="0"/>
      <w:marBottom w:val="0"/>
      <w:divBdr>
        <w:top w:val="none" w:sz="0" w:space="0" w:color="auto"/>
        <w:left w:val="none" w:sz="0" w:space="0" w:color="auto"/>
        <w:bottom w:val="none" w:sz="0" w:space="0" w:color="auto"/>
        <w:right w:val="none" w:sz="0" w:space="0" w:color="auto"/>
      </w:divBdr>
    </w:div>
    <w:div w:id="8652393">
      <w:bodyDiv w:val="1"/>
      <w:marLeft w:val="0"/>
      <w:marRight w:val="0"/>
      <w:marTop w:val="0"/>
      <w:marBottom w:val="0"/>
      <w:divBdr>
        <w:top w:val="none" w:sz="0" w:space="0" w:color="auto"/>
        <w:left w:val="none" w:sz="0" w:space="0" w:color="auto"/>
        <w:bottom w:val="none" w:sz="0" w:space="0" w:color="auto"/>
        <w:right w:val="none" w:sz="0" w:space="0" w:color="auto"/>
      </w:divBdr>
    </w:div>
    <w:div w:id="8796047">
      <w:bodyDiv w:val="1"/>
      <w:marLeft w:val="0"/>
      <w:marRight w:val="0"/>
      <w:marTop w:val="0"/>
      <w:marBottom w:val="0"/>
      <w:divBdr>
        <w:top w:val="none" w:sz="0" w:space="0" w:color="auto"/>
        <w:left w:val="none" w:sz="0" w:space="0" w:color="auto"/>
        <w:bottom w:val="none" w:sz="0" w:space="0" w:color="auto"/>
        <w:right w:val="none" w:sz="0" w:space="0" w:color="auto"/>
      </w:divBdr>
    </w:div>
    <w:div w:id="8873992">
      <w:bodyDiv w:val="1"/>
      <w:marLeft w:val="0"/>
      <w:marRight w:val="0"/>
      <w:marTop w:val="0"/>
      <w:marBottom w:val="0"/>
      <w:divBdr>
        <w:top w:val="none" w:sz="0" w:space="0" w:color="auto"/>
        <w:left w:val="none" w:sz="0" w:space="0" w:color="auto"/>
        <w:bottom w:val="none" w:sz="0" w:space="0" w:color="auto"/>
        <w:right w:val="none" w:sz="0" w:space="0" w:color="auto"/>
      </w:divBdr>
    </w:div>
    <w:div w:id="8993270">
      <w:bodyDiv w:val="1"/>
      <w:marLeft w:val="0"/>
      <w:marRight w:val="0"/>
      <w:marTop w:val="0"/>
      <w:marBottom w:val="0"/>
      <w:divBdr>
        <w:top w:val="none" w:sz="0" w:space="0" w:color="auto"/>
        <w:left w:val="none" w:sz="0" w:space="0" w:color="auto"/>
        <w:bottom w:val="none" w:sz="0" w:space="0" w:color="auto"/>
        <w:right w:val="none" w:sz="0" w:space="0" w:color="auto"/>
      </w:divBdr>
    </w:div>
    <w:div w:id="8994876">
      <w:bodyDiv w:val="1"/>
      <w:marLeft w:val="0"/>
      <w:marRight w:val="0"/>
      <w:marTop w:val="0"/>
      <w:marBottom w:val="0"/>
      <w:divBdr>
        <w:top w:val="none" w:sz="0" w:space="0" w:color="auto"/>
        <w:left w:val="none" w:sz="0" w:space="0" w:color="auto"/>
        <w:bottom w:val="none" w:sz="0" w:space="0" w:color="auto"/>
        <w:right w:val="none" w:sz="0" w:space="0" w:color="auto"/>
      </w:divBdr>
    </w:div>
    <w:div w:id="9723666">
      <w:bodyDiv w:val="1"/>
      <w:marLeft w:val="0"/>
      <w:marRight w:val="0"/>
      <w:marTop w:val="0"/>
      <w:marBottom w:val="0"/>
      <w:divBdr>
        <w:top w:val="none" w:sz="0" w:space="0" w:color="auto"/>
        <w:left w:val="none" w:sz="0" w:space="0" w:color="auto"/>
        <w:bottom w:val="none" w:sz="0" w:space="0" w:color="auto"/>
        <w:right w:val="none" w:sz="0" w:space="0" w:color="auto"/>
      </w:divBdr>
    </w:div>
    <w:div w:id="10569911">
      <w:bodyDiv w:val="1"/>
      <w:marLeft w:val="0"/>
      <w:marRight w:val="0"/>
      <w:marTop w:val="0"/>
      <w:marBottom w:val="0"/>
      <w:divBdr>
        <w:top w:val="none" w:sz="0" w:space="0" w:color="auto"/>
        <w:left w:val="none" w:sz="0" w:space="0" w:color="auto"/>
        <w:bottom w:val="none" w:sz="0" w:space="0" w:color="auto"/>
        <w:right w:val="none" w:sz="0" w:space="0" w:color="auto"/>
      </w:divBdr>
    </w:div>
    <w:div w:id="10685351">
      <w:bodyDiv w:val="1"/>
      <w:marLeft w:val="0"/>
      <w:marRight w:val="0"/>
      <w:marTop w:val="0"/>
      <w:marBottom w:val="0"/>
      <w:divBdr>
        <w:top w:val="none" w:sz="0" w:space="0" w:color="auto"/>
        <w:left w:val="none" w:sz="0" w:space="0" w:color="auto"/>
        <w:bottom w:val="none" w:sz="0" w:space="0" w:color="auto"/>
        <w:right w:val="none" w:sz="0" w:space="0" w:color="auto"/>
      </w:divBdr>
    </w:div>
    <w:div w:id="11693547">
      <w:bodyDiv w:val="1"/>
      <w:marLeft w:val="0"/>
      <w:marRight w:val="0"/>
      <w:marTop w:val="0"/>
      <w:marBottom w:val="0"/>
      <w:divBdr>
        <w:top w:val="none" w:sz="0" w:space="0" w:color="auto"/>
        <w:left w:val="none" w:sz="0" w:space="0" w:color="auto"/>
        <w:bottom w:val="none" w:sz="0" w:space="0" w:color="auto"/>
        <w:right w:val="none" w:sz="0" w:space="0" w:color="auto"/>
      </w:divBdr>
    </w:div>
    <w:div w:id="12072394">
      <w:bodyDiv w:val="1"/>
      <w:marLeft w:val="0"/>
      <w:marRight w:val="0"/>
      <w:marTop w:val="0"/>
      <w:marBottom w:val="0"/>
      <w:divBdr>
        <w:top w:val="none" w:sz="0" w:space="0" w:color="auto"/>
        <w:left w:val="none" w:sz="0" w:space="0" w:color="auto"/>
        <w:bottom w:val="none" w:sz="0" w:space="0" w:color="auto"/>
        <w:right w:val="none" w:sz="0" w:space="0" w:color="auto"/>
      </w:divBdr>
    </w:div>
    <w:div w:id="13239789">
      <w:bodyDiv w:val="1"/>
      <w:marLeft w:val="0"/>
      <w:marRight w:val="0"/>
      <w:marTop w:val="0"/>
      <w:marBottom w:val="0"/>
      <w:divBdr>
        <w:top w:val="none" w:sz="0" w:space="0" w:color="auto"/>
        <w:left w:val="none" w:sz="0" w:space="0" w:color="auto"/>
        <w:bottom w:val="none" w:sz="0" w:space="0" w:color="auto"/>
        <w:right w:val="none" w:sz="0" w:space="0" w:color="auto"/>
      </w:divBdr>
    </w:div>
    <w:div w:id="13383558">
      <w:bodyDiv w:val="1"/>
      <w:marLeft w:val="0"/>
      <w:marRight w:val="0"/>
      <w:marTop w:val="0"/>
      <w:marBottom w:val="0"/>
      <w:divBdr>
        <w:top w:val="none" w:sz="0" w:space="0" w:color="auto"/>
        <w:left w:val="none" w:sz="0" w:space="0" w:color="auto"/>
        <w:bottom w:val="none" w:sz="0" w:space="0" w:color="auto"/>
        <w:right w:val="none" w:sz="0" w:space="0" w:color="auto"/>
      </w:divBdr>
    </w:div>
    <w:div w:id="13506944">
      <w:bodyDiv w:val="1"/>
      <w:marLeft w:val="0"/>
      <w:marRight w:val="0"/>
      <w:marTop w:val="0"/>
      <w:marBottom w:val="0"/>
      <w:divBdr>
        <w:top w:val="none" w:sz="0" w:space="0" w:color="auto"/>
        <w:left w:val="none" w:sz="0" w:space="0" w:color="auto"/>
        <w:bottom w:val="none" w:sz="0" w:space="0" w:color="auto"/>
        <w:right w:val="none" w:sz="0" w:space="0" w:color="auto"/>
      </w:divBdr>
    </w:div>
    <w:div w:id="13656403">
      <w:bodyDiv w:val="1"/>
      <w:marLeft w:val="0"/>
      <w:marRight w:val="0"/>
      <w:marTop w:val="0"/>
      <w:marBottom w:val="0"/>
      <w:divBdr>
        <w:top w:val="none" w:sz="0" w:space="0" w:color="auto"/>
        <w:left w:val="none" w:sz="0" w:space="0" w:color="auto"/>
        <w:bottom w:val="none" w:sz="0" w:space="0" w:color="auto"/>
        <w:right w:val="none" w:sz="0" w:space="0" w:color="auto"/>
      </w:divBdr>
    </w:div>
    <w:div w:id="13923439">
      <w:bodyDiv w:val="1"/>
      <w:marLeft w:val="0"/>
      <w:marRight w:val="0"/>
      <w:marTop w:val="0"/>
      <w:marBottom w:val="0"/>
      <w:divBdr>
        <w:top w:val="none" w:sz="0" w:space="0" w:color="auto"/>
        <w:left w:val="none" w:sz="0" w:space="0" w:color="auto"/>
        <w:bottom w:val="none" w:sz="0" w:space="0" w:color="auto"/>
        <w:right w:val="none" w:sz="0" w:space="0" w:color="auto"/>
      </w:divBdr>
    </w:div>
    <w:div w:id="14118801">
      <w:bodyDiv w:val="1"/>
      <w:marLeft w:val="0"/>
      <w:marRight w:val="0"/>
      <w:marTop w:val="0"/>
      <w:marBottom w:val="0"/>
      <w:divBdr>
        <w:top w:val="none" w:sz="0" w:space="0" w:color="auto"/>
        <w:left w:val="none" w:sz="0" w:space="0" w:color="auto"/>
        <w:bottom w:val="none" w:sz="0" w:space="0" w:color="auto"/>
        <w:right w:val="none" w:sz="0" w:space="0" w:color="auto"/>
      </w:divBdr>
    </w:div>
    <w:div w:id="14498438">
      <w:bodyDiv w:val="1"/>
      <w:marLeft w:val="0"/>
      <w:marRight w:val="0"/>
      <w:marTop w:val="0"/>
      <w:marBottom w:val="0"/>
      <w:divBdr>
        <w:top w:val="none" w:sz="0" w:space="0" w:color="auto"/>
        <w:left w:val="none" w:sz="0" w:space="0" w:color="auto"/>
        <w:bottom w:val="none" w:sz="0" w:space="0" w:color="auto"/>
        <w:right w:val="none" w:sz="0" w:space="0" w:color="auto"/>
      </w:divBdr>
    </w:div>
    <w:div w:id="14961401">
      <w:bodyDiv w:val="1"/>
      <w:marLeft w:val="0"/>
      <w:marRight w:val="0"/>
      <w:marTop w:val="0"/>
      <w:marBottom w:val="0"/>
      <w:divBdr>
        <w:top w:val="none" w:sz="0" w:space="0" w:color="auto"/>
        <w:left w:val="none" w:sz="0" w:space="0" w:color="auto"/>
        <w:bottom w:val="none" w:sz="0" w:space="0" w:color="auto"/>
        <w:right w:val="none" w:sz="0" w:space="0" w:color="auto"/>
      </w:divBdr>
    </w:div>
    <w:div w:id="15232397">
      <w:bodyDiv w:val="1"/>
      <w:marLeft w:val="0"/>
      <w:marRight w:val="0"/>
      <w:marTop w:val="0"/>
      <w:marBottom w:val="0"/>
      <w:divBdr>
        <w:top w:val="none" w:sz="0" w:space="0" w:color="auto"/>
        <w:left w:val="none" w:sz="0" w:space="0" w:color="auto"/>
        <w:bottom w:val="none" w:sz="0" w:space="0" w:color="auto"/>
        <w:right w:val="none" w:sz="0" w:space="0" w:color="auto"/>
      </w:divBdr>
    </w:div>
    <w:div w:id="16153251">
      <w:bodyDiv w:val="1"/>
      <w:marLeft w:val="0"/>
      <w:marRight w:val="0"/>
      <w:marTop w:val="0"/>
      <w:marBottom w:val="0"/>
      <w:divBdr>
        <w:top w:val="none" w:sz="0" w:space="0" w:color="auto"/>
        <w:left w:val="none" w:sz="0" w:space="0" w:color="auto"/>
        <w:bottom w:val="none" w:sz="0" w:space="0" w:color="auto"/>
        <w:right w:val="none" w:sz="0" w:space="0" w:color="auto"/>
      </w:divBdr>
    </w:div>
    <w:div w:id="16203296">
      <w:bodyDiv w:val="1"/>
      <w:marLeft w:val="0"/>
      <w:marRight w:val="0"/>
      <w:marTop w:val="0"/>
      <w:marBottom w:val="0"/>
      <w:divBdr>
        <w:top w:val="none" w:sz="0" w:space="0" w:color="auto"/>
        <w:left w:val="none" w:sz="0" w:space="0" w:color="auto"/>
        <w:bottom w:val="none" w:sz="0" w:space="0" w:color="auto"/>
        <w:right w:val="none" w:sz="0" w:space="0" w:color="auto"/>
      </w:divBdr>
    </w:div>
    <w:div w:id="16473324">
      <w:bodyDiv w:val="1"/>
      <w:marLeft w:val="0"/>
      <w:marRight w:val="0"/>
      <w:marTop w:val="0"/>
      <w:marBottom w:val="0"/>
      <w:divBdr>
        <w:top w:val="none" w:sz="0" w:space="0" w:color="auto"/>
        <w:left w:val="none" w:sz="0" w:space="0" w:color="auto"/>
        <w:bottom w:val="none" w:sz="0" w:space="0" w:color="auto"/>
        <w:right w:val="none" w:sz="0" w:space="0" w:color="auto"/>
      </w:divBdr>
    </w:div>
    <w:div w:id="16586903">
      <w:bodyDiv w:val="1"/>
      <w:marLeft w:val="0"/>
      <w:marRight w:val="0"/>
      <w:marTop w:val="0"/>
      <w:marBottom w:val="0"/>
      <w:divBdr>
        <w:top w:val="none" w:sz="0" w:space="0" w:color="auto"/>
        <w:left w:val="none" w:sz="0" w:space="0" w:color="auto"/>
        <w:bottom w:val="none" w:sz="0" w:space="0" w:color="auto"/>
        <w:right w:val="none" w:sz="0" w:space="0" w:color="auto"/>
      </w:divBdr>
    </w:div>
    <w:div w:id="16658337">
      <w:bodyDiv w:val="1"/>
      <w:marLeft w:val="0"/>
      <w:marRight w:val="0"/>
      <w:marTop w:val="0"/>
      <w:marBottom w:val="0"/>
      <w:divBdr>
        <w:top w:val="none" w:sz="0" w:space="0" w:color="auto"/>
        <w:left w:val="none" w:sz="0" w:space="0" w:color="auto"/>
        <w:bottom w:val="none" w:sz="0" w:space="0" w:color="auto"/>
        <w:right w:val="none" w:sz="0" w:space="0" w:color="auto"/>
      </w:divBdr>
    </w:div>
    <w:div w:id="16659424">
      <w:bodyDiv w:val="1"/>
      <w:marLeft w:val="0"/>
      <w:marRight w:val="0"/>
      <w:marTop w:val="0"/>
      <w:marBottom w:val="0"/>
      <w:divBdr>
        <w:top w:val="none" w:sz="0" w:space="0" w:color="auto"/>
        <w:left w:val="none" w:sz="0" w:space="0" w:color="auto"/>
        <w:bottom w:val="none" w:sz="0" w:space="0" w:color="auto"/>
        <w:right w:val="none" w:sz="0" w:space="0" w:color="auto"/>
      </w:divBdr>
    </w:div>
    <w:div w:id="16974498">
      <w:bodyDiv w:val="1"/>
      <w:marLeft w:val="0"/>
      <w:marRight w:val="0"/>
      <w:marTop w:val="0"/>
      <w:marBottom w:val="0"/>
      <w:divBdr>
        <w:top w:val="none" w:sz="0" w:space="0" w:color="auto"/>
        <w:left w:val="none" w:sz="0" w:space="0" w:color="auto"/>
        <w:bottom w:val="none" w:sz="0" w:space="0" w:color="auto"/>
        <w:right w:val="none" w:sz="0" w:space="0" w:color="auto"/>
      </w:divBdr>
    </w:div>
    <w:div w:id="17202382">
      <w:bodyDiv w:val="1"/>
      <w:marLeft w:val="0"/>
      <w:marRight w:val="0"/>
      <w:marTop w:val="0"/>
      <w:marBottom w:val="0"/>
      <w:divBdr>
        <w:top w:val="none" w:sz="0" w:space="0" w:color="auto"/>
        <w:left w:val="none" w:sz="0" w:space="0" w:color="auto"/>
        <w:bottom w:val="none" w:sz="0" w:space="0" w:color="auto"/>
        <w:right w:val="none" w:sz="0" w:space="0" w:color="auto"/>
      </w:divBdr>
    </w:div>
    <w:div w:id="17853830">
      <w:bodyDiv w:val="1"/>
      <w:marLeft w:val="0"/>
      <w:marRight w:val="0"/>
      <w:marTop w:val="0"/>
      <w:marBottom w:val="0"/>
      <w:divBdr>
        <w:top w:val="none" w:sz="0" w:space="0" w:color="auto"/>
        <w:left w:val="none" w:sz="0" w:space="0" w:color="auto"/>
        <w:bottom w:val="none" w:sz="0" w:space="0" w:color="auto"/>
        <w:right w:val="none" w:sz="0" w:space="0" w:color="auto"/>
      </w:divBdr>
    </w:div>
    <w:div w:id="18088102">
      <w:bodyDiv w:val="1"/>
      <w:marLeft w:val="0"/>
      <w:marRight w:val="0"/>
      <w:marTop w:val="0"/>
      <w:marBottom w:val="0"/>
      <w:divBdr>
        <w:top w:val="none" w:sz="0" w:space="0" w:color="auto"/>
        <w:left w:val="none" w:sz="0" w:space="0" w:color="auto"/>
        <w:bottom w:val="none" w:sz="0" w:space="0" w:color="auto"/>
        <w:right w:val="none" w:sz="0" w:space="0" w:color="auto"/>
      </w:divBdr>
    </w:div>
    <w:div w:id="18284866">
      <w:bodyDiv w:val="1"/>
      <w:marLeft w:val="0"/>
      <w:marRight w:val="0"/>
      <w:marTop w:val="0"/>
      <w:marBottom w:val="0"/>
      <w:divBdr>
        <w:top w:val="none" w:sz="0" w:space="0" w:color="auto"/>
        <w:left w:val="none" w:sz="0" w:space="0" w:color="auto"/>
        <w:bottom w:val="none" w:sz="0" w:space="0" w:color="auto"/>
        <w:right w:val="none" w:sz="0" w:space="0" w:color="auto"/>
      </w:divBdr>
    </w:div>
    <w:div w:id="18745729">
      <w:bodyDiv w:val="1"/>
      <w:marLeft w:val="0"/>
      <w:marRight w:val="0"/>
      <w:marTop w:val="0"/>
      <w:marBottom w:val="0"/>
      <w:divBdr>
        <w:top w:val="none" w:sz="0" w:space="0" w:color="auto"/>
        <w:left w:val="none" w:sz="0" w:space="0" w:color="auto"/>
        <w:bottom w:val="none" w:sz="0" w:space="0" w:color="auto"/>
        <w:right w:val="none" w:sz="0" w:space="0" w:color="auto"/>
      </w:divBdr>
    </w:div>
    <w:div w:id="19010181">
      <w:bodyDiv w:val="1"/>
      <w:marLeft w:val="0"/>
      <w:marRight w:val="0"/>
      <w:marTop w:val="0"/>
      <w:marBottom w:val="0"/>
      <w:divBdr>
        <w:top w:val="none" w:sz="0" w:space="0" w:color="auto"/>
        <w:left w:val="none" w:sz="0" w:space="0" w:color="auto"/>
        <w:bottom w:val="none" w:sz="0" w:space="0" w:color="auto"/>
        <w:right w:val="none" w:sz="0" w:space="0" w:color="auto"/>
      </w:divBdr>
    </w:div>
    <w:div w:id="19627394">
      <w:bodyDiv w:val="1"/>
      <w:marLeft w:val="0"/>
      <w:marRight w:val="0"/>
      <w:marTop w:val="0"/>
      <w:marBottom w:val="0"/>
      <w:divBdr>
        <w:top w:val="none" w:sz="0" w:space="0" w:color="auto"/>
        <w:left w:val="none" w:sz="0" w:space="0" w:color="auto"/>
        <w:bottom w:val="none" w:sz="0" w:space="0" w:color="auto"/>
        <w:right w:val="none" w:sz="0" w:space="0" w:color="auto"/>
      </w:divBdr>
    </w:div>
    <w:div w:id="19627720">
      <w:bodyDiv w:val="1"/>
      <w:marLeft w:val="0"/>
      <w:marRight w:val="0"/>
      <w:marTop w:val="0"/>
      <w:marBottom w:val="0"/>
      <w:divBdr>
        <w:top w:val="none" w:sz="0" w:space="0" w:color="auto"/>
        <w:left w:val="none" w:sz="0" w:space="0" w:color="auto"/>
        <w:bottom w:val="none" w:sz="0" w:space="0" w:color="auto"/>
        <w:right w:val="none" w:sz="0" w:space="0" w:color="auto"/>
      </w:divBdr>
    </w:div>
    <w:div w:id="19817897">
      <w:bodyDiv w:val="1"/>
      <w:marLeft w:val="0"/>
      <w:marRight w:val="0"/>
      <w:marTop w:val="0"/>
      <w:marBottom w:val="0"/>
      <w:divBdr>
        <w:top w:val="none" w:sz="0" w:space="0" w:color="auto"/>
        <w:left w:val="none" w:sz="0" w:space="0" w:color="auto"/>
        <w:bottom w:val="none" w:sz="0" w:space="0" w:color="auto"/>
        <w:right w:val="none" w:sz="0" w:space="0" w:color="auto"/>
      </w:divBdr>
    </w:div>
    <w:div w:id="20085508">
      <w:bodyDiv w:val="1"/>
      <w:marLeft w:val="0"/>
      <w:marRight w:val="0"/>
      <w:marTop w:val="0"/>
      <w:marBottom w:val="0"/>
      <w:divBdr>
        <w:top w:val="none" w:sz="0" w:space="0" w:color="auto"/>
        <w:left w:val="none" w:sz="0" w:space="0" w:color="auto"/>
        <w:bottom w:val="none" w:sz="0" w:space="0" w:color="auto"/>
        <w:right w:val="none" w:sz="0" w:space="0" w:color="auto"/>
      </w:divBdr>
    </w:div>
    <w:div w:id="20321215">
      <w:bodyDiv w:val="1"/>
      <w:marLeft w:val="0"/>
      <w:marRight w:val="0"/>
      <w:marTop w:val="0"/>
      <w:marBottom w:val="0"/>
      <w:divBdr>
        <w:top w:val="none" w:sz="0" w:space="0" w:color="auto"/>
        <w:left w:val="none" w:sz="0" w:space="0" w:color="auto"/>
        <w:bottom w:val="none" w:sz="0" w:space="0" w:color="auto"/>
        <w:right w:val="none" w:sz="0" w:space="0" w:color="auto"/>
      </w:divBdr>
    </w:div>
    <w:div w:id="20936533">
      <w:bodyDiv w:val="1"/>
      <w:marLeft w:val="0"/>
      <w:marRight w:val="0"/>
      <w:marTop w:val="0"/>
      <w:marBottom w:val="0"/>
      <w:divBdr>
        <w:top w:val="none" w:sz="0" w:space="0" w:color="auto"/>
        <w:left w:val="none" w:sz="0" w:space="0" w:color="auto"/>
        <w:bottom w:val="none" w:sz="0" w:space="0" w:color="auto"/>
        <w:right w:val="none" w:sz="0" w:space="0" w:color="auto"/>
      </w:divBdr>
    </w:div>
    <w:div w:id="21133284">
      <w:bodyDiv w:val="1"/>
      <w:marLeft w:val="0"/>
      <w:marRight w:val="0"/>
      <w:marTop w:val="0"/>
      <w:marBottom w:val="0"/>
      <w:divBdr>
        <w:top w:val="none" w:sz="0" w:space="0" w:color="auto"/>
        <w:left w:val="none" w:sz="0" w:space="0" w:color="auto"/>
        <w:bottom w:val="none" w:sz="0" w:space="0" w:color="auto"/>
        <w:right w:val="none" w:sz="0" w:space="0" w:color="auto"/>
      </w:divBdr>
    </w:div>
    <w:div w:id="21252142">
      <w:bodyDiv w:val="1"/>
      <w:marLeft w:val="0"/>
      <w:marRight w:val="0"/>
      <w:marTop w:val="0"/>
      <w:marBottom w:val="0"/>
      <w:divBdr>
        <w:top w:val="none" w:sz="0" w:space="0" w:color="auto"/>
        <w:left w:val="none" w:sz="0" w:space="0" w:color="auto"/>
        <w:bottom w:val="none" w:sz="0" w:space="0" w:color="auto"/>
        <w:right w:val="none" w:sz="0" w:space="0" w:color="auto"/>
      </w:divBdr>
    </w:div>
    <w:div w:id="21708752">
      <w:bodyDiv w:val="1"/>
      <w:marLeft w:val="0"/>
      <w:marRight w:val="0"/>
      <w:marTop w:val="0"/>
      <w:marBottom w:val="0"/>
      <w:divBdr>
        <w:top w:val="none" w:sz="0" w:space="0" w:color="auto"/>
        <w:left w:val="none" w:sz="0" w:space="0" w:color="auto"/>
        <w:bottom w:val="none" w:sz="0" w:space="0" w:color="auto"/>
        <w:right w:val="none" w:sz="0" w:space="0" w:color="auto"/>
      </w:divBdr>
    </w:div>
    <w:div w:id="21979306">
      <w:bodyDiv w:val="1"/>
      <w:marLeft w:val="0"/>
      <w:marRight w:val="0"/>
      <w:marTop w:val="0"/>
      <w:marBottom w:val="0"/>
      <w:divBdr>
        <w:top w:val="none" w:sz="0" w:space="0" w:color="auto"/>
        <w:left w:val="none" w:sz="0" w:space="0" w:color="auto"/>
        <w:bottom w:val="none" w:sz="0" w:space="0" w:color="auto"/>
        <w:right w:val="none" w:sz="0" w:space="0" w:color="auto"/>
      </w:divBdr>
    </w:div>
    <w:div w:id="22290681">
      <w:bodyDiv w:val="1"/>
      <w:marLeft w:val="0"/>
      <w:marRight w:val="0"/>
      <w:marTop w:val="0"/>
      <w:marBottom w:val="0"/>
      <w:divBdr>
        <w:top w:val="none" w:sz="0" w:space="0" w:color="auto"/>
        <w:left w:val="none" w:sz="0" w:space="0" w:color="auto"/>
        <w:bottom w:val="none" w:sz="0" w:space="0" w:color="auto"/>
        <w:right w:val="none" w:sz="0" w:space="0" w:color="auto"/>
      </w:divBdr>
    </w:div>
    <w:div w:id="22557926">
      <w:bodyDiv w:val="1"/>
      <w:marLeft w:val="0"/>
      <w:marRight w:val="0"/>
      <w:marTop w:val="0"/>
      <w:marBottom w:val="0"/>
      <w:divBdr>
        <w:top w:val="none" w:sz="0" w:space="0" w:color="auto"/>
        <w:left w:val="none" w:sz="0" w:space="0" w:color="auto"/>
        <w:bottom w:val="none" w:sz="0" w:space="0" w:color="auto"/>
        <w:right w:val="none" w:sz="0" w:space="0" w:color="auto"/>
      </w:divBdr>
    </w:div>
    <w:div w:id="22677169">
      <w:bodyDiv w:val="1"/>
      <w:marLeft w:val="0"/>
      <w:marRight w:val="0"/>
      <w:marTop w:val="0"/>
      <w:marBottom w:val="0"/>
      <w:divBdr>
        <w:top w:val="none" w:sz="0" w:space="0" w:color="auto"/>
        <w:left w:val="none" w:sz="0" w:space="0" w:color="auto"/>
        <w:bottom w:val="none" w:sz="0" w:space="0" w:color="auto"/>
        <w:right w:val="none" w:sz="0" w:space="0" w:color="auto"/>
      </w:divBdr>
    </w:div>
    <w:div w:id="23940884">
      <w:bodyDiv w:val="1"/>
      <w:marLeft w:val="0"/>
      <w:marRight w:val="0"/>
      <w:marTop w:val="0"/>
      <w:marBottom w:val="0"/>
      <w:divBdr>
        <w:top w:val="none" w:sz="0" w:space="0" w:color="auto"/>
        <w:left w:val="none" w:sz="0" w:space="0" w:color="auto"/>
        <w:bottom w:val="none" w:sz="0" w:space="0" w:color="auto"/>
        <w:right w:val="none" w:sz="0" w:space="0" w:color="auto"/>
      </w:divBdr>
    </w:div>
    <w:div w:id="24445426">
      <w:bodyDiv w:val="1"/>
      <w:marLeft w:val="0"/>
      <w:marRight w:val="0"/>
      <w:marTop w:val="0"/>
      <w:marBottom w:val="0"/>
      <w:divBdr>
        <w:top w:val="none" w:sz="0" w:space="0" w:color="auto"/>
        <w:left w:val="none" w:sz="0" w:space="0" w:color="auto"/>
        <w:bottom w:val="none" w:sz="0" w:space="0" w:color="auto"/>
        <w:right w:val="none" w:sz="0" w:space="0" w:color="auto"/>
      </w:divBdr>
    </w:div>
    <w:div w:id="24868445">
      <w:bodyDiv w:val="1"/>
      <w:marLeft w:val="0"/>
      <w:marRight w:val="0"/>
      <w:marTop w:val="0"/>
      <w:marBottom w:val="0"/>
      <w:divBdr>
        <w:top w:val="none" w:sz="0" w:space="0" w:color="auto"/>
        <w:left w:val="none" w:sz="0" w:space="0" w:color="auto"/>
        <w:bottom w:val="none" w:sz="0" w:space="0" w:color="auto"/>
        <w:right w:val="none" w:sz="0" w:space="0" w:color="auto"/>
      </w:divBdr>
    </w:div>
    <w:div w:id="25101579">
      <w:bodyDiv w:val="1"/>
      <w:marLeft w:val="0"/>
      <w:marRight w:val="0"/>
      <w:marTop w:val="0"/>
      <w:marBottom w:val="0"/>
      <w:divBdr>
        <w:top w:val="none" w:sz="0" w:space="0" w:color="auto"/>
        <w:left w:val="none" w:sz="0" w:space="0" w:color="auto"/>
        <w:bottom w:val="none" w:sz="0" w:space="0" w:color="auto"/>
        <w:right w:val="none" w:sz="0" w:space="0" w:color="auto"/>
      </w:divBdr>
    </w:div>
    <w:div w:id="25181620">
      <w:bodyDiv w:val="1"/>
      <w:marLeft w:val="0"/>
      <w:marRight w:val="0"/>
      <w:marTop w:val="0"/>
      <w:marBottom w:val="0"/>
      <w:divBdr>
        <w:top w:val="none" w:sz="0" w:space="0" w:color="auto"/>
        <w:left w:val="none" w:sz="0" w:space="0" w:color="auto"/>
        <w:bottom w:val="none" w:sz="0" w:space="0" w:color="auto"/>
        <w:right w:val="none" w:sz="0" w:space="0" w:color="auto"/>
      </w:divBdr>
    </w:div>
    <w:div w:id="25373822">
      <w:bodyDiv w:val="1"/>
      <w:marLeft w:val="0"/>
      <w:marRight w:val="0"/>
      <w:marTop w:val="0"/>
      <w:marBottom w:val="0"/>
      <w:divBdr>
        <w:top w:val="none" w:sz="0" w:space="0" w:color="auto"/>
        <w:left w:val="none" w:sz="0" w:space="0" w:color="auto"/>
        <w:bottom w:val="none" w:sz="0" w:space="0" w:color="auto"/>
        <w:right w:val="none" w:sz="0" w:space="0" w:color="auto"/>
      </w:divBdr>
    </w:div>
    <w:div w:id="25568783">
      <w:bodyDiv w:val="1"/>
      <w:marLeft w:val="0"/>
      <w:marRight w:val="0"/>
      <w:marTop w:val="0"/>
      <w:marBottom w:val="0"/>
      <w:divBdr>
        <w:top w:val="none" w:sz="0" w:space="0" w:color="auto"/>
        <w:left w:val="none" w:sz="0" w:space="0" w:color="auto"/>
        <w:bottom w:val="none" w:sz="0" w:space="0" w:color="auto"/>
        <w:right w:val="none" w:sz="0" w:space="0" w:color="auto"/>
      </w:divBdr>
    </w:div>
    <w:div w:id="25758040">
      <w:bodyDiv w:val="1"/>
      <w:marLeft w:val="0"/>
      <w:marRight w:val="0"/>
      <w:marTop w:val="0"/>
      <w:marBottom w:val="0"/>
      <w:divBdr>
        <w:top w:val="none" w:sz="0" w:space="0" w:color="auto"/>
        <w:left w:val="none" w:sz="0" w:space="0" w:color="auto"/>
        <w:bottom w:val="none" w:sz="0" w:space="0" w:color="auto"/>
        <w:right w:val="none" w:sz="0" w:space="0" w:color="auto"/>
      </w:divBdr>
    </w:div>
    <w:div w:id="26031595">
      <w:bodyDiv w:val="1"/>
      <w:marLeft w:val="0"/>
      <w:marRight w:val="0"/>
      <w:marTop w:val="0"/>
      <w:marBottom w:val="0"/>
      <w:divBdr>
        <w:top w:val="none" w:sz="0" w:space="0" w:color="auto"/>
        <w:left w:val="none" w:sz="0" w:space="0" w:color="auto"/>
        <w:bottom w:val="none" w:sz="0" w:space="0" w:color="auto"/>
        <w:right w:val="none" w:sz="0" w:space="0" w:color="auto"/>
      </w:divBdr>
    </w:div>
    <w:div w:id="26177153">
      <w:bodyDiv w:val="1"/>
      <w:marLeft w:val="0"/>
      <w:marRight w:val="0"/>
      <w:marTop w:val="0"/>
      <w:marBottom w:val="0"/>
      <w:divBdr>
        <w:top w:val="none" w:sz="0" w:space="0" w:color="auto"/>
        <w:left w:val="none" w:sz="0" w:space="0" w:color="auto"/>
        <w:bottom w:val="none" w:sz="0" w:space="0" w:color="auto"/>
        <w:right w:val="none" w:sz="0" w:space="0" w:color="auto"/>
      </w:divBdr>
    </w:div>
    <w:div w:id="26611753">
      <w:bodyDiv w:val="1"/>
      <w:marLeft w:val="0"/>
      <w:marRight w:val="0"/>
      <w:marTop w:val="0"/>
      <w:marBottom w:val="0"/>
      <w:divBdr>
        <w:top w:val="none" w:sz="0" w:space="0" w:color="auto"/>
        <w:left w:val="none" w:sz="0" w:space="0" w:color="auto"/>
        <w:bottom w:val="none" w:sz="0" w:space="0" w:color="auto"/>
        <w:right w:val="none" w:sz="0" w:space="0" w:color="auto"/>
      </w:divBdr>
    </w:div>
    <w:div w:id="27344598">
      <w:bodyDiv w:val="1"/>
      <w:marLeft w:val="0"/>
      <w:marRight w:val="0"/>
      <w:marTop w:val="0"/>
      <w:marBottom w:val="0"/>
      <w:divBdr>
        <w:top w:val="none" w:sz="0" w:space="0" w:color="auto"/>
        <w:left w:val="none" w:sz="0" w:space="0" w:color="auto"/>
        <w:bottom w:val="none" w:sz="0" w:space="0" w:color="auto"/>
        <w:right w:val="none" w:sz="0" w:space="0" w:color="auto"/>
      </w:divBdr>
    </w:div>
    <w:div w:id="27418007">
      <w:bodyDiv w:val="1"/>
      <w:marLeft w:val="0"/>
      <w:marRight w:val="0"/>
      <w:marTop w:val="0"/>
      <w:marBottom w:val="0"/>
      <w:divBdr>
        <w:top w:val="none" w:sz="0" w:space="0" w:color="auto"/>
        <w:left w:val="none" w:sz="0" w:space="0" w:color="auto"/>
        <w:bottom w:val="none" w:sz="0" w:space="0" w:color="auto"/>
        <w:right w:val="none" w:sz="0" w:space="0" w:color="auto"/>
      </w:divBdr>
    </w:div>
    <w:div w:id="27797978">
      <w:bodyDiv w:val="1"/>
      <w:marLeft w:val="0"/>
      <w:marRight w:val="0"/>
      <w:marTop w:val="0"/>
      <w:marBottom w:val="0"/>
      <w:divBdr>
        <w:top w:val="none" w:sz="0" w:space="0" w:color="auto"/>
        <w:left w:val="none" w:sz="0" w:space="0" w:color="auto"/>
        <w:bottom w:val="none" w:sz="0" w:space="0" w:color="auto"/>
        <w:right w:val="none" w:sz="0" w:space="0" w:color="auto"/>
      </w:divBdr>
    </w:div>
    <w:div w:id="27874644">
      <w:bodyDiv w:val="1"/>
      <w:marLeft w:val="0"/>
      <w:marRight w:val="0"/>
      <w:marTop w:val="0"/>
      <w:marBottom w:val="0"/>
      <w:divBdr>
        <w:top w:val="none" w:sz="0" w:space="0" w:color="auto"/>
        <w:left w:val="none" w:sz="0" w:space="0" w:color="auto"/>
        <w:bottom w:val="none" w:sz="0" w:space="0" w:color="auto"/>
        <w:right w:val="none" w:sz="0" w:space="0" w:color="auto"/>
      </w:divBdr>
    </w:div>
    <w:div w:id="27874740">
      <w:bodyDiv w:val="1"/>
      <w:marLeft w:val="0"/>
      <w:marRight w:val="0"/>
      <w:marTop w:val="0"/>
      <w:marBottom w:val="0"/>
      <w:divBdr>
        <w:top w:val="none" w:sz="0" w:space="0" w:color="auto"/>
        <w:left w:val="none" w:sz="0" w:space="0" w:color="auto"/>
        <w:bottom w:val="none" w:sz="0" w:space="0" w:color="auto"/>
        <w:right w:val="none" w:sz="0" w:space="0" w:color="auto"/>
      </w:divBdr>
    </w:div>
    <w:div w:id="28184743">
      <w:bodyDiv w:val="1"/>
      <w:marLeft w:val="0"/>
      <w:marRight w:val="0"/>
      <w:marTop w:val="0"/>
      <w:marBottom w:val="0"/>
      <w:divBdr>
        <w:top w:val="none" w:sz="0" w:space="0" w:color="auto"/>
        <w:left w:val="none" w:sz="0" w:space="0" w:color="auto"/>
        <w:bottom w:val="none" w:sz="0" w:space="0" w:color="auto"/>
        <w:right w:val="none" w:sz="0" w:space="0" w:color="auto"/>
      </w:divBdr>
    </w:div>
    <w:div w:id="29191313">
      <w:bodyDiv w:val="1"/>
      <w:marLeft w:val="0"/>
      <w:marRight w:val="0"/>
      <w:marTop w:val="0"/>
      <w:marBottom w:val="0"/>
      <w:divBdr>
        <w:top w:val="none" w:sz="0" w:space="0" w:color="auto"/>
        <w:left w:val="none" w:sz="0" w:space="0" w:color="auto"/>
        <w:bottom w:val="none" w:sz="0" w:space="0" w:color="auto"/>
        <w:right w:val="none" w:sz="0" w:space="0" w:color="auto"/>
      </w:divBdr>
    </w:div>
    <w:div w:id="29301103">
      <w:bodyDiv w:val="1"/>
      <w:marLeft w:val="0"/>
      <w:marRight w:val="0"/>
      <w:marTop w:val="0"/>
      <w:marBottom w:val="0"/>
      <w:divBdr>
        <w:top w:val="none" w:sz="0" w:space="0" w:color="auto"/>
        <w:left w:val="none" w:sz="0" w:space="0" w:color="auto"/>
        <w:bottom w:val="none" w:sz="0" w:space="0" w:color="auto"/>
        <w:right w:val="none" w:sz="0" w:space="0" w:color="auto"/>
      </w:divBdr>
    </w:div>
    <w:div w:id="30620986">
      <w:bodyDiv w:val="1"/>
      <w:marLeft w:val="0"/>
      <w:marRight w:val="0"/>
      <w:marTop w:val="0"/>
      <w:marBottom w:val="0"/>
      <w:divBdr>
        <w:top w:val="none" w:sz="0" w:space="0" w:color="auto"/>
        <w:left w:val="none" w:sz="0" w:space="0" w:color="auto"/>
        <w:bottom w:val="none" w:sz="0" w:space="0" w:color="auto"/>
        <w:right w:val="none" w:sz="0" w:space="0" w:color="auto"/>
      </w:divBdr>
    </w:div>
    <w:div w:id="32078047">
      <w:bodyDiv w:val="1"/>
      <w:marLeft w:val="0"/>
      <w:marRight w:val="0"/>
      <w:marTop w:val="0"/>
      <w:marBottom w:val="0"/>
      <w:divBdr>
        <w:top w:val="none" w:sz="0" w:space="0" w:color="auto"/>
        <w:left w:val="none" w:sz="0" w:space="0" w:color="auto"/>
        <w:bottom w:val="none" w:sz="0" w:space="0" w:color="auto"/>
        <w:right w:val="none" w:sz="0" w:space="0" w:color="auto"/>
      </w:divBdr>
    </w:div>
    <w:div w:id="32728906">
      <w:bodyDiv w:val="1"/>
      <w:marLeft w:val="0"/>
      <w:marRight w:val="0"/>
      <w:marTop w:val="0"/>
      <w:marBottom w:val="0"/>
      <w:divBdr>
        <w:top w:val="none" w:sz="0" w:space="0" w:color="auto"/>
        <w:left w:val="none" w:sz="0" w:space="0" w:color="auto"/>
        <w:bottom w:val="none" w:sz="0" w:space="0" w:color="auto"/>
        <w:right w:val="none" w:sz="0" w:space="0" w:color="auto"/>
      </w:divBdr>
    </w:div>
    <w:div w:id="32965738">
      <w:bodyDiv w:val="1"/>
      <w:marLeft w:val="0"/>
      <w:marRight w:val="0"/>
      <w:marTop w:val="0"/>
      <w:marBottom w:val="0"/>
      <w:divBdr>
        <w:top w:val="none" w:sz="0" w:space="0" w:color="auto"/>
        <w:left w:val="none" w:sz="0" w:space="0" w:color="auto"/>
        <w:bottom w:val="none" w:sz="0" w:space="0" w:color="auto"/>
        <w:right w:val="none" w:sz="0" w:space="0" w:color="auto"/>
      </w:divBdr>
    </w:div>
    <w:div w:id="33433701">
      <w:bodyDiv w:val="1"/>
      <w:marLeft w:val="0"/>
      <w:marRight w:val="0"/>
      <w:marTop w:val="0"/>
      <w:marBottom w:val="0"/>
      <w:divBdr>
        <w:top w:val="none" w:sz="0" w:space="0" w:color="auto"/>
        <w:left w:val="none" w:sz="0" w:space="0" w:color="auto"/>
        <w:bottom w:val="none" w:sz="0" w:space="0" w:color="auto"/>
        <w:right w:val="none" w:sz="0" w:space="0" w:color="auto"/>
      </w:divBdr>
    </w:div>
    <w:div w:id="33776926">
      <w:bodyDiv w:val="1"/>
      <w:marLeft w:val="0"/>
      <w:marRight w:val="0"/>
      <w:marTop w:val="0"/>
      <w:marBottom w:val="0"/>
      <w:divBdr>
        <w:top w:val="none" w:sz="0" w:space="0" w:color="auto"/>
        <w:left w:val="none" w:sz="0" w:space="0" w:color="auto"/>
        <w:bottom w:val="none" w:sz="0" w:space="0" w:color="auto"/>
        <w:right w:val="none" w:sz="0" w:space="0" w:color="auto"/>
      </w:divBdr>
    </w:div>
    <w:div w:id="33964707">
      <w:bodyDiv w:val="1"/>
      <w:marLeft w:val="0"/>
      <w:marRight w:val="0"/>
      <w:marTop w:val="0"/>
      <w:marBottom w:val="0"/>
      <w:divBdr>
        <w:top w:val="none" w:sz="0" w:space="0" w:color="auto"/>
        <w:left w:val="none" w:sz="0" w:space="0" w:color="auto"/>
        <w:bottom w:val="none" w:sz="0" w:space="0" w:color="auto"/>
        <w:right w:val="none" w:sz="0" w:space="0" w:color="auto"/>
      </w:divBdr>
    </w:div>
    <w:div w:id="34887299">
      <w:bodyDiv w:val="1"/>
      <w:marLeft w:val="0"/>
      <w:marRight w:val="0"/>
      <w:marTop w:val="0"/>
      <w:marBottom w:val="0"/>
      <w:divBdr>
        <w:top w:val="none" w:sz="0" w:space="0" w:color="auto"/>
        <w:left w:val="none" w:sz="0" w:space="0" w:color="auto"/>
        <w:bottom w:val="none" w:sz="0" w:space="0" w:color="auto"/>
        <w:right w:val="none" w:sz="0" w:space="0" w:color="auto"/>
      </w:divBdr>
    </w:div>
    <w:div w:id="35545778">
      <w:bodyDiv w:val="1"/>
      <w:marLeft w:val="0"/>
      <w:marRight w:val="0"/>
      <w:marTop w:val="0"/>
      <w:marBottom w:val="0"/>
      <w:divBdr>
        <w:top w:val="none" w:sz="0" w:space="0" w:color="auto"/>
        <w:left w:val="none" w:sz="0" w:space="0" w:color="auto"/>
        <w:bottom w:val="none" w:sz="0" w:space="0" w:color="auto"/>
        <w:right w:val="none" w:sz="0" w:space="0" w:color="auto"/>
      </w:divBdr>
    </w:div>
    <w:div w:id="35859347">
      <w:bodyDiv w:val="1"/>
      <w:marLeft w:val="0"/>
      <w:marRight w:val="0"/>
      <w:marTop w:val="0"/>
      <w:marBottom w:val="0"/>
      <w:divBdr>
        <w:top w:val="none" w:sz="0" w:space="0" w:color="auto"/>
        <w:left w:val="none" w:sz="0" w:space="0" w:color="auto"/>
        <w:bottom w:val="none" w:sz="0" w:space="0" w:color="auto"/>
        <w:right w:val="none" w:sz="0" w:space="0" w:color="auto"/>
      </w:divBdr>
    </w:div>
    <w:div w:id="36514780">
      <w:bodyDiv w:val="1"/>
      <w:marLeft w:val="0"/>
      <w:marRight w:val="0"/>
      <w:marTop w:val="0"/>
      <w:marBottom w:val="0"/>
      <w:divBdr>
        <w:top w:val="none" w:sz="0" w:space="0" w:color="auto"/>
        <w:left w:val="none" w:sz="0" w:space="0" w:color="auto"/>
        <w:bottom w:val="none" w:sz="0" w:space="0" w:color="auto"/>
        <w:right w:val="none" w:sz="0" w:space="0" w:color="auto"/>
      </w:divBdr>
    </w:div>
    <w:div w:id="37778022">
      <w:bodyDiv w:val="1"/>
      <w:marLeft w:val="0"/>
      <w:marRight w:val="0"/>
      <w:marTop w:val="0"/>
      <w:marBottom w:val="0"/>
      <w:divBdr>
        <w:top w:val="none" w:sz="0" w:space="0" w:color="auto"/>
        <w:left w:val="none" w:sz="0" w:space="0" w:color="auto"/>
        <w:bottom w:val="none" w:sz="0" w:space="0" w:color="auto"/>
        <w:right w:val="none" w:sz="0" w:space="0" w:color="auto"/>
      </w:divBdr>
    </w:div>
    <w:div w:id="38943363">
      <w:bodyDiv w:val="1"/>
      <w:marLeft w:val="0"/>
      <w:marRight w:val="0"/>
      <w:marTop w:val="0"/>
      <w:marBottom w:val="0"/>
      <w:divBdr>
        <w:top w:val="none" w:sz="0" w:space="0" w:color="auto"/>
        <w:left w:val="none" w:sz="0" w:space="0" w:color="auto"/>
        <w:bottom w:val="none" w:sz="0" w:space="0" w:color="auto"/>
        <w:right w:val="none" w:sz="0" w:space="0" w:color="auto"/>
      </w:divBdr>
    </w:div>
    <w:div w:id="39018710">
      <w:bodyDiv w:val="1"/>
      <w:marLeft w:val="0"/>
      <w:marRight w:val="0"/>
      <w:marTop w:val="0"/>
      <w:marBottom w:val="0"/>
      <w:divBdr>
        <w:top w:val="none" w:sz="0" w:space="0" w:color="auto"/>
        <w:left w:val="none" w:sz="0" w:space="0" w:color="auto"/>
        <w:bottom w:val="none" w:sz="0" w:space="0" w:color="auto"/>
        <w:right w:val="none" w:sz="0" w:space="0" w:color="auto"/>
      </w:divBdr>
    </w:div>
    <w:div w:id="39520651">
      <w:bodyDiv w:val="1"/>
      <w:marLeft w:val="0"/>
      <w:marRight w:val="0"/>
      <w:marTop w:val="0"/>
      <w:marBottom w:val="0"/>
      <w:divBdr>
        <w:top w:val="none" w:sz="0" w:space="0" w:color="auto"/>
        <w:left w:val="none" w:sz="0" w:space="0" w:color="auto"/>
        <w:bottom w:val="none" w:sz="0" w:space="0" w:color="auto"/>
        <w:right w:val="none" w:sz="0" w:space="0" w:color="auto"/>
      </w:divBdr>
    </w:div>
    <w:div w:id="39597035">
      <w:bodyDiv w:val="1"/>
      <w:marLeft w:val="0"/>
      <w:marRight w:val="0"/>
      <w:marTop w:val="0"/>
      <w:marBottom w:val="0"/>
      <w:divBdr>
        <w:top w:val="none" w:sz="0" w:space="0" w:color="auto"/>
        <w:left w:val="none" w:sz="0" w:space="0" w:color="auto"/>
        <w:bottom w:val="none" w:sz="0" w:space="0" w:color="auto"/>
        <w:right w:val="none" w:sz="0" w:space="0" w:color="auto"/>
      </w:divBdr>
    </w:div>
    <w:div w:id="39788379">
      <w:bodyDiv w:val="1"/>
      <w:marLeft w:val="0"/>
      <w:marRight w:val="0"/>
      <w:marTop w:val="0"/>
      <w:marBottom w:val="0"/>
      <w:divBdr>
        <w:top w:val="none" w:sz="0" w:space="0" w:color="auto"/>
        <w:left w:val="none" w:sz="0" w:space="0" w:color="auto"/>
        <w:bottom w:val="none" w:sz="0" w:space="0" w:color="auto"/>
        <w:right w:val="none" w:sz="0" w:space="0" w:color="auto"/>
      </w:divBdr>
    </w:div>
    <w:div w:id="39869831">
      <w:bodyDiv w:val="1"/>
      <w:marLeft w:val="0"/>
      <w:marRight w:val="0"/>
      <w:marTop w:val="0"/>
      <w:marBottom w:val="0"/>
      <w:divBdr>
        <w:top w:val="none" w:sz="0" w:space="0" w:color="auto"/>
        <w:left w:val="none" w:sz="0" w:space="0" w:color="auto"/>
        <w:bottom w:val="none" w:sz="0" w:space="0" w:color="auto"/>
        <w:right w:val="none" w:sz="0" w:space="0" w:color="auto"/>
      </w:divBdr>
    </w:div>
    <w:div w:id="40252020">
      <w:bodyDiv w:val="1"/>
      <w:marLeft w:val="0"/>
      <w:marRight w:val="0"/>
      <w:marTop w:val="0"/>
      <w:marBottom w:val="0"/>
      <w:divBdr>
        <w:top w:val="none" w:sz="0" w:space="0" w:color="auto"/>
        <w:left w:val="none" w:sz="0" w:space="0" w:color="auto"/>
        <w:bottom w:val="none" w:sz="0" w:space="0" w:color="auto"/>
        <w:right w:val="none" w:sz="0" w:space="0" w:color="auto"/>
      </w:divBdr>
    </w:div>
    <w:div w:id="40984656">
      <w:bodyDiv w:val="1"/>
      <w:marLeft w:val="0"/>
      <w:marRight w:val="0"/>
      <w:marTop w:val="0"/>
      <w:marBottom w:val="0"/>
      <w:divBdr>
        <w:top w:val="none" w:sz="0" w:space="0" w:color="auto"/>
        <w:left w:val="none" w:sz="0" w:space="0" w:color="auto"/>
        <w:bottom w:val="none" w:sz="0" w:space="0" w:color="auto"/>
        <w:right w:val="none" w:sz="0" w:space="0" w:color="auto"/>
      </w:divBdr>
    </w:div>
    <w:div w:id="40984791">
      <w:bodyDiv w:val="1"/>
      <w:marLeft w:val="0"/>
      <w:marRight w:val="0"/>
      <w:marTop w:val="0"/>
      <w:marBottom w:val="0"/>
      <w:divBdr>
        <w:top w:val="none" w:sz="0" w:space="0" w:color="auto"/>
        <w:left w:val="none" w:sz="0" w:space="0" w:color="auto"/>
        <w:bottom w:val="none" w:sz="0" w:space="0" w:color="auto"/>
        <w:right w:val="none" w:sz="0" w:space="0" w:color="auto"/>
      </w:divBdr>
    </w:div>
    <w:div w:id="41100694">
      <w:bodyDiv w:val="1"/>
      <w:marLeft w:val="0"/>
      <w:marRight w:val="0"/>
      <w:marTop w:val="0"/>
      <w:marBottom w:val="0"/>
      <w:divBdr>
        <w:top w:val="none" w:sz="0" w:space="0" w:color="auto"/>
        <w:left w:val="none" w:sz="0" w:space="0" w:color="auto"/>
        <w:bottom w:val="none" w:sz="0" w:space="0" w:color="auto"/>
        <w:right w:val="none" w:sz="0" w:space="0" w:color="auto"/>
      </w:divBdr>
    </w:div>
    <w:div w:id="42826881">
      <w:bodyDiv w:val="1"/>
      <w:marLeft w:val="0"/>
      <w:marRight w:val="0"/>
      <w:marTop w:val="0"/>
      <w:marBottom w:val="0"/>
      <w:divBdr>
        <w:top w:val="none" w:sz="0" w:space="0" w:color="auto"/>
        <w:left w:val="none" w:sz="0" w:space="0" w:color="auto"/>
        <w:bottom w:val="none" w:sz="0" w:space="0" w:color="auto"/>
        <w:right w:val="none" w:sz="0" w:space="0" w:color="auto"/>
      </w:divBdr>
    </w:div>
    <w:div w:id="42826922">
      <w:bodyDiv w:val="1"/>
      <w:marLeft w:val="0"/>
      <w:marRight w:val="0"/>
      <w:marTop w:val="0"/>
      <w:marBottom w:val="0"/>
      <w:divBdr>
        <w:top w:val="none" w:sz="0" w:space="0" w:color="auto"/>
        <w:left w:val="none" w:sz="0" w:space="0" w:color="auto"/>
        <w:bottom w:val="none" w:sz="0" w:space="0" w:color="auto"/>
        <w:right w:val="none" w:sz="0" w:space="0" w:color="auto"/>
      </w:divBdr>
    </w:div>
    <w:div w:id="43527928">
      <w:bodyDiv w:val="1"/>
      <w:marLeft w:val="0"/>
      <w:marRight w:val="0"/>
      <w:marTop w:val="0"/>
      <w:marBottom w:val="0"/>
      <w:divBdr>
        <w:top w:val="none" w:sz="0" w:space="0" w:color="auto"/>
        <w:left w:val="none" w:sz="0" w:space="0" w:color="auto"/>
        <w:bottom w:val="none" w:sz="0" w:space="0" w:color="auto"/>
        <w:right w:val="none" w:sz="0" w:space="0" w:color="auto"/>
      </w:divBdr>
    </w:div>
    <w:div w:id="43717540">
      <w:bodyDiv w:val="1"/>
      <w:marLeft w:val="0"/>
      <w:marRight w:val="0"/>
      <w:marTop w:val="0"/>
      <w:marBottom w:val="0"/>
      <w:divBdr>
        <w:top w:val="none" w:sz="0" w:space="0" w:color="auto"/>
        <w:left w:val="none" w:sz="0" w:space="0" w:color="auto"/>
        <w:bottom w:val="none" w:sz="0" w:space="0" w:color="auto"/>
        <w:right w:val="none" w:sz="0" w:space="0" w:color="auto"/>
      </w:divBdr>
    </w:div>
    <w:div w:id="43792564">
      <w:bodyDiv w:val="1"/>
      <w:marLeft w:val="0"/>
      <w:marRight w:val="0"/>
      <w:marTop w:val="0"/>
      <w:marBottom w:val="0"/>
      <w:divBdr>
        <w:top w:val="none" w:sz="0" w:space="0" w:color="auto"/>
        <w:left w:val="none" w:sz="0" w:space="0" w:color="auto"/>
        <w:bottom w:val="none" w:sz="0" w:space="0" w:color="auto"/>
        <w:right w:val="none" w:sz="0" w:space="0" w:color="auto"/>
      </w:divBdr>
    </w:div>
    <w:div w:id="43914661">
      <w:bodyDiv w:val="1"/>
      <w:marLeft w:val="0"/>
      <w:marRight w:val="0"/>
      <w:marTop w:val="0"/>
      <w:marBottom w:val="0"/>
      <w:divBdr>
        <w:top w:val="none" w:sz="0" w:space="0" w:color="auto"/>
        <w:left w:val="none" w:sz="0" w:space="0" w:color="auto"/>
        <w:bottom w:val="none" w:sz="0" w:space="0" w:color="auto"/>
        <w:right w:val="none" w:sz="0" w:space="0" w:color="auto"/>
      </w:divBdr>
    </w:div>
    <w:div w:id="43915552">
      <w:bodyDiv w:val="1"/>
      <w:marLeft w:val="0"/>
      <w:marRight w:val="0"/>
      <w:marTop w:val="0"/>
      <w:marBottom w:val="0"/>
      <w:divBdr>
        <w:top w:val="none" w:sz="0" w:space="0" w:color="auto"/>
        <w:left w:val="none" w:sz="0" w:space="0" w:color="auto"/>
        <w:bottom w:val="none" w:sz="0" w:space="0" w:color="auto"/>
        <w:right w:val="none" w:sz="0" w:space="0" w:color="auto"/>
      </w:divBdr>
    </w:div>
    <w:div w:id="43917993">
      <w:bodyDiv w:val="1"/>
      <w:marLeft w:val="0"/>
      <w:marRight w:val="0"/>
      <w:marTop w:val="0"/>
      <w:marBottom w:val="0"/>
      <w:divBdr>
        <w:top w:val="none" w:sz="0" w:space="0" w:color="auto"/>
        <w:left w:val="none" w:sz="0" w:space="0" w:color="auto"/>
        <w:bottom w:val="none" w:sz="0" w:space="0" w:color="auto"/>
        <w:right w:val="none" w:sz="0" w:space="0" w:color="auto"/>
      </w:divBdr>
    </w:div>
    <w:div w:id="44334202">
      <w:bodyDiv w:val="1"/>
      <w:marLeft w:val="0"/>
      <w:marRight w:val="0"/>
      <w:marTop w:val="0"/>
      <w:marBottom w:val="0"/>
      <w:divBdr>
        <w:top w:val="none" w:sz="0" w:space="0" w:color="auto"/>
        <w:left w:val="none" w:sz="0" w:space="0" w:color="auto"/>
        <w:bottom w:val="none" w:sz="0" w:space="0" w:color="auto"/>
        <w:right w:val="none" w:sz="0" w:space="0" w:color="auto"/>
      </w:divBdr>
    </w:div>
    <w:div w:id="44917385">
      <w:bodyDiv w:val="1"/>
      <w:marLeft w:val="0"/>
      <w:marRight w:val="0"/>
      <w:marTop w:val="0"/>
      <w:marBottom w:val="0"/>
      <w:divBdr>
        <w:top w:val="none" w:sz="0" w:space="0" w:color="auto"/>
        <w:left w:val="none" w:sz="0" w:space="0" w:color="auto"/>
        <w:bottom w:val="none" w:sz="0" w:space="0" w:color="auto"/>
        <w:right w:val="none" w:sz="0" w:space="0" w:color="auto"/>
      </w:divBdr>
    </w:div>
    <w:div w:id="45030689">
      <w:bodyDiv w:val="1"/>
      <w:marLeft w:val="0"/>
      <w:marRight w:val="0"/>
      <w:marTop w:val="0"/>
      <w:marBottom w:val="0"/>
      <w:divBdr>
        <w:top w:val="none" w:sz="0" w:space="0" w:color="auto"/>
        <w:left w:val="none" w:sz="0" w:space="0" w:color="auto"/>
        <w:bottom w:val="none" w:sz="0" w:space="0" w:color="auto"/>
        <w:right w:val="none" w:sz="0" w:space="0" w:color="auto"/>
      </w:divBdr>
    </w:div>
    <w:div w:id="45682877">
      <w:bodyDiv w:val="1"/>
      <w:marLeft w:val="0"/>
      <w:marRight w:val="0"/>
      <w:marTop w:val="0"/>
      <w:marBottom w:val="0"/>
      <w:divBdr>
        <w:top w:val="none" w:sz="0" w:space="0" w:color="auto"/>
        <w:left w:val="none" w:sz="0" w:space="0" w:color="auto"/>
        <w:bottom w:val="none" w:sz="0" w:space="0" w:color="auto"/>
        <w:right w:val="none" w:sz="0" w:space="0" w:color="auto"/>
      </w:divBdr>
    </w:div>
    <w:div w:id="46270554">
      <w:bodyDiv w:val="1"/>
      <w:marLeft w:val="0"/>
      <w:marRight w:val="0"/>
      <w:marTop w:val="0"/>
      <w:marBottom w:val="0"/>
      <w:divBdr>
        <w:top w:val="none" w:sz="0" w:space="0" w:color="auto"/>
        <w:left w:val="none" w:sz="0" w:space="0" w:color="auto"/>
        <w:bottom w:val="none" w:sz="0" w:space="0" w:color="auto"/>
        <w:right w:val="none" w:sz="0" w:space="0" w:color="auto"/>
      </w:divBdr>
    </w:div>
    <w:div w:id="46339192">
      <w:bodyDiv w:val="1"/>
      <w:marLeft w:val="0"/>
      <w:marRight w:val="0"/>
      <w:marTop w:val="0"/>
      <w:marBottom w:val="0"/>
      <w:divBdr>
        <w:top w:val="none" w:sz="0" w:space="0" w:color="auto"/>
        <w:left w:val="none" w:sz="0" w:space="0" w:color="auto"/>
        <w:bottom w:val="none" w:sz="0" w:space="0" w:color="auto"/>
        <w:right w:val="none" w:sz="0" w:space="0" w:color="auto"/>
      </w:divBdr>
    </w:div>
    <w:div w:id="46729434">
      <w:bodyDiv w:val="1"/>
      <w:marLeft w:val="0"/>
      <w:marRight w:val="0"/>
      <w:marTop w:val="0"/>
      <w:marBottom w:val="0"/>
      <w:divBdr>
        <w:top w:val="none" w:sz="0" w:space="0" w:color="auto"/>
        <w:left w:val="none" w:sz="0" w:space="0" w:color="auto"/>
        <w:bottom w:val="none" w:sz="0" w:space="0" w:color="auto"/>
        <w:right w:val="none" w:sz="0" w:space="0" w:color="auto"/>
      </w:divBdr>
    </w:div>
    <w:div w:id="47072520">
      <w:bodyDiv w:val="1"/>
      <w:marLeft w:val="0"/>
      <w:marRight w:val="0"/>
      <w:marTop w:val="0"/>
      <w:marBottom w:val="0"/>
      <w:divBdr>
        <w:top w:val="none" w:sz="0" w:space="0" w:color="auto"/>
        <w:left w:val="none" w:sz="0" w:space="0" w:color="auto"/>
        <w:bottom w:val="none" w:sz="0" w:space="0" w:color="auto"/>
        <w:right w:val="none" w:sz="0" w:space="0" w:color="auto"/>
      </w:divBdr>
    </w:div>
    <w:div w:id="47263828">
      <w:bodyDiv w:val="1"/>
      <w:marLeft w:val="0"/>
      <w:marRight w:val="0"/>
      <w:marTop w:val="0"/>
      <w:marBottom w:val="0"/>
      <w:divBdr>
        <w:top w:val="none" w:sz="0" w:space="0" w:color="auto"/>
        <w:left w:val="none" w:sz="0" w:space="0" w:color="auto"/>
        <w:bottom w:val="none" w:sz="0" w:space="0" w:color="auto"/>
        <w:right w:val="none" w:sz="0" w:space="0" w:color="auto"/>
      </w:divBdr>
    </w:div>
    <w:div w:id="47346197">
      <w:bodyDiv w:val="1"/>
      <w:marLeft w:val="0"/>
      <w:marRight w:val="0"/>
      <w:marTop w:val="0"/>
      <w:marBottom w:val="0"/>
      <w:divBdr>
        <w:top w:val="none" w:sz="0" w:space="0" w:color="auto"/>
        <w:left w:val="none" w:sz="0" w:space="0" w:color="auto"/>
        <w:bottom w:val="none" w:sz="0" w:space="0" w:color="auto"/>
        <w:right w:val="none" w:sz="0" w:space="0" w:color="auto"/>
      </w:divBdr>
    </w:div>
    <w:div w:id="47388324">
      <w:bodyDiv w:val="1"/>
      <w:marLeft w:val="0"/>
      <w:marRight w:val="0"/>
      <w:marTop w:val="0"/>
      <w:marBottom w:val="0"/>
      <w:divBdr>
        <w:top w:val="none" w:sz="0" w:space="0" w:color="auto"/>
        <w:left w:val="none" w:sz="0" w:space="0" w:color="auto"/>
        <w:bottom w:val="none" w:sz="0" w:space="0" w:color="auto"/>
        <w:right w:val="none" w:sz="0" w:space="0" w:color="auto"/>
      </w:divBdr>
    </w:div>
    <w:div w:id="47456685">
      <w:bodyDiv w:val="1"/>
      <w:marLeft w:val="0"/>
      <w:marRight w:val="0"/>
      <w:marTop w:val="0"/>
      <w:marBottom w:val="0"/>
      <w:divBdr>
        <w:top w:val="none" w:sz="0" w:space="0" w:color="auto"/>
        <w:left w:val="none" w:sz="0" w:space="0" w:color="auto"/>
        <w:bottom w:val="none" w:sz="0" w:space="0" w:color="auto"/>
        <w:right w:val="none" w:sz="0" w:space="0" w:color="auto"/>
      </w:divBdr>
    </w:div>
    <w:div w:id="47581983">
      <w:bodyDiv w:val="1"/>
      <w:marLeft w:val="0"/>
      <w:marRight w:val="0"/>
      <w:marTop w:val="0"/>
      <w:marBottom w:val="0"/>
      <w:divBdr>
        <w:top w:val="none" w:sz="0" w:space="0" w:color="auto"/>
        <w:left w:val="none" w:sz="0" w:space="0" w:color="auto"/>
        <w:bottom w:val="none" w:sz="0" w:space="0" w:color="auto"/>
        <w:right w:val="none" w:sz="0" w:space="0" w:color="auto"/>
      </w:divBdr>
    </w:div>
    <w:div w:id="47808205">
      <w:bodyDiv w:val="1"/>
      <w:marLeft w:val="0"/>
      <w:marRight w:val="0"/>
      <w:marTop w:val="0"/>
      <w:marBottom w:val="0"/>
      <w:divBdr>
        <w:top w:val="none" w:sz="0" w:space="0" w:color="auto"/>
        <w:left w:val="none" w:sz="0" w:space="0" w:color="auto"/>
        <w:bottom w:val="none" w:sz="0" w:space="0" w:color="auto"/>
        <w:right w:val="none" w:sz="0" w:space="0" w:color="auto"/>
      </w:divBdr>
    </w:div>
    <w:div w:id="48304119">
      <w:bodyDiv w:val="1"/>
      <w:marLeft w:val="0"/>
      <w:marRight w:val="0"/>
      <w:marTop w:val="0"/>
      <w:marBottom w:val="0"/>
      <w:divBdr>
        <w:top w:val="none" w:sz="0" w:space="0" w:color="auto"/>
        <w:left w:val="none" w:sz="0" w:space="0" w:color="auto"/>
        <w:bottom w:val="none" w:sz="0" w:space="0" w:color="auto"/>
        <w:right w:val="none" w:sz="0" w:space="0" w:color="auto"/>
      </w:divBdr>
    </w:div>
    <w:div w:id="49035216">
      <w:bodyDiv w:val="1"/>
      <w:marLeft w:val="0"/>
      <w:marRight w:val="0"/>
      <w:marTop w:val="0"/>
      <w:marBottom w:val="0"/>
      <w:divBdr>
        <w:top w:val="none" w:sz="0" w:space="0" w:color="auto"/>
        <w:left w:val="none" w:sz="0" w:space="0" w:color="auto"/>
        <w:bottom w:val="none" w:sz="0" w:space="0" w:color="auto"/>
        <w:right w:val="none" w:sz="0" w:space="0" w:color="auto"/>
      </w:divBdr>
    </w:div>
    <w:div w:id="49311509">
      <w:bodyDiv w:val="1"/>
      <w:marLeft w:val="0"/>
      <w:marRight w:val="0"/>
      <w:marTop w:val="0"/>
      <w:marBottom w:val="0"/>
      <w:divBdr>
        <w:top w:val="none" w:sz="0" w:space="0" w:color="auto"/>
        <w:left w:val="none" w:sz="0" w:space="0" w:color="auto"/>
        <w:bottom w:val="none" w:sz="0" w:space="0" w:color="auto"/>
        <w:right w:val="none" w:sz="0" w:space="0" w:color="auto"/>
      </w:divBdr>
    </w:div>
    <w:div w:id="49769472">
      <w:bodyDiv w:val="1"/>
      <w:marLeft w:val="0"/>
      <w:marRight w:val="0"/>
      <w:marTop w:val="0"/>
      <w:marBottom w:val="0"/>
      <w:divBdr>
        <w:top w:val="none" w:sz="0" w:space="0" w:color="auto"/>
        <w:left w:val="none" w:sz="0" w:space="0" w:color="auto"/>
        <w:bottom w:val="none" w:sz="0" w:space="0" w:color="auto"/>
        <w:right w:val="none" w:sz="0" w:space="0" w:color="auto"/>
      </w:divBdr>
    </w:div>
    <w:div w:id="50690826">
      <w:bodyDiv w:val="1"/>
      <w:marLeft w:val="0"/>
      <w:marRight w:val="0"/>
      <w:marTop w:val="0"/>
      <w:marBottom w:val="0"/>
      <w:divBdr>
        <w:top w:val="none" w:sz="0" w:space="0" w:color="auto"/>
        <w:left w:val="none" w:sz="0" w:space="0" w:color="auto"/>
        <w:bottom w:val="none" w:sz="0" w:space="0" w:color="auto"/>
        <w:right w:val="none" w:sz="0" w:space="0" w:color="auto"/>
      </w:divBdr>
    </w:div>
    <w:div w:id="50925207">
      <w:bodyDiv w:val="1"/>
      <w:marLeft w:val="0"/>
      <w:marRight w:val="0"/>
      <w:marTop w:val="0"/>
      <w:marBottom w:val="0"/>
      <w:divBdr>
        <w:top w:val="none" w:sz="0" w:space="0" w:color="auto"/>
        <w:left w:val="none" w:sz="0" w:space="0" w:color="auto"/>
        <w:bottom w:val="none" w:sz="0" w:space="0" w:color="auto"/>
        <w:right w:val="none" w:sz="0" w:space="0" w:color="auto"/>
      </w:divBdr>
    </w:div>
    <w:div w:id="51198331">
      <w:bodyDiv w:val="1"/>
      <w:marLeft w:val="0"/>
      <w:marRight w:val="0"/>
      <w:marTop w:val="0"/>
      <w:marBottom w:val="0"/>
      <w:divBdr>
        <w:top w:val="none" w:sz="0" w:space="0" w:color="auto"/>
        <w:left w:val="none" w:sz="0" w:space="0" w:color="auto"/>
        <w:bottom w:val="none" w:sz="0" w:space="0" w:color="auto"/>
        <w:right w:val="none" w:sz="0" w:space="0" w:color="auto"/>
      </w:divBdr>
    </w:div>
    <w:div w:id="51470288">
      <w:bodyDiv w:val="1"/>
      <w:marLeft w:val="0"/>
      <w:marRight w:val="0"/>
      <w:marTop w:val="0"/>
      <w:marBottom w:val="0"/>
      <w:divBdr>
        <w:top w:val="none" w:sz="0" w:space="0" w:color="auto"/>
        <w:left w:val="none" w:sz="0" w:space="0" w:color="auto"/>
        <w:bottom w:val="none" w:sz="0" w:space="0" w:color="auto"/>
        <w:right w:val="none" w:sz="0" w:space="0" w:color="auto"/>
      </w:divBdr>
    </w:div>
    <w:div w:id="52122483">
      <w:bodyDiv w:val="1"/>
      <w:marLeft w:val="0"/>
      <w:marRight w:val="0"/>
      <w:marTop w:val="0"/>
      <w:marBottom w:val="0"/>
      <w:divBdr>
        <w:top w:val="none" w:sz="0" w:space="0" w:color="auto"/>
        <w:left w:val="none" w:sz="0" w:space="0" w:color="auto"/>
        <w:bottom w:val="none" w:sz="0" w:space="0" w:color="auto"/>
        <w:right w:val="none" w:sz="0" w:space="0" w:color="auto"/>
      </w:divBdr>
    </w:div>
    <w:div w:id="52123787">
      <w:bodyDiv w:val="1"/>
      <w:marLeft w:val="0"/>
      <w:marRight w:val="0"/>
      <w:marTop w:val="0"/>
      <w:marBottom w:val="0"/>
      <w:divBdr>
        <w:top w:val="none" w:sz="0" w:space="0" w:color="auto"/>
        <w:left w:val="none" w:sz="0" w:space="0" w:color="auto"/>
        <w:bottom w:val="none" w:sz="0" w:space="0" w:color="auto"/>
        <w:right w:val="none" w:sz="0" w:space="0" w:color="auto"/>
      </w:divBdr>
    </w:div>
    <w:div w:id="52436113">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241733">
      <w:bodyDiv w:val="1"/>
      <w:marLeft w:val="0"/>
      <w:marRight w:val="0"/>
      <w:marTop w:val="0"/>
      <w:marBottom w:val="0"/>
      <w:divBdr>
        <w:top w:val="none" w:sz="0" w:space="0" w:color="auto"/>
        <w:left w:val="none" w:sz="0" w:space="0" w:color="auto"/>
        <w:bottom w:val="none" w:sz="0" w:space="0" w:color="auto"/>
        <w:right w:val="none" w:sz="0" w:space="0" w:color="auto"/>
      </w:divBdr>
    </w:div>
    <w:div w:id="53430647">
      <w:bodyDiv w:val="1"/>
      <w:marLeft w:val="0"/>
      <w:marRight w:val="0"/>
      <w:marTop w:val="0"/>
      <w:marBottom w:val="0"/>
      <w:divBdr>
        <w:top w:val="none" w:sz="0" w:space="0" w:color="auto"/>
        <w:left w:val="none" w:sz="0" w:space="0" w:color="auto"/>
        <w:bottom w:val="none" w:sz="0" w:space="0" w:color="auto"/>
        <w:right w:val="none" w:sz="0" w:space="0" w:color="auto"/>
      </w:divBdr>
    </w:div>
    <w:div w:id="53507709">
      <w:bodyDiv w:val="1"/>
      <w:marLeft w:val="0"/>
      <w:marRight w:val="0"/>
      <w:marTop w:val="0"/>
      <w:marBottom w:val="0"/>
      <w:divBdr>
        <w:top w:val="none" w:sz="0" w:space="0" w:color="auto"/>
        <w:left w:val="none" w:sz="0" w:space="0" w:color="auto"/>
        <w:bottom w:val="none" w:sz="0" w:space="0" w:color="auto"/>
        <w:right w:val="none" w:sz="0" w:space="0" w:color="auto"/>
      </w:divBdr>
    </w:div>
    <w:div w:id="53547537">
      <w:bodyDiv w:val="1"/>
      <w:marLeft w:val="0"/>
      <w:marRight w:val="0"/>
      <w:marTop w:val="0"/>
      <w:marBottom w:val="0"/>
      <w:divBdr>
        <w:top w:val="none" w:sz="0" w:space="0" w:color="auto"/>
        <w:left w:val="none" w:sz="0" w:space="0" w:color="auto"/>
        <w:bottom w:val="none" w:sz="0" w:space="0" w:color="auto"/>
        <w:right w:val="none" w:sz="0" w:space="0" w:color="auto"/>
      </w:divBdr>
    </w:div>
    <w:div w:id="53624625">
      <w:bodyDiv w:val="1"/>
      <w:marLeft w:val="0"/>
      <w:marRight w:val="0"/>
      <w:marTop w:val="0"/>
      <w:marBottom w:val="0"/>
      <w:divBdr>
        <w:top w:val="none" w:sz="0" w:space="0" w:color="auto"/>
        <w:left w:val="none" w:sz="0" w:space="0" w:color="auto"/>
        <w:bottom w:val="none" w:sz="0" w:space="0" w:color="auto"/>
        <w:right w:val="none" w:sz="0" w:space="0" w:color="auto"/>
      </w:divBdr>
    </w:div>
    <w:div w:id="53699579">
      <w:bodyDiv w:val="1"/>
      <w:marLeft w:val="0"/>
      <w:marRight w:val="0"/>
      <w:marTop w:val="0"/>
      <w:marBottom w:val="0"/>
      <w:divBdr>
        <w:top w:val="none" w:sz="0" w:space="0" w:color="auto"/>
        <w:left w:val="none" w:sz="0" w:space="0" w:color="auto"/>
        <w:bottom w:val="none" w:sz="0" w:space="0" w:color="auto"/>
        <w:right w:val="none" w:sz="0" w:space="0" w:color="auto"/>
      </w:divBdr>
    </w:div>
    <w:div w:id="53822056">
      <w:bodyDiv w:val="1"/>
      <w:marLeft w:val="0"/>
      <w:marRight w:val="0"/>
      <w:marTop w:val="0"/>
      <w:marBottom w:val="0"/>
      <w:divBdr>
        <w:top w:val="none" w:sz="0" w:space="0" w:color="auto"/>
        <w:left w:val="none" w:sz="0" w:space="0" w:color="auto"/>
        <w:bottom w:val="none" w:sz="0" w:space="0" w:color="auto"/>
        <w:right w:val="none" w:sz="0" w:space="0" w:color="auto"/>
      </w:divBdr>
    </w:div>
    <w:div w:id="54201260">
      <w:bodyDiv w:val="1"/>
      <w:marLeft w:val="0"/>
      <w:marRight w:val="0"/>
      <w:marTop w:val="0"/>
      <w:marBottom w:val="0"/>
      <w:divBdr>
        <w:top w:val="none" w:sz="0" w:space="0" w:color="auto"/>
        <w:left w:val="none" w:sz="0" w:space="0" w:color="auto"/>
        <w:bottom w:val="none" w:sz="0" w:space="0" w:color="auto"/>
        <w:right w:val="none" w:sz="0" w:space="0" w:color="auto"/>
      </w:divBdr>
    </w:div>
    <w:div w:id="54357456">
      <w:bodyDiv w:val="1"/>
      <w:marLeft w:val="0"/>
      <w:marRight w:val="0"/>
      <w:marTop w:val="0"/>
      <w:marBottom w:val="0"/>
      <w:divBdr>
        <w:top w:val="none" w:sz="0" w:space="0" w:color="auto"/>
        <w:left w:val="none" w:sz="0" w:space="0" w:color="auto"/>
        <w:bottom w:val="none" w:sz="0" w:space="0" w:color="auto"/>
        <w:right w:val="none" w:sz="0" w:space="0" w:color="auto"/>
      </w:divBdr>
    </w:div>
    <w:div w:id="55016225">
      <w:bodyDiv w:val="1"/>
      <w:marLeft w:val="0"/>
      <w:marRight w:val="0"/>
      <w:marTop w:val="0"/>
      <w:marBottom w:val="0"/>
      <w:divBdr>
        <w:top w:val="none" w:sz="0" w:space="0" w:color="auto"/>
        <w:left w:val="none" w:sz="0" w:space="0" w:color="auto"/>
        <w:bottom w:val="none" w:sz="0" w:space="0" w:color="auto"/>
        <w:right w:val="none" w:sz="0" w:space="0" w:color="auto"/>
      </w:divBdr>
    </w:div>
    <w:div w:id="55202101">
      <w:bodyDiv w:val="1"/>
      <w:marLeft w:val="0"/>
      <w:marRight w:val="0"/>
      <w:marTop w:val="0"/>
      <w:marBottom w:val="0"/>
      <w:divBdr>
        <w:top w:val="none" w:sz="0" w:space="0" w:color="auto"/>
        <w:left w:val="none" w:sz="0" w:space="0" w:color="auto"/>
        <w:bottom w:val="none" w:sz="0" w:space="0" w:color="auto"/>
        <w:right w:val="none" w:sz="0" w:space="0" w:color="auto"/>
      </w:divBdr>
    </w:div>
    <w:div w:id="55321066">
      <w:bodyDiv w:val="1"/>
      <w:marLeft w:val="0"/>
      <w:marRight w:val="0"/>
      <w:marTop w:val="0"/>
      <w:marBottom w:val="0"/>
      <w:divBdr>
        <w:top w:val="none" w:sz="0" w:space="0" w:color="auto"/>
        <w:left w:val="none" w:sz="0" w:space="0" w:color="auto"/>
        <w:bottom w:val="none" w:sz="0" w:space="0" w:color="auto"/>
        <w:right w:val="none" w:sz="0" w:space="0" w:color="auto"/>
      </w:divBdr>
    </w:div>
    <w:div w:id="55664244">
      <w:bodyDiv w:val="1"/>
      <w:marLeft w:val="0"/>
      <w:marRight w:val="0"/>
      <w:marTop w:val="0"/>
      <w:marBottom w:val="0"/>
      <w:divBdr>
        <w:top w:val="none" w:sz="0" w:space="0" w:color="auto"/>
        <w:left w:val="none" w:sz="0" w:space="0" w:color="auto"/>
        <w:bottom w:val="none" w:sz="0" w:space="0" w:color="auto"/>
        <w:right w:val="none" w:sz="0" w:space="0" w:color="auto"/>
      </w:divBdr>
    </w:div>
    <w:div w:id="55710336">
      <w:bodyDiv w:val="1"/>
      <w:marLeft w:val="0"/>
      <w:marRight w:val="0"/>
      <w:marTop w:val="0"/>
      <w:marBottom w:val="0"/>
      <w:divBdr>
        <w:top w:val="none" w:sz="0" w:space="0" w:color="auto"/>
        <w:left w:val="none" w:sz="0" w:space="0" w:color="auto"/>
        <w:bottom w:val="none" w:sz="0" w:space="0" w:color="auto"/>
        <w:right w:val="none" w:sz="0" w:space="0" w:color="auto"/>
      </w:divBdr>
    </w:div>
    <w:div w:id="56636229">
      <w:bodyDiv w:val="1"/>
      <w:marLeft w:val="0"/>
      <w:marRight w:val="0"/>
      <w:marTop w:val="0"/>
      <w:marBottom w:val="0"/>
      <w:divBdr>
        <w:top w:val="none" w:sz="0" w:space="0" w:color="auto"/>
        <w:left w:val="none" w:sz="0" w:space="0" w:color="auto"/>
        <w:bottom w:val="none" w:sz="0" w:space="0" w:color="auto"/>
        <w:right w:val="none" w:sz="0" w:space="0" w:color="auto"/>
      </w:divBdr>
    </w:div>
    <w:div w:id="57438805">
      <w:bodyDiv w:val="1"/>
      <w:marLeft w:val="0"/>
      <w:marRight w:val="0"/>
      <w:marTop w:val="0"/>
      <w:marBottom w:val="0"/>
      <w:divBdr>
        <w:top w:val="none" w:sz="0" w:space="0" w:color="auto"/>
        <w:left w:val="none" w:sz="0" w:space="0" w:color="auto"/>
        <w:bottom w:val="none" w:sz="0" w:space="0" w:color="auto"/>
        <w:right w:val="none" w:sz="0" w:space="0" w:color="auto"/>
      </w:divBdr>
    </w:div>
    <w:div w:id="57560989">
      <w:bodyDiv w:val="1"/>
      <w:marLeft w:val="0"/>
      <w:marRight w:val="0"/>
      <w:marTop w:val="0"/>
      <w:marBottom w:val="0"/>
      <w:divBdr>
        <w:top w:val="none" w:sz="0" w:space="0" w:color="auto"/>
        <w:left w:val="none" w:sz="0" w:space="0" w:color="auto"/>
        <w:bottom w:val="none" w:sz="0" w:space="0" w:color="auto"/>
        <w:right w:val="none" w:sz="0" w:space="0" w:color="auto"/>
      </w:divBdr>
    </w:div>
    <w:div w:id="58747919">
      <w:bodyDiv w:val="1"/>
      <w:marLeft w:val="0"/>
      <w:marRight w:val="0"/>
      <w:marTop w:val="0"/>
      <w:marBottom w:val="0"/>
      <w:divBdr>
        <w:top w:val="none" w:sz="0" w:space="0" w:color="auto"/>
        <w:left w:val="none" w:sz="0" w:space="0" w:color="auto"/>
        <w:bottom w:val="none" w:sz="0" w:space="0" w:color="auto"/>
        <w:right w:val="none" w:sz="0" w:space="0" w:color="auto"/>
      </w:divBdr>
    </w:div>
    <w:div w:id="58946606">
      <w:bodyDiv w:val="1"/>
      <w:marLeft w:val="0"/>
      <w:marRight w:val="0"/>
      <w:marTop w:val="0"/>
      <w:marBottom w:val="0"/>
      <w:divBdr>
        <w:top w:val="none" w:sz="0" w:space="0" w:color="auto"/>
        <w:left w:val="none" w:sz="0" w:space="0" w:color="auto"/>
        <w:bottom w:val="none" w:sz="0" w:space="0" w:color="auto"/>
        <w:right w:val="none" w:sz="0" w:space="0" w:color="auto"/>
      </w:divBdr>
    </w:div>
    <w:div w:id="59180160">
      <w:bodyDiv w:val="1"/>
      <w:marLeft w:val="0"/>
      <w:marRight w:val="0"/>
      <w:marTop w:val="0"/>
      <w:marBottom w:val="0"/>
      <w:divBdr>
        <w:top w:val="none" w:sz="0" w:space="0" w:color="auto"/>
        <w:left w:val="none" w:sz="0" w:space="0" w:color="auto"/>
        <w:bottom w:val="none" w:sz="0" w:space="0" w:color="auto"/>
        <w:right w:val="none" w:sz="0" w:space="0" w:color="auto"/>
      </w:divBdr>
    </w:div>
    <w:div w:id="59328055">
      <w:bodyDiv w:val="1"/>
      <w:marLeft w:val="0"/>
      <w:marRight w:val="0"/>
      <w:marTop w:val="0"/>
      <w:marBottom w:val="0"/>
      <w:divBdr>
        <w:top w:val="none" w:sz="0" w:space="0" w:color="auto"/>
        <w:left w:val="none" w:sz="0" w:space="0" w:color="auto"/>
        <w:bottom w:val="none" w:sz="0" w:space="0" w:color="auto"/>
        <w:right w:val="none" w:sz="0" w:space="0" w:color="auto"/>
      </w:divBdr>
    </w:div>
    <w:div w:id="59906791">
      <w:bodyDiv w:val="1"/>
      <w:marLeft w:val="0"/>
      <w:marRight w:val="0"/>
      <w:marTop w:val="0"/>
      <w:marBottom w:val="0"/>
      <w:divBdr>
        <w:top w:val="none" w:sz="0" w:space="0" w:color="auto"/>
        <w:left w:val="none" w:sz="0" w:space="0" w:color="auto"/>
        <w:bottom w:val="none" w:sz="0" w:space="0" w:color="auto"/>
        <w:right w:val="none" w:sz="0" w:space="0" w:color="auto"/>
      </w:divBdr>
    </w:div>
    <w:div w:id="60106768">
      <w:bodyDiv w:val="1"/>
      <w:marLeft w:val="0"/>
      <w:marRight w:val="0"/>
      <w:marTop w:val="0"/>
      <w:marBottom w:val="0"/>
      <w:divBdr>
        <w:top w:val="none" w:sz="0" w:space="0" w:color="auto"/>
        <w:left w:val="none" w:sz="0" w:space="0" w:color="auto"/>
        <w:bottom w:val="none" w:sz="0" w:space="0" w:color="auto"/>
        <w:right w:val="none" w:sz="0" w:space="0" w:color="auto"/>
      </w:divBdr>
    </w:div>
    <w:div w:id="61148668">
      <w:bodyDiv w:val="1"/>
      <w:marLeft w:val="0"/>
      <w:marRight w:val="0"/>
      <w:marTop w:val="0"/>
      <w:marBottom w:val="0"/>
      <w:divBdr>
        <w:top w:val="none" w:sz="0" w:space="0" w:color="auto"/>
        <w:left w:val="none" w:sz="0" w:space="0" w:color="auto"/>
        <w:bottom w:val="none" w:sz="0" w:space="0" w:color="auto"/>
        <w:right w:val="none" w:sz="0" w:space="0" w:color="auto"/>
      </w:divBdr>
    </w:div>
    <w:div w:id="61174403">
      <w:bodyDiv w:val="1"/>
      <w:marLeft w:val="0"/>
      <w:marRight w:val="0"/>
      <w:marTop w:val="0"/>
      <w:marBottom w:val="0"/>
      <w:divBdr>
        <w:top w:val="none" w:sz="0" w:space="0" w:color="auto"/>
        <w:left w:val="none" w:sz="0" w:space="0" w:color="auto"/>
        <w:bottom w:val="none" w:sz="0" w:space="0" w:color="auto"/>
        <w:right w:val="none" w:sz="0" w:space="0" w:color="auto"/>
      </w:divBdr>
    </w:div>
    <w:div w:id="61679967">
      <w:bodyDiv w:val="1"/>
      <w:marLeft w:val="0"/>
      <w:marRight w:val="0"/>
      <w:marTop w:val="0"/>
      <w:marBottom w:val="0"/>
      <w:divBdr>
        <w:top w:val="none" w:sz="0" w:space="0" w:color="auto"/>
        <w:left w:val="none" w:sz="0" w:space="0" w:color="auto"/>
        <w:bottom w:val="none" w:sz="0" w:space="0" w:color="auto"/>
        <w:right w:val="none" w:sz="0" w:space="0" w:color="auto"/>
      </w:divBdr>
    </w:div>
    <w:div w:id="62145576">
      <w:bodyDiv w:val="1"/>
      <w:marLeft w:val="0"/>
      <w:marRight w:val="0"/>
      <w:marTop w:val="0"/>
      <w:marBottom w:val="0"/>
      <w:divBdr>
        <w:top w:val="none" w:sz="0" w:space="0" w:color="auto"/>
        <w:left w:val="none" w:sz="0" w:space="0" w:color="auto"/>
        <w:bottom w:val="none" w:sz="0" w:space="0" w:color="auto"/>
        <w:right w:val="none" w:sz="0" w:space="0" w:color="auto"/>
      </w:divBdr>
    </w:div>
    <w:div w:id="62411689">
      <w:bodyDiv w:val="1"/>
      <w:marLeft w:val="0"/>
      <w:marRight w:val="0"/>
      <w:marTop w:val="0"/>
      <w:marBottom w:val="0"/>
      <w:divBdr>
        <w:top w:val="none" w:sz="0" w:space="0" w:color="auto"/>
        <w:left w:val="none" w:sz="0" w:space="0" w:color="auto"/>
        <w:bottom w:val="none" w:sz="0" w:space="0" w:color="auto"/>
        <w:right w:val="none" w:sz="0" w:space="0" w:color="auto"/>
      </w:divBdr>
    </w:div>
    <w:div w:id="62602323">
      <w:bodyDiv w:val="1"/>
      <w:marLeft w:val="0"/>
      <w:marRight w:val="0"/>
      <w:marTop w:val="0"/>
      <w:marBottom w:val="0"/>
      <w:divBdr>
        <w:top w:val="none" w:sz="0" w:space="0" w:color="auto"/>
        <w:left w:val="none" w:sz="0" w:space="0" w:color="auto"/>
        <w:bottom w:val="none" w:sz="0" w:space="0" w:color="auto"/>
        <w:right w:val="none" w:sz="0" w:space="0" w:color="auto"/>
      </w:divBdr>
    </w:div>
    <w:div w:id="62609627">
      <w:bodyDiv w:val="1"/>
      <w:marLeft w:val="0"/>
      <w:marRight w:val="0"/>
      <w:marTop w:val="0"/>
      <w:marBottom w:val="0"/>
      <w:divBdr>
        <w:top w:val="none" w:sz="0" w:space="0" w:color="auto"/>
        <w:left w:val="none" w:sz="0" w:space="0" w:color="auto"/>
        <w:bottom w:val="none" w:sz="0" w:space="0" w:color="auto"/>
        <w:right w:val="none" w:sz="0" w:space="0" w:color="auto"/>
      </w:divBdr>
    </w:div>
    <w:div w:id="62680594">
      <w:bodyDiv w:val="1"/>
      <w:marLeft w:val="0"/>
      <w:marRight w:val="0"/>
      <w:marTop w:val="0"/>
      <w:marBottom w:val="0"/>
      <w:divBdr>
        <w:top w:val="none" w:sz="0" w:space="0" w:color="auto"/>
        <w:left w:val="none" w:sz="0" w:space="0" w:color="auto"/>
        <w:bottom w:val="none" w:sz="0" w:space="0" w:color="auto"/>
        <w:right w:val="none" w:sz="0" w:space="0" w:color="auto"/>
      </w:divBdr>
    </w:div>
    <w:div w:id="63071025">
      <w:bodyDiv w:val="1"/>
      <w:marLeft w:val="0"/>
      <w:marRight w:val="0"/>
      <w:marTop w:val="0"/>
      <w:marBottom w:val="0"/>
      <w:divBdr>
        <w:top w:val="none" w:sz="0" w:space="0" w:color="auto"/>
        <w:left w:val="none" w:sz="0" w:space="0" w:color="auto"/>
        <w:bottom w:val="none" w:sz="0" w:space="0" w:color="auto"/>
        <w:right w:val="none" w:sz="0" w:space="0" w:color="auto"/>
      </w:divBdr>
    </w:div>
    <w:div w:id="63912699">
      <w:bodyDiv w:val="1"/>
      <w:marLeft w:val="0"/>
      <w:marRight w:val="0"/>
      <w:marTop w:val="0"/>
      <w:marBottom w:val="0"/>
      <w:divBdr>
        <w:top w:val="none" w:sz="0" w:space="0" w:color="auto"/>
        <w:left w:val="none" w:sz="0" w:space="0" w:color="auto"/>
        <w:bottom w:val="none" w:sz="0" w:space="0" w:color="auto"/>
        <w:right w:val="none" w:sz="0" w:space="0" w:color="auto"/>
      </w:divBdr>
    </w:div>
    <w:div w:id="63994977">
      <w:bodyDiv w:val="1"/>
      <w:marLeft w:val="0"/>
      <w:marRight w:val="0"/>
      <w:marTop w:val="0"/>
      <w:marBottom w:val="0"/>
      <w:divBdr>
        <w:top w:val="none" w:sz="0" w:space="0" w:color="auto"/>
        <w:left w:val="none" w:sz="0" w:space="0" w:color="auto"/>
        <w:bottom w:val="none" w:sz="0" w:space="0" w:color="auto"/>
        <w:right w:val="none" w:sz="0" w:space="0" w:color="auto"/>
      </w:divBdr>
    </w:div>
    <w:div w:id="64648420">
      <w:bodyDiv w:val="1"/>
      <w:marLeft w:val="0"/>
      <w:marRight w:val="0"/>
      <w:marTop w:val="0"/>
      <w:marBottom w:val="0"/>
      <w:divBdr>
        <w:top w:val="none" w:sz="0" w:space="0" w:color="auto"/>
        <w:left w:val="none" w:sz="0" w:space="0" w:color="auto"/>
        <w:bottom w:val="none" w:sz="0" w:space="0" w:color="auto"/>
        <w:right w:val="none" w:sz="0" w:space="0" w:color="auto"/>
      </w:divBdr>
    </w:div>
    <w:div w:id="64688398">
      <w:bodyDiv w:val="1"/>
      <w:marLeft w:val="0"/>
      <w:marRight w:val="0"/>
      <w:marTop w:val="0"/>
      <w:marBottom w:val="0"/>
      <w:divBdr>
        <w:top w:val="none" w:sz="0" w:space="0" w:color="auto"/>
        <w:left w:val="none" w:sz="0" w:space="0" w:color="auto"/>
        <w:bottom w:val="none" w:sz="0" w:space="0" w:color="auto"/>
        <w:right w:val="none" w:sz="0" w:space="0" w:color="auto"/>
      </w:divBdr>
    </w:div>
    <w:div w:id="64839433">
      <w:bodyDiv w:val="1"/>
      <w:marLeft w:val="0"/>
      <w:marRight w:val="0"/>
      <w:marTop w:val="0"/>
      <w:marBottom w:val="0"/>
      <w:divBdr>
        <w:top w:val="none" w:sz="0" w:space="0" w:color="auto"/>
        <w:left w:val="none" w:sz="0" w:space="0" w:color="auto"/>
        <w:bottom w:val="none" w:sz="0" w:space="0" w:color="auto"/>
        <w:right w:val="none" w:sz="0" w:space="0" w:color="auto"/>
      </w:divBdr>
    </w:div>
    <w:div w:id="65225609">
      <w:bodyDiv w:val="1"/>
      <w:marLeft w:val="0"/>
      <w:marRight w:val="0"/>
      <w:marTop w:val="0"/>
      <w:marBottom w:val="0"/>
      <w:divBdr>
        <w:top w:val="none" w:sz="0" w:space="0" w:color="auto"/>
        <w:left w:val="none" w:sz="0" w:space="0" w:color="auto"/>
        <w:bottom w:val="none" w:sz="0" w:space="0" w:color="auto"/>
        <w:right w:val="none" w:sz="0" w:space="0" w:color="auto"/>
      </w:divBdr>
    </w:div>
    <w:div w:id="66155074">
      <w:bodyDiv w:val="1"/>
      <w:marLeft w:val="0"/>
      <w:marRight w:val="0"/>
      <w:marTop w:val="0"/>
      <w:marBottom w:val="0"/>
      <w:divBdr>
        <w:top w:val="none" w:sz="0" w:space="0" w:color="auto"/>
        <w:left w:val="none" w:sz="0" w:space="0" w:color="auto"/>
        <w:bottom w:val="none" w:sz="0" w:space="0" w:color="auto"/>
        <w:right w:val="none" w:sz="0" w:space="0" w:color="auto"/>
      </w:divBdr>
    </w:div>
    <w:div w:id="67047217">
      <w:bodyDiv w:val="1"/>
      <w:marLeft w:val="0"/>
      <w:marRight w:val="0"/>
      <w:marTop w:val="0"/>
      <w:marBottom w:val="0"/>
      <w:divBdr>
        <w:top w:val="none" w:sz="0" w:space="0" w:color="auto"/>
        <w:left w:val="none" w:sz="0" w:space="0" w:color="auto"/>
        <w:bottom w:val="none" w:sz="0" w:space="0" w:color="auto"/>
        <w:right w:val="none" w:sz="0" w:space="0" w:color="auto"/>
      </w:divBdr>
    </w:div>
    <w:div w:id="67072072">
      <w:bodyDiv w:val="1"/>
      <w:marLeft w:val="0"/>
      <w:marRight w:val="0"/>
      <w:marTop w:val="0"/>
      <w:marBottom w:val="0"/>
      <w:divBdr>
        <w:top w:val="none" w:sz="0" w:space="0" w:color="auto"/>
        <w:left w:val="none" w:sz="0" w:space="0" w:color="auto"/>
        <w:bottom w:val="none" w:sz="0" w:space="0" w:color="auto"/>
        <w:right w:val="none" w:sz="0" w:space="0" w:color="auto"/>
      </w:divBdr>
    </w:div>
    <w:div w:id="67310792">
      <w:bodyDiv w:val="1"/>
      <w:marLeft w:val="0"/>
      <w:marRight w:val="0"/>
      <w:marTop w:val="0"/>
      <w:marBottom w:val="0"/>
      <w:divBdr>
        <w:top w:val="none" w:sz="0" w:space="0" w:color="auto"/>
        <w:left w:val="none" w:sz="0" w:space="0" w:color="auto"/>
        <w:bottom w:val="none" w:sz="0" w:space="0" w:color="auto"/>
        <w:right w:val="none" w:sz="0" w:space="0" w:color="auto"/>
      </w:divBdr>
    </w:div>
    <w:div w:id="67382543">
      <w:bodyDiv w:val="1"/>
      <w:marLeft w:val="0"/>
      <w:marRight w:val="0"/>
      <w:marTop w:val="0"/>
      <w:marBottom w:val="0"/>
      <w:divBdr>
        <w:top w:val="none" w:sz="0" w:space="0" w:color="auto"/>
        <w:left w:val="none" w:sz="0" w:space="0" w:color="auto"/>
        <w:bottom w:val="none" w:sz="0" w:space="0" w:color="auto"/>
        <w:right w:val="none" w:sz="0" w:space="0" w:color="auto"/>
      </w:divBdr>
    </w:div>
    <w:div w:id="67461486">
      <w:bodyDiv w:val="1"/>
      <w:marLeft w:val="0"/>
      <w:marRight w:val="0"/>
      <w:marTop w:val="0"/>
      <w:marBottom w:val="0"/>
      <w:divBdr>
        <w:top w:val="none" w:sz="0" w:space="0" w:color="auto"/>
        <w:left w:val="none" w:sz="0" w:space="0" w:color="auto"/>
        <w:bottom w:val="none" w:sz="0" w:space="0" w:color="auto"/>
        <w:right w:val="none" w:sz="0" w:space="0" w:color="auto"/>
      </w:divBdr>
    </w:div>
    <w:div w:id="67701961">
      <w:bodyDiv w:val="1"/>
      <w:marLeft w:val="0"/>
      <w:marRight w:val="0"/>
      <w:marTop w:val="0"/>
      <w:marBottom w:val="0"/>
      <w:divBdr>
        <w:top w:val="none" w:sz="0" w:space="0" w:color="auto"/>
        <w:left w:val="none" w:sz="0" w:space="0" w:color="auto"/>
        <w:bottom w:val="none" w:sz="0" w:space="0" w:color="auto"/>
        <w:right w:val="none" w:sz="0" w:space="0" w:color="auto"/>
      </w:divBdr>
    </w:div>
    <w:div w:id="67772485">
      <w:bodyDiv w:val="1"/>
      <w:marLeft w:val="0"/>
      <w:marRight w:val="0"/>
      <w:marTop w:val="0"/>
      <w:marBottom w:val="0"/>
      <w:divBdr>
        <w:top w:val="none" w:sz="0" w:space="0" w:color="auto"/>
        <w:left w:val="none" w:sz="0" w:space="0" w:color="auto"/>
        <w:bottom w:val="none" w:sz="0" w:space="0" w:color="auto"/>
        <w:right w:val="none" w:sz="0" w:space="0" w:color="auto"/>
      </w:divBdr>
    </w:div>
    <w:div w:id="68381867">
      <w:bodyDiv w:val="1"/>
      <w:marLeft w:val="0"/>
      <w:marRight w:val="0"/>
      <w:marTop w:val="0"/>
      <w:marBottom w:val="0"/>
      <w:divBdr>
        <w:top w:val="none" w:sz="0" w:space="0" w:color="auto"/>
        <w:left w:val="none" w:sz="0" w:space="0" w:color="auto"/>
        <w:bottom w:val="none" w:sz="0" w:space="0" w:color="auto"/>
        <w:right w:val="none" w:sz="0" w:space="0" w:color="auto"/>
      </w:divBdr>
    </w:div>
    <w:div w:id="68773707">
      <w:bodyDiv w:val="1"/>
      <w:marLeft w:val="0"/>
      <w:marRight w:val="0"/>
      <w:marTop w:val="0"/>
      <w:marBottom w:val="0"/>
      <w:divBdr>
        <w:top w:val="none" w:sz="0" w:space="0" w:color="auto"/>
        <w:left w:val="none" w:sz="0" w:space="0" w:color="auto"/>
        <w:bottom w:val="none" w:sz="0" w:space="0" w:color="auto"/>
        <w:right w:val="none" w:sz="0" w:space="0" w:color="auto"/>
      </w:divBdr>
    </w:div>
    <w:div w:id="68892906">
      <w:bodyDiv w:val="1"/>
      <w:marLeft w:val="0"/>
      <w:marRight w:val="0"/>
      <w:marTop w:val="0"/>
      <w:marBottom w:val="0"/>
      <w:divBdr>
        <w:top w:val="none" w:sz="0" w:space="0" w:color="auto"/>
        <w:left w:val="none" w:sz="0" w:space="0" w:color="auto"/>
        <w:bottom w:val="none" w:sz="0" w:space="0" w:color="auto"/>
        <w:right w:val="none" w:sz="0" w:space="0" w:color="auto"/>
      </w:divBdr>
    </w:div>
    <w:div w:id="69280399">
      <w:bodyDiv w:val="1"/>
      <w:marLeft w:val="0"/>
      <w:marRight w:val="0"/>
      <w:marTop w:val="0"/>
      <w:marBottom w:val="0"/>
      <w:divBdr>
        <w:top w:val="none" w:sz="0" w:space="0" w:color="auto"/>
        <w:left w:val="none" w:sz="0" w:space="0" w:color="auto"/>
        <w:bottom w:val="none" w:sz="0" w:space="0" w:color="auto"/>
        <w:right w:val="none" w:sz="0" w:space="0" w:color="auto"/>
      </w:divBdr>
    </w:div>
    <w:div w:id="70085428">
      <w:bodyDiv w:val="1"/>
      <w:marLeft w:val="0"/>
      <w:marRight w:val="0"/>
      <w:marTop w:val="0"/>
      <w:marBottom w:val="0"/>
      <w:divBdr>
        <w:top w:val="none" w:sz="0" w:space="0" w:color="auto"/>
        <w:left w:val="none" w:sz="0" w:space="0" w:color="auto"/>
        <w:bottom w:val="none" w:sz="0" w:space="0" w:color="auto"/>
        <w:right w:val="none" w:sz="0" w:space="0" w:color="auto"/>
      </w:divBdr>
    </w:div>
    <w:div w:id="70129212">
      <w:bodyDiv w:val="1"/>
      <w:marLeft w:val="0"/>
      <w:marRight w:val="0"/>
      <w:marTop w:val="0"/>
      <w:marBottom w:val="0"/>
      <w:divBdr>
        <w:top w:val="none" w:sz="0" w:space="0" w:color="auto"/>
        <w:left w:val="none" w:sz="0" w:space="0" w:color="auto"/>
        <w:bottom w:val="none" w:sz="0" w:space="0" w:color="auto"/>
        <w:right w:val="none" w:sz="0" w:space="0" w:color="auto"/>
      </w:divBdr>
    </w:div>
    <w:div w:id="70935528">
      <w:bodyDiv w:val="1"/>
      <w:marLeft w:val="0"/>
      <w:marRight w:val="0"/>
      <w:marTop w:val="0"/>
      <w:marBottom w:val="0"/>
      <w:divBdr>
        <w:top w:val="none" w:sz="0" w:space="0" w:color="auto"/>
        <w:left w:val="none" w:sz="0" w:space="0" w:color="auto"/>
        <w:bottom w:val="none" w:sz="0" w:space="0" w:color="auto"/>
        <w:right w:val="none" w:sz="0" w:space="0" w:color="auto"/>
      </w:divBdr>
    </w:div>
    <w:div w:id="71318834">
      <w:bodyDiv w:val="1"/>
      <w:marLeft w:val="0"/>
      <w:marRight w:val="0"/>
      <w:marTop w:val="0"/>
      <w:marBottom w:val="0"/>
      <w:divBdr>
        <w:top w:val="none" w:sz="0" w:space="0" w:color="auto"/>
        <w:left w:val="none" w:sz="0" w:space="0" w:color="auto"/>
        <w:bottom w:val="none" w:sz="0" w:space="0" w:color="auto"/>
        <w:right w:val="none" w:sz="0" w:space="0" w:color="auto"/>
      </w:divBdr>
    </w:div>
    <w:div w:id="71509257">
      <w:bodyDiv w:val="1"/>
      <w:marLeft w:val="0"/>
      <w:marRight w:val="0"/>
      <w:marTop w:val="0"/>
      <w:marBottom w:val="0"/>
      <w:divBdr>
        <w:top w:val="none" w:sz="0" w:space="0" w:color="auto"/>
        <w:left w:val="none" w:sz="0" w:space="0" w:color="auto"/>
        <w:bottom w:val="none" w:sz="0" w:space="0" w:color="auto"/>
        <w:right w:val="none" w:sz="0" w:space="0" w:color="auto"/>
      </w:divBdr>
    </w:div>
    <w:div w:id="71631401">
      <w:bodyDiv w:val="1"/>
      <w:marLeft w:val="0"/>
      <w:marRight w:val="0"/>
      <w:marTop w:val="0"/>
      <w:marBottom w:val="0"/>
      <w:divBdr>
        <w:top w:val="none" w:sz="0" w:space="0" w:color="auto"/>
        <w:left w:val="none" w:sz="0" w:space="0" w:color="auto"/>
        <w:bottom w:val="none" w:sz="0" w:space="0" w:color="auto"/>
        <w:right w:val="none" w:sz="0" w:space="0" w:color="auto"/>
      </w:divBdr>
    </w:div>
    <w:div w:id="71663212">
      <w:bodyDiv w:val="1"/>
      <w:marLeft w:val="0"/>
      <w:marRight w:val="0"/>
      <w:marTop w:val="0"/>
      <w:marBottom w:val="0"/>
      <w:divBdr>
        <w:top w:val="none" w:sz="0" w:space="0" w:color="auto"/>
        <w:left w:val="none" w:sz="0" w:space="0" w:color="auto"/>
        <w:bottom w:val="none" w:sz="0" w:space="0" w:color="auto"/>
        <w:right w:val="none" w:sz="0" w:space="0" w:color="auto"/>
      </w:divBdr>
    </w:div>
    <w:div w:id="72170339">
      <w:bodyDiv w:val="1"/>
      <w:marLeft w:val="0"/>
      <w:marRight w:val="0"/>
      <w:marTop w:val="0"/>
      <w:marBottom w:val="0"/>
      <w:divBdr>
        <w:top w:val="none" w:sz="0" w:space="0" w:color="auto"/>
        <w:left w:val="none" w:sz="0" w:space="0" w:color="auto"/>
        <w:bottom w:val="none" w:sz="0" w:space="0" w:color="auto"/>
        <w:right w:val="none" w:sz="0" w:space="0" w:color="auto"/>
      </w:divBdr>
    </w:div>
    <w:div w:id="72286890">
      <w:bodyDiv w:val="1"/>
      <w:marLeft w:val="0"/>
      <w:marRight w:val="0"/>
      <w:marTop w:val="0"/>
      <w:marBottom w:val="0"/>
      <w:divBdr>
        <w:top w:val="none" w:sz="0" w:space="0" w:color="auto"/>
        <w:left w:val="none" w:sz="0" w:space="0" w:color="auto"/>
        <w:bottom w:val="none" w:sz="0" w:space="0" w:color="auto"/>
        <w:right w:val="none" w:sz="0" w:space="0" w:color="auto"/>
      </w:divBdr>
    </w:div>
    <w:div w:id="72822367">
      <w:bodyDiv w:val="1"/>
      <w:marLeft w:val="0"/>
      <w:marRight w:val="0"/>
      <w:marTop w:val="0"/>
      <w:marBottom w:val="0"/>
      <w:divBdr>
        <w:top w:val="none" w:sz="0" w:space="0" w:color="auto"/>
        <w:left w:val="none" w:sz="0" w:space="0" w:color="auto"/>
        <w:bottom w:val="none" w:sz="0" w:space="0" w:color="auto"/>
        <w:right w:val="none" w:sz="0" w:space="0" w:color="auto"/>
      </w:divBdr>
    </w:div>
    <w:div w:id="73170733">
      <w:bodyDiv w:val="1"/>
      <w:marLeft w:val="0"/>
      <w:marRight w:val="0"/>
      <w:marTop w:val="0"/>
      <w:marBottom w:val="0"/>
      <w:divBdr>
        <w:top w:val="none" w:sz="0" w:space="0" w:color="auto"/>
        <w:left w:val="none" w:sz="0" w:space="0" w:color="auto"/>
        <w:bottom w:val="none" w:sz="0" w:space="0" w:color="auto"/>
        <w:right w:val="none" w:sz="0" w:space="0" w:color="auto"/>
      </w:divBdr>
    </w:div>
    <w:div w:id="73361081">
      <w:bodyDiv w:val="1"/>
      <w:marLeft w:val="0"/>
      <w:marRight w:val="0"/>
      <w:marTop w:val="0"/>
      <w:marBottom w:val="0"/>
      <w:divBdr>
        <w:top w:val="none" w:sz="0" w:space="0" w:color="auto"/>
        <w:left w:val="none" w:sz="0" w:space="0" w:color="auto"/>
        <w:bottom w:val="none" w:sz="0" w:space="0" w:color="auto"/>
        <w:right w:val="none" w:sz="0" w:space="0" w:color="auto"/>
      </w:divBdr>
    </w:div>
    <w:div w:id="73548194">
      <w:bodyDiv w:val="1"/>
      <w:marLeft w:val="0"/>
      <w:marRight w:val="0"/>
      <w:marTop w:val="0"/>
      <w:marBottom w:val="0"/>
      <w:divBdr>
        <w:top w:val="none" w:sz="0" w:space="0" w:color="auto"/>
        <w:left w:val="none" w:sz="0" w:space="0" w:color="auto"/>
        <w:bottom w:val="none" w:sz="0" w:space="0" w:color="auto"/>
        <w:right w:val="none" w:sz="0" w:space="0" w:color="auto"/>
      </w:divBdr>
    </w:div>
    <w:div w:id="73939215">
      <w:bodyDiv w:val="1"/>
      <w:marLeft w:val="0"/>
      <w:marRight w:val="0"/>
      <w:marTop w:val="0"/>
      <w:marBottom w:val="0"/>
      <w:divBdr>
        <w:top w:val="none" w:sz="0" w:space="0" w:color="auto"/>
        <w:left w:val="none" w:sz="0" w:space="0" w:color="auto"/>
        <w:bottom w:val="none" w:sz="0" w:space="0" w:color="auto"/>
        <w:right w:val="none" w:sz="0" w:space="0" w:color="auto"/>
      </w:divBdr>
    </w:div>
    <w:div w:id="74867844">
      <w:bodyDiv w:val="1"/>
      <w:marLeft w:val="0"/>
      <w:marRight w:val="0"/>
      <w:marTop w:val="0"/>
      <w:marBottom w:val="0"/>
      <w:divBdr>
        <w:top w:val="none" w:sz="0" w:space="0" w:color="auto"/>
        <w:left w:val="none" w:sz="0" w:space="0" w:color="auto"/>
        <w:bottom w:val="none" w:sz="0" w:space="0" w:color="auto"/>
        <w:right w:val="none" w:sz="0" w:space="0" w:color="auto"/>
      </w:divBdr>
    </w:div>
    <w:div w:id="74939513">
      <w:bodyDiv w:val="1"/>
      <w:marLeft w:val="0"/>
      <w:marRight w:val="0"/>
      <w:marTop w:val="0"/>
      <w:marBottom w:val="0"/>
      <w:divBdr>
        <w:top w:val="none" w:sz="0" w:space="0" w:color="auto"/>
        <w:left w:val="none" w:sz="0" w:space="0" w:color="auto"/>
        <w:bottom w:val="none" w:sz="0" w:space="0" w:color="auto"/>
        <w:right w:val="none" w:sz="0" w:space="0" w:color="auto"/>
      </w:divBdr>
    </w:div>
    <w:div w:id="74985361">
      <w:bodyDiv w:val="1"/>
      <w:marLeft w:val="0"/>
      <w:marRight w:val="0"/>
      <w:marTop w:val="0"/>
      <w:marBottom w:val="0"/>
      <w:divBdr>
        <w:top w:val="none" w:sz="0" w:space="0" w:color="auto"/>
        <w:left w:val="none" w:sz="0" w:space="0" w:color="auto"/>
        <w:bottom w:val="none" w:sz="0" w:space="0" w:color="auto"/>
        <w:right w:val="none" w:sz="0" w:space="0" w:color="auto"/>
      </w:divBdr>
    </w:div>
    <w:div w:id="75129602">
      <w:bodyDiv w:val="1"/>
      <w:marLeft w:val="0"/>
      <w:marRight w:val="0"/>
      <w:marTop w:val="0"/>
      <w:marBottom w:val="0"/>
      <w:divBdr>
        <w:top w:val="none" w:sz="0" w:space="0" w:color="auto"/>
        <w:left w:val="none" w:sz="0" w:space="0" w:color="auto"/>
        <w:bottom w:val="none" w:sz="0" w:space="0" w:color="auto"/>
        <w:right w:val="none" w:sz="0" w:space="0" w:color="auto"/>
      </w:divBdr>
    </w:div>
    <w:div w:id="75827025">
      <w:bodyDiv w:val="1"/>
      <w:marLeft w:val="0"/>
      <w:marRight w:val="0"/>
      <w:marTop w:val="0"/>
      <w:marBottom w:val="0"/>
      <w:divBdr>
        <w:top w:val="none" w:sz="0" w:space="0" w:color="auto"/>
        <w:left w:val="none" w:sz="0" w:space="0" w:color="auto"/>
        <w:bottom w:val="none" w:sz="0" w:space="0" w:color="auto"/>
        <w:right w:val="none" w:sz="0" w:space="0" w:color="auto"/>
      </w:divBdr>
    </w:div>
    <w:div w:id="76249374">
      <w:bodyDiv w:val="1"/>
      <w:marLeft w:val="0"/>
      <w:marRight w:val="0"/>
      <w:marTop w:val="0"/>
      <w:marBottom w:val="0"/>
      <w:divBdr>
        <w:top w:val="none" w:sz="0" w:space="0" w:color="auto"/>
        <w:left w:val="none" w:sz="0" w:space="0" w:color="auto"/>
        <w:bottom w:val="none" w:sz="0" w:space="0" w:color="auto"/>
        <w:right w:val="none" w:sz="0" w:space="0" w:color="auto"/>
      </w:divBdr>
    </w:div>
    <w:div w:id="77287635">
      <w:bodyDiv w:val="1"/>
      <w:marLeft w:val="0"/>
      <w:marRight w:val="0"/>
      <w:marTop w:val="0"/>
      <w:marBottom w:val="0"/>
      <w:divBdr>
        <w:top w:val="none" w:sz="0" w:space="0" w:color="auto"/>
        <w:left w:val="none" w:sz="0" w:space="0" w:color="auto"/>
        <w:bottom w:val="none" w:sz="0" w:space="0" w:color="auto"/>
        <w:right w:val="none" w:sz="0" w:space="0" w:color="auto"/>
      </w:divBdr>
    </w:div>
    <w:div w:id="77295635">
      <w:bodyDiv w:val="1"/>
      <w:marLeft w:val="0"/>
      <w:marRight w:val="0"/>
      <w:marTop w:val="0"/>
      <w:marBottom w:val="0"/>
      <w:divBdr>
        <w:top w:val="none" w:sz="0" w:space="0" w:color="auto"/>
        <w:left w:val="none" w:sz="0" w:space="0" w:color="auto"/>
        <w:bottom w:val="none" w:sz="0" w:space="0" w:color="auto"/>
        <w:right w:val="none" w:sz="0" w:space="0" w:color="auto"/>
      </w:divBdr>
    </w:div>
    <w:div w:id="77405664">
      <w:bodyDiv w:val="1"/>
      <w:marLeft w:val="0"/>
      <w:marRight w:val="0"/>
      <w:marTop w:val="0"/>
      <w:marBottom w:val="0"/>
      <w:divBdr>
        <w:top w:val="none" w:sz="0" w:space="0" w:color="auto"/>
        <w:left w:val="none" w:sz="0" w:space="0" w:color="auto"/>
        <w:bottom w:val="none" w:sz="0" w:space="0" w:color="auto"/>
        <w:right w:val="none" w:sz="0" w:space="0" w:color="auto"/>
      </w:divBdr>
    </w:div>
    <w:div w:id="77798081">
      <w:bodyDiv w:val="1"/>
      <w:marLeft w:val="0"/>
      <w:marRight w:val="0"/>
      <w:marTop w:val="0"/>
      <w:marBottom w:val="0"/>
      <w:divBdr>
        <w:top w:val="none" w:sz="0" w:space="0" w:color="auto"/>
        <w:left w:val="none" w:sz="0" w:space="0" w:color="auto"/>
        <w:bottom w:val="none" w:sz="0" w:space="0" w:color="auto"/>
        <w:right w:val="none" w:sz="0" w:space="0" w:color="auto"/>
      </w:divBdr>
    </w:div>
    <w:div w:id="77870575">
      <w:bodyDiv w:val="1"/>
      <w:marLeft w:val="0"/>
      <w:marRight w:val="0"/>
      <w:marTop w:val="0"/>
      <w:marBottom w:val="0"/>
      <w:divBdr>
        <w:top w:val="none" w:sz="0" w:space="0" w:color="auto"/>
        <w:left w:val="none" w:sz="0" w:space="0" w:color="auto"/>
        <w:bottom w:val="none" w:sz="0" w:space="0" w:color="auto"/>
        <w:right w:val="none" w:sz="0" w:space="0" w:color="auto"/>
      </w:divBdr>
    </w:div>
    <w:div w:id="77871585">
      <w:bodyDiv w:val="1"/>
      <w:marLeft w:val="0"/>
      <w:marRight w:val="0"/>
      <w:marTop w:val="0"/>
      <w:marBottom w:val="0"/>
      <w:divBdr>
        <w:top w:val="none" w:sz="0" w:space="0" w:color="auto"/>
        <w:left w:val="none" w:sz="0" w:space="0" w:color="auto"/>
        <w:bottom w:val="none" w:sz="0" w:space="0" w:color="auto"/>
        <w:right w:val="none" w:sz="0" w:space="0" w:color="auto"/>
      </w:divBdr>
    </w:div>
    <w:div w:id="78529419">
      <w:bodyDiv w:val="1"/>
      <w:marLeft w:val="0"/>
      <w:marRight w:val="0"/>
      <w:marTop w:val="0"/>
      <w:marBottom w:val="0"/>
      <w:divBdr>
        <w:top w:val="none" w:sz="0" w:space="0" w:color="auto"/>
        <w:left w:val="none" w:sz="0" w:space="0" w:color="auto"/>
        <w:bottom w:val="none" w:sz="0" w:space="0" w:color="auto"/>
        <w:right w:val="none" w:sz="0" w:space="0" w:color="auto"/>
      </w:divBdr>
    </w:div>
    <w:div w:id="78916257">
      <w:bodyDiv w:val="1"/>
      <w:marLeft w:val="0"/>
      <w:marRight w:val="0"/>
      <w:marTop w:val="0"/>
      <w:marBottom w:val="0"/>
      <w:divBdr>
        <w:top w:val="none" w:sz="0" w:space="0" w:color="auto"/>
        <w:left w:val="none" w:sz="0" w:space="0" w:color="auto"/>
        <w:bottom w:val="none" w:sz="0" w:space="0" w:color="auto"/>
        <w:right w:val="none" w:sz="0" w:space="0" w:color="auto"/>
      </w:divBdr>
    </w:div>
    <w:div w:id="78990036">
      <w:bodyDiv w:val="1"/>
      <w:marLeft w:val="0"/>
      <w:marRight w:val="0"/>
      <w:marTop w:val="0"/>
      <w:marBottom w:val="0"/>
      <w:divBdr>
        <w:top w:val="none" w:sz="0" w:space="0" w:color="auto"/>
        <w:left w:val="none" w:sz="0" w:space="0" w:color="auto"/>
        <w:bottom w:val="none" w:sz="0" w:space="0" w:color="auto"/>
        <w:right w:val="none" w:sz="0" w:space="0" w:color="auto"/>
      </w:divBdr>
    </w:div>
    <w:div w:id="79103943">
      <w:bodyDiv w:val="1"/>
      <w:marLeft w:val="0"/>
      <w:marRight w:val="0"/>
      <w:marTop w:val="0"/>
      <w:marBottom w:val="0"/>
      <w:divBdr>
        <w:top w:val="none" w:sz="0" w:space="0" w:color="auto"/>
        <w:left w:val="none" w:sz="0" w:space="0" w:color="auto"/>
        <w:bottom w:val="none" w:sz="0" w:space="0" w:color="auto"/>
        <w:right w:val="none" w:sz="0" w:space="0" w:color="auto"/>
      </w:divBdr>
    </w:div>
    <w:div w:id="79564403">
      <w:bodyDiv w:val="1"/>
      <w:marLeft w:val="0"/>
      <w:marRight w:val="0"/>
      <w:marTop w:val="0"/>
      <w:marBottom w:val="0"/>
      <w:divBdr>
        <w:top w:val="none" w:sz="0" w:space="0" w:color="auto"/>
        <w:left w:val="none" w:sz="0" w:space="0" w:color="auto"/>
        <w:bottom w:val="none" w:sz="0" w:space="0" w:color="auto"/>
        <w:right w:val="none" w:sz="0" w:space="0" w:color="auto"/>
      </w:divBdr>
    </w:div>
    <w:div w:id="79569068">
      <w:bodyDiv w:val="1"/>
      <w:marLeft w:val="0"/>
      <w:marRight w:val="0"/>
      <w:marTop w:val="0"/>
      <w:marBottom w:val="0"/>
      <w:divBdr>
        <w:top w:val="none" w:sz="0" w:space="0" w:color="auto"/>
        <w:left w:val="none" w:sz="0" w:space="0" w:color="auto"/>
        <w:bottom w:val="none" w:sz="0" w:space="0" w:color="auto"/>
        <w:right w:val="none" w:sz="0" w:space="0" w:color="auto"/>
      </w:divBdr>
    </w:div>
    <w:div w:id="79763418">
      <w:bodyDiv w:val="1"/>
      <w:marLeft w:val="0"/>
      <w:marRight w:val="0"/>
      <w:marTop w:val="0"/>
      <w:marBottom w:val="0"/>
      <w:divBdr>
        <w:top w:val="none" w:sz="0" w:space="0" w:color="auto"/>
        <w:left w:val="none" w:sz="0" w:space="0" w:color="auto"/>
        <w:bottom w:val="none" w:sz="0" w:space="0" w:color="auto"/>
        <w:right w:val="none" w:sz="0" w:space="0" w:color="auto"/>
      </w:divBdr>
    </w:div>
    <w:div w:id="80297159">
      <w:bodyDiv w:val="1"/>
      <w:marLeft w:val="0"/>
      <w:marRight w:val="0"/>
      <w:marTop w:val="0"/>
      <w:marBottom w:val="0"/>
      <w:divBdr>
        <w:top w:val="none" w:sz="0" w:space="0" w:color="auto"/>
        <w:left w:val="none" w:sz="0" w:space="0" w:color="auto"/>
        <w:bottom w:val="none" w:sz="0" w:space="0" w:color="auto"/>
        <w:right w:val="none" w:sz="0" w:space="0" w:color="auto"/>
      </w:divBdr>
    </w:div>
    <w:div w:id="80566121">
      <w:bodyDiv w:val="1"/>
      <w:marLeft w:val="0"/>
      <w:marRight w:val="0"/>
      <w:marTop w:val="0"/>
      <w:marBottom w:val="0"/>
      <w:divBdr>
        <w:top w:val="none" w:sz="0" w:space="0" w:color="auto"/>
        <w:left w:val="none" w:sz="0" w:space="0" w:color="auto"/>
        <w:bottom w:val="none" w:sz="0" w:space="0" w:color="auto"/>
        <w:right w:val="none" w:sz="0" w:space="0" w:color="auto"/>
      </w:divBdr>
    </w:div>
    <w:div w:id="81689035">
      <w:bodyDiv w:val="1"/>
      <w:marLeft w:val="0"/>
      <w:marRight w:val="0"/>
      <w:marTop w:val="0"/>
      <w:marBottom w:val="0"/>
      <w:divBdr>
        <w:top w:val="none" w:sz="0" w:space="0" w:color="auto"/>
        <w:left w:val="none" w:sz="0" w:space="0" w:color="auto"/>
        <w:bottom w:val="none" w:sz="0" w:space="0" w:color="auto"/>
        <w:right w:val="none" w:sz="0" w:space="0" w:color="auto"/>
      </w:divBdr>
    </w:div>
    <w:div w:id="81725437">
      <w:bodyDiv w:val="1"/>
      <w:marLeft w:val="0"/>
      <w:marRight w:val="0"/>
      <w:marTop w:val="0"/>
      <w:marBottom w:val="0"/>
      <w:divBdr>
        <w:top w:val="none" w:sz="0" w:space="0" w:color="auto"/>
        <w:left w:val="none" w:sz="0" w:space="0" w:color="auto"/>
        <w:bottom w:val="none" w:sz="0" w:space="0" w:color="auto"/>
        <w:right w:val="none" w:sz="0" w:space="0" w:color="auto"/>
      </w:divBdr>
    </w:div>
    <w:div w:id="82648879">
      <w:bodyDiv w:val="1"/>
      <w:marLeft w:val="0"/>
      <w:marRight w:val="0"/>
      <w:marTop w:val="0"/>
      <w:marBottom w:val="0"/>
      <w:divBdr>
        <w:top w:val="none" w:sz="0" w:space="0" w:color="auto"/>
        <w:left w:val="none" w:sz="0" w:space="0" w:color="auto"/>
        <w:bottom w:val="none" w:sz="0" w:space="0" w:color="auto"/>
        <w:right w:val="none" w:sz="0" w:space="0" w:color="auto"/>
      </w:divBdr>
    </w:div>
    <w:div w:id="82839968">
      <w:bodyDiv w:val="1"/>
      <w:marLeft w:val="0"/>
      <w:marRight w:val="0"/>
      <w:marTop w:val="0"/>
      <w:marBottom w:val="0"/>
      <w:divBdr>
        <w:top w:val="none" w:sz="0" w:space="0" w:color="auto"/>
        <w:left w:val="none" w:sz="0" w:space="0" w:color="auto"/>
        <w:bottom w:val="none" w:sz="0" w:space="0" w:color="auto"/>
        <w:right w:val="none" w:sz="0" w:space="0" w:color="auto"/>
      </w:divBdr>
    </w:div>
    <w:div w:id="83573725">
      <w:bodyDiv w:val="1"/>
      <w:marLeft w:val="0"/>
      <w:marRight w:val="0"/>
      <w:marTop w:val="0"/>
      <w:marBottom w:val="0"/>
      <w:divBdr>
        <w:top w:val="none" w:sz="0" w:space="0" w:color="auto"/>
        <w:left w:val="none" w:sz="0" w:space="0" w:color="auto"/>
        <w:bottom w:val="none" w:sz="0" w:space="0" w:color="auto"/>
        <w:right w:val="none" w:sz="0" w:space="0" w:color="auto"/>
      </w:divBdr>
    </w:div>
    <w:div w:id="83961247">
      <w:bodyDiv w:val="1"/>
      <w:marLeft w:val="0"/>
      <w:marRight w:val="0"/>
      <w:marTop w:val="0"/>
      <w:marBottom w:val="0"/>
      <w:divBdr>
        <w:top w:val="none" w:sz="0" w:space="0" w:color="auto"/>
        <w:left w:val="none" w:sz="0" w:space="0" w:color="auto"/>
        <w:bottom w:val="none" w:sz="0" w:space="0" w:color="auto"/>
        <w:right w:val="none" w:sz="0" w:space="0" w:color="auto"/>
      </w:divBdr>
    </w:div>
    <w:div w:id="84038245">
      <w:bodyDiv w:val="1"/>
      <w:marLeft w:val="0"/>
      <w:marRight w:val="0"/>
      <w:marTop w:val="0"/>
      <w:marBottom w:val="0"/>
      <w:divBdr>
        <w:top w:val="none" w:sz="0" w:space="0" w:color="auto"/>
        <w:left w:val="none" w:sz="0" w:space="0" w:color="auto"/>
        <w:bottom w:val="none" w:sz="0" w:space="0" w:color="auto"/>
        <w:right w:val="none" w:sz="0" w:space="0" w:color="auto"/>
      </w:divBdr>
    </w:div>
    <w:div w:id="84544987">
      <w:bodyDiv w:val="1"/>
      <w:marLeft w:val="0"/>
      <w:marRight w:val="0"/>
      <w:marTop w:val="0"/>
      <w:marBottom w:val="0"/>
      <w:divBdr>
        <w:top w:val="none" w:sz="0" w:space="0" w:color="auto"/>
        <w:left w:val="none" w:sz="0" w:space="0" w:color="auto"/>
        <w:bottom w:val="none" w:sz="0" w:space="0" w:color="auto"/>
        <w:right w:val="none" w:sz="0" w:space="0" w:color="auto"/>
      </w:divBdr>
    </w:div>
    <w:div w:id="84571031">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003233">
      <w:bodyDiv w:val="1"/>
      <w:marLeft w:val="0"/>
      <w:marRight w:val="0"/>
      <w:marTop w:val="0"/>
      <w:marBottom w:val="0"/>
      <w:divBdr>
        <w:top w:val="none" w:sz="0" w:space="0" w:color="auto"/>
        <w:left w:val="none" w:sz="0" w:space="0" w:color="auto"/>
        <w:bottom w:val="none" w:sz="0" w:space="0" w:color="auto"/>
        <w:right w:val="none" w:sz="0" w:space="0" w:color="auto"/>
      </w:divBdr>
    </w:div>
    <w:div w:id="85225212">
      <w:bodyDiv w:val="1"/>
      <w:marLeft w:val="0"/>
      <w:marRight w:val="0"/>
      <w:marTop w:val="0"/>
      <w:marBottom w:val="0"/>
      <w:divBdr>
        <w:top w:val="none" w:sz="0" w:space="0" w:color="auto"/>
        <w:left w:val="none" w:sz="0" w:space="0" w:color="auto"/>
        <w:bottom w:val="none" w:sz="0" w:space="0" w:color="auto"/>
        <w:right w:val="none" w:sz="0" w:space="0" w:color="auto"/>
      </w:divBdr>
    </w:div>
    <w:div w:id="85268487">
      <w:bodyDiv w:val="1"/>
      <w:marLeft w:val="0"/>
      <w:marRight w:val="0"/>
      <w:marTop w:val="0"/>
      <w:marBottom w:val="0"/>
      <w:divBdr>
        <w:top w:val="none" w:sz="0" w:space="0" w:color="auto"/>
        <w:left w:val="none" w:sz="0" w:space="0" w:color="auto"/>
        <w:bottom w:val="none" w:sz="0" w:space="0" w:color="auto"/>
        <w:right w:val="none" w:sz="0" w:space="0" w:color="auto"/>
      </w:divBdr>
    </w:div>
    <w:div w:id="85808242">
      <w:bodyDiv w:val="1"/>
      <w:marLeft w:val="0"/>
      <w:marRight w:val="0"/>
      <w:marTop w:val="0"/>
      <w:marBottom w:val="0"/>
      <w:divBdr>
        <w:top w:val="none" w:sz="0" w:space="0" w:color="auto"/>
        <w:left w:val="none" w:sz="0" w:space="0" w:color="auto"/>
        <w:bottom w:val="none" w:sz="0" w:space="0" w:color="auto"/>
        <w:right w:val="none" w:sz="0" w:space="0" w:color="auto"/>
      </w:divBdr>
    </w:div>
    <w:div w:id="86119408">
      <w:bodyDiv w:val="1"/>
      <w:marLeft w:val="0"/>
      <w:marRight w:val="0"/>
      <w:marTop w:val="0"/>
      <w:marBottom w:val="0"/>
      <w:divBdr>
        <w:top w:val="none" w:sz="0" w:space="0" w:color="auto"/>
        <w:left w:val="none" w:sz="0" w:space="0" w:color="auto"/>
        <w:bottom w:val="none" w:sz="0" w:space="0" w:color="auto"/>
        <w:right w:val="none" w:sz="0" w:space="0" w:color="auto"/>
      </w:divBdr>
    </w:div>
    <w:div w:id="86776024">
      <w:bodyDiv w:val="1"/>
      <w:marLeft w:val="0"/>
      <w:marRight w:val="0"/>
      <w:marTop w:val="0"/>
      <w:marBottom w:val="0"/>
      <w:divBdr>
        <w:top w:val="none" w:sz="0" w:space="0" w:color="auto"/>
        <w:left w:val="none" w:sz="0" w:space="0" w:color="auto"/>
        <w:bottom w:val="none" w:sz="0" w:space="0" w:color="auto"/>
        <w:right w:val="none" w:sz="0" w:space="0" w:color="auto"/>
      </w:divBdr>
    </w:div>
    <w:div w:id="86847817">
      <w:bodyDiv w:val="1"/>
      <w:marLeft w:val="0"/>
      <w:marRight w:val="0"/>
      <w:marTop w:val="0"/>
      <w:marBottom w:val="0"/>
      <w:divBdr>
        <w:top w:val="none" w:sz="0" w:space="0" w:color="auto"/>
        <w:left w:val="none" w:sz="0" w:space="0" w:color="auto"/>
        <w:bottom w:val="none" w:sz="0" w:space="0" w:color="auto"/>
        <w:right w:val="none" w:sz="0" w:space="0" w:color="auto"/>
      </w:divBdr>
    </w:div>
    <w:div w:id="87195388">
      <w:bodyDiv w:val="1"/>
      <w:marLeft w:val="0"/>
      <w:marRight w:val="0"/>
      <w:marTop w:val="0"/>
      <w:marBottom w:val="0"/>
      <w:divBdr>
        <w:top w:val="none" w:sz="0" w:space="0" w:color="auto"/>
        <w:left w:val="none" w:sz="0" w:space="0" w:color="auto"/>
        <w:bottom w:val="none" w:sz="0" w:space="0" w:color="auto"/>
        <w:right w:val="none" w:sz="0" w:space="0" w:color="auto"/>
      </w:divBdr>
    </w:div>
    <w:div w:id="88504048">
      <w:bodyDiv w:val="1"/>
      <w:marLeft w:val="0"/>
      <w:marRight w:val="0"/>
      <w:marTop w:val="0"/>
      <w:marBottom w:val="0"/>
      <w:divBdr>
        <w:top w:val="none" w:sz="0" w:space="0" w:color="auto"/>
        <w:left w:val="none" w:sz="0" w:space="0" w:color="auto"/>
        <w:bottom w:val="none" w:sz="0" w:space="0" w:color="auto"/>
        <w:right w:val="none" w:sz="0" w:space="0" w:color="auto"/>
      </w:divBdr>
    </w:div>
    <w:div w:id="88701277">
      <w:bodyDiv w:val="1"/>
      <w:marLeft w:val="0"/>
      <w:marRight w:val="0"/>
      <w:marTop w:val="0"/>
      <w:marBottom w:val="0"/>
      <w:divBdr>
        <w:top w:val="none" w:sz="0" w:space="0" w:color="auto"/>
        <w:left w:val="none" w:sz="0" w:space="0" w:color="auto"/>
        <w:bottom w:val="none" w:sz="0" w:space="0" w:color="auto"/>
        <w:right w:val="none" w:sz="0" w:space="0" w:color="auto"/>
      </w:divBdr>
    </w:div>
    <w:div w:id="88964593">
      <w:bodyDiv w:val="1"/>
      <w:marLeft w:val="0"/>
      <w:marRight w:val="0"/>
      <w:marTop w:val="0"/>
      <w:marBottom w:val="0"/>
      <w:divBdr>
        <w:top w:val="none" w:sz="0" w:space="0" w:color="auto"/>
        <w:left w:val="none" w:sz="0" w:space="0" w:color="auto"/>
        <w:bottom w:val="none" w:sz="0" w:space="0" w:color="auto"/>
        <w:right w:val="none" w:sz="0" w:space="0" w:color="auto"/>
      </w:divBdr>
    </w:div>
    <w:div w:id="89014843">
      <w:bodyDiv w:val="1"/>
      <w:marLeft w:val="0"/>
      <w:marRight w:val="0"/>
      <w:marTop w:val="0"/>
      <w:marBottom w:val="0"/>
      <w:divBdr>
        <w:top w:val="none" w:sz="0" w:space="0" w:color="auto"/>
        <w:left w:val="none" w:sz="0" w:space="0" w:color="auto"/>
        <w:bottom w:val="none" w:sz="0" w:space="0" w:color="auto"/>
        <w:right w:val="none" w:sz="0" w:space="0" w:color="auto"/>
      </w:divBdr>
    </w:div>
    <w:div w:id="89549613">
      <w:bodyDiv w:val="1"/>
      <w:marLeft w:val="0"/>
      <w:marRight w:val="0"/>
      <w:marTop w:val="0"/>
      <w:marBottom w:val="0"/>
      <w:divBdr>
        <w:top w:val="none" w:sz="0" w:space="0" w:color="auto"/>
        <w:left w:val="none" w:sz="0" w:space="0" w:color="auto"/>
        <w:bottom w:val="none" w:sz="0" w:space="0" w:color="auto"/>
        <w:right w:val="none" w:sz="0" w:space="0" w:color="auto"/>
      </w:divBdr>
    </w:div>
    <w:div w:id="89668390">
      <w:bodyDiv w:val="1"/>
      <w:marLeft w:val="0"/>
      <w:marRight w:val="0"/>
      <w:marTop w:val="0"/>
      <w:marBottom w:val="0"/>
      <w:divBdr>
        <w:top w:val="none" w:sz="0" w:space="0" w:color="auto"/>
        <w:left w:val="none" w:sz="0" w:space="0" w:color="auto"/>
        <w:bottom w:val="none" w:sz="0" w:space="0" w:color="auto"/>
        <w:right w:val="none" w:sz="0" w:space="0" w:color="auto"/>
      </w:divBdr>
    </w:div>
    <w:div w:id="89744124">
      <w:bodyDiv w:val="1"/>
      <w:marLeft w:val="0"/>
      <w:marRight w:val="0"/>
      <w:marTop w:val="0"/>
      <w:marBottom w:val="0"/>
      <w:divBdr>
        <w:top w:val="none" w:sz="0" w:space="0" w:color="auto"/>
        <w:left w:val="none" w:sz="0" w:space="0" w:color="auto"/>
        <w:bottom w:val="none" w:sz="0" w:space="0" w:color="auto"/>
        <w:right w:val="none" w:sz="0" w:space="0" w:color="auto"/>
      </w:divBdr>
    </w:div>
    <w:div w:id="90320390">
      <w:bodyDiv w:val="1"/>
      <w:marLeft w:val="0"/>
      <w:marRight w:val="0"/>
      <w:marTop w:val="0"/>
      <w:marBottom w:val="0"/>
      <w:divBdr>
        <w:top w:val="none" w:sz="0" w:space="0" w:color="auto"/>
        <w:left w:val="none" w:sz="0" w:space="0" w:color="auto"/>
        <w:bottom w:val="none" w:sz="0" w:space="0" w:color="auto"/>
        <w:right w:val="none" w:sz="0" w:space="0" w:color="auto"/>
      </w:divBdr>
    </w:div>
    <w:div w:id="90518410">
      <w:bodyDiv w:val="1"/>
      <w:marLeft w:val="0"/>
      <w:marRight w:val="0"/>
      <w:marTop w:val="0"/>
      <w:marBottom w:val="0"/>
      <w:divBdr>
        <w:top w:val="none" w:sz="0" w:space="0" w:color="auto"/>
        <w:left w:val="none" w:sz="0" w:space="0" w:color="auto"/>
        <w:bottom w:val="none" w:sz="0" w:space="0" w:color="auto"/>
        <w:right w:val="none" w:sz="0" w:space="0" w:color="auto"/>
      </w:divBdr>
    </w:div>
    <w:div w:id="91165093">
      <w:bodyDiv w:val="1"/>
      <w:marLeft w:val="0"/>
      <w:marRight w:val="0"/>
      <w:marTop w:val="0"/>
      <w:marBottom w:val="0"/>
      <w:divBdr>
        <w:top w:val="none" w:sz="0" w:space="0" w:color="auto"/>
        <w:left w:val="none" w:sz="0" w:space="0" w:color="auto"/>
        <w:bottom w:val="none" w:sz="0" w:space="0" w:color="auto"/>
        <w:right w:val="none" w:sz="0" w:space="0" w:color="auto"/>
      </w:divBdr>
    </w:div>
    <w:div w:id="91517266">
      <w:bodyDiv w:val="1"/>
      <w:marLeft w:val="0"/>
      <w:marRight w:val="0"/>
      <w:marTop w:val="0"/>
      <w:marBottom w:val="0"/>
      <w:divBdr>
        <w:top w:val="none" w:sz="0" w:space="0" w:color="auto"/>
        <w:left w:val="none" w:sz="0" w:space="0" w:color="auto"/>
        <w:bottom w:val="none" w:sz="0" w:space="0" w:color="auto"/>
        <w:right w:val="none" w:sz="0" w:space="0" w:color="auto"/>
      </w:divBdr>
    </w:div>
    <w:div w:id="91631549">
      <w:bodyDiv w:val="1"/>
      <w:marLeft w:val="0"/>
      <w:marRight w:val="0"/>
      <w:marTop w:val="0"/>
      <w:marBottom w:val="0"/>
      <w:divBdr>
        <w:top w:val="none" w:sz="0" w:space="0" w:color="auto"/>
        <w:left w:val="none" w:sz="0" w:space="0" w:color="auto"/>
        <w:bottom w:val="none" w:sz="0" w:space="0" w:color="auto"/>
        <w:right w:val="none" w:sz="0" w:space="0" w:color="auto"/>
      </w:divBdr>
    </w:div>
    <w:div w:id="91635288">
      <w:bodyDiv w:val="1"/>
      <w:marLeft w:val="0"/>
      <w:marRight w:val="0"/>
      <w:marTop w:val="0"/>
      <w:marBottom w:val="0"/>
      <w:divBdr>
        <w:top w:val="none" w:sz="0" w:space="0" w:color="auto"/>
        <w:left w:val="none" w:sz="0" w:space="0" w:color="auto"/>
        <w:bottom w:val="none" w:sz="0" w:space="0" w:color="auto"/>
        <w:right w:val="none" w:sz="0" w:space="0" w:color="auto"/>
      </w:divBdr>
    </w:div>
    <w:div w:id="92284800">
      <w:bodyDiv w:val="1"/>
      <w:marLeft w:val="0"/>
      <w:marRight w:val="0"/>
      <w:marTop w:val="0"/>
      <w:marBottom w:val="0"/>
      <w:divBdr>
        <w:top w:val="none" w:sz="0" w:space="0" w:color="auto"/>
        <w:left w:val="none" w:sz="0" w:space="0" w:color="auto"/>
        <w:bottom w:val="none" w:sz="0" w:space="0" w:color="auto"/>
        <w:right w:val="none" w:sz="0" w:space="0" w:color="auto"/>
      </w:divBdr>
    </w:div>
    <w:div w:id="92628075">
      <w:bodyDiv w:val="1"/>
      <w:marLeft w:val="0"/>
      <w:marRight w:val="0"/>
      <w:marTop w:val="0"/>
      <w:marBottom w:val="0"/>
      <w:divBdr>
        <w:top w:val="none" w:sz="0" w:space="0" w:color="auto"/>
        <w:left w:val="none" w:sz="0" w:space="0" w:color="auto"/>
        <w:bottom w:val="none" w:sz="0" w:space="0" w:color="auto"/>
        <w:right w:val="none" w:sz="0" w:space="0" w:color="auto"/>
      </w:divBdr>
    </w:div>
    <w:div w:id="93480514">
      <w:bodyDiv w:val="1"/>
      <w:marLeft w:val="0"/>
      <w:marRight w:val="0"/>
      <w:marTop w:val="0"/>
      <w:marBottom w:val="0"/>
      <w:divBdr>
        <w:top w:val="none" w:sz="0" w:space="0" w:color="auto"/>
        <w:left w:val="none" w:sz="0" w:space="0" w:color="auto"/>
        <w:bottom w:val="none" w:sz="0" w:space="0" w:color="auto"/>
        <w:right w:val="none" w:sz="0" w:space="0" w:color="auto"/>
      </w:divBdr>
    </w:div>
    <w:div w:id="93481459">
      <w:bodyDiv w:val="1"/>
      <w:marLeft w:val="0"/>
      <w:marRight w:val="0"/>
      <w:marTop w:val="0"/>
      <w:marBottom w:val="0"/>
      <w:divBdr>
        <w:top w:val="none" w:sz="0" w:space="0" w:color="auto"/>
        <w:left w:val="none" w:sz="0" w:space="0" w:color="auto"/>
        <w:bottom w:val="none" w:sz="0" w:space="0" w:color="auto"/>
        <w:right w:val="none" w:sz="0" w:space="0" w:color="auto"/>
      </w:divBdr>
    </w:div>
    <w:div w:id="93787227">
      <w:bodyDiv w:val="1"/>
      <w:marLeft w:val="0"/>
      <w:marRight w:val="0"/>
      <w:marTop w:val="0"/>
      <w:marBottom w:val="0"/>
      <w:divBdr>
        <w:top w:val="none" w:sz="0" w:space="0" w:color="auto"/>
        <w:left w:val="none" w:sz="0" w:space="0" w:color="auto"/>
        <w:bottom w:val="none" w:sz="0" w:space="0" w:color="auto"/>
        <w:right w:val="none" w:sz="0" w:space="0" w:color="auto"/>
      </w:divBdr>
    </w:div>
    <w:div w:id="93863250">
      <w:bodyDiv w:val="1"/>
      <w:marLeft w:val="0"/>
      <w:marRight w:val="0"/>
      <w:marTop w:val="0"/>
      <w:marBottom w:val="0"/>
      <w:divBdr>
        <w:top w:val="none" w:sz="0" w:space="0" w:color="auto"/>
        <w:left w:val="none" w:sz="0" w:space="0" w:color="auto"/>
        <w:bottom w:val="none" w:sz="0" w:space="0" w:color="auto"/>
        <w:right w:val="none" w:sz="0" w:space="0" w:color="auto"/>
      </w:divBdr>
    </w:div>
    <w:div w:id="94253790">
      <w:bodyDiv w:val="1"/>
      <w:marLeft w:val="0"/>
      <w:marRight w:val="0"/>
      <w:marTop w:val="0"/>
      <w:marBottom w:val="0"/>
      <w:divBdr>
        <w:top w:val="none" w:sz="0" w:space="0" w:color="auto"/>
        <w:left w:val="none" w:sz="0" w:space="0" w:color="auto"/>
        <w:bottom w:val="none" w:sz="0" w:space="0" w:color="auto"/>
        <w:right w:val="none" w:sz="0" w:space="0" w:color="auto"/>
      </w:divBdr>
    </w:div>
    <w:div w:id="94978481">
      <w:bodyDiv w:val="1"/>
      <w:marLeft w:val="0"/>
      <w:marRight w:val="0"/>
      <w:marTop w:val="0"/>
      <w:marBottom w:val="0"/>
      <w:divBdr>
        <w:top w:val="none" w:sz="0" w:space="0" w:color="auto"/>
        <w:left w:val="none" w:sz="0" w:space="0" w:color="auto"/>
        <w:bottom w:val="none" w:sz="0" w:space="0" w:color="auto"/>
        <w:right w:val="none" w:sz="0" w:space="0" w:color="auto"/>
      </w:divBdr>
    </w:div>
    <w:div w:id="95179261">
      <w:bodyDiv w:val="1"/>
      <w:marLeft w:val="0"/>
      <w:marRight w:val="0"/>
      <w:marTop w:val="0"/>
      <w:marBottom w:val="0"/>
      <w:divBdr>
        <w:top w:val="none" w:sz="0" w:space="0" w:color="auto"/>
        <w:left w:val="none" w:sz="0" w:space="0" w:color="auto"/>
        <w:bottom w:val="none" w:sz="0" w:space="0" w:color="auto"/>
        <w:right w:val="none" w:sz="0" w:space="0" w:color="auto"/>
      </w:divBdr>
    </w:div>
    <w:div w:id="95256094">
      <w:bodyDiv w:val="1"/>
      <w:marLeft w:val="0"/>
      <w:marRight w:val="0"/>
      <w:marTop w:val="0"/>
      <w:marBottom w:val="0"/>
      <w:divBdr>
        <w:top w:val="none" w:sz="0" w:space="0" w:color="auto"/>
        <w:left w:val="none" w:sz="0" w:space="0" w:color="auto"/>
        <w:bottom w:val="none" w:sz="0" w:space="0" w:color="auto"/>
        <w:right w:val="none" w:sz="0" w:space="0" w:color="auto"/>
      </w:divBdr>
    </w:div>
    <w:div w:id="95560050">
      <w:bodyDiv w:val="1"/>
      <w:marLeft w:val="0"/>
      <w:marRight w:val="0"/>
      <w:marTop w:val="0"/>
      <w:marBottom w:val="0"/>
      <w:divBdr>
        <w:top w:val="none" w:sz="0" w:space="0" w:color="auto"/>
        <w:left w:val="none" w:sz="0" w:space="0" w:color="auto"/>
        <w:bottom w:val="none" w:sz="0" w:space="0" w:color="auto"/>
        <w:right w:val="none" w:sz="0" w:space="0" w:color="auto"/>
      </w:divBdr>
    </w:div>
    <w:div w:id="95560451">
      <w:bodyDiv w:val="1"/>
      <w:marLeft w:val="0"/>
      <w:marRight w:val="0"/>
      <w:marTop w:val="0"/>
      <w:marBottom w:val="0"/>
      <w:divBdr>
        <w:top w:val="none" w:sz="0" w:space="0" w:color="auto"/>
        <w:left w:val="none" w:sz="0" w:space="0" w:color="auto"/>
        <w:bottom w:val="none" w:sz="0" w:space="0" w:color="auto"/>
        <w:right w:val="none" w:sz="0" w:space="0" w:color="auto"/>
      </w:divBdr>
    </w:div>
    <w:div w:id="96676076">
      <w:bodyDiv w:val="1"/>
      <w:marLeft w:val="0"/>
      <w:marRight w:val="0"/>
      <w:marTop w:val="0"/>
      <w:marBottom w:val="0"/>
      <w:divBdr>
        <w:top w:val="none" w:sz="0" w:space="0" w:color="auto"/>
        <w:left w:val="none" w:sz="0" w:space="0" w:color="auto"/>
        <w:bottom w:val="none" w:sz="0" w:space="0" w:color="auto"/>
        <w:right w:val="none" w:sz="0" w:space="0" w:color="auto"/>
      </w:divBdr>
    </w:div>
    <w:div w:id="97415084">
      <w:bodyDiv w:val="1"/>
      <w:marLeft w:val="0"/>
      <w:marRight w:val="0"/>
      <w:marTop w:val="0"/>
      <w:marBottom w:val="0"/>
      <w:divBdr>
        <w:top w:val="none" w:sz="0" w:space="0" w:color="auto"/>
        <w:left w:val="none" w:sz="0" w:space="0" w:color="auto"/>
        <w:bottom w:val="none" w:sz="0" w:space="0" w:color="auto"/>
        <w:right w:val="none" w:sz="0" w:space="0" w:color="auto"/>
      </w:divBdr>
    </w:div>
    <w:div w:id="97603603">
      <w:bodyDiv w:val="1"/>
      <w:marLeft w:val="0"/>
      <w:marRight w:val="0"/>
      <w:marTop w:val="0"/>
      <w:marBottom w:val="0"/>
      <w:divBdr>
        <w:top w:val="none" w:sz="0" w:space="0" w:color="auto"/>
        <w:left w:val="none" w:sz="0" w:space="0" w:color="auto"/>
        <w:bottom w:val="none" w:sz="0" w:space="0" w:color="auto"/>
        <w:right w:val="none" w:sz="0" w:space="0" w:color="auto"/>
      </w:divBdr>
    </w:div>
    <w:div w:id="97868622">
      <w:bodyDiv w:val="1"/>
      <w:marLeft w:val="0"/>
      <w:marRight w:val="0"/>
      <w:marTop w:val="0"/>
      <w:marBottom w:val="0"/>
      <w:divBdr>
        <w:top w:val="none" w:sz="0" w:space="0" w:color="auto"/>
        <w:left w:val="none" w:sz="0" w:space="0" w:color="auto"/>
        <w:bottom w:val="none" w:sz="0" w:space="0" w:color="auto"/>
        <w:right w:val="none" w:sz="0" w:space="0" w:color="auto"/>
      </w:divBdr>
    </w:div>
    <w:div w:id="97916320">
      <w:bodyDiv w:val="1"/>
      <w:marLeft w:val="0"/>
      <w:marRight w:val="0"/>
      <w:marTop w:val="0"/>
      <w:marBottom w:val="0"/>
      <w:divBdr>
        <w:top w:val="none" w:sz="0" w:space="0" w:color="auto"/>
        <w:left w:val="none" w:sz="0" w:space="0" w:color="auto"/>
        <w:bottom w:val="none" w:sz="0" w:space="0" w:color="auto"/>
        <w:right w:val="none" w:sz="0" w:space="0" w:color="auto"/>
      </w:divBdr>
    </w:div>
    <w:div w:id="98137732">
      <w:bodyDiv w:val="1"/>
      <w:marLeft w:val="0"/>
      <w:marRight w:val="0"/>
      <w:marTop w:val="0"/>
      <w:marBottom w:val="0"/>
      <w:divBdr>
        <w:top w:val="none" w:sz="0" w:space="0" w:color="auto"/>
        <w:left w:val="none" w:sz="0" w:space="0" w:color="auto"/>
        <w:bottom w:val="none" w:sz="0" w:space="0" w:color="auto"/>
        <w:right w:val="none" w:sz="0" w:space="0" w:color="auto"/>
      </w:divBdr>
    </w:div>
    <w:div w:id="98527164">
      <w:bodyDiv w:val="1"/>
      <w:marLeft w:val="0"/>
      <w:marRight w:val="0"/>
      <w:marTop w:val="0"/>
      <w:marBottom w:val="0"/>
      <w:divBdr>
        <w:top w:val="none" w:sz="0" w:space="0" w:color="auto"/>
        <w:left w:val="none" w:sz="0" w:space="0" w:color="auto"/>
        <w:bottom w:val="none" w:sz="0" w:space="0" w:color="auto"/>
        <w:right w:val="none" w:sz="0" w:space="0" w:color="auto"/>
      </w:divBdr>
    </w:div>
    <w:div w:id="99375955">
      <w:bodyDiv w:val="1"/>
      <w:marLeft w:val="0"/>
      <w:marRight w:val="0"/>
      <w:marTop w:val="0"/>
      <w:marBottom w:val="0"/>
      <w:divBdr>
        <w:top w:val="none" w:sz="0" w:space="0" w:color="auto"/>
        <w:left w:val="none" w:sz="0" w:space="0" w:color="auto"/>
        <w:bottom w:val="none" w:sz="0" w:space="0" w:color="auto"/>
        <w:right w:val="none" w:sz="0" w:space="0" w:color="auto"/>
      </w:divBdr>
    </w:div>
    <w:div w:id="100222788">
      <w:bodyDiv w:val="1"/>
      <w:marLeft w:val="0"/>
      <w:marRight w:val="0"/>
      <w:marTop w:val="0"/>
      <w:marBottom w:val="0"/>
      <w:divBdr>
        <w:top w:val="none" w:sz="0" w:space="0" w:color="auto"/>
        <w:left w:val="none" w:sz="0" w:space="0" w:color="auto"/>
        <w:bottom w:val="none" w:sz="0" w:space="0" w:color="auto"/>
        <w:right w:val="none" w:sz="0" w:space="0" w:color="auto"/>
      </w:divBdr>
    </w:div>
    <w:div w:id="100230166">
      <w:bodyDiv w:val="1"/>
      <w:marLeft w:val="0"/>
      <w:marRight w:val="0"/>
      <w:marTop w:val="0"/>
      <w:marBottom w:val="0"/>
      <w:divBdr>
        <w:top w:val="none" w:sz="0" w:space="0" w:color="auto"/>
        <w:left w:val="none" w:sz="0" w:space="0" w:color="auto"/>
        <w:bottom w:val="none" w:sz="0" w:space="0" w:color="auto"/>
        <w:right w:val="none" w:sz="0" w:space="0" w:color="auto"/>
      </w:divBdr>
    </w:div>
    <w:div w:id="100883303">
      <w:bodyDiv w:val="1"/>
      <w:marLeft w:val="0"/>
      <w:marRight w:val="0"/>
      <w:marTop w:val="0"/>
      <w:marBottom w:val="0"/>
      <w:divBdr>
        <w:top w:val="none" w:sz="0" w:space="0" w:color="auto"/>
        <w:left w:val="none" w:sz="0" w:space="0" w:color="auto"/>
        <w:bottom w:val="none" w:sz="0" w:space="0" w:color="auto"/>
        <w:right w:val="none" w:sz="0" w:space="0" w:color="auto"/>
      </w:divBdr>
    </w:div>
    <w:div w:id="101267662">
      <w:bodyDiv w:val="1"/>
      <w:marLeft w:val="0"/>
      <w:marRight w:val="0"/>
      <w:marTop w:val="0"/>
      <w:marBottom w:val="0"/>
      <w:divBdr>
        <w:top w:val="none" w:sz="0" w:space="0" w:color="auto"/>
        <w:left w:val="none" w:sz="0" w:space="0" w:color="auto"/>
        <w:bottom w:val="none" w:sz="0" w:space="0" w:color="auto"/>
        <w:right w:val="none" w:sz="0" w:space="0" w:color="auto"/>
      </w:divBdr>
    </w:div>
    <w:div w:id="101732092">
      <w:bodyDiv w:val="1"/>
      <w:marLeft w:val="0"/>
      <w:marRight w:val="0"/>
      <w:marTop w:val="0"/>
      <w:marBottom w:val="0"/>
      <w:divBdr>
        <w:top w:val="none" w:sz="0" w:space="0" w:color="auto"/>
        <w:left w:val="none" w:sz="0" w:space="0" w:color="auto"/>
        <w:bottom w:val="none" w:sz="0" w:space="0" w:color="auto"/>
        <w:right w:val="none" w:sz="0" w:space="0" w:color="auto"/>
      </w:divBdr>
    </w:div>
    <w:div w:id="102263282">
      <w:bodyDiv w:val="1"/>
      <w:marLeft w:val="0"/>
      <w:marRight w:val="0"/>
      <w:marTop w:val="0"/>
      <w:marBottom w:val="0"/>
      <w:divBdr>
        <w:top w:val="none" w:sz="0" w:space="0" w:color="auto"/>
        <w:left w:val="none" w:sz="0" w:space="0" w:color="auto"/>
        <w:bottom w:val="none" w:sz="0" w:space="0" w:color="auto"/>
        <w:right w:val="none" w:sz="0" w:space="0" w:color="auto"/>
      </w:divBdr>
    </w:div>
    <w:div w:id="103380256">
      <w:bodyDiv w:val="1"/>
      <w:marLeft w:val="0"/>
      <w:marRight w:val="0"/>
      <w:marTop w:val="0"/>
      <w:marBottom w:val="0"/>
      <w:divBdr>
        <w:top w:val="none" w:sz="0" w:space="0" w:color="auto"/>
        <w:left w:val="none" w:sz="0" w:space="0" w:color="auto"/>
        <w:bottom w:val="none" w:sz="0" w:space="0" w:color="auto"/>
        <w:right w:val="none" w:sz="0" w:space="0" w:color="auto"/>
      </w:divBdr>
    </w:div>
    <w:div w:id="103693408">
      <w:bodyDiv w:val="1"/>
      <w:marLeft w:val="0"/>
      <w:marRight w:val="0"/>
      <w:marTop w:val="0"/>
      <w:marBottom w:val="0"/>
      <w:divBdr>
        <w:top w:val="none" w:sz="0" w:space="0" w:color="auto"/>
        <w:left w:val="none" w:sz="0" w:space="0" w:color="auto"/>
        <w:bottom w:val="none" w:sz="0" w:space="0" w:color="auto"/>
        <w:right w:val="none" w:sz="0" w:space="0" w:color="auto"/>
      </w:divBdr>
    </w:div>
    <w:div w:id="103697570">
      <w:bodyDiv w:val="1"/>
      <w:marLeft w:val="0"/>
      <w:marRight w:val="0"/>
      <w:marTop w:val="0"/>
      <w:marBottom w:val="0"/>
      <w:divBdr>
        <w:top w:val="none" w:sz="0" w:space="0" w:color="auto"/>
        <w:left w:val="none" w:sz="0" w:space="0" w:color="auto"/>
        <w:bottom w:val="none" w:sz="0" w:space="0" w:color="auto"/>
        <w:right w:val="none" w:sz="0" w:space="0" w:color="auto"/>
      </w:divBdr>
    </w:div>
    <w:div w:id="103889893">
      <w:bodyDiv w:val="1"/>
      <w:marLeft w:val="0"/>
      <w:marRight w:val="0"/>
      <w:marTop w:val="0"/>
      <w:marBottom w:val="0"/>
      <w:divBdr>
        <w:top w:val="none" w:sz="0" w:space="0" w:color="auto"/>
        <w:left w:val="none" w:sz="0" w:space="0" w:color="auto"/>
        <w:bottom w:val="none" w:sz="0" w:space="0" w:color="auto"/>
        <w:right w:val="none" w:sz="0" w:space="0" w:color="auto"/>
      </w:divBdr>
    </w:div>
    <w:div w:id="103962257">
      <w:bodyDiv w:val="1"/>
      <w:marLeft w:val="0"/>
      <w:marRight w:val="0"/>
      <w:marTop w:val="0"/>
      <w:marBottom w:val="0"/>
      <w:divBdr>
        <w:top w:val="none" w:sz="0" w:space="0" w:color="auto"/>
        <w:left w:val="none" w:sz="0" w:space="0" w:color="auto"/>
        <w:bottom w:val="none" w:sz="0" w:space="0" w:color="auto"/>
        <w:right w:val="none" w:sz="0" w:space="0" w:color="auto"/>
      </w:divBdr>
    </w:div>
    <w:div w:id="104664191">
      <w:bodyDiv w:val="1"/>
      <w:marLeft w:val="0"/>
      <w:marRight w:val="0"/>
      <w:marTop w:val="0"/>
      <w:marBottom w:val="0"/>
      <w:divBdr>
        <w:top w:val="none" w:sz="0" w:space="0" w:color="auto"/>
        <w:left w:val="none" w:sz="0" w:space="0" w:color="auto"/>
        <w:bottom w:val="none" w:sz="0" w:space="0" w:color="auto"/>
        <w:right w:val="none" w:sz="0" w:space="0" w:color="auto"/>
      </w:divBdr>
    </w:div>
    <w:div w:id="104689777">
      <w:bodyDiv w:val="1"/>
      <w:marLeft w:val="0"/>
      <w:marRight w:val="0"/>
      <w:marTop w:val="0"/>
      <w:marBottom w:val="0"/>
      <w:divBdr>
        <w:top w:val="none" w:sz="0" w:space="0" w:color="auto"/>
        <w:left w:val="none" w:sz="0" w:space="0" w:color="auto"/>
        <w:bottom w:val="none" w:sz="0" w:space="0" w:color="auto"/>
        <w:right w:val="none" w:sz="0" w:space="0" w:color="auto"/>
      </w:divBdr>
    </w:div>
    <w:div w:id="104927168">
      <w:bodyDiv w:val="1"/>
      <w:marLeft w:val="0"/>
      <w:marRight w:val="0"/>
      <w:marTop w:val="0"/>
      <w:marBottom w:val="0"/>
      <w:divBdr>
        <w:top w:val="none" w:sz="0" w:space="0" w:color="auto"/>
        <w:left w:val="none" w:sz="0" w:space="0" w:color="auto"/>
        <w:bottom w:val="none" w:sz="0" w:space="0" w:color="auto"/>
        <w:right w:val="none" w:sz="0" w:space="0" w:color="auto"/>
      </w:divBdr>
    </w:div>
    <w:div w:id="105004072">
      <w:bodyDiv w:val="1"/>
      <w:marLeft w:val="0"/>
      <w:marRight w:val="0"/>
      <w:marTop w:val="0"/>
      <w:marBottom w:val="0"/>
      <w:divBdr>
        <w:top w:val="none" w:sz="0" w:space="0" w:color="auto"/>
        <w:left w:val="none" w:sz="0" w:space="0" w:color="auto"/>
        <w:bottom w:val="none" w:sz="0" w:space="0" w:color="auto"/>
        <w:right w:val="none" w:sz="0" w:space="0" w:color="auto"/>
      </w:divBdr>
    </w:div>
    <w:div w:id="105279061">
      <w:bodyDiv w:val="1"/>
      <w:marLeft w:val="0"/>
      <w:marRight w:val="0"/>
      <w:marTop w:val="0"/>
      <w:marBottom w:val="0"/>
      <w:divBdr>
        <w:top w:val="none" w:sz="0" w:space="0" w:color="auto"/>
        <w:left w:val="none" w:sz="0" w:space="0" w:color="auto"/>
        <w:bottom w:val="none" w:sz="0" w:space="0" w:color="auto"/>
        <w:right w:val="none" w:sz="0" w:space="0" w:color="auto"/>
      </w:divBdr>
    </w:div>
    <w:div w:id="106120528">
      <w:bodyDiv w:val="1"/>
      <w:marLeft w:val="0"/>
      <w:marRight w:val="0"/>
      <w:marTop w:val="0"/>
      <w:marBottom w:val="0"/>
      <w:divBdr>
        <w:top w:val="none" w:sz="0" w:space="0" w:color="auto"/>
        <w:left w:val="none" w:sz="0" w:space="0" w:color="auto"/>
        <w:bottom w:val="none" w:sz="0" w:space="0" w:color="auto"/>
        <w:right w:val="none" w:sz="0" w:space="0" w:color="auto"/>
      </w:divBdr>
    </w:div>
    <w:div w:id="106316191">
      <w:bodyDiv w:val="1"/>
      <w:marLeft w:val="0"/>
      <w:marRight w:val="0"/>
      <w:marTop w:val="0"/>
      <w:marBottom w:val="0"/>
      <w:divBdr>
        <w:top w:val="none" w:sz="0" w:space="0" w:color="auto"/>
        <w:left w:val="none" w:sz="0" w:space="0" w:color="auto"/>
        <w:bottom w:val="none" w:sz="0" w:space="0" w:color="auto"/>
        <w:right w:val="none" w:sz="0" w:space="0" w:color="auto"/>
      </w:divBdr>
    </w:div>
    <w:div w:id="106775531">
      <w:bodyDiv w:val="1"/>
      <w:marLeft w:val="0"/>
      <w:marRight w:val="0"/>
      <w:marTop w:val="0"/>
      <w:marBottom w:val="0"/>
      <w:divBdr>
        <w:top w:val="none" w:sz="0" w:space="0" w:color="auto"/>
        <w:left w:val="none" w:sz="0" w:space="0" w:color="auto"/>
        <w:bottom w:val="none" w:sz="0" w:space="0" w:color="auto"/>
        <w:right w:val="none" w:sz="0" w:space="0" w:color="auto"/>
      </w:divBdr>
    </w:div>
    <w:div w:id="107240930">
      <w:bodyDiv w:val="1"/>
      <w:marLeft w:val="0"/>
      <w:marRight w:val="0"/>
      <w:marTop w:val="0"/>
      <w:marBottom w:val="0"/>
      <w:divBdr>
        <w:top w:val="none" w:sz="0" w:space="0" w:color="auto"/>
        <w:left w:val="none" w:sz="0" w:space="0" w:color="auto"/>
        <w:bottom w:val="none" w:sz="0" w:space="0" w:color="auto"/>
        <w:right w:val="none" w:sz="0" w:space="0" w:color="auto"/>
      </w:divBdr>
    </w:div>
    <w:div w:id="107244846">
      <w:bodyDiv w:val="1"/>
      <w:marLeft w:val="0"/>
      <w:marRight w:val="0"/>
      <w:marTop w:val="0"/>
      <w:marBottom w:val="0"/>
      <w:divBdr>
        <w:top w:val="none" w:sz="0" w:space="0" w:color="auto"/>
        <w:left w:val="none" w:sz="0" w:space="0" w:color="auto"/>
        <w:bottom w:val="none" w:sz="0" w:space="0" w:color="auto"/>
        <w:right w:val="none" w:sz="0" w:space="0" w:color="auto"/>
      </w:divBdr>
    </w:div>
    <w:div w:id="107361866">
      <w:bodyDiv w:val="1"/>
      <w:marLeft w:val="0"/>
      <w:marRight w:val="0"/>
      <w:marTop w:val="0"/>
      <w:marBottom w:val="0"/>
      <w:divBdr>
        <w:top w:val="none" w:sz="0" w:space="0" w:color="auto"/>
        <w:left w:val="none" w:sz="0" w:space="0" w:color="auto"/>
        <w:bottom w:val="none" w:sz="0" w:space="0" w:color="auto"/>
        <w:right w:val="none" w:sz="0" w:space="0" w:color="auto"/>
      </w:divBdr>
    </w:div>
    <w:div w:id="107436164">
      <w:bodyDiv w:val="1"/>
      <w:marLeft w:val="0"/>
      <w:marRight w:val="0"/>
      <w:marTop w:val="0"/>
      <w:marBottom w:val="0"/>
      <w:divBdr>
        <w:top w:val="none" w:sz="0" w:space="0" w:color="auto"/>
        <w:left w:val="none" w:sz="0" w:space="0" w:color="auto"/>
        <w:bottom w:val="none" w:sz="0" w:space="0" w:color="auto"/>
        <w:right w:val="none" w:sz="0" w:space="0" w:color="auto"/>
      </w:divBdr>
    </w:div>
    <w:div w:id="107703445">
      <w:bodyDiv w:val="1"/>
      <w:marLeft w:val="0"/>
      <w:marRight w:val="0"/>
      <w:marTop w:val="0"/>
      <w:marBottom w:val="0"/>
      <w:divBdr>
        <w:top w:val="none" w:sz="0" w:space="0" w:color="auto"/>
        <w:left w:val="none" w:sz="0" w:space="0" w:color="auto"/>
        <w:bottom w:val="none" w:sz="0" w:space="0" w:color="auto"/>
        <w:right w:val="none" w:sz="0" w:space="0" w:color="auto"/>
      </w:divBdr>
    </w:div>
    <w:div w:id="109083383">
      <w:bodyDiv w:val="1"/>
      <w:marLeft w:val="0"/>
      <w:marRight w:val="0"/>
      <w:marTop w:val="0"/>
      <w:marBottom w:val="0"/>
      <w:divBdr>
        <w:top w:val="none" w:sz="0" w:space="0" w:color="auto"/>
        <w:left w:val="none" w:sz="0" w:space="0" w:color="auto"/>
        <w:bottom w:val="none" w:sz="0" w:space="0" w:color="auto"/>
        <w:right w:val="none" w:sz="0" w:space="0" w:color="auto"/>
      </w:divBdr>
    </w:div>
    <w:div w:id="109520827">
      <w:bodyDiv w:val="1"/>
      <w:marLeft w:val="0"/>
      <w:marRight w:val="0"/>
      <w:marTop w:val="0"/>
      <w:marBottom w:val="0"/>
      <w:divBdr>
        <w:top w:val="none" w:sz="0" w:space="0" w:color="auto"/>
        <w:left w:val="none" w:sz="0" w:space="0" w:color="auto"/>
        <w:bottom w:val="none" w:sz="0" w:space="0" w:color="auto"/>
        <w:right w:val="none" w:sz="0" w:space="0" w:color="auto"/>
      </w:divBdr>
    </w:div>
    <w:div w:id="110245195">
      <w:bodyDiv w:val="1"/>
      <w:marLeft w:val="0"/>
      <w:marRight w:val="0"/>
      <w:marTop w:val="0"/>
      <w:marBottom w:val="0"/>
      <w:divBdr>
        <w:top w:val="none" w:sz="0" w:space="0" w:color="auto"/>
        <w:left w:val="none" w:sz="0" w:space="0" w:color="auto"/>
        <w:bottom w:val="none" w:sz="0" w:space="0" w:color="auto"/>
        <w:right w:val="none" w:sz="0" w:space="0" w:color="auto"/>
      </w:divBdr>
    </w:div>
    <w:div w:id="110319704">
      <w:bodyDiv w:val="1"/>
      <w:marLeft w:val="0"/>
      <w:marRight w:val="0"/>
      <w:marTop w:val="0"/>
      <w:marBottom w:val="0"/>
      <w:divBdr>
        <w:top w:val="none" w:sz="0" w:space="0" w:color="auto"/>
        <w:left w:val="none" w:sz="0" w:space="0" w:color="auto"/>
        <w:bottom w:val="none" w:sz="0" w:space="0" w:color="auto"/>
        <w:right w:val="none" w:sz="0" w:space="0" w:color="auto"/>
      </w:divBdr>
    </w:div>
    <w:div w:id="110785299">
      <w:bodyDiv w:val="1"/>
      <w:marLeft w:val="0"/>
      <w:marRight w:val="0"/>
      <w:marTop w:val="0"/>
      <w:marBottom w:val="0"/>
      <w:divBdr>
        <w:top w:val="none" w:sz="0" w:space="0" w:color="auto"/>
        <w:left w:val="none" w:sz="0" w:space="0" w:color="auto"/>
        <w:bottom w:val="none" w:sz="0" w:space="0" w:color="auto"/>
        <w:right w:val="none" w:sz="0" w:space="0" w:color="auto"/>
      </w:divBdr>
    </w:div>
    <w:div w:id="111369588">
      <w:bodyDiv w:val="1"/>
      <w:marLeft w:val="0"/>
      <w:marRight w:val="0"/>
      <w:marTop w:val="0"/>
      <w:marBottom w:val="0"/>
      <w:divBdr>
        <w:top w:val="none" w:sz="0" w:space="0" w:color="auto"/>
        <w:left w:val="none" w:sz="0" w:space="0" w:color="auto"/>
        <w:bottom w:val="none" w:sz="0" w:space="0" w:color="auto"/>
        <w:right w:val="none" w:sz="0" w:space="0" w:color="auto"/>
      </w:divBdr>
    </w:div>
    <w:div w:id="111442385">
      <w:bodyDiv w:val="1"/>
      <w:marLeft w:val="0"/>
      <w:marRight w:val="0"/>
      <w:marTop w:val="0"/>
      <w:marBottom w:val="0"/>
      <w:divBdr>
        <w:top w:val="none" w:sz="0" w:space="0" w:color="auto"/>
        <w:left w:val="none" w:sz="0" w:space="0" w:color="auto"/>
        <w:bottom w:val="none" w:sz="0" w:space="0" w:color="auto"/>
        <w:right w:val="none" w:sz="0" w:space="0" w:color="auto"/>
      </w:divBdr>
    </w:div>
    <w:div w:id="111629531">
      <w:bodyDiv w:val="1"/>
      <w:marLeft w:val="0"/>
      <w:marRight w:val="0"/>
      <w:marTop w:val="0"/>
      <w:marBottom w:val="0"/>
      <w:divBdr>
        <w:top w:val="none" w:sz="0" w:space="0" w:color="auto"/>
        <w:left w:val="none" w:sz="0" w:space="0" w:color="auto"/>
        <w:bottom w:val="none" w:sz="0" w:space="0" w:color="auto"/>
        <w:right w:val="none" w:sz="0" w:space="0" w:color="auto"/>
      </w:divBdr>
    </w:div>
    <w:div w:id="111629961">
      <w:bodyDiv w:val="1"/>
      <w:marLeft w:val="0"/>
      <w:marRight w:val="0"/>
      <w:marTop w:val="0"/>
      <w:marBottom w:val="0"/>
      <w:divBdr>
        <w:top w:val="none" w:sz="0" w:space="0" w:color="auto"/>
        <w:left w:val="none" w:sz="0" w:space="0" w:color="auto"/>
        <w:bottom w:val="none" w:sz="0" w:space="0" w:color="auto"/>
        <w:right w:val="none" w:sz="0" w:space="0" w:color="auto"/>
      </w:divBdr>
    </w:div>
    <w:div w:id="111944107">
      <w:bodyDiv w:val="1"/>
      <w:marLeft w:val="0"/>
      <w:marRight w:val="0"/>
      <w:marTop w:val="0"/>
      <w:marBottom w:val="0"/>
      <w:divBdr>
        <w:top w:val="none" w:sz="0" w:space="0" w:color="auto"/>
        <w:left w:val="none" w:sz="0" w:space="0" w:color="auto"/>
        <w:bottom w:val="none" w:sz="0" w:space="0" w:color="auto"/>
        <w:right w:val="none" w:sz="0" w:space="0" w:color="auto"/>
      </w:divBdr>
    </w:div>
    <w:div w:id="112330835">
      <w:bodyDiv w:val="1"/>
      <w:marLeft w:val="0"/>
      <w:marRight w:val="0"/>
      <w:marTop w:val="0"/>
      <w:marBottom w:val="0"/>
      <w:divBdr>
        <w:top w:val="none" w:sz="0" w:space="0" w:color="auto"/>
        <w:left w:val="none" w:sz="0" w:space="0" w:color="auto"/>
        <w:bottom w:val="none" w:sz="0" w:space="0" w:color="auto"/>
        <w:right w:val="none" w:sz="0" w:space="0" w:color="auto"/>
      </w:divBdr>
    </w:div>
    <w:div w:id="112484978">
      <w:bodyDiv w:val="1"/>
      <w:marLeft w:val="0"/>
      <w:marRight w:val="0"/>
      <w:marTop w:val="0"/>
      <w:marBottom w:val="0"/>
      <w:divBdr>
        <w:top w:val="none" w:sz="0" w:space="0" w:color="auto"/>
        <w:left w:val="none" w:sz="0" w:space="0" w:color="auto"/>
        <w:bottom w:val="none" w:sz="0" w:space="0" w:color="auto"/>
        <w:right w:val="none" w:sz="0" w:space="0" w:color="auto"/>
      </w:divBdr>
    </w:div>
    <w:div w:id="113981704">
      <w:bodyDiv w:val="1"/>
      <w:marLeft w:val="0"/>
      <w:marRight w:val="0"/>
      <w:marTop w:val="0"/>
      <w:marBottom w:val="0"/>
      <w:divBdr>
        <w:top w:val="none" w:sz="0" w:space="0" w:color="auto"/>
        <w:left w:val="none" w:sz="0" w:space="0" w:color="auto"/>
        <w:bottom w:val="none" w:sz="0" w:space="0" w:color="auto"/>
        <w:right w:val="none" w:sz="0" w:space="0" w:color="auto"/>
      </w:divBdr>
    </w:div>
    <w:div w:id="114176143">
      <w:bodyDiv w:val="1"/>
      <w:marLeft w:val="0"/>
      <w:marRight w:val="0"/>
      <w:marTop w:val="0"/>
      <w:marBottom w:val="0"/>
      <w:divBdr>
        <w:top w:val="none" w:sz="0" w:space="0" w:color="auto"/>
        <w:left w:val="none" w:sz="0" w:space="0" w:color="auto"/>
        <w:bottom w:val="none" w:sz="0" w:space="0" w:color="auto"/>
        <w:right w:val="none" w:sz="0" w:space="0" w:color="auto"/>
      </w:divBdr>
    </w:div>
    <w:div w:id="114446756">
      <w:bodyDiv w:val="1"/>
      <w:marLeft w:val="0"/>
      <w:marRight w:val="0"/>
      <w:marTop w:val="0"/>
      <w:marBottom w:val="0"/>
      <w:divBdr>
        <w:top w:val="none" w:sz="0" w:space="0" w:color="auto"/>
        <w:left w:val="none" w:sz="0" w:space="0" w:color="auto"/>
        <w:bottom w:val="none" w:sz="0" w:space="0" w:color="auto"/>
        <w:right w:val="none" w:sz="0" w:space="0" w:color="auto"/>
      </w:divBdr>
    </w:div>
    <w:div w:id="115032152">
      <w:bodyDiv w:val="1"/>
      <w:marLeft w:val="0"/>
      <w:marRight w:val="0"/>
      <w:marTop w:val="0"/>
      <w:marBottom w:val="0"/>
      <w:divBdr>
        <w:top w:val="none" w:sz="0" w:space="0" w:color="auto"/>
        <w:left w:val="none" w:sz="0" w:space="0" w:color="auto"/>
        <w:bottom w:val="none" w:sz="0" w:space="0" w:color="auto"/>
        <w:right w:val="none" w:sz="0" w:space="0" w:color="auto"/>
      </w:divBdr>
    </w:div>
    <w:div w:id="116799268">
      <w:bodyDiv w:val="1"/>
      <w:marLeft w:val="0"/>
      <w:marRight w:val="0"/>
      <w:marTop w:val="0"/>
      <w:marBottom w:val="0"/>
      <w:divBdr>
        <w:top w:val="none" w:sz="0" w:space="0" w:color="auto"/>
        <w:left w:val="none" w:sz="0" w:space="0" w:color="auto"/>
        <w:bottom w:val="none" w:sz="0" w:space="0" w:color="auto"/>
        <w:right w:val="none" w:sz="0" w:space="0" w:color="auto"/>
      </w:divBdr>
    </w:div>
    <w:div w:id="116804050">
      <w:bodyDiv w:val="1"/>
      <w:marLeft w:val="0"/>
      <w:marRight w:val="0"/>
      <w:marTop w:val="0"/>
      <w:marBottom w:val="0"/>
      <w:divBdr>
        <w:top w:val="none" w:sz="0" w:space="0" w:color="auto"/>
        <w:left w:val="none" w:sz="0" w:space="0" w:color="auto"/>
        <w:bottom w:val="none" w:sz="0" w:space="0" w:color="auto"/>
        <w:right w:val="none" w:sz="0" w:space="0" w:color="auto"/>
      </w:divBdr>
    </w:div>
    <w:div w:id="117572314">
      <w:bodyDiv w:val="1"/>
      <w:marLeft w:val="0"/>
      <w:marRight w:val="0"/>
      <w:marTop w:val="0"/>
      <w:marBottom w:val="0"/>
      <w:divBdr>
        <w:top w:val="none" w:sz="0" w:space="0" w:color="auto"/>
        <w:left w:val="none" w:sz="0" w:space="0" w:color="auto"/>
        <w:bottom w:val="none" w:sz="0" w:space="0" w:color="auto"/>
        <w:right w:val="none" w:sz="0" w:space="0" w:color="auto"/>
      </w:divBdr>
    </w:div>
    <w:div w:id="118030952">
      <w:bodyDiv w:val="1"/>
      <w:marLeft w:val="0"/>
      <w:marRight w:val="0"/>
      <w:marTop w:val="0"/>
      <w:marBottom w:val="0"/>
      <w:divBdr>
        <w:top w:val="none" w:sz="0" w:space="0" w:color="auto"/>
        <w:left w:val="none" w:sz="0" w:space="0" w:color="auto"/>
        <w:bottom w:val="none" w:sz="0" w:space="0" w:color="auto"/>
        <w:right w:val="none" w:sz="0" w:space="0" w:color="auto"/>
      </w:divBdr>
    </w:div>
    <w:div w:id="118306346">
      <w:bodyDiv w:val="1"/>
      <w:marLeft w:val="0"/>
      <w:marRight w:val="0"/>
      <w:marTop w:val="0"/>
      <w:marBottom w:val="0"/>
      <w:divBdr>
        <w:top w:val="none" w:sz="0" w:space="0" w:color="auto"/>
        <w:left w:val="none" w:sz="0" w:space="0" w:color="auto"/>
        <w:bottom w:val="none" w:sz="0" w:space="0" w:color="auto"/>
        <w:right w:val="none" w:sz="0" w:space="0" w:color="auto"/>
      </w:divBdr>
    </w:div>
    <w:div w:id="119883309">
      <w:bodyDiv w:val="1"/>
      <w:marLeft w:val="0"/>
      <w:marRight w:val="0"/>
      <w:marTop w:val="0"/>
      <w:marBottom w:val="0"/>
      <w:divBdr>
        <w:top w:val="none" w:sz="0" w:space="0" w:color="auto"/>
        <w:left w:val="none" w:sz="0" w:space="0" w:color="auto"/>
        <w:bottom w:val="none" w:sz="0" w:space="0" w:color="auto"/>
        <w:right w:val="none" w:sz="0" w:space="0" w:color="auto"/>
      </w:divBdr>
    </w:div>
    <w:div w:id="120466054">
      <w:bodyDiv w:val="1"/>
      <w:marLeft w:val="0"/>
      <w:marRight w:val="0"/>
      <w:marTop w:val="0"/>
      <w:marBottom w:val="0"/>
      <w:divBdr>
        <w:top w:val="none" w:sz="0" w:space="0" w:color="auto"/>
        <w:left w:val="none" w:sz="0" w:space="0" w:color="auto"/>
        <w:bottom w:val="none" w:sz="0" w:space="0" w:color="auto"/>
        <w:right w:val="none" w:sz="0" w:space="0" w:color="auto"/>
      </w:divBdr>
    </w:div>
    <w:div w:id="120651840">
      <w:bodyDiv w:val="1"/>
      <w:marLeft w:val="0"/>
      <w:marRight w:val="0"/>
      <w:marTop w:val="0"/>
      <w:marBottom w:val="0"/>
      <w:divBdr>
        <w:top w:val="none" w:sz="0" w:space="0" w:color="auto"/>
        <w:left w:val="none" w:sz="0" w:space="0" w:color="auto"/>
        <w:bottom w:val="none" w:sz="0" w:space="0" w:color="auto"/>
        <w:right w:val="none" w:sz="0" w:space="0" w:color="auto"/>
      </w:divBdr>
    </w:div>
    <w:div w:id="121189376">
      <w:bodyDiv w:val="1"/>
      <w:marLeft w:val="0"/>
      <w:marRight w:val="0"/>
      <w:marTop w:val="0"/>
      <w:marBottom w:val="0"/>
      <w:divBdr>
        <w:top w:val="none" w:sz="0" w:space="0" w:color="auto"/>
        <w:left w:val="none" w:sz="0" w:space="0" w:color="auto"/>
        <w:bottom w:val="none" w:sz="0" w:space="0" w:color="auto"/>
        <w:right w:val="none" w:sz="0" w:space="0" w:color="auto"/>
      </w:divBdr>
    </w:div>
    <w:div w:id="121193215">
      <w:bodyDiv w:val="1"/>
      <w:marLeft w:val="0"/>
      <w:marRight w:val="0"/>
      <w:marTop w:val="0"/>
      <w:marBottom w:val="0"/>
      <w:divBdr>
        <w:top w:val="none" w:sz="0" w:space="0" w:color="auto"/>
        <w:left w:val="none" w:sz="0" w:space="0" w:color="auto"/>
        <w:bottom w:val="none" w:sz="0" w:space="0" w:color="auto"/>
        <w:right w:val="none" w:sz="0" w:space="0" w:color="auto"/>
      </w:divBdr>
    </w:div>
    <w:div w:id="121846925">
      <w:bodyDiv w:val="1"/>
      <w:marLeft w:val="0"/>
      <w:marRight w:val="0"/>
      <w:marTop w:val="0"/>
      <w:marBottom w:val="0"/>
      <w:divBdr>
        <w:top w:val="none" w:sz="0" w:space="0" w:color="auto"/>
        <w:left w:val="none" w:sz="0" w:space="0" w:color="auto"/>
        <w:bottom w:val="none" w:sz="0" w:space="0" w:color="auto"/>
        <w:right w:val="none" w:sz="0" w:space="0" w:color="auto"/>
      </w:divBdr>
    </w:div>
    <w:div w:id="121848625">
      <w:bodyDiv w:val="1"/>
      <w:marLeft w:val="0"/>
      <w:marRight w:val="0"/>
      <w:marTop w:val="0"/>
      <w:marBottom w:val="0"/>
      <w:divBdr>
        <w:top w:val="none" w:sz="0" w:space="0" w:color="auto"/>
        <w:left w:val="none" w:sz="0" w:space="0" w:color="auto"/>
        <w:bottom w:val="none" w:sz="0" w:space="0" w:color="auto"/>
        <w:right w:val="none" w:sz="0" w:space="0" w:color="auto"/>
      </w:divBdr>
    </w:div>
    <w:div w:id="121964608">
      <w:bodyDiv w:val="1"/>
      <w:marLeft w:val="0"/>
      <w:marRight w:val="0"/>
      <w:marTop w:val="0"/>
      <w:marBottom w:val="0"/>
      <w:divBdr>
        <w:top w:val="none" w:sz="0" w:space="0" w:color="auto"/>
        <w:left w:val="none" w:sz="0" w:space="0" w:color="auto"/>
        <w:bottom w:val="none" w:sz="0" w:space="0" w:color="auto"/>
        <w:right w:val="none" w:sz="0" w:space="0" w:color="auto"/>
      </w:divBdr>
    </w:div>
    <w:div w:id="122191631">
      <w:bodyDiv w:val="1"/>
      <w:marLeft w:val="0"/>
      <w:marRight w:val="0"/>
      <w:marTop w:val="0"/>
      <w:marBottom w:val="0"/>
      <w:divBdr>
        <w:top w:val="none" w:sz="0" w:space="0" w:color="auto"/>
        <w:left w:val="none" w:sz="0" w:space="0" w:color="auto"/>
        <w:bottom w:val="none" w:sz="0" w:space="0" w:color="auto"/>
        <w:right w:val="none" w:sz="0" w:space="0" w:color="auto"/>
      </w:divBdr>
    </w:div>
    <w:div w:id="122382276">
      <w:bodyDiv w:val="1"/>
      <w:marLeft w:val="0"/>
      <w:marRight w:val="0"/>
      <w:marTop w:val="0"/>
      <w:marBottom w:val="0"/>
      <w:divBdr>
        <w:top w:val="none" w:sz="0" w:space="0" w:color="auto"/>
        <w:left w:val="none" w:sz="0" w:space="0" w:color="auto"/>
        <w:bottom w:val="none" w:sz="0" w:space="0" w:color="auto"/>
        <w:right w:val="none" w:sz="0" w:space="0" w:color="auto"/>
      </w:divBdr>
    </w:div>
    <w:div w:id="123622546">
      <w:bodyDiv w:val="1"/>
      <w:marLeft w:val="0"/>
      <w:marRight w:val="0"/>
      <w:marTop w:val="0"/>
      <w:marBottom w:val="0"/>
      <w:divBdr>
        <w:top w:val="none" w:sz="0" w:space="0" w:color="auto"/>
        <w:left w:val="none" w:sz="0" w:space="0" w:color="auto"/>
        <w:bottom w:val="none" w:sz="0" w:space="0" w:color="auto"/>
        <w:right w:val="none" w:sz="0" w:space="0" w:color="auto"/>
      </w:divBdr>
    </w:div>
    <w:div w:id="123811720">
      <w:bodyDiv w:val="1"/>
      <w:marLeft w:val="0"/>
      <w:marRight w:val="0"/>
      <w:marTop w:val="0"/>
      <w:marBottom w:val="0"/>
      <w:divBdr>
        <w:top w:val="none" w:sz="0" w:space="0" w:color="auto"/>
        <w:left w:val="none" w:sz="0" w:space="0" w:color="auto"/>
        <w:bottom w:val="none" w:sz="0" w:space="0" w:color="auto"/>
        <w:right w:val="none" w:sz="0" w:space="0" w:color="auto"/>
      </w:divBdr>
    </w:div>
    <w:div w:id="124592819">
      <w:bodyDiv w:val="1"/>
      <w:marLeft w:val="0"/>
      <w:marRight w:val="0"/>
      <w:marTop w:val="0"/>
      <w:marBottom w:val="0"/>
      <w:divBdr>
        <w:top w:val="none" w:sz="0" w:space="0" w:color="auto"/>
        <w:left w:val="none" w:sz="0" w:space="0" w:color="auto"/>
        <w:bottom w:val="none" w:sz="0" w:space="0" w:color="auto"/>
        <w:right w:val="none" w:sz="0" w:space="0" w:color="auto"/>
      </w:divBdr>
    </w:div>
    <w:div w:id="125395651">
      <w:bodyDiv w:val="1"/>
      <w:marLeft w:val="0"/>
      <w:marRight w:val="0"/>
      <w:marTop w:val="0"/>
      <w:marBottom w:val="0"/>
      <w:divBdr>
        <w:top w:val="none" w:sz="0" w:space="0" w:color="auto"/>
        <w:left w:val="none" w:sz="0" w:space="0" w:color="auto"/>
        <w:bottom w:val="none" w:sz="0" w:space="0" w:color="auto"/>
        <w:right w:val="none" w:sz="0" w:space="0" w:color="auto"/>
      </w:divBdr>
    </w:div>
    <w:div w:id="126095306">
      <w:bodyDiv w:val="1"/>
      <w:marLeft w:val="0"/>
      <w:marRight w:val="0"/>
      <w:marTop w:val="0"/>
      <w:marBottom w:val="0"/>
      <w:divBdr>
        <w:top w:val="none" w:sz="0" w:space="0" w:color="auto"/>
        <w:left w:val="none" w:sz="0" w:space="0" w:color="auto"/>
        <w:bottom w:val="none" w:sz="0" w:space="0" w:color="auto"/>
        <w:right w:val="none" w:sz="0" w:space="0" w:color="auto"/>
      </w:divBdr>
    </w:div>
    <w:div w:id="126122966">
      <w:bodyDiv w:val="1"/>
      <w:marLeft w:val="0"/>
      <w:marRight w:val="0"/>
      <w:marTop w:val="0"/>
      <w:marBottom w:val="0"/>
      <w:divBdr>
        <w:top w:val="none" w:sz="0" w:space="0" w:color="auto"/>
        <w:left w:val="none" w:sz="0" w:space="0" w:color="auto"/>
        <w:bottom w:val="none" w:sz="0" w:space="0" w:color="auto"/>
        <w:right w:val="none" w:sz="0" w:space="0" w:color="auto"/>
      </w:divBdr>
    </w:div>
    <w:div w:id="126553231">
      <w:bodyDiv w:val="1"/>
      <w:marLeft w:val="0"/>
      <w:marRight w:val="0"/>
      <w:marTop w:val="0"/>
      <w:marBottom w:val="0"/>
      <w:divBdr>
        <w:top w:val="none" w:sz="0" w:space="0" w:color="auto"/>
        <w:left w:val="none" w:sz="0" w:space="0" w:color="auto"/>
        <w:bottom w:val="none" w:sz="0" w:space="0" w:color="auto"/>
        <w:right w:val="none" w:sz="0" w:space="0" w:color="auto"/>
      </w:divBdr>
    </w:div>
    <w:div w:id="126750398">
      <w:bodyDiv w:val="1"/>
      <w:marLeft w:val="0"/>
      <w:marRight w:val="0"/>
      <w:marTop w:val="0"/>
      <w:marBottom w:val="0"/>
      <w:divBdr>
        <w:top w:val="none" w:sz="0" w:space="0" w:color="auto"/>
        <w:left w:val="none" w:sz="0" w:space="0" w:color="auto"/>
        <w:bottom w:val="none" w:sz="0" w:space="0" w:color="auto"/>
        <w:right w:val="none" w:sz="0" w:space="0" w:color="auto"/>
      </w:divBdr>
    </w:div>
    <w:div w:id="127288111">
      <w:bodyDiv w:val="1"/>
      <w:marLeft w:val="0"/>
      <w:marRight w:val="0"/>
      <w:marTop w:val="0"/>
      <w:marBottom w:val="0"/>
      <w:divBdr>
        <w:top w:val="none" w:sz="0" w:space="0" w:color="auto"/>
        <w:left w:val="none" w:sz="0" w:space="0" w:color="auto"/>
        <w:bottom w:val="none" w:sz="0" w:space="0" w:color="auto"/>
        <w:right w:val="none" w:sz="0" w:space="0" w:color="auto"/>
      </w:divBdr>
    </w:div>
    <w:div w:id="127554496">
      <w:bodyDiv w:val="1"/>
      <w:marLeft w:val="0"/>
      <w:marRight w:val="0"/>
      <w:marTop w:val="0"/>
      <w:marBottom w:val="0"/>
      <w:divBdr>
        <w:top w:val="none" w:sz="0" w:space="0" w:color="auto"/>
        <w:left w:val="none" w:sz="0" w:space="0" w:color="auto"/>
        <w:bottom w:val="none" w:sz="0" w:space="0" w:color="auto"/>
        <w:right w:val="none" w:sz="0" w:space="0" w:color="auto"/>
      </w:divBdr>
    </w:div>
    <w:div w:id="127742648">
      <w:bodyDiv w:val="1"/>
      <w:marLeft w:val="0"/>
      <w:marRight w:val="0"/>
      <w:marTop w:val="0"/>
      <w:marBottom w:val="0"/>
      <w:divBdr>
        <w:top w:val="none" w:sz="0" w:space="0" w:color="auto"/>
        <w:left w:val="none" w:sz="0" w:space="0" w:color="auto"/>
        <w:bottom w:val="none" w:sz="0" w:space="0" w:color="auto"/>
        <w:right w:val="none" w:sz="0" w:space="0" w:color="auto"/>
      </w:divBdr>
    </w:div>
    <w:div w:id="128400381">
      <w:bodyDiv w:val="1"/>
      <w:marLeft w:val="0"/>
      <w:marRight w:val="0"/>
      <w:marTop w:val="0"/>
      <w:marBottom w:val="0"/>
      <w:divBdr>
        <w:top w:val="none" w:sz="0" w:space="0" w:color="auto"/>
        <w:left w:val="none" w:sz="0" w:space="0" w:color="auto"/>
        <w:bottom w:val="none" w:sz="0" w:space="0" w:color="auto"/>
        <w:right w:val="none" w:sz="0" w:space="0" w:color="auto"/>
      </w:divBdr>
    </w:div>
    <w:div w:id="128592101">
      <w:bodyDiv w:val="1"/>
      <w:marLeft w:val="0"/>
      <w:marRight w:val="0"/>
      <w:marTop w:val="0"/>
      <w:marBottom w:val="0"/>
      <w:divBdr>
        <w:top w:val="none" w:sz="0" w:space="0" w:color="auto"/>
        <w:left w:val="none" w:sz="0" w:space="0" w:color="auto"/>
        <w:bottom w:val="none" w:sz="0" w:space="0" w:color="auto"/>
        <w:right w:val="none" w:sz="0" w:space="0" w:color="auto"/>
      </w:divBdr>
    </w:div>
    <w:div w:id="129322160">
      <w:bodyDiv w:val="1"/>
      <w:marLeft w:val="0"/>
      <w:marRight w:val="0"/>
      <w:marTop w:val="0"/>
      <w:marBottom w:val="0"/>
      <w:divBdr>
        <w:top w:val="none" w:sz="0" w:space="0" w:color="auto"/>
        <w:left w:val="none" w:sz="0" w:space="0" w:color="auto"/>
        <w:bottom w:val="none" w:sz="0" w:space="0" w:color="auto"/>
        <w:right w:val="none" w:sz="0" w:space="0" w:color="auto"/>
      </w:divBdr>
    </w:div>
    <w:div w:id="129902099">
      <w:bodyDiv w:val="1"/>
      <w:marLeft w:val="0"/>
      <w:marRight w:val="0"/>
      <w:marTop w:val="0"/>
      <w:marBottom w:val="0"/>
      <w:divBdr>
        <w:top w:val="none" w:sz="0" w:space="0" w:color="auto"/>
        <w:left w:val="none" w:sz="0" w:space="0" w:color="auto"/>
        <w:bottom w:val="none" w:sz="0" w:space="0" w:color="auto"/>
        <w:right w:val="none" w:sz="0" w:space="0" w:color="auto"/>
      </w:divBdr>
    </w:div>
    <w:div w:id="129983460">
      <w:bodyDiv w:val="1"/>
      <w:marLeft w:val="0"/>
      <w:marRight w:val="0"/>
      <w:marTop w:val="0"/>
      <w:marBottom w:val="0"/>
      <w:divBdr>
        <w:top w:val="none" w:sz="0" w:space="0" w:color="auto"/>
        <w:left w:val="none" w:sz="0" w:space="0" w:color="auto"/>
        <w:bottom w:val="none" w:sz="0" w:space="0" w:color="auto"/>
        <w:right w:val="none" w:sz="0" w:space="0" w:color="auto"/>
      </w:divBdr>
    </w:div>
    <w:div w:id="130053731">
      <w:bodyDiv w:val="1"/>
      <w:marLeft w:val="0"/>
      <w:marRight w:val="0"/>
      <w:marTop w:val="0"/>
      <w:marBottom w:val="0"/>
      <w:divBdr>
        <w:top w:val="none" w:sz="0" w:space="0" w:color="auto"/>
        <w:left w:val="none" w:sz="0" w:space="0" w:color="auto"/>
        <w:bottom w:val="none" w:sz="0" w:space="0" w:color="auto"/>
        <w:right w:val="none" w:sz="0" w:space="0" w:color="auto"/>
      </w:divBdr>
    </w:div>
    <w:div w:id="130876244">
      <w:bodyDiv w:val="1"/>
      <w:marLeft w:val="0"/>
      <w:marRight w:val="0"/>
      <w:marTop w:val="0"/>
      <w:marBottom w:val="0"/>
      <w:divBdr>
        <w:top w:val="none" w:sz="0" w:space="0" w:color="auto"/>
        <w:left w:val="none" w:sz="0" w:space="0" w:color="auto"/>
        <w:bottom w:val="none" w:sz="0" w:space="0" w:color="auto"/>
        <w:right w:val="none" w:sz="0" w:space="0" w:color="auto"/>
      </w:divBdr>
    </w:div>
    <w:div w:id="131097222">
      <w:bodyDiv w:val="1"/>
      <w:marLeft w:val="0"/>
      <w:marRight w:val="0"/>
      <w:marTop w:val="0"/>
      <w:marBottom w:val="0"/>
      <w:divBdr>
        <w:top w:val="none" w:sz="0" w:space="0" w:color="auto"/>
        <w:left w:val="none" w:sz="0" w:space="0" w:color="auto"/>
        <w:bottom w:val="none" w:sz="0" w:space="0" w:color="auto"/>
        <w:right w:val="none" w:sz="0" w:space="0" w:color="auto"/>
      </w:divBdr>
    </w:div>
    <w:div w:id="131141006">
      <w:bodyDiv w:val="1"/>
      <w:marLeft w:val="0"/>
      <w:marRight w:val="0"/>
      <w:marTop w:val="0"/>
      <w:marBottom w:val="0"/>
      <w:divBdr>
        <w:top w:val="none" w:sz="0" w:space="0" w:color="auto"/>
        <w:left w:val="none" w:sz="0" w:space="0" w:color="auto"/>
        <w:bottom w:val="none" w:sz="0" w:space="0" w:color="auto"/>
        <w:right w:val="none" w:sz="0" w:space="0" w:color="auto"/>
      </w:divBdr>
    </w:div>
    <w:div w:id="132141802">
      <w:bodyDiv w:val="1"/>
      <w:marLeft w:val="0"/>
      <w:marRight w:val="0"/>
      <w:marTop w:val="0"/>
      <w:marBottom w:val="0"/>
      <w:divBdr>
        <w:top w:val="none" w:sz="0" w:space="0" w:color="auto"/>
        <w:left w:val="none" w:sz="0" w:space="0" w:color="auto"/>
        <w:bottom w:val="none" w:sz="0" w:space="0" w:color="auto"/>
        <w:right w:val="none" w:sz="0" w:space="0" w:color="auto"/>
      </w:divBdr>
    </w:div>
    <w:div w:id="133255773">
      <w:bodyDiv w:val="1"/>
      <w:marLeft w:val="0"/>
      <w:marRight w:val="0"/>
      <w:marTop w:val="0"/>
      <w:marBottom w:val="0"/>
      <w:divBdr>
        <w:top w:val="none" w:sz="0" w:space="0" w:color="auto"/>
        <w:left w:val="none" w:sz="0" w:space="0" w:color="auto"/>
        <w:bottom w:val="none" w:sz="0" w:space="0" w:color="auto"/>
        <w:right w:val="none" w:sz="0" w:space="0" w:color="auto"/>
      </w:divBdr>
    </w:div>
    <w:div w:id="133569360">
      <w:bodyDiv w:val="1"/>
      <w:marLeft w:val="0"/>
      <w:marRight w:val="0"/>
      <w:marTop w:val="0"/>
      <w:marBottom w:val="0"/>
      <w:divBdr>
        <w:top w:val="none" w:sz="0" w:space="0" w:color="auto"/>
        <w:left w:val="none" w:sz="0" w:space="0" w:color="auto"/>
        <w:bottom w:val="none" w:sz="0" w:space="0" w:color="auto"/>
        <w:right w:val="none" w:sz="0" w:space="0" w:color="auto"/>
      </w:divBdr>
    </w:div>
    <w:div w:id="133834044">
      <w:bodyDiv w:val="1"/>
      <w:marLeft w:val="0"/>
      <w:marRight w:val="0"/>
      <w:marTop w:val="0"/>
      <w:marBottom w:val="0"/>
      <w:divBdr>
        <w:top w:val="none" w:sz="0" w:space="0" w:color="auto"/>
        <w:left w:val="none" w:sz="0" w:space="0" w:color="auto"/>
        <w:bottom w:val="none" w:sz="0" w:space="0" w:color="auto"/>
        <w:right w:val="none" w:sz="0" w:space="0" w:color="auto"/>
      </w:divBdr>
    </w:div>
    <w:div w:id="134179597">
      <w:bodyDiv w:val="1"/>
      <w:marLeft w:val="0"/>
      <w:marRight w:val="0"/>
      <w:marTop w:val="0"/>
      <w:marBottom w:val="0"/>
      <w:divBdr>
        <w:top w:val="none" w:sz="0" w:space="0" w:color="auto"/>
        <w:left w:val="none" w:sz="0" w:space="0" w:color="auto"/>
        <w:bottom w:val="none" w:sz="0" w:space="0" w:color="auto"/>
        <w:right w:val="none" w:sz="0" w:space="0" w:color="auto"/>
      </w:divBdr>
    </w:div>
    <w:div w:id="134225355">
      <w:bodyDiv w:val="1"/>
      <w:marLeft w:val="0"/>
      <w:marRight w:val="0"/>
      <w:marTop w:val="0"/>
      <w:marBottom w:val="0"/>
      <w:divBdr>
        <w:top w:val="none" w:sz="0" w:space="0" w:color="auto"/>
        <w:left w:val="none" w:sz="0" w:space="0" w:color="auto"/>
        <w:bottom w:val="none" w:sz="0" w:space="0" w:color="auto"/>
        <w:right w:val="none" w:sz="0" w:space="0" w:color="auto"/>
      </w:divBdr>
    </w:div>
    <w:div w:id="135343754">
      <w:bodyDiv w:val="1"/>
      <w:marLeft w:val="0"/>
      <w:marRight w:val="0"/>
      <w:marTop w:val="0"/>
      <w:marBottom w:val="0"/>
      <w:divBdr>
        <w:top w:val="none" w:sz="0" w:space="0" w:color="auto"/>
        <w:left w:val="none" w:sz="0" w:space="0" w:color="auto"/>
        <w:bottom w:val="none" w:sz="0" w:space="0" w:color="auto"/>
        <w:right w:val="none" w:sz="0" w:space="0" w:color="auto"/>
      </w:divBdr>
    </w:div>
    <w:div w:id="135417672">
      <w:bodyDiv w:val="1"/>
      <w:marLeft w:val="0"/>
      <w:marRight w:val="0"/>
      <w:marTop w:val="0"/>
      <w:marBottom w:val="0"/>
      <w:divBdr>
        <w:top w:val="none" w:sz="0" w:space="0" w:color="auto"/>
        <w:left w:val="none" w:sz="0" w:space="0" w:color="auto"/>
        <w:bottom w:val="none" w:sz="0" w:space="0" w:color="auto"/>
        <w:right w:val="none" w:sz="0" w:space="0" w:color="auto"/>
      </w:divBdr>
    </w:div>
    <w:div w:id="135421458">
      <w:bodyDiv w:val="1"/>
      <w:marLeft w:val="0"/>
      <w:marRight w:val="0"/>
      <w:marTop w:val="0"/>
      <w:marBottom w:val="0"/>
      <w:divBdr>
        <w:top w:val="none" w:sz="0" w:space="0" w:color="auto"/>
        <w:left w:val="none" w:sz="0" w:space="0" w:color="auto"/>
        <w:bottom w:val="none" w:sz="0" w:space="0" w:color="auto"/>
        <w:right w:val="none" w:sz="0" w:space="0" w:color="auto"/>
      </w:divBdr>
    </w:div>
    <w:div w:id="136530187">
      <w:bodyDiv w:val="1"/>
      <w:marLeft w:val="0"/>
      <w:marRight w:val="0"/>
      <w:marTop w:val="0"/>
      <w:marBottom w:val="0"/>
      <w:divBdr>
        <w:top w:val="none" w:sz="0" w:space="0" w:color="auto"/>
        <w:left w:val="none" w:sz="0" w:space="0" w:color="auto"/>
        <w:bottom w:val="none" w:sz="0" w:space="0" w:color="auto"/>
        <w:right w:val="none" w:sz="0" w:space="0" w:color="auto"/>
      </w:divBdr>
    </w:div>
    <w:div w:id="136728778">
      <w:bodyDiv w:val="1"/>
      <w:marLeft w:val="0"/>
      <w:marRight w:val="0"/>
      <w:marTop w:val="0"/>
      <w:marBottom w:val="0"/>
      <w:divBdr>
        <w:top w:val="none" w:sz="0" w:space="0" w:color="auto"/>
        <w:left w:val="none" w:sz="0" w:space="0" w:color="auto"/>
        <w:bottom w:val="none" w:sz="0" w:space="0" w:color="auto"/>
        <w:right w:val="none" w:sz="0" w:space="0" w:color="auto"/>
      </w:divBdr>
    </w:div>
    <w:div w:id="137192341">
      <w:bodyDiv w:val="1"/>
      <w:marLeft w:val="0"/>
      <w:marRight w:val="0"/>
      <w:marTop w:val="0"/>
      <w:marBottom w:val="0"/>
      <w:divBdr>
        <w:top w:val="none" w:sz="0" w:space="0" w:color="auto"/>
        <w:left w:val="none" w:sz="0" w:space="0" w:color="auto"/>
        <w:bottom w:val="none" w:sz="0" w:space="0" w:color="auto"/>
        <w:right w:val="none" w:sz="0" w:space="0" w:color="auto"/>
      </w:divBdr>
    </w:div>
    <w:div w:id="137232480">
      <w:bodyDiv w:val="1"/>
      <w:marLeft w:val="0"/>
      <w:marRight w:val="0"/>
      <w:marTop w:val="0"/>
      <w:marBottom w:val="0"/>
      <w:divBdr>
        <w:top w:val="none" w:sz="0" w:space="0" w:color="auto"/>
        <w:left w:val="none" w:sz="0" w:space="0" w:color="auto"/>
        <w:bottom w:val="none" w:sz="0" w:space="0" w:color="auto"/>
        <w:right w:val="none" w:sz="0" w:space="0" w:color="auto"/>
      </w:divBdr>
    </w:div>
    <w:div w:id="137264917">
      <w:bodyDiv w:val="1"/>
      <w:marLeft w:val="0"/>
      <w:marRight w:val="0"/>
      <w:marTop w:val="0"/>
      <w:marBottom w:val="0"/>
      <w:divBdr>
        <w:top w:val="none" w:sz="0" w:space="0" w:color="auto"/>
        <w:left w:val="none" w:sz="0" w:space="0" w:color="auto"/>
        <w:bottom w:val="none" w:sz="0" w:space="0" w:color="auto"/>
        <w:right w:val="none" w:sz="0" w:space="0" w:color="auto"/>
      </w:divBdr>
    </w:div>
    <w:div w:id="137841750">
      <w:bodyDiv w:val="1"/>
      <w:marLeft w:val="0"/>
      <w:marRight w:val="0"/>
      <w:marTop w:val="0"/>
      <w:marBottom w:val="0"/>
      <w:divBdr>
        <w:top w:val="none" w:sz="0" w:space="0" w:color="auto"/>
        <w:left w:val="none" w:sz="0" w:space="0" w:color="auto"/>
        <w:bottom w:val="none" w:sz="0" w:space="0" w:color="auto"/>
        <w:right w:val="none" w:sz="0" w:space="0" w:color="auto"/>
      </w:divBdr>
    </w:div>
    <w:div w:id="138230286">
      <w:bodyDiv w:val="1"/>
      <w:marLeft w:val="0"/>
      <w:marRight w:val="0"/>
      <w:marTop w:val="0"/>
      <w:marBottom w:val="0"/>
      <w:divBdr>
        <w:top w:val="none" w:sz="0" w:space="0" w:color="auto"/>
        <w:left w:val="none" w:sz="0" w:space="0" w:color="auto"/>
        <w:bottom w:val="none" w:sz="0" w:space="0" w:color="auto"/>
        <w:right w:val="none" w:sz="0" w:space="0" w:color="auto"/>
      </w:divBdr>
    </w:div>
    <w:div w:id="138349323">
      <w:bodyDiv w:val="1"/>
      <w:marLeft w:val="0"/>
      <w:marRight w:val="0"/>
      <w:marTop w:val="0"/>
      <w:marBottom w:val="0"/>
      <w:divBdr>
        <w:top w:val="none" w:sz="0" w:space="0" w:color="auto"/>
        <w:left w:val="none" w:sz="0" w:space="0" w:color="auto"/>
        <w:bottom w:val="none" w:sz="0" w:space="0" w:color="auto"/>
        <w:right w:val="none" w:sz="0" w:space="0" w:color="auto"/>
      </w:divBdr>
    </w:div>
    <w:div w:id="138422415">
      <w:bodyDiv w:val="1"/>
      <w:marLeft w:val="0"/>
      <w:marRight w:val="0"/>
      <w:marTop w:val="0"/>
      <w:marBottom w:val="0"/>
      <w:divBdr>
        <w:top w:val="none" w:sz="0" w:space="0" w:color="auto"/>
        <w:left w:val="none" w:sz="0" w:space="0" w:color="auto"/>
        <w:bottom w:val="none" w:sz="0" w:space="0" w:color="auto"/>
        <w:right w:val="none" w:sz="0" w:space="0" w:color="auto"/>
      </w:divBdr>
    </w:div>
    <w:div w:id="140385210">
      <w:bodyDiv w:val="1"/>
      <w:marLeft w:val="0"/>
      <w:marRight w:val="0"/>
      <w:marTop w:val="0"/>
      <w:marBottom w:val="0"/>
      <w:divBdr>
        <w:top w:val="none" w:sz="0" w:space="0" w:color="auto"/>
        <w:left w:val="none" w:sz="0" w:space="0" w:color="auto"/>
        <w:bottom w:val="none" w:sz="0" w:space="0" w:color="auto"/>
        <w:right w:val="none" w:sz="0" w:space="0" w:color="auto"/>
      </w:divBdr>
    </w:div>
    <w:div w:id="140391140">
      <w:bodyDiv w:val="1"/>
      <w:marLeft w:val="0"/>
      <w:marRight w:val="0"/>
      <w:marTop w:val="0"/>
      <w:marBottom w:val="0"/>
      <w:divBdr>
        <w:top w:val="none" w:sz="0" w:space="0" w:color="auto"/>
        <w:left w:val="none" w:sz="0" w:space="0" w:color="auto"/>
        <w:bottom w:val="none" w:sz="0" w:space="0" w:color="auto"/>
        <w:right w:val="none" w:sz="0" w:space="0" w:color="auto"/>
      </w:divBdr>
    </w:div>
    <w:div w:id="140585060">
      <w:bodyDiv w:val="1"/>
      <w:marLeft w:val="0"/>
      <w:marRight w:val="0"/>
      <w:marTop w:val="0"/>
      <w:marBottom w:val="0"/>
      <w:divBdr>
        <w:top w:val="none" w:sz="0" w:space="0" w:color="auto"/>
        <w:left w:val="none" w:sz="0" w:space="0" w:color="auto"/>
        <w:bottom w:val="none" w:sz="0" w:space="0" w:color="auto"/>
        <w:right w:val="none" w:sz="0" w:space="0" w:color="auto"/>
      </w:divBdr>
    </w:div>
    <w:div w:id="140775360">
      <w:bodyDiv w:val="1"/>
      <w:marLeft w:val="0"/>
      <w:marRight w:val="0"/>
      <w:marTop w:val="0"/>
      <w:marBottom w:val="0"/>
      <w:divBdr>
        <w:top w:val="none" w:sz="0" w:space="0" w:color="auto"/>
        <w:left w:val="none" w:sz="0" w:space="0" w:color="auto"/>
        <w:bottom w:val="none" w:sz="0" w:space="0" w:color="auto"/>
        <w:right w:val="none" w:sz="0" w:space="0" w:color="auto"/>
      </w:divBdr>
    </w:div>
    <w:div w:id="142965131">
      <w:bodyDiv w:val="1"/>
      <w:marLeft w:val="0"/>
      <w:marRight w:val="0"/>
      <w:marTop w:val="0"/>
      <w:marBottom w:val="0"/>
      <w:divBdr>
        <w:top w:val="none" w:sz="0" w:space="0" w:color="auto"/>
        <w:left w:val="none" w:sz="0" w:space="0" w:color="auto"/>
        <w:bottom w:val="none" w:sz="0" w:space="0" w:color="auto"/>
        <w:right w:val="none" w:sz="0" w:space="0" w:color="auto"/>
      </w:divBdr>
    </w:div>
    <w:div w:id="143473718">
      <w:bodyDiv w:val="1"/>
      <w:marLeft w:val="0"/>
      <w:marRight w:val="0"/>
      <w:marTop w:val="0"/>
      <w:marBottom w:val="0"/>
      <w:divBdr>
        <w:top w:val="none" w:sz="0" w:space="0" w:color="auto"/>
        <w:left w:val="none" w:sz="0" w:space="0" w:color="auto"/>
        <w:bottom w:val="none" w:sz="0" w:space="0" w:color="auto"/>
        <w:right w:val="none" w:sz="0" w:space="0" w:color="auto"/>
      </w:divBdr>
    </w:div>
    <w:div w:id="144249246">
      <w:bodyDiv w:val="1"/>
      <w:marLeft w:val="0"/>
      <w:marRight w:val="0"/>
      <w:marTop w:val="0"/>
      <w:marBottom w:val="0"/>
      <w:divBdr>
        <w:top w:val="none" w:sz="0" w:space="0" w:color="auto"/>
        <w:left w:val="none" w:sz="0" w:space="0" w:color="auto"/>
        <w:bottom w:val="none" w:sz="0" w:space="0" w:color="auto"/>
        <w:right w:val="none" w:sz="0" w:space="0" w:color="auto"/>
      </w:divBdr>
    </w:div>
    <w:div w:id="144511604">
      <w:bodyDiv w:val="1"/>
      <w:marLeft w:val="0"/>
      <w:marRight w:val="0"/>
      <w:marTop w:val="0"/>
      <w:marBottom w:val="0"/>
      <w:divBdr>
        <w:top w:val="none" w:sz="0" w:space="0" w:color="auto"/>
        <w:left w:val="none" w:sz="0" w:space="0" w:color="auto"/>
        <w:bottom w:val="none" w:sz="0" w:space="0" w:color="auto"/>
        <w:right w:val="none" w:sz="0" w:space="0" w:color="auto"/>
      </w:divBdr>
    </w:div>
    <w:div w:id="144513891">
      <w:bodyDiv w:val="1"/>
      <w:marLeft w:val="0"/>
      <w:marRight w:val="0"/>
      <w:marTop w:val="0"/>
      <w:marBottom w:val="0"/>
      <w:divBdr>
        <w:top w:val="none" w:sz="0" w:space="0" w:color="auto"/>
        <w:left w:val="none" w:sz="0" w:space="0" w:color="auto"/>
        <w:bottom w:val="none" w:sz="0" w:space="0" w:color="auto"/>
        <w:right w:val="none" w:sz="0" w:space="0" w:color="auto"/>
      </w:divBdr>
    </w:div>
    <w:div w:id="145321478">
      <w:bodyDiv w:val="1"/>
      <w:marLeft w:val="0"/>
      <w:marRight w:val="0"/>
      <w:marTop w:val="0"/>
      <w:marBottom w:val="0"/>
      <w:divBdr>
        <w:top w:val="none" w:sz="0" w:space="0" w:color="auto"/>
        <w:left w:val="none" w:sz="0" w:space="0" w:color="auto"/>
        <w:bottom w:val="none" w:sz="0" w:space="0" w:color="auto"/>
        <w:right w:val="none" w:sz="0" w:space="0" w:color="auto"/>
      </w:divBdr>
    </w:div>
    <w:div w:id="145438317">
      <w:bodyDiv w:val="1"/>
      <w:marLeft w:val="0"/>
      <w:marRight w:val="0"/>
      <w:marTop w:val="0"/>
      <w:marBottom w:val="0"/>
      <w:divBdr>
        <w:top w:val="none" w:sz="0" w:space="0" w:color="auto"/>
        <w:left w:val="none" w:sz="0" w:space="0" w:color="auto"/>
        <w:bottom w:val="none" w:sz="0" w:space="0" w:color="auto"/>
        <w:right w:val="none" w:sz="0" w:space="0" w:color="auto"/>
      </w:divBdr>
    </w:div>
    <w:div w:id="145781785">
      <w:bodyDiv w:val="1"/>
      <w:marLeft w:val="0"/>
      <w:marRight w:val="0"/>
      <w:marTop w:val="0"/>
      <w:marBottom w:val="0"/>
      <w:divBdr>
        <w:top w:val="none" w:sz="0" w:space="0" w:color="auto"/>
        <w:left w:val="none" w:sz="0" w:space="0" w:color="auto"/>
        <w:bottom w:val="none" w:sz="0" w:space="0" w:color="auto"/>
        <w:right w:val="none" w:sz="0" w:space="0" w:color="auto"/>
      </w:divBdr>
    </w:div>
    <w:div w:id="145821923">
      <w:bodyDiv w:val="1"/>
      <w:marLeft w:val="0"/>
      <w:marRight w:val="0"/>
      <w:marTop w:val="0"/>
      <w:marBottom w:val="0"/>
      <w:divBdr>
        <w:top w:val="none" w:sz="0" w:space="0" w:color="auto"/>
        <w:left w:val="none" w:sz="0" w:space="0" w:color="auto"/>
        <w:bottom w:val="none" w:sz="0" w:space="0" w:color="auto"/>
        <w:right w:val="none" w:sz="0" w:space="0" w:color="auto"/>
      </w:divBdr>
    </w:div>
    <w:div w:id="145825934">
      <w:bodyDiv w:val="1"/>
      <w:marLeft w:val="0"/>
      <w:marRight w:val="0"/>
      <w:marTop w:val="0"/>
      <w:marBottom w:val="0"/>
      <w:divBdr>
        <w:top w:val="none" w:sz="0" w:space="0" w:color="auto"/>
        <w:left w:val="none" w:sz="0" w:space="0" w:color="auto"/>
        <w:bottom w:val="none" w:sz="0" w:space="0" w:color="auto"/>
        <w:right w:val="none" w:sz="0" w:space="0" w:color="auto"/>
      </w:divBdr>
    </w:div>
    <w:div w:id="145975397">
      <w:bodyDiv w:val="1"/>
      <w:marLeft w:val="0"/>
      <w:marRight w:val="0"/>
      <w:marTop w:val="0"/>
      <w:marBottom w:val="0"/>
      <w:divBdr>
        <w:top w:val="none" w:sz="0" w:space="0" w:color="auto"/>
        <w:left w:val="none" w:sz="0" w:space="0" w:color="auto"/>
        <w:bottom w:val="none" w:sz="0" w:space="0" w:color="auto"/>
        <w:right w:val="none" w:sz="0" w:space="0" w:color="auto"/>
      </w:divBdr>
    </w:div>
    <w:div w:id="146213774">
      <w:bodyDiv w:val="1"/>
      <w:marLeft w:val="0"/>
      <w:marRight w:val="0"/>
      <w:marTop w:val="0"/>
      <w:marBottom w:val="0"/>
      <w:divBdr>
        <w:top w:val="none" w:sz="0" w:space="0" w:color="auto"/>
        <w:left w:val="none" w:sz="0" w:space="0" w:color="auto"/>
        <w:bottom w:val="none" w:sz="0" w:space="0" w:color="auto"/>
        <w:right w:val="none" w:sz="0" w:space="0" w:color="auto"/>
      </w:divBdr>
    </w:div>
    <w:div w:id="146435159">
      <w:bodyDiv w:val="1"/>
      <w:marLeft w:val="0"/>
      <w:marRight w:val="0"/>
      <w:marTop w:val="0"/>
      <w:marBottom w:val="0"/>
      <w:divBdr>
        <w:top w:val="none" w:sz="0" w:space="0" w:color="auto"/>
        <w:left w:val="none" w:sz="0" w:space="0" w:color="auto"/>
        <w:bottom w:val="none" w:sz="0" w:space="0" w:color="auto"/>
        <w:right w:val="none" w:sz="0" w:space="0" w:color="auto"/>
      </w:divBdr>
    </w:div>
    <w:div w:id="146678479">
      <w:bodyDiv w:val="1"/>
      <w:marLeft w:val="0"/>
      <w:marRight w:val="0"/>
      <w:marTop w:val="0"/>
      <w:marBottom w:val="0"/>
      <w:divBdr>
        <w:top w:val="none" w:sz="0" w:space="0" w:color="auto"/>
        <w:left w:val="none" w:sz="0" w:space="0" w:color="auto"/>
        <w:bottom w:val="none" w:sz="0" w:space="0" w:color="auto"/>
        <w:right w:val="none" w:sz="0" w:space="0" w:color="auto"/>
      </w:divBdr>
    </w:div>
    <w:div w:id="146747776">
      <w:bodyDiv w:val="1"/>
      <w:marLeft w:val="0"/>
      <w:marRight w:val="0"/>
      <w:marTop w:val="0"/>
      <w:marBottom w:val="0"/>
      <w:divBdr>
        <w:top w:val="none" w:sz="0" w:space="0" w:color="auto"/>
        <w:left w:val="none" w:sz="0" w:space="0" w:color="auto"/>
        <w:bottom w:val="none" w:sz="0" w:space="0" w:color="auto"/>
        <w:right w:val="none" w:sz="0" w:space="0" w:color="auto"/>
      </w:divBdr>
    </w:div>
    <w:div w:id="146940180">
      <w:bodyDiv w:val="1"/>
      <w:marLeft w:val="0"/>
      <w:marRight w:val="0"/>
      <w:marTop w:val="0"/>
      <w:marBottom w:val="0"/>
      <w:divBdr>
        <w:top w:val="none" w:sz="0" w:space="0" w:color="auto"/>
        <w:left w:val="none" w:sz="0" w:space="0" w:color="auto"/>
        <w:bottom w:val="none" w:sz="0" w:space="0" w:color="auto"/>
        <w:right w:val="none" w:sz="0" w:space="0" w:color="auto"/>
      </w:divBdr>
    </w:div>
    <w:div w:id="147791164">
      <w:bodyDiv w:val="1"/>
      <w:marLeft w:val="0"/>
      <w:marRight w:val="0"/>
      <w:marTop w:val="0"/>
      <w:marBottom w:val="0"/>
      <w:divBdr>
        <w:top w:val="none" w:sz="0" w:space="0" w:color="auto"/>
        <w:left w:val="none" w:sz="0" w:space="0" w:color="auto"/>
        <w:bottom w:val="none" w:sz="0" w:space="0" w:color="auto"/>
        <w:right w:val="none" w:sz="0" w:space="0" w:color="auto"/>
      </w:divBdr>
    </w:div>
    <w:div w:id="147940601">
      <w:bodyDiv w:val="1"/>
      <w:marLeft w:val="0"/>
      <w:marRight w:val="0"/>
      <w:marTop w:val="0"/>
      <w:marBottom w:val="0"/>
      <w:divBdr>
        <w:top w:val="none" w:sz="0" w:space="0" w:color="auto"/>
        <w:left w:val="none" w:sz="0" w:space="0" w:color="auto"/>
        <w:bottom w:val="none" w:sz="0" w:space="0" w:color="auto"/>
        <w:right w:val="none" w:sz="0" w:space="0" w:color="auto"/>
      </w:divBdr>
    </w:div>
    <w:div w:id="147941539">
      <w:bodyDiv w:val="1"/>
      <w:marLeft w:val="0"/>
      <w:marRight w:val="0"/>
      <w:marTop w:val="0"/>
      <w:marBottom w:val="0"/>
      <w:divBdr>
        <w:top w:val="none" w:sz="0" w:space="0" w:color="auto"/>
        <w:left w:val="none" w:sz="0" w:space="0" w:color="auto"/>
        <w:bottom w:val="none" w:sz="0" w:space="0" w:color="auto"/>
        <w:right w:val="none" w:sz="0" w:space="0" w:color="auto"/>
      </w:divBdr>
    </w:div>
    <w:div w:id="147981755">
      <w:bodyDiv w:val="1"/>
      <w:marLeft w:val="0"/>
      <w:marRight w:val="0"/>
      <w:marTop w:val="0"/>
      <w:marBottom w:val="0"/>
      <w:divBdr>
        <w:top w:val="none" w:sz="0" w:space="0" w:color="auto"/>
        <w:left w:val="none" w:sz="0" w:space="0" w:color="auto"/>
        <w:bottom w:val="none" w:sz="0" w:space="0" w:color="auto"/>
        <w:right w:val="none" w:sz="0" w:space="0" w:color="auto"/>
      </w:divBdr>
    </w:div>
    <w:div w:id="148179147">
      <w:bodyDiv w:val="1"/>
      <w:marLeft w:val="0"/>
      <w:marRight w:val="0"/>
      <w:marTop w:val="0"/>
      <w:marBottom w:val="0"/>
      <w:divBdr>
        <w:top w:val="none" w:sz="0" w:space="0" w:color="auto"/>
        <w:left w:val="none" w:sz="0" w:space="0" w:color="auto"/>
        <w:bottom w:val="none" w:sz="0" w:space="0" w:color="auto"/>
        <w:right w:val="none" w:sz="0" w:space="0" w:color="auto"/>
      </w:divBdr>
    </w:div>
    <w:div w:id="148986065">
      <w:bodyDiv w:val="1"/>
      <w:marLeft w:val="0"/>
      <w:marRight w:val="0"/>
      <w:marTop w:val="0"/>
      <w:marBottom w:val="0"/>
      <w:divBdr>
        <w:top w:val="none" w:sz="0" w:space="0" w:color="auto"/>
        <w:left w:val="none" w:sz="0" w:space="0" w:color="auto"/>
        <w:bottom w:val="none" w:sz="0" w:space="0" w:color="auto"/>
        <w:right w:val="none" w:sz="0" w:space="0" w:color="auto"/>
      </w:divBdr>
    </w:div>
    <w:div w:id="150294896">
      <w:bodyDiv w:val="1"/>
      <w:marLeft w:val="0"/>
      <w:marRight w:val="0"/>
      <w:marTop w:val="0"/>
      <w:marBottom w:val="0"/>
      <w:divBdr>
        <w:top w:val="none" w:sz="0" w:space="0" w:color="auto"/>
        <w:left w:val="none" w:sz="0" w:space="0" w:color="auto"/>
        <w:bottom w:val="none" w:sz="0" w:space="0" w:color="auto"/>
        <w:right w:val="none" w:sz="0" w:space="0" w:color="auto"/>
      </w:divBdr>
    </w:div>
    <w:div w:id="150409840">
      <w:bodyDiv w:val="1"/>
      <w:marLeft w:val="0"/>
      <w:marRight w:val="0"/>
      <w:marTop w:val="0"/>
      <w:marBottom w:val="0"/>
      <w:divBdr>
        <w:top w:val="none" w:sz="0" w:space="0" w:color="auto"/>
        <w:left w:val="none" w:sz="0" w:space="0" w:color="auto"/>
        <w:bottom w:val="none" w:sz="0" w:space="0" w:color="auto"/>
        <w:right w:val="none" w:sz="0" w:space="0" w:color="auto"/>
      </w:divBdr>
    </w:div>
    <w:div w:id="150634061">
      <w:bodyDiv w:val="1"/>
      <w:marLeft w:val="0"/>
      <w:marRight w:val="0"/>
      <w:marTop w:val="0"/>
      <w:marBottom w:val="0"/>
      <w:divBdr>
        <w:top w:val="none" w:sz="0" w:space="0" w:color="auto"/>
        <w:left w:val="none" w:sz="0" w:space="0" w:color="auto"/>
        <w:bottom w:val="none" w:sz="0" w:space="0" w:color="auto"/>
        <w:right w:val="none" w:sz="0" w:space="0" w:color="auto"/>
      </w:divBdr>
    </w:div>
    <w:div w:id="151216759">
      <w:bodyDiv w:val="1"/>
      <w:marLeft w:val="0"/>
      <w:marRight w:val="0"/>
      <w:marTop w:val="0"/>
      <w:marBottom w:val="0"/>
      <w:divBdr>
        <w:top w:val="none" w:sz="0" w:space="0" w:color="auto"/>
        <w:left w:val="none" w:sz="0" w:space="0" w:color="auto"/>
        <w:bottom w:val="none" w:sz="0" w:space="0" w:color="auto"/>
        <w:right w:val="none" w:sz="0" w:space="0" w:color="auto"/>
      </w:divBdr>
    </w:div>
    <w:div w:id="151222720">
      <w:bodyDiv w:val="1"/>
      <w:marLeft w:val="0"/>
      <w:marRight w:val="0"/>
      <w:marTop w:val="0"/>
      <w:marBottom w:val="0"/>
      <w:divBdr>
        <w:top w:val="none" w:sz="0" w:space="0" w:color="auto"/>
        <w:left w:val="none" w:sz="0" w:space="0" w:color="auto"/>
        <w:bottom w:val="none" w:sz="0" w:space="0" w:color="auto"/>
        <w:right w:val="none" w:sz="0" w:space="0" w:color="auto"/>
      </w:divBdr>
    </w:div>
    <w:div w:id="151601816">
      <w:bodyDiv w:val="1"/>
      <w:marLeft w:val="0"/>
      <w:marRight w:val="0"/>
      <w:marTop w:val="0"/>
      <w:marBottom w:val="0"/>
      <w:divBdr>
        <w:top w:val="none" w:sz="0" w:space="0" w:color="auto"/>
        <w:left w:val="none" w:sz="0" w:space="0" w:color="auto"/>
        <w:bottom w:val="none" w:sz="0" w:space="0" w:color="auto"/>
        <w:right w:val="none" w:sz="0" w:space="0" w:color="auto"/>
      </w:divBdr>
    </w:div>
    <w:div w:id="151726331">
      <w:bodyDiv w:val="1"/>
      <w:marLeft w:val="0"/>
      <w:marRight w:val="0"/>
      <w:marTop w:val="0"/>
      <w:marBottom w:val="0"/>
      <w:divBdr>
        <w:top w:val="none" w:sz="0" w:space="0" w:color="auto"/>
        <w:left w:val="none" w:sz="0" w:space="0" w:color="auto"/>
        <w:bottom w:val="none" w:sz="0" w:space="0" w:color="auto"/>
        <w:right w:val="none" w:sz="0" w:space="0" w:color="auto"/>
      </w:divBdr>
    </w:div>
    <w:div w:id="151803100">
      <w:bodyDiv w:val="1"/>
      <w:marLeft w:val="0"/>
      <w:marRight w:val="0"/>
      <w:marTop w:val="0"/>
      <w:marBottom w:val="0"/>
      <w:divBdr>
        <w:top w:val="none" w:sz="0" w:space="0" w:color="auto"/>
        <w:left w:val="none" w:sz="0" w:space="0" w:color="auto"/>
        <w:bottom w:val="none" w:sz="0" w:space="0" w:color="auto"/>
        <w:right w:val="none" w:sz="0" w:space="0" w:color="auto"/>
      </w:divBdr>
    </w:div>
    <w:div w:id="153760956">
      <w:bodyDiv w:val="1"/>
      <w:marLeft w:val="0"/>
      <w:marRight w:val="0"/>
      <w:marTop w:val="0"/>
      <w:marBottom w:val="0"/>
      <w:divBdr>
        <w:top w:val="none" w:sz="0" w:space="0" w:color="auto"/>
        <w:left w:val="none" w:sz="0" w:space="0" w:color="auto"/>
        <w:bottom w:val="none" w:sz="0" w:space="0" w:color="auto"/>
        <w:right w:val="none" w:sz="0" w:space="0" w:color="auto"/>
      </w:divBdr>
    </w:div>
    <w:div w:id="153842531">
      <w:bodyDiv w:val="1"/>
      <w:marLeft w:val="0"/>
      <w:marRight w:val="0"/>
      <w:marTop w:val="0"/>
      <w:marBottom w:val="0"/>
      <w:divBdr>
        <w:top w:val="none" w:sz="0" w:space="0" w:color="auto"/>
        <w:left w:val="none" w:sz="0" w:space="0" w:color="auto"/>
        <w:bottom w:val="none" w:sz="0" w:space="0" w:color="auto"/>
        <w:right w:val="none" w:sz="0" w:space="0" w:color="auto"/>
      </w:divBdr>
    </w:div>
    <w:div w:id="153956107">
      <w:bodyDiv w:val="1"/>
      <w:marLeft w:val="0"/>
      <w:marRight w:val="0"/>
      <w:marTop w:val="0"/>
      <w:marBottom w:val="0"/>
      <w:divBdr>
        <w:top w:val="none" w:sz="0" w:space="0" w:color="auto"/>
        <w:left w:val="none" w:sz="0" w:space="0" w:color="auto"/>
        <w:bottom w:val="none" w:sz="0" w:space="0" w:color="auto"/>
        <w:right w:val="none" w:sz="0" w:space="0" w:color="auto"/>
      </w:divBdr>
    </w:div>
    <w:div w:id="154147356">
      <w:bodyDiv w:val="1"/>
      <w:marLeft w:val="0"/>
      <w:marRight w:val="0"/>
      <w:marTop w:val="0"/>
      <w:marBottom w:val="0"/>
      <w:divBdr>
        <w:top w:val="none" w:sz="0" w:space="0" w:color="auto"/>
        <w:left w:val="none" w:sz="0" w:space="0" w:color="auto"/>
        <w:bottom w:val="none" w:sz="0" w:space="0" w:color="auto"/>
        <w:right w:val="none" w:sz="0" w:space="0" w:color="auto"/>
      </w:divBdr>
    </w:div>
    <w:div w:id="154928095">
      <w:bodyDiv w:val="1"/>
      <w:marLeft w:val="0"/>
      <w:marRight w:val="0"/>
      <w:marTop w:val="0"/>
      <w:marBottom w:val="0"/>
      <w:divBdr>
        <w:top w:val="none" w:sz="0" w:space="0" w:color="auto"/>
        <w:left w:val="none" w:sz="0" w:space="0" w:color="auto"/>
        <w:bottom w:val="none" w:sz="0" w:space="0" w:color="auto"/>
        <w:right w:val="none" w:sz="0" w:space="0" w:color="auto"/>
      </w:divBdr>
    </w:div>
    <w:div w:id="155000096">
      <w:bodyDiv w:val="1"/>
      <w:marLeft w:val="0"/>
      <w:marRight w:val="0"/>
      <w:marTop w:val="0"/>
      <w:marBottom w:val="0"/>
      <w:divBdr>
        <w:top w:val="none" w:sz="0" w:space="0" w:color="auto"/>
        <w:left w:val="none" w:sz="0" w:space="0" w:color="auto"/>
        <w:bottom w:val="none" w:sz="0" w:space="0" w:color="auto"/>
        <w:right w:val="none" w:sz="0" w:space="0" w:color="auto"/>
      </w:divBdr>
    </w:div>
    <w:div w:id="156306787">
      <w:bodyDiv w:val="1"/>
      <w:marLeft w:val="0"/>
      <w:marRight w:val="0"/>
      <w:marTop w:val="0"/>
      <w:marBottom w:val="0"/>
      <w:divBdr>
        <w:top w:val="none" w:sz="0" w:space="0" w:color="auto"/>
        <w:left w:val="none" w:sz="0" w:space="0" w:color="auto"/>
        <w:bottom w:val="none" w:sz="0" w:space="0" w:color="auto"/>
        <w:right w:val="none" w:sz="0" w:space="0" w:color="auto"/>
      </w:divBdr>
    </w:div>
    <w:div w:id="156502941">
      <w:bodyDiv w:val="1"/>
      <w:marLeft w:val="0"/>
      <w:marRight w:val="0"/>
      <w:marTop w:val="0"/>
      <w:marBottom w:val="0"/>
      <w:divBdr>
        <w:top w:val="none" w:sz="0" w:space="0" w:color="auto"/>
        <w:left w:val="none" w:sz="0" w:space="0" w:color="auto"/>
        <w:bottom w:val="none" w:sz="0" w:space="0" w:color="auto"/>
        <w:right w:val="none" w:sz="0" w:space="0" w:color="auto"/>
      </w:divBdr>
    </w:div>
    <w:div w:id="156967121">
      <w:bodyDiv w:val="1"/>
      <w:marLeft w:val="0"/>
      <w:marRight w:val="0"/>
      <w:marTop w:val="0"/>
      <w:marBottom w:val="0"/>
      <w:divBdr>
        <w:top w:val="none" w:sz="0" w:space="0" w:color="auto"/>
        <w:left w:val="none" w:sz="0" w:space="0" w:color="auto"/>
        <w:bottom w:val="none" w:sz="0" w:space="0" w:color="auto"/>
        <w:right w:val="none" w:sz="0" w:space="0" w:color="auto"/>
      </w:divBdr>
    </w:div>
    <w:div w:id="157042345">
      <w:bodyDiv w:val="1"/>
      <w:marLeft w:val="0"/>
      <w:marRight w:val="0"/>
      <w:marTop w:val="0"/>
      <w:marBottom w:val="0"/>
      <w:divBdr>
        <w:top w:val="none" w:sz="0" w:space="0" w:color="auto"/>
        <w:left w:val="none" w:sz="0" w:space="0" w:color="auto"/>
        <w:bottom w:val="none" w:sz="0" w:space="0" w:color="auto"/>
        <w:right w:val="none" w:sz="0" w:space="0" w:color="auto"/>
      </w:divBdr>
    </w:div>
    <w:div w:id="157579977">
      <w:bodyDiv w:val="1"/>
      <w:marLeft w:val="0"/>
      <w:marRight w:val="0"/>
      <w:marTop w:val="0"/>
      <w:marBottom w:val="0"/>
      <w:divBdr>
        <w:top w:val="none" w:sz="0" w:space="0" w:color="auto"/>
        <w:left w:val="none" w:sz="0" w:space="0" w:color="auto"/>
        <w:bottom w:val="none" w:sz="0" w:space="0" w:color="auto"/>
        <w:right w:val="none" w:sz="0" w:space="0" w:color="auto"/>
      </w:divBdr>
    </w:div>
    <w:div w:id="158230937">
      <w:bodyDiv w:val="1"/>
      <w:marLeft w:val="0"/>
      <w:marRight w:val="0"/>
      <w:marTop w:val="0"/>
      <w:marBottom w:val="0"/>
      <w:divBdr>
        <w:top w:val="none" w:sz="0" w:space="0" w:color="auto"/>
        <w:left w:val="none" w:sz="0" w:space="0" w:color="auto"/>
        <w:bottom w:val="none" w:sz="0" w:space="0" w:color="auto"/>
        <w:right w:val="none" w:sz="0" w:space="0" w:color="auto"/>
      </w:divBdr>
    </w:div>
    <w:div w:id="158233241">
      <w:bodyDiv w:val="1"/>
      <w:marLeft w:val="0"/>
      <w:marRight w:val="0"/>
      <w:marTop w:val="0"/>
      <w:marBottom w:val="0"/>
      <w:divBdr>
        <w:top w:val="none" w:sz="0" w:space="0" w:color="auto"/>
        <w:left w:val="none" w:sz="0" w:space="0" w:color="auto"/>
        <w:bottom w:val="none" w:sz="0" w:space="0" w:color="auto"/>
        <w:right w:val="none" w:sz="0" w:space="0" w:color="auto"/>
      </w:divBdr>
    </w:div>
    <w:div w:id="158737088">
      <w:bodyDiv w:val="1"/>
      <w:marLeft w:val="0"/>
      <w:marRight w:val="0"/>
      <w:marTop w:val="0"/>
      <w:marBottom w:val="0"/>
      <w:divBdr>
        <w:top w:val="none" w:sz="0" w:space="0" w:color="auto"/>
        <w:left w:val="none" w:sz="0" w:space="0" w:color="auto"/>
        <w:bottom w:val="none" w:sz="0" w:space="0" w:color="auto"/>
        <w:right w:val="none" w:sz="0" w:space="0" w:color="auto"/>
      </w:divBdr>
    </w:div>
    <w:div w:id="158809269">
      <w:bodyDiv w:val="1"/>
      <w:marLeft w:val="0"/>
      <w:marRight w:val="0"/>
      <w:marTop w:val="0"/>
      <w:marBottom w:val="0"/>
      <w:divBdr>
        <w:top w:val="none" w:sz="0" w:space="0" w:color="auto"/>
        <w:left w:val="none" w:sz="0" w:space="0" w:color="auto"/>
        <w:bottom w:val="none" w:sz="0" w:space="0" w:color="auto"/>
        <w:right w:val="none" w:sz="0" w:space="0" w:color="auto"/>
      </w:divBdr>
    </w:div>
    <w:div w:id="160437008">
      <w:bodyDiv w:val="1"/>
      <w:marLeft w:val="0"/>
      <w:marRight w:val="0"/>
      <w:marTop w:val="0"/>
      <w:marBottom w:val="0"/>
      <w:divBdr>
        <w:top w:val="none" w:sz="0" w:space="0" w:color="auto"/>
        <w:left w:val="none" w:sz="0" w:space="0" w:color="auto"/>
        <w:bottom w:val="none" w:sz="0" w:space="0" w:color="auto"/>
        <w:right w:val="none" w:sz="0" w:space="0" w:color="auto"/>
      </w:divBdr>
    </w:div>
    <w:div w:id="160438258">
      <w:bodyDiv w:val="1"/>
      <w:marLeft w:val="0"/>
      <w:marRight w:val="0"/>
      <w:marTop w:val="0"/>
      <w:marBottom w:val="0"/>
      <w:divBdr>
        <w:top w:val="none" w:sz="0" w:space="0" w:color="auto"/>
        <w:left w:val="none" w:sz="0" w:space="0" w:color="auto"/>
        <w:bottom w:val="none" w:sz="0" w:space="0" w:color="auto"/>
        <w:right w:val="none" w:sz="0" w:space="0" w:color="auto"/>
      </w:divBdr>
    </w:div>
    <w:div w:id="160851602">
      <w:bodyDiv w:val="1"/>
      <w:marLeft w:val="0"/>
      <w:marRight w:val="0"/>
      <w:marTop w:val="0"/>
      <w:marBottom w:val="0"/>
      <w:divBdr>
        <w:top w:val="none" w:sz="0" w:space="0" w:color="auto"/>
        <w:left w:val="none" w:sz="0" w:space="0" w:color="auto"/>
        <w:bottom w:val="none" w:sz="0" w:space="0" w:color="auto"/>
        <w:right w:val="none" w:sz="0" w:space="0" w:color="auto"/>
      </w:divBdr>
    </w:div>
    <w:div w:id="161550881">
      <w:bodyDiv w:val="1"/>
      <w:marLeft w:val="0"/>
      <w:marRight w:val="0"/>
      <w:marTop w:val="0"/>
      <w:marBottom w:val="0"/>
      <w:divBdr>
        <w:top w:val="none" w:sz="0" w:space="0" w:color="auto"/>
        <w:left w:val="none" w:sz="0" w:space="0" w:color="auto"/>
        <w:bottom w:val="none" w:sz="0" w:space="0" w:color="auto"/>
        <w:right w:val="none" w:sz="0" w:space="0" w:color="auto"/>
      </w:divBdr>
    </w:div>
    <w:div w:id="161628640">
      <w:bodyDiv w:val="1"/>
      <w:marLeft w:val="0"/>
      <w:marRight w:val="0"/>
      <w:marTop w:val="0"/>
      <w:marBottom w:val="0"/>
      <w:divBdr>
        <w:top w:val="none" w:sz="0" w:space="0" w:color="auto"/>
        <w:left w:val="none" w:sz="0" w:space="0" w:color="auto"/>
        <w:bottom w:val="none" w:sz="0" w:space="0" w:color="auto"/>
        <w:right w:val="none" w:sz="0" w:space="0" w:color="auto"/>
      </w:divBdr>
    </w:div>
    <w:div w:id="161631167">
      <w:bodyDiv w:val="1"/>
      <w:marLeft w:val="0"/>
      <w:marRight w:val="0"/>
      <w:marTop w:val="0"/>
      <w:marBottom w:val="0"/>
      <w:divBdr>
        <w:top w:val="none" w:sz="0" w:space="0" w:color="auto"/>
        <w:left w:val="none" w:sz="0" w:space="0" w:color="auto"/>
        <w:bottom w:val="none" w:sz="0" w:space="0" w:color="auto"/>
        <w:right w:val="none" w:sz="0" w:space="0" w:color="auto"/>
      </w:divBdr>
    </w:div>
    <w:div w:id="162279826">
      <w:bodyDiv w:val="1"/>
      <w:marLeft w:val="0"/>
      <w:marRight w:val="0"/>
      <w:marTop w:val="0"/>
      <w:marBottom w:val="0"/>
      <w:divBdr>
        <w:top w:val="none" w:sz="0" w:space="0" w:color="auto"/>
        <w:left w:val="none" w:sz="0" w:space="0" w:color="auto"/>
        <w:bottom w:val="none" w:sz="0" w:space="0" w:color="auto"/>
        <w:right w:val="none" w:sz="0" w:space="0" w:color="auto"/>
      </w:divBdr>
    </w:div>
    <w:div w:id="162405163">
      <w:bodyDiv w:val="1"/>
      <w:marLeft w:val="0"/>
      <w:marRight w:val="0"/>
      <w:marTop w:val="0"/>
      <w:marBottom w:val="0"/>
      <w:divBdr>
        <w:top w:val="none" w:sz="0" w:space="0" w:color="auto"/>
        <w:left w:val="none" w:sz="0" w:space="0" w:color="auto"/>
        <w:bottom w:val="none" w:sz="0" w:space="0" w:color="auto"/>
        <w:right w:val="none" w:sz="0" w:space="0" w:color="auto"/>
      </w:divBdr>
    </w:div>
    <w:div w:id="162938126">
      <w:bodyDiv w:val="1"/>
      <w:marLeft w:val="0"/>
      <w:marRight w:val="0"/>
      <w:marTop w:val="0"/>
      <w:marBottom w:val="0"/>
      <w:divBdr>
        <w:top w:val="none" w:sz="0" w:space="0" w:color="auto"/>
        <w:left w:val="none" w:sz="0" w:space="0" w:color="auto"/>
        <w:bottom w:val="none" w:sz="0" w:space="0" w:color="auto"/>
        <w:right w:val="none" w:sz="0" w:space="0" w:color="auto"/>
      </w:divBdr>
    </w:div>
    <w:div w:id="163712512">
      <w:bodyDiv w:val="1"/>
      <w:marLeft w:val="0"/>
      <w:marRight w:val="0"/>
      <w:marTop w:val="0"/>
      <w:marBottom w:val="0"/>
      <w:divBdr>
        <w:top w:val="none" w:sz="0" w:space="0" w:color="auto"/>
        <w:left w:val="none" w:sz="0" w:space="0" w:color="auto"/>
        <w:bottom w:val="none" w:sz="0" w:space="0" w:color="auto"/>
        <w:right w:val="none" w:sz="0" w:space="0" w:color="auto"/>
      </w:divBdr>
    </w:div>
    <w:div w:id="164587848">
      <w:bodyDiv w:val="1"/>
      <w:marLeft w:val="0"/>
      <w:marRight w:val="0"/>
      <w:marTop w:val="0"/>
      <w:marBottom w:val="0"/>
      <w:divBdr>
        <w:top w:val="none" w:sz="0" w:space="0" w:color="auto"/>
        <w:left w:val="none" w:sz="0" w:space="0" w:color="auto"/>
        <w:bottom w:val="none" w:sz="0" w:space="0" w:color="auto"/>
        <w:right w:val="none" w:sz="0" w:space="0" w:color="auto"/>
      </w:divBdr>
    </w:div>
    <w:div w:id="164635850">
      <w:bodyDiv w:val="1"/>
      <w:marLeft w:val="0"/>
      <w:marRight w:val="0"/>
      <w:marTop w:val="0"/>
      <w:marBottom w:val="0"/>
      <w:divBdr>
        <w:top w:val="none" w:sz="0" w:space="0" w:color="auto"/>
        <w:left w:val="none" w:sz="0" w:space="0" w:color="auto"/>
        <w:bottom w:val="none" w:sz="0" w:space="0" w:color="auto"/>
        <w:right w:val="none" w:sz="0" w:space="0" w:color="auto"/>
      </w:divBdr>
    </w:div>
    <w:div w:id="165291582">
      <w:bodyDiv w:val="1"/>
      <w:marLeft w:val="0"/>
      <w:marRight w:val="0"/>
      <w:marTop w:val="0"/>
      <w:marBottom w:val="0"/>
      <w:divBdr>
        <w:top w:val="none" w:sz="0" w:space="0" w:color="auto"/>
        <w:left w:val="none" w:sz="0" w:space="0" w:color="auto"/>
        <w:bottom w:val="none" w:sz="0" w:space="0" w:color="auto"/>
        <w:right w:val="none" w:sz="0" w:space="0" w:color="auto"/>
      </w:divBdr>
    </w:div>
    <w:div w:id="165560155">
      <w:bodyDiv w:val="1"/>
      <w:marLeft w:val="0"/>
      <w:marRight w:val="0"/>
      <w:marTop w:val="0"/>
      <w:marBottom w:val="0"/>
      <w:divBdr>
        <w:top w:val="none" w:sz="0" w:space="0" w:color="auto"/>
        <w:left w:val="none" w:sz="0" w:space="0" w:color="auto"/>
        <w:bottom w:val="none" w:sz="0" w:space="0" w:color="auto"/>
        <w:right w:val="none" w:sz="0" w:space="0" w:color="auto"/>
      </w:divBdr>
    </w:div>
    <w:div w:id="165630122">
      <w:bodyDiv w:val="1"/>
      <w:marLeft w:val="0"/>
      <w:marRight w:val="0"/>
      <w:marTop w:val="0"/>
      <w:marBottom w:val="0"/>
      <w:divBdr>
        <w:top w:val="none" w:sz="0" w:space="0" w:color="auto"/>
        <w:left w:val="none" w:sz="0" w:space="0" w:color="auto"/>
        <w:bottom w:val="none" w:sz="0" w:space="0" w:color="auto"/>
        <w:right w:val="none" w:sz="0" w:space="0" w:color="auto"/>
      </w:divBdr>
    </w:div>
    <w:div w:id="165946637">
      <w:bodyDiv w:val="1"/>
      <w:marLeft w:val="0"/>
      <w:marRight w:val="0"/>
      <w:marTop w:val="0"/>
      <w:marBottom w:val="0"/>
      <w:divBdr>
        <w:top w:val="none" w:sz="0" w:space="0" w:color="auto"/>
        <w:left w:val="none" w:sz="0" w:space="0" w:color="auto"/>
        <w:bottom w:val="none" w:sz="0" w:space="0" w:color="auto"/>
        <w:right w:val="none" w:sz="0" w:space="0" w:color="auto"/>
      </w:divBdr>
    </w:div>
    <w:div w:id="166093944">
      <w:bodyDiv w:val="1"/>
      <w:marLeft w:val="0"/>
      <w:marRight w:val="0"/>
      <w:marTop w:val="0"/>
      <w:marBottom w:val="0"/>
      <w:divBdr>
        <w:top w:val="none" w:sz="0" w:space="0" w:color="auto"/>
        <w:left w:val="none" w:sz="0" w:space="0" w:color="auto"/>
        <w:bottom w:val="none" w:sz="0" w:space="0" w:color="auto"/>
        <w:right w:val="none" w:sz="0" w:space="0" w:color="auto"/>
      </w:divBdr>
    </w:div>
    <w:div w:id="167139052">
      <w:bodyDiv w:val="1"/>
      <w:marLeft w:val="0"/>
      <w:marRight w:val="0"/>
      <w:marTop w:val="0"/>
      <w:marBottom w:val="0"/>
      <w:divBdr>
        <w:top w:val="none" w:sz="0" w:space="0" w:color="auto"/>
        <w:left w:val="none" w:sz="0" w:space="0" w:color="auto"/>
        <w:bottom w:val="none" w:sz="0" w:space="0" w:color="auto"/>
        <w:right w:val="none" w:sz="0" w:space="0" w:color="auto"/>
      </w:divBdr>
    </w:div>
    <w:div w:id="167791899">
      <w:bodyDiv w:val="1"/>
      <w:marLeft w:val="0"/>
      <w:marRight w:val="0"/>
      <w:marTop w:val="0"/>
      <w:marBottom w:val="0"/>
      <w:divBdr>
        <w:top w:val="none" w:sz="0" w:space="0" w:color="auto"/>
        <w:left w:val="none" w:sz="0" w:space="0" w:color="auto"/>
        <w:bottom w:val="none" w:sz="0" w:space="0" w:color="auto"/>
        <w:right w:val="none" w:sz="0" w:space="0" w:color="auto"/>
      </w:divBdr>
    </w:div>
    <w:div w:id="168178408">
      <w:bodyDiv w:val="1"/>
      <w:marLeft w:val="0"/>
      <w:marRight w:val="0"/>
      <w:marTop w:val="0"/>
      <w:marBottom w:val="0"/>
      <w:divBdr>
        <w:top w:val="none" w:sz="0" w:space="0" w:color="auto"/>
        <w:left w:val="none" w:sz="0" w:space="0" w:color="auto"/>
        <w:bottom w:val="none" w:sz="0" w:space="0" w:color="auto"/>
        <w:right w:val="none" w:sz="0" w:space="0" w:color="auto"/>
      </w:divBdr>
    </w:div>
    <w:div w:id="168259290">
      <w:bodyDiv w:val="1"/>
      <w:marLeft w:val="0"/>
      <w:marRight w:val="0"/>
      <w:marTop w:val="0"/>
      <w:marBottom w:val="0"/>
      <w:divBdr>
        <w:top w:val="none" w:sz="0" w:space="0" w:color="auto"/>
        <w:left w:val="none" w:sz="0" w:space="0" w:color="auto"/>
        <w:bottom w:val="none" w:sz="0" w:space="0" w:color="auto"/>
        <w:right w:val="none" w:sz="0" w:space="0" w:color="auto"/>
      </w:divBdr>
    </w:div>
    <w:div w:id="168327435">
      <w:bodyDiv w:val="1"/>
      <w:marLeft w:val="0"/>
      <w:marRight w:val="0"/>
      <w:marTop w:val="0"/>
      <w:marBottom w:val="0"/>
      <w:divBdr>
        <w:top w:val="none" w:sz="0" w:space="0" w:color="auto"/>
        <w:left w:val="none" w:sz="0" w:space="0" w:color="auto"/>
        <w:bottom w:val="none" w:sz="0" w:space="0" w:color="auto"/>
        <w:right w:val="none" w:sz="0" w:space="0" w:color="auto"/>
      </w:divBdr>
    </w:div>
    <w:div w:id="168328584">
      <w:bodyDiv w:val="1"/>
      <w:marLeft w:val="0"/>
      <w:marRight w:val="0"/>
      <w:marTop w:val="0"/>
      <w:marBottom w:val="0"/>
      <w:divBdr>
        <w:top w:val="none" w:sz="0" w:space="0" w:color="auto"/>
        <w:left w:val="none" w:sz="0" w:space="0" w:color="auto"/>
        <w:bottom w:val="none" w:sz="0" w:space="0" w:color="auto"/>
        <w:right w:val="none" w:sz="0" w:space="0" w:color="auto"/>
      </w:divBdr>
    </w:div>
    <w:div w:id="168376316">
      <w:bodyDiv w:val="1"/>
      <w:marLeft w:val="0"/>
      <w:marRight w:val="0"/>
      <w:marTop w:val="0"/>
      <w:marBottom w:val="0"/>
      <w:divBdr>
        <w:top w:val="none" w:sz="0" w:space="0" w:color="auto"/>
        <w:left w:val="none" w:sz="0" w:space="0" w:color="auto"/>
        <w:bottom w:val="none" w:sz="0" w:space="0" w:color="auto"/>
        <w:right w:val="none" w:sz="0" w:space="0" w:color="auto"/>
      </w:divBdr>
    </w:div>
    <w:div w:id="168758019">
      <w:bodyDiv w:val="1"/>
      <w:marLeft w:val="0"/>
      <w:marRight w:val="0"/>
      <w:marTop w:val="0"/>
      <w:marBottom w:val="0"/>
      <w:divBdr>
        <w:top w:val="none" w:sz="0" w:space="0" w:color="auto"/>
        <w:left w:val="none" w:sz="0" w:space="0" w:color="auto"/>
        <w:bottom w:val="none" w:sz="0" w:space="0" w:color="auto"/>
        <w:right w:val="none" w:sz="0" w:space="0" w:color="auto"/>
      </w:divBdr>
    </w:div>
    <w:div w:id="169762776">
      <w:bodyDiv w:val="1"/>
      <w:marLeft w:val="0"/>
      <w:marRight w:val="0"/>
      <w:marTop w:val="0"/>
      <w:marBottom w:val="0"/>
      <w:divBdr>
        <w:top w:val="none" w:sz="0" w:space="0" w:color="auto"/>
        <w:left w:val="none" w:sz="0" w:space="0" w:color="auto"/>
        <w:bottom w:val="none" w:sz="0" w:space="0" w:color="auto"/>
        <w:right w:val="none" w:sz="0" w:space="0" w:color="auto"/>
      </w:divBdr>
    </w:div>
    <w:div w:id="169830938">
      <w:bodyDiv w:val="1"/>
      <w:marLeft w:val="0"/>
      <w:marRight w:val="0"/>
      <w:marTop w:val="0"/>
      <w:marBottom w:val="0"/>
      <w:divBdr>
        <w:top w:val="none" w:sz="0" w:space="0" w:color="auto"/>
        <w:left w:val="none" w:sz="0" w:space="0" w:color="auto"/>
        <w:bottom w:val="none" w:sz="0" w:space="0" w:color="auto"/>
        <w:right w:val="none" w:sz="0" w:space="0" w:color="auto"/>
      </w:divBdr>
    </w:div>
    <w:div w:id="170605240">
      <w:bodyDiv w:val="1"/>
      <w:marLeft w:val="0"/>
      <w:marRight w:val="0"/>
      <w:marTop w:val="0"/>
      <w:marBottom w:val="0"/>
      <w:divBdr>
        <w:top w:val="none" w:sz="0" w:space="0" w:color="auto"/>
        <w:left w:val="none" w:sz="0" w:space="0" w:color="auto"/>
        <w:bottom w:val="none" w:sz="0" w:space="0" w:color="auto"/>
        <w:right w:val="none" w:sz="0" w:space="0" w:color="auto"/>
      </w:divBdr>
    </w:div>
    <w:div w:id="171073178">
      <w:bodyDiv w:val="1"/>
      <w:marLeft w:val="0"/>
      <w:marRight w:val="0"/>
      <w:marTop w:val="0"/>
      <w:marBottom w:val="0"/>
      <w:divBdr>
        <w:top w:val="none" w:sz="0" w:space="0" w:color="auto"/>
        <w:left w:val="none" w:sz="0" w:space="0" w:color="auto"/>
        <w:bottom w:val="none" w:sz="0" w:space="0" w:color="auto"/>
        <w:right w:val="none" w:sz="0" w:space="0" w:color="auto"/>
      </w:divBdr>
    </w:div>
    <w:div w:id="171533587">
      <w:bodyDiv w:val="1"/>
      <w:marLeft w:val="0"/>
      <w:marRight w:val="0"/>
      <w:marTop w:val="0"/>
      <w:marBottom w:val="0"/>
      <w:divBdr>
        <w:top w:val="none" w:sz="0" w:space="0" w:color="auto"/>
        <w:left w:val="none" w:sz="0" w:space="0" w:color="auto"/>
        <w:bottom w:val="none" w:sz="0" w:space="0" w:color="auto"/>
        <w:right w:val="none" w:sz="0" w:space="0" w:color="auto"/>
      </w:divBdr>
    </w:div>
    <w:div w:id="171843218">
      <w:bodyDiv w:val="1"/>
      <w:marLeft w:val="0"/>
      <w:marRight w:val="0"/>
      <w:marTop w:val="0"/>
      <w:marBottom w:val="0"/>
      <w:divBdr>
        <w:top w:val="none" w:sz="0" w:space="0" w:color="auto"/>
        <w:left w:val="none" w:sz="0" w:space="0" w:color="auto"/>
        <w:bottom w:val="none" w:sz="0" w:space="0" w:color="auto"/>
        <w:right w:val="none" w:sz="0" w:space="0" w:color="auto"/>
      </w:divBdr>
    </w:div>
    <w:div w:id="171920381">
      <w:bodyDiv w:val="1"/>
      <w:marLeft w:val="0"/>
      <w:marRight w:val="0"/>
      <w:marTop w:val="0"/>
      <w:marBottom w:val="0"/>
      <w:divBdr>
        <w:top w:val="none" w:sz="0" w:space="0" w:color="auto"/>
        <w:left w:val="none" w:sz="0" w:space="0" w:color="auto"/>
        <w:bottom w:val="none" w:sz="0" w:space="0" w:color="auto"/>
        <w:right w:val="none" w:sz="0" w:space="0" w:color="auto"/>
      </w:divBdr>
    </w:div>
    <w:div w:id="172500454">
      <w:bodyDiv w:val="1"/>
      <w:marLeft w:val="0"/>
      <w:marRight w:val="0"/>
      <w:marTop w:val="0"/>
      <w:marBottom w:val="0"/>
      <w:divBdr>
        <w:top w:val="none" w:sz="0" w:space="0" w:color="auto"/>
        <w:left w:val="none" w:sz="0" w:space="0" w:color="auto"/>
        <w:bottom w:val="none" w:sz="0" w:space="0" w:color="auto"/>
        <w:right w:val="none" w:sz="0" w:space="0" w:color="auto"/>
      </w:divBdr>
    </w:div>
    <w:div w:id="172688786">
      <w:bodyDiv w:val="1"/>
      <w:marLeft w:val="0"/>
      <w:marRight w:val="0"/>
      <w:marTop w:val="0"/>
      <w:marBottom w:val="0"/>
      <w:divBdr>
        <w:top w:val="none" w:sz="0" w:space="0" w:color="auto"/>
        <w:left w:val="none" w:sz="0" w:space="0" w:color="auto"/>
        <w:bottom w:val="none" w:sz="0" w:space="0" w:color="auto"/>
        <w:right w:val="none" w:sz="0" w:space="0" w:color="auto"/>
      </w:divBdr>
    </w:div>
    <w:div w:id="173345248">
      <w:bodyDiv w:val="1"/>
      <w:marLeft w:val="0"/>
      <w:marRight w:val="0"/>
      <w:marTop w:val="0"/>
      <w:marBottom w:val="0"/>
      <w:divBdr>
        <w:top w:val="none" w:sz="0" w:space="0" w:color="auto"/>
        <w:left w:val="none" w:sz="0" w:space="0" w:color="auto"/>
        <w:bottom w:val="none" w:sz="0" w:space="0" w:color="auto"/>
        <w:right w:val="none" w:sz="0" w:space="0" w:color="auto"/>
      </w:divBdr>
    </w:div>
    <w:div w:id="173346386">
      <w:bodyDiv w:val="1"/>
      <w:marLeft w:val="0"/>
      <w:marRight w:val="0"/>
      <w:marTop w:val="0"/>
      <w:marBottom w:val="0"/>
      <w:divBdr>
        <w:top w:val="none" w:sz="0" w:space="0" w:color="auto"/>
        <w:left w:val="none" w:sz="0" w:space="0" w:color="auto"/>
        <w:bottom w:val="none" w:sz="0" w:space="0" w:color="auto"/>
        <w:right w:val="none" w:sz="0" w:space="0" w:color="auto"/>
      </w:divBdr>
    </w:div>
    <w:div w:id="173689720">
      <w:bodyDiv w:val="1"/>
      <w:marLeft w:val="0"/>
      <w:marRight w:val="0"/>
      <w:marTop w:val="0"/>
      <w:marBottom w:val="0"/>
      <w:divBdr>
        <w:top w:val="none" w:sz="0" w:space="0" w:color="auto"/>
        <w:left w:val="none" w:sz="0" w:space="0" w:color="auto"/>
        <w:bottom w:val="none" w:sz="0" w:space="0" w:color="auto"/>
        <w:right w:val="none" w:sz="0" w:space="0" w:color="auto"/>
      </w:divBdr>
      <w:divsChild>
        <w:div w:id="113405671">
          <w:marLeft w:val="0"/>
          <w:marRight w:val="0"/>
          <w:marTop w:val="0"/>
          <w:marBottom w:val="0"/>
          <w:divBdr>
            <w:top w:val="none" w:sz="0" w:space="0" w:color="auto"/>
            <w:left w:val="none" w:sz="0" w:space="0" w:color="auto"/>
            <w:bottom w:val="none" w:sz="0" w:space="0" w:color="auto"/>
            <w:right w:val="none" w:sz="0" w:space="0" w:color="auto"/>
          </w:divBdr>
        </w:div>
      </w:divsChild>
    </w:div>
    <w:div w:id="173882951">
      <w:bodyDiv w:val="1"/>
      <w:marLeft w:val="0"/>
      <w:marRight w:val="0"/>
      <w:marTop w:val="0"/>
      <w:marBottom w:val="0"/>
      <w:divBdr>
        <w:top w:val="none" w:sz="0" w:space="0" w:color="auto"/>
        <w:left w:val="none" w:sz="0" w:space="0" w:color="auto"/>
        <w:bottom w:val="none" w:sz="0" w:space="0" w:color="auto"/>
        <w:right w:val="none" w:sz="0" w:space="0" w:color="auto"/>
      </w:divBdr>
    </w:div>
    <w:div w:id="174468355">
      <w:bodyDiv w:val="1"/>
      <w:marLeft w:val="0"/>
      <w:marRight w:val="0"/>
      <w:marTop w:val="0"/>
      <w:marBottom w:val="0"/>
      <w:divBdr>
        <w:top w:val="none" w:sz="0" w:space="0" w:color="auto"/>
        <w:left w:val="none" w:sz="0" w:space="0" w:color="auto"/>
        <w:bottom w:val="none" w:sz="0" w:space="0" w:color="auto"/>
        <w:right w:val="none" w:sz="0" w:space="0" w:color="auto"/>
      </w:divBdr>
    </w:div>
    <w:div w:id="175117008">
      <w:bodyDiv w:val="1"/>
      <w:marLeft w:val="0"/>
      <w:marRight w:val="0"/>
      <w:marTop w:val="0"/>
      <w:marBottom w:val="0"/>
      <w:divBdr>
        <w:top w:val="none" w:sz="0" w:space="0" w:color="auto"/>
        <w:left w:val="none" w:sz="0" w:space="0" w:color="auto"/>
        <w:bottom w:val="none" w:sz="0" w:space="0" w:color="auto"/>
        <w:right w:val="none" w:sz="0" w:space="0" w:color="auto"/>
      </w:divBdr>
    </w:div>
    <w:div w:id="175271384">
      <w:bodyDiv w:val="1"/>
      <w:marLeft w:val="0"/>
      <w:marRight w:val="0"/>
      <w:marTop w:val="0"/>
      <w:marBottom w:val="0"/>
      <w:divBdr>
        <w:top w:val="none" w:sz="0" w:space="0" w:color="auto"/>
        <w:left w:val="none" w:sz="0" w:space="0" w:color="auto"/>
        <w:bottom w:val="none" w:sz="0" w:space="0" w:color="auto"/>
        <w:right w:val="none" w:sz="0" w:space="0" w:color="auto"/>
      </w:divBdr>
    </w:div>
    <w:div w:id="176042925">
      <w:bodyDiv w:val="1"/>
      <w:marLeft w:val="0"/>
      <w:marRight w:val="0"/>
      <w:marTop w:val="0"/>
      <w:marBottom w:val="0"/>
      <w:divBdr>
        <w:top w:val="none" w:sz="0" w:space="0" w:color="auto"/>
        <w:left w:val="none" w:sz="0" w:space="0" w:color="auto"/>
        <w:bottom w:val="none" w:sz="0" w:space="0" w:color="auto"/>
        <w:right w:val="none" w:sz="0" w:space="0" w:color="auto"/>
      </w:divBdr>
    </w:div>
    <w:div w:id="176234970">
      <w:bodyDiv w:val="1"/>
      <w:marLeft w:val="0"/>
      <w:marRight w:val="0"/>
      <w:marTop w:val="0"/>
      <w:marBottom w:val="0"/>
      <w:divBdr>
        <w:top w:val="none" w:sz="0" w:space="0" w:color="auto"/>
        <w:left w:val="none" w:sz="0" w:space="0" w:color="auto"/>
        <w:bottom w:val="none" w:sz="0" w:space="0" w:color="auto"/>
        <w:right w:val="none" w:sz="0" w:space="0" w:color="auto"/>
      </w:divBdr>
    </w:div>
    <w:div w:id="176769136">
      <w:bodyDiv w:val="1"/>
      <w:marLeft w:val="0"/>
      <w:marRight w:val="0"/>
      <w:marTop w:val="0"/>
      <w:marBottom w:val="0"/>
      <w:divBdr>
        <w:top w:val="none" w:sz="0" w:space="0" w:color="auto"/>
        <w:left w:val="none" w:sz="0" w:space="0" w:color="auto"/>
        <w:bottom w:val="none" w:sz="0" w:space="0" w:color="auto"/>
        <w:right w:val="none" w:sz="0" w:space="0" w:color="auto"/>
      </w:divBdr>
    </w:div>
    <w:div w:id="177081541">
      <w:bodyDiv w:val="1"/>
      <w:marLeft w:val="0"/>
      <w:marRight w:val="0"/>
      <w:marTop w:val="0"/>
      <w:marBottom w:val="0"/>
      <w:divBdr>
        <w:top w:val="none" w:sz="0" w:space="0" w:color="auto"/>
        <w:left w:val="none" w:sz="0" w:space="0" w:color="auto"/>
        <w:bottom w:val="none" w:sz="0" w:space="0" w:color="auto"/>
        <w:right w:val="none" w:sz="0" w:space="0" w:color="auto"/>
      </w:divBdr>
    </w:div>
    <w:div w:id="177936052">
      <w:bodyDiv w:val="1"/>
      <w:marLeft w:val="0"/>
      <w:marRight w:val="0"/>
      <w:marTop w:val="0"/>
      <w:marBottom w:val="0"/>
      <w:divBdr>
        <w:top w:val="none" w:sz="0" w:space="0" w:color="auto"/>
        <w:left w:val="none" w:sz="0" w:space="0" w:color="auto"/>
        <w:bottom w:val="none" w:sz="0" w:space="0" w:color="auto"/>
        <w:right w:val="none" w:sz="0" w:space="0" w:color="auto"/>
      </w:divBdr>
    </w:div>
    <w:div w:id="178352838">
      <w:bodyDiv w:val="1"/>
      <w:marLeft w:val="0"/>
      <w:marRight w:val="0"/>
      <w:marTop w:val="0"/>
      <w:marBottom w:val="0"/>
      <w:divBdr>
        <w:top w:val="none" w:sz="0" w:space="0" w:color="auto"/>
        <w:left w:val="none" w:sz="0" w:space="0" w:color="auto"/>
        <w:bottom w:val="none" w:sz="0" w:space="0" w:color="auto"/>
        <w:right w:val="none" w:sz="0" w:space="0" w:color="auto"/>
      </w:divBdr>
    </w:div>
    <w:div w:id="178471474">
      <w:bodyDiv w:val="1"/>
      <w:marLeft w:val="0"/>
      <w:marRight w:val="0"/>
      <w:marTop w:val="0"/>
      <w:marBottom w:val="0"/>
      <w:divBdr>
        <w:top w:val="none" w:sz="0" w:space="0" w:color="auto"/>
        <w:left w:val="none" w:sz="0" w:space="0" w:color="auto"/>
        <w:bottom w:val="none" w:sz="0" w:space="0" w:color="auto"/>
        <w:right w:val="none" w:sz="0" w:space="0" w:color="auto"/>
      </w:divBdr>
    </w:div>
    <w:div w:id="179242918">
      <w:bodyDiv w:val="1"/>
      <w:marLeft w:val="0"/>
      <w:marRight w:val="0"/>
      <w:marTop w:val="0"/>
      <w:marBottom w:val="0"/>
      <w:divBdr>
        <w:top w:val="none" w:sz="0" w:space="0" w:color="auto"/>
        <w:left w:val="none" w:sz="0" w:space="0" w:color="auto"/>
        <w:bottom w:val="none" w:sz="0" w:space="0" w:color="auto"/>
        <w:right w:val="none" w:sz="0" w:space="0" w:color="auto"/>
      </w:divBdr>
    </w:div>
    <w:div w:id="179852466">
      <w:bodyDiv w:val="1"/>
      <w:marLeft w:val="0"/>
      <w:marRight w:val="0"/>
      <w:marTop w:val="0"/>
      <w:marBottom w:val="0"/>
      <w:divBdr>
        <w:top w:val="none" w:sz="0" w:space="0" w:color="auto"/>
        <w:left w:val="none" w:sz="0" w:space="0" w:color="auto"/>
        <w:bottom w:val="none" w:sz="0" w:space="0" w:color="auto"/>
        <w:right w:val="none" w:sz="0" w:space="0" w:color="auto"/>
      </w:divBdr>
    </w:div>
    <w:div w:id="180242674">
      <w:bodyDiv w:val="1"/>
      <w:marLeft w:val="0"/>
      <w:marRight w:val="0"/>
      <w:marTop w:val="0"/>
      <w:marBottom w:val="0"/>
      <w:divBdr>
        <w:top w:val="none" w:sz="0" w:space="0" w:color="auto"/>
        <w:left w:val="none" w:sz="0" w:space="0" w:color="auto"/>
        <w:bottom w:val="none" w:sz="0" w:space="0" w:color="auto"/>
        <w:right w:val="none" w:sz="0" w:space="0" w:color="auto"/>
      </w:divBdr>
    </w:div>
    <w:div w:id="180899523">
      <w:bodyDiv w:val="1"/>
      <w:marLeft w:val="0"/>
      <w:marRight w:val="0"/>
      <w:marTop w:val="0"/>
      <w:marBottom w:val="0"/>
      <w:divBdr>
        <w:top w:val="none" w:sz="0" w:space="0" w:color="auto"/>
        <w:left w:val="none" w:sz="0" w:space="0" w:color="auto"/>
        <w:bottom w:val="none" w:sz="0" w:space="0" w:color="auto"/>
        <w:right w:val="none" w:sz="0" w:space="0" w:color="auto"/>
      </w:divBdr>
    </w:div>
    <w:div w:id="181479881">
      <w:bodyDiv w:val="1"/>
      <w:marLeft w:val="0"/>
      <w:marRight w:val="0"/>
      <w:marTop w:val="0"/>
      <w:marBottom w:val="0"/>
      <w:divBdr>
        <w:top w:val="none" w:sz="0" w:space="0" w:color="auto"/>
        <w:left w:val="none" w:sz="0" w:space="0" w:color="auto"/>
        <w:bottom w:val="none" w:sz="0" w:space="0" w:color="auto"/>
        <w:right w:val="none" w:sz="0" w:space="0" w:color="auto"/>
      </w:divBdr>
    </w:div>
    <w:div w:id="181550810">
      <w:bodyDiv w:val="1"/>
      <w:marLeft w:val="0"/>
      <w:marRight w:val="0"/>
      <w:marTop w:val="0"/>
      <w:marBottom w:val="0"/>
      <w:divBdr>
        <w:top w:val="none" w:sz="0" w:space="0" w:color="auto"/>
        <w:left w:val="none" w:sz="0" w:space="0" w:color="auto"/>
        <w:bottom w:val="none" w:sz="0" w:space="0" w:color="auto"/>
        <w:right w:val="none" w:sz="0" w:space="0" w:color="auto"/>
      </w:divBdr>
    </w:div>
    <w:div w:id="181744195">
      <w:bodyDiv w:val="1"/>
      <w:marLeft w:val="0"/>
      <w:marRight w:val="0"/>
      <w:marTop w:val="0"/>
      <w:marBottom w:val="0"/>
      <w:divBdr>
        <w:top w:val="none" w:sz="0" w:space="0" w:color="auto"/>
        <w:left w:val="none" w:sz="0" w:space="0" w:color="auto"/>
        <w:bottom w:val="none" w:sz="0" w:space="0" w:color="auto"/>
        <w:right w:val="none" w:sz="0" w:space="0" w:color="auto"/>
      </w:divBdr>
    </w:div>
    <w:div w:id="181749456">
      <w:bodyDiv w:val="1"/>
      <w:marLeft w:val="0"/>
      <w:marRight w:val="0"/>
      <w:marTop w:val="0"/>
      <w:marBottom w:val="0"/>
      <w:divBdr>
        <w:top w:val="none" w:sz="0" w:space="0" w:color="auto"/>
        <w:left w:val="none" w:sz="0" w:space="0" w:color="auto"/>
        <w:bottom w:val="none" w:sz="0" w:space="0" w:color="auto"/>
        <w:right w:val="none" w:sz="0" w:space="0" w:color="auto"/>
      </w:divBdr>
    </w:div>
    <w:div w:id="182327224">
      <w:bodyDiv w:val="1"/>
      <w:marLeft w:val="0"/>
      <w:marRight w:val="0"/>
      <w:marTop w:val="0"/>
      <w:marBottom w:val="0"/>
      <w:divBdr>
        <w:top w:val="none" w:sz="0" w:space="0" w:color="auto"/>
        <w:left w:val="none" w:sz="0" w:space="0" w:color="auto"/>
        <w:bottom w:val="none" w:sz="0" w:space="0" w:color="auto"/>
        <w:right w:val="none" w:sz="0" w:space="0" w:color="auto"/>
      </w:divBdr>
    </w:div>
    <w:div w:id="182869133">
      <w:bodyDiv w:val="1"/>
      <w:marLeft w:val="0"/>
      <w:marRight w:val="0"/>
      <w:marTop w:val="0"/>
      <w:marBottom w:val="0"/>
      <w:divBdr>
        <w:top w:val="none" w:sz="0" w:space="0" w:color="auto"/>
        <w:left w:val="none" w:sz="0" w:space="0" w:color="auto"/>
        <w:bottom w:val="none" w:sz="0" w:space="0" w:color="auto"/>
        <w:right w:val="none" w:sz="0" w:space="0" w:color="auto"/>
      </w:divBdr>
    </w:div>
    <w:div w:id="182939598">
      <w:bodyDiv w:val="1"/>
      <w:marLeft w:val="0"/>
      <w:marRight w:val="0"/>
      <w:marTop w:val="0"/>
      <w:marBottom w:val="0"/>
      <w:divBdr>
        <w:top w:val="none" w:sz="0" w:space="0" w:color="auto"/>
        <w:left w:val="none" w:sz="0" w:space="0" w:color="auto"/>
        <w:bottom w:val="none" w:sz="0" w:space="0" w:color="auto"/>
        <w:right w:val="none" w:sz="0" w:space="0" w:color="auto"/>
      </w:divBdr>
    </w:div>
    <w:div w:id="183373039">
      <w:bodyDiv w:val="1"/>
      <w:marLeft w:val="0"/>
      <w:marRight w:val="0"/>
      <w:marTop w:val="0"/>
      <w:marBottom w:val="0"/>
      <w:divBdr>
        <w:top w:val="none" w:sz="0" w:space="0" w:color="auto"/>
        <w:left w:val="none" w:sz="0" w:space="0" w:color="auto"/>
        <w:bottom w:val="none" w:sz="0" w:space="0" w:color="auto"/>
        <w:right w:val="none" w:sz="0" w:space="0" w:color="auto"/>
      </w:divBdr>
    </w:div>
    <w:div w:id="184052866">
      <w:bodyDiv w:val="1"/>
      <w:marLeft w:val="0"/>
      <w:marRight w:val="0"/>
      <w:marTop w:val="0"/>
      <w:marBottom w:val="0"/>
      <w:divBdr>
        <w:top w:val="none" w:sz="0" w:space="0" w:color="auto"/>
        <w:left w:val="none" w:sz="0" w:space="0" w:color="auto"/>
        <w:bottom w:val="none" w:sz="0" w:space="0" w:color="auto"/>
        <w:right w:val="none" w:sz="0" w:space="0" w:color="auto"/>
      </w:divBdr>
    </w:div>
    <w:div w:id="184639767">
      <w:bodyDiv w:val="1"/>
      <w:marLeft w:val="0"/>
      <w:marRight w:val="0"/>
      <w:marTop w:val="0"/>
      <w:marBottom w:val="0"/>
      <w:divBdr>
        <w:top w:val="none" w:sz="0" w:space="0" w:color="auto"/>
        <w:left w:val="none" w:sz="0" w:space="0" w:color="auto"/>
        <w:bottom w:val="none" w:sz="0" w:space="0" w:color="auto"/>
        <w:right w:val="none" w:sz="0" w:space="0" w:color="auto"/>
      </w:divBdr>
    </w:div>
    <w:div w:id="184682300">
      <w:bodyDiv w:val="1"/>
      <w:marLeft w:val="0"/>
      <w:marRight w:val="0"/>
      <w:marTop w:val="0"/>
      <w:marBottom w:val="0"/>
      <w:divBdr>
        <w:top w:val="none" w:sz="0" w:space="0" w:color="auto"/>
        <w:left w:val="none" w:sz="0" w:space="0" w:color="auto"/>
        <w:bottom w:val="none" w:sz="0" w:space="0" w:color="auto"/>
        <w:right w:val="none" w:sz="0" w:space="0" w:color="auto"/>
      </w:divBdr>
    </w:div>
    <w:div w:id="185098512">
      <w:bodyDiv w:val="1"/>
      <w:marLeft w:val="0"/>
      <w:marRight w:val="0"/>
      <w:marTop w:val="0"/>
      <w:marBottom w:val="0"/>
      <w:divBdr>
        <w:top w:val="none" w:sz="0" w:space="0" w:color="auto"/>
        <w:left w:val="none" w:sz="0" w:space="0" w:color="auto"/>
        <w:bottom w:val="none" w:sz="0" w:space="0" w:color="auto"/>
        <w:right w:val="none" w:sz="0" w:space="0" w:color="auto"/>
      </w:divBdr>
    </w:div>
    <w:div w:id="185561882">
      <w:bodyDiv w:val="1"/>
      <w:marLeft w:val="0"/>
      <w:marRight w:val="0"/>
      <w:marTop w:val="0"/>
      <w:marBottom w:val="0"/>
      <w:divBdr>
        <w:top w:val="none" w:sz="0" w:space="0" w:color="auto"/>
        <w:left w:val="none" w:sz="0" w:space="0" w:color="auto"/>
        <w:bottom w:val="none" w:sz="0" w:space="0" w:color="auto"/>
        <w:right w:val="none" w:sz="0" w:space="0" w:color="auto"/>
      </w:divBdr>
    </w:div>
    <w:div w:id="185603328">
      <w:bodyDiv w:val="1"/>
      <w:marLeft w:val="0"/>
      <w:marRight w:val="0"/>
      <w:marTop w:val="0"/>
      <w:marBottom w:val="0"/>
      <w:divBdr>
        <w:top w:val="none" w:sz="0" w:space="0" w:color="auto"/>
        <w:left w:val="none" w:sz="0" w:space="0" w:color="auto"/>
        <w:bottom w:val="none" w:sz="0" w:space="0" w:color="auto"/>
        <w:right w:val="none" w:sz="0" w:space="0" w:color="auto"/>
      </w:divBdr>
    </w:div>
    <w:div w:id="186330279">
      <w:bodyDiv w:val="1"/>
      <w:marLeft w:val="0"/>
      <w:marRight w:val="0"/>
      <w:marTop w:val="0"/>
      <w:marBottom w:val="0"/>
      <w:divBdr>
        <w:top w:val="none" w:sz="0" w:space="0" w:color="auto"/>
        <w:left w:val="none" w:sz="0" w:space="0" w:color="auto"/>
        <w:bottom w:val="none" w:sz="0" w:space="0" w:color="auto"/>
        <w:right w:val="none" w:sz="0" w:space="0" w:color="auto"/>
      </w:divBdr>
    </w:div>
    <w:div w:id="186410961">
      <w:bodyDiv w:val="1"/>
      <w:marLeft w:val="0"/>
      <w:marRight w:val="0"/>
      <w:marTop w:val="0"/>
      <w:marBottom w:val="0"/>
      <w:divBdr>
        <w:top w:val="none" w:sz="0" w:space="0" w:color="auto"/>
        <w:left w:val="none" w:sz="0" w:space="0" w:color="auto"/>
        <w:bottom w:val="none" w:sz="0" w:space="0" w:color="auto"/>
        <w:right w:val="none" w:sz="0" w:space="0" w:color="auto"/>
      </w:divBdr>
    </w:div>
    <w:div w:id="186527537">
      <w:bodyDiv w:val="1"/>
      <w:marLeft w:val="0"/>
      <w:marRight w:val="0"/>
      <w:marTop w:val="0"/>
      <w:marBottom w:val="0"/>
      <w:divBdr>
        <w:top w:val="none" w:sz="0" w:space="0" w:color="auto"/>
        <w:left w:val="none" w:sz="0" w:space="0" w:color="auto"/>
        <w:bottom w:val="none" w:sz="0" w:space="0" w:color="auto"/>
        <w:right w:val="none" w:sz="0" w:space="0" w:color="auto"/>
      </w:divBdr>
    </w:div>
    <w:div w:id="186673939">
      <w:bodyDiv w:val="1"/>
      <w:marLeft w:val="0"/>
      <w:marRight w:val="0"/>
      <w:marTop w:val="0"/>
      <w:marBottom w:val="0"/>
      <w:divBdr>
        <w:top w:val="none" w:sz="0" w:space="0" w:color="auto"/>
        <w:left w:val="none" w:sz="0" w:space="0" w:color="auto"/>
        <w:bottom w:val="none" w:sz="0" w:space="0" w:color="auto"/>
        <w:right w:val="none" w:sz="0" w:space="0" w:color="auto"/>
      </w:divBdr>
    </w:div>
    <w:div w:id="187522641">
      <w:bodyDiv w:val="1"/>
      <w:marLeft w:val="0"/>
      <w:marRight w:val="0"/>
      <w:marTop w:val="0"/>
      <w:marBottom w:val="0"/>
      <w:divBdr>
        <w:top w:val="none" w:sz="0" w:space="0" w:color="auto"/>
        <w:left w:val="none" w:sz="0" w:space="0" w:color="auto"/>
        <w:bottom w:val="none" w:sz="0" w:space="0" w:color="auto"/>
        <w:right w:val="none" w:sz="0" w:space="0" w:color="auto"/>
      </w:divBdr>
    </w:div>
    <w:div w:id="187530875">
      <w:bodyDiv w:val="1"/>
      <w:marLeft w:val="0"/>
      <w:marRight w:val="0"/>
      <w:marTop w:val="0"/>
      <w:marBottom w:val="0"/>
      <w:divBdr>
        <w:top w:val="none" w:sz="0" w:space="0" w:color="auto"/>
        <w:left w:val="none" w:sz="0" w:space="0" w:color="auto"/>
        <w:bottom w:val="none" w:sz="0" w:space="0" w:color="auto"/>
        <w:right w:val="none" w:sz="0" w:space="0" w:color="auto"/>
      </w:divBdr>
    </w:div>
    <w:div w:id="187987435">
      <w:bodyDiv w:val="1"/>
      <w:marLeft w:val="0"/>
      <w:marRight w:val="0"/>
      <w:marTop w:val="0"/>
      <w:marBottom w:val="0"/>
      <w:divBdr>
        <w:top w:val="none" w:sz="0" w:space="0" w:color="auto"/>
        <w:left w:val="none" w:sz="0" w:space="0" w:color="auto"/>
        <w:bottom w:val="none" w:sz="0" w:space="0" w:color="auto"/>
        <w:right w:val="none" w:sz="0" w:space="0" w:color="auto"/>
      </w:divBdr>
    </w:div>
    <w:div w:id="187989780">
      <w:bodyDiv w:val="1"/>
      <w:marLeft w:val="0"/>
      <w:marRight w:val="0"/>
      <w:marTop w:val="0"/>
      <w:marBottom w:val="0"/>
      <w:divBdr>
        <w:top w:val="none" w:sz="0" w:space="0" w:color="auto"/>
        <w:left w:val="none" w:sz="0" w:space="0" w:color="auto"/>
        <w:bottom w:val="none" w:sz="0" w:space="0" w:color="auto"/>
        <w:right w:val="none" w:sz="0" w:space="0" w:color="auto"/>
      </w:divBdr>
    </w:div>
    <w:div w:id="188027743">
      <w:bodyDiv w:val="1"/>
      <w:marLeft w:val="0"/>
      <w:marRight w:val="0"/>
      <w:marTop w:val="0"/>
      <w:marBottom w:val="0"/>
      <w:divBdr>
        <w:top w:val="none" w:sz="0" w:space="0" w:color="auto"/>
        <w:left w:val="none" w:sz="0" w:space="0" w:color="auto"/>
        <w:bottom w:val="none" w:sz="0" w:space="0" w:color="auto"/>
        <w:right w:val="none" w:sz="0" w:space="0" w:color="auto"/>
      </w:divBdr>
    </w:div>
    <w:div w:id="188029201">
      <w:bodyDiv w:val="1"/>
      <w:marLeft w:val="0"/>
      <w:marRight w:val="0"/>
      <w:marTop w:val="0"/>
      <w:marBottom w:val="0"/>
      <w:divBdr>
        <w:top w:val="none" w:sz="0" w:space="0" w:color="auto"/>
        <w:left w:val="none" w:sz="0" w:space="0" w:color="auto"/>
        <w:bottom w:val="none" w:sz="0" w:space="0" w:color="auto"/>
        <w:right w:val="none" w:sz="0" w:space="0" w:color="auto"/>
      </w:divBdr>
    </w:div>
    <w:div w:id="188301461">
      <w:bodyDiv w:val="1"/>
      <w:marLeft w:val="0"/>
      <w:marRight w:val="0"/>
      <w:marTop w:val="0"/>
      <w:marBottom w:val="0"/>
      <w:divBdr>
        <w:top w:val="none" w:sz="0" w:space="0" w:color="auto"/>
        <w:left w:val="none" w:sz="0" w:space="0" w:color="auto"/>
        <w:bottom w:val="none" w:sz="0" w:space="0" w:color="auto"/>
        <w:right w:val="none" w:sz="0" w:space="0" w:color="auto"/>
      </w:divBdr>
    </w:div>
    <w:div w:id="188689763">
      <w:bodyDiv w:val="1"/>
      <w:marLeft w:val="0"/>
      <w:marRight w:val="0"/>
      <w:marTop w:val="0"/>
      <w:marBottom w:val="0"/>
      <w:divBdr>
        <w:top w:val="none" w:sz="0" w:space="0" w:color="auto"/>
        <w:left w:val="none" w:sz="0" w:space="0" w:color="auto"/>
        <w:bottom w:val="none" w:sz="0" w:space="0" w:color="auto"/>
        <w:right w:val="none" w:sz="0" w:space="0" w:color="auto"/>
      </w:divBdr>
    </w:div>
    <w:div w:id="189144855">
      <w:bodyDiv w:val="1"/>
      <w:marLeft w:val="0"/>
      <w:marRight w:val="0"/>
      <w:marTop w:val="0"/>
      <w:marBottom w:val="0"/>
      <w:divBdr>
        <w:top w:val="none" w:sz="0" w:space="0" w:color="auto"/>
        <w:left w:val="none" w:sz="0" w:space="0" w:color="auto"/>
        <w:bottom w:val="none" w:sz="0" w:space="0" w:color="auto"/>
        <w:right w:val="none" w:sz="0" w:space="0" w:color="auto"/>
      </w:divBdr>
    </w:div>
    <w:div w:id="189222088">
      <w:bodyDiv w:val="1"/>
      <w:marLeft w:val="0"/>
      <w:marRight w:val="0"/>
      <w:marTop w:val="0"/>
      <w:marBottom w:val="0"/>
      <w:divBdr>
        <w:top w:val="none" w:sz="0" w:space="0" w:color="auto"/>
        <w:left w:val="none" w:sz="0" w:space="0" w:color="auto"/>
        <w:bottom w:val="none" w:sz="0" w:space="0" w:color="auto"/>
        <w:right w:val="none" w:sz="0" w:space="0" w:color="auto"/>
      </w:divBdr>
    </w:div>
    <w:div w:id="189421171">
      <w:bodyDiv w:val="1"/>
      <w:marLeft w:val="0"/>
      <w:marRight w:val="0"/>
      <w:marTop w:val="0"/>
      <w:marBottom w:val="0"/>
      <w:divBdr>
        <w:top w:val="none" w:sz="0" w:space="0" w:color="auto"/>
        <w:left w:val="none" w:sz="0" w:space="0" w:color="auto"/>
        <w:bottom w:val="none" w:sz="0" w:space="0" w:color="auto"/>
        <w:right w:val="none" w:sz="0" w:space="0" w:color="auto"/>
      </w:divBdr>
    </w:div>
    <w:div w:id="190189350">
      <w:bodyDiv w:val="1"/>
      <w:marLeft w:val="0"/>
      <w:marRight w:val="0"/>
      <w:marTop w:val="0"/>
      <w:marBottom w:val="0"/>
      <w:divBdr>
        <w:top w:val="none" w:sz="0" w:space="0" w:color="auto"/>
        <w:left w:val="none" w:sz="0" w:space="0" w:color="auto"/>
        <w:bottom w:val="none" w:sz="0" w:space="0" w:color="auto"/>
        <w:right w:val="none" w:sz="0" w:space="0" w:color="auto"/>
      </w:divBdr>
    </w:div>
    <w:div w:id="190189664">
      <w:bodyDiv w:val="1"/>
      <w:marLeft w:val="0"/>
      <w:marRight w:val="0"/>
      <w:marTop w:val="0"/>
      <w:marBottom w:val="0"/>
      <w:divBdr>
        <w:top w:val="none" w:sz="0" w:space="0" w:color="auto"/>
        <w:left w:val="none" w:sz="0" w:space="0" w:color="auto"/>
        <w:bottom w:val="none" w:sz="0" w:space="0" w:color="auto"/>
        <w:right w:val="none" w:sz="0" w:space="0" w:color="auto"/>
      </w:divBdr>
    </w:div>
    <w:div w:id="190382151">
      <w:bodyDiv w:val="1"/>
      <w:marLeft w:val="0"/>
      <w:marRight w:val="0"/>
      <w:marTop w:val="0"/>
      <w:marBottom w:val="0"/>
      <w:divBdr>
        <w:top w:val="none" w:sz="0" w:space="0" w:color="auto"/>
        <w:left w:val="none" w:sz="0" w:space="0" w:color="auto"/>
        <w:bottom w:val="none" w:sz="0" w:space="0" w:color="auto"/>
        <w:right w:val="none" w:sz="0" w:space="0" w:color="auto"/>
      </w:divBdr>
    </w:div>
    <w:div w:id="190650595">
      <w:bodyDiv w:val="1"/>
      <w:marLeft w:val="0"/>
      <w:marRight w:val="0"/>
      <w:marTop w:val="0"/>
      <w:marBottom w:val="0"/>
      <w:divBdr>
        <w:top w:val="none" w:sz="0" w:space="0" w:color="auto"/>
        <w:left w:val="none" w:sz="0" w:space="0" w:color="auto"/>
        <w:bottom w:val="none" w:sz="0" w:space="0" w:color="auto"/>
        <w:right w:val="none" w:sz="0" w:space="0" w:color="auto"/>
      </w:divBdr>
    </w:div>
    <w:div w:id="190725033">
      <w:bodyDiv w:val="1"/>
      <w:marLeft w:val="0"/>
      <w:marRight w:val="0"/>
      <w:marTop w:val="0"/>
      <w:marBottom w:val="0"/>
      <w:divBdr>
        <w:top w:val="none" w:sz="0" w:space="0" w:color="auto"/>
        <w:left w:val="none" w:sz="0" w:space="0" w:color="auto"/>
        <w:bottom w:val="none" w:sz="0" w:space="0" w:color="auto"/>
        <w:right w:val="none" w:sz="0" w:space="0" w:color="auto"/>
      </w:divBdr>
    </w:div>
    <w:div w:id="190996001">
      <w:bodyDiv w:val="1"/>
      <w:marLeft w:val="0"/>
      <w:marRight w:val="0"/>
      <w:marTop w:val="0"/>
      <w:marBottom w:val="0"/>
      <w:divBdr>
        <w:top w:val="none" w:sz="0" w:space="0" w:color="auto"/>
        <w:left w:val="none" w:sz="0" w:space="0" w:color="auto"/>
        <w:bottom w:val="none" w:sz="0" w:space="0" w:color="auto"/>
        <w:right w:val="none" w:sz="0" w:space="0" w:color="auto"/>
      </w:divBdr>
    </w:div>
    <w:div w:id="191306147">
      <w:bodyDiv w:val="1"/>
      <w:marLeft w:val="0"/>
      <w:marRight w:val="0"/>
      <w:marTop w:val="0"/>
      <w:marBottom w:val="0"/>
      <w:divBdr>
        <w:top w:val="none" w:sz="0" w:space="0" w:color="auto"/>
        <w:left w:val="none" w:sz="0" w:space="0" w:color="auto"/>
        <w:bottom w:val="none" w:sz="0" w:space="0" w:color="auto"/>
        <w:right w:val="none" w:sz="0" w:space="0" w:color="auto"/>
      </w:divBdr>
    </w:div>
    <w:div w:id="191501927">
      <w:bodyDiv w:val="1"/>
      <w:marLeft w:val="0"/>
      <w:marRight w:val="0"/>
      <w:marTop w:val="0"/>
      <w:marBottom w:val="0"/>
      <w:divBdr>
        <w:top w:val="none" w:sz="0" w:space="0" w:color="auto"/>
        <w:left w:val="none" w:sz="0" w:space="0" w:color="auto"/>
        <w:bottom w:val="none" w:sz="0" w:space="0" w:color="auto"/>
        <w:right w:val="none" w:sz="0" w:space="0" w:color="auto"/>
      </w:divBdr>
    </w:div>
    <w:div w:id="191505000">
      <w:bodyDiv w:val="1"/>
      <w:marLeft w:val="0"/>
      <w:marRight w:val="0"/>
      <w:marTop w:val="0"/>
      <w:marBottom w:val="0"/>
      <w:divBdr>
        <w:top w:val="none" w:sz="0" w:space="0" w:color="auto"/>
        <w:left w:val="none" w:sz="0" w:space="0" w:color="auto"/>
        <w:bottom w:val="none" w:sz="0" w:space="0" w:color="auto"/>
        <w:right w:val="none" w:sz="0" w:space="0" w:color="auto"/>
      </w:divBdr>
    </w:div>
    <w:div w:id="191767044">
      <w:bodyDiv w:val="1"/>
      <w:marLeft w:val="0"/>
      <w:marRight w:val="0"/>
      <w:marTop w:val="0"/>
      <w:marBottom w:val="0"/>
      <w:divBdr>
        <w:top w:val="none" w:sz="0" w:space="0" w:color="auto"/>
        <w:left w:val="none" w:sz="0" w:space="0" w:color="auto"/>
        <w:bottom w:val="none" w:sz="0" w:space="0" w:color="auto"/>
        <w:right w:val="none" w:sz="0" w:space="0" w:color="auto"/>
      </w:divBdr>
    </w:div>
    <w:div w:id="193152736">
      <w:bodyDiv w:val="1"/>
      <w:marLeft w:val="0"/>
      <w:marRight w:val="0"/>
      <w:marTop w:val="0"/>
      <w:marBottom w:val="0"/>
      <w:divBdr>
        <w:top w:val="none" w:sz="0" w:space="0" w:color="auto"/>
        <w:left w:val="none" w:sz="0" w:space="0" w:color="auto"/>
        <w:bottom w:val="none" w:sz="0" w:space="0" w:color="auto"/>
        <w:right w:val="none" w:sz="0" w:space="0" w:color="auto"/>
      </w:divBdr>
    </w:div>
    <w:div w:id="193345501">
      <w:bodyDiv w:val="1"/>
      <w:marLeft w:val="0"/>
      <w:marRight w:val="0"/>
      <w:marTop w:val="0"/>
      <w:marBottom w:val="0"/>
      <w:divBdr>
        <w:top w:val="none" w:sz="0" w:space="0" w:color="auto"/>
        <w:left w:val="none" w:sz="0" w:space="0" w:color="auto"/>
        <w:bottom w:val="none" w:sz="0" w:space="0" w:color="auto"/>
        <w:right w:val="none" w:sz="0" w:space="0" w:color="auto"/>
      </w:divBdr>
    </w:div>
    <w:div w:id="194315303">
      <w:bodyDiv w:val="1"/>
      <w:marLeft w:val="0"/>
      <w:marRight w:val="0"/>
      <w:marTop w:val="0"/>
      <w:marBottom w:val="0"/>
      <w:divBdr>
        <w:top w:val="none" w:sz="0" w:space="0" w:color="auto"/>
        <w:left w:val="none" w:sz="0" w:space="0" w:color="auto"/>
        <w:bottom w:val="none" w:sz="0" w:space="0" w:color="auto"/>
        <w:right w:val="none" w:sz="0" w:space="0" w:color="auto"/>
      </w:divBdr>
    </w:div>
    <w:div w:id="194655310">
      <w:bodyDiv w:val="1"/>
      <w:marLeft w:val="0"/>
      <w:marRight w:val="0"/>
      <w:marTop w:val="0"/>
      <w:marBottom w:val="0"/>
      <w:divBdr>
        <w:top w:val="none" w:sz="0" w:space="0" w:color="auto"/>
        <w:left w:val="none" w:sz="0" w:space="0" w:color="auto"/>
        <w:bottom w:val="none" w:sz="0" w:space="0" w:color="auto"/>
        <w:right w:val="none" w:sz="0" w:space="0" w:color="auto"/>
      </w:divBdr>
    </w:div>
    <w:div w:id="194848038">
      <w:bodyDiv w:val="1"/>
      <w:marLeft w:val="0"/>
      <w:marRight w:val="0"/>
      <w:marTop w:val="0"/>
      <w:marBottom w:val="0"/>
      <w:divBdr>
        <w:top w:val="none" w:sz="0" w:space="0" w:color="auto"/>
        <w:left w:val="none" w:sz="0" w:space="0" w:color="auto"/>
        <w:bottom w:val="none" w:sz="0" w:space="0" w:color="auto"/>
        <w:right w:val="none" w:sz="0" w:space="0" w:color="auto"/>
      </w:divBdr>
    </w:div>
    <w:div w:id="194853993">
      <w:bodyDiv w:val="1"/>
      <w:marLeft w:val="0"/>
      <w:marRight w:val="0"/>
      <w:marTop w:val="0"/>
      <w:marBottom w:val="0"/>
      <w:divBdr>
        <w:top w:val="none" w:sz="0" w:space="0" w:color="auto"/>
        <w:left w:val="none" w:sz="0" w:space="0" w:color="auto"/>
        <w:bottom w:val="none" w:sz="0" w:space="0" w:color="auto"/>
        <w:right w:val="none" w:sz="0" w:space="0" w:color="auto"/>
      </w:divBdr>
    </w:div>
    <w:div w:id="195390626">
      <w:bodyDiv w:val="1"/>
      <w:marLeft w:val="0"/>
      <w:marRight w:val="0"/>
      <w:marTop w:val="0"/>
      <w:marBottom w:val="0"/>
      <w:divBdr>
        <w:top w:val="none" w:sz="0" w:space="0" w:color="auto"/>
        <w:left w:val="none" w:sz="0" w:space="0" w:color="auto"/>
        <w:bottom w:val="none" w:sz="0" w:space="0" w:color="auto"/>
        <w:right w:val="none" w:sz="0" w:space="0" w:color="auto"/>
      </w:divBdr>
    </w:div>
    <w:div w:id="195780226">
      <w:bodyDiv w:val="1"/>
      <w:marLeft w:val="0"/>
      <w:marRight w:val="0"/>
      <w:marTop w:val="0"/>
      <w:marBottom w:val="0"/>
      <w:divBdr>
        <w:top w:val="none" w:sz="0" w:space="0" w:color="auto"/>
        <w:left w:val="none" w:sz="0" w:space="0" w:color="auto"/>
        <w:bottom w:val="none" w:sz="0" w:space="0" w:color="auto"/>
        <w:right w:val="none" w:sz="0" w:space="0" w:color="auto"/>
      </w:divBdr>
    </w:div>
    <w:div w:id="196050170">
      <w:bodyDiv w:val="1"/>
      <w:marLeft w:val="0"/>
      <w:marRight w:val="0"/>
      <w:marTop w:val="0"/>
      <w:marBottom w:val="0"/>
      <w:divBdr>
        <w:top w:val="none" w:sz="0" w:space="0" w:color="auto"/>
        <w:left w:val="none" w:sz="0" w:space="0" w:color="auto"/>
        <w:bottom w:val="none" w:sz="0" w:space="0" w:color="auto"/>
        <w:right w:val="none" w:sz="0" w:space="0" w:color="auto"/>
      </w:divBdr>
    </w:div>
    <w:div w:id="196814971">
      <w:bodyDiv w:val="1"/>
      <w:marLeft w:val="0"/>
      <w:marRight w:val="0"/>
      <w:marTop w:val="0"/>
      <w:marBottom w:val="0"/>
      <w:divBdr>
        <w:top w:val="none" w:sz="0" w:space="0" w:color="auto"/>
        <w:left w:val="none" w:sz="0" w:space="0" w:color="auto"/>
        <w:bottom w:val="none" w:sz="0" w:space="0" w:color="auto"/>
        <w:right w:val="none" w:sz="0" w:space="0" w:color="auto"/>
      </w:divBdr>
    </w:div>
    <w:div w:id="196816174">
      <w:bodyDiv w:val="1"/>
      <w:marLeft w:val="0"/>
      <w:marRight w:val="0"/>
      <w:marTop w:val="0"/>
      <w:marBottom w:val="0"/>
      <w:divBdr>
        <w:top w:val="none" w:sz="0" w:space="0" w:color="auto"/>
        <w:left w:val="none" w:sz="0" w:space="0" w:color="auto"/>
        <w:bottom w:val="none" w:sz="0" w:space="0" w:color="auto"/>
        <w:right w:val="none" w:sz="0" w:space="0" w:color="auto"/>
      </w:divBdr>
    </w:div>
    <w:div w:id="197013748">
      <w:bodyDiv w:val="1"/>
      <w:marLeft w:val="0"/>
      <w:marRight w:val="0"/>
      <w:marTop w:val="0"/>
      <w:marBottom w:val="0"/>
      <w:divBdr>
        <w:top w:val="none" w:sz="0" w:space="0" w:color="auto"/>
        <w:left w:val="none" w:sz="0" w:space="0" w:color="auto"/>
        <w:bottom w:val="none" w:sz="0" w:space="0" w:color="auto"/>
        <w:right w:val="none" w:sz="0" w:space="0" w:color="auto"/>
      </w:divBdr>
    </w:div>
    <w:div w:id="197553621">
      <w:bodyDiv w:val="1"/>
      <w:marLeft w:val="0"/>
      <w:marRight w:val="0"/>
      <w:marTop w:val="0"/>
      <w:marBottom w:val="0"/>
      <w:divBdr>
        <w:top w:val="none" w:sz="0" w:space="0" w:color="auto"/>
        <w:left w:val="none" w:sz="0" w:space="0" w:color="auto"/>
        <w:bottom w:val="none" w:sz="0" w:space="0" w:color="auto"/>
        <w:right w:val="none" w:sz="0" w:space="0" w:color="auto"/>
      </w:divBdr>
    </w:div>
    <w:div w:id="197594040">
      <w:bodyDiv w:val="1"/>
      <w:marLeft w:val="0"/>
      <w:marRight w:val="0"/>
      <w:marTop w:val="0"/>
      <w:marBottom w:val="0"/>
      <w:divBdr>
        <w:top w:val="none" w:sz="0" w:space="0" w:color="auto"/>
        <w:left w:val="none" w:sz="0" w:space="0" w:color="auto"/>
        <w:bottom w:val="none" w:sz="0" w:space="0" w:color="auto"/>
        <w:right w:val="none" w:sz="0" w:space="0" w:color="auto"/>
      </w:divBdr>
    </w:div>
    <w:div w:id="197669630">
      <w:bodyDiv w:val="1"/>
      <w:marLeft w:val="0"/>
      <w:marRight w:val="0"/>
      <w:marTop w:val="0"/>
      <w:marBottom w:val="0"/>
      <w:divBdr>
        <w:top w:val="none" w:sz="0" w:space="0" w:color="auto"/>
        <w:left w:val="none" w:sz="0" w:space="0" w:color="auto"/>
        <w:bottom w:val="none" w:sz="0" w:space="0" w:color="auto"/>
        <w:right w:val="none" w:sz="0" w:space="0" w:color="auto"/>
      </w:divBdr>
    </w:div>
    <w:div w:id="198319005">
      <w:bodyDiv w:val="1"/>
      <w:marLeft w:val="0"/>
      <w:marRight w:val="0"/>
      <w:marTop w:val="0"/>
      <w:marBottom w:val="0"/>
      <w:divBdr>
        <w:top w:val="none" w:sz="0" w:space="0" w:color="auto"/>
        <w:left w:val="none" w:sz="0" w:space="0" w:color="auto"/>
        <w:bottom w:val="none" w:sz="0" w:space="0" w:color="auto"/>
        <w:right w:val="none" w:sz="0" w:space="0" w:color="auto"/>
      </w:divBdr>
    </w:div>
    <w:div w:id="198663589">
      <w:bodyDiv w:val="1"/>
      <w:marLeft w:val="0"/>
      <w:marRight w:val="0"/>
      <w:marTop w:val="0"/>
      <w:marBottom w:val="0"/>
      <w:divBdr>
        <w:top w:val="none" w:sz="0" w:space="0" w:color="auto"/>
        <w:left w:val="none" w:sz="0" w:space="0" w:color="auto"/>
        <w:bottom w:val="none" w:sz="0" w:space="0" w:color="auto"/>
        <w:right w:val="none" w:sz="0" w:space="0" w:color="auto"/>
      </w:divBdr>
    </w:div>
    <w:div w:id="199897919">
      <w:bodyDiv w:val="1"/>
      <w:marLeft w:val="0"/>
      <w:marRight w:val="0"/>
      <w:marTop w:val="0"/>
      <w:marBottom w:val="0"/>
      <w:divBdr>
        <w:top w:val="none" w:sz="0" w:space="0" w:color="auto"/>
        <w:left w:val="none" w:sz="0" w:space="0" w:color="auto"/>
        <w:bottom w:val="none" w:sz="0" w:space="0" w:color="auto"/>
        <w:right w:val="none" w:sz="0" w:space="0" w:color="auto"/>
      </w:divBdr>
    </w:div>
    <w:div w:id="200019520">
      <w:bodyDiv w:val="1"/>
      <w:marLeft w:val="0"/>
      <w:marRight w:val="0"/>
      <w:marTop w:val="0"/>
      <w:marBottom w:val="0"/>
      <w:divBdr>
        <w:top w:val="none" w:sz="0" w:space="0" w:color="auto"/>
        <w:left w:val="none" w:sz="0" w:space="0" w:color="auto"/>
        <w:bottom w:val="none" w:sz="0" w:space="0" w:color="auto"/>
        <w:right w:val="none" w:sz="0" w:space="0" w:color="auto"/>
      </w:divBdr>
    </w:div>
    <w:div w:id="201553257">
      <w:bodyDiv w:val="1"/>
      <w:marLeft w:val="0"/>
      <w:marRight w:val="0"/>
      <w:marTop w:val="0"/>
      <w:marBottom w:val="0"/>
      <w:divBdr>
        <w:top w:val="none" w:sz="0" w:space="0" w:color="auto"/>
        <w:left w:val="none" w:sz="0" w:space="0" w:color="auto"/>
        <w:bottom w:val="none" w:sz="0" w:space="0" w:color="auto"/>
        <w:right w:val="none" w:sz="0" w:space="0" w:color="auto"/>
      </w:divBdr>
    </w:div>
    <w:div w:id="202638435">
      <w:bodyDiv w:val="1"/>
      <w:marLeft w:val="0"/>
      <w:marRight w:val="0"/>
      <w:marTop w:val="0"/>
      <w:marBottom w:val="0"/>
      <w:divBdr>
        <w:top w:val="none" w:sz="0" w:space="0" w:color="auto"/>
        <w:left w:val="none" w:sz="0" w:space="0" w:color="auto"/>
        <w:bottom w:val="none" w:sz="0" w:space="0" w:color="auto"/>
        <w:right w:val="none" w:sz="0" w:space="0" w:color="auto"/>
      </w:divBdr>
    </w:div>
    <w:div w:id="202838279">
      <w:bodyDiv w:val="1"/>
      <w:marLeft w:val="0"/>
      <w:marRight w:val="0"/>
      <w:marTop w:val="0"/>
      <w:marBottom w:val="0"/>
      <w:divBdr>
        <w:top w:val="none" w:sz="0" w:space="0" w:color="auto"/>
        <w:left w:val="none" w:sz="0" w:space="0" w:color="auto"/>
        <w:bottom w:val="none" w:sz="0" w:space="0" w:color="auto"/>
        <w:right w:val="none" w:sz="0" w:space="0" w:color="auto"/>
      </w:divBdr>
    </w:div>
    <w:div w:id="203324894">
      <w:bodyDiv w:val="1"/>
      <w:marLeft w:val="0"/>
      <w:marRight w:val="0"/>
      <w:marTop w:val="0"/>
      <w:marBottom w:val="0"/>
      <w:divBdr>
        <w:top w:val="none" w:sz="0" w:space="0" w:color="auto"/>
        <w:left w:val="none" w:sz="0" w:space="0" w:color="auto"/>
        <w:bottom w:val="none" w:sz="0" w:space="0" w:color="auto"/>
        <w:right w:val="none" w:sz="0" w:space="0" w:color="auto"/>
      </w:divBdr>
    </w:div>
    <w:div w:id="204025930">
      <w:bodyDiv w:val="1"/>
      <w:marLeft w:val="0"/>
      <w:marRight w:val="0"/>
      <w:marTop w:val="0"/>
      <w:marBottom w:val="0"/>
      <w:divBdr>
        <w:top w:val="none" w:sz="0" w:space="0" w:color="auto"/>
        <w:left w:val="none" w:sz="0" w:space="0" w:color="auto"/>
        <w:bottom w:val="none" w:sz="0" w:space="0" w:color="auto"/>
        <w:right w:val="none" w:sz="0" w:space="0" w:color="auto"/>
      </w:divBdr>
    </w:div>
    <w:div w:id="204367289">
      <w:bodyDiv w:val="1"/>
      <w:marLeft w:val="0"/>
      <w:marRight w:val="0"/>
      <w:marTop w:val="0"/>
      <w:marBottom w:val="0"/>
      <w:divBdr>
        <w:top w:val="none" w:sz="0" w:space="0" w:color="auto"/>
        <w:left w:val="none" w:sz="0" w:space="0" w:color="auto"/>
        <w:bottom w:val="none" w:sz="0" w:space="0" w:color="auto"/>
        <w:right w:val="none" w:sz="0" w:space="0" w:color="auto"/>
      </w:divBdr>
    </w:div>
    <w:div w:id="204685994">
      <w:bodyDiv w:val="1"/>
      <w:marLeft w:val="0"/>
      <w:marRight w:val="0"/>
      <w:marTop w:val="0"/>
      <w:marBottom w:val="0"/>
      <w:divBdr>
        <w:top w:val="none" w:sz="0" w:space="0" w:color="auto"/>
        <w:left w:val="none" w:sz="0" w:space="0" w:color="auto"/>
        <w:bottom w:val="none" w:sz="0" w:space="0" w:color="auto"/>
        <w:right w:val="none" w:sz="0" w:space="0" w:color="auto"/>
      </w:divBdr>
    </w:div>
    <w:div w:id="204800089">
      <w:bodyDiv w:val="1"/>
      <w:marLeft w:val="0"/>
      <w:marRight w:val="0"/>
      <w:marTop w:val="0"/>
      <w:marBottom w:val="0"/>
      <w:divBdr>
        <w:top w:val="none" w:sz="0" w:space="0" w:color="auto"/>
        <w:left w:val="none" w:sz="0" w:space="0" w:color="auto"/>
        <w:bottom w:val="none" w:sz="0" w:space="0" w:color="auto"/>
        <w:right w:val="none" w:sz="0" w:space="0" w:color="auto"/>
      </w:divBdr>
    </w:div>
    <w:div w:id="204878060">
      <w:bodyDiv w:val="1"/>
      <w:marLeft w:val="0"/>
      <w:marRight w:val="0"/>
      <w:marTop w:val="0"/>
      <w:marBottom w:val="0"/>
      <w:divBdr>
        <w:top w:val="none" w:sz="0" w:space="0" w:color="auto"/>
        <w:left w:val="none" w:sz="0" w:space="0" w:color="auto"/>
        <w:bottom w:val="none" w:sz="0" w:space="0" w:color="auto"/>
        <w:right w:val="none" w:sz="0" w:space="0" w:color="auto"/>
      </w:divBdr>
    </w:div>
    <w:div w:id="204955160">
      <w:bodyDiv w:val="1"/>
      <w:marLeft w:val="0"/>
      <w:marRight w:val="0"/>
      <w:marTop w:val="0"/>
      <w:marBottom w:val="0"/>
      <w:divBdr>
        <w:top w:val="none" w:sz="0" w:space="0" w:color="auto"/>
        <w:left w:val="none" w:sz="0" w:space="0" w:color="auto"/>
        <w:bottom w:val="none" w:sz="0" w:space="0" w:color="auto"/>
        <w:right w:val="none" w:sz="0" w:space="0" w:color="auto"/>
      </w:divBdr>
    </w:div>
    <w:div w:id="205021210">
      <w:bodyDiv w:val="1"/>
      <w:marLeft w:val="0"/>
      <w:marRight w:val="0"/>
      <w:marTop w:val="0"/>
      <w:marBottom w:val="0"/>
      <w:divBdr>
        <w:top w:val="none" w:sz="0" w:space="0" w:color="auto"/>
        <w:left w:val="none" w:sz="0" w:space="0" w:color="auto"/>
        <w:bottom w:val="none" w:sz="0" w:space="0" w:color="auto"/>
        <w:right w:val="none" w:sz="0" w:space="0" w:color="auto"/>
      </w:divBdr>
    </w:div>
    <w:div w:id="205144207">
      <w:bodyDiv w:val="1"/>
      <w:marLeft w:val="0"/>
      <w:marRight w:val="0"/>
      <w:marTop w:val="0"/>
      <w:marBottom w:val="0"/>
      <w:divBdr>
        <w:top w:val="none" w:sz="0" w:space="0" w:color="auto"/>
        <w:left w:val="none" w:sz="0" w:space="0" w:color="auto"/>
        <w:bottom w:val="none" w:sz="0" w:space="0" w:color="auto"/>
        <w:right w:val="none" w:sz="0" w:space="0" w:color="auto"/>
      </w:divBdr>
    </w:div>
    <w:div w:id="205408197">
      <w:bodyDiv w:val="1"/>
      <w:marLeft w:val="0"/>
      <w:marRight w:val="0"/>
      <w:marTop w:val="0"/>
      <w:marBottom w:val="0"/>
      <w:divBdr>
        <w:top w:val="none" w:sz="0" w:space="0" w:color="auto"/>
        <w:left w:val="none" w:sz="0" w:space="0" w:color="auto"/>
        <w:bottom w:val="none" w:sz="0" w:space="0" w:color="auto"/>
        <w:right w:val="none" w:sz="0" w:space="0" w:color="auto"/>
      </w:divBdr>
    </w:div>
    <w:div w:id="205991465">
      <w:bodyDiv w:val="1"/>
      <w:marLeft w:val="0"/>
      <w:marRight w:val="0"/>
      <w:marTop w:val="0"/>
      <w:marBottom w:val="0"/>
      <w:divBdr>
        <w:top w:val="none" w:sz="0" w:space="0" w:color="auto"/>
        <w:left w:val="none" w:sz="0" w:space="0" w:color="auto"/>
        <w:bottom w:val="none" w:sz="0" w:space="0" w:color="auto"/>
        <w:right w:val="none" w:sz="0" w:space="0" w:color="auto"/>
      </w:divBdr>
    </w:div>
    <w:div w:id="207029644">
      <w:bodyDiv w:val="1"/>
      <w:marLeft w:val="0"/>
      <w:marRight w:val="0"/>
      <w:marTop w:val="0"/>
      <w:marBottom w:val="0"/>
      <w:divBdr>
        <w:top w:val="none" w:sz="0" w:space="0" w:color="auto"/>
        <w:left w:val="none" w:sz="0" w:space="0" w:color="auto"/>
        <w:bottom w:val="none" w:sz="0" w:space="0" w:color="auto"/>
        <w:right w:val="none" w:sz="0" w:space="0" w:color="auto"/>
      </w:divBdr>
    </w:div>
    <w:div w:id="207111019">
      <w:bodyDiv w:val="1"/>
      <w:marLeft w:val="0"/>
      <w:marRight w:val="0"/>
      <w:marTop w:val="0"/>
      <w:marBottom w:val="0"/>
      <w:divBdr>
        <w:top w:val="none" w:sz="0" w:space="0" w:color="auto"/>
        <w:left w:val="none" w:sz="0" w:space="0" w:color="auto"/>
        <w:bottom w:val="none" w:sz="0" w:space="0" w:color="auto"/>
        <w:right w:val="none" w:sz="0" w:space="0" w:color="auto"/>
      </w:divBdr>
    </w:div>
    <w:div w:id="207425558">
      <w:bodyDiv w:val="1"/>
      <w:marLeft w:val="0"/>
      <w:marRight w:val="0"/>
      <w:marTop w:val="0"/>
      <w:marBottom w:val="0"/>
      <w:divBdr>
        <w:top w:val="none" w:sz="0" w:space="0" w:color="auto"/>
        <w:left w:val="none" w:sz="0" w:space="0" w:color="auto"/>
        <w:bottom w:val="none" w:sz="0" w:space="0" w:color="auto"/>
        <w:right w:val="none" w:sz="0" w:space="0" w:color="auto"/>
      </w:divBdr>
    </w:div>
    <w:div w:id="207493251">
      <w:bodyDiv w:val="1"/>
      <w:marLeft w:val="0"/>
      <w:marRight w:val="0"/>
      <w:marTop w:val="0"/>
      <w:marBottom w:val="0"/>
      <w:divBdr>
        <w:top w:val="none" w:sz="0" w:space="0" w:color="auto"/>
        <w:left w:val="none" w:sz="0" w:space="0" w:color="auto"/>
        <w:bottom w:val="none" w:sz="0" w:space="0" w:color="auto"/>
        <w:right w:val="none" w:sz="0" w:space="0" w:color="auto"/>
      </w:divBdr>
    </w:div>
    <w:div w:id="208341046">
      <w:bodyDiv w:val="1"/>
      <w:marLeft w:val="0"/>
      <w:marRight w:val="0"/>
      <w:marTop w:val="0"/>
      <w:marBottom w:val="0"/>
      <w:divBdr>
        <w:top w:val="none" w:sz="0" w:space="0" w:color="auto"/>
        <w:left w:val="none" w:sz="0" w:space="0" w:color="auto"/>
        <w:bottom w:val="none" w:sz="0" w:space="0" w:color="auto"/>
        <w:right w:val="none" w:sz="0" w:space="0" w:color="auto"/>
      </w:divBdr>
    </w:div>
    <w:div w:id="208539060">
      <w:bodyDiv w:val="1"/>
      <w:marLeft w:val="0"/>
      <w:marRight w:val="0"/>
      <w:marTop w:val="0"/>
      <w:marBottom w:val="0"/>
      <w:divBdr>
        <w:top w:val="none" w:sz="0" w:space="0" w:color="auto"/>
        <w:left w:val="none" w:sz="0" w:space="0" w:color="auto"/>
        <w:bottom w:val="none" w:sz="0" w:space="0" w:color="auto"/>
        <w:right w:val="none" w:sz="0" w:space="0" w:color="auto"/>
      </w:divBdr>
    </w:div>
    <w:div w:id="208566751">
      <w:bodyDiv w:val="1"/>
      <w:marLeft w:val="0"/>
      <w:marRight w:val="0"/>
      <w:marTop w:val="0"/>
      <w:marBottom w:val="0"/>
      <w:divBdr>
        <w:top w:val="none" w:sz="0" w:space="0" w:color="auto"/>
        <w:left w:val="none" w:sz="0" w:space="0" w:color="auto"/>
        <w:bottom w:val="none" w:sz="0" w:space="0" w:color="auto"/>
        <w:right w:val="none" w:sz="0" w:space="0" w:color="auto"/>
      </w:divBdr>
    </w:div>
    <w:div w:id="208805781">
      <w:bodyDiv w:val="1"/>
      <w:marLeft w:val="0"/>
      <w:marRight w:val="0"/>
      <w:marTop w:val="0"/>
      <w:marBottom w:val="0"/>
      <w:divBdr>
        <w:top w:val="none" w:sz="0" w:space="0" w:color="auto"/>
        <w:left w:val="none" w:sz="0" w:space="0" w:color="auto"/>
        <w:bottom w:val="none" w:sz="0" w:space="0" w:color="auto"/>
        <w:right w:val="none" w:sz="0" w:space="0" w:color="auto"/>
      </w:divBdr>
    </w:div>
    <w:div w:id="209221436">
      <w:bodyDiv w:val="1"/>
      <w:marLeft w:val="0"/>
      <w:marRight w:val="0"/>
      <w:marTop w:val="0"/>
      <w:marBottom w:val="0"/>
      <w:divBdr>
        <w:top w:val="none" w:sz="0" w:space="0" w:color="auto"/>
        <w:left w:val="none" w:sz="0" w:space="0" w:color="auto"/>
        <w:bottom w:val="none" w:sz="0" w:space="0" w:color="auto"/>
        <w:right w:val="none" w:sz="0" w:space="0" w:color="auto"/>
      </w:divBdr>
    </w:div>
    <w:div w:id="209264034">
      <w:bodyDiv w:val="1"/>
      <w:marLeft w:val="0"/>
      <w:marRight w:val="0"/>
      <w:marTop w:val="0"/>
      <w:marBottom w:val="0"/>
      <w:divBdr>
        <w:top w:val="none" w:sz="0" w:space="0" w:color="auto"/>
        <w:left w:val="none" w:sz="0" w:space="0" w:color="auto"/>
        <w:bottom w:val="none" w:sz="0" w:space="0" w:color="auto"/>
        <w:right w:val="none" w:sz="0" w:space="0" w:color="auto"/>
      </w:divBdr>
    </w:div>
    <w:div w:id="209339606">
      <w:bodyDiv w:val="1"/>
      <w:marLeft w:val="0"/>
      <w:marRight w:val="0"/>
      <w:marTop w:val="0"/>
      <w:marBottom w:val="0"/>
      <w:divBdr>
        <w:top w:val="none" w:sz="0" w:space="0" w:color="auto"/>
        <w:left w:val="none" w:sz="0" w:space="0" w:color="auto"/>
        <w:bottom w:val="none" w:sz="0" w:space="0" w:color="auto"/>
        <w:right w:val="none" w:sz="0" w:space="0" w:color="auto"/>
      </w:divBdr>
    </w:div>
    <w:div w:id="209614684">
      <w:bodyDiv w:val="1"/>
      <w:marLeft w:val="0"/>
      <w:marRight w:val="0"/>
      <w:marTop w:val="0"/>
      <w:marBottom w:val="0"/>
      <w:divBdr>
        <w:top w:val="none" w:sz="0" w:space="0" w:color="auto"/>
        <w:left w:val="none" w:sz="0" w:space="0" w:color="auto"/>
        <w:bottom w:val="none" w:sz="0" w:space="0" w:color="auto"/>
        <w:right w:val="none" w:sz="0" w:space="0" w:color="auto"/>
      </w:divBdr>
    </w:div>
    <w:div w:id="209806137">
      <w:bodyDiv w:val="1"/>
      <w:marLeft w:val="0"/>
      <w:marRight w:val="0"/>
      <w:marTop w:val="0"/>
      <w:marBottom w:val="0"/>
      <w:divBdr>
        <w:top w:val="none" w:sz="0" w:space="0" w:color="auto"/>
        <w:left w:val="none" w:sz="0" w:space="0" w:color="auto"/>
        <w:bottom w:val="none" w:sz="0" w:space="0" w:color="auto"/>
        <w:right w:val="none" w:sz="0" w:space="0" w:color="auto"/>
      </w:divBdr>
    </w:div>
    <w:div w:id="209848241">
      <w:bodyDiv w:val="1"/>
      <w:marLeft w:val="0"/>
      <w:marRight w:val="0"/>
      <w:marTop w:val="0"/>
      <w:marBottom w:val="0"/>
      <w:divBdr>
        <w:top w:val="none" w:sz="0" w:space="0" w:color="auto"/>
        <w:left w:val="none" w:sz="0" w:space="0" w:color="auto"/>
        <w:bottom w:val="none" w:sz="0" w:space="0" w:color="auto"/>
        <w:right w:val="none" w:sz="0" w:space="0" w:color="auto"/>
      </w:divBdr>
    </w:div>
    <w:div w:id="210044719">
      <w:bodyDiv w:val="1"/>
      <w:marLeft w:val="0"/>
      <w:marRight w:val="0"/>
      <w:marTop w:val="0"/>
      <w:marBottom w:val="0"/>
      <w:divBdr>
        <w:top w:val="none" w:sz="0" w:space="0" w:color="auto"/>
        <w:left w:val="none" w:sz="0" w:space="0" w:color="auto"/>
        <w:bottom w:val="none" w:sz="0" w:space="0" w:color="auto"/>
        <w:right w:val="none" w:sz="0" w:space="0" w:color="auto"/>
      </w:divBdr>
    </w:div>
    <w:div w:id="211622394">
      <w:bodyDiv w:val="1"/>
      <w:marLeft w:val="0"/>
      <w:marRight w:val="0"/>
      <w:marTop w:val="0"/>
      <w:marBottom w:val="0"/>
      <w:divBdr>
        <w:top w:val="none" w:sz="0" w:space="0" w:color="auto"/>
        <w:left w:val="none" w:sz="0" w:space="0" w:color="auto"/>
        <w:bottom w:val="none" w:sz="0" w:space="0" w:color="auto"/>
        <w:right w:val="none" w:sz="0" w:space="0" w:color="auto"/>
      </w:divBdr>
    </w:div>
    <w:div w:id="211817630">
      <w:bodyDiv w:val="1"/>
      <w:marLeft w:val="0"/>
      <w:marRight w:val="0"/>
      <w:marTop w:val="0"/>
      <w:marBottom w:val="0"/>
      <w:divBdr>
        <w:top w:val="none" w:sz="0" w:space="0" w:color="auto"/>
        <w:left w:val="none" w:sz="0" w:space="0" w:color="auto"/>
        <w:bottom w:val="none" w:sz="0" w:space="0" w:color="auto"/>
        <w:right w:val="none" w:sz="0" w:space="0" w:color="auto"/>
      </w:divBdr>
    </w:div>
    <w:div w:id="212231563">
      <w:bodyDiv w:val="1"/>
      <w:marLeft w:val="0"/>
      <w:marRight w:val="0"/>
      <w:marTop w:val="0"/>
      <w:marBottom w:val="0"/>
      <w:divBdr>
        <w:top w:val="none" w:sz="0" w:space="0" w:color="auto"/>
        <w:left w:val="none" w:sz="0" w:space="0" w:color="auto"/>
        <w:bottom w:val="none" w:sz="0" w:space="0" w:color="auto"/>
        <w:right w:val="none" w:sz="0" w:space="0" w:color="auto"/>
      </w:divBdr>
    </w:div>
    <w:div w:id="212279840">
      <w:bodyDiv w:val="1"/>
      <w:marLeft w:val="0"/>
      <w:marRight w:val="0"/>
      <w:marTop w:val="0"/>
      <w:marBottom w:val="0"/>
      <w:divBdr>
        <w:top w:val="none" w:sz="0" w:space="0" w:color="auto"/>
        <w:left w:val="none" w:sz="0" w:space="0" w:color="auto"/>
        <w:bottom w:val="none" w:sz="0" w:space="0" w:color="auto"/>
        <w:right w:val="none" w:sz="0" w:space="0" w:color="auto"/>
      </w:divBdr>
    </w:div>
    <w:div w:id="213196797">
      <w:bodyDiv w:val="1"/>
      <w:marLeft w:val="0"/>
      <w:marRight w:val="0"/>
      <w:marTop w:val="0"/>
      <w:marBottom w:val="0"/>
      <w:divBdr>
        <w:top w:val="none" w:sz="0" w:space="0" w:color="auto"/>
        <w:left w:val="none" w:sz="0" w:space="0" w:color="auto"/>
        <w:bottom w:val="none" w:sz="0" w:space="0" w:color="auto"/>
        <w:right w:val="none" w:sz="0" w:space="0" w:color="auto"/>
      </w:divBdr>
    </w:div>
    <w:div w:id="213934297">
      <w:bodyDiv w:val="1"/>
      <w:marLeft w:val="0"/>
      <w:marRight w:val="0"/>
      <w:marTop w:val="0"/>
      <w:marBottom w:val="0"/>
      <w:divBdr>
        <w:top w:val="none" w:sz="0" w:space="0" w:color="auto"/>
        <w:left w:val="none" w:sz="0" w:space="0" w:color="auto"/>
        <w:bottom w:val="none" w:sz="0" w:space="0" w:color="auto"/>
        <w:right w:val="none" w:sz="0" w:space="0" w:color="auto"/>
      </w:divBdr>
    </w:div>
    <w:div w:id="214317564">
      <w:bodyDiv w:val="1"/>
      <w:marLeft w:val="0"/>
      <w:marRight w:val="0"/>
      <w:marTop w:val="0"/>
      <w:marBottom w:val="0"/>
      <w:divBdr>
        <w:top w:val="none" w:sz="0" w:space="0" w:color="auto"/>
        <w:left w:val="none" w:sz="0" w:space="0" w:color="auto"/>
        <w:bottom w:val="none" w:sz="0" w:space="0" w:color="auto"/>
        <w:right w:val="none" w:sz="0" w:space="0" w:color="auto"/>
      </w:divBdr>
    </w:div>
    <w:div w:id="214322432">
      <w:bodyDiv w:val="1"/>
      <w:marLeft w:val="0"/>
      <w:marRight w:val="0"/>
      <w:marTop w:val="0"/>
      <w:marBottom w:val="0"/>
      <w:divBdr>
        <w:top w:val="none" w:sz="0" w:space="0" w:color="auto"/>
        <w:left w:val="none" w:sz="0" w:space="0" w:color="auto"/>
        <w:bottom w:val="none" w:sz="0" w:space="0" w:color="auto"/>
        <w:right w:val="none" w:sz="0" w:space="0" w:color="auto"/>
      </w:divBdr>
    </w:div>
    <w:div w:id="214705778">
      <w:bodyDiv w:val="1"/>
      <w:marLeft w:val="0"/>
      <w:marRight w:val="0"/>
      <w:marTop w:val="0"/>
      <w:marBottom w:val="0"/>
      <w:divBdr>
        <w:top w:val="none" w:sz="0" w:space="0" w:color="auto"/>
        <w:left w:val="none" w:sz="0" w:space="0" w:color="auto"/>
        <w:bottom w:val="none" w:sz="0" w:space="0" w:color="auto"/>
        <w:right w:val="none" w:sz="0" w:space="0" w:color="auto"/>
      </w:divBdr>
    </w:div>
    <w:div w:id="214858379">
      <w:bodyDiv w:val="1"/>
      <w:marLeft w:val="0"/>
      <w:marRight w:val="0"/>
      <w:marTop w:val="0"/>
      <w:marBottom w:val="0"/>
      <w:divBdr>
        <w:top w:val="none" w:sz="0" w:space="0" w:color="auto"/>
        <w:left w:val="none" w:sz="0" w:space="0" w:color="auto"/>
        <w:bottom w:val="none" w:sz="0" w:space="0" w:color="auto"/>
        <w:right w:val="none" w:sz="0" w:space="0" w:color="auto"/>
      </w:divBdr>
    </w:div>
    <w:div w:id="214900028">
      <w:bodyDiv w:val="1"/>
      <w:marLeft w:val="0"/>
      <w:marRight w:val="0"/>
      <w:marTop w:val="0"/>
      <w:marBottom w:val="0"/>
      <w:divBdr>
        <w:top w:val="none" w:sz="0" w:space="0" w:color="auto"/>
        <w:left w:val="none" w:sz="0" w:space="0" w:color="auto"/>
        <w:bottom w:val="none" w:sz="0" w:space="0" w:color="auto"/>
        <w:right w:val="none" w:sz="0" w:space="0" w:color="auto"/>
      </w:divBdr>
    </w:div>
    <w:div w:id="215901594">
      <w:bodyDiv w:val="1"/>
      <w:marLeft w:val="0"/>
      <w:marRight w:val="0"/>
      <w:marTop w:val="0"/>
      <w:marBottom w:val="0"/>
      <w:divBdr>
        <w:top w:val="none" w:sz="0" w:space="0" w:color="auto"/>
        <w:left w:val="none" w:sz="0" w:space="0" w:color="auto"/>
        <w:bottom w:val="none" w:sz="0" w:space="0" w:color="auto"/>
        <w:right w:val="none" w:sz="0" w:space="0" w:color="auto"/>
      </w:divBdr>
    </w:div>
    <w:div w:id="216018661">
      <w:bodyDiv w:val="1"/>
      <w:marLeft w:val="0"/>
      <w:marRight w:val="0"/>
      <w:marTop w:val="0"/>
      <w:marBottom w:val="0"/>
      <w:divBdr>
        <w:top w:val="none" w:sz="0" w:space="0" w:color="auto"/>
        <w:left w:val="none" w:sz="0" w:space="0" w:color="auto"/>
        <w:bottom w:val="none" w:sz="0" w:space="0" w:color="auto"/>
        <w:right w:val="none" w:sz="0" w:space="0" w:color="auto"/>
      </w:divBdr>
    </w:div>
    <w:div w:id="216281311">
      <w:bodyDiv w:val="1"/>
      <w:marLeft w:val="0"/>
      <w:marRight w:val="0"/>
      <w:marTop w:val="0"/>
      <w:marBottom w:val="0"/>
      <w:divBdr>
        <w:top w:val="none" w:sz="0" w:space="0" w:color="auto"/>
        <w:left w:val="none" w:sz="0" w:space="0" w:color="auto"/>
        <w:bottom w:val="none" w:sz="0" w:space="0" w:color="auto"/>
        <w:right w:val="none" w:sz="0" w:space="0" w:color="auto"/>
      </w:divBdr>
    </w:div>
    <w:div w:id="217741375">
      <w:bodyDiv w:val="1"/>
      <w:marLeft w:val="0"/>
      <w:marRight w:val="0"/>
      <w:marTop w:val="0"/>
      <w:marBottom w:val="0"/>
      <w:divBdr>
        <w:top w:val="none" w:sz="0" w:space="0" w:color="auto"/>
        <w:left w:val="none" w:sz="0" w:space="0" w:color="auto"/>
        <w:bottom w:val="none" w:sz="0" w:space="0" w:color="auto"/>
        <w:right w:val="none" w:sz="0" w:space="0" w:color="auto"/>
      </w:divBdr>
    </w:div>
    <w:div w:id="217789338">
      <w:bodyDiv w:val="1"/>
      <w:marLeft w:val="0"/>
      <w:marRight w:val="0"/>
      <w:marTop w:val="0"/>
      <w:marBottom w:val="0"/>
      <w:divBdr>
        <w:top w:val="none" w:sz="0" w:space="0" w:color="auto"/>
        <w:left w:val="none" w:sz="0" w:space="0" w:color="auto"/>
        <w:bottom w:val="none" w:sz="0" w:space="0" w:color="auto"/>
        <w:right w:val="none" w:sz="0" w:space="0" w:color="auto"/>
      </w:divBdr>
    </w:div>
    <w:div w:id="218444059">
      <w:bodyDiv w:val="1"/>
      <w:marLeft w:val="0"/>
      <w:marRight w:val="0"/>
      <w:marTop w:val="0"/>
      <w:marBottom w:val="0"/>
      <w:divBdr>
        <w:top w:val="none" w:sz="0" w:space="0" w:color="auto"/>
        <w:left w:val="none" w:sz="0" w:space="0" w:color="auto"/>
        <w:bottom w:val="none" w:sz="0" w:space="0" w:color="auto"/>
        <w:right w:val="none" w:sz="0" w:space="0" w:color="auto"/>
      </w:divBdr>
    </w:div>
    <w:div w:id="219246104">
      <w:bodyDiv w:val="1"/>
      <w:marLeft w:val="0"/>
      <w:marRight w:val="0"/>
      <w:marTop w:val="0"/>
      <w:marBottom w:val="0"/>
      <w:divBdr>
        <w:top w:val="none" w:sz="0" w:space="0" w:color="auto"/>
        <w:left w:val="none" w:sz="0" w:space="0" w:color="auto"/>
        <w:bottom w:val="none" w:sz="0" w:space="0" w:color="auto"/>
        <w:right w:val="none" w:sz="0" w:space="0" w:color="auto"/>
      </w:divBdr>
    </w:div>
    <w:div w:id="219365515">
      <w:bodyDiv w:val="1"/>
      <w:marLeft w:val="0"/>
      <w:marRight w:val="0"/>
      <w:marTop w:val="0"/>
      <w:marBottom w:val="0"/>
      <w:divBdr>
        <w:top w:val="none" w:sz="0" w:space="0" w:color="auto"/>
        <w:left w:val="none" w:sz="0" w:space="0" w:color="auto"/>
        <w:bottom w:val="none" w:sz="0" w:space="0" w:color="auto"/>
        <w:right w:val="none" w:sz="0" w:space="0" w:color="auto"/>
      </w:divBdr>
    </w:div>
    <w:div w:id="220018099">
      <w:bodyDiv w:val="1"/>
      <w:marLeft w:val="0"/>
      <w:marRight w:val="0"/>
      <w:marTop w:val="0"/>
      <w:marBottom w:val="0"/>
      <w:divBdr>
        <w:top w:val="none" w:sz="0" w:space="0" w:color="auto"/>
        <w:left w:val="none" w:sz="0" w:space="0" w:color="auto"/>
        <w:bottom w:val="none" w:sz="0" w:space="0" w:color="auto"/>
        <w:right w:val="none" w:sz="0" w:space="0" w:color="auto"/>
      </w:divBdr>
    </w:div>
    <w:div w:id="220093688">
      <w:bodyDiv w:val="1"/>
      <w:marLeft w:val="0"/>
      <w:marRight w:val="0"/>
      <w:marTop w:val="0"/>
      <w:marBottom w:val="0"/>
      <w:divBdr>
        <w:top w:val="none" w:sz="0" w:space="0" w:color="auto"/>
        <w:left w:val="none" w:sz="0" w:space="0" w:color="auto"/>
        <w:bottom w:val="none" w:sz="0" w:space="0" w:color="auto"/>
        <w:right w:val="none" w:sz="0" w:space="0" w:color="auto"/>
      </w:divBdr>
    </w:div>
    <w:div w:id="220212138">
      <w:bodyDiv w:val="1"/>
      <w:marLeft w:val="0"/>
      <w:marRight w:val="0"/>
      <w:marTop w:val="0"/>
      <w:marBottom w:val="0"/>
      <w:divBdr>
        <w:top w:val="none" w:sz="0" w:space="0" w:color="auto"/>
        <w:left w:val="none" w:sz="0" w:space="0" w:color="auto"/>
        <w:bottom w:val="none" w:sz="0" w:space="0" w:color="auto"/>
        <w:right w:val="none" w:sz="0" w:space="0" w:color="auto"/>
      </w:divBdr>
    </w:div>
    <w:div w:id="220870031">
      <w:bodyDiv w:val="1"/>
      <w:marLeft w:val="0"/>
      <w:marRight w:val="0"/>
      <w:marTop w:val="0"/>
      <w:marBottom w:val="0"/>
      <w:divBdr>
        <w:top w:val="none" w:sz="0" w:space="0" w:color="auto"/>
        <w:left w:val="none" w:sz="0" w:space="0" w:color="auto"/>
        <w:bottom w:val="none" w:sz="0" w:space="0" w:color="auto"/>
        <w:right w:val="none" w:sz="0" w:space="0" w:color="auto"/>
      </w:divBdr>
    </w:div>
    <w:div w:id="221063552">
      <w:bodyDiv w:val="1"/>
      <w:marLeft w:val="0"/>
      <w:marRight w:val="0"/>
      <w:marTop w:val="0"/>
      <w:marBottom w:val="0"/>
      <w:divBdr>
        <w:top w:val="none" w:sz="0" w:space="0" w:color="auto"/>
        <w:left w:val="none" w:sz="0" w:space="0" w:color="auto"/>
        <w:bottom w:val="none" w:sz="0" w:space="0" w:color="auto"/>
        <w:right w:val="none" w:sz="0" w:space="0" w:color="auto"/>
      </w:divBdr>
    </w:div>
    <w:div w:id="222568369">
      <w:bodyDiv w:val="1"/>
      <w:marLeft w:val="0"/>
      <w:marRight w:val="0"/>
      <w:marTop w:val="0"/>
      <w:marBottom w:val="0"/>
      <w:divBdr>
        <w:top w:val="none" w:sz="0" w:space="0" w:color="auto"/>
        <w:left w:val="none" w:sz="0" w:space="0" w:color="auto"/>
        <w:bottom w:val="none" w:sz="0" w:space="0" w:color="auto"/>
        <w:right w:val="none" w:sz="0" w:space="0" w:color="auto"/>
      </w:divBdr>
    </w:div>
    <w:div w:id="223105991">
      <w:bodyDiv w:val="1"/>
      <w:marLeft w:val="0"/>
      <w:marRight w:val="0"/>
      <w:marTop w:val="0"/>
      <w:marBottom w:val="0"/>
      <w:divBdr>
        <w:top w:val="none" w:sz="0" w:space="0" w:color="auto"/>
        <w:left w:val="none" w:sz="0" w:space="0" w:color="auto"/>
        <w:bottom w:val="none" w:sz="0" w:space="0" w:color="auto"/>
        <w:right w:val="none" w:sz="0" w:space="0" w:color="auto"/>
      </w:divBdr>
    </w:div>
    <w:div w:id="223107321">
      <w:bodyDiv w:val="1"/>
      <w:marLeft w:val="0"/>
      <w:marRight w:val="0"/>
      <w:marTop w:val="0"/>
      <w:marBottom w:val="0"/>
      <w:divBdr>
        <w:top w:val="none" w:sz="0" w:space="0" w:color="auto"/>
        <w:left w:val="none" w:sz="0" w:space="0" w:color="auto"/>
        <w:bottom w:val="none" w:sz="0" w:space="0" w:color="auto"/>
        <w:right w:val="none" w:sz="0" w:space="0" w:color="auto"/>
      </w:divBdr>
    </w:div>
    <w:div w:id="223376466">
      <w:bodyDiv w:val="1"/>
      <w:marLeft w:val="0"/>
      <w:marRight w:val="0"/>
      <w:marTop w:val="0"/>
      <w:marBottom w:val="0"/>
      <w:divBdr>
        <w:top w:val="none" w:sz="0" w:space="0" w:color="auto"/>
        <w:left w:val="none" w:sz="0" w:space="0" w:color="auto"/>
        <w:bottom w:val="none" w:sz="0" w:space="0" w:color="auto"/>
        <w:right w:val="none" w:sz="0" w:space="0" w:color="auto"/>
      </w:divBdr>
    </w:div>
    <w:div w:id="223492304">
      <w:bodyDiv w:val="1"/>
      <w:marLeft w:val="0"/>
      <w:marRight w:val="0"/>
      <w:marTop w:val="0"/>
      <w:marBottom w:val="0"/>
      <w:divBdr>
        <w:top w:val="none" w:sz="0" w:space="0" w:color="auto"/>
        <w:left w:val="none" w:sz="0" w:space="0" w:color="auto"/>
        <w:bottom w:val="none" w:sz="0" w:space="0" w:color="auto"/>
        <w:right w:val="none" w:sz="0" w:space="0" w:color="auto"/>
      </w:divBdr>
    </w:div>
    <w:div w:id="224875837">
      <w:bodyDiv w:val="1"/>
      <w:marLeft w:val="0"/>
      <w:marRight w:val="0"/>
      <w:marTop w:val="0"/>
      <w:marBottom w:val="0"/>
      <w:divBdr>
        <w:top w:val="none" w:sz="0" w:space="0" w:color="auto"/>
        <w:left w:val="none" w:sz="0" w:space="0" w:color="auto"/>
        <w:bottom w:val="none" w:sz="0" w:space="0" w:color="auto"/>
        <w:right w:val="none" w:sz="0" w:space="0" w:color="auto"/>
      </w:divBdr>
    </w:div>
    <w:div w:id="225071611">
      <w:bodyDiv w:val="1"/>
      <w:marLeft w:val="0"/>
      <w:marRight w:val="0"/>
      <w:marTop w:val="0"/>
      <w:marBottom w:val="0"/>
      <w:divBdr>
        <w:top w:val="none" w:sz="0" w:space="0" w:color="auto"/>
        <w:left w:val="none" w:sz="0" w:space="0" w:color="auto"/>
        <w:bottom w:val="none" w:sz="0" w:space="0" w:color="auto"/>
        <w:right w:val="none" w:sz="0" w:space="0" w:color="auto"/>
      </w:divBdr>
    </w:div>
    <w:div w:id="225074555">
      <w:bodyDiv w:val="1"/>
      <w:marLeft w:val="0"/>
      <w:marRight w:val="0"/>
      <w:marTop w:val="0"/>
      <w:marBottom w:val="0"/>
      <w:divBdr>
        <w:top w:val="none" w:sz="0" w:space="0" w:color="auto"/>
        <w:left w:val="none" w:sz="0" w:space="0" w:color="auto"/>
        <w:bottom w:val="none" w:sz="0" w:space="0" w:color="auto"/>
        <w:right w:val="none" w:sz="0" w:space="0" w:color="auto"/>
      </w:divBdr>
    </w:div>
    <w:div w:id="225646977">
      <w:bodyDiv w:val="1"/>
      <w:marLeft w:val="0"/>
      <w:marRight w:val="0"/>
      <w:marTop w:val="0"/>
      <w:marBottom w:val="0"/>
      <w:divBdr>
        <w:top w:val="none" w:sz="0" w:space="0" w:color="auto"/>
        <w:left w:val="none" w:sz="0" w:space="0" w:color="auto"/>
        <w:bottom w:val="none" w:sz="0" w:space="0" w:color="auto"/>
        <w:right w:val="none" w:sz="0" w:space="0" w:color="auto"/>
      </w:divBdr>
    </w:div>
    <w:div w:id="225798570">
      <w:bodyDiv w:val="1"/>
      <w:marLeft w:val="0"/>
      <w:marRight w:val="0"/>
      <w:marTop w:val="0"/>
      <w:marBottom w:val="0"/>
      <w:divBdr>
        <w:top w:val="none" w:sz="0" w:space="0" w:color="auto"/>
        <w:left w:val="none" w:sz="0" w:space="0" w:color="auto"/>
        <w:bottom w:val="none" w:sz="0" w:space="0" w:color="auto"/>
        <w:right w:val="none" w:sz="0" w:space="0" w:color="auto"/>
      </w:divBdr>
    </w:div>
    <w:div w:id="226500513">
      <w:bodyDiv w:val="1"/>
      <w:marLeft w:val="0"/>
      <w:marRight w:val="0"/>
      <w:marTop w:val="0"/>
      <w:marBottom w:val="0"/>
      <w:divBdr>
        <w:top w:val="none" w:sz="0" w:space="0" w:color="auto"/>
        <w:left w:val="none" w:sz="0" w:space="0" w:color="auto"/>
        <w:bottom w:val="none" w:sz="0" w:space="0" w:color="auto"/>
        <w:right w:val="none" w:sz="0" w:space="0" w:color="auto"/>
      </w:divBdr>
    </w:div>
    <w:div w:id="226654441">
      <w:bodyDiv w:val="1"/>
      <w:marLeft w:val="0"/>
      <w:marRight w:val="0"/>
      <w:marTop w:val="0"/>
      <w:marBottom w:val="0"/>
      <w:divBdr>
        <w:top w:val="none" w:sz="0" w:space="0" w:color="auto"/>
        <w:left w:val="none" w:sz="0" w:space="0" w:color="auto"/>
        <w:bottom w:val="none" w:sz="0" w:space="0" w:color="auto"/>
        <w:right w:val="none" w:sz="0" w:space="0" w:color="auto"/>
      </w:divBdr>
    </w:div>
    <w:div w:id="227307592">
      <w:bodyDiv w:val="1"/>
      <w:marLeft w:val="0"/>
      <w:marRight w:val="0"/>
      <w:marTop w:val="0"/>
      <w:marBottom w:val="0"/>
      <w:divBdr>
        <w:top w:val="none" w:sz="0" w:space="0" w:color="auto"/>
        <w:left w:val="none" w:sz="0" w:space="0" w:color="auto"/>
        <w:bottom w:val="none" w:sz="0" w:space="0" w:color="auto"/>
        <w:right w:val="none" w:sz="0" w:space="0" w:color="auto"/>
      </w:divBdr>
    </w:div>
    <w:div w:id="227423106">
      <w:bodyDiv w:val="1"/>
      <w:marLeft w:val="0"/>
      <w:marRight w:val="0"/>
      <w:marTop w:val="0"/>
      <w:marBottom w:val="0"/>
      <w:divBdr>
        <w:top w:val="none" w:sz="0" w:space="0" w:color="auto"/>
        <w:left w:val="none" w:sz="0" w:space="0" w:color="auto"/>
        <w:bottom w:val="none" w:sz="0" w:space="0" w:color="auto"/>
        <w:right w:val="none" w:sz="0" w:space="0" w:color="auto"/>
      </w:divBdr>
    </w:div>
    <w:div w:id="228000004">
      <w:bodyDiv w:val="1"/>
      <w:marLeft w:val="0"/>
      <w:marRight w:val="0"/>
      <w:marTop w:val="0"/>
      <w:marBottom w:val="0"/>
      <w:divBdr>
        <w:top w:val="none" w:sz="0" w:space="0" w:color="auto"/>
        <w:left w:val="none" w:sz="0" w:space="0" w:color="auto"/>
        <w:bottom w:val="none" w:sz="0" w:space="0" w:color="auto"/>
        <w:right w:val="none" w:sz="0" w:space="0" w:color="auto"/>
      </w:divBdr>
    </w:div>
    <w:div w:id="228199925">
      <w:bodyDiv w:val="1"/>
      <w:marLeft w:val="0"/>
      <w:marRight w:val="0"/>
      <w:marTop w:val="0"/>
      <w:marBottom w:val="0"/>
      <w:divBdr>
        <w:top w:val="none" w:sz="0" w:space="0" w:color="auto"/>
        <w:left w:val="none" w:sz="0" w:space="0" w:color="auto"/>
        <w:bottom w:val="none" w:sz="0" w:space="0" w:color="auto"/>
        <w:right w:val="none" w:sz="0" w:space="0" w:color="auto"/>
      </w:divBdr>
    </w:div>
    <w:div w:id="228537533">
      <w:bodyDiv w:val="1"/>
      <w:marLeft w:val="0"/>
      <w:marRight w:val="0"/>
      <w:marTop w:val="0"/>
      <w:marBottom w:val="0"/>
      <w:divBdr>
        <w:top w:val="none" w:sz="0" w:space="0" w:color="auto"/>
        <w:left w:val="none" w:sz="0" w:space="0" w:color="auto"/>
        <w:bottom w:val="none" w:sz="0" w:space="0" w:color="auto"/>
        <w:right w:val="none" w:sz="0" w:space="0" w:color="auto"/>
      </w:divBdr>
    </w:div>
    <w:div w:id="229116644">
      <w:bodyDiv w:val="1"/>
      <w:marLeft w:val="0"/>
      <w:marRight w:val="0"/>
      <w:marTop w:val="0"/>
      <w:marBottom w:val="0"/>
      <w:divBdr>
        <w:top w:val="none" w:sz="0" w:space="0" w:color="auto"/>
        <w:left w:val="none" w:sz="0" w:space="0" w:color="auto"/>
        <w:bottom w:val="none" w:sz="0" w:space="0" w:color="auto"/>
        <w:right w:val="none" w:sz="0" w:space="0" w:color="auto"/>
      </w:divBdr>
    </w:div>
    <w:div w:id="229922046">
      <w:bodyDiv w:val="1"/>
      <w:marLeft w:val="0"/>
      <w:marRight w:val="0"/>
      <w:marTop w:val="0"/>
      <w:marBottom w:val="0"/>
      <w:divBdr>
        <w:top w:val="none" w:sz="0" w:space="0" w:color="auto"/>
        <w:left w:val="none" w:sz="0" w:space="0" w:color="auto"/>
        <w:bottom w:val="none" w:sz="0" w:space="0" w:color="auto"/>
        <w:right w:val="none" w:sz="0" w:space="0" w:color="auto"/>
      </w:divBdr>
    </w:div>
    <w:div w:id="230626206">
      <w:bodyDiv w:val="1"/>
      <w:marLeft w:val="0"/>
      <w:marRight w:val="0"/>
      <w:marTop w:val="0"/>
      <w:marBottom w:val="0"/>
      <w:divBdr>
        <w:top w:val="none" w:sz="0" w:space="0" w:color="auto"/>
        <w:left w:val="none" w:sz="0" w:space="0" w:color="auto"/>
        <w:bottom w:val="none" w:sz="0" w:space="0" w:color="auto"/>
        <w:right w:val="none" w:sz="0" w:space="0" w:color="auto"/>
      </w:divBdr>
    </w:div>
    <w:div w:id="230966801">
      <w:bodyDiv w:val="1"/>
      <w:marLeft w:val="0"/>
      <w:marRight w:val="0"/>
      <w:marTop w:val="0"/>
      <w:marBottom w:val="0"/>
      <w:divBdr>
        <w:top w:val="none" w:sz="0" w:space="0" w:color="auto"/>
        <w:left w:val="none" w:sz="0" w:space="0" w:color="auto"/>
        <w:bottom w:val="none" w:sz="0" w:space="0" w:color="auto"/>
        <w:right w:val="none" w:sz="0" w:space="0" w:color="auto"/>
      </w:divBdr>
    </w:div>
    <w:div w:id="230970396">
      <w:bodyDiv w:val="1"/>
      <w:marLeft w:val="0"/>
      <w:marRight w:val="0"/>
      <w:marTop w:val="0"/>
      <w:marBottom w:val="0"/>
      <w:divBdr>
        <w:top w:val="none" w:sz="0" w:space="0" w:color="auto"/>
        <w:left w:val="none" w:sz="0" w:space="0" w:color="auto"/>
        <w:bottom w:val="none" w:sz="0" w:space="0" w:color="auto"/>
        <w:right w:val="none" w:sz="0" w:space="0" w:color="auto"/>
      </w:divBdr>
    </w:div>
    <w:div w:id="231045482">
      <w:bodyDiv w:val="1"/>
      <w:marLeft w:val="0"/>
      <w:marRight w:val="0"/>
      <w:marTop w:val="0"/>
      <w:marBottom w:val="0"/>
      <w:divBdr>
        <w:top w:val="none" w:sz="0" w:space="0" w:color="auto"/>
        <w:left w:val="none" w:sz="0" w:space="0" w:color="auto"/>
        <w:bottom w:val="none" w:sz="0" w:space="0" w:color="auto"/>
        <w:right w:val="none" w:sz="0" w:space="0" w:color="auto"/>
      </w:divBdr>
    </w:div>
    <w:div w:id="231308085">
      <w:bodyDiv w:val="1"/>
      <w:marLeft w:val="0"/>
      <w:marRight w:val="0"/>
      <w:marTop w:val="0"/>
      <w:marBottom w:val="0"/>
      <w:divBdr>
        <w:top w:val="none" w:sz="0" w:space="0" w:color="auto"/>
        <w:left w:val="none" w:sz="0" w:space="0" w:color="auto"/>
        <w:bottom w:val="none" w:sz="0" w:space="0" w:color="auto"/>
        <w:right w:val="none" w:sz="0" w:space="0" w:color="auto"/>
      </w:divBdr>
    </w:div>
    <w:div w:id="231623374">
      <w:bodyDiv w:val="1"/>
      <w:marLeft w:val="0"/>
      <w:marRight w:val="0"/>
      <w:marTop w:val="0"/>
      <w:marBottom w:val="0"/>
      <w:divBdr>
        <w:top w:val="none" w:sz="0" w:space="0" w:color="auto"/>
        <w:left w:val="none" w:sz="0" w:space="0" w:color="auto"/>
        <w:bottom w:val="none" w:sz="0" w:space="0" w:color="auto"/>
        <w:right w:val="none" w:sz="0" w:space="0" w:color="auto"/>
      </w:divBdr>
    </w:div>
    <w:div w:id="231740000">
      <w:bodyDiv w:val="1"/>
      <w:marLeft w:val="0"/>
      <w:marRight w:val="0"/>
      <w:marTop w:val="0"/>
      <w:marBottom w:val="0"/>
      <w:divBdr>
        <w:top w:val="none" w:sz="0" w:space="0" w:color="auto"/>
        <w:left w:val="none" w:sz="0" w:space="0" w:color="auto"/>
        <w:bottom w:val="none" w:sz="0" w:space="0" w:color="auto"/>
        <w:right w:val="none" w:sz="0" w:space="0" w:color="auto"/>
      </w:divBdr>
    </w:div>
    <w:div w:id="232204343">
      <w:bodyDiv w:val="1"/>
      <w:marLeft w:val="0"/>
      <w:marRight w:val="0"/>
      <w:marTop w:val="0"/>
      <w:marBottom w:val="0"/>
      <w:divBdr>
        <w:top w:val="none" w:sz="0" w:space="0" w:color="auto"/>
        <w:left w:val="none" w:sz="0" w:space="0" w:color="auto"/>
        <w:bottom w:val="none" w:sz="0" w:space="0" w:color="auto"/>
        <w:right w:val="none" w:sz="0" w:space="0" w:color="auto"/>
      </w:divBdr>
    </w:div>
    <w:div w:id="232204384">
      <w:bodyDiv w:val="1"/>
      <w:marLeft w:val="0"/>
      <w:marRight w:val="0"/>
      <w:marTop w:val="0"/>
      <w:marBottom w:val="0"/>
      <w:divBdr>
        <w:top w:val="none" w:sz="0" w:space="0" w:color="auto"/>
        <w:left w:val="none" w:sz="0" w:space="0" w:color="auto"/>
        <w:bottom w:val="none" w:sz="0" w:space="0" w:color="auto"/>
        <w:right w:val="none" w:sz="0" w:space="0" w:color="auto"/>
      </w:divBdr>
    </w:div>
    <w:div w:id="232279804">
      <w:bodyDiv w:val="1"/>
      <w:marLeft w:val="0"/>
      <w:marRight w:val="0"/>
      <w:marTop w:val="0"/>
      <w:marBottom w:val="0"/>
      <w:divBdr>
        <w:top w:val="none" w:sz="0" w:space="0" w:color="auto"/>
        <w:left w:val="none" w:sz="0" w:space="0" w:color="auto"/>
        <w:bottom w:val="none" w:sz="0" w:space="0" w:color="auto"/>
        <w:right w:val="none" w:sz="0" w:space="0" w:color="auto"/>
      </w:divBdr>
    </w:div>
    <w:div w:id="232357192">
      <w:bodyDiv w:val="1"/>
      <w:marLeft w:val="0"/>
      <w:marRight w:val="0"/>
      <w:marTop w:val="0"/>
      <w:marBottom w:val="0"/>
      <w:divBdr>
        <w:top w:val="none" w:sz="0" w:space="0" w:color="auto"/>
        <w:left w:val="none" w:sz="0" w:space="0" w:color="auto"/>
        <w:bottom w:val="none" w:sz="0" w:space="0" w:color="auto"/>
        <w:right w:val="none" w:sz="0" w:space="0" w:color="auto"/>
      </w:divBdr>
    </w:div>
    <w:div w:id="232619119">
      <w:bodyDiv w:val="1"/>
      <w:marLeft w:val="0"/>
      <w:marRight w:val="0"/>
      <w:marTop w:val="0"/>
      <w:marBottom w:val="0"/>
      <w:divBdr>
        <w:top w:val="none" w:sz="0" w:space="0" w:color="auto"/>
        <w:left w:val="none" w:sz="0" w:space="0" w:color="auto"/>
        <w:bottom w:val="none" w:sz="0" w:space="0" w:color="auto"/>
        <w:right w:val="none" w:sz="0" w:space="0" w:color="auto"/>
      </w:divBdr>
    </w:div>
    <w:div w:id="232663420">
      <w:bodyDiv w:val="1"/>
      <w:marLeft w:val="0"/>
      <w:marRight w:val="0"/>
      <w:marTop w:val="0"/>
      <w:marBottom w:val="0"/>
      <w:divBdr>
        <w:top w:val="none" w:sz="0" w:space="0" w:color="auto"/>
        <w:left w:val="none" w:sz="0" w:space="0" w:color="auto"/>
        <w:bottom w:val="none" w:sz="0" w:space="0" w:color="auto"/>
        <w:right w:val="none" w:sz="0" w:space="0" w:color="auto"/>
      </w:divBdr>
    </w:div>
    <w:div w:id="232861714">
      <w:bodyDiv w:val="1"/>
      <w:marLeft w:val="0"/>
      <w:marRight w:val="0"/>
      <w:marTop w:val="0"/>
      <w:marBottom w:val="0"/>
      <w:divBdr>
        <w:top w:val="none" w:sz="0" w:space="0" w:color="auto"/>
        <w:left w:val="none" w:sz="0" w:space="0" w:color="auto"/>
        <w:bottom w:val="none" w:sz="0" w:space="0" w:color="auto"/>
        <w:right w:val="none" w:sz="0" w:space="0" w:color="auto"/>
      </w:divBdr>
    </w:div>
    <w:div w:id="233123872">
      <w:bodyDiv w:val="1"/>
      <w:marLeft w:val="0"/>
      <w:marRight w:val="0"/>
      <w:marTop w:val="0"/>
      <w:marBottom w:val="0"/>
      <w:divBdr>
        <w:top w:val="none" w:sz="0" w:space="0" w:color="auto"/>
        <w:left w:val="none" w:sz="0" w:space="0" w:color="auto"/>
        <w:bottom w:val="none" w:sz="0" w:space="0" w:color="auto"/>
        <w:right w:val="none" w:sz="0" w:space="0" w:color="auto"/>
      </w:divBdr>
    </w:div>
    <w:div w:id="233244722">
      <w:bodyDiv w:val="1"/>
      <w:marLeft w:val="0"/>
      <w:marRight w:val="0"/>
      <w:marTop w:val="0"/>
      <w:marBottom w:val="0"/>
      <w:divBdr>
        <w:top w:val="none" w:sz="0" w:space="0" w:color="auto"/>
        <w:left w:val="none" w:sz="0" w:space="0" w:color="auto"/>
        <w:bottom w:val="none" w:sz="0" w:space="0" w:color="auto"/>
        <w:right w:val="none" w:sz="0" w:space="0" w:color="auto"/>
      </w:divBdr>
    </w:div>
    <w:div w:id="234895044">
      <w:bodyDiv w:val="1"/>
      <w:marLeft w:val="0"/>
      <w:marRight w:val="0"/>
      <w:marTop w:val="0"/>
      <w:marBottom w:val="0"/>
      <w:divBdr>
        <w:top w:val="none" w:sz="0" w:space="0" w:color="auto"/>
        <w:left w:val="none" w:sz="0" w:space="0" w:color="auto"/>
        <w:bottom w:val="none" w:sz="0" w:space="0" w:color="auto"/>
        <w:right w:val="none" w:sz="0" w:space="0" w:color="auto"/>
      </w:divBdr>
    </w:div>
    <w:div w:id="235017176">
      <w:bodyDiv w:val="1"/>
      <w:marLeft w:val="0"/>
      <w:marRight w:val="0"/>
      <w:marTop w:val="0"/>
      <w:marBottom w:val="0"/>
      <w:divBdr>
        <w:top w:val="none" w:sz="0" w:space="0" w:color="auto"/>
        <w:left w:val="none" w:sz="0" w:space="0" w:color="auto"/>
        <w:bottom w:val="none" w:sz="0" w:space="0" w:color="auto"/>
        <w:right w:val="none" w:sz="0" w:space="0" w:color="auto"/>
      </w:divBdr>
    </w:div>
    <w:div w:id="235020800">
      <w:bodyDiv w:val="1"/>
      <w:marLeft w:val="0"/>
      <w:marRight w:val="0"/>
      <w:marTop w:val="0"/>
      <w:marBottom w:val="0"/>
      <w:divBdr>
        <w:top w:val="none" w:sz="0" w:space="0" w:color="auto"/>
        <w:left w:val="none" w:sz="0" w:space="0" w:color="auto"/>
        <w:bottom w:val="none" w:sz="0" w:space="0" w:color="auto"/>
        <w:right w:val="none" w:sz="0" w:space="0" w:color="auto"/>
      </w:divBdr>
    </w:div>
    <w:div w:id="235209074">
      <w:bodyDiv w:val="1"/>
      <w:marLeft w:val="0"/>
      <w:marRight w:val="0"/>
      <w:marTop w:val="0"/>
      <w:marBottom w:val="0"/>
      <w:divBdr>
        <w:top w:val="none" w:sz="0" w:space="0" w:color="auto"/>
        <w:left w:val="none" w:sz="0" w:space="0" w:color="auto"/>
        <w:bottom w:val="none" w:sz="0" w:space="0" w:color="auto"/>
        <w:right w:val="none" w:sz="0" w:space="0" w:color="auto"/>
      </w:divBdr>
    </w:div>
    <w:div w:id="236018926">
      <w:bodyDiv w:val="1"/>
      <w:marLeft w:val="0"/>
      <w:marRight w:val="0"/>
      <w:marTop w:val="0"/>
      <w:marBottom w:val="0"/>
      <w:divBdr>
        <w:top w:val="none" w:sz="0" w:space="0" w:color="auto"/>
        <w:left w:val="none" w:sz="0" w:space="0" w:color="auto"/>
        <w:bottom w:val="none" w:sz="0" w:space="0" w:color="auto"/>
        <w:right w:val="none" w:sz="0" w:space="0" w:color="auto"/>
      </w:divBdr>
    </w:div>
    <w:div w:id="236592704">
      <w:bodyDiv w:val="1"/>
      <w:marLeft w:val="0"/>
      <w:marRight w:val="0"/>
      <w:marTop w:val="0"/>
      <w:marBottom w:val="0"/>
      <w:divBdr>
        <w:top w:val="none" w:sz="0" w:space="0" w:color="auto"/>
        <w:left w:val="none" w:sz="0" w:space="0" w:color="auto"/>
        <w:bottom w:val="none" w:sz="0" w:space="0" w:color="auto"/>
        <w:right w:val="none" w:sz="0" w:space="0" w:color="auto"/>
      </w:divBdr>
    </w:div>
    <w:div w:id="238516240">
      <w:bodyDiv w:val="1"/>
      <w:marLeft w:val="0"/>
      <w:marRight w:val="0"/>
      <w:marTop w:val="0"/>
      <w:marBottom w:val="0"/>
      <w:divBdr>
        <w:top w:val="none" w:sz="0" w:space="0" w:color="auto"/>
        <w:left w:val="none" w:sz="0" w:space="0" w:color="auto"/>
        <w:bottom w:val="none" w:sz="0" w:space="0" w:color="auto"/>
        <w:right w:val="none" w:sz="0" w:space="0" w:color="auto"/>
      </w:divBdr>
    </w:div>
    <w:div w:id="238902620">
      <w:bodyDiv w:val="1"/>
      <w:marLeft w:val="0"/>
      <w:marRight w:val="0"/>
      <w:marTop w:val="0"/>
      <w:marBottom w:val="0"/>
      <w:divBdr>
        <w:top w:val="none" w:sz="0" w:space="0" w:color="auto"/>
        <w:left w:val="none" w:sz="0" w:space="0" w:color="auto"/>
        <w:bottom w:val="none" w:sz="0" w:space="0" w:color="auto"/>
        <w:right w:val="none" w:sz="0" w:space="0" w:color="auto"/>
      </w:divBdr>
    </w:div>
    <w:div w:id="238947900">
      <w:bodyDiv w:val="1"/>
      <w:marLeft w:val="0"/>
      <w:marRight w:val="0"/>
      <w:marTop w:val="0"/>
      <w:marBottom w:val="0"/>
      <w:divBdr>
        <w:top w:val="none" w:sz="0" w:space="0" w:color="auto"/>
        <w:left w:val="none" w:sz="0" w:space="0" w:color="auto"/>
        <w:bottom w:val="none" w:sz="0" w:space="0" w:color="auto"/>
        <w:right w:val="none" w:sz="0" w:space="0" w:color="auto"/>
      </w:divBdr>
    </w:div>
    <w:div w:id="239675594">
      <w:bodyDiv w:val="1"/>
      <w:marLeft w:val="0"/>
      <w:marRight w:val="0"/>
      <w:marTop w:val="0"/>
      <w:marBottom w:val="0"/>
      <w:divBdr>
        <w:top w:val="none" w:sz="0" w:space="0" w:color="auto"/>
        <w:left w:val="none" w:sz="0" w:space="0" w:color="auto"/>
        <w:bottom w:val="none" w:sz="0" w:space="0" w:color="auto"/>
        <w:right w:val="none" w:sz="0" w:space="0" w:color="auto"/>
      </w:divBdr>
    </w:div>
    <w:div w:id="239828490">
      <w:bodyDiv w:val="1"/>
      <w:marLeft w:val="0"/>
      <w:marRight w:val="0"/>
      <w:marTop w:val="0"/>
      <w:marBottom w:val="0"/>
      <w:divBdr>
        <w:top w:val="none" w:sz="0" w:space="0" w:color="auto"/>
        <w:left w:val="none" w:sz="0" w:space="0" w:color="auto"/>
        <w:bottom w:val="none" w:sz="0" w:space="0" w:color="auto"/>
        <w:right w:val="none" w:sz="0" w:space="0" w:color="auto"/>
      </w:divBdr>
    </w:div>
    <w:div w:id="239868850">
      <w:bodyDiv w:val="1"/>
      <w:marLeft w:val="0"/>
      <w:marRight w:val="0"/>
      <w:marTop w:val="0"/>
      <w:marBottom w:val="0"/>
      <w:divBdr>
        <w:top w:val="none" w:sz="0" w:space="0" w:color="auto"/>
        <w:left w:val="none" w:sz="0" w:space="0" w:color="auto"/>
        <w:bottom w:val="none" w:sz="0" w:space="0" w:color="auto"/>
        <w:right w:val="none" w:sz="0" w:space="0" w:color="auto"/>
      </w:divBdr>
    </w:div>
    <w:div w:id="239877480">
      <w:bodyDiv w:val="1"/>
      <w:marLeft w:val="0"/>
      <w:marRight w:val="0"/>
      <w:marTop w:val="0"/>
      <w:marBottom w:val="0"/>
      <w:divBdr>
        <w:top w:val="none" w:sz="0" w:space="0" w:color="auto"/>
        <w:left w:val="none" w:sz="0" w:space="0" w:color="auto"/>
        <w:bottom w:val="none" w:sz="0" w:space="0" w:color="auto"/>
        <w:right w:val="none" w:sz="0" w:space="0" w:color="auto"/>
      </w:divBdr>
    </w:div>
    <w:div w:id="240339116">
      <w:bodyDiv w:val="1"/>
      <w:marLeft w:val="0"/>
      <w:marRight w:val="0"/>
      <w:marTop w:val="0"/>
      <w:marBottom w:val="0"/>
      <w:divBdr>
        <w:top w:val="none" w:sz="0" w:space="0" w:color="auto"/>
        <w:left w:val="none" w:sz="0" w:space="0" w:color="auto"/>
        <w:bottom w:val="none" w:sz="0" w:space="0" w:color="auto"/>
        <w:right w:val="none" w:sz="0" w:space="0" w:color="auto"/>
      </w:divBdr>
    </w:div>
    <w:div w:id="240407271">
      <w:bodyDiv w:val="1"/>
      <w:marLeft w:val="0"/>
      <w:marRight w:val="0"/>
      <w:marTop w:val="0"/>
      <w:marBottom w:val="0"/>
      <w:divBdr>
        <w:top w:val="none" w:sz="0" w:space="0" w:color="auto"/>
        <w:left w:val="none" w:sz="0" w:space="0" w:color="auto"/>
        <w:bottom w:val="none" w:sz="0" w:space="0" w:color="auto"/>
        <w:right w:val="none" w:sz="0" w:space="0" w:color="auto"/>
      </w:divBdr>
    </w:div>
    <w:div w:id="240674243">
      <w:bodyDiv w:val="1"/>
      <w:marLeft w:val="0"/>
      <w:marRight w:val="0"/>
      <w:marTop w:val="0"/>
      <w:marBottom w:val="0"/>
      <w:divBdr>
        <w:top w:val="none" w:sz="0" w:space="0" w:color="auto"/>
        <w:left w:val="none" w:sz="0" w:space="0" w:color="auto"/>
        <w:bottom w:val="none" w:sz="0" w:space="0" w:color="auto"/>
        <w:right w:val="none" w:sz="0" w:space="0" w:color="auto"/>
      </w:divBdr>
    </w:div>
    <w:div w:id="240912281">
      <w:bodyDiv w:val="1"/>
      <w:marLeft w:val="0"/>
      <w:marRight w:val="0"/>
      <w:marTop w:val="0"/>
      <w:marBottom w:val="0"/>
      <w:divBdr>
        <w:top w:val="none" w:sz="0" w:space="0" w:color="auto"/>
        <w:left w:val="none" w:sz="0" w:space="0" w:color="auto"/>
        <w:bottom w:val="none" w:sz="0" w:space="0" w:color="auto"/>
        <w:right w:val="none" w:sz="0" w:space="0" w:color="auto"/>
      </w:divBdr>
    </w:div>
    <w:div w:id="241334971">
      <w:bodyDiv w:val="1"/>
      <w:marLeft w:val="0"/>
      <w:marRight w:val="0"/>
      <w:marTop w:val="0"/>
      <w:marBottom w:val="0"/>
      <w:divBdr>
        <w:top w:val="none" w:sz="0" w:space="0" w:color="auto"/>
        <w:left w:val="none" w:sz="0" w:space="0" w:color="auto"/>
        <w:bottom w:val="none" w:sz="0" w:space="0" w:color="auto"/>
        <w:right w:val="none" w:sz="0" w:space="0" w:color="auto"/>
      </w:divBdr>
    </w:div>
    <w:div w:id="241573443">
      <w:bodyDiv w:val="1"/>
      <w:marLeft w:val="0"/>
      <w:marRight w:val="0"/>
      <w:marTop w:val="0"/>
      <w:marBottom w:val="0"/>
      <w:divBdr>
        <w:top w:val="none" w:sz="0" w:space="0" w:color="auto"/>
        <w:left w:val="none" w:sz="0" w:space="0" w:color="auto"/>
        <w:bottom w:val="none" w:sz="0" w:space="0" w:color="auto"/>
        <w:right w:val="none" w:sz="0" w:space="0" w:color="auto"/>
      </w:divBdr>
    </w:div>
    <w:div w:id="241835458">
      <w:bodyDiv w:val="1"/>
      <w:marLeft w:val="0"/>
      <w:marRight w:val="0"/>
      <w:marTop w:val="0"/>
      <w:marBottom w:val="0"/>
      <w:divBdr>
        <w:top w:val="none" w:sz="0" w:space="0" w:color="auto"/>
        <w:left w:val="none" w:sz="0" w:space="0" w:color="auto"/>
        <w:bottom w:val="none" w:sz="0" w:space="0" w:color="auto"/>
        <w:right w:val="none" w:sz="0" w:space="0" w:color="auto"/>
      </w:divBdr>
    </w:div>
    <w:div w:id="241837491">
      <w:bodyDiv w:val="1"/>
      <w:marLeft w:val="0"/>
      <w:marRight w:val="0"/>
      <w:marTop w:val="0"/>
      <w:marBottom w:val="0"/>
      <w:divBdr>
        <w:top w:val="none" w:sz="0" w:space="0" w:color="auto"/>
        <w:left w:val="none" w:sz="0" w:space="0" w:color="auto"/>
        <w:bottom w:val="none" w:sz="0" w:space="0" w:color="auto"/>
        <w:right w:val="none" w:sz="0" w:space="0" w:color="auto"/>
      </w:divBdr>
    </w:div>
    <w:div w:id="241914386">
      <w:bodyDiv w:val="1"/>
      <w:marLeft w:val="0"/>
      <w:marRight w:val="0"/>
      <w:marTop w:val="0"/>
      <w:marBottom w:val="0"/>
      <w:divBdr>
        <w:top w:val="none" w:sz="0" w:space="0" w:color="auto"/>
        <w:left w:val="none" w:sz="0" w:space="0" w:color="auto"/>
        <w:bottom w:val="none" w:sz="0" w:space="0" w:color="auto"/>
        <w:right w:val="none" w:sz="0" w:space="0" w:color="auto"/>
      </w:divBdr>
    </w:div>
    <w:div w:id="242104361">
      <w:bodyDiv w:val="1"/>
      <w:marLeft w:val="0"/>
      <w:marRight w:val="0"/>
      <w:marTop w:val="0"/>
      <w:marBottom w:val="0"/>
      <w:divBdr>
        <w:top w:val="none" w:sz="0" w:space="0" w:color="auto"/>
        <w:left w:val="none" w:sz="0" w:space="0" w:color="auto"/>
        <w:bottom w:val="none" w:sz="0" w:space="0" w:color="auto"/>
        <w:right w:val="none" w:sz="0" w:space="0" w:color="auto"/>
      </w:divBdr>
    </w:div>
    <w:div w:id="242877422">
      <w:bodyDiv w:val="1"/>
      <w:marLeft w:val="0"/>
      <w:marRight w:val="0"/>
      <w:marTop w:val="0"/>
      <w:marBottom w:val="0"/>
      <w:divBdr>
        <w:top w:val="none" w:sz="0" w:space="0" w:color="auto"/>
        <w:left w:val="none" w:sz="0" w:space="0" w:color="auto"/>
        <w:bottom w:val="none" w:sz="0" w:space="0" w:color="auto"/>
        <w:right w:val="none" w:sz="0" w:space="0" w:color="auto"/>
      </w:divBdr>
    </w:div>
    <w:div w:id="243144757">
      <w:bodyDiv w:val="1"/>
      <w:marLeft w:val="0"/>
      <w:marRight w:val="0"/>
      <w:marTop w:val="0"/>
      <w:marBottom w:val="0"/>
      <w:divBdr>
        <w:top w:val="none" w:sz="0" w:space="0" w:color="auto"/>
        <w:left w:val="none" w:sz="0" w:space="0" w:color="auto"/>
        <w:bottom w:val="none" w:sz="0" w:space="0" w:color="auto"/>
        <w:right w:val="none" w:sz="0" w:space="0" w:color="auto"/>
      </w:divBdr>
    </w:div>
    <w:div w:id="243415332">
      <w:bodyDiv w:val="1"/>
      <w:marLeft w:val="0"/>
      <w:marRight w:val="0"/>
      <w:marTop w:val="0"/>
      <w:marBottom w:val="0"/>
      <w:divBdr>
        <w:top w:val="none" w:sz="0" w:space="0" w:color="auto"/>
        <w:left w:val="none" w:sz="0" w:space="0" w:color="auto"/>
        <w:bottom w:val="none" w:sz="0" w:space="0" w:color="auto"/>
        <w:right w:val="none" w:sz="0" w:space="0" w:color="auto"/>
      </w:divBdr>
    </w:div>
    <w:div w:id="243540384">
      <w:bodyDiv w:val="1"/>
      <w:marLeft w:val="0"/>
      <w:marRight w:val="0"/>
      <w:marTop w:val="0"/>
      <w:marBottom w:val="0"/>
      <w:divBdr>
        <w:top w:val="none" w:sz="0" w:space="0" w:color="auto"/>
        <w:left w:val="none" w:sz="0" w:space="0" w:color="auto"/>
        <w:bottom w:val="none" w:sz="0" w:space="0" w:color="auto"/>
        <w:right w:val="none" w:sz="0" w:space="0" w:color="auto"/>
      </w:divBdr>
    </w:div>
    <w:div w:id="244581288">
      <w:bodyDiv w:val="1"/>
      <w:marLeft w:val="0"/>
      <w:marRight w:val="0"/>
      <w:marTop w:val="0"/>
      <w:marBottom w:val="0"/>
      <w:divBdr>
        <w:top w:val="none" w:sz="0" w:space="0" w:color="auto"/>
        <w:left w:val="none" w:sz="0" w:space="0" w:color="auto"/>
        <w:bottom w:val="none" w:sz="0" w:space="0" w:color="auto"/>
        <w:right w:val="none" w:sz="0" w:space="0" w:color="auto"/>
      </w:divBdr>
    </w:div>
    <w:div w:id="245236471">
      <w:bodyDiv w:val="1"/>
      <w:marLeft w:val="0"/>
      <w:marRight w:val="0"/>
      <w:marTop w:val="0"/>
      <w:marBottom w:val="0"/>
      <w:divBdr>
        <w:top w:val="none" w:sz="0" w:space="0" w:color="auto"/>
        <w:left w:val="none" w:sz="0" w:space="0" w:color="auto"/>
        <w:bottom w:val="none" w:sz="0" w:space="0" w:color="auto"/>
        <w:right w:val="none" w:sz="0" w:space="0" w:color="auto"/>
      </w:divBdr>
    </w:div>
    <w:div w:id="245455897">
      <w:bodyDiv w:val="1"/>
      <w:marLeft w:val="0"/>
      <w:marRight w:val="0"/>
      <w:marTop w:val="0"/>
      <w:marBottom w:val="0"/>
      <w:divBdr>
        <w:top w:val="none" w:sz="0" w:space="0" w:color="auto"/>
        <w:left w:val="none" w:sz="0" w:space="0" w:color="auto"/>
        <w:bottom w:val="none" w:sz="0" w:space="0" w:color="auto"/>
        <w:right w:val="none" w:sz="0" w:space="0" w:color="auto"/>
      </w:divBdr>
    </w:div>
    <w:div w:id="245461747">
      <w:bodyDiv w:val="1"/>
      <w:marLeft w:val="0"/>
      <w:marRight w:val="0"/>
      <w:marTop w:val="0"/>
      <w:marBottom w:val="0"/>
      <w:divBdr>
        <w:top w:val="none" w:sz="0" w:space="0" w:color="auto"/>
        <w:left w:val="none" w:sz="0" w:space="0" w:color="auto"/>
        <w:bottom w:val="none" w:sz="0" w:space="0" w:color="auto"/>
        <w:right w:val="none" w:sz="0" w:space="0" w:color="auto"/>
      </w:divBdr>
    </w:div>
    <w:div w:id="245504981">
      <w:bodyDiv w:val="1"/>
      <w:marLeft w:val="0"/>
      <w:marRight w:val="0"/>
      <w:marTop w:val="0"/>
      <w:marBottom w:val="0"/>
      <w:divBdr>
        <w:top w:val="none" w:sz="0" w:space="0" w:color="auto"/>
        <w:left w:val="none" w:sz="0" w:space="0" w:color="auto"/>
        <w:bottom w:val="none" w:sz="0" w:space="0" w:color="auto"/>
        <w:right w:val="none" w:sz="0" w:space="0" w:color="auto"/>
      </w:divBdr>
    </w:div>
    <w:div w:id="245968087">
      <w:bodyDiv w:val="1"/>
      <w:marLeft w:val="0"/>
      <w:marRight w:val="0"/>
      <w:marTop w:val="0"/>
      <w:marBottom w:val="0"/>
      <w:divBdr>
        <w:top w:val="none" w:sz="0" w:space="0" w:color="auto"/>
        <w:left w:val="none" w:sz="0" w:space="0" w:color="auto"/>
        <w:bottom w:val="none" w:sz="0" w:space="0" w:color="auto"/>
        <w:right w:val="none" w:sz="0" w:space="0" w:color="auto"/>
      </w:divBdr>
    </w:div>
    <w:div w:id="246354089">
      <w:bodyDiv w:val="1"/>
      <w:marLeft w:val="0"/>
      <w:marRight w:val="0"/>
      <w:marTop w:val="0"/>
      <w:marBottom w:val="0"/>
      <w:divBdr>
        <w:top w:val="none" w:sz="0" w:space="0" w:color="auto"/>
        <w:left w:val="none" w:sz="0" w:space="0" w:color="auto"/>
        <w:bottom w:val="none" w:sz="0" w:space="0" w:color="auto"/>
        <w:right w:val="none" w:sz="0" w:space="0" w:color="auto"/>
      </w:divBdr>
    </w:div>
    <w:div w:id="246621058">
      <w:bodyDiv w:val="1"/>
      <w:marLeft w:val="0"/>
      <w:marRight w:val="0"/>
      <w:marTop w:val="0"/>
      <w:marBottom w:val="0"/>
      <w:divBdr>
        <w:top w:val="none" w:sz="0" w:space="0" w:color="auto"/>
        <w:left w:val="none" w:sz="0" w:space="0" w:color="auto"/>
        <w:bottom w:val="none" w:sz="0" w:space="0" w:color="auto"/>
        <w:right w:val="none" w:sz="0" w:space="0" w:color="auto"/>
      </w:divBdr>
    </w:div>
    <w:div w:id="246623858">
      <w:bodyDiv w:val="1"/>
      <w:marLeft w:val="0"/>
      <w:marRight w:val="0"/>
      <w:marTop w:val="0"/>
      <w:marBottom w:val="0"/>
      <w:divBdr>
        <w:top w:val="none" w:sz="0" w:space="0" w:color="auto"/>
        <w:left w:val="none" w:sz="0" w:space="0" w:color="auto"/>
        <w:bottom w:val="none" w:sz="0" w:space="0" w:color="auto"/>
        <w:right w:val="none" w:sz="0" w:space="0" w:color="auto"/>
      </w:divBdr>
    </w:div>
    <w:div w:id="247081097">
      <w:bodyDiv w:val="1"/>
      <w:marLeft w:val="0"/>
      <w:marRight w:val="0"/>
      <w:marTop w:val="0"/>
      <w:marBottom w:val="0"/>
      <w:divBdr>
        <w:top w:val="none" w:sz="0" w:space="0" w:color="auto"/>
        <w:left w:val="none" w:sz="0" w:space="0" w:color="auto"/>
        <w:bottom w:val="none" w:sz="0" w:space="0" w:color="auto"/>
        <w:right w:val="none" w:sz="0" w:space="0" w:color="auto"/>
      </w:divBdr>
    </w:div>
    <w:div w:id="247662989">
      <w:bodyDiv w:val="1"/>
      <w:marLeft w:val="0"/>
      <w:marRight w:val="0"/>
      <w:marTop w:val="0"/>
      <w:marBottom w:val="0"/>
      <w:divBdr>
        <w:top w:val="none" w:sz="0" w:space="0" w:color="auto"/>
        <w:left w:val="none" w:sz="0" w:space="0" w:color="auto"/>
        <w:bottom w:val="none" w:sz="0" w:space="0" w:color="auto"/>
        <w:right w:val="none" w:sz="0" w:space="0" w:color="auto"/>
      </w:divBdr>
    </w:div>
    <w:div w:id="247735155">
      <w:bodyDiv w:val="1"/>
      <w:marLeft w:val="0"/>
      <w:marRight w:val="0"/>
      <w:marTop w:val="0"/>
      <w:marBottom w:val="0"/>
      <w:divBdr>
        <w:top w:val="none" w:sz="0" w:space="0" w:color="auto"/>
        <w:left w:val="none" w:sz="0" w:space="0" w:color="auto"/>
        <w:bottom w:val="none" w:sz="0" w:space="0" w:color="auto"/>
        <w:right w:val="none" w:sz="0" w:space="0" w:color="auto"/>
      </w:divBdr>
    </w:div>
    <w:div w:id="248735209">
      <w:bodyDiv w:val="1"/>
      <w:marLeft w:val="0"/>
      <w:marRight w:val="0"/>
      <w:marTop w:val="0"/>
      <w:marBottom w:val="0"/>
      <w:divBdr>
        <w:top w:val="none" w:sz="0" w:space="0" w:color="auto"/>
        <w:left w:val="none" w:sz="0" w:space="0" w:color="auto"/>
        <w:bottom w:val="none" w:sz="0" w:space="0" w:color="auto"/>
        <w:right w:val="none" w:sz="0" w:space="0" w:color="auto"/>
      </w:divBdr>
    </w:div>
    <w:div w:id="248776911">
      <w:bodyDiv w:val="1"/>
      <w:marLeft w:val="0"/>
      <w:marRight w:val="0"/>
      <w:marTop w:val="0"/>
      <w:marBottom w:val="0"/>
      <w:divBdr>
        <w:top w:val="none" w:sz="0" w:space="0" w:color="auto"/>
        <w:left w:val="none" w:sz="0" w:space="0" w:color="auto"/>
        <w:bottom w:val="none" w:sz="0" w:space="0" w:color="auto"/>
        <w:right w:val="none" w:sz="0" w:space="0" w:color="auto"/>
      </w:divBdr>
    </w:div>
    <w:div w:id="248971323">
      <w:bodyDiv w:val="1"/>
      <w:marLeft w:val="0"/>
      <w:marRight w:val="0"/>
      <w:marTop w:val="0"/>
      <w:marBottom w:val="0"/>
      <w:divBdr>
        <w:top w:val="none" w:sz="0" w:space="0" w:color="auto"/>
        <w:left w:val="none" w:sz="0" w:space="0" w:color="auto"/>
        <w:bottom w:val="none" w:sz="0" w:space="0" w:color="auto"/>
        <w:right w:val="none" w:sz="0" w:space="0" w:color="auto"/>
      </w:divBdr>
    </w:div>
    <w:div w:id="249658944">
      <w:bodyDiv w:val="1"/>
      <w:marLeft w:val="0"/>
      <w:marRight w:val="0"/>
      <w:marTop w:val="0"/>
      <w:marBottom w:val="0"/>
      <w:divBdr>
        <w:top w:val="none" w:sz="0" w:space="0" w:color="auto"/>
        <w:left w:val="none" w:sz="0" w:space="0" w:color="auto"/>
        <w:bottom w:val="none" w:sz="0" w:space="0" w:color="auto"/>
        <w:right w:val="none" w:sz="0" w:space="0" w:color="auto"/>
      </w:divBdr>
    </w:div>
    <w:div w:id="249780617">
      <w:bodyDiv w:val="1"/>
      <w:marLeft w:val="0"/>
      <w:marRight w:val="0"/>
      <w:marTop w:val="0"/>
      <w:marBottom w:val="0"/>
      <w:divBdr>
        <w:top w:val="none" w:sz="0" w:space="0" w:color="auto"/>
        <w:left w:val="none" w:sz="0" w:space="0" w:color="auto"/>
        <w:bottom w:val="none" w:sz="0" w:space="0" w:color="auto"/>
        <w:right w:val="none" w:sz="0" w:space="0" w:color="auto"/>
      </w:divBdr>
    </w:div>
    <w:div w:id="250283389">
      <w:bodyDiv w:val="1"/>
      <w:marLeft w:val="0"/>
      <w:marRight w:val="0"/>
      <w:marTop w:val="0"/>
      <w:marBottom w:val="0"/>
      <w:divBdr>
        <w:top w:val="none" w:sz="0" w:space="0" w:color="auto"/>
        <w:left w:val="none" w:sz="0" w:space="0" w:color="auto"/>
        <w:bottom w:val="none" w:sz="0" w:space="0" w:color="auto"/>
        <w:right w:val="none" w:sz="0" w:space="0" w:color="auto"/>
      </w:divBdr>
    </w:div>
    <w:div w:id="250505752">
      <w:bodyDiv w:val="1"/>
      <w:marLeft w:val="0"/>
      <w:marRight w:val="0"/>
      <w:marTop w:val="0"/>
      <w:marBottom w:val="0"/>
      <w:divBdr>
        <w:top w:val="none" w:sz="0" w:space="0" w:color="auto"/>
        <w:left w:val="none" w:sz="0" w:space="0" w:color="auto"/>
        <w:bottom w:val="none" w:sz="0" w:space="0" w:color="auto"/>
        <w:right w:val="none" w:sz="0" w:space="0" w:color="auto"/>
      </w:divBdr>
    </w:div>
    <w:div w:id="250546457">
      <w:bodyDiv w:val="1"/>
      <w:marLeft w:val="0"/>
      <w:marRight w:val="0"/>
      <w:marTop w:val="0"/>
      <w:marBottom w:val="0"/>
      <w:divBdr>
        <w:top w:val="none" w:sz="0" w:space="0" w:color="auto"/>
        <w:left w:val="none" w:sz="0" w:space="0" w:color="auto"/>
        <w:bottom w:val="none" w:sz="0" w:space="0" w:color="auto"/>
        <w:right w:val="none" w:sz="0" w:space="0" w:color="auto"/>
      </w:divBdr>
    </w:div>
    <w:div w:id="251159485">
      <w:bodyDiv w:val="1"/>
      <w:marLeft w:val="0"/>
      <w:marRight w:val="0"/>
      <w:marTop w:val="0"/>
      <w:marBottom w:val="0"/>
      <w:divBdr>
        <w:top w:val="none" w:sz="0" w:space="0" w:color="auto"/>
        <w:left w:val="none" w:sz="0" w:space="0" w:color="auto"/>
        <w:bottom w:val="none" w:sz="0" w:space="0" w:color="auto"/>
        <w:right w:val="none" w:sz="0" w:space="0" w:color="auto"/>
      </w:divBdr>
    </w:div>
    <w:div w:id="251358226">
      <w:bodyDiv w:val="1"/>
      <w:marLeft w:val="0"/>
      <w:marRight w:val="0"/>
      <w:marTop w:val="0"/>
      <w:marBottom w:val="0"/>
      <w:divBdr>
        <w:top w:val="none" w:sz="0" w:space="0" w:color="auto"/>
        <w:left w:val="none" w:sz="0" w:space="0" w:color="auto"/>
        <w:bottom w:val="none" w:sz="0" w:space="0" w:color="auto"/>
        <w:right w:val="none" w:sz="0" w:space="0" w:color="auto"/>
      </w:divBdr>
    </w:div>
    <w:div w:id="251624589">
      <w:bodyDiv w:val="1"/>
      <w:marLeft w:val="0"/>
      <w:marRight w:val="0"/>
      <w:marTop w:val="0"/>
      <w:marBottom w:val="0"/>
      <w:divBdr>
        <w:top w:val="none" w:sz="0" w:space="0" w:color="auto"/>
        <w:left w:val="none" w:sz="0" w:space="0" w:color="auto"/>
        <w:bottom w:val="none" w:sz="0" w:space="0" w:color="auto"/>
        <w:right w:val="none" w:sz="0" w:space="0" w:color="auto"/>
      </w:divBdr>
    </w:div>
    <w:div w:id="251663639">
      <w:bodyDiv w:val="1"/>
      <w:marLeft w:val="0"/>
      <w:marRight w:val="0"/>
      <w:marTop w:val="0"/>
      <w:marBottom w:val="0"/>
      <w:divBdr>
        <w:top w:val="none" w:sz="0" w:space="0" w:color="auto"/>
        <w:left w:val="none" w:sz="0" w:space="0" w:color="auto"/>
        <w:bottom w:val="none" w:sz="0" w:space="0" w:color="auto"/>
        <w:right w:val="none" w:sz="0" w:space="0" w:color="auto"/>
      </w:divBdr>
    </w:div>
    <w:div w:id="252056027">
      <w:bodyDiv w:val="1"/>
      <w:marLeft w:val="0"/>
      <w:marRight w:val="0"/>
      <w:marTop w:val="0"/>
      <w:marBottom w:val="0"/>
      <w:divBdr>
        <w:top w:val="none" w:sz="0" w:space="0" w:color="auto"/>
        <w:left w:val="none" w:sz="0" w:space="0" w:color="auto"/>
        <w:bottom w:val="none" w:sz="0" w:space="0" w:color="auto"/>
        <w:right w:val="none" w:sz="0" w:space="0" w:color="auto"/>
      </w:divBdr>
    </w:div>
    <w:div w:id="252131855">
      <w:bodyDiv w:val="1"/>
      <w:marLeft w:val="0"/>
      <w:marRight w:val="0"/>
      <w:marTop w:val="0"/>
      <w:marBottom w:val="0"/>
      <w:divBdr>
        <w:top w:val="none" w:sz="0" w:space="0" w:color="auto"/>
        <w:left w:val="none" w:sz="0" w:space="0" w:color="auto"/>
        <w:bottom w:val="none" w:sz="0" w:space="0" w:color="auto"/>
        <w:right w:val="none" w:sz="0" w:space="0" w:color="auto"/>
      </w:divBdr>
    </w:div>
    <w:div w:id="252707074">
      <w:bodyDiv w:val="1"/>
      <w:marLeft w:val="0"/>
      <w:marRight w:val="0"/>
      <w:marTop w:val="0"/>
      <w:marBottom w:val="0"/>
      <w:divBdr>
        <w:top w:val="none" w:sz="0" w:space="0" w:color="auto"/>
        <w:left w:val="none" w:sz="0" w:space="0" w:color="auto"/>
        <w:bottom w:val="none" w:sz="0" w:space="0" w:color="auto"/>
        <w:right w:val="none" w:sz="0" w:space="0" w:color="auto"/>
      </w:divBdr>
    </w:div>
    <w:div w:id="253168083">
      <w:bodyDiv w:val="1"/>
      <w:marLeft w:val="0"/>
      <w:marRight w:val="0"/>
      <w:marTop w:val="0"/>
      <w:marBottom w:val="0"/>
      <w:divBdr>
        <w:top w:val="none" w:sz="0" w:space="0" w:color="auto"/>
        <w:left w:val="none" w:sz="0" w:space="0" w:color="auto"/>
        <w:bottom w:val="none" w:sz="0" w:space="0" w:color="auto"/>
        <w:right w:val="none" w:sz="0" w:space="0" w:color="auto"/>
      </w:divBdr>
    </w:div>
    <w:div w:id="253439350">
      <w:bodyDiv w:val="1"/>
      <w:marLeft w:val="0"/>
      <w:marRight w:val="0"/>
      <w:marTop w:val="0"/>
      <w:marBottom w:val="0"/>
      <w:divBdr>
        <w:top w:val="none" w:sz="0" w:space="0" w:color="auto"/>
        <w:left w:val="none" w:sz="0" w:space="0" w:color="auto"/>
        <w:bottom w:val="none" w:sz="0" w:space="0" w:color="auto"/>
        <w:right w:val="none" w:sz="0" w:space="0" w:color="auto"/>
      </w:divBdr>
    </w:div>
    <w:div w:id="253442950">
      <w:bodyDiv w:val="1"/>
      <w:marLeft w:val="0"/>
      <w:marRight w:val="0"/>
      <w:marTop w:val="0"/>
      <w:marBottom w:val="0"/>
      <w:divBdr>
        <w:top w:val="none" w:sz="0" w:space="0" w:color="auto"/>
        <w:left w:val="none" w:sz="0" w:space="0" w:color="auto"/>
        <w:bottom w:val="none" w:sz="0" w:space="0" w:color="auto"/>
        <w:right w:val="none" w:sz="0" w:space="0" w:color="auto"/>
      </w:divBdr>
    </w:div>
    <w:div w:id="254480128">
      <w:bodyDiv w:val="1"/>
      <w:marLeft w:val="0"/>
      <w:marRight w:val="0"/>
      <w:marTop w:val="0"/>
      <w:marBottom w:val="0"/>
      <w:divBdr>
        <w:top w:val="none" w:sz="0" w:space="0" w:color="auto"/>
        <w:left w:val="none" w:sz="0" w:space="0" w:color="auto"/>
        <w:bottom w:val="none" w:sz="0" w:space="0" w:color="auto"/>
        <w:right w:val="none" w:sz="0" w:space="0" w:color="auto"/>
      </w:divBdr>
    </w:div>
    <w:div w:id="254629241">
      <w:bodyDiv w:val="1"/>
      <w:marLeft w:val="0"/>
      <w:marRight w:val="0"/>
      <w:marTop w:val="0"/>
      <w:marBottom w:val="0"/>
      <w:divBdr>
        <w:top w:val="none" w:sz="0" w:space="0" w:color="auto"/>
        <w:left w:val="none" w:sz="0" w:space="0" w:color="auto"/>
        <w:bottom w:val="none" w:sz="0" w:space="0" w:color="auto"/>
        <w:right w:val="none" w:sz="0" w:space="0" w:color="auto"/>
      </w:divBdr>
    </w:div>
    <w:div w:id="255091669">
      <w:bodyDiv w:val="1"/>
      <w:marLeft w:val="0"/>
      <w:marRight w:val="0"/>
      <w:marTop w:val="0"/>
      <w:marBottom w:val="0"/>
      <w:divBdr>
        <w:top w:val="none" w:sz="0" w:space="0" w:color="auto"/>
        <w:left w:val="none" w:sz="0" w:space="0" w:color="auto"/>
        <w:bottom w:val="none" w:sz="0" w:space="0" w:color="auto"/>
        <w:right w:val="none" w:sz="0" w:space="0" w:color="auto"/>
      </w:divBdr>
    </w:div>
    <w:div w:id="255792385">
      <w:bodyDiv w:val="1"/>
      <w:marLeft w:val="0"/>
      <w:marRight w:val="0"/>
      <w:marTop w:val="0"/>
      <w:marBottom w:val="0"/>
      <w:divBdr>
        <w:top w:val="none" w:sz="0" w:space="0" w:color="auto"/>
        <w:left w:val="none" w:sz="0" w:space="0" w:color="auto"/>
        <w:bottom w:val="none" w:sz="0" w:space="0" w:color="auto"/>
        <w:right w:val="none" w:sz="0" w:space="0" w:color="auto"/>
      </w:divBdr>
    </w:div>
    <w:div w:id="256062099">
      <w:bodyDiv w:val="1"/>
      <w:marLeft w:val="0"/>
      <w:marRight w:val="0"/>
      <w:marTop w:val="0"/>
      <w:marBottom w:val="0"/>
      <w:divBdr>
        <w:top w:val="none" w:sz="0" w:space="0" w:color="auto"/>
        <w:left w:val="none" w:sz="0" w:space="0" w:color="auto"/>
        <w:bottom w:val="none" w:sz="0" w:space="0" w:color="auto"/>
        <w:right w:val="none" w:sz="0" w:space="0" w:color="auto"/>
      </w:divBdr>
    </w:div>
    <w:div w:id="256787946">
      <w:bodyDiv w:val="1"/>
      <w:marLeft w:val="0"/>
      <w:marRight w:val="0"/>
      <w:marTop w:val="0"/>
      <w:marBottom w:val="0"/>
      <w:divBdr>
        <w:top w:val="none" w:sz="0" w:space="0" w:color="auto"/>
        <w:left w:val="none" w:sz="0" w:space="0" w:color="auto"/>
        <w:bottom w:val="none" w:sz="0" w:space="0" w:color="auto"/>
        <w:right w:val="none" w:sz="0" w:space="0" w:color="auto"/>
      </w:divBdr>
    </w:div>
    <w:div w:id="257446450">
      <w:bodyDiv w:val="1"/>
      <w:marLeft w:val="0"/>
      <w:marRight w:val="0"/>
      <w:marTop w:val="0"/>
      <w:marBottom w:val="0"/>
      <w:divBdr>
        <w:top w:val="none" w:sz="0" w:space="0" w:color="auto"/>
        <w:left w:val="none" w:sz="0" w:space="0" w:color="auto"/>
        <w:bottom w:val="none" w:sz="0" w:space="0" w:color="auto"/>
        <w:right w:val="none" w:sz="0" w:space="0" w:color="auto"/>
      </w:divBdr>
    </w:div>
    <w:div w:id="257565691">
      <w:bodyDiv w:val="1"/>
      <w:marLeft w:val="0"/>
      <w:marRight w:val="0"/>
      <w:marTop w:val="0"/>
      <w:marBottom w:val="0"/>
      <w:divBdr>
        <w:top w:val="none" w:sz="0" w:space="0" w:color="auto"/>
        <w:left w:val="none" w:sz="0" w:space="0" w:color="auto"/>
        <w:bottom w:val="none" w:sz="0" w:space="0" w:color="auto"/>
        <w:right w:val="none" w:sz="0" w:space="0" w:color="auto"/>
      </w:divBdr>
    </w:div>
    <w:div w:id="257837742">
      <w:bodyDiv w:val="1"/>
      <w:marLeft w:val="0"/>
      <w:marRight w:val="0"/>
      <w:marTop w:val="0"/>
      <w:marBottom w:val="0"/>
      <w:divBdr>
        <w:top w:val="none" w:sz="0" w:space="0" w:color="auto"/>
        <w:left w:val="none" w:sz="0" w:space="0" w:color="auto"/>
        <w:bottom w:val="none" w:sz="0" w:space="0" w:color="auto"/>
        <w:right w:val="none" w:sz="0" w:space="0" w:color="auto"/>
      </w:divBdr>
    </w:div>
    <w:div w:id="258026592">
      <w:bodyDiv w:val="1"/>
      <w:marLeft w:val="0"/>
      <w:marRight w:val="0"/>
      <w:marTop w:val="0"/>
      <w:marBottom w:val="0"/>
      <w:divBdr>
        <w:top w:val="none" w:sz="0" w:space="0" w:color="auto"/>
        <w:left w:val="none" w:sz="0" w:space="0" w:color="auto"/>
        <w:bottom w:val="none" w:sz="0" w:space="0" w:color="auto"/>
        <w:right w:val="none" w:sz="0" w:space="0" w:color="auto"/>
      </w:divBdr>
    </w:div>
    <w:div w:id="258225484">
      <w:bodyDiv w:val="1"/>
      <w:marLeft w:val="0"/>
      <w:marRight w:val="0"/>
      <w:marTop w:val="0"/>
      <w:marBottom w:val="0"/>
      <w:divBdr>
        <w:top w:val="none" w:sz="0" w:space="0" w:color="auto"/>
        <w:left w:val="none" w:sz="0" w:space="0" w:color="auto"/>
        <w:bottom w:val="none" w:sz="0" w:space="0" w:color="auto"/>
        <w:right w:val="none" w:sz="0" w:space="0" w:color="auto"/>
      </w:divBdr>
    </w:div>
    <w:div w:id="258300217">
      <w:bodyDiv w:val="1"/>
      <w:marLeft w:val="0"/>
      <w:marRight w:val="0"/>
      <w:marTop w:val="0"/>
      <w:marBottom w:val="0"/>
      <w:divBdr>
        <w:top w:val="none" w:sz="0" w:space="0" w:color="auto"/>
        <w:left w:val="none" w:sz="0" w:space="0" w:color="auto"/>
        <w:bottom w:val="none" w:sz="0" w:space="0" w:color="auto"/>
        <w:right w:val="none" w:sz="0" w:space="0" w:color="auto"/>
      </w:divBdr>
    </w:div>
    <w:div w:id="259026634">
      <w:bodyDiv w:val="1"/>
      <w:marLeft w:val="0"/>
      <w:marRight w:val="0"/>
      <w:marTop w:val="0"/>
      <w:marBottom w:val="0"/>
      <w:divBdr>
        <w:top w:val="none" w:sz="0" w:space="0" w:color="auto"/>
        <w:left w:val="none" w:sz="0" w:space="0" w:color="auto"/>
        <w:bottom w:val="none" w:sz="0" w:space="0" w:color="auto"/>
        <w:right w:val="none" w:sz="0" w:space="0" w:color="auto"/>
      </w:divBdr>
    </w:div>
    <w:div w:id="259412150">
      <w:bodyDiv w:val="1"/>
      <w:marLeft w:val="0"/>
      <w:marRight w:val="0"/>
      <w:marTop w:val="0"/>
      <w:marBottom w:val="0"/>
      <w:divBdr>
        <w:top w:val="none" w:sz="0" w:space="0" w:color="auto"/>
        <w:left w:val="none" w:sz="0" w:space="0" w:color="auto"/>
        <w:bottom w:val="none" w:sz="0" w:space="0" w:color="auto"/>
        <w:right w:val="none" w:sz="0" w:space="0" w:color="auto"/>
      </w:divBdr>
    </w:div>
    <w:div w:id="259799686">
      <w:bodyDiv w:val="1"/>
      <w:marLeft w:val="0"/>
      <w:marRight w:val="0"/>
      <w:marTop w:val="0"/>
      <w:marBottom w:val="0"/>
      <w:divBdr>
        <w:top w:val="none" w:sz="0" w:space="0" w:color="auto"/>
        <w:left w:val="none" w:sz="0" w:space="0" w:color="auto"/>
        <w:bottom w:val="none" w:sz="0" w:space="0" w:color="auto"/>
        <w:right w:val="none" w:sz="0" w:space="0" w:color="auto"/>
      </w:divBdr>
    </w:div>
    <w:div w:id="260191065">
      <w:bodyDiv w:val="1"/>
      <w:marLeft w:val="0"/>
      <w:marRight w:val="0"/>
      <w:marTop w:val="0"/>
      <w:marBottom w:val="0"/>
      <w:divBdr>
        <w:top w:val="none" w:sz="0" w:space="0" w:color="auto"/>
        <w:left w:val="none" w:sz="0" w:space="0" w:color="auto"/>
        <w:bottom w:val="none" w:sz="0" w:space="0" w:color="auto"/>
        <w:right w:val="none" w:sz="0" w:space="0" w:color="auto"/>
      </w:divBdr>
    </w:div>
    <w:div w:id="261693394">
      <w:bodyDiv w:val="1"/>
      <w:marLeft w:val="0"/>
      <w:marRight w:val="0"/>
      <w:marTop w:val="0"/>
      <w:marBottom w:val="0"/>
      <w:divBdr>
        <w:top w:val="none" w:sz="0" w:space="0" w:color="auto"/>
        <w:left w:val="none" w:sz="0" w:space="0" w:color="auto"/>
        <w:bottom w:val="none" w:sz="0" w:space="0" w:color="auto"/>
        <w:right w:val="none" w:sz="0" w:space="0" w:color="auto"/>
      </w:divBdr>
    </w:div>
    <w:div w:id="262962879">
      <w:bodyDiv w:val="1"/>
      <w:marLeft w:val="0"/>
      <w:marRight w:val="0"/>
      <w:marTop w:val="0"/>
      <w:marBottom w:val="0"/>
      <w:divBdr>
        <w:top w:val="none" w:sz="0" w:space="0" w:color="auto"/>
        <w:left w:val="none" w:sz="0" w:space="0" w:color="auto"/>
        <w:bottom w:val="none" w:sz="0" w:space="0" w:color="auto"/>
        <w:right w:val="none" w:sz="0" w:space="0" w:color="auto"/>
      </w:divBdr>
    </w:div>
    <w:div w:id="264769081">
      <w:bodyDiv w:val="1"/>
      <w:marLeft w:val="0"/>
      <w:marRight w:val="0"/>
      <w:marTop w:val="0"/>
      <w:marBottom w:val="0"/>
      <w:divBdr>
        <w:top w:val="none" w:sz="0" w:space="0" w:color="auto"/>
        <w:left w:val="none" w:sz="0" w:space="0" w:color="auto"/>
        <w:bottom w:val="none" w:sz="0" w:space="0" w:color="auto"/>
        <w:right w:val="none" w:sz="0" w:space="0" w:color="auto"/>
      </w:divBdr>
    </w:div>
    <w:div w:id="265235327">
      <w:bodyDiv w:val="1"/>
      <w:marLeft w:val="0"/>
      <w:marRight w:val="0"/>
      <w:marTop w:val="0"/>
      <w:marBottom w:val="0"/>
      <w:divBdr>
        <w:top w:val="none" w:sz="0" w:space="0" w:color="auto"/>
        <w:left w:val="none" w:sz="0" w:space="0" w:color="auto"/>
        <w:bottom w:val="none" w:sz="0" w:space="0" w:color="auto"/>
        <w:right w:val="none" w:sz="0" w:space="0" w:color="auto"/>
      </w:divBdr>
    </w:div>
    <w:div w:id="265650029">
      <w:bodyDiv w:val="1"/>
      <w:marLeft w:val="0"/>
      <w:marRight w:val="0"/>
      <w:marTop w:val="0"/>
      <w:marBottom w:val="0"/>
      <w:divBdr>
        <w:top w:val="none" w:sz="0" w:space="0" w:color="auto"/>
        <w:left w:val="none" w:sz="0" w:space="0" w:color="auto"/>
        <w:bottom w:val="none" w:sz="0" w:space="0" w:color="auto"/>
        <w:right w:val="none" w:sz="0" w:space="0" w:color="auto"/>
      </w:divBdr>
    </w:div>
    <w:div w:id="267005633">
      <w:bodyDiv w:val="1"/>
      <w:marLeft w:val="0"/>
      <w:marRight w:val="0"/>
      <w:marTop w:val="0"/>
      <w:marBottom w:val="0"/>
      <w:divBdr>
        <w:top w:val="none" w:sz="0" w:space="0" w:color="auto"/>
        <w:left w:val="none" w:sz="0" w:space="0" w:color="auto"/>
        <w:bottom w:val="none" w:sz="0" w:space="0" w:color="auto"/>
        <w:right w:val="none" w:sz="0" w:space="0" w:color="auto"/>
      </w:divBdr>
    </w:div>
    <w:div w:id="267082761">
      <w:bodyDiv w:val="1"/>
      <w:marLeft w:val="0"/>
      <w:marRight w:val="0"/>
      <w:marTop w:val="0"/>
      <w:marBottom w:val="0"/>
      <w:divBdr>
        <w:top w:val="none" w:sz="0" w:space="0" w:color="auto"/>
        <w:left w:val="none" w:sz="0" w:space="0" w:color="auto"/>
        <w:bottom w:val="none" w:sz="0" w:space="0" w:color="auto"/>
        <w:right w:val="none" w:sz="0" w:space="0" w:color="auto"/>
      </w:divBdr>
    </w:div>
    <w:div w:id="267156284">
      <w:bodyDiv w:val="1"/>
      <w:marLeft w:val="0"/>
      <w:marRight w:val="0"/>
      <w:marTop w:val="0"/>
      <w:marBottom w:val="0"/>
      <w:divBdr>
        <w:top w:val="none" w:sz="0" w:space="0" w:color="auto"/>
        <w:left w:val="none" w:sz="0" w:space="0" w:color="auto"/>
        <w:bottom w:val="none" w:sz="0" w:space="0" w:color="auto"/>
        <w:right w:val="none" w:sz="0" w:space="0" w:color="auto"/>
      </w:divBdr>
    </w:div>
    <w:div w:id="267398250">
      <w:bodyDiv w:val="1"/>
      <w:marLeft w:val="0"/>
      <w:marRight w:val="0"/>
      <w:marTop w:val="0"/>
      <w:marBottom w:val="0"/>
      <w:divBdr>
        <w:top w:val="none" w:sz="0" w:space="0" w:color="auto"/>
        <w:left w:val="none" w:sz="0" w:space="0" w:color="auto"/>
        <w:bottom w:val="none" w:sz="0" w:space="0" w:color="auto"/>
        <w:right w:val="none" w:sz="0" w:space="0" w:color="auto"/>
      </w:divBdr>
    </w:div>
    <w:div w:id="268437469">
      <w:bodyDiv w:val="1"/>
      <w:marLeft w:val="0"/>
      <w:marRight w:val="0"/>
      <w:marTop w:val="0"/>
      <w:marBottom w:val="0"/>
      <w:divBdr>
        <w:top w:val="none" w:sz="0" w:space="0" w:color="auto"/>
        <w:left w:val="none" w:sz="0" w:space="0" w:color="auto"/>
        <w:bottom w:val="none" w:sz="0" w:space="0" w:color="auto"/>
        <w:right w:val="none" w:sz="0" w:space="0" w:color="auto"/>
      </w:divBdr>
    </w:div>
    <w:div w:id="268854388">
      <w:bodyDiv w:val="1"/>
      <w:marLeft w:val="0"/>
      <w:marRight w:val="0"/>
      <w:marTop w:val="0"/>
      <w:marBottom w:val="0"/>
      <w:divBdr>
        <w:top w:val="none" w:sz="0" w:space="0" w:color="auto"/>
        <w:left w:val="none" w:sz="0" w:space="0" w:color="auto"/>
        <w:bottom w:val="none" w:sz="0" w:space="0" w:color="auto"/>
        <w:right w:val="none" w:sz="0" w:space="0" w:color="auto"/>
      </w:divBdr>
    </w:div>
    <w:div w:id="268973781">
      <w:bodyDiv w:val="1"/>
      <w:marLeft w:val="0"/>
      <w:marRight w:val="0"/>
      <w:marTop w:val="0"/>
      <w:marBottom w:val="0"/>
      <w:divBdr>
        <w:top w:val="none" w:sz="0" w:space="0" w:color="auto"/>
        <w:left w:val="none" w:sz="0" w:space="0" w:color="auto"/>
        <w:bottom w:val="none" w:sz="0" w:space="0" w:color="auto"/>
        <w:right w:val="none" w:sz="0" w:space="0" w:color="auto"/>
      </w:divBdr>
    </w:div>
    <w:div w:id="269163885">
      <w:bodyDiv w:val="1"/>
      <w:marLeft w:val="0"/>
      <w:marRight w:val="0"/>
      <w:marTop w:val="0"/>
      <w:marBottom w:val="0"/>
      <w:divBdr>
        <w:top w:val="none" w:sz="0" w:space="0" w:color="auto"/>
        <w:left w:val="none" w:sz="0" w:space="0" w:color="auto"/>
        <w:bottom w:val="none" w:sz="0" w:space="0" w:color="auto"/>
        <w:right w:val="none" w:sz="0" w:space="0" w:color="auto"/>
      </w:divBdr>
    </w:div>
    <w:div w:id="269357078">
      <w:bodyDiv w:val="1"/>
      <w:marLeft w:val="0"/>
      <w:marRight w:val="0"/>
      <w:marTop w:val="0"/>
      <w:marBottom w:val="0"/>
      <w:divBdr>
        <w:top w:val="none" w:sz="0" w:space="0" w:color="auto"/>
        <w:left w:val="none" w:sz="0" w:space="0" w:color="auto"/>
        <w:bottom w:val="none" w:sz="0" w:space="0" w:color="auto"/>
        <w:right w:val="none" w:sz="0" w:space="0" w:color="auto"/>
      </w:divBdr>
    </w:div>
    <w:div w:id="269550524">
      <w:bodyDiv w:val="1"/>
      <w:marLeft w:val="0"/>
      <w:marRight w:val="0"/>
      <w:marTop w:val="0"/>
      <w:marBottom w:val="0"/>
      <w:divBdr>
        <w:top w:val="none" w:sz="0" w:space="0" w:color="auto"/>
        <w:left w:val="none" w:sz="0" w:space="0" w:color="auto"/>
        <w:bottom w:val="none" w:sz="0" w:space="0" w:color="auto"/>
        <w:right w:val="none" w:sz="0" w:space="0" w:color="auto"/>
      </w:divBdr>
    </w:div>
    <w:div w:id="269557890">
      <w:bodyDiv w:val="1"/>
      <w:marLeft w:val="0"/>
      <w:marRight w:val="0"/>
      <w:marTop w:val="0"/>
      <w:marBottom w:val="0"/>
      <w:divBdr>
        <w:top w:val="none" w:sz="0" w:space="0" w:color="auto"/>
        <w:left w:val="none" w:sz="0" w:space="0" w:color="auto"/>
        <w:bottom w:val="none" w:sz="0" w:space="0" w:color="auto"/>
        <w:right w:val="none" w:sz="0" w:space="0" w:color="auto"/>
      </w:divBdr>
    </w:div>
    <w:div w:id="270430033">
      <w:bodyDiv w:val="1"/>
      <w:marLeft w:val="0"/>
      <w:marRight w:val="0"/>
      <w:marTop w:val="0"/>
      <w:marBottom w:val="0"/>
      <w:divBdr>
        <w:top w:val="none" w:sz="0" w:space="0" w:color="auto"/>
        <w:left w:val="none" w:sz="0" w:space="0" w:color="auto"/>
        <w:bottom w:val="none" w:sz="0" w:space="0" w:color="auto"/>
        <w:right w:val="none" w:sz="0" w:space="0" w:color="auto"/>
      </w:divBdr>
    </w:div>
    <w:div w:id="270822172">
      <w:bodyDiv w:val="1"/>
      <w:marLeft w:val="0"/>
      <w:marRight w:val="0"/>
      <w:marTop w:val="0"/>
      <w:marBottom w:val="0"/>
      <w:divBdr>
        <w:top w:val="none" w:sz="0" w:space="0" w:color="auto"/>
        <w:left w:val="none" w:sz="0" w:space="0" w:color="auto"/>
        <w:bottom w:val="none" w:sz="0" w:space="0" w:color="auto"/>
        <w:right w:val="none" w:sz="0" w:space="0" w:color="auto"/>
      </w:divBdr>
    </w:div>
    <w:div w:id="270935545">
      <w:bodyDiv w:val="1"/>
      <w:marLeft w:val="0"/>
      <w:marRight w:val="0"/>
      <w:marTop w:val="0"/>
      <w:marBottom w:val="0"/>
      <w:divBdr>
        <w:top w:val="none" w:sz="0" w:space="0" w:color="auto"/>
        <w:left w:val="none" w:sz="0" w:space="0" w:color="auto"/>
        <w:bottom w:val="none" w:sz="0" w:space="0" w:color="auto"/>
        <w:right w:val="none" w:sz="0" w:space="0" w:color="auto"/>
      </w:divBdr>
    </w:div>
    <w:div w:id="271674569">
      <w:bodyDiv w:val="1"/>
      <w:marLeft w:val="0"/>
      <w:marRight w:val="0"/>
      <w:marTop w:val="0"/>
      <w:marBottom w:val="0"/>
      <w:divBdr>
        <w:top w:val="none" w:sz="0" w:space="0" w:color="auto"/>
        <w:left w:val="none" w:sz="0" w:space="0" w:color="auto"/>
        <w:bottom w:val="none" w:sz="0" w:space="0" w:color="auto"/>
        <w:right w:val="none" w:sz="0" w:space="0" w:color="auto"/>
      </w:divBdr>
    </w:div>
    <w:div w:id="272251755">
      <w:bodyDiv w:val="1"/>
      <w:marLeft w:val="0"/>
      <w:marRight w:val="0"/>
      <w:marTop w:val="0"/>
      <w:marBottom w:val="0"/>
      <w:divBdr>
        <w:top w:val="none" w:sz="0" w:space="0" w:color="auto"/>
        <w:left w:val="none" w:sz="0" w:space="0" w:color="auto"/>
        <w:bottom w:val="none" w:sz="0" w:space="0" w:color="auto"/>
        <w:right w:val="none" w:sz="0" w:space="0" w:color="auto"/>
      </w:divBdr>
    </w:div>
    <w:div w:id="272253930">
      <w:bodyDiv w:val="1"/>
      <w:marLeft w:val="0"/>
      <w:marRight w:val="0"/>
      <w:marTop w:val="0"/>
      <w:marBottom w:val="0"/>
      <w:divBdr>
        <w:top w:val="none" w:sz="0" w:space="0" w:color="auto"/>
        <w:left w:val="none" w:sz="0" w:space="0" w:color="auto"/>
        <w:bottom w:val="none" w:sz="0" w:space="0" w:color="auto"/>
        <w:right w:val="none" w:sz="0" w:space="0" w:color="auto"/>
      </w:divBdr>
    </w:div>
    <w:div w:id="273052973">
      <w:bodyDiv w:val="1"/>
      <w:marLeft w:val="0"/>
      <w:marRight w:val="0"/>
      <w:marTop w:val="0"/>
      <w:marBottom w:val="0"/>
      <w:divBdr>
        <w:top w:val="none" w:sz="0" w:space="0" w:color="auto"/>
        <w:left w:val="none" w:sz="0" w:space="0" w:color="auto"/>
        <w:bottom w:val="none" w:sz="0" w:space="0" w:color="auto"/>
        <w:right w:val="none" w:sz="0" w:space="0" w:color="auto"/>
      </w:divBdr>
    </w:div>
    <w:div w:id="273563719">
      <w:bodyDiv w:val="1"/>
      <w:marLeft w:val="0"/>
      <w:marRight w:val="0"/>
      <w:marTop w:val="0"/>
      <w:marBottom w:val="0"/>
      <w:divBdr>
        <w:top w:val="none" w:sz="0" w:space="0" w:color="auto"/>
        <w:left w:val="none" w:sz="0" w:space="0" w:color="auto"/>
        <w:bottom w:val="none" w:sz="0" w:space="0" w:color="auto"/>
        <w:right w:val="none" w:sz="0" w:space="0" w:color="auto"/>
      </w:divBdr>
    </w:div>
    <w:div w:id="274096190">
      <w:bodyDiv w:val="1"/>
      <w:marLeft w:val="0"/>
      <w:marRight w:val="0"/>
      <w:marTop w:val="0"/>
      <w:marBottom w:val="0"/>
      <w:divBdr>
        <w:top w:val="none" w:sz="0" w:space="0" w:color="auto"/>
        <w:left w:val="none" w:sz="0" w:space="0" w:color="auto"/>
        <w:bottom w:val="none" w:sz="0" w:space="0" w:color="auto"/>
        <w:right w:val="none" w:sz="0" w:space="0" w:color="auto"/>
      </w:divBdr>
    </w:div>
    <w:div w:id="275186089">
      <w:bodyDiv w:val="1"/>
      <w:marLeft w:val="0"/>
      <w:marRight w:val="0"/>
      <w:marTop w:val="0"/>
      <w:marBottom w:val="0"/>
      <w:divBdr>
        <w:top w:val="none" w:sz="0" w:space="0" w:color="auto"/>
        <w:left w:val="none" w:sz="0" w:space="0" w:color="auto"/>
        <w:bottom w:val="none" w:sz="0" w:space="0" w:color="auto"/>
        <w:right w:val="none" w:sz="0" w:space="0" w:color="auto"/>
      </w:divBdr>
    </w:div>
    <w:div w:id="275213618">
      <w:bodyDiv w:val="1"/>
      <w:marLeft w:val="0"/>
      <w:marRight w:val="0"/>
      <w:marTop w:val="0"/>
      <w:marBottom w:val="0"/>
      <w:divBdr>
        <w:top w:val="none" w:sz="0" w:space="0" w:color="auto"/>
        <w:left w:val="none" w:sz="0" w:space="0" w:color="auto"/>
        <w:bottom w:val="none" w:sz="0" w:space="0" w:color="auto"/>
        <w:right w:val="none" w:sz="0" w:space="0" w:color="auto"/>
      </w:divBdr>
    </w:div>
    <w:div w:id="275213947">
      <w:bodyDiv w:val="1"/>
      <w:marLeft w:val="0"/>
      <w:marRight w:val="0"/>
      <w:marTop w:val="0"/>
      <w:marBottom w:val="0"/>
      <w:divBdr>
        <w:top w:val="none" w:sz="0" w:space="0" w:color="auto"/>
        <w:left w:val="none" w:sz="0" w:space="0" w:color="auto"/>
        <w:bottom w:val="none" w:sz="0" w:space="0" w:color="auto"/>
        <w:right w:val="none" w:sz="0" w:space="0" w:color="auto"/>
      </w:divBdr>
    </w:div>
    <w:div w:id="275676879">
      <w:bodyDiv w:val="1"/>
      <w:marLeft w:val="0"/>
      <w:marRight w:val="0"/>
      <w:marTop w:val="0"/>
      <w:marBottom w:val="0"/>
      <w:divBdr>
        <w:top w:val="none" w:sz="0" w:space="0" w:color="auto"/>
        <w:left w:val="none" w:sz="0" w:space="0" w:color="auto"/>
        <w:bottom w:val="none" w:sz="0" w:space="0" w:color="auto"/>
        <w:right w:val="none" w:sz="0" w:space="0" w:color="auto"/>
      </w:divBdr>
    </w:div>
    <w:div w:id="275795936">
      <w:bodyDiv w:val="1"/>
      <w:marLeft w:val="0"/>
      <w:marRight w:val="0"/>
      <w:marTop w:val="0"/>
      <w:marBottom w:val="0"/>
      <w:divBdr>
        <w:top w:val="none" w:sz="0" w:space="0" w:color="auto"/>
        <w:left w:val="none" w:sz="0" w:space="0" w:color="auto"/>
        <w:bottom w:val="none" w:sz="0" w:space="0" w:color="auto"/>
        <w:right w:val="none" w:sz="0" w:space="0" w:color="auto"/>
      </w:divBdr>
    </w:div>
    <w:div w:id="276067316">
      <w:bodyDiv w:val="1"/>
      <w:marLeft w:val="0"/>
      <w:marRight w:val="0"/>
      <w:marTop w:val="0"/>
      <w:marBottom w:val="0"/>
      <w:divBdr>
        <w:top w:val="none" w:sz="0" w:space="0" w:color="auto"/>
        <w:left w:val="none" w:sz="0" w:space="0" w:color="auto"/>
        <w:bottom w:val="none" w:sz="0" w:space="0" w:color="auto"/>
        <w:right w:val="none" w:sz="0" w:space="0" w:color="auto"/>
      </w:divBdr>
    </w:div>
    <w:div w:id="276641804">
      <w:bodyDiv w:val="1"/>
      <w:marLeft w:val="0"/>
      <w:marRight w:val="0"/>
      <w:marTop w:val="0"/>
      <w:marBottom w:val="0"/>
      <w:divBdr>
        <w:top w:val="none" w:sz="0" w:space="0" w:color="auto"/>
        <w:left w:val="none" w:sz="0" w:space="0" w:color="auto"/>
        <w:bottom w:val="none" w:sz="0" w:space="0" w:color="auto"/>
        <w:right w:val="none" w:sz="0" w:space="0" w:color="auto"/>
      </w:divBdr>
    </w:div>
    <w:div w:id="277027742">
      <w:bodyDiv w:val="1"/>
      <w:marLeft w:val="0"/>
      <w:marRight w:val="0"/>
      <w:marTop w:val="0"/>
      <w:marBottom w:val="0"/>
      <w:divBdr>
        <w:top w:val="none" w:sz="0" w:space="0" w:color="auto"/>
        <w:left w:val="none" w:sz="0" w:space="0" w:color="auto"/>
        <w:bottom w:val="none" w:sz="0" w:space="0" w:color="auto"/>
        <w:right w:val="none" w:sz="0" w:space="0" w:color="auto"/>
      </w:divBdr>
    </w:div>
    <w:div w:id="277029206">
      <w:bodyDiv w:val="1"/>
      <w:marLeft w:val="0"/>
      <w:marRight w:val="0"/>
      <w:marTop w:val="0"/>
      <w:marBottom w:val="0"/>
      <w:divBdr>
        <w:top w:val="none" w:sz="0" w:space="0" w:color="auto"/>
        <w:left w:val="none" w:sz="0" w:space="0" w:color="auto"/>
        <w:bottom w:val="none" w:sz="0" w:space="0" w:color="auto"/>
        <w:right w:val="none" w:sz="0" w:space="0" w:color="auto"/>
      </w:divBdr>
    </w:div>
    <w:div w:id="278147614">
      <w:bodyDiv w:val="1"/>
      <w:marLeft w:val="0"/>
      <w:marRight w:val="0"/>
      <w:marTop w:val="0"/>
      <w:marBottom w:val="0"/>
      <w:divBdr>
        <w:top w:val="none" w:sz="0" w:space="0" w:color="auto"/>
        <w:left w:val="none" w:sz="0" w:space="0" w:color="auto"/>
        <w:bottom w:val="none" w:sz="0" w:space="0" w:color="auto"/>
        <w:right w:val="none" w:sz="0" w:space="0" w:color="auto"/>
      </w:divBdr>
    </w:div>
    <w:div w:id="278462474">
      <w:bodyDiv w:val="1"/>
      <w:marLeft w:val="0"/>
      <w:marRight w:val="0"/>
      <w:marTop w:val="0"/>
      <w:marBottom w:val="0"/>
      <w:divBdr>
        <w:top w:val="none" w:sz="0" w:space="0" w:color="auto"/>
        <w:left w:val="none" w:sz="0" w:space="0" w:color="auto"/>
        <w:bottom w:val="none" w:sz="0" w:space="0" w:color="auto"/>
        <w:right w:val="none" w:sz="0" w:space="0" w:color="auto"/>
      </w:divBdr>
    </w:div>
    <w:div w:id="279148018">
      <w:bodyDiv w:val="1"/>
      <w:marLeft w:val="0"/>
      <w:marRight w:val="0"/>
      <w:marTop w:val="0"/>
      <w:marBottom w:val="0"/>
      <w:divBdr>
        <w:top w:val="none" w:sz="0" w:space="0" w:color="auto"/>
        <w:left w:val="none" w:sz="0" w:space="0" w:color="auto"/>
        <w:bottom w:val="none" w:sz="0" w:space="0" w:color="auto"/>
        <w:right w:val="none" w:sz="0" w:space="0" w:color="auto"/>
      </w:divBdr>
    </w:div>
    <w:div w:id="279262570">
      <w:bodyDiv w:val="1"/>
      <w:marLeft w:val="0"/>
      <w:marRight w:val="0"/>
      <w:marTop w:val="0"/>
      <w:marBottom w:val="0"/>
      <w:divBdr>
        <w:top w:val="none" w:sz="0" w:space="0" w:color="auto"/>
        <w:left w:val="none" w:sz="0" w:space="0" w:color="auto"/>
        <w:bottom w:val="none" w:sz="0" w:space="0" w:color="auto"/>
        <w:right w:val="none" w:sz="0" w:space="0" w:color="auto"/>
      </w:divBdr>
    </w:div>
    <w:div w:id="279533239">
      <w:bodyDiv w:val="1"/>
      <w:marLeft w:val="0"/>
      <w:marRight w:val="0"/>
      <w:marTop w:val="0"/>
      <w:marBottom w:val="0"/>
      <w:divBdr>
        <w:top w:val="none" w:sz="0" w:space="0" w:color="auto"/>
        <w:left w:val="none" w:sz="0" w:space="0" w:color="auto"/>
        <w:bottom w:val="none" w:sz="0" w:space="0" w:color="auto"/>
        <w:right w:val="none" w:sz="0" w:space="0" w:color="auto"/>
      </w:divBdr>
    </w:div>
    <w:div w:id="280263611">
      <w:bodyDiv w:val="1"/>
      <w:marLeft w:val="0"/>
      <w:marRight w:val="0"/>
      <w:marTop w:val="0"/>
      <w:marBottom w:val="0"/>
      <w:divBdr>
        <w:top w:val="none" w:sz="0" w:space="0" w:color="auto"/>
        <w:left w:val="none" w:sz="0" w:space="0" w:color="auto"/>
        <w:bottom w:val="none" w:sz="0" w:space="0" w:color="auto"/>
        <w:right w:val="none" w:sz="0" w:space="0" w:color="auto"/>
      </w:divBdr>
    </w:div>
    <w:div w:id="280458625">
      <w:bodyDiv w:val="1"/>
      <w:marLeft w:val="0"/>
      <w:marRight w:val="0"/>
      <w:marTop w:val="0"/>
      <w:marBottom w:val="0"/>
      <w:divBdr>
        <w:top w:val="none" w:sz="0" w:space="0" w:color="auto"/>
        <w:left w:val="none" w:sz="0" w:space="0" w:color="auto"/>
        <w:bottom w:val="none" w:sz="0" w:space="0" w:color="auto"/>
        <w:right w:val="none" w:sz="0" w:space="0" w:color="auto"/>
      </w:divBdr>
    </w:div>
    <w:div w:id="280571866">
      <w:bodyDiv w:val="1"/>
      <w:marLeft w:val="0"/>
      <w:marRight w:val="0"/>
      <w:marTop w:val="0"/>
      <w:marBottom w:val="0"/>
      <w:divBdr>
        <w:top w:val="none" w:sz="0" w:space="0" w:color="auto"/>
        <w:left w:val="none" w:sz="0" w:space="0" w:color="auto"/>
        <w:bottom w:val="none" w:sz="0" w:space="0" w:color="auto"/>
        <w:right w:val="none" w:sz="0" w:space="0" w:color="auto"/>
      </w:divBdr>
    </w:div>
    <w:div w:id="280695186">
      <w:bodyDiv w:val="1"/>
      <w:marLeft w:val="0"/>
      <w:marRight w:val="0"/>
      <w:marTop w:val="0"/>
      <w:marBottom w:val="0"/>
      <w:divBdr>
        <w:top w:val="none" w:sz="0" w:space="0" w:color="auto"/>
        <w:left w:val="none" w:sz="0" w:space="0" w:color="auto"/>
        <w:bottom w:val="none" w:sz="0" w:space="0" w:color="auto"/>
        <w:right w:val="none" w:sz="0" w:space="0" w:color="auto"/>
      </w:divBdr>
    </w:div>
    <w:div w:id="281113345">
      <w:bodyDiv w:val="1"/>
      <w:marLeft w:val="0"/>
      <w:marRight w:val="0"/>
      <w:marTop w:val="0"/>
      <w:marBottom w:val="0"/>
      <w:divBdr>
        <w:top w:val="none" w:sz="0" w:space="0" w:color="auto"/>
        <w:left w:val="none" w:sz="0" w:space="0" w:color="auto"/>
        <w:bottom w:val="none" w:sz="0" w:space="0" w:color="auto"/>
        <w:right w:val="none" w:sz="0" w:space="0" w:color="auto"/>
      </w:divBdr>
    </w:div>
    <w:div w:id="281152052">
      <w:bodyDiv w:val="1"/>
      <w:marLeft w:val="0"/>
      <w:marRight w:val="0"/>
      <w:marTop w:val="0"/>
      <w:marBottom w:val="0"/>
      <w:divBdr>
        <w:top w:val="none" w:sz="0" w:space="0" w:color="auto"/>
        <w:left w:val="none" w:sz="0" w:space="0" w:color="auto"/>
        <w:bottom w:val="none" w:sz="0" w:space="0" w:color="auto"/>
        <w:right w:val="none" w:sz="0" w:space="0" w:color="auto"/>
      </w:divBdr>
    </w:div>
    <w:div w:id="281428324">
      <w:bodyDiv w:val="1"/>
      <w:marLeft w:val="0"/>
      <w:marRight w:val="0"/>
      <w:marTop w:val="0"/>
      <w:marBottom w:val="0"/>
      <w:divBdr>
        <w:top w:val="none" w:sz="0" w:space="0" w:color="auto"/>
        <w:left w:val="none" w:sz="0" w:space="0" w:color="auto"/>
        <w:bottom w:val="none" w:sz="0" w:space="0" w:color="auto"/>
        <w:right w:val="none" w:sz="0" w:space="0" w:color="auto"/>
      </w:divBdr>
    </w:div>
    <w:div w:id="283313517">
      <w:bodyDiv w:val="1"/>
      <w:marLeft w:val="0"/>
      <w:marRight w:val="0"/>
      <w:marTop w:val="0"/>
      <w:marBottom w:val="0"/>
      <w:divBdr>
        <w:top w:val="none" w:sz="0" w:space="0" w:color="auto"/>
        <w:left w:val="none" w:sz="0" w:space="0" w:color="auto"/>
        <w:bottom w:val="none" w:sz="0" w:space="0" w:color="auto"/>
        <w:right w:val="none" w:sz="0" w:space="0" w:color="auto"/>
      </w:divBdr>
    </w:div>
    <w:div w:id="283736500">
      <w:bodyDiv w:val="1"/>
      <w:marLeft w:val="0"/>
      <w:marRight w:val="0"/>
      <w:marTop w:val="0"/>
      <w:marBottom w:val="0"/>
      <w:divBdr>
        <w:top w:val="none" w:sz="0" w:space="0" w:color="auto"/>
        <w:left w:val="none" w:sz="0" w:space="0" w:color="auto"/>
        <w:bottom w:val="none" w:sz="0" w:space="0" w:color="auto"/>
        <w:right w:val="none" w:sz="0" w:space="0" w:color="auto"/>
      </w:divBdr>
    </w:div>
    <w:div w:id="283736516">
      <w:bodyDiv w:val="1"/>
      <w:marLeft w:val="0"/>
      <w:marRight w:val="0"/>
      <w:marTop w:val="0"/>
      <w:marBottom w:val="0"/>
      <w:divBdr>
        <w:top w:val="none" w:sz="0" w:space="0" w:color="auto"/>
        <w:left w:val="none" w:sz="0" w:space="0" w:color="auto"/>
        <w:bottom w:val="none" w:sz="0" w:space="0" w:color="auto"/>
        <w:right w:val="none" w:sz="0" w:space="0" w:color="auto"/>
      </w:divBdr>
    </w:div>
    <w:div w:id="284704752">
      <w:bodyDiv w:val="1"/>
      <w:marLeft w:val="0"/>
      <w:marRight w:val="0"/>
      <w:marTop w:val="0"/>
      <w:marBottom w:val="0"/>
      <w:divBdr>
        <w:top w:val="none" w:sz="0" w:space="0" w:color="auto"/>
        <w:left w:val="none" w:sz="0" w:space="0" w:color="auto"/>
        <w:bottom w:val="none" w:sz="0" w:space="0" w:color="auto"/>
        <w:right w:val="none" w:sz="0" w:space="0" w:color="auto"/>
      </w:divBdr>
    </w:div>
    <w:div w:id="285238966">
      <w:bodyDiv w:val="1"/>
      <w:marLeft w:val="0"/>
      <w:marRight w:val="0"/>
      <w:marTop w:val="0"/>
      <w:marBottom w:val="0"/>
      <w:divBdr>
        <w:top w:val="none" w:sz="0" w:space="0" w:color="auto"/>
        <w:left w:val="none" w:sz="0" w:space="0" w:color="auto"/>
        <w:bottom w:val="none" w:sz="0" w:space="0" w:color="auto"/>
        <w:right w:val="none" w:sz="0" w:space="0" w:color="auto"/>
      </w:divBdr>
    </w:div>
    <w:div w:id="286083360">
      <w:bodyDiv w:val="1"/>
      <w:marLeft w:val="0"/>
      <w:marRight w:val="0"/>
      <w:marTop w:val="0"/>
      <w:marBottom w:val="0"/>
      <w:divBdr>
        <w:top w:val="none" w:sz="0" w:space="0" w:color="auto"/>
        <w:left w:val="none" w:sz="0" w:space="0" w:color="auto"/>
        <w:bottom w:val="none" w:sz="0" w:space="0" w:color="auto"/>
        <w:right w:val="none" w:sz="0" w:space="0" w:color="auto"/>
      </w:divBdr>
    </w:div>
    <w:div w:id="286161463">
      <w:bodyDiv w:val="1"/>
      <w:marLeft w:val="0"/>
      <w:marRight w:val="0"/>
      <w:marTop w:val="0"/>
      <w:marBottom w:val="0"/>
      <w:divBdr>
        <w:top w:val="none" w:sz="0" w:space="0" w:color="auto"/>
        <w:left w:val="none" w:sz="0" w:space="0" w:color="auto"/>
        <w:bottom w:val="none" w:sz="0" w:space="0" w:color="auto"/>
        <w:right w:val="none" w:sz="0" w:space="0" w:color="auto"/>
      </w:divBdr>
    </w:div>
    <w:div w:id="286277585">
      <w:bodyDiv w:val="1"/>
      <w:marLeft w:val="0"/>
      <w:marRight w:val="0"/>
      <w:marTop w:val="0"/>
      <w:marBottom w:val="0"/>
      <w:divBdr>
        <w:top w:val="none" w:sz="0" w:space="0" w:color="auto"/>
        <w:left w:val="none" w:sz="0" w:space="0" w:color="auto"/>
        <w:bottom w:val="none" w:sz="0" w:space="0" w:color="auto"/>
        <w:right w:val="none" w:sz="0" w:space="0" w:color="auto"/>
      </w:divBdr>
    </w:div>
    <w:div w:id="286544852">
      <w:bodyDiv w:val="1"/>
      <w:marLeft w:val="0"/>
      <w:marRight w:val="0"/>
      <w:marTop w:val="0"/>
      <w:marBottom w:val="0"/>
      <w:divBdr>
        <w:top w:val="none" w:sz="0" w:space="0" w:color="auto"/>
        <w:left w:val="none" w:sz="0" w:space="0" w:color="auto"/>
        <w:bottom w:val="none" w:sz="0" w:space="0" w:color="auto"/>
        <w:right w:val="none" w:sz="0" w:space="0" w:color="auto"/>
      </w:divBdr>
    </w:div>
    <w:div w:id="286860655">
      <w:bodyDiv w:val="1"/>
      <w:marLeft w:val="0"/>
      <w:marRight w:val="0"/>
      <w:marTop w:val="0"/>
      <w:marBottom w:val="0"/>
      <w:divBdr>
        <w:top w:val="none" w:sz="0" w:space="0" w:color="auto"/>
        <w:left w:val="none" w:sz="0" w:space="0" w:color="auto"/>
        <w:bottom w:val="none" w:sz="0" w:space="0" w:color="auto"/>
        <w:right w:val="none" w:sz="0" w:space="0" w:color="auto"/>
      </w:divBdr>
    </w:div>
    <w:div w:id="286933292">
      <w:bodyDiv w:val="1"/>
      <w:marLeft w:val="0"/>
      <w:marRight w:val="0"/>
      <w:marTop w:val="0"/>
      <w:marBottom w:val="0"/>
      <w:divBdr>
        <w:top w:val="none" w:sz="0" w:space="0" w:color="auto"/>
        <w:left w:val="none" w:sz="0" w:space="0" w:color="auto"/>
        <w:bottom w:val="none" w:sz="0" w:space="0" w:color="auto"/>
        <w:right w:val="none" w:sz="0" w:space="0" w:color="auto"/>
      </w:divBdr>
    </w:div>
    <w:div w:id="287006718">
      <w:bodyDiv w:val="1"/>
      <w:marLeft w:val="0"/>
      <w:marRight w:val="0"/>
      <w:marTop w:val="0"/>
      <w:marBottom w:val="0"/>
      <w:divBdr>
        <w:top w:val="none" w:sz="0" w:space="0" w:color="auto"/>
        <w:left w:val="none" w:sz="0" w:space="0" w:color="auto"/>
        <w:bottom w:val="none" w:sz="0" w:space="0" w:color="auto"/>
        <w:right w:val="none" w:sz="0" w:space="0" w:color="auto"/>
      </w:divBdr>
    </w:div>
    <w:div w:id="287511244">
      <w:bodyDiv w:val="1"/>
      <w:marLeft w:val="0"/>
      <w:marRight w:val="0"/>
      <w:marTop w:val="0"/>
      <w:marBottom w:val="0"/>
      <w:divBdr>
        <w:top w:val="none" w:sz="0" w:space="0" w:color="auto"/>
        <w:left w:val="none" w:sz="0" w:space="0" w:color="auto"/>
        <w:bottom w:val="none" w:sz="0" w:space="0" w:color="auto"/>
        <w:right w:val="none" w:sz="0" w:space="0" w:color="auto"/>
      </w:divBdr>
    </w:div>
    <w:div w:id="289241057">
      <w:bodyDiv w:val="1"/>
      <w:marLeft w:val="0"/>
      <w:marRight w:val="0"/>
      <w:marTop w:val="0"/>
      <w:marBottom w:val="0"/>
      <w:divBdr>
        <w:top w:val="none" w:sz="0" w:space="0" w:color="auto"/>
        <w:left w:val="none" w:sz="0" w:space="0" w:color="auto"/>
        <w:bottom w:val="none" w:sz="0" w:space="0" w:color="auto"/>
        <w:right w:val="none" w:sz="0" w:space="0" w:color="auto"/>
      </w:divBdr>
    </w:div>
    <w:div w:id="289242257">
      <w:bodyDiv w:val="1"/>
      <w:marLeft w:val="0"/>
      <w:marRight w:val="0"/>
      <w:marTop w:val="0"/>
      <w:marBottom w:val="0"/>
      <w:divBdr>
        <w:top w:val="none" w:sz="0" w:space="0" w:color="auto"/>
        <w:left w:val="none" w:sz="0" w:space="0" w:color="auto"/>
        <w:bottom w:val="none" w:sz="0" w:space="0" w:color="auto"/>
        <w:right w:val="none" w:sz="0" w:space="0" w:color="auto"/>
      </w:divBdr>
    </w:div>
    <w:div w:id="289635338">
      <w:bodyDiv w:val="1"/>
      <w:marLeft w:val="0"/>
      <w:marRight w:val="0"/>
      <w:marTop w:val="0"/>
      <w:marBottom w:val="0"/>
      <w:divBdr>
        <w:top w:val="none" w:sz="0" w:space="0" w:color="auto"/>
        <w:left w:val="none" w:sz="0" w:space="0" w:color="auto"/>
        <w:bottom w:val="none" w:sz="0" w:space="0" w:color="auto"/>
        <w:right w:val="none" w:sz="0" w:space="0" w:color="auto"/>
      </w:divBdr>
    </w:div>
    <w:div w:id="290018251">
      <w:bodyDiv w:val="1"/>
      <w:marLeft w:val="0"/>
      <w:marRight w:val="0"/>
      <w:marTop w:val="0"/>
      <w:marBottom w:val="0"/>
      <w:divBdr>
        <w:top w:val="none" w:sz="0" w:space="0" w:color="auto"/>
        <w:left w:val="none" w:sz="0" w:space="0" w:color="auto"/>
        <w:bottom w:val="none" w:sz="0" w:space="0" w:color="auto"/>
        <w:right w:val="none" w:sz="0" w:space="0" w:color="auto"/>
      </w:divBdr>
    </w:div>
    <w:div w:id="290094606">
      <w:bodyDiv w:val="1"/>
      <w:marLeft w:val="0"/>
      <w:marRight w:val="0"/>
      <w:marTop w:val="0"/>
      <w:marBottom w:val="0"/>
      <w:divBdr>
        <w:top w:val="none" w:sz="0" w:space="0" w:color="auto"/>
        <w:left w:val="none" w:sz="0" w:space="0" w:color="auto"/>
        <w:bottom w:val="none" w:sz="0" w:space="0" w:color="auto"/>
        <w:right w:val="none" w:sz="0" w:space="0" w:color="auto"/>
      </w:divBdr>
    </w:div>
    <w:div w:id="291598498">
      <w:bodyDiv w:val="1"/>
      <w:marLeft w:val="0"/>
      <w:marRight w:val="0"/>
      <w:marTop w:val="0"/>
      <w:marBottom w:val="0"/>
      <w:divBdr>
        <w:top w:val="none" w:sz="0" w:space="0" w:color="auto"/>
        <w:left w:val="none" w:sz="0" w:space="0" w:color="auto"/>
        <w:bottom w:val="none" w:sz="0" w:space="0" w:color="auto"/>
        <w:right w:val="none" w:sz="0" w:space="0" w:color="auto"/>
      </w:divBdr>
    </w:div>
    <w:div w:id="292643169">
      <w:bodyDiv w:val="1"/>
      <w:marLeft w:val="0"/>
      <w:marRight w:val="0"/>
      <w:marTop w:val="0"/>
      <w:marBottom w:val="0"/>
      <w:divBdr>
        <w:top w:val="none" w:sz="0" w:space="0" w:color="auto"/>
        <w:left w:val="none" w:sz="0" w:space="0" w:color="auto"/>
        <w:bottom w:val="none" w:sz="0" w:space="0" w:color="auto"/>
        <w:right w:val="none" w:sz="0" w:space="0" w:color="auto"/>
      </w:divBdr>
    </w:div>
    <w:div w:id="292710480">
      <w:bodyDiv w:val="1"/>
      <w:marLeft w:val="0"/>
      <w:marRight w:val="0"/>
      <w:marTop w:val="0"/>
      <w:marBottom w:val="0"/>
      <w:divBdr>
        <w:top w:val="none" w:sz="0" w:space="0" w:color="auto"/>
        <w:left w:val="none" w:sz="0" w:space="0" w:color="auto"/>
        <w:bottom w:val="none" w:sz="0" w:space="0" w:color="auto"/>
        <w:right w:val="none" w:sz="0" w:space="0" w:color="auto"/>
      </w:divBdr>
    </w:div>
    <w:div w:id="293024679">
      <w:bodyDiv w:val="1"/>
      <w:marLeft w:val="0"/>
      <w:marRight w:val="0"/>
      <w:marTop w:val="0"/>
      <w:marBottom w:val="0"/>
      <w:divBdr>
        <w:top w:val="none" w:sz="0" w:space="0" w:color="auto"/>
        <w:left w:val="none" w:sz="0" w:space="0" w:color="auto"/>
        <w:bottom w:val="none" w:sz="0" w:space="0" w:color="auto"/>
        <w:right w:val="none" w:sz="0" w:space="0" w:color="auto"/>
      </w:divBdr>
    </w:div>
    <w:div w:id="293101590">
      <w:bodyDiv w:val="1"/>
      <w:marLeft w:val="0"/>
      <w:marRight w:val="0"/>
      <w:marTop w:val="0"/>
      <w:marBottom w:val="0"/>
      <w:divBdr>
        <w:top w:val="none" w:sz="0" w:space="0" w:color="auto"/>
        <w:left w:val="none" w:sz="0" w:space="0" w:color="auto"/>
        <w:bottom w:val="none" w:sz="0" w:space="0" w:color="auto"/>
        <w:right w:val="none" w:sz="0" w:space="0" w:color="auto"/>
      </w:divBdr>
    </w:div>
    <w:div w:id="293145223">
      <w:bodyDiv w:val="1"/>
      <w:marLeft w:val="0"/>
      <w:marRight w:val="0"/>
      <w:marTop w:val="0"/>
      <w:marBottom w:val="0"/>
      <w:divBdr>
        <w:top w:val="none" w:sz="0" w:space="0" w:color="auto"/>
        <w:left w:val="none" w:sz="0" w:space="0" w:color="auto"/>
        <w:bottom w:val="none" w:sz="0" w:space="0" w:color="auto"/>
        <w:right w:val="none" w:sz="0" w:space="0" w:color="auto"/>
      </w:divBdr>
    </w:div>
    <w:div w:id="293340595">
      <w:bodyDiv w:val="1"/>
      <w:marLeft w:val="0"/>
      <w:marRight w:val="0"/>
      <w:marTop w:val="0"/>
      <w:marBottom w:val="0"/>
      <w:divBdr>
        <w:top w:val="none" w:sz="0" w:space="0" w:color="auto"/>
        <w:left w:val="none" w:sz="0" w:space="0" w:color="auto"/>
        <w:bottom w:val="none" w:sz="0" w:space="0" w:color="auto"/>
        <w:right w:val="none" w:sz="0" w:space="0" w:color="auto"/>
      </w:divBdr>
    </w:div>
    <w:div w:id="293558140">
      <w:bodyDiv w:val="1"/>
      <w:marLeft w:val="0"/>
      <w:marRight w:val="0"/>
      <w:marTop w:val="0"/>
      <w:marBottom w:val="0"/>
      <w:divBdr>
        <w:top w:val="none" w:sz="0" w:space="0" w:color="auto"/>
        <w:left w:val="none" w:sz="0" w:space="0" w:color="auto"/>
        <w:bottom w:val="none" w:sz="0" w:space="0" w:color="auto"/>
        <w:right w:val="none" w:sz="0" w:space="0" w:color="auto"/>
      </w:divBdr>
    </w:div>
    <w:div w:id="293994616">
      <w:bodyDiv w:val="1"/>
      <w:marLeft w:val="0"/>
      <w:marRight w:val="0"/>
      <w:marTop w:val="0"/>
      <w:marBottom w:val="0"/>
      <w:divBdr>
        <w:top w:val="none" w:sz="0" w:space="0" w:color="auto"/>
        <w:left w:val="none" w:sz="0" w:space="0" w:color="auto"/>
        <w:bottom w:val="none" w:sz="0" w:space="0" w:color="auto"/>
        <w:right w:val="none" w:sz="0" w:space="0" w:color="auto"/>
      </w:divBdr>
    </w:div>
    <w:div w:id="294603586">
      <w:bodyDiv w:val="1"/>
      <w:marLeft w:val="0"/>
      <w:marRight w:val="0"/>
      <w:marTop w:val="0"/>
      <w:marBottom w:val="0"/>
      <w:divBdr>
        <w:top w:val="none" w:sz="0" w:space="0" w:color="auto"/>
        <w:left w:val="none" w:sz="0" w:space="0" w:color="auto"/>
        <w:bottom w:val="none" w:sz="0" w:space="0" w:color="auto"/>
        <w:right w:val="none" w:sz="0" w:space="0" w:color="auto"/>
      </w:divBdr>
    </w:div>
    <w:div w:id="294608091">
      <w:bodyDiv w:val="1"/>
      <w:marLeft w:val="0"/>
      <w:marRight w:val="0"/>
      <w:marTop w:val="0"/>
      <w:marBottom w:val="0"/>
      <w:divBdr>
        <w:top w:val="none" w:sz="0" w:space="0" w:color="auto"/>
        <w:left w:val="none" w:sz="0" w:space="0" w:color="auto"/>
        <w:bottom w:val="none" w:sz="0" w:space="0" w:color="auto"/>
        <w:right w:val="none" w:sz="0" w:space="0" w:color="auto"/>
      </w:divBdr>
    </w:div>
    <w:div w:id="294650575">
      <w:bodyDiv w:val="1"/>
      <w:marLeft w:val="0"/>
      <w:marRight w:val="0"/>
      <w:marTop w:val="0"/>
      <w:marBottom w:val="0"/>
      <w:divBdr>
        <w:top w:val="none" w:sz="0" w:space="0" w:color="auto"/>
        <w:left w:val="none" w:sz="0" w:space="0" w:color="auto"/>
        <w:bottom w:val="none" w:sz="0" w:space="0" w:color="auto"/>
        <w:right w:val="none" w:sz="0" w:space="0" w:color="auto"/>
      </w:divBdr>
    </w:div>
    <w:div w:id="295523550">
      <w:bodyDiv w:val="1"/>
      <w:marLeft w:val="0"/>
      <w:marRight w:val="0"/>
      <w:marTop w:val="0"/>
      <w:marBottom w:val="0"/>
      <w:divBdr>
        <w:top w:val="none" w:sz="0" w:space="0" w:color="auto"/>
        <w:left w:val="none" w:sz="0" w:space="0" w:color="auto"/>
        <w:bottom w:val="none" w:sz="0" w:space="0" w:color="auto"/>
        <w:right w:val="none" w:sz="0" w:space="0" w:color="auto"/>
      </w:divBdr>
    </w:div>
    <w:div w:id="295961088">
      <w:bodyDiv w:val="1"/>
      <w:marLeft w:val="0"/>
      <w:marRight w:val="0"/>
      <w:marTop w:val="0"/>
      <w:marBottom w:val="0"/>
      <w:divBdr>
        <w:top w:val="none" w:sz="0" w:space="0" w:color="auto"/>
        <w:left w:val="none" w:sz="0" w:space="0" w:color="auto"/>
        <w:bottom w:val="none" w:sz="0" w:space="0" w:color="auto"/>
        <w:right w:val="none" w:sz="0" w:space="0" w:color="auto"/>
      </w:divBdr>
    </w:div>
    <w:div w:id="296374535">
      <w:bodyDiv w:val="1"/>
      <w:marLeft w:val="0"/>
      <w:marRight w:val="0"/>
      <w:marTop w:val="0"/>
      <w:marBottom w:val="0"/>
      <w:divBdr>
        <w:top w:val="none" w:sz="0" w:space="0" w:color="auto"/>
        <w:left w:val="none" w:sz="0" w:space="0" w:color="auto"/>
        <w:bottom w:val="none" w:sz="0" w:space="0" w:color="auto"/>
        <w:right w:val="none" w:sz="0" w:space="0" w:color="auto"/>
      </w:divBdr>
    </w:div>
    <w:div w:id="296451770">
      <w:bodyDiv w:val="1"/>
      <w:marLeft w:val="0"/>
      <w:marRight w:val="0"/>
      <w:marTop w:val="0"/>
      <w:marBottom w:val="0"/>
      <w:divBdr>
        <w:top w:val="none" w:sz="0" w:space="0" w:color="auto"/>
        <w:left w:val="none" w:sz="0" w:space="0" w:color="auto"/>
        <w:bottom w:val="none" w:sz="0" w:space="0" w:color="auto"/>
        <w:right w:val="none" w:sz="0" w:space="0" w:color="auto"/>
      </w:divBdr>
    </w:div>
    <w:div w:id="296491176">
      <w:bodyDiv w:val="1"/>
      <w:marLeft w:val="0"/>
      <w:marRight w:val="0"/>
      <w:marTop w:val="0"/>
      <w:marBottom w:val="0"/>
      <w:divBdr>
        <w:top w:val="none" w:sz="0" w:space="0" w:color="auto"/>
        <w:left w:val="none" w:sz="0" w:space="0" w:color="auto"/>
        <w:bottom w:val="none" w:sz="0" w:space="0" w:color="auto"/>
        <w:right w:val="none" w:sz="0" w:space="0" w:color="auto"/>
      </w:divBdr>
    </w:div>
    <w:div w:id="296647628">
      <w:bodyDiv w:val="1"/>
      <w:marLeft w:val="0"/>
      <w:marRight w:val="0"/>
      <w:marTop w:val="0"/>
      <w:marBottom w:val="0"/>
      <w:divBdr>
        <w:top w:val="none" w:sz="0" w:space="0" w:color="auto"/>
        <w:left w:val="none" w:sz="0" w:space="0" w:color="auto"/>
        <w:bottom w:val="none" w:sz="0" w:space="0" w:color="auto"/>
        <w:right w:val="none" w:sz="0" w:space="0" w:color="auto"/>
      </w:divBdr>
    </w:div>
    <w:div w:id="296761207">
      <w:bodyDiv w:val="1"/>
      <w:marLeft w:val="0"/>
      <w:marRight w:val="0"/>
      <w:marTop w:val="0"/>
      <w:marBottom w:val="0"/>
      <w:divBdr>
        <w:top w:val="none" w:sz="0" w:space="0" w:color="auto"/>
        <w:left w:val="none" w:sz="0" w:space="0" w:color="auto"/>
        <w:bottom w:val="none" w:sz="0" w:space="0" w:color="auto"/>
        <w:right w:val="none" w:sz="0" w:space="0" w:color="auto"/>
      </w:divBdr>
    </w:div>
    <w:div w:id="297031791">
      <w:bodyDiv w:val="1"/>
      <w:marLeft w:val="0"/>
      <w:marRight w:val="0"/>
      <w:marTop w:val="0"/>
      <w:marBottom w:val="0"/>
      <w:divBdr>
        <w:top w:val="none" w:sz="0" w:space="0" w:color="auto"/>
        <w:left w:val="none" w:sz="0" w:space="0" w:color="auto"/>
        <w:bottom w:val="none" w:sz="0" w:space="0" w:color="auto"/>
        <w:right w:val="none" w:sz="0" w:space="0" w:color="auto"/>
      </w:divBdr>
    </w:div>
    <w:div w:id="297345327">
      <w:bodyDiv w:val="1"/>
      <w:marLeft w:val="0"/>
      <w:marRight w:val="0"/>
      <w:marTop w:val="0"/>
      <w:marBottom w:val="0"/>
      <w:divBdr>
        <w:top w:val="none" w:sz="0" w:space="0" w:color="auto"/>
        <w:left w:val="none" w:sz="0" w:space="0" w:color="auto"/>
        <w:bottom w:val="none" w:sz="0" w:space="0" w:color="auto"/>
        <w:right w:val="none" w:sz="0" w:space="0" w:color="auto"/>
      </w:divBdr>
    </w:div>
    <w:div w:id="297541122">
      <w:bodyDiv w:val="1"/>
      <w:marLeft w:val="0"/>
      <w:marRight w:val="0"/>
      <w:marTop w:val="0"/>
      <w:marBottom w:val="0"/>
      <w:divBdr>
        <w:top w:val="none" w:sz="0" w:space="0" w:color="auto"/>
        <w:left w:val="none" w:sz="0" w:space="0" w:color="auto"/>
        <w:bottom w:val="none" w:sz="0" w:space="0" w:color="auto"/>
        <w:right w:val="none" w:sz="0" w:space="0" w:color="auto"/>
      </w:divBdr>
    </w:div>
    <w:div w:id="297686884">
      <w:bodyDiv w:val="1"/>
      <w:marLeft w:val="0"/>
      <w:marRight w:val="0"/>
      <w:marTop w:val="0"/>
      <w:marBottom w:val="0"/>
      <w:divBdr>
        <w:top w:val="none" w:sz="0" w:space="0" w:color="auto"/>
        <w:left w:val="none" w:sz="0" w:space="0" w:color="auto"/>
        <w:bottom w:val="none" w:sz="0" w:space="0" w:color="auto"/>
        <w:right w:val="none" w:sz="0" w:space="0" w:color="auto"/>
      </w:divBdr>
    </w:div>
    <w:div w:id="298189292">
      <w:bodyDiv w:val="1"/>
      <w:marLeft w:val="0"/>
      <w:marRight w:val="0"/>
      <w:marTop w:val="0"/>
      <w:marBottom w:val="0"/>
      <w:divBdr>
        <w:top w:val="none" w:sz="0" w:space="0" w:color="auto"/>
        <w:left w:val="none" w:sz="0" w:space="0" w:color="auto"/>
        <w:bottom w:val="none" w:sz="0" w:space="0" w:color="auto"/>
        <w:right w:val="none" w:sz="0" w:space="0" w:color="auto"/>
      </w:divBdr>
    </w:div>
    <w:div w:id="298268768">
      <w:bodyDiv w:val="1"/>
      <w:marLeft w:val="0"/>
      <w:marRight w:val="0"/>
      <w:marTop w:val="0"/>
      <w:marBottom w:val="0"/>
      <w:divBdr>
        <w:top w:val="none" w:sz="0" w:space="0" w:color="auto"/>
        <w:left w:val="none" w:sz="0" w:space="0" w:color="auto"/>
        <w:bottom w:val="none" w:sz="0" w:space="0" w:color="auto"/>
        <w:right w:val="none" w:sz="0" w:space="0" w:color="auto"/>
      </w:divBdr>
    </w:div>
    <w:div w:id="298731520">
      <w:bodyDiv w:val="1"/>
      <w:marLeft w:val="0"/>
      <w:marRight w:val="0"/>
      <w:marTop w:val="0"/>
      <w:marBottom w:val="0"/>
      <w:divBdr>
        <w:top w:val="none" w:sz="0" w:space="0" w:color="auto"/>
        <w:left w:val="none" w:sz="0" w:space="0" w:color="auto"/>
        <w:bottom w:val="none" w:sz="0" w:space="0" w:color="auto"/>
        <w:right w:val="none" w:sz="0" w:space="0" w:color="auto"/>
      </w:divBdr>
    </w:div>
    <w:div w:id="298918753">
      <w:bodyDiv w:val="1"/>
      <w:marLeft w:val="0"/>
      <w:marRight w:val="0"/>
      <w:marTop w:val="0"/>
      <w:marBottom w:val="0"/>
      <w:divBdr>
        <w:top w:val="none" w:sz="0" w:space="0" w:color="auto"/>
        <w:left w:val="none" w:sz="0" w:space="0" w:color="auto"/>
        <w:bottom w:val="none" w:sz="0" w:space="0" w:color="auto"/>
        <w:right w:val="none" w:sz="0" w:space="0" w:color="auto"/>
      </w:divBdr>
    </w:div>
    <w:div w:id="300112070">
      <w:bodyDiv w:val="1"/>
      <w:marLeft w:val="0"/>
      <w:marRight w:val="0"/>
      <w:marTop w:val="0"/>
      <w:marBottom w:val="0"/>
      <w:divBdr>
        <w:top w:val="none" w:sz="0" w:space="0" w:color="auto"/>
        <w:left w:val="none" w:sz="0" w:space="0" w:color="auto"/>
        <w:bottom w:val="none" w:sz="0" w:space="0" w:color="auto"/>
        <w:right w:val="none" w:sz="0" w:space="0" w:color="auto"/>
      </w:divBdr>
    </w:div>
    <w:div w:id="300352444">
      <w:bodyDiv w:val="1"/>
      <w:marLeft w:val="0"/>
      <w:marRight w:val="0"/>
      <w:marTop w:val="0"/>
      <w:marBottom w:val="0"/>
      <w:divBdr>
        <w:top w:val="none" w:sz="0" w:space="0" w:color="auto"/>
        <w:left w:val="none" w:sz="0" w:space="0" w:color="auto"/>
        <w:bottom w:val="none" w:sz="0" w:space="0" w:color="auto"/>
        <w:right w:val="none" w:sz="0" w:space="0" w:color="auto"/>
      </w:divBdr>
    </w:div>
    <w:div w:id="301081831">
      <w:bodyDiv w:val="1"/>
      <w:marLeft w:val="0"/>
      <w:marRight w:val="0"/>
      <w:marTop w:val="0"/>
      <w:marBottom w:val="0"/>
      <w:divBdr>
        <w:top w:val="none" w:sz="0" w:space="0" w:color="auto"/>
        <w:left w:val="none" w:sz="0" w:space="0" w:color="auto"/>
        <w:bottom w:val="none" w:sz="0" w:space="0" w:color="auto"/>
        <w:right w:val="none" w:sz="0" w:space="0" w:color="auto"/>
      </w:divBdr>
    </w:div>
    <w:div w:id="301926821">
      <w:bodyDiv w:val="1"/>
      <w:marLeft w:val="0"/>
      <w:marRight w:val="0"/>
      <w:marTop w:val="0"/>
      <w:marBottom w:val="0"/>
      <w:divBdr>
        <w:top w:val="none" w:sz="0" w:space="0" w:color="auto"/>
        <w:left w:val="none" w:sz="0" w:space="0" w:color="auto"/>
        <w:bottom w:val="none" w:sz="0" w:space="0" w:color="auto"/>
        <w:right w:val="none" w:sz="0" w:space="0" w:color="auto"/>
      </w:divBdr>
    </w:div>
    <w:div w:id="302317970">
      <w:bodyDiv w:val="1"/>
      <w:marLeft w:val="0"/>
      <w:marRight w:val="0"/>
      <w:marTop w:val="0"/>
      <w:marBottom w:val="0"/>
      <w:divBdr>
        <w:top w:val="none" w:sz="0" w:space="0" w:color="auto"/>
        <w:left w:val="none" w:sz="0" w:space="0" w:color="auto"/>
        <w:bottom w:val="none" w:sz="0" w:space="0" w:color="auto"/>
        <w:right w:val="none" w:sz="0" w:space="0" w:color="auto"/>
      </w:divBdr>
    </w:div>
    <w:div w:id="302463883">
      <w:bodyDiv w:val="1"/>
      <w:marLeft w:val="0"/>
      <w:marRight w:val="0"/>
      <w:marTop w:val="0"/>
      <w:marBottom w:val="0"/>
      <w:divBdr>
        <w:top w:val="none" w:sz="0" w:space="0" w:color="auto"/>
        <w:left w:val="none" w:sz="0" w:space="0" w:color="auto"/>
        <w:bottom w:val="none" w:sz="0" w:space="0" w:color="auto"/>
        <w:right w:val="none" w:sz="0" w:space="0" w:color="auto"/>
      </w:divBdr>
    </w:div>
    <w:div w:id="303001021">
      <w:bodyDiv w:val="1"/>
      <w:marLeft w:val="0"/>
      <w:marRight w:val="0"/>
      <w:marTop w:val="0"/>
      <w:marBottom w:val="0"/>
      <w:divBdr>
        <w:top w:val="none" w:sz="0" w:space="0" w:color="auto"/>
        <w:left w:val="none" w:sz="0" w:space="0" w:color="auto"/>
        <w:bottom w:val="none" w:sz="0" w:space="0" w:color="auto"/>
        <w:right w:val="none" w:sz="0" w:space="0" w:color="auto"/>
      </w:divBdr>
    </w:div>
    <w:div w:id="303391531">
      <w:bodyDiv w:val="1"/>
      <w:marLeft w:val="0"/>
      <w:marRight w:val="0"/>
      <w:marTop w:val="0"/>
      <w:marBottom w:val="0"/>
      <w:divBdr>
        <w:top w:val="none" w:sz="0" w:space="0" w:color="auto"/>
        <w:left w:val="none" w:sz="0" w:space="0" w:color="auto"/>
        <w:bottom w:val="none" w:sz="0" w:space="0" w:color="auto"/>
        <w:right w:val="none" w:sz="0" w:space="0" w:color="auto"/>
      </w:divBdr>
    </w:div>
    <w:div w:id="303778777">
      <w:bodyDiv w:val="1"/>
      <w:marLeft w:val="0"/>
      <w:marRight w:val="0"/>
      <w:marTop w:val="0"/>
      <w:marBottom w:val="0"/>
      <w:divBdr>
        <w:top w:val="none" w:sz="0" w:space="0" w:color="auto"/>
        <w:left w:val="none" w:sz="0" w:space="0" w:color="auto"/>
        <w:bottom w:val="none" w:sz="0" w:space="0" w:color="auto"/>
        <w:right w:val="none" w:sz="0" w:space="0" w:color="auto"/>
      </w:divBdr>
    </w:div>
    <w:div w:id="304239326">
      <w:bodyDiv w:val="1"/>
      <w:marLeft w:val="0"/>
      <w:marRight w:val="0"/>
      <w:marTop w:val="0"/>
      <w:marBottom w:val="0"/>
      <w:divBdr>
        <w:top w:val="none" w:sz="0" w:space="0" w:color="auto"/>
        <w:left w:val="none" w:sz="0" w:space="0" w:color="auto"/>
        <w:bottom w:val="none" w:sz="0" w:space="0" w:color="auto"/>
        <w:right w:val="none" w:sz="0" w:space="0" w:color="auto"/>
      </w:divBdr>
    </w:div>
    <w:div w:id="305352992">
      <w:bodyDiv w:val="1"/>
      <w:marLeft w:val="0"/>
      <w:marRight w:val="0"/>
      <w:marTop w:val="0"/>
      <w:marBottom w:val="0"/>
      <w:divBdr>
        <w:top w:val="none" w:sz="0" w:space="0" w:color="auto"/>
        <w:left w:val="none" w:sz="0" w:space="0" w:color="auto"/>
        <w:bottom w:val="none" w:sz="0" w:space="0" w:color="auto"/>
        <w:right w:val="none" w:sz="0" w:space="0" w:color="auto"/>
      </w:divBdr>
    </w:div>
    <w:div w:id="306084293">
      <w:bodyDiv w:val="1"/>
      <w:marLeft w:val="0"/>
      <w:marRight w:val="0"/>
      <w:marTop w:val="0"/>
      <w:marBottom w:val="0"/>
      <w:divBdr>
        <w:top w:val="none" w:sz="0" w:space="0" w:color="auto"/>
        <w:left w:val="none" w:sz="0" w:space="0" w:color="auto"/>
        <w:bottom w:val="none" w:sz="0" w:space="0" w:color="auto"/>
        <w:right w:val="none" w:sz="0" w:space="0" w:color="auto"/>
      </w:divBdr>
    </w:div>
    <w:div w:id="306402720">
      <w:bodyDiv w:val="1"/>
      <w:marLeft w:val="0"/>
      <w:marRight w:val="0"/>
      <w:marTop w:val="0"/>
      <w:marBottom w:val="0"/>
      <w:divBdr>
        <w:top w:val="none" w:sz="0" w:space="0" w:color="auto"/>
        <w:left w:val="none" w:sz="0" w:space="0" w:color="auto"/>
        <w:bottom w:val="none" w:sz="0" w:space="0" w:color="auto"/>
        <w:right w:val="none" w:sz="0" w:space="0" w:color="auto"/>
      </w:divBdr>
    </w:div>
    <w:div w:id="306790525">
      <w:bodyDiv w:val="1"/>
      <w:marLeft w:val="0"/>
      <w:marRight w:val="0"/>
      <w:marTop w:val="0"/>
      <w:marBottom w:val="0"/>
      <w:divBdr>
        <w:top w:val="none" w:sz="0" w:space="0" w:color="auto"/>
        <w:left w:val="none" w:sz="0" w:space="0" w:color="auto"/>
        <w:bottom w:val="none" w:sz="0" w:space="0" w:color="auto"/>
        <w:right w:val="none" w:sz="0" w:space="0" w:color="auto"/>
      </w:divBdr>
    </w:div>
    <w:div w:id="307322752">
      <w:bodyDiv w:val="1"/>
      <w:marLeft w:val="0"/>
      <w:marRight w:val="0"/>
      <w:marTop w:val="0"/>
      <w:marBottom w:val="0"/>
      <w:divBdr>
        <w:top w:val="none" w:sz="0" w:space="0" w:color="auto"/>
        <w:left w:val="none" w:sz="0" w:space="0" w:color="auto"/>
        <w:bottom w:val="none" w:sz="0" w:space="0" w:color="auto"/>
        <w:right w:val="none" w:sz="0" w:space="0" w:color="auto"/>
      </w:divBdr>
    </w:div>
    <w:div w:id="308218929">
      <w:bodyDiv w:val="1"/>
      <w:marLeft w:val="0"/>
      <w:marRight w:val="0"/>
      <w:marTop w:val="0"/>
      <w:marBottom w:val="0"/>
      <w:divBdr>
        <w:top w:val="none" w:sz="0" w:space="0" w:color="auto"/>
        <w:left w:val="none" w:sz="0" w:space="0" w:color="auto"/>
        <w:bottom w:val="none" w:sz="0" w:space="0" w:color="auto"/>
        <w:right w:val="none" w:sz="0" w:space="0" w:color="auto"/>
      </w:divBdr>
    </w:div>
    <w:div w:id="308630141">
      <w:bodyDiv w:val="1"/>
      <w:marLeft w:val="0"/>
      <w:marRight w:val="0"/>
      <w:marTop w:val="0"/>
      <w:marBottom w:val="0"/>
      <w:divBdr>
        <w:top w:val="none" w:sz="0" w:space="0" w:color="auto"/>
        <w:left w:val="none" w:sz="0" w:space="0" w:color="auto"/>
        <w:bottom w:val="none" w:sz="0" w:space="0" w:color="auto"/>
        <w:right w:val="none" w:sz="0" w:space="0" w:color="auto"/>
      </w:divBdr>
    </w:div>
    <w:div w:id="308637601">
      <w:bodyDiv w:val="1"/>
      <w:marLeft w:val="0"/>
      <w:marRight w:val="0"/>
      <w:marTop w:val="0"/>
      <w:marBottom w:val="0"/>
      <w:divBdr>
        <w:top w:val="none" w:sz="0" w:space="0" w:color="auto"/>
        <w:left w:val="none" w:sz="0" w:space="0" w:color="auto"/>
        <w:bottom w:val="none" w:sz="0" w:space="0" w:color="auto"/>
        <w:right w:val="none" w:sz="0" w:space="0" w:color="auto"/>
      </w:divBdr>
    </w:div>
    <w:div w:id="309361801">
      <w:bodyDiv w:val="1"/>
      <w:marLeft w:val="0"/>
      <w:marRight w:val="0"/>
      <w:marTop w:val="0"/>
      <w:marBottom w:val="0"/>
      <w:divBdr>
        <w:top w:val="none" w:sz="0" w:space="0" w:color="auto"/>
        <w:left w:val="none" w:sz="0" w:space="0" w:color="auto"/>
        <w:bottom w:val="none" w:sz="0" w:space="0" w:color="auto"/>
        <w:right w:val="none" w:sz="0" w:space="0" w:color="auto"/>
      </w:divBdr>
    </w:div>
    <w:div w:id="310182850">
      <w:bodyDiv w:val="1"/>
      <w:marLeft w:val="0"/>
      <w:marRight w:val="0"/>
      <w:marTop w:val="0"/>
      <w:marBottom w:val="0"/>
      <w:divBdr>
        <w:top w:val="none" w:sz="0" w:space="0" w:color="auto"/>
        <w:left w:val="none" w:sz="0" w:space="0" w:color="auto"/>
        <w:bottom w:val="none" w:sz="0" w:space="0" w:color="auto"/>
        <w:right w:val="none" w:sz="0" w:space="0" w:color="auto"/>
      </w:divBdr>
    </w:div>
    <w:div w:id="310182993">
      <w:bodyDiv w:val="1"/>
      <w:marLeft w:val="0"/>
      <w:marRight w:val="0"/>
      <w:marTop w:val="0"/>
      <w:marBottom w:val="0"/>
      <w:divBdr>
        <w:top w:val="none" w:sz="0" w:space="0" w:color="auto"/>
        <w:left w:val="none" w:sz="0" w:space="0" w:color="auto"/>
        <w:bottom w:val="none" w:sz="0" w:space="0" w:color="auto"/>
        <w:right w:val="none" w:sz="0" w:space="0" w:color="auto"/>
      </w:divBdr>
    </w:div>
    <w:div w:id="310183158">
      <w:bodyDiv w:val="1"/>
      <w:marLeft w:val="0"/>
      <w:marRight w:val="0"/>
      <w:marTop w:val="0"/>
      <w:marBottom w:val="0"/>
      <w:divBdr>
        <w:top w:val="none" w:sz="0" w:space="0" w:color="auto"/>
        <w:left w:val="none" w:sz="0" w:space="0" w:color="auto"/>
        <w:bottom w:val="none" w:sz="0" w:space="0" w:color="auto"/>
        <w:right w:val="none" w:sz="0" w:space="0" w:color="auto"/>
      </w:divBdr>
    </w:div>
    <w:div w:id="310450812">
      <w:bodyDiv w:val="1"/>
      <w:marLeft w:val="0"/>
      <w:marRight w:val="0"/>
      <w:marTop w:val="0"/>
      <w:marBottom w:val="0"/>
      <w:divBdr>
        <w:top w:val="none" w:sz="0" w:space="0" w:color="auto"/>
        <w:left w:val="none" w:sz="0" w:space="0" w:color="auto"/>
        <w:bottom w:val="none" w:sz="0" w:space="0" w:color="auto"/>
        <w:right w:val="none" w:sz="0" w:space="0" w:color="auto"/>
      </w:divBdr>
    </w:div>
    <w:div w:id="311059788">
      <w:bodyDiv w:val="1"/>
      <w:marLeft w:val="0"/>
      <w:marRight w:val="0"/>
      <w:marTop w:val="0"/>
      <w:marBottom w:val="0"/>
      <w:divBdr>
        <w:top w:val="none" w:sz="0" w:space="0" w:color="auto"/>
        <w:left w:val="none" w:sz="0" w:space="0" w:color="auto"/>
        <w:bottom w:val="none" w:sz="0" w:space="0" w:color="auto"/>
        <w:right w:val="none" w:sz="0" w:space="0" w:color="auto"/>
      </w:divBdr>
    </w:div>
    <w:div w:id="311175201">
      <w:bodyDiv w:val="1"/>
      <w:marLeft w:val="0"/>
      <w:marRight w:val="0"/>
      <w:marTop w:val="0"/>
      <w:marBottom w:val="0"/>
      <w:divBdr>
        <w:top w:val="none" w:sz="0" w:space="0" w:color="auto"/>
        <w:left w:val="none" w:sz="0" w:space="0" w:color="auto"/>
        <w:bottom w:val="none" w:sz="0" w:space="0" w:color="auto"/>
        <w:right w:val="none" w:sz="0" w:space="0" w:color="auto"/>
      </w:divBdr>
    </w:div>
    <w:div w:id="311761432">
      <w:bodyDiv w:val="1"/>
      <w:marLeft w:val="0"/>
      <w:marRight w:val="0"/>
      <w:marTop w:val="0"/>
      <w:marBottom w:val="0"/>
      <w:divBdr>
        <w:top w:val="none" w:sz="0" w:space="0" w:color="auto"/>
        <w:left w:val="none" w:sz="0" w:space="0" w:color="auto"/>
        <w:bottom w:val="none" w:sz="0" w:space="0" w:color="auto"/>
        <w:right w:val="none" w:sz="0" w:space="0" w:color="auto"/>
      </w:divBdr>
    </w:div>
    <w:div w:id="312027597">
      <w:bodyDiv w:val="1"/>
      <w:marLeft w:val="0"/>
      <w:marRight w:val="0"/>
      <w:marTop w:val="0"/>
      <w:marBottom w:val="0"/>
      <w:divBdr>
        <w:top w:val="none" w:sz="0" w:space="0" w:color="auto"/>
        <w:left w:val="none" w:sz="0" w:space="0" w:color="auto"/>
        <w:bottom w:val="none" w:sz="0" w:space="0" w:color="auto"/>
        <w:right w:val="none" w:sz="0" w:space="0" w:color="auto"/>
      </w:divBdr>
    </w:div>
    <w:div w:id="312149773">
      <w:bodyDiv w:val="1"/>
      <w:marLeft w:val="0"/>
      <w:marRight w:val="0"/>
      <w:marTop w:val="0"/>
      <w:marBottom w:val="0"/>
      <w:divBdr>
        <w:top w:val="none" w:sz="0" w:space="0" w:color="auto"/>
        <w:left w:val="none" w:sz="0" w:space="0" w:color="auto"/>
        <w:bottom w:val="none" w:sz="0" w:space="0" w:color="auto"/>
        <w:right w:val="none" w:sz="0" w:space="0" w:color="auto"/>
      </w:divBdr>
    </w:div>
    <w:div w:id="312410708">
      <w:bodyDiv w:val="1"/>
      <w:marLeft w:val="0"/>
      <w:marRight w:val="0"/>
      <w:marTop w:val="0"/>
      <w:marBottom w:val="0"/>
      <w:divBdr>
        <w:top w:val="none" w:sz="0" w:space="0" w:color="auto"/>
        <w:left w:val="none" w:sz="0" w:space="0" w:color="auto"/>
        <w:bottom w:val="none" w:sz="0" w:space="0" w:color="auto"/>
        <w:right w:val="none" w:sz="0" w:space="0" w:color="auto"/>
      </w:divBdr>
    </w:div>
    <w:div w:id="313606428">
      <w:bodyDiv w:val="1"/>
      <w:marLeft w:val="0"/>
      <w:marRight w:val="0"/>
      <w:marTop w:val="0"/>
      <w:marBottom w:val="0"/>
      <w:divBdr>
        <w:top w:val="none" w:sz="0" w:space="0" w:color="auto"/>
        <w:left w:val="none" w:sz="0" w:space="0" w:color="auto"/>
        <w:bottom w:val="none" w:sz="0" w:space="0" w:color="auto"/>
        <w:right w:val="none" w:sz="0" w:space="0" w:color="auto"/>
      </w:divBdr>
    </w:div>
    <w:div w:id="313798368">
      <w:bodyDiv w:val="1"/>
      <w:marLeft w:val="0"/>
      <w:marRight w:val="0"/>
      <w:marTop w:val="0"/>
      <w:marBottom w:val="0"/>
      <w:divBdr>
        <w:top w:val="none" w:sz="0" w:space="0" w:color="auto"/>
        <w:left w:val="none" w:sz="0" w:space="0" w:color="auto"/>
        <w:bottom w:val="none" w:sz="0" w:space="0" w:color="auto"/>
        <w:right w:val="none" w:sz="0" w:space="0" w:color="auto"/>
      </w:divBdr>
    </w:div>
    <w:div w:id="313992779">
      <w:bodyDiv w:val="1"/>
      <w:marLeft w:val="0"/>
      <w:marRight w:val="0"/>
      <w:marTop w:val="0"/>
      <w:marBottom w:val="0"/>
      <w:divBdr>
        <w:top w:val="none" w:sz="0" w:space="0" w:color="auto"/>
        <w:left w:val="none" w:sz="0" w:space="0" w:color="auto"/>
        <w:bottom w:val="none" w:sz="0" w:space="0" w:color="auto"/>
        <w:right w:val="none" w:sz="0" w:space="0" w:color="auto"/>
      </w:divBdr>
    </w:div>
    <w:div w:id="314184602">
      <w:bodyDiv w:val="1"/>
      <w:marLeft w:val="0"/>
      <w:marRight w:val="0"/>
      <w:marTop w:val="0"/>
      <w:marBottom w:val="0"/>
      <w:divBdr>
        <w:top w:val="none" w:sz="0" w:space="0" w:color="auto"/>
        <w:left w:val="none" w:sz="0" w:space="0" w:color="auto"/>
        <w:bottom w:val="none" w:sz="0" w:space="0" w:color="auto"/>
        <w:right w:val="none" w:sz="0" w:space="0" w:color="auto"/>
      </w:divBdr>
    </w:div>
    <w:div w:id="314797165">
      <w:bodyDiv w:val="1"/>
      <w:marLeft w:val="0"/>
      <w:marRight w:val="0"/>
      <w:marTop w:val="0"/>
      <w:marBottom w:val="0"/>
      <w:divBdr>
        <w:top w:val="none" w:sz="0" w:space="0" w:color="auto"/>
        <w:left w:val="none" w:sz="0" w:space="0" w:color="auto"/>
        <w:bottom w:val="none" w:sz="0" w:space="0" w:color="auto"/>
        <w:right w:val="none" w:sz="0" w:space="0" w:color="auto"/>
      </w:divBdr>
    </w:div>
    <w:div w:id="315888397">
      <w:bodyDiv w:val="1"/>
      <w:marLeft w:val="0"/>
      <w:marRight w:val="0"/>
      <w:marTop w:val="0"/>
      <w:marBottom w:val="0"/>
      <w:divBdr>
        <w:top w:val="none" w:sz="0" w:space="0" w:color="auto"/>
        <w:left w:val="none" w:sz="0" w:space="0" w:color="auto"/>
        <w:bottom w:val="none" w:sz="0" w:space="0" w:color="auto"/>
        <w:right w:val="none" w:sz="0" w:space="0" w:color="auto"/>
      </w:divBdr>
    </w:div>
    <w:div w:id="316501606">
      <w:bodyDiv w:val="1"/>
      <w:marLeft w:val="0"/>
      <w:marRight w:val="0"/>
      <w:marTop w:val="0"/>
      <w:marBottom w:val="0"/>
      <w:divBdr>
        <w:top w:val="none" w:sz="0" w:space="0" w:color="auto"/>
        <w:left w:val="none" w:sz="0" w:space="0" w:color="auto"/>
        <w:bottom w:val="none" w:sz="0" w:space="0" w:color="auto"/>
        <w:right w:val="none" w:sz="0" w:space="0" w:color="auto"/>
      </w:divBdr>
    </w:div>
    <w:div w:id="318118429">
      <w:bodyDiv w:val="1"/>
      <w:marLeft w:val="0"/>
      <w:marRight w:val="0"/>
      <w:marTop w:val="0"/>
      <w:marBottom w:val="0"/>
      <w:divBdr>
        <w:top w:val="none" w:sz="0" w:space="0" w:color="auto"/>
        <w:left w:val="none" w:sz="0" w:space="0" w:color="auto"/>
        <w:bottom w:val="none" w:sz="0" w:space="0" w:color="auto"/>
        <w:right w:val="none" w:sz="0" w:space="0" w:color="auto"/>
      </w:divBdr>
    </w:div>
    <w:div w:id="318577417">
      <w:bodyDiv w:val="1"/>
      <w:marLeft w:val="0"/>
      <w:marRight w:val="0"/>
      <w:marTop w:val="0"/>
      <w:marBottom w:val="0"/>
      <w:divBdr>
        <w:top w:val="none" w:sz="0" w:space="0" w:color="auto"/>
        <w:left w:val="none" w:sz="0" w:space="0" w:color="auto"/>
        <w:bottom w:val="none" w:sz="0" w:space="0" w:color="auto"/>
        <w:right w:val="none" w:sz="0" w:space="0" w:color="auto"/>
      </w:divBdr>
    </w:div>
    <w:div w:id="318732484">
      <w:bodyDiv w:val="1"/>
      <w:marLeft w:val="0"/>
      <w:marRight w:val="0"/>
      <w:marTop w:val="0"/>
      <w:marBottom w:val="0"/>
      <w:divBdr>
        <w:top w:val="none" w:sz="0" w:space="0" w:color="auto"/>
        <w:left w:val="none" w:sz="0" w:space="0" w:color="auto"/>
        <w:bottom w:val="none" w:sz="0" w:space="0" w:color="auto"/>
        <w:right w:val="none" w:sz="0" w:space="0" w:color="auto"/>
      </w:divBdr>
    </w:div>
    <w:div w:id="319114177">
      <w:bodyDiv w:val="1"/>
      <w:marLeft w:val="0"/>
      <w:marRight w:val="0"/>
      <w:marTop w:val="0"/>
      <w:marBottom w:val="0"/>
      <w:divBdr>
        <w:top w:val="none" w:sz="0" w:space="0" w:color="auto"/>
        <w:left w:val="none" w:sz="0" w:space="0" w:color="auto"/>
        <w:bottom w:val="none" w:sz="0" w:space="0" w:color="auto"/>
        <w:right w:val="none" w:sz="0" w:space="0" w:color="auto"/>
      </w:divBdr>
    </w:div>
    <w:div w:id="320282308">
      <w:bodyDiv w:val="1"/>
      <w:marLeft w:val="0"/>
      <w:marRight w:val="0"/>
      <w:marTop w:val="0"/>
      <w:marBottom w:val="0"/>
      <w:divBdr>
        <w:top w:val="none" w:sz="0" w:space="0" w:color="auto"/>
        <w:left w:val="none" w:sz="0" w:space="0" w:color="auto"/>
        <w:bottom w:val="none" w:sz="0" w:space="0" w:color="auto"/>
        <w:right w:val="none" w:sz="0" w:space="0" w:color="auto"/>
      </w:divBdr>
    </w:div>
    <w:div w:id="320934853">
      <w:bodyDiv w:val="1"/>
      <w:marLeft w:val="0"/>
      <w:marRight w:val="0"/>
      <w:marTop w:val="0"/>
      <w:marBottom w:val="0"/>
      <w:divBdr>
        <w:top w:val="none" w:sz="0" w:space="0" w:color="auto"/>
        <w:left w:val="none" w:sz="0" w:space="0" w:color="auto"/>
        <w:bottom w:val="none" w:sz="0" w:space="0" w:color="auto"/>
        <w:right w:val="none" w:sz="0" w:space="0" w:color="auto"/>
      </w:divBdr>
    </w:div>
    <w:div w:id="320936769">
      <w:bodyDiv w:val="1"/>
      <w:marLeft w:val="0"/>
      <w:marRight w:val="0"/>
      <w:marTop w:val="0"/>
      <w:marBottom w:val="0"/>
      <w:divBdr>
        <w:top w:val="none" w:sz="0" w:space="0" w:color="auto"/>
        <w:left w:val="none" w:sz="0" w:space="0" w:color="auto"/>
        <w:bottom w:val="none" w:sz="0" w:space="0" w:color="auto"/>
        <w:right w:val="none" w:sz="0" w:space="0" w:color="auto"/>
      </w:divBdr>
    </w:div>
    <w:div w:id="321007288">
      <w:bodyDiv w:val="1"/>
      <w:marLeft w:val="0"/>
      <w:marRight w:val="0"/>
      <w:marTop w:val="0"/>
      <w:marBottom w:val="0"/>
      <w:divBdr>
        <w:top w:val="none" w:sz="0" w:space="0" w:color="auto"/>
        <w:left w:val="none" w:sz="0" w:space="0" w:color="auto"/>
        <w:bottom w:val="none" w:sz="0" w:space="0" w:color="auto"/>
        <w:right w:val="none" w:sz="0" w:space="0" w:color="auto"/>
      </w:divBdr>
    </w:div>
    <w:div w:id="321202000">
      <w:bodyDiv w:val="1"/>
      <w:marLeft w:val="0"/>
      <w:marRight w:val="0"/>
      <w:marTop w:val="0"/>
      <w:marBottom w:val="0"/>
      <w:divBdr>
        <w:top w:val="none" w:sz="0" w:space="0" w:color="auto"/>
        <w:left w:val="none" w:sz="0" w:space="0" w:color="auto"/>
        <w:bottom w:val="none" w:sz="0" w:space="0" w:color="auto"/>
        <w:right w:val="none" w:sz="0" w:space="0" w:color="auto"/>
      </w:divBdr>
    </w:div>
    <w:div w:id="322271745">
      <w:bodyDiv w:val="1"/>
      <w:marLeft w:val="0"/>
      <w:marRight w:val="0"/>
      <w:marTop w:val="0"/>
      <w:marBottom w:val="0"/>
      <w:divBdr>
        <w:top w:val="none" w:sz="0" w:space="0" w:color="auto"/>
        <w:left w:val="none" w:sz="0" w:space="0" w:color="auto"/>
        <w:bottom w:val="none" w:sz="0" w:space="0" w:color="auto"/>
        <w:right w:val="none" w:sz="0" w:space="0" w:color="auto"/>
      </w:divBdr>
    </w:div>
    <w:div w:id="322704584">
      <w:bodyDiv w:val="1"/>
      <w:marLeft w:val="0"/>
      <w:marRight w:val="0"/>
      <w:marTop w:val="0"/>
      <w:marBottom w:val="0"/>
      <w:divBdr>
        <w:top w:val="none" w:sz="0" w:space="0" w:color="auto"/>
        <w:left w:val="none" w:sz="0" w:space="0" w:color="auto"/>
        <w:bottom w:val="none" w:sz="0" w:space="0" w:color="auto"/>
        <w:right w:val="none" w:sz="0" w:space="0" w:color="auto"/>
      </w:divBdr>
    </w:div>
    <w:div w:id="322705961">
      <w:bodyDiv w:val="1"/>
      <w:marLeft w:val="0"/>
      <w:marRight w:val="0"/>
      <w:marTop w:val="0"/>
      <w:marBottom w:val="0"/>
      <w:divBdr>
        <w:top w:val="none" w:sz="0" w:space="0" w:color="auto"/>
        <w:left w:val="none" w:sz="0" w:space="0" w:color="auto"/>
        <w:bottom w:val="none" w:sz="0" w:space="0" w:color="auto"/>
        <w:right w:val="none" w:sz="0" w:space="0" w:color="auto"/>
      </w:divBdr>
    </w:div>
    <w:div w:id="322969626">
      <w:bodyDiv w:val="1"/>
      <w:marLeft w:val="0"/>
      <w:marRight w:val="0"/>
      <w:marTop w:val="0"/>
      <w:marBottom w:val="0"/>
      <w:divBdr>
        <w:top w:val="none" w:sz="0" w:space="0" w:color="auto"/>
        <w:left w:val="none" w:sz="0" w:space="0" w:color="auto"/>
        <w:bottom w:val="none" w:sz="0" w:space="0" w:color="auto"/>
        <w:right w:val="none" w:sz="0" w:space="0" w:color="auto"/>
      </w:divBdr>
    </w:div>
    <w:div w:id="323510799">
      <w:bodyDiv w:val="1"/>
      <w:marLeft w:val="0"/>
      <w:marRight w:val="0"/>
      <w:marTop w:val="0"/>
      <w:marBottom w:val="0"/>
      <w:divBdr>
        <w:top w:val="none" w:sz="0" w:space="0" w:color="auto"/>
        <w:left w:val="none" w:sz="0" w:space="0" w:color="auto"/>
        <w:bottom w:val="none" w:sz="0" w:space="0" w:color="auto"/>
        <w:right w:val="none" w:sz="0" w:space="0" w:color="auto"/>
      </w:divBdr>
    </w:div>
    <w:div w:id="323974830">
      <w:bodyDiv w:val="1"/>
      <w:marLeft w:val="0"/>
      <w:marRight w:val="0"/>
      <w:marTop w:val="0"/>
      <w:marBottom w:val="0"/>
      <w:divBdr>
        <w:top w:val="none" w:sz="0" w:space="0" w:color="auto"/>
        <w:left w:val="none" w:sz="0" w:space="0" w:color="auto"/>
        <w:bottom w:val="none" w:sz="0" w:space="0" w:color="auto"/>
        <w:right w:val="none" w:sz="0" w:space="0" w:color="auto"/>
      </w:divBdr>
    </w:div>
    <w:div w:id="324013277">
      <w:bodyDiv w:val="1"/>
      <w:marLeft w:val="0"/>
      <w:marRight w:val="0"/>
      <w:marTop w:val="0"/>
      <w:marBottom w:val="0"/>
      <w:divBdr>
        <w:top w:val="none" w:sz="0" w:space="0" w:color="auto"/>
        <w:left w:val="none" w:sz="0" w:space="0" w:color="auto"/>
        <w:bottom w:val="none" w:sz="0" w:space="0" w:color="auto"/>
        <w:right w:val="none" w:sz="0" w:space="0" w:color="auto"/>
      </w:divBdr>
    </w:div>
    <w:div w:id="324284486">
      <w:bodyDiv w:val="1"/>
      <w:marLeft w:val="0"/>
      <w:marRight w:val="0"/>
      <w:marTop w:val="0"/>
      <w:marBottom w:val="0"/>
      <w:divBdr>
        <w:top w:val="none" w:sz="0" w:space="0" w:color="auto"/>
        <w:left w:val="none" w:sz="0" w:space="0" w:color="auto"/>
        <w:bottom w:val="none" w:sz="0" w:space="0" w:color="auto"/>
        <w:right w:val="none" w:sz="0" w:space="0" w:color="auto"/>
      </w:divBdr>
    </w:div>
    <w:div w:id="325016261">
      <w:bodyDiv w:val="1"/>
      <w:marLeft w:val="0"/>
      <w:marRight w:val="0"/>
      <w:marTop w:val="0"/>
      <w:marBottom w:val="0"/>
      <w:divBdr>
        <w:top w:val="none" w:sz="0" w:space="0" w:color="auto"/>
        <w:left w:val="none" w:sz="0" w:space="0" w:color="auto"/>
        <w:bottom w:val="none" w:sz="0" w:space="0" w:color="auto"/>
        <w:right w:val="none" w:sz="0" w:space="0" w:color="auto"/>
      </w:divBdr>
    </w:div>
    <w:div w:id="325207317">
      <w:bodyDiv w:val="1"/>
      <w:marLeft w:val="0"/>
      <w:marRight w:val="0"/>
      <w:marTop w:val="0"/>
      <w:marBottom w:val="0"/>
      <w:divBdr>
        <w:top w:val="none" w:sz="0" w:space="0" w:color="auto"/>
        <w:left w:val="none" w:sz="0" w:space="0" w:color="auto"/>
        <w:bottom w:val="none" w:sz="0" w:space="0" w:color="auto"/>
        <w:right w:val="none" w:sz="0" w:space="0" w:color="auto"/>
      </w:divBdr>
    </w:div>
    <w:div w:id="325212940">
      <w:bodyDiv w:val="1"/>
      <w:marLeft w:val="0"/>
      <w:marRight w:val="0"/>
      <w:marTop w:val="0"/>
      <w:marBottom w:val="0"/>
      <w:divBdr>
        <w:top w:val="none" w:sz="0" w:space="0" w:color="auto"/>
        <w:left w:val="none" w:sz="0" w:space="0" w:color="auto"/>
        <w:bottom w:val="none" w:sz="0" w:space="0" w:color="auto"/>
        <w:right w:val="none" w:sz="0" w:space="0" w:color="auto"/>
      </w:divBdr>
    </w:div>
    <w:div w:id="325404260">
      <w:bodyDiv w:val="1"/>
      <w:marLeft w:val="0"/>
      <w:marRight w:val="0"/>
      <w:marTop w:val="0"/>
      <w:marBottom w:val="0"/>
      <w:divBdr>
        <w:top w:val="none" w:sz="0" w:space="0" w:color="auto"/>
        <w:left w:val="none" w:sz="0" w:space="0" w:color="auto"/>
        <w:bottom w:val="none" w:sz="0" w:space="0" w:color="auto"/>
        <w:right w:val="none" w:sz="0" w:space="0" w:color="auto"/>
      </w:divBdr>
    </w:div>
    <w:div w:id="325977728">
      <w:bodyDiv w:val="1"/>
      <w:marLeft w:val="0"/>
      <w:marRight w:val="0"/>
      <w:marTop w:val="0"/>
      <w:marBottom w:val="0"/>
      <w:divBdr>
        <w:top w:val="none" w:sz="0" w:space="0" w:color="auto"/>
        <w:left w:val="none" w:sz="0" w:space="0" w:color="auto"/>
        <w:bottom w:val="none" w:sz="0" w:space="0" w:color="auto"/>
        <w:right w:val="none" w:sz="0" w:space="0" w:color="auto"/>
      </w:divBdr>
    </w:div>
    <w:div w:id="326248561">
      <w:bodyDiv w:val="1"/>
      <w:marLeft w:val="0"/>
      <w:marRight w:val="0"/>
      <w:marTop w:val="0"/>
      <w:marBottom w:val="0"/>
      <w:divBdr>
        <w:top w:val="none" w:sz="0" w:space="0" w:color="auto"/>
        <w:left w:val="none" w:sz="0" w:space="0" w:color="auto"/>
        <w:bottom w:val="none" w:sz="0" w:space="0" w:color="auto"/>
        <w:right w:val="none" w:sz="0" w:space="0" w:color="auto"/>
      </w:divBdr>
    </w:div>
    <w:div w:id="326517886">
      <w:bodyDiv w:val="1"/>
      <w:marLeft w:val="0"/>
      <w:marRight w:val="0"/>
      <w:marTop w:val="0"/>
      <w:marBottom w:val="0"/>
      <w:divBdr>
        <w:top w:val="none" w:sz="0" w:space="0" w:color="auto"/>
        <w:left w:val="none" w:sz="0" w:space="0" w:color="auto"/>
        <w:bottom w:val="none" w:sz="0" w:space="0" w:color="auto"/>
        <w:right w:val="none" w:sz="0" w:space="0" w:color="auto"/>
      </w:divBdr>
    </w:div>
    <w:div w:id="326598408">
      <w:bodyDiv w:val="1"/>
      <w:marLeft w:val="0"/>
      <w:marRight w:val="0"/>
      <w:marTop w:val="0"/>
      <w:marBottom w:val="0"/>
      <w:divBdr>
        <w:top w:val="none" w:sz="0" w:space="0" w:color="auto"/>
        <w:left w:val="none" w:sz="0" w:space="0" w:color="auto"/>
        <w:bottom w:val="none" w:sz="0" w:space="0" w:color="auto"/>
        <w:right w:val="none" w:sz="0" w:space="0" w:color="auto"/>
      </w:divBdr>
    </w:div>
    <w:div w:id="326641592">
      <w:bodyDiv w:val="1"/>
      <w:marLeft w:val="0"/>
      <w:marRight w:val="0"/>
      <w:marTop w:val="0"/>
      <w:marBottom w:val="0"/>
      <w:divBdr>
        <w:top w:val="none" w:sz="0" w:space="0" w:color="auto"/>
        <w:left w:val="none" w:sz="0" w:space="0" w:color="auto"/>
        <w:bottom w:val="none" w:sz="0" w:space="0" w:color="auto"/>
        <w:right w:val="none" w:sz="0" w:space="0" w:color="auto"/>
      </w:divBdr>
    </w:div>
    <w:div w:id="327290238">
      <w:bodyDiv w:val="1"/>
      <w:marLeft w:val="0"/>
      <w:marRight w:val="0"/>
      <w:marTop w:val="0"/>
      <w:marBottom w:val="0"/>
      <w:divBdr>
        <w:top w:val="none" w:sz="0" w:space="0" w:color="auto"/>
        <w:left w:val="none" w:sz="0" w:space="0" w:color="auto"/>
        <w:bottom w:val="none" w:sz="0" w:space="0" w:color="auto"/>
        <w:right w:val="none" w:sz="0" w:space="0" w:color="auto"/>
      </w:divBdr>
    </w:div>
    <w:div w:id="327366745">
      <w:bodyDiv w:val="1"/>
      <w:marLeft w:val="0"/>
      <w:marRight w:val="0"/>
      <w:marTop w:val="0"/>
      <w:marBottom w:val="0"/>
      <w:divBdr>
        <w:top w:val="none" w:sz="0" w:space="0" w:color="auto"/>
        <w:left w:val="none" w:sz="0" w:space="0" w:color="auto"/>
        <w:bottom w:val="none" w:sz="0" w:space="0" w:color="auto"/>
        <w:right w:val="none" w:sz="0" w:space="0" w:color="auto"/>
      </w:divBdr>
    </w:div>
    <w:div w:id="327948059">
      <w:bodyDiv w:val="1"/>
      <w:marLeft w:val="0"/>
      <w:marRight w:val="0"/>
      <w:marTop w:val="0"/>
      <w:marBottom w:val="0"/>
      <w:divBdr>
        <w:top w:val="none" w:sz="0" w:space="0" w:color="auto"/>
        <w:left w:val="none" w:sz="0" w:space="0" w:color="auto"/>
        <w:bottom w:val="none" w:sz="0" w:space="0" w:color="auto"/>
        <w:right w:val="none" w:sz="0" w:space="0" w:color="auto"/>
      </w:divBdr>
    </w:div>
    <w:div w:id="327949680">
      <w:bodyDiv w:val="1"/>
      <w:marLeft w:val="0"/>
      <w:marRight w:val="0"/>
      <w:marTop w:val="0"/>
      <w:marBottom w:val="0"/>
      <w:divBdr>
        <w:top w:val="none" w:sz="0" w:space="0" w:color="auto"/>
        <w:left w:val="none" w:sz="0" w:space="0" w:color="auto"/>
        <w:bottom w:val="none" w:sz="0" w:space="0" w:color="auto"/>
        <w:right w:val="none" w:sz="0" w:space="0" w:color="auto"/>
      </w:divBdr>
    </w:div>
    <w:div w:id="328025911">
      <w:bodyDiv w:val="1"/>
      <w:marLeft w:val="0"/>
      <w:marRight w:val="0"/>
      <w:marTop w:val="0"/>
      <w:marBottom w:val="0"/>
      <w:divBdr>
        <w:top w:val="none" w:sz="0" w:space="0" w:color="auto"/>
        <w:left w:val="none" w:sz="0" w:space="0" w:color="auto"/>
        <w:bottom w:val="none" w:sz="0" w:space="0" w:color="auto"/>
        <w:right w:val="none" w:sz="0" w:space="0" w:color="auto"/>
      </w:divBdr>
    </w:div>
    <w:div w:id="328564692">
      <w:bodyDiv w:val="1"/>
      <w:marLeft w:val="0"/>
      <w:marRight w:val="0"/>
      <w:marTop w:val="0"/>
      <w:marBottom w:val="0"/>
      <w:divBdr>
        <w:top w:val="none" w:sz="0" w:space="0" w:color="auto"/>
        <w:left w:val="none" w:sz="0" w:space="0" w:color="auto"/>
        <w:bottom w:val="none" w:sz="0" w:space="0" w:color="auto"/>
        <w:right w:val="none" w:sz="0" w:space="0" w:color="auto"/>
      </w:divBdr>
    </w:div>
    <w:div w:id="328797756">
      <w:bodyDiv w:val="1"/>
      <w:marLeft w:val="0"/>
      <w:marRight w:val="0"/>
      <w:marTop w:val="0"/>
      <w:marBottom w:val="0"/>
      <w:divBdr>
        <w:top w:val="none" w:sz="0" w:space="0" w:color="auto"/>
        <w:left w:val="none" w:sz="0" w:space="0" w:color="auto"/>
        <w:bottom w:val="none" w:sz="0" w:space="0" w:color="auto"/>
        <w:right w:val="none" w:sz="0" w:space="0" w:color="auto"/>
      </w:divBdr>
    </w:div>
    <w:div w:id="329219629">
      <w:bodyDiv w:val="1"/>
      <w:marLeft w:val="0"/>
      <w:marRight w:val="0"/>
      <w:marTop w:val="0"/>
      <w:marBottom w:val="0"/>
      <w:divBdr>
        <w:top w:val="none" w:sz="0" w:space="0" w:color="auto"/>
        <w:left w:val="none" w:sz="0" w:space="0" w:color="auto"/>
        <w:bottom w:val="none" w:sz="0" w:space="0" w:color="auto"/>
        <w:right w:val="none" w:sz="0" w:space="0" w:color="auto"/>
      </w:divBdr>
    </w:div>
    <w:div w:id="332103327">
      <w:bodyDiv w:val="1"/>
      <w:marLeft w:val="0"/>
      <w:marRight w:val="0"/>
      <w:marTop w:val="0"/>
      <w:marBottom w:val="0"/>
      <w:divBdr>
        <w:top w:val="none" w:sz="0" w:space="0" w:color="auto"/>
        <w:left w:val="none" w:sz="0" w:space="0" w:color="auto"/>
        <w:bottom w:val="none" w:sz="0" w:space="0" w:color="auto"/>
        <w:right w:val="none" w:sz="0" w:space="0" w:color="auto"/>
      </w:divBdr>
    </w:div>
    <w:div w:id="332345163">
      <w:bodyDiv w:val="1"/>
      <w:marLeft w:val="0"/>
      <w:marRight w:val="0"/>
      <w:marTop w:val="0"/>
      <w:marBottom w:val="0"/>
      <w:divBdr>
        <w:top w:val="none" w:sz="0" w:space="0" w:color="auto"/>
        <w:left w:val="none" w:sz="0" w:space="0" w:color="auto"/>
        <w:bottom w:val="none" w:sz="0" w:space="0" w:color="auto"/>
        <w:right w:val="none" w:sz="0" w:space="0" w:color="auto"/>
      </w:divBdr>
    </w:div>
    <w:div w:id="332418505">
      <w:bodyDiv w:val="1"/>
      <w:marLeft w:val="0"/>
      <w:marRight w:val="0"/>
      <w:marTop w:val="0"/>
      <w:marBottom w:val="0"/>
      <w:divBdr>
        <w:top w:val="none" w:sz="0" w:space="0" w:color="auto"/>
        <w:left w:val="none" w:sz="0" w:space="0" w:color="auto"/>
        <w:bottom w:val="none" w:sz="0" w:space="0" w:color="auto"/>
        <w:right w:val="none" w:sz="0" w:space="0" w:color="auto"/>
      </w:divBdr>
    </w:div>
    <w:div w:id="332419324">
      <w:bodyDiv w:val="1"/>
      <w:marLeft w:val="0"/>
      <w:marRight w:val="0"/>
      <w:marTop w:val="0"/>
      <w:marBottom w:val="0"/>
      <w:divBdr>
        <w:top w:val="none" w:sz="0" w:space="0" w:color="auto"/>
        <w:left w:val="none" w:sz="0" w:space="0" w:color="auto"/>
        <w:bottom w:val="none" w:sz="0" w:space="0" w:color="auto"/>
        <w:right w:val="none" w:sz="0" w:space="0" w:color="auto"/>
      </w:divBdr>
    </w:div>
    <w:div w:id="332876592">
      <w:bodyDiv w:val="1"/>
      <w:marLeft w:val="0"/>
      <w:marRight w:val="0"/>
      <w:marTop w:val="0"/>
      <w:marBottom w:val="0"/>
      <w:divBdr>
        <w:top w:val="none" w:sz="0" w:space="0" w:color="auto"/>
        <w:left w:val="none" w:sz="0" w:space="0" w:color="auto"/>
        <w:bottom w:val="none" w:sz="0" w:space="0" w:color="auto"/>
        <w:right w:val="none" w:sz="0" w:space="0" w:color="auto"/>
      </w:divBdr>
    </w:div>
    <w:div w:id="332878740">
      <w:bodyDiv w:val="1"/>
      <w:marLeft w:val="0"/>
      <w:marRight w:val="0"/>
      <w:marTop w:val="0"/>
      <w:marBottom w:val="0"/>
      <w:divBdr>
        <w:top w:val="none" w:sz="0" w:space="0" w:color="auto"/>
        <w:left w:val="none" w:sz="0" w:space="0" w:color="auto"/>
        <w:bottom w:val="none" w:sz="0" w:space="0" w:color="auto"/>
        <w:right w:val="none" w:sz="0" w:space="0" w:color="auto"/>
      </w:divBdr>
    </w:div>
    <w:div w:id="333143099">
      <w:bodyDiv w:val="1"/>
      <w:marLeft w:val="0"/>
      <w:marRight w:val="0"/>
      <w:marTop w:val="0"/>
      <w:marBottom w:val="0"/>
      <w:divBdr>
        <w:top w:val="none" w:sz="0" w:space="0" w:color="auto"/>
        <w:left w:val="none" w:sz="0" w:space="0" w:color="auto"/>
        <w:bottom w:val="none" w:sz="0" w:space="0" w:color="auto"/>
        <w:right w:val="none" w:sz="0" w:space="0" w:color="auto"/>
      </w:divBdr>
    </w:div>
    <w:div w:id="333143757">
      <w:bodyDiv w:val="1"/>
      <w:marLeft w:val="0"/>
      <w:marRight w:val="0"/>
      <w:marTop w:val="0"/>
      <w:marBottom w:val="0"/>
      <w:divBdr>
        <w:top w:val="none" w:sz="0" w:space="0" w:color="auto"/>
        <w:left w:val="none" w:sz="0" w:space="0" w:color="auto"/>
        <w:bottom w:val="none" w:sz="0" w:space="0" w:color="auto"/>
        <w:right w:val="none" w:sz="0" w:space="0" w:color="auto"/>
      </w:divBdr>
    </w:div>
    <w:div w:id="333382954">
      <w:bodyDiv w:val="1"/>
      <w:marLeft w:val="0"/>
      <w:marRight w:val="0"/>
      <w:marTop w:val="0"/>
      <w:marBottom w:val="0"/>
      <w:divBdr>
        <w:top w:val="none" w:sz="0" w:space="0" w:color="auto"/>
        <w:left w:val="none" w:sz="0" w:space="0" w:color="auto"/>
        <w:bottom w:val="none" w:sz="0" w:space="0" w:color="auto"/>
        <w:right w:val="none" w:sz="0" w:space="0" w:color="auto"/>
      </w:divBdr>
    </w:div>
    <w:div w:id="333581092">
      <w:bodyDiv w:val="1"/>
      <w:marLeft w:val="0"/>
      <w:marRight w:val="0"/>
      <w:marTop w:val="0"/>
      <w:marBottom w:val="0"/>
      <w:divBdr>
        <w:top w:val="none" w:sz="0" w:space="0" w:color="auto"/>
        <w:left w:val="none" w:sz="0" w:space="0" w:color="auto"/>
        <w:bottom w:val="none" w:sz="0" w:space="0" w:color="auto"/>
        <w:right w:val="none" w:sz="0" w:space="0" w:color="auto"/>
      </w:divBdr>
    </w:div>
    <w:div w:id="333994145">
      <w:bodyDiv w:val="1"/>
      <w:marLeft w:val="0"/>
      <w:marRight w:val="0"/>
      <w:marTop w:val="0"/>
      <w:marBottom w:val="0"/>
      <w:divBdr>
        <w:top w:val="none" w:sz="0" w:space="0" w:color="auto"/>
        <w:left w:val="none" w:sz="0" w:space="0" w:color="auto"/>
        <w:bottom w:val="none" w:sz="0" w:space="0" w:color="auto"/>
        <w:right w:val="none" w:sz="0" w:space="0" w:color="auto"/>
      </w:divBdr>
    </w:div>
    <w:div w:id="334383942">
      <w:bodyDiv w:val="1"/>
      <w:marLeft w:val="0"/>
      <w:marRight w:val="0"/>
      <w:marTop w:val="0"/>
      <w:marBottom w:val="0"/>
      <w:divBdr>
        <w:top w:val="none" w:sz="0" w:space="0" w:color="auto"/>
        <w:left w:val="none" w:sz="0" w:space="0" w:color="auto"/>
        <w:bottom w:val="none" w:sz="0" w:space="0" w:color="auto"/>
        <w:right w:val="none" w:sz="0" w:space="0" w:color="auto"/>
      </w:divBdr>
    </w:div>
    <w:div w:id="335039341">
      <w:bodyDiv w:val="1"/>
      <w:marLeft w:val="0"/>
      <w:marRight w:val="0"/>
      <w:marTop w:val="0"/>
      <w:marBottom w:val="0"/>
      <w:divBdr>
        <w:top w:val="none" w:sz="0" w:space="0" w:color="auto"/>
        <w:left w:val="none" w:sz="0" w:space="0" w:color="auto"/>
        <w:bottom w:val="none" w:sz="0" w:space="0" w:color="auto"/>
        <w:right w:val="none" w:sz="0" w:space="0" w:color="auto"/>
      </w:divBdr>
    </w:div>
    <w:div w:id="335806573">
      <w:bodyDiv w:val="1"/>
      <w:marLeft w:val="0"/>
      <w:marRight w:val="0"/>
      <w:marTop w:val="0"/>
      <w:marBottom w:val="0"/>
      <w:divBdr>
        <w:top w:val="none" w:sz="0" w:space="0" w:color="auto"/>
        <w:left w:val="none" w:sz="0" w:space="0" w:color="auto"/>
        <w:bottom w:val="none" w:sz="0" w:space="0" w:color="auto"/>
        <w:right w:val="none" w:sz="0" w:space="0" w:color="auto"/>
      </w:divBdr>
    </w:div>
    <w:div w:id="336232237">
      <w:bodyDiv w:val="1"/>
      <w:marLeft w:val="0"/>
      <w:marRight w:val="0"/>
      <w:marTop w:val="0"/>
      <w:marBottom w:val="0"/>
      <w:divBdr>
        <w:top w:val="none" w:sz="0" w:space="0" w:color="auto"/>
        <w:left w:val="none" w:sz="0" w:space="0" w:color="auto"/>
        <w:bottom w:val="none" w:sz="0" w:space="0" w:color="auto"/>
        <w:right w:val="none" w:sz="0" w:space="0" w:color="auto"/>
      </w:divBdr>
    </w:div>
    <w:div w:id="336421564">
      <w:bodyDiv w:val="1"/>
      <w:marLeft w:val="0"/>
      <w:marRight w:val="0"/>
      <w:marTop w:val="0"/>
      <w:marBottom w:val="0"/>
      <w:divBdr>
        <w:top w:val="none" w:sz="0" w:space="0" w:color="auto"/>
        <w:left w:val="none" w:sz="0" w:space="0" w:color="auto"/>
        <w:bottom w:val="none" w:sz="0" w:space="0" w:color="auto"/>
        <w:right w:val="none" w:sz="0" w:space="0" w:color="auto"/>
      </w:divBdr>
    </w:div>
    <w:div w:id="336932889">
      <w:bodyDiv w:val="1"/>
      <w:marLeft w:val="0"/>
      <w:marRight w:val="0"/>
      <w:marTop w:val="0"/>
      <w:marBottom w:val="0"/>
      <w:divBdr>
        <w:top w:val="none" w:sz="0" w:space="0" w:color="auto"/>
        <w:left w:val="none" w:sz="0" w:space="0" w:color="auto"/>
        <w:bottom w:val="none" w:sz="0" w:space="0" w:color="auto"/>
        <w:right w:val="none" w:sz="0" w:space="0" w:color="auto"/>
      </w:divBdr>
    </w:div>
    <w:div w:id="337083840">
      <w:bodyDiv w:val="1"/>
      <w:marLeft w:val="0"/>
      <w:marRight w:val="0"/>
      <w:marTop w:val="0"/>
      <w:marBottom w:val="0"/>
      <w:divBdr>
        <w:top w:val="none" w:sz="0" w:space="0" w:color="auto"/>
        <w:left w:val="none" w:sz="0" w:space="0" w:color="auto"/>
        <w:bottom w:val="none" w:sz="0" w:space="0" w:color="auto"/>
        <w:right w:val="none" w:sz="0" w:space="0" w:color="auto"/>
      </w:divBdr>
    </w:div>
    <w:div w:id="337585374">
      <w:bodyDiv w:val="1"/>
      <w:marLeft w:val="0"/>
      <w:marRight w:val="0"/>
      <w:marTop w:val="0"/>
      <w:marBottom w:val="0"/>
      <w:divBdr>
        <w:top w:val="none" w:sz="0" w:space="0" w:color="auto"/>
        <w:left w:val="none" w:sz="0" w:space="0" w:color="auto"/>
        <w:bottom w:val="none" w:sz="0" w:space="0" w:color="auto"/>
        <w:right w:val="none" w:sz="0" w:space="0" w:color="auto"/>
      </w:divBdr>
    </w:div>
    <w:div w:id="338125543">
      <w:bodyDiv w:val="1"/>
      <w:marLeft w:val="0"/>
      <w:marRight w:val="0"/>
      <w:marTop w:val="0"/>
      <w:marBottom w:val="0"/>
      <w:divBdr>
        <w:top w:val="none" w:sz="0" w:space="0" w:color="auto"/>
        <w:left w:val="none" w:sz="0" w:space="0" w:color="auto"/>
        <w:bottom w:val="none" w:sz="0" w:space="0" w:color="auto"/>
        <w:right w:val="none" w:sz="0" w:space="0" w:color="auto"/>
      </w:divBdr>
    </w:div>
    <w:div w:id="338435011">
      <w:bodyDiv w:val="1"/>
      <w:marLeft w:val="0"/>
      <w:marRight w:val="0"/>
      <w:marTop w:val="0"/>
      <w:marBottom w:val="0"/>
      <w:divBdr>
        <w:top w:val="none" w:sz="0" w:space="0" w:color="auto"/>
        <w:left w:val="none" w:sz="0" w:space="0" w:color="auto"/>
        <w:bottom w:val="none" w:sz="0" w:space="0" w:color="auto"/>
        <w:right w:val="none" w:sz="0" w:space="0" w:color="auto"/>
      </w:divBdr>
    </w:div>
    <w:div w:id="340359875">
      <w:bodyDiv w:val="1"/>
      <w:marLeft w:val="0"/>
      <w:marRight w:val="0"/>
      <w:marTop w:val="0"/>
      <w:marBottom w:val="0"/>
      <w:divBdr>
        <w:top w:val="none" w:sz="0" w:space="0" w:color="auto"/>
        <w:left w:val="none" w:sz="0" w:space="0" w:color="auto"/>
        <w:bottom w:val="none" w:sz="0" w:space="0" w:color="auto"/>
        <w:right w:val="none" w:sz="0" w:space="0" w:color="auto"/>
      </w:divBdr>
    </w:div>
    <w:div w:id="340817687">
      <w:bodyDiv w:val="1"/>
      <w:marLeft w:val="0"/>
      <w:marRight w:val="0"/>
      <w:marTop w:val="0"/>
      <w:marBottom w:val="0"/>
      <w:divBdr>
        <w:top w:val="none" w:sz="0" w:space="0" w:color="auto"/>
        <w:left w:val="none" w:sz="0" w:space="0" w:color="auto"/>
        <w:bottom w:val="none" w:sz="0" w:space="0" w:color="auto"/>
        <w:right w:val="none" w:sz="0" w:space="0" w:color="auto"/>
      </w:divBdr>
    </w:div>
    <w:div w:id="340857990">
      <w:bodyDiv w:val="1"/>
      <w:marLeft w:val="0"/>
      <w:marRight w:val="0"/>
      <w:marTop w:val="0"/>
      <w:marBottom w:val="0"/>
      <w:divBdr>
        <w:top w:val="none" w:sz="0" w:space="0" w:color="auto"/>
        <w:left w:val="none" w:sz="0" w:space="0" w:color="auto"/>
        <w:bottom w:val="none" w:sz="0" w:space="0" w:color="auto"/>
        <w:right w:val="none" w:sz="0" w:space="0" w:color="auto"/>
      </w:divBdr>
    </w:div>
    <w:div w:id="340862595">
      <w:bodyDiv w:val="1"/>
      <w:marLeft w:val="0"/>
      <w:marRight w:val="0"/>
      <w:marTop w:val="0"/>
      <w:marBottom w:val="0"/>
      <w:divBdr>
        <w:top w:val="none" w:sz="0" w:space="0" w:color="auto"/>
        <w:left w:val="none" w:sz="0" w:space="0" w:color="auto"/>
        <w:bottom w:val="none" w:sz="0" w:space="0" w:color="auto"/>
        <w:right w:val="none" w:sz="0" w:space="0" w:color="auto"/>
      </w:divBdr>
    </w:div>
    <w:div w:id="340932405">
      <w:bodyDiv w:val="1"/>
      <w:marLeft w:val="0"/>
      <w:marRight w:val="0"/>
      <w:marTop w:val="0"/>
      <w:marBottom w:val="0"/>
      <w:divBdr>
        <w:top w:val="none" w:sz="0" w:space="0" w:color="auto"/>
        <w:left w:val="none" w:sz="0" w:space="0" w:color="auto"/>
        <w:bottom w:val="none" w:sz="0" w:space="0" w:color="auto"/>
        <w:right w:val="none" w:sz="0" w:space="0" w:color="auto"/>
      </w:divBdr>
    </w:div>
    <w:div w:id="341324965">
      <w:bodyDiv w:val="1"/>
      <w:marLeft w:val="0"/>
      <w:marRight w:val="0"/>
      <w:marTop w:val="0"/>
      <w:marBottom w:val="0"/>
      <w:divBdr>
        <w:top w:val="none" w:sz="0" w:space="0" w:color="auto"/>
        <w:left w:val="none" w:sz="0" w:space="0" w:color="auto"/>
        <w:bottom w:val="none" w:sz="0" w:space="0" w:color="auto"/>
        <w:right w:val="none" w:sz="0" w:space="0" w:color="auto"/>
      </w:divBdr>
    </w:div>
    <w:div w:id="341707513">
      <w:bodyDiv w:val="1"/>
      <w:marLeft w:val="0"/>
      <w:marRight w:val="0"/>
      <w:marTop w:val="0"/>
      <w:marBottom w:val="0"/>
      <w:divBdr>
        <w:top w:val="none" w:sz="0" w:space="0" w:color="auto"/>
        <w:left w:val="none" w:sz="0" w:space="0" w:color="auto"/>
        <w:bottom w:val="none" w:sz="0" w:space="0" w:color="auto"/>
        <w:right w:val="none" w:sz="0" w:space="0" w:color="auto"/>
      </w:divBdr>
    </w:div>
    <w:div w:id="341977925">
      <w:bodyDiv w:val="1"/>
      <w:marLeft w:val="0"/>
      <w:marRight w:val="0"/>
      <w:marTop w:val="0"/>
      <w:marBottom w:val="0"/>
      <w:divBdr>
        <w:top w:val="none" w:sz="0" w:space="0" w:color="auto"/>
        <w:left w:val="none" w:sz="0" w:space="0" w:color="auto"/>
        <w:bottom w:val="none" w:sz="0" w:space="0" w:color="auto"/>
        <w:right w:val="none" w:sz="0" w:space="0" w:color="auto"/>
      </w:divBdr>
    </w:div>
    <w:div w:id="342129709">
      <w:bodyDiv w:val="1"/>
      <w:marLeft w:val="0"/>
      <w:marRight w:val="0"/>
      <w:marTop w:val="0"/>
      <w:marBottom w:val="0"/>
      <w:divBdr>
        <w:top w:val="none" w:sz="0" w:space="0" w:color="auto"/>
        <w:left w:val="none" w:sz="0" w:space="0" w:color="auto"/>
        <w:bottom w:val="none" w:sz="0" w:space="0" w:color="auto"/>
        <w:right w:val="none" w:sz="0" w:space="0" w:color="auto"/>
      </w:divBdr>
    </w:div>
    <w:div w:id="343483105">
      <w:bodyDiv w:val="1"/>
      <w:marLeft w:val="0"/>
      <w:marRight w:val="0"/>
      <w:marTop w:val="0"/>
      <w:marBottom w:val="0"/>
      <w:divBdr>
        <w:top w:val="none" w:sz="0" w:space="0" w:color="auto"/>
        <w:left w:val="none" w:sz="0" w:space="0" w:color="auto"/>
        <w:bottom w:val="none" w:sz="0" w:space="0" w:color="auto"/>
        <w:right w:val="none" w:sz="0" w:space="0" w:color="auto"/>
      </w:divBdr>
    </w:div>
    <w:div w:id="343672569">
      <w:bodyDiv w:val="1"/>
      <w:marLeft w:val="0"/>
      <w:marRight w:val="0"/>
      <w:marTop w:val="0"/>
      <w:marBottom w:val="0"/>
      <w:divBdr>
        <w:top w:val="none" w:sz="0" w:space="0" w:color="auto"/>
        <w:left w:val="none" w:sz="0" w:space="0" w:color="auto"/>
        <w:bottom w:val="none" w:sz="0" w:space="0" w:color="auto"/>
        <w:right w:val="none" w:sz="0" w:space="0" w:color="auto"/>
      </w:divBdr>
    </w:div>
    <w:div w:id="343820034">
      <w:bodyDiv w:val="1"/>
      <w:marLeft w:val="0"/>
      <w:marRight w:val="0"/>
      <w:marTop w:val="0"/>
      <w:marBottom w:val="0"/>
      <w:divBdr>
        <w:top w:val="none" w:sz="0" w:space="0" w:color="auto"/>
        <w:left w:val="none" w:sz="0" w:space="0" w:color="auto"/>
        <w:bottom w:val="none" w:sz="0" w:space="0" w:color="auto"/>
        <w:right w:val="none" w:sz="0" w:space="0" w:color="auto"/>
      </w:divBdr>
    </w:div>
    <w:div w:id="343822982">
      <w:bodyDiv w:val="1"/>
      <w:marLeft w:val="0"/>
      <w:marRight w:val="0"/>
      <w:marTop w:val="0"/>
      <w:marBottom w:val="0"/>
      <w:divBdr>
        <w:top w:val="none" w:sz="0" w:space="0" w:color="auto"/>
        <w:left w:val="none" w:sz="0" w:space="0" w:color="auto"/>
        <w:bottom w:val="none" w:sz="0" w:space="0" w:color="auto"/>
        <w:right w:val="none" w:sz="0" w:space="0" w:color="auto"/>
      </w:divBdr>
    </w:div>
    <w:div w:id="345062423">
      <w:bodyDiv w:val="1"/>
      <w:marLeft w:val="0"/>
      <w:marRight w:val="0"/>
      <w:marTop w:val="0"/>
      <w:marBottom w:val="0"/>
      <w:divBdr>
        <w:top w:val="none" w:sz="0" w:space="0" w:color="auto"/>
        <w:left w:val="none" w:sz="0" w:space="0" w:color="auto"/>
        <w:bottom w:val="none" w:sz="0" w:space="0" w:color="auto"/>
        <w:right w:val="none" w:sz="0" w:space="0" w:color="auto"/>
      </w:divBdr>
    </w:div>
    <w:div w:id="345130757">
      <w:bodyDiv w:val="1"/>
      <w:marLeft w:val="0"/>
      <w:marRight w:val="0"/>
      <w:marTop w:val="0"/>
      <w:marBottom w:val="0"/>
      <w:divBdr>
        <w:top w:val="none" w:sz="0" w:space="0" w:color="auto"/>
        <w:left w:val="none" w:sz="0" w:space="0" w:color="auto"/>
        <w:bottom w:val="none" w:sz="0" w:space="0" w:color="auto"/>
        <w:right w:val="none" w:sz="0" w:space="0" w:color="auto"/>
      </w:divBdr>
    </w:div>
    <w:div w:id="345399952">
      <w:bodyDiv w:val="1"/>
      <w:marLeft w:val="0"/>
      <w:marRight w:val="0"/>
      <w:marTop w:val="0"/>
      <w:marBottom w:val="0"/>
      <w:divBdr>
        <w:top w:val="none" w:sz="0" w:space="0" w:color="auto"/>
        <w:left w:val="none" w:sz="0" w:space="0" w:color="auto"/>
        <w:bottom w:val="none" w:sz="0" w:space="0" w:color="auto"/>
        <w:right w:val="none" w:sz="0" w:space="0" w:color="auto"/>
      </w:divBdr>
    </w:div>
    <w:div w:id="345794222">
      <w:bodyDiv w:val="1"/>
      <w:marLeft w:val="0"/>
      <w:marRight w:val="0"/>
      <w:marTop w:val="0"/>
      <w:marBottom w:val="0"/>
      <w:divBdr>
        <w:top w:val="none" w:sz="0" w:space="0" w:color="auto"/>
        <w:left w:val="none" w:sz="0" w:space="0" w:color="auto"/>
        <w:bottom w:val="none" w:sz="0" w:space="0" w:color="auto"/>
        <w:right w:val="none" w:sz="0" w:space="0" w:color="auto"/>
      </w:divBdr>
    </w:div>
    <w:div w:id="345913397">
      <w:bodyDiv w:val="1"/>
      <w:marLeft w:val="0"/>
      <w:marRight w:val="0"/>
      <w:marTop w:val="0"/>
      <w:marBottom w:val="0"/>
      <w:divBdr>
        <w:top w:val="none" w:sz="0" w:space="0" w:color="auto"/>
        <w:left w:val="none" w:sz="0" w:space="0" w:color="auto"/>
        <w:bottom w:val="none" w:sz="0" w:space="0" w:color="auto"/>
        <w:right w:val="none" w:sz="0" w:space="0" w:color="auto"/>
      </w:divBdr>
    </w:div>
    <w:div w:id="346102133">
      <w:bodyDiv w:val="1"/>
      <w:marLeft w:val="0"/>
      <w:marRight w:val="0"/>
      <w:marTop w:val="0"/>
      <w:marBottom w:val="0"/>
      <w:divBdr>
        <w:top w:val="none" w:sz="0" w:space="0" w:color="auto"/>
        <w:left w:val="none" w:sz="0" w:space="0" w:color="auto"/>
        <w:bottom w:val="none" w:sz="0" w:space="0" w:color="auto"/>
        <w:right w:val="none" w:sz="0" w:space="0" w:color="auto"/>
      </w:divBdr>
    </w:div>
    <w:div w:id="346761751">
      <w:bodyDiv w:val="1"/>
      <w:marLeft w:val="0"/>
      <w:marRight w:val="0"/>
      <w:marTop w:val="0"/>
      <w:marBottom w:val="0"/>
      <w:divBdr>
        <w:top w:val="none" w:sz="0" w:space="0" w:color="auto"/>
        <w:left w:val="none" w:sz="0" w:space="0" w:color="auto"/>
        <w:bottom w:val="none" w:sz="0" w:space="0" w:color="auto"/>
        <w:right w:val="none" w:sz="0" w:space="0" w:color="auto"/>
      </w:divBdr>
    </w:div>
    <w:div w:id="347878060">
      <w:bodyDiv w:val="1"/>
      <w:marLeft w:val="0"/>
      <w:marRight w:val="0"/>
      <w:marTop w:val="0"/>
      <w:marBottom w:val="0"/>
      <w:divBdr>
        <w:top w:val="none" w:sz="0" w:space="0" w:color="auto"/>
        <w:left w:val="none" w:sz="0" w:space="0" w:color="auto"/>
        <w:bottom w:val="none" w:sz="0" w:space="0" w:color="auto"/>
        <w:right w:val="none" w:sz="0" w:space="0" w:color="auto"/>
      </w:divBdr>
    </w:div>
    <w:div w:id="348458867">
      <w:bodyDiv w:val="1"/>
      <w:marLeft w:val="0"/>
      <w:marRight w:val="0"/>
      <w:marTop w:val="0"/>
      <w:marBottom w:val="0"/>
      <w:divBdr>
        <w:top w:val="none" w:sz="0" w:space="0" w:color="auto"/>
        <w:left w:val="none" w:sz="0" w:space="0" w:color="auto"/>
        <w:bottom w:val="none" w:sz="0" w:space="0" w:color="auto"/>
        <w:right w:val="none" w:sz="0" w:space="0" w:color="auto"/>
      </w:divBdr>
    </w:div>
    <w:div w:id="349456164">
      <w:bodyDiv w:val="1"/>
      <w:marLeft w:val="0"/>
      <w:marRight w:val="0"/>
      <w:marTop w:val="0"/>
      <w:marBottom w:val="0"/>
      <w:divBdr>
        <w:top w:val="none" w:sz="0" w:space="0" w:color="auto"/>
        <w:left w:val="none" w:sz="0" w:space="0" w:color="auto"/>
        <w:bottom w:val="none" w:sz="0" w:space="0" w:color="auto"/>
        <w:right w:val="none" w:sz="0" w:space="0" w:color="auto"/>
      </w:divBdr>
    </w:div>
    <w:div w:id="350452412">
      <w:bodyDiv w:val="1"/>
      <w:marLeft w:val="0"/>
      <w:marRight w:val="0"/>
      <w:marTop w:val="0"/>
      <w:marBottom w:val="0"/>
      <w:divBdr>
        <w:top w:val="none" w:sz="0" w:space="0" w:color="auto"/>
        <w:left w:val="none" w:sz="0" w:space="0" w:color="auto"/>
        <w:bottom w:val="none" w:sz="0" w:space="0" w:color="auto"/>
        <w:right w:val="none" w:sz="0" w:space="0" w:color="auto"/>
      </w:divBdr>
    </w:div>
    <w:div w:id="350685528">
      <w:bodyDiv w:val="1"/>
      <w:marLeft w:val="0"/>
      <w:marRight w:val="0"/>
      <w:marTop w:val="0"/>
      <w:marBottom w:val="0"/>
      <w:divBdr>
        <w:top w:val="none" w:sz="0" w:space="0" w:color="auto"/>
        <w:left w:val="none" w:sz="0" w:space="0" w:color="auto"/>
        <w:bottom w:val="none" w:sz="0" w:space="0" w:color="auto"/>
        <w:right w:val="none" w:sz="0" w:space="0" w:color="auto"/>
      </w:divBdr>
    </w:div>
    <w:div w:id="351808398">
      <w:bodyDiv w:val="1"/>
      <w:marLeft w:val="0"/>
      <w:marRight w:val="0"/>
      <w:marTop w:val="0"/>
      <w:marBottom w:val="0"/>
      <w:divBdr>
        <w:top w:val="none" w:sz="0" w:space="0" w:color="auto"/>
        <w:left w:val="none" w:sz="0" w:space="0" w:color="auto"/>
        <w:bottom w:val="none" w:sz="0" w:space="0" w:color="auto"/>
        <w:right w:val="none" w:sz="0" w:space="0" w:color="auto"/>
      </w:divBdr>
    </w:div>
    <w:div w:id="351878471">
      <w:bodyDiv w:val="1"/>
      <w:marLeft w:val="0"/>
      <w:marRight w:val="0"/>
      <w:marTop w:val="0"/>
      <w:marBottom w:val="0"/>
      <w:divBdr>
        <w:top w:val="none" w:sz="0" w:space="0" w:color="auto"/>
        <w:left w:val="none" w:sz="0" w:space="0" w:color="auto"/>
        <w:bottom w:val="none" w:sz="0" w:space="0" w:color="auto"/>
        <w:right w:val="none" w:sz="0" w:space="0" w:color="auto"/>
      </w:divBdr>
    </w:div>
    <w:div w:id="352076977">
      <w:bodyDiv w:val="1"/>
      <w:marLeft w:val="0"/>
      <w:marRight w:val="0"/>
      <w:marTop w:val="0"/>
      <w:marBottom w:val="0"/>
      <w:divBdr>
        <w:top w:val="none" w:sz="0" w:space="0" w:color="auto"/>
        <w:left w:val="none" w:sz="0" w:space="0" w:color="auto"/>
        <w:bottom w:val="none" w:sz="0" w:space="0" w:color="auto"/>
        <w:right w:val="none" w:sz="0" w:space="0" w:color="auto"/>
      </w:divBdr>
    </w:div>
    <w:div w:id="352417902">
      <w:bodyDiv w:val="1"/>
      <w:marLeft w:val="0"/>
      <w:marRight w:val="0"/>
      <w:marTop w:val="0"/>
      <w:marBottom w:val="0"/>
      <w:divBdr>
        <w:top w:val="none" w:sz="0" w:space="0" w:color="auto"/>
        <w:left w:val="none" w:sz="0" w:space="0" w:color="auto"/>
        <w:bottom w:val="none" w:sz="0" w:space="0" w:color="auto"/>
        <w:right w:val="none" w:sz="0" w:space="0" w:color="auto"/>
      </w:divBdr>
    </w:div>
    <w:div w:id="352461252">
      <w:bodyDiv w:val="1"/>
      <w:marLeft w:val="0"/>
      <w:marRight w:val="0"/>
      <w:marTop w:val="0"/>
      <w:marBottom w:val="0"/>
      <w:divBdr>
        <w:top w:val="none" w:sz="0" w:space="0" w:color="auto"/>
        <w:left w:val="none" w:sz="0" w:space="0" w:color="auto"/>
        <w:bottom w:val="none" w:sz="0" w:space="0" w:color="auto"/>
        <w:right w:val="none" w:sz="0" w:space="0" w:color="auto"/>
      </w:divBdr>
    </w:div>
    <w:div w:id="352461599">
      <w:bodyDiv w:val="1"/>
      <w:marLeft w:val="0"/>
      <w:marRight w:val="0"/>
      <w:marTop w:val="0"/>
      <w:marBottom w:val="0"/>
      <w:divBdr>
        <w:top w:val="none" w:sz="0" w:space="0" w:color="auto"/>
        <w:left w:val="none" w:sz="0" w:space="0" w:color="auto"/>
        <w:bottom w:val="none" w:sz="0" w:space="0" w:color="auto"/>
        <w:right w:val="none" w:sz="0" w:space="0" w:color="auto"/>
      </w:divBdr>
    </w:div>
    <w:div w:id="352728661">
      <w:bodyDiv w:val="1"/>
      <w:marLeft w:val="0"/>
      <w:marRight w:val="0"/>
      <w:marTop w:val="0"/>
      <w:marBottom w:val="0"/>
      <w:divBdr>
        <w:top w:val="none" w:sz="0" w:space="0" w:color="auto"/>
        <w:left w:val="none" w:sz="0" w:space="0" w:color="auto"/>
        <w:bottom w:val="none" w:sz="0" w:space="0" w:color="auto"/>
        <w:right w:val="none" w:sz="0" w:space="0" w:color="auto"/>
      </w:divBdr>
    </w:div>
    <w:div w:id="352733462">
      <w:bodyDiv w:val="1"/>
      <w:marLeft w:val="0"/>
      <w:marRight w:val="0"/>
      <w:marTop w:val="0"/>
      <w:marBottom w:val="0"/>
      <w:divBdr>
        <w:top w:val="none" w:sz="0" w:space="0" w:color="auto"/>
        <w:left w:val="none" w:sz="0" w:space="0" w:color="auto"/>
        <w:bottom w:val="none" w:sz="0" w:space="0" w:color="auto"/>
        <w:right w:val="none" w:sz="0" w:space="0" w:color="auto"/>
      </w:divBdr>
    </w:div>
    <w:div w:id="352808634">
      <w:bodyDiv w:val="1"/>
      <w:marLeft w:val="0"/>
      <w:marRight w:val="0"/>
      <w:marTop w:val="0"/>
      <w:marBottom w:val="0"/>
      <w:divBdr>
        <w:top w:val="none" w:sz="0" w:space="0" w:color="auto"/>
        <w:left w:val="none" w:sz="0" w:space="0" w:color="auto"/>
        <w:bottom w:val="none" w:sz="0" w:space="0" w:color="auto"/>
        <w:right w:val="none" w:sz="0" w:space="0" w:color="auto"/>
      </w:divBdr>
    </w:div>
    <w:div w:id="354117381">
      <w:bodyDiv w:val="1"/>
      <w:marLeft w:val="0"/>
      <w:marRight w:val="0"/>
      <w:marTop w:val="0"/>
      <w:marBottom w:val="0"/>
      <w:divBdr>
        <w:top w:val="none" w:sz="0" w:space="0" w:color="auto"/>
        <w:left w:val="none" w:sz="0" w:space="0" w:color="auto"/>
        <w:bottom w:val="none" w:sz="0" w:space="0" w:color="auto"/>
        <w:right w:val="none" w:sz="0" w:space="0" w:color="auto"/>
      </w:divBdr>
    </w:div>
    <w:div w:id="354187312">
      <w:bodyDiv w:val="1"/>
      <w:marLeft w:val="0"/>
      <w:marRight w:val="0"/>
      <w:marTop w:val="0"/>
      <w:marBottom w:val="0"/>
      <w:divBdr>
        <w:top w:val="none" w:sz="0" w:space="0" w:color="auto"/>
        <w:left w:val="none" w:sz="0" w:space="0" w:color="auto"/>
        <w:bottom w:val="none" w:sz="0" w:space="0" w:color="auto"/>
        <w:right w:val="none" w:sz="0" w:space="0" w:color="auto"/>
      </w:divBdr>
    </w:div>
    <w:div w:id="354579449">
      <w:bodyDiv w:val="1"/>
      <w:marLeft w:val="0"/>
      <w:marRight w:val="0"/>
      <w:marTop w:val="0"/>
      <w:marBottom w:val="0"/>
      <w:divBdr>
        <w:top w:val="none" w:sz="0" w:space="0" w:color="auto"/>
        <w:left w:val="none" w:sz="0" w:space="0" w:color="auto"/>
        <w:bottom w:val="none" w:sz="0" w:space="0" w:color="auto"/>
        <w:right w:val="none" w:sz="0" w:space="0" w:color="auto"/>
      </w:divBdr>
    </w:div>
    <w:div w:id="354580215">
      <w:bodyDiv w:val="1"/>
      <w:marLeft w:val="0"/>
      <w:marRight w:val="0"/>
      <w:marTop w:val="0"/>
      <w:marBottom w:val="0"/>
      <w:divBdr>
        <w:top w:val="none" w:sz="0" w:space="0" w:color="auto"/>
        <w:left w:val="none" w:sz="0" w:space="0" w:color="auto"/>
        <w:bottom w:val="none" w:sz="0" w:space="0" w:color="auto"/>
        <w:right w:val="none" w:sz="0" w:space="0" w:color="auto"/>
      </w:divBdr>
    </w:div>
    <w:div w:id="354775762">
      <w:bodyDiv w:val="1"/>
      <w:marLeft w:val="0"/>
      <w:marRight w:val="0"/>
      <w:marTop w:val="0"/>
      <w:marBottom w:val="0"/>
      <w:divBdr>
        <w:top w:val="none" w:sz="0" w:space="0" w:color="auto"/>
        <w:left w:val="none" w:sz="0" w:space="0" w:color="auto"/>
        <w:bottom w:val="none" w:sz="0" w:space="0" w:color="auto"/>
        <w:right w:val="none" w:sz="0" w:space="0" w:color="auto"/>
      </w:divBdr>
    </w:div>
    <w:div w:id="355039636">
      <w:bodyDiv w:val="1"/>
      <w:marLeft w:val="0"/>
      <w:marRight w:val="0"/>
      <w:marTop w:val="0"/>
      <w:marBottom w:val="0"/>
      <w:divBdr>
        <w:top w:val="none" w:sz="0" w:space="0" w:color="auto"/>
        <w:left w:val="none" w:sz="0" w:space="0" w:color="auto"/>
        <w:bottom w:val="none" w:sz="0" w:space="0" w:color="auto"/>
        <w:right w:val="none" w:sz="0" w:space="0" w:color="auto"/>
      </w:divBdr>
    </w:div>
    <w:div w:id="355621294">
      <w:bodyDiv w:val="1"/>
      <w:marLeft w:val="0"/>
      <w:marRight w:val="0"/>
      <w:marTop w:val="0"/>
      <w:marBottom w:val="0"/>
      <w:divBdr>
        <w:top w:val="none" w:sz="0" w:space="0" w:color="auto"/>
        <w:left w:val="none" w:sz="0" w:space="0" w:color="auto"/>
        <w:bottom w:val="none" w:sz="0" w:space="0" w:color="auto"/>
        <w:right w:val="none" w:sz="0" w:space="0" w:color="auto"/>
      </w:divBdr>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197298">
      <w:bodyDiv w:val="1"/>
      <w:marLeft w:val="0"/>
      <w:marRight w:val="0"/>
      <w:marTop w:val="0"/>
      <w:marBottom w:val="0"/>
      <w:divBdr>
        <w:top w:val="none" w:sz="0" w:space="0" w:color="auto"/>
        <w:left w:val="none" w:sz="0" w:space="0" w:color="auto"/>
        <w:bottom w:val="none" w:sz="0" w:space="0" w:color="auto"/>
        <w:right w:val="none" w:sz="0" w:space="0" w:color="auto"/>
      </w:divBdr>
    </w:div>
    <w:div w:id="357236748">
      <w:bodyDiv w:val="1"/>
      <w:marLeft w:val="0"/>
      <w:marRight w:val="0"/>
      <w:marTop w:val="0"/>
      <w:marBottom w:val="0"/>
      <w:divBdr>
        <w:top w:val="none" w:sz="0" w:space="0" w:color="auto"/>
        <w:left w:val="none" w:sz="0" w:space="0" w:color="auto"/>
        <w:bottom w:val="none" w:sz="0" w:space="0" w:color="auto"/>
        <w:right w:val="none" w:sz="0" w:space="0" w:color="auto"/>
      </w:divBdr>
    </w:div>
    <w:div w:id="357396029">
      <w:bodyDiv w:val="1"/>
      <w:marLeft w:val="0"/>
      <w:marRight w:val="0"/>
      <w:marTop w:val="0"/>
      <w:marBottom w:val="0"/>
      <w:divBdr>
        <w:top w:val="none" w:sz="0" w:space="0" w:color="auto"/>
        <w:left w:val="none" w:sz="0" w:space="0" w:color="auto"/>
        <w:bottom w:val="none" w:sz="0" w:space="0" w:color="auto"/>
        <w:right w:val="none" w:sz="0" w:space="0" w:color="auto"/>
      </w:divBdr>
    </w:div>
    <w:div w:id="357582940">
      <w:bodyDiv w:val="1"/>
      <w:marLeft w:val="0"/>
      <w:marRight w:val="0"/>
      <w:marTop w:val="0"/>
      <w:marBottom w:val="0"/>
      <w:divBdr>
        <w:top w:val="none" w:sz="0" w:space="0" w:color="auto"/>
        <w:left w:val="none" w:sz="0" w:space="0" w:color="auto"/>
        <w:bottom w:val="none" w:sz="0" w:space="0" w:color="auto"/>
        <w:right w:val="none" w:sz="0" w:space="0" w:color="auto"/>
      </w:divBdr>
    </w:div>
    <w:div w:id="357586659">
      <w:bodyDiv w:val="1"/>
      <w:marLeft w:val="0"/>
      <w:marRight w:val="0"/>
      <w:marTop w:val="0"/>
      <w:marBottom w:val="0"/>
      <w:divBdr>
        <w:top w:val="none" w:sz="0" w:space="0" w:color="auto"/>
        <w:left w:val="none" w:sz="0" w:space="0" w:color="auto"/>
        <w:bottom w:val="none" w:sz="0" w:space="0" w:color="auto"/>
        <w:right w:val="none" w:sz="0" w:space="0" w:color="auto"/>
      </w:divBdr>
    </w:div>
    <w:div w:id="357778430">
      <w:bodyDiv w:val="1"/>
      <w:marLeft w:val="0"/>
      <w:marRight w:val="0"/>
      <w:marTop w:val="0"/>
      <w:marBottom w:val="0"/>
      <w:divBdr>
        <w:top w:val="none" w:sz="0" w:space="0" w:color="auto"/>
        <w:left w:val="none" w:sz="0" w:space="0" w:color="auto"/>
        <w:bottom w:val="none" w:sz="0" w:space="0" w:color="auto"/>
        <w:right w:val="none" w:sz="0" w:space="0" w:color="auto"/>
      </w:divBdr>
    </w:div>
    <w:div w:id="357898008">
      <w:bodyDiv w:val="1"/>
      <w:marLeft w:val="0"/>
      <w:marRight w:val="0"/>
      <w:marTop w:val="0"/>
      <w:marBottom w:val="0"/>
      <w:divBdr>
        <w:top w:val="none" w:sz="0" w:space="0" w:color="auto"/>
        <w:left w:val="none" w:sz="0" w:space="0" w:color="auto"/>
        <w:bottom w:val="none" w:sz="0" w:space="0" w:color="auto"/>
        <w:right w:val="none" w:sz="0" w:space="0" w:color="auto"/>
      </w:divBdr>
    </w:div>
    <w:div w:id="358240969">
      <w:bodyDiv w:val="1"/>
      <w:marLeft w:val="0"/>
      <w:marRight w:val="0"/>
      <w:marTop w:val="0"/>
      <w:marBottom w:val="0"/>
      <w:divBdr>
        <w:top w:val="none" w:sz="0" w:space="0" w:color="auto"/>
        <w:left w:val="none" w:sz="0" w:space="0" w:color="auto"/>
        <w:bottom w:val="none" w:sz="0" w:space="0" w:color="auto"/>
        <w:right w:val="none" w:sz="0" w:space="0" w:color="auto"/>
      </w:divBdr>
    </w:div>
    <w:div w:id="358358061">
      <w:bodyDiv w:val="1"/>
      <w:marLeft w:val="0"/>
      <w:marRight w:val="0"/>
      <w:marTop w:val="0"/>
      <w:marBottom w:val="0"/>
      <w:divBdr>
        <w:top w:val="none" w:sz="0" w:space="0" w:color="auto"/>
        <w:left w:val="none" w:sz="0" w:space="0" w:color="auto"/>
        <w:bottom w:val="none" w:sz="0" w:space="0" w:color="auto"/>
        <w:right w:val="none" w:sz="0" w:space="0" w:color="auto"/>
      </w:divBdr>
    </w:div>
    <w:div w:id="358744113">
      <w:bodyDiv w:val="1"/>
      <w:marLeft w:val="0"/>
      <w:marRight w:val="0"/>
      <w:marTop w:val="0"/>
      <w:marBottom w:val="0"/>
      <w:divBdr>
        <w:top w:val="none" w:sz="0" w:space="0" w:color="auto"/>
        <w:left w:val="none" w:sz="0" w:space="0" w:color="auto"/>
        <w:bottom w:val="none" w:sz="0" w:space="0" w:color="auto"/>
        <w:right w:val="none" w:sz="0" w:space="0" w:color="auto"/>
      </w:divBdr>
    </w:div>
    <w:div w:id="359209913">
      <w:bodyDiv w:val="1"/>
      <w:marLeft w:val="0"/>
      <w:marRight w:val="0"/>
      <w:marTop w:val="0"/>
      <w:marBottom w:val="0"/>
      <w:divBdr>
        <w:top w:val="none" w:sz="0" w:space="0" w:color="auto"/>
        <w:left w:val="none" w:sz="0" w:space="0" w:color="auto"/>
        <w:bottom w:val="none" w:sz="0" w:space="0" w:color="auto"/>
        <w:right w:val="none" w:sz="0" w:space="0" w:color="auto"/>
      </w:divBdr>
    </w:div>
    <w:div w:id="359820372">
      <w:bodyDiv w:val="1"/>
      <w:marLeft w:val="0"/>
      <w:marRight w:val="0"/>
      <w:marTop w:val="0"/>
      <w:marBottom w:val="0"/>
      <w:divBdr>
        <w:top w:val="none" w:sz="0" w:space="0" w:color="auto"/>
        <w:left w:val="none" w:sz="0" w:space="0" w:color="auto"/>
        <w:bottom w:val="none" w:sz="0" w:space="0" w:color="auto"/>
        <w:right w:val="none" w:sz="0" w:space="0" w:color="auto"/>
      </w:divBdr>
    </w:div>
    <w:div w:id="360017691">
      <w:bodyDiv w:val="1"/>
      <w:marLeft w:val="0"/>
      <w:marRight w:val="0"/>
      <w:marTop w:val="0"/>
      <w:marBottom w:val="0"/>
      <w:divBdr>
        <w:top w:val="none" w:sz="0" w:space="0" w:color="auto"/>
        <w:left w:val="none" w:sz="0" w:space="0" w:color="auto"/>
        <w:bottom w:val="none" w:sz="0" w:space="0" w:color="auto"/>
        <w:right w:val="none" w:sz="0" w:space="0" w:color="auto"/>
      </w:divBdr>
    </w:div>
    <w:div w:id="360253670">
      <w:bodyDiv w:val="1"/>
      <w:marLeft w:val="0"/>
      <w:marRight w:val="0"/>
      <w:marTop w:val="0"/>
      <w:marBottom w:val="0"/>
      <w:divBdr>
        <w:top w:val="none" w:sz="0" w:space="0" w:color="auto"/>
        <w:left w:val="none" w:sz="0" w:space="0" w:color="auto"/>
        <w:bottom w:val="none" w:sz="0" w:space="0" w:color="auto"/>
        <w:right w:val="none" w:sz="0" w:space="0" w:color="auto"/>
      </w:divBdr>
    </w:div>
    <w:div w:id="360664271">
      <w:bodyDiv w:val="1"/>
      <w:marLeft w:val="0"/>
      <w:marRight w:val="0"/>
      <w:marTop w:val="0"/>
      <w:marBottom w:val="0"/>
      <w:divBdr>
        <w:top w:val="none" w:sz="0" w:space="0" w:color="auto"/>
        <w:left w:val="none" w:sz="0" w:space="0" w:color="auto"/>
        <w:bottom w:val="none" w:sz="0" w:space="0" w:color="auto"/>
        <w:right w:val="none" w:sz="0" w:space="0" w:color="auto"/>
      </w:divBdr>
    </w:div>
    <w:div w:id="361246859">
      <w:bodyDiv w:val="1"/>
      <w:marLeft w:val="0"/>
      <w:marRight w:val="0"/>
      <w:marTop w:val="0"/>
      <w:marBottom w:val="0"/>
      <w:divBdr>
        <w:top w:val="none" w:sz="0" w:space="0" w:color="auto"/>
        <w:left w:val="none" w:sz="0" w:space="0" w:color="auto"/>
        <w:bottom w:val="none" w:sz="0" w:space="0" w:color="auto"/>
        <w:right w:val="none" w:sz="0" w:space="0" w:color="auto"/>
      </w:divBdr>
    </w:div>
    <w:div w:id="361709657">
      <w:bodyDiv w:val="1"/>
      <w:marLeft w:val="0"/>
      <w:marRight w:val="0"/>
      <w:marTop w:val="0"/>
      <w:marBottom w:val="0"/>
      <w:divBdr>
        <w:top w:val="none" w:sz="0" w:space="0" w:color="auto"/>
        <w:left w:val="none" w:sz="0" w:space="0" w:color="auto"/>
        <w:bottom w:val="none" w:sz="0" w:space="0" w:color="auto"/>
        <w:right w:val="none" w:sz="0" w:space="0" w:color="auto"/>
      </w:divBdr>
    </w:div>
    <w:div w:id="362941957">
      <w:bodyDiv w:val="1"/>
      <w:marLeft w:val="0"/>
      <w:marRight w:val="0"/>
      <w:marTop w:val="0"/>
      <w:marBottom w:val="0"/>
      <w:divBdr>
        <w:top w:val="none" w:sz="0" w:space="0" w:color="auto"/>
        <w:left w:val="none" w:sz="0" w:space="0" w:color="auto"/>
        <w:bottom w:val="none" w:sz="0" w:space="0" w:color="auto"/>
        <w:right w:val="none" w:sz="0" w:space="0" w:color="auto"/>
      </w:divBdr>
    </w:div>
    <w:div w:id="363680631">
      <w:bodyDiv w:val="1"/>
      <w:marLeft w:val="0"/>
      <w:marRight w:val="0"/>
      <w:marTop w:val="0"/>
      <w:marBottom w:val="0"/>
      <w:divBdr>
        <w:top w:val="none" w:sz="0" w:space="0" w:color="auto"/>
        <w:left w:val="none" w:sz="0" w:space="0" w:color="auto"/>
        <w:bottom w:val="none" w:sz="0" w:space="0" w:color="auto"/>
        <w:right w:val="none" w:sz="0" w:space="0" w:color="auto"/>
      </w:divBdr>
    </w:div>
    <w:div w:id="363990003">
      <w:bodyDiv w:val="1"/>
      <w:marLeft w:val="0"/>
      <w:marRight w:val="0"/>
      <w:marTop w:val="0"/>
      <w:marBottom w:val="0"/>
      <w:divBdr>
        <w:top w:val="none" w:sz="0" w:space="0" w:color="auto"/>
        <w:left w:val="none" w:sz="0" w:space="0" w:color="auto"/>
        <w:bottom w:val="none" w:sz="0" w:space="0" w:color="auto"/>
        <w:right w:val="none" w:sz="0" w:space="0" w:color="auto"/>
      </w:divBdr>
    </w:div>
    <w:div w:id="364450944">
      <w:bodyDiv w:val="1"/>
      <w:marLeft w:val="0"/>
      <w:marRight w:val="0"/>
      <w:marTop w:val="0"/>
      <w:marBottom w:val="0"/>
      <w:divBdr>
        <w:top w:val="none" w:sz="0" w:space="0" w:color="auto"/>
        <w:left w:val="none" w:sz="0" w:space="0" w:color="auto"/>
        <w:bottom w:val="none" w:sz="0" w:space="0" w:color="auto"/>
        <w:right w:val="none" w:sz="0" w:space="0" w:color="auto"/>
      </w:divBdr>
    </w:div>
    <w:div w:id="365298784">
      <w:bodyDiv w:val="1"/>
      <w:marLeft w:val="0"/>
      <w:marRight w:val="0"/>
      <w:marTop w:val="0"/>
      <w:marBottom w:val="0"/>
      <w:divBdr>
        <w:top w:val="none" w:sz="0" w:space="0" w:color="auto"/>
        <w:left w:val="none" w:sz="0" w:space="0" w:color="auto"/>
        <w:bottom w:val="none" w:sz="0" w:space="0" w:color="auto"/>
        <w:right w:val="none" w:sz="0" w:space="0" w:color="auto"/>
      </w:divBdr>
    </w:div>
    <w:div w:id="365958003">
      <w:bodyDiv w:val="1"/>
      <w:marLeft w:val="0"/>
      <w:marRight w:val="0"/>
      <w:marTop w:val="0"/>
      <w:marBottom w:val="0"/>
      <w:divBdr>
        <w:top w:val="none" w:sz="0" w:space="0" w:color="auto"/>
        <w:left w:val="none" w:sz="0" w:space="0" w:color="auto"/>
        <w:bottom w:val="none" w:sz="0" w:space="0" w:color="auto"/>
        <w:right w:val="none" w:sz="0" w:space="0" w:color="auto"/>
      </w:divBdr>
    </w:div>
    <w:div w:id="366104687">
      <w:bodyDiv w:val="1"/>
      <w:marLeft w:val="0"/>
      <w:marRight w:val="0"/>
      <w:marTop w:val="0"/>
      <w:marBottom w:val="0"/>
      <w:divBdr>
        <w:top w:val="none" w:sz="0" w:space="0" w:color="auto"/>
        <w:left w:val="none" w:sz="0" w:space="0" w:color="auto"/>
        <w:bottom w:val="none" w:sz="0" w:space="0" w:color="auto"/>
        <w:right w:val="none" w:sz="0" w:space="0" w:color="auto"/>
      </w:divBdr>
    </w:div>
    <w:div w:id="366218752">
      <w:bodyDiv w:val="1"/>
      <w:marLeft w:val="0"/>
      <w:marRight w:val="0"/>
      <w:marTop w:val="0"/>
      <w:marBottom w:val="0"/>
      <w:divBdr>
        <w:top w:val="none" w:sz="0" w:space="0" w:color="auto"/>
        <w:left w:val="none" w:sz="0" w:space="0" w:color="auto"/>
        <w:bottom w:val="none" w:sz="0" w:space="0" w:color="auto"/>
        <w:right w:val="none" w:sz="0" w:space="0" w:color="auto"/>
      </w:divBdr>
    </w:div>
    <w:div w:id="366220446">
      <w:bodyDiv w:val="1"/>
      <w:marLeft w:val="0"/>
      <w:marRight w:val="0"/>
      <w:marTop w:val="0"/>
      <w:marBottom w:val="0"/>
      <w:divBdr>
        <w:top w:val="none" w:sz="0" w:space="0" w:color="auto"/>
        <w:left w:val="none" w:sz="0" w:space="0" w:color="auto"/>
        <w:bottom w:val="none" w:sz="0" w:space="0" w:color="auto"/>
        <w:right w:val="none" w:sz="0" w:space="0" w:color="auto"/>
      </w:divBdr>
    </w:div>
    <w:div w:id="366420127">
      <w:bodyDiv w:val="1"/>
      <w:marLeft w:val="0"/>
      <w:marRight w:val="0"/>
      <w:marTop w:val="0"/>
      <w:marBottom w:val="0"/>
      <w:divBdr>
        <w:top w:val="none" w:sz="0" w:space="0" w:color="auto"/>
        <w:left w:val="none" w:sz="0" w:space="0" w:color="auto"/>
        <w:bottom w:val="none" w:sz="0" w:space="0" w:color="auto"/>
        <w:right w:val="none" w:sz="0" w:space="0" w:color="auto"/>
      </w:divBdr>
    </w:div>
    <w:div w:id="366763076">
      <w:bodyDiv w:val="1"/>
      <w:marLeft w:val="0"/>
      <w:marRight w:val="0"/>
      <w:marTop w:val="0"/>
      <w:marBottom w:val="0"/>
      <w:divBdr>
        <w:top w:val="none" w:sz="0" w:space="0" w:color="auto"/>
        <w:left w:val="none" w:sz="0" w:space="0" w:color="auto"/>
        <w:bottom w:val="none" w:sz="0" w:space="0" w:color="auto"/>
        <w:right w:val="none" w:sz="0" w:space="0" w:color="auto"/>
      </w:divBdr>
    </w:div>
    <w:div w:id="366957426">
      <w:bodyDiv w:val="1"/>
      <w:marLeft w:val="0"/>
      <w:marRight w:val="0"/>
      <w:marTop w:val="0"/>
      <w:marBottom w:val="0"/>
      <w:divBdr>
        <w:top w:val="none" w:sz="0" w:space="0" w:color="auto"/>
        <w:left w:val="none" w:sz="0" w:space="0" w:color="auto"/>
        <w:bottom w:val="none" w:sz="0" w:space="0" w:color="auto"/>
        <w:right w:val="none" w:sz="0" w:space="0" w:color="auto"/>
      </w:divBdr>
    </w:div>
    <w:div w:id="367025659">
      <w:bodyDiv w:val="1"/>
      <w:marLeft w:val="0"/>
      <w:marRight w:val="0"/>
      <w:marTop w:val="0"/>
      <w:marBottom w:val="0"/>
      <w:divBdr>
        <w:top w:val="none" w:sz="0" w:space="0" w:color="auto"/>
        <w:left w:val="none" w:sz="0" w:space="0" w:color="auto"/>
        <w:bottom w:val="none" w:sz="0" w:space="0" w:color="auto"/>
        <w:right w:val="none" w:sz="0" w:space="0" w:color="auto"/>
      </w:divBdr>
    </w:div>
    <w:div w:id="367219648">
      <w:bodyDiv w:val="1"/>
      <w:marLeft w:val="0"/>
      <w:marRight w:val="0"/>
      <w:marTop w:val="0"/>
      <w:marBottom w:val="0"/>
      <w:divBdr>
        <w:top w:val="none" w:sz="0" w:space="0" w:color="auto"/>
        <w:left w:val="none" w:sz="0" w:space="0" w:color="auto"/>
        <w:bottom w:val="none" w:sz="0" w:space="0" w:color="auto"/>
        <w:right w:val="none" w:sz="0" w:space="0" w:color="auto"/>
      </w:divBdr>
    </w:div>
    <w:div w:id="367294004">
      <w:bodyDiv w:val="1"/>
      <w:marLeft w:val="0"/>
      <w:marRight w:val="0"/>
      <w:marTop w:val="0"/>
      <w:marBottom w:val="0"/>
      <w:divBdr>
        <w:top w:val="none" w:sz="0" w:space="0" w:color="auto"/>
        <w:left w:val="none" w:sz="0" w:space="0" w:color="auto"/>
        <w:bottom w:val="none" w:sz="0" w:space="0" w:color="auto"/>
        <w:right w:val="none" w:sz="0" w:space="0" w:color="auto"/>
      </w:divBdr>
    </w:div>
    <w:div w:id="367687906">
      <w:bodyDiv w:val="1"/>
      <w:marLeft w:val="0"/>
      <w:marRight w:val="0"/>
      <w:marTop w:val="0"/>
      <w:marBottom w:val="0"/>
      <w:divBdr>
        <w:top w:val="none" w:sz="0" w:space="0" w:color="auto"/>
        <w:left w:val="none" w:sz="0" w:space="0" w:color="auto"/>
        <w:bottom w:val="none" w:sz="0" w:space="0" w:color="auto"/>
        <w:right w:val="none" w:sz="0" w:space="0" w:color="auto"/>
      </w:divBdr>
    </w:div>
    <w:div w:id="368844601">
      <w:bodyDiv w:val="1"/>
      <w:marLeft w:val="0"/>
      <w:marRight w:val="0"/>
      <w:marTop w:val="0"/>
      <w:marBottom w:val="0"/>
      <w:divBdr>
        <w:top w:val="none" w:sz="0" w:space="0" w:color="auto"/>
        <w:left w:val="none" w:sz="0" w:space="0" w:color="auto"/>
        <w:bottom w:val="none" w:sz="0" w:space="0" w:color="auto"/>
        <w:right w:val="none" w:sz="0" w:space="0" w:color="auto"/>
      </w:divBdr>
    </w:div>
    <w:div w:id="369721159">
      <w:bodyDiv w:val="1"/>
      <w:marLeft w:val="0"/>
      <w:marRight w:val="0"/>
      <w:marTop w:val="0"/>
      <w:marBottom w:val="0"/>
      <w:divBdr>
        <w:top w:val="none" w:sz="0" w:space="0" w:color="auto"/>
        <w:left w:val="none" w:sz="0" w:space="0" w:color="auto"/>
        <w:bottom w:val="none" w:sz="0" w:space="0" w:color="auto"/>
        <w:right w:val="none" w:sz="0" w:space="0" w:color="auto"/>
      </w:divBdr>
    </w:div>
    <w:div w:id="370497918">
      <w:bodyDiv w:val="1"/>
      <w:marLeft w:val="0"/>
      <w:marRight w:val="0"/>
      <w:marTop w:val="0"/>
      <w:marBottom w:val="0"/>
      <w:divBdr>
        <w:top w:val="none" w:sz="0" w:space="0" w:color="auto"/>
        <w:left w:val="none" w:sz="0" w:space="0" w:color="auto"/>
        <w:bottom w:val="none" w:sz="0" w:space="0" w:color="auto"/>
        <w:right w:val="none" w:sz="0" w:space="0" w:color="auto"/>
      </w:divBdr>
    </w:div>
    <w:div w:id="371076609">
      <w:bodyDiv w:val="1"/>
      <w:marLeft w:val="0"/>
      <w:marRight w:val="0"/>
      <w:marTop w:val="0"/>
      <w:marBottom w:val="0"/>
      <w:divBdr>
        <w:top w:val="none" w:sz="0" w:space="0" w:color="auto"/>
        <w:left w:val="none" w:sz="0" w:space="0" w:color="auto"/>
        <w:bottom w:val="none" w:sz="0" w:space="0" w:color="auto"/>
        <w:right w:val="none" w:sz="0" w:space="0" w:color="auto"/>
      </w:divBdr>
    </w:div>
    <w:div w:id="371078343">
      <w:bodyDiv w:val="1"/>
      <w:marLeft w:val="0"/>
      <w:marRight w:val="0"/>
      <w:marTop w:val="0"/>
      <w:marBottom w:val="0"/>
      <w:divBdr>
        <w:top w:val="none" w:sz="0" w:space="0" w:color="auto"/>
        <w:left w:val="none" w:sz="0" w:space="0" w:color="auto"/>
        <w:bottom w:val="none" w:sz="0" w:space="0" w:color="auto"/>
        <w:right w:val="none" w:sz="0" w:space="0" w:color="auto"/>
      </w:divBdr>
    </w:div>
    <w:div w:id="372537800">
      <w:bodyDiv w:val="1"/>
      <w:marLeft w:val="0"/>
      <w:marRight w:val="0"/>
      <w:marTop w:val="0"/>
      <w:marBottom w:val="0"/>
      <w:divBdr>
        <w:top w:val="none" w:sz="0" w:space="0" w:color="auto"/>
        <w:left w:val="none" w:sz="0" w:space="0" w:color="auto"/>
        <w:bottom w:val="none" w:sz="0" w:space="0" w:color="auto"/>
        <w:right w:val="none" w:sz="0" w:space="0" w:color="auto"/>
      </w:divBdr>
    </w:div>
    <w:div w:id="373239919">
      <w:bodyDiv w:val="1"/>
      <w:marLeft w:val="0"/>
      <w:marRight w:val="0"/>
      <w:marTop w:val="0"/>
      <w:marBottom w:val="0"/>
      <w:divBdr>
        <w:top w:val="none" w:sz="0" w:space="0" w:color="auto"/>
        <w:left w:val="none" w:sz="0" w:space="0" w:color="auto"/>
        <w:bottom w:val="none" w:sz="0" w:space="0" w:color="auto"/>
        <w:right w:val="none" w:sz="0" w:space="0" w:color="auto"/>
      </w:divBdr>
    </w:div>
    <w:div w:id="373698739">
      <w:bodyDiv w:val="1"/>
      <w:marLeft w:val="0"/>
      <w:marRight w:val="0"/>
      <w:marTop w:val="0"/>
      <w:marBottom w:val="0"/>
      <w:divBdr>
        <w:top w:val="none" w:sz="0" w:space="0" w:color="auto"/>
        <w:left w:val="none" w:sz="0" w:space="0" w:color="auto"/>
        <w:bottom w:val="none" w:sz="0" w:space="0" w:color="auto"/>
        <w:right w:val="none" w:sz="0" w:space="0" w:color="auto"/>
      </w:divBdr>
    </w:div>
    <w:div w:id="373846707">
      <w:bodyDiv w:val="1"/>
      <w:marLeft w:val="0"/>
      <w:marRight w:val="0"/>
      <w:marTop w:val="0"/>
      <w:marBottom w:val="0"/>
      <w:divBdr>
        <w:top w:val="none" w:sz="0" w:space="0" w:color="auto"/>
        <w:left w:val="none" w:sz="0" w:space="0" w:color="auto"/>
        <w:bottom w:val="none" w:sz="0" w:space="0" w:color="auto"/>
        <w:right w:val="none" w:sz="0" w:space="0" w:color="auto"/>
      </w:divBdr>
    </w:div>
    <w:div w:id="374551343">
      <w:bodyDiv w:val="1"/>
      <w:marLeft w:val="0"/>
      <w:marRight w:val="0"/>
      <w:marTop w:val="0"/>
      <w:marBottom w:val="0"/>
      <w:divBdr>
        <w:top w:val="none" w:sz="0" w:space="0" w:color="auto"/>
        <w:left w:val="none" w:sz="0" w:space="0" w:color="auto"/>
        <w:bottom w:val="none" w:sz="0" w:space="0" w:color="auto"/>
        <w:right w:val="none" w:sz="0" w:space="0" w:color="auto"/>
      </w:divBdr>
    </w:div>
    <w:div w:id="374935321">
      <w:bodyDiv w:val="1"/>
      <w:marLeft w:val="0"/>
      <w:marRight w:val="0"/>
      <w:marTop w:val="0"/>
      <w:marBottom w:val="0"/>
      <w:divBdr>
        <w:top w:val="none" w:sz="0" w:space="0" w:color="auto"/>
        <w:left w:val="none" w:sz="0" w:space="0" w:color="auto"/>
        <w:bottom w:val="none" w:sz="0" w:space="0" w:color="auto"/>
        <w:right w:val="none" w:sz="0" w:space="0" w:color="auto"/>
      </w:divBdr>
    </w:div>
    <w:div w:id="375543128">
      <w:bodyDiv w:val="1"/>
      <w:marLeft w:val="0"/>
      <w:marRight w:val="0"/>
      <w:marTop w:val="0"/>
      <w:marBottom w:val="0"/>
      <w:divBdr>
        <w:top w:val="none" w:sz="0" w:space="0" w:color="auto"/>
        <w:left w:val="none" w:sz="0" w:space="0" w:color="auto"/>
        <w:bottom w:val="none" w:sz="0" w:space="0" w:color="auto"/>
        <w:right w:val="none" w:sz="0" w:space="0" w:color="auto"/>
      </w:divBdr>
    </w:div>
    <w:div w:id="375617327">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7978338">
      <w:bodyDiv w:val="1"/>
      <w:marLeft w:val="0"/>
      <w:marRight w:val="0"/>
      <w:marTop w:val="0"/>
      <w:marBottom w:val="0"/>
      <w:divBdr>
        <w:top w:val="none" w:sz="0" w:space="0" w:color="auto"/>
        <w:left w:val="none" w:sz="0" w:space="0" w:color="auto"/>
        <w:bottom w:val="none" w:sz="0" w:space="0" w:color="auto"/>
        <w:right w:val="none" w:sz="0" w:space="0" w:color="auto"/>
      </w:divBdr>
    </w:div>
    <w:div w:id="378282312">
      <w:bodyDiv w:val="1"/>
      <w:marLeft w:val="0"/>
      <w:marRight w:val="0"/>
      <w:marTop w:val="0"/>
      <w:marBottom w:val="0"/>
      <w:divBdr>
        <w:top w:val="none" w:sz="0" w:space="0" w:color="auto"/>
        <w:left w:val="none" w:sz="0" w:space="0" w:color="auto"/>
        <w:bottom w:val="none" w:sz="0" w:space="0" w:color="auto"/>
        <w:right w:val="none" w:sz="0" w:space="0" w:color="auto"/>
      </w:divBdr>
    </w:div>
    <w:div w:id="378286738">
      <w:bodyDiv w:val="1"/>
      <w:marLeft w:val="0"/>
      <w:marRight w:val="0"/>
      <w:marTop w:val="0"/>
      <w:marBottom w:val="0"/>
      <w:divBdr>
        <w:top w:val="none" w:sz="0" w:space="0" w:color="auto"/>
        <w:left w:val="none" w:sz="0" w:space="0" w:color="auto"/>
        <w:bottom w:val="none" w:sz="0" w:space="0" w:color="auto"/>
        <w:right w:val="none" w:sz="0" w:space="0" w:color="auto"/>
      </w:divBdr>
    </w:div>
    <w:div w:id="378557711">
      <w:bodyDiv w:val="1"/>
      <w:marLeft w:val="0"/>
      <w:marRight w:val="0"/>
      <w:marTop w:val="0"/>
      <w:marBottom w:val="0"/>
      <w:divBdr>
        <w:top w:val="none" w:sz="0" w:space="0" w:color="auto"/>
        <w:left w:val="none" w:sz="0" w:space="0" w:color="auto"/>
        <w:bottom w:val="none" w:sz="0" w:space="0" w:color="auto"/>
        <w:right w:val="none" w:sz="0" w:space="0" w:color="auto"/>
      </w:divBdr>
    </w:div>
    <w:div w:id="378863912">
      <w:bodyDiv w:val="1"/>
      <w:marLeft w:val="0"/>
      <w:marRight w:val="0"/>
      <w:marTop w:val="0"/>
      <w:marBottom w:val="0"/>
      <w:divBdr>
        <w:top w:val="none" w:sz="0" w:space="0" w:color="auto"/>
        <w:left w:val="none" w:sz="0" w:space="0" w:color="auto"/>
        <w:bottom w:val="none" w:sz="0" w:space="0" w:color="auto"/>
        <w:right w:val="none" w:sz="0" w:space="0" w:color="auto"/>
      </w:divBdr>
    </w:div>
    <w:div w:id="378864665">
      <w:bodyDiv w:val="1"/>
      <w:marLeft w:val="0"/>
      <w:marRight w:val="0"/>
      <w:marTop w:val="0"/>
      <w:marBottom w:val="0"/>
      <w:divBdr>
        <w:top w:val="none" w:sz="0" w:space="0" w:color="auto"/>
        <w:left w:val="none" w:sz="0" w:space="0" w:color="auto"/>
        <w:bottom w:val="none" w:sz="0" w:space="0" w:color="auto"/>
        <w:right w:val="none" w:sz="0" w:space="0" w:color="auto"/>
      </w:divBdr>
    </w:div>
    <w:div w:id="379331143">
      <w:bodyDiv w:val="1"/>
      <w:marLeft w:val="0"/>
      <w:marRight w:val="0"/>
      <w:marTop w:val="0"/>
      <w:marBottom w:val="0"/>
      <w:divBdr>
        <w:top w:val="none" w:sz="0" w:space="0" w:color="auto"/>
        <w:left w:val="none" w:sz="0" w:space="0" w:color="auto"/>
        <w:bottom w:val="none" w:sz="0" w:space="0" w:color="auto"/>
        <w:right w:val="none" w:sz="0" w:space="0" w:color="auto"/>
      </w:divBdr>
    </w:div>
    <w:div w:id="379597603">
      <w:bodyDiv w:val="1"/>
      <w:marLeft w:val="0"/>
      <w:marRight w:val="0"/>
      <w:marTop w:val="0"/>
      <w:marBottom w:val="0"/>
      <w:divBdr>
        <w:top w:val="none" w:sz="0" w:space="0" w:color="auto"/>
        <w:left w:val="none" w:sz="0" w:space="0" w:color="auto"/>
        <w:bottom w:val="none" w:sz="0" w:space="0" w:color="auto"/>
        <w:right w:val="none" w:sz="0" w:space="0" w:color="auto"/>
      </w:divBdr>
    </w:div>
    <w:div w:id="380128982">
      <w:bodyDiv w:val="1"/>
      <w:marLeft w:val="0"/>
      <w:marRight w:val="0"/>
      <w:marTop w:val="0"/>
      <w:marBottom w:val="0"/>
      <w:divBdr>
        <w:top w:val="none" w:sz="0" w:space="0" w:color="auto"/>
        <w:left w:val="none" w:sz="0" w:space="0" w:color="auto"/>
        <w:bottom w:val="none" w:sz="0" w:space="0" w:color="auto"/>
        <w:right w:val="none" w:sz="0" w:space="0" w:color="auto"/>
      </w:divBdr>
    </w:div>
    <w:div w:id="380398806">
      <w:bodyDiv w:val="1"/>
      <w:marLeft w:val="0"/>
      <w:marRight w:val="0"/>
      <w:marTop w:val="0"/>
      <w:marBottom w:val="0"/>
      <w:divBdr>
        <w:top w:val="none" w:sz="0" w:space="0" w:color="auto"/>
        <w:left w:val="none" w:sz="0" w:space="0" w:color="auto"/>
        <w:bottom w:val="none" w:sz="0" w:space="0" w:color="auto"/>
        <w:right w:val="none" w:sz="0" w:space="0" w:color="auto"/>
      </w:divBdr>
    </w:div>
    <w:div w:id="380786957">
      <w:bodyDiv w:val="1"/>
      <w:marLeft w:val="0"/>
      <w:marRight w:val="0"/>
      <w:marTop w:val="0"/>
      <w:marBottom w:val="0"/>
      <w:divBdr>
        <w:top w:val="none" w:sz="0" w:space="0" w:color="auto"/>
        <w:left w:val="none" w:sz="0" w:space="0" w:color="auto"/>
        <w:bottom w:val="none" w:sz="0" w:space="0" w:color="auto"/>
        <w:right w:val="none" w:sz="0" w:space="0" w:color="auto"/>
      </w:divBdr>
    </w:div>
    <w:div w:id="380977980">
      <w:bodyDiv w:val="1"/>
      <w:marLeft w:val="0"/>
      <w:marRight w:val="0"/>
      <w:marTop w:val="0"/>
      <w:marBottom w:val="0"/>
      <w:divBdr>
        <w:top w:val="none" w:sz="0" w:space="0" w:color="auto"/>
        <w:left w:val="none" w:sz="0" w:space="0" w:color="auto"/>
        <w:bottom w:val="none" w:sz="0" w:space="0" w:color="auto"/>
        <w:right w:val="none" w:sz="0" w:space="0" w:color="auto"/>
      </w:divBdr>
    </w:div>
    <w:div w:id="381098102">
      <w:bodyDiv w:val="1"/>
      <w:marLeft w:val="0"/>
      <w:marRight w:val="0"/>
      <w:marTop w:val="0"/>
      <w:marBottom w:val="0"/>
      <w:divBdr>
        <w:top w:val="none" w:sz="0" w:space="0" w:color="auto"/>
        <w:left w:val="none" w:sz="0" w:space="0" w:color="auto"/>
        <w:bottom w:val="none" w:sz="0" w:space="0" w:color="auto"/>
        <w:right w:val="none" w:sz="0" w:space="0" w:color="auto"/>
      </w:divBdr>
    </w:div>
    <w:div w:id="381561740">
      <w:bodyDiv w:val="1"/>
      <w:marLeft w:val="0"/>
      <w:marRight w:val="0"/>
      <w:marTop w:val="0"/>
      <w:marBottom w:val="0"/>
      <w:divBdr>
        <w:top w:val="none" w:sz="0" w:space="0" w:color="auto"/>
        <w:left w:val="none" w:sz="0" w:space="0" w:color="auto"/>
        <w:bottom w:val="none" w:sz="0" w:space="0" w:color="auto"/>
        <w:right w:val="none" w:sz="0" w:space="0" w:color="auto"/>
      </w:divBdr>
    </w:div>
    <w:div w:id="381947119">
      <w:bodyDiv w:val="1"/>
      <w:marLeft w:val="0"/>
      <w:marRight w:val="0"/>
      <w:marTop w:val="0"/>
      <w:marBottom w:val="0"/>
      <w:divBdr>
        <w:top w:val="none" w:sz="0" w:space="0" w:color="auto"/>
        <w:left w:val="none" w:sz="0" w:space="0" w:color="auto"/>
        <w:bottom w:val="none" w:sz="0" w:space="0" w:color="auto"/>
        <w:right w:val="none" w:sz="0" w:space="0" w:color="auto"/>
      </w:divBdr>
    </w:div>
    <w:div w:id="383456881">
      <w:bodyDiv w:val="1"/>
      <w:marLeft w:val="0"/>
      <w:marRight w:val="0"/>
      <w:marTop w:val="0"/>
      <w:marBottom w:val="0"/>
      <w:divBdr>
        <w:top w:val="none" w:sz="0" w:space="0" w:color="auto"/>
        <w:left w:val="none" w:sz="0" w:space="0" w:color="auto"/>
        <w:bottom w:val="none" w:sz="0" w:space="0" w:color="auto"/>
        <w:right w:val="none" w:sz="0" w:space="0" w:color="auto"/>
      </w:divBdr>
    </w:div>
    <w:div w:id="383796944">
      <w:bodyDiv w:val="1"/>
      <w:marLeft w:val="0"/>
      <w:marRight w:val="0"/>
      <w:marTop w:val="0"/>
      <w:marBottom w:val="0"/>
      <w:divBdr>
        <w:top w:val="none" w:sz="0" w:space="0" w:color="auto"/>
        <w:left w:val="none" w:sz="0" w:space="0" w:color="auto"/>
        <w:bottom w:val="none" w:sz="0" w:space="0" w:color="auto"/>
        <w:right w:val="none" w:sz="0" w:space="0" w:color="auto"/>
      </w:divBdr>
    </w:div>
    <w:div w:id="384451685">
      <w:bodyDiv w:val="1"/>
      <w:marLeft w:val="0"/>
      <w:marRight w:val="0"/>
      <w:marTop w:val="0"/>
      <w:marBottom w:val="0"/>
      <w:divBdr>
        <w:top w:val="none" w:sz="0" w:space="0" w:color="auto"/>
        <w:left w:val="none" w:sz="0" w:space="0" w:color="auto"/>
        <w:bottom w:val="none" w:sz="0" w:space="0" w:color="auto"/>
        <w:right w:val="none" w:sz="0" w:space="0" w:color="auto"/>
      </w:divBdr>
    </w:div>
    <w:div w:id="385495175">
      <w:bodyDiv w:val="1"/>
      <w:marLeft w:val="0"/>
      <w:marRight w:val="0"/>
      <w:marTop w:val="0"/>
      <w:marBottom w:val="0"/>
      <w:divBdr>
        <w:top w:val="none" w:sz="0" w:space="0" w:color="auto"/>
        <w:left w:val="none" w:sz="0" w:space="0" w:color="auto"/>
        <w:bottom w:val="none" w:sz="0" w:space="0" w:color="auto"/>
        <w:right w:val="none" w:sz="0" w:space="0" w:color="auto"/>
      </w:divBdr>
    </w:div>
    <w:div w:id="385615232">
      <w:bodyDiv w:val="1"/>
      <w:marLeft w:val="0"/>
      <w:marRight w:val="0"/>
      <w:marTop w:val="0"/>
      <w:marBottom w:val="0"/>
      <w:divBdr>
        <w:top w:val="none" w:sz="0" w:space="0" w:color="auto"/>
        <w:left w:val="none" w:sz="0" w:space="0" w:color="auto"/>
        <w:bottom w:val="none" w:sz="0" w:space="0" w:color="auto"/>
        <w:right w:val="none" w:sz="0" w:space="0" w:color="auto"/>
      </w:divBdr>
    </w:div>
    <w:div w:id="385881402">
      <w:bodyDiv w:val="1"/>
      <w:marLeft w:val="0"/>
      <w:marRight w:val="0"/>
      <w:marTop w:val="0"/>
      <w:marBottom w:val="0"/>
      <w:divBdr>
        <w:top w:val="none" w:sz="0" w:space="0" w:color="auto"/>
        <w:left w:val="none" w:sz="0" w:space="0" w:color="auto"/>
        <w:bottom w:val="none" w:sz="0" w:space="0" w:color="auto"/>
        <w:right w:val="none" w:sz="0" w:space="0" w:color="auto"/>
      </w:divBdr>
    </w:div>
    <w:div w:id="386421863">
      <w:bodyDiv w:val="1"/>
      <w:marLeft w:val="0"/>
      <w:marRight w:val="0"/>
      <w:marTop w:val="0"/>
      <w:marBottom w:val="0"/>
      <w:divBdr>
        <w:top w:val="none" w:sz="0" w:space="0" w:color="auto"/>
        <w:left w:val="none" w:sz="0" w:space="0" w:color="auto"/>
        <w:bottom w:val="none" w:sz="0" w:space="0" w:color="auto"/>
        <w:right w:val="none" w:sz="0" w:space="0" w:color="auto"/>
      </w:divBdr>
    </w:div>
    <w:div w:id="386760048">
      <w:bodyDiv w:val="1"/>
      <w:marLeft w:val="0"/>
      <w:marRight w:val="0"/>
      <w:marTop w:val="0"/>
      <w:marBottom w:val="0"/>
      <w:divBdr>
        <w:top w:val="none" w:sz="0" w:space="0" w:color="auto"/>
        <w:left w:val="none" w:sz="0" w:space="0" w:color="auto"/>
        <w:bottom w:val="none" w:sz="0" w:space="0" w:color="auto"/>
        <w:right w:val="none" w:sz="0" w:space="0" w:color="auto"/>
      </w:divBdr>
    </w:div>
    <w:div w:id="387454745">
      <w:bodyDiv w:val="1"/>
      <w:marLeft w:val="0"/>
      <w:marRight w:val="0"/>
      <w:marTop w:val="0"/>
      <w:marBottom w:val="0"/>
      <w:divBdr>
        <w:top w:val="none" w:sz="0" w:space="0" w:color="auto"/>
        <w:left w:val="none" w:sz="0" w:space="0" w:color="auto"/>
        <w:bottom w:val="none" w:sz="0" w:space="0" w:color="auto"/>
        <w:right w:val="none" w:sz="0" w:space="0" w:color="auto"/>
      </w:divBdr>
    </w:div>
    <w:div w:id="387805451">
      <w:bodyDiv w:val="1"/>
      <w:marLeft w:val="0"/>
      <w:marRight w:val="0"/>
      <w:marTop w:val="0"/>
      <w:marBottom w:val="0"/>
      <w:divBdr>
        <w:top w:val="none" w:sz="0" w:space="0" w:color="auto"/>
        <w:left w:val="none" w:sz="0" w:space="0" w:color="auto"/>
        <w:bottom w:val="none" w:sz="0" w:space="0" w:color="auto"/>
        <w:right w:val="none" w:sz="0" w:space="0" w:color="auto"/>
      </w:divBdr>
    </w:div>
    <w:div w:id="388001153">
      <w:bodyDiv w:val="1"/>
      <w:marLeft w:val="0"/>
      <w:marRight w:val="0"/>
      <w:marTop w:val="0"/>
      <w:marBottom w:val="0"/>
      <w:divBdr>
        <w:top w:val="none" w:sz="0" w:space="0" w:color="auto"/>
        <w:left w:val="none" w:sz="0" w:space="0" w:color="auto"/>
        <w:bottom w:val="none" w:sz="0" w:space="0" w:color="auto"/>
        <w:right w:val="none" w:sz="0" w:space="0" w:color="auto"/>
      </w:divBdr>
    </w:div>
    <w:div w:id="388185047">
      <w:bodyDiv w:val="1"/>
      <w:marLeft w:val="0"/>
      <w:marRight w:val="0"/>
      <w:marTop w:val="0"/>
      <w:marBottom w:val="0"/>
      <w:divBdr>
        <w:top w:val="none" w:sz="0" w:space="0" w:color="auto"/>
        <w:left w:val="none" w:sz="0" w:space="0" w:color="auto"/>
        <w:bottom w:val="none" w:sz="0" w:space="0" w:color="auto"/>
        <w:right w:val="none" w:sz="0" w:space="0" w:color="auto"/>
      </w:divBdr>
    </w:div>
    <w:div w:id="388187577">
      <w:bodyDiv w:val="1"/>
      <w:marLeft w:val="0"/>
      <w:marRight w:val="0"/>
      <w:marTop w:val="0"/>
      <w:marBottom w:val="0"/>
      <w:divBdr>
        <w:top w:val="none" w:sz="0" w:space="0" w:color="auto"/>
        <w:left w:val="none" w:sz="0" w:space="0" w:color="auto"/>
        <w:bottom w:val="none" w:sz="0" w:space="0" w:color="auto"/>
        <w:right w:val="none" w:sz="0" w:space="0" w:color="auto"/>
      </w:divBdr>
    </w:div>
    <w:div w:id="388262713">
      <w:bodyDiv w:val="1"/>
      <w:marLeft w:val="0"/>
      <w:marRight w:val="0"/>
      <w:marTop w:val="0"/>
      <w:marBottom w:val="0"/>
      <w:divBdr>
        <w:top w:val="none" w:sz="0" w:space="0" w:color="auto"/>
        <w:left w:val="none" w:sz="0" w:space="0" w:color="auto"/>
        <w:bottom w:val="none" w:sz="0" w:space="0" w:color="auto"/>
        <w:right w:val="none" w:sz="0" w:space="0" w:color="auto"/>
      </w:divBdr>
    </w:div>
    <w:div w:id="389354175">
      <w:bodyDiv w:val="1"/>
      <w:marLeft w:val="0"/>
      <w:marRight w:val="0"/>
      <w:marTop w:val="0"/>
      <w:marBottom w:val="0"/>
      <w:divBdr>
        <w:top w:val="none" w:sz="0" w:space="0" w:color="auto"/>
        <w:left w:val="none" w:sz="0" w:space="0" w:color="auto"/>
        <w:bottom w:val="none" w:sz="0" w:space="0" w:color="auto"/>
        <w:right w:val="none" w:sz="0" w:space="0" w:color="auto"/>
      </w:divBdr>
    </w:div>
    <w:div w:id="389422820">
      <w:bodyDiv w:val="1"/>
      <w:marLeft w:val="0"/>
      <w:marRight w:val="0"/>
      <w:marTop w:val="0"/>
      <w:marBottom w:val="0"/>
      <w:divBdr>
        <w:top w:val="none" w:sz="0" w:space="0" w:color="auto"/>
        <w:left w:val="none" w:sz="0" w:space="0" w:color="auto"/>
        <w:bottom w:val="none" w:sz="0" w:space="0" w:color="auto"/>
        <w:right w:val="none" w:sz="0" w:space="0" w:color="auto"/>
      </w:divBdr>
    </w:div>
    <w:div w:id="390546875">
      <w:bodyDiv w:val="1"/>
      <w:marLeft w:val="0"/>
      <w:marRight w:val="0"/>
      <w:marTop w:val="0"/>
      <w:marBottom w:val="0"/>
      <w:divBdr>
        <w:top w:val="none" w:sz="0" w:space="0" w:color="auto"/>
        <w:left w:val="none" w:sz="0" w:space="0" w:color="auto"/>
        <w:bottom w:val="none" w:sz="0" w:space="0" w:color="auto"/>
        <w:right w:val="none" w:sz="0" w:space="0" w:color="auto"/>
      </w:divBdr>
    </w:div>
    <w:div w:id="390613708">
      <w:bodyDiv w:val="1"/>
      <w:marLeft w:val="0"/>
      <w:marRight w:val="0"/>
      <w:marTop w:val="0"/>
      <w:marBottom w:val="0"/>
      <w:divBdr>
        <w:top w:val="none" w:sz="0" w:space="0" w:color="auto"/>
        <w:left w:val="none" w:sz="0" w:space="0" w:color="auto"/>
        <w:bottom w:val="none" w:sz="0" w:space="0" w:color="auto"/>
        <w:right w:val="none" w:sz="0" w:space="0" w:color="auto"/>
      </w:divBdr>
    </w:div>
    <w:div w:id="390927380">
      <w:bodyDiv w:val="1"/>
      <w:marLeft w:val="0"/>
      <w:marRight w:val="0"/>
      <w:marTop w:val="0"/>
      <w:marBottom w:val="0"/>
      <w:divBdr>
        <w:top w:val="none" w:sz="0" w:space="0" w:color="auto"/>
        <w:left w:val="none" w:sz="0" w:space="0" w:color="auto"/>
        <w:bottom w:val="none" w:sz="0" w:space="0" w:color="auto"/>
        <w:right w:val="none" w:sz="0" w:space="0" w:color="auto"/>
      </w:divBdr>
    </w:div>
    <w:div w:id="391074921">
      <w:bodyDiv w:val="1"/>
      <w:marLeft w:val="0"/>
      <w:marRight w:val="0"/>
      <w:marTop w:val="0"/>
      <w:marBottom w:val="0"/>
      <w:divBdr>
        <w:top w:val="none" w:sz="0" w:space="0" w:color="auto"/>
        <w:left w:val="none" w:sz="0" w:space="0" w:color="auto"/>
        <w:bottom w:val="none" w:sz="0" w:space="0" w:color="auto"/>
        <w:right w:val="none" w:sz="0" w:space="0" w:color="auto"/>
      </w:divBdr>
    </w:div>
    <w:div w:id="391856334">
      <w:bodyDiv w:val="1"/>
      <w:marLeft w:val="0"/>
      <w:marRight w:val="0"/>
      <w:marTop w:val="0"/>
      <w:marBottom w:val="0"/>
      <w:divBdr>
        <w:top w:val="none" w:sz="0" w:space="0" w:color="auto"/>
        <w:left w:val="none" w:sz="0" w:space="0" w:color="auto"/>
        <w:bottom w:val="none" w:sz="0" w:space="0" w:color="auto"/>
        <w:right w:val="none" w:sz="0" w:space="0" w:color="auto"/>
      </w:divBdr>
    </w:div>
    <w:div w:id="392198210">
      <w:bodyDiv w:val="1"/>
      <w:marLeft w:val="0"/>
      <w:marRight w:val="0"/>
      <w:marTop w:val="0"/>
      <w:marBottom w:val="0"/>
      <w:divBdr>
        <w:top w:val="none" w:sz="0" w:space="0" w:color="auto"/>
        <w:left w:val="none" w:sz="0" w:space="0" w:color="auto"/>
        <w:bottom w:val="none" w:sz="0" w:space="0" w:color="auto"/>
        <w:right w:val="none" w:sz="0" w:space="0" w:color="auto"/>
      </w:divBdr>
    </w:div>
    <w:div w:id="392388045">
      <w:bodyDiv w:val="1"/>
      <w:marLeft w:val="0"/>
      <w:marRight w:val="0"/>
      <w:marTop w:val="0"/>
      <w:marBottom w:val="0"/>
      <w:divBdr>
        <w:top w:val="none" w:sz="0" w:space="0" w:color="auto"/>
        <w:left w:val="none" w:sz="0" w:space="0" w:color="auto"/>
        <w:bottom w:val="none" w:sz="0" w:space="0" w:color="auto"/>
        <w:right w:val="none" w:sz="0" w:space="0" w:color="auto"/>
      </w:divBdr>
    </w:div>
    <w:div w:id="392582125">
      <w:bodyDiv w:val="1"/>
      <w:marLeft w:val="0"/>
      <w:marRight w:val="0"/>
      <w:marTop w:val="0"/>
      <w:marBottom w:val="0"/>
      <w:divBdr>
        <w:top w:val="none" w:sz="0" w:space="0" w:color="auto"/>
        <w:left w:val="none" w:sz="0" w:space="0" w:color="auto"/>
        <w:bottom w:val="none" w:sz="0" w:space="0" w:color="auto"/>
        <w:right w:val="none" w:sz="0" w:space="0" w:color="auto"/>
      </w:divBdr>
    </w:div>
    <w:div w:id="392849385">
      <w:bodyDiv w:val="1"/>
      <w:marLeft w:val="0"/>
      <w:marRight w:val="0"/>
      <w:marTop w:val="0"/>
      <w:marBottom w:val="0"/>
      <w:divBdr>
        <w:top w:val="none" w:sz="0" w:space="0" w:color="auto"/>
        <w:left w:val="none" w:sz="0" w:space="0" w:color="auto"/>
        <w:bottom w:val="none" w:sz="0" w:space="0" w:color="auto"/>
        <w:right w:val="none" w:sz="0" w:space="0" w:color="auto"/>
      </w:divBdr>
    </w:div>
    <w:div w:id="392893374">
      <w:bodyDiv w:val="1"/>
      <w:marLeft w:val="0"/>
      <w:marRight w:val="0"/>
      <w:marTop w:val="0"/>
      <w:marBottom w:val="0"/>
      <w:divBdr>
        <w:top w:val="none" w:sz="0" w:space="0" w:color="auto"/>
        <w:left w:val="none" w:sz="0" w:space="0" w:color="auto"/>
        <w:bottom w:val="none" w:sz="0" w:space="0" w:color="auto"/>
        <w:right w:val="none" w:sz="0" w:space="0" w:color="auto"/>
      </w:divBdr>
    </w:div>
    <w:div w:id="393510269">
      <w:bodyDiv w:val="1"/>
      <w:marLeft w:val="0"/>
      <w:marRight w:val="0"/>
      <w:marTop w:val="0"/>
      <w:marBottom w:val="0"/>
      <w:divBdr>
        <w:top w:val="none" w:sz="0" w:space="0" w:color="auto"/>
        <w:left w:val="none" w:sz="0" w:space="0" w:color="auto"/>
        <w:bottom w:val="none" w:sz="0" w:space="0" w:color="auto"/>
        <w:right w:val="none" w:sz="0" w:space="0" w:color="auto"/>
      </w:divBdr>
    </w:div>
    <w:div w:id="393740437">
      <w:bodyDiv w:val="1"/>
      <w:marLeft w:val="0"/>
      <w:marRight w:val="0"/>
      <w:marTop w:val="0"/>
      <w:marBottom w:val="0"/>
      <w:divBdr>
        <w:top w:val="none" w:sz="0" w:space="0" w:color="auto"/>
        <w:left w:val="none" w:sz="0" w:space="0" w:color="auto"/>
        <w:bottom w:val="none" w:sz="0" w:space="0" w:color="auto"/>
        <w:right w:val="none" w:sz="0" w:space="0" w:color="auto"/>
      </w:divBdr>
    </w:div>
    <w:div w:id="393815869">
      <w:bodyDiv w:val="1"/>
      <w:marLeft w:val="0"/>
      <w:marRight w:val="0"/>
      <w:marTop w:val="0"/>
      <w:marBottom w:val="0"/>
      <w:divBdr>
        <w:top w:val="none" w:sz="0" w:space="0" w:color="auto"/>
        <w:left w:val="none" w:sz="0" w:space="0" w:color="auto"/>
        <w:bottom w:val="none" w:sz="0" w:space="0" w:color="auto"/>
        <w:right w:val="none" w:sz="0" w:space="0" w:color="auto"/>
      </w:divBdr>
    </w:div>
    <w:div w:id="394203003">
      <w:bodyDiv w:val="1"/>
      <w:marLeft w:val="0"/>
      <w:marRight w:val="0"/>
      <w:marTop w:val="0"/>
      <w:marBottom w:val="0"/>
      <w:divBdr>
        <w:top w:val="none" w:sz="0" w:space="0" w:color="auto"/>
        <w:left w:val="none" w:sz="0" w:space="0" w:color="auto"/>
        <w:bottom w:val="none" w:sz="0" w:space="0" w:color="auto"/>
        <w:right w:val="none" w:sz="0" w:space="0" w:color="auto"/>
      </w:divBdr>
    </w:div>
    <w:div w:id="394550644">
      <w:bodyDiv w:val="1"/>
      <w:marLeft w:val="0"/>
      <w:marRight w:val="0"/>
      <w:marTop w:val="0"/>
      <w:marBottom w:val="0"/>
      <w:divBdr>
        <w:top w:val="none" w:sz="0" w:space="0" w:color="auto"/>
        <w:left w:val="none" w:sz="0" w:space="0" w:color="auto"/>
        <w:bottom w:val="none" w:sz="0" w:space="0" w:color="auto"/>
        <w:right w:val="none" w:sz="0" w:space="0" w:color="auto"/>
      </w:divBdr>
    </w:div>
    <w:div w:id="394862984">
      <w:bodyDiv w:val="1"/>
      <w:marLeft w:val="0"/>
      <w:marRight w:val="0"/>
      <w:marTop w:val="0"/>
      <w:marBottom w:val="0"/>
      <w:divBdr>
        <w:top w:val="none" w:sz="0" w:space="0" w:color="auto"/>
        <w:left w:val="none" w:sz="0" w:space="0" w:color="auto"/>
        <w:bottom w:val="none" w:sz="0" w:space="0" w:color="auto"/>
        <w:right w:val="none" w:sz="0" w:space="0" w:color="auto"/>
      </w:divBdr>
    </w:div>
    <w:div w:id="395053197">
      <w:bodyDiv w:val="1"/>
      <w:marLeft w:val="0"/>
      <w:marRight w:val="0"/>
      <w:marTop w:val="0"/>
      <w:marBottom w:val="0"/>
      <w:divBdr>
        <w:top w:val="none" w:sz="0" w:space="0" w:color="auto"/>
        <w:left w:val="none" w:sz="0" w:space="0" w:color="auto"/>
        <w:bottom w:val="none" w:sz="0" w:space="0" w:color="auto"/>
        <w:right w:val="none" w:sz="0" w:space="0" w:color="auto"/>
      </w:divBdr>
    </w:div>
    <w:div w:id="395204471">
      <w:bodyDiv w:val="1"/>
      <w:marLeft w:val="0"/>
      <w:marRight w:val="0"/>
      <w:marTop w:val="0"/>
      <w:marBottom w:val="0"/>
      <w:divBdr>
        <w:top w:val="none" w:sz="0" w:space="0" w:color="auto"/>
        <w:left w:val="none" w:sz="0" w:space="0" w:color="auto"/>
        <w:bottom w:val="none" w:sz="0" w:space="0" w:color="auto"/>
        <w:right w:val="none" w:sz="0" w:space="0" w:color="auto"/>
      </w:divBdr>
    </w:div>
    <w:div w:id="395864335">
      <w:bodyDiv w:val="1"/>
      <w:marLeft w:val="0"/>
      <w:marRight w:val="0"/>
      <w:marTop w:val="0"/>
      <w:marBottom w:val="0"/>
      <w:divBdr>
        <w:top w:val="none" w:sz="0" w:space="0" w:color="auto"/>
        <w:left w:val="none" w:sz="0" w:space="0" w:color="auto"/>
        <w:bottom w:val="none" w:sz="0" w:space="0" w:color="auto"/>
        <w:right w:val="none" w:sz="0" w:space="0" w:color="auto"/>
      </w:divBdr>
    </w:div>
    <w:div w:id="396590307">
      <w:bodyDiv w:val="1"/>
      <w:marLeft w:val="0"/>
      <w:marRight w:val="0"/>
      <w:marTop w:val="0"/>
      <w:marBottom w:val="0"/>
      <w:divBdr>
        <w:top w:val="none" w:sz="0" w:space="0" w:color="auto"/>
        <w:left w:val="none" w:sz="0" w:space="0" w:color="auto"/>
        <w:bottom w:val="none" w:sz="0" w:space="0" w:color="auto"/>
        <w:right w:val="none" w:sz="0" w:space="0" w:color="auto"/>
      </w:divBdr>
    </w:div>
    <w:div w:id="397440978">
      <w:bodyDiv w:val="1"/>
      <w:marLeft w:val="0"/>
      <w:marRight w:val="0"/>
      <w:marTop w:val="0"/>
      <w:marBottom w:val="0"/>
      <w:divBdr>
        <w:top w:val="none" w:sz="0" w:space="0" w:color="auto"/>
        <w:left w:val="none" w:sz="0" w:space="0" w:color="auto"/>
        <w:bottom w:val="none" w:sz="0" w:space="0" w:color="auto"/>
        <w:right w:val="none" w:sz="0" w:space="0" w:color="auto"/>
      </w:divBdr>
    </w:div>
    <w:div w:id="397481232">
      <w:bodyDiv w:val="1"/>
      <w:marLeft w:val="0"/>
      <w:marRight w:val="0"/>
      <w:marTop w:val="0"/>
      <w:marBottom w:val="0"/>
      <w:divBdr>
        <w:top w:val="none" w:sz="0" w:space="0" w:color="auto"/>
        <w:left w:val="none" w:sz="0" w:space="0" w:color="auto"/>
        <w:bottom w:val="none" w:sz="0" w:space="0" w:color="auto"/>
        <w:right w:val="none" w:sz="0" w:space="0" w:color="auto"/>
      </w:divBdr>
    </w:div>
    <w:div w:id="398208103">
      <w:bodyDiv w:val="1"/>
      <w:marLeft w:val="0"/>
      <w:marRight w:val="0"/>
      <w:marTop w:val="0"/>
      <w:marBottom w:val="0"/>
      <w:divBdr>
        <w:top w:val="none" w:sz="0" w:space="0" w:color="auto"/>
        <w:left w:val="none" w:sz="0" w:space="0" w:color="auto"/>
        <w:bottom w:val="none" w:sz="0" w:space="0" w:color="auto"/>
        <w:right w:val="none" w:sz="0" w:space="0" w:color="auto"/>
      </w:divBdr>
    </w:div>
    <w:div w:id="398792315">
      <w:bodyDiv w:val="1"/>
      <w:marLeft w:val="0"/>
      <w:marRight w:val="0"/>
      <w:marTop w:val="0"/>
      <w:marBottom w:val="0"/>
      <w:divBdr>
        <w:top w:val="none" w:sz="0" w:space="0" w:color="auto"/>
        <w:left w:val="none" w:sz="0" w:space="0" w:color="auto"/>
        <w:bottom w:val="none" w:sz="0" w:space="0" w:color="auto"/>
        <w:right w:val="none" w:sz="0" w:space="0" w:color="auto"/>
      </w:divBdr>
    </w:div>
    <w:div w:id="399445789">
      <w:bodyDiv w:val="1"/>
      <w:marLeft w:val="0"/>
      <w:marRight w:val="0"/>
      <w:marTop w:val="0"/>
      <w:marBottom w:val="0"/>
      <w:divBdr>
        <w:top w:val="none" w:sz="0" w:space="0" w:color="auto"/>
        <w:left w:val="none" w:sz="0" w:space="0" w:color="auto"/>
        <w:bottom w:val="none" w:sz="0" w:space="0" w:color="auto"/>
        <w:right w:val="none" w:sz="0" w:space="0" w:color="auto"/>
      </w:divBdr>
    </w:div>
    <w:div w:id="399904857">
      <w:bodyDiv w:val="1"/>
      <w:marLeft w:val="0"/>
      <w:marRight w:val="0"/>
      <w:marTop w:val="0"/>
      <w:marBottom w:val="0"/>
      <w:divBdr>
        <w:top w:val="none" w:sz="0" w:space="0" w:color="auto"/>
        <w:left w:val="none" w:sz="0" w:space="0" w:color="auto"/>
        <w:bottom w:val="none" w:sz="0" w:space="0" w:color="auto"/>
        <w:right w:val="none" w:sz="0" w:space="0" w:color="auto"/>
      </w:divBdr>
    </w:div>
    <w:div w:id="400064064">
      <w:bodyDiv w:val="1"/>
      <w:marLeft w:val="0"/>
      <w:marRight w:val="0"/>
      <w:marTop w:val="0"/>
      <w:marBottom w:val="0"/>
      <w:divBdr>
        <w:top w:val="none" w:sz="0" w:space="0" w:color="auto"/>
        <w:left w:val="none" w:sz="0" w:space="0" w:color="auto"/>
        <w:bottom w:val="none" w:sz="0" w:space="0" w:color="auto"/>
        <w:right w:val="none" w:sz="0" w:space="0" w:color="auto"/>
      </w:divBdr>
    </w:div>
    <w:div w:id="400299944">
      <w:bodyDiv w:val="1"/>
      <w:marLeft w:val="0"/>
      <w:marRight w:val="0"/>
      <w:marTop w:val="0"/>
      <w:marBottom w:val="0"/>
      <w:divBdr>
        <w:top w:val="none" w:sz="0" w:space="0" w:color="auto"/>
        <w:left w:val="none" w:sz="0" w:space="0" w:color="auto"/>
        <w:bottom w:val="none" w:sz="0" w:space="0" w:color="auto"/>
        <w:right w:val="none" w:sz="0" w:space="0" w:color="auto"/>
      </w:divBdr>
    </w:div>
    <w:div w:id="400568900">
      <w:bodyDiv w:val="1"/>
      <w:marLeft w:val="0"/>
      <w:marRight w:val="0"/>
      <w:marTop w:val="0"/>
      <w:marBottom w:val="0"/>
      <w:divBdr>
        <w:top w:val="none" w:sz="0" w:space="0" w:color="auto"/>
        <w:left w:val="none" w:sz="0" w:space="0" w:color="auto"/>
        <w:bottom w:val="none" w:sz="0" w:space="0" w:color="auto"/>
        <w:right w:val="none" w:sz="0" w:space="0" w:color="auto"/>
      </w:divBdr>
    </w:div>
    <w:div w:id="400640717">
      <w:bodyDiv w:val="1"/>
      <w:marLeft w:val="0"/>
      <w:marRight w:val="0"/>
      <w:marTop w:val="0"/>
      <w:marBottom w:val="0"/>
      <w:divBdr>
        <w:top w:val="none" w:sz="0" w:space="0" w:color="auto"/>
        <w:left w:val="none" w:sz="0" w:space="0" w:color="auto"/>
        <w:bottom w:val="none" w:sz="0" w:space="0" w:color="auto"/>
        <w:right w:val="none" w:sz="0" w:space="0" w:color="auto"/>
      </w:divBdr>
    </w:div>
    <w:div w:id="401026294">
      <w:bodyDiv w:val="1"/>
      <w:marLeft w:val="0"/>
      <w:marRight w:val="0"/>
      <w:marTop w:val="0"/>
      <w:marBottom w:val="0"/>
      <w:divBdr>
        <w:top w:val="none" w:sz="0" w:space="0" w:color="auto"/>
        <w:left w:val="none" w:sz="0" w:space="0" w:color="auto"/>
        <w:bottom w:val="none" w:sz="0" w:space="0" w:color="auto"/>
        <w:right w:val="none" w:sz="0" w:space="0" w:color="auto"/>
      </w:divBdr>
    </w:div>
    <w:div w:id="401366371">
      <w:bodyDiv w:val="1"/>
      <w:marLeft w:val="0"/>
      <w:marRight w:val="0"/>
      <w:marTop w:val="0"/>
      <w:marBottom w:val="0"/>
      <w:divBdr>
        <w:top w:val="none" w:sz="0" w:space="0" w:color="auto"/>
        <w:left w:val="none" w:sz="0" w:space="0" w:color="auto"/>
        <w:bottom w:val="none" w:sz="0" w:space="0" w:color="auto"/>
        <w:right w:val="none" w:sz="0" w:space="0" w:color="auto"/>
      </w:divBdr>
    </w:div>
    <w:div w:id="401413181">
      <w:bodyDiv w:val="1"/>
      <w:marLeft w:val="0"/>
      <w:marRight w:val="0"/>
      <w:marTop w:val="0"/>
      <w:marBottom w:val="0"/>
      <w:divBdr>
        <w:top w:val="none" w:sz="0" w:space="0" w:color="auto"/>
        <w:left w:val="none" w:sz="0" w:space="0" w:color="auto"/>
        <w:bottom w:val="none" w:sz="0" w:space="0" w:color="auto"/>
        <w:right w:val="none" w:sz="0" w:space="0" w:color="auto"/>
      </w:divBdr>
    </w:div>
    <w:div w:id="401564255">
      <w:bodyDiv w:val="1"/>
      <w:marLeft w:val="0"/>
      <w:marRight w:val="0"/>
      <w:marTop w:val="0"/>
      <w:marBottom w:val="0"/>
      <w:divBdr>
        <w:top w:val="none" w:sz="0" w:space="0" w:color="auto"/>
        <w:left w:val="none" w:sz="0" w:space="0" w:color="auto"/>
        <w:bottom w:val="none" w:sz="0" w:space="0" w:color="auto"/>
        <w:right w:val="none" w:sz="0" w:space="0" w:color="auto"/>
      </w:divBdr>
    </w:div>
    <w:div w:id="401635063">
      <w:bodyDiv w:val="1"/>
      <w:marLeft w:val="0"/>
      <w:marRight w:val="0"/>
      <w:marTop w:val="0"/>
      <w:marBottom w:val="0"/>
      <w:divBdr>
        <w:top w:val="none" w:sz="0" w:space="0" w:color="auto"/>
        <w:left w:val="none" w:sz="0" w:space="0" w:color="auto"/>
        <w:bottom w:val="none" w:sz="0" w:space="0" w:color="auto"/>
        <w:right w:val="none" w:sz="0" w:space="0" w:color="auto"/>
      </w:divBdr>
    </w:div>
    <w:div w:id="401682338">
      <w:bodyDiv w:val="1"/>
      <w:marLeft w:val="0"/>
      <w:marRight w:val="0"/>
      <w:marTop w:val="0"/>
      <w:marBottom w:val="0"/>
      <w:divBdr>
        <w:top w:val="none" w:sz="0" w:space="0" w:color="auto"/>
        <w:left w:val="none" w:sz="0" w:space="0" w:color="auto"/>
        <w:bottom w:val="none" w:sz="0" w:space="0" w:color="auto"/>
        <w:right w:val="none" w:sz="0" w:space="0" w:color="auto"/>
      </w:divBdr>
    </w:div>
    <w:div w:id="401828119">
      <w:bodyDiv w:val="1"/>
      <w:marLeft w:val="0"/>
      <w:marRight w:val="0"/>
      <w:marTop w:val="0"/>
      <w:marBottom w:val="0"/>
      <w:divBdr>
        <w:top w:val="none" w:sz="0" w:space="0" w:color="auto"/>
        <w:left w:val="none" w:sz="0" w:space="0" w:color="auto"/>
        <w:bottom w:val="none" w:sz="0" w:space="0" w:color="auto"/>
        <w:right w:val="none" w:sz="0" w:space="0" w:color="auto"/>
      </w:divBdr>
    </w:div>
    <w:div w:id="402141472">
      <w:bodyDiv w:val="1"/>
      <w:marLeft w:val="0"/>
      <w:marRight w:val="0"/>
      <w:marTop w:val="0"/>
      <w:marBottom w:val="0"/>
      <w:divBdr>
        <w:top w:val="none" w:sz="0" w:space="0" w:color="auto"/>
        <w:left w:val="none" w:sz="0" w:space="0" w:color="auto"/>
        <w:bottom w:val="none" w:sz="0" w:space="0" w:color="auto"/>
        <w:right w:val="none" w:sz="0" w:space="0" w:color="auto"/>
      </w:divBdr>
    </w:div>
    <w:div w:id="402684442">
      <w:bodyDiv w:val="1"/>
      <w:marLeft w:val="0"/>
      <w:marRight w:val="0"/>
      <w:marTop w:val="0"/>
      <w:marBottom w:val="0"/>
      <w:divBdr>
        <w:top w:val="none" w:sz="0" w:space="0" w:color="auto"/>
        <w:left w:val="none" w:sz="0" w:space="0" w:color="auto"/>
        <w:bottom w:val="none" w:sz="0" w:space="0" w:color="auto"/>
        <w:right w:val="none" w:sz="0" w:space="0" w:color="auto"/>
      </w:divBdr>
    </w:div>
    <w:div w:id="402803766">
      <w:bodyDiv w:val="1"/>
      <w:marLeft w:val="0"/>
      <w:marRight w:val="0"/>
      <w:marTop w:val="0"/>
      <w:marBottom w:val="0"/>
      <w:divBdr>
        <w:top w:val="none" w:sz="0" w:space="0" w:color="auto"/>
        <w:left w:val="none" w:sz="0" w:space="0" w:color="auto"/>
        <w:bottom w:val="none" w:sz="0" w:space="0" w:color="auto"/>
        <w:right w:val="none" w:sz="0" w:space="0" w:color="auto"/>
      </w:divBdr>
    </w:div>
    <w:div w:id="403530729">
      <w:bodyDiv w:val="1"/>
      <w:marLeft w:val="0"/>
      <w:marRight w:val="0"/>
      <w:marTop w:val="0"/>
      <w:marBottom w:val="0"/>
      <w:divBdr>
        <w:top w:val="none" w:sz="0" w:space="0" w:color="auto"/>
        <w:left w:val="none" w:sz="0" w:space="0" w:color="auto"/>
        <w:bottom w:val="none" w:sz="0" w:space="0" w:color="auto"/>
        <w:right w:val="none" w:sz="0" w:space="0" w:color="auto"/>
      </w:divBdr>
    </w:div>
    <w:div w:id="404763468">
      <w:bodyDiv w:val="1"/>
      <w:marLeft w:val="0"/>
      <w:marRight w:val="0"/>
      <w:marTop w:val="0"/>
      <w:marBottom w:val="0"/>
      <w:divBdr>
        <w:top w:val="none" w:sz="0" w:space="0" w:color="auto"/>
        <w:left w:val="none" w:sz="0" w:space="0" w:color="auto"/>
        <w:bottom w:val="none" w:sz="0" w:space="0" w:color="auto"/>
        <w:right w:val="none" w:sz="0" w:space="0" w:color="auto"/>
      </w:divBdr>
    </w:div>
    <w:div w:id="404959428">
      <w:bodyDiv w:val="1"/>
      <w:marLeft w:val="0"/>
      <w:marRight w:val="0"/>
      <w:marTop w:val="0"/>
      <w:marBottom w:val="0"/>
      <w:divBdr>
        <w:top w:val="none" w:sz="0" w:space="0" w:color="auto"/>
        <w:left w:val="none" w:sz="0" w:space="0" w:color="auto"/>
        <w:bottom w:val="none" w:sz="0" w:space="0" w:color="auto"/>
        <w:right w:val="none" w:sz="0" w:space="0" w:color="auto"/>
      </w:divBdr>
    </w:div>
    <w:div w:id="405148142">
      <w:bodyDiv w:val="1"/>
      <w:marLeft w:val="0"/>
      <w:marRight w:val="0"/>
      <w:marTop w:val="0"/>
      <w:marBottom w:val="0"/>
      <w:divBdr>
        <w:top w:val="none" w:sz="0" w:space="0" w:color="auto"/>
        <w:left w:val="none" w:sz="0" w:space="0" w:color="auto"/>
        <w:bottom w:val="none" w:sz="0" w:space="0" w:color="auto"/>
        <w:right w:val="none" w:sz="0" w:space="0" w:color="auto"/>
      </w:divBdr>
    </w:div>
    <w:div w:id="405300879">
      <w:bodyDiv w:val="1"/>
      <w:marLeft w:val="0"/>
      <w:marRight w:val="0"/>
      <w:marTop w:val="0"/>
      <w:marBottom w:val="0"/>
      <w:divBdr>
        <w:top w:val="none" w:sz="0" w:space="0" w:color="auto"/>
        <w:left w:val="none" w:sz="0" w:space="0" w:color="auto"/>
        <w:bottom w:val="none" w:sz="0" w:space="0" w:color="auto"/>
        <w:right w:val="none" w:sz="0" w:space="0" w:color="auto"/>
      </w:divBdr>
    </w:div>
    <w:div w:id="405416681">
      <w:bodyDiv w:val="1"/>
      <w:marLeft w:val="0"/>
      <w:marRight w:val="0"/>
      <w:marTop w:val="0"/>
      <w:marBottom w:val="0"/>
      <w:divBdr>
        <w:top w:val="none" w:sz="0" w:space="0" w:color="auto"/>
        <w:left w:val="none" w:sz="0" w:space="0" w:color="auto"/>
        <w:bottom w:val="none" w:sz="0" w:space="0" w:color="auto"/>
        <w:right w:val="none" w:sz="0" w:space="0" w:color="auto"/>
      </w:divBdr>
    </w:div>
    <w:div w:id="405417001">
      <w:bodyDiv w:val="1"/>
      <w:marLeft w:val="0"/>
      <w:marRight w:val="0"/>
      <w:marTop w:val="0"/>
      <w:marBottom w:val="0"/>
      <w:divBdr>
        <w:top w:val="none" w:sz="0" w:space="0" w:color="auto"/>
        <w:left w:val="none" w:sz="0" w:space="0" w:color="auto"/>
        <w:bottom w:val="none" w:sz="0" w:space="0" w:color="auto"/>
        <w:right w:val="none" w:sz="0" w:space="0" w:color="auto"/>
      </w:divBdr>
    </w:div>
    <w:div w:id="405566037">
      <w:bodyDiv w:val="1"/>
      <w:marLeft w:val="0"/>
      <w:marRight w:val="0"/>
      <w:marTop w:val="0"/>
      <w:marBottom w:val="0"/>
      <w:divBdr>
        <w:top w:val="none" w:sz="0" w:space="0" w:color="auto"/>
        <w:left w:val="none" w:sz="0" w:space="0" w:color="auto"/>
        <w:bottom w:val="none" w:sz="0" w:space="0" w:color="auto"/>
        <w:right w:val="none" w:sz="0" w:space="0" w:color="auto"/>
      </w:divBdr>
    </w:div>
    <w:div w:id="405763415">
      <w:bodyDiv w:val="1"/>
      <w:marLeft w:val="0"/>
      <w:marRight w:val="0"/>
      <w:marTop w:val="0"/>
      <w:marBottom w:val="0"/>
      <w:divBdr>
        <w:top w:val="none" w:sz="0" w:space="0" w:color="auto"/>
        <w:left w:val="none" w:sz="0" w:space="0" w:color="auto"/>
        <w:bottom w:val="none" w:sz="0" w:space="0" w:color="auto"/>
        <w:right w:val="none" w:sz="0" w:space="0" w:color="auto"/>
      </w:divBdr>
    </w:div>
    <w:div w:id="406994600">
      <w:bodyDiv w:val="1"/>
      <w:marLeft w:val="0"/>
      <w:marRight w:val="0"/>
      <w:marTop w:val="0"/>
      <w:marBottom w:val="0"/>
      <w:divBdr>
        <w:top w:val="none" w:sz="0" w:space="0" w:color="auto"/>
        <w:left w:val="none" w:sz="0" w:space="0" w:color="auto"/>
        <w:bottom w:val="none" w:sz="0" w:space="0" w:color="auto"/>
        <w:right w:val="none" w:sz="0" w:space="0" w:color="auto"/>
      </w:divBdr>
    </w:div>
    <w:div w:id="407195569">
      <w:bodyDiv w:val="1"/>
      <w:marLeft w:val="0"/>
      <w:marRight w:val="0"/>
      <w:marTop w:val="0"/>
      <w:marBottom w:val="0"/>
      <w:divBdr>
        <w:top w:val="none" w:sz="0" w:space="0" w:color="auto"/>
        <w:left w:val="none" w:sz="0" w:space="0" w:color="auto"/>
        <w:bottom w:val="none" w:sz="0" w:space="0" w:color="auto"/>
        <w:right w:val="none" w:sz="0" w:space="0" w:color="auto"/>
      </w:divBdr>
    </w:div>
    <w:div w:id="407926786">
      <w:bodyDiv w:val="1"/>
      <w:marLeft w:val="0"/>
      <w:marRight w:val="0"/>
      <w:marTop w:val="0"/>
      <w:marBottom w:val="0"/>
      <w:divBdr>
        <w:top w:val="none" w:sz="0" w:space="0" w:color="auto"/>
        <w:left w:val="none" w:sz="0" w:space="0" w:color="auto"/>
        <w:bottom w:val="none" w:sz="0" w:space="0" w:color="auto"/>
        <w:right w:val="none" w:sz="0" w:space="0" w:color="auto"/>
      </w:divBdr>
    </w:div>
    <w:div w:id="408045881">
      <w:bodyDiv w:val="1"/>
      <w:marLeft w:val="0"/>
      <w:marRight w:val="0"/>
      <w:marTop w:val="0"/>
      <w:marBottom w:val="0"/>
      <w:divBdr>
        <w:top w:val="none" w:sz="0" w:space="0" w:color="auto"/>
        <w:left w:val="none" w:sz="0" w:space="0" w:color="auto"/>
        <w:bottom w:val="none" w:sz="0" w:space="0" w:color="auto"/>
        <w:right w:val="none" w:sz="0" w:space="0" w:color="auto"/>
      </w:divBdr>
    </w:div>
    <w:div w:id="408426699">
      <w:bodyDiv w:val="1"/>
      <w:marLeft w:val="0"/>
      <w:marRight w:val="0"/>
      <w:marTop w:val="0"/>
      <w:marBottom w:val="0"/>
      <w:divBdr>
        <w:top w:val="none" w:sz="0" w:space="0" w:color="auto"/>
        <w:left w:val="none" w:sz="0" w:space="0" w:color="auto"/>
        <w:bottom w:val="none" w:sz="0" w:space="0" w:color="auto"/>
        <w:right w:val="none" w:sz="0" w:space="0" w:color="auto"/>
      </w:divBdr>
    </w:div>
    <w:div w:id="408578460">
      <w:bodyDiv w:val="1"/>
      <w:marLeft w:val="0"/>
      <w:marRight w:val="0"/>
      <w:marTop w:val="0"/>
      <w:marBottom w:val="0"/>
      <w:divBdr>
        <w:top w:val="none" w:sz="0" w:space="0" w:color="auto"/>
        <w:left w:val="none" w:sz="0" w:space="0" w:color="auto"/>
        <w:bottom w:val="none" w:sz="0" w:space="0" w:color="auto"/>
        <w:right w:val="none" w:sz="0" w:space="0" w:color="auto"/>
      </w:divBdr>
    </w:div>
    <w:div w:id="409665600">
      <w:bodyDiv w:val="1"/>
      <w:marLeft w:val="0"/>
      <w:marRight w:val="0"/>
      <w:marTop w:val="0"/>
      <w:marBottom w:val="0"/>
      <w:divBdr>
        <w:top w:val="none" w:sz="0" w:space="0" w:color="auto"/>
        <w:left w:val="none" w:sz="0" w:space="0" w:color="auto"/>
        <w:bottom w:val="none" w:sz="0" w:space="0" w:color="auto"/>
        <w:right w:val="none" w:sz="0" w:space="0" w:color="auto"/>
      </w:divBdr>
    </w:div>
    <w:div w:id="409934571">
      <w:bodyDiv w:val="1"/>
      <w:marLeft w:val="0"/>
      <w:marRight w:val="0"/>
      <w:marTop w:val="0"/>
      <w:marBottom w:val="0"/>
      <w:divBdr>
        <w:top w:val="none" w:sz="0" w:space="0" w:color="auto"/>
        <w:left w:val="none" w:sz="0" w:space="0" w:color="auto"/>
        <w:bottom w:val="none" w:sz="0" w:space="0" w:color="auto"/>
        <w:right w:val="none" w:sz="0" w:space="0" w:color="auto"/>
      </w:divBdr>
    </w:div>
    <w:div w:id="410006233">
      <w:bodyDiv w:val="1"/>
      <w:marLeft w:val="0"/>
      <w:marRight w:val="0"/>
      <w:marTop w:val="0"/>
      <w:marBottom w:val="0"/>
      <w:divBdr>
        <w:top w:val="none" w:sz="0" w:space="0" w:color="auto"/>
        <w:left w:val="none" w:sz="0" w:space="0" w:color="auto"/>
        <w:bottom w:val="none" w:sz="0" w:space="0" w:color="auto"/>
        <w:right w:val="none" w:sz="0" w:space="0" w:color="auto"/>
      </w:divBdr>
    </w:div>
    <w:div w:id="410548688">
      <w:bodyDiv w:val="1"/>
      <w:marLeft w:val="0"/>
      <w:marRight w:val="0"/>
      <w:marTop w:val="0"/>
      <w:marBottom w:val="0"/>
      <w:divBdr>
        <w:top w:val="none" w:sz="0" w:space="0" w:color="auto"/>
        <w:left w:val="none" w:sz="0" w:space="0" w:color="auto"/>
        <w:bottom w:val="none" w:sz="0" w:space="0" w:color="auto"/>
        <w:right w:val="none" w:sz="0" w:space="0" w:color="auto"/>
      </w:divBdr>
    </w:div>
    <w:div w:id="411048936">
      <w:bodyDiv w:val="1"/>
      <w:marLeft w:val="0"/>
      <w:marRight w:val="0"/>
      <w:marTop w:val="0"/>
      <w:marBottom w:val="0"/>
      <w:divBdr>
        <w:top w:val="none" w:sz="0" w:space="0" w:color="auto"/>
        <w:left w:val="none" w:sz="0" w:space="0" w:color="auto"/>
        <w:bottom w:val="none" w:sz="0" w:space="0" w:color="auto"/>
        <w:right w:val="none" w:sz="0" w:space="0" w:color="auto"/>
      </w:divBdr>
    </w:div>
    <w:div w:id="411245687">
      <w:bodyDiv w:val="1"/>
      <w:marLeft w:val="0"/>
      <w:marRight w:val="0"/>
      <w:marTop w:val="0"/>
      <w:marBottom w:val="0"/>
      <w:divBdr>
        <w:top w:val="none" w:sz="0" w:space="0" w:color="auto"/>
        <w:left w:val="none" w:sz="0" w:space="0" w:color="auto"/>
        <w:bottom w:val="none" w:sz="0" w:space="0" w:color="auto"/>
        <w:right w:val="none" w:sz="0" w:space="0" w:color="auto"/>
      </w:divBdr>
    </w:div>
    <w:div w:id="411784235">
      <w:bodyDiv w:val="1"/>
      <w:marLeft w:val="0"/>
      <w:marRight w:val="0"/>
      <w:marTop w:val="0"/>
      <w:marBottom w:val="0"/>
      <w:divBdr>
        <w:top w:val="none" w:sz="0" w:space="0" w:color="auto"/>
        <w:left w:val="none" w:sz="0" w:space="0" w:color="auto"/>
        <w:bottom w:val="none" w:sz="0" w:space="0" w:color="auto"/>
        <w:right w:val="none" w:sz="0" w:space="0" w:color="auto"/>
      </w:divBdr>
    </w:div>
    <w:div w:id="411971628">
      <w:bodyDiv w:val="1"/>
      <w:marLeft w:val="0"/>
      <w:marRight w:val="0"/>
      <w:marTop w:val="0"/>
      <w:marBottom w:val="0"/>
      <w:divBdr>
        <w:top w:val="none" w:sz="0" w:space="0" w:color="auto"/>
        <w:left w:val="none" w:sz="0" w:space="0" w:color="auto"/>
        <w:bottom w:val="none" w:sz="0" w:space="0" w:color="auto"/>
        <w:right w:val="none" w:sz="0" w:space="0" w:color="auto"/>
      </w:divBdr>
    </w:div>
    <w:div w:id="412164996">
      <w:bodyDiv w:val="1"/>
      <w:marLeft w:val="0"/>
      <w:marRight w:val="0"/>
      <w:marTop w:val="0"/>
      <w:marBottom w:val="0"/>
      <w:divBdr>
        <w:top w:val="none" w:sz="0" w:space="0" w:color="auto"/>
        <w:left w:val="none" w:sz="0" w:space="0" w:color="auto"/>
        <w:bottom w:val="none" w:sz="0" w:space="0" w:color="auto"/>
        <w:right w:val="none" w:sz="0" w:space="0" w:color="auto"/>
      </w:divBdr>
    </w:div>
    <w:div w:id="412312386">
      <w:bodyDiv w:val="1"/>
      <w:marLeft w:val="0"/>
      <w:marRight w:val="0"/>
      <w:marTop w:val="0"/>
      <w:marBottom w:val="0"/>
      <w:divBdr>
        <w:top w:val="none" w:sz="0" w:space="0" w:color="auto"/>
        <w:left w:val="none" w:sz="0" w:space="0" w:color="auto"/>
        <w:bottom w:val="none" w:sz="0" w:space="0" w:color="auto"/>
        <w:right w:val="none" w:sz="0" w:space="0" w:color="auto"/>
      </w:divBdr>
    </w:div>
    <w:div w:id="412820132">
      <w:bodyDiv w:val="1"/>
      <w:marLeft w:val="0"/>
      <w:marRight w:val="0"/>
      <w:marTop w:val="0"/>
      <w:marBottom w:val="0"/>
      <w:divBdr>
        <w:top w:val="none" w:sz="0" w:space="0" w:color="auto"/>
        <w:left w:val="none" w:sz="0" w:space="0" w:color="auto"/>
        <w:bottom w:val="none" w:sz="0" w:space="0" w:color="auto"/>
        <w:right w:val="none" w:sz="0" w:space="0" w:color="auto"/>
      </w:divBdr>
    </w:div>
    <w:div w:id="412820829">
      <w:bodyDiv w:val="1"/>
      <w:marLeft w:val="0"/>
      <w:marRight w:val="0"/>
      <w:marTop w:val="0"/>
      <w:marBottom w:val="0"/>
      <w:divBdr>
        <w:top w:val="none" w:sz="0" w:space="0" w:color="auto"/>
        <w:left w:val="none" w:sz="0" w:space="0" w:color="auto"/>
        <w:bottom w:val="none" w:sz="0" w:space="0" w:color="auto"/>
        <w:right w:val="none" w:sz="0" w:space="0" w:color="auto"/>
      </w:divBdr>
    </w:div>
    <w:div w:id="413286487">
      <w:bodyDiv w:val="1"/>
      <w:marLeft w:val="0"/>
      <w:marRight w:val="0"/>
      <w:marTop w:val="0"/>
      <w:marBottom w:val="0"/>
      <w:divBdr>
        <w:top w:val="none" w:sz="0" w:space="0" w:color="auto"/>
        <w:left w:val="none" w:sz="0" w:space="0" w:color="auto"/>
        <w:bottom w:val="none" w:sz="0" w:space="0" w:color="auto"/>
        <w:right w:val="none" w:sz="0" w:space="0" w:color="auto"/>
      </w:divBdr>
    </w:div>
    <w:div w:id="413288267">
      <w:bodyDiv w:val="1"/>
      <w:marLeft w:val="0"/>
      <w:marRight w:val="0"/>
      <w:marTop w:val="0"/>
      <w:marBottom w:val="0"/>
      <w:divBdr>
        <w:top w:val="none" w:sz="0" w:space="0" w:color="auto"/>
        <w:left w:val="none" w:sz="0" w:space="0" w:color="auto"/>
        <w:bottom w:val="none" w:sz="0" w:space="0" w:color="auto"/>
        <w:right w:val="none" w:sz="0" w:space="0" w:color="auto"/>
      </w:divBdr>
    </w:div>
    <w:div w:id="413431784">
      <w:bodyDiv w:val="1"/>
      <w:marLeft w:val="0"/>
      <w:marRight w:val="0"/>
      <w:marTop w:val="0"/>
      <w:marBottom w:val="0"/>
      <w:divBdr>
        <w:top w:val="none" w:sz="0" w:space="0" w:color="auto"/>
        <w:left w:val="none" w:sz="0" w:space="0" w:color="auto"/>
        <w:bottom w:val="none" w:sz="0" w:space="0" w:color="auto"/>
        <w:right w:val="none" w:sz="0" w:space="0" w:color="auto"/>
      </w:divBdr>
    </w:div>
    <w:div w:id="413474852">
      <w:bodyDiv w:val="1"/>
      <w:marLeft w:val="0"/>
      <w:marRight w:val="0"/>
      <w:marTop w:val="0"/>
      <w:marBottom w:val="0"/>
      <w:divBdr>
        <w:top w:val="none" w:sz="0" w:space="0" w:color="auto"/>
        <w:left w:val="none" w:sz="0" w:space="0" w:color="auto"/>
        <w:bottom w:val="none" w:sz="0" w:space="0" w:color="auto"/>
        <w:right w:val="none" w:sz="0" w:space="0" w:color="auto"/>
      </w:divBdr>
    </w:div>
    <w:div w:id="413866644">
      <w:bodyDiv w:val="1"/>
      <w:marLeft w:val="0"/>
      <w:marRight w:val="0"/>
      <w:marTop w:val="0"/>
      <w:marBottom w:val="0"/>
      <w:divBdr>
        <w:top w:val="none" w:sz="0" w:space="0" w:color="auto"/>
        <w:left w:val="none" w:sz="0" w:space="0" w:color="auto"/>
        <w:bottom w:val="none" w:sz="0" w:space="0" w:color="auto"/>
        <w:right w:val="none" w:sz="0" w:space="0" w:color="auto"/>
      </w:divBdr>
    </w:div>
    <w:div w:id="414326717">
      <w:bodyDiv w:val="1"/>
      <w:marLeft w:val="0"/>
      <w:marRight w:val="0"/>
      <w:marTop w:val="0"/>
      <w:marBottom w:val="0"/>
      <w:divBdr>
        <w:top w:val="none" w:sz="0" w:space="0" w:color="auto"/>
        <w:left w:val="none" w:sz="0" w:space="0" w:color="auto"/>
        <w:bottom w:val="none" w:sz="0" w:space="0" w:color="auto"/>
        <w:right w:val="none" w:sz="0" w:space="0" w:color="auto"/>
      </w:divBdr>
    </w:div>
    <w:div w:id="414786009">
      <w:bodyDiv w:val="1"/>
      <w:marLeft w:val="0"/>
      <w:marRight w:val="0"/>
      <w:marTop w:val="0"/>
      <w:marBottom w:val="0"/>
      <w:divBdr>
        <w:top w:val="none" w:sz="0" w:space="0" w:color="auto"/>
        <w:left w:val="none" w:sz="0" w:space="0" w:color="auto"/>
        <w:bottom w:val="none" w:sz="0" w:space="0" w:color="auto"/>
        <w:right w:val="none" w:sz="0" w:space="0" w:color="auto"/>
      </w:divBdr>
    </w:div>
    <w:div w:id="414980192">
      <w:bodyDiv w:val="1"/>
      <w:marLeft w:val="0"/>
      <w:marRight w:val="0"/>
      <w:marTop w:val="0"/>
      <w:marBottom w:val="0"/>
      <w:divBdr>
        <w:top w:val="none" w:sz="0" w:space="0" w:color="auto"/>
        <w:left w:val="none" w:sz="0" w:space="0" w:color="auto"/>
        <w:bottom w:val="none" w:sz="0" w:space="0" w:color="auto"/>
        <w:right w:val="none" w:sz="0" w:space="0" w:color="auto"/>
      </w:divBdr>
    </w:div>
    <w:div w:id="415517609">
      <w:bodyDiv w:val="1"/>
      <w:marLeft w:val="0"/>
      <w:marRight w:val="0"/>
      <w:marTop w:val="0"/>
      <w:marBottom w:val="0"/>
      <w:divBdr>
        <w:top w:val="none" w:sz="0" w:space="0" w:color="auto"/>
        <w:left w:val="none" w:sz="0" w:space="0" w:color="auto"/>
        <w:bottom w:val="none" w:sz="0" w:space="0" w:color="auto"/>
        <w:right w:val="none" w:sz="0" w:space="0" w:color="auto"/>
      </w:divBdr>
    </w:div>
    <w:div w:id="415588422">
      <w:bodyDiv w:val="1"/>
      <w:marLeft w:val="0"/>
      <w:marRight w:val="0"/>
      <w:marTop w:val="0"/>
      <w:marBottom w:val="0"/>
      <w:divBdr>
        <w:top w:val="none" w:sz="0" w:space="0" w:color="auto"/>
        <w:left w:val="none" w:sz="0" w:space="0" w:color="auto"/>
        <w:bottom w:val="none" w:sz="0" w:space="0" w:color="auto"/>
        <w:right w:val="none" w:sz="0" w:space="0" w:color="auto"/>
      </w:divBdr>
    </w:div>
    <w:div w:id="416825248">
      <w:bodyDiv w:val="1"/>
      <w:marLeft w:val="0"/>
      <w:marRight w:val="0"/>
      <w:marTop w:val="0"/>
      <w:marBottom w:val="0"/>
      <w:divBdr>
        <w:top w:val="none" w:sz="0" w:space="0" w:color="auto"/>
        <w:left w:val="none" w:sz="0" w:space="0" w:color="auto"/>
        <w:bottom w:val="none" w:sz="0" w:space="0" w:color="auto"/>
        <w:right w:val="none" w:sz="0" w:space="0" w:color="auto"/>
      </w:divBdr>
    </w:div>
    <w:div w:id="418213215">
      <w:bodyDiv w:val="1"/>
      <w:marLeft w:val="0"/>
      <w:marRight w:val="0"/>
      <w:marTop w:val="0"/>
      <w:marBottom w:val="0"/>
      <w:divBdr>
        <w:top w:val="none" w:sz="0" w:space="0" w:color="auto"/>
        <w:left w:val="none" w:sz="0" w:space="0" w:color="auto"/>
        <w:bottom w:val="none" w:sz="0" w:space="0" w:color="auto"/>
        <w:right w:val="none" w:sz="0" w:space="0" w:color="auto"/>
      </w:divBdr>
    </w:div>
    <w:div w:id="418526410">
      <w:bodyDiv w:val="1"/>
      <w:marLeft w:val="0"/>
      <w:marRight w:val="0"/>
      <w:marTop w:val="0"/>
      <w:marBottom w:val="0"/>
      <w:divBdr>
        <w:top w:val="none" w:sz="0" w:space="0" w:color="auto"/>
        <w:left w:val="none" w:sz="0" w:space="0" w:color="auto"/>
        <w:bottom w:val="none" w:sz="0" w:space="0" w:color="auto"/>
        <w:right w:val="none" w:sz="0" w:space="0" w:color="auto"/>
      </w:divBdr>
    </w:div>
    <w:div w:id="418603450">
      <w:bodyDiv w:val="1"/>
      <w:marLeft w:val="0"/>
      <w:marRight w:val="0"/>
      <w:marTop w:val="0"/>
      <w:marBottom w:val="0"/>
      <w:divBdr>
        <w:top w:val="none" w:sz="0" w:space="0" w:color="auto"/>
        <w:left w:val="none" w:sz="0" w:space="0" w:color="auto"/>
        <w:bottom w:val="none" w:sz="0" w:space="0" w:color="auto"/>
        <w:right w:val="none" w:sz="0" w:space="0" w:color="auto"/>
      </w:divBdr>
    </w:div>
    <w:div w:id="418916163">
      <w:bodyDiv w:val="1"/>
      <w:marLeft w:val="0"/>
      <w:marRight w:val="0"/>
      <w:marTop w:val="0"/>
      <w:marBottom w:val="0"/>
      <w:divBdr>
        <w:top w:val="none" w:sz="0" w:space="0" w:color="auto"/>
        <w:left w:val="none" w:sz="0" w:space="0" w:color="auto"/>
        <w:bottom w:val="none" w:sz="0" w:space="0" w:color="auto"/>
        <w:right w:val="none" w:sz="0" w:space="0" w:color="auto"/>
      </w:divBdr>
    </w:div>
    <w:div w:id="419763443">
      <w:bodyDiv w:val="1"/>
      <w:marLeft w:val="0"/>
      <w:marRight w:val="0"/>
      <w:marTop w:val="0"/>
      <w:marBottom w:val="0"/>
      <w:divBdr>
        <w:top w:val="none" w:sz="0" w:space="0" w:color="auto"/>
        <w:left w:val="none" w:sz="0" w:space="0" w:color="auto"/>
        <w:bottom w:val="none" w:sz="0" w:space="0" w:color="auto"/>
        <w:right w:val="none" w:sz="0" w:space="0" w:color="auto"/>
      </w:divBdr>
    </w:div>
    <w:div w:id="419831637">
      <w:bodyDiv w:val="1"/>
      <w:marLeft w:val="0"/>
      <w:marRight w:val="0"/>
      <w:marTop w:val="0"/>
      <w:marBottom w:val="0"/>
      <w:divBdr>
        <w:top w:val="none" w:sz="0" w:space="0" w:color="auto"/>
        <w:left w:val="none" w:sz="0" w:space="0" w:color="auto"/>
        <w:bottom w:val="none" w:sz="0" w:space="0" w:color="auto"/>
        <w:right w:val="none" w:sz="0" w:space="0" w:color="auto"/>
      </w:divBdr>
    </w:div>
    <w:div w:id="420179390">
      <w:bodyDiv w:val="1"/>
      <w:marLeft w:val="0"/>
      <w:marRight w:val="0"/>
      <w:marTop w:val="0"/>
      <w:marBottom w:val="0"/>
      <w:divBdr>
        <w:top w:val="none" w:sz="0" w:space="0" w:color="auto"/>
        <w:left w:val="none" w:sz="0" w:space="0" w:color="auto"/>
        <w:bottom w:val="none" w:sz="0" w:space="0" w:color="auto"/>
        <w:right w:val="none" w:sz="0" w:space="0" w:color="auto"/>
      </w:divBdr>
    </w:div>
    <w:div w:id="420220076">
      <w:bodyDiv w:val="1"/>
      <w:marLeft w:val="0"/>
      <w:marRight w:val="0"/>
      <w:marTop w:val="0"/>
      <w:marBottom w:val="0"/>
      <w:divBdr>
        <w:top w:val="none" w:sz="0" w:space="0" w:color="auto"/>
        <w:left w:val="none" w:sz="0" w:space="0" w:color="auto"/>
        <w:bottom w:val="none" w:sz="0" w:space="0" w:color="auto"/>
        <w:right w:val="none" w:sz="0" w:space="0" w:color="auto"/>
      </w:divBdr>
    </w:div>
    <w:div w:id="420763670">
      <w:bodyDiv w:val="1"/>
      <w:marLeft w:val="0"/>
      <w:marRight w:val="0"/>
      <w:marTop w:val="0"/>
      <w:marBottom w:val="0"/>
      <w:divBdr>
        <w:top w:val="none" w:sz="0" w:space="0" w:color="auto"/>
        <w:left w:val="none" w:sz="0" w:space="0" w:color="auto"/>
        <w:bottom w:val="none" w:sz="0" w:space="0" w:color="auto"/>
        <w:right w:val="none" w:sz="0" w:space="0" w:color="auto"/>
      </w:divBdr>
    </w:div>
    <w:div w:id="420879067">
      <w:bodyDiv w:val="1"/>
      <w:marLeft w:val="0"/>
      <w:marRight w:val="0"/>
      <w:marTop w:val="0"/>
      <w:marBottom w:val="0"/>
      <w:divBdr>
        <w:top w:val="none" w:sz="0" w:space="0" w:color="auto"/>
        <w:left w:val="none" w:sz="0" w:space="0" w:color="auto"/>
        <w:bottom w:val="none" w:sz="0" w:space="0" w:color="auto"/>
        <w:right w:val="none" w:sz="0" w:space="0" w:color="auto"/>
      </w:divBdr>
    </w:div>
    <w:div w:id="421266713">
      <w:bodyDiv w:val="1"/>
      <w:marLeft w:val="0"/>
      <w:marRight w:val="0"/>
      <w:marTop w:val="0"/>
      <w:marBottom w:val="0"/>
      <w:divBdr>
        <w:top w:val="none" w:sz="0" w:space="0" w:color="auto"/>
        <w:left w:val="none" w:sz="0" w:space="0" w:color="auto"/>
        <w:bottom w:val="none" w:sz="0" w:space="0" w:color="auto"/>
        <w:right w:val="none" w:sz="0" w:space="0" w:color="auto"/>
      </w:divBdr>
    </w:div>
    <w:div w:id="421802248">
      <w:bodyDiv w:val="1"/>
      <w:marLeft w:val="0"/>
      <w:marRight w:val="0"/>
      <w:marTop w:val="0"/>
      <w:marBottom w:val="0"/>
      <w:divBdr>
        <w:top w:val="none" w:sz="0" w:space="0" w:color="auto"/>
        <w:left w:val="none" w:sz="0" w:space="0" w:color="auto"/>
        <w:bottom w:val="none" w:sz="0" w:space="0" w:color="auto"/>
        <w:right w:val="none" w:sz="0" w:space="0" w:color="auto"/>
      </w:divBdr>
    </w:div>
    <w:div w:id="422534219">
      <w:bodyDiv w:val="1"/>
      <w:marLeft w:val="0"/>
      <w:marRight w:val="0"/>
      <w:marTop w:val="0"/>
      <w:marBottom w:val="0"/>
      <w:divBdr>
        <w:top w:val="none" w:sz="0" w:space="0" w:color="auto"/>
        <w:left w:val="none" w:sz="0" w:space="0" w:color="auto"/>
        <w:bottom w:val="none" w:sz="0" w:space="0" w:color="auto"/>
        <w:right w:val="none" w:sz="0" w:space="0" w:color="auto"/>
      </w:divBdr>
    </w:div>
    <w:div w:id="422842343">
      <w:bodyDiv w:val="1"/>
      <w:marLeft w:val="0"/>
      <w:marRight w:val="0"/>
      <w:marTop w:val="0"/>
      <w:marBottom w:val="0"/>
      <w:divBdr>
        <w:top w:val="none" w:sz="0" w:space="0" w:color="auto"/>
        <w:left w:val="none" w:sz="0" w:space="0" w:color="auto"/>
        <w:bottom w:val="none" w:sz="0" w:space="0" w:color="auto"/>
        <w:right w:val="none" w:sz="0" w:space="0" w:color="auto"/>
      </w:divBdr>
    </w:div>
    <w:div w:id="422914883">
      <w:bodyDiv w:val="1"/>
      <w:marLeft w:val="0"/>
      <w:marRight w:val="0"/>
      <w:marTop w:val="0"/>
      <w:marBottom w:val="0"/>
      <w:divBdr>
        <w:top w:val="none" w:sz="0" w:space="0" w:color="auto"/>
        <w:left w:val="none" w:sz="0" w:space="0" w:color="auto"/>
        <w:bottom w:val="none" w:sz="0" w:space="0" w:color="auto"/>
        <w:right w:val="none" w:sz="0" w:space="0" w:color="auto"/>
      </w:divBdr>
    </w:div>
    <w:div w:id="423649041">
      <w:bodyDiv w:val="1"/>
      <w:marLeft w:val="0"/>
      <w:marRight w:val="0"/>
      <w:marTop w:val="0"/>
      <w:marBottom w:val="0"/>
      <w:divBdr>
        <w:top w:val="none" w:sz="0" w:space="0" w:color="auto"/>
        <w:left w:val="none" w:sz="0" w:space="0" w:color="auto"/>
        <w:bottom w:val="none" w:sz="0" w:space="0" w:color="auto"/>
        <w:right w:val="none" w:sz="0" w:space="0" w:color="auto"/>
      </w:divBdr>
    </w:div>
    <w:div w:id="423959766">
      <w:bodyDiv w:val="1"/>
      <w:marLeft w:val="0"/>
      <w:marRight w:val="0"/>
      <w:marTop w:val="0"/>
      <w:marBottom w:val="0"/>
      <w:divBdr>
        <w:top w:val="none" w:sz="0" w:space="0" w:color="auto"/>
        <w:left w:val="none" w:sz="0" w:space="0" w:color="auto"/>
        <w:bottom w:val="none" w:sz="0" w:space="0" w:color="auto"/>
        <w:right w:val="none" w:sz="0" w:space="0" w:color="auto"/>
      </w:divBdr>
    </w:div>
    <w:div w:id="424038875">
      <w:bodyDiv w:val="1"/>
      <w:marLeft w:val="0"/>
      <w:marRight w:val="0"/>
      <w:marTop w:val="0"/>
      <w:marBottom w:val="0"/>
      <w:divBdr>
        <w:top w:val="none" w:sz="0" w:space="0" w:color="auto"/>
        <w:left w:val="none" w:sz="0" w:space="0" w:color="auto"/>
        <w:bottom w:val="none" w:sz="0" w:space="0" w:color="auto"/>
        <w:right w:val="none" w:sz="0" w:space="0" w:color="auto"/>
      </w:divBdr>
    </w:div>
    <w:div w:id="424955847">
      <w:bodyDiv w:val="1"/>
      <w:marLeft w:val="0"/>
      <w:marRight w:val="0"/>
      <w:marTop w:val="0"/>
      <w:marBottom w:val="0"/>
      <w:divBdr>
        <w:top w:val="none" w:sz="0" w:space="0" w:color="auto"/>
        <w:left w:val="none" w:sz="0" w:space="0" w:color="auto"/>
        <w:bottom w:val="none" w:sz="0" w:space="0" w:color="auto"/>
        <w:right w:val="none" w:sz="0" w:space="0" w:color="auto"/>
      </w:divBdr>
    </w:div>
    <w:div w:id="425425645">
      <w:bodyDiv w:val="1"/>
      <w:marLeft w:val="0"/>
      <w:marRight w:val="0"/>
      <w:marTop w:val="0"/>
      <w:marBottom w:val="0"/>
      <w:divBdr>
        <w:top w:val="none" w:sz="0" w:space="0" w:color="auto"/>
        <w:left w:val="none" w:sz="0" w:space="0" w:color="auto"/>
        <w:bottom w:val="none" w:sz="0" w:space="0" w:color="auto"/>
        <w:right w:val="none" w:sz="0" w:space="0" w:color="auto"/>
      </w:divBdr>
    </w:div>
    <w:div w:id="425542841">
      <w:bodyDiv w:val="1"/>
      <w:marLeft w:val="0"/>
      <w:marRight w:val="0"/>
      <w:marTop w:val="0"/>
      <w:marBottom w:val="0"/>
      <w:divBdr>
        <w:top w:val="none" w:sz="0" w:space="0" w:color="auto"/>
        <w:left w:val="none" w:sz="0" w:space="0" w:color="auto"/>
        <w:bottom w:val="none" w:sz="0" w:space="0" w:color="auto"/>
        <w:right w:val="none" w:sz="0" w:space="0" w:color="auto"/>
      </w:divBdr>
    </w:div>
    <w:div w:id="425612012">
      <w:bodyDiv w:val="1"/>
      <w:marLeft w:val="0"/>
      <w:marRight w:val="0"/>
      <w:marTop w:val="0"/>
      <w:marBottom w:val="0"/>
      <w:divBdr>
        <w:top w:val="none" w:sz="0" w:space="0" w:color="auto"/>
        <w:left w:val="none" w:sz="0" w:space="0" w:color="auto"/>
        <w:bottom w:val="none" w:sz="0" w:space="0" w:color="auto"/>
        <w:right w:val="none" w:sz="0" w:space="0" w:color="auto"/>
      </w:divBdr>
    </w:div>
    <w:div w:id="427190640">
      <w:bodyDiv w:val="1"/>
      <w:marLeft w:val="0"/>
      <w:marRight w:val="0"/>
      <w:marTop w:val="0"/>
      <w:marBottom w:val="0"/>
      <w:divBdr>
        <w:top w:val="none" w:sz="0" w:space="0" w:color="auto"/>
        <w:left w:val="none" w:sz="0" w:space="0" w:color="auto"/>
        <w:bottom w:val="none" w:sz="0" w:space="0" w:color="auto"/>
        <w:right w:val="none" w:sz="0" w:space="0" w:color="auto"/>
      </w:divBdr>
    </w:div>
    <w:div w:id="427384195">
      <w:bodyDiv w:val="1"/>
      <w:marLeft w:val="0"/>
      <w:marRight w:val="0"/>
      <w:marTop w:val="0"/>
      <w:marBottom w:val="0"/>
      <w:divBdr>
        <w:top w:val="none" w:sz="0" w:space="0" w:color="auto"/>
        <w:left w:val="none" w:sz="0" w:space="0" w:color="auto"/>
        <w:bottom w:val="none" w:sz="0" w:space="0" w:color="auto"/>
        <w:right w:val="none" w:sz="0" w:space="0" w:color="auto"/>
      </w:divBdr>
    </w:div>
    <w:div w:id="427892340">
      <w:bodyDiv w:val="1"/>
      <w:marLeft w:val="0"/>
      <w:marRight w:val="0"/>
      <w:marTop w:val="0"/>
      <w:marBottom w:val="0"/>
      <w:divBdr>
        <w:top w:val="none" w:sz="0" w:space="0" w:color="auto"/>
        <w:left w:val="none" w:sz="0" w:space="0" w:color="auto"/>
        <w:bottom w:val="none" w:sz="0" w:space="0" w:color="auto"/>
        <w:right w:val="none" w:sz="0" w:space="0" w:color="auto"/>
      </w:divBdr>
    </w:div>
    <w:div w:id="427968618">
      <w:bodyDiv w:val="1"/>
      <w:marLeft w:val="0"/>
      <w:marRight w:val="0"/>
      <w:marTop w:val="0"/>
      <w:marBottom w:val="0"/>
      <w:divBdr>
        <w:top w:val="none" w:sz="0" w:space="0" w:color="auto"/>
        <w:left w:val="none" w:sz="0" w:space="0" w:color="auto"/>
        <w:bottom w:val="none" w:sz="0" w:space="0" w:color="auto"/>
        <w:right w:val="none" w:sz="0" w:space="0" w:color="auto"/>
      </w:divBdr>
    </w:div>
    <w:div w:id="428047666">
      <w:bodyDiv w:val="1"/>
      <w:marLeft w:val="0"/>
      <w:marRight w:val="0"/>
      <w:marTop w:val="0"/>
      <w:marBottom w:val="0"/>
      <w:divBdr>
        <w:top w:val="none" w:sz="0" w:space="0" w:color="auto"/>
        <w:left w:val="none" w:sz="0" w:space="0" w:color="auto"/>
        <w:bottom w:val="none" w:sz="0" w:space="0" w:color="auto"/>
        <w:right w:val="none" w:sz="0" w:space="0" w:color="auto"/>
      </w:divBdr>
    </w:div>
    <w:div w:id="428355523">
      <w:bodyDiv w:val="1"/>
      <w:marLeft w:val="0"/>
      <w:marRight w:val="0"/>
      <w:marTop w:val="0"/>
      <w:marBottom w:val="0"/>
      <w:divBdr>
        <w:top w:val="none" w:sz="0" w:space="0" w:color="auto"/>
        <w:left w:val="none" w:sz="0" w:space="0" w:color="auto"/>
        <w:bottom w:val="none" w:sz="0" w:space="0" w:color="auto"/>
        <w:right w:val="none" w:sz="0" w:space="0" w:color="auto"/>
      </w:divBdr>
    </w:div>
    <w:div w:id="428358692">
      <w:bodyDiv w:val="1"/>
      <w:marLeft w:val="0"/>
      <w:marRight w:val="0"/>
      <w:marTop w:val="0"/>
      <w:marBottom w:val="0"/>
      <w:divBdr>
        <w:top w:val="none" w:sz="0" w:space="0" w:color="auto"/>
        <w:left w:val="none" w:sz="0" w:space="0" w:color="auto"/>
        <w:bottom w:val="none" w:sz="0" w:space="0" w:color="auto"/>
        <w:right w:val="none" w:sz="0" w:space="0" w:color="auto"/>
      </w:divBdr>
    </w:div>
    <w:div w:id="429159401">
      <w:bodyDiv w:val="1"/>
      <w:marLeft w:val="0"/>
      <w:marRight w:val="0"/>
      <w:marTop w:val="0"/>
      <w:marBottom w:val="0"/>
      <w:divBdr>
        <w:top w:val="none" w:sz="0" w:space="0" w:color="auto"/>
        <w:left w:val="none" w:sz="0" w:space="0" w:color="auto"/>
        <w:bottom w:val="none" w:sz="0" w:space="0" w:color="auto"/>
        <w:right w:val="none" w:sz="0" w:space="0" w:color="auto"/>
      </w:divBdr>
    </w:div>
    <w:div w:id="429467995">
      <w:bodyDiv w:val="1"/>
      <w:marLeft w:val="0"/>
      <w:marRight w:val="0"/>
      <w:marTop w:val="0"/>
      <w:marBottom w:val="0"/>
      <w:divBdr>
        <w:top w:val="none" w:sz="0" w:space="0" w:color="auto"/>
        <w:left w:val="none" w:sz="0" w:space="0" w:color="auto"/>
        <w:bottom w:val="none" w:sz="0" w:space="0" w:color="auto"/>
        <w:right w:val="none" w:sz="0" w:space="0" w:color="auto"/>
      </w:divBdr>
    </w:div>
    <w:div w:id="429471551">
      <w:bodyDiv w:val="1"/>
      <w:marLeft w:val="0"/>
      <w:marRight w:val="0"/>
      <w:marTop w:val="0"/>
      <w:marBottom w:val="0"/>
      <w:divBdr>
        <w:top w:val="none" w:sz="0" w:space="0" w:color="auto"/>
        <w:left w:val="none" w:sz="0" w:space="0" w:color="auto"/>
        <w:bottom w:val="none" w:sz="0" w:space="0" w:color="auto"/>
        <w:right w:val="none" w:sz="0" w:space="0" w:color="auto"/>
      </w:divBdr>
    </w:div>
    <w:div w:id="430052185">
      <w:bodyDiv w:val="1"/>
      <w:marLeft w:val="0"/>
      <w:marRight w:val="0"/>
      <w:marTop w:val="0"/>
      <w:marBottom w:val="0"/>
      <w:divBdr>
        <w:top w:val="none" w:sz="0" w:space="0" w:color="auto"/>
        <w:left w:val="none" w:sz="0" w:space="0" w:color="auto"/>
        <w:bottom w:val="none" w:sz="0" w:space="0" w:color="auto"/>
        <w:right w:val="none" w:sz="0" w:space="0" w:color="auto"/>
      </w:divBdr>
    </w:div>
    <w:div w:id="431172280">
      <w:bodyDiv w:val="1"/>
      <w:marLeft w:val="0"/>
      <w:marRight w:val="0"/>
      <w:marTop w:val="0"/>
      <w:marBottom w:val="0"/>
      <w:divBdr>
        <w:top w:val="none" w:sz="0" w:space="0" w:color="auto"/>
        <w:left w:val="none" w:sz="0" w:space="0" w:color="auto"/>
        <w:bottom w:val="none" w:sz="0" w:space="0" w:color="auto"/>
        <w:right w:val="none" w:sz="0" w:space="0" w:color="auto"/>
      </w:divBdr>
    </w:div>
    <w:div w:id="431241817">
      <w:bodyDiv w:val="1"/>
      <w:marLeft w:val="0"/>
      <w:marRight w:val="0"/>
      <w:marTop w:val="0"/>
      <w:marBottom w:val="0"/>
      <w:divBdr>
        <w:top w:val="none" w:sz="0" w:space="0" w:color="auto"/>
        <w:left w:val="none" w:sz="0" w:space="0" w:color="auto"/>
        <w:bottom w:val="none" w:sz="0" w:space="0" w:color="auto"/>
        <w:right w:val="none" w:sz="0" w:space="0" w:color="auto"/>
      </w:divBdr>
    </w:div>
    <w:div w:id="432475106">
      <w:bodyDiv w:val="1"/>
      <w:marLeft w:val="0"/>
      <w:marRight w:val="0"/>
      <w:marTop w:val="0"/>
      <w:marBottom w:val="0"/>
      <w:divBdr>
        <w:top w:val="none" w:sz="0" w:space="0" w:color="auto"/>
        <w:left w:val="none" w:sz="0" w:space="0" w:color="auto"/>
        <w:bottom w:val="none" w:sz="0" w:space="0" w:color="auto"/>
        <w:right w:val="none" w:sz="0" w:space="0" w:color="auto"/>
      </w:divBdr>
    </w:div>
    <w:div w:id="432476297">
      <w:bodyDiv w:val="1"/>
      <w:marLeft w:val="0"/>
      <w:marRight w:val="0"/>
      <w:marTop w:val="0"/>
      <w:marBottom w:val="0"/>
      <w:divBdr>
        <w:top w:val="none" w:sz="0" w:space="0" w:color="auto"/>
        <w:left w:val="none" w:sz="0" w:space="0" w:color="auto"/>
        <w:bottom w:val="none" w:sz="0" w:space="0" w:color="auto"/>
        <w:right w:val="none" w:sz="0" w:space="0" w:color="auto"/>
      </w:divBdr>
    </w:div>
    <w:div w:id="433325937">
      <w:bodyDiv w:val="1"/>
      <w:marLeft w:val="0"/>
      <w:marRight w:val="0"/>
      <w:marTop w:val="0"/>
      <w:marBottom w:val="0"/>
      <w:divBdr>
        <w:top w:val="none" w:sz="0" w:space="0" w:color="auto"/>
        <w:left w:val="none" w:sz="0" w:space="0" w:color="auto"/>
        <w:bottom w:val="none" w:sz="0" w:space="0" w:color="auto"/>
        <w:right w:val="none" w:sz="0" w:space="0" w:color="auto"/>
      </w:divBdr>
    </w:div>
    <w:div w:id="434251200">
      <w:bodyDiv w:val="1"/>
      <w:marLeft w:val="0"/>
      <w:marRight w:val="0"/>
      <w:marTop w:val="0"/>
      <w:marBottom w:val="0"/>
      <w:divBdr>
        <w:top w:val="none" w:sz="0" w:space="0" w:color="auto"/>
        <w:left w:val="none" w:sz="0" w:space="0" w:color="auto"/>
        <w:bottom w:val="none" w:sz="0" w:space="0" w:color="auto"/>
        <w:right w:val="none" w:sz="0" w:space="0" w:color="auto"/>
      </w:divBdr>
    </w:div>
    <w:div w:id="434251495">
      <w:bodyDiv w:val="1"/>
      <w:marLeft w:val="0"/>
      <w:marRight w:val="0"/>
      <w:marTop w:val="0"/>
      <w:marBottom w:val="0"/>
      <w:divBdr>
        <w:top w:val="none" w:sz="0" w:space="0" w:color="auto"/>
        <w:left w:val="none" w:sz="0" w:space="0" w:color="auto"/>
        <w:bottom w:val="none" w:sz="0" w:space="0" w:color="auto"/>
        <w:right w:val="none" w:sz="0" w:space="0" w:color="auto"/>
      </w:divBdr>
    </w:div>
    <w:div w:id="434982992">
      <w:bodyDiv w:val="1"/>
      <w:marLeft w:val="0"/>
      <w:marRight w:val="0"/>
      <w:marTop w:val="0"/>
      <w:marBottom w:val="0"/>
      <w:divBdr>
        <w:top w:val="none" w:sz="0" w:space="0" w:color="auto"/>
        <w:left w:val="none" w:sz="0" w:space="0" w:color="auto"/>
        <w:bottom w:val="none" w:sz="0" w:space="0" w:color="auto"/>
        <w:right w:val="none" w:sz="0" w:space="0" w:color="auto"/>
      </w:divBdr>
    </w:div>
    <w:div w:id="434984232">
      <w:bodyDiv w:val="1"/>
      <w:marLeft w:val="0"/>
      <w:marRight w:val="0"/>
      <w:marTop w:val="0"/>
      <w:marBottom w:val="0"/>
      <w:divBdr>
        <w:top w:val="none" w:sz="0" w:space="0" w:color="auto"/>
        <w:left w:val="none" w:sz="0" w:space="0" w:color="auto"/>
        <w:bottom w:val="none" w:sz="0" w:space="0" w:color="auto"/>
        <w:right w:val="none" w:sz="0" w:space="0" w:color="auto"/>
      </w:divBdr>
    </w:div>
    <w:div w:id="435449464">
      <w:bodyDiv w:val="1"/>
      <w:marLeft w:val="0"/>
      <w:marRight w:val="0"/>
      <w:marTop w:val="0"/>
      <w:marBottom w:val="0"/>
      <w:divBdr>
        <w:top w:val="none" w:sz="0" w:space="0" w:color="auto"/>
        <w:left w:val="none" w:sz="0" w:space="0" w:color="auto"/>
        <w:bottom w:val="none" w:sz="0" w:space="0" w:color="auto"/>
        <w:right w:val="none" w:sz="0" w:space="0" w:color="auto"/>
      </w:divBdr>
    </w:div>
    <w:div w:id="435639307">
      <w:bodyDiv w:val="1"/>
      <w:marLeft w:val="0"/>
      <w:marRight w:val="0"/>
      <w:marTop w:val="0"/>
      <w:marBottom w:val="0"/>
      <w:divBdr>
        <w:top w:val="none" w:sz="0" w:space="0" w:color="auto"/>
        <w:left w:val="none" w:sz="0" w:space="0" w:color="auto"/>
        <w:bottom w:val="none" w:sz="0" w:space="0" w:color="auto"/>
        <w:right w:val="none" w:sz="0" w:space="0" w:color="auto"/>
      </w:divBdr>
    </w:div>
    <w:div w:id="436411090">
      <w:bodyDiv w:val="1"/>
      <w:marLeft w:val="0"/>
      <w:marRight w:val="0"/>
      <w:marTop w:val="0"/>
      <w:marBottom w:val="0"/>
      <w:divBdr>
        <w:top w:val="none" w:sz="0" w:space="0" w:color="auto"/>
        <w:left w:val="none" w:sz="0" w:space="0" w:color="auto"/>
        <w:bottom w:val="none" w:sz="0" w:space="0" w:color="auto"/>
        <w:right w:val="none" w:sz="0" w:space="0" w:color="auto"/>
      </w:divBdr>
    </w:div>
    <w:div w:id="436485353">
      <w:bodyDiv w:val="1"/>
      <w:marLeft w:val="0"/>
      <w:marRight w:val="0"/>
      <w:marTop w:val="0"/>
      <w:marBottom w:val="0"/>
      <w:divBdr>
        <w:top w:val="none" w:sz="0" w:space="0" w:color="auto"/>
        <w:left w:val="none" w:sz="0" w:space="0" w:color="auto"/>
        <w:bottom w:val="none" w:sz="0" w:space="0" w:color="auto"/>
        <w:right w:val="none" w:sz="0" w:space="0" w:color="auto"/>
      </w:divBdr>
    </w:div>
    <w:div w:id="436874528">
      <w:bodyDiv w:val="1"/>
      <w:marLeft w:val="0"/>
      <w:marRight w:val="0"/>
      <w:marTop w:val="0"/>
      <w:marBottom w:val="0"/>
      <w:divBdr>
        <w:top w:val="none" w:sz="0" w:space="0" w:color="auto"/>
        <w:left w:val="none" w:sz="0" w:space="0" w:color="auto"/>
        <w:bottom w:val="none" w:sz="0" w:space="0" w:color="auto"/>
        <w:right w:val="none" w:sz="0" w:space="0" w:color="auto"/>
      </w:divBdr>
    </w:div>
    <w:div w:id="436947922">
      <w:bodyDiv w:val="1"/>
      <w:marLeft w:val="0"/>
      <w:marRight w:val="0"/>
      <w:marTop w:val="0"/>
      <w:marBottom w:val="0"/>
      <w:divBdr>
        <w:top w:val="none" w:sz="0" w:space="0" w:color="auto"/>
        <w:left w:val="none" w:sz="0" w:space="0" w:color="auto"/>
        <w:bottom w:val="none" w:sz="0" w:space="0" w:color="auto"/>
        <w:right w:val="none" w:sz="0" w:space="0" w:color="auto"/>
      </w:divBdr>
    </w:div>
    <w:div w:id="437142280">
      <w:bodyDiv w:val="1"/>
      <w:marLeft w:val="0"/>
      <w:marRight w:val="0"/>
      <w:marTop w:val="0"/>
      <w:marBottom w:val="0"/>
      <w:divBdr>
        <w:top w:val="none" w:sz="0" w:space="0" w:color="auto"/>
        <w:left w:val="none" w:sz="0" w:space="0" w:color="auto"/>
        <w:bottom w:val="none" w:sz="0" w:space="0" w:color="auto"/>
        <w:right w:val="none" w:sz="0" w:space="0" w:color="auto"/>
      </w:divBdr>
    </w:div>
    <w:div w:id="438256265">
      <w:bodyDiv w:val="1"/>
      <w:marLeft w:val="0"/>
      <w:marRight w:val="0"/>
      <w:marTop w:val="0"/>
      <w:marBottom w:val="0"/>
      <w:divBdr>
        <w:top w:val="none" w:sz="0" w:space="0" w:color="auto"/>
        <w:left w:val="none" w:sz="0" w:space="0" w:color="auto"/>
        <w:bottom w:val="none" w:sz="0" w:space="0" w:color="auto"/>
        <w:right w:val="none" w:sz="0" w:space="0" w:color="auto"/>
      </w:divBdr>
    </w:div>
    <w:div w:id="438261784">
      <w:bodyDiv w:val="1"/>
      <w:marLeft w:val="0"/>
      <w:marRight w:val="0"/>
      <w:marTop w:val="0"/>
      <w:marBottom w:val="0"/>
      <w:divBdr>
        <w:top w:val="none" w:sz="0" w:space="0" w:color="auto"/>
        <w:left w:val="none" w:sz="0" w:space="0" w:color="auto"/>
        <w:bottom w:val="none" w:sz="0" w:space="0" w:color="auto"/>
        <w:right w:val="none" w:sz="0" w:space="0" w:color="auto"/>
      </w:divBdr>
    </w:div>
    <w:div w:id="438791786">
      <w:bodyDiv w:val="1"/>
      <w:marLeft w:val="0"/>
      <w:marRight w:val="0"/>
      <w:marTop w:val="0"/>
      <w:marBottom w:val="0"/>
      <w:divBdr>
        <w:top w:val="none" w:sz="0" w:space="0" w:color="auto"/>
        <w:left w:val="none" w:sz="0" w:space="0" w:color="auto"/>
        <w:bottom w:val="none" w:sz="0" w:space="0" w:color="auto"/>
        <w:right w:val="none" w:sz="0" w:space="0" w:color="auto"/>
      </w:divBdr>
    </w:div>
    <w:div w:id="439230089">
      <w:bodyDiv w:val="1"/>
      <w:marLeft w:val="0"/>
      <w:marRight w:val="0"/>
      <w:marTop w:val="0"/>
      <w:marBottom w:val="0"/>
      <w:divBdr>
        <w:top w:val="none" w:sz="0" w:space="0" w:color="auto"/>
        <w:left w:val="none" w:sz="0" w:space="0" w:color="auto"/>
        <w:bottom w:val="none" w:sz="0" w:space="0" w:color="auto"/>
        <w:right w:val="none" w:sz="0" w:space="0" w:color="auto"/>
      </w:divBdr>
    </w:div>
    <w:div w:id="439909487">
      <w:bodyDiv w:val="1"/>
      <w:marLeft w:val="0"/>
      <w:marRight w:val="0"/>
      <w:marTop w:val="0"/>
      <w:marBottom w:val="0"/>
      <w:divBdr>
        <w:top w:val="none" w:sz="0" w:space="0" w:color="auto"/>
        <w:left w:val="none" w:sz="0" w:space="0" w:color="auto"/>
        <w:bottom w:val="none" w:sz="0" w:space="0" w:color="auto"/>
        <w:right w:val="none" w:sz="0" w:space="0" w:color="auto"/>
      </w:divBdr>
    </w:div>
    <w:div w:id="440077638">
      <w:bodyDiv w:val="1"/>
      <w:marLeft w:val="0"/>
      <w:marRight w:val="0"/>
      <w:marTop w:val="0"/>
      <w:marBottom w:val="0"/>
      <w:divBdr>
        <w:top w:val="none" w:sz="0" w:space="0" w:color="auto"/>
        <w:left w:val="none" w:sz="0" w:space="0" w:color="auto"/>
        <w:bottom w:val="none" w:sz="0" w:space="0" w:color="auto"/>
        <w:right w:val="none" w:sz="0" w:space="0" w:color="auto"/>
      </w:divBdr>
    </w:div>
    <w:div w:id="440298540">
      <w:bodyDiv w:val="1"/>
      <w:marLeft w:val="0"/>
      <w:marRight w:val="0"/>
      <w:marTop w:val="0"/>
      <w:marBottom w:val="0"/>
      <w:divBdr>
        <w:top w:val="none" w:sz="0" w:space="0" w:color="auto"/>
        <w:left w:val="none" w:sz="0" w:space="0" w:color="auto"/>
        <w:bottom w:val="none" w:sz="0" w:space="0" w:color="auto"/>
        <w:right w:val="none" w:sz="0" w:space="0" w:color="auto"/>
      </w:divBdr>
    </w:div>
    <w:div w:id="440343297">
      <w:bodyDiv w:val="1"/>
      <w:marLeft w:val="0"/>
      <w:marRight w:val="0"/>
      <w:marTop w:val="0"/>
      <w:marBottom w:val="0"/>
      <w:divBdr>
        <w:top w:val="none" w:sz="0" w:space="0" w:color="auto"/>
        <w:left w:val="none" w:sz="0" w:space="0" w:color="auto"/>
        <w:bottom w:val="none" w:sz="0" w:space="0" w:color="auto"/>
        <w:right w:val="none" w:sz="0" w:space="0" w:color="auto"/>
      </w:divBdr>
    </w:div>
    <w:div w:id="440612517">
      <w:bodyDiv w:val="1"/>
      <w:marLeft w:val="0"/>
      <w:marRight w:val="0"/>
      <w:marTop w:val="0"/>
      <w:marBottom w:val="0"/>
      <w:divBdr>
        <w:top w:val="none" w:sz="0" w:space="0" w:color="auto"/>
        <w:left w:val="none" w:sz="0" w:space="0" w:color="auto"/>
        <w:bottom w:val="none" w:sz="0" w:space="0" w:color="auto"/>
        <w:right w:val="none" w:sz="0" w:space="0" w:color="auto"/>
      </w:divBdr>
    </w:div>
    <w:div w:id="440803426">
      <w:bodyDiv w:val="1"/>
      <w:marLeft w:val="0"/>
      <w:marRight w:val="0"/>
      <w:marTop w:val="0"/>
      <w:marBottom w:val="0"/>
      <w:divBdr>
        <w:top w:val="none" w:sz="0" w:space="0" w:color="auto"/>
        <w:left w:val="none" w:sz="0" w:space="0" w:color="auto"/>
        <w:bottom w:val="none" w:sz="0" w:space="0" w:color="auto"/>
        <w:right w:val="none" w:sz="0" w:space="0" w:color="auto"/>
      </w:divBdr>
    </w:div>
    <w:div w:id="441147341">
      <w:bodyDiv w:val="1"/>
      <w:marLeft w:val="0"/>
      <w:marRight w:val="0"/>
      <w:marTop w:val="0"/>
      <w:marBottom w:val="0"/>
      <w:divBdr>
        <w:top w:val="none" w:sz="0" w:space="0" w:color="auto"/>
        <w:left w:val="none" w:sz="0" w:space="0" w:color="auto"/>
        <w:bottom w:val="none" w:sz="0" w:space="0" w:color="auto"/>
        <w:right w:val="none" w:sz="0" w:space="0" w:color="auto"/>
      </w:divBdr>
    </w:div>
    <w:div w:id="441188736">
      <w:bodyDiv w:val="1"/>
      <w:marLeft w:val="0"/>
      <w:marRight w:val="0"/>
      <w:marTop w:val="0"/>
      <w:marBottom w:val="0"/>
      <w:divBdr>
        <w:top w:val="none" w:sz="0" w:space="0" w:color="auto"/>
        <w:left w:val="none" w:sz="0" w:space="0" w:color="auto"/>
        <w:bottom w:val="none" w:sz="0" w:space="0" w:color="auto"/>
        <w:right w:val="none" w:sz="0" w:space="0" w:color="auto"/>
      </w:divBdr>
    </w:div>
    <w:div w:id="441342392">
      <w:bodyDiv w:val="1"/>
      <w:marLeft w:val="0"/>
      <w:marRight w:val="0"/>
      <w:marTop w:val="0"/>
      <w:marBottom w:val="0"/>
      <w:divBdr>
        <w:top w:val="none" w:sz="0" w:space="0" w:color="auto"/>
        <w:left w:val="none" w:sz="0" w:space="0" w:color="auto"/>
        <w:bottom w:val="none" w:sz="0" w:space="0" w:color="auto"/>
        <w:right w:val="none" w:sz="0" w:space="0" w:color="auto"/>
      </w:divBdr>
    </w:div>
    <w:div w:id="441530948">
      <w:bodyDiv w:val="1"/>
      <w:marLeft w:val="0"/>
      <w:marRight w:val="0"/>
      <w:marTop w:val="0"/>
      <w:marBottom w:val="0"/>
      <w:divBdr>
        <w:top w:val="none" w:sz="0" w:space="0" w:color="auto"/>
        <w:left w:val="none" w:sz="0" w:space="0" w:color="auto"/>
        <w:bottom w:val="none" w:sz="0" w:space="0" w:color="auto"/>
        <w:right w:val="none" w:sz="0" w:space="0" w:color="auto"/>
      </w:divBdr>
    </w:div>
    <w:div w:id="441611416">
      <w:bodyDiv w:val="1"/>
      <w:marLeft w:val="0"/>
      <w:marRight w:val="0"/>
      <w:marTop w:val="0"/>
      <w:marBottom w:val="0"/>
      <w:divBdr>
        <w:top w:val="none" w:sz="0" w:space="0" w:color="auto"/>
        <w:left w:val="none" w:sz="0" w:space="0" w:color="auto"/>
        <w:bottom w:val="none" w:sz="0" w:space="0" w:color="auto"/>
        <w:right w:val="none" w:sz="0" w:space="0" w:color="auto"/>
      </w:divBdr>
    </w:div>
    <w:div w:id="442379394">
      <w:bodyDiv w:val="1"/>
      <w:marLeft w:val="0"/>
      <w:marRight w:val="0"/>
      <w:marTop w:val="0"/>
      <w:marBottom w:val="0"/>
      <w:divBdr>
        <w:top w:val="none" w:sz="0" w:space="0" w:color="auto"/>
        <w:left w:val="none" w:sz="0" w:space="0" w:color="auto"/>
        <w:bottom w:val="none" w:sz="0" w:space="0" w:color="auto"/>
        <w:right w:val="none" w:sz="0" w:space="0" w:color="auto"/>
      </w:divBdr>
    </w:div>
    <w:div w:id="442530298">
      <w:bodyDiv w:val="1"/>
      <w:marLeft w:val="0"/>
      <w:marRight w:val="0"/>
      <w:marTop w:val="0"/>
      <w:marBottom w:val="0"/>
      <w:divBdr>
        <w:top w:val="none" w:sz="0" w:space="0" w:color="auto"/>
        <w:left w:val="none" w:sz="0" w:space="0" w:color="auto"/>
        <w:bottom w:val="none" w:sz="0" w:space="0" w:color="auto"/>
        <w:right w:val="none" w:sz="0" w:space="0" w:color="auto"/>
      </w:divBdr>
    </w:div>
    <w:div w:id="443690575">
      <w:bodyDiv w:val="1"/>
      <w:marLeft w:val="0"/>
      <w:marRight w:val="0"/>
      <w:marTop w:val="0"/>
      <w:marBottom w:val="0"/>
      <w:divBdr>
        <w:top w:val="none" w:sz="0" w:space="0" w:color="auto"/>
        <w:left w:val="none" w:sz="0" w:space="0" w:color="auto"/>
        <w:bottom w:val="none" w:sz="0" w:space="0" w:color="auto"/>
        <w:right w:val="none" w:sz="0" w:space="0" w:color="auto"/>
      </w:divBdr>
    </w:div>
    <w:div w:id="444228607">
      <w:bodyDiv w:val="1"/>
      <w:marLeft w:val="0"/>
      <w:marRight w:val="0"/>
      <w:marTop w:val="0"/>
      <w:marBottom w:val="0"/>
      <w:divBdr>
        <w:top w:val="none" w:sz="0" w:space="0" w:color="auto"/>
        <w:left w:val="none" w:sz="0" w:space="0" w:color="auto"/>
        <w:bottom w:val="none" w:sz="0" w:space="0" w:color="auto"/>
        <w:right w:val="none" w:sz="0" w:space="0" w:color="auto"/>
      </w:divBdr>
    </w:div>
    <w:div w:id="445000762">
      <w:bodyDiv w:val="1"/>
      <w:marLeft w:val="0"/>
      <w:marRight w:val="0"/>
      <w:marTop w:val="0"/>
      <w:marBottom w:val="0"/>
      <w:divBdr>
        <w:top w:val="none" w:sz="0" w:space="0" w:color="auto"/>
        <w:left w:val="none" w:sz="0" w:space="0" w:color="auto"/>
        <w:bottom w:val="none" w:sz="0" w:space="0" w:color="auto"/>
        <w:right w:val="none" w:sz="0" w:space="0" w:color="auto"/>
      </w:divBdr>
    </w:div>
    <w:div w:id="445391455">
      <w:bodyDiv w:val="1"/>
      <w:marLeft w:val="0"/>
      <w:marRight w:val="0"/>
      <w:marTop w:val="0"/>
      <w:marBottom w:val="0"/>
      <w:divBdr>
        <w:top w:val="none" w:sz="0" w:space="0" w:color="auto"/>
        <w:left w:val="none" w:sz="0" w:space="0" w:color="auto"/>
        <w:bottom w:val="none" w:sz="0" w:space="0" w:color="auto"/>
        <w:right w:val="none" w:sz="0" w:space="0" w:color="auto"/>
      </w:divBdr>
    </w:div>
    <w:div w:id="445394234">
      <w:bodyDiv w:val="1"/>
      <w:marLeft w:val="0"/>
      <w:marRight w:val="0"/>
      <w:marTop w:val="0"/>
      <w:marBottom w:val="0"/>
      <w:divBdr>
        <w:top w:val="none" w:sz="0" w:space="0" w:color="auto"/>
        <w:left w:val="none" w:sz="0" w:space="0" w:color="auto"/>
        <w:bottom w:val="none" w:sz="0" w:space="0" w:color="auto"/>
        <w:right w:val="none" w:sz="0" w:space="0" w:color="auto"/>
      </w:divBdr>
    </w:div>
    <w:div w:id="446506117">
      <w:bodyDiv w:val="1"/>
      <w:marLeft w:val="0"/>
      <w:marRight w:val="0"/>
      <w:marTop w:val="0"/>
      <w:marBottom w:val="0"/>
      <w:divBdr>
        <w:top w:val="none" w:sz="0" w:space="0" w:color="auto"/>
        <w:left w:val="none" w:sz="0" w:space="0" w:color="auto"/>
        <w:bottom w:val="none" w:sz="0" w:space="0" w:color="auto"/>
        <w:right w:val="none" w:sz="0" w:space="0" w:color="auto"/>
      </w:divBdr>
    </w:div>
    <w:div w:id="446587867">
      <w:bodyDiv w:val="1"/>
      <w:marLeft w:val="0"/>
      <w:marRight w:val="0"/>
      <w:marTop w:val="0"/>
      <w:marBottom w:val="0"/>
      <w:divBdr>
        <w:top w:val="none" w:sz="0" w:space="0" w:color="auto"/>
        <w:left w:val="none" w:sz="0" w:space="0" w:color="auto"/>
        <w:bottom w:val="none" w:sz="0" w:space="0" w:color="auto"/>
        <w:right w:val="none" w:sz="0" w:space="0" w:color="auto"/>
      </w:divBdr>
    </w:div>
    <w:div w:id="448666141">
      <w:bodyDiv w:val="1"/>
      <w:marLeft w:val="0"/>
      <w:marRight w:val="0"/>
      <w:marTop w:val="0"/>
      <w:marBottom w:val="0"/>
      <w:divBdr>
        <w:top w:val="none" w:sz="0" w:space="0" w:color="auto"/>
        <w:left w:val="none" w:sz="0" w:space="0" w:color="auto"/>
        <w:bottom w:val="none" w:sz="0" w:space="0" w:color="auto"/>
        <w:right w:val="none" w:sz="0" w:space="0" w:color="auto"/>
      </w:divBdr>
    </w:div>
    <w:div w:id="449937403">
      <w:bodyDiv w:val="1"/>
      <w:marLeft w:val="0"/>
      <w:marRight w:val="0"/>
      <w:marTop w:val="0"/>
      <w:marBottom w:val="0"/>
      <w:divBdr>
        <w:top w:val="none" w:sz="0" w:space="0" w:color="auto"/>
        <w:left w:val="none" w:sz="0" w:space="0" w:color="auto"/>
        <w:bottom w:val="none" w:sz="0" w:space="0" w:color="auto"/>
        <w:right w:val="none" w:sz="0" w:space="0" w:color="auto"/>
      </w:divBdr>
    </w:div>
    <w:div w:id="450979829">
      <w:bodyDiv w:val="1"/>
      <w:marLeft w:val="0"/>
      <w:marRight w:val="0"/>
      <w:marTop w:val="0"/>
      <w:marBottom w:val="0"/>
      <w:divBdr>
        <w:top w:val="none" w:sz="0" w:space="0" w:color="auto"/>
        <w:left w:val="none" w:sz="0" w:space="0" w:color="auto"/>
        <w:bottom w:val="none" w:sz="0" w:space="0" w:color="auto"/>
        <w:right w:val="none" w:sz="0" w:space="0" w:color="auto"/>
      </w:divBdr>
    </w:div>
    <w:div w:id="451478808">
      <w:bodyDiv w:val="1"/>
      <w:marLeft w:val="0"/>
      <w:marRight w:val="0"/>
      <w:marTop w:val="0"/>
      <w:marBottom w:val="0"/>
      <w:divBdr>
        <w:top w:val="none" w:sz="0" w:space="0" w:color="auto"/>
        <w:left w:val="none" w:sz="0" w:space="0" w:color="auto"/>
        <w:bottom w:val="none" w:sz="0" w:space="0" w:color="auto"/>
        <w:right w:val="none" w:sz="0" w:space="0" w:color="auto"/>
      </w:divBdr>
    </w:div>
    <w:div w:id="451630123">
      <w:bodyDiv w:val="1"/>
      <w:marLeft w:val="0"/>
      <w:marRight w:val="0"/>
      <w:marTop w:val="0"/>
      <w:marBottom w:val="0"/>
      <w:divBdr>
        <w:top w:val="none" w:sz="0" w:space="0" w:color="auto"/>
        <w:left w:val="none" w:sz="0" w:space="0" w:color="auto"/>
        <w:bottom w:val="none" w:sz="0" w:space="0" w:color="auto"/>
        <w:right w:val="none" w:sz="0" w:space="0" w:color="auto"/>
      </w:divBdr>
    </w:div>
    <w:div w:id="451633415">
      <w:bodyDiv w:val="1"/>
      <w:marLeft w:val="0"/>
      <w:marRight w:val="0"/>
      <w:marTop w:val="0"/>
      <w:marBottom w:val="0"/>
      <w:divBdr>
        <w:top w:val="none" w:sz="0" w:space="0" w:color="auto"/>
        <w:left w:val="none" w:sz="0" w:space="0" w:color="auto"/>
        <w:bottom w:val="none" w:sz="0" w:space="0" w:color="auto"/>
        <w:right w:val="none" w:sz="0" w:space="0" w:color="auto"/>
      </w:divBdr>
    </w:div>
    <w:div w:id="451872912">
      <w:bodyDiv w:val="1"/>
      <w:marLeft w:val="0"/>
      <w:marRight w:val="0"/>
      <w:marTop w:val="0"/>
      <w:marBottom w:val="0"/>
      <w:divBdr>
        <w:top w:val="none" w:sz="0" w:space="0" w:color="auto"/>
        <w:left w:val="none" w:sz="0" w:space="0" w:color="auto"/>
        <w:bottom w:val="none" w:sz="0" w:space="0" w:color="auto"/>
        <w:right w:val="none" w:sz="0" w:space="0" w:color="auto"/>
      </w:divBdr>
    </w:div>
    <w:div w:id="452022520">
      <w:bodyDiv w:val="1"/>
      <w:marLeft w:val="0"/>
      <w:marRight w:val="0"/>
      <w:marTop w:val="0"/>
      <w:marBottom w:val="0"/>
      <w:divBdr>
        <w:top w:val="none" w:sz="0" w:space="0" w:color="auto"/>
        <w:left w:val="none" w:sz="0" w:space="0" w:color="auto"/>
        <w:bottom w:val="none" w:sz="0" w:space="0" w:color="auto"/>
        <w:right w:val="none" w:sz="0" w:space="0" w:color="auto"/>
      </w:divBdr>
    </w:div>
    <w:div w:id="452287095">
      <w:bodyDiv w:val="1"/>
      <w:marLeft w:val="0"/>
      <w:marRight w:val="0"/>
      <w:marTop w:val="0"/>
      <w:marBottom w:val="0"/>
      <w:divBdr>
        <w:top w:val="none" w:sz="0" w:space="0" w:color="auto"/>
        <w:left w:val="none" w:sz="0" w:space="0" w:color="auto"/>
        <w:bottom w:val="none" w:sz="0" w:space="0" w:color="auto"/>
        <w:right w:val="none" w:sz="0" w:space="0" w:color="auto"/>
      </w:divBdr>
    </w:div>
    <w:div w:id="452403905">
      <w:bodyDiv w:val="1"/>
      <w:marLeft w:val="0"/>
      <w:marRight w:val="0"/>
      <w:marTop w:val="0"/>
      <w:marBottom w:val="0"/>
      <w:divBdr>
        <w:top w:val="none" w:sz="0" w:space="0" w:color="auto"/>
        <w:left w:val="none" w:sz="0" w:space="0" w:color="auto"/>
        <w:bottom w:val="none" w:sz="0" w:space="0" w:color="auto"/>
        <w:right w:val="none" w:sz="0" w:space="0" w:color="auto"/>
      </w:divBdr>
    </w:div>
    <w:div w:id="452867037">
      <w:bodyDiv w:val="1"/>
      <w:marLeft w:val="0"/>
      <w:marRight w:val="0"/>
      <w:marTop w:val="0"/>
      <w:marBottom w:val="0"/>
      <w:divBdr>
        <w:top w:val="none" w:sz="0" w:space="0" w:color="auto"/>
        <w:left w:val="none" w:sz="0" w:space="0" w:color="auto"/>
        <w:bottom w:val="none" w:sz="0" w:space="0" w:color="auto"/>
        <w:right w:val="none" w:sz="0" w:space="0" w:color="auto"/>
      </w:divBdr>
    </w:div>
    <w:div w:id="453838500">
      <w:bodyDiv w:val="1"/>
      <w:marLeft w:val="0"/>
      <w:marRight w:val="0"/>
      <w:marTop w:val="0"/>
      <w:marBottom w:val="0"/>
      <w:divBdr>
        <w:top w:val="none" w:sz="0" w:space="0" w:color="auto"/>
        <w:left w:val="none" w:sz="0" w:space="0" w:color="auto"/>
        <w:bottom w:val="none" w:sz="0" w:space="0" w:color="auto"/>
        <w:right w:val="none" w:sz="0" w:space="0" w:color="auto"/>
      </w:divBdr>
    </w:div>
    <w:div w:id="454296233">
      <w:bodyDiv w:val="1"/>
      <w:marLeft w:val="0"/>
      <w:marRight w:val="0"/>
      <w:marTop w:val="0"/>
      <w:marBottom w:val="0"/>
      <w:divBdr>
        <w:top w:val="none" w:sz="0" w:space="0" w:color="auto"/>
        <w:left w:val="none" w:sz="0" w:space="0" w:color="auto"/>
        <w:bottom w:val="none" w:sz="0" w:space="0" w:color="auto"/>
        <w:right w:val="none" w:sz="0" w:space="0" w:color="auto"/>
      </w:divBdr>
    </w:div>
    <w:div w:id="454326497">
      <w:bodyDiv w:val="1"/>
      <w:marLeft w:val="0"/>
      <w:marRight w:val="0"/>
      <w:marTop w:val="0"/>
      <w:marBottom w:val="0"/>
      <w:divBdr>
        <w:top w:val="none" w:sz="0" w:space="0" w:color="auto"/>
        <w:left w:val="none" w:sz="0" w:space="0" w:color="auto"/>
        <w:bottom w:val="none" w:sz="0" w:space="0" w:color="auto"/>
        <w:right w:val="none" w:sz="0" w:space="0" w:color="auto"/>
      </w:divBdr>
    </w:div>
    <w:div w:id="455294905">
      <w:bodyDiv w:val="1"/>
      <w:marLeft w:val="0"/>
      <w:marRight w:val="0"/>
      <w:marTop w:val="0"/>
      <w:marBottom w:val="0"/>
      <w:divBdr>
        <w:top w:val="none" w:sz="0" w:space="0" w:color="auto"/>
        <w:left w:val="none" w:sz="0" w:space="0" w:color="auto"/>
        <w:bottom w:val="none" w:sz="0" w:space="0" w:color="auto"/>
        <w:right w:val="none" w:sz="0" w:space="0" w:color="auto"/>
      </w:divBdr>
    </w:div>
    <w:div w:id="456292186">
      <w:bodyDiv w:val="1"/>
      <w:marLeft w:val="0"/>
      <w:marRight w:val="0"/>
      <w:marTop w:val="0"/>
      <w:marBottom w:val="0"/>
      <w:divBdr>
        <w:top w:val="none" w:sz="0" w:space="0" w:color="auto"/>
        <w:left w:val="none" w:sz="0" w:space="0" w:color="auto"/>
        <w:bottom w:val="none" w:sz="0" w:space="0" w:color="auto"/>
        <w:right w:val="none" w:sz="0" w:space="0" w:color="auto"/>
      </w:divBdr>
    </w:div>
    <w:div w:id="456484488">
      <w:bodyDiv w:val="1"/>
      <w:marLeft w:val="0"/>
      <w:marRight w:val="0"/>
      <w:marTop w:val="0"/>
      <w:marBottom w:val="0"/>
      <w:divBdr>
        <w:top w:val="none" w:sz="0" w:space="0" w:color="auto"/>
        <w:left w:val="none" w:sz="0" w:space="0" w:color="auto"/>
        <w:bottom w:val="none" w:sz="0" w:space="0" w:color="auto"/>
        <w:right w:val="none" w:sz="0" w:space="0" w:color="auto"/>
      </w:divBdr>
    </w:div>
    <w:div w:id="456871571">
      <w:bodyDiv w:val="1"/>
      <w:marLeft w:val="0"/>
      <w:marRight w:val="0"/>
      <w:marTop w:val="0"/>
      <w:marBottom w:val="0"/>
      <w:divBdr>
        <w:top w:val="none" w:sz="0" w:space="0" w:color="auto"/>
        <w:left w:val="none" w:sz="0" w:space="0" w:color="auto"/>
        <w:bottom w:val="none" w:sz="0" w:space="0" w:color="auto"/>
        <w:right w:val="none" w:sz="0" w:space="0" w:color="auto"/>
      </w:divBdr>
    </w:div>
    <w:div w:id="456875599">
      <w:bodyDiv w:val="1"/>
      <w:marLeft w:val="0"/>
      <w:marRight w:val="0"/>
      <w:marTop w:val="0"/>
      <w:marBottom w:val="0"/>
      <w:divBdr>
        <w:top w:val="none" w:sz="0" w:space="0" w:color="auto"/>
        <w:left w:val="none" w:sz="0" w:space="0" w:color="auto"/>
        <w:bottom w:val="none" w:sz="0" w:space="0" w:color="auto"/>
        <w:right w:val="none" w:sz="0" w:space="0" w:color="auto"/>
      </w:divBdr>
    </w:div>
    <w:div w:id="457258667">
      <w:bodyDiv w:val="1"/>
      <w:marLeft w:val="0"/>
      <w:marRight w:val="0"/>
      <w:marTop w:val="0"/>
      <w:marBottom w:val="0"/>
      <w:divBdr>
        <w:top w:val="none" w:sz="0" w:space="0" w:color="auto"/>
        <w:left w:val="none" w:sz="0" w:space="0" w:color="auto"/>
        <w:bottom w:val="none" w:sz="0" w:space="0" w:color="auto"/>
        <w:right w:val="none" w:sz="0" w:space="0" w:color="auto"/>
      </w:divBdr>
    </w:div>
    <w:div w:id="457459835">
      <w:bodyDiv w:val="1"/>
      <w:marLeft w:val="0"/>
      <w:marRight w:val="0"/>
      <w:marTop w:val="0"/>
      <w:marBottom w:val="0"/>
      <w:divBdr>
        <w:top w:val="none" w:sz="0" w:space="0" w:color="auto"/>
        <w:left w:val="none" w:sz="0" w:space="0" w:color="auto"/>
        <w:bottom w:val="none" w:sz="0" w:space="0" w:color="auto"/>
        <w:right w:val="none" w:sz="0" w:space="0" w:color="auto"/>
      </w:divBdr>
    </w:div>
    <w:div w:id="457725851">
      <w:bodyDiv w:val="1"/>
      <w:marLeft w:val="0"/>
      <w:marRight w:val="0"/>
      <w:marTop w:val="0"/>
      <w:marBottom w:val="0"/>
      <w:divBdr>
        <w:top w:val="none" w:sz="0" w:space="0" w:color="auto"/>
        <w:left w:val="none" w:sz="0" w:space="0" w:color="auto"/>
        <w:bottom w:val="none" w:sz="0" w:space="0" w:color="auto"/>
        <w:right w:val="none" w:sz="0" w:space="0" w:color="auto"/>
      </w:divBdr>
    </w:div>
    <w:div w:id="457800823">
      <w:bodyDiv w:val="1"/>
      <w:marLeft w:val="0"/>
      <w:marRight w:val="0"/>
      <w:marTop w:val="0"/>
      <w:marBottom w:val="0"/>
      <w:divBdr>
        <w:top w:val="none" w:sz="0" w:space="0" w:color="auto"/>
        <w:left w:val="none" w:sz="0" w:space="0" w:color="auto"/>
        <w:bottom w:val="none" w:sz="0" w:space="0" w:color="auto"/>
        <w:right w:val="none" w:sz="0" w:space="0" w:color="auto"/>
      </w:divBdr>
    </w:div>
    <w:div w:id="457837047">
      <w:bodyDiv w:val="1"/>
      <w:marLeft w:val="0"/>
      <w:marRight w:val="0"/>
      <w:marTop w:val="0"/>
      <w:marBottom w:val="0"/>
      <w:divBdr>
        <w:top w:val="none" w:sz="0" w:space="0" w:color="auto"/>
        <w:left w:val="none" w:sz="0" w:space="0" w:color="auto"/>
        <w:bottom w:val="none" w:sz="0" w:space="0" w:color="auto"/>
        <w:right w:val="none" w:sz="0" w:space="0" w:color="auto"/>
      </w:divBdr>
    </w:div>
    <w:div w:id="457913567">
      <w:bodyDiv w:val="1"/>
      <w:marLeft w:val="0"/>
      <w:marRight w:val="0"/>
      <w:marTop w:val="0"/>
      <w:marBottom w:val="0"/>
      <w:divBdr>
        <w:top w:val="none" w:sz="0" w:space="0" w:color="auto"/>
        <w:left w:val="none" w:sz="0" w:space="0" w:color="auto"/>
        <w:bottom w:val="none" w:sz="0" w:space="0" w:color="auto"/>
        <w:right w:val="none" w:sz="0" w:space="0" w:color="auto"/>
      </w:divBdr>
    </w:div>
    <w:div w:id="458112078">
      <w:bodyDiv w:val="1"/>
      <w:marLeft w:val="0"/>
      <w:marRight w:val="0"/>
      <w:marTop w:val="0"/>
      <w:marBottom w:val="0"/>
      <w:divBdr>
        <w:top w:val="none" w:sz="0" w:space="0" w:color="auto"/>
        <w:left w:val="none" w:sz="0" w:space="0" w:color="auto"/>
        <w:bottom w:val="none" w:sz="0" w:space="0" w:color="auto"/>
        <w:right w:val="none" w:sz="0" w:space="0" w:color="auto"/>
      </w:divBdr>
    </w:div>
    <w:div w:id="458303482">
      <w:bodyDiv w:val="1"/>
      <w:marLeft w:val="0"/>
      <w:marRight w:val="0"/>
      <w:marTop w:val="0"/>
      <w:marBottom w:val="0"/>
      <w:divBdr>
        <w:top w:val="none" w:sz="0" w:space="0" w:color="auto"/>
        <w:left w:val="none" w:sz="0" w:space="0" w:color="auto"/>
        <w:bottom w:val="none" w:sz="0" w:space="0" w:color="auto"/>
        <w:right w:val="none" w:sz="0" w:space="0" w:color="auto"/>
      </w:divBdr>
    </w:div>
    <w:div w:id="458376339">
      <w:bodyDiv w:val="1"/>
      <w:marLeft w:val="0"/>
      <w:marRight w:val="0"/>
      <w:marTop w:val="0"/>
      <w:marBottom w:val="0"/>
      <w:divBdr>
        <w:top w:val="none" w:sz="0" w:space="0" w:color="auto"/>
        <w:left w:val="none" w:sz="0" w:space="0" w:color="auto"/>
        <w:bottom w:val="none" w:sz="0" w:space="0" w:color="auto"/>
        <w:right w:val="none" w:sz="0" w:space="0" w:color="auto"/>
      </w:divBdr>
    </w:div>
    <w:div w:id="458425403">
      <w:bodyDiv w:val="1"/>
      <w:marLeft w:val="0"/>
      <w:marRight w:val="0"/>
      <w:marTop w:val="0"/>
      <w:marBottom w:val="0"/>
      <w:divBdr>
        <w:top w:val="none" w:sz="0" w:space="0" w:color="auto"/>
        <w:left w:val="none" w:sz="0" w:space="0" w:color="auto"/>
        <w:bottom w:val="none" w:sz="0" w:space="0" w:color="auto"/>
        <w:right w:val="none" w:sz="0" w:space="0" w:color="auto"/>
      </w:divBdr>
    </w:div>
    <w:div w:id="458645308">
      <w:bodyDiv w:val="1"/>
      <w:marLeft w:val="0"/>
      <w:marRight w:val="0"/>
      <w:marTop w:val="0"/>
      <w:marBottom w:val="0"/>
      <w:divBdr>
        <w:top w:val="none" w:sz="0" w:space="0" w:color="auto"/>
        <w:left w:val="none" w:sz="0" w:space="0" w:color="auto"/>
        <w:bottom w:val="none" w:sz="0" w:space="0" w:color="auto"/>
        <w:right w:val="none" w:sz="0" w:space="0" w:color="auto"/>
      </w:divBdr>
    </w:div>
    <w:div w:id="458693350">
      <w:bodyDiv w:val="1"/>
      <w:marLeft w:val="0"/>
      <w:marRight w:val="0"/>
      <w:marTop w:val="0"/>
      <w:marBottom w:val="0"/>
      <w:divBdr>
        <w:top w:val="none" w:sz="0" w:space="0" w:color="auto"/>
        <w:left w:val="none" w:sz="0" w:space="0" w:color="auto"/>
        <w:bottom w:val="none" w:sz="0" w:space="0" w:color="auto"/>
        <w:right w:val="none" w:sz="0" w:space="0" w:color="auto"/>
      </w:divBdr>
    </w:div>
    <w:div w:id="459423834">
      <w:bodyDiv w:val="1"/>
      <w:marLeft w:val="0"/>
      <w:marRight w:val="0"/>
      <w:marTop w:val="0"/>
      <w:marBottom w:val="0"/>
      <w:divBdr>
        <w:top w:val="none" w:sz="0" w:space="0" w:color="auto"/>
        <w:left w:val="none" w:sz="0" w:space="0" w:color="auto"/>
        <w:bottom w:val="none" w:sz="0" w:space="0" w:color="auto"/>
        <w:right w:val="none" w:sz="0" w:space="0" w:color="auto"/>
      </w:divBdr>
    </w:div>
    <w:div w:id="460028905">
      <w:bodyDiv w:val="1"/>
      <w:marLeft w:val="0"/>
      <w:marRight w:val="0"/>
      <w:marTop w:val="0"/>
      <w:marBottom w:val="0"/>
      <w:divBdr>
        <w:top w:val="none" w:sz="0" w:space="0" w:color="auto"/>
        <w:left w:val="none" w:sz="0" w:space="0" w:color="auto"/>
        <w:bottom w:val="none" w:sz="0" w:space="0" w:color="auto"/>
        <w:right w:val="none" w:sz="0" w:space="0" w:color="auto"/>
      </w:divBdr>
    </w:div>
    <w:div w:id="460029163">
      <w:bodyDiv w:val="1"/>
      <w:marLeft w:val="0"/>
      <w:marRight w:val="0"/>
      <w:marTop w:val="0"/>
      <w:marBottom w:val="0"/>
      <w:divBdr>
        <w:top w:val="none" w:sz="0" w:space="0" w:color="auto"/>
        <w:left w:val="none" w:sz="0" w:space="0" w:color="auto"/>
        <w:bottom w:val="none" w:sz="0" w:space="0" w:color="auto"/>
        <w:right w:val="none" w:sz="0" w:space="0" w:color="auto"/>
      </w:divBdr>
    </w:div>
    <w:div w:id="460074349">
      <w:bodyDiv w:val="1"/>
      <w:marLeft w:val="0"/>
      <w:marRight w:val="0"/>
      <w:marTop w:val="0"/>
      <w:marBottom w:val="0"/>
      <w:divBdr>
        <w:top w:val="none" w:sz="0" w:space="0" w:color="auto"/>
        <w:left w:val="none" w:sz="0" w:space="0" w:color="auto"/>
        <w:bottom w:val="none" w:sz="0" w:space="0" w:color="auto"/>
        <w:right w:val="none" w:sz="0" w:space="0" w:color="auto"/>
      </w:divBdr>
    </w:div>
    <w:div w:id="460346935">
      <w:bodyDiv w:val="1"/>
      <w:marLeft w:val="0"/>
      <w:marRight w:val="0"/>
      <w:marTop w:val="0"/>
      <w:marBottom w:val="0"/>
      <w:divBdr>
        <w:top w:val="none" w:sz="0" w:space="0" w:color="auto"/>
        <w:left w:val="none" w:sz="0" w:space="0" w:color="auto"/>
        <w:bottom w:val="none" w:sz="0" w:space="0" w:color="auto"/>
        <w:right w:val="none" w:sz="0" w:space="0" w:color="auto"/>
      </w:divBdr>
    </w:div>
    <w:div w:id="460853784">
      <w:bodyDiv w:val="1"/>
      <w:marLeft w:val="0"/>
      <w:marRight w:val="0"/>
      <w:marTop w:val="0"/>
      <w:marBottom w:val="0"/>
      <w:divBdr>
        <w:top w:val="none" w:sz="0" w:space="0" w:color="auto"/>
        <w:left w:val="none" w:sz="0" w:space="0" w:color="auto"/>
        <w:bottom w:val="none" w:sz="0" w:space="0" w:color="auto"/>
        <w:right w:val="none" w:sz="0" w:space="0" w:color="auto"/>
      </w:divBdr>
    </w:div>
    <w:div w:id="461385154">
      <w:bodyDiv w:val="1"/>
      <w:marLeft w:val="0"/>
      <w:marRight w:val="0"/>
      <w:marTop w:val="0"/>
      <w:marBottom w:val="0"/>
      <w:divBdr>
        <w:top w:val="none" w:sz="0" w:space="0" w:color="auto"/>
        <w:left w:val="none" w:sz="0" w:space="0" w:color="auto"/>
        <w:bottom w:val="none" w:sz="0" w:space="0" w:color="auto"/>
        <w:right w:val="none" w:sz="0" w:space="0" w:color="auto"/>
      </w:divBdr>
    </w:div>
    <w:div w:id="461728195">
      <w:bodyDiv w:val="1"/>
      <w:marLeft w:val="0"/>
      <w:marRight w:val="0"/>
      <w:marTop w:val="0"/>
      <w:marBottom w:val="0"/>
      <w:divBdr>
        <w:top w:val="none" w:sz="0" w:space="0" w:color="auto"/>
        <w:left w:val="none" w:sz="0" w:space="0" w:color="auto"/>
        <w:bottom w:val="none" w:sz="0" w:space="0" w:color="auto"/>
        <w:right w:val="none" w:sz="0" w:space="0" w:color="auto"/>
      </w:divBdr>
    </w:div>
    <w:div w:id="461853190">
      <w:bodyDiv w:val="1"/>
      <w:marLeft w:val="0"/>
      <w:marRight w:val="0"/>
      <w:marTop w:val="0"/>
      <w:marBottom w:val="0"/>
      <w:divBdr>
        <w:top w:val="none" w:sz="0" w:space="0" w:color="auto"/>
        <w:left w:val="none" w:sz="0" w:space="0" w:color="auto"/>
        <w:bottom w:val="none" w:sz="0" w:space="0" w:color="auto"/>
        <w:right w:val="none" w:sz="0" w:space="0" w:color="auto"/>
      </w:divBdr>
    </w:div>
    <w:div w:id="462576021">
      <w:bodyDiv w:val="1"/>
      <w:marLeft w:val="0"/>
      <w:marRight w:val="0"/>
      <w:marTop w:val="0"/>
      <w:marBottom w:val="0"/>
      <w:divBdr>
        <w:top w:val="none" w:sz="0" w:space="0" w:color="auto"/>
        <w:left w:val="none" w:sz="0" w:space="0" w:color="auto"/>
        <w:bottom w:val="none" w:sz="0" w:space="0" w:color="auto"/>
        <w:right w:val="none" w:sz="0" w:space="0" w:color="auto"/>
      </w:divBdr>
    </w:div>
    <w:div w:id="462583254">
      <w:bodyDiv w:val="1"/>
      <w:marLeft w:val="0"/>
      <w:marRight w:val="0"/>
      <w:marTop w:val="0"/>
      <w:marBottom w:val="0"/>
      <w:divBdr>
        <w:top w:val="none" w:sz="0" w:space="0" w:color="auto"/>
        <w:left w:val="none" w:sz="0" w:space="0" w:color="auto"/>
        <w:bottom w:val="none" w:sz="0" w:space="0" w:color="auto"/>
        <w:right w:val="none" w:sz="0" w:space="0" w:color="auto"/>
      </w:divBdr>
    </w:div>
    <w:div w:id="462583924">
      <w:bodyDiv w:val="1"/>
      <w:marLeft w:val="0"/>
      <w:marRight w:val="0"/>
      <w:marTop w:val="0"/>
      <w:marBottom w:val="0"/>
      <w:divBdr>
        <w:top w:val="none" w:sz="0" w:space="0" w:color="auto"/>
        <w:left w:val="none" w:sz="0" w:space="0" w:color="auto"/>
        <w:bottom w:val="none" w:sz="0" w:space="0" w:color="auto"/>
        <w:right w:val="none" w:sz="0" w:space="0" w:color="auto"/>
      </w:divBdr>
    </w:div>
    <w:div w:id="462698890">
      <w:bodyDiv w:val="1"/>
      <w:marLeft w:val="0"/>
      <w:marRight w:val="0"/>
      <w:marTop w:val="0"/>
      <w:marBottom w:val="0"/>
      <w:divBdr>
        <w:top w:val="none" w:sz="0" w:space="0" w:color="auto"/>
        <w:left w:val="none" w:sz="0" w:space="0" w:color="auto"/>
        <w:bottom w:val="none" w:sz="0" w:space="0" w:color="auto"/>
        <w:right w:val="none" w:sz="0" w:space="0" w:color="auto"/>
      </w:divBdr>
    </w:div>
    <w:div w:id="462891649">
      <w:bodyDiv w:val="1"/>
      <w:marLeft w:val="0"/>
      <w:marRight w:val="0"/>
      <w:marTop w:val="0"/>
      <w:marBottom w:val="0"/>
      <w:divBdr>
        <w:top w:val="none" w:sz="0" w:space="0" w:color="auto"/>
        <w:left w:val="none" w:sz="0" w:space="0" w:color="auto"/>
        <w:bottom w:val="none" w:sz="0" w:space="0" w:color="auto"/>
        <w:right w:val="none" w:sz="0" w:space="0" w:color="auto"/>
      </w:divBdr>
    </w:div>
    <w:div w:id="463082358">
      <w:bodyDiv w:val="1"/>
      <w:marLeft w:val="0"/>
      <w:marRight w:val="0"/>
      <w:marTop w:val="0"/>
      <w:marBottom w:val="0"/>
      <w:divBdr>
        <w:top w:val="none" w:sz="0" w:space="0" w:color="auto"/>
        <w:left w:val="none" w:sz="0" w:space="0" w:color="auto"/>
        <w:bottom w:val="none" w:sz="0" w:space="0" w:color="auto"/>
        <w:right w:val="none" w:sz="0" w:space="0" w:color="auto"/>
      </w:divBdr>
    </w:div>
    <w:div w:id="463426996">
      <w:bodyDiv w:val="1"/>
      <w:marLeft w:val="0"/>
      <w:marRight w:val="0"/>
      <w:marTop w:val="0"/>
      <w:marBottom w:val="0"/>
      <w:divBdr>
        <w:top w:val="none" w:sz="0" w:space="0" w:color="auto"/>
        <w:left w:val="none" w:sz="0" w:space="0" w:color="auto"/>
        <w:bottom w:val="none" w:sz="0" w:space="0" w:color="auto"/>
        <w:right w:val="none" w:sz="0" w:space="0" w:color="auto"/>
      </w:divBdr>
    </w:div>
    <w:div w:id="465514051">
      <w:bodyDiv w:val="1"/>
      <w:marLeft w:val="0"/>
      <w:marRight w:val="0"/>
      <w:marTop w:val="0"/>
      <w:marBottom w:val="0"/>
      <w:divBdr>
        <w:top w:val="none" w:sz="0" w:space="0" w:color="auto"/>
        <w:left w:val="none" w:sz="0" w:space="0" w:color="auto"/>
        <w:bottom w:val="none" w:sz="0" w:space="0" w:color="auto"/>
        <w:right w:val="none" w:sz="0" w:space="0" w:color="auto"/>
      </w:divBdr>
    </w:div>
    <w:div w:id="465514758">
      <w:bodyDiv w:val="1"/>
      <w:marLeft w:val="0"/>
      <w:marRight w:val="0"/>
      <w:marTop w:val="0"/>
      <w:marBottom w:val="0"/>
      <w:divBdr>
        <w:top w:val="none" w:sz="0" w:space="0" w:color="auto"/>
        <w:left w:val="none" w:sz="0" w:space="0" w:color="auto"/>
        <w:bottom w:val="none" w:sz="0" w:space="0" w:color="auto"/>
        <w:right w:val="none" w:sz="0" w:space="0" w:color="auto"/>
      </w:divBdr>
    </w:div>
    <w:div w:id="465586561">
      <w:bodyDiv w:val="1"/>
      <w:marLeft w:val="0"/>
      <w:marRight w:val="0"/>
      <w:marTop w:val="0"/>
      <w:marBottom w:val="0"/>
      <w:divBdr>
        <w:top w:val="none" w:sz="0" w:space="0" w:color="auto"/>
        <w:left w:val="none" w:sz="0" w:space="0" w:color="auto"/>
        <w:bottom w:val="none" w:sz="0" w:space="0" w:color="auto"/>
        <w:right w:val="none" w:sz="0" w:space="0" w:color="auto"/>
      </w:divBdr>
    </w:div>
    <w:div w:id="465853049">
      <w:bodyDiv w:val="1"/>
      <w:marLeft w:val="0"/>
      <w:marRight w:val="0"/>
      <w:marTop w:val="0"/>
      <w:marBottom w:val="0"/>
      <w:divBdr>
        <w:top w:val="none" w:sz="0" w:space="0" w:color="auto"/>
        <w:left w:val="none" w:sz="0" w:space="0" w:color="auto"/>
        <w:bottom w:val="none" w:sz="0" w:space="0" w:color="auto"/>
        <w:right w:val="none" w:sz="0" w:space="0" w:color="auto"/>
      </w:divBdr>
    </w:div>
    <w:div w:id="466168597">
      <w:bodyDiv w:val="1"/>
      <w:marLeft w:val="0"/>
      <w:marRight w:val="0"/>
      <w:marTop w:val="0"/>
      <w:marBottom w:val="0"/>
      <w:divBdr>
        <w:top w:val="none" w:sz="0" w:space="0" w:color="auto"/>
        <w:left w:val="none" w:sz="0" w:space="0" w:color="auto"/>
        <w:bottom w:val="none" w:sz="0" w:space="0" w:color="auto"/>
        <w:right w:val="none" w:sz="0" w:space="0" w:color="auto"/>
      </w:divBdr>
    </w:div>
    <w:div w:id="466314070">
      <w:bodyDiv w:val="1"/>
      <w:marLeft w:val="0"/>
      <w:marRight w:val="0"/>
      <w:marTop w:val="0"/>
      <w:marBottom w:val="0"/>
      <w:divBdr>
        <w:top w:val="none" w:sz="0" w:space="0" w:color="auto"/>
        <w:left w:val="none" w:sz="0" w:space="0" w:color="auto"/>
        <w:bottom w:val="none" w:sz="0" w:space="0" w:color="auto"/>
        <w:right w:val="none" w:sz="0" w:space="0" w:color="auto"/>
      </w:divBdr>
    </w:div>
    <w:div w:id="466899291">
      <w:bodyDiv w:val="1"/>
      <w:marLeft w:val="0"/>
      <w:marRight w:val="0"/>
      <w:marTop w:val="0"/>
      <w:marBottom w:val="0"/>
      <w:divBdr>
        <w:top w:val="none" w:sz="0" w:space="0" w:color="auto"/>
        <w:left w:val="none" w:sz="0" w:space="0" w:color="auto"/>
        <w:bottom w:val="none" w:sz="0" w:space="0" w:color="auto"/>
        <w:right w:val="none" w:sz="0" w:space="0" w:color="auto"/>
      </w:divBdr>
    </w:div>
    <w:div w:id="467213163">
      <w:bodyDiv w:val="1"/>
      <w:marLeft w:val="0"/>
      <w:marRight w:val="0"/>
      <w:marTop w:val="0"/>
      <w:marBottom w:val="0"/>
      <w:divBdr>
        <w:top w:val="none" w:sz="0" w:space="0" w:color="auto"/>
        <w:left w:val="none" w:sz="0" w:space="0" w:color="auto"/>
        <w:bottom w:val="none" w:sz="0" w:space="0" w:color="auto"/>
        <w:right w:val="none" w:sz="0" w:space="0" w:color="auto"/>
      </w:divBdr>
    </w:div>
    <w:div w:id="467481920">
      <w:bodyDiv w:val="1"/>
      <w:marLeft w:val="0"/>
      <w:marRight w:val="0"/>
      <w:marTop w:val="0"/>
      <w:marBottom w:val="0"/>
      <w:divBdr>
        <w:top w:val="none" w:sz="0" w:space="0" w:color="auto"/>
        <w:left w:val="none" w:sz="0" w:space="0" w:color="auto"/>
        <w:bottom w:val="none" w:sz="0" w:space="0" w:color="auto"/>
        <w:right w:val="none" w:sz="0" w:space="0" w:color="auto"/>
      </w:divBdr>
    </w:div>
    <w:div w:id="468788108">
      <w:bodyDiv w:val="1"/>
      <w:marLeft w:val="0"/>
      <w:marRight w:val="0"/>
      <w:marTop w:val="0"/>
      <w:marBottom w:val="0"/>
      <w:divBdr>
        <w:top w:val="none" w:sz="0" w:space="0" w:color="auto"/>
        <w:left w:val="none" w:sz="0" w:space="0" w:color="auto"/>
        <w:bottom w:val="none" w:sz="0" w:space="0" w:color="auto"/>
        <w:right w:val="none" w:sz="0" w:space="0" w:color="auto"/>
      </w:divBdr>
    </w:div>
    <w:div w:id="468791239">
      <w:bodyDiv w:val="1"/>
      <w:marLeft w:val="0"/>
      <w:marRight w:val="0"/>
      <w:marTop w:val="0"/>
      <w:marBottom w:val="0"/>
      <w:divBdr>
        <w:top w:val="none" w:sz="0" w:space="0" w:color="auto"/>
        <w:left w:val="none" w:sz="0" w:space="0" w:color="auto"/>
        <w:bottom w:val="none" w:sz="0" w:space="0" w:color="auto"/>
        <w:right w:val="none" w:sz="0" w:space="0" w:color="auto"/>
      </w:divBdr>
    </w:div>
    <w:div w:id="468867431">
      <w:bodyDiv w:val="1"/>
      <w:marLeft w:val="0"/>
      <w:marRight w:val="0"/>
      <w:marTop w:val="0"/>
      <w:marBottom w:val="0"/>
      <w:divBdr>
        <w:top w:val="none" w:sz="0" w:space="0" w:color="auto"/>
        <w:left w:val="none" w:sz="0" w:space="0" w:color="auto"/>
        <w:bottom w:val="none" w:sz="0" w:space="0" w:color="auto"/>
        <w:right w:val="none" w:sz="0" w:space="0" w:color="auto"/>
      </w:divBdr>
    </w:div>
    <w:div w:id="469058936">
      <w:bodyDiv w:val="1"/>
      <w:marLeft w:val="0"/>
      <w:marRight w:val="0"/>
      <w:marTop w:val="0"/>
      <w:marBottom w:val="0"/>
      <w:divBdr>
        <w:top w:val="none" w:sz="0" w:space="0" w:color="auto"/>
        <w:left w:val="none" w:sz="0" w:space="0" w:color="auto"/>
        <w:bottom w:val="none" w:sz="0" w:space="0" w:color="auto"/>
        <w:right w:val="none" w:sz="0" w:space="0" w:color="auto"/>
      </w:divBdr>
    </w:div>
    <w:div w:id="469177787">
      <w:bodyDiv w:val="1"/>
      <w:marLeft w:val="0"/>
      <w:marRight w:val="0"/>
      <w:marTop w:val="0"/>
      <w:marBottom w:val="0"/>
      <w:divBdr>
        <w:top w:val="none" w:sz="0" w:space="0" w:color="auto"/>
        <w:left w:val="none" w:sz="0" w:space="0" w:color="auto"/>
        <w:bottom w:val="none" w:sz="0" w:space="0" w:color="auto"/>
        <w:right w:val="none" w:sz="0" w:space="0" w:color="auto"/>
      </w:divBdr>
    </w:div>
    <w:div w:id="469442708">
      <w:bodyDiv w:val="1"/>
      <w:marLeft w:val="0"/>
      <w:marRight w:val="0"/>
      <w:marTop w:val="0"/>
      <w:marBottom w:val="0"/>
      <w:divBdr>
        <w:top w:val="none" w:sz="0" w:space="0" w:color="auto"/>
        <w:left w:val="none" w:sz="0" w:space="0" w:color="auto"/>
        <w:bottom w:val="none" w:sz="0" w:space="0" w:color="auto"/>
        <w:right w:val="none" w:sz="0" w:space="0" w:color="auto"/>
      </w:divBdr>
    </w:div>
    <w:div w:id="469829460">
      <w:bodyDiv w:val="1"/>
      <w:marLeft w:val="0"/>
      <w:marRight w:val="0"/>
      <w:marTop w:val="0"/>
      <w:marBottom w:val="0"/>
      <w:divBdr>
        <w:top w:val="none" w:sz="0" w:space="0" w:color="auto"/>
        <w:left w:val="none" w:sz="0" w:space="0" w:color="auto"/>
        <w:bottom w:val="none" w:sz="0" w:space="0" w:color="auto"/>
        <w:right w:val="none" w:sz="0" w:space="0" w:color="auto"/>
      </w:divBdr>
    </w:div>
    <w:div w:id="470094251">
      <w:bodyDiv w:val="1"/>
      <w:marLeft w:val="0"/>
      <w:marRight w:val="0"/>
      <w:marTop w:val="0"/>
      <w:marBottom w:val="0"/>
      <w:divBdr>
        <w:top w:val="none" w:sz="0" w:space="0" w:color="auto"/>
        <w:left w:val="none" w:sz="0" w:space="0" w:color="auto"/>
        <w:bottom w:val="none" w:sz="0" w:space="0" w:color="auto"/>
        <w:right w:val="none" w:sz="0" w:space="0" w:color="auto"/>
      </w:divBdr>
    </w:div>
    <w:div w:id="470709747">
      <w:bodyDiv w:val="1"/>
      <w:marLeft w:val="0"/>
      <w:marRight w:val="0"/>
      <w:marTop w:val="0"/>
      <w:marBottom w:val="0"/>
      <w:divBdr>
        <w:top w:val="none" w:sz="0" w:space="0" w:color="auto"/>
        <w:left w:val="none" w:sz="0" w:space="0" w:color="auto"/>
        <w:bottom w:val="none" w:sz="0" w:space="0" w:color="auto"/>
        <w:right w:val="none" w:sz="0" w:space="0" w:color="auto"/>
      </w:divBdr>
    </w:div>
    <w:div w:id="470757417">
      <w:bodyDiv w:val="1"/>
      <w:marLeft w:val="0"/>
      <w:marRight w:val="0"/>
      <w:marTop w:val="0"/>
      <w:marBottom w:val="0"/>
      <w:divBdr>
        <w:top w:val="none" w:sz="0" w:space="0" w:color="auto"/>
        <w:left w:val="none" w:sz="0" w:space="0" w:color="auto"/>
        <w:bottom w:val="none" w:sz="0" w:space="0" w:color="auto"/>
        <w:right w:val="none" w:sz="0" w:space="0" w:color="auto"/>
      </w:divBdr>
    </w:div>
    <w:div w:id="470907113">
      <w:bodyDiv w:val="1"/>
      <w:marLeft w:val="0"/>
      <w:marRight w:val="0"/>
      <w:marTop w:val="0"/>
      <w:marBottom w:val="0"/>
      <w:divBdr>
        <w:top w:val="none" w:sz="0" w:space="0" w:color="auto"/>
        <w:left w:val="none" w:sz="0" w:space="0" w:color="auto"/>
        <w:bottom w:val="none" w:sz="0" w:space="0" w:color="auto"/>
        <w:right w:val="none" w:sz="0" w:space="0" w:color="auto"/>
      </w:divBdr>
    </w:div>
    <w:div w:id="471795548">
      <w:bodyDiv w:val="1"/>
      <w:marLeft w:val="0"/>
      <w:marRight w:val="0"/>
      <w:marTop w:val="0"/>
      <w:marBottom w:val="0"/>
      <w:divBdr>
        <w:top w:val="none" w:sz="0" w:space="0" w:color="auto"/>
        <w:left w:val="none" w:sz="0" w:space="0" w:color="auto"/>
        <w:bottom w:val="none" w:sz="0" w:space="0" w:color="auto"/>
        <w:right w:val="none" w:sz="0" w:space="0" w:color="auto"/>
      </w:divBdr>
    </w:div>
    <w:div w:id="472139493">
      <w:bodyDiv w:val="1"/>
      <w:marLeft w:val="0"/>
      <w:marRight w:val="0"/>
      <w:marTop w:val="0"/>
      <w:marBottom w:val="0"/>
      <w:divBdr>
        <w:top w:val="none" w:sz="0" w:space="0" w:color="auto"/>
        <w:left w:val="none" w:sz="0" w:space="0" w:color="auto"/>
        <w:bottom w:val="none" w:sz="0" w:space="0" w:color="auto"/>
        <w:right w:val="none" w:sz="0" w:space="0" w:color="auto"/>
      </w:divBdr>
    </w:div>
    <w:div w:id="472911576">
      <w:bodyDiv w:val="1"/>
      <w:marLeft w:val="0"/>
      <w:marRight w:val="0"/>
      <w:marTop w:val="0"/>
      <w:marBottom w:val="0"/>
      <w:divBdr>
        <w:top w:val="none" w:sz="0" w:space="0" w:color="auto"/>
        <w:left w:val="none" w:sz="0" w:space="0" w:color="auto"/>
        <w:bottom w:val="none" w:sz="0" w:space="0" w:color="auto"/>
        <w:right w:val="none" w:sz="0" w:space="0" w:color="auto"/>
      </w:divBdr>
    </w:div>
    <w:div w:id="473333497">
      <w:bodyDiv w:val="1"/>
      <w:marLeft w:val="0"/>
      <w:marRight w:val="0"/>
      <w:marTop w:val="0"/>
      <w:marBottom w:val="0"/>
      <w:divBdr>
        <w:top w:val="none" w:sz="0" w:space="0" w:color="auto"/>
        <w:left w:val="none" w:sz="0" w:space="0" w:color="auto"/>
        <w:bottom w:val="none" w:sz="0" w:space="0" w:color="auto"/>
        <w:right w:val="none" w:sz="0" w:space="0" w:color="auto"/>
      </w:divBdr>
    </w:div>
    <w:div w:id="473639694">
      <w:bodyDiv w:val="1"/>
      <w:marLeft w:val="0"/>
      <w:marRight w:val="0"/>
      <w:marTop w:val="0"/>
      <w:marBottom w:val="0"/>
      <w:divBdr>
        <w:top w:val="none" w:sz="0" w:space="0" w:color="auto"/>
        <w:left w:val="none" w:sz="0" w:space="0" w:color="auto"/>
        <w:bottom w:val="none" w:sz="0" w:space="0" w:color="auto"/>
        <w:right w:val="none" w:sz="0" w:space="0" w:color="auto"/>
      </w:divBdr>
    </w:div>
    <w:div w:id="475024991">
      <w:bodyDiv w:val="1"/>
      <w:marLeft w:val="0"/>
      <w:marRight w:val="0"/>
      <w:marTop w:val="0"/>
      <w:marBottom w:val="0"/>
      <w:divBdr>
        <w:top w:val="none" w:sz="0" w:space="0" w:color="auto"/>
        <w:left w:val="none" w:sz="0" w:space="0" w:color="auto"/>
        <w:bottom w:val="none" w:sz="0" w:space="0" w:color="auto"/>
        <w:right w:val="none" w:sz="0" w:space="0" w:color="auto"/>
      </w:divBdr>
    </w:div>
    <w:div w:id="475075195">
      <w:bodyDiv w:val="1"/>
      <w:marLeft w:val="0"/>
      <w:marRight w:val="0"/>
      <w:marTop w:val="0"/>
      <w:marBottom w:val="0"/>
      <w:divBdr>
        <w:top w:val="none" w:sz="0" w:space="0" w:color="auto"/>
        <w:left w:val="none" w:sz="0" w:space="0" w:color="auto"/>
        <w:bottom w:val="none" w:sz="0" w:space="0" w:color="auto"/>
        <w:right w:val="none" w:sz="0" w:space="0" w:color="auto"/>
      </w:divBdr>
    </w:div>
    <w:div w:id="475223009">
      <w:bodyDiv w:val="1"/>
      <w:marLeft w:val="0"/>
      <w:marRight w:val="0"/>
      <w:marTop w:val="0"/>
      <w:marBottom w:val="0"/>
      <w:divBdr>
        <w:top w:val="none" w:sz="0" w:space="0" w:color="auto"/>
        <w:left w:val="none" w:sz="0" w:space="0" w:color="auto"/>
        <w:bottom w:val="none" w:sz="0" w:space="0" w:color="auto"/>
        <w:right w:val="none" w:sz="0" w:space="0" w:color="auto"/>
      </w:divBdr>
    </w:div>
    <w:div w:id="475297100">
      <w:bodyDiv w:val="1"/>
      <w:marLeft w:val="0"/>
      <w:marRight w:val="0"/>
      <w:marTop w:val="0"/>
      <w:marBottom w:val="0"/>
      <w:divBdr>
        <w:top w:val="none" w:sz="0" w:space="0" w:color="auto"/>
        <w:left w:val="none" w:sz="0" w:space="0" w:color="auto"/>
        <w:bottom w:val="none" w:sz="0" w:space="0" w:color="auto"/>
        <w:right w:val="none" w:sz="0" w:space="0" w:color="auto"/>
      </w:divBdr>
    </w:div>
    <w:div w:id="475412697">
      <w:bodyDiv w:val="1"/>
      <w:marLeft w:val="0"/>
      <w:marRight w:val="0"/>
      <w:marTop w:val="0"/>
      <w:marBottom w:val="0"/>
      <w:divBdr>
        <w:top w:val="none" w:sz="0" w:space="0" w:color="auto"/>
        <w:left w:val="none" w:sz="0" w:space="0" w:color="auto"/>
        <w:bottom w:val="none" w:sz="0" w:space="0" w:color="auto"/>
        <w:right w:val="none" w:sz="0" w:space="0" w:color="auto"/>
      </w:divBdr>
    </w:div>
    <w:div w:id="475536584">
      <w:bodyDiv w:val="1"/>
      <w:marLeft w:val="0"/>
      <w:marRight w:val="0"/>
      <w:marTop w:val="0"/>
      <w:marBottom w:val="0"/>
      <w:divBdr>
        <w:top w:val="none" w:sz="0" w:space="0" w:color="auto"/>
        <w:left w:val="none" w:sz="0" w:space="0" w:color="auto"/>
        <w:bottom w:val="none" w:sz="0" w:space="0" w:color="auto"/>
        <w:right w:val="none" w:sz="0" w:space="0" w:color="auto"/>
      </w:divBdr>
    </w:div>
    <w:div w:id="475806459">
      <w:bodyDiv w:val="1"/>
      <w:marLeft w:val="0"/>
      <w:marRight w:val="0"/>
      <w:marTop w:val="0"/>
      <w:marBottom w:val="0"/>
      <w:divBdr>
        <w:top w:val="none" w:sz="0" w:space="0" w:color="auto"/>
        <w:left w:val="none" w:sz="0" w:space="0" w:color="auto"/>
        <w:bottom w:val="none" w:sz="0" w:space="0" w:color="auto"/>
        <w:right w:val="none" w:sz="0" w:space="0" w:color="auto"/>
      </w:divBdr>
    </w:div>
    <w:div w:id="476261140">
      <w:bodyDiv w:val="1"/>
      <w:marLeft w:val="0"/>
      <w:marRight w:val="0"/>
      <w:marTop w:val="0"/>
      <w:marBottom w:val="0"/>
      <w:divBdr>
        <w:top w:val="none" w:sz="0" w:space="0" w:color="auto"/>
        <w:left w:val="none" w:sz="0" w:space="0" w:color="auto"/>
        <w:bottom w:val="none" w:sz="0" w:space="0" w:color="auto"/>
        <w:right w:val="none" w:sz="0" w:space="0" w:color="auto"/>
      </w:divBdr>
    </w:div>
    <w:div w:id="476605083">
      <w:bodyDiv w:val="1"/>
      <w:marLeft w:val="0"/>
      <w:marRight w:val="0"/>
      <w:marTop w:val="0"/>
      <w:marBottom w:val="0"/>
      <w:divBdr>
        <w:top w:val="none" w:sz="0" w:space="0" w:color="auto"/>
        <w:left w:val="none" w:sz="0" w:space="0" w:color="auto"/>
        <w:bottom w:val="none" w:sz="0" w:space="0" w:color="auto"/>
        <w:right w:val="none" w:sz="0" w:space="0" w:color="auto"/>
      </w:divBdr>
    </w:div>
    <w:div w:id="476990733">
      <w:bodyDiv w:val="1"/>
      <w:marLeft w:val="0"/>
      <w:marRight w:val="0"/>
      <w:marTop w:val="0"/>
      <w:marBottom w:val="0"/>
      <w:divBdr>
        <w:top w:val="none" w:sz="0" w:space="0" w:color="auto"/>
        <w:left w:val="none" w:sz="0" w:space="0" w:color="auto"/>
        <w:bottom w:val="none" w:sz="0" w:space="0" w:color="auto"/>
        <w:right w:val="none" w:sz="0" w:space="0" w:color="auto"/>
      </w:divBdr>
    </w:div>
    <w:div w:id="477647536">
      <w:bodyDiv w:val="1"/>
      <w:marLeft w:val="0"/>
      <w:marRight w:val="0"/>
      <w:marTop w:val="0"/>
      <w:marBottom w:val="0"/>
      <w:divBdr>
        <w:top w:val="none" w:sz="0" w:space="0" w:color="auto"/>
        <w:left w:val="none" w:sz="0" w:space="0" w:color="auto"/>
        <w:bottom w:val="none" w:sz="0" w:space="0" w:color="auto"/>
        <w:right w:val="none" w:sz="0" w:space="0" w:color="auto"/>
      </w:divBdr>
    </w:div>
    <w:div w:id="477693635">
      <w:bodyDiv w:val="1"/>
      <w:marLeft w:val="0"/>
      <w:marRight w:val="0"/>
      <w:marTop w:val="0"/>
      <w:marBottom w:val="0"/>
      <w:divBdr>
        <w:top w:val="none" w:sz="0" w:space="0" w:color="auto"/>
        <w:left w:val="none" w:sz="0" w:space="0" w:color="auto"/>
        <w:bottom w:val="none" w:sz="0" w:space="0" w:color="auto"/>
        <w:right w:val="none" w:sz="0" w:space="0" w:color="auto"/>
      </w:divBdr>
    </w:div>
    <w:div w:id="478037127">
      <w:bodyDiv w:val="1"/>
      <w:marLeft w:val="0"/>
      <w:marRight w:val="0"/>
      <w:marTop w:val="0"/>
      <w:marBottom w:val="0"/>
      <w:divBdr>
        <w:top w:val="none" w:sz="0" w:space="0" w:color="auto"/>
        <w:left w:val="none" w:sz="0" w:space="0" w:color="auto"/>
        <w:bottom w:val="none" w:sz="0" w:space="0" w:color="auto"/>
        <w:right w:val="none" w:sz="0" w:space="0" w:color="auto"/>
      </w:divBdr>
    </w:div>
    <w:div w:id="478156048">
      <w:bodyDiv w:val="1"/>
      <w:marLeft w:val="0"/>
      <w:marRight w:val="0"/>
      <w:marTop w:val="0"/>
      <w:marBottom w:val="0"/>
      <w:divBdr>
        <w:top w:val="none" w:sz="0" w:space="0" w:color="auto"/>
        <w:left w:val="none" w:sz="0" w:space="0" w:color="auto"/>
        <w:bottom w:val="none" w:sz="0" w:space="0" w:color="auto"/>
        <w:right w:val="none" w:sz="0" w:space="0" w:color="auto"/>
      </w:divBdr>
    </w:div>
    <w:div w:id="478307720">
      <w:bodyDiv w:val="1"/>
      <w:marLeft w:val="0"/>
      <w:marRight w:val="0"/>
      <w:marTop w:val="0"/>
      <w:marBottom w:val="0"/>
      <w:divBdr>
        <w:top w:val="none" w:sz="0" w:space="0" w:color="auto"/>
        <w:left w:val="none" w:sz="0" w:space="0" w:color="auto"/>
        <w:bottom w:val="none" w:sz="0" w:space="0" w:color="auto"/>
        <w:right w:val="none" w:sz="0" w:space="0" w:color="auto"/>
      </w:divBdr>
    </w:div>
    <w:div w:id="479078182">
      <w:bodyDiv w:val="1"/>
      <w:marLeft w:val="0"/>
      <w:marRight w:val="0"/>
      <w:marTop w:val="0"/>
      <w:marBottom w:val="0"/>
      <w:divBdr>
        <w:top w:val="none" w:sz="0" w:space="0" w:color="auto"/>
        <w:left w:val="none" w:sz="0" w:space="0" w:color="auto"/>
        <w:bottom w:val="none" w:sz="0" w:space="0" w:color="auto"/>
        <w:right w:val="none" w:sz="0" w:space="0" w:color="auto"/>
      </w:divBdr>
    </w:div>
    <w:div w:id="479155582">
      <w:bodyDiv w:val="1"/>
      <w:marLeft w:val="0"/>
      <w:marRight w:val="0"/>
      <w:marTop w:val="0"/>
      <w:marBottom w:val="0"/>
      <w:divBdr>
        <w:top w:val="none" w:sz="0" w:space="0" w:color="auto"/>
        <w:left w:val="none" w:sz="0" w:space="0" w:color="auto"/>
        <w:bottom w:val="none" w:sz="0" w:space="0" w:color="auto"/>
        <w:right w:val="none" w:sz="0" w:space="0" w:color="auto"/>
      </w:divBdr>
    </w:div>
    <w:div w:id="479611839">
      <w:bodyDiv w:val="1"/>
      <w:marLeft w:val="0"/>
      <w:marRight w:val="0"/>
      <w:marTop w:val="0"/>
      <w:marBottom w:val="0"/>
      <w:divBdr>
        <w:top w:val="none" w:sz="0" w:space="0" w:color="auto"/>
        <w:left w:val="none" w:sz="0" w:space="0" w:color="auto"/>
        <w:bottom w:val="none" w:sz="0" w:space="0" w:color="auto"/>
        <w:right w:val="none" w:sz="0" w:space="0" w:color="auto"/>
      </w:divBdr>
    </w:div>
    <w:div w:id="479658424">
      <w:bodyDiv w:val="1"/>
      <w:marLeft w:val="0"/>
      <w:marRight w:val="0"/>
      <w:marTop w:val="0"/>
      <w:marBottom w:val="0"/>
      <w:divBdr>
        <w:top w:val="none" w:sz="0" w:space="0" w:color="auto"/>
        <w:left w:val="none" w:sz="0" w:space="0" w:color="auto"/>
        <w:bottom w:val="none" w:sz="0" w:space="0" w:color="auto"/>
        <w:right w:val="none" w:sz="0" w:space="0" w:color="auto"/>
      </w:divBdr>
    </w:div>
    <w:div w:id="480192353">
      <w:bodyDiv w:val="1"/>
      <w:marLeft w:val="0"/>
      <w:marRight w:val="0"/>
      <w:marTop w:val="0"/>
      <w:marBottom w:val="0"/>
      <w:divBdr>
        <w:top w:val="none" w:sz="0" w:space="0" w:color="auto"/>
        <w:left w:val="none" w:sz="0" w:space="0" w:color="auto"/>
        <w:bottom w:val="none" w:sz="0" w:space="0" w:color="auto"/>
        <w:right w:val="none" w:sz="0" w:space="0" w:color="auto"/>
      </w:divBdr>
    </w:div>
    <w:div w:id="480200018">
      <w:bodyDiv w:val="1"/>
      <w:marLeft w:val="0"/>
      <w:marRight w:val="0"/>
      <w:marTop w:val="0"/>
      <w:marBottom w:val="0"/>
      <w:divBdr>
        <w:top w:val="none" w:sz="0" w:space="0" w:color="auto"/>
        <w:left w:val="none" w:sz="0" w:space="0" w:color="auto"/>
        <w:bottom w:val="none" w:sz="0" w:space="0" w:color="auto"/>
        <w:right w:val="none" w:sz="0" w:space="0" w:color="auto"/>
      </w:divBdr>
    </w:div>
    <w:div w:id="480657576">
      <w:bodyDiv w:val="1"/>
      <w:marLeft w:val="0"/>
      <w:marRight w:val="0"/>
      <w:marTop w:val="0"/>
      <w:marBottom w:val="0"/>
      <w:divBdr>
        <w:top w:val="none" w:sz="0" w:space="0" w:color="auto"/>
        <w:left w:val="none" w:sz="0" w:space="0" w:color="auto"/>
        <w:bottom w:val="none" w:sz="0" w:space="0" w:color="auto"/>
        <w:right w:val="none" w:sz="0" w:space="0" w:color="auto"/>
      </w:divBdr>
    </w:div>
    <w:div w:id="481167150">
      <w:bodyDiv w:val="1"/>
      <w:marLeft w:val="0"/>
      <w:marRight w:val="0"/>
      <w:marTop w:val="0"/>
      <w:marBottom w:val="0"/>
      <w:divBdr>
        <w:top w:val="none" w:sz="0" w:space="0" w:color="auto"/>
        <w:left w:val="none" w:sz="0" w:space="0" w:color="auto"/>
        <w:bottom w:val="none" w:sz="0" w:space="0" w:color="auto"/>
        <w:right w:val="none" w:sz="0" w:space="0" w:color="auto"/>
      </w:divBdr>
    </w:div>
    <w:div w:id="481240846">
      <w:bodyDiv w:val="1"/>
      <w:marLeft w:val="0"/>
      <w:marRight w:val="0"/>
      <w:marTop w:val="0"/>
      <w:marBottom w:val="0"/>
      <w:divBdr>
        <w:top w:val="none" w:sz="0" w:space="0" w:color="auto"/>
        <w:left w:val="none" w:sz="0" w:space="0" w:color="auto"/>
        <w:bottom w:val="none" w:sz="0" w:space="0" w:color="auto"/>
        <w:right w:val="none" w:sz="0" w:space="0" w:color="auto"/>
      </w:divBdr>
    </w:div>
    <w:div w:id="481242475">
      <w:bodyDiv w:val="1"/>
      <w:marLeft w:val="0"/>
      <w:marRight w:val="0"/>
      <w:marTop w:val="0"/>
      <w:marBottom w:val="0"/>
      <w:divBdr>
        <w:top w:val="none" w:sz="0" w:space="0" w:color="auto"/>
        <w:left w:val="none" w:sz="0" w:space="0" w:color="auto"/>
        <w:bottom w:val="none" w:sz="0" w:space="0" w:color="auto"/>
        <w:right w:val="none" w:sz="0" w:space="0" w:color="auto"/>
      </w:divBdr>
    </w:div>
    <w:div w:id="481388696">
      <w:bodyDiv w:val="1"/>
      <w:marLeft w:val="0"/>
      <w:marRight w:val="0"/>
      <w:marTop w:val="0"/>
      <w:marBottom w:val="0"/>
      <w:divBdr>
        <w:top w:val="none" w:sz="0" w:space="0" w:color="auto"/>
        <w:left w:val="none" w:sz="0" w:space="0" w:color="auto"/>
        <w:bottom w:val="none" w:sz="0" w:space="0" w:color="auto"/>
        <w:right w:val="none" w:sz="0" w:space="0" w:color="auto"/>
      </w:divBdr>
    </w:div>
    <w:div w:id="481773796">
      <w:bodyDiv w:val="1"/>
      <w:marLeft w:val="0"/>
      <w:marRight w:val="0"/>
      <w:marTop w:val="0"/>
      <w:marBottom w:val="0"/>
      <w:divBdr>
        <w:top w:val="none" w:sz="0" w:space="0" w:color="auto"/>
        <w:left w:val="none" w:sz="0" w:space="0" w:color="auto"/>
        <w:bottom w:val="none" w:sz="0" w:space="0" w:color="auto"/>
        <w:right w:val="none" w:sz="0" w:space="0" w:color="auto"/>
      </w:divBdr>
    </w:div>
    <w:div w:id="482892347">
      <w:bodyDiv w:val="1"/>
      <w:marLeft w:val="0"/>
      <w:marRight w:val="0"/>
      <w:marTop w:val="0"/>
      <w:marBottom w:val="0"/>
      <w:divBdr>
        <w:top w:val="none" w:sz="0" w:space="0" w:color="auto"/>
        <w:left w:val="none" w:sz="0" w:space="0" w:color="auto"/>
        <w:bottom w:val="none" w:sz="0" w:space="0" w:color="auto"/>
        <w:right w:val="none" w:sz="0" w:space="0" w:color="auto"/>
      </w:divBdr>
    </w:div>
    <w:div w:id="482895837">
      <w:bodyDiv w:val="1"/>
      <w:marLeft w:val="0"/>
      <w:marRight w:val="0"/>
      <w:marTop w:val="0"/>
      <w:marBottom w:val="0"/>
      <w:divBdr>
        <w:top w:val="none" w:sz="0" w:space="0" w:color="auto"/>
        <w:left w:val="none" w:sz="0" w:space="0" w:color="auto"/>
        <w:bottom w:val="none" w:sz="0" w:space="0" w:color="auto"/>
        <w:right w:val="none" w:sz="0" w:space="0" w:color="auto"/>
      </w:divBdr>
    </w:div>
    <w:div w:id="483664492">
      <w:bodyDiv w:val="1"/>
      <w:marLeft w:val="0"/>
      <w:marRight w:val="0"/>
      <w:marTop w:val="0"/>
      <w:marBottom w:val="0"/>
      <w:divBdr>
        <w:top w:val="none" w:sz="0" w:space="0" w:color="auto"/>
        <w:left w:val="none" w:sz="0" w:space="0" w:color="auto"/>
        <w:bottom w:val="none" w:sz="0" w:space="0" w:color="auto"/>
        <w:right w:val="none" w:sz="0" w:space="0" w:color="auto"/>
      </w:divBdr>
    </w:div>
    <w:div w:id="483815091">
      <w:bodyDiv w:val="1"/>
      <w:marLeft w:val="0"/>
      <w:marRight w:val="0"/>
      <w:marTop w:val="0"/>
      <w:marBottom w:val="0"/>
      <w:divBdr>
        <w:top w:val="none" w:sz="0" w:space="0" w:color="auto"/>
        <w:left w:val="none" w:sz="0" w:space="0" w:color="auto"/>
        <w:bottom w:val="none" w:sz="0" w:space="0" w:color="auto"/>
        <w:right w:val="none" w:sz="0" w:space="0" w:color="auto"/>
      </w:divBdr>
    </w:div>
    <w:div w:id="484589279">
      <w:bodyDiv w:val="1"/>
      <w:marLeft w:val="0"/>
      <w:marRight w:val="0"/>
      <w:marTop w:val="0"/>
      <w:marBottom w:val="0"/>
      <w:divBdr>
        <w:top w:val="none" w:sz="0" w:space="0" w:color="auto"/>
        <w:left w:val="none" w:sz="0" w:space="0" w:color="auto"/>
        <w:bottom w:val="none" w:sz="0" w:space="0" w:color="auto"/>
        <w:right w:val="none" w:sz="0" w:space="0" w:color="auto"/>
      </w:divBdr>
    </w:div>
    <w:div w:id="485243518">
      <w:bodyDiv w:val="1"/>
      <w:marLeft w:val="0"/>
      <w:marRight w:val="0"/>
      <w:marTop w:val="0"/>
      <w:marBottom w:val="0"/>
      <w:divBdr>
        <w:top w:val="none" w:sz="0" w:space="0" w:color="auto"/>
        <w:left w:val="none" w:sz="0" w:space="0" w:color="auto"/>
        <w:bottom w:val="none" w:sz="0" w:space="0" w:color="auto"/>
        <w:right w:val="none" w:sz="0" w:space="0" w:color="auto"/>
      </w:divBdr>
    </w:div>
    <w:div w:id="485249012">
      <w:bodyDiv w:val="1"/>
      <w:marLeft w:val="0"/>
      <w:marRight w:val="0"/>
      <w:marTop w:val="0"/>
      <w:marBottom w:val="0"/>
      <w:divBdr>
        <w:top w:val="none" w:sz="0" w:space="0" w:color="auto"/>
        <w:left w:val="none" w:sz="0" w:space="0" w:color="auto"/>
        <w:bottom w:val="none" w:sz="0" w:space="0" w:color="auto"/>
        <w:right w:val="none" w:sz="0" w:space="0" w:color="auto"/>
      </w:divBdr>
    </w:div>
    <w:div w:id="486095472">
      <w:bodyDiv w:val="1"/>
      <w:marLeft w:val="0"/>
      <w:marRight w:val="0"/>
      <w:marTop w:val="0"/>
      <w:marBottom w:val="0"/>
      <w:divBdr>
        <w:top w:val="none" w:sz="0" w:space="0" w:color="auto"/>
        <w:left w:val="none" w:sz="0" w:space="0" w:color="auto"/>
        <w:bottom w:val="none" w:sz="0" w:space="0" w:color="auto"/>
        <w:right w:val="none" w:sz="0" w:space="0" w:color="auto"/>
      </w:divBdr>
    </w:div>
    <w:div w:id="486212977">
      <w:bodyDiv w:val="1"/>
      <w:marLeft w:val="0"/>
      <w:marRight w:val="0"/>
      <w:marTop w:val="0"/>
      <w:marBottom w:val="0"/>
      <w:divBdr>
        <w:top w:val="none" w:sz="0" w:space="0" w:color="auto"/>
        <w:left w:val="none" w:sz="0" w:space="0" w:color="auto"/>
        <w:bottom w:val="none" w:sz="0" w:space="0" w:color="auto"/>
        <w:right w:val="none" w:sz="0" w:space="0" w:color="auto"/>
      </w:divBdr>
    </w:div>
    <w:div w:id="486366958">
      <w:bodyDiv w:val="1"/>
      <w:marLeft w:val="0"/>
      <w:marRight w:val="0"/>
      <w:marTop w:val="0"/>
      <w:marBottom w:val="0"/>
      <w:divBdr>
        <w:top w:val="none" w:sz="0" w:space="0" w:color="auto"/>
        <w:left w:val="none" w:sz="0" w:space="0" w:color="auto"/>
        <w:bottom w:val="none" w:sz="0" w:space="0" w:color="auto"/>
        <w:right w:val="none" w:sz="0" w:space="0" w:color="auto"/>
      </w:divBdr>
    </w:div>
    <w:div w:id="486898441">
      <w:bodyDiv w:val="1"/>
      <w:marLeft w:val="0"/>
      <w:marRight w:val="0"/>
      <w:marTop w:val="0"/>
      <w:marBottom w:val="0"/>
      <w:divBdr>
        <w:top w:val="none" w:sz="0" w:space="0" w:color="auto"/>
        <w:left w:val="none" w:sz="0" w:space="0" w:color="auto"/>
        <w:bottom w:val="none" w:sz="0" w:space="0" w:color="auto"/>
        <w:right w:val="none" w:sz="0" w:space="0" w:color="auto"/>
      </w:divBdr>
    </w:div>
    <w:div w:id="487090716">
      <w:bodyDiv w:val="1"/>
      <w:marLeft w:val="0"/>
      <w:marRight w:val="0"/>
      <w:marTop w:val="0"/>
      <w:marBottom w:val="0"/>
      <w:divBdr>
        <w:top w:val="none" w:sz="0" w:space="0" w:color="auto"/>
        <w:left w:val="none" w:sz="0" w:space="0" w:color="auto"/>
        <w:bottom w:val="none" w:sz="0" w:space="0" w:color="auto"/>
        <w:right w:val="none" w:sz="0" w:space="0" w:color="auto"/>
      </w:divBdr>
    </w:div>
    <w:div w:id="487407714">
      <w:bodyDiv w:val="1"/>
      <w:marLeft w:val="0"/>
      <w:marRight w:val="0"/>
      <w:marTop w:val="0"/>
      <w:marBottom w:val="0"/>
      <w:divBdr>
        <w:top w:val="none" w:sz="0" w:space="0" w:color="auto"/>
        <w:left w:val="none" w:sz="0" w:space="0" w:color="auto"/>
        <w:bottom w:val="none" w:sz="0" w:space="0" w:color="auto"/>
        <w:right w:val="none" w:sz="0" w:space="0" w:color="auto"/>
      </w:divBdr>
    </w:div>
    <w:div w:id="487985350">
      <w:bodyDiv w:val="1"/>
      <w:marLeft w:val="0"/>
      <w:marRight w:val="0"/>
      <w:marTop w:val="0"/>
      <w:marBottom w:val="0"/>
      <w:divBdr>
        <w:top w:val="none" w:sz="0" w:space="0" w:color="auto"/>
        <w:left w:val="none" w:sz="0" w:space="0" w:color="auto"/>
        <w:bottom w:val="none" w:sz="0" w:space="0" w:color="auto"/>
        <w:right w:val="none" w:sz="0" w:space="0" w:color="auto"/>
      </w:divBdr>
    </w:div>
    <w:div w:id="488136685">
      <w:bodyDiv w:val="1"/>
      <w:marLeft w:val="0"/>
      <w:marRight w:val="0"/>
      <w:marTop w:val="0"/>
      <w:marBottom w:val="0"/>
      <w:divBdr>
        <w:top w:val="none" w:sz="0" w:space="0" w:color="auto"/>
        <w:left w:val="none" w:sz="0" w:space="0" w:color="auto"/>
        <w:bottom w:val="none" w:sz="0" w:space="0" w:color="auto"/>
        <w:right w:val="none" w:sz="0" w:space="0" w:color="auto"/>
      </w:divBdr>
    </w:div>
    <w:div w:id="488206436">
      <w:bodyDiv w:val="1"/>
      <w:marLeft w:val="0"/>
      <w:marRight w:val="0"/>
      <w:marTop w:val="0"/>
      <w:marBottom w:val="0"/>
      <w:divBdr>
        <w:top w:val="none" w:sz="0" w:space="0" w:color="auto"/>
        <w:left w:val="none" w:sz="0" w:space="0" w:color="auto"/>
        <w:bottom w:val="none" w:sz="0" w:space="0" w:color="auto"/>
        <w:right w:val="none" w:sz="0" w:space="0" w:color="auto"/>
      </w:divBdr>
    </w:div>
    <w:div w:id="488593295">
      <w:bodyDiv w:val="1"/>
      <w:marLeft w:val="0"/>
      <w:marRight w:val="0"/>
      <w:marTop w:val="0"/>
      <w:marBottom w:val="0"/>
      <w:divBdr>
        <w:top w:val="none" w:sz="0" w:space="0" w:color="auto"/>
        <w:left w:val="none" w:sz="0" w:space="0" w:color="auto"/>
        <w:bottom w:val="none" w:sz="0" w:space="0" w:color="auto"/>
        <w:right w:val="none" w:sz="0" w:space="0" w:color="auto"/>
      </w:divBdr>
    </w:div>
    <w:div w:id="489520824">
      <w:bodyDiv w:val="1"/>
      <w:marLeft w:val="0"/>
      <w:marRight w:val="0"/>
      <w:marTop w:val="0"/>
      <w:marBottom w:val="0"/>
      <w:divBdr>
        <w:top w:val="none" w:sz="0" w:space="0" w:color="auto"/>
        <w:left w:val="none" w:sz="0" w:space="0" w:color="auto"/>
        <w:bottom w:val="none" w:sz="0" w:space="0" w:color="auto"/>
        <w:right w:val="none" w:sz="0" w:space="0" w:color="auto"/>
      </w:divBdr>
    </w:div>
    <w:div w:id="489685845">
      <w:bodyDiv w:val="1"/>
      <w:marLeft w:val="0"/>
      <w:marRight w:val="0"/>
      <w:marTop w:val="0"/>
      <w:marBottom w:val="0"/>
      <w:divBdr>
        <w:top w:val="none" w:sz="0" w:space="0" w:color="auto"/>
        <w:left w:val="none" w:sz="0" w:space="0" w:color="auto"/>
        <w:bottom w:val="none" w:sz="0" w:space="0" w:color="auto"/>
        <w:right w:val="none" w:sz="0" w:space="0" w:color="auto"/>
      </w:divBdr>
    </w:div>
    <w:div w:id="489752521">
      <w:bodyDiv w:val="1"/>
      <w:marLeft w:val="0"/>
      <w:marRight w:val="0"/>
      <w:marTop w:val="0"/>
      <w:marBottom w:val="0"/>
      <w:divBdr>
        <w:top w:val="none" w:sz="0" w:space="0" w:color="auto"/>
        <w:left w:val="none" w:sz="0" w:space="0" w:color="auto"/>
        <w:bottom w:val="none" w:sz="0" w:space="0" w:color="auto"/>
        <w:right w:val="none" w:sz="0" w:space="0" w:color="auto"/>
      </w:divBdr>
    </w:div>
    <w:div w:id="491144251">
      <w:bodyDiv w:val="1"/>
      <w:marLeft w:val="0"/>
      <w:marRight w:val="0"/>
      <w:marTop w:val="0"/>
      <w:marBottom w:val="0"/>
      <w:divBdr>
        <w:top w:val="none" w:sz="0" w:space="0" w:color="auto"/>
        <w:left w:val="none" w:sz="0" w:space="0" w:color="auto"/>
        <w:bottom w:val="none" w:sz="0" w:space="0" w:color="auto"/>
        <w:right w:val="none" w:sz="0" w:space="0" w:color="auto"/>
      </w:divBdr>
    </w:div>
    <w:div w:id="491219535">
      <w:bodyDiv w:val="1"/>
      <w:marLeft w:val="0"/>
      <w:marRight w:val="0"/>
      <w:marTop w:val="0"/>
      <w:marBottom w:val="0"/>
      <w:divBdr>
        <w:top w:val="none" w:sz="0" w:space="0" w:color="auto"/>
        <w:left w:val="none" w:sz="0" w:space="0" w:color="auto"/>
        <w:bottom w:val="none" w:sz="0" w:space="0" w:color="auto"/>
        <w:right w:val="none" w:sz="0" w:space="0" w:color="auto"/>
      </w:divBdr>
    </w:div>
    <w:div w:id="491289058">
      <w:bodyDiv w:val="1"/>
      <w:marLeft w:val="0"/>
      <w:marRight w:val="0"/>
      <w:marTop w:val="0"/>
      <w:marBottom w:val="0"/>
      <w:divBdr>
        <w:top w:val="none" w:sz="0" w:space="0" w:color="auto"/>
        <w:left w:val="none" w:sz="0" w:space="0" w:color="auto"/>
        <w:bottom w:val="none" w:sz="0" w:space="0" w:color="auto"/>
        <w:right w:val="none" w:sz="0" w:space="0" w:color="auto"/>
      </w:divBdr>
    </w:div>
    <w:div w:id="491415107">
      <w:bodyDiv w:val="1"/>
      <w:marLeft w:val="0"/>
      <w:marRight w:val="0"/>
      <w:marTop w:val="0"/>
      <w:marBottom w:val="0"/>
      <w:divBdr>
        <w:top w:val="none" w:sz="0" w:space="0" w:color="auto"/>
        <w:left w:val="none" w:sz="0" w:space="0" w:color="auto"/>
        <w:bottom w:val="none" w:sz="0" w:space="0" w:color="auto"/>
        <w:right w:val="none" w:sz="0" w:space="0" w:color="auto"/>
      </w:divBdr>
    </w:div>
    <w:div w:id="491603676">
      <w:bodyDiv w:val="1"/>
      <w:marLeft w:val="0"/>
      <w:marRight w:val="0"/>
      <w:marTop w:val="0"/>
      <w:marBottom w:val="0"/>
      <w:divBdr>
        <w:top w:val="none" w:sz="0" w:space="0" w:color="auto"/>
        <w:left w:val="none" w:sz="0" w:space="0" w:color="auto"/>
        <w:bottom w:val="none" w:sz="0" w:space="0" w:color="auto"/>
        <w:right w:val="none" w:sz="0" w:space="0" w:color="auto"/>
      </w:divBdr>
    </w:div>
    <w:div w:id="491717840">
      <w:bodyDiv w:val="1"/>
      <w:marLeft w:val="0"/>
      <w:marRight w:val="0"/>
      <w:marTop w:val="0"/>
      <w:marBottom w:val="0"/>
      <w:divBdr>
        <w:top w:val="none" w:sz="0" w:space="0" w:color="auto"/>
        <w:left w:val="none" w:sz="0" w:space="0" w:color="auto"/>
        <w:bottom w:val="none" w:sz="0" w:space="0" w:color="auto"/>
        <w:right w:val="none" w:sz="0" w:space="0" w:color="auto"/>
      </w:divBdr>
    </w:div>
    <w:div w:id="492378207">
      <w:bodyDiv w:val="1"/>
      <w:marLeft w:val="0"/>
      <w:marRight w:val="0"/>
      <w:marTop w:val="0"/>
      <w:marBottom w:val="0"/>
      <w:divBdr>
        <w:top w:val="none" w:sz="0" w:space="0" w:color="auto"/>
        <w:left w:val="none" w:sz="0" w:space="0" w:color="auto"/>
        <w:bottom w:val="none" w:sz="0" w:space="0" w:color="auto"/>
        <w:right w:val="none" w:sz="0" w:space="0" w:color="auto"/>
      </w:divBdr>
    </w:div>
    <w:div w:id="492569607">
      <w:bodyDiv w:val="1"/>
      <w:marLeft w:val="0"/>
      <w:marRight w:val="0"/>
      <w:marTop w:val="0"/>
      <w:marBottom w:val="0"/>
      <w:divBdr>
        <w:top w:val="none" w:sz="0" w:space="0" w:color="auto"/>
        <w:left w:val="none" w:sz="0" w:space="0" w:color="auto"/>
        <w:bottom w:val="none" w:sz="0" w:space="0" w:color="auto"/>
        <w:right w:val="none" w:sz="0" w:space="0" w:color="auto"/>
      </w:divBdr>
    </w:div>
    <w:div w:id="493498155">
      <w:bodyDiv w:val="1"/>
      <w:marLeft w:val="0"/>
      <w:marRight w:val="0"/>
      <w:marTop w:val="0"/>
      <w:marBottom w:val="0"/>
      <w:divBdr>
        <w:top w:val="none" w:sz="0" w:space="0" w:color="auto"/>
        <w:left w:val="none" w:sz="0" w:space="0" w:color="auto"/>
        <w:bottom w:val="none" w:sz="0" w:space="0" w:color="auto"/>
        <w:right w:val="none" w:sz="0" w:space="0" w:color="auto"/>
      </w:divBdr>
    </w:div>
    <w:div w:id="494035681">
      <w:bodyDiv w:val="1"/>
      <w:marLeft w:val="0"/>
      <w:marRight w:val="0"/>
      <w:marTop w:val="0"/>
      <w:marBottom w:val="0"/>
      <w:divBdr>
        <w:top w:val="none" w:sz="0" w:space="0" w:color="auto"/>
        <w:left w:val="none" w:sz="0" w:space="0" w:color="auto"/>
        <w:bottom w:val="none" w:sz="0" w:space="0" w:color="auto"/>
        <w:right w:val="none" w:sz="0" w:space="0" w:color="auto"/>
      </w:divBdr>
    </w:div>
    <w:div w:id="494223966">
      <w:bodyDiv w:val="1"/>
      <w:marLeft w:val="0"/>
      <w:marRight w:val="0"/>
      <w:marTop w:val="0"/>
      <w:marBottom w:val="0"/>
      <w:divBdr>
        <w:top w:val="none" w:sz="0" w:space="0" w:color="auto"/>
        <w:left w:val="none" w:sz="0" w:space="0" w:color="auto"/>
        <w:bottom w:val="none" w:sz="0" w:space="0" w:color="auto"/>
        <w:right w:val="none" w:sz="0" w:space="0" w:color="auto"/>
      </w:divBdr>
    </w:div>
    <w:div w:id="494804189">
      <w:bodyDiv w:val="1"/>
      <w:marLeft w:val="0"/>
      <w:marRight w:val="0"/>
      <w:marTop w:val="0"/>
      <w:marBottom w:val="0"/>
      <w:divBdr>
        <w:top w:val="none" w:sz="0" w:space="0" w:color="auto"/>
        <w:left w:val="none" w:sz="0" w:space="0" w:color="auto"/>
        <w:bottom w:val="none" w:sz="0" w:space="0" w:color="auto"/>
        <w:right w:val="none" w:sz="0" w:space="0" w:color="auto"/>
      </w:divBdr>
    </w:div>
    <w:div w:id="495194718">
      <w:bodyDiv w:val="1"/>
      <w:marLeft w:val="0"/>
      <w:marRight w:val="0"/>
      <w:marTop w:val="0"/>
      <w:marBottom w:val="0"/>
      <w:divBdr>
        <w:top w:val="none" w:sz="0" w:space="0" w:color="auto"/>
        <w:left w:val="none" w:sz="0" w:space="0" w:color="auto"/>
        <w:bottom w:val="none" w:sz="0" w:space="0" w:color="auto"/>
        <w:right w:val="none" w:sz="0" w:space="0" w:color="auto"/>
      </w:divBdr>
    </w:div>
    <w:div w:id="495805510">
      <w:bodyDiv w:val="1"/>
      <w:marLeft w:val="0"/>
      <w:marRight w:val="0"/>
      <w:marTop w:val="0"/>
      <w:marBottom w:val="0"/>
      <w:divBdr>
        <w:top w:val="none" w:sz="0" w:space="0" w:color="auto"/>
        <w:left w:val="none" w:sz="0" w:space="0" w:color="auto"/>
        <w:bottom w:val="none" w:sz="0" w:space="0" w:color="auto"/>
        <w:right w:val="none" w:sz="0" w:space="0" w:color="auto"/>
      </w:divBdr>
    </w:div>
    <w:div w:id="495809288">
      <w:bodyDiv w:val="1"/>
      <w:marLeft w:val="0"/>
      <w:marRight w:val="0"/>
      <w:marTop w:val="0"/>
      <w:marBottom w:val="0"/>
      <w:divBdr>
        <w:top w:val="none" w:sz="0" w:space="0" w:color="auto"/>
        <w:left w:val="none" w:sz="0" w:space="0" w:color="auto"/>
        <w:bottom w:val="none" w:sz="0" w:space="0" w:color="auto"/>
        <w:right w:val="none" w:sz="0" w:space="0" w:color="auto"/>
      </w:divBdr>
    </w:div>
    <w:div w:id="495846541">
      <w:bodyDiv w:val="1"/>
      <w:marLeft w:val="0"/>
      <w:marRight w:val="0"/>
      <w:marTop w:val="0"/>
      <w:marBottom w:val="0"/>
      <w:divBdr>
        <w:top w:val="none" w:sz="0" w:space="0" w:color="auto"/>
        <w:left w:val="none" w:sz="0" w:space="0" w:color="auto"/>
        <w:bottom w:val="none" w:sz="0" w:space="0" w:color="auto"/>
        <w:right w:val="none" w:sz="0" w:space="0" w:color="auto"/>
      </w:divBdr>
    </w:div>
    <w:div w:id="496265071">
      <w:bodyDiv w:val="1"/>
      <w:marLeft w:val="0"/>
      <w:marRight w:val="0"/>
      <w:marTop w:val="0"/>
      <w:marBottom w:val="0"/>
      <w:divBdr>
        <w:top w:val="none" w:sz="0" w:space="0" w:color="auto"/>
        <w:left w:val="none" w:sz="0" w:space="0" w:color="auto"/>
        <w:bottom w:val="none" w:sz="0" w:space="0" w:color="auto"/>
        <w:right w:val="none" w:sz="0" w:space="0" w:color="auto"/>
      </w:divBdr>
    </w:div>
    <w:div w:id="496311012">
      <w:bodyDiv w:val="1"/>
      <w:marLeft w:val="0"/>
      <w:marRight w:val="0"/>
      <w:marTop w:val="0"/>
      <w:marBottom w:val="0"/>
      <w:divBdr>
        <w:top w:val="none" w:sz="0" w:space="0" w:color="auto"/>
        <w:left w:val="none" w:sz="0" w:space="0" w:color="auto"/>
        <w:bottom w:val="none" w:sz="0" w:space="0" w:color="auto"/>
        <w:right w:val="none" w:sz="0" w:space="0" w:color="auto"/>
      </w:divBdr>
    </w:div>
    <w:div w:id="496770150">
      <w:bodyDiv w:val="1"/>
      <w:marLeft w:val="0"/>
      <w:marRight w:val="0"/>
      <w:marTop w:val="0"/>
      <w:marBottom w:val="0"/>
      <w:divBdr>
        <w:top w:val="none" w:sz="0" w:space="0" w:color="auto"/>
        <w:left w:val="none" w:sz="0" w:space="0" w:color="auto"/>
        <w:bottom w:val="none" w:sz="0" w:space="0" w:color="auto"/>
        <w:right w:val="none" w:sz="0" w:space="0" w:color="auto"/>
      </w:divBdr>
    </w:div>
    <w:div w:id="497117312">
      <w:bodyDiv w:val="1"/>
      <w:marLeft w:val="0"/>
      <w:marRight w:val="0"/>
      <w:marTop w:val="0"/>
      <w:marBottom w:val="0"/>
      <w:divBdr>
        <w:top w:val="none" w:sz="0" w:space="0" w:color="auto"/>
        <w:left w:val="none" w:sz="0" w:space="0" w:color="auto"/>
        <w:bottom w:val="none" w:sz="0" w:space="0" w:color="auto"/>
        <w:right w:val="none" w:sz="0" w:space="0" w:color="auto"/>
      </w:divBdr>
    </w:div>
    <w:div w:id="497425198">
      <w:bodyDiv w:val="1"/>
      <w:marLeft w:val="0"/>
      <w:marRight w:val="0"/>
      <w:marTop w:val="0"/>
      <w:marBottom w:val="0"/>
      <w:divBdr>
        <w:top w:val="none" w:sz="0" w:space="0" w:color="auto"/>
        <w:left w:val="none" w:sz="0" w:space="0" w:color="auto"/>
        <w:bottom w:val="none" w:sz="0" w:space="0" w:color="auto"/>
        <w:right w:val="none" w:sz="0" w:space="0" w:color="auto"/>
      </w:divBdr>
    </w:div>
    <w:div w:id="497621354">
      <w:bodyDiv w:val="1"/>
      <w:marLeft w:val="0"/>
      <w:marRight w:val="0"/>
      <w:marTop w:val="0"/>
      <w:marBottom w:val="0"/>
      <w:divBdr>
        <w:top w:val="none" w:sz="0" w:space="0" w:color="auto"/>
        <w:left w:val="none" w:sz="0" w:space="0" w:color="auto"/>
        <w:bottom w:val="none" w:sz="0" w:space="0" w:color="auto"/>
        <w:right w:val="none" w:sz="0" w:space="0" w:color="auto"/>
      </w:divBdr>
    </w:div>
    <w:div w:id="498279360">
      <w:bodyDiv w:val="1"/>
      <w:marLeft w:val="0"/>
      <w:marRight w:val="0"/>
      <w:marTop w:val="0"/>
      <w:marBottom w:val="0"/>
      <w:divBdr>
        <w:top w:val="none" w:sz="0" w:space="0" w:color="auto"/>
        <w:left w:val="none" w:sz="0" w:space="0" w:color="auto"/>
        <w:bottom w:val="none" w:sz="0" w:space="0" w:color="auto"/>
        <w:right w:val="none" w:sz="0" w:space="0" w:color="auto"/>
      </w:divBdr>
    </w:div>
    <w:div w:id="499151830">
      <w:bodyDiv w:val="1"/>
      <w:marLeft w:val="0"/>
      <w:marRight w:val="0"/>
      <w:marTop w:val="0"/>
      <w:marBottom w:val="0"/>
      <w:divBdr>
        <w:top w:val="none" w:sz="0" w:space="0" w:color="auto"/>
        <w:left w:val="none" w:sz="0" w:space="0" w:color="auto"/>
        <w:bottom w:val="none" w:sz="0" w:space="0" w:color="auto"/>
        <w:right w:val="none" w:sz="0" w:space="0" w:color="auto"/>
      </w:divBdr>
    </w:div>
    <w:div w:id="499779388">
      <w:bodyDiv w:val="1"/>
      <w:marLeft w:val="0"/>
      <w:marRight w:val="0"/>
      <w:marTop w:val="0"/>
      <w:marBottom w:val="0"/>
      <w:divBdr>
        <w:top w:val="none" w:sz="0" w:space="0" w:color="auto"/>
        <w:left w:val="none" w:sz="0" w:space="0" w:color="auto"/>
        <w:bottom w:val="none" w:sz="0" w:space="0" w:color="auto"/>
        <w:right w:val="none" w:sz="0" w:space="0" w:color="auto"/>
      </w:divBdr>
    </w:div>
    <w:div w:id="500580964">
      <w:bodyDiv w:val="1"/>
      <w:marLeft w:val="0"/>
      <w:marRight w:val="0"/>
      <w:marTop w:val="0"/>
      <w:marBottom w:val="0"/>
      <w:divBdr>
        <w:top w:val="none" w:sz="0" w:space="0" w:color="auto"/>
        <w:left w:val="none" w:sz="0" w:space="0" w:color="auto"/>
        <w:bottom w:val="none" w:sz="0" w:space="0" w:color="auto"/>
        <w:right w:val="none" w:sz="0" w:space="0" w:color="auto"/>
      </w:divBdr>
    </w:div>
    <w:div w:id="500892369">
      <w:bodyDiv w:val="1"/>
      <w:marLeft w:val="0"/>
      <w:marRight w:val="0"/>
      <w:marTop w:val="0"/>
      <w:marBottom w:val="0"/>
      <w:divBdr>
        <w:top w:val="none" w:sz="0" w:space="0" w:color="auto"/>
        <w:left w:val="none" w:sz="0" w:space="0" w:color="auto"/>
        <w:bottom w:val="none" w:sz="0" w:space="0" w:color="auto"/>
        <w:right w:val="none" w:sz="0" w:space="0" w:color="auto"/>
      </w:divBdr>
    </w:div>
    <w:div w:id="500974373">
      <w:bodyDiv w:val="1"/>
      <w:marLeft w:val="0"/>
      <w:marRight w:val="0"/>
      <w:marTop w:val="0"/>
      <w:marBottom w:val="0"/>
      <w:divBdr>
        <w:top w:val="none" w:sz="0" w:space="0" w:color="auto"/>
        <w:left w:val="none" w:sz="0" w:space="0" w:color="auto"/>
        <w:bottom w:val="none" w:sz="0" w:space="0" w:color="auto"/>
        <w:right w:val="none" w:sz="0" w:space="0" w:color="auto"/>
      </w:divBdr>
    </w:div>
    <w:div w:id="501090070">
      <w:bodyDiv w:val="1"/>
      <w:marLeft w:val="0"/>
      <w:marRight w:val="0"/>
      <w:marTop w:val="0"/>
      <w:marBottom w:val="0"/>
      <w:divBdr>
        <w:top w:val="none" w:sz="0" w:space="0" w:color="auto"/>
        <w:left w:val="none" w:sz="0" w:space="0" w:color="auto"/>
        <w:bottom w:val="none" w:sz="0" w:space="0" w:color="auto"/>
        <w:right w:val="none" w:sz="0" w:space="0" w:color="auto"/>
      </w:divBdr>
    </w:div>
    <w:div w:id="501775651">
      <w:bodyDiv w:val="1"/>
      <w:marLeft w:val="0"/>
      <w:marRight w:val="0"/>
      <w:marTop w:val="0"/>
      <w:marBottom w:val="0"/>
      <w:divBdr>
        <w:top w:val="none" w:sz="0" w:space="0" w:color="auto"/>
        <w:left w:val="none" w:sz="0" w:space="0" w:color="auto"/>
        <w:bottom w:val="none" w:sz="0" w:space="0" w:color="auto"/>
        <w:right w:val="none" w:sz="0" w:space="0" w:color="auto"/>
      </w:divBdr>
    </w:div>
    <w:div w:id="501896764">
      <w:bodyDiv w:val="1"/>
      <w:marLeft w:val="0"/>
      <w:marRight w:val="0"/>
      <w:marTop w:val="0"/>
      <w:marBottom w:val="0"/>
      <w:divBdr>
        <w:top w:val="none" w:sz="0" w:space="0" w:color="auto"/>
        <w:left w:val="none" w:sz="0" w:space="0" w:color="auto"/>
        <w:bottom w:val="none" w:sz="0" w:space="0" w:color="auto"/>
        <w:right w:val="none" w:sz="0" w:space="0" w:color="auto"/>
      </w:divBdr>
    </w:div>
    <w:div w:id="502820036">
      <w:bodyDiv w:val="1"/>
      <w:marLeft w:val="0"/>
      <w:marRight w:val="0"/>
      <w:marTop w:val="0"/>
      <w:marBottom w:val="0"/>
      <w:divBdr>
        <w:top w:val="none" w:sz="0" w:space="0" w:color="auto"/>
        <w:left w:val="none" w:sz="0" w:space="0" w:color="auto"/>
        <w:bottom w:val="none" w:sz="0" w:space="0" w:color="auto"/>
        <w:right w:val="none" w:sz="0" w:space="0" w:color="auto"/>
      </w:divBdr>
    </w:div>
    <w:div w:id="502821492">
      <w:bodyDiv w:val="1"/>
      <w:marLeft w:val="0"/>
      <w:marRight w:val="0"/>
      <w:marTop w:val="0"/>
      <w:marBottom w:val="0"/>
      <w:divBdr>
        <w:top w:val="none" w:sz="0" w:space="0" w:color="auto"/>
        <w:left w:val="none" w:sz="0" w:space="0" w:color="auto"/>
        <w:bottom w:val="none" w:sz="0" w:space="0" w:color="auto"/>
        <w:right w:val="none" w:sz="0" w:space="0" w:color="auto"/>
      </w:divBdr>
    </w:div>
    <w:div w:id="502937598">
      <w:bodyDiv w:val="1"/>
      <w:marLeft w:val="0"/>
      <w:marRight w:val="0"/>
      <w:marTop w:val="0"/>
      <w:marBottom w:val="0"/>
      <w:divBdr>
        <w:top w:val="none" w:sz="0" w:space="0" w:color="auto"/>
        <w:left w:val="none" w:sz="0" w:space="0" w:color="auto"/>
        <w:bottom w:val="none" w:sz="0" w:space="0" w:color="auto"/>
        <w:right w:val="none" w:sz="0" w:space="0" w:color="auto"/>
      </w:divBdr>
    </w:div>
    <w:div w:id="503083342">
      <w:bodyDiv w:val="1"/>
      <w:marLeft w:val="0"/>
      <w:marRight w:val="0"/>
      <w:marTop w:val="0"/>
      <w:marBottom w:val="0"/>
      <w:divBdr>
        <w:top w:val="none" w:sz="0" w:space="0" w:color="auto"/>
        <w:left w:val="none" w:sz="0" w:space="0" w:color="auto"/>
        <w:bottom w:val="none" w:sz="0" w:space="0" w:color="auto"/>
        <w:right w:val="none" w:sz="0" w:space="0" w:color="auto"/>
      </w:divBdr>
    </w:div>
    <w:div w:id="503713619">
      <w:bodyDiv w:val="1"/>
      <w:marLeft w:val="0"/>
      <w:marRight w:val="0"/>
      <w:marTop w:val="0"/>
      <w:marBottom w:val="0"/>
      <w:divBdr>
        <w:top w:val="none" w:sz="0" w:space="0" w:color="auto"/>
        <w:left w:val="none" w:sz="0" w:space="0" w:color="auto"/>
        <w:bottom w:val="none" w:sz="0" w:space="0" w:color="auto"/>
        <w:right w:val="none" w:sz="0" w:space="0" w:color="auto"/>
      </w:divBdr>
    </w:div>
    <w:div w:id="504637994">
      <w:bodyDiv w:val="1"/>
      <w:marLeft w:val="0"/>
      <w:marRight w:val="0"/>
      <w:marTop w:val="0"/>
      <w:marBottom w:val="0"/>
      <w:divBdr>
        <w:top w:val="none" w:sz="0" w:space="0" w:color="auto"/>
        <w:left w:val="none" w:sz="0" w:space="0" w:color="auto"/>
        <w:bottom w:val="none" w:sz="0" w:space="0" w:color="auto"/>
        <w:right w:val="none" w:sz="0" w:space="0" w:color="auto"/>
      </w:divBdr>
    </w:div>
    <w:div w:id="504788120">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05436484">
      <w:bodyDiv w:val="1"/>
      <w:marLeft w:val="0"/>
      <w:marRight w:val="0"/>
      <w:marTop w:val="0"/>
      <w:marBottom w:val="0"/>
      <w:divBdr>
        <w:top w:val="none" w:sz="0" w:space="0" w:color="auto"/>
        <w:left w:val="none" w:sz="0" w:space="0" w:color="auto"/>
        <w:bottom w:val="none" w:sz="0" w:space="0" w:color="auto"/>
        <w:right w:val="none" w:sz="0" w:space="0" w:color="auto"/>
      </w:divBdr>
    </w:div>
    <w:div w:id="505559198">
      <w:bodyDiv w:val="1"/>
      <w:marLeft w:val="0"/>
      <w:marRight w:val="0"/>
      <w:marTop w:val="0"/>
      <w:marBottom w:val="0"/>
      <w:divBdr>
        <w:top w:val="none" w:sz="0" w:space="0" w:color="auto"/>
        <w:left w:val="none" w:sz="0" w:space="0" w:color="auto"/>
        <w:bottom w:val="none" w:sz="0" w:space="0" w:color="auto"/>
        <w:right w:val="none" w:sz="0" w:space="0" w:color="auto"/>
      </w:divBdr>
    </w:div>
    <w:div w:id="505633416">
      <w:bodyDiv w:val="1"/>
      <w:marLeft w:val="0"/>
      <w:marRight w:val="0"/>
      <w:marTop w:val="0"/>
      <w:marBottom w:val="0"/>
      <w:divBdr>
        <w:top w:val="none" w:sz="0" w:space="0" w:color="auto"/>
        <w:left w:val="none" w:sz="0" w:space="0" w:color="auto"/>
        <w:bottom w:val="none" w:sz="0" w:space="0" w:color="auto"/>
        <w:right w:val="none" w:sz="0" w:space="0" w:color="auto"/>
      </w:divBdr>
    </w:div>
    <w:div w:id="505753020">
      <w:bodyDiv w:val="1"/>
      <w:marLeft w:val="0"/>
      <w:marRight w:val="0"/>
      <w:marTop w:val="0"/>
      <w:marBottom w:val="0"/>
      <w:divBdr>
        <w:top w:val="none" w:sz="0" w:space="0" w:color="auto"/>
        <w:left w:val="none" w:sz="0" w:space="0" w:color="auto"/>
        <w:bottom w:val="none" w:sz="0" w:space="0" w:color="auto"/>
        <w:right w:val="none" w:sz="0" w:space="0" w:color="auto"/>
      </w:divBdr>
    </w:div>
    <w:div w:id="506095328">
      <w:bodyDiv w:val="1"/>
      <w:marLeft w:val="0"/>
      <w:marRight w:val="0"/>
      <w:marTop w:val="0"/>
      <w:marBottom w:val="0"/>
      <w:divBdr>
        <w:top w:val="none" w:sz="0" w:space="0" w:color="auto"/>
        <w:left w:val="none" w:sz="0" w:space="0" w:color="auto"/>
        <w:bottom w:val="none" w:sz="0" w:space="0" w:color="auto"/>
        <w:right w:val="none" w:sz="0" w:space="0" w:color="auto"/>
      </w:divBdr>
    </w:div>
    <w:div w:id="506334592">
      <w:bodyDiv w:val="1"/>
      <w:marLeft w:val="0"/>
      <w:marRight w:val="0"/>
      <w:marTop w:val="0"/>
      <w:marBottom w:val="0"/>
      <w:divBdr>
        <w:top w:val="none" w:sz="0" w:space="0" w:color="auto"/>
        <w:left w:val="none" w:sz="0" w:space="0" w:color="auto"/>
        <w:bottom w:val="none" w:sz="0" w:space="0" w:color="auto"/>
        <w:right w:val="none" w:sz="0" w:space="0" w:color="auto"/>
      </w:divBdr>
    </w:div>
    <w:div w:id="506596942">
      <w:bodyDiv w:val="1"/>
      <w:marLeft w:val="0"/>
      <w:marRight w:val="0"/>
      <w:marTop w:val="0"/>
      <w:marBottom w:val="0"/>
      <w:divBdr>
        <w:top w:val="none" w:sz="0" w:space="0" w:color="auto"/>
        <w:left w:val="none" w:sz="0" w:space="0" w:color="auto"/>
        <w:bottom w:val="none" w:sz="0" w:space="0" w:color="auto"/>
        <w:right w:val="none" w:sz="0" w:space="0" w:color="auto"/>
      </w:divBdr>
    </w:div>
    <w:div w:id="506987434">
      <w:bodyDiv w:val="1"/>
      <w:marLeft w:val="0"/>
      <w:marRight w:val="0"/>
      <w:marTop w:val="0"/>
      <w:marBottom w:val="0"/>
      <w:divBdr>
        <w:top w:val="none" w:sz="0" w:space="0" w:color="auto"/>
        <w:left w:val="none" w:sz="0" w:space="0" w:color="auto"/>
        <w:bottom w:val="none" w:sz="0" w:space="0" w:color="auto"/>
        <w:right w:val="none" w:sz="0" w:space="0" w:color="auto"/>
      </w:divBdr>
    </w:div>
    <w:div w:id="508256798">
      <w:bodyDiv w:val="1"/>
      <w:marLeft w:val="0"/>
      <w:marRight w:val="0"/>
      <w:marTop w:val="0"/>
      <w:marBottom w:val="0"/>
      <w:divBdr>
        <w:top w:val="none" w:sz="0" w:space="0" w:color="auto"/>
        <w:left w:val="none" w:sz="0" w:space="0" w:color="auto"/>
        <w:bottom w:val="none" w:sz="0" w:space="0" w:color="auto"/>
        <w:right w:val="none" w:sz="0" w:space="0" w:color="auto"/>
      </w:divBdr>
    </w:div>
    <w:div w:id="508327537">
      <w:bodyDiv w:val="1"/>
      <w:marLeft w:val="0"/>
      <w:marRight w:val="0"/>
      <w:marTop w:val="0"/>
      <w:marBottom w:val="0"/>
      <w:divBdr>
        <w:top w:val="none" w:sz="0" w:space="0" w:color="auto"/>
        <w:left w:val="none" w:sz="0" w:space="0" w:color="auto"/>
        <w:bottom w:val="none" w:sz="0" w:space="0" w:color="auto"/>
        <w:right w:val="none" w:sz="0" w:space="0" w:color="auto"/>
      </w:divBdr>
    </w:div>
    <w:div w:id="508644222">
      <w:bodyDiv w:val="1"/>
      <w:marLeft w:val="0"/>
      <w:marRight w:val="0"/>
      <w:marTop w:val="0"/>
      <w:marBottom w:val="0"/>
      <w:divBdr>
        <w:top w:val="none" w:sz="0" w:space="0" w:color="auto"/>
        <w:left w:val="none" w:sz="0" w:space="0" w:color="auto"/>
        <w:bottom w:val="none" w:sz="0" w:space="0" w:color="auto"/>
        <w:right w:val="none" w:sz="0" w:space="0" w:color="auto"/>
      </w:divBdr>
    </w:div>
    <w:div w:id="509684764">
      <w:bodyDiv w:val="1"/>
      <w:marLeft w:val="0"/>
      <w:marRight w:val="0"/>
      <w:marTop w:val="0"/>
      <w:marBottom w:val="0"/>
      <w:divBdr>
        <w:top w:val="none" w:sz="0" w:space="0" w:color="auto"/>
        <w:left w:val="none" w:sz="0" w:space="0" w:color="auto"/>
        <w:bottom w:val="none" w:sz="0" w:space="0" w:color="auto"/>
        <w:right w:val="none" w:sz="0" w:space="0" w:color="auto"/>
      </w:divBdr>
    </w:div>
    <w:div w:id="510069649">
      <w:bodyDiv w:val="1"/>
      <w:marLeft w:val="0"/>
      <w:marRight w:val="0"/>
      <w:marTop w:val="0"/>
      <w:marBottom w:val="0"/>
      <w:divBdr>
        <w:top w:val="none" w:sz="0" w:space="0" w:color="auto"/>
        <w:left w:val="none" w:sz="0" w:space="0" w:color="auto"/>
        <w:bottom w:val="none" w:sz="0" w:space="0" w:color="auto"/>
        <w:right w:val="none" w:sz="0" w:space="0" w:color="auto"/>
      </w:divBdr>
    </w:div>
    <w:div w:id="510753859">
      <w:bodyDiv w:val="1"/>
      <w:marLeft w:val="0"/>
      <w:marRight w:val="0"/>
      <w:marTop w:val="0"/>
      <w:marBottom w:val="0"/>
      <w:divBdr>
        <w:top w:val="none" w:sz="0" w:space="0" w:color="auto"/>
        <w:left w:val="none" w:sz="0" w:space="0" w:color="auto"/>
        <w:bottom w:val="none" w:sz="0" w:space="0" w:color="auto"/>
        <w:right w:val="none" w:sz="0" w:space="0" w:color="auto"/>
      </w:divBdr>
    </w:div>
    <w:div w:id="511451187">
      <w:bodyDiv w:val="1"/>
      <w:marLeft w:val="0"/>
      <w:marRight w:val="0"/>
      <w:marTop w:val="0"/>
      <w:marBottom w:val="0"/>
      <w:divBdr>
        <w:top w:val="none" w:sz="0" w:space="0" w:color="auto"/>
        <w:left w:val="none" w:sz="0" w:space="0" w:color="auto"/>
        <w:bottom w:val="none" w:sz="0" w:space="0" w:color="auto"/>
        <w:right w:val="none" w:sz="0" w:space="0" w:color="auto"/>
      </w:divBdr>
    </w:div>
    <w:div w:id="511919110">
      <w:bodyDiv w:val="1"/>
      <w:marLeft w:val="0"/>
      <w:marRight w:val="0"/>
      <w:marTop w:val="0"/>
      <w:marBottom w:val="0"/>
      <w:divBdr>
        <w:top w:val="none" w:sz="0" w:space="0" w:color="auto"/>
        <w:left w:val="none" w:sz="0" w:space="0" w:color="auto"/>
        <w:bottom w:val="none" w:sz="0" w:space="0" w:color="auto"/>
        <w:right w:val="none" w:sz="0" w:space="0" w:color="auto"/>
      </w:divBdr>
    </w:div>
    <w:div w:id="511997905">
      <w:bodyDiv w:val="1"/>
      <w:marLeft w:val="0"/>
      <w:marRight w:val="0"/>
      <w:marTop w:val="0"/>
      <w:marBottom w:val="0"/>
      <w:divBdr>
        <w:top w:val="none" w:sz="0" w:space="0" w:color="auto"/>
        <w:left w:val="none" w:sz="0" w:space="0" w:color="auto"/>
        <w:bottom w:val="none" w:sz="0" w:space="0" w:color="auto"/>
        <w:right w:val="none" w:sz="0" w:space="0" w:color="auto"/>
      </w:divBdr>
    </w:div>
    <w:div w:id="514464607">
      <w:bodyDiv w:val="1"/>
      <w:marLeft w:val="0"/>
      <w:marRight w:val="0"/>
      <w:marTop w:val="0"/>
      <w:marBottom w:val="0"/>
      <w:divBdr>
        <w:top w:val="none" w:sz="0" w:space="0" w:color="auto"/>
        <w:left w:val="none" w:sz="0" w:space="0" w:color="auto"/>
        <w:bottom w:val="none" w:sz="0" w:space="0" w:color="auto"/>
        <w:right w:val="none" w:sz="0" w:space="0" w:color="auto"/>
      </w:divBdr>
    </w:div>
    <w:div w:id="514803908">
      <w:bodyDiv w:val="1"/>
      <w:marLeft w:val="0"/>
      <w:marRight w:val="0"/>
      <w:marTop w:val="0"/>
      <w:marBottom w:val="0"/>
      <w:divBdr>
        <w:top w:val="none" w:sz="0" w:space="0" w:color="auto"/>
        <w:left w:val="none" w:sz="0" w:space="0" w:color="auto"/>
        <w:bottom w:val="none" w:sz="0" w:space="0" w:color="auto"/>
        <w:right w:val="none" w:sz="0" w:space="0" w:color="auto"/>
      </w:divBdr>
    </w:div>
    <w:div w:id="515388669">
      <w:bodyDiv w:val="1"/>
      <w:marLeft w:val="0"/>
      <w:marRight w:val="0"/>
      <w:marTop w:val="0"/>
      <w:marBottom w:val="0"/>
      <w:divBdr>
        <w:top w:val="none" w:sz="0" w:space="0" w:color="auto"/>
        <w:left w:val="none" w:sz="0" w:space="0" w:color="auto"/>
        <w:bottom w:val="none" w:sz="0" w:space="0" w:color="auto"/>
        <w:right w:val="none" w:sz="0" w:space="0" w:color="auto"/>
      </w:divBdr>
    </w:div>
    <w:div w:id="515506838">
      <w:bodyDiv w:val="1"/>
      <w:marLeft w:val="0"/>
      <w:marRight w:val="0"/>
      <w:marTop w:val="0"/>
      <w:marBottom w:val="0"/>
      <w:divBdr>
        <w:top w:val="none" w:sz="0" w:space="0" w:color="auto"/>
        <w:left w:val="none" w:sz="0" w:space="0" w:color="auto"/>
        <w:bottom w:val="none" w:sz="0" w:space="0" w:color="auto"/>
        <w:right w:val="none" w:sz="0" w:space="0" w:color="auto"/>
      </w:divBdr>
    </w:div>
    <w:div w:id="515655440">
      <w:bodyDiv w:val="1"/>
      <w:marLeft w:val="0"/>
      <w:marRight w:val="0"/>
      <w:marTop w:val="0"/>
      <w:marBottom w:val="0"/>
      <w:divBdr>
        <w:top w:val="none" w:sz="0" w:space="0" w:color="auto"/>
        <w:left w:val="none" w:sz="0" w:space="0" w:color="auto"/>
        <w:bottom w:val="none" w:sz="0" w:space="0" w:color="auto"/>
        <w:right w:val="none" w:sz="0" w:space="0" w:color="auto"/>
      </w:divBdr>
    </w:div>
    <w:div w:id="515772460">
      <w:bodyDiv w:val="1"/>
      <w:marLeft w:val="0"/>
      <w:marRight w:val="0"/>
      <w:marTop w:val="0"/>
      <w:marBottom w:val="0"/>
      <w:divBdr>
        <w:top w:val="none" w:sz="0" w:space="0" w:color="auto"/>
        <w:left w:val="none" w:sz="0" w:space="0" w:color="auto"/>
        <w:bottom w:val="none" w:sz="0" w:space="0" w:color="auto"/>
        <w:right w:val="none" w:sz="0" w:space="0" w:color="auto"/>
      </w:divBdr>
    </w:div>
    <w:div w:id="516383472">
      <w:bodyDiv w:val="1"/>
      <w:marLeft w:val="0"/>
      <w:marRight w:val="0"/>
      <w:marTop w:val="0"/>
      <w:marBottom w:val="0"/>
      <w:divBdr>
        <w:top w:val="none" w:sz="0" w:space="0" w:color="auto"/>
        <w:left w:val="none" w:sz="0" w:space="0" w:color="auto"/>
        <w:bottom w:val="none" w:sz="0" w:space="0" w:color="auto"/>
        <w:right w:val="none" w:sz="0" w:space="0" w:color="auto"/>
      </w:divBdr>
    </w:div>
    <w:div w:id="516583815">
      <w:bodyDiv w:val="1"/>
      <w:marLeft w:val="0"/>
      <w:marRight w:val="0"/>
      <w:marTop w:val="0"/>
      <w:marBottom w:val="0"/>
      <w:divBdr>
        <w:top w:val="none" w:sz="0" w:space="0" w:color="auto"/>
        <w:left w:val="none" w:sz="0" w:space="0" w:color="auto"/>
        <w:bottom w:val="none" w:sz="0" w:space="0" w:color="auto"/>
        <w:right w:val="none" w:sz="0" w:space="0" w:color="auto"/>
      </w:divBdr>
    </w:div>
    <w:div w:id="517281150">
      <w:bodyDiv w:val="1"/>
      <w:marLeft w:val="0"/>
      <w:marRight w:val="0"/>
      <w:marTop w:val="0"/>
      <w:marBottom w:val="0"/>
      <w:divBdr>
        <w:top w:val="none" w:sz="0" w:space="0" w:color="auto"/>
        <w:left w:val="none" w:sz="0" w:space="0" w:color="auto"/>
        <w:bottom w:val="none" w:sz="0" w:space="0" w:color="auto"/>
        <w:right w:val="none" w:sz="0" w:space="0" w:color="auto"/>
      </w:divBdr>
    </w:div>
    <w:div w:id="517427243">
      <w:bodyDiv w:val="1"/>
      <w:marLeft w:val="0"/>
      <w:marRight w:val="0"/>
      <w:marTop w:val="0"/>
      <w:marBottom w:val="0"/>
      <w:divBdr>
        <w:top w:val="none" w:sz="0" w:space="0" w:color="auto"/>
        <w:left w:val="none" w:sz="0" w:space="0" w:color="auto"/>
        <w:bottom w:val="none" w:sz="0" w:space="0" w:color="auto"/>
        <w:right w:val="none" w:sz="0" w:space="0" w:color="auto"/>
      </w:divBdr>
    </w:div>
    <w:div w:id="517810333">
      <w:bodyDiv w:val="1"/>
      <w:marLeft w:val="0"/>
      <w:marRight w:val="0"/>
      <w:marTop w:val="0"/>
      <w:marBottom w:val="0"/>
      <w:divBdr>
        <w:top w:val="none" w:sz="0" w:space="0" w:color="auto"/>
        <w:left w:val="none" w:sz="0" w:space="0" w:color="auto"/>
        <w:bottom w:val="none" w:sz="0" w:space="0" w:color="auto"/>
        <w:right w:val="none" w:sz="0" w:space="0" w:color="auto"/>
      </w:divBdr>
    </w:div>
    <w:div w:id="518660572">
      <w:bodyDiv w:val="1"/>
      <w:marLeft w:val="0"/>
      <w:marRight w:val="0"/>
      <w:marTop w:val="0"/>
      <w:marBottom w:val="0"/>
      <w:divBdr>
        <w:top w:val="none" w:sz="0" w:space="0" w:color="auto"/>
        <w:left w:val="none" w:sz="0" w:space="0" w:color="auto"/>
        <w:bottom w:val="none" w:sz="0" w:space="0" w:color="auto"/>
        <w:right w:val="none" w:sz="0" w:space="0" w:color="auto"/>
      </w:divBdr>
    </w:div>
    <w:div w:id="518660656">
      <w:bodyDiv w:val="1"/>
      <w:marLeft w:val="0"/>
      <w:marRight w:val="0"/>
      <w:marTop w:val="0"/>
      <w:marBottom w:val="0"/>
      <w:divBdr>
        <w:top w:val="none" w:sz="0" w:space="0" w:color="auto"/>
        <w:left w:val="none" w:sz="0" w:space="0" w:color="auto"/>
        <w:bottom w:val="none" w:sz="0" w:space="0" w:color="auto"/>
        <w:right w:val="none" w:sz="0" w:space="0" w:color="auto"/>
      </w:divBdr>
    </w:div>
    <w:div w:id="518852975">
      <w:bodyDiv w:val="1"/>
      <w:marLeft w:val="0"/>
      <w:marRight w:val="0"/>
      <w:marTop w:val="0"/>
      <w:marBottom w:val="0"/>
      <w:divBdr>
        <w:top w:val="none" w:sz="0" w:space="0" w:color="auto"/>
        <w:left w:val="none" w:sz="0" w:space="0" w:color="auto"/>
        <w:bottom w:val="none" w:sz="0" w:space="0" w:color="auto"/>
        <w:right w:val="none" w:sz="0" w:space="0" w:color="auto"/>
      </w:divBdr>
    </w:div>
    <w:div w:id="519784147">
      <w:bodyDiv w:val="1"/>
      <w:marLeft w:val="0"/>
      <w:marRight w:val="0"/>
      <w:marTop w:val="0"/>
      <w:marBottom w:val="0"/>
      <w:divBdr>
        <w:top w:val="none" w:sz="0" w:space="0" w:color="auto"/>
        <w:left w:val="none" w:sz="0" w:space="0" w:color="auto"/>
        <w:bottom w:val="none" w:sz="0" w:space="0" w:color="auto"/>
        <w:right w:val="none" w:sz="0" w:space="0" w:color="auto"/>
      </w:divBdr>
    </w:div>
    <w:div w:id="520630348">
      <w:bodyDiv w:val="1"/>
      <w:marLeft w:val="0"/>
      <w:marRight w:val="0"/>
      <w:marTop w:val="0"/>
      <w:marBottom w:val="0"/>
      <w:divBdr>
        <w:top w:val="none" w:sz="0" w:space="0" w:color="auto"/>
        <w:left w:val="none" w:sz="0" w:space="0" w:color="auto"/>
        <w:bottom w:val="none" w:sz="0" w:space="0" w:color="auto"/>
        <w:right w:val="none" w:sz="0" w:space="0" w:color="auto"/>
      </w:divBdr>
    </w:div>
    <w:div w:id="521280061">
      <w:bodyDiv w:val="1"/>
      <w:marLeft w:val="0"/>
      <w:marRight w:val="0"/>
      <w:marTop w:val="0"/>
      <w:marBottom w:val="0"/>
      <w:divBdr>
        <w:top w:val="none" w:sz="0" w:space="0" w:color="auto"/>
        <w:left w:val="none" w:sz="0" w:space="0" w:color="auto"/>
        <w:bottom w:val="none" w:sz="0" w:space="0" w:color="auto"/>
        <w:right w:val="none" w:sz="0" w:space="0" w:color="auto"/>
      </w:divBdr>
    </w:div>
    <w:div w:id="521285811">
      <w:bodyDiv w:val="1"/>
      <w:marLeft w:val="0"/>
      <w:marRight w:val="0"/>
      <w:marTop w:val="0"/>
      <w:marBottom w:val="0"/>
      <w:divBdr>
        <w:top w:val="none" w:sz="0" w:space="0" w:color="auto"/>
        <w:left w:val="none" w:sz="0" w:space="0" w:color="auto"/>
        <w:bottom w:val="none" w:sz="0" w:space="0" w:color="auto"/>
        <w:right w:val="none" w:sz="0" w:space="0" w:color="auto"/>
      </w:divBdr>
    </w:div>
    <w:div w:id="521557864">
      <w:bodyDiv w:val="1"/>
      <w:marLeft w:val="0"/>
      <w:marRight w:val="0"/>
      <w:marTop w:val="0"/>
      <w:marBottom w:val="0"/>
      <w:divBdr>
        <w:top w:val="none" w:sz="0" w:space="0" w:color="auto"/>
        <w:left w:val="none" w:sz="0" w:space="0" w:color="auto"/>
        <w:bottom w:val="none" w:sz="0" w:space="0" w:color="auto"/>
        <w:right w:val="none" w:sz="0" w:space="0" w:color="auto"/>
      </w:divBdr>
    </w:div>
    <w:div w:id="522280952">
      <w:bodyDiv w:val="1"/>
      <w:marLeft w:val="0"/>
      <w:marRight w:val="0"/>
      <w:marTop w:val="0"/>
      <w:marBottom w:val="0"/>
      <w:divBdr>
        <w:top w:val="none" w:sz="0" w:space="0" w:color="auto"/>
        <w:left w:val="none" w:sz="0" w:space="0" w:color="auto"/>
        <w:bottom w:val="none" w:sz="0" w:space="0" w:color="auto"/>
        <w:right w:val="none" w:sz="0" w:space="0" w:color="auto"/>
      </w:divBdr>
    </w:div>
    <w:div w:id="522868228">
      <w:bodyDiv w:val="1"/>
      <w:marLeft w:val="0"/>
      <w:marRight w:val="0"/>
      <w:marTop w:val="0"/>
      <w:marBottom w:val="0"/>
      <w:divBdr>
        <w:top w:val="none" w:sz="0" w:space="0" w:color="auto"/>
        <w:left w:val="none" w:sz="0" w:space="0" w:color="auto"/>
        <w:bottom w:val="none" w:sz="0" w:space="0" w:color="auto"/>
        <w:right w:val="none" w:sz="0" w:space="0" w:color="auto"/>
      </w:divBdr>
    </w:div>
    <w:div w:id="522939654">
      <w:bodyDiv w:val="1"/>
      <w:marLeft w:val="0"/>
      <w:marRight w:val="0"/>
      <w:marTop w:val="0"/>
      <w:marBottom w:val="0"/>
      <w:divBdr>
        <w:top w:val="none" w:sz="0" w:space="0" w:color="auto"/>
        <w:left w:val="none" w:sz="0" w:space="0" w:color="auto"/>
        <w:bottom w:val="none" w:sz="0" w:space="0" w:color="auto"/>
        <w:right w:val="none" w:sz="0" w:space="0" w:color="auto"/>
      </w:divBdr>
    </w:div>
    <w:div w:id="523634515">
      <w:bodyDiv w:val="1"/>
      <w:marLeft w:val="0"/>
      <w:marRight w:val="0"/>
      <w:marTop w:val="0"/>
      <w:marBottom w:val="0"/>
      <w:divBdr>
        <w:top w:val="none" w:sz="0" w:space="0" w:color="auto"/>
        <w:left w:val="none" w:sz="0" w:space="0" w:color="auto"/>
        <w:bottom w:val="none" w:sz="0" w:space="0" w:color="auto"/>
        <w:right w:val="none" w:sz="0" w:space="0" w:color="auto"/>
      </w:divBdr>
    </w:div>
    <w:div w:id="523635278">
      <w:bodyDiv w:val="1"/>
      <w:marLeft w:val="0"/>
      <w:marRight w:val="0"/>
      <w:marTop w:val="0"/>
      <w:marBottom w:val="0"/>
      <w:divBdr>
        <w:top w:val="none" w:sz="0" w:space="0" w:color="auto"/>
        <w:left w:val="none" w:sz="0" w:space="0" w:color="auto"/>
        <w:bottom w:val="none" w:sz="0" w:space="0" w:color="auto"/>
        <w:right w:val="none" w:sz="0" w:space="0" w:color="auto"/>
      </w:divBdr>
    </w:div>
    <w:div w:id="524099195">
      <w:bodyDiv w:val="1"/>
      <w:marLeft w:val="0"/>
      <w:marRight w:val="0"/>
      <w:marTop w:val="0"/>
      <w:marBottom w:val="0"/>
      <w:divBdr>
        <w:top w:val="none" w:sz="0" w:space="0" w:color="auto"/>
        <w:left w:val="none" w:sz="0" w:space="0" w:color="auto"/>
        <w:bottom w:val="none" w:sz="0" w:space="0" w:color="auto"/>
        <w:right w:val="none" w:sz="0" w:space="0" w:color="auto"/>
      </w:divBdr>
    </w:div>
    <w:div w:id="524564754">
      <w:bodyDiv w:val="1"/>
      <w:marLeft w:val="0"/>
      <w:marRight w:val="0"/>
      <w:marTop w:val="0"/>
      <w:marBottom w:val="0"/>
      <w:divBdr>
        <w:top w:val="none" w:sz="0" w:space="0" w:color="auto"/>
        <w:left w:val="none" w:sz="0" w:space="0" w:color="auto"/>
        <w:bottom w:val="none" w:sz="0" w:space="0" w:color="auto"/>
        <w:right w:val="none" w:sz="0" w:space="0" w:color="auto"/>
      </w:divBdr>
    </w:div>
    <w:div w:id="525141114">
      <w:bodyDiv w:val="1"/>
      <w:marLeft w:val="0"/>
      <w:marRight w:val="0"/>
      <w:marTop w:val="0"/>
      <w:marBottom w:val="0"/>
      <w:divBdr>
        <w:top w:val="none" w:sz="0" w:space="0" w:color="auto"/>
        <w:left w:val="none" w:sz="0" w:space="0" w:color="auto"/>
        <w:bottom w:val="none" w:sz="0" w:space="0" w:color="auto"/>
        <w:right w:val="none" w:sz="0" w:space="0" w:color="auto"/>
      </w:divBdr>
    </w:div>
    <w:div w:id="525410924">
      <w:bodyDiv w:val="1"/>
      <w:marLeft w:val="0"/>
      <w:marRight w:val="0"/>
      <w:marTop w:val="0"/>
      <w:marBottom w:val="0"/>
      <w:divBdr>
        <w:top w:val="none" w:sz="0" w:space="0" w:color="auto"/>
        <w:left w:val="none" w:sz="0" w:space="0" w:color="auto"/>
        <w:bottom w:val="none" w:sz="0" w:space="0" w:color="auto"/>
        <w:right w:val="none" w:sz="0" w:space="0" w:color="auto"/>
      </w:divBdr>
    </w:div>
    <w:div w:id="525603923">
      <w:bodyDiv w:val="1"/>
      <w:marLeft w:val="0"/>
      <w:marRight w:val="0"/>
      <w:marTop w:val="0"/>
      <w:marBottom w:val="0"/>
      <w:divBdr>
        <w:top w:val="none" w:sz="0" w:space="0" w:color="auto"/>
        <w:left w:val="none" w:sz="0" w:space="0" w:color="auto"/>
        <w:bottom w:val="none" w:sz="0" w:space="0" w:color="auto"/>
        <w:right w:val="none" w:sz="0" w:space="0" w:color="auto"/>
      </w:divBdr>
    </w:div>
    <w:div w:id="526598129">
      <w:bodyDiv w:val="1"/>
      <w:marLeft w:val="0"/>
      <w:marRight w:val="0"/>
      <w:marTop w:val="0"/>
      <w:marBottom w:val="0"/>
      <w:divBdr>
        <w:top w:val="none" w:sz="0" w:space="0" w:color="auto"/>
        <w:left w:val="none" w:sz="0" w:space="0" w:color="auto"/>
        <w:bottom w:val="none" w:sz="0" w:space="0" w:color="auto"/>
        <w:right w:val="none" w:sz="0" w:space="0" w:color="auto"/>
      </w:divBdr>
    </w:div>
    <w:div w:id="526600018">
      <w:bodyDiv w:val="1"/>
      <w:marLeft w:val="0"/>
      <w:marRight w:val="0"/>
      <w:marTop w:val="0"/>
      <w:marBottom w:val="0"/>
      <w:divBdr>
        <w:top w:val="none" w:sz="0" w:space="0" w:color="auto"/>
        <w:left w:val="none" w:sz="0" w:space="0" w:color="auto"/>
        <w:bottom w:val="none" w:sz="0" w:space="0" w:color="auto"/>
        <w:right w:val="none" w:sz="0" w:space="0" w:color="auto"/>
      </w:divBdr>
    </w:div>
    <w:div w:id="526602795">
      <w:bodyDiv w:val="1"/>
      <w:marLeft w:val="0"/>
      <w:marRight w:val="0"/>
      <w:marTop w:val="0"/>
      <w:marBottom w:val="0"/>
      <w:divBdr>
        <w:top w:val="none" w:sz="0" w:space="0" w:color="auto"/>
        <w:left w:val="none" w:sz="0" w:space="0" w:color="auto"/>
        <w:bottom w:val="none" w:sz="0" w:space="0" w:color="auto"/>
        <w:right w:val="none" w:sz="0" w:space="0" w:color="auto"/>
      </w:divBdr>
    </w:div>
    <w:div w:id="527832912">
      <w:bodyDiv w:val="1"/>
      <w:marLeft w:val="0"/>
      <w:marRight w:val="0"/>
      <w:marTop w:val="0"/>
      <w:marBottom w:val="0"/>
      <w:divBdr>
        <w:top w:val="none" w:sz="0" w:space="0" w:color="auto"/>
        <w:left w:val="none" w:sz="0" w:space="0" w:color="auto"/>
        <w:bottom w:val="none" w:sz="0" w:space="0" w:color="auto"/>
        <w:right w:val="none" w:sz="0" w:space="0" w:color="auto"/>
      </w:divBdr>
    </w:div>
    <w:div w:id="528177608">
      <w:bodyDiv w:val="1"/>
      <w:marLeft w:val="0"/>
      <w:marRight w:val="0"/>
      <w:marTop w:val="0"/>
      <w:marBottom w:val="0"/>
      <w:divBdr>
        <w:top w:val="none" w:sz="0" w:space="0" w:color="auto"/>
        <w:left w:val="none" w:sz="0" w:space="0" w:color="auto"/>
        <w:bottom w:val="none" w:sz="0" w:space="0" w:color="auto"/>
        <w:right w:val="none" w:sz="0" w:space="0" w:color="auto"/>
      </w:divBdr>
    </w:div>
    <w:div w:id="528178796">
      <w:bodyDiv w:val="1"/>
      <w:marLeft w:val="0"/>
      <w:marRight w:val="0"/>
      <w:marTop w:val="0"/>
      <w:marBottom w:val="0"/>
      <w:divBdr>
        <w:top w:val="none" w:sz="0" w:space="0" w:color="auto"/>
        <w:left w:val="none" w:sz="0" w:space="0" w:color="auto"/>
        <w:bottom w:val="none" w:sz="0" w:space="0" w:color="auto"/>
        <w:right w:val="none" w:sz="0" w:space="0" w:color="auto"/>
      </w:divBdr>
    </w:div>
    <w:div w:id="528685740">
      <w:bodyDiv w:val="1"/>
      <w:marLeft w:val="0"/>
      <w:marRight w:val="0"/>
      <w:marTop w:val="0"/>
      <w:marBottom w:val="0"/>
      <w:divBdr>
        <w:top w:val="none" w:sz="0" w:space="0" w:color="auto"/>
        <w:left w:val="none" w:sz="0" w:space="0" w:color="auto"/>
        <w:bottom w:val="none" w:sz="0" w:space="0" w:color="auto"/>
        <w:right w:val="none" w:sz="0" w:space="0" w:color="auto"/>
      </w:divBdr>
    </w:div>
    <w:div w:id="528686605">
      <w:bodyDiv w:val="1"/>
      <w:marLeft w:val="0"/>
      <w:marRight w:val="0"/>
      <w:marTop w:val="0"/>
      <w:marBottom w:val="0"/>
      <w:divBdr>
        <w:top w:val="none" w:sz="0" w:space="0" w:color="auto"/>
        <w:left w:val="none" w:sz="0" w:space="0" w:color="auto"/>
        <w:bottom w:val="none" w:sz="0" w:space="0" w:color="auto"/>
        <w:right w:val="none" w:sz="0" w:space="0" w:color="auto"/>
      </w:divBdr>
    </w:div>
    <w:div w:id="529104207">
      <w:bodyDiv w:val="1"/>
      <w:marLeft w:val="0"/>
      <w:marRight w:val="0"/>
      <w:marTop w:val="0"/>
      <w:marBottom w:val="0"/>
      <w:divBdr>
        <w:top w:val="none" w:sz="0" w:space="0" w:color="auto"/>
        <w:left w:val="none" w:sz="0" w:space="0" w:color="auto"/>
        <w:bottom w:val="none" w:sz="0" w:space="0" w:color="auto"/>
        <w:right w:val="none" w:sz="0" w:space="0" w:color="auto"/>
      </w:divBdr>
    </w:div>
    <w:div w:id="529296707">
      <w:bodyDiv w:val="1"/>
      <w:marLeft w:val="0"/>
      <w:marRight w:val="0"/>
      <w:marTop w:val="0"/>
      <w:marBottom w:val="0"/>
      <w:divBdr>
        <w:top w:val="none" w:sz="0" w:space="0" w:color="auto"/>
        <w:left w:val="none" w:sz="0" w:space="0" w:color="auto"/>
        <w:bottom w:val="none" w:sz="0" w:space="0" w:color="auto"/>
        <w:right w:val="none" w:sz="0" w:space="0" w:color="auto"/>
      </w:divBdr>
    </w:div>
    <w:div w:id="529416118">
      <w:bodyDiv w:val="1"/>
      <w:marLeft w:val="0"/>
      <w:marRight w:val="0"/>
      <w:marTop w:val="0"/>
      <w:marBottom w:val="0"/>
      <w:divBdr>
        <w:top w:val="none" w:sz="0" w:space="0" w:color="auto"/>
        <w:left w:val="none" w:sz="0" w:space="0" w:color="auto"/>
        <w:bottom w:val="none" w:sz="0" w:space="0" w:color="auto"/>
        <w:right w:val="none" w:sz="0" w:space="0" w:color="auto"/>
      </w:divBdr>
    </w:div>
    <w:div w:id="529536727">
      <w:bodyDiv w:val="1"/>
      <w:marLeft w:val="0"/>
      <w:marRight w:val="0"/>
      <w:marTop w:val="0"/>
      <w:marBottom w:val="0"/>
      <w:divBdr>
        <w:top w:val="none" w:sz="0" w:space="0" w:color="auto"/>
        <w:left w:val="none" w:sz="0" w:space="0" w:color="auto"/>
        <w:bottom w:val="none" w:sz="0" w:space="0" w:color="auto"/>
        <w:right w:val="none" w:sz="0" w:space="0" w:color="auto"/>
      </w:divBdr>
    </w:div>
    <w:div w:id="529682371">
      <w:bodyDiv w:val="1"/>
      <w:marLeft w:val="0"/>
      <w:marRight w:val="0"/>
      <w:marTop w:val="0"/>
      <w:marBottom w:val="0"/>
      <w:divBdr>
        <w:top w:val="none" w:sz="0" w:space="0" w:color="auto"/>
        <w:left w:val="none" w:sz="0" w:space="0" w:color="auto"/>
        <w:bottom w:val="none" w:sz="0" w:space="0" w:color="auto"/>
        <w:right w:val="none" w:sz="0" w:space="0" w:color="auto"/>
      </w:divBdr>
    </w:div>
    <w:div w:id="529873849">
      <w:bodyDiv w:val="1"/>
      <w:marLeft w:val="0"/>
      <w:marRight w:val="0"/>
      <w:marTop w:val="0"/>
      <w:marBottom w:val="0"/>
      <w:divBdr>
        <w:top w:val="none" w:sz="0" w:space="0" w:color="auto"/>
        <w:left w:val="none" w:sz="0" w:space="0" w:color="auto"/>
        <w:bottom w:val="none" w:sz="0" w:space="0" w:color="auto"/>
        <w:right w:val="none" w:sz="0" w:space="0" w:color="auto"/>
      </w:divBdr>
    </w:div>
    <w:div w:id="530267485">
      <w:bodyDiv w:val="1"/>
      <w:marLeft w:val="0"/>
      <w:marRight w:val="0"/>
      <w:marTop w:val="0"/>
      <w:marBottom w:val="0"/>
      <w:divBdr>
        <w:top w:val="none" w:sz="0" w:space="0" w:color="auto"/>
        <w:left w:val="none" w:sz="0" w:space="0" w:color="auto"/>
        <w:bottom w:val="none" w:sz="0" w:space="0" w:color="auto"/>
        <w:right w:val="none" w:sz="0" w:space="0" w:color="auto"/>
      </w:divBdr>
    </w:div>
    <w:div w:id="531651986">
      <w:bodyDiv w:val="1"/>
      <w:marLeft w:val="0"/>
      <w:marRight w:val="0"/>
      <w:marTop w:val="0"/>
      <w:marBottom w:val="0"/>
      <w:divBdr>
        <w:top w:val="none" w:sz="0" w:space="0" w:color="auto"/>
        <w:left w:val="none" w:sz="0" w:space="0" w:color="auto"/>
        <w:bottom w:val="none" w:sz="0" w:space="0" w:color="auto"/>
        <w:right w:val="none" w:sz="0" w:space="0" w:color="auto"/>
      </w:divBdr>
    </w:div>
    <w:div w:id="531697310">
      <w:bodyDiv w:val="1"/>
      <w:marLeft w:val="0"/>
      <w:marRight w:val="0"/>
      <w:marTop w:val="0"/>
      <w:marBottom w:val="0"/>
      <w:divBdr>
        <w:top w:val="none" w:sz="0" w:space="0" w:color="auto"/>
        <w:left w:val="none" w:sz="0" w:space="0" w:color="auto"/>
        <w:bottom w:val="none" w:sz="0" w:space="0" w:color="auto"/>
        <w:right w:val="none" w:sz="0" w:space="0" w:color="auto"/>
      </w:divBdr>
    </w:div>
    <w:div w:id="531966762">
      <w:bodyDiv w:val="1"/>
      <w:marLeft w:val="0"/>
      <w:marRight w:val="0"/>
      <w:marTop w:val="0"/>
      <w:marBottom w:val="0"/>
      <w:divBdr>
        <w:top w:val="none" w:sz="0" w:space="0" w:color="auto"/>
        <w:left w:val="none" w:sz="0" w:space="0" w:color="auto"/>
        <w:bottom w:val="none" w:sz="0" w:space="0" w:color="auto"/>
        <w:right w:val="none" w:sz="0" w:space="0" w:color="auto"/>
      </w:divBdr>
    </w:div>
    <w:div w:id="532108679">
      <w:bodyDiv w:val="1"/>
      <w:marLeft w:val="0"/>
      <w:marRight w:val="0"/>
      <w:marTop w:val="0"/>
      <w:marBottom w:val="0"/>
      <w:divBdr>
        <w:top w:val="none" w:sz="0" w:space="0" w:color="auto"/>
        <w:left w:val="none" w:sz="0" w:space="0" w:color="auto"/>
        <w:bottom w:val="none" w:sz="0" w:space="0" w:color="auto"/>
        <w:right w:val="none" w:sz="0" w:space="0" w:color="auto"/>
      </w:divBdr>
    </w:div>
    <w:div w:id="532231007">
      <w:bodyDiv w:val="1"/>
      <w:marLeft w:val="0"/>
      <w:marRight w:val="0"/>
      <w:marTop w:val="0"/>
      <w:marBottom w:val="0"/>
      <w:divBdr>
        <w:top w:val="none" w:sz="0" w:space="0" w:color="auto"/>
        <w:left w:val="none" w:sz="0" w:space="0" w:color="auto"/>
        <w:bottom w:val="none" w:sz="0" w:space="0" w:color="auto"/>
        <w:right w:val="none" w:sz="0" w:space="0" w:color="auto"/>
      </w:divBdr>
    </w:div>
    <w:div w:id="532839940">
      <w:bodyDiv w:val="1"/>
      <w:marLeft w:val="0"/>
      <w:marRight w:val="0"/>
      <w:marTop w:val="0"/>
      <w:marBottom w:val="0"/>
      <w:divBdr>
        <w:top w:val="none" w:sz="0" w:space="0" w:color="auto"/>
        <w:left w:val="none" w:sz="0" w:space="0" w:color="auto"/>
        <w:bottom w:val="none" w:sz="0" w:space="0" w:color="auto"/>
        <w:right w:val="none" w:sz="0" w:space="0" w:color="auto"/>
      </w:divBdr>
    </w:div>
    <w:div w:id="532966220">
      <w:bodyDiv w:val="1"/>
      <w:marLeft w:val="0"/>
      <w:marRight w:val="0"/>
      <w:marTop w:val="0"/>
      <w:marBottom w:val="0"/>
      <w:divBdr>
        <w:top w:val="none" w:sz="0" w:space="0" w:color="auto"/>
        <w:left w:val="none" w:sz="0" w:space="0" w:color="auto"/>
        <w:bottom w:val="none" w:sz="0" w:space="0" w:color="auto"/>
        <w:right w:val="none" w:sz="0" w:space="0" w:color="auto"/>
      </w:divBdr>
    </w:div>
    <w:div w:id="533079282">
      <w:bodyDiv w:val="1"/>
      <w:marLeft w:val="0"/>
      <w:marRight w:val="0"/>
      <w:marTop w:val="0"/>
      <w:marBottom w:val="0"/>
      <w:divBdr>
        <w:top w:val="none" w:sz="0" w:space="0" w:color="auto"/>
        <w:left w:val="none" w:sz="0" w:space="0" w:color="auto"/>
        <w:bottom w:val="none" w:sz="0" w:space="0" w:color="auto"/>
        <w:right w:val="none" w:sz="0" w:space="0" w:color="auto"/>
      </w:divBdr>
    </w:div>
    <w:div w:id="533806132">
      <w:bodyDiv w:val="1"/>
      <w:marLeft w:val="0"/>
      <w:marRight w:val="0"/>
      <w:marTop w:val="0"/>
      <w:marBottom w:val="0"/>
      <w:divBdr>
        <w:top w:val="none" w:sz="0" w:space="0" w:color="auto"/>
        <w:left w:val="none" w:sz="0" w:space="0" w:color="auto"/>
        <w:bottom w:val="none" w:sz="0" w:space="0" w:color="auto"/>
        <w:right w:val="none" w:sz="0" w:space="0" w:color="auto"/>
      </w:divBdr>
    </w:div>
    <w:div w:id="533932363">
      <w:bodyDiv w:val="1"/>
      <w:marLeft w:val="0"/>
      <w:marRight w:val="0"/>
      <w:marTop w:val="0"/>
      <w:marBottom w:val="0"/>
      <w:divBdr>
        <w:top w:val="none" w:sz="0" w:space="0" w:color="auto"/>
        <w:left w:val="none" w:sz="0" w:space="0" w:color="auto"/>
        <w:bottom w:val="none" w:sz="0" w:space="0" w:color="auto"/>
        <w:right w:val="none" w:sz="0" w:space="0" w:color="auto"/>
      </w:divBdr>
    </w:div>
    <w:div w:id="534082075">
      <w:bodyDiv w:val="1"/>
      <w:marLeft w:val="0"/>
      <w:marRight w:val="0"/>
      <w:marTop w:val="0"/>
      <w:marBottom w:val="0"/>
      <w:divBdr>
        <w:top w:val="none" w:sz="0" w:space="0" w:color="auto"/>
        <w:left w:val="none" w:sz="0" w:space="0" w:color="auto"/>
        <w:bottom w:val="none" w:sz="0" w:space="0" w:color="auto"/>
        <w:right w:val="none" w:sz="0" w:space="0" w:color="auto"/>
      </w:divBdr>
    </w:div>
    <w:div w:id="534273625">
      <w:bodyDiv w:val="1"/>
      <w:marLeft w:val="0"/>
      <w:marRight w:val="0"/>
      <w:marTop w:val="0"/>
      <w:marBottom w:val="0"/>
      <w:divBdr>
        <w:top w:val="none" w:sz="0" w:space="0" w:color="auto"/>
        <w:left w:val="none" w:sz="0" w:space="0" w:color="auto"/>
        <w:bottom w:val="none" w:sz="0" w:space="0" w:color="auto"/>
        <w:right w:val="none" w:sz="0" w:space="0" w:color="auto"/>
      </w:divBdr>
    </w:div>
    <w:div w:id="534387036">
      <w:bodyDiv w:val="1"/>
      <w:marLeft w:val="0"/>
      <w:marRight w:val="0"/>
      <w:marTop w:val="0"/>
      <w:marBottom w:val="0"/>
      <w:divBdr>
        <w:top w:val="none" w:sz="0" w:space="0" w:color="auto"/>
        <w:left w:val="none" w:sz="0" w:space="0" w:color="auto"/>
        <w:bottom w:val="none" w:sz="0" w:space="0" w:color="auto"/>
        <w:right w:val="none" w:sz="0" w:space="0" w:color="auto"/>
      </w:divBdr>
    </w:div>
    <w:div w:id="535511082">
      <w:bodyDiv w:val="1"/>
      <w:marLeft w:val="0"/>
      <w:marRight w:val="0"/>
      <w:marTop w:val="0"/>
      <w:marBottom w:val="0"/>
      <w:divBdr>
        <w:top w:val="none" w:sz="0" w:space="0" w:color="auto"/>
        <w:left w:val="none" w:sz="0" w:space="0" w:color="auto"/>
        <w:bottom w:val="none" w:sz="0" w:space="0" w:color="auto"/>
        <w:right w:val="none" w:sz="0" w:space="0" w:color="auto"/>
      </w:divBdr>
    </w:div>
    <w:div w:id="535657604">
      <w:bodyDiv w:val="1"/>
      <w:marLeft w:val="0"/>
      <w:marRight w:val="0"/>
      <w:marTop w:val="0"/>
      <w:marBottom w:val="0"/>
      <w:divBdr>
        <w:top w:val="none" w:sz="0" w:space="0" w:color="auto"/>
        <w:left w:val="none" w:sz="0" w:space="0" w:color="auto"/>
        <w:bottom w:val="none" w:sz="0" w:space="0" w:color="auto"/>
        <w:right w:val="none" w:sz="0" w:space="0" w:color="auto"/>
      </w:divBdr>
    </w:div>
    <w:div w:id="536309914">
      <w:bodyDiv w:val="1"/>
      <w:marLeft w:val="0"/>
      <w:marRight w:val="0"/>
      <w:marTop w:val="0"/>
      <w:marBottom w:val="0"/>
      <w:divBdr>
        <w:top w:val="none" w:sz="0" w:space="0" w:color="auto"/>
        <w:left w:val="none" w:sz="0" w:space="0" w:color="auto"/>
        <w:bottom w:val="none" w:sz="0" w:space="0" w:color="auto"/>
        <w:right w:val="none" w:sz="0" w:space="0" w:color="auto"/>
      </w:divBdr>
    </w:div>
    <w:div w:id="536696376">
      <w:bodyDiv w:val="1"/>
      <w:marLeft w:val="0"/>
      <w:marRight w:val="0"/>
      <w:marTop w:val="0"/>
      <w:marBottom w:val="0"/>
      <w:divBdr>
        <w:top w:val="none" w:sz="0" w:space="0" w:color="auto"/>
        <w:left w:val="none" w:sz="0" w:space="0" w:color="auto"/>
        <w:bottom w:val="none" w:sz="0" w:space="0" w:color="auto"/>
        <w:right w:val="none" w:sz="0" w:space="0" w:color="auto"/>
      </w:divBdr>
    </w:div>
    <w:div w:id="537087519">
      <w:bodyDiv w:val="1"/>
      <w:marLeft w:val="0"/>
      <w:marRight w:val="0"/>
      <w:marTop w:val="0"/>
      <w:marBottom w:val="0"/>
      <w:divBdr>
        <w:top w:val="none" w:sz="0" w:space="0" w:color="auto"/>
        <w:left w:val="none" w:sz="0" w:space="0" w:color="auto"/>
        <w:bottom w:val="none" w:sz="0" w:space="0" w:color="auto"/>
        <w:right w:val="none" w:sz="0" w:space="0" w:color="auto"/>
      </w:divBdr>
    </w:div>
    <w:div w:id="537620159">
      <w:bodyDiv w:val="1"/>
      <w:marLeft w:val="0"/>
      <w:marRight w:val="0"/>
      <w:marTop w:val="0"/>
      <w:marBottom w:val="0"/>
      <w:divBdr>
        <w:top w:val="none" w:sz="0" w:space="0" w:color="auto"/>
        <w:left w:val="none" w:sz="0" w:space="0" w:color="auto"/>
        <w:bottom w:val="none" w:sz="0" w:space="0" w:color="auto"/>
        <w:right w:val="none" w:sz="0" w:space="0" w:color="auto"/>
      </w:divBdr>
    </w:div>
    <w:div w:id="538205952">
      <w:bodyDiv w:val="1"/>
      <w:marLeft w:val="0"/>
      <w:marRight w:val="0"/>
      <w:marTop w:val="0"/>
      <w:marBottom w:val="0"/>
      <w:divBdr>
        <w:top w:val="none" w:sz="0" w:space="0" w:color="auto"/>
        <w:left w:val="none" w:sz="0" w:space="0" w:color="auto"/>
        <w:bottom w:val="none" w:sz="0" w:space="0" w:color="auto"/>
        <w:right w:val="none" w:sz="0" w:space="0" w:color="auto"/>
      </w:divBdr>
    </w:div>
    <w:div w:id="542182897">
      <w:bodyDiv w:val="1"/>
      <w:marLeft w:val="0"/>
      <w:marRight w:val="0"/>
      <w:marTop w:val="0"/>
      <w:marBottom w:val="0"/>
      <w:divBdr>
        <w:top w:val="none" w:sz="0" w:space="0" w:color="auto"/>
        <w:left w:val="none" w:sz="0" w:space="0" w:color="auto"/>
        <w:bottom w:val="none" w:sz="0" w:space="0" w:color="auto"/>
        <w:right w:val="none" w:sz="0" w:space="0" w:color="auto"/>
      </w:divBdr>
    </w:div>
    <w:div w:id="542795081">
      <w:bodyDiv w:val="1"/>
      <w:marLeft w:val="0"/>
      <w:marRight w:val="0"/>
      <w:marTop w:val="0"/>
      <w:marBottom w:val="0"/>
      <w:divBdr>
        <w:top w:val="none" w:sz="0" w:space="0" w:color="auto"/>
        <w:left w:val="none" w:sz="0" w:space="0" w:color="auto"/>
        <w:bottom w:val="none" w:sz="0" w:space="0" w:color="auto"/>
        <w:right w:val="none" w:sz="0" w:space="0" w:color="auto"/>
      </w:divBdr>
    </w:div>
    <w:div w:id="543374960">
      <w:bodyDiv w:val="1"/>
      <w:marLeft w:val="0"/>
      <w:marRight w:val="0"/>
      <w:marTop w:val="0"/>
      <w:marBottom w:val="0"/>
      <w:divBdr>
        <w:top w:val="none" w:sz="0" w:space="0" w:color="auto"/>
        <w:left w:val="none" w:sz="0" w:space="0" w:color="auto"/>
        <w:bottom w:val="none" w:sz="0" w:space="0" w:color="auto"/>
        <w:right w:val="none" w:sz="0" w:space="0" w:color="auto"/>
      </w:divBdr>
    </w:div>
    <w:div w:id="543375253">
      <w:bodyDiv w:val="1"/>
      <w:marLeft w:val="0"/>
      <w:marRight w:val="0"/>
      <w:marTop w:val="0"/>
      <w:marBottom w:val="0"/>
      <w:divBdr>
        <w:top w:val="none" w:sz="0" w:space="0" w:color="auto"/>
        <w:left w:val="none" w:sz="0" w:space="0" w:color="auto"/>
        <w:bottom w:val="none" w:sz="0" w:space="0" w:color="auto"/>
        <w:right w:val="none" w:sz="0" w:space="0" w:color="auto"/>
      </w:divBdr>
    </w:div>
    <w:div w:id="543636521">
      <w:bodyDiv w:val="1"/>
      <w:marLeft w:val="0"/>
      <w:marRight w:val="0"/>
      <w:marTop w:val="0"/>
      <w:marBottom w:val="0"/>
      <w:divBdr>
        <w:top w:val="none" w:sz="0" w:space="0" w:color="auto"/>
        <w:left w:val="none" w:sz="0" w:space="0" w:color="auto"/>
        <w:bottom w:val="none" w:sz="0" w:space="0" w:color="auto"/>
        <w:right w:val="none" w:sz="0" w:space="0" w:color="auto"/>
      </w:divBdr>
    </w:div>
    <w:div w:id="544297122">
      <w:bodyDiv w:val="1"/>
      <w:marLeft w:val="0"/>
      <w:marRight w:val="0"/>
      <w:marTop w:val="0"/>
      <w:marBottom w:val="0"/>
      <w:divBdr>
        <w:top w:val="none" w:sz="0" w:space="0" w:color="auto"/>
        <w:left w:val="none" w:sz="0" w:space="0" w:color="auto"/>
        <w:bottom w:val="none" w:sz="0" w:space="0" w:color="auto"/>
        <w:right w:val="none" w:sz="0" w:space="0" w:color="auto"/>
      </w:divBdr>
    </w:div>
    <w:div w:id="545063906">
      <w:bodyDiv w:val="1"/>
      <w:marLeft w:val="0"/>
      <w:marRight w:val="0"/>
      <w:marTop w:val="0"/>
      <w:marBottom w:val="0"/>
      <w:divBdr>
        <w:top w:val="none" w:sz="0" w:space="0" w:color="auto"/>
        <w:left w:val="none" w:sz="0" w:space="0" w:color="auto"/>
        <w:bottom w:val="none" w:sz="0" w:space="0" w:color="auto"/>
        <w:right w:val="none" w:sz="0" w:space="0" w:color="auto"/>
      </w:divBdr>
    </w:div>
    <w:div w:id="545457082">
      <w:bodyDiv w:val="1"/>
      <w:marLeft w:val="0"/>
      <w:marRight w:val="0"/>
      <w:marTop w:val="0"/>
      <w:marBottom w:val="0"/>
      <w:divBdr>
        <w:top w:val="none" w:sz="0" w:space="0" w:color="auto"/>
        <w:left w:val="none" w:sz="0" w:space="0" w:color="auto"/>
        <w:bottom w:val="none" w:sz="0" w:space="0" w:color="auto"/>
        <w:right w:val="none" w:sz="0" w:space="0" w:color="auto"/>
      </w:divBdr>
    </w:div>
    <w:div w:id="545604582">
      <w:bodyDiv w:val="1"/>
      <w:marLeft w:val="0"/>
      <w:marRight w:val="0"/>
      <w:marTop w:val="0"/>
      <w:marBottom w:val="0"/>
      <w:divBdr>
        <w:top w:val="none" w:sz="0" w:space="0" w:color="auto"/>
        <w:left w:val="none" w:sz="0" w:space="0" w:color="auto"/>
        <w:bottom w:val="none" w:sz="0" w:space="0" w:color="auto"/>
        <w:right w:val="none" w:sz="0" w:space="0" w:color="auto"/>
      </w:divBdr>
    </w:div>
    <w:div w:id="546140022">
      <w:bodyDiv w:val="1"/>
      <w:marLeft w:val="0"/>
      <w:marRight w:val="0"/>
      <w:marTop w:val="0"/>
      <w:marBottom w:val="0"/>
      <w:divBdr>
        <w:top w:val="none" w:sz="0" w:space="0" w:color="auto"/>
        <w:left w:val="none" w:sz="0" w:space="0" w:color="auto"/>
        <w:bottom w:val="none" w:sz="0" w:space="0" w:color="auto"/>
        <w:right w:val="none" w:sz="0" w:space="0" w:color="auto"/>
      </w:divBdr>
    </w:div>
    <w:div w:id="546532090">
      <w:bodyDiv w:val="1"/>
      <w:marLeft w:val="0"/>
      <w:marRight w:val="0"/>
      <w:marTop w:val="0"/>
      <w:marBottom w:val="0"/>
      <w:divBdr>
        <w:top w:val="none" w:sz="0" w:space="0" w:color="auto"/>
        <w:left w:val="none" w:sz="0" w:space="0" w:color="auto"/>
        <w:bottom w:val="none" w:sz="0" w:space="0" w:color="auto"/>
        <w:right w:val="none" w:sz="0" w:space="0" w:color="auto"/>
      </w:divBdr>
    </w:div>
    <w:div w:id="546836613">
      <w:bodyDiv w:val="1"/>
      <w:marLeft w:val="0"/>
      <w:marRight w:val="0"/>
      <w:marTop w:val="0"/>
      <w:marBottom w:val="0"/>
      <w:divBdr>
        <w:top w:val="none" w:sz="0" w:space="0" w:color="auto"/>
        <w:left w:val="none" w:sz="0" w:space="0" w:color="auto"/>
        <w:bottom w:val="none" w:sz="0" w:space="0" w:color="auto"/>
        <w:right w:val="none" w:sz="0" w:space="0" w:color="auto"/>
      </w:divBdr>
    </w:div>
    <w:div w:id="547034435">
      <w:bodyDiv w:val="1"/>
      <w:marLeft w:val="0"/>
      <w:marRight w:val="0"/>
      <w:marTop w:val="0"/>
      <w:marBottom w:val="0"/>
      <w:divBdr>
        <w:top w:val="none" w:sz="0" w:space="0" w:color="auto"/>
        <w:left w:val="none" w:sz="0" w:space="0" w:color="auto"/>
        <w:bottom w:val="none" w:sz="0" w:space="0" w:color="auto"/>
        <w:right w:val="none" w:sz="0" w:space="0" w:color="auto"/>
      </w:divBdr>
    </w:div>
    <w:div w:id="547107465">
      <w:bodyDiv w:val="1"/>
      <w:marLeft w:val="0"/>
      <w:marRight w:val="0"/>
      <w:marTop w:val="0"/>
      <w:marBottom w:val="0"/>
      <w:divBdr>
        <w:top w:val="none" w:sz="0" w:space="0" w:color="auto"/>
        <w:left w:val="none" w:sz="0" w:space="0" w:color="auto"/>
        <w:bottom w:val="none" w:sz="0" w:space="0" w:color="auto"/>
        <w:right w:val="none" w:sz="0" w:space="0" w:color="auto"/>
      </w:divBdr>
    </w:div>
    <w:div w:id="548107038">
      <w:bodyDiv w:val="1"/>
      <w:marLeft w:val="0"/>
      <w:marRight w:val="0"/>
      <w:marTop w:val="0"/>
      <w:marBottom w:val="0"/>
      <w:divBdr>
        <w:top w:val="none" w:sz="0" w:space="0" w:color="auto"/>
        <w:left w:val="none" w:sz="0" w:space="0" w:color="auto"/>
        <w:bottom w:val="none" w:sz="0" w:space="0" w:color="auto"/>
        <w:right w:val="none" w:sz="0" w:space="0" w:color="auto"/>
      </w:divBdr>
    </w:div>
    <w:div w:id="550188832">
      <w:bodyDiv w:val="1"/>
      <w:marLeft w:val="0"/>
      <w:marRight w:val="0"/>
      <w:marTop w:val="0"/>
      <w:marBottom w:val="0"/>
      <w:divBdr>
        <w:top w:val="none" w:sz="0" w:space="0" w:color="auto"/>
        <w:left w:val="none" w:sz="0" w:space="0" w:color="auto"/>
        <w:bottom w:val="none" w:sz="0" w:space="0" w:color="auto"/>
        <w:right w:val="none" w:sz="0" w:space="0" w:color="auto"/>
      </w:divBdr>
    </w:div>
    <w:div w:id="550461528">
      <w:bodyDiv w:val="1"/>
      <w:marLeft w:val="0"/>
      <w:marRight w:val="0"/>
      <w:marTop w:val="0"/>
      <w:marBottom w:val="0"/>
      <w:divBdr>
        <w:top w:val="none" w:sz="0" w:space="0" w:color="auto"/>
        <w:left w:val="none" w:sz="0" w:space="0" w:color="auto"/>
        <w:bottom w:val="none" w:sz="0" w:space="0" w:color="auto"/>
        <w:right w:val="none" w:sz="0" w:space="0" w:color="auto"/>
      </w:divBdr>
    </w:div>
    <w:div w:id="551036140">
      <w:bodyDiv w:val="1"/>
      <w:marLeft w:val="0"/>
      <w:marRight w:val="0"/>
      <w:marTop w:val="0"/>
      <w:marBottom w:val="0"/>
      <w:divBdr>
        <w:top w:val="none" w:sz="0" w:space="0" w:color="auto"/>
        <w:left w:val="none" w:sz="0" w:space="0" w:color="auto"/>
        <w:bottom w:val="none" w:sz="0" w:space="0" w:color="auto"/>
        <w:right w:val="none" w:sz="0" w:space="0" w:color="auto"/>
      </w:divBdr>
    </w:div>
    <w:div w:id="551309796">
      <w:bodyDiv w:val="1"/>
      <w:marLeft w:val="0"/>
      <w:marRight w:val="0"/>
      <w:marTop w:val="0"/>
      <w:marBottom w:val="0"/>
      <w:divBdr>
        <w:top w:val="none" w:sz="0" w:space="0" w:color="auto"/>
        <w:left w:val="none" w:sz="0" w:space="0" w:color="auto"/>
        <w:bottom w:val="none" w:sz="0" w:space="0" w:color="auto"/>
        <w:right w:val="none" w:sz="0" w:space="0" w:color="auto"/>
      </w:divBdr>
    </w:div>
    <w:div w:id="551884998">
      <w:bodyDiv w:val="1"/>
      <w:marLeft w:val="0"/>
      <w:marRight w:val="0"/>
      <w:marTop w:val="0"/>
      <w:marBottom w:val="0"/>
      <w:divBdr>
        <w:top w:val="none" w:sz="0" w:space="0" w:color="auto"/>
        <w:left w:val="none" w:sz="0" w:space="0" w:color="auto"/>
        <w:bottom w:val="none" w:sz="0" w:space="0" w:color="auto"/>
        <w:right w:val="none" w:sz="0" w:space="0" w:color="auto"/>
      </w:divBdr>
    </w:div>
    <w:div w:id="552037456">
      <w:bodyDiv w:val="1"/>
      <w:marLeft w:val="0"/>
      <w:marRight w:val="0"/>
      <w:marTop w:val="0"/>
      <w:marBottom w:val="0"/>
      <w:divBdr>
        <w:top w:val="none" w:sz="0" w:space="0" w:color="auto"/>
        <w:left w:val="none" w:sz="0" w:space="0" w:color="auto"/>
        <w:bottom w:val="none" w:sz="0" w:space="0" w:color="auto"/>
        <w:right w:val="none" w:sz="0" w:space="0" w:color="auto"/>
      </w:divBdr>
    </w:div>
    <w:div w:id="552428371">
      <w:bodyDiv w:val="1"/>
      <w:marLeft w:val="0"/>
      <w:marRight w:val="0"/>
      <w:marTop w:val="0"/>
      <w:marBottom w:val="0"/>
      <w:divBdr>
        <w:top w:val="none" w:sz="0" w:space="0" w:color="auto"/>
        <w:left w:val="none" w:sz="0" w:space="0" w:color="auto"/>
        <w:bottom w:val="none" w:sz="0" w:space="0" w:color="auto"/>
        <w:right w:val="none" w:sz="0" w:space="0" w:color="auto"/>
      </w:divBdr>
    </w:div>
    <w:div w:id="552616481">
      <w:bodyDiv w:val="1"/>
      <w:marLeft w:val="0"/>
      <w:marRight w:val="0"/>
      <w:marTop w:val="0"/>
      <w:marBottom w:val="0"/>
      <w:divBdr>
        <w:top w:val="none" w:sz="0" w:space="0" w:color="auto"/>
        <w:left w:val="none" w:sz="0" w:space="0" w:color="auto"/>
        <w:bottom w:val="none" w:sz="0" w:space="0" w:color="auto"/>
        <w:right w:val="none" w:sz="0" w:space="0" w:color="auto"/>
      </w:divBdr>
    </w:div>
    <w:div w:id="553153828">
      <w:bodyDiv w:val="1"/>
      <w:marLeft w:val="0"/>
      <w:marRight w:val="0"/>
      <w:marTop w:val="0"/>
      <w:marBottom w:val="0"/>
      <w:divBdr>
        <w:top w:val="none" w:sz="0" w:space="0" w:color="auto"/>
        <w:left w:val="none" w:sz="0" w:space="0" w:color="auto"/>
        <w:bottom w:val="none" w:sz="0" w:space="0" w:color="auto"/>
        <w:right w:val="none" w:sz="0" w:space="0" w:color="auto"/>
      </w:divBdr>
    </w:div>
    <w:div w:id="553735519">
      <w:bodyDiv w:val="1"/>
      <w:marLeft w:val="0"/>
      <w:marRight w:val="0"/>
      <w:marTop w:val="0"/>
      <w:marBottom w:val="0"/>
      <w:divBdr>
        <w:top w:val="none" w:sz="0" w:space="0" w:color="auto"/>
        <w:left w:val="none" w:sz="0" w:space="0" w:color="auto"/>
        <w:bottom w:val="none" w:sz="0" w:space="0" w:color="auto"/>
        <w:right w:val="none" w:sz="0" w:space="0" w:color="auto"/>
      </w:divBdr>
    </w:div>
    <w:div w:id="554245886">
      <w:bodyDiv w:val="1"/>
      <w:marLeft w:val="0"/>
      <w:marRight w:val="0"/>
      <w:marTop w:val="0"/>
      <w:marBottom w:val="0"/>
      <w:divBdr>
        <w:top w:val="none" w:sz="0" w:space="0" w:color="auto"/>
        <w:left w:val="none" w:sz="0" w:space="0" w:color="auto"/>
        <w:bottom w:val="none" w:sz="0" w:space="0" w:color="auto"/>
        <w:right w:val="none" w:sz="0" w:space="0" w:color="auto"/>
      </w:divBdr>
    </w:div>
    <w:div w:id="554438547">
      <w:bodyDiv w:val="1"/>
      <w:marLeft w:val="0"/>
      <w:marRight w:val="0"/>
      <w:marTop w:val="0"/>
      <w:marBottom w:val="0"/>
      <w:divBdr>
        <w:top w:val="none" w:sz="0" w:space="0" w:color="auto"/>
        <w:left w:val="none" w:sz="0" w:space="0" w:color="auto"/>
        <w:bottom w:val="none" w:sz="0" w:space="0" w:color="auto"/>
        <w:right w:val="none" w:sz="0" w:space="0" w:color="auto"/>
      </w:divBdr>
    </w:div>
    <w:div w:id="554512212">
      <w:bodyDiv w:val="1"/>
      <w:marLeft w:val="0"/>
      <w:marRight w:val="0"/>
      <w:marTop w:val="0"/>
      <w:marBottom w:val="0"/>
      <w:divBdr>
        <w:top w:val="none" w:sz="0" w:space="0" w:color="auto"/>
        <w:left w:val="none" w:sz="0" w:space="0" w:color="auto"/>
        <w:bottom w:val="none" w:sz="0" w:space="0" w:color="auto"/>
        <w:right w:val="none" w:sz="0" w:space="0" w:color="auto"/>
      </w:divBdr>
    </w:div>
    <w:div w:id="554706361">
      <w:bodyDiv w:val="1"/>
      <w:marLeft w:val="0"/>
      <w:marRight w:val="0"/>
      <w:marTop w:val="0"/>
      <w:marBottom w:val="0"/>
      <w:divBdr>
        <w:top w:val="none" w:sz="0" w:space="0" w:color="auto"/>
        <w:left w:val="none" w:sz="0" w:space="0" w:color="auto"/>
        <w:bottom w:val="none" w:sz="0" w:space="0" w:color="auto"/>
        <w:right w:val="none" w:sz="0" w:space="0" w:color="auto"/>
      </w:divBdr>
    </w:div>
    <w:div w:id="555432497">
      <w:bodyDiv w:val="1"/>
      <w:marLeft w:val="0"/>
      <w:marRight w:val="0"/>
      <w:marTop w:val="0"/>
      <w:marBottom w:val="0"/>
      <w:divBdr>
        <w:top w:val="none" w:sz="0" w:space="0" w:color="auto"/>
        <w:left w:val="none" w:sz="0" w:space="0" w:color="auto"/>
        <w:bottom w:val="none" w:sz="0" w:space="0" w:color="auto"/>
        <w:right w:val="none" w:sz="0" w:space="0" w:color="auto"/>
      </w:divBdr>
    </w:div>
    <w:div w:id="555436515">
      <w:bodyDiv w:val="1"/>
      <w:marLeft w:val="0"/>
      <w:marRight w:val="0"/>
      <w:marTop w:val="0"/>
      <w:marBottom w:val="0"/>
      <w:divBdr>
        <w:top w:val="none" w:sz="0" w:space="0" w:color="auto"/>
        <w:left w:val="none" w:sz="0" w:space="0" w:color="auto"/>
        <w:bottom w:val="none" w:sz="0" w:space="0" w:color="auto"/>
        <w:right w:val="none" w:sz="0" w:space="0" w:color="auto"/>
      </w:divBdr>
    </w:div>
    <w:div w:id="555701398">
      <w:bodyDiv w:val="1"/>
      <w:marLeft w:val="0"/>
      <w:marRight w:val="0"/>
      <w:marTop w:val="0"/>
      <w:marBottom w:val="0"/>
      <w:divBdr>
        <w:top w:val="none" w:sz="0" w:space="0" w:color="auto"/>
        <w:left w:val="none" w:sz="0" w:space="0" w:color="auto"/>
        <w:bottom w:val="none" w:sz="0" w:space="0" w:color="auto"/>
        <w:right w:val="none" w:sz="0" w:space="0" w:color="auto"/>
      </w:divBdr>
    </w:div>
    <w:div w:id="555967527">
      <w:bodyDiv w:val="1"/>
      <w:marLeft w:val="0"/>
      <w:marRight w:val="0"/>
      <w:marTop w:val="0"/>
      <w:marBottom w:val="0"/>
      <w:divBdr>
        <w:top w:val="none" w:sz="0" w:space="0" w:color="auto"/>
        <w:left w:val="none" w:sz="0" w:space="0" w:color="auto"/>
        <w:bottom w:val="none" w:sz="0" w:space="0" w:color="auto"/>
        <w:right w:val="none" w:sz="0" w:space="0" w:color="auto"/>
      </w:divBdr>
    </w:div>
    <w:div w:id="556092976">
      <w:bodyDiv w:val="1"/>
      <w:marLeft w:val="0"/>
      <w:marRight w:val="0"/>
      <w:marTop w:val="0"/>
      <w:marBottom w:val="0"/>
      <w:divBdr>
        <w:top w:val="none" w:sz="0" w:space="0" w:color="auto"/>
        <w:left w:val="none" w:sz="0" w:space="0" w:color="auto"/>
        <w:bottom w:val="none" w:sz="0" w:space="0" w:color="auto"/>
        <w:right w:val="none" w:sz="0" w:space="0" w:color="auto"/>
      </w:divBdr>
    </w:div>
    <w:div w:id="556401674">
      <w:bodyDiv w:val="1"/>
      <w:marLeft w:val="0"/>
      <w:marRight w:val="0"/>
      <w:marTop w:val="0"/>
      <w:marBottom w:val="0"/>
      <w:divBdr>
        <w:top w:val="none" w:sz="0" w:space="0" w:color="auto"/>
        <w:left w:val="none" w:sz="0" w:space="0" w:color="auto"/>
        <w:bottom w:val="none" w:sz="0" w:space="0" w:color="auto"/>
        <w:right w:val="none" w:sz="0" w:space="0" w:color="auto"/>
      </w:divBdr>
    </w:div>
    <w:div w:id="556597765">
      <w:bodyDiv w:val="1"/>
      <w:marLeft w:val="0"/>
      <w:marRight w:val="0"/>
      <w:marTop w:val="0"/>
      <w:marBottom w:val="0"/>
      <w:divBdr>
        <w:top w:val="none" w:sz="0" w:space="0" w:color="auto"/>
        <w:left w:val="none" w:sz="0" w:space="0" w:color="auto"/>
        <w:bottom w:val="none" w:sz="0" w:space="0" w:color="auto"/>
        <w:right w:val="none" w:sz="0" w:space="0" w:color="auto"/>
      </w:divBdr>
    </w:div>
    <w:div w:id="558322041">
      <w:bodyDiv w:val="1"/>
      <w:marLeft w:val="0"/>
      <w:marRight w:val="0"/>
      <w:marTop w:val="0"/>
      <w:marBottom w:val="0"/>
      <w:divBdr>
        <w:top w:val="none" w:sz="0" w:space="0" w:color="auto"/>
        <w:left w:val="none" w:sz="0" w:space="0" w:color="auto"/>
        <w:bottom w:val="none" w:sz="0" w:space="0" w:color="auto"/>
        <w:right w:val="none" w:sz="0" w:space="0" w:color="auto"/>
      </w:divBdr>
    </w:div>
    <w:div w:id="558399400">
      <w:bodyDiv w:val="1"/>
      <w:marLeft w:val="0"/>
      <w:marRight w:val="0"/>
      <w:marTop w:val="0"/>
      <w:marBottom w:val="0"/>
      <w:divBdr>
        <w:top w:val="none" w:sz="0" w:space="0" w:color="auto"/>
        <w:left w:val="none" w:sz="0" w:space="0" w:color="auto"/>
        <w:bottom w:val="none" w:sz="0" w:space="0" w:color="auto"/>
        <w:right w:val="none" w:sz="0" w:space="0" w:color="auto"/>
      </w:divBdr>
    </w:div>
    <w:div w:id="558439870">
      <w:bodyDiv w:val="1"/>
      <w:marLeft w:val="0"/>
      <w:marRight w:val="0"/>
      <w:marTop w:val="0"/>
      <w:marBottom w:val="0"/>
      <w:divBdr>
        <w:top w:val="none" w:sz="0" w:space="0" w:color="auto"/>
        <w:left w:val="none" w:sz="0" w:space="0" w:color="auto"/>
        <w:bottom w:val="none" w:sz="0" w:space="0" w:color="auto"/>
        <w:right w:val="none" w:sz="0" w:space="0" w:color="auto"/>
      </w:divBdr>
    </w:div>
    <w:div w:id="558707630">
      <w:bodyDiv w:val="1"/>
      <w:marLeft w:val="0"/>
      <w:marRight w:val="0"/>
      <w:marTop w:val="0"/>
      <w:marBottom w:val="0"/>
      <w:divBdr>
        <w:top w:val="none" w:sz="0" w:space="0" w:color="auto"/>
        <w:left w:val="none" w:sz="0" w:space="0" w:color="auto"/>
        <w:bottom w:val="none" w:sz="0" w:space="0" w:color="auto"/>
        <w:right w:val="none" w:sz="0" w:space="0" w:color="auto"/>
      </w:divBdr>
    </w:div>
    <w:div w:id="558832830">
      <w:bodyDiv w:val="1"/>
      <w:marLeft w:val="0"/>
      <w:marRight w:val="0"/>
      <w:marTop w:val="0"/>
      <w:marBottom w:val="0"/>
      <w:divBdr>
        <w:top w:val="none" w:sz="0" w:space="0" w:color="auto"/>
        <w:left w:val="none" w:sz="0" w:space="0" w:color="auto"/>
        <w:bottom w:val="none" w:sz="0" w:space="0" w:color="auto"/>
        <w:right w:val="none" w:sz="0" w:space="0" w:color="auto"/>
      </w:divBdr>
    </w:div>
    <w:div w:id="559050238">
      <w:bodyDiv w:val="1"/>
      <w:marLeft w:val="0"/>
      <w:marRight w:val="0"/>
      <w:marTop w:val="0"/>
      <w:marBottom w:val="0"/>
      <w:divBdr>
        <w:top w:val="none" w:sz="0" w:space="0" w:color="auto"/>
        <w:left w:val="none" w:sz="0" w:space="0" w:color="auto"/>
        <w:bottom w:val="none" w:sz="0" w:space="0" w:color="auto"/>
        <w:right w:val="none" w:sz="0" w:space="0" w:color="auto"/>
      </w:divBdr>
    </w:div>
    <w:div w:id="559751682">
      <w:bodyDiv w:val="1"/>
      <w:marLeft w:val="0"/>
      <w:marRight w:val="0"/>
      <w:marTop w:val="0"/>
      <w:marBottom w:val="0"/>
      <w:divBdr>
        <w:top w:val="none" w:sz="0" w:space="0" w:color="auto"/>
        <w:left w:val="none" w:sz="0" w:space="0" w:color="auto"/>
        <w:bottom w:val="none" w:sz="0" w:space="0" w:color="auto"/>
        <w:right w:val="none" w:sz="0" w:space="0" w:color="auto"/>
      </w:divBdr>
    </w:div>
    <w:div w:id="559829373">
      <w:bodyDiv w:val="1"/>
      <w:marLeft w:val="0"/>
      <w:marRight w:val="0"/>
      <w:marTop w:val="0"/>
      <w:marBottom w:val="0"/>
      <w:divBdr>
        <w:top w:val="none" w:sz="0" w:space="0" w:color="auto"/>
        <w:left w:val="none" w:sz="0" w:space="0" w:color="auto"/>
        <w:bottom w:val="none" w:sz="0" w:space="0" w:color="auto"/>
        <w:right w:val="none" w:sz="0" w:space="0" w:color="auto"/>
      </w:divBdr>
    </w:div>
    <w:div w:id="560097767">
      <w:bodyDiv w:val="1"/>
      <w:marLeft w:val="0"/>
      <w:marRight w:val="0"/>
      <w:marTop w:val="0"/>
      <w:marBottom w:val="0"/>
      <w:divBdr>
        <w:top w:val="none" w:sz="0" w:space="0" w:color="auto"/>
        <w:left w:val="none" w:sz="0" w:space="0" w:color="auto"/>
        <w:bottom w:val="none" w:sz="0" w:space="0" w:color="auto"/>
        <w:right w:val="none" w:sz="0" w:space="0" w:color="auto"/>
      </w:divBdr>
    </w:div>
    <w:div w:id="560747349">
      <w:bodyDiv w:val="1"/>
      <w:marLeft w:val="0"/>
      <w:marRight w:val="0"/>
      <w:marTop w:val="0"/>
      <w:marBottom w:val="0"/>
      <w:divBdr>
        <w:top w:val="none" w:sz="0" w:space="0" w:color="auto"/>
        <w:left w:val="none" w:sz="0" w:space="0" w:color="auto"/>
        <w:bottom w:val="none" w:sz="0" w:space="0" w:color="auto"/>
        <w:right w:val="none" w:sz="0" w:space="0" w:color="auto"/>
      </w:divBdr>
    </w:div>
    <w:div w:id="560946758">
      <w:bodyDiv w:val="1"/>
      <w:marLeft w:val="0"/>
      <w:marRight w:val="0"/>
      <w:marTop w:val="0"/>
      <w:marBottom w:val="0"/>
      <w:divBdr>
        <w:top w:val="none" w:sz="0" w:space="0" w:color="auto"/>
        <w:left w:val="none" w:sz="0" w:space="0" w:color="auto"/>
        <w:bottom w:val="none" w:sz="0" w:space="0" w:color="auto"/>
        <w:right w:val="none" w:sz="0" w:space="0" w:color="auto"/>
      </w:divBdr>
    </w:div>
    <w:div w:id="561645740">
      <w:bodyDiv w:val="1"/>
      <w:marLeft w:val="0"/>
      <w:marRight w:val="0"/>
      <w:marTop w:val="0"/>
      <w:marBottom w:val="0"/>
      <w:divBdr>
        <w:top w:val="none" w:sz="0" w:space="0" w:color="auto"/>
        <w:left w:val="none" w:sz="0" w:space="0" w:color="auto"/>
        <w:bottom w:val="none" w:sz="0" w:space="0" w:color="auto"/>
        <w:right w:val="none" w:sz="0" w:space="0" w:color="auto"/>
      </w:divBdr>
    </w:div>
    <w:div w:id="561868601">
      <w:bodyDiv w:val="1"/>
      <w:marLeft w:val="0"/>
      <w:marRight w:val="0"/>
      <w:marTop w:val="0"/>
      <w:marBottom w:val="0"/>
      <w:divBdr>
        <w:top w:val="none" w:sz="0" w:space="0" w:color="auto"/>
        <w:left w:val="none" w:sz="0" w:space="0" w:color="auto"/>
        <w:bottom w:val="none" w:sz="0" w:space="0" w:color="auto"/>
        <w:right w:val="none" w:sz="0" w:space="0" w:color="auto"/>
      </w:divBdr>
    </w:div>
    <w:div w:id="561982146">
      <w:bodyDiv w:val="1"/>
      <w:marLeft w:val="0"/>
      <w:marRight w:val="0"/>
      <w:marTop w:val="0"/>
      <w:marBottom w:val="0"/>
      <w:divBdr>
        <w:top w:val="none" w:sz="0" w:space="0" w:color="auto"/>
        <w:left w:val="none" w:sz="0" w:space="0" w:color="auto"/>
        <w:bottom w:val="none" w:sz="0" w:space="0" w:color="auto"/>
        <w:right w:val="none" w:sz="0" w:space="0" w:color="auto"/>
      </w:divBdr>
    </w:div>
    <w:div w:id="562059462">
      <w:bodyDiv w:val="1"/>
      <w:marLeft w:val="0"/>
      <w:marRight w:val="0"/>
      <w:marTop w:val="0"/>
      <w:marBottom w:val="0"/>
      <w:divBdr>
        <w:top w:val="none" w:sz="0" w:space="0" w:color="auto"/>
        <w:left w:val="none" w:sz="0" w:space="0" w:color="auto"/>
        <w:bottom w:val="none" w:sz="0" w:space="0" w:color="auto"/>
        <w:right w:val="none" w:sz="0" w:space="0" w:color="auto"/>
      </w:divBdr>
    </w:div>
    <w:div w:id="563296378">
      <w:bodyDiv w:val="1"/>
      <w:marLeft w:val="0"/>
      <w:marRight w:val="0"/>
      <w:marTop w:val="0"/>
      <w:marBottom w:val="0"/>
      <w:divBdr>
        <w:top w:val="none" w:sz="0" w:space="0" w:color="auto"/>
        <w:left w:val="none" w:sz="0" w:space="0" w:color="auto"/>
        <w:bottom w:val="none" w:sz="0" w:space="0" w:color="auto"/>
        <w:right w:val="none" w:sz="0" w:space="0" w:color="auto"/>
      </w:divBdr>
    </w:div>
    <w:div w:id="563758448">
      <w:bodyDiv w:val="1"/>
      <w:marLeft w:val="0"/>
      <w:marRight w:val="0"/>
      <w:marTop w:val="0"/>
      <w:marBottom w:val="0"/>
      <w:divBdr>
        <w:top w:val="none" w:sz="0" w:space="0" w:color="auto"/>
        <w:left w:val="none" w:sz="0" w:space="0" w:color="auto"/>
        <w:bottom w:val="none" w:sz="0" w:space="0" w:color="auto"/>
        <w:right w:val="none" w:sz="0" w:space="0" w:color="auto"/>
      </w:divBdr>
    </w:div>
    <w:div w:id="563832036">
      <w:bodyDiv w:val="1"/>
      <w:marLeft w:val="0"/>
      <w:marRight w:val="0"/>
      <w:marTop w:val="0"/>
      <w:marBottom w:val="0"/>
      <w:divBdr>
        <w:top w:val="none" w:sz="0" w:space="0" w:color="auto"/>
        <w:left w:val="none" w:sz="0" w:space="0" w:color="auto"/>
        <w:bottom w:val="none" w:sz="0" w:space="0" w:color="auto"/>
        <w:right w:val="none" w:sz="0" w:space="0" w:color="auto"/>
      </w:divBdr>
    </w:div>
    <w:div w:id="563877055">
      <w:bodyDiv w:val="1"/>
      <w:marLeft w:val="0"/>
      <w:marRight w:val="0"/>
      <w:marTop w:val="0"/>
      <w:marBottom w:val="0"/>
      <w:divBdr>
        <w:top w:val="none" w:sz="0" w:space="0" w:color="auto"/>
        <w:left w:val="none" w:sz="0" w:space="0" w:color="auto"/>
        <w:bottom w:val="none" w:sz="0" w:space="0" w:color="auto"/>
        <w:right w:val="none" w:sz="0" w:space="0" w:color="auto"/>
      </w:divBdr>
    </w:div>
    <w:div w:id="564026998">
      <w:bodyDiv w:val="1"/>
      <w:marLeft w:val="0"/>
      <w:marRight w:val="0"/>
      <w:marTop w:val="0"/>
      <w:marBottom w:val="0"/>
      <w:divBdr>
        <w:top w:val="none" w:sz="0" w:space="0" w:color="auto"/>
        <w:left w:val="none" w:sz="0" w:space="0" w:color="auto"/>
        <w:bottom w:val="none" w:sz="0" w:space="0" w:color="auto"/>
        <w:right w:val="none" w:sz="0" w:space="0" w:color="auto"/>
      </w:divBdr>
    </w:div>
    <w:div w:id="564338844">
      <w:bodyDiv w:val="1"/>
      <w:marLeft w:val="0"/>
      <w:marRight w:val="0"/>
      <w:marTop w:val="0"/>
      <w:marBottom w:val="0"/>
      <w:divBdr>
        <w:top w:val="none" w:sz="0" w:space="0" w:color="auto"/>
        <w:left w:val="none" w:sz="0" w:space="0" w:color="auto"/>
        <w:bottom w:val="none" w:sz="0" w:space="0" w:color="auto"/>
        <w:right w:val="none" w:sz="0" w:space="0" w:color="auto"/>
      </w:divBdr>
    </w:div>
    <w:div w:id="564534015">
      <w:bodyDiv w:val="1"/>
      <w:marLeft w:val="0"/>
      <w:marRight w:val="0"/>
      <w:marTop w:val="0"/>
      <w:marBottom w:val="0"/>
      <w:divBdr>
        <w:top w:val="none" w:sz="0" w:space="0" w:color="auto"/>
        <w:left w:val="none" w:sz="0" w:space="0" w:color="auto"/>
        <w:bottom w:val="none" w:sz="0" w:space="0" w:color="auto"/>
        <w:right w:val="none" w:sz="0" w:space="0" w:color="auto"/>
      </w:divBdr>
    </w:div>
    <w:div w:id="564799046">
      <w:bodyDiv w:val="1"/>
      <w:marLeft w:val="0"/>
      <w:marRight w:val="0"/>
      <w:marTop w:val="0"/>
      <w:marBottom w:val="0"/>
      <w:divBdr>
        <w:top w:val="none" w:sz="0" w:space="0" w:color="auto"/>
        <w:left w:val="none" w:sz="0" w:space="0" w:color="auto"/>
        <w:bottom w:val="none" w:sz="0" w:space="0" w:color="auto"/>
        <w:right w:val="none" w:sz="0" w:space="0" w:color="auto"/>
      </w:divBdr>
    </w:div>
    <w:div w:id="564921260">
      <w:bodyDiv w:val="1"/>
      <w:marLeft w:val="0"/>
      <w:marRight w:val="0"/>
      <w:marTop w:val="0"/>
      <w:marBottom w:val="0"/>
      <w:divBdr>
        <w:top w:val="none" w:sz="0" w:space="0" w:color="auto"/>
        <w:left w:val="none" w:sz="0" w:space="0" w:color="auto"/>
        <w:bottom w:val="none" w:sz="0" w:space="0" w:color="auto"/>
        <w:right w:val="none" w:sz="0" w:space="0" w:color="auto"/>
      </w:divBdr>
    </w:div>
    <w:div w:id="565913648">
      <w:bodyDiv w:val="1"/>
      <w:marLeft w:val="0"/>
      <w:marRight w:val="0"/>
      <w:marTop w:val="0"/>
      <w:marBottom w:val="0"/>
      <w:divBdr>
        <w:top w:val="none" w:sz="0" w:space="0" w:color="auto"/>
        <w:left w:val="none" w:sz="0" w:space="0" w:color="auto"/>
        <w:bottom w:val="none" w:sz="0" w:space="0" w:color="auto"/>
        <w:right w:val="none" w:sz="0" w:space="0" w:color="auto"/>
      </w:divBdr>
    </w:div>
    <w:div w:id="566110219">
      <w:bodyDiv w:val="1"/>
      <w:marLeft w:val="0"/>
      <w:marRight w:val="0"/>
      <w:marTop w:val="0"/>
      <w:marBottom w:val="0"/>
      <w:divBdr>
        <w:top w:val="none" w:sz="0" w:space="0" w:color="auto"/>
        <w:left w:val="none" w:sz="0" w:space="0" w:color="auto"/>
        <w:bottom w:val="none" w:sz="0" w:space="0" w:color="auto"/>
        <w:right w:val="none" w:sz="0" w:space="0" w:color="auto"/>
      </w:divBdr>
    </w:div>
    <w:div w:id="566383389">
      <w:bodyDiv w:val="1"/>
      <w:marLeft w:val="0"/>
      <w:marRight w:val="0"/>
      <w:marTop w:val="0"/>
      <w:marBottom w:val="0"/>
      <w:divBdr>
        <w:top w:val="none" w:sz="0" w:space="0" w:color="auto"/>
        <w:left w:val="none" w:sz="0" w:space="0" w:color="auto"/>
        <w:bottom w:val="none" w:sz="0" w:space="0" w:color="auto"/>
        <w:right w:val="none" w:sz="0" w:space="0" w:color="auto"/>
      </w:divBdr>
    </w:div>
    <w:div w:id="567106301">
      <w:bodyDiv w:val="1"/>
      <w:marLeft w:val="0"/>
      <w:marRight w:val="0"/>
      <w:marTop w:val="0"/>
      <w:marBottom w:val="0"/>
      <w:divBdr>
        <w:top w:val="none" w:sz="0" w:space="0" w:color="auto"/>
        <w:left w:val="none" w:sz="0" w:space="0" w:color="auto"/>
        <w:bottom w:val="none" w:sz="0" w:space="0" w:color="auto"/>
        <w:right w:val="none" w:sz="0" w:space="0" w:color="auto"/>
      </w:divBdr>
    </w:div>
    <w:div w:id="567305357">
      <w:bodyDiv w:val="1"/>
      <w:marLeft w:val="0"/>
      <w:marRight w:val="0"/>
      <w:marTop w:val="0"/>
      <w:marBottom w:val="0"/>
      <w:divBdr>
        <w:top w:val="none" w:sz="0" w:space="0" w:color="auto"/>
        <w:left w:val="none" w:sz="0" w:space="0" w:color="auto"/>
        <w:bottom w:val="none" w:sz="0" w:space="0" w:color="auto"/>
        <w:right w:val="none" w:sz="0" w:space="0" w:color="auto"/>
      </w:divBdr>
    </w:div>
    <w:div w:id="568614820">
      <w:bodyDiv w:val="1"/>
      <w:marLeft w:val="0"/>
      <w:marRight w:val="0"/>
      <w:marTop w:val="0"/>
      <w:marBottom w:val="0"/>
      <w:divBdr>
        <w:top w:val="none" w:sz="0" w:space="0" w:color="auto"/>
        <w:left w:val="none" w:sz="0" w:space="0" w:color="auto"/>
        <w:bottom w:val="none" w:sz="0" w:space="0" w:color="auto"/>
        <w:right w:val="none" w:sz="0" w:space="0" w:color="auto"/>
      </w:divBdr>
    </w:div>
    <w:div w:id="568811335">
      <w:bodyDiv w:val="1"/>
      <w:marLeft w:val="0"/>
      <w:marRight w:val="0"/>
      <w:marTop w:val="0"/>
      <w:marBottom w:val="0"/>
      <w:divBdr>
        <w:top w:val="none" w:sz="0" w:space="0" w:color="auto"/>
        <w:left w:val="none" w:sz="0" w:space="0" w:color="auto"/>
        <w:bottom w:val="none" w:sz="0" w:space="0" w:color="auto"/>
        <w:right w:val="none" w:sz="0" w:space="0" w:color="auto"/>
      </w:divBdr>
    </w:div>
    <w:div w:id="569654267">
      <w:bodyDiv w:val="1"/>
      <w:marLeft w:val="0"/>
      <w:marRight w:val="0"/>
      <w:marTop w:val="0"/>
      <w:marBottom w:val="0"/>
      <w:divBdr>
        <w:top w:val="none" w:sz="0" w:space="0" w:color="auto"/>
        <w:left w:val="none" w:sz="0" w:space="0" w:color="auto"/>
        <w:bottom w:val="none" w:sz="0" w:space="0" w:color="auto"/>
        <w:right w:val="none" w:sz="0" w:space="0" w:color="auto"/>
      </w:divBdr>
    </w:div>
    <w:div w:id="570241217">
      <w:bodyDiv w:val="1"/>
      <w:marLeft w:val="0"/>
      <w:marRight w:val="0"/>
      <w:marTop w:val="0"/>
      <w:marBottom w:val="0"/>
      <w:divBdr>
        <w:top w:val="none" w:sz="0" w:space="0" w:color="auto"/>
        <w:left w:val="none" w:sz="0" w:space="0" w:color="auto"/>
        <w:bottom w:val="none" w:sz="0" w:space="0" w:color="auto"/>
        <w:right w:val="none" w:sz="0" w:space="0" w:color="auto"/>
      </w:divBdr>
    </w:div>
    <w:div w:id="571887482">
      <w:bodyDiv w:val="1"/>
      <w:marLeft w:val="0"/>
      <w:marRight w:val="0"/>
      <w:marTop w:val="0"/>
      <w:marBottom w:val="0"/>
      <w:divBdr>
        <w:top w:val="none" w:sz="0" w:space="0" w:color="auto"/>
        <w:left w:val="none" w:sz="0" w:space="0" w:color="auto"/>
        <w:bottom w:val="none" w:sz="0" w:space="0" w:color="auto"/>
        <w:right w:val="none" w:sz="0" w:space="0" w:color="auto"/>
      </w:divBdr>
    </w:div>
    <w:div w:id="571937051">
      <w:bodyDiv w:val="1"/>
      <w:marLeft w:val="0"/>
      <w:marRight w:val="0"/>
      <w:marTop w:val="0"/>
      <w:marBottom w:val="0"/>
      <w:divBdr>
        <w:top w:val="none" w:sz="0" w:space="0" w:color="auto"/>
        <w:left w:val="none" w:sz="0" w:space="0" w:color="auto"/>
        <w:bottom w:val="none" w:sz="0" w:space="0" w:color="auto"/>
        <w:right w:val="none" w:sz="0" w:space="0" w:color="auto"/>
      </w:divBdr>
    </w:div>
    <w:div w:id="572006681">
      <w:bodyDiv w:val="1"/>
      <w:marLeft w:val="0"/>
      <w:marRight w:val="0"/>
      <w:marTop w:val="0"/>
      <w:marBottom w:val="0"/>
      <w:divBdr>
        <w:top w:val="none" w:sz="0" w:space="0" w:color="auto"/>
        <w:left w:val="none" w:sz="0" w:space="0" w:color="auto"/>
        <w:bottom w:val="none" w:sz="0" w:space="0" w:color="auto"/>
        <w:right w:val="none" w:sz="0" w:space="0" w:color="auto"/>
      </w:divBdr>
    </w:div>
    <w:div w:id="572357489">
      <w:bodyDiv w:val="1"/>
      <w:marLeft w:val="0"/>
      <w:marRight w:val="0"/>
      <w:marTop w:val="0"/>
      <w:marBottom w:val="0"/>
      <w:divBdr>
        <w:top w:val="none" w:sz="0" w:space="0" w:color="auto"/>
        <w:left w:val="none" w:sz="0" w:space="0" w:color="auto"/>
        <w:bottom w:val="none" w:sz="0" w:space="0" w:color="auto"/>
        <w:right w:val="none" w:sz="0" w:space="0" w:color="auto"/>
      </w:divBdr>
    </w:div>
    <w:div w:id="572667061">
      <w:bodyDiv w:val="1"/>
      <w:marLeft w:val="0"/>
      <w:marRight w:val="0"/>
      <w:marTop w:val="0"/>
      <w:marBottom w:val="0"/>
      <w:divBdr>
        <w:top w:val="none" w:sz="0" w:space="0" w:color="auto"/>
        <w:left w:val="none" w:sz="0" w:space="0" w:color="auto"/>
        <w:bottom w:val="none" w:sz="0" w:space="0" w:color="auto"/>
        <w:right w:val="none" w:sz="0" w:space="0" w:color="auto"/>
      </w:divBdr>
    </w:div>
    <w:div w:id="573440757">
      <w:bodyDiv w:val="1"/>
      <w:marLeft w:val="0"/>
      <w:marRight w:val="0"/>
      <w:marTop w:val="0"/>
      <w:marBottom w:val="0"/>
      <w:divBdr>
        <w:top w:val="none" w:sz="0" w:space="0" w:color="auto"/>
        <w:left w:val="none" w:sz="0" w:space="0" w:color="auto"/>
        <w:bottom w:val="none" w:sz="0" w:space="0" w:color="auto"/>
        <w:right w:val="none" w:sz="0" w:space="0" w:color="auto"/>
      </w:divBdr>
    </w:div>
    <w:div w:id="573588340">
      <w:bodyDiv w:val="1"/>
      <w:marLeft w:val="0"/>
      <w:marRight w:val="0"/>
      <w:marTop w:val="0"/>
      <w:marBottom w:val="0"/>
      <w:divBdr>
        <w:top w:val="none" w:sz="0" w:space="0" w:color="auto"/>
        <w:left w:val="none" w:sz="0" w:space="0" w:color="auto"/>
        <w:bottom w:val="none" w:sz="0" w:space="0" w:color="auto"/>
        <w:right w:val="none" w:sz="0" w:space="0" w:color="auto"/>
      </w:divBdr>
    </w:div>
    <w:div w:id="573854967">
      <w:bodyDiv w:val="1"/>
      <w:marLeft w:val="0"/>
      <w:marRight w:val="0"/>
      <w:marTop w:val="0"/>
      <w:marBottom w:val="0"/>
      <w:divBdr>
        <w:top w:val="none" w:sz="0" w:space="0" w:color="auto"/>
        <w:left w:val="none" w:sz="0" w:space="0" w:color="auto"/>
        <w:bottom w:val="none" w:sz="0" w:space="0" w:color="auto"/>
        <w:right w:val="none" w:sz="0" w:space="0" w:color="auto"/>
      </w:divBdr>
    </w:div>
    <w:div w:id="573974987">
      <w:bodyDiv w:val="1"/>
      <w:marLeft w:val="0"/>
      <w:marRight w:val="0"/>
      <w:marTop w:val="0"/>
      <w:marBottom w:val="0"/>
      <w:divBdr>
        <w:top w:val="none" w:sz="0" w:space="0" w:color="auto"/>
        <w:left w:val="none" w:sz="0" w:space="0" w:color="auto"/>
        <w:bottom w:val="none" w:sz="0" w:space="0" w:color="auto"/>
        <w:right w:val="none" w:sz="0" w:space="0" w:color="auto"/>
      </w:divBdr>
    </w:div>
    <w:div w:id="574316172">
      <w:bodyDiv w:val="1"/>
      <w:marLeft w:val="0"/>
      <w:marRight w:val="0"/>
      <w:marTop w:val="0"/>
      <w:marBottom w:val="0"/>
      <w:divBdr>
        <w:top w:val="none" w:sz="0" w:space="0" w:color="auto"/>
        <w:left w:val="none" w:sz="0" w:space="0" w:color="auto"/>
        <w:bottom w:val="none" w:sz="0" w:space="0" w:color="auto"/>
        <w:right w:val="none" w:sz="0" w:space="0" w:color="auto"/>
      </w:divBdr>
    </w:div>
    <w:div w:id="574512493">
      <w:bodyDiv w:val="1"/>
      <w:marLeft w:val="0"/>
      <w:marRight w:val="0"/>
      <w:marTop w:val="0"/>
      <w:marBottom w:val="0"/>
      <w:divBdr>
        <w:top w:val="none" w:sz="0" w:space="0" w:color="auto"/>
        <w:left w:val="none" w:sz="0" w:space="0" w:color="auto"/>
        <w:bottom w:val="none" w:sz="0" w:space="0" w:color="auto"/>
        <w:right w:val="none" w:sz="0" w:space="0" w:color="auto"/>
      </w:divBdr>
    </w:div>
    <w:div w:id="575894802">
      <w:bodyDiv w:val="1"/>
      <w:marLeft w:val="0"/>
      <w:marRight w:val="0"/>
      <w:marTop w:val="0"/>
      <w:marBottom w:val="0"/>
      <w:divBdr>
        <w:top w:val="none" w:sz="0" w:space="0" w:color="auto"/>
        <w:left w:val="none" w:sz="0" w:space="0" w:color="auto"/>
        <w:bottom w:val="none" w:sz="0" w:space="0" w:color="auto"/>
        <w:right w:val="none" w:sz="0" w:space="0" w:color="auto"/>
      </w:divBdr>
    </w:div>
    <w:div w:id="576327408">
      <w:bodyDiv w:val="1"/>
      <w:marLeft w:val="0"/>
      <w:marRight w:val="0"/>
      <w:marTop w:val="0"/>
      <w:marBottom w:val="0"/>
      <w:divBdr>
        <w:top w:val="none" w:sz="0" w:space="0" w:color="auto"/>
        <w:left w:val="none" w:sz="0" w:space="0" w:color="auto"/>
        <w:bottom w:val="none" w:sz="0" w:space="0" w:color="auto"/>
        <w:right w:val="none" w:sz="0" w:space="0" w:color="auto"/>
      </w:divBdr>
    </w:div>
    <w:div w:id="576595677">
      <w:bodyDiv w:val="1"/>
      <w:marLeft w:val="0"/>
      <w:marRight w:val="0"/>
      <w:marTop w:val="0"/>
      <w:marBottom w:val="0"/>
      <w:divBdr>
        <w:top w:val="none" w:sz="0" w:space="0" w:color="auto"/>
        <w:left w:val="none" w:sz="0" w:space="0" w:color="auto"/>
        <w:bottom w:val="none" w:sz="0" w:space="0" w:color="auto"/>
        <w:right w:val="none" w:sz="0" w:space="0" w:color="auto"/>
      </w:divBdr>
    </w:div>
    <w:div w:id="576937041">
      <w:bodyDiv w:val="1"/>
      <w:marLeft w:val="0"/>
      <w:marRight w:val="0"/>
      <w:marTop w:val="0"/>
      <w:marBottom w:val="0"/>
      <w:divBdr>
        <w:top w:val="none" w:sz="0" w:space="0" w:color="auto"/>
        <w:left w:val="none" w:sz="0" w:space="0" w:color="auto"/>
        <w:bottom w:val="none" w:sz="0" w:space="0" w:color="auto"/>
        <w:right w:val="none" w:sz="0" w:space="0" w:color="auto"/>
      </w:divBdr>
    </w:div>
    <w:div w:id="577176715">
      <w:bodyDiv w:val="1"/>
      <w:marLeft w:val="0"/>
      <w:marRight w:val="0"/>
      <w:marTop w:val="0"/>
      <w:marBottom w:val="0"/>
      <w:divBdr>
        <w:top w:val="none" w:sz="0" w:space="0" w:color="auto"/>
        <w:left w:val="none" w:sz="0" w:space="0" w:color="auto"/>
        <w:bottom w:val="none" w:sz="0" w:space="0" w:color="auto"/>
        <w:right w:val="none" w:sz="0" w:space="0" w:color="auto"/>
      </w:divBdr>
    </w:div>
    <w:div w:id="577787401">
      <w:bodyDiv w:val="1"/>
      <w:marLeft w:val="0"/>
      <w:marRight w:val="0"/>
      <w:marTop w:val="0"/>
      <w:marBottom w:val="0"/>
      <w:divBdr>
        <w:top w:val="none" w:sz="0" w:space="0" w:color="auto"/>
        <w:left w:val="none" w:sz="0" w:space="0" w:color="auto"/>
        <w:bottom w:val="none" w:sz="0" w:space="0" w:color="auto"/>
        <w:right w:val="none" w:sz="0" w:space="0" w:color="auto"/>
      </w:divBdr>
    </w:div>
    <w:div w:id="578027538">
      <w:bodyDiv w:val="1"/>
      <w:marLeft w:val="0"/>
      <w:marRight w:val="0"/>
      <w:marTop w:val="0"/>
      <w:marBottom w:val="0"/>
      <w:divBdr>
        <w:top w:val="none" w:sz="0" w:space="0" w:color="auto"/>
        <w:left w:val="none" w:sz="0" w:space="0" w:color="auto"/>
        <w:bottom w:val="none" w:sz="0" w:space="0" w:color="auto"/>
        <w:right w:val="none" w:sz="0" w:space="0" w:color="auto"/>
      </w:divBdr>
    </w:div>
    <w:div w:id="578515999">
      <w:bodyDiv w:val="1"/>
      <w:marLeft w:val="0"/>
      <w:marRight w:val="0"/>
      <w:marTop w:val="0"/>
      <w:marBottom w:val="0"/>
      <w:divBdr>
        <w:top w:val="none" w:sz="0" w:space="0" w:color="auto"/>
        <w:left w:val="none" w:sz="0" w:space="0" w:color="auto"/>
        <w:bottom w:val="none" w:sz="0" w:space="0" w:color="auto"/>
        <w:right w:val="none" w:sz="0" w:space="0" w:color="auto"/>
      </w:divBdr>
    </w:div>
    <w:div w:id="578517858">
      <w:bodyDiv w:val="1"/>
      <w:marLeft w:val="0"/>
      <w:marRight w:val="0"/>
      <w:marTop w:val="0"/>
      <w:marBottom w:val="0"/>
      <w:divBdr>
        <w:top w:val="none" w:sz="0" w:space="0" w:color="auto"/>
        <w:left w:val="none" w:sz="0" w:space="0" w:color="auto"/>
        <w:bottom w:val="none" w:sz="0" w:space="0" w:color="auto"/>
        <w:right w:val="none" w:sz="0" w:space="0" w:color="auto"/>
      </w:divBdr>
    </w:div>
    <w:div w:id="578710366">
      <w:bodyDiv w:val="1"/>
      <w:marLeft w:val="0"/>
      <w:marRight w:val="0"/>
      <w:marTop w:val="0"/>
      <w:marBottom w:val="0"/>
      <w:divBdr>
        <w:top w:val="none" w:sz="0" w:space="0" w:color="auto"/>
        <w:left w:val="none" w:sz="0" w:space="0" w:color="auto"/>
        <w:bottom w:val="none" w:sz="0" w:space="0" w:color="auto"/>
        <w:right w:val="none" w:sz="0" w:space="0" w:color="auto"/>
      </w:divBdr>
    </w:div>
    <w:div w:id="578714711">
      <w:bodyDiv w:val="1"/>
      <w:marLeft w:val="0"/>
      <w:marRight w:val="0"/>
      <w:marTop w:val="0"/>
      <w:marBottom w:val="0"/>
      <w:divBdr>
        <w:top w:val="none" w:sz="0" w:space="0" w:color="auto"/>
        <w:left w:val="none" w:sz="0" w:space="0" w:color="auto"/>
        <w:bottom w:val="none" w:sz="0" w:space="0" w:color="auto"/>
        <w:right w:val="none" w:sz="0" w:space="0" w:color="auto"/>
      </w:divBdr>
    </w:div>
    <w:div w:id="578753768">
      <w:bodyDiv w:val="1"/>
      <w:marLeft w:val="0"/>
      <w:marRight w:val="0"/>
      <w:marTop w:val="0"/>
      <w:marBottom w:val="0"/>
      <w:divBdr>
        <w:top w:val="none" w:sz="0" w:space="0" w:color="auto"/>
        <w:left w:val="none" w:sz="0" w:space="0" w:color="auto"/>
        <w:bottom w:val="none" w:sz="0" w:space="0" w:color="auto"/>
        <w:right w:val="none" w:sz="0" w:space="0" w:color="auto"/>
      </w:divBdr>
    </w:div>
    <w:div w:id="579101289">
      <w:bodyDiv w:val="1"/>
      <w:marLeft w:val="0"/>
      <w:marRight w:val="0"/>
      <w:marTop w:val="0"/>
      <w:marBottom w:val="0"/>
      <w:divBdr>
        <w:top w:val="none" w:sz="0" w:space="0" w:color="auto"/>
        <w:left w:val="none" w:sz="0" w:space="0" w:color="auto"/>
        <w:bottom w:val="none" w:sz="0" w:space="0" w:color="auto"/>
        <w:right w:val="none" w:sz="0" w:space="0" w:color="auto"/>
      </w:divBdr>
    </w:div>
    <w:div w:id="579172839">
      <w:bodyDiv w:val="1"/>
      <w:marLeft w:val="0"/>
      <w:marRight w:val="0"/>
      <w:marTop w:val="0"/>
      <w:marBottom w:val="0"/>
      <w:divBdr>
        <w:top w:val="none" w:sz="0" w:space="0" w:color="auto"/>
        <w:left w:val="none" w:sz="0" w:space="0" w:color="auto"/>
        <w:bottom w:val="none" w:sz="0" w:space="0" w:color="auto"/>
        <w:right w:val="none" w:sz="0" w:space="0" w:color="auto"/>
      </w:divBdr>
    </w:div>
    <w:div w:id="579293633">
      <w:bodyDiv w:val="1"/>
      <w:marLeft w:val="0"/>
      <w:marRight w:val="0"/>
      <w:marTop w:val="0"/>
      <w:marBottom w:val="0"/>
      <w:divBdr>
        <w:top w:val="none" w:sz="0" w:space="0" w:color="auto"/>
        <w:left w:val="none" w:sz="0" w:space="0" w:color="auto"/>
        <w:bottom w:val="none" w:sz="0" w:space="0" w:color="auto"/>
        <w:right w:val="none" w:sz="0" w:space="0" w:color="auto"/>
      </w:divBdr>
    </w:div>
    <w:div w:id="580259522">
      <w:bodyDiv w:val="1"/>
      <w:marLeft w:val="0"/>
      <w:marRight w:val="0"/>
      <w:marTop w:val="0"/>
      <w:marBottom w:val="0"/>
      <w:divBdr>
        <w:top w:val="none" w:sz="0" w:space="0" w:color="auto"/>
        <w:left w:val="none" w:sz="0" w:space="0" w:color="auto"/>
        <w:bottom w:val="none" w:sz="0" w:space="0" w:color="auto"/>
        <w:right w:val="none" w:sz="0" w:space="0" w:color="auto"/>
      </w:divBdr>
    </w:div>
    <w:div w:id="581332818">
      <w:bodyDiv w:val="1"/>
      <w:marLeft w:val="0"/>
      <w:marRight w:val="0"/>
      <w:marTop w:val="0"/>
      <w:marBottom w:val="0"/>
      <w:divBdr>
        <w:top w:val="none" w:sz="0" w:space="0" w:color="auto"/>
        <w:left w:val="none" w:sz="0" w:space="0" w:color="auto"/>
        <w:bottom w:val="none" w:sz="0" w:space="0" w:color="auto"/>
        <w:right w:val="none" w:sz="0" w:space="0" w:color="auto"/>
      </w:divBdr>
    </w:div>
    <w:div w:id="581647817">
      <w:bodyDiv w:val="1"/>
      <w:marLeft w:val="0"/>
      <w:marRight w:val="0"/>
      <w:marTop w:val="0"/>
      <w:marBottom w:val="0"/>
      <w:divBdr>
        <w:top w:val="none" w:sz="0" w:space="0" w:color="auto"/>
        <w:left w:val="none" w:sz="0" w:space="0" w:color="auto"/>
        <w:bottom w:val="none" w:sz="0" w:space="0" w:color="auto"/>
        <w:right w:val="none" w:sz="0" w:space="0" w:color="auto"/>
      </w:divBdr>
    </w:div>
    <w:div w:id="582300180">
      <w:bodyDiv w:val="1"/>
      <w:marLeft w:val="0"/>
      <w:marRight w:val="0"/>
      <w:marTop w:val="0"/>
      <w:marBottom w:val="0"/>
      <w:divBdr>
        <w:top w:val="none" w:sz="0" w:space="0" w:color="auto"/>
        <w:left w:val="none" w:sz="0" w:space="0" w:color="auto"/>
        <w:bottom w:val="none" w:sz="0" w:space="0" w:color="auto"/>
        <w:right w:val="none" w:sz="0" w:space="0" w:color="auto"/>
      </w:divBdr>
    </w:div>
    <w:div w:id="583682520">
      <w:bodyDiv w:val="1"/>
      <w:marLeft w:val="0"/>
      <w:marRight w:val="0"/>
      <w:marTop w:val="0"/>
      <w:marBottom w:val="0"/>
      <w:divBdr>
        <w:top w:val="none" w:sz="0" w:space="0" w:color="auto"/>
        <w:left w:val="none" w:sz="0" w:space="0" w:color="auto"/>
        <w:bottom w:val="none" w:sz="0" w:space="0" w:color="auto"/>
        <w:right w:val="none" w:sz="0" w:space="0" w:color="auto"/>
      </w:divBdr>
    </w:div>
    <w:div w:id="584151685">
      <w:bodyDiv w:val="1"/>
      <w:marLeft w:val="0"/>
      <w:marRight w:val="0"/>
      <w:marTop w:val="0"/>
      <w:marBottom w:val="0"/>
      <w:divBdr>
        <w:top w:val="none" w:sz="0" w:space="0" w:color="auto"/>
        <w:left w:val="none" w:sz="0" w:space="0" w:color="auto"/>
        <w:bottom w:val="none" w:sz="0" w:space="0" w:color="auto"/>
        <w:right w:val="none" w:sz="0" w:space="0" w:color="auto"/>
      </w:divBdr>
    </w:div>
    <w:div w:id="585966886">
      <w:bodyDiv w:val="1"/>
      <w:marLeft w:val="0"/>
      <w:marRight w:val="0"/>
      <w:marTop w:val="0"/>
      <w:marBottom w:val="0"/>
      <w:divBdr>
        <w:top w:val="none" w:sz="0" w:space="0" w:color="auto"/>
        <w:left w:val="none" w:sz="0" w:space="0" w:color="auto"/>
        <w:bottom w:val="none" w:sz="0" w:space="0" w:color="auto"/>
        <w:right w:val="none" w:sz="0" w:space="0" w:color="auto"/>
      </w:divBdr>
    </w:div>
    <w:div w:id="587275041">
      <w:bodyDiv w:val="1"/>
      <w:marLeft w:val="0"/>
      <w:marRight w:val="0"/>
      <w:marTop w:val="0"/>
      <w:marBottom w:val="0"/>
      <w:divBdr>
        <w:top w:val="none" w:sz="0" w:space="0" w:color="auto"/>
        <w:left w:val="none" w:sz="0" w:space="0" w:color="auto"/>
        <w:bottom w:val="none" w:sz="0" w:space="0" w:color="auto"/>
        <w:right w:val="none" w:sz="0" w:space="0" w:color="auto"/>
      </w:divBdr>
    </w:div>
    <w:div w:id="587350531">
      <w:bodyDiv w:val="1"/>
      <w:marLeft w:val="0"/>
      <w:marRight w:val="0"/>
      <w:marTop w:val="0"/>
      <w:marBottom w:val="0"/>
      <w:divBdr>
        <w:top w:val="none" w:sz="0" w:space="0" w:color="auto"/>
        <w:left w:val="none" w:sz="0" w:space="0" w:color="auto"/>
        <w:bottom w:val="none" w:sz="0" w:space="0" w:color="auto"/>
        <w:right w:val="none" w:sz="0" w:space="0" w:color="auto"/>
      </w:divBdr>
    </w:div>
    <w:div w:id="588194065">
      <w:bodyDiv w:val="1"/>
      <w:marLeft w:val="0"/>
      <w:marRight w:val="0"/>
      <w:marTop w:val="0"/>
      <w:marBottom w:val="0"/>
      <w:divBdr>
        <w:top w:val="none" w:sz="0" w:space="0" w:color="auto"/>
        <w:left w:val="none" w:sz="0" w:space="0" w:color="auto"/>
        <w:bottom w:val="none" w:sz="0" w:space="0" w:color="auto"/>
        <w:right w:val="none" w:sz="0" w:space="0" w:color="auto"/>
      </w:divBdr>
    </w:div>
    <w:div w:id="588194150">
      <w:bodyDiv w:val="1"/>
      <w:marLeft w:val="0"/>
      <w:marRight w:val="0"/>
      <w:marTop w:val="0"/>
      <w:marBottom w:val="0"/>
      <w:divBdr>
        <w:top w:val="none" w:sz="0" w:space="0" w:color="auto"/>
        <w:left w:val="none" w:sz="0" w:space="0" w:color="auto"/>
        <w:bottom w:val="none" w:sz="0" w:space="0" w:color="auto"/>
        <w:right w:val="none" w:sz="0" w:space="0" w:color="auto"/>
      </w:divBdr>
    </w:div>
    <w:div w:id="588583639">
      <w:bodyDiv w:val="1"/>
      <w:marLeft w:val="0"/>
      <w:marRight w:val="0"/>
      <w:marTop w:val="0"/>
      <w:marBottom w:val="0"/>
      <w:divBdr>
        <w:top w:val="none" w:sz="0" w:space="0" w:color="auto"/>
        <w:left w:val="none" w:sz="0" w:space="0" w:color="auto"/>
        <w:bottom w:val="none" w:sz="0" w:space="0" w:color="auto"/>
        <w:right w:val="none" w:sz="0" w:space="0" w:color="auto"/>
      </w:divBdr>
    </w:div>
    <w:div w:id="588586246">
      <w:bodyDiv w:val="1"/>
      <w:marLeft w:val="0"/>
      <w:marRight w:val="0"/>
      <w:marTop w:val="0"/>
      <w:marBottom w:val="0"/>
      <w:divBdr>
        <w:top w:val="none" w:sz="0" w:space="0" w:color="auto"/>
        <w:left w:val="none" w:sz="0" w:space="0" w:color="auto"/>
        <w:bottom w:val="none" w:sz="0" w:space="0" w:color="auto"/>
        <w:right w:val="none" w:sz="0" w:space="0" w:color="auto"/>
      </w:divBdr>
    </w:div>
    <w:div w:id="589192326">
      <w:bodyDiv w:val="1"/>
      <w:marLeft w:val="0"/>
      <w:marRight w:val="0"/>
      <w:marTop w:val="0"/>
      <w:marBottom w:val="0"/>
      <w:divBdr>
        <w:top w:val="none" w:sz="0" w:space="0" w:color="auto"/>
        <w:left w:val="none" w:sz="0" w:space="0" w:color="auto"/>
        <w:bottom w:val="none" w:sz="0" w:space="0" w:color="auto"/>
        <w:right w:val="none" w:sz="0" w:space="0" w:color="auto"/>
      </w:divBdr>
    </w:div>
    <w:div w:id="589389039">
      <w:bodyDiv w:val="1"/>
      <w:marLeft w:val="0"/>
      <w:marRight w:val="0"/>
      <w:marTop w:val="0"/>
      <w:marBottom w:val="0"/>
      <w:divBdr>
        <w:top w:val="none" w:sz="0" w:space="0" w:color="auto"/>
        <w:left w:val="none" w:sz="0" w:space="0" w:color="auto"/>
        <w:bottom w:val="none" w:sz="0" w:space="0" w:color="auto"/>
        <w:right w:val="none" w:sz="0" w:space="0" w:color="auto"/>
      </w:divBdr>
    </w:div>
    <w:div w:id="589586635">
      <w:bodyDiv w:val="1"/>
      <w:marLeft w:val="0"/>
      <w:marRight w:val="0"/>
      <w:marTop w:val="0"/>
      <w:marBottom w:val="0"/>
      <w:divBdr>
        <w:top w:val="none" w:sz="0" w:space="0" w:color="auto"/>
        <w:left w:val="none" w:sz="0" w:space="0" w:color="auto"/>
        <w:bottom w:val="none" w:sz="0" w:space="0" w:color="auto"/>
        <w:right w:val="none" w:sz="0" w:space="0" w:color="auto"/>
      </w:divBdr>
    </w:div>
    <w:div w:id="590160798">
      <w:bodyDiv w:val="1"/>
      <w:marLeft w:val="0"/>
      <w:marRight w:val="0"/>
      <w:marTop w:val="0"/>
      <w:marBottom w:val="0"/>
      <w:divBdr>
        <w:top w:val="none" w:sz="0" w:space="0" w:color="auto"/>
        <w:left w:val="none" w:sz="0" w:space="0" w:color="auto"/>
        <w:bottom w:val="none" w:sz="0" w:space="0" w:color="auto"/>
        <w:right w:val="none" w:sz="0" w:space="0" w:color="auto"/>
      </w:divBdr>
    </w:div>
    <w:div w:id="590313317">
      <w:bodyDiv w:val="1"/>
      <w:marLeft w:val="0"/>
      <w:marRight w:val="0"/>
      <w:marTop w:val="0"/>
      <w:marBottom w:val="0"/>
      <w:divBdr>
        <w:top w:val="none" w:sz="0" w:space="0" w:color="auto"/>
        <w:left w:val="none" w:sz="0" w:space="0" w:color="auto"/>
        <w:bottom w:val="none" w:sz="0" w:space="0" w:color="auto"/>
        <w:right w:val="none" w:sz="0" w:space="0" w:color="auto"/>
      </w:divBdr>
    </w:div>
    <w:div w:id="590354784">
      <w:bodyDiv w:val="1"/>
      <w:marLeft w:val="0"/>
      <w:marRight w:val="0"/>
      <w:marTop w:val="0"/>
      <w:marBottom w:val="0"/>
      <w:divBdr>
        <w:top w:val="none" w:sz="0" w:space="0" w:color="auto"/>
        <w:left w:val="none" w:sz="0" w:space="0" w:color="auto"/>
        <w:bottom w:val="none" w:sz="0" w:space="0" w:color="auto"/>
        <w:right w:val="none" w:sz="0" w:space="0" w:color="auto"/>
      </w:divBdr>
    </w:div>
    <w:div w:id="591205601">
      <w:bodyDiv w:val="1"/>
      <w:marLeft w:val="0"/>
      <w:marRight w:val="0"/>
      <w:marTop w:val="0"/>
      <w:marBottom w:val="0"/>
      <w:divBdr>
        <w:top w:val="none" w:sz="0" w:space="0" w:color="auto"/>
        <w:left w:val="none" w:sz="0" w:space="0" w:color="auto"/>
        <w:bottom w:val="none" w:sz="0" w:space="0" w:color="auto"/>
        <w:right w:val="none" w:sz="0" w:space="0" w:color="auto"/>
      </w:divBdr>
    </w:div>
    <w:div w:id="591427382">
      <w:bodyDiv w:val="1"/>
      <w:marLeft w:val="0"/>
      <w:marRight w:val="0"/>
      <w:marTop w:val="0"/>
      <w:marBottom w:val="0"/>
      <w:divBdr>
        <w:top w:val="none" w:sz="0" w:space="0" w:color="auto"/>
        <w:left w:val="none" w:sz="0" w:space="0" w:color="auto"/>
        <w:bottom w:val="none" w:sz="0" w:space="0" w:color="auto"/>
        <w:right w:val="none" w:sz="0" w:space="0" w:color="auto"/>
      </w:divBdr>
    </w:div>
    <w:div w:id="591546076">
      <w:bodyDiv w:val="1"/>
      <w:marLeft w:val="0"/>
      <w:marRight w:val="0"/>
      <w:marTop w:val="0"/>
      <w:marBottom w:val="0"/>
      <w:divBdr>
        <w:top w:val="none" w:sz="0" w:space="0" w:color="auto"/>
        <w:left w:val="none" w:sz="0" w:space="0" w:color="auto"/>
        <w:bottom w:val="none" w:sz="0" w:space="0" w:color="auto"/>
        <w:right w:val="none" w:sz="0" w:space="0" w:color="auto"/>
      </w:divBdr>
    </w:div>
    <w:div w:id="592324308">
      <w:bodyDiv w:val="1"/>
      <w:marLeft w:val="0"/>
      <w:marRight w:val="0"/>
      <w:marTop w:val="0"/>
      <w:marBottom w:val="0"/>
      <w:divBdr>
        <w:top w:val="none" w:sz="0" w:space="0" w:color="auto"/>
        <w:left w:val="none" w:sz="0" w:space="0" w:color="auto"/>
        <w:bottom w:val="none" w:sz="0" w:space="0" w:color="auto"/>
        <w:right w:val="none" w:sz="0" w:space="0" w:color="auto"/>
      </w:divBdr>
    </w:div>
    <w:div w:id="593124583">
      <w:bodyDiv w:val="1"/>
      <w:marLeft w:val="0"/>
      <w:marRight w:val="0"/>
      <w:marTop w:val="0"/>
      <w:marBottom w:val="0"/>
      <w:divBdr>
        <w:top w:val="none" w:sz="0" w:space="0" w:color="auto"/>
        <w:left w:val="none" w:sz="0" w:space="0" w:color="auto"/>
        <w:bottom w:val="none" w:sz="0" w:space="0" w:color="auto"/>
        <w:right w:val="none" w:sz="0" w:space="0" w:color="auto"/>
      </w:divBdr>
    </w:div>
    <w:div w:id="594018650">
      <w:bodyDiv w:val="1"/>
      <w:marLeft w:val="0"/>
      <w:marRight w:val="0"/>
      <w:marTop w:val="0"/>
      <w:marBottom w:val="0"/>
      <w:divBdr>
        <w:top w:val="none" w:sz="0" w:space="0" w:color="auto"/>
        <w:left w:val="none" w:sz="0" w:space="0" w:color="auto"/>
        <w:bottom w:val="none" w:sz="0" w:space="0" w:color="auto"/>
        <w:right w:val="none" w:sz="0" w:space="0" w:color="auto"/>
      </w:divBdr>
    </w:div>
    <w:div w:id="594705955">
      <w:bodyDiv w:val="1"/>
      <w:marLeft w:val="0"/>
      <w:marRight w:val="0"/>
      <w:marTop w:val="0"/>
      <w:marBottom w:val="0"/>
      <w:divBdr>
        <w:top w:val="none" w:sz="0" w:space="0" w:color="auto"/>
        <w:left w:val="none" w:sz="0" w:space="0" w:color="auto"/>
        <w:bottom w:val="none" w:sz="0" w:space="0" w:color="auto"/>
        <w:right w:val="none" w:sz="0" w:space="0" w:color="auto"/>
      </w:divBdr>
    </w:div>
    <w:div w:id="595209694">
      <w:bodyDiv w:val="1"/>
      <w:marLeft w:val="0"/>
      <w:marRight w:val="0"/>
      <w:marTop w:val="0"/>
      <w:marBottom w:val="0"/>
      <w:divBdr>
        <w:top w:val="none" w:sz="0" w:space="0" w:color="auto"/>
        <w:left w:val="none" w:sz="0" w:space="0" w:color="auto"/>
        <w:bottom w:val="none" w:sz="0" w:space="0" w:color="auto"/>
        <w:right w:val="none" w:sz="0" w:space="0" w:color="auto"/>
      </w:divBdr>
    </w:div>
    <w:div w:id="595863286">
      <w:bodyDiv w:val="1"/>
      <w:marLeft w:val="0"/>
      <w:marRight w:val="0"/>
      <w:marTop w:val="0"/>
      <w:marBottom w:val="0"/>
      <w:divBdr>
        <w:top w:val="none" w:sz="0" w:space="0" w:color="auto"/>
        <w:left w:val="none" w:sz="0" w:space="0" w:color="auto"/>
        <w:bottom w:val="none" w:sz="0" w:space="0" w:color="auto"/>
        <w:right w:val="none" w:sz="0" w:space="0" w:color="auto"/>
      </w:divBdr>
    </w:div>
    <w:div w:id="595869941">
      <w:bodyDiv w:val="1"/>
      <w:marLeft w:val="0"/>
      <w:marRight w:val="0"/>
      <w:marTop w:val="0"/>
      <w:marBottom w:val="0"/>
      <w:divBdr>
        <w:top w:val="none" w:sz="0" w:space="0" w:color="auto"/>
        <w:left w:val="none" w:sz="0" w:space="0" w:color="auto"/>
        <w:bottom w:val="none" w:sz="0" w:space="0" w:color="auto"/>
        <w:right w:val="none" w:sz="0" w:space="0" w:color="auto"/>
      </w:divBdr>
    </w:div>
    <w:div w:id="596212718">
      <w:bodyDiv w:val="1"/>
      <w:marLeft w:val="0"/>
      <w:marRight w:val="0"/>
      <w:marTop w:val="0"/>
      <w:marBottom w:val="0"/>
      <w:divBdr>
        <w:top w:val="none" w:sz="0" w:space="0" w:color="auto"/>
        <w:left w:val="none" w:sz="0" w:space="0" w:color="auto"/>
        <w:bottom w:val="none" w:sz="0" w:space="0" w:color="auto"/>
        <w:right w:val="none" w:sz="0" w:space="0" w:color="auto"/>
      </w:divBdr>
    </w:div>
    <w:div w:id="597064955">
      <w:bodyDiv w:val="1"/>
      <w:marLeft w:val="0"/>
      <w:marRight w:val="0"/>
      <w:marTop w:val="0"/>
      <w:marBottom w:val="0"/>
      <w:divBdr>
        <w:top w:val="none" w:sz="0" w:space="0" w:color="auto"/>
        <w:left w:val="none" w:sz="0" w:space="0" w:color="auto"/>
        <w:bottom w:val="none" w:sz="0" w:space="0" w:color="auto"/>
        <w:right w:val="none" w:sz="0" w:space="0" w:color="auto"/>
      </w:divBdr>
    </w:div>
    <w:div w:id="597374846">
      <w:bodyDiv w:val="1"/>
      <w:marLeft w:val="0"/>
      <w:marRight w:val="0"/>
      <w:marTop w:val="0"/>
      <w:marBottom w:val="0"/>
      <w:divBdr>
        <w:top w:val="none" w:sz="0" w:space="0" w:color="auto"/>
        <w:left w:val="none" w:sz="0" w:space="0" w:color="auto"/>
        <w:bottom w:val="none" w:sz="0" w:space="0" w:color="auto"/>
        <w:right w:val="none" w:sz="0" w:space="0" w:color="auto"/>
      </w:divBdr>
    </w:div>
    <w:div w:id="597446578">
      <w:bodyDiv w:val="1"/>
      <w:marLeft w:val="0"/>
      <w:marRight w:val="0"/>
      <w:marTop w:val="0"/>
      <w:marBottom w:val="0"/>
      <w:divBdr>
        <w:top w:val="none" w:sz="0" w:space="0" w:color="auto"/>
        <w:left w:val="none" w:sz="0" w:space="0" w:color="auto"/>
        <w:bottom w:val="none" w:sz="0" w:space="0" w:color="auto"/>
        <w:right w:val="none" w:sz="0" w:space="0" w:color="auto"/>
      </w:divBdr>
    </w:div>
    <w:div w:id="597447862">
      <w:bodyDiv w:val="1"/>
      <w:marLeft w:val="0"/>
      <w:marRight w:val="0"/>
      <w:marTop w:val="0"/>
      <w:marBottom w:val="0"/>
      <w:divBdr>
        <w:top w:val="none" w:sz="0" w:space="0" w:color="auto"/>
        <w:left w:val="none" w:sz="0" w:space="0" w:color="auto"/>
        <w:bottom w:val="none" w:sz="0" w:space="0" w:color="auto"/>
        <w:right w:val="none" w:sz="0" w:space="0" w:color="auto"/>
      </w:divBdr>
    </w:div>
    <w:div w:id="598415021">
      <w:bodyDiv w:val="1"/>
      <w:marLeft w:val="0"/>
      <w:marRight w:val="0"/>
      <w:marTop w:val="0"/>
      <w:marBottom w:val="0"/>
      <w:divBdr>
        <w:top w:val="none" w:sz="0" w:space="0" w:color="auto"/>
        <w:left w:val="none" w:sz="0" w:space="0" w:color="auto"/>
        <w:bottom w:val="none" w:sz="0" w:space="0" w:color="auto"/>
        <w:right w:val="none" w:sz="0" w:space="0" w:color="auto"/>
      </w:divBdr>
    </w:div>
    <w:div w:id="598950619">
      <w:bodyDiv w:val="1"/>
      <w:marLeft w:val="0"/>
      <w:marRight w:val="0"/>
      <w:marTop w:val="0"/>
      <w:marBottom w:val="0"/>
      <w:divBdr>
        <w:top w:val="none" w:sz="0" w:space="0" w:color="auto"/>
        <w:left w:val="none" w:sz="0" w:space="0" w:color="auto"/>
        <w:bottom w:val="none" w:sz="0" w:space="0" w:color="auto"/>
        <w:right w:val="none" w:sz="0" w:space="0" w:color="auto"/>
      </w:divBdr>
    </w:div>
    <w:div w:id="599027373">
      <w:bodyDiv w:val="1"/>
      <w:marLeft w:val="0"/>
      <w:marRight w:val="0"/>
      <w:marTop w:val="0"/>
      <w:marBottom w:val="0"/>
      <w:divBdr>
        <w:top w:val="none" w:sz="0" w:space="0" w:color="auto"/>
        <w:left w:val="none" w:sz="0" w:space="0" w:color="auto"/>
        <w:bottom w:val="none" w:sz="0" w:space="0" w:color="auto"/>
        <w:right w:val="none" w:sz="0" w:space="0" w:color="auto"/>
      </w:divBdr>
    </w:div>
    <w:div w:id="599292092">
      <w:bodyDiv w:val="1"/>
      <w:marLeft w:val="0"/>
      <w:marRight w:val="0"/>
      <w:marTop w:val="0"/>
      <w:marBottom w:val="0"/>
      <w:divBdr>
        <w:top w:val="none" w:sz="0" w:space="0" w:color="auto"/>
        <w:left w:val="none" w:sz="0" w:space="0" w:color="auto"/>
        <w:bottom w:val="none" w:sz="0" w:space="0" w:color="auto"/>
        <w:right w:val="none" w:sz="0" w:space="0" w:color="auto"/>
      </w:divBdr>
    </w:div>
    <w:div w:id="599408322">
      <w:bodyDiv w:val="1"/>
      <w:marLeft w:val="0"/>
      <w:marRight w:val="0"/>
      <w:marTop w:val="0"/>
      <w:marBottom w:val="0"/>
      <w:divBdr>
        <w:top w:val="none" w:sz="0" w:space="0" w:color="auto"/>
        <w:left w:val="none" w:sz="0" w:space="0" w:color="auto"/>
        <w:bottom w:val="none" w:sz="0" w:space="0" w:color="auto"/>
        <w:right w:val="none" w:sz="0" w:space="0" w:color="auto"/>
      </w:divBdr>
    </w:div>
    <w:div w:id="600987614">
      <w:bodyDiv w:val="1"/>
      <w:marLeft w:val="0"/>
      <w:marRight w:val="0"/>
      <w:marTop w:val="0"/>
      <w:marBottom w:val="0"/>
      <w:divBdr>
        <w:top w:val="none" w:sz="0" w:space="0" w:color="auto"/>
        <w:left w:val="none" w:sz="0" w:space="0" w:color="auto"/>
        <w:bottom w:val="none" w:sz="0" w:space="0" w:color="auto"/>
        <w:right w:val="none" w:sz="0" w:space="0" w:color="auto"/>
      </w:divBdr>
    </w:div>
    <w:div w:id="601034196">
      <w:bodyDiv w:val="1"/>
      <w:marLeft w:val="0"/>
      <w:marRight w:val="0"/>
      <w:marTop w:val="0"/>
      <w:marBottom w:val="0"/>
      <w:divBdr>
        <w:top w:val="none" w:sz="0" w:space="0" w:color="auto"/>
        <w:left w:val="none" w:sz="0" w:space="0" w:color="auto"/>
        <w:bottom w:val="none" w:sz="0" w:space="0" w:color="auto"/>
        <w:right w:val="none" w:sz="0" w:space="0" w:color="auto"/>
      </w:divBdr>
    </w:div>
    <w:div w:id="601645968">
      <w:bodyDiv w:val="1"/>
      <w:marLeft w:val="0"/>
      <w:marRight w:val="0"/>
      <w:marTop w:val="0"/>
      <w:marBottom w:val="0"/>
      <w:divBdr>
        <w:top w:val="none" w:sz="0" w:space="0" w:color="auto"/>
        <w:left w:val="none" w:sz="0" w:space="0" w:color="auto"/>
        <w:bottom w:val="none" w:sz="0" w:space="0" w:color="auto"/>
        <w:right w:val="none" w:sz="0" w:space="0" w:color="auto"/>
      </w:divBdr>
    </w:div>
    <w:div w:id="602300866">
      <w:bodyDiv w:val="1"/>
      <w:marLeft w:val="0"/>
      <w:marRight w:val="0"/>
      <w:marTop w:val="0"/>
      <w:marBottom w:val="0"/>
      <w:divBdr>
        <w:top w:val="none" w:sz="0" w:space="0" w:color="auto"/>
        <w:left w:val="none" w:sz="0" w:space="0" w:color="auto"/>
        <w:bottom w:val="none" w:sz="0" w:space="0" w:color="auto"/>
        <w:right w:val="none" w:sz="0" w:space="0" w:color="auto"/>
      </w:divBdr>
    </w:div>
    <w:div w:id="603539430">
      <w:bodyDiv w:val="1"/>
      <w:marLeft w:val="0"/>
      <w:marRight w:val="0"/>
      <w:marTop w:val="0"/>
      <w:marBottom w:val="0"/>
      <w:divBdr>
        <w:top w:val="none" w:sz="0" w:space="0" w:color="auto"/>
        <w:left w:val="none" w:sz="0" w:space="0" w:color="auto"/>
        <w:bottom w:val="none" w:sz="0" w:space="0" w:color="auto"/>
        <w:right w:val="none" w:sz="0" w:space="0" w:color="auto"/>
      </w:divBdr>
    </w:div>
    <w:div w:id="604045951">
      <w:bodyDiv w:val="1"/>
      <w:marLeft w:val="0"/>
      <w:marRight w:val="0"/>
      <w:marTop w:val="0"/>
      <w:marBottom w:val="0"/>
      <w:divBdr>
        <w:top w:val="none" w:sz="0" w:space="0" w:color="auto"/>
        <w:left w:val="none" w:sz="0" w:space="0" w:color="auto"/>
        <w:bottom w:val="none" w:sz="0" w:space="0" w:color="auto"/>
        <w:right w:val="none" w:sz="0" w:space="0" w:color="auto"/>
      </w:divBdr>
    </w:div>
    <w:div w:id="604264755">
      <w:bodyDiv w:val="1"/>
      <w:marLeft w:val="0"/>
      <w:marRight w:val="0"/>
      <w:marTop w:val="0"/>
      <w:marBottom w:val="0"/>
      <w:divBdr>
        <w:top w:val="none" w:sz="0" w:space="0" w:color="auto"/>
        <w:left w:val="none" w:sz="0" w:space="0" w:color="auto"/>
        <w:bottom w:val="none" w:sz="0" w:space="0" w:color="auto"/>
        <w:right w:val="none" w:sz="0" w:space="0" w:color="auto"/>
      </w:divBdr>
    </w:div>
    <w:div w:id="604388750">
      <w:bodyDiv w:val="1"/>
      <w:marLeft w:val="0"/>
      <w:marRight w:val="0"/>
      <w:marTop w:val="0"/>
      <w:marBottom w:val="0"/>
      <w:divBdr>
        <w:top w:val="none" w:sz="0" w:space="0" w:color="auto"/>
        <w:left w:val="none" w:sz="0" w:space="0" w:color="auto"/>
        <w:bottom w:val="none" w:sz="0" w:space="0" w:color="auto"/>
        <w:right w:val="none" w:sz="0" w:space="0" w:color="auto"/>
      </w:divBdr>
    </w:div>
    <w:div w:id="604846648">
      <w:bodyDiv w:val="1"/>
      <w:marLeft w:val="0"/>
      <w:marRight w:val="0"/>
      <w:marTop w:val="0"/>
      <w:marBottom w:val="0"/>
      <w:divBdr>
        <w:top w:val="none" w:sz="0" w:space="0" w:color="auto"/>
        <w:left w:val="none" w:sz="0" w:space="0" w:color="auto"/>
        <w:bottom w:val="none" w:sz="0" w:space="0" w:color="auto"/>
        <w:right w:val="none" w:sz="0" w:space="0" w:color="auto"/>
      </w:divBdr>
    </w:div>
    <w:div w:id="605159875">
      <w:bodyDiv w:val="1"/>
      <w:marLeft w:val="0"/>
      <w:marRight w:val="0"/>
      <w:marTop w:val="0"/>
      <w:marBottom w:val="0"/>
      <w:divBdr>
        <w:top w:val="none" w:sz="0" w:space="0" w:color="auto"/>
        <w:left w:val="none" w:sz="0" w:space="0" w:color="auto"/>
        <w:bottom w:val="none" w:sz="0" w:space="0" w:color="auto"/>
        <w:right w:val="none" w:sz="0" w:space="0" w:color="auto"/>
      </w:divBdr>
    </w:div>
    <w:div w:id="605775915">
      <w:bodyDiv w:val="1"/>
      <w:marLeft w:val="0"/>
      <w:marRight w:val="0"/>
      <w:marTop w:val="0"/>
      <w:marBottom w:val="0"/>
      <w:divBdr>
        <w:top w:val="none" w:sz="0" w:space="0" w:color="auto"/>
        <w:left w:val="none" w:sz="0" w:space="0" w:color="auto"/>
        <w:bottom w:val="none" w:sz="0" w:space="0" w:color="auto"/>
        <w:right w:val="none" w:sz="0" w:space="0" w:color="auto"/>
      </w:divBdr>
    </w:div>
    <w:div w:id="605889771">
      <w:bodyDiv w:val="1"/>
      <w:marLeft w:val="0"/>
      <w:marRight w:val="0"/>
      <w:marTop w:val="0"/>
      <w:marBottom w:val="0"/>
      <w:divBdr>
        <w:top w:val="none" w:sz="0" w:space="0" w:color="auto"/>
        <w:left w:val="none" w:sz="0" w:space="0" w:color="auto"/>
        <w:bottom w:val="none" w:sz="0" w:space="0" w:color="auto"/>
        <w:right w:val="none" w:sz="0" w:space="0" w:color="auto"/>
      </w:divBdr>
    </w:div>
    <w:div w:id="606349802">
      <w:bodyDiv w:val="1"/>
      <w:marLeft w:val="0"/>
      <w:marRight w:val="0"/>
      <w:marTop w:val="0"/>
      <w:marBottom w:val="0"/>
      <w:divBdr>
        <w:top w:val="none" w:sz="0" w:space="0" w:color="auto"/>
        <w:left w:val="none" w:sz="0" w:space="0" w:color="auto"/>
        <w:bottom w:val="none" w:sz="0" w:space="0" w:color="auto"/>
        <w:right w:val="none" w:sz="0" w:space="0" w:color="auto"/>
      </w:divBdr>
    </w:div>
    <w:div w:id="606501827">
      <w:bodyDiv w:val="1"/>
      <w:marLeft w:val="0"/>
      <w:marRight w:val="0"/>
      <w:marTop w:val="0"/>
      <w:marBottom w:val="0"/>
      <w:divBdr>
        <w:top w:val="none" w:sz="0" w:space="0" w:color="auto"/>
        <w:left w:val="none" w:sz="0" w:space="0" w:color="auto"/>
        <w:bottom w:val="none" w:sz="0" w:space="0" w:color="auto"/>
        <w:right w:val="none" w:sz="0" w:space="0" w:color="auto"/>
      </w:divBdr>
    </w:div>
    <w:div w:id="606623917">
      <w:bodyDiv w:val="1"/>
      <w:marLeft w:val="0"/>
      <w:marRight w:val="0"/>
      <w:marTop w:val="0"/>
      <w:marBottom w:val="0"/>
      <w:divBdr>
        <w:top w:val="none" w:sz="0" w:space="0" w:color="auto"/>
        <w:left w:val="none" w:sz="0" w:space="0" w:color="auto"/>
        <w:bottom w:val="none" w:sz="0" w:space="0" w:color="auto"/>
        <w:right w:val="none" w:sz="0" w:space="0" w:color="auto"/>
      </w:divBdr>
    </w:div>
    <w:div w:id="606930920">
      <w:bodyDiv w:val="1"/>
      <w:marLeft w:val="0"/>
      <w:marRight w:val="0"/>
      <w:marTop w:val="0"/>
      <w:marBottom w:val="0"/>
      <w:divBdr>
        <w:top w:val="none" w:sz="0" w:space="0" w:color="auto"/>
        <w:left w:val="none" w:sz="0" w:space="0" w:color="auto"/>
        <w:bottom w:val="none" w:sz="0" w:space="0" w:color="auto"/>
        <w:right w:val="none" w:sz="0" w:space="0" w:color="auto"/>
      </w:divBdr>
    </w:div>
    <w:div w:id="607353004">
      <w:bodyDiv w:val="1"/>
      <w:marLeft w:val="0"/>
      <w:marRight w:val="0"/>
      <w:marTop w:val="0"/>
      <w:marBottom w:val="0"/>
      <w:divBdr>
        <w:top w:val="none" w:sz="0" w:space="0" w:color="auto"/>
        <w:left w:val="none" w:sz="0" w:space="0" w:color="auto"/>
        <w:bottom w:val="none" w:sz="0" w:space="0" w:color="auto"/>
        <w:right w:val="none" w:sz="0" w:space="0" w:color="auto"/>
      </w:divBdr>
    </w:div>
    <w:div w:id="607614955">
      <w:bodyDiv w:val="1"/>
      <w:marLeft w:val="0"/>
      <w:marRight w:val="0"/>
      <w:marTop w:val="0"/>
      <w:marBottom w:val="0"/>
      <w:divBdr>
        <w:top w:val="none" w:sz="0" w:space="0" w:color="auto"/>
        <w:left w:val="none" w:sz="0" w:space="0" w:color="auto"/>
        <w:bottom w:val="none" w:sz="0" w:space="0" w:color="auto"/>
        <w:right w:val="none" w:sz="0" w:space="0" w:color="auto"/>
      </w:divBdr>
    </w:div>
    <w:div w:id="608777098">
      <w:bodyDiv w:val="1"/>
      <w:marLeft w:val="0"/>
      <w:marRight w:val="0"/>
      <w:marTop w:val="0"/>
      <w:marBottom w:val="0"/>
      <w:divBdr>
        <w:top w:val="none" w:sz="0" w:space="0" w:color="auto"/>
        <w:left w:val="none" w:sz="0" w:space="0" w:color="auto"/>
        <w:bottom w:val="none" w:sz="0" w:space="0" w:color="auto"/>
        <w:right w:val="none" w:sz="0" w:space="0" w:color="auto"/>
      </w:divBdr>
    </w:div>
    <w:div w:id="609123594">
      <w:bodyDiv w:val="1"/>
      <w:marLeft w:val="0"/>
      <w:marRight w:val="0"/>
      <w:marTop w:val="0"/>
      <w:marBottom w:val="0"/>
      <w:divBdr>
        <w:top w:val="none" w:sz="0" w:space="0" w:color="auto"/>
        <w:left w:val="none" w:sz="0" w:space="0" w:color="auto"/>
        <w:bottom w:val="none" w:sz="0" w:space="0" w:color="auto"/>
        <w:right w:val="none" w:sz="0" w:space="0" w:color="auto"/>
      </w:divBdr>
    </w:div>
    <w:div w:id="609513090">
      <w:bodyDiv w:val="1"/>
      <w:marLeft w:val="0"/>
      <w:marRight w:val="0"/>
      <w:marTop w:val="0"/>
      <w:marBottom w:val="0"/>
      <w:divBdr>
        <w:top w:val="none" w:sz="0" w:space="0" w:color="auto"/>
        <w:left w:val="none" w:sz="0" w:space="0" w:color="auto"/>
        <w:bottom w:val="none" w:sz="0" w:space="0" w:color="auto"/>
        <w:right w:val="none" w:sz="0" w:space="0" w:color="auto"/>
      </w:divBdr>
    </w:div>
    <w:div w:id="609556365">
      <w:bodyDiv w:val="1"/>
      <w:marLeft w:val="0"/>
      <w:marRight w:val="0"/>
      <w:marTop w:val="0"/>
      <w:marBottom w:val="0"/>
      <w:divBdr>
        <w:top w:val="none" w:sz="0" w:space="0" w:color="auto"/>
        <w:left w:val="none" w:sz="0" w:space="0" w:color="auto"/>
        <w:bottom w:val="none" w:sz="0" w:space="0" w:color="auto"/>
        <w:right w:val="none" w:sz="0" w:space="0" w:color="auto"/>
      </w:divBdr>
    </w:div>
    <w:div w:id="609702474">
      <w:bodyDiv w:val="1"/>
      <w:marLeft w:val="0"/>
      <w:marRight w:val="0"/>
      <w:marTop w:val="0"/>
      <w:marBottom w:val="0"/>
      <w:divBdr>
        <w:top w:val="none" w:sz="0" w:space="0" w:color="auto"/>
        <w:left w:val="none" w:sz="0" w:space="0" w:color="auto"/>
        <w:bottom w:val="none" w:sz="0" w:space="0" w:color="auto"/>
        <w:right w:val="none" w:sz="0" w:space="0" w:color="auto"/>
      </w:divBdr>
    </w:div>
    <w:div w:id="610280958">
      <w:bodyDiv w:val="1"/>
      <w:marLeft w:val="0"/>
      <w:marRight w:val="0"/>
      <w:marTop w:val="0"/>
      <w:marBottom w:val="0"/>
      <w:divBdr>
        <w:top w:val="none" w:sz="0" w:space="0" w:color="auto"/>
        <w:left w:val="none" w:sz="0" w:space="0" w:color="auto"/>
        <w:bottom w:val="none" w:sz="0" w:space="0" w:color="auto"/>
        <w:right w:val="none" w:sz="0" w:space="0" w:color="auto"/>
      </w:divBdr>
    </w:div>
    <w:div w:id="610940399">
      <w:bodyDiv w:val="1"/>
      <w:marLeft w:val="0"/>
      <w:marRight w:val="0"/>
      <w:marTop w:val="0"/>
      <w:marBottom w:val="0"/>
      <w:divBdr>
        <w:top w:val="none" w:sz="0" w:space="0" w:color="auto"/>
        <w:left w:val="none" w:sz="0" w:space="0" w:color="auto"/>
        <w:bottom w:val="none" w:sz="0" w:space="0" w:color="auto"/>
        <w:right w:val="none" w:sz="0" w:space="0" w:color="auto"/>
      </w:divBdr>
    </w:div>
    <w:div w:id="611782715">
      <w:bodyDiv w:val="1"/>
      <w:marLeft w:val="0"/>
      <w:marRight w:val="0"/>
      <w:marTop w:val="0"/>
      <w:marBottom w:val="0"/>
      <w:divBdr>
        <w:top w:val="none" w:sz="0" w:space="0" w:color="auto"/>
        <w:left w:val="none" w:sz="0" w:space="0" w:color="auto"/>
        <w:bottom w:val="none" w:sz="0" w:space="0" w:color="auto"/>
        <w:right w:val="none" w:sz="0" w:space="0" w:color="auto"/>
      </w:divBdr>
    </w:div>
    <w:div w:id="611859392">
      <w:bodyDiv w:val="1"/>
      <w:marLeft w:val="0"/>
      <w:marRight w:val="0"/>
      <w:marTop w:val="0"/>
      <w:marBottom w:val="0"/>
      <w:divBdr>
        <w:top w:val="none" w:sz="0" w:space="0" w:color="auto"/>
        <w:left w:val="none" w:sz="0" w:space="0" w:color="auto"/>
        <w:bottom w:val="none" w:sz="0" w:space="0" w:color="auto"/>
        <w:right w:val="none" w:sz="0" w:space="0" w:color="auto"/>
      </w:divBdr>
    </w:div>
    <w:div w:id="612058048">
      <w:bodyDiv w:val="1"/>
      <w:marLeft w:val="0"/>
      <w:marRight w:val="0"/>
      <w:marTop w:val="0"/>
      <w:marBottom w:val="0"/>
      <w:divBdr>
        <w:top w:val="none" w:sz="0" w:space="0" w:color="auto"/>
        <w:left w:val="none" w:sz="0" w:space="0" w:color="auto"/>
        <w:bottom w:val="none" w:sz="0" w:space="0" w:color="auto"/>
        <w:right w:val="none" w:sz="0" w:space="0" w:color="auto"/>
      </w:divBdr>
    </w:div>
    <w:div w:id="612129720">
      <w:bodyDiv w:val="1"/>
      <w:marLeft w:val="0"/>
      <w:marRight w:val="0"/>
      <w:marTop w:val="0"/>
      <w:marBottom w:val="0"/>
      <w:divBdr>
        <w:top w:val="none" w:sz="0" w:space="0" w:color="auto"/>
        <w:left w:val="none" w:sz="0" w:space="0" w:color="auto"/>
        <w:bottom w:val="none" w:sz="0" w:space="0" w:color="auto"/>
        <w:right w:val="none" w:sz="0" w:space="0" w:color="auto"/>
      </w:divBdr>
    </w:div>
    <w:div w:id="612516185">
      <w:bodyDiv w:val="1"/>
      <w:marLeft w:val="0"/>
      <w:marRight w:val="0"/>
      <w:marTop w:val="0"/>
      <w:marBottom w:val="0"/>
      <w:divBdr>
        <w:top w:val="none" w:sz="0" w:space="0" w:color="auto"/>
        <w:left w:val="none" w:sz="0" w:space="0" w:color="auto"/>
        <w:bottom w:val="none" w:sz="0" w:space="0" w:color="auto"/>
        <w:right w:val="none" w:sz="0" w:space="0" w:color="auto"/>
      </w:divBdr>
    </w:div>
    <w:div w:id="612707870">
      <w:bodyDiv w:val="1"/>
      <w:marLeft w:val="0"/>
      <w:marRight w:val="0"/>
      <w:marTop w:val="0"/>
      <w:marBottom w:val="0"/>
      <w:divBdr>
        <w:top w:val="none" w:sz="0" w:space="0" w:color="auto"/>
        <w:left w:val="none" w:sz="0" w:space="0" w:color="auto"/>
        <w:bottom w:val="none" w:sz="0" w:space="0" w:color="auto"/>
        <w:right w:val="none" w:sz="0" w:space="0" w:color="auto"/>
      </w:divBdr>
    </w:div>
    <w:div w:id="613024452">
      <w:bodyDiv w:val="1"/>
      <w:marLeft w:val="0"/>
      <w:marRight w:val="0"/>
      <w:marTop w:val="0"/>
      <w:marBottom w:val="0"/>
      <w:divBdr>
        <w:top w:val="none" w:sz="0" w:space="0" w:color="auto"/>
        <w:left w:val="none" w:sz="0" w:space="0" w:color="auto"/>
        <w:bottom w:val="none" w:sz="0" w:space="0" w:color="auto"/>
        <w:right w:val="none" w:sz="0" w:space="0" w:color="auto"/>
      </w:divBdr>
    </w:div>
    <w:div w:id="613243782">
      <w:bodyDiv w:val="1"/>
      <w:marLeft w:val="0"/>
      <w:marRight w:val="0"/>
      <w:marTop w:val="0"/>
      <w:marBottom w:val="0"/>
      <w:divBdr>
        <w:top w:val="none" w:sz="0" w:space="0" w:color="auto"/>
        <w:left w:val="none" w:sz="0" w:space="0" w:color="auto"/>
        <w:bottom w:val="none" w:sz="0" w:space="0" w:color="auto"/>
        <w:right w:val="none" w:sz="0" w:space="0" w:color="auto"/>
      </w:divBdr>
    </w:div>
    <w:div w:id="613438086">
      <w:bodyDiv w:val="1"/>
      <w:marLeft w:val="0"/>
      <w:marRight w:val="0"/>
      <w:marTop w:val="0"/>
      <w:marBottom w:val="0"/>
      <w:divBdr>
        <w:top w:val="none" w:sz="0" w:space="0" w:color="auto"/>
        <w:left w:val="none" w:sz="0" w:space="0" w:color="auto"/>
        <w:bottom w:val="none" w:sz="0" w:space="0" w:color="auto"/>
        <w:right w:val="none" w:sz="0" w:space="0" w:color="auto"/>
      </w:divBdr>
    </w:div>
    <w:div w:id="613710662">
      <w:bodyDiv w:val="1"/>
      <w:marLeft w:val="0"/>
      <w:marRight w:val="0"/>
      <w:marTop w:val="0"/>
      <w:marBottom w:val="0"/>
      <w:divBdr>
        <w:top w:val="none" w:sz="0" w:space="0" w:color="auto"/>
        <w:left w:val="none" w:sz="0" w:space="0" w:color="auto"/>
        <w:bottom w:val="none" w:sz="0" w:space="0" w:color="auto"/>
        <w:right w:val="none" w:sz="0" w:space="0" w:color="auto"/>
      </w:divBdr>
    </w:div>
    <w:div w:id="614100598">
      <w:bodyDiv w:val="1"/>
      <w:marLeft w:val="0"/>
      <w:marRight w:val="0"/>
      <w:marTop w:val="0"/>
      <w:marBottom w:val="0"/>
      <w:divBdr>
        <w:top w:val="none" w:sz="0" w:space="0" w:color="auto"/>
        <w:left w:val="none" w:sz="0" w:space="0" w:color="auto"/>
        <w:bottom w:val="none" w:sz="0" w:space="0" w:color="auto"/>
        <w:right w:val="none" w:sz="0" w:space="0" w:color="auto"/>
      </w:divBdr>
    </w:div>
    <w:div w:id="614168651">
      <w:bodyDiv w:val="1"/>
      <w:marLeft w:val="0"/>
      <w:marRight w:val="0"/>
      <w:marTop w:val="0"/>
      <w:marBottom w:val="0"/>
      <w:divBdr>
        <w:top w:val="none" w:sz="0" w:space="0" w:color="auto"/>
        <w:left w:val="none" w:sz="0" w:space="0" w:color="auto"/>
        <w:bottom w:val="none" w:sz="0" w:space="0" w:color="auto"/>
        <w:right w:val="none" w:sz="0" w:space="0" w:color="auto"/>
      </w:divBdr>
    </w:div>
    <w:div w:id="614289618">
      <w:bodyDiv w:val="1"/>
      <w:marLeft w:val="0"/>
      <w:marRight w:val="0"/>
      <w:marTop w:val="0"/>
      <w:marBottom w:val="0"/>
      <w:divBdr>
        <w:top w:val="none" w:sz="0" w:space="0" w:color="auto"/>
        <w:left w:val="none" w:sz="0" w:space="0" w:color="auto"/>
        <w:bottom w:val="none" w:sz="0" w:space="0" w:color="auto"/>
        <w:right w:val="none" w:sz="0" w:space="0" w:color="auto"/>
      </w:divBdr>
    </w:div>
    <w:div w:id="615256810">
      <w:bodyDiv w:val="1"/>
      <w:marLeft w:val="0"/>
      <w:marRight w:val="0"/>
      <w:marTop w:val="0"/>
      <w:marBottom w:val="0"/>
      <w:divBdr>
        <w:top w:val="none" w:sz="0" w:space="0" w:color="auto"/>
        <w:left w:val="none" w:sz="0" w:space="0" w:color="auto"/>
        <w:bottom w:val="none" w:sz="0" w:space="0" w:color="auto"/>
        <w:right w:val="none" w:sz="0" w:space="0" w:color="auto"/>
      </w:divBdr>
    </w:div>
    <w:div w:id="615522384">
      <w:bodyDiv w:val="1"/>
      <w:marLeft w:val="0"/>
      <w:marRight w:val="0"/>
      <w:marTop w:val="0"/>
      <w:marBottom w:val="0"/>
      <w:divBdr>
        <w:top w:val="none" w:sz="0" w:space="0" w:color="auto"/>
        <w:left w:val="none" w:sz="0" w:space="0" w:color="auto"/>
        <w:bottom w:val="none" w:sz="0" w:space="0" w:color="auto"/>
        <w:right w:val="none" w:sz="0" w:space="0" w:color="auto"/>
      </w:divBdr>
    </w:div>
    <w:div w:id="616060905">
      <w:bodyDiv w:val="1"/>
      <w:marLeft w:val="0"/>
      <w:marRight w:val="0"/>
      <w:marTop w:val="0"/>
      <w:marBottom w:val="0"/>
      <w:divBdr>
        <w:top w:val="none" w:sz="0" w:space="0" w:color="auto"/>
        <w:left w:val="none" w:sz="0" w:space="0" w:color="auto"/>
        <w:bottom w:val="none" w:sz="0" w:space="0" w:color="auto"/>
        <w:right w:val="none" w:sz="0" w:space="0" w:color="auto"/>
      </w:divBdr>
    </w:div>
    <w:div w:id="616255984">
      <w:bodyDiv w:val="1"/>
      <w:marLeft w:val="0"/>
      <w:marRight w:val="0"/>
      <w:marTop w:val="0"/>
      <w:marBottom w:val="0"/>
      <w:divBdr>
        <w:top w:val="none" w:sz="0" w:space="0" w:color="auto"/>
        <w:left w:val="none" w:sz="0" w:space="0" w:color="auto"/>
        <w:bottom w:val="none" w:sz="0" w:space="0" w:color="auto"/>
        <w:right w:val="none" w:sz="0" w:space="0" w:color="auto"/>
      </w:divBdr>
    </w:div>
    <w:div w:id="616762781">
      <w:bodyDiv w:val="1"/>
      <w:marLeft w:val="0"/>
      <w:marRight w:val="0"/>
      <w:marTop w:val="0"/>
      <w:marBottom w:val="0"/>
      <w:divBdr>
        <w:top w:val="none" w:sz="0" w:space="0" w:color="auto"/>
        <w:left w:val="none" w:sz="0" w:space="0" w:color="auto"/>
        <w:bottom w:val="none" w:sz="0" w:space="0" w:color="auto"/>
        <w:right w:val="none" w:sz="0" w:space="0" w:color="auto"/>
      </w:divBdr>
    </w:div>
    <w:div w:id="617495936">
      <w:bodyDiv w:val="1"/>
      <w:marLeft w:val="0"/>
      <w:marRight w:val="0"/>
      <w:marTop w:val="0"/>
      <w:marBottom w:val="0"/>
      <w:divBdr>
        <w:top w:val="none" w:sz="0" w:space="0" w:color="auto"/>
        <w:left w:val="none" w:sz="0" w:space="0" w:color="auto"/>
        <w:bottom w:val="none" w:sz="0" w:space="0" w:color="auto"/>
        <w:right w:val="none" w:sz="0" w:space="0" w:color="auto"/>
      </w:divBdr>
    </w:div>
    <w:div w:id="617684262">
      <w:bodyDiv w:val="1"/>
      <w:marLeft w:val="0"/>
      <w:marRight w:val="0"/>
      <w:marTop w:val="0"/>
      <w:marBottom w:val="0"/>
      <w:divBdr>
        <w:top w:val="none" w:sz="0" w:space="0" w:color="auto"/>
        <w:left w:val="none" w:sz="0" w:space="0" w:color="auto"/>
        <w:bottom w:val="none" w:sz="0" w:space="0" w:color="auto"/>
        <w:right w:val="none" w:sz="0" w:space="0" w:color="auto"/>
      </w:divBdr>
    </w:div>
    <w:div w:id="617830825">
      <w:bodyDiv w:val="1"/>
      <w:marLeft w:val="0"/>
      <w:marRight w:val="0"/>
      <w:marTop w:val="0"/>
      <w:marBottom w:val="0"/>
      <w:divBdr>
        <w:top w:val="none" w:sz="0" w:space="0" w:color="auto"/>
        <w:left w:val="none" w:sz="0" w:space="0" w:color="auto"/>
        <w:bottom w:val="none" w:sz="0" w:space="0" w:color="auto"/>
        <w:right w:val="none" w:sz="0" w:space="0" w:color="auto"/>
      </w:divBdr>
    </w:div>
    <w:div w:id="617837466">
      <w:bodyDiv w:val="1"/>
      <w:marLeft w:val="0"/>
      <w:marRight w:val="0"/>
      <w:marTop w:val="0"/>
      <w:marBottom w:val="0"/>
      <w:divBdr>
        <w:top w:val="none" w:sz="0" w:space="0" w:color="auto"/>
        <w:left w:val="none" w:sz="0" w:space="0" w:color="auto"/>
        <w:bottom w:val="none" w:sz="0" w:space="0" w:color="auto"/>
        <w:right w:val="none" w:sz="0" w:space="0" w:color="auto"/>
      </w:divBdr>
    </w:div>
    <w:div w:id="618218328">
      <w:bodyDiv w:val="1"/>
      <w:marLeft w:val="0"/>
      <w:marRight w:val="0"/>
      <w:marTop w:val="0"/>
      <w:marBottom w:val="0"/>
      <w:divBdr>
        <w:top w:val="none" w:sz="0" w:space="0" w:color="auto"/>
        <w:left w:val="none" w:sz="0" w:space="0" w:color="auto"/>
        <w:bottom w:val="none" w:sz="0" w:space="0" w:color="auto"/>
        <w:right w:val="none" w:sz="0" w:space="0" w:color="auto"/>
      </w:divBdr>
    </w:div>
    <w:div w:id="618222233">
      <w:bodyDiv w:val="1"/>
      <w:marLeft w:val="0"/>
      <w:marRight w:val="0"/>
      <w:marTop w:val="0"/>
      <w:marBottom w:val="0"/>
      <w:divBdr>
        <w:top w:val="none" w:sz="0" w:space="0" w:color="auto"/>
        <w:left w:val="none" w:sz="0" w:space="0" w:color="auto"/>
        <w:bottom w:val="none" w:sz="0" w:space="0" w:color="auto"/>
        <w:right w:val="none" w:sz="0" w:space="0" w:color="auto"/>
      </w:divBdr>
    </w:div>
    <w:div w:id="618268867">
      <w:bodyDiv w:val="1"/>
      <w:marLeft w:val="0"/>
      <w:marRight w:val="0"/>
      <w:marTop w:val="0"/>
      <w:marBottom w:val="0"/>
      <w:divBdr>
        <w:top w:val="none" w:sz="0" w:space="0" w:color="auto"/>
        <w:left w:val="none" w:sz="0" w:space="0" w:color="auto"/>
        <w:bottom w:val="none" w:sz="0" w:space="0" w:color="auto"/>
        <w:right w:val="none" w:sz="0" w:space="0" w:color="auto"/>
      </w:divBdr>
    </w:div>
    <w:div w:id="618338778">
      <w:bodyDiv w:val="1"/>
      <w:marLeft w:val="0"/>
      <w:marRight w:val="0"/>
      <w:marTop w:val="0"/>
      <w:marBottom w:val="0"/>
      <w:divBdr>
        <w:top w:val="none" w:sz="0" w:space="0" w:color="auto"/>
        <w:left w:val="none" w:sz="0" w:space="0" w:color="auto"/>
        <w:bottom w:val="none" w:sz="0" w:space="0" w:color="auto"/>
        <w:right w:val="none" w:sz="0" w:space="0" w:color="auto"/>
      </w:divBdr>
    </w:div>
    <w:div w:id="618420159">
      <w:bodyDiv w:val="1"/>
      <w:marLeft w:val="0"/>
      <w:marRight w:val="0"/>
      <w:marTop w:val="0"/>
      <w:marBottom w:val="0"/>
      <w:divBdr>
        <w:top w:val="none" w:sz="0" w:space="0" w:color="auto"/>
        <w:left w:val="none" w:sz="0" w:space="0" w:color="auto"/>
        <w:bottom w:val="none" w:sz="0" w:space="0" w:color="auto"/>
        <w:right w:val="none" w:sz="0" w:space="0" w:color="auto"/>
      </w:divBdr>
    </w:div>
    <w:div w:id="618607541">
      <w:bodyDiv w:val="1"/>
      <w:marLeft w:val="0"/>
      <w:marRight w:val="0"/>
      <w:marTop w:val="0"/>
      <w:marBottom w:val="0"/>
      <w:divBdr>
        <w:top w:val="none" w:sz="0" w:space="0" w:color="auto"/>
        <w:left w:val="none" w:sz="0" w:space="0" w:color="auto"/>
        <w:bottom w:val="none" w:sz="0" w:space="0" w:color="auto"/>
        <w:right w:val="none" w:sz="0" w:space="0" w:color="auto"/>
      </w:divBdr>
    </w:div>
    <w:div w:id="618687011">
      <w:bodyDiv w:val="1"/>
      <w:marLeft w:val="0"/>
      <w:marRight w:val="0"/>
      <w:marTop w:val="0"/>
      <w:marBottom w:val="0"/>
      <w:divBdr>
        <w:top w:val="none" w:sz="0" w:space="0" w:color="auto"/>
        <w:left w:val="none" w:sz="0" w:space="0" w:color="auto"/>
        <w:bottom w:val="none" w:sz="0" w:space="0" w:color="auto"/>
        <w:right w:val="none" w:sz="0" w:space="0" w:color="auto"/>
      </w:divBdr>
    </w:div>
    <w:div w:id="619648695">
      <w:bodyDiv w:val="1"/>
      <w:marLeft w:val="0"/>
      <w:marRight w:val="0"/>
      <w:marTop w:val="0"/>
      <w:marBottom w:val="0"/>
      <w:divBdr>
        <w:top w:val="none" w:sz="0" w:space="0" w:color="auto"/>
        <w:left w:val="none" w:sz="0" w:space="0" w:color="auto"/>
        <w:bottom w:val="none" w:sz="0" w:space="0" w:color="auto"/>
        <w:right w:val="none" w:sz="0" w:space="0" w:color="auto"/>
      </w:divBdr>
    </w:div>
    <w:div w:id="619991792">
      <w:bodyDiv w:val="1"/>
      <w:marLeft w:val="0"/>
      <w:marRight w:val="0"/>
      <w:marTop w:val="0"/>
      <w:marBottom w:val="0"/>
      <w:divBdr>
        <w:top w:val="none" w:sz="0" w:space="0" w:color="auto"/>
        <w:left w:val="none" w:sz="0" w:space="0" w:color="auto"/>
        <w:bottom w:val="none" w:sz="0" w:space="0" w:color="auto"/>
        <w:right w:val="none" w:sz="0" w:space="0" w:color="auto"/>
      </w:divBdr>
    </w:div>
    <w:div w:id="620110246">
      <w:bodyDiv w:val="1"/>
      <w:marLeft w:val="0"/>
      <w:marRight w:val="0"/>
      <w:marTop w:val="0"/>
      <w:marBottom w:val="0"/>
      <w:divBdr>
        <w:top w:val="none" w:sz="0" w:space="0" w:color="auto"/>
        <w:left w:val="none" w:sz="0" w:space="0" w:color="auto"/>
        <w:bottom w:val="none" w:sz="0" w:space="0" w:color="auto"/>
        <w:right w:val="none" w:sz="0" w:space="0" w:color="auto"/>
      </w:divBdr>
    </w:div>
    <w:div w:id="620379241">
      <w:bodyDiv w:val="1"/>
      <w:marLeft w:val="0"/>
      <w:marRight w:val="0"/>
      <w:marTop w:val="0"/>
      <w:marBottom w:val="0"/>
      <w:divBdr>
        <w:top w:val="none" w:sz="0" w:space="0" w:color="auto"/>
        <w:left w:val="none" w:sz="0" w:space="0" w:color="auto"/>
        <w:bottom w:val="none" w:sz="0" w:space="0" w:color="auto"/>
        <w:right w:val="none" w:sz="0" w:space="0" w:color="auto"/>
      </w:divBdr>
    </w:div>
    <w:div w:id="620917500">
      <w:bodyDiv w:val="1"/>
      <w:marLeft w:val="0"/>
      <w:marRight w:val="0"/>
      <w:marTop w:val="0"/>
      <w:marBottom w:val="0"/>
      <w:divBdr>
        <w:top w:val="none" w:sz="0" w:space="0" w:color="auto"/>
        <w:left w:val="none" w:sz="0" w:space="0" w:color="auto"/>
        <w:bottom w:val="none" w:sz="0" w:space="0" w:color="auto"/>
        <w:right w:val="none" w:sz="0" w:space="0" w:color="auto"/>
      </w:divBdr>
    </w:div>
    <w:div w:id="621308718">
      <w:bodyDiv w:val="1"/>
      <w:marLeft w:val="0"/>
      <w:marRight w:val="0"/>
      <w:marTop w:val="0"/>
      <w:marBottom w:val="0"/>
      <w:divBdr>
        <w:top w:val="none" w:sz="0" w:space="0" w:color="auto"/>
        <w:left w:val="none" w:sz="0" w:space="0" w:color="auto"/>
        <w:bottom w:val="none" w:sz="0" w:space="0" w:color="auto"/>
        <w:right w:val="none" w:sz="0" w:space="0" w:color="auto"/>
      </w:divBdr>
    </w:div>
    <w:div w:id="621418730">
      <w:bodyDiv w:val="1"/>
      <w:marLeft w:val="0"/>
      <w:marRight w:val="0"/>
      <w:marTop w:val="0"/>
      <w:marBottom w:val="0"/>
      <w:divBdr>
        <w:top w:val="none" w:sz="0" w:space="0" w:color="auto"/>
        <w:left w:val="none" w:sz="0" w:space="0" w:color="auto"/>
        <w:bottom w:val="none" w:sz="0" w:space="0" w:color="auto"/>
        <w:right w:val="none" w:sz="0" w:space="0" w:color="auto"/>
      </w:divBdr>
    </w:div>
    <w:div w:id="621421054">
      <w:bodyDiv w:val="1"/>
      <w:marLeft w:val="0"/>
      <w:marRight w:val="0"/>
      <w:marTop w:val="0"/>
      <w:marBottom w:val="0"/>
      <w:divBdr>
        <w:top w:val="none" w:sz="0" w:space="0" w:color="auto"/>
        <w:left w:val="none" w:sz="0" w:space="0" w:color="auto"/>
        <w:bottom w:val="none" w:sz="0" w:space="0" w:color="auto"/>
        <w:right w:val="none" w:sz="0" w:space="0" w:color="auto"/>
      </w:divBdr>
    </w:div>
    <w:div w:id="621498884">
      <w:bodyDiv w:val="1"/>
      <w:marLeft w:val="0"/>
      <w:marRight w:val="0"/>
      <w:marTop w:val="0"/>
      <w:marBottom w:val="0"/>
      <w:divBdr>
        <w:top w:val="none" w:sz="0" w:space="0" w:color="auto"/>
        <w:left w:val="none" w:sz="0" w:space="0" w:color="auto"/>
        <w:bottom w:val="none" w:sz="0" w:space="0" w:color="auto"/>
        <w:right w:val="none" w:sz="0" w:space="0" w:color="auto"/>
      </w:divBdr>
    </w:div>
    <w:div w:id="622274203">
      <w:bodyDiv w:val="1"/>
      <w:marLeft w:val="0"/>
      <w:marRight w:val="0"/>
      <w:marTop w:val="0"/>
      <w:marBottom w:val="0"/>
      <w:divBdr>
        <w:top w:val="none" w:sz="0" w:space="0" w:color="auto"/>
        <w:left w:val="none" w:sz="0" w:space="0" w:color="auto"/>
        <w:bottom w:val="none" w:sz="0" w:space="0" w:color="auto"/>
        <w:right w:val="none" w:sz="0" w:space="0" w:color="auto"/>
      </w:divBdr>
    </w:div>
    <w:div w:id="622424256">
      <w:bodyDiv w:val="1"/>
      <w:marLeft w:val="0"/>
      <w:marRight w:val="0"/>
      <w:marTop w:val="0"/>
      <w:marBottom w:val="0"/>
      <w:divBdr>
        <w:top w:val="none" w:sz="0" w:space="0" w:color="auto"/>
        <w:left w:val="none" w:sz="0" w:space="0" w:color="auto"/>
        <w:bottom w:val="none" w:sz="0" w:space="0" w:color="auto"/>
        <w:right w:val="none" w:sz="0" w:space="0" w:color="auto"/>
      </w:divBdr>
    </w:div>
    <w:div w:id="622538481">
      <w:bodyDiv w:val="1"/>
      <w:marLeft w:val="0"/>
      <w:marRight w:val="0"/>
      <w:marTop w:val="0"/>
      <w:marBottom w:val="0"/>
      <w:divBdr>
        <w:top w:val="none" w:sz="0" w:space="0" w:color="auto"/>
        <w:left w:val="none" w:sz="0" w:space="0" w:color="auto"/>
        <w:bottom w:val="none" w:sz="0" w:space="0" w:color="auto"/>
        <w:right w:val="none" w:sz="0" w:space="0" w:color="auto"/>
      </w:divBdr>
    </w:div>
    <w:div w:id="622882343">
      <w:bodyDiv w:val="1"/>
      <w:marLeft w:val="0"/>
      <w:marRight w:val="0"/>
      <w:marTop w:val="0"/>
      <w:marBottom w:val="0"/>
      <w:divBdr>
        <w:top w:val="none" w:sz="0" w:space="0" w:color="auto"/>
        <w:left w:val="none" w:sz="0" w:space="0" w:color="auto"/>
        <w:bottom w:val="none" w:sz="0" w:space="0" w:color="auto"/>
        <w:right w:val="none" w:sz="0" w:space="0" w:color="auto"/>
      </w:divBdr>
    </w:div>
    <w:div w:id="622927316">
      <w:bodyDiv w:val="1"/>
      <w:marLeft w:val="0"/>
      <w:marRight w:val="0"/>
      <w:marTop w:val="0"/>
      <w:marBottom w:val="0"/>
      <w:divBdr>
        <w:top w:val="none" w:sz="0" w:space="0" w:color="auto"/>
        <w:left w:val="none" w:sz="0" w:space="0" w:color="auto"/>
        <w:bottom w:val="none" w:sz="0" w:space="0" w:color="auto"/>
        <w:right w:val="none" w:sz="0" w:space="0" w:color="auto"/>
      </w:divBdr>
    </w:div>
    <w:div w:id="622929387">
      <w:bodyDiv w:val="1"/>
      <w:marLeft w:val="0"/>
      <w:marRight w:val="0"/>
      <w:marTop w:val="0"/>
      <w:marBottom w:val="0"/>
      <w:divBdr>
        <w:top w:val="none" w:sz="0" w:space="0" w:color="auto"/>
        <w:left w:val="none" w:sz="0" w:space="0" w:color="auto"/>
        <w:bottom w:val="none" w:sz="0" w:space="0" w:color="auto"/>
        <w:right w:val="none" w:sz="0" w:space="0" w:color="auto"/>
      </w:divBdr>
    </w:div>
    <w:div w:id="622997415">
      <w:bodyDiv w:val="1"/>
      <w:marLeft w:val="0"/>
      <w:marRight w:val="0"/>
      <w:marTop w:val="0"/>
      <w:marBottom w:val="0"/>
      <w:divBdr>
        <w:top w:val="none" w:sz="0" w:space="0" w:color="auto"/>
        <w:left w:val="none" w:sz="0" w:space="0" w:color="auto"/>
        <w:bottom w:val="none" w:sz="0" w:space="0" w:color="auto"/>
        <w:right w:val="none" w:sz="0" w:space="0" w:color="auto"/>
      </w:divBdr>
    </w:div>
    <w:div w:id="623388553">
      <w:bodyDiv w:val="1"/>
      <w:marLeft w:val="0"/>
      <w:marRight w:val="0"/>
      <w:marTop w:val="0"/>
      <w:marBottom w:val="0"/>
      <w:divBdr>
        <w:top w:val="none" w:sz="0" w:space="0" w:color="auto"/>
        <w:left w:val="none" w:sz="0" w:space="0" w:color="auto"/>
        <w:bottom w:val="none" w:sz="0" w:space="0" w:color="auto"/>
        <w:right w:val="none" w:sz="0" w:space="0" w:color="auto"/>
      </w:divBdr>
    </w:div>
    <w:div w:id="623921548">
      <w:bodyDiv w:val="1"/>
      <w:marLeft w:val="0"/>
      <w:marRight w:val="0"/>
      <w:marTop w:val="0"/>
      <w:marBottom w:val="0"/>
      <w:divBdr>
        <w:top w:val="none" w:sz="0" w:space="0" w:color="auto"/>
        <w:left w:val="none" w:sz="0" w:space="0" w:color="auto"/>
        <w:bottom w:val="none" w:sz="0" w:space="0" w:color="auto"/>
        <w:right w:val="none" w:sz="0" w:space="0" w:color="auto"/>
      </w:divBdr>
    </w:div>
    <w:div w:id="624040326">
      <w:bodyDiv w:val="1"/>
      <w:marLeft w:val="0"/>
      <w:marRight w:val="0"/>
      <w:marTop w:val="0"/>
      <w:marBottom w:val="0"/>
      <w:divBdr>
        <w:top w:val="none" w:sz="0" w:space="0" w:color="auto"/>
        <w:left w:val="none" w:sz="0" w:space="0" w:color="auto"/>
        <w:bottom w:val="none" w:sz="0" w:space="0" w:color="auto"/>
        <w:right w:val="none" w:sz="0" w:space="0" w:color="auto"/>
      </w:divBdr>
    </w:div>
    <w:div w:id="624391173">
      <w:bodyDiv w:val="1"/>
      <w:marLeft w:val="0"/>
      <w:marRight w:val="0"/>
      <w:marTop w:val="0"/>
      <w:marBottom w:val="0"/>
      <w:divBdr>
        <w:top w:val="none" w:sz="0" w:space="0" w:color="auto"/>
        <w:left w:val="none" w:sz="0" w:space="0" w:color="auto"/>
        <w:bottom w:val="none" w:sz="0" w:space="0" w:color="auto"/>
        <w:right w:val="none" w:sz="0" w:space="0" w:color="auto"/>
      </w:divBdr>
    </w:div>
    <w:div w:id="625161132">
      <w:bodyDiv w:val="1"/>
      <w:marLeft w:val="0"/>
      <w:marRight w:val="0"/>
      <w:marTop w:val="0"/>
      <w:marBottom w:val="0"/>
      <w:divBdr>
        <w:top w:val="none" w:sz="0" w:space="0" w:color="auto"/>
        <w:left w:val="none" w:sz="0" w:space="0" w:color="auto"/>
        <w:bottom w:val="none" w:sz="0" w:space="0" w:color="auto"/>
        <w:right w:val="none" w:sz="0" w:space="0" w:color="auto"/>
      </w:divBdr>
    </w:div>
    <w:div w:id="625432555">
      <w:bodyDiv w:val="1"/>
      <w:marLeft w:val="0"/>
      <w:marRight w:val="0"/>
      <w:marTop w:val="0"/>
      <w:marBottom w:val="0"/>
      <w:divBdr>
        <w:top w:val="none" w:sz="0" w:space="0" w:color="auto"/>
        <w:left w:val="none" w:sz="0" w:space="0" w:color="auto"/>
        <w:bottom w:val="none" w:sz="0" w:space="0" w:color="auto"/>
        <w:right w:val="none" w:sz="0" w:space="0" w:color="auto"/>
      </w:divBdr>
    </w:div>
    <w:div w:id="625506265">
      <w:bodyDiv w:val="1"/>
      <w:marLeft w:val="0"/>
      <w:marRight w:val="0"/>
      <w:marTop w:val="0"/>
      <w:marBottom w:val="0"/>
      <w:divBdr>
        <w:top w:val="none" w:sz="0" w:space="0" w:color="auto"/>
        <w:left w:val="none" w:sz="0" w:space="0" w:color="auto"/>
        <w:bottom w:val="none" w:sz="0" w:space="0" w:color="auto"/>
        <w:right w:val="none" w:sz="0" w:space="0" w:color="auto"/>
      </w:divBdr>
    </w:div>
    <w:div w:id="625962688">
      <w:bodyDiv w:val="1"/>
      <w:marLeft w:val="0"/>
      <w:marRight w:val="0"/>
      <w:marTop w:val="0"/>
      <w:marBottom w:val="0"/>
      <w:divBdr>
        <w:top w:val="none" w:sz="0" w:space="0" w:color="auto"/>
        <w:left w:val="none" w:sz="0" w:space="0" w:color="auto"/>
        <w:bottom w:val="none" w:sz="0" w:space="0" w:color="auto"/>
        <w:right w:val="none" w:sz="0" w:space="0" w:color="auto"/>
      </w:divBdr>
    </w:div>
    <w:div w:id="626132125">
      <w:bodyDiv w:val="1"/>
      <w:marLeft w:val="0"/>
      <w:marRight w:val="0"/>
      <w:marTop w:val="0"/>
      <w:marBottom w:val="0"/>
      <w:divBdr>
        <w:top w:val="none" w:sz="0" w:space="0" w:color="auto"/>
        <w:left w:val="none" w:sz="0" w:space="0" w:color="auto"/>
        <w:bottom w:val="none" w:sz="0" w:space="0" w:color="auto"/>
        <w:right w:val="none" w:sz="0" w:space="0" w:color="auto"/>
      </w:divBdr>
    </w:div>
    <w:div w:id="626158986">
      <w:bodyDiv w:val="1"/>
      <w:marLeft w:val="0"/>
      <w:marRight w:val="0"/>
      <w:marTop w:val="0"/>
      <w:marBottom w:val="0"/>
      <w:divBdr>
        <w:top w:val="none" w:sz="0" w:space="0" w:color="auto"/>
        <w:left w:val="none" w:sz="0" w:space="0" w:color="auto"/>
        <w:bottom w:val="none" w:sz="0" w:space="0" w:color="auto"/>
        <w:right w:val="none" w:sz="0" w:space="0" w:color="auto"/>
      </w:divBdr>
    </w:div>
    <w:div w:id="626356520">
      <w:bodyDiv w:val="1"/>
      <w:marLeft w:val="0"/>
      <w:marRight w:val="0"/>
      <w:marTop w:val="0"/>
      <w:marBottom w:val="0"/>
      <w:divBdr>
        <w:top w:val="none" w:sz="0" w:space="0" w:color="auto"/>
        <w:left w:val="none" w:sz="0" w:space="0" w:color="auto"/>
        <w:bottom w:val="none" w:sz="0" w:space="0" w:color="auto"/>
        <w:right w:val="none" w:sz="0" w:space="0" w:color="auto"/>
      </w:divBdr>
    </w:div>
    <w:div w:id="626739068">
      <w:bodyDiv w:val="1"/>
      <w:marLeft w:val="0"/>
      <w:marRight w:val="0"/>
      <w:marTop w:val="0"/>
      <w:marBottom w:val="0"/>
      <w:divBdr>
        <w:top w:val="none" w:sz="0" w:space="0" w:color="auto"/>
        <w:left w:val="none" w:sz="0" w:space="0" w:color="auto"/>
        <w:bottom w:val="none" w:sz="0" w:space="0" w:color="auto"/>
        <w:right w:val="none" w:sz="0" w:space="0" w:color="auto"/>
      </w:divBdr>
    </w:div>
    <w:div w:id="626931837">
      <w:bodyDiv w:val="1"/>
      <w:marLeft w:val="0"/>
      <w:marRight w:val="0"/>
      <w:marTop w:val="0"/>
      <w:marBottom w:val="0"/>
      <w:divBdr>
        <w:top w:val="none" w:sz="0" w:space="0" w:color="auto"/>
        <w:left w:val="none" w:sz="0" w:space="0" w:color="auto"/>
        <w:bottom w:val="none" w:sz="0" w:space="0" w:color="auto"/>
        <w:right w:val="none" w:sz="0" w:space="0" w:color="auto"/>
      </w:divBdr>
    </w:div>
    <w:div w:id="627512414">
      <w:bodyDiv w:val="1"/>
      <w:marLeft w:val="0"/>
      <w:marRight w:val="0"/>
      <w:marTop w:val="0"/>
      <w:marBottom w:val="0"/>
      <w:divBdr>
        <w:top w:val="none" w:sz="0" w:space="0" w:color="auto"/>
        <w:left w:val="none" w:sz="0" w:space="0" w:color="auto"/>
        <w:bottom w:val="none" w:sz="0" w:space="0" w:color="auto"/>
        <w:right w:val="none" w:sz="0" w:space="0" w:color="auto"/>
      </w:divBdr>
    </w:div>
    <w:div w:id="627735905">
      <w:bodyDiv w:val="1"/>
      <w:marLeft w:val="0"/>
      <w:marRight w:val="0"/>
      <w:marTop w:val="0"/>
      <w:marBottom w:val="0"/>
      <w:divBdr>
        <w:top w:val="none" w:sz="0" w:space="0" w:color="auto"/>
        <w:left w:val="none" w:sz="0" w:space="0" w:color="auto"/>
        <w:bottom w:val="none" w:sz="0" w:space="0" w:color="auto"/>
        <w:right w:val="none" w:sz="0" w:space="0" w:color="auto"/>
      </w:divBdr>
    </w:div>
    <w:div w:id="627783507">
      <w:bodyDiv w:val="1"/>
      <w:marLeft w:val="0"/>
      <w:marRight w:val="0"/>
      <w:marTop w:val="0"/>
      <w:marBottom w:val="0"/>
      <w:divBdr>
        <w:top w:val="none" w:sz="0" w:space="0" w:color="auto"/>
        <w:left w:val="none" w:sz="0" w:space="0" w:color="auto"/>
        <w:bottom w:val="none" w:sz="0" w:space="0" w:color="auto"/>
        <w:right w:val="none" w:sz="0" w:space="0" w:color="auto"/>
      </w:divBdr>
    </w:div>
    <w:div w:id="627860747">
      <w:bodyDiv w:val="1"/>
      <w:marLeft w:val="0"/>
      <w:marRight w:val="0"/>
      <w:marTop w:val="0"/>
      <w:marBottom w:val="0"/>
      <w:divBdr>
        <w:top w:val="none" w:sz="0" w:space="0" w:color="auto"/>
        <w:left w:val="none" w:sz="0" w:space="0" w:color="auto"/>
        <w:bottom w:val="none" w:sz="0" w:space="0" w:color="auto"/>
        <w:right w:val="none" w:sz="0" w:space="0" w:color="auto"/>
      </w:divBdr>
    </w:div>
    <w:div w:id="628241895">
      <w:bodyDiv w:val="1"/>
      <w:marLeft w:val="0"/>
      <w:marRight w:val="0"/>
      <w:marTop w:val="0"/>
      <w:marBottom w:val="0"/>
      <w:divBdr>
        <w:top w:val="none" w:sz="0" w:space="0" w:color="auto"/>
        <w:left w:val="none" w:sz="0" w:space="0" w:color="auto"/>
        <w:bottom w:val="none" w:sz="0" w:space="0" w:color="auto"/>
        <w:right w:val="none" w:sz="0" w:space="0" w:color="auto"/>
      </w:divBdr>
    </w:div>
    <w:div w:id="628322118">
      <w:bodyDiv w:val="1"/>
      <w:marLeft w:val="0"/>
      <w:marRight w:val="0"/>
      <w:marTop w:val="0"/>
      <w:marBottom w:val="0"/>
      <w:divBdr>
        <w:top w:val="none" w:sz="0" w:space="0" w:color="auto"/>
        <w:left w:val="none" w:sz="0" w:space="0" w:color="auto"/>
        <w:bottom w:val="none" w:sz="0" w:space="0" w:color="auto"/>
        <w:right w:val="none" w:sz="0" w:space="0" w:color="auto"/>
      </w:divBdr>
    </w:div>
    <w:div w:id="628390703">
      <w:bodyDiv w:val="1"/>
      <w:marLeft w:val="0"/>
      <w:marRight w:val="0"/>
      <w:marTop w:val="0"/>
      <w:marBottom w:val="0"/>
      <w:divBdr>
        <w:top w:val="none" w:sz="0" w:space="0" w:color="auto"/>
        <w:left w:val="none" w:sz="0" w:space="0" w:color="auto"/>
        <w:bottom w:val="none" w:sz="0" w:space="0" w:color="auto"/>
        <w:right w:val="none" w:sz="0" w:space="0" w:color="auto"/>
      </w:divBdr>
    </w:div>
    <w:div w:id="628630119">
      <w:bodyDiv w:val="1"/>
      <w:marLeft w:val="0"/>
      <w:marRight w:val="0"/>
      <w:marTop w:val="0"/>
      <w:marBottom w:val="0"/>
      <w:divBdr>
        <w:top w:val="none" w:sz="0" w:space="0" w:color="auto"/>
        <w:left w:val="none" w:sz="0" w:space="0" w:color="auto"/>
        <w:bottom w:val="none" w:sz="0" w:space="0" w:color="auto"/>
        <w:right w:val="none" w:sz="0" w:space="0" w:color="auto"/>
      </w:divBdr>
    </w:div>
    <w:div w:id="629165213">
      <w:bodyDiv w:val="1"/>
      <w:marLeft w:val="0"/>
      <w:marRight w:val="0"/>
      <w:marTop w:val="0"/>
      <w:marBottom w:val="0"/>
      <w:divBdr>
        <w:top w:val="none" w:sz="0" w:space="0" w:color="auto"/>
        <w:left w:val="none" w:sz="0" w:space="0" w:color="auto"/>
        <w:bottom w:val="none" w:sz="0" w:space="0" w:color="auto"/>
        <w:right w:val="none" w:sz="0" w:space="0" w:color="auto"/>
      </w:divBdr>
    </w:div>
    <w:div w:id="629214552">
      <w:bodyDiv w:val="1"/>
      <w:marLeft w:val="0"/>
      <w:marRight w:val="0"/>
      <w:marTop w:val="0"/>
      <w:marBottom w:val="0"/>
      <w:divBdr>
        <w:top w:val="none" w:sz="0" w:space="0" w:color="auto"/>
        <w:left w:val="none" w:sz="0" w:space="0" w:color="auto"/>
        <w:bottom w:val="none" w:sz="0" w:space="0" w:color="auto"/>
        <w:right w:val="none" w:sz="0" w:space="0" w:color="auto"/>
      </w:divBdr>
    </w:div>
    <w:div w:id="629286031">
      <w:bodyDiv w:val="1"/>
      <w:marLeft w:val="0"/>
      <w:marRight w:val="0"/>
      <w:marTop w:val="0"/>
      <w:marBottom w:val="0"/>
      <w:divBdr>
        <w:top w:val="none" w:sz="0" w:space="0" w:color="auto"/>
        <w:left w:val="none" w:sz="0" w:space="0" w:color="auto"/>
        <w:bottom w:val="none" w:sz="0" w:space="0" w:color="auto"/>
        <w:right w:val="none" w:sz="0" w:space="0" w:color="auto"/>
      </w:divBdr>
    </w:div>
    <w:div w:id="629555925">
      <w:bodyDiv w:val="1"/>
      <w:marLeft w:val="0"/>
      <w:marRight w:val="0"/>
      <w:marTop w:val="0"/>
      <w:marBottom w:val="0"/>
      <w:divBdr>
        <w:top w:val="none" w:sz="0" w:space="0" w:color="auto"/>
        <w:left w:val="none" w:sz="0" w:space="0" w:color="auto"/>
        <w:bottom w:val="none" w:sz="0" w:space="0" w:color="auto"/>
        <w:right w:val="none" w:sz="0" w:space="0" w:color="auto"/>
      </w:divBdr>
    </w:div>
    <w:div w:id="629826061">
      <w:bodyDiv w:val="1"/>
      <w:marLeft w:val="0"/>
      <w:marRight w:val="0"/>
      <w:marTop w:val="0"/>
      <w:marBottom w:val="0"/>
      <w:divBdr>
        <w:top w:val="none" w:sz="0" w:space="0" w:color="auto"/>
        <w:left w:val="none" w:sz="0" w:space="0" w:color="auto"/>
        <w:bottom w:val="none" w:sz="0" w:space="0" w:color="auto"/>
        <w:right w:val="none" w:sz="0" w:space="0" w:color="auto"/>
      </w:divBdr>
    </w:div>
    <w:div w:id="629870494">
      <w:bodyDiv w:val="1"/>
      <w:marLeft w:val="0"/>
      <w:marRight w:val="0"/>
      <w:marTop w:val="0"/>
      <w:marBottom w:val="0"/>
      <w:divBdr>
        <w:top w:val="none" w:sz="0" w:space="0" w:color="auto"/>
        <w:left w:val="none" w:sz="0" w:space="0" w:color="auto"/>
        <w:bottom w:val="none" w:sz="0" w:space="0" w:color="auto"/>
        <w:right w:val="none" w:sz="0" w:space="0" w:color="auto"/>
      </w:divBdr>
    </w:div>
    <w:div w:id="631444846">
      <w:bodyDiv w:val="1"/>
      <w:marLeft w:val="0"/>
      <w:marRight w:val="0"/>
      <w:marTop w:val="0"/>
      <w:marBottom w:val="0"/>
      <w:divBdr>
        <w:top w:val="none" w:sz="0" w:space="0" w:color="auto"/>
        <w:left w:val="none" w:sz="0" w:space="0" w:color="auto"/>
        <w:bottom w:val="none" w:sz="0" w:space="0" w:color="auto"/>
        <w:right w:val="none" w:sz="0" w:space="0" w:color="auto"/>
      </w:divBdr>
    </w:div>
    <w:div w:id="631449074">
      <w:bodyDiv w:val="1"/>
      <w:marLeft w:val="0"/>
      <w:marRight w:val="0"/>
      <w:marTop w:val="0"/>
      <w:marBottom w:val="0"/>
      <w:divBdr>
        <w:top w:val="none" w:sz="0" w:space="0" w:color="auto"/>
        <w:left w:val="none" w:sz="0" w:space="0" w:color="auto"/>
        <w:bottom w:val="none" w:sz="0" w:space="0" w:color="auto"/>
        <w:right w:val="none" w:sz="0" w:space="0" w:color="auto"/>
      </w:divBdr>
    </w:div>
    <w:div w:id="632061674">
      <w:bodyDiv w:val="1"/>
      <w:marLeft w:val="0"/>
      <w:marRight w:val="0"/>
      <w:marTop w:val="0"/>
      <w:marBottom w:val="0"/>
      <w:divBdr>
        <w:top w:val="none" w:sz="0" w:space="0" w:color="auto"/>
        <w:left w:val="none" w:sz="0" w:space="0" w:color="auto"/>
        <w:bottom w:val="none" w:sz="0" w:space="0" w:color="auto"/>
        <w:right w:val="none" w:sz="0" w:space="0" w:color="auto"/>
      </w:divBdr>
    </w:div>
    <w:div w:id="632443377">
      <w:bodyDiv w:val="1"/>
      <w:marLeft w:val="0"/>
      <w:marRight w:val="0"/>
      <w:marTop w:val="0"/>
      <w:marBottom w:val="0"/>
      <w:divBdr>
        <w:top w:val="none" w:sz="0" w:space="0" w:color="auto"/>
        <w:left w:val="none" w:sz="0" w:space="0" w:color="auto"/>
        <w:bottom w:val="none" w:sz="0" w:space="0" w:color="auto"/>
        <w:right w:val="none" w:sz="0" w:space="0" w:color="auto"/>
      </w:divBdr>
    </w:div>
    <w:div w:id="632754812">
      <w:bodyDiv w:val="1"/>
      <w:marLeft w:val="0"/>
      <w:marRight w:val="0"/>
      <w:marTop w:val="0"/>
      <w:marBottom w:val="0"/>
      <w:divBdr>
        <w:top w:val="none" w:sz="0" w:space="0" w:color="auto"/>
        <w:left w:val="none" w:sz="0" w:space="0" w:color="auto"/>
        <w:bottom w:val="none" w:sz="0" w:space="0" w:color="auto"/>
        <w:right w:val="none" w:sz="0" w:space="0" w:color="auto"/>
      </w:divBdr>
    </w:div>
    <w:div w:id="632827307">
      <w:bodyDiv w:val="1"/>
      <w:marLeft w:val="0"/>
      <w:marRight w:val="0"/>
      <w:marTop w:val="0"/>
      <w:marBottom w:val="0"/>
      <w:divBdr>
        <w:top w:val="none" w:sz="0" w:space="0" w:color="auto"/>
        <w:left w:val="none" w:sz="0" w:space="0" w:color="auto"/>
        <w:bottom w:val="none" w:sz="0" w:space="0" w:color="auto"/>
        <w:right w:val="none" w:sz="0" w:space="0" w:color="auto"/>
      </w:divBdr>
    </w:div>
    <w:div w:id="632953474">
      <w:bodyDiv w:val="1"/>
      <w:marLeft w:val="0"/>
      <w:marRight w:val="0"/>
      <w:marTop w:val="0"/>
      <w:marBottom w:val="0"/>
      <w:divBdr>
        <w:top w:val="none" w:sz="0" w:space="0" w:color="auto"/>
        <w:left w:val="none" w:sz="0" w:space="0" w:color="auto"/>
        <w:bottom w:val="none" w:sz="0" w:space="0" w:color="auto"/>
        <w:right w:val="none" w:sz="0" w:space="0" w:color="auto"/>
      </w:divBdr>
    </w:div>
    <w:div w:id="633406704">
      <w:bodyDiv w:val="1"/>
      <w:marLeft w:val="0"/>
      <w:marRight w:val="0"/>
      <w:marTop w:val="0"/>
      <w:marBottom w:val="0"/>
      <w:divBdr>
        <w:top w:val="none" w:sz="0" w:space="0" w:color="auto"/>
        <w:left w:val="none" w:sz="0" w:space="0" w:color="auto"/>
        <w:bottom w:val="none" w:sz="0" w:space="0" w:color="auto"/>
        <w:right w:val="none" w:sz="0" w:space="0" w:color="auto"/>
      </w:divBdr>
    </w:div>
    <w:div w:id="633869774">
      <w:bodyDiv w:val="1"/>
      <w:marLeft w:val="0"/>
      <w:marRight w:val="0"/>
      <w:marTop w:val="0"/>
      <w:marBottom w:val="0"/>
      <w:divBdr>
        <w:top w:val="none" w:sz="0" w:space="0" w:color="auto"/>
        <w:left w:val="none" w:sz="0" w:space="0" w:color="auto"/>
        <w:bottom w:val="none" w:sz="0" w:space="0" w:color="auto"/>
        <w:right w:val="none" w:sz="0" w:space="0" w:color="auto"/>
      </w:divBdr>
    </w:div>
    <w:div w:id="634024852">
      <w:bodyDiv w:val="1"/>
      <w:marLeft w:val="0"/>
      <w:marRight w:val="0"/>
      <w:marTop w:val="0"/>
      <w:marBottom w:val="0"/>
      <w:divBdr>
        <w:top w:val="none" w:sz="0" w:space="0" w:color="auto"/>
        <w:left w:val="none" w:sz="0" w:space="0" w:color="auto"/>
        <w:bottom w:val="none" w:sz="0" w:space="0" w:color="auto"/>
        <w:right w:val="none" w:sz="0" w:space="0" w:color="auto"/>
      </w:divBdr>
    </w:div>
    <w:div w:id="634869538">
      <w:bodyDiv w:val="1"/>
      <w:marLeft w:val="0"/>
      <w:marRight w:val="0"/>
      <w:marTop w:val="0"/>
      <w:marBottom w:val="0"/>
      <w:divBdr>
        <w:top w:val="none" w:sz="0" w:space="0" w:color="auto"/>
        <w:left w:val="none" w:sz="0" w:space="0" w:color="auto"/>
        <w:bottom w:val="none" w:sz="0" w:space="0" w:color="auto"/>
        <w:right w:val="none" w:sz="0" w:space="0" w:color="auto"/>
      </w:divBdr>
    </w:div>
    <w:div w:id="634994589">
      <w:bodyDiv w:val="1"/>
      <w:marLeft w:val="0"/>
      <w:marRight w:val="0"/>
      <w:marTop w:val="0"/>
      <w:marBottom w:val="0"/>
      <w:divBdr>
        <w:top w:val="none" w:sz="0" w:space="0" w:color="auto"/>
        <w:left w:val="none" w:sz="0" w:space="0" w:color="auto"/>
        <w:bottom w:val="none" w:sz="0" w:space="0" w:color="auto"/>
        <w:right w:val="none" w:sz="0" w:space="0" w:color="auto"/>
      </w:divBdr>
    </w:div>
    <w:div w:id="635337553">
      <w:bodyDiv w:val="1"/>
      <w:marLeft w:val="0"/>
      <w:marRight w:val="0"/>
      <w:marTop w:val="0"/>
      <w:marBottom w:val="0"/>
      <w:divBdr>
        <w:top w:val="none" w:sz="0" w:space="0" w:color="auto"/>
        <w:left w:val="none" w:sz="0" w:space="0" w:color="auto"/>
        <w:bottom w:val="none" w:sz="0" w:space="0" w:color="auto"/>
        <w:right w:val="none" w:sz="0" w:space="0" w:color="auto"/>
      </w:divBdr>
    </w:div>
    <w:div w:id="635718704">
      <w:bodyDiv w:val="1"/>
      <w:marLeft w:val="0"/>
      <w:marRight w:val="0"/>
      <w:marTop w:val="0"/>
      <w:marBottom w:val="0"/>
      <w:divBdr>
        <w:top w:val="none" w:sz="0" w:space="0" w:color="auto"/>
        <w:left w:val="none" w:sz="0" w:space="0" w:color="auto"/>
        <w:bottom w:val="none" w:sz="0" w:space="0" w:color="auto"/>
        <w:right w:val="none" w:sz="0" w:space="0" w:color="auto"/>
      </w:divBdr>
    </w:div>
    <w:div w:id="635992005">
      <w:bodyDiv w:val="1"/>
      <w:marLeft w:val="0"/>
      <w:marRight w:val="0"/>
      <w:marTop w:val="0"/>
      <w:marBottom w:val="0"/>
      <w:divBdr>
        <w:top w:val="none" w:sz="0" w:space="0" w:color="auto"/>
        <w:left w:val="none" w:sz="0" w:space="0" w:color="auto"/>
        <w:bottom w:val="none" w:sz="0" w:space="0" w:color="auto"/>
        <w:right w:val="none" w:sz="0" w:space="0" w:color="auto"/>
      </w:divBdr>
    </w:div>
    <w:div w:id="636102774">
      <w:bodyDiv w:val="1"/>
      <w:marLeft w:val="0"/>
      <w:marRight w:val="0"/>
      <w:marTop w:val="0"/>
      <w:marBottom w:val="0"/>
      <w:divBdr>
        <w:top w:val="none" w:sz="0" w:space="0" w:color="auto"/>
        <w:left w:val="none" w:sz="0" w:space="0" w:color="auto"/>
        <w:bottom w:val="none" w:sz="0" w:space="0" w:color="auto"/>
        <w:right w:val="none" w:sz="0" w:space="0" w:color="auto"/>
      </w:divBdr>
    </w:div>
    <w:div w:id="636573779">
      <w:bodyDiv w:val="1"/>
      <w:marLeft w:val="0"/>
      <w:marRight w:val="0"/>
      <w:marTop w:val="0"/>
      <w:marBottom w:val="0"/>
      <w:divBdr>
        <w:top w:val="none" w:sz="0" w:space="0" w:color="auto"/>
        <w:left w:val="none" w:sz="0" w:space="0" w:color="auto"/>
        <w:bottom w:val="none" w:sz="0" w:space="0" w:color="auto"/>
        <w:right w:val="none" w:sz="0" w:space="0" w:color="auto"/>
      </w:divBdr>
    </w:div>
    <w:div w:id="636640465">
      <w:bodyDiv w:val="1"/>
      <w:marLeft w:val="0"/>
      <w:marRight w:val="0"/>
      <w:marTop w:val="0"/>
      <w:marBottom w:val="0"/>
      <w:divBdr>
        <w:top w:val="none" w:sz="0" w:space="0" w:color="auto"/>
        <w:left w:val="none" w:sz="0" w:space="0" w:color="auto"/>
        <w:bottom w:val="none" w:sz="0" w:space="0" w:color="auto"/>
        <w:right w:val="none" w:sz="0" w:space="0" w:color="auto"/>
      </w:divBdr>
    </w:div>
    <w:div w:id="636759570">
      <w:bodyDiv w:val="1"/>
      <w:marLeft w:val="0"/>
      <w:marRight w:val="0"/>
      <w:marTop w:val="0"/>
      <w:marBottom w:val="0"/>
      <w:divBdr>
        <w:top w:val="none" w:sz="0" w:space="0" w:color="auto"/>
        <w:left w:val="none" w:sz="0" w:space="0" w:color="auto"/>
        <w:bottom w:val="none" w:sz="0" w:space="0" w:color="auto"/>
        <w:right w:val="none" w:sz="0" w:space="0" w:color="auto"/>
      </w:divBdr>
    </w:div>
    <w:div w:id="636835551">
      <w:bodyDiv w:val="1"/>
      <w:marLeft w:val="0"/>
      <w:marRight w:val="0"/>
      <w:marTop w:val="0"/>
      <w:marBottom w:val="0"/>
      <w:divBdr>
        <w:top w:val="none" w:sz="0" w:space="0" w:color="auto"/>
        <w:left w:val="none" w:sz="0" w:space="0" w:color="auto"/>
        <w:bottom w:val="none" w:sz="0" w:space="0" w:color="auto"/>
        <w:right w:val="none" w:sz="0" w:space="0" w:color="auto"/>
      </w:divBdr>
    </w:div>
    <w:div w:id="636840771">
      <w:bodyDiv w:val="1"/>
      <w:marLeft w:val="0"/>
      <w:marRight w:val="0"/>
      <w:marTop w:val="0"/>
      <w:marBottom w:val="0"/>
      <w:divBdr>
        <w:top w:val="none" w:sz="0" w:space="0" w:color="auto"/>
        <w:left w:val="none" w:sz="0" w:space="0" w:color="auto"/>
        <w:bottom w:val="none" w:sz="0" w:space="0" w:color="auto"/>
        <w:right w:val="none" w:sz="0" w:space="0" w:color="auto"/>
      </w:divBdr>
    </w:div>
    <w:div w:id="637145675">
      <w:bodyDiv w:val="1"/>
      <w:marLeft w:val="0"/>
      <w:marRight w:val="0"/>
      <w:marTop w:val="0"/>
      <w:marBottom w:val="0"/>
      <w:divBdr>
        <w:top w:val="none" w:sz="0" w:space="0" w:color="auto"/>
        <w:left w:val="none" w:sz="0" w:space="0" w:color="auto"/>
        <w:bottom w:val="none" w:sz="0" w:space="0" w:color="auto"/>
        <w:right w:val="none" w:sz="0" w:space="0" w:color="auto"/>
      </w:divBdr>
    </w:div>
    <w:div w:id="637337991">
      <w:bodyDiv w:val="1"/>
      <w:marLeft w:val="0"/>
      <w:marRight w:val="0"/>
      <w:marTop w:val="0"/>
      <w:marBottom w:val="0"/>
      <w:divBdr>
        <w:top w:val="none" w:sz="0" w:space="0" w:color="auto"/>
        <w:left w:val="none" w:sz="0" w:space="0" w:color="auto"/>
        <w:bottom w:val="none" w:sz="0" w:space="0" w:color="auto"/>
        <w:right w:val="none" w:sz="0" w:space="0" w:color="auto"/>
      </w:divBdr>
    </w:div>
    <w:div w:id="637952187">
      <w:bodyDiv w:val="1"/>
      <w:marLeft w:val="0"/>
      <w:marRight w:val="0"/>
      <w:marTop w:val="0"/>
      <w:marBottom w:val="0"/>
      <w:divBdr>
        <w:top w:val="none" w:sz="0" w:space="0" w:color="auto"/>
        <w:left w:val="none" w:sz="0" w:space="0" w:color="auto"/>
        <w:bottom w:val="none" w:sz="0" w:space="0" w:color="auto"/>
        <w:right w:val="none" w:sz="0" w:space="0" w:color="auto"/>
      </w:divBdr>
    </w:div>
    <w:div w:id="637952249">
      <w:bodyDiv w:val="1"/>
      <w:marLeft w:val="0"/>
      <w:marRight w:val="0"/>
      <w:marTop w:val="0"/>
      <w:marBottom w:val="0"/>
      <w:divBdr>
        <w:top w:val="none" w:sz="0" w:space="0" w:color="auto"/>
        <w:left w:val="none" w:sz="0" w:space="0" w:color="auto"/>
        <w:bottom w:val="none" w:sz="0" w:space="0" w:color="auto"/>
        <w:right w:val="none" w:sz="0" w:space="0" w:color="auto"/>
      </w:divBdr>
    </w:div>
    <w:div w:id="638192875">
      <w:bodyDiv w:val="1"/>
      <w:marLeft w:val="0"/>
      <w:marRight w:val="0"/>
      <w:marTop w:val="0"/>
      <w:marBottom w:val="0"/>
      <w:divBdr>
        <w:top w:val="none" w:sz="0" w:space="0" w:color="auto"/>
        <w:left w:val="none" w:sz="0" w:space="0" w:color="auto"/>
        <w:bottom w:val="none" w:sz="0" w:space="0" w:color="auto"/>
        <w:right w:val="none" w:sz="0" w:space="0" w:color="auto"/>
      </w:divBdr>
    </w:div>
    <w:div w:id="638339097">
      <w:bodyDiv w:val="1"/>
      <w:marLeft w:val="0"/>
      <w:marRight w:val="0"/>
      <w:marTop w:val="0"/>
      <w:marBottom w:val="0"/>
      <w:divBdr>
        <w:top w:val="none" w:sz="0" w:space="0" w:color="auto"/>
        <w:left w:val="none" w:sz="0" w:space="0" w:color="auto"/>
        <w:bottom w:val="none" w:sz="0" w:space="0" w:color="auto"/>
        <w:right w:val="none" w:sz="0" w:space="0" w:color="auto"/>
      </w:divBdr>
    </w:div>
    <w:div w:id="638608371">
      <w:bodyDiv w:val="1"/>
      <w:marLeft w:val="0"/>
      <w:marRight w:val="0"/>
      <w:marTop w:val="0"/>
      <w:marBottom w:val="0"/>
      <w:divBdr>
        <w:top w:val="none" w:sz="0" w:space="0" w:color="auto"/>
        <w:left w:val="none" w:sz="0" w:space="0" w:color="auto"/>
        <w:bottom w:val="none" w:sz="0" w:space="0" w:color="auto"/>
        <w:right w:val="none" w:sz="0" w:space="0" w:color="auto"/>
      </w:divBdr>
    </w:div>
    <w:div w:id="640305223">
      <w:bodyDiv w:val="1"/>
      <w:marLeft w:val="0"/>
      <w:marRight w:val="0"/>
      <w:marTop w:val="0"/>
      <w:marBottom w:val="0"/>
      <w:divBdr>
        <w:top w:val="none" w:sz="0" w:space="0" w:color="auto"/>
        <w:left w:val="none" w:sz="0" w:space="0" w:color="auto"/>
        <w:bottom w:val="none" w:sz="0" w:space="0" w:color="auto"/>
        <w:right w:val="none" w:sz="0" w:space="0" w:color="auto"/>
      </w:divBdr>
    </w:div>
    <w:div w:id="640305255">
      <w:bodyDiv w:val="1"/>
      <w:marLeft w:val="0"/>
      <w:marRight w:val="0"/>
      <w:marTop w:val="0"/>
      <w:marBottom w:val="0"/>
      <w:divBdr>
        <w:top w:val="none" w:sz="0" w:space="0" w:color="auto"/>
        <w:left w:val="none" w:sz="0" w:space="0" w:color="auto"/>
        <w:bottom w:val="none" w:sz="0" w:space="0" w:color="auto"/>
        <w:right w:val="none" w:sz="0" w:space="0" w:color="auto"/>
      </w:divBdr>
    </w:div>
    <w:div w:id="640305348">
      <w:bodyDiv w:val="1"/>
      <w:marLeft w:val="0"/>
      <w:marRight w:val="0"/>
      <w:marTop w:val="0"/>
      <w:marBottom w:val="0"/>
      <w:divBdr>
        <w:top w:val="none" w:sz="0" w:space="0" w:color="auto"/>
        <w:left w:val="none" w:sz="0" w:space="0" w:color="auto"/>
        <w:bottom w:val="none" w:sz="0" w:space="0" w:color="auto"/>
        <w:right w:val="none" w:sz="0" w:space="0" w:color="auto"/>
      </w:divBdr>
    </w:div>
    <w:div w:id="640307752">
      <w:bodyDiv w:val="1"/>
      <w:marLeft w:val="0"/>
      <w:marRight w:val="0"/>
      <w:marTop w:val="0"/>
      <w:marBottom w:val="0"/>
      <w:divBdr>
        <w:top w:val="none" w:sz="0" w:space="0" w:color="auto"/>
        <w:left w:val="none" w:sz="0" w:space="0" w:color="auto"/>
        <w:bottom w:val="none" w:sz="0" w:space="0" w:color="auto"/>
        <w:right w:val="none" w:sz="0" w:space="0" w:color="auto"/>
      </w:divBdr>
    </w:div>
    <w:div w:id="641083717">
      <w:bodyDiv w:val="1"/>
      <w:marLeft w:val="0"/>
      <w:marRight w:val="0"/>
      <w:marTop w:val="0"/>
      <w:marBottom w:val="0"/>
      <w:divBdr>
        <w:top w:val="none" w:sz="0" w:space="0" w:color="auto"/>
        <w:left w:val="none" w:sz="0" w:space="0" w:color="auto"/>
        <w:bottom w:val="none" w:sz="0" w:space="0" w:color="auto"/>
        <w:right w:val="none" w:sz="0" w:space="0" w:color="auto"/>
      </w:divBdr>
    </w:div>
    <w:div w:id="641084861">
      <w:bodyDiv w:val="1"/>
      <w:marLeft w:val="0"/>
      <w:marRight w:val="0"/>
      <w:marTop w:val="0"/>
      <w:marBottom w:val="0"/>
      <w:divBdr>
        <w:top w:val="none" w:sz="0" w:space="0" w:color="auto"/>
        <w:left w:val="none" w:sz="0" w:space="0" w:color="auto"/>
        <w:bottom w:val="none" w:sz="0" w:space="0" w:color="auto"/>
        <w:right w:val="none" w:sz="0" w:space="0" w:color="auto"/>
      </w:divBdr>
    </w:div>
    <w:div w:id="642663014">
      <w:bodyDiv w:val="1"/>
      <w:marLeft w:val="0"/>
      <w:marRight w:val="0"/>
      <w:marTop w:val="0"/>
      <w:marBottom w:val="0"/>
      <w:divBdr>
        <w:top w:val="none" w:sz="0" w:space="0" w:color="auto"/>
        <w:left w:val="none" w:sz="0" w:space="0" w:color="auto"/>
        <w:bottom w:val="none" w:sz="0" w:space="0" w:color="auto"/>
        <w:right w:val="none" w:sz="0" w:space="0" w:color="auto"/>
      </w:divBdr>
    </w:div>
    <w:div w:id="643200745">
      <w:bodyDiv w:val="1"/>
      <w:marLeft w:val="0"/>
      <w:marRight w:val="0"/>
      <w:marTop w:val="0"/>
      <w:marBottom w:val="0"/>
      <w:divBdr>
        <w:top w:val="none" w:sz="0" w:space="0" w:color="auto"/>
        <w:left w:val="none" w:sz="0" w:space="0" w:color="auto"/>
        <w:bottom w:val="none" w:sz="0" w:space="0" w:color="auto"/>
        <w:right w:val="none" w:sz="0" w:space="0" w:color="auto"/>
      </w:divBdr>
    </w:div>
    <w:div w:id="643579458">
      <w:bodyDiv w:val="1"/>
      <w:marLeft w:val="0"/>
      <w:marRight w:val="0"/>
      <w:marTop w:val="0"/>
      <w:marBottom w:val="0"/>
      <w:divBdr>
        <w:top w:val="none" w:sz="0" w:space="0" w:color="auto"/>
        <w:left w:val="none" w:sz="0" w:space="0" w:color="auto"/>
        <w:bottom w:val="none" w:sz="0" w:space="0" w:color="auto"/>
        <w:right w:val="none" w:sz="0" w:space="0" w:color="auto"/>
      </w:divBdr>
    </w:div>
    <w:div w:id="644091056">
      <w:bodyDiv w:val="1"/>
      <w:marLeft w:val="0"/>
      <w:marRight w:val="0"/>
      <w:marTop w:val="0"/>
      <w:marBottom w:val="0"/>
      <w:divBdr>
        <w:top w:val="none" w:sz="0" w:space="0" w:color="auto"/>
        <w:left w:val="none" w:sz="0" w:space="0" w:color="auto"/>
        <w:bottom w:val="none" w:sz="0" w:space="0" w:color="auto"/>
        <w:right w:val="none" w:sz="0" w:space="0" w:color="auto"/>
      </w:divBdr>
    </w:div>
    <w:div w:id="644314941">
      <w:bodyDiv w:val="1"/>
      <w:marLeft w:val="0"/>
      <w:marRight w:val="0"/>
      <w:marTop w:val="0"/>
      <w:marBottom w:val="0"/>
      <w:divBdr>
        <w:top w:val="none" w:sz="0" w:space="0" w:color="auto"/>
        <w:left w:val="none" w:sz="0" w:space="0" w:color="auto"/>
        <w:bottom w:val="none" w:sz="0" w:space="0" w:color="auto"/>
        <w:right w:val="none" w:sz="0" w:space="0" w:color="auto"/>
      </w:divBdr>
    </w:div>
    <w:div w:id="644362178">
      <w:bodyDiv w:val="1"/>
      <w:marLeft w:val="0"/>
      <w:marRight w:val="0"/>
      <w:marTop w:val="0"/>
      <w:marBottom w:val="0"/>
      <w:divBdr>
        <w:top w:val="none" w:sz="0" w:space="0" w:color="auto"/>
        <w:left w:val="none" w:sz="0" w:space="0" w:color="auto"/>
        <w:bottom w:val="none" w:sz="0" w:space="0" w:color="auto"/>
        <w:right w:val="none" w:sz="0" w:space="0" w:color="auto"/>
      </w:divBdr>
    </w:div>
    <w:div w:id="644705801">
      <w:bodyDiv w:val="1"/>
      <w:marLeft w:val="0"/>
      <w:marRight w:val="0"/>
      <w:marTop w:val="0"/>
      <w:marBottom w:val="0"/>
      <w:divBdr>
        <w:top w:val="none" w:sz="0" w:space="0" w:color="auto"/>
        <w:left w:val="none" w:sz="0" w:space="0" w:color="auto"/>
        <w:bottom w:val="none" w:sz="0" w:space="0" w:color="auto"/>
        <w:right w:val="none" w:sz="0" w:space="0" w:color="auto"/>
      </w:divBdr>
    </w:div>
    <w:div w:id="645014447">
      <w:bodyDiv w:val="1"/>
      <w:marLeft w:val="0"/>
      <w:marRight w:val="0"/>
      <w:marTop w:val="0"/>
      <w:marBottom w:val="0"/>
      <w:divBdr>
        <w:top w:val="none" w:sz="0" w:space="0" w:color="auto"/>
        <w:left w:val="none" w:sz="0" w:space="0" w:color="auto"/>
        <w:bottom w:val="none" w:sz="0" w:space="0" w:color="auto"/>
        <w:right w:val="none" w:sz="0" w:space="0" w:color="auto"/>
      </w:divBdr>
    </w:div>
    <w:div w:id="645360325">
      <w:bodyDiv w:val="1"/>
      <w:marLeft w:val="0"/>
      <w:marRight w:val="0"/>
      <w:marTop w:val="0"/>
      <w:marBottom w:val="0"/>
      <w:divBdr>
        <w:top w:val="none" w:sz="0" w:space="0" w:color="auto"/>
        <w:left w:val="none" w:sz="0" w:space="0" w:color="auto"/>
        <w:bottom w:val="none" w:sz="0" w:space="0" w:color="auto"/>
        <w:right w:val="none" w:sz="0" w:space="0" w:color="auto"/>
      </w:divBdr>
    </w:div>
    <w:div w:id="646324443">
      <w:bodyDiv w:val="1"/>
      <w:marLeft w:val="0"/>
      <w:marRight w:val="0"/>
      <w:marTop w:val="0"/>
      <w:marBottom w:val="0"/>
      <w:divBdr>
        <w:top w:val="none" w:sz="0" w:space="0" w:color="auto"/>
        <w:left w:val="none" w:sz="0" w:space="0" w:color="auto"/>
        <w:bottom w:val="none" w:sz="0" w:space="0" w:color="auto"/>
        <w:right w:val="none" w:sz="0" w:space="0" w:color="auto"/>
      </w:divBdr>
    </w:div>
    <w:div w:id="646326786">
      <w:bodyDiv w:val="1"/>
      <w:marLeft w:val="0"/>
      <w:marRight w:val="0"/>
      <w:marTop w:val="0"/>
      <w:marBottom w:val="0"/>
      <w:divBdr>
        <w:top w:val="none" w:sz="0" w:space="0" w:color="auto"/>
        <w:left w:val="none" w:sz="0" w:space="0" w:color="auto"/>
        <w:bottom w:val="none" w:sz="0" w:space="0" w:color="auto"/>
        <w:right w:val="none" w:sz="0" w:space="0" w:color="auto"/>
      </w:divBdr>
    </w:div>
    <w:div w:id="646786440">
      <w:bodyDiv w:val="1"/>
      <w:marLeft w:val="0"/>
      <w:marRight w:val="0"/>
      <w:marTop w:val="0"/>
      <w:marBottom w:val="0"/>
      <w:divBdr>
        <w:top w:val="none" w:sz="0" w:space="0" w:color="auto"/>
        <w:left w:val="none" w:sz="0" w:space="0" w:color="auto"/>
        <w:bottom w:val="none" w:sz="0" w:space="0" w:color="auto"/>
        <w:right w:val="none" w:sz="0" w:space="0" w:color="auto"/>
      </w:divBdr>
    </w:div>
    <w:div w:id="647250517">
      <w:bodyDiv w:val="1"/>
      <w:marLeft w:val="0"/>
      <w:marRight w:val="0"/>
      <w:marTop w:val="0"/>
      <w:marBottom w:val="0"/>
      <w:divBdr>
        <w:top w:val="none" w:sz="0" w:space="0" w:color="auto"/>
        <w:left w:val="none" w:sz="0" w:space="0" w:color="auto"/>
        <w:bottom w:val="none" w:sz="0" w:space="0" w:color="auto"/>
        <w:right w:val="none" w:sz="0" w:space="0" w:color="auto"/>
      </w:divBdr>
    </w:div>
    <w:div w:id="647591822">
      <w:bodyDiv w:val="1"/>
      <w:marLeft w:val="0"/>
      <w:marRight w:val="0"/>
      <w:marTop w:val="0"/>
      <w:marBottom w:val="0"/>
      <w:divBdr>
        <w:top w:val="none" w:sz="0" w:space="0" w:color="auto"/>
        <w:left w:val="none" w:sz="0" w:space="0" w:color="auto"/>
        <w:bottom w:val="none" w:sz="0" w:space="0" w:color="auto"/>
        <w:right w:val="none" w:sz="0" w:space="0" w:color="auto"/>
      </w:divBdr>
    </w:div>
    <w:div w:id="648245859">
      <w:bodyDiv w:val="1"/>
      <w:marLeft w:val="0"/>
      <w:marRight w:val="0"/>
      <w:marTop w:val="0"/>
      <w:marBottom w:val="0"/>
      <w:divBdr>
        <w:top w:val="none" w:sz="0" w:space="0" w:color="auto"/>
        <w:left w:val="none" w:sz="0" w:space="0" w:color="auto"/>
        <w:bottom w:val="none" w:sz="0" w:space="0" w:color="auto"/>
        <w:right w:val="none" w:sz="0" w:space="0" w:color="auto"/>
      </w:divBdr>
    </w:div>
    <w:div w:id="648676964">
      <w:bodyDiv w:val="1"/>
      <w:marLeft w:val="0"/>
      <w:marRight w:val="0"/>
      <w:marTop w:val="0"/>
      <w:marBottom w:val="0"/>
      <w:divBdr>
        <w:top w:val="none" w:sz="0" w:space="0" w:color="auto"/>
        <w:left w:val="none" w:sz="0" w:space="0" w:color="auto"/>
        <w:bottom w:val="none" w:sz="0" w:space="0" w:color="auto"/>
        <w:right w:val="none" w:sz="0" w:space="0" w:color="auto"/>
      </w:divBdr>
    </w:div>
    <w:div w:id="649097113">
      <w:bodyDiv w:val="1"/>
      <w:marLeft w:val="0"/>
      <w:marRight w:val="0"/>
      <w:marTop w:val="0"/>
      <w:marBottom w:val="0"/>
      <w:divBdr>
        <w:top w:val="none" w:sz="0" w:space="0" w:color="auto"/>
        <w:left w:val="none" w:sz="0" w:space="0" w:color="auto"/>
        <w:bottom w:val="none" w:sz="0" w:space="0" w:color="auto"/>
        <w:right w:val="none" w:sz="0" w:space="0" w:color="auto"/>
      </w:divBdr>
    </w:div>
    <w:div w:id="649216894">
      <w:bodyDiv w:val="1"/>
      <w:marLeft w:val="0"/>
      <w:marRight w:val="0"/>
      <w:marTop w:val="0"/>
      <w:marBottom w:val="0"/>
      <w:divBdr>
        <w:top w:val="none" w:sz="0" w:space="0" w:color="auto"/>
        <w:left w:val="none" w:sz="0" w:space="0" w:color="auto"/>
        <w:bottom w:val="none" w:sz="0" w:space="0" w:color="auto"/>
        <w:right w:val="none" w:sz="0" w:space="0" w:color="auto"/>
      </w:divBdr>
    </w:div>
    <w:div w:id="649291861">
      <w:bodyDiv w:val="1"/>
      <w:marLeft w:val="0"/>
      <w:marRight w:val="0"/>
      <w:marTop w:val="0"/>
      <w:marBottom w:val="0"/>
      <w:divBdr>
        <w:top w:val="none" w:sz="0" w:space="0" w:color="auto"/>
        <w:left w:val="none" w:sz="0" w:space="0" w:color="auto"/>
        <w:bottom w:val="none" w:sz="0" w:space="0" w:color="auto"/>
        <w:right w:val="none" w:sz="0" w:space="0" w:color="auto"/>
      </w:divBdr>
    </w:div>
    <w:div w:id="649745816">
      <w:bodyDiv w:val="1"/>
      <w:marLeft w:val="0"/>
      <w:marRight w:val="0"/>
      <w:marTop w:val="0"/>
      <w:marBottom w:val="0"/>
      <w:divBdr>
        <w:top w:val="none" w:sz="0" w:space="0" w:color="auto"/>
        <w:left w:val="none" w:sz="0" w:space="0" w:color="auto"/>
        <w:bottom w:val="none" w:sz="0" w:space="0" w:color="auto"/>
        <w:right w:val="none" w:sz="0" w:space="0" w:color="auto"/>
      </w:divBdr>
    </w:div>
    <w:div w:id="650721310">
      <w:bodyDiv w:val="1"/>
      <w:marLeft w:val="0"/>
      <w:marRight w:val="0"/>
      <w:marTop w:val="0"/>
      <w:marBottom w:val="0"/>
      <w:divBdr>
        <w:top w:val="none" w:sz="0" w:space="0" w:color="auto"/>
        <w:left w:val="none" w:sz="0" w:space="0" w:color="auto"/>
        <w:bottom w:val="none" w:sz="0" w:space="0" w:color="auto"/>
        <w:right w:val="none" w:sz="0" w:space="0" w:color="auto"/>
      </w:divBdr>
    </w:div>
    <w:div w:id="651449140">
      <w:bodyDiv w:val="1"/>
      <w:marLeft w:val="0"/>
      <w:marRight w:val="0"/>
      <w:marTop w:val="0"/>
      <w:marBottom w:val="0"/>
      <w:divBdr>
        <w:top w:val="none" w:sz="0" w:space="0" w:color="auto"/>
        <w:left w:val="none" w:sz="0" w:space="0" w:color="auto"/>
        <w:bottom w:val="none" w:sz="0" w:space="0" w:color="auto"/>
        <w:right w:val="none" w:sz="0" w:space="0" w:color="auto"/>
      </w:divBdr>
    </w:div>
    <w:div w:id="651835287">
      <w:bodyDiv w:val="1"/>
      <w:marLeft w:val="0"/>
      <w:marRight w:val="0"/>
      <w:marTop w:val="0"/>
      <w:marBottom w:val="0"/>
      <w:divBdr>
        <w:top w:val="none" w:sz="0" w:space="0" w:color="auto"/>
        <w:left w:val="none" w:sz="0" w:space="0" w:color="auto"/>
        <w:bottom w:val="none" w:sz="0" w:space="0" w:color="auto"/>
        <w:right w:val="none" w:sz="0" w:space="0" w:color="auto"/>
      </w:divBdr>
    </w:div>
    <w:div w:id="651838118">
      <w:bodyDiv w:val="1"/>
      <w:marLeft w:val="0"/>
      <w:marRight w:val="0"/>
      <w:marTop w:val="0"/>
      <w:marBottom w:val="0"/>
      <w:divBdr>
        <w:top w:val="none" w:sz="0" w:space="0" w:color="auto"/>
        <w:left w:val="none" w:sz="0" w:space="0" w:color="auto"/>
        <w:bottom w:val="none" w:sz="0" w:space="0" w:color="auto"/>
        <w:right w:val="none" w:sz="0" w:space="0" w:color="auto"/>
      </w:divBdr>
    </w:div>
    <w:div w:id="652031237">
      <w:bodyDiv w:val="1"/>
      <w:marLeft w:val="0"/>
      <w:marRight w:val="0"/>
      <w:marTop w:val="0"/>
      <w:marBottom w:val="0"/>
      <w:divBdr>
        <w:top w:val="none" w:sz="0" w:space="0" w:color="auto"/>
        <w:left w:val="none" w:sz="0" w:space="0" w:color="auto"/>
        <w:bottom w:val="none" w:sz="0" w:space="0" w:color="auto"/>
        <w:right w:val="none" w:sz="0" w:space="0" w:color="auto"/>
      </w:divBdr>
    </w:div>
    <w:div w:id="652103828">
      <w:bodyDiv w:val="1"/>
      <w:marLeft w:val="0"/>
      <w:marRight w:val="0"/>
      <w:marTop w:val="0"/>
      <w:marBottom w:val="0"/>
      <w:divBdr>
        <w:top w:val="none" w:sz="0" w:space="0" w:color="auto"/>
        <w:left w:val="none" w:sz="0" w:space="0" w:color="auto"/>
        <w:bottom w:val="none" w:sz="0" w:space="0" w:color="auto"/>
        <w:right w:val="none" w:sz="0" w:space="0" w:color="auto"/>
      </w:divBdr>
    </w:div>
    <w:div w:id="652414046">
      <w:bodyDiv w:val="1"/>
      <w:marLeft w:val="0"/>
      <w:marRight w:val="0"/>
      <w:marTop w:val="0"/>
      <w:marBottom w:val="0"/>
      <w:divBdr>
        <w:top w:val="none" w:sz="0" w:space="0" w:color="auto"/>
        <w:left w:val="none" w:sz="0" w:space="0" w:color="auto"/>
        <w:bottom w:val="none" w:sz="0" w:space="0" w:color="auto"/>
        <w:right w:val="none" w:sz="0" w:space="0" w:color="auto"/>
      </w:divBdr>
    </w:div>
    <w:div w:id="653070880">
      <w:bodyDiv w:val="1"/>
      <w:marLeft w:val="0"/>
      <w:marRight w:val="0"/>
      <w:marTop w:val="0"/>
      <w:marBottom w:val="0"/>
      <w:divBdr>
        <w:top w:val="none" w:sz="0" w:space="0" w:color="auto"/>
        <w:left w:val="none" w:sz="0" w:space="0" w:color="auto"/>
        <w:bottom w:val="none" w:sz="0" w:space="0" w:color="auto"/>
        <w:right w:val="none" w:sz="0" w:space="0" w:color="auto"/>
      </w:divBdr>
    </w:div>
    <w:div w:id="653685565">
      <w:bodyDiv w:val="1"/>
      <w:marLeft w:val="0"/>
      <w:marRight w:val="0"/>
      <w:marTop w:val="0"/>
      <w:marBottom w:val="0"/>
      <w:divBdr>
        <w:top w:val="none" w:sz="0" w:space="0" w:color="auto"/>
        <w:left w:val="none" w:sz="0" w:space="0" w:color="auto"/>
        <w:bottom w:val="none" w:sz="0" w:space="0" w:color="auto"/>
        <w:right w:val="none" w:sz="0" w:space="0" w:color="auto"/>
      </w:divBdr>
    </w:div>
    <w:div w:id="653876243">
      <w:bodyDiv w:val="1"/>
      <w:marLeft w:val="0"/>
      <w:marRight w:val="0"/>
      <w:marTop w:val="0"/>
      <w:marBottom w:val="0"/>
      <w:divBdr>
        <w:top w:val="none" w:sz="0" w:space="0" w:color="auto"/>
        <w:left w:val="none" w:sz="0" w:space="0" w:color="auto"/>
        <w:bottom w:val="none" w:sz="0" w:space="0" w:color="auto"/>
        <w:right w:val="none" w:sz="0" w:space="0" w:color="auto"/>
      </w:divBdr>
    </w:div>
    <w:div w:id="653922782">
      <w:bodyDiv w:val="1"/>
      <w:marLeft w:val="0"/>
      <w:marRight w:val="0"/>
      <w:marTop w:val="0"/>
      <w:marBottom w:val="0"/>
      <w:divBdr>
        <w:top w:val="none" w:sz="0" w:space="0" w:color="auto"/>
        <w:left w:val="none" w:sz="0" w:space="0" w:color="auto"/>
        <w:bottom w:val="none" w:sz="0" w:space="0" w:color="auto"/>
        <w:right w:val="none" w:sz="0" w:space="0" w:color="auto"/>
      </w:divBdr>
    </w:div>
    <w:div w:id="654189788">
      <w:bodyDiv w:val="1"/>
      <w:marLeft w:val="0"/>
      <w:marRight w:val="0"/>
      <w:marTop w:val="0"/>
      <w:marBottom w:val="0"/>
      <w:divBdr>
        <w:top w:val="none" w:sz="0" w:space="0" w:color="auto"/>
        <w:left w:val="none" w:sz="0" w:space="0" w:color="auto"/>
        <w:bottom w:val="none" w:sz="0" w:space="0" w:color="auto"/>
        <w:right w:val="none" w:sz="0" w:space="0" w:color="auto"/>
      </w:divBdr>
    </w:div>
    <w:div w:id="654382571">
      <w:bodyDiv w:val="1"/>
      <w:marLeft w:val="0"/>
      <w:marRight w:val="0"/>
      <w:marTop w:val="0"/>
      <w:marBottom w:val="0"/>
      <w:divBdr>
        <w:top w:val="none" w:sz="0" w:space="0" w:color="auto"/>
        <w:left w:val="none" w:sz="0" w:space="0" w:color="auto"/>
        <w:bottom w:val="none" w:sz="0" w:space="0" w:color="auto"/>
        <w:right w:val="none" w:sz="0" w:space="0" w:color="auto"/>
      </w:divBdr>
    </w:div>
    <w:div w:id="654922051">
      <w:bodyDiv w:val="1"/>
      <w:marLeft w:val="0"/>
      <w:marRight w:val="0"/>
      <w:marTop w:val="0"/>
      <w:marBottom w:val="0"/>
      <w:divBdr>
        <w:top w:val="none" w:sz="0" w:space="0" w:color="auto"/>
        <w:left w:val="none" w:sz="0" w:space="0" w:color="auto"/>
        <w:bottom w:val="none" w:sz="0" w:space="0" w:color="auto"/>
        <w:right w:val="none" w:sz="0" w:space="0" w:color="auto"/>
      </w:divBdr>
    </w:div>
    <w:div w:id="655231144">
      <w:bodyDiv w:val="1"/>
      <w:marLeft w:val="0"/>
      <w:marRight w:val="0"/>
      <w:marTop w:val="0"/>
      <w:marBottom w:val="0"/>
      <w:divBdr>
        <w:top w:val="none" w:sz="0" w:space="0" w:color="auto"/>
        <w:left w:val="none" w:sz="0" w:space="0" w:color="auto"/>
        <w:bottom w:val="none" w:sz="0" w:space="0" w:color="auto"/>
        <w:right w:val="none" w:sz="0" w:space="0" w:color="auto"/>
      </w:divBdr>
    </w:div>
    <w:div w:id="655646239">
      <w:bodyDiv w:val="1"/>
      <w:marLeft w:val="0"/>
      <w:marRight w:val="0"/>
      <w:marTop w:val="0"/>
      <w:marBottom w:val="0"/>
      <w:divBdr>
        <w:top w:val="none" w:sz="0" w:space="0" w:color="auto"/>
        <w:left w:val="none" w:sz="0" w:space="0" w:color="auto"/>
        <w:bottom w:val="none" w:sz="0" w:space="0" w:color="auto"/>
        <w:right w:val="none" w:sz="0" w:space="0" w:color="auto"/>
      </w:divBdr>
    </w:div>
    <w:div w:id="656345588">
      <w:bodyDiv w:val="1"/>
      <w:marLeft w:val="0"/>
      <w:marRight w:val="0"/>
      <w:marTop w:val="0"/>
      <w:marBottom w:val="0"/>
      <w:divBdr>
        <w:top w:val="none" w:sz="0" w:space="0" w:color="auto"/>
        <w:left w:val="none" w:sz="0" w:space="0" w:color="auto"/>
        <w:bottom w:val="none" w:sz="0" w:space="0" w:color="auto"/>
        <w:right w:val="none" w:sz="0" w:space="0" w:color="auto"/>
      </w:divBdr>
    </w:div>
    <w:div w:id="656416587">
      <w:bodyDiv w:val="1"/>
      <w:marLeft w:val="0"/>
      <w:marRight w:val="0"/>
      <w:marTop w:val="0"/>
      <w:marBottom w:val="0"/>
      <w:divBdr>
        <w:top w:val="none" w:sz="0" w:space="0" w:color="auto"/>
        <w:left w:val="none" w:sz="0" w:space="0" w:color="auto"/>
        <w:bottom w:val="none" w:sz="0" w:space="0" w:color="auto"/>
        <w:right w:val="none" w:sz="0" w:space="0" w:color="auto"/>
      </w:divBdr>
    </w:div>
    <w:div w:id="656570624">
      <w:bodyDiv w:val="1"/>
      <w:marLeft w:val="0"/>
      <w:marRight w:val="0"/>
      <w:marTop w:val="0"/>
      <w:marBottom w:val="0"/>
      <w:divBdr>
        <w:top w:val="none" w:sz="0" w:space="0" w:color="auto"/>
        <w:left w:val="none" w:sz="0" w:space="0" w:color="auto"/>
        <w:bottom w:val="none" w:sz="0" w:space="0" w:color="auto"/>
        <w:right w:val="none" w:sz="0" w:space="0" w:color="auto"/>
      </w:divBdr>
    </w:div>
    <w:div w:id="656614194">
      <w:bodyDiv w:val="1"/>
      <w:marLeft w:val="0"/>
      <w:marRight w:val="0"/>
      <w:marTop w:val="0"/>
      <w:marBottom w:val="0"/>
      <w:divBdr>
        <w:top w:val="none" w:sz="0" w:space="0" w:color="auto"/>
        <w:left w:val="none" w:sz="0" w:space="0" w:color="auto"/>
        <w:bottom w:val="none" w:sz="0" w:space="0" w:color="auto"/>
        <w:right w:val="none" w:sz="0" w:space="0" w:color="auto"/>
      </w:divBdr>
    </w:div>
    <w:div w:id="656999161">
      <w:bodyDiv w:val="1"/>
      <w:marLeft w:val="0"/>
      <w:marRight w:val="0"/>
      <w:marTop w:val="0"/>
      <w:marBottom w:val="0"/>
      <w:divBdr>
        <w:top w:val="none" w:sz="0" w:space="0" w:color="auto"/>
        <w:left w:val="none" w:sz="0" w:space="0" w:color="auto"/>
        <w:bottom w:val="none" w:sz="0" w:space="0" w:color="auto"/>
        <w:right w:val="none" w:sz="0" w:space="0" w:color="auto"/>
      </w:divBdr>
    </w:div>
    <w:div w:id="657223248">
      <w:bodyDiv w:val="1"/>
      <w:marLeft w:val="0"/>
      <w:marRight w:val="0"/>
      <w:marTop w:val="0"/>
      <w:marBottom w:val="0"/>
      <w:divBdr>
        <w:top w:val="none" w:sz="0" w:space="0" w:color="auto"/>
        <w:left w:val="none" w:sz="0" w:space="0" w:color="auto"/>
        <w:bottom w:val="none" w:sz="0" w:space="0" w:color="auto"/>
        <w:right w:val="none" w:sz="0" w:space="0" w:color="auto"/>
      </w:divBdr>
    </w:div>
    <w:div w:id="657655548">
      <w:bodyDiv w:val="1"/>
      <w:marLeft w:val="0"/>
      <w:marRight w:val="0"/>
      <w:marTop w:val="0"/>
      <w:marBottom w:val="0"/>
      <w:divBdr>
        <w:top w:val="none" w:sz="0" w:space="0" w:color="auto"/>
        <w:left w:val="none" w:sz="0" w:space="0" w:color="auto"/>
        <w:bottom w:val="none" w:sz="0" w:space="0" w:color="auto"/>
        <w:right w:val="none" w:sz="0" w:space="0" w:color="auto"/>
      </w:divBdr>
    </w:div>
    <w:div w:id="658190009">
      <w:bodyDiv w:val="1"/>
      <w:marLeft w:val="0"/>
      <w:marRight w:val="0"/>
      <w:marTop w:val="0"/>
      <w:marBottom w:val="0"/>
      <w:divBdr>
        <w:top w:val="none" w:sz="0" w:space="0" w:color="auto"/>
        <w:left w:val="none" w:sz="0" w:space="0" w:color="auto"/>
        <w:bottom w:val="none" w:sz="0" w:space="0" w:color="auto"/>
        <w:right w:val="none" w:sz="0" w:space="0" w:color="auto"/>
      </w:divBdr>
    </w:div>
    <w:div w:id="659310637">
      <w:bodyDiv w:val="1"/>
      <w:marLeft w:val="0"/>
      <w:marRight w:val="0"/>
      <w:marTop w:val="0"/>
      <w:marBottom w:val="0"/>
      <w:divBdr>
        <w:top w:val="none" w:sz="0" w:space="0" w:color="auto"/>
        <w:left w:val="none" w:sz="0" w:space="0" w:color="auto"/>
        <w:bottom w:val="none" w:sz="0" w:space="0" w:color="auto"/>
        <w:right w:val="none" w:sz="0" w:space="0" w:color="auto"/>
      </w:divBdr>
    </w:div>
    <w:div w:id="659505828">
      <w:bodyDiv w:val="1"/>
      <w:marLeft w:val="0"/>
      <w:marRight w:val="0"/>
      <w:marTop w:val="0"/>
      <w:marBottom w:val="0"/>
      <w:divBdr>
        <w:top w:val="none" w:sz="0" w:space="0" w:color="auto"/>
        <w:left w:val="none" w:sz="0" w:space="0" w:color="auto"/>
        <w:bottom w:val="none" w:sz="0" w:space="0" w:color="auto"/>
        <w:right w:val="none" w:sz="0" w:space="0" w:color="auto"/>
      </w:divBdr>
    </w:div>
    <w:div w:id="660235866">
      <w:bodyDiv w:val="1"/>
      <w:marLeft w:val="0"/>
      <w:marRight w:val="0"/>
      <w:marTop w:val="0"/>
      <w:marBottom w:val="0"/>
      <w:divBdr>
        <w:top w:val="none" w:sz="0" w:space="0" w:color="auto"/>
        <w:left w:val="none" w:sz="0" w:space="0" w:color="auto"/>
        <w:bottom w:val="none" w:sz="0" w:space="0" w:color="auto"/>
        <w:right w:val="none" w:sz="0" w:space="0" w:color="auto"/>
      </w:divBdr>
    </w:div>
    <w:div w:id="660275662">
      <w:bodyDiv w:val="1"/>
      <w:marLeft w:val="0"/>
      <w:marRight w:val="0"/>
      <w:marTop w:val="0"/>
      <w:marBottom w:val="0"/>
      <w:divBdr>
        <w:top w:val="none" w:sz="0" w:space="0" w:color="auto"/>
        <w:left w:val="none" w:sz="0" w:space="0" w:color="auto"/>
        <w:bottom w:val="none" w:sz="0" w:space="0" w:color="auto"/>
        <w:right w:val="none" w:sz="0" w:space="0" w:color="auto"/>
      </w:divBdr>
    </w:div>
    <w:div w:id="660550690">
      <w:bodyDiv w:val="1"/>
      <w:marLeft w:val="0"/>
      <w:marRight w:val="0"/>
      <w:marTop w:val="0"/>
      <w:marBottom w:val="0"/>
      <w:divBdr>
        <w:top w:val="none" w:sz="0" w:space="0" w:color="auto"/>
        <w:left w:val="none" w:sz="0" w:space="0" w:color="auto"/>
        <w:bottom w:val="none" w:sz="0" w:space="0" w:color="auto"/>
        <w:right w:val="none" w:sz="0" w:space="0" w:color="auto"/>
      </w:divBdr>
    </w:div>
    <w:div w:id="660891387">
      <w:bodyDiv w:val="1"/>
      <w:marLeft w:val="0"/>
      <w:marRight w:val="0"/>
      <w:marTop w:val="0"/>
      <w:marBottom w:val="0"/>
      <w:divBdr>
        <w:top w:val="none" w:sz="0" w:space="0" w:color="auto"/>
        <w:left w:val="none" w:sz="0" w:space="0" w:color="auto"/>
        <w:bottom w:val="none" w:sz="0" w:space="0" w:color="auto"/>
        <w:right w:val="none" w:sz="0" w:space="0" w:color="auto"/>
      </w:divBdr>
    </w:div>
    <w:div w:id="661349905">
      <w:bodyDiv w:val="1"/>
      <w:marLeft w:val="0"/>
      <w:marRight w:val="0"/>
      <w:marTop w:val="0"/>
      <w:marBottom w:val="0"/>
      <w:divBdr>
        <w:top w:val="none" w:sz="0" w:space="0" w:color="auto"/>
        <w:left w:val="none" w:sz="0" w:space="0" w:color="auto"/>
        <w:bottom w:val="none" w:sz="0" w:space="0" w:color="auto"/>
        <w:right w:val="none" w:sz="0" w:space="0" w:color="auto"/>
      </w:divBdr>
    </w:div>
    <w:div w:id="661933699">
      <w:bodyDiv w:val="1"/>
      <w:marLeft w:val="0"/>
      <w:marRight w:val="0"/>
      <w:marTop w:val="0"/>
      <w:marBottom w:val="0"/>
      <w:divBdr>
        <w:top w:val="none" w:sz="0" w:space="0" w:color="auto"/>
        <w:left w:val="none" w:sz="0" w:space="0" w:color="auto"/>
        <w:bottom w:val="none" w:sz="0" w:space="0" w:color="auto"/>
        <w:right w:val="none" w:sz="0" w:space="0" w:color="auto"/>
      </w:divBdr>
    </w:div>
    <w:div w:id="662271227">
      <w:bodyDiv w:val="1"/>
      <w:marLeft w:val="0"/>
      <w:marRight w:val="0"/>
      <w:marTop w:val="0"/>
      <w:marBottom w:val="0"/>
      <w:divBdr>
        <w:top w:val="none" w:sz="0" w:space="0" w:color="auto"/>
        <w:left w:val="none" w:sz="0" w:space="0" w:color="auto"/>
        <w:bottom w:val="none" w:sz="0" w:space="0" w:color="auto"/>
        <w:right w:val="none" w:sz="0" w:space="0" w:color="auto"/>
      </w:divBdr>
    </w:div>
    <w:div w:id="663511410">
      <w:bodyDiv w:val="1"/>
      <w:marLeft w:val="0"/>
      <w:marRight w:val="0"/>
      <w:marTop w:val="0"/>
      <w:marBottom w:val="0"/>
      <w:divBdr>
        <w:top w:val="none" w:sz="0" w:space="0" w:color="auto"/>
        <w:left w:val="none" w:sz="0" w:space="0" w:color="auto"/>
        <w:bottom w:val="none" w:sz="0" w:space="0" w:color="auto"/>
        <w:right w:val="none" w:sz="0" w:space="0" w:color="auto"/>
      </w:divBdr>
    </w:div>
    <w:div w:id="663512718">
      <w:bodyDiv w:val="1"/>
      <w:marLeft w:val="0"/>
      <w:marRight w:val="0"/>
      <w:marTop w:val="0"/>
      <w:marBottom w:val="0"/>
      <w:divBdr>
        <w:top w:val="none" w:sz="0" w:space="0" w:color="auto"/>
        <w:left w:val="none" w:sz="0" w:space="0" w:color="auto"/>
        <w:bottom w:val="none" w:sz="0" w:space="0" w:color="auto"/>
        <w:right w:val="none" w:sz="0" w:space="0" w:color="auto"/>
      </w:divBdr>
    </w:div>
    <w:div w:id="663778047">
      <w:bodyDiv w:val="1"/>
      <w:marLeft w:val="0"/>
      <w:marRight w:val="0"/>
      <w:marTop w:val="0"/>
      <w:marBottom w:val="0"/>
      <w:divBdr>
        <w:top w:val="none" w:sz="0" w:space="0" w:color="auto"/>
        <w:left w:val="none" w:sz="0" w:space="0" w:color="auto"/>
        <w:bottom w:val="none" w:sz="0" w:space="0" w:color="auto"/>
        <w:right w:val="none" w:sz="0" w:space="0" w:color="auto"/>
      </w:divBdr>
    </w:div>
    <w:div w:id="664892569">
      <w:bodyDiv w:val="1"/>
      <w:marLeft w:val="0"/>
      <w:marRight w:val="0"/>
      <w:marTop w:val="0"/>
      <w:marBottom w:val="0"/>
      <w:divBdr>
        <w:top w:val="none" w:sz="0" w:space="0" w:color="auto"/>
        <w:left w:val="none" w:sz="0" w:space="0" w:color="auto"/>
        <w:bottom w:val="none" w:sz="0" w:space="0" w:color="auto"/>
        <w:right w:val="none" w:sz="0" w:space="0" w:color="auto"/>
      </w:divBdr>
    </w:div>
    <w:div w:id="665132658">
      <w:bodyDiv w:val="1"/>
      <w:marLeft w:val="0"/>
      <w:marRight w:val="0"/>
      <w:marTop w:val="0"/>
      <w:marBottom w:val="0"/>
      <w:divBdr>
        <w:top w:val="none" w:sz="0" w:space="0" w:color="auto"/>
        <w:left w:val="none" w:sz="0" w:space="0" w:color="auto"/>
        <w:bottom w:val="none" w:sz="0" w:space="0" w:color="auto"/>
        <w:right w:val="none" w:sz="0" w:space="0" w:color="auto"/>
      </w:divBdr>
    </w:div>
    <w:div w:id="665864323">
      <w:bodyDiv w:val="1"/>
      <w:marLeft w:val="0"/>
      <w:marRight w:val="0"/>
      <w:marTop w:val="0"/>
      <w:marBottom w:val="0"/>
      <w:divBdr>
        <w:top w:val="none" w:sz="0" w:space="0" w:color="auto"/>
        <w:left w:val="none" w:sz="0" w:space="0" w:color="auto"/>
        <w:bottom w:val="none" w:sz="0" w:space="0" w:color="auto"/>
        <w:right w:val="none" w:sz="0" w:space="0" w:color="auto"/>
      </w:divBdr>
    </w:div>
    <w:div w:id="666640844">
      <w:bodyDiv w:val="1"/>
      <w:marLeft w:val="0"/>
      <w:marRight w:val="0"/>
      <w:marTop w:val="0"/>
      <w:marBottom w:val="0"/>
      <w:divBdr>
        <w:top w:val="none" w:sz="0" w:space="0" w:color="auto"/>
        <w:left w:val="none" w:sz="0" w:space="0" w:color="auto"/>
        <w:bottom w:val="none" w:sz="0" w:space="0" w:color="auto"/>
        <w:right w:val="none" w:sz="0" w:space="0" w:color="auto"/>
      </w:divBdr>
    </w:div>
    <w:div w:id="667291056">
      <w:bodyDiv w:val="1"/>
      <w:marLeft w:val="0"/>
      <w:marRight w:val="0"/>
      <w:marTop w:val="0"/>
      <w:marBottom w:val="0"/>
      <w:divBdr>
        <w:top w:val="none" w:sz="0" w:space="0" w:color="auto"/>
        <w:left w:val="none" w:sz="0" w:space="0" w:color="auto"/>
        <w:bottom w:val="none" w:sz="0" w:space="0" w:color="auto"/>
        <w:right w:val="none" w:sz="0" w:space="0" w:color="auto"/>
      </w:divBdr>
    </w:div>
    <w:div w:id="667488229">
      <w:bodyDiv w:val="1"/>
      <w:marLeft w:val="0"/>
      <w:marRight w:val="0"/>
      <w:marTop w:val="0"/>
      <w:marBottom w:val="0"/>
      <w:divBdr>
        <w:top w:val="none" w:sz="0" w:space="0" w:color="auto"/>
        <w:left w:val="none" w:sz="0" w:space="0" w:color="auto"/>
        <w:bottom w:val="none" w:sz="0" w:space="0" w:color="auto"/>
        <w:right w:val="none" w:sz="0" w:space="0" w:color="auto"/>
      </w:divBdr>
    </w:div>
    <w:div w:id="667947599">
      <w:bodyDiv w:val="1"/>
      <w:marLeft w:val="0"/>
      <w:marRight w:val="0"/>
      <w:marTop w:val="0"/>
      <w:marBottom w:val="0"/>
      <w:divBdr>
        <w:top w:val="none" w:sz="0" w:space="0" w:color="auto"/>
        <w:left w:val="none" w:sz="0" w:space="0" w:color="auto"/>
        <w:bottom w:val="none" w:sz="0" w:space="0" w:color="auto"/>
        <w:right w:val="none" w:sz="0" w:space="0" w:color="auto"/>
      </w:divBdr>
    </w:div>
    <w:div w:id="668363251">
      <w:bodyDiv w:val="1"/>
      <w:marLeft w:val="0"/>
      <w:marRight w:val="0"/>
      <w:marTop w:val="0"/>
      <w:marBottom w:val="0"/>
      <w:divBdr>
        <w:top w:val="none" w:sz="0" w:space="0" w:color="auto"/>
        <w:left w:val="none" w:sz="0" w:space="0" w:color="auto"/>
        <w:bottom w:val="none" w:sz="0" w:space="0" w:color="auto"/>
        <w:right w:val="none" w:sz="0" w:space="0" w:color="auto"/>
      </w:divBdr>
    </w:div>
    <w:div w:id="668480387">
      <w:bodyDiv w:val="1"/>
      <w:marLeft w:val="0"/>
      <w:marRight w:val="0"/>
      <w:marTop w:val="0"/>
      <w:marBottom w:val="0"/>
      <w:divBdr>
        <w:top w:val="none" w:sz="0" w:space="0" w:color="auto"/>
        <w:left w:val="none" w:sz="0" w:space="0" w:color="auto"/>
        <w:bottom w:val="none" w:sz="0" w:space="0" w:color="auto"/>
        <w:right w:val="none" w:sz="0" w:space="0" w:color="auto"/>
      </w:divBdr>
    </w:div>
    <w:div w:id="668487325">
      <w:bodyDiv w:val="1"/>
      <w:marLeft w:val="0"/>
      <w:marRight w:val="0"/>
      <w:marTop w:val="0"/>
      <w:marBottom w:val="0"/>
      <w:divBdr>
        <w:top w:val="none" w:sz="0" w:space="0" w:color="auto"/>
        <w:left w:val="none" w:sz="0" w:space="0" w:color="auto"/>
        <w:bottom w:val="none" w:sz="0" w:space="0" w:color="auto"/>
        <w:right w:val="none" w:sz="0" w:space="0" w:color="auto"/>
      </w:divBdr>
    </w:div>
    <w:div w:id="668558454">
      <w:bodyDiv w:val="1"/>
      <w:marLeft w:val="0"/>
      <w:marRight w:val="0"/>
      <w:marTop w:val="0"/>
      <w:marBottom w:val="0"/>
      <w:divBdr>
        <w:top w:val="none" w:sz="0" w:space="0" w:color="auto"/>
        <w:left w:val="none" w:sz="0" w:space="0" w:color="auto"/>
        <w:bottom w:val="none" w:sz="0" w:space="0" w:color="auto"/>
        <w:right w:val="none" w:sz="0" w:space="0" w:color="auto"/>
      </w:divBdr>
    </w:div>
    <w:div w:id="668560384">
      <w:bodyDiv w:val="1"/>
      <w:marLeft w:val="0"/>
      <w:marRight w:val="0"/>
      <w:marTop w:val="0"/>
      <w:marBottom w:val="0"/>
      <w:divBdr>
        <w:top w:val="none" w:sz="0" w:space="0" w:color="auto"/>
        <w:left w:val="none" w:sz="0" w:space="0" w:color="auto"/>
        <w:bottom w:val="none" w:sz="0" w:space="0" w:color="auto"/>
        <w:right w:val="none" w:sz="0" w:space="0" w:color="auto"/>
      </w:divBdr>
    </w:div>
    <w:div w:id="668795093">
      <w:bodyDiv w:val="1"/>
      <w:marLeft w:val="0"/>
      <w:marRight w:val="0"/>
      <w:marTop w:val="0"/>
      <w:marBottom w:val="0"/>
      <w:divBdr>
        <w:top w:val="none" w:sz="0" w:space="0" w:color="auto"/>
        <w:left w:val="none" w:sz="0" w:space="0" w:color="auto"/>
        <w:bottom w:val="none" w:sz="0" w:space="0" w:color="auto"/>
        <w:right w:val="none" w:sz="0" w:space="0" w:color="auto"/>
      </w:divBdr>
    </w:div>
    <w:div w:id="669261500">
      <w:bodyDiv w:val="1"/>
      <w:marLeft w:val="0"/>
      <w:marRight w:val="0"/>
      <w:marTop w:val="0"/>
      <w:marBottom w:val="0"/>
      <w:divBdr>
        <w:top w:val="none" w:sz="0" w:space="0" w:color="auto"/>
        <w:left w:val="none" w:sz="0" w:space="0" w:color="auto"/>
        <w:bottom w:val="none" w:sz="0" w:space="0" w:color="auto"/>
        <w:right w:val="none" w:sz="0" w:space="0" w:color="auto"/>
      </w:divBdr>
    </w:div>
    <w:div w:id="669722209">
      <w:bodyDiv w:val="1"/>
      <w:marLeft w:val="0"/>
      <w:marRight w:val="0"/>
      <w:marTop w:val="0"/>
      <w:marBottom w:val="0"/>
      <w:divBdr>
        <w:top w:val="none" w:sz="0" w:space="0" w:color="auto"/>
        <w:left w:val="none" w:sz="0" w:space="0" w:color="auto"/>
        <w:bottom w:val="none" w:sz="0" w:space="0" w:color="auto"/>
        <w:right w:val="none" w:sz="0" w:space="0" w:color="auto"/>
      </w:divBdr>
    </w:div>
    <w:div w:id="670065999">
      <w:bodyDiv w:val="1"/>
      <w:marLeft w:val="0"/>
      <w:marRight w:val="0"/>
      <w:marTop w:val="0"/>
      <w:marBottom w:val="0"/>
      <w:divBdr>
        <w:top w:val="none" w:sz="0" w:space="0" w:color="auto"/>
        <w:left w:val="none" w:sz="0" w:space="0" w:color="auto"/>
        <w:bottom w:val="none" w:sz="0" w:space="0" w:color="auto"/>
        <w:right w:val="none" w:sz="0" w:space="0" w:color="auto"/>
      </w:divBdr>
    </w:div>
    <w:div w:id="670108544">
      <w:bodyDiv w:val="1"/>
      <w:marLeft w:val="0"/>
      <w:marRight w:val="0"/>
      <w:marTop w:val="0"/>
      <w:marBottom w:val="0"/>
      <w:divBdr>
        <w:top w:val="none" w:sz="0" w:space="0" w:color="auto"/>
        <w:left w:val="none" w:sz="0" w:space="0" w:color="auto"/>
        <w:bottom w:val="none" w:sz="0" w:space="0" w:color="auto"/>
        <w:right w:val="none" w:sz="0" w:space="0" w:color="auto"/>
      </w:divBdr>
    </w:div>
    <w:div w:id="670185573">
      <w:bodyDiv w:val="1"/>
      <w:marLeft w:val="0"/>
      <w:marRight w:val="0"/>
      <w:marTop w:val="0"/>
      <w:marBottom w:val="0"/>
      <w:divBdr>
        <w:top w:val="none" w:sz="0" w:space="0" w:color="auto"/>
        <w:left w:val="none" w:sz="0" w:space="0" w:color="auto"/>
        <w:bottom w:val="none" w:sz="0" w:space="0" w:color="auto"/>
        <w:right w:val="none" w:sz="0" w:space="0" w:color="auto"/>
      </w:divBdr>
    </w:div>
    <w:div w:id="670568802">
      <w:bodyDiv w:val="1"/>
      <w:marLeft w:val="0"/>
      <w:marRight w:val="0"/>
      <w:marTop w:val="0"/>
      <w:marBottom w:val="0"/>
      <w:divBdr>
        <w:top w:val="none" w:sz="0" w:space="0" w:color="auto"/>
        <w:left w:val="none" w:sz="0" w:space="0" w:color="auto"/>
        <w:bottom w:val="none" w:sz="0" w:space="0" w:color="auto"/>
        <w:right w:val="none" w:sz="0" w:space="0" w:color="auto"/>
      </w:divBdr>
    </w:div>
    <w:div w:id="670912697">
      <w:bodyDiv w:val="1"/>
      <w:marLeft w:val="0"/>
      <w:marRight w:val="0"/>
      <w:marTop w:val="0"/>
      <w:marBottom w:val="0"/>
      <w:divBdr>
        <w:top w:val="none" w:sz="0" w:space="0" w:color="auto"/>
        <w:left w:val="none" w:sz="0" w:space="0" w:color="auto"/>
        <w:bottom w:val="none" w:sz="0" w:space="0" w:color="auto"/>
        <w:right w:val="none" w:sz="0" w:space="0" w:color="auto"/>
      </w:divBdr>
    </w:div>
    <w:div w:id="670984271">
      <w:bodyDiv w:val="1"/>
      <w:marLeft w:val="0"/>
      <w:marRight w:val="0"/>
      <w:marTop w:val="0"/>
      <w:marBottom w:val="0"/>
      <w:divBdr>
        <w:top w:val="none" w:sz="0" w:space="0" w:color="auto"/>
        <w:left w:val="none" w:sz="0" w:space="0" w:color="auto"/>
        <w:bottom w:val="none" w:sz="0" w:space="0" w:color="auto"/>
        <w:right w:val="none" w:sz="0" w:space="0" w:color="auto"/>
      </w:divBdr>
    </w:div>
    <w:div w:id="671222386">
      <w:bodyDiv w:val="1"/>
      <w:marLeft w:val="0"/>
      <w:marRight w:val="0"/>
      <w:marTop w:val="0"/>
      <w:marBottom w:val="0"/>
      <w:divBdr>
        <w:top w:val="none" w:sz="0" w:space="0" w:color="auto"/>
        <w:left w:val="none" w:sz="0" w:space="0" w:color="auto"/>
        <w:bottom w:val="none" w:sz="0" w:space="0" w:color="auto"/>
        <w:right w:val="none" w:sz="0" w:space="0" w:color="auto"/>
      </w:divBdr>
    </w:div>
    <w:div w:id="671686034">
      <w:bodyDiv w:val="1"/>
      <w:marLeft w:val="0"/>
      <w:marRight w:val="0"/>
      <w:marTop w:val="0"/>
      <w:marBottom w:val="0"/>
      <w:divBdr>
        <w:top w:val="none" w:sz="0" w:space="0" w:color="auto"/>
        <w:left w:val="none" w:sz="0" w:space="0" w:color="auto"/>
        <w:bottom w:val="none" w:sz="0" w:space="0" w:color="auto"/>
        <w:right w:val="none" w:sz="0" w:space="0" w:color="auto"/>
      </w:divBdr>
    </w:div>
    <w:div w:id="671955093">
      <w:bodyDiv w:val="1"/>
      <w:marLeft w:val="0"/>
      <w:marRight w:val="0"/>
      <w:marTop w:val="0"/>
      <w:marBottom w:val="0"/>
      <w:divBdr>
        <w:top w:val="none" w:sz="0" w:space="0" w:color="auto"/>
        <w:left w:val="none" w:sz="0" w:space="0" w:color="auto"/>
        <w:bottom w:val="none" w:sz="0" w:space="0" w:color="auto"/>
        <w:right w:val="none" w:sz="0" w:space="0" w:color="auto"/>
      </w:divBdr>
    </w:div>
    <w:div w:id="671956501">
      <w:bodyDiv w:val="1"/>
      <w:marLeft w:val="0"/>
      <w:marRight w:val="0"/>
      <w:marTop w:val="0"/>
      <w:marBottom w:val="0"/>
      <w:divBdr>
        <w:top w:val="none" w:sz="0" w:space="0" w:color="auto"/>
        <w:left w:val="none" w:sz="0" w:space="0" w:color="auto"/>
        <w:bottom w:val="none" w:sz="0" w:space="0" w:color="auto"/>
        <w:right w:val="none" w:sz="0" w:space="0" w:color="auto"/>
      </w:divBdr>
    </w:div>
    <w:div w:id="672075524">
      <w:bodyDiv w:val="1"/>
      <w:marLeft w:val="0"/>
      <w:marRight w:val="0"/>
      <w:marTop w:val="0"/>
      <w:marBottom w:val="0"/>
      <w:divBdr>
        <w:top w:val="none" w:sz="0" w:space="0" w:color="auto"/>
        <w:left w:val="none" w:sz="0" w:space="0" w:color="auto"/>
        <w:bottom w:val="none" w:sz="0" w:space="0" w:color="auto"/>
        <w:right w:val="none" w:sz="0" w:space="0" w:color="auto"/>
      </w:divBdr>
    </w:div>
    <w:div w:id="673725203">
      <w:bodyDiv w:val="1"/>
      <w:marLeft w:val="0"/>
      <w:marRight w:val="0"/>
      <w:marTop w:val="0"/>
      <w:marBottom w:val="0"/>
      <w:divBdr>
        <w:top w:val="none" w:sz="0" w:space="0" w:color="auto"/>
        <w:left w:val="none" w:sz="0" w:space="0" w:color="auto"/>
        <w:bottom w:val="none" w:sz="0" w:space="0" w:color="auto"/>
        <w:right w:val="none" w:sz="0" w:space="0" w:color="auto"/>
      </w:divBdr>
    </w:div>
    <w:div w:id="674455740">
      <w:bodyDiv w:val="1"/>
      <w:marLeft w:val="0"/>
      <w:marRight w:val="0"/>
      <w:marTop w:val="0"/>
      <w:marBottom w:val="0"/>
      <w:divBdr>
        <w:top w:val="none" w:sz="0" w:space="0" w:color="auto"/>
        <w:left w:val="none" w:sz="0" w:space="0" w:color="auto"/>
        <w:bottom w:val="none" w:sz="0" w:space="0" w:color="auto"/>
        <w:right w:val="none" w:sz="0" w:space="0" w:color="auto"/>
      </w:divBdr>
    </w:div>
    <w:div w:id="675771224">
      <w:bodyDiv w:val="1"/>
      <w:marLeft w:val="0"/>
      <w:marRight w:val="0"/>
      <w:marTop w:val="0"/>
      <w:marBottom w:val="0"/>
      <w:divBdr>
        <w:top w:val="none" w:sz="0" w:space="0" w:color="auto"/>
        <w:left w:val="none" w:sz="0" w:space="0" w:color="auto"/>
        <w:bottom w:val="none" w:sz="0" w:space="0" w:color="auto"/>
        <w:right w:val="none" w:sz="0" w:space="0" w:color="auto"/>
      </w:divBdr>
    </w:div>
    <w:div w:id="675814092">
      <w:bodyDiv w:val="1"/>
      <w:marLeft w:val="0"/>
      <w:marRight w:val="0"/>
      <w:marTop w:val="0"/>
      <w:marBottom w:val="0"/>
      <w:divBdr>
        <w:top w:val="none" w:sz="0" w:space="0" w:color="auto"/>
        <w:left w:val="none" w:sz="0" w:space="0" w:color="auto"/>
        <w:bottom w:val="none" w:sz="0" w:space="0" w:color="auto"/>
        <w:right w:val="none" w:sz="0" w:space="0" w:color="auto"/>
      </w:divBdr>
    </w:div>
    <w:div w:id="676232607">
      <w:bodyDiv w:val="1"/>
      <w:marLeft w:val="0"/>
      <w:marRight w:val="0"/>
      <w:marTop w:val="0"/>
      <w:marBottom w:val="0"/>
      <w:divBdr>
        <w:top w:val="none" w:sz="0" w:space="0" w:color="auto"/>
        <w:left w:val="none" w:sz="0" w:space="0" w:color="auto"/>
        <w:bottom w:val="none" w:sz="0" w:space="0" w:color="auto"/>
        <w:right w:val="none" w:sz="0" w:space="0" w:color="auto"/>
      </w:divBdr>
    </w:div>
    <w:div w:id="677003405">
      <w:bodyDiv w:val="1"/>
      <w:marLeft w:val="0"/>
      <w:marRight w:val="0"/>
      <w:marTop w:val="0"/>
      <w:marBottom w:val="0"/>
      <w:divBdr>
        <w:top w:val="none" w:sz="0" w:space="0" w:color="auto"/>
        <w:left w:val="none" w:sz="0" w:space="0" w:color="auto"/>
        <w:bottom w:val="none" w:sz="0" w:space="0" w:color="auto"/>
        <w:right w:val="none" w:sz="0" w:space="0" w:color="auto"/>
      </w:divBdr>
    </w:div>
    <w:div w:id="677195497">
      <w:bodyDiv w:val="1"/>
      <w:marLeft w:val="0"/>
      <w:marRight w:val="0"/>
      <w:marTop w:val="0"/>
      <w:marBottom w:val="0"/>
      <w:divBdr>
        <w:top w:val="none" w:sz="0" w:space="0" w:color="auto"/>
        <w:left w:val="none" w:sz="0" w:space="0" w:color="auto"/>
        <w:bottom w:val="none" w:sz="0" w:space="0" w:color="auto"/>
        <w:right w:val="none" w:sz="0" w:space="0" w:color="auto"/>
      </w:divBdr>
    </w:div>
    <w:div w:id="678241520">
      <w:bodyDiv w:val="1"/>
      <w:marLeft w:val="0"/>
      <w:marRight w:val="0"/>
      <w:marTop w:val="0"/>
      <w:marBottom w:val="0"/>
      <w:divBdr>
        <w:top w:val="none" w:sz="0" w:space="0" w:color="auto"/>
        <w:left w:val="none" w:sz="0" w:space="0" w:color="auto"/>
        <w:bottom w:val="none" w:sz="0" w:space="0" w:color="auto"/>
        <w:right w:val="none" w:sz="0" w:space="0" w:color="auto"/>
      </w:divBdr>
    </w:div>
    <w:div w:id="678314563">
      <w:bodyDiv w:val="1"/>
      <w:marLeft w:val="0"/>
      <w:marRight w:val="0"/>
      <w:marTop w:val="0"/>
      <w:marBottom w:val="0"/>
      <w:divBdr>
        <w:top w:val="none" w:sz="0" w:space="0" w:color="auto"/>
        <w:left w:val="none" w:sz="0" w:space="0" w:color="auto"/>
        <w:bottom w:val="none" w:sz="0" w:space="0" w:color="auto"/>
        <w:right w:val="none" w:sz="0" w:space="0" w:color="auto"/>
      </w:divBdr>
    </w:div>
    <w:div w:id="678893934">
      <w:bodyDiv w:val="1"/>
      <w:marLeft w:val="0"/>
      <w:marRight w:val="0"/>
      <w:marTop w:val="0"/>
      <w:marBottom w:val="0"/>
      <w:divBdr>
        <w:top w:val="none" w:sz="0" w:space="0" w:color="auto"/>
        <w:left w:val="none" w:sz="0" w:space="0" w:color="auto"/>
        <w:bottom w:val="none" w:sz="0" w:space="0" w:color="auto"/>
        <w:right w:val="none" w:sz="0" w:space="0" w:color="auto"/>
      </w:divBdr>
    </w:div>
    <w:div w:id="679433057">
      <w:bodyDiv w:val="1"/>
      <w:marLeft w:val="0"/>
      <w:marRight w:val="0"/>
      <w:marTop w:val="0"/>
      <w:marBottom w:val="0"/>
      <w:divBdr>
        <w:top w:val="none" w:sz="0" w:space="0" w:color="auto"/>
        <w:left w:val="none" w:sz="0" w:space="0" w:color="auto"/>
        <w:bottom w:val="none" w:sz="0" w:space="0" w:color="auto"/>
        <w:right w:val="none" w:sz="0" w:space="0" w:color="auto"/>
      </w:divBdr>
    </w:div>
    <w:div w:id="680006007">
      <w:bodyDiv w:val="1"/>
      <w:marLeft w:val="0"/>
      <w:marRight w:val="0"/>
      <w:marTop w:val="0"/>
      <w:marBottom w:val="0"/>
      <w:divBdr>
        <w:top w:val="none" w:sz="0" w:space="0" w:color="auto"/>
        <w:left w:val="none" w:sz="0" w:space="0" w:color="auto"/>
        <w:bottom w:val="none" w:sz="0" w:space="0" w:color="auto"/>
        <w:right w:val="none" w:sz="0" w:space="0" w:color="auto"/>
      </w:divBdr>
    </w:div>
    <w:div w:id="680861314">
      <w:bodyDiv w:val="1"/>
      <w:marLeft w:val="0"/>
      <w:marRight w:val="0"/>
      <w:marTop w:val="0"/>
      <w:marBottom w:val="0"/>
      <w:divBdr>
        <w:top w:val="none" w:sz="0" w:space="0" w:color="auto"/>
        <w:left w:val="none" w:sz="0" w:space="0" w:color="auto"/>
        <w:bottom w:val="none" w:sz="0" w:space="0" w:color="auto"/>
        <w:right w:val="none" w:sz="0" w:space="0" w:color="auto"/>
      </w:divBdr>
    </w:div>
    <w:div w:id="680939233">
      <w:bodyDiv w:val="1"/>
      <w:marLeft w:val="0"/>
      <w:marRight w:val="0"/>
      <w:marTop w:val="0"/>
      <w:marBottom w:val="0"/>
      <w:divBdr>
        <w:top w:val="none" w:sz="0" w:space="0" w:color="auto"/>
        <w:left w:val="none" w:sz="0" w:space="0" w:color="auto"/>
        <w:bottom w:val="none" w:sz="0" w:space="0" w:color="auto"/>
        <w:right w:val="none" w:sz="0" w:space="0" w:color="auto"/>
      </w:divBdr>
    </w:div>
    <w:div w:id="681012645">
      <w:bodyDiv w:val="1"/>
      <w:marLeft w:val="0"/>
      <w:marRight w:val="0"/>
      <w:marTop w:val="0"/>
      <w:marBottom w:val="0"/>
      <w:divBdr>
        <w:top w:val="none" w:sz="0" w:space="0" w:color="auto"/>
        <w:left w:val="none" w:sz="0" w:space="0" w:color="auto"/>
        <w:bottom w:val="none" w:sz="0" w:space="0" w:color="auto"/>
        <w:right w:val="none" w:sz="0" w:space="0" w:color="auto"/>
      </w:divBdr>
    </w:div>
    <w:div w:id="681475339">
      <w:bodyDiv w:val="1"/>
      <w:marLeft w:val="0"/>
      <w:marRight w:val="0"/>
      <w:marTop w:val="0"/>
      <w:marBottom w:val="0"/>
      <w:divBdr>
        <w:top w:val="none" w:sz="0" w:space="0" w:color="auto"/>
        <w:left w:val="none" w:sz="0" w:space="0" w:color="auto"/>
        <w:bottom w:val="none" w:sz="0" w:space="0" w:color="auto"/>
        <w:right w:val="none" w:sz="0" w:space="0" w:color="auto"/>
      </w:divBdr>
    </w:div>
    <w:div w:id="681930511">
      <w:bodyDiv w:val="1"/>
      <w:marLeft w:val="0"/>
      <w:marRight w:val="0"/>
      <w:marTop w:val="0"/>
      <w:marBottom w:val="0"/>
      <w:divBdr>
        <w:top w:val="none" w:sz="0" w:space="0" w:color="auto"/>
        <w:left w:val="none" w:sz="0" w:space="0" w:color="auto"/>
        <w:bottom w:val="none" w:sz="0" w:space="0" w:color="auto"/>
        <w:right w:val="none" w:sz="0" w:space="0" w:color="auto"/>
      </w:divBdr>
    </w:div>
    <w:div w:id="682322528">
      <w:bodyDiv w:val="1"/>
      <w:marLeft w:val="0"/>
      <w:marRight w:val="0"/>
      <w:marTop w:val="0"/>
      <w:marBottom w:val="0"/>
      <w:divBdr>
        <w:top w:val="none" w:sz="0" w:space="0" w:color="auto"/>
        <w:left w:val="none" w:sz="0" w:space="0" w:color="auto"/>
        <w:bottom w:val="none" w:sz="0" w:space="0" w:color="auto"/>
        <w:right w:val="none" w:sz="0" w:space="0" w:color="auto"/>
      </w:divBdr>
    </w:div>
    <w:div w:id="682636272">
      <w:bodyDiv w:val="1"/>
      <w:marLeft w:val="0"/>
      <w:marRight w:val="0"/>
      <w:marTop w:val="0"/>
      <w:marBottom w:val="0"/>
      <w:divBdr>
        <w:top w:val="none" w:sz="0" w:space="0" w:color="auto"/>
        <w:left w:val="none" w:sz="0" w:space="0" w:color="auto"/>
        <w:bottom w:val="none" w:sz="0" w:space="0" w:color="auto"/>
        <w:right w:val="none" w:sz="0" w:space="0" w:color="auto"/>
      </w:divBdr>
    </w:div>
    <w:div w:id="682822982">
      <w:bodyDiv w:val="1"/>
      <w:marLeft w:val="0"/>
      <w:marRight w:val="0"/>
      <w:marTop w:val="0"/>
      <w:marBottom w:val="0"/>
      <w:divBdr>
        <w:top w:val="none" w:sz="0" w:space="0" w:color="auto"/>
        <w:left w:val="none" w:sz="0" w:space="0" w:color="auto"/>
        <w:bottom w:val="none" w:sz="0" w:space="0" w:color="auto"/>
        <w:right w:val="none" w:sz="0" w:space="0" w:color="auto"/>
      </w:divBdr>
    </w:div>
    <w:div w:id="683672532">
      <w:bodyDiv w:val="1"/>
      <w:marLeft w:val="0"/>
      <w:marRight w:val="0"/>
      <w:marTop w:val="0"/>
      <w:marBottom w:val="0"/>
      <w:divBdr>
        <w:top w:val="none" w:sz="0" w:space="0" w:color="auto"/>
        <w:left w:val="none" w:sz="0" w:space="0" w:color="auto"/>
        <w:bottom w:val="none" w:sz="0" w:space="0" w:color="auto"/>
        <w:right w:val="none" w:sz="0" w:space="0" w:color="auto"/>
      </w:divBdr>
    </w:div>
    <w:div w:id="683747518">
      <w:bodyDiv w:val="1"/>
      <w:marLeft w:val="0"/>
      <w:marRight w:val="0"/>
      <w:marTop w:val="0"/>
      <w:marBottom w:val="0"/>
      <w:divBdr>
        <w:top w:val="none" w:sz="0" w:space="0" w:color="auto"/>
        <w:left w:val="none" w:sz="0" w:space="0" w:color="auto"/>
        <w:bottom w:val="none" w:sz="0" w:space="0" w:color="auto"/>
        <w:right w:val="none" w:sz="0" w:space="0" w:color="auto"/>
      </w:divBdr>
    </w:div>
    <w:div w:id="683942868">
      <w:bodyDiv w:val="1"/>
      <w:marLeft w:val="0"/>
      <w:marRight w:val="0"/>
      <w:marTop w:val="0"/>
      <w:marBottom w:val="0"/>
      <w:divBdr>
        <w:top w:val="none" w:sz="0" w:space="0" w:color="auto"/>
        <w:left w:val="none" w:sz="0" w:space="0" w:color="auto"/>
        <w:bottom w:val="none" w:sz="0" w:space="0" w:color="auto"/>
        <w:right w:val="none" w:sz="0" w:space="0" w:color="auto"/>
      </w:divBdr>
    </w:div>
    <w:div w:id="685669056">
      <w:bodyDiv w:val="1"/>
      <w:marLeft w:val="0"/>
      <w:marRight w:val="0"/>
      <w:marTop w:val="0"/>
      <w:marBottom w:val="0"/>
      <w:divBdr>
        <w:top w:val="none" w:sz="0" w:space="0" w:color="auto"/>
        <w:left w:val="none" w:sz="0" w:space="0" w:color="auto"/>
        <w:bottom w:val="none" w:sz="0" w:space="0" w:color="auto"/>
        <w:right w:val="none" w:sz="0" w:space="0" w:color="auto"/>
      </w:divBdr>
    </w:div>
    <w:div w:id="687027502">
      <w:bodyDiv w:val="1"/>
      <w:marLeft w:val="0"/>
      <w:marRight w:val="0"/>
      <w:marTop w:val="0"/>
      <w:marBottom w:val="0"/>
      <w:divBdr>
        <w:top w:val="none" w:sz="0" w:space="0" w:color="auto"/>
        <w:left w:val="none" w:sz="0" w:space="0" w:color="auto"/>
        <w:bottom w:val="none" w:sz="0" w:space="0" w:color="auto"/>
        <w:right w:val="none" w:sz="0" w:space="0" w:color="auto"/>
      </w:divBdr>
    </w:div>
    <w:div w:id="687565051">
      <w:bodyDiv w:val="1"/>
      <w:marLeft w:val="0"/>
      <w:marRight w:val="0"/>
      <w:marTop w:val="0"/>
      <w:marBottom w:val="0"/>
      <w:divBdr>
        <w:top w:val="none" w:sz="0" w:space="0" w:color="auto"/>
        <w:left w:val="none" w:sz="0" w:space="0" w:color="auto"/>
        <w:bottom w:val="none" w:sz="0" w:space="0" w:color="auto"/>
        <w:right w:val="none" w:sz="0" w:space="0" w:color="auto"/>
      </w:divBdr>
    </w:div>
    <w:div w:id="687606819">
      <w:bodyDiv w:val="1"/>
      <w:marLeft w:val="0"/>
      <w:marRight w:val="0"/>
      <w:marTop w:val="0"/>
      <w:marBottom w:val="0"/>
      <w:divBdr>
        <w:top w:val="none" w:sz="0" w:space="0" w:color="auto"/>
        <w:left w:val="none" w:sz="0" w:space="0" w:color="auto"/>
        <w:bottom w:val="none" w:sz="0" w:space="0" w:color="auto"/>
        <w:right w:val="none" w:sz="0" w:space="0" w:color="auto"/>
      </w:divBdr>
    </w:div>
    <w:div w:id="687873753">
      <w:bodyDiv w:val="1"/>
      <w:marLeft w:val="0"/>
      <w:marRight w:val="0"/>
      <w:marTop w:val="0"/>
      <w:marBottom w:val="0"/>
      <w:divBdr>
        <w:top w:val="none" w:sz="0" w:space="0" w:color="auto"/>
        <w:left w:val="none" w:sz="0" w:space="0" w:color="auto"/>
        <w:bottom w:val="none" w:sz="0" w:space="0" w:color="auto"/>
        <w:right w:val="none" w:sz="0" w:space="0" w:color="auto"/>
      </w:divBdr>
    </w:div>
    <w:div w:id="687951354">
      <w:bodyDiv w:val="1"/>
      <w:marLeft w:val="0"/>
      <w:marRight w:val="0"/>
      <w:marTop w:val="0"/>
      <w:marBottom w:val="0"/>
      <w:divBdr>
        <w:top w:val="none" w:sz="0" w:space="0" w:color="auto"/>
        <w:left w:val="none" w:sz="0" w:space="0" w:color="auto"/>
        <w:bottom w:val="none" w:sz="0" w:space="0" w:color="auto"/>
        <w:right w:val="none" w:sz="0" w:space="0" w:color="auto"/>
      </w:divBdr>
    </w:div>
    <w:div w:id="688992269">
      <w:bodyDiv w:val="1"/>
      <w:marLeft w:val="0"/>
      <w:marRight w:val="0"/>
      <w:marTop w:val="0"/>
      <w:marBottom w:val="0"/>
      <w:divBdr>
        <w:top w:val="none" w:sz="0" w:space="0" w:color="auto"/>
        <w:left w:val="none" w:sz="0" w:space="0" w:color="auto"/>
        <w:bottom w:val="none" w:sz="0" w:space="0" w:color="auto"/>
        <w:right w:val="none" w:sz="0" w:space="0" w:color="auto"/>
      </w:divBdr>
    </w:div>
    <w:div w:id="689375363">
      <w:bodyDiv w:val="1"/>
      <w:marLeft w:val="0"/>
      <w:marRight w:val="0"/>
      <w:marTop w:val="0"/>
      <w:marBottom w:val="0"/>
      <w:divBdr>
        <w:top w:val="none" w:sz="0" w:space="0" w:color="auto"/>
        <w:left w:val="none" w:sz="0" w:space="0" w:color="auto"/>
        <w:bottom w:val="none" w:sz="0" w:space="0" w:color="auto"/>
        <w:right w:val="none" w:sz="0" w:space="0" w:color="auto"/>
      </w:divBdr>
    </w:div>
    <w:div w:id="689381336">
      <w:bodyDiv w:val="1"/>
      <w:marLeft w:val="0"/>
      <w:marRight w:val="0"/>
      <w:marTop w:val="0"/>
      <w:marBottom w:val="0"/>
      <w:divBdr>
        <w:top w:val="none" w:sz="0" w:space="0" w:color="auto"/>
        <w:left w:val="none" w:sz="0" w:space="0" w:color="auto"/>
        <w:bottom w:val="none" w:sz="0" w:space="0" w:color="auto"/>
        <w:right w:val="none" w:sz="0" w:space="0" w:color="auto"/>
      </w:divBdr>
    </w:div>
    <w:div w:id="690181937">
      <w:bodyDiv w:val="1"/>
      <w:marLeft w:val="0"/>
      <w:marRight w:val="0"/>
      <w:marTop w:val="0"/>
      <w:marBottom w:val="0"/>
      <w:divBdr>
        <w:top w:val="none" w:sz="0" w:space="0" w:color="auto"/>
        <w:left w:val="none" w:sz="0" w:space="0" w:color="auto"/>
        <w:bottom w:val="none" w:sz="0" w:space="0" w:color="auto"/>
        <w:right w:val="none" w:sz="0" w:space="0" w:color="auto"/>
      </w:divBdr>
    </w:div>
    <w:div w:id="690643082">
      <w:bodyDiv w:val="1"/>
      <w:marLeft w:val="0"/>
      <w:marRight w:val="0"/>
      <w:marTop w:val="0"/>
      <w:marBottom w:val="0"/>
      <w:divBdr>
        <w:top w:val="none" w:sz="0" w:space="0" w:color="auto"/>
        <w:left w:val="none" w:sz="0" w:space="0" w:color="auto"/>
        <w:bottom w:val="none" w:sz="0" w:space="0" w:color="auto"/>
        <w:right w:val="none" w:sz="0" w:space="0" w:color="auto"/>
      </w:divBdr>
    </w:div>
    <w:div w:id="691028955">
      <w:bodyDiv w:val="1"/>
      <w:marLeft w:val="0"/>
      <w:marRight w:val="0"/>
      <w:marTop w:val="0"/>
      <w:marBottom w:val="0"/>
      <w:divBdr>
        <w:top w:val="none" w:sz="0" w:space="0" w:color="auto"/>
        <w:left w:val="none" w:sz="0" w:space="0" w:color="auto"/>
        <w:bottom w:val="none" w:sz="0" w:space="0" w:color="auto"/>
        <w:right w:val="none" w:sz="0" w:space="0" w:color="auto"/>
      </w:divBdr>
    </w:div>
    <w:div w:id="691421621">
      <w:bodyDiv w:val="1"/>
      <w:marLeft w:val="0"/>
      <w:marRight w:val="0"/>
      <w:marTop w:val="0"/>
      <w:marBottom w:val="0"/>
      <w:divBdr>
        <w:top w:val="none" w:sz="0" w:space="0" w:color="auto"/>
        <w:left w:val="none" w:sz="0" w:space="0" w:color="auto"/>
        <w:bottom w:val="none" w:sz="0" w:space="0" w:color="auto"/>
        <w:right w:val="none" w:sz="0" w:space="0" w:color="auto"/>
      </w:divBdr>
    </w:div>
    <w:div w:id="692388803">
      <w:bodyDiv w:val="1"/>
      <w:marLeft w:val="0"/>
      <w:marRight w:val="0"/>
      <w:marTop w:val="0"/>
      <w:marBottom w:val="0"/>
      <w:divBdr>
        <w:top w:val="none" w:sz="0" w:space="0" w:color="auto"/>
        <w:left w:val="none" w:sz="0" w:space="0" w:color="auto"/>
        <w:bottom w:val="none" w:sz="0" w:space="0" w:color="auto"/>
        <w:right w:val="none" w:sz="0" w:space="0" w:color="auto"/>
      </w:divBdr>
    </w:div>
    <w:div w:id="692727151">
      <w:bodyDiv w:val="1"/>
      <w:marLeft w:val="0"/>
      <w:marRight w:val="0"/>
      <w:marTop w:val="0"/>
      <w:marBottom w:val="0"/>
      <w:divBdr>
        <w:top w:val="none" w:sz="0" w:space="0" w:color="auto"/>
        <w:left w:val="none" w:sz="0" w:space="0" w:color="auto"/>
        <w:bottom w:val="none" w:sz="0" w:space="0" w:color="auto"/>
        <w:right w:val="none" w:sz="0" w:space="0" w:color="auto"/>
      </w:divBdr>
    </w:div>
    <w:div w:id="692875913">
      <w:bodyDiv w:val="1"/>
      <w:marLeft w:val="0"/>
      <w:marRight w:val="0"/>
      <w:marTop w:val="0"/>
      <w:marBottom w:val="0"/>
      <w:divBdr>
        <w:top w:val="none" w:sz="0" w:space="0" w:color="auto"/>
        <w:left w:val="none" w:sz="0" w:space="0" w:color="auto"/>
        <w:bottom w:val="none" w:sz="0" w:space="0" w:color="auto"/>
        <w:right w:val="none" w:sz="0" w:space="0" w:color="auto"/>
      </w:divBdr>
    </w:div>
    <w:div w:id="693656972">
      <w:bodyDiv w:val="1"/>
      <w:marLeft w:val="0"/>
      <w:marRight w:val="0"/>
      <w:marTop w:val="0"/>
      <w:marBottom w:val="0"/>
      <w:divBdr>
        <w:top w:val="none" w:sz="0" w:space="0" w:color="auto"/>
        <w:left w:val="none" w:sz="0" w:space="0" w:color="auto"/>
        <w:bottom w:val="none" w:sz="0" w:space="0" w:color="auto"/>
        <w:right w:val="none" w:sz="0" w:space="0" w:color="auto"/>
      </w:divBdr>
    </w:div>
    <w:div w:id="694187003">
      <w:bodyDiv w:val="1"/>
      <w:marLeft w:val="0"/>
      <w:marRight w:val="0"/>
      <w:marTop w:val="0"/>
      <w:marBottom w:val="0"/>
      <w:divBdr>
        <w:top w:val="none" w:sz="0" w:space="0" w:color="auto"/>
        <w:left w:val="none" w:sz="0" w:space="0" w:color="auto"/>
        <w:bottom w:val="none" w:sz="0" w:space="0" w:color="auto"/>
        <w:right w:val="none" w:sz="0" w:space="0" w:color="auto"/>
      </w:divBdr>
    </w:div>
    <w:div w:id="694313568">
      <w:bodyDiv w:val="1"/>
      <w:marLeft w:val="0"/>
      <w:marRight w:val="0"/>
      <w:marTop w:val="0"/>
      <w:marBottom w:val="0"/>
      <w:divBdr>
        <w:top w:val="none" w:sz="0" w:space="0" w:color="auto"/>
        <w:left w:val="none" w:sz="0" w:space="0" w:color="auto"/>
        <w:bottom w:val="none" w:sz="0" w:space="0" w:color="auto"/>
        <w:right w:val="none" w:sz="0" w:space="0" w:color="auto"/>
      </w:divBdr>
    </w:div>
    <w:div w:id="694889300">
      <w:bodyDiv w:val="1"/>
      <w:marLeft w:val="0"/>
      <w:marRight w:val="0"/>
      <w:marTop w:val="0"/>
      <w:marBottom w:val="0"/>
      <w:divBdr>
        <w:top w:val="none" w:sz="0" w:space="0" w:color="auto"/>
        <w:left w:val="none" w:sz="0" w:space="0" w:color="auto"/>
        <w:bottom w:val="none" w:sz="0" w:space="0" w:color="auto"/>
        <w:right w:val="none" w:sz="0" w:space="0" w:color="auto"/>
      </w:divBdr>
    </w:div>
    <w:div w:id="694965513">
      <w:bodyDiv w:val="1"/>
      <w:marLeft w:val="0"/>
      <w:marRight w:val="0"/>
      <w:marTop w:val="0"/>
      <w:marBottom w:val="0"/>
      <w:divBdr>
        <w:top w:val="none" w:sz="0" w:space="0" w:color="auto"/>
        <w:left w:val="none" w:sz="0" w:space="0" w:color="auto"/>
        <w:bottom w:val="none" w:sz="0" w:space="0" w:color="auto"/>
        <w:right w:val="none" w:sz="0" w:space="0" w:color="auto"/>
      </w:divBdr>
    </w:div>
    <w:div w:id="696202259">
      <w:bodyDiv w:val="1"/>
      <w:marLeft w:val="0"/>
      <w:marRight w:val="0"/>
      <w:marTop w:val="0"/>
      <w:marBottom w:val="0"/>
      <w:divBdr>
        <w:top w:val="none" w:sz="0" w:space="0" w:color="auto"/>
        <w:left w:val="none" w:sz="0" w:space="0" w:color="auto"/>
        <w:bottom w:val="none" w:sz="0" w:space="0" w:color="auto"/>
        <w:right w:val="none" w:sz="0" w:space="0" w:color="auto"/>
      </w:divBdr>
    </w:div>
    <w:div w:id="697120799">
      <w:bodyDiv w:val="1"/>
      <w:marLeft w:val="0"/>
      <w:marRight w:val="0"/>
      <w:marTop w:val="0"/>
      <w:marBottom w:val="0"/>
      <w:divBdr>
        <w:top w:val="none" w:sz="0" w:space="0" w:color="auto"/>
        <w:left w:val="none" w:sz="0" w:space="0" w:color="auto"/>
        <w:bottom w:val="none" w:sz="0" w:space="0" w:color="auto"/>
        <w:right w:val="none" w:sz="0" w:space="0" w:color="auto"/>
      </w:divBdr>
    </w:div>
    <w:div w:id="698357047">
      <w:bodyDiv w:val="1"/>
      <w:marLeft w:val="0"/>
      <w:marRight w:val="0"/>
      <w:marTop w:val="0"/>
      <w:marBottom w:val="0"/>
      <w:divBdr>
        <w:top w:val="none" w:sz="0" w:space="0" w:color="auto"/>
        <w:left w:val="none" w:sz="0" w:space="0" w:color="auto"/>
        <w:bottom w:val="none" w:sz="0" w:space="0" w:color="auto"/>
        <w:right w:val="none" w:sz="0" w:space="0" w:color="auto"/>
      </w:divBdr>
    </w:div>
    <w:div w:id="698550859">
      <w:bodyDiv w:val="1"/>
      <w:marLeft w:val="0"/>
      <w:marRight w:val="0"/>
      <w:marTop w:val="0"/>
      <w:marBottom w:val="0"/>
      <w:divBdr>
        <w:top w:val="none" w:sz="0" w:space="0" w:color="auto"/>
        <w:left w:val="none" w:sz="0" w:space="0" w:color="auto"/>
        <w:bottom w:val="none" w:sz="0" w:space="0" w:color="auto"/>
        <w:right w:val="none" w:sz="0" w:space="0" w:color="auto"/>
      </w:divBdr>
    </w:div>
    <w:div w:id="699821779">
      <w:bodyDiv w:val="1"/>
      <w:marLeft w:val="0"/>
      <w:marRight w:val="0"/>
      <w:marTop w:val="0"/>
      <w:marBottom w:val="0"/>
      <w:divBdr>
        <w:top w:val="none" w:sz="0" w:space="0" w:color="auto"/>
        <w:left w:val="none" w:sz="0" w:space="0" w:color="auto"/>
        <w:bottom w:val="none" w:sz="0" w:space="0" w:color="auto"/>
        <w:right w:val="none" w:sz="0" w:space="0" w:color="auto"/>
      </w:divBdr>
    </w:div>
    <w:div w:id="700055557">
      <w:bodyDiv w:val="1"/>
      <w:marLeft w:val="0"/>
      <w:marRight w:val="0"/>
      <w:marTop w:val="0"/>
      <w:marBottom w:val="0"/>
      <w:divBdr>
        <w:top w:val="none" w:sz="0" w:space="0" w:color="auto"/>
        <w:left w:val="none" w:sz="0" w:space="0" w:color="auto"/>
        <w:bottom w:val="none" w:sz="0" w:space="0" w:color="auto"/>
        <w:right w:val="none" w:sz="0" w:space="0" w:color="auto"/>
      </w:divBdr>
    </w:div>
    <w:div w:id="700325936">
      <w:bodyDiv w:val="1"/>
      <w:marLeft w:val="0"/>
      <w:marRight w:val="0"/>
      <w:marTop w:val="0"/>
      <w:marBottom w:val="0"/>
      <w:divBdr>
        <w:top w:val="none" w:sz="0" w:space="0" w:color="auto"/>
        <w:left w:val="none" w:sz="0" w:space="0" w:color="auto"/>
        <w:bottom w:val="none" w:sz="0" w:space="0" w:color="auto"/>
        <w:right w:val="none" w:sz="0" w:space="0" w:color="auto"/>
      </w:divBdr>
    </w:div>
    <w:div w:id="700475678">
      <w:bodyDiv w:val="1"/>
      <w:marLeft w:val="0"/>
      <w:marRight w:val="0"/>
      <w:marTop w:val="0"/>
      <w:marBottom w:val="0"/>
      <w:divBdr>
        <w:top w:val="none" w:sz="0" w:space="0" w:color="auto"/>
        <w:left w:val="none" w:sz="0" w:space="0" w:color="auto"/>
        <w:bottom w:val="none" w:sz="0" w:space="0" w:color="auto"/>
        <w:right w:val="none" w:sz="0" w:space="0" w:color="auto"/>
      </w:divBdr>
    </w:div>
    <w:div w:id="700479448">
      <w:bodyDiv w:val="1"/>
      <w:marLeft w:val="0"/>
      <w:marRight w:val="0"/>
      <w:marTop w:val="0"/>
      <w:marBottom w:val="0"/>
      <w:divBdr>
        <w:top w:val="none" w:sz="0" w:space="0" w:color="auto"/>
        <w:left w:val="none" w:sz="0" w:space="0" w:color="auto"/>
        <w:bottom w:val="none" w:sz="0" w:space="0" w:color="auto"/>
        <w:right w:val="none" w:sz="0" w:space="0" w:color="auto"/>
      </w:divBdr>
    </w:div>
    <w:div w:id="700789873">
      <w:bodyDiv w:val="1"/>
      <w:marLeft w:val="0"/>
      <w:marRight w:val="0"/>
      <w:marTop w:val="0"/>
      <w:marBottom w:val="0"/>
      <w:divBdr>
        <w:top w:val="none" w:sz="0" w:space="0" w:color="auto"/>
        <w:left w:val="none" w:sz="0" w:space="0" w:color="auto"/>
        <w:bottom w:val="none" w:sz="0" w:space="0" w:color="auto"/>
        <w:right w:val="none" w:sz="0" w:space="0" w:color="auto"/>
      </w:divBdr>
    </w:div>
    <w:div w:id="701128722">
      <w:bodyDiv w:val="1"/>
      <w:marLeft w:val="0"/>
      <w:marRight w:val="0"/>
      <w:marTop w:val="0"/>
      <w:marBottom w:val="0"/>
      <w:divBdr>
        <w:top w:val="none" w:sz="0" w:space="0" w:color="auto"/>
        <w:left w:val="none" w:sz="0" w:space="0" w:color="auto"/>
        <w:bottom w:val="none" w:sz="0" w:space="0" w:color="auto"/>
        <w:right w:val="none" w:sz="0" w:space="0" w:color="auto"/>
      </w:divBdr>
    </w:div>
    <w:div w:id="701131067">
      <w:bodyDiv w:val="1"/>
      <w:marLeft w:val="0"/>
      <w:marRight w:val="0"/>
      <w:marTop w:val="0"/>
      <w:marBottom w:val="0"/>
      <w:divBdr>
        <w:top w:val="none" w:sz="0" w:space="0" w:color="auto"/>
        <w:left w:val="none" w:sz="0" w:space="0" w:color="auto"/>
        <w:bottom w:val="none" w:sz="0" w:space="0" w:color="auto"/>
        <w:right w:val="none" w:sz="0" w:space="0" w:color="auto"/>
      </w:divBdr>
    </w:div>
    <w:div w:id="701979903">
      <w:bodyDiv w:val="1"/>
      <w:marLeft w:val="0"/>
      <w:marRight w:val="0"/>
      <w:marTop w:val="0"/>
      <w:marBottom w:val="0"/>
      <w:divBdr>
        <w:top w:val="none" w:sz="0" w:space="0" w:color="auto"/>
        <w:left w:val="none" w:sz="0" w:space="0" w:color="auto"/>
        <w:bottom w:val="none" w:sz="0" w:space="0" w:color="auto"/>
        <w:right w:val="none" w:sz="0" w:space="0" w:color="auto"/>
      </w:divBdr>
    </w:div>
    <w:div w:id="701983306">
      <w:bodyDiv w:val="1"/>
      <w:marLeft w:val="0"/>
      <w:marRight w:val="0"/>
      <w:marTop w:val="0"/>
      <w:marBottom w:val="0"/>
      <w:divBdr>
        <w:top w:val="none" w:sz="0" w:space="0" w:color="auto"/>
        <w:left w:val="none" w:sz="0" w:space="0" w:color="auto"/>
        <w:bottom w:val="none" w:sz="0" w:space="0" w:color="auto"/>
        <w:right w:val="none" w:sz="0" w:space="0" w:color="auto"/>
      </w:divBdr>
    </w:div>
    <w:div w:id="702173955">
      <w:bodyDiv w:val="1"/>
      <w:marLeft w:val="0"/>
      <w:marRight w:val="0"/>
      <w:marTop w:val="0"/>
      <w:marBottom w:val="0"/>
      <w:divBdr>
        <w:top w:val="none" w:sz="0" w:space="0" w:color="auto"/>
        <w:left w:val="none" w:sz="0" w:space="0" w:color="auto"/>
        <w:bottom w:val="none" w:sz="0" w:space="0" w:color="auto"/>
        <w:right w:val="none" w:sz="0" w:space="0" w:color="auto"/>
      </w:divBdr>
    </w:div>
    <w:div w:id="702678804">
      <w:bodyDiv w:val="1"/>
      <w:marLeft w:val="0"/>
      <w:marRight w:val="0"/>
      <w:marTop w:val="0"/>
      <w:marBottom w:val="0"/>
      <w:divBdr>
        <w:top w:val="none" w:sz="0" w:space="0" w:color="auto"/>
        <w:left w:val="none" w:sz="0" w:space="0" w:color="auto"/>
        <w:bottom w:val="none" w:sz="0" w:space="0" w:color="auto"/>
        <w:right w:val="none" w:sz="0" w:space="0" w:color="auto"/>
      </w:divBdr>
    </w:div>
    <w:div w:id="702897833">
      <w:bodyDiv w:val="1"/>
      <w:marLeft w:val="0"/>
      <w:marRight w:val="0"/>
      <w:marTop w:val="0"/>
      <w:marBottom w:val="0"/>
      <w:divBdr>
        <w:top w:val="none" w:sz="0" w:space="0" w:color="auto"/>
        <w:left w:val="none" w:sz="0" w:space="0" w:color="auto"/>
        <w:bottom w:val="none" w:sz="0" w:space="0" w:color="auto"/>
        <w:right w:val="none" w:sz="0" w:space="0" w:color="auto"/>
      </w:divBdr>
    </w:div>
    <w:div w:id="704329091">
      <w:bodyDiv w:val="1"/>
      <w:marLeft w:val="0"/>
      <w:marRight w:val="0"/>
      <w:marTop w:val="0"/>
      <w:marBottom w:val="0"/>
      <w:divBdr>
        <w:top w:val="none" w:sz="0" w:space="0" w:color="auto"/>
        <w:left w:val="none" w:sz="0" w:space="0" w:color="auto"/>
        <w:bottom w:val="none" w:sz="0" w:space="0" w:color="auto"/>
        <w:right w:val="none" w:sz="0" w:space="0" w:color="auto"/>
      </w:divBdr>
    </w:div>
    <w:div w:id="704409766">
      <w:bodyDiv w:val="1"/>
      <w:marLeft w:val="0"/>
      <w:marRight w:val="0"/>
      <w:marTop w:val="0"/>
      <w:marBottom w:val="0"/>
      <w:divBdr>
        <w:top w:val="none" w:sz="0" w:space="0" w:color="auto"/>
        <w:left w:val="none" w:sz="0" w:space="0" w:color="auto"/>
        <w:bottom w:val="none" w:sz="0" w:space="0" w:color="auto"/>
        <w:right w:val="none" w:sz="0" w:space="0" w:color="auto"/>
      </w:divBdr>
    </w:div>
    <w:div w:id="705105730">
      <w:bodyDiv w:val="1"/>
      <w:marLeft w:val="0"/>
      <w:marRight w:val="0"/>
      <w:marTop w:val="0"/>
      <w:marBottom w:val="0"/>
      <w:divBdr>
        <w:top w:val="none" w:sz="0" w:space="0" w:color="auto"/>
        <w:left w:val="none" w:sz="0" w:space="0" w:color="auto"/>
        <w:bottom w:val="none" w:sz="0" w:space="0" w:color="auto"/>
        <w:right w:val="none" w:sz="0" w:space="0" w:color="auto"/>
      </w:divBdr>
    </w:div>
    <w:div w:id="705178437">
      <w:bodyDiv w:val="1"/>
      <w:marLeft w:val="0"/>
      <w:marRight w:val="0"/>
      <w:marTop w:val="0"/>
      <w:marBottom w:val="0"/>
      <w:divBdr>
        <w:top w:val="none" w:sz="0" w:space="0" w:color="auto"/>
        <w:left w:val="none" w:sz="0" w:space="0" w:color="auto"/>
        <w:bottom w:val="none" w:sz="0" w:space="0" w:color="auto"/>
        <w:right w:val="none" w:sz="0" w:space="0" w:color="auto"/>
      </w:divBdr>
    </w:div>
    <w:div w:id="705719309">
      <w:bodyDiv w:val="1"/>
      <w:marLeft w:val="0"/>
      <w:marRight w:val="0"/>
      <w:marTop w:val="0"/>
      <w:marBottom w:val="0"/>
      <w:divBdr>
        <w:top w:val="none" w:sz="0" w:space="0" w:color="auto"/>
        <w:left w:val="none" w:sz="0" w:space="0" w:color="auto"/>
        <w:bottom w:val="none" w:sz="0" w:space="0" w:color="auto"/>
        <w:right w:val="none" w:sz="0" w:space="0" w:color="auto"/>
      </w:divBdr>
    </w:div>
    <w:div w:id="706443931">
      <w:bodyDiv w:val="1"/>
      <w:marLeft w:val="0"/>
      <w:marRight w:val="0"/>
      <w:marTop w:val="0"/>
      <w:marBottom w:val="0"/>
      <w:divBdr>
        <w:top w:val="none" w:sz="0" w:space="0" w:color="auto"/>
        <w:left w:val="none" w:sz="0" w:space="0" w:color="auto"/>
        <w:bottom w:val="none" w:sz="0" w:space="0" w:color="auto"/>
        <w:right w:val="none" w:sz="0" w:space="0" w:color="auto"/>
      </w:divBdr>
    </w:div>
    <w:div w:id="706757979">
      <w:bodyDiv w:val="1"/>
      <w:marLeft w:val="0"/>
      <w:marRight w:val="0"/>
      <w:marTop w:val="0"/>
      <w:marBottom w:val="0"/>
      <w:divBdr>
        <w:top w:val="none" w:sz="0" w:space="0" w:color="auto"/>
        <w:left w:val="none" w:sz="0" w:space="0" w:color="auto"/>
        <w:bottom w:val="none" w:sz="0" w:space="0" w:color="auto"/>
        <w:right w:val="none" w:sz="0" w:space="0" w:color="auto"/>
      </w:divBdr>
    </w:div>
    <w:div w:id="706873523">
      <w:bodyDiv w:val="1"/>
      <w:marLeft w:val="0"/>
      <w:marRight w:val="0"/>
      <w:marTop w:val="0"/>
      <w:marBottom w:val="0"/>
      <w:divBdr>
        <w:top w:val="none" w:sz="0" w:space="0" w:color="auto"/>
        <w:left w:val="none" w:sz="0" w:space="0" w:color="auto"/>
        <w:bottom w:val="none" w:sz="0" w:space="0" w:color="auto"/>
        <w:right w:val="none" w:sz="0" w:space="0" w:color="auto"/>
      </w:divBdr>
    </w:div>
    <w:div w:id="707293372">
      <w:bodyDiv w:val="1"/>
      <w:marLeft w:val="0"/>
      <w:marRight w:val="0"/>
      <w:marTop w:val="0"/>
      <w:marBottom w:val="0"/>
      <w:divBdr>
        <w:top w:val="none" w:sz="0" w:space="0" w:color="auto"/>
        <w:left w:val="none" w:sz="0" w:space="0" w:color="auto"/>
        <w:bottom w:val="none" w:sz="0" w:space="0" w:color="auto"/>
        <w:right w:val="none" w:sz="0" w:space="0" w:color="auto"/>
      </w:divBdr>
    </w:div>
    <w:div w:id="707485904">
      <w:bodyDiv w:val="1"/>
      <w:marLeft w:val="0"/>
      <w:marRight w:val="0"/>
      <w:marTop w:val="0"/>
      <w:marBottom w:val="0"/>
      <w:divBdr>
        <w:top w:val="none" w:sz="0" w:space="0" w:color="auto"/>
        <w:left w:val="none" w:sz="0" w:space="0" w:color="auto"/>
        <w:bottom w:val="none" w:sz="0" w:space="0" w:color="auto"/>
        <w:right w:val="none" w:sz="0" w:space="0" w:color="auto"/>
      </w:divBdr>
    </w:div>
    <w:div w:id="708379595">
      <w:bodyDiv w:val="1"/>
      <w:marLeft w:val="0"/>
      <w:marRight w:val="0"/>
      <w:marTop w:val="0"/>
      <w:marBottom w:val="0"/>
      <w:divBdr>
        <w:top w:val="none" w:sz="0" w:space="0" w:color="auto"/>
        <w:left w:val="none" w:sz="0" w:space="0" w:color="auto"/>
        <w:bottom w:val="none" w:sz="0" w:space="0" w:color="auto"/>
        <w:right w:val="none" w:sz="0" w:space="0" w:color="auto"/>
      </w:divBdr>
    </w:div>
    <w:div w:id="708992308">
      <w:bodyDiv w:val="1"/>
      <w:marLeft w:val="0"/>
      <w:marRight w:val="0"/>
      <w:marTop w:val="0"/>
      <w:marBottom w:val="0"/>
      <w:divBdr>
        <w:top w:val="none" w:sz="0" w:space="0" w:color="auto"/>
        <w:left w:val="none" w:sz="0" w:space="0" w:color="auto"/>
        <w:bottom w:val="none" w:sz="0" w:space="0" w:color="auto"/>
        <w:right w:val="none" w:sz="0" w:space="0" w:color="auto"/>
      </w:divBdr>
    </w:div>
    <w:div w:id="710348908">
      <w:bodyDiv w:val="1"/>
      <w:marLeft w:val="0"/>
      <w:marRight w:val="0"/>
      <w:marTop w:val="0"/>
      <w:marBottom w:val="0"/>
      <w:divBdr>
        <w:top w:val="none" w:sz="0" w:space="0" w:color="auto"/>
        <w:left w:val="none" w:sz="0" w:space="0" w:color="auto"/>
        <w:bottom w:val="none" w:sz="0" w:space="0" w:color="auto"/>
        <w:right w:val="none" w:sz="0" w:space="0" w:color="auto"/>
      </w:divBdr>
    </w:div>
    <w:div w:id="710375616">
      <w:bodyDiv w:val="1"/>
      <w:marLeft w:val="0"/>
      <w:marRight w:val="0"/>
      <w:marTop w:val="0"/>
      <w:marBottom w:val="0"/>
      <w:divBdr>
        <w:top w:val="none" w:sz="0" w:space="0" w:color="auto"/>
        <w:left w:val="none" w:sz="0" w:space="0" w:color="auto"/>
        <w:bottom w:val="none" w:sz="0" w:space="0" w:color="auto"/>
        <w:right w:val="none" w:sz="0" w:space="0" w:color="auto"/>
      </w:divBdr>
    </w:div>
    <w:div w:id="710541564">
      <w:bodyDiv w:val="1"/>
      <w:marLeft w:val="0"/>
      <w:marRight w:val="0"/>
      <w:marTop w:val="0"/>
      <w:marBottom w:val="0"/>
      <w:divBdr>
        <w:top w:val="none" w:sz="0" w:space="0" w:color="auto"/>
        <w:left w:val="none" w:sz="0" w:space="0" w:color="auto"/>
        <w:bottom w:val="none" w:sz="0" w:space="0" w:color="auto"/>
        <w:right w:val="none" w:sz="0" w:space="0" w:color="auto"/>
      </w:divBdr>
    </w:div>
    <w:div w:id="710694422">
      <w:bodyDiv w:val="1"/>
      <w:marLeft w:val="0"/>
      <w:marRight w:val="0"/>
      <w:marTop w:val="0"/>
      <w:marBottom w:val="0"/>
      <w:divBdr>
        <w:top w:val="none" w:sz="0" w:space="0" w:color="auto"/>
        <w:left w:val="none" w:sz="0" w:space="0" w:color="auto"/>
        <w:bottom w:val="none" w:sz="0" w:space="0" w:color="auto"/>
        <w:right w:val="none" w:sz="0" w:space="0" w:color="auto"/>
      </w:divBdr>
    </w:div>
    <w:div w:id="710810349">
      <w:bodyDiv w:val="1"/>
      <w:marLeft w:val="0"/>
      <w:marRight w:val="0"/>
      <w:marTop w:val="0"/>
      <w:marBottom w:val="0"/>
      <w:divBdr>
        <w:top w:val="none" w:sz="0" w:space="0" w:color="auto"/>
        <w:left w:val="none" w:sz="0" w:space="0" w:color="auto"/>
        <w:bottom w:val="none" w:sz="0" w:space="0" w:color="auto"/>
        <w:right w:val="none" w:sz="0" w:space="0" w:color="auto"/>
      </w:divBdr>
    </w:div>
    <w:div w:id="711349738">
      <w:bodyDiv w:val="1"/>
      <w:marLeft w:val="0"/>
      <w:marRight w:val="0"/>
      <w:marTop w:val="0"/>
      <w:marBottom w:val="0"/>
      <w:divBdr>
        <w:top w:val="none" w:sz="0" w:space="0" w:color="auto"/>
        <w:left w:val="none" w:sz="0" w:space="0" w:color="auto"/>
        <w:bottom w:val="none" w:sz="0" w:space="0" w:color="auto"/>
        <w:right w:val="none" w:sz="0" w:space="0" w:color="auto"/>
      </w:divBdr>
    </w:div>
    <w:div w:id="712387979">
      <w:bodyDiv w:val="1"/>
      <w:marLeft w:val="0"/>
      <w:marRight w:val="0"/>
      <w:marTop w:val="0"/>
      <w:marBottom w:val="0"/>
      <w:divBdr>
        <w:top w:val="none" w:sz="0" w:space="0" w:color="auto"/>
        <w:left w:val="none" w:sz="0" w:space="0" w:color="auto"/>
        <w:bottom w:val="none" w:sz="0" w:space="0" w:color="auto"/>
        <w:right w:val="none" w:sz="0" w:space="0" w:color="auto"/>
      </w:divBdr>
    </w:div>
    <w:div w:id="712509484">
      <w:bodyDiv w:val="1"/>
      <w:marLeft w:val="0"/>
      <w:marRight w:val="0"/>
      <w:marTop w:val="0"/>
      <w:marBottom w:val="0"/>
      <w:divBdr>
        <w:top w:val="none" w:sz="0" w:space="0" w:color="auto"/>
        <w:left w:val="none" w:sz="0" w:space="0" w:color="auto"/>
        <w:bottom w:val="none" w:sz="0" w:space="0" w:color="auto"/>
        <w:right w:val="none" w:sz="0" w:space="0" w:color="auto"/>
      </w:divBdr>
    </w:div>
    <w:div w:id="712772108">
      <w:bodyDiv w:val="1"/>
      <w:marLeft w:val="0"/>
      <w:marRight w:val="0"/>
      <w:marTop w:val="0"/>
      <w:marBottom w:val="0"/>
      <w:divBdr>
        <w:top w:val="none" w:sz="0" w:space="0" w:color="auto"/>
        <w:left w:val="none" w:sz="0" w:space="0" w:color="auto"/>
        <w:bottom w:val="none" w:sz="0" w:space="0" w:color="auto"/>
        <w:right w:val="none" w:sz="0" w:space="0" w:color="auto"/>
      </w:divBdr>
    </w:div>
    <w:div w:id="712776026">
      <w:bodyDiv w:val="1"/>
      <w:marLeft w:val="0"/>
      <w:marRight w:val="0"/>
      <w:marTop w:val="0"/>
      <w:marBottom w:val="0"/>
      <w:divBdr>
        <w:top w:val="none" w:sz="0" w:space="0" w:color="auto"/>
        <w:left w:val="none" w:sz="0" w:space="0" w:color="auto"/>
        <w:bottom w:val="none" w:sz="0" w:space="0" w:color="auto"/>
        <w:right w:val="none" w:sz="0" w:space="0" w:color="auto"/>
      </w:divBdr>
    </w:div>
    <w:div w:id="713115840">
      <w:bodyDiv w:val="1"/>
      <w:marLeft w:val="0"/>
      <w:marRight w:val="0"/>
      <w:marTop w:val="0"/>
      <w:marBottom w:val="0"/>
      <w:divBdr>
        <w:top w:val="none" w:sz="0" w:space="0" w:color="auto"/>
        <w:left w:val="none" w:sz="0" w:space="0" w:color="auto"/>
        <w:bottom w:val="none" w:sz="0" w:space="0" w:color="auto"/>
        <w:right w:val="none" w:sz="0" w:space="0" w:color="auto"/>
      </w:divBdr>
    </w:div>
    <w:div w:id="714234570">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
    <w:div w:id="714962645">
      <w:bodyDiv w:val="1"/>
      <w:marLeft w:val="0"/>
      <w:marRight w:val="0"/>
      <w:marTop w:val="0"/>
      <w:marBottom w:val="0"/>
      <w:divBdr>
        <w:top w:val="none" w:sz="0" w:space="0" w:color="auto"/>
        <w:left w:val="none" w:sz="0" w:space="0" w:color="auto"/>
        <w:bottom w:val="none" w:sz="0" w:space="0" w:color="auto"/>
        <w:right w:val="none" w:sz="0" w:space="0" w:color="auto"/>
      </w:divBdr>
    </w:div>
    <w:div w:id="715155019">
      <w:bodyDiv w:val="1"/>
      <w:marLeft w:val="0"/>
      <w:marRight w:val="0"/>
      <w:marTop w:val="0"/>
      <w:marBottom w:val="0"/>
      <w:divBdr>
        <w:top w:val="none" w:sz="0" w:space="0" w:color="auto"/>
        <w:left w:val="none" w:sz="0" w:space="0" w:color="auto"/>
        <w:bottom w:val="none" w:sz="0" w:space="0" w:color="auto"/>
        <w:right w:val="none" w:sz="0" w:space="0" w:color="auto"/>
      </w:divBdr>
    </w:div>
    <w:div w:id="715588724">
      <w:bodyDiv w:val="1"/>
      <w:marLeft w:val="0"/>
      <w:marRight w:val="0"/>
      <w:marTop w:val="0"/>
      <w:marBottom w:val="0"/>
      <w:divBdr>
        <w:top w:val="none" w:sz="0" w:space="0" w:color="auto"/>
        <w:left w:val="none" w:sz="0" w:space="0" w:color="auto"/>
        <w:bottom w:val="none" w:sz="0" w:space="0" w:color="auto"/>
        <w:right w:val="none" w:sz="0" w:space="0" w:color="auto"/>
      </w:divBdr>
    </w:div>
    <w:div w:id="715785429">
      <w:bodyDiv w:val="1"/>
      <w:marLeft w:val="0"/>
      <w:marRight w:val="0"/>
      <w:marTop w:val="0"/>
      <w:marBottom w:val="0"/>
      <w:divBdr>
        <w:top w:val="none" w:sz="0" w:space="0" w:color="auto"/>
        <w:left w:val="none" w:sz="0" w:space="0" w:color="auto"/>
        <w:bottom w:val="none" w:sz="0" w:space="0" w:color="auto"/>
        <w:right w:val="none" w:sz="0" w:space="0" w:color="auto"/>
      </w:divBdr>
    </w:div>
    <w:div w:id="715815271">
      <w:bodyDiv w:val="1"/>
      <w:marLeft w:val="0"/>
      <w:marRight w:val="0"/>
      <w:marTop w:val="0"/>
      <w:marBottom w:val="0"/>
      <w:divBdr>
        <w:top w:val="none" w:sz="0" w:space="0" w:color="auto"/>
        <w:left w:val="none" w:sz="0" w:space="0" w:color="auto"/>
        <w:bottom w:val="none" w:sz="0" w:space="0" w:color="auto"/>
        <w:right w:val="none" w:sz="0" w:space="0" w:color="auto"/>
      </w:divBdr>
    </w:div>
    <w:div w:id="716124399">
      <w:bodyDiv w:val="1"/>
      <w:marLeft w:val="0"/>
      <w:marRight w:val="0"/>
      <w:marTop w:val="0"/>
      <w:marBottom w:val="0"/>
      <w:divBdr>
        <w:top w:val="none" w:sz="0" w:space="0" w:color="auto"/>
        <w:left w:val="none" w:sz="0" w:space="0" w:color="auto"/>
        <w:bottom w:val="none" w:sz="0" w:space="0" w:color="auto"/>
        <w:right w:val="none" w:sz="0" w:space="0" w:color="auto"/>
      </w:divBdr>
    </w:div>
    <w:div w:id="716927017">
      <w:bodyDiv w:val="1"/>
      <w:marLeft w:val="0"/>
      <w:marRight w:val="0"/>
      <w:marTop w:val="0"/>
      <w:marBottom w:val="0"/>
      <w:divBdr>
        <w:top w:val="none" w:sz="0" w:space="0" w:color="auto"/>
        <w:left w:val="none" w:sz="0" w:space="0" w:color="auto"/>
        <w:bottom w:val="none" w:sz="0" w:space="0" w:color="auto"/>
        <w:right w:val="none" w:sz="0" w:space="0" w:color="auto"/>
      </w:divBdr>
    </w:div>
    <w:div w:id="717247395">
      <w:bodyDiv w:val="1"/>
      <w:marLeft w:val="0"/>
      <w:marRight w:val="0"/>
      <w:marTop w:val="0"/>
      <w:marBottom w:val="0"/>
      <w:divBdr>
        <w:top w:val="none" w:sz="0" w:space="0" w:color="auto"/>
        <w:left w:val="none" w:sz="0" w:space="0" w:color="auto"/>
        <w:bottom w:val="none" w:sz="0" w:space="0" w:color="auto"/>
        <w:right w:val="none" w:sz="0" w:space="0" w:color="auto"/>
      </w:divBdr>
    </w:div>
    <w:div w:id="718744017">
      <w:bodyDiv w:val="1"/>
      <w:marLeft w:val="0"/>
      <w:marRight w:val="0"/>
      <w:marTop w:val="0"/>
      <w:marBottom w:val="0"/>
      <w:divBdr>
        <w:top w:val="none" w:sz="0" w:space="0" w:color="auto"/>
        <w:left w:val="none" w:sz="0" w:space="0" w:color="auto"/>
        <w:bottom w:val="none" w:sz="0" w:space="0" w:color="auto"/>
        <w:right w:val="none" w:sz="0" w:space="0" w:color="auto"/>
      </w:divBdr>
    </w:div>
    <w:div w:id="718869621">
      <w:bodyDiv w:val="1"/>
      <w:marLeft w:val="0"/>
      <w:marRight w:val="0"/>
      <w:marTop w:val="0"/>
      <w:marBottom w:val="0"/>
      <w:divBdr>
        <w:top w:val="none" w:sz="0" w:space="0" w:color="auto"/>
        <w:left w:val="none" w:sz="0" w:space="0" w:color="auto"/>
        <w:bottom w:val="none" w:sz="0" w:space="0" w:color="auto"/>
        <w:right w:val="none" w:sz="0" w:space="0" w:color="auto"/>
      </w:divBdr>
    </w:div>
    <w:div w:id="719207459">
      <w:bodyDiv w:val="1"/>
      <w:marLeft w:val="0"/>
      <w:marRight w:val="0"/>
      <w:marTop w:val="0"/>
      <w:marBottom w:val="0"/>
      <w:divBdr>
        <w:top w:val="none" w:sz="0" w:space="0" w:color="auto"/>
        <w:left w:val="none" w:sz="0" w:space="0" w:color="auto"/>
        <w:bottom w:val="none" w:sz="0" w:space="0" w:color="auto"/>
        <w:right w:val="none" w:sz="0" w:space="0" w:color="auto"/>
      </w:divBdr>
    </w:div>
    <w:div w:id="720137646">
      <w:bodyDiv w:val="1"/>
      <w:marLeft w:val="0"/>
      <w:marRight w:val="0"/>
      <w:marTop w:val="0"/>
      <w:marBottom w:val="0"/>
      <w:divBdr>
        <w:top w:val="none" w:sz="0" w:space="0" w:color="auto"/>
        <w:left w:val="none" w:sz="0" w:space="0" w:color="auto"/>
        <w:bottom w:val="none" w:sz="0" w:space="0" w:color="auto"/>
        <w:right w:val="none" w:sz="0" w:space="0" w:color="auto"/>
      </w:divBdr>
    </w:div>
    <w:div w:id="720204862">
      <w:bodyDiv w:val="1"/>
      <w:marLeft w:val="0"/>
      <w:marRight w:val="0"/>
      <w:marTop w:val="0"/>
      <w:marBottom w:val="0"/>
      <w:divBdr>
        <w:top w:val="none" w:sz="0" w:space="0" w:color="auto"/>
        <w:left w:val="none" w:sz="0" w:space="0" w:color="auto"/>
        <w:bottom w:val="none" w:sz="0" w:space="0" w:color="auto"/>
        <w:right w:val="none" w:sz="0" w:space="0" w:color="auto"/>
      </w:divBdr>
    </w:div>
    <w:div w:id="720246953">
      <w:bodyDiv w:val="1"/>
      <w:marLeft w:val="0"/>
      <w:marRight w:val="0"/>
      <w:marTop w:val="0"/>
      <w:marBottom w:val="0"/>
      <w:divBdr>
        <w:top w:val="none" w:sz="0" w:space="0" w:color="auto"/>
        <w:left w:val="none" w:sz="0" w:space="0" w:color="auto"/>
        <w:bottom w:val="none" w:sz="0" w:space="0" w:color="auto"/>
        <w:right w:val="none" w:sz="0" w:space="0" w:color="auto"/>
      </w:divBdr>
    </w:div>
    <w:div w:id="720791242">
      <w:bodyDiv w:val="1"/>
      <w:marLeft w:val="0"/>
      <w:marRight w:val="0"/>
      <w:marTop w:val="0"/>
      <w:marBottom w:val="0"/>
      <w:divBdr>
        <w:top w:val="none" w:sz="0" w:space="0" w:color="auto"/>
        <w:left w:val="none" w:sz="0" w:space="0" w:color="auto"/>
        <w:bottom w:val="none" w:sz="0" w:space="0" w:color="auto"/>
        <w:right w:val="none" w:sz="0" w:space="0" w:color="auto"/>
      </w:divBdr>
    </w:div>
    <w:div w:id="721028877">
      <w:bodyDiv w:val="1"/>
      <w:marLeft w:val="0"/>
      <w:marRight w:val="0"/>
      <w:marTop w:val="0"/>
      <w:marBottom w:val="0"/>
      <w:divBdr>
        <w:top w:val="none" w:sz="0" w:space="0" w:color="auto"/>
        <w:left w:val="none" w:sz="0" w:space="0" w:color="auto"/>
        <w:bottom w:val="none" w:sz="0" w:space="0" w:color="auto"/>
        <w:right w:val="none" w:sz="0" w:space="0" w:color="auto"/>
      </w:divBdr>
    </w:div>
    <w:div w:id="721442722">
      <w:bodyDiv w:val="1"/>
      <w:marLeft w:val="0"/>
      <w:marRight w:val="0"/>
      <w:marTop w:val="0"/>
      <w:marBottom w:val="0"/>
      <w:divBdr>
        <w:top w:val="none" w:sz="0" w:space="0" w:color="auto"/>
        <w:left w:val="none" w:sz="0" w:space="0" w:color="auto"/>
        <w:bottom w:val="none" w:sz="0" w:space="0" w:color="auto"/>
        <w:right w:val="none" w:sz="0" w:space="0" w:color="auto"/>
      </w:divBdr>
    </w:div>
    <w:div w:id="722751479">
      <w:bodyDiv w:val="1"/>
      <w:marLeft w:val="0"/>
      <w:marRight w:val="0"/>
      <w:marTop w:val="0"/>
      <w:marBottom w:val="0"/>
      <w:divBdr>
        <w:top w:val="none" w:sz="0" w:space="0" w:color="auto"/>
        <w:left w:val="none" w:sz="0" w:space="0" w:color="auto"/>
        <w:bottom w:val="none" w:sz="0" w:space="0" w:color="auto"/>
        <w:right w:val="none" w:sz="0" w:space="0" w:color="auto"/>
      </w:divBdr>
    </w:div>
    <w:div w:id="722826685">
      <w:bodyDiv w:val="1"/>
      <w:marLeft w:val="0"/>
      <w:marRight w:val="0"/>
      <w:marTop w:val="0"/>
      <w:marBottom w:val="0"/>
      <w:divBdr>
        <w:top w:val="none" w:sz="0" w:space="0" w:color="auto"/>
        <w:left w:val="none" w:sz="0" w:space="0" w:color="auto"/>
        <w:bottom w:val="none" w:sz="0" w:space="0" w:color="auto"/>
        <w:right w:val="none" w:sz="0" w:space="0" w:color="auto"/>
      </w:divBdr>
    </w:div>
    <w:div w:id="722867457">
      <w:bodyDiv w:val="1"/>
      <w:marLeft w:val="0"/>
      <w:marRight w:val="0"/>
      <w:marTop w:val="0"/>
      <w:marBottom w:val="0"/>
      <w:divBdr>
        <w:top w:val="none" w:sz="0" w:space="0" w:color="auto"/>
        <w:left w:val="none" w:sz="0" w:space="0" w:color="auto"/>
        <w:bottom w:val="none" w:sz="0" w:space="0" w:color="auto"/>
        <w:right w:val="none" w:sz="0" w:space="0" w:color="auto"/>
      </w:divBdr>
    </w:div>
    <w:div w:id="723408326">
      <w:bodyDiv w:val="1"/>
      <w:marLeft w:val="0"/>
      <w:marRight w:val="0"/>
      <w:marTop w:val="0"/>
      <w:marBottom w:val="0"/>
      <w:divBdr>
        <w:top w:val="none" w:sz="0" w:space="0" w:color="auto"/>
        <w:left w:val="none" w:sz="0" w:space="0" w:color="auto"/>
        <w:bottom w:val="none" w:sz="0" w:space="0" w:color="auto"/>
        <w:right w:val="none" w:sz="0" w:space="0" w:color="auto"/>
      </w:divBdr>
    </w:div>
    <w:div w:id="724064542">
      <w:bodyDiv w:val="1"/>
      <w:marLeft w:val="0"/>
      <w:marRight w:val="0"/>
      <w:marTop w:val="0"/>
      <w:marBottom w:val="0"/>
      <w:divBdr>
        <w:top w:val="none" w:sz="0" w:space="0" w:color="auto"/>
        <w:left w:val="none" w:sz="0" w:space="0" w:color="auto"/>
        <w:bottom w:val="none" w:sz="0" w:space="0" w:color="auto"/>
        <w:right w:val="none" w:sz="0" w:space="0" w:color="auto"/>
      </w:divBdr>
    </w:div>
    <w:div w:id="724525229">
      <w:bodyDiv w:val="1"/>
      <w:marLeft w:val="0"/>
      <w:marRight w:val="0"/>
      <w:marTop w:val="0"/>
      <w:marBottom w:val="0"/>
      <w:divBdr>
        <w:top w:val="none" w:sz="0" w:space="0" w:color="auto"/>
        <w:left w:val="none" w:sz="0" w:space="0" w:color="auto"/>
        <w:bottom w:val="none" w:sz="0" w:space="0" w:color="auto"/>
        <w:right w:val="none" w:sz="0" w:space="0" w:color="auto"/>
      </w:divBdr>
    </w:div>
    <w:div w:id="724715652">
      <w:bodyDiv w:val="1"/>
      <w:marLeft w:val="0"/>
      <w:marRight w:val="0"/>
      <w:marTop w:val="0"/>
      <w:marBottom w:val="0"/>
      <w:divBdr>
        <w:top w:val="none" w:sz="0" w:space="0" w:color="auto"/>
        <w:left w:val="none" w:sz="0" w:space="0" w:color="auto"/>
        <w:bottom w:val="none" w:sz="0" w:space="0" w:color="auto"/>
        <w:right w:val="none" w:sz="0" w:space="0" w:color="auto"/>
      </w:divBdr>
    </w:div>
    <w:div w:id="724840811">
      <w:bodyDiv w:val="1"/>
      <w:marLeft w:val="0"/>
      <w:marRight w:val="0"/>
      <w:marTop w:val="0"/>
      <w:marBottom w:val="0"/>
      <w:divBdr>
        <w:top w:val="none" w:sz="0" w:space="0" w:color="auto"/>
        <w:left w:val="none" w:sz="0" w:space="0" w:color="auto"/>
        <w:bottom w:val="none" w:sz="0" w:space="0" w:color="auto"/>
        <w:right w:val="none" w:sz="0" w:space="0" w:color="auto"/>
      </w:divBdr>
    </w:div>
    <w:div w:id="724913823">
      <w:bodyDiv w:val="1"/>
      <w:marLeft w:val="0"/>
      <w:marRight w:val="0"/>
      <w:marTop w:val="0"/>
      <w:marBottom w:val="0"/>
      <w:divBdr>
        <w:top w:val="none" w:sz="0" w:space="0" w:color="auto"/>
        <w:left w:val="none" w:sz="0" w:space="0" w:color="auto"/>
        <w:bottom w:val="none" w:sz="0" w:space="0" w:color="auto"/>
        <w:right w:val="none" w:sz="0" w:space="0" w:color="auto"/>
      </w:divBdr>
    </w:div>
    <w:div w:id="725571328">
      <w:bodyDiv w:val="1"/>
      <w:marLeft w:val="0"/>
      <w:marRight w:val="0"/>
      <w:marTop w:val="0"/>
      <w:marBottom w:val="0"/>
      <w:divBdr>
        <w:top w:val="none" w:sz="0" w:space="0" w:color="auto"/>
        <w:left w:val="none" w:sz="0" w:space="0" w:color="auto"/>
        <w:bottom w:val="none" w:sz="0" w:space="0" w:color="auto"/>
        <w:right w:val="none" w:sz="0" w:space="0" w:color="auto"/>
      </w:divBdr>
    </w:div>
    <w:div w:id="725639933">
      <w:bodyDiv w:val="1"/>
      <w:marLeft w:val="0"/>
      <w:marRight w:val="0"/>
      <w:marTop w:val="0"/>
      <w:marBottom w:val="0"/>
      <w:divBdr>
        <w:top w:val="none" w:sz="0" w:space="0" w:color="auto"/>
        <w:left w:val="none" w:sz="0" w:space="0" w:color="auto"/>
        <w:bottom w:val="none" w:sz="0" w:space="0" w:color="auto"/>
        <w:right w:val="none" w:sz="0" w:space="0" w:color="auto"/>
      </w:divBdr>
    </w:div>
    <w:div w:id="725643429">
      <w:bodyDiv w:val="1"/>
      <w:marLeft w:val="0"/>
      <w:marRight w:val="0"/>
      <w:marTop w:val="0"/>
      <w:marBottom w:val="0"/>
      <w:divBdr>
        <w:top w:val="none" w:sz="0" w:space="0" w:color="auto"/>
        <w:left w:val="none" w:sz="0" w:space="0" w:color="auto"/>
        <w:bottom w:val="none" w:sz="0" w:space="0" w:color="auto"/>
        <w:right w:val="none" w:sz="0" w:space="0" w:color="auto"/>
      </w:divBdr>
    </w:div>
    <w:div w:id="725761487">
      <w:bodyDiv w:val="1"/>
      <w:marLeft w:val="0"/>
      <w:marRight w:val="0"/>
      <w:marTop w:val="0"/>
      <w:marBottom w:val="0"/>
      <w:divBdr>
        <w:top w:val="none" w:sz="0" w:space="0" w:color="auto"/>
        <w:left w:val="none" w:sz="0" w:space="0" w:color="auto"/>
        <w:bottom w:val="none" w:sz="0" w:space="0" w:color="auto"/>
        <w:right w:val="none" w:sz="0" w:space="0" w:color="auto"/>
      </w:divBdr>
    </w:div>
    <w:div w:id="726731799">
      <w:bodyDiv w:val="1"/>
      <w:marLeft w:val="0"/>
      <w:marRight w:val="0"/>
      <w:marTop w:val="0"/>
      <w:marBottom w:val="0"/>
      <w:divBdr>
        <w:top w:val="none" w:sz="0" w:space="0" w:color="auto"/>
        <w:left w:val="none" w:sz="0" w:space="0" w:color="auto"/>
        <w:bottom w:val="none" w:sz="0" w:space="0" w:color="auto"/>
        <w:right w:val="none" w:sz="0" w:space="0" w:color="auto"/>
      </w:divBdr>
    </w:div>
    <w:div w:id="726801984">
      <w:bodyDiv w:val="1"/>
      <w:marLeft w:val="0"/>
      <w:marRight w:val="0"/>
      <w:marTop w:val="0"/>
      <w:marBottom w:val="0"/>
      <w:divBdr>
        <w:top w:val="none" w:sz="0" w:space="0" w:color="auto"/>
        <w:left w:val="none" w:sz="0" w:space="0" w:color="auto"/>
        <w:bottom w:val="none" w:sz="0" w:space="0" w:color="auto"/>
        <w:right w:val="none" w:sz="0" w:space="0" w:color="auto"/>
      </w:divBdr>
    </w:div>
    <w:div w:id="726956732">
      <w:bodyDiv w:val="1"/>
      <w:marLeft w:val="0"/>
      <w:marRight w:val="0"/>
      <w:marTop w:val="0"/>
      <w:marBottom w:val="0"/>
      <w:divBdr>
        <w:top w:val="none" w:sz="0" w:space="0" w:color="auto"/>
        <w:left w:val="none" w:sz="0" w:space="0" w:color="auto"/>
        <w:bottom w:val="none" w:sz="0" w:space="0" w:color="auto"/>
        <w:right w:val="none" w:sz="0" w:space="0" w:color="auto"/>
      </w:divBdr>
    </w:div>
    <w:div w:id="727187510">
      <w:bodyDiv w:val="1"/>
      <w:marLeft w:val="0"/>
      <w:marRight w:val="0"/>
      <w:marTop w:val="0"/>
      <w:marBottom w:val="0"/>
      <w:divBdr>
        <w:top w:val="none" w:sz="0" w:space="0" w:color="auto"/>
        <w:left w:val="none" w:sz="0" w:space="0" w:color="auto"/>
        <w:bottom w:val="none" w:sz="0" w:space="0" w:color="auto"/>
        <w:right w:val="none" w:sz="0" w:space="0" w:color="auto"/>
      </w:divBdr>
    </w:div>
    <w:div w:id="727728312">
      <w:bodyDiv w:val="1"/>
      <w:marLeft w:val="0"/>
      <w:marRight w:val="0"/>
      <w:marTop w:val="0"/>
      <w:marBottom w:val="0"/>
      <w:divBdr>
        <w:top w:val="none" w:sz="0" w:space="0" w:color="auto"/>
        <w:left w:val="none" w:sz="0" w:space="0" w:color="auto"/>
        <w:bottom w:val="none" w:sz="0" w:space="0" w:color="auto"/>
        <w:right w:val="none" w:sz="0" w:space="0" w:color="auto"/>
      </w:divBdr>
    </w:div>
    <w:div w:id="728191719">
      <w:bodyDiv w:val="1"/>
      <w:marLeft w:val="0"/>
      <w:marRight w:val="0"/>
      <w:marTop w:val="0"/>
      <w:marBottom w:val="0"/>
      <w:divBdr>
        <w:top w:val="none" w:sz="0" w:space="0" w:color="auto"/>
        <w:left w:val="none" w:sz="0" w:space="0" w:color="auto"/>
        <w:bottom w:val="none" w:sz="0" w:space="0" w:color="auto"/>
        <w:right w:val="none" w:sz="0" w:space="0" w:color="auto"/>
      </w:divBdr>
    </w:div>
    <w:div w:id="728698030">
      <w:bodyDiv w:val="1"/>
      <w:marLeft w:val="0"/>
      <w:marRight w:val="0"/>
      <w:marTop w:val="0"/>
      <w:marBottom w:val="0"/>
      <w:divBdr>
        <w:top w:val="none" w:sz="0" w:space="0" w:color="auto"/>
        <w:left w:val="none" w:sz="0" w:space="0" w:color="auto"/>
        <w:bottom w:val="none" w:sz="0" w:space="0" w:color="auto"/>
        <w:right w:val="none" w:sz="0" w:space="0" w:color="auto"/>
      </w:divBdr>
    </w:div>
    <w:div w:id="728723862">
      <w:bodyDiv w:val="1"/>
      <w:marLeft w:val="0"/>
      <w:marRight w:val="0"/>
      <w:marTop w:val="0"/>
      <w:marBottom w:val="0"/>
      <w:divBdr>
        <w:top w:val="none" w:sz="0" w:space="0" w:color="auto"/>
        <w:left w:val="none" w:sz="0" w:space="0" w:color="auto"/>
        <w:bottom w:val="none" w:sz="0" w:space="0" w:color="auto"/>
        <w:right w:val="none" w:sz="0" w:space="0" w:color="auto"/>
      </w:divBdr>
    </w:div>
    <w:div w:id="729380971">
      <w:bodyDiv w:val="1"/>
      <w:marLeft w:val="0"/>
      <w:marRight w:val="0"/>
      <w:marTop w:val="0"/>
      <w:marBottom w:val="0"/>
      <w:divBdr>
        <w:top w:val="none" w:sz="0" w:space="0" w:color="auto"/>
        <w:left w:val="none" w:sz="0" w:space="0" w:color="auto"/>
        <w:bottom w:val="none" w:sz="0" w:space="0" w:color="auto"/>
        <w:right w:val="none" w:sz="0" w:space="0" w:color="auto"/>
      </w:divBdr>
    </w:div>
    <w:div w:id="729576994">
      <w:bodyDiv w:val="1"/>
      <w:marLeft w:val="0"/>
      <w:marRight w:val="0"/>
      <w:marTop w:val="0"/>
      <w:marBottom w:val="0"/>
      <w:divBdr>
        <w:top w:val="none" w:sz="0" w:space="0" w:color="auto"/>
        <w:left w:val="none" w:sz="0" w:space="0" w:color="auto"/>
        <w:bottom w:val="none" w:sz="0" w:space="0" w:color="auto"/>
        <w:right w:val="none" w:sz="0" w:space="0" w:color="auto"/>
      </w:divBdr>
    </w:div>
    <w:div w:id="730154602">
      <w:bodyDiv w:val="1"/>
      <w:marLeft w:val="0"/>
      <w:marRight w:val="0"/>
      <w:marTop w:val="0"/>
      <w:marBottom w:val="0"/>
      <w:divBdr>
        <w:top w:val="none" w:sz="0" w:space="0" w:color="auto"/>
        <w:left w:val="none" w:sz="0" w:space="0" w:color="auto"/>
        <w:bottom w:val="none" w:sz="0" w:space="0" w:color="auto"/>
        <w:right w:val="none" w:sz="0" w:space="0" w:color="auto"/>
      </w:divBdr>
    </w:div>
    <w:div w:id="730351180">
      <w:bodyDiv w:val="1"/>
      <w:marLeft w:val="0"/>
      <w:marRight w:val="0"/>
      <w:marTop w:val="0"/>
      <w:marBottom w:val="0"/>
      <w:divBdr>
        <w:top w:val="none" w:sz="0" w:space="0" w:color="auto"/>
        <w:left w:val="none" w:sz="0" w:space="0" w:color="auto"/>
        <w:bottom w:val="none" w:sz="0" w:space="0" w:color="auto"/>
        <w:right w:val="none" w:sz="0" w:space="0" w:color="auto"/>
      </w:divBdr>
    </w:div>
    <w:div w:id="730544937">
      <w:bodyDiv w:val="1"/>
      <w:marLeft w:val="0"/>
      <w:marRight w:val="0"/>
      <w:marTop w:val="0"/>
      <w:marBottom w:val="0"/>
      <w:divBdr>
        <w:top w:val="none" w:sz="0" w:space="0" w:color="auto"/>
        <w:left w:val="none" w:sz="0" w:space="0" w:color="auto"/>
        <w:bottom w:val="none" w:sz="0" w:space="0" w:color="auto"/>
        <w:right w:val="none" w:sz="0" w:space="0" w:color="auto"/>
      </w:divBdr>
    </w:div>
    <w:div w:id="730813663">
      <w:bodyDiv w:val="1"/>
      <w:marLeft w:val="0"/>
      <w:marRight w:val="0"/>
      <w:marTop w:val="0"/>
      <w:marBottom w:val="0"/>
      <w:divBdr>
        <w:top w:val="none" w:sz="0" w:space="0" w:color="auto"/>
        <w:left w:val="none" w:sz="0" w:space="0" w:color="auto"/>
        <w:bottom w:val="none" w:sz="0" w:space="0" w:color="auto"/>
        <w:right w:val="none" w:sz="0" w:space="0" w:color="auto"/>
      </w:divBdr>
    </w:div>
    <w:div w:id="731543603">
      <w:bodyDiv w:val="1"/>
      <w:marLeft w:val="0"/>
      <w:marRight w:val="0"/>
      <w:marTop w:val="0"/>
      <w:marBottom w:val="0"/>
      <w:divBdr>
        <w:top w:val="none" w:sz="0" w:space="0" w:color="auto"/>
        <w:left w:val="none" w:sz="0" w:space="0" w:color="auto"/>
        <w:bottom w:val="none" w:sz="0" w:space="0" w:color="auto"/>
        <w:right w:val="none" w:sz="0" w:space="0" w:color="auto"/>
      </w:divBdr>
    </w:div>
    <w:div w:id="731660112">
      <w:bodyDiv w:val="1"/>
      <w:marLeft w:val="0"/>
      <w:marRight w:val="0"/>
      <w:marTop w:val="0"/>
      <w:marBottom w:val="0"/>
      <w:divBdr>
        <w:top w:val="none" w:sz="0" w:space="0" w:color="auto"/>
        <w:left w:val="none" w:sz="0" w:space="0" w:color="auto"/>
        <w:bottom w:val="none" w:sz="0" w:space="0" w:color="auto"/>
        <w:right w:val="none" w:sz="0" w:space="0" w:color="auto"/>
      </w:divBdr>
    </w:div>
    <w:div w:id="732704909">
      <w:bodyDiv w:val="1"/>
      <w:marLeft w:val="0"/>
      <w:marRight w:val="0"/>
      <w:marTop w:val="0"/>
      <w:marBottom w:val="0"/>
      <w:divBdr>
        <w:top w:val="none" w:sz="0" w:space="0" w:color="auto"/>
        <w:left w:val="none" w:sz="0" w:space="0" w:color="auto"/>
        <w:bottom w:val="none" w:sz="0" w:space="0" w:color="auto"/>
        <w:right w:val="none" w:sz="0" w:space="0" w:color="auto"/>
      </w:divBdr>
    </w:div>
    <w:div w:id="733623039">
      <w:bodyDiv w:val="1"/>
      <w:marLeft w:val="0"/>
      <w:marRight w:val="0"/>
      <w:marTop w:val="0"/>
      <w:marBottom w:val="0"/>
      <w:divBdr>
        <w:top w:val="none" w:sz="0" w:space="0" w:color="auto"/>
        <w:left w:val="none" w:sz="0" w:space="0" w:color="auto"/>
        <w:bottom w:val="none" w:sz="0" w:space="0" w:color="auto"/>
        <w:right w:val="none" w:sz="0" w:space="0" w:color="auto"/>
      </w:divBdr>
    </w:div>
    <w:div w:id="734282418">
      <w:bodyDiv w:val="1"/>
      <w:marLeft w:val="0"/>
      <w:marRight w:val="0"/>
      <w:marTop w:val="0"/>
      <w:marBottom w:val="0"/>
      <w:divBdr>
        <w:top w:val="none" w:sz="0" w:space="0" w:color="auto"/>
        <w:left w:val="none" w:sz="0" w:space="0" w:color="auto"/>
        <w:bottom w:val="none" w:sz="0" w:space="0" w:color="auto"/>
        <w:right w:val="none" w:sz="0" w:space="0" w:color="auto"/>
      </w:divBdr>
    </w:div>
    <w:div w:id="735133530">
      <w:bodyDiv w:val="1"/>
      <w:marLeft w:val="0"/>
      <w:marRight w:val="0"/>
      <w:marTop w:val="0"/>
      <w:marBottom w:val="0"/>
      <w:divBdr>
        <w:top w:val="none" w:sz="0" w:space="0" w:color="auto"/>
        <w:left w:val="none" w:sz="0" w:space="0" w:color="auto"/>
        <w:bottom w:val="none" w:sz="0" w:space="0" w:color="auto"/>
        <w:right w:val="none" w:sz="0" w:space="0" w:color="auto"/>
      </w:divBdr>
    </w:div>
    <w:div w:id="735203165">
      <w:bodyDiv w:val="1"/>
      <w:marLeft w:val="0"/>
      <w:marRight w:val="0"/>
      <w:marTop w:val="0"/>
      <w:marBottom w:val="0"/>
      <w:divBdr>
        <w:top w:val="none" w:sz="0" w:space="0" w:color="auto"/>
        <w:left w:val="none" w:sz="0" w:space="0" w:color="auto"/>
        <w:bottom w:val="none" w:sz="0" w:space="0" w:color="auto"/>
        <w:right w:val="none" w:sz="0" w:space="0" w:color="auto"/>
      </w:divBdr>
    </w:div>
    <w:div w:id="735669624">
      <w:bodyDiv w:val="1"/>
      <w:marLeft w:val="0"/>
      <w:marRight w:val="0"/>
      <w:marTop w:val="0"/>
      <w:marBottom w:val="0"/>
      <w:divBdr>
        <w:top w:val="none" w:sz="0" w:space="0" w:color="auto"/>
        <w:left w:val="none" w:sz="0" w:space="0" w:color="auto"/>
        <w:bottom w:val="none" w:sz="0" w:space="0" w:color="auto"/>
        <w:right w:val="none" w:sz="0" w:space="0" w:color="auto"/>
      </w:divBdr>
    </w:div>
    <w:div w:id="735784738">
      <w:bodyDiv w:val="1"/>
      <w:marLeft w:val="0"/>
      <w:marRight w:val="0"/>
      <w:marTop w:val="0"/>
      <w:marBottom w:val="0"/>
      <w:divBdr>
        <w:top w:val="none" w:sz="0" w:space="0" w:color="auto"/>
        <w:left w:val="none" w:sz="0" w:space="0" w:color="auto"/>
        <w:bottom w:val="none" w:sz="0" w:space="0" w:color="auto"/>
        <w:right w:val="none" w:sz="0" w:space="0" w:color="auto"/>
      </w:divBdr>
    </w:div>
    <w:div w:id="735863445">
      <w:bodyDiv w:val="1"/>
      <w:marLeft w:val="0"/>
      <w:marRight w:val="0"/>
      <w:marTop w:val="0"/>
      <w:marBottom w:val="0"/>
      <w:divBdr>
        <w:top w:val="none" w:sz="0" w:space="0" w:color="auto"/>
        <w:left w:val="none" w:sz="0" w:space="0" w:color="auto"/>
        <w:bottom w:val="none" w:sz="0" w:space="0" w:color="auto"/>
        <w:right w:val="none" w:sz="0" w:space="0" w:color="auto"/>
      </w:divBdr>
    </w:div>
    <w:div w:id="736705636">
      <w:bodyDiv w:val="1"/>
      <w:marLeft w:val="0"/>
      <w:marRight w:val="0"/>
      <w:marTop w:val="0"/>
      <w:marBottom w:val="0"/>
      <w:divBdr>
        <w:top w:val="none" w:sz="0" w:space="0" w:color="auto"/>
        <w:left w:val="none" w:sz="0" w:space="0" w:color="auto"/>
        <w:bottom w:val="none" w:sz="0" w:space="0" w:color="auto"/>
        <w:right w:val="none" w:sz="0" w:space="0" w:color="auto"/>
      </w:divBdr>
    </w:div>
    <w:div w:id="736710468">
      <w:bodyDiv w:val="1"/>
      <w:marLeft w:val="0"/>
      <w:marRight w:val="0"/>
      <w:marTop w:val="0"/>
      <w:marBottom w:val="0"/>
      <w:divBdr>
        <w:top w:val="none" w:sz="0" w:space="0" w:color="auto"/>
        <w:left w:val="none" w:sz="0" w:space="0" w:color="auto"/>
        <w:bottom w:val="none" w:sz="0" w:space="0" w:color="auto"/>
        <w:right w:val="none" w:sz="0" w:space="0" w:color="auto"/>
      </w:divBdr>
    </w:div>
    <w:div w:id="737092805">
      <w:bodyDiv w:val="1"/>
      <w:marLeft w:val="0"/>
      <w:marRight w:val="0"/>
      <w:marTop w:val="0"/>
      <w:marBottom w:val="0"/>
      <w:divBdr>
        <w:top w:val="none" w:sz="0" w:space="0" w:color="auto"/>
        <w:left w:val="none" w:sz="0" w:space="0" w:color="auto"/>
        <w:bottom w:val="none" w:sz="0" w:space="0" w:color="auto"/>
        <w:right w:val="none" w:sz="0" w:space="0" w:color="auto"/>
      </w:divBdr>
    </w:div>
    <w:div w:id="737169667">
      <w:bodyDiv w:val="1"/>
      <w:marLeft w:val="0"/>
      <w:marRight w:val="0"/>
      <w:marTop w:val="0"/>
      <w:marBottom w:val="0"/>
      <w:divBdr>
        <w:top w:val="none" w:sz="0" w:space="0" w:color="auto"/>
        <w:left w:val="none" w:sz="0" w:space="0" w:color="auto"/>
        <w:bottom w:val="none" w:sz="0" w:space="0" w:color="auto"/>
        <w:right w:val="none" w:sz="0" w:space="0" w:color="auto"/>
      </w:divBdr>
    </w:div>
    <w:div w:id="737244340">
      <w:bodyDiv w:val="1"/>
      <w:marLeft w:val="0"/>
      <w:marRight w:val="0"/>
      <w:marTop w:val="0"/>
      <w:marBottom w:val="0"/>
      <w:divBdr>
        <w:top w:val="none" w:sz="0" w:space="0" w:color="auto"/>
        <w:left w:val="none" w:sz="0" w:space="0" w:color="auto"/>
        <w:bottom w:val="none" w:sz="0" w:space="0" w:color="auto"/>
        <w:right w:val="none" w:sz="0" w:space="0" w:color="auto"/>
      </w:divBdr>
    </w:div>
    <w:div w:id="737556040">
      <w:bodyDiv w:val="1"/>
      <w:marLeft w:val="0"/>
      <w:marRight w:val="0"/>
      <w:marTop w:val="0"/>
      <w:marBottom w:val="0"/>
      <w:divBdr>
        <w:top w:val="none" w:sz="0" w:space="0" w:color="auto"/>
        <w:left w:val="none" w:sz="0" w:space="0" w:color="auto"/>
        <w:bottom w:val="none" w:sz="0" w:space="0" w:color="auto"/>
        <w:right w:val="none" w:sz="0" w:space="0" w:color="auto"/>
      </w:divBdr>
    </w:div>
    <w:div w:id="737636151">
      <w:bodyDiv w:val="1"/>
      <w:marLeft w:val="0"/>
      <w:marRight w:val="0"/>
      <w:marTop w:val="0"/>
      <w:marBottom w:val="0"/>
      <w:divBdr>
        <w:top w:val="none" w:sz="0" w:space="0" w:color="auto"/>
        <w:left w:val="none" w:sz="0" w:space="0" w:color="auto"/>
        <w:bottom w:val="none" w:sz="0" w:space="0" w:color="auto"/>
        <w:right w:val="none" w:sz="0" w:space="0" w:color="auto"/>
      </w:divBdr>
    </w:div>
    <w:div w:id="738553628">
      <w:bodyDiv w:val="1"/>
      <w:marLeft w:val="0"/>
      <w:marRight w:val="0"/>
      <w:marTop w:val="0"/>
      <w:marBottom w:val="0"/>
      <w:divBdr>
        <w:top w:val="none" w:sz="0" w:space="0" w:color="auto"/>
        <w:left w:val="none" w:sz="0" w:space="0" w:color="auto"/>
        <w:bottom w:val="none" w:sz="0" w:space="0" w:color="auto"/>
        <w:right w:val="none" w:sz="0" w:space="0" w:color="auto"/>
      </w:divBdr>
    </w:div>
    <w:div w:id="738593434">
      <w:bodyDiv w:val="1"/>
      <w:marLeft w:val="0"/>
      <w:marRight w:val="0"/>
      <w:marTop w:val="0"/>
      <w:marBottom w:val="0"/>
      <w:divBdr>
        <w:top w:val="none" w:sz="0" w:space="0" w:color="auto"/>
        <w:left w:val="none" w:sz="0" w:space="0" w:color="auto"/>
        <w:bottom w:val="none" w:sz="0" w:space="0" w:color="auto"/>
        <w:right w:val="none" w:sz="0" w:space="0" w:color="auto"/>
      </w:divBdr>
    </w:div>
    <w:div w:id="739136845">
      <w:bodyDiv w:val="1"/>
      <w:marLeft w:val="0"/>
      <w:marRight w:val="0"/>
      <w:marTop w:val="0"/>
      <w:marBottom w:val="0"/>
      <w:divBdr>
        <w:top w:val="none" w:sz="0" w:space="0" w:color="auto"/>
        <w:left w:val="none" w:sz="0" w:space="0" w:color="auto"/>
        <w:bottom w:val="none" w:sz="0" w:space="0" w:color="auto"/>
        <w:right w:val="none" w:sz="0" w:space="0" w:color="auto"/>
      </w:divBdr>
    </w:div>
    <w:div w:id="739254499">
      <w:bodyDiv w:val="1"/>
      <w:marLeft w:val="0"/>
      <w:marRight w:val="0"/>
      <w:marTop w:val="0"/>
      <w:marBottom w:val="0"/>
      <w:divBdr>
        <w:top w:val="none" w:sz="0" w:space="0" w:color="auto"/>
        <w:left w:val="none" w:sz="0" w:space="0" w:color="auto"/>
        <w:bottom w:val="none" w:sz="0" w:space="0" w:color="auto"/>
        <w:right w:val="none" w:sz="0" w:space="0" w:color="auto"/>
      </w:divBdr>
    </w:div>
    <w:div w:id="740182158">
      <w:bodyDiv w:val="1"/>
      <w:marLeft w:val="0"/>
      <w:marRight w:val="0"/>
      <w:marTop w:val="0"/>
      <w:marBottom w:val="0"/>
      <w:divBdr>
        <w:top w:val="none" w:sz="0" w:space="0" w:color="auto"/>
        <w:left w:val="none" w:sz="0" w:space="0" w:color="auto"/>
        <w:bottom w:val="none" w:sz="0" w:space="0" w:color="auto"/>
        <w:right w:val="none" w:sz="0" w:space="0" w:color="auto"/>
      </w:divBdr>
    </w:div>
    <w:div w:id="740369190">
      <w:bodyDiv w:val="1"/>
      <w:marLeft w:val="0"/>
      <w:marRight w:val="0"/>
      <w:marTop w:val="0"/>
      <w:marBottom w:val="0"/>
      <w:divBdr>
        <w:top w:val="none" w:sz="0" w:space="0" w:color="auto"/>
        <w:left w:val="none" w:sz="0" w:space="0" w:color="auto"/>
        <w:bottom w:val="none" w:sz="0" w:space="0" w:color="auto"/>
        <w:right w:val="none" w:sz="0" w:space="0" w:color="auto"/>
      </w:divBdr>
    </w:div>
    <w:div w:id="740760095">
      <w:bodyDiv w:val="1"/>
      <w:marLeft w:val="0"/>
      <w:marRight w:val="0"/>
      <w:marTop w:val="0"/>
      <w:marBottom w:val="0"/>
      <w:divBdr>
        <w:top w:val="none" w:sz="0" w:space="0" w:color="auto"/>
        <w:left w:val="none" w:sz="0" w:space="0" w:color="auto"/>
        <w:bottom w:val="none" w:sz="0" w:space="0" w:color="auto"/>
        <w:right w:val="none" w:sz="0" w:space="0" w:color="auto"/>
      </w:divBdr>
    </w:div>
    <w:div w:id="741100637">
      <w:bodyDiv w:val="1"/>
      <w:marLeft w:val="0"/>
      <w:marRight w:val="0"/>
      <w:marTop w:val="0"/>
      <w:marBottom w:val="0"/>
      <w:divBdr>
        <w:top w:val="none" w:sz="0" w:space="0" w:color="auto"/>
        <w:left w:val="none" w:sz="0" w:space="0" w:color="auto"/>
        <w:bottom w:val="none" w:sz="0" w:space="0" w:color="auto"/>
        <w:right w:val="none" w:sz="0" w:space="0" w:color="auto"/>
      </w:divBdr>
    </w:div>
    <w:div w:id="741220143">
      <w:bodyDiv w:val="1"/>
      <w:marLeft w:val="0"/>
      <w:marRight w:val="0"/>
      <w:marTop w:val="0"/>
      <w:marBottom w:val="0"/>
      <w:divBdr>
        <w:top w:val="none" w:sz="0" w:space="0" w:color="auto"/>
        <w:left w:val="none" w:sz="0" w:space="0" w:color="auto"/>
        <w:bottom w:val="none" w:sz="0" w:space="0" w:color="auto"/>
        <w:right w:val="none" w:sz="0" w:space="0" w:color="auto"/>
      </w:divBdr>
    </w:div>
    <w:div w:id="741605610">
      <w:bodyDiv w:val="1"/>
      <w:marLeft w:val="0"/>
      <w:marRight w:val="0"/>
      <w:marTop w:val="0"/>
      <w:marBottom w:val="0"/>
      <w:divBdr>
        <w:top w:val="none" w:sz="0" w:space="0" w:color="auto"/>
        <w:left w:val="none" w:sz="0" w:space="0" w:color="auto"/>
        <w:bottom w:val="none" w:sz="0" w:space="0" w:color="auto"/>
        <w:right w:val="none" w:sz="0" w:space="0" w:color="auto"/>
      </w:divBdr>
    </w:div>
    <w:div w:id="741829901">
      <w:bodyDiv w:val="1"/>
      <w:marLeft w:val="0"/>
      <w:marRight w:val="0"/>
      <w:marTop w:val="0"/>
      <w:marBottom w:val="0"/>
      <w:divBdr>
        <w:top w:val="none" w:sz="0" w:space="0" w:color="auto"/>
        <w:left w:val="none" w:sz="0" w:space="0" w:color="auto"/>
        <w:bottom w:val="none" w:sz="0" w:space="0" w:color="auto"/>
        <w:right w:val="none" w:sz="0" w:space="0" w:color="auto"/>
      </w:divBdr>
    </w:div>
    <w:div w:id="741833113">
      <w:bodyDiv w:val="1"/>
      <w:marLeft w:val="0"/>
      <w:marRight w:val="0"/>
      <w:marTop w:val="0"/>
      <w:marBottom w:val="0"/>
      <w:divBdr>
        <w:top w:val="none" w:sz="0" w:space="0" w:color="auto"/>
        <w:left w:val="none" w:sz="0" w:space="0" w:color="auto"/>
        <w:bottom w:val="none" w:sz="0" w:space="0" w:color="auto"/>
        <w:right w:val="none" w:sz="0" w:space="0" w:color="auto"/>
      </w:divBdr>
    </w:div>
    <w:div w:id="742803469">
      <w:bodyDiv w:val="1"/>
      <w:marLeft w:val="0"/>
      <w:marRight w:val="0"/>
      <w:marTop w:val="0"/>
      <w:marBottom w:val="0"/>
      <w:divBdr>
        <w:top w:val="none" w:sz="0" w:space="0" w:color="auto"/>
        <w:left w:val="none" w:sz="0" w:space="0" w:color="auto"/>
        <w:bottom w:val="none" w:sz="0" w:space="0" w:color="auto"/>
        <w:right w:val="none" w:sz="0" w:space="0" w:color="auto"/>
      </w:divBdr>
    </w:div>
    <w:div w:id="742948452">
      <w:bodyDiv w:val="1"/>
      <w:marLeft w:val="0"/>
      <w:marRight w:val="0"/>
      <w:marTop w:val="0"/>
      <w:marBottom w:val="0"/>
      <w:divBdr>
        <w:top w:val="none" w:sz="0" w:space="0" w:color="auto"/>
        <w:left w:val="none" w:sz="0" w:space="0" w:color="auto"/>
        <w:bottom w:val="none" w:sz="0" w:space="0" w:color="auto"/>
        <w:right w:val="none" w:sz="0" w:space="0" w:color="auto"/>
      </w:divBdr>
    </w:div>
    <w:div w:id="743265416">
      <w:bodyDiv w:val="1"/>
      <w:marLeft w:val="0"/>
      <w:marRight w:val="0"/>
      <w:marTop w:val="0"/>
      <w:marBottom w:val="0"/>
      <w:divBdr>
        <w:top w:val="none" w:sz="0" w:space="0" w:color="auto"/>
        <w:left w:val="none" w:sz="0" w:space="0" w:color="auto"/>
        <w:bottom w:val="none" w:sz="0" w:space="0" w:color="auto"/>
        <w:right w:val="none" w:sz="0" w:space="0" w:color="auto"/>
      </w:divBdr>
    </w:div>
    <w:div w:id="743768306">
      <w:bodyDiv w:val="1"/>
      <w:marLeft w:val="0"/>
      <w:marRight w:val="0"/>
      <w:marTop w:val="0"/>
      <w:marBottom w:val="0"/>
      <w:divBdr>
        <w:top w:val="none" w:sz="0" w:space="0" w:color="auto"/>
        <w:left w:val="none" w:sz="0" w:space="0" w:color="auto"/>
        <w:bottom w:val="none" w:sz="0" w:space="0" w:color="auto"/>
        <w:right w:val="none" w:sz="0" w:space="0" w:color="auto"/>
      </w:divBdr>
    </w:div>
    <w:div w:id="744374455">
      <w:bodyDiv w:val="1"/>
      <w:marLeft w:val="0"/>
      <w:marRight w:val="0"/>
      <w:marTop w:val="0"/>
      <w:marBottom w:val="0"/>
      <w:divBdr>
        <w:top w:val="none" w:sz="0" w:space="0" w:color="auto"/>
        <w:left w:val="none" w:sz="0" w:space="0" w:color="auto"/>
        <w:bottom w:val="none" w:sz="0" w:space="0" w:color="auto"/>
        <w:right w:val="none" w:sz="0" w:space="0" w:color="auto"/>
      </w:divBdr>
    </w:div>
    <w:div w:id="744493751">
      <w:bodyDiv w:val="1"/>
      <w:marLeft w:val="0"/>
      <w:marRight w:val="0"/>
      <w:marTop w:val="0"/>
      <w:marBottom w:val="0"/>
      <w:divBdr>
        <w:top w:val="none" w:sz="0" w:space="0" w:color="auto"/>
        <w:left w:val="none" w:sz="0" w:space="0" w:color="auto"/>
        <w:bottom w:val="none" w:sz="0" w:space="0" w:color="auto"/>
        <w:right w:val="none" w:sz="0" w:space="0" w:color="auto"/>
      </w:divBdr>
    </w:div>
    <w:div w:id="746270566">
      <w:bodyDiv w:val="1"/>
      <w:marLeft w:val="0"/>
      <w:marRight w:val="0"/>
      <w:marTop w:val="0"/>
      <w:marBottom w:val="0"/>
      <w:divBdr>
        <w:top w:val="none" w:sz="0" w:space="0" w:color="auto"/>
        <w:left w:val="none" w:sz="0" w:space="0" w:color="auto"/>
        <w:bottom w:val="none" w:sz="0" w:space="0" w:color="auto"/>
        <w:right w:val="none" w:sz="0" w:space="0" w:color="auto"/>
      </w:divBdr>
    </w:div>
    <w:div w:id="746998561">
      <w:bodyDiv w:val="1"/>
      <w:marLeft w:val="0"/>
      <w:marRight w:val="0"/>
      <w:marTop w:val="0"/>
      <w:marBottom w:val="0"/>
      <w:divBdr>
        <w:top w:val="none" w:sz="0" w:space="0" w:color="auto"/>
        <w:left w:val="none" w:sz="0" w:space="0" w:color="auto"/>
        <w:bottom w:val="none" w:sz="0" w:space="0" w:color="auto"/>
        <w:right w:val="none" w:sz="0" w:space="0" w:color="auto"/>
      </w:divBdr>
    </w:div>
    <w:div w:id="747071649">
      <w:bodyDiv w:val="1"/>
      <w:marLeft w:val="0"/>
      <w:marRight w:val="0"/>
      <w:marTop w:val="0"/>
      <w:marBottom w:val="0"/>
      <w:divBdr>
        <w:top w:val="none" w:sz="0" w:space="0" w:color="auto"/>
        <w:left w:val="none" w:sz="0" w:space="0" w:color="auto"/>
        <w:bottom w:val="none" w:sz="0" w:space="0" w:color="auto"/>
        <w:right w:val="none" w:sz="0" w:space="0" w:color="auto"/>
      </w:divBdr>
    </w:div>
    <w:div w:id="747077367">
      <w:bodyDiv w:val="1"/>
      <w:marLeft w:val="0"/>
      <w:marRight w:val="0"/>
      <w:marTop w:val="0"/>
      <w:marBottom w:val="0"/>
      <w:divBdr>
        <w:top w:val="none" w:sz="0" w:space="0" w:color="auto"/>
        <w:left w:val="none" w:sz="0" w:space="0" w:color="auto"/>
        <w:bottom w:val="none" w:sz="0" w:space="0" w:color="auto"/>
        <w:right w:val="none" w:sz="0" w:space="0" w:color="auto"/>
      </w:divBdr>
    </w:div>
    <w:div w:id="747844111">
      <w:bodyDiv w:val="1"/>
      <w:marLeft w:val="0"/>
      <w:marRight w:val="0"/>
      <w:marTop w:val="0"/>
      <w:marBottom w:val="0"/>
      <w:divBdr>
        <w:top w:val="none" w:sz="0" w:space="0" w:color="auto"/>
        <w:left w:val="none" w:sz="0" w:space="0" w:color="auto"/>
        <w:bottom w:val="none" w:sz="0" w:space="0" w:color="auto"/>
        <w:right w:val="none" w:sz="0" w:space="0" w:color="auto"/>
      </w:divBdr>
    </w:div>
    <w:div w:id="747846707">
      <w:bodyDiv w:val="1"/>
      <w:marLeft w:val="0"/>
      <w:marRight w:val="0"/>
      <w:marTop w:val="0"/>
      <w:marBottom w:val="0"/>
      <w:divBdr>
        <w:top w:val="none" w:sz="0" w:space="0" w:color="auto"/>
        <w:left w:val="none" w:sz="0" w:space="0" w:color="auto"/>
        <w:bottom w:val="none" w:sz="0" w:space="0" w:color="auto"/>
        <w:right w:val="none" w:sz="0" w:space="0" w:color="auto"/>
      </w:divBdr>
    </w:div>
    <w:div w:id="748233372">
      <w:bodyDiv w:val="1"/>
      <w:marLeft w:val="0"/>
      <w:marRight w:val="0"/>
      <w:marTop w:val="0"/>
      <w:marBottom w:val="0"/>
      <w:divBdr>
        <w:top w:val="none" w:sz="0" w:space="0" w:color="auto"/>
        <w:left w:val="none" w:sz="0" w:space="0" w:color="auto"/>
        <w:bottom w:val="none" w:sz="0" w:space="0" w:color="auto"/>
        <w:right w:val="none" w:sz="0" w:space="0" w:color="auto"/>
      </w:divBdr>
    </w:div>
    <w:div w:id="748306356">
      <w:bodyDiv w:val="1"/>
      <w:marLeft w:val="0"/>
      <w:marRight w:val="0"/>
      <w:marTop w:val="0"/>
      <w:marBottom w:val="0"/>
      <w:divBdr>
        <w:top w:val="none" w:sz="0" w:space="0" w:color="auto"/>
        <w:left w:val="none" w:sz="0" w:space="0" w:color="auto"/>
        <w:bottom w:val="none" w:sz="0" w:space="0" w:color="auto"/>
        <w:right w:val="none" w:sz="0" w:space="0" w:color="auto"/>
      </w:divBdr>
    </w:div>
    <w:div w:id="748624305">
      <w:bodyDiv w:val="1"/>
      <w:marLeft w:val="0"/>
      <w:marRight w:val="0"/>
      <w:marTop w:val="0"/>
      <w:marBottom w:val="0"/>
      <w:divBdr>
        <w:top w:val="none" w:sz="0" w:space="0" w:color="auto"/>
        <w:left w:val="none" w:sz="0" w:space="0" w:color="auto"/>
        <w:bottom w:val="none" w:sz="0" w:space="0" w:color="auto"/>
        <w:right w:val="none" w:sz="0" w:space="0" w:color="auto"/>
      </w:divBdr>
    </w:div>
    <w:div w:id="748887224">
      <w:bodyDiv w:val="1"/>
      <w:marLeft w:val="0"/>
      <w:marRight w:val="0"/>
      <w:marTop w:val="0"/>
      <w:marBottom w:val="0"/>
      <w:divBdr>
        <w:top w:val="none" w:sz="0" w:space="0" w:color="auto"/>
        <w:left w:val="none" w:sz="0" w:space="0" w:color="auto"/>
        <w:bottom w:val="none" w:sz="0" w:space="0" w:color="auto"/>
        <w:right w:val="none" w:sz="0" w:space="0" w:color="auto"/>
      </w:divBdr>
    </w:div>
    <w:div w:id="748967496">
      <w:bodyDiv w:val="1"/>
      <w:marLeft w:val="0"/>
      <w:marRight w:val="0"/>
      <w:marTop w:val="0"/>
      <w:marBottom w:val="0"/>
      <w:divBdr>
        <w:top w:val="none" w:sz="0" w:space="0" w:color="auto"/>
        <w:left w:val="none" w:sz="0" w:space="0" w:color="auto"/>
        <w:bottom w:val="none" w:sz="0" w:space="0" w:color="auto"/>
        <w:right w:val="none" w:sz="0" w:space="0" w:color="auto"/>
      </w:divBdr>
    </w:div>
    <w:div w:id="749499390">
      <w:bodyDiv w:val="1"/>
      <w:marLeft w:val="0"/>
      <w:marRight w:val="0"/>
      <w:marTop w:val="0"/>
      <w:marBottom w:val="0"/>
      <w:divBdr>
        <w:top w:val="none" w:sz="0" w:space="0" w:color="auto"/>
        <w:left w:val="none" w:sz="0" w:space="0" w:color="auto"/>
        <w:bottom w:val="none" w:sz="0" w:space="0" w:color="auto"/>
        <w:right w:val="none" w:sz="0" w:space="0" w:color="auto"/>
      </w:divBdr>
    </w:div>
    <w:div w:id="749621470">
      <w:bodyDiv w:val="1"/>
      <w:marLeft w:val="0"/>
      <w:marRight w:val="0"/>
      <w:marTop w:val="0"/>
      <w:marBottom w:val="0"/>
      <w:divBdr>
        <w:top w:val="none" w:sz="0" w:space="0" w:color="auto"/>
        <w:left w:val="none" w:sz="0" w:space="0" w:color="auto"/>
        <w:bottom w:val="none" w:sz="0" w:space="0" w:color="auto"/>
        <w:right w:val="none" w:sz="0" w:space="0" w:color="auto"/>
      </w:divBdr>
    </w:div>
    <w:div w:id="749812469">
      <w:bodyDiv w:val="1"/>
      <w:marLeft w:val="0"/>
      <w:marRight w:val="0"/>
      <w:marTop w:val="0"/>
      <w:marBottom w:val="0"/>
      <w:divBdr>
        <w:top w:val="none" w:sz="0" w:space="0" w:color="auto"/>
        <w:left w:val="none" w:sz="0" w:space="0" w:color="auto"/>
        <w:bottom w:val="none" w:sz="0" w:space="0" w:color="auto"/>
        <w:right w:val="none" w:sz="0" w:space="0" w:color="auto"/>
      </w:divBdr>
    </w:div>
    <w:div w:id="750155149">
      <w:bodyDiv w:val="1"/>
      <w:marLeft w:val="0"/>
      <w:marRight w:val="0"/>
      <w:marTop w:val="0"/>
      <w:marBottom w:val="0"/>
      <w:divBdr>
        <w:top w:val="none" w:sz="0" w:space="0" w:color="auto"/>
        <w:left w:val="none" w:sz="0" w:space="0" w:color="auto"/>
        <w:bottom w:val="none" w:sz="0" w:space="0" w:color="auto"/>
        <w:right w:val="none" w:sz="0" w:space="0" w:color="auto"/>
      </w:divBdr>
    </w:div>
    <w:div w:id="750156409">
      <w:bodyDiv w:val="1"/>
      <w:marLeft w:val="0"/>
      <w:marRight w:val="0"/>
      <w:marTop w:val="0"/>
      <w:marBottom w:val="0"/>
      <w:divBdr>
        <w:top w:val="none" w:sz="0" w:space="0" w:color="auto"/>
        <w:left w:val="none" w:sz="0" w:space="0" w:color="auto"/>
        <w:bottom w:val="none" w:sz="0" w:space="0" w:color="auto"/>
        <w:right w:val="none" w:sz="0" w:space="0" w:color="auto"/>
      </w:divBdr>
    </w:div>
    <w:div w:id="750468433">
      <w:bodyDiv w:val="1"/>
      <w:marLeft w:val="0"/>
      <w:marRight w:val="0"/>
      <w:marTop w:val="0"/>
      <w:marBottom w:val="0"/>
      <w:divBdr>
        <w:top w:val="none" w:sz="0" w:space="0" w:color="auto"/>
        <w:left w:val="none" w:sz="0" w:space="0" w:color="auto"/>
        <w:bottom w:val="none" w:sz="0" w:space="0" w:color="auto"/>
        <w:right w:val="none" w:sz="0" w:space="0" w:color="auto"/>
      </w:divBdr>
    </w:div>
    <w:div w:id="751050980">
      <w:bodyDiv w:val="1"/>
      <w:marLeft w:val="0"/>
      <w:marRight w:val="0"/>
      <w:marTop w:val="0"/>
      <w:marBottom w:val="0"/>
      <w:divBdr>
        <w:top w:val="none" w:sz="0" w:space="0" w:color="auto"/>
        <w:left w:val="none" w:sz="0" w:space="0" w:color="auto"/>
        <w:bottom w:val="none" w:sz="0" w:space="0" w:color="auto"/>
        <w:right w:val="none" w:sz="0" w:space="0" w:color="auto"/>
      </w:divBdr>
    </w:div>
    <w:div w:id="751390681">
      <w:bodyDiv w:val="1"/>
      <w:marLeft w:val="0"/>
      <w:marRight w:val="0"/>
      <w:marTop w:val="0"/>
      <w:marBottom w:val="0"/>
      <w:divBdr>
        <w:top w:val="none" w:sz="0" w:space="0" w:color="auto"/>
        <w:left w:val="none" w:sz="0" w:space="0" w:color="auto"/>
        <w:bottom w:val="none" w:sz="0" w:space="0" w:color="auto"/>
        <w:right w:val="none" w:sz="0" w:space="0" w:color="auto"/>
      </w:divBdr>
    </w:div>
    <w:div w:id="751700251">
      <w:bodyDiv w:val="1"/>
      <w:marLeft w:val="0"/>
      <w:marRight w:val="0"/>
      <w:marTop w:val="0"/>
      <w:marBottom w:val="0"/>
      <w:divBdr>
        <w:top w:val="none" w:sz="0" w:space="0" w:color="auto"/>
        <w:left w:val="none" w:sz="0" w:space="0" w:color="auto"/>
        <w:bottom w:val="none" w:sz="0" w:space="0" w:color="auto"/>
        <w:right w:val="none" w:sz="0" w:space="0" w:color="auto"/>
      </w:divBdr>
    </w:div>
    <w:div w:id="753624014">
      <w:bodyDiv w:val="1"/>
      <w:marLeft w:val="0"/>
      <w:marRight w:val="0"/>
      <w:marTop w:val="0"/>
      <w:marBottom w:val="0"/>
      <w:divBdr>
        <w:top w:val="none" w:sz="0" w:space="0" w:color="auto"/>
        <w:left w:val="none" w:sz="0" w:space="0" w:color="auto"/>
        <w:bottom w:val="none" w:sz="0" w:space="0" w:color="auto"/>
        <w:right w:val="none" w:sz="0" w:space="0" w:color="auto"/>
      </w:divBdr>
    </w:div>
    <w:div w:id="754935087">
      <w:bodyDiv w:val="1"/>
      <w:marLeft w:val="0"/>
      <w:marRight w:val="0"/>
      <w:marTop w:val="0"/>
      <w:marBottom w:val="0"/>
      <w:divBdr>
        <w:top w:val="none" w:sz="0" w:space="0" w:color="auto"/>
        <w:left w:val="none" w:sz="0" w:space="0" w:color="auto"/>
        <w:bottom w:val="none" w:sz="0" w:space="0" w:color="auto"/>
        <w:right w:val="none" w:sz="0" w:space="0" w:color="auto"/>
      </w:divBdr>
    </w:div>
    <w:div w:id="754936887">
      <w:bodyDiv w:val="1"/>
      <w:marLeft w:val="0"/>
      <w:marRight w:val="0"/>
      <w:marTop w:val="0"/>
      <w:marBottom w:val="0"/>
      <w:divBdr>
        <w:top w:val="none" w:sz="0" w:space="0" w:color="auto"/>
        <w:left w:val="none" w:sz="0" w:space="0" w:color="auto"/>
        <w:bottom w:val="none" w:sz="0" w:space="0" w:color="auto"/>
        <w:right w:val="none" w:sz="0" w:space="0" w:color="auto"/>
      </w:divBdr>
    </w:div>
    <w:div w:id="756557767">
      <w:bodyDiv w:val="1"/>
      <w:marLeft w:val="0"/>
      <w:marRight w:val="0"/>
      <w:marTop w:val="0"/>
      <w:marBottom w:val="0"/>
      <w:divBdr>
        <w:top w:val="none" w:sz="0" w:space="0" w:color="auto"/>
        <w:left w:val="none" w:sz="0" w:space="0" w:color="auto"/>
        <w:bottom w:val="none" w:sz="0" w:space="0" w:color="auto"/>
        <w:right w:val="none" w:sz="0" w:space="0" w:color="auto"/>
      </w:divBdr>
    </w:div>
    <w:div w:id="756754219">
      <w:bodyDiv w:val="1"/>
      <w:marLeft w:val="0"/>
      <w:marRight w:val="0"/>
      <w:marTop w:val="0"/>
      <w:marBottom w:val="0"/>
      <w:divBdr>
        <w:top w:val="none" w:sz="0" w:space="0" w:color="auto"/>
        <w:left w:val="none" w:sz="0" w:space="0" w:color="auto"/>
        <w:bottom w:val="none" w:sz="0" w:space="0" w:color="auto"/>
        <w:right w:val="none" w:sz="0" w:space="0" w:color="auto"/>
      </w:divBdr>
    </w:div>
    <w:div w:id="757217538">
      <w:bodyDiv w:val="1"/>
      <w:marLeft w:val="0"/>
      <w:marRight w:val="0"/>
      <w:marTop w:val="0"/>
      <w:marBottom w:val="0"/>
      <w:divBdr>
        <w:top w:val="none" w:sz="0" w:space="0" w:color="auto"/>
        <w:left w:val="none" w:sz="0" w:space="0" w:color="auto"/>
        <w:bottom w:val="none" w:sz="0" w:space="0" w:color="auto"/>
        <w:right w:val="none" w:sz="0" w:space="0" w:color="auto"/>
      </w:divBdr>
    </w:div>
    <w:div w:id="757562274">
      <w:bodyDiv w:val="1"/>
      <w:marLeft w:val="0"/>
      <w:marRight w:val="0"/>
      <w:marTop w:val="0"/>
      <w:marBottom w:val="0"/>
      <w:divBdr>
        <w:top w:val="none" w:sz="0" w:space="0" w:color="auto"/>
        <w:left w:val="none" w:sz="0" w:space="0" w:color="auto"/>
        <w:bottom w:val="none" w:sz="0" w:space="0" w:color="auto"/>
        <w:right w:val="none" w:sz="0" w:space="0" w:color="auto"/>
      </w:divBdr>
    </w:div>
    <w:div w:id="758450314">
      <w:bodyDiv w:val="1"/>
      <w:marLeft w:val="0"/>
      <w:marRight w:val="0"/>
      <w:marTop w:val="0"/>
      <w:marBottom w:val="0"/>
      <w:divBdr>
        <w:top w:val="none" w:sz="0" w:space="0" w:color="auto"/>
        <w:left w:val="none" w:sz="0" w:space="0" w:color="auto"/>
        <w:bottom w:val="none" w:sz="0" w:space="0" w:color="auto"/>
        <w:right w:val="none" w:sz="0" w:space="0" w:color="auto"/>
      </w:divBdr>
    </w:div>
    <w:div w:id="758525471">
      <w:bodyDiv w:val="1"/>
      <w:marLeft w:val="0"/>
      <w:marRight w:val="0"/>
      <w:marTop w:val="0"/>
      <w:marBottom w:val="0"/>
      <w:divBdr>
        <w:top w:val="none" w:sz="0" w:space="0" w:color="auto"/>
        <w:left w:val="none" w:sz="0" w:space="0" w:color="auto"/>
        <w:bottom w:val="none" w:sz="0" w:space="0" w:color="auto"/>
        <w:right w:val="none" w:sz="0" w:space="0" w:color="auto"/>
      </w:divBdr>
    </w:div>
    <w:div w:id="758991021">
      <w:bodyDiv w:val="1"/>
      <w:marLeft w:val="0"/>
      <w:marRight w:val="0"/>
      <w:marTop w:val="0"/>
      <w:marBottom w:val="0"/>
      <w:divBdr>
        <w:top w:val="none" w:sz="0" w:space="0" w:color="auto"/>
        <w:left w:val="none" w:sz="0" w:space="0" w:color="auto"/>
        <w:bottom w:val="none" w:sz="0" w:space="0" w:color="auto"/>
        <w:right w:val="none" w:sz="0" w:space="0" w:color="auto"/>
      </w:divBdr>
    </w:div>
    <w:div w:id="759373644">
      <w:bodyDiv w:val="1"/>
      <w:marLeft w:val="0"/>
      <w:marRight w:val="0"/>
      <w:marTop w:val="0"/>
      <w:marBottom w:val="0"/>
      <w:divBdr>
        <w:top w:val="none" w:sz="0" w:space="0" w:color="auto"/>
        <w:left w:val="none" w:sz="0" w:space="0" w:color="auto"/>
        <w:bottom w:val="none" w:sz="0" w:space="0" w:color="auto"/>
        <w:right w:val="none" w:sz="0" w:space="0" w:color="auto"/>
      </w:divBdr>
    </w:div>
    <w:div w:id="759376596">
      <w:bodyDiv w:val="1"/>
      <w:marLeft w:val="0"/>
      <w:marRight w:val="0"/>
      <w:marTop w:val="0"/>
      <w:marBottom w:val="0"/>
      <w:divBdr>
        <w:top w:val="none" w:sz="0" w:space="0" w:color="auto"/>
        <w:left w:val="none" w:sz="0" w:space="0" w:color="auto"/>
        <w:bottom w:val="none" w:sz="0" w:space="0" w:color="auto"/>
        <w:right w:val="none" w:sz="0" w:space="0" w:color="auto"/>
      </w:divBdr>
    </w:div>
    <w:div w:id="760028862">
      <w:bodyDiv w:val="1"/>
      <w:marLeft w:val="0"/>
      <w:marRight w:val="0"/>
      <w:marTop w:val="0"/>
      <w:marBottom w:val="0"/>
      <w:divBdr>
        <w:top w:val="none" w:sz="0" w:space="0" w:color="auto"/>
        <w:left w:val="none" w:sz="0" w:space="0" w:color="auto"/>
        <w:bottom w:val="none" w:sz="0" w:space="0" w:color="auto"/>
        <w:right w:val="none" w:sz="0" w:space="0" w:color="auto"/>
      </w:divBdr>
    </w:div>
    <w:div w:id="760176124">
      <w:bodyDiv w:val="1"/>
      <w:marLeft w:val="0"/>
      <w:marRight w:val="0"/>
      <w:marTop w:val="0"/>
      <w:marBottom w:val="0"/>
      <w:divBdr>
        <w:top w:val="none" w:sz="0" w:space="0" w:color="auto"/>
        <w:left w:val="none" w:sz="0" w:space="0" w:color="auto"/>
        <w:bottom w:val="none" w:sz="0" w:space="0" w:color="auto"/>
        <w:right w:val="none" w:sz="0" w:space="0" w:color="auto"/>
      </w:divBdr>
    </w:div>
    <w:div w:id="760221546">
      <w:bodyDiv w:val="1"/>
      <w:marLeft w:val="0"/>
      <w:marRight w:val="0"/>
      <w:marTop w:val="0"/>
      <w:marBottom w:val="0"/>
      <w:divBdr>
        <w:top w:val="none" w:sz="0" w:space="0" w:color="auto"/>
        <w:left w:val="none" w:sz="0" w:space="0" w:color="auto"/>
        <w:bottom w:val="none" w:sz="0" w:space="0" w:color="auto"/>
        <w:right w:val="none" w:sz="0" w:space="0" w:color="auto"/>
      </w:divBdr>
    </w:div>
    <w:div w:id="760370303">
      <w:bodyDiv w:val="1"/>
      <w:marLeft w:val="0"/>
      <w:marRight w:val="0"/>
      <w:marTop w:val="0"/>
      <w:marBottom w:val="0"/>
      <w:divBdr>
        <w:top w:val="none" w:sz="0" w:space="0" w:color="auto"/>
        <w:left w:val="none" w:sz="0" w:space="0" w:color="auto"/>
        <w:bottom w:val="none" w:sz="0" w:space="0" w:color="auto"/>
        <w:right w:val="none" w:sz="0" w:space="0" w:color="auto"/>
      </w:divBdr>
    </w:div>
    <w:div w:id="760567949">
      <w:bodyDiv w:val="1"/>
      <w:marLeft w:val="0"/>
      <w:marRight w:val="0"/>
      <w:marTop w:val="0"/>
      <w:marBottom w:val="0"/>
      <w:divBdr>
        <w:top w:val="none" w:sz="0" w:space="0" w:color="auto"/>
        <w:left w:val="none" w:sz="0" w:space="0" w:color="auto"/>
        <w:bottom w:val="none" w:sz="0" w:space="0" w:color="auto"/>
        <w:right w:val="none" w:sz="0" w:space="0" w:color="auto"/>
      </w:divBdr>
    </w:div>
    <w:div w:id="760613021">
      <w:bodyDiv w:val="1"/>
      <w:marLeft w:val="0"/>
      <w:marRight w:val="0"/>
      <w:marTop w:val="0"/>
      <w:marBottom w:val="0"/>
      <w:divBdr>
        <w:top w:val="none" w:sz="0" w:space="0" w:color="auto"/>
        <w:left w:val="none" w:sz="0" w:space="0" w:color="auto"/>
        <w:bottom w:val="none" w:sz="0" w:space="0" w:color="auto"/>
        <w:right w:val="none" w:sz="0" w:space="0" w:color="auto"/>
      </w:divBdr>
    </w:div>
    <w:div w:id="760837711">
      <w:bodyDiv w:val="1"/>
      <w:marLeft w:val="0"/>
      <w:marRight w:val="0"/>
      <w:marTop w:val="0"/>
      <w:marBottom w:val="0"/>
      <w:divBdr>
        <w:top w:val="none" w:sz="0" w:space="0" w:color="auto"/>
        <w:left w:val="none" w:sz="0" w:space="0" w:color="auto"/>
        <w:bottom w:val="none" w:sz="0" w:space="0" w:color="auto"/>
        <w:right w:val="none" w:sz="0" w:space="0" w:color="auto"/>
      </w:divBdr>
    </w:div>
    <w:div w:id="761489813">
      <w:bodyDiv w:val="1"/>
      <w:marLeft w:val="0"/>
      <w:marRight w:val="0"/>
      <w:marTop w:val="0"/>
      <w:marBottom w:val="0"/>
      <w:divBdr>
        <w:top w:val="none" w:sz="0" w:space="0" w:color="auto"/>
        <w:left w:val="none" w:sz="0" w:space="0" w:color="auto"/>
        <w:bottom w:val="none" w:sz="0" w:space="0" w:color="auto"/>
        <w:right w:val="none" w:sz="0" w:space="0" w:color="auto"/>
      </w:divBdr>
    </w:div>
    <w:div w:id="761609679">
      <w:bodyDiv w:val="1"/>
      <w:marLeft w:val="0"/>
      <w:marRight w:val="0"/>
      <w:marTop w:val="0"/>
      <w:marBottom w:val="0"/>
      <w:divBdr>
        <w:top w:val="none" w:sz="0" w:space="0" w:color="auto"/>
        <w:left w:val="none" w:sz="0" w:space="0" w:color="auto"/>
        <w:bottom w:val="none" w:sz="0" w:space="0" w:color="auto"/>
        <w:right w:val="none" w:sz="0" w:space="0" w:color="auto"/>
      </w:divBdr>
    </w:div>
    <w:div w:id="761996566">
      <w:bodyDiv w:val="1"/>
      <w:marLeft w:val="0"/>
      <w:marRight w:val="0"/>
      <w:marTop w:val="0"/>
      <w:marBottom w:val="0"/>
      <w:divBdr>
        <w:top w:val="none" w:sz="0" w:space="0" w:color="auto"/>
        <w:left w:val="none" w:sz="0" w:space="0" w:color="auto"/>
        <w:bottom w:val="none" w:sz="0" w:space="0" w:color="auto"/>
        <w:right w:val="none" w:sz="0" w:space="0" w:color="auto"/>
      </w:divBdr>
    </w:div>
    <w:div w:id="762260614">
      <w:bodyDiv w:val="1"/>
      <w:marLeft w:val="0"/>
      <w:marRight w:val="0"/>
      <w:marTop w:val="0"/>
      <w:marBottom w:val="0"/>
      <w:divBdr>
        <w:top w:val="none" w:sz="0" w:space="0" w:color="auto"/>
        <w:left w:val="none" w:sz="0" w:space="0" w:color="auto"/>
        <w:bottom w:val="none" w:sz="0" w:space="0" w:color="auto"/>
        <w:right w:val="none" w:sz="0" w:space="0" w:color="auto"/>
      </w:divBdr>
    </w:div>
    <w:div w:id="762341245">
      <w:bodyDiv w:val="1"/>
      <w:marLeft w:val="0"/>
      <w:marRight w:val="0"/>
      <w:marTop w:val="0"/>
      <w:marBottom w:val="0"/>
      <w:divBdr>
        <w:top w:val="none" w:sz="0" w:space="0" w:color="auto"/>
        <w:left w:val="none" w:sz="0" w:space="0" w:color="auto"/>
        <w:bottom w:val="none" w:sz="0" w:space="0" w:color="auto"/>
        <w:right w:val="none" w:sz="0" w:space="0" w:color="auto"/>
      </w:divBdr>
    </w:div>
    <w:div w:id="762384285">
      <w:bodyDiv w:val="1"/>
      <w:marLeft w:val="0"/>
      <w:marRight w:val="0"/>
      <w:marTop w:val="0"/>
      <w:marBottom w:val="0"/>
      <w:divBdr>
        <w:top w:val="none" w:sz="0" w:space="0" w:color="auto"/>
        <w:left w:val="none" w:sz="0" w:space="0" w:color="auto"/>
        <w:bottom w:val="none" w:sz="0" w:space="0" w:color="auto"/>
        <w:right w:val="none" w:sz="0" w:space="0" w:color="auto"/>
      </w:divBdr>
    </w:div>
    <w:div w:id="762458507">
      <w:bodyDiv w:val="1"/>
      <w:marLeft w:val="0"/>
      <w:marRight w:val="0"/>
      <w:marTop w:val="0"/>
      <w:marBottom w:val="0"/>
      <w:divBdr>
        <w:top w:val="none" w:sz="0" w:space="0" w:color="auto"/>
        <w:left w:val="none" w:sz="0" w:space="0" w:color="auto"/>
        <w:bottom w:val="none" w:sz="0" w:space="0" w:color="auto"/>
        <w:right w:val="none" w:sz="0" w:space="0" w:color="auto"/>
      </w:divBdr>
    </w:div>
    <w:div w:id="762654318">
      <w:bodyDiv w:val="1"/>
      <w:marLeft w:val="0"/>
      <w:marRight w:val="0"/>
      <w:marTop w:val="0"/>
      <w:marBottom w:val="0"/>
      <w:divBdr>
        <w:top w:val="none" w:sz="0" w:space="0" w:color="auto"/>
        <w:left w:val="none" w:sz="0" w:space="0" w:color="auto"/>
        <w:bottom w:val="none" w:sz="0" w:space="0" w:color="auto"/>
        <w:right w:val="none" w:sz="0" w:space="0" w:color="auto"/>
      </w:divBdr>
    </w:div>
    <w:div w:id="764112627">
      <w:bodyDiv w:val="1"/>
      <w:marLeft w:val="0"/>
      <w:marRight w:val="0"/>
      <w:marTop w:val="0"/>
      <w:marBottom w:val="0"/>
      <w:divBdr>
        <w:top w:val="none" w:sz="0" w:space="0" w:color="auto"/>
        <w:left w:val="none" w:sz="0" w:space="0" w:color="auto"/>
        <w:bottom w:val="none" w:sz="0" w:space="0" w:color="auto"/>
        <w:right w:val="none" w:sz="0" w:space="0" w:color="auto"/>
      </w:divBdr>
    </w:div>
    <w:div w:id="764493477">
      <w:bodyDiv w:val="1"/>
      <w:marLeft w:val="0"/>
      <w:marRight w:val="0"/>
      <w:marTop w:val="0"/>
      <w:marBottom w:val="0"/>
      <w:divBdr>
        <w:top w:val="none" w:sz="0" w:space="0" w:color="auto"/>
        <w:left w:val="none" w:sz="0" w:space="0" w:color="auto"/>
        <w:bottom w:val="none" w:sz="0" w:space="0" w:color="auto"/>
        <w:right w:val="none" w:sz="0" w:space="0" w:color="auto"/>
      </w:divBdr>
    </w:div>
    <w:div w:id="766659148">
      <w:bodyDiv w:val="1"/>
      <w:marLeft w:val="0"/>
      <w:marRight w:val="0"/>
      <w:marTop w:val="0"/>
      <w:marBottom w:val="0"/>
      <w:divBdr>
        <w:top w:val="none" w:sz="0" w:space="0" w:color="auto"/>
        <w:left w:val="none" w:sz="0" w:space="0" w:color="auto"/>
        <w:bottom w:val="none" w:sz="0" w:space="0" w:color="auto"/>
        <w:right w:val="none" w:sz="0" w:space="0" w:color="auto"/>
      </w:divBdr>
    </w:div>
    <w:div w:id="766734633">
      <w:bodyDiv w:val="1"/>
      <w:marLeft w:val="0"/>
      <w:marRight w:val="0"/>
      <w:marTop w:val="0"/>
      <w:marBottom w:val="0"/>
      <w:divBdr>
        <w:top w:val="none" w:sz="0" w:space="0" w:color="auto"/>
        <w:left w:val="none" w:sz="0" w:space="0" w:color="auto"/>
        <w:bottom w:val="none" w:sz="0" w:space="0" w:color="auto"/>
        <w:right w:val="none" w:sz="0" w:space="0" w:color="auto"/>
      </w:divBdr>
    </w:div>
    <w:div w:id="768046444">
      <w:bodyDiv w:val="1"/>
      <w:marLeft w:val="0"/>
      <w:marRight w:val="0"/>
      <w:marTop w:val="0"/>
      <w:marBottom w:val="0"/>
      <w:divBdr>
        <w:top w:val="none" w:sz="0" w:space="0" w:color="auto"/>
        <w:left w:val="none" w:sz="0" w:space="0" w:color="auto"/>
        <w:bottom w:val="none" w:sz="0" w:space="0" w:color="auto"/>
        <w:right w:val="none" w:sz="0" w:space="0" w:color="auto"/>
      </w:divBdr>
    </w:div>
    <w:div w:id="768231470">
      <w:bodyDiv w:val="1"/>
      <w:marLeft w:val="0"/>
      <w:marRight w:val="0"/>
      <w:marTop w:val="0"/>
      <w:marBottom w:val="0"/>
      <w:divBdr>
        <w:top w:val="none" w:sz="0" w:space="0" w:color="auto"/>
        <w:left w:val="none" w:sz="0" w:space="0" w:color="auto"/>
        <w:bottom w:val="none" w:sz="0" w:space="0" w:color="auto"/>
        <w:right w:val="none" w:sz="0" w:space="0" w:color="auto"/>
      </w:divBdr>
    </w:div>
    <w:div w:id="768238448">
      <w:bodyDiv w:val="1"/>
      <w:marLeft w:val="0"/>
      <w:marRight w:val="0"/>
      <w:marTop w:val="0"/>
      <w:marBottom w:val="0"/>
      <w:divBdr>
        <w:top w:val="none" w:sz="0" w:space="0" w:color="auto"/>
        <w:left w:val="none" w:sz="0" w:space="0" w:color="auto"/>
        <w:bottom w:val="none" w:sz="0" w:space="0" w:color="auto"/>
        <w:right w:val="none" w:sz="0" w:space="0" w:color="auto"/>
      </w:divBdr>
    </w:div>
    <w:div w:id="768356111">
      <w:bodyDiv w:val="1"/>
      <w:marLeft w:val="0"/>
      <w:marRight w:val="0"/>
      <w:marTop w:val="0"/>
      <w:marBottom w:val="0"/>
      <w:divBdr>
        <w:top w:val="none" w:sz="0" w:space="0" w:color="auto"/>
        <w:left w:val="none" w:sz="0" w:space="0" w:color="auto"/>
        <w:bottom w:val="none" w:sz="0" w:space="0" w:color="auto"/>
        <w:right w:val="none" w:sz="0" w:space="0" w:color="auto"/>
      </w:divBdr>
    </w:div>
    <w:div w:id="768432297">
      <w:bodyDiv w:val="1"/>
      <w:marLeft w:val="0"/>
      <w:marRight w:val="0"/>
      <w:marTop w:val="0"/>
      <w:marBottom w:val="0"/>
      <w:divBdr>
        <w:top w:val="none" w:sz="0" w:space="0" w:color="auto"/>
        <w:left w:val="none" w:sz="0" w:space="0" w:color="auto"/>
        <w:bottom w:val="none" w:sz="0" w:space="0" w:color="auto"/>
        <w:right w:val="none" w:sz="0" w:space="0" w:color="auto"/>
      </w:divBdr>
    </w:div>
    <w:div w:id="769275184">
      <w:bodyDiv w:val="1"/>
      <w:marLeft w:val="0"/>
      <w:marRight w:val="0"/>
      <w:marTop w:val="0"/>
      <w:marBottom w:val="0"/>
      <w:divBdr>
        <w:top w:val="none" w:sz="0" w:space="0" w:color="auto"/>
        <w:left w:val="none" w:sz="0" w:space="0" w:color="auto"/>
        <w:bottom w:val="none" w:sz="0" w:space="0" w:color="auto"/>
        <w:right w:val="none" w:sz="0" w:space="0" w:color="auto"/>
      </w:divBdr>
    </w:div>
    <w:div w:id="769472688">
      <w:bodyDiv w:val="1"/>
      <w:marLeft w:val="0"/>
      <w:marRight w:val="0"/>
      <w:marTop w:val="0"/>
      <w:marBottom w:val="0"/>
      <w:divBdr>
        <w:top w:val="none" w:sz="0" w:space="0" w:color="auto"/>
        <w:left w:val="none" w:sz="0" w:space="0" w:color="auto"/>
        <w:bottom w:val="none" w:sz="0" w:space="0" w:color="auto"/>
        <w:right w:val="none" w:sz="0" w:space="0" w:color="auto"/>
      </w:divBdr>
    </w:div>
    <w:div w:id="770391348">
      <w:bodyDiv w:val="1"/>
      <w:marLeft w:val="0"/>
      <w:marRight w:val="0"/>
      <w:marTop w:val="0"/>
      <w:marBottom w:val="0"/>
      <w:divBdr>
        <w:top w:val="none" w:sz="0" w:space="0" w:color="auto"/>
        <w:left w:val="none" w:sz="0" w:space="0" w:color="auto"/>
        <w:bottom w:val="none" w:sz="0" w:space="0" w:color="auto"/>
        <w:right w:val="none" w:sz="0" w:space="0" w:color="auto"/>
      </w:divBdr>
    </w:div>
    <w:div w:id="770468548">
      <w:bodyDiv w:val="1"/>
      <w:marLeft w:val="0"/>
      <w:marRight w:val="0"/>
      <w:marTop w:val="0"/>
      <w:marBottom w:val="0"/>
      <w:divBdr>
        <w:top w:val="none" w:sz="0" w:space="0" w:color="auto"/>
        <w:left w:val="none" w:sz="0" w:space="0" w:color="auto"/>
        <w:bottom w:val="none" w:sz="0" w:space="0" w:color="auto"/>
        <w:right w:val="none" w:sz="0" w:space="0" w:color="auto"/>
      </w:divBdr>
    </w:div>
    <w:div w:id="770587909">
      <w:bodyDiv w:val="1"/>
      <w:marLeft w:val="0"/>
      <w:marRight w:val="0"/>
      <w:marTop w:val="0"/>
      <w:marBottom w:val="0"/>
      <w:divBdr>
        <w:top w:val="none" w:sz="0" w:space="0" w:color="auto"/>
        <w:left w:val="none" w:sz="0" w:space="0" w:color="auto"/>
        <w:bottom w:val="none" w:sz="0" w:space="0" w:color="auto"/>
        <w:right w:val="none" w:sz="0" w:space="0" w:color="auto"/>
      </w:divBdr>
    </w:div>
    <w:div w:id="770590372">
      <w:bodyDiv w:val="1"/>
      <w:marLeft w:val="0"/>
      <w:marRight w:val="0"/>
      <w:marTop w:val="0"/>
      <w:marBottom w:val="0"/>
      <w:divBdr>
        <w:top w:val="none" w:sz="0" w:space="0" w:color="auto"/>
        <w:left w:val="none" w:sz="0" w:space="0" w:color="auto"/>
        <w:bottom w:val="none" w:sz="0" w:space="0" w:color="auto"/>
        <w:right w:val="none" w:sz="0" w:space="0" w:color="auto"/>
      </w:divBdr>
    </w:div>
    <w:div w:id="770777389">
      <w:bodyDiv w:val="1"/>
      <w:marLeft w:val="0"/>
      <w:marRight w:val="0"/>
      <w:marTop w:val="0"/>
      <w:marBottom w:val="0"/>
      <w:divBdr>
        <w:top w:val="none" w:sz="0" w:space="0" w:color="auto"/>
        <w:left w:val="none" w:sz="0" w:space="0" w:color="auto"/>
        <w:bottom w:val="none" w:sz="0" w:space="0" w:color="auto"/>
        <w:right w:val="none" w:sz="0" w:space="0" w:color="auto"/>
      </w:divBdr>
    </w:div>
    <w:div w:id="771626550">
      <w:bodyDiv w:val="1"/>
      <w:marLeft w:val="0"/>
      <w:marRight w:val="0"/>
      <w:marTop w:val="0"/>
      <w:marBottom w:val="0"/>
      <w:divBdr>
        <w:top w:val="none" w:sz="0" w:space="0" w:color="auto"/>
        <w:left w:val="none" w:sz="0" w:space="0" w:color="auto"/>
        <w:bottom w:val="none" w:sz="0" w:space="0" w:color="auto"/>
        <w:right w:val="none" w:sz="0" w:space="0" w:color="auto"/>
      </w:divBdr>
    </w:div>
    <w:div w:id="771708764">
      <w:bodyDiv w:val="1"/>
      <w:marLeft w:val="0"/>
      <w:marRight w:val="0"/>
      <w:marTop w:val="0"/>
      <w:marBottom w:val="0"/>
      <w:divBdr>
        <w:top w:val="none" w:sz="0" w:space="0" w:color="auto"/>
        <w:left w:val="none" w:sz="0" w:space="0" w:color="auto"/>
        <w:bottom w:val="none" w:sz="0" w:space="0" w:color="auto"/>
        <w:right w:val="none" w:sz="0" w:space="0" w:color="auto"/>
      </w:divBdr>
    </w:div>
    <w:div w:id="772287968">
      <w:bodyDiv w:val="1"/>
      <w:marLeft w:val="0"/>
      <w:marRight w:val="0"/>
      <w:marTop w:val="0"/>
      <w:marBottom w:val="0"/>
      <w:divBdr>
        <w:top w:val="none" w:sz="0" w:space="0" w:color="auto"/>
        <w:left w:val="none" w:sz="0" w:space="0" w:color="auto"/>
        <w:bottom w:val="none" w:sz="0" w:space="0" w:color="auto"/>
        <w:right w:val="none" w:sz="0" w:space="0" w:color="auto"/>
      </w:divBdr>
    </w:div>
    <w:div w:id="772478142">
      <w:bodyDiv w:val="1"/>
      <w:marLeft w:val="0"/>
      <w:marRight w:val="0"/>
      <w:marTop w:val="0"/>
      <w:marBottom w:val="0"/>
      <w:divBdr>
        <w:top w:val="none" w:sz="0" w:space="0" w:color="auto"/>
        <w:left w:val="none" w:sz="0" w:space="0" w:color="auto"/>
        <w:bottom w:val="none" w:sz="0" w:space="0" w:color="auto"/>
        <w:right w:val="none" w:sz="0" w:space="0" w:color="auto"/>
      </w:divBdr>
    </w:div>
    <w:div w:id="772628229">
      <w:bodyDiv w:val="1"/>
      <w:marLeft w:val="0"/>
      <w:marRight w:val="0"/>
      <w:marTop w:val="0"/>
      <w:marBottom w:val="0"/>
      <w:divBdr>
        <w:top w:val="none" w:sz="0" w:space="0" w:color="auto"/>
        <w:left w:val="none" w:sz="0" w:space="0" w:color="auto"/>
        <w:bottom w:val="none" w:sz="0" w:space="0" w:color="auto"/>
        <w:right w:val="none" w:sz="0" w:space="0" w:color="auto"/>
      </w:divBdr>
    </w:div>
    <w:div w:id="773130396">
      <w:bodyDiv w:val="1"/>
      <w:marLeft w:val="0"/>
      <w:marRight w:val="0"/>
      <w:marTop w:val="0"/>
      <w:marBottom w:val="0"/>
      <w:divBdr>
        <w:top w:val="none" w:sz="0" w:space="0" w:color="auto"/>
        <w:left w:val="none" w:sz="0" w:space="0" w:color="auto"/>
        <w:bottom w:val="none" w:sz="0" w:space="0" w:color="auto"/>
        <w:right w:val="none" w:sz="0" w:space="0" w:color="auto"/>
      </w:divBdr>
    </w:div>
    <w:div w:id="773133761">
      <w:bodyDiv w:val="1"/>
      <w:marLeft w:val="0"/>
      <w:marRight w:val="0"/>
      <w:marTop w:val="0"/>
      <w:marBottom w:val="0"/>
      <w:divBdr>
        <w:top w:val="none" w:sz="0" w:space="0" w:color="auto"/>
        <w:left w:val="none" w:sz="0" w:space="0" w:color="auto"/>
        <w:bottom w:val="none" w:sz="0" w:space="0" w:color="auto"/>
        <w:right w:val="none" w:sz="0" w:space="0" w:color="auto"/>
      </w:divBdr>
    </w:div>
    <w:div w:id="773669191">
      <w:bodyDiv w:val="1"/>
      <w:marLeft w:val="0"/>
      <w:marRight w:val="0"/>
      <w:marTop w:val="0"/>
      <w:marBottom w:val="0"/>
      <w:divBdr>
        <w:top w:val="none" w:sz="0" w:space="0" w:color="auto"/>
        <w:left w:val="none" w:sz="0" w:space="0" w:color="auto"/>
        <w:bottom w:val="none" w:sz="0" w:space="0" w:color="auto"/>
        <w:right w:val="none" w:sz="0" w:space="0" w:color="auto"/>
      </w:divBdr>
    </w:div>
    <w:div w:id="773866842">
      <w:bodyDiv w:val="1"/>
      <w:marLeft w:val="0"/>
      <w:marRight w:val="0"/>
      <w:marTop w:val="0"/>
      <w:marBottom w:val="0"/>
      <w:divBdr>
        <w:top w:val="none" w:sz="0" w:space="0" w:color="auto"/>
        <w:left w:val="none" w:sz="0" w:space="0" w:color="auto"/>
        <w:bottom w:val="none" w:sz="0" w:space="0" w:color="auto"/>
        <w:right w:val="none" w:sz="0" w:space="0" w:color="auto"/>
      </w:divBdr>
    </w:div>
    <w:div w:id="774255824">
      <w:bodyDiv w:val="1"/>
      <w:marLeft w:val="0"/>
      <w:marRight w:val="0"/>
      <w:marTop w:val="0"/>
      <w:marBottom w:val="0"/>
      <w:divBdr>
        <w:top w:val="none" w:sz="0" w:space="0" w:color="auto"/>
        <w:left w:val="none" w:sz="0" w:space="0" w:color="auto"/>
        <w:bottom w:val="none" w:sz="0" w:space="0" w:color="auto"/>
        <w:right w:val="none" w:sz="0" w:space="0" w:color="auto"/>
      </w:divBdr>
    </w:div>
    <w:div w:id="774517372">
      <w:bodyDiv w:val="1"/>
      <w:marLeft w:val="0"/>
      <w:marRight w:val="0"/>
      <w:marTop w:val="0"/>
      <w:marBottom w:val="0"/>
      <w:divBdr>
        <w:top w:val="none" w:sz="0" w:space="0" w:color="auto"/>
        <w:left w:val="none" w:sz="0" w:space="0" w:color="auto"/>
        <w:bottom w:val="none" w:sz="0" w:space="0" w:color="auto"/>
        <w:right w:val="none" w:sz="0" w:space="0" w:color="auto"/>
      </w:divBdr>
    </w:div>
    <w:div w:id="775053607">
      <w:bodyDiv w:val="1"/>
      <w:marLeft w:val="0"/>
      <w:marRight w:val="0"/>
      <w:marTop w:val="0"/>
      <w:marBottom w:val="0"/>
      <w:divBdr>
        <w:top w:val="none" w:sz="0" w:space="0" w:color="auto"/>
        <w:left w:val="none" w:sz="0" w:space="0" w:color="auto"/>
        <w:bottom w:val="none" w:sz="0" w:space="0" w:color="auto"/>
        <w:right w:val="none" w:sz="0" w:space="0" w:color="auto"/>
      </w:divBdr>
    </w:div>
    <w:div w:id="775369735">
      <w:bodyDiv w:val="1"/>
      <w:marLeft w:val="0"/>
      <w:marRight w:val="0"/>
      <w:marTop w:val="0"/>
      <w:marBottom w:val="0"/>
      <w:divBdr>
        <w:top w:val="none" w:sz="0" w:space="0" w:color="auto"/>
        <w:left w:val="none" w:sz="0" w:space="0" w:color="auto"/>
        <w:bottom w:val="none" w:sz="0" w:space="0" w:color="auto"/>
        <w:right w:val="none" w:sz="0" w:space="0" w:color="auto"/>
      </w:divBdr>
    </w:div>
    <w:div w:id="775753135">
      <w:bodyDiv w:val="1"/>
      <w:marLeft w:val="0"/>
      <w:marRight w:val="0"/>
      <w:marTop w:val="0"/>
      <w:marBottom w:val="0"/>
      <w:divBdr>
        <w:top w:val="none" w:sz="0" w:space="0" w:color="auto"/>
        <w:left w:val="none" w:sz="0" w:space="0" w:color="auto"/>
        <w:bottom w:val="none" w:sz="0" w:space="0" w:color="auto"/>
        <w:right w:val="none" w:sz="0" w:space="0" w:color="auto"/>
      </w:divBdr>
    </w:div>
    <w:div w:id="775759525">
      <w:bodyDiv w:val="1"/>
      <w:marLeft w:val="0"/>
      <w:marRight w:val="0"/>
      <w:marTop w:val="0"/>
      <w:marBottom w:val="0"/>
      <w:divBdr>
        <w:top w:val="none" w:sz="0" w:space="0" w:color="auto"/>
        <w:left w:val="none" w:sz="0" w:space="0" w:color="auto"/>
        <w:bottom w:val="none" w:sz="0" w:space="0" w:color="auto"/>
        <w:right w:val="none" w:sz="0" w:space="0" w:color="auto"/>
      </w:divBdr>
    </w:div>
    <w:div w:id="776146398">
      <w:bodyDiv w:val="1"/>
      <w:marLeft w:val="0"/>
      <w:marRight w:val="0"/>
      <w:marTop w:val="0"/>
      <w:marBottom w:val="0"/>
      <w:divBdr>
        <w:top w:val="none" w:sz="0" w:space="0" w:color="auto"/>
        <w:left w:val="none" w:sz="0" w:space="0" w:color="auto"/>
        <w:bottom w:val="none" w:sz="0" w:space="0" w:color="auto"/>
        <w:right w:val="none" w:sz="0" w:space="0" w:color="auto"/>
      </w:divBdr>
    </w:div>
    <w:div w:id="776219599">
      <w:bodyDiv w:val="1"/>
      <w:marLeft w:val="0"/>
      <w:marRight w:val="0"/>
      <w:marTop w:val="0"/>
      <w:marBottom w:val="0"/>
      <w:divBdr>
        <w:top w:val="none" w:sz="0" w:space="0" w:color="auto"/>
        <w:left w:val="none" w:sz="0" w:space="0" w:color="auto"/>
        <w:bottom w:val="none" w:sz="0" w:space="0" w:color="auto"/>
        <w:right w:val="none" w:sz="0" w:space="0" w:color="auto"/>
      </w:divBdr>
    </w:div>
    <w:div w:id="776221820">
      <w:bodyDiv w:val="1"/>
      <w:marLeft w:val="0"/>
      <w:marRight w:val="0"/>
      <w:marTop w:val="0"/>
      <w:marBottom w:val="0"/>
      <w:divBdr>
        <w:top w:val="none" w:sz="0" w:space="0" w:color="auto"/>
        <w:left w:val="none" w:sz="0" w:space="0" w:color="auto"/>
        <w:bottom w:val="none" w:sz="0" w:space="0" w:color="auto"/>
        <w:right w:val="none" w:sz="0" w:space="0" w:color="auto"/>
      </w:divBdr>
    </w:div>
    <w:div w:id="776801762">
      <w:bodyDiv w:val="1"/>
      <w:marLeft w:val="0"/>
      <w:marRight w:val="0"/>
      <w:marTop w:val="0"/>
      <w:marBottom w:val="0"/>
      <w:divBdr>
        <w:top w:val="none" w:sz="0" w:space="0" w:color="auto"/>
        <w:left w:val="none" w:sz="0" w:space="0" w:color="auto"/>
        <w:bottom w:val="none" w:sz="0" w:space="0" w:color="auto"/>
        <w:right w:val="none" w:sz="0" w:space="0" w:color="auto"/>
      </w:divBdr>
    </w:div>
    <w:div w:id="777069838">
      <w:bodyDiv w:val="1"/>
      <w:marLeft w:val="0"/>
      <w:marRight w:val="0"/>
      <w:marTop w:val="0"/>
      <w:marBottom w:val="0"/>
      <w:divBdr>
        <w:top w:val="none" w:sz="0" w:space="0" w:color="auto"/>
        <w:left w:val="none" w:sz="0" w:space="0" w:color="auto"/>
        <w:bottom w:val="none" w:sz="0" w:space="0" w:color="auto"/>
        <w:right w:val="none" w:sz="0" w:space="0" w:color="auto"/>
      </w:divBdr>
    </w:div>
    <w:div w:id="777136355">
      <w:bodyDiv w:val="1"/>
      <w:marLeft w:val="0"/>
      <w:marRight w:val="0"/>
      <w:marTop w:val="0"/>
      <w:marBottom w:val="0"/>
      <w:divBdr>
        <w:top w:val="none" w:sz="0" w:space="0" w:color="auto"/>
        <w:left w:val="none" w:sz="0" w:space="0" w:color="auto"/>
        <w:bottom w:val="none" w:sz="0" w:space="0" w:color="auto"/>
        <w:right w:val="none" w:sz="0" w:space="0" w:color="auto"/>
      </w:divBdr>
    </w:div>
    <w:div w:id="777526215">
      <w:bodyDiv w:val="1"/>
      <w:marLeft w:val="0"/>
      <w:marRight w:val="0"/>
      <w:marTop w:val="0"/>
      <w:marBottom w:val="0"/>
      <w:divBdr>
        <w:top w:val="none" w:sz="0" w:space="0" w:color="auto"/>
        <w:left w:val="none" w:sz="0" w:space="0" w:color="auto"/>
        <w:bottom w:val="none" w:sz="0" w:space="0" w:color="auto"/>
        <w:right w:val="none" w:sz="0" w:space="0" w:color="auto"/>
      </w:divBdr>
    </w:div>
    <w:div w:id="777681925">
      <w:bodyDiv w:val="1"/>
      <w:marLeft w:val="0"/>
      <w:marRight w:val="0"/>
      <w:marTop w:val="0"/>
      <w:marBottom w:val="0"/>
      <w:divBdr>
        <w:top w:val="none" w:sz="0" w:space="0" w:color="auto"/>
        <w:left w:val="none" w:sz="0" w:space="0" w:color="auto"/>
        <w:bottom w:val="none" w:sz="0" w:space="0" w:color="auto"/>
        <w:right w:val="none" w:sz="0" w:space="0" w:color="auto"/>
      </w:divBdr>
    </w:div>
    <w:div w:id="778065459">
      <w:bodyDiv w:val="1"/>
      <w:marLeft w:val="0"/>
      <w:marRight w:val="0"/>
      <w:marTop w:val="0"/>
      <w:marBottom w:val="0"/>
      <w:divBdr>
        <w:top w:val="none" w:sz="0" w:space="0" w:color="auto"/>
        <w:left w:val="none" w:sz="0" w:space="0" w:color="auto"/>
        <w:bottom w:val="none" w:sz="0" w:space="0" w:color="auto"/>
        <w:right w:val="none" w:sz="0" w:space="0" w:color="auto"/>
      </w:divBdr>
    </w:div>
    <w:div w:id="778328958">
      <w:bodyDiv w:val="1"/>
      <w:marLeft w:val="0"/>
      <w:marRight w:val="0"/>
      <w:marTop w:val="0"/>
      <w:marBottom w:val="0"/>
      <w:divBdr>
        <w:top w:val="none" w:sz="0" w:space="0" w:color="auto"/>
        <w:left w:val="none" w:sz="0" w:space="0" w:color="auto"/>
        <w:bottom w:val="none" w:sz="0" w:space="0" w:color="auto"/>
        <w:right w:val="none" w:sz="0" w:space="0" w:color="auto"/>
      </w:divBdr>
    </w:div>
    <w:div w:id="778643101">
      <w:bodyDiv w:val="1"/>
      <w:marLeft w:val="0"/>
      <w:marRight w:val="0"/>
      <w:marTop w:val="0"/>
      <w:marBottom w:val="0"/>
      <w:divBdr>
        <w:top w:val="none" w:sz="0" w:space="0" w:color="auto"/>
        <w:left w:val="none" w:sz="0" w:space="0" w:color="auto"/>
        <w:bottom w:val="none" w:sz="0" w:space="0" w:color="auto"/>
        <w:right w:val="none" w:sz="0" w:space="0" w:color="auto"/>
      </w:divBdr>
    </w:div>
    <w:div w:id="778913099">
      <w:bodyDiv w:val="1"/>
      <w:marLeft w:val="0"/>
      <w:marRight w:val="0"/>
      <w:marTop w:val="0"/>
      <w:marBottom w:val="0"/>
      <w:divBdr>
        <w:top w:val="none" w:sz="0" w:space="0" w:color="auto"/>
        <w:left w:val="none" w:sz="0" w:space="0" w:color="auto"/>
        <w:bottom w:val="none" w:sz="0" w:space="0" w:color="auto"/>
        <w:right w:val="none" w:sz="0" w:space="0" w:color="auto"/>
      </w:divBdr>
    </w:div>
    <w:div w:id="779374030">
      <w:bodyDiv w:val="1"/>
      <w:marLeft w:val="0"/>
      <w:marRight w:val="0"/>
      <w:marTop w:val="0"/>
      <w:marBottom w:val="0"/>
      <w:divBdr>
        <w:top w:val="none" w:sz="0" w:space="0" w:color="auto"/>
        <w:left w:val="none" w:sz="0" w:space="0" w:color="auto"/>
        <w:bottom w:val="none" w:sz="0" w:space="0" w:color="auto"/>
        <w:right w:val="none" w:sz="0" w:space="0" w:color="auto"/>
      </w:divBdr>
    </w:div>
    <w:div w:id="779837028">
      <w:bodyDiv w:val="1"/>
      <w:marLeft w:val="0"/>
      <w:marRight w:val="0"/>
      <w:marTop w:val="0"/>
      <w:marBottom w:val="0"/>
      <w:divBdr>
        <w:top w:val="none" w:sz="0" w:space="0" w:color="auto"/>
        <w:left w:val="none" w:sz="0" w:space="0" w:color="auto"/>
        <w:bottom w:val="none" w:sz="0" w:space="0" w:color="auto"/>
        <w:right w:val="none" w:sz="0" w:space="0" w:color="auto"/>
      </w:divBdr>
    </w:div>
    <w:div w:id="780422117">
      <w:bodyDiv w:val="1"/>
      <w:marLeft w:val="0"/>
      <w:marRight w:val="0"/>
      <w:marTop w:val="0"/>
      <w:marBottom w:val="0"/>
      <w:divBdr>
        <w:top w:val="none" w:sz="0" w:space="0" w:color="auto"/>
        <w:left w:val="none" w:sz="0" w:space="0" w:color="auto"/>
        <w:bottom w:val="none" w:sz="0" w:space="0" w:color="auto"/>
        <w:right w:val="none" w:sz="0" w:space="0" w:color="auto"/>
      </w:divBdr>
    </w:div>
    <w:div w:id="780951573">
      <w:bodyDiv w:val="1"/>
      <w:marLeft w:val="0"/>
      <w:marRight w:val="0"/>
      <w:marTop w:val="0"/>
      <w:marBottom w:val="0"/>
      <w:divBdr>
        <w:top w:val="none" w:sz="0" w:space="0" w:color="auto"/>
        <w:left w:val="none" w:sz="0" w:space="0" w:color="auto"/>
        <w:bottom w:val="none" w:sz="0" w:space="0" w:color="auto"/>
        <w:right w:val="none" w:sz="0" w:space="0" w:color="auto"/>
      </w:divBdr>
    </w:div>
    <w:div w:id="781849700">
      <w:bodyDiv w:val="1"/>
      <w:marLeft w:val="0"/>
      <w:marRight w:val="0"/>
      <w:marTop w:val="0"/>
      <w:marBottom w:val="0"/>
      <w:divBdr>
        <w:top w:val="none" w:sz="0" w:space="0" w:color="auto"/>
        <w:left w:val="none" w:sz="0" w:space="0" w:color="auto"/>
        <w:bottom w:val="none" w:sz="0" w:space="0" w:color="auto"/>
        <w:right w:val="none" w:sz="0" w:space="0" w:color="auto"/>
      </w:divBdr>
    </w:div>
    <w:div w:id="782069033">
      <w:bodyDiv w:val="1"/>
      <w:marLeft w:val="0"/>
      <w:marRight w:val="0"/>
      <w:marTop w:val="0"/>
      <w:marBottom w:val="0"/>
      <w:divBdr>
        <w:top w:val="none" w:sz="0" w:space="0" w:color="auto"/>
        <w:left w:val="none" w:sz="0" w:space="0" w:color="auto"/>
        <w:bottom w:val="none" w:sz="0" w:space="0" w:color="auto"/>
        <w:right w:val="none" w:sz="0" w:space="0" w:color="auto"/>
      </w:divBdr>
    </w:div>
    <w:div w:id="782186403">
      <w:bodyDiv w:val="1"/>
      <w:marLeft w:val="0"/>
      <w:marRight w:val="0"/>
      <w:marTop w:val="0"/>
      <w:marBottom w:val="0"/>
      <w:divBdr>
        <w:top w:val="none" w:sz="0" w:space="0" w:color="auto"/>
        <w:left w:val="none" w:sz="0" w:space="0" w:color="auto"/>
        <w:bottom w:val="none" w:sz="0" w:space="0" w:color="auto"/>
        <w:right w:val="none" w:sz="0" w:space="0" w:color="auto"/>
      </w:divBdr>
    </w:div>
    <w:div w:id="782502384">
      <w:bodyDiv w:val="1"/>
      <w:marLeft w:val="0"/>
      <w:marRight w:val="0"/>
      <w:marTop w:val="0"/>
      <w:marBottom w:val="0"/>
      <w:divBdr>
        <w:top w:val="none" w:sz="0" w:space="0" w:color="auto"/>
        <w:left w:val="none" w:sz="0" w:space="0" w:color="auto"/>
        <w:bottom w:val="none" w:sz="0" w:space="0" w:color="auto"/>
        <w:right w:val="none" w:sz="0" w:space="0" w:color="auto"/>
      </w:divBdr>
    </w:div>
    <w:div w:id="782531481">
      <w:bodyDiv w:val="1"/>
      <w:marLeft w:val="0"/>
      <w:marRight w:val="0"/>
      <w:marTop w:val="0"/>
      <w:marBottom w:val="0"/>
      <w:divBdr>
        <w:top w:val="none" w:sz="0" w:space="0" w:color="auto"/>
        <w:left w:val="none" w:sz="0" w:space="0" w:color="auto"/>
        <w:bottom w:val="none" w:sz="0" w:space="0" w:color="auto"/>
        <w:right w:val="none" w:sz="0" w:space="0" w:color="auto"/>
      </w:divBdr>
    </w:div>
    <w:div w:id="783500872">
      <w:bodyDiv w:val="1"/>
      <w:marLeft w:val="0"/>
      <w:marRight w:val="0"/>
      <w:marTop w:val="0"/>
      <w:marBottom w:val="0"/>
      <w:divBdr>
        <w:top w:val="none" w:sz="0" w:space="0" w:color="auto"/>
        <w:left w:val="none" w:sz="0" w:space="0" w:color="auto"/>
        <w:bottom w:val="none" w:sz="0" w:space="0" w:color="auto"/>
        <w:right w:val="none" w:sz="0" w:space="0" w:color="auto"/>
      </w:divBdr>
    </w:div>
    <w:div w:id="784231587">
      <w:bodyDiv w:val="1"/>
      <w:marLeft w:val="0"/>
      <w:marRight w:val="0"/>
      <w:marTop w:val="0"/>
      <w:marBottom w:val="0"/>
      <w:divBdr>
        <w:top w:val="none" w:sz="0" w:space="0" w:color="auto"/>
        <w:left w:val="none" w:sz="0" w:space="0" w:color="auto"/>
        <w:bottom w:val="none" w:sz="0" w:space="0" w:color="auto"/>
        <w:right w:val="none" w:sz="0" w:space="0" w:color="auto"/>
      </w:divBdr>
    </w:div>
    <w:div w:id="785537026">
      <w:bodyDiv w:val="1"/>
      <w:marLeft w:val="0"/>
      <w:marRight w:val="0"/>
      <w:marTop w:val="0"/>
      <w:marBottom w:val="0"/>
      <w:divBdr>
        <w:top w:val="none" w:sz="0" w:space="0" w:color="auto"/>
        <w:left w:val="none" w:sz="0" w:space="0" w:color="auto"/>
        <w:bottom w:val="none" w:sz="0" w:space="0" w:color="auto"/>
        <w:right w:val="none" w:sz="0" w:space="0" w:color="auto"/>
      </w:divBdr>
    </w:div>
    <w:div w:id="785848518">
      <w:bodyDiv w:val="1"/>
      <w:marLeft w:val="0"/>
      <w:marRight w:val="0"/>
      <w:marTop w:val="0"/>
      <w:marBottom w:val="0"/>
      <w:divBdr>
        <w:top w:val="none" w:sz="0" w:space="0" w:color="auto"/>
        <w:left w:val="none" w:sz="0" w:space="0" w:color="auto"/>
        <w:bottom w:val="none" w:sz="0" w:space="0" w:color="auto"/>
        <w:right w:val="none" w:sz="0" w:space="0" w:color="auto"/>
      </w:divBdr>
    </w:div>
    <w:div w:id="786778222">
      <w:bodyDiv w:val="1"/>
      <w:marLeft w:val="0"/>
      <w:marRight w:val="0"/>
      <w:marTop w:val="0"/>
      <w:marBottom w:val="0"/>
      <w:divBdr>
        <w:top w:val="none" w:sz="0" w:space="0" w:color="auto"/>
        <w:left w:val="none" w:sz="0" w:space="0" w:color="auto"/>
        <w:bottom w:val="none" w:sz="0" w:space="0" w:color="auto"/>
        <w:right w:val="none" w:sz="0" w:space="0" w:color="auto"/>
      </w:divBdr>
    </w:div>
    <w:div w:id="787163701">
      <w:bodyDiv w:val="1"/>
      <w:marLeft w:val="0"/>
      <w:marRight w:val="0"/>
      <w:marTop w:val="0"/>
      <w:marBottom w:val="0"/>
      <w:divBdr>
        <w:top w:val="none" w:sz="0" w:space="0" w:color="auto"/>
        <w:left w:val="none" w:sz="0" w:space="0" w:color="auto"/>
        <w:bottom w:val="none" w:sz="0" w:space="0" w:color="auto"/>
        <w:right w:val="none" w:sz="0" w:space="0" w:color="auto"/>
      </w:divBdr>
    </w:div>
    <w:div w:id="787310199">
      <w:bodyDiv w:val="1"/>
      <w:marLeft w:val="0"/>
      <w:marRight w:val="0"/>
      <w:marTop w:val="0"/>
      <w:marBottom w:val="0"/>
      <w:divBdr>
        <w:top w:val="none" w:sz="0" w:space="0" w:color="auto"/>
        <w:left w:val="none" w:sz="0" w:space="0" w:color="auto"/>
        <w:bottom w:val="none" w:sz="0" w:space="0" w:color="auto"/>
        <w:right w:val="none" w:sz="0" w:space="0" w:color="auto"/>
      </w:divBdr>
    </w:div>
    <w:div w:id="787310649">
      <w:bodyDiv w:val="1"/>
      <w:marLeft w:val="0"/>
      <w:marRight w:val="0"/>
      <w:marTop w:val="0"/>
      <w:marBottom w:val="0"/>
      <w:divBdr>
        <w:top w:val="none" w:sz="0" w:space="0" w:color="auto"/>
        <w:left w:val="none" w:sz="0" w:space="0" w:color="auto"/>
        <w:bottom w:val="none" w:sz="0" w:space="0" w:color="auto"/>
        <w:right w:val="none" w:sz="0" w:space="0" w:color="auto"/>
      </w:divBdr>
    </w:div>
    <w:div w:id="787744465">
      <w:bodyDiv w:val="1"/>
      <w:marLeft w:val="0"/>
      <w:marRight w:val="0"/>
      <w:marTop w:val="0"/>
      <w:marBottom w:val="0"/>
      <w:divBdr>
        <w:top w:val="none" w:sz="0" w:space="0" w:color="auto"/>
        <w:left w:val="none" w:sz="0" w:space="0" w:color="auto"/>
        <w:bottom w:val="none" w:sz="0" w:space="0" w:color="auto"/>
        <w:right w:val="none" w:sz="0" w:space="0" w:color="auto"/>
      </w:divBdr>
    </w:div>
    <w:div w:id="787966059">
      <w:bodyDiv w:val="1"/>
      <w:marLeft w:val="0"/>
      <w:marRight w:val="0"/>
      <w:marTop w:val="0"/>
      <w:marBottom w:val="0"/>
      <w:divBdr>
        <w:top w:val="none" w:sz="0" w:space="0" w:color="auto"/>
        <w:left w:val="none" w:sz="0" w:space="0" w:color="auto"/>
        <w:bottom w:val="none" w:sz="0" w:space="0" w:color="auto"/>
        <w:right w:val="none" w:sz="0" w:space="0" w:color="auto"/>
      </w:divBdr>
    </w:div>
    <w:div w:id="788816581">
      <w:bodyDiv w:val="1"/>
      <w:marLeft w:val="0"/>
      <w:marRight w:val="0"/>
      <w:marTop w:val="0"/>
      <w:marBottom w:val="0"/>
      <w:divBdr>
        <w:top w:val="none" w:sz="0" w:space="0" w:color="auto"/>
        <w:left w:val="none" w:sz="0" w:space="0" w:color="auto"/>
        <w:bottom w:val="none" w:sz="0" w:space="0" w:color="auto"/>
        <w:right w:val="none" w:sz="0" w:space="0" w:color="auto"/>
      </w:divBdr>
    </w:div>
    <w:div w:id="789400267">
      <w:bodyDiv w:val="1"/>
      <w:marLeft w:val="0"/>
      <w:marRight w:val="0"/>
      <w:marTop w:val="0"/>
      <w:marBottom w:val="0"/>
      <w:divBdr>
        <w:top w:val="none" w:sz="0" w:space="0" w:color="auto"/>
        <w:left w:val="none" w:sz="0" w:space="0" w:color="auto"/>
        <w:bottom w:val="none" w:sz="0" w:space="0" w:color="auto"/>
        <w:right w:val="none" w:sz="0" w:space="0" w:color="auto"/>
      </w:divBdr>
    </w:div>
    <w:div w:id="789589965">
      <w:bodyDiv w:val="1"/>
      <w:marLeft w:val="0"/>
      <w:marRight w:val="0"/>
      <w:marTop w:val="0"/>
      <w:marBottom w:val="0"/>
      <w:divBdr>
        <w:top w:val="none" w:sz="0" w:space="0" w:color="auto"/>
        <w:left w:val="none" w:sz="0" w:space="0" w:color="auto"/>
        <w:bottom w:val="none" w:sz="0" w:space="0" w:color="auto"/>
        <w:right w:val="none" w:sz="0" w:space="0" w:color="auto"/>
      </w:divBdr>
    </w:div>
    <w:div w:id="789783088">
      <w:bodyDiv w:val="1"/>
      <w:marLeft w:val="0"/>
      <w:marRight w:val="0"/>
      <w:marTop w:val="0"/>
      <w:marBottom w:val="0"/>
      <w:divBdr>
        <w:top w:val="none" w:sz="0" w:space="0" w:color="auto"/>
        <w:left w:val="none" w:sz="0" w:space="0" w:color="auto"/>
        <w:bottom w:val="none" w:sz="0" w:space="0" w:color="auto"/>
        <w:right w:val="none" w:sz="0" w:space="0" w:color="auto"/>
      </w:divBdr>
    </w:div>
    <w:div w:id="789937480">
      <w:bodyDiv w:val="1"/>
      <w:marLeft w:val="0"/>
      <w:marRight w:val="0"/>
      <w:marTop w:val="0"/>
      <w:marBottom w:val="0"/>
      <w:divBdr>
        <w:top w:val="none" w:sz="0" w:space="0" w:color="auto"/>
        <w:left w:val="none" w:sz="0" w:space="0" w:color="auto"/>
        <w:bottom w:val="none" w:sz="0" w:space="0" w:color="auto"/>
        <w:right w:val="none" w:sz="0" w:space="0" w:color="auto"/>
      </w:divBdr>
    </w:div>
    <w:div w:id="790905033">
      <w:bodyDiv w:val="1"/>
      <w:marLeft w:val="0"/>
      <w:marRight w:val="0"/>
      <w:marTop w:val="0"/>
      <w:marBottom w:val="0"/>
      <w:divBdr>
        <w:top w:val="none" w:sz="0" w:space="0" w:color="auto"/>
        <w:left w:val="none" w:sz="0" w:space="0" w:color="auto"/>
        <w:bottom w:val="none" w:sz="0" w:space="0" w:color="auto"/>
        <w:right w:val="none" w:sz="0" w:space="0" w:color="auto"/>
      </w:divBdr>
    </w:div>
    <w:div w:id="791168944">
      <w:bodyDiv w:val="1"/>
      <w:marLeft w:val="0"/>
      <w:marRight w:val="0"/>
      <w:marTop w:val="0"/>
      <w:marBottom w:val="0"/>
      <w:divBdr>
        <w:top w:val="none" w:sz="0" w:space="0" w:color="auto"/>
        <w:left w:val="none" w:sz="0" w:space="0" w:color="auto"/>
        <w:bottom w:val="none" w:sz="0" w:space="0" w:color="auto"/>
        <w:right w:val="none" w:sz="0" w:space="0" w:color="auto"/>
      </w:divBdr>
    </w:div>
    <w:div w:id="791293306">
      <w:bodyDiv w:val="1"/>
      <w:marLeft w:val="0"/>
      <w:marRight w:val="0"/>
      <w:marTop w:val="0"/>
      <w:marBottom w:val="0"/>
      <w:divBdr>
        <w:top w:val="none" w:sz="0" w:space="0" w:color="auto"/>
        <w:left w:val="none" w:sz="0" w:space="0" w:color="auto"/>
        <w:bottom w:val="none" w:sz="0" w:space="0" w:color="auto"/>
        <w:right w:val="none" w:sz="0" w:space="0" w:color="auto"/>
      </w:divBdr>
    </w:div>
    <w:div w:id="791479626">
      <w:bodyDiv w:val="1"/>
      <w:marLeft w:val="0"/>
      <w:marRight w:val="0"/>
      <w:marTop w:val="0"/>
      <w:marBottom w:val="0"/>
      <w:divBdr>
        <w:top w:val="none" w:sz="0" w:space="0" w:color="auto"/>
        <w:left w:val="none" w:sz="0" w:space="0" w:color="auto"/>
        <w:bottom w:val="none" w:sz="0" w:space="0" w:color="auto"/>
        <w:right w:val="none" w:sz="0" w:space="0" w:color="auto"/>
      </w:divBdr>
    </w:div>
    <w:div w:id="791901019">
      <w:bodyDiv w:val="1"/>
      <w:marLeft w:val="0"/>
      <w:marRight w:val="0"/>
      <w:marTop w:val="0"/>
      <w:marBottom w:val="0"/>
      <w:divBdr>
        <w:top w:val="none" w:sz="0" w:space="0" w:color="auto"/>
        <w:left w:val="none" w:sz="0" w:space="0" w:color="auto"/>
        <w:bottom w:val="none" w:sz="0" w:space="0" w:color="auto"/>
        <w:right w:val="none" w:sz="0" w:space="0" w:color="auto"/>
      </w:divBdr>
    </w:div>
    <w:div w:id="792744952">
      <w:bodyDiv w:val="1"/>
      <w:marLeft w:val="0"/>
      <w:marRight w:val="0"/>
      <w:marTop w:val="0"/>
      <w:marBottom w:val="0"/>
      <w:divBdr>
        <w:top w:val="none" w:sz="0" w:space="0" w:color="auto"/>
        <w:left w:val="none" w:sz="0" w:space="0" w:color="auto"/>
        <w:bottom w:val="none" w:sz="0" w:space="0" w:color="auto"/>
        <w:right w:val="none" w:sz="0" w:space="0" w:color="auto"/>
      </w:divBdr>
    </w:div>
    <w:div w:id="792942754">
      <w:bodyDiv w:val="1"/>
      <w:marLeft w:val="0"/>
      <w:marRight w:val="0"/>
      <w:marTop w:val="0"/>
      <w:marBottom w:val="0"/>
      <w:divBdr>
        <w:top w:val="none" w:sz="0" w:space="0" w:color="auto"/>
        <w:left w:val="none" w:sz="0" w:space="0" w:color="auto"/>
        <w:bottom w:val="none" w:sz="0" w:space="0" w:color="auto"/>
        <w:right w:val="none" w:sz="0" w:space="0" w:color="auto"/>
      </w:divBdr>
    </w:div>
    <w:div w:id="793452064">
      <w:bodyDiv w:val="1"/>
      <w:marLeft w:val="0"/>
      <w:marRight w:val="0"/>
      <w:marTop w:val="0"/>
      <w:marBottom w:val="0"/>
      <w:divBdr>
        <w:top w:val="none" w:sz="0" w:space="0" w:color="auto"/>
        <w:left w:val="none" w:sz="0" w:space="0" w:color="auto"/>
        <w:bottom w:val="none" w:sz="0" w:space="0" w:color="auto"/>
        <w:right w:val="none" w:sz="0" w:space="0" w:color="auto"/>
      </w:divBdr>
    </w:div>
    <w:div w:id="793596327">
      <w:bodyDiv w:val="1"/>
      <w:marLeft w:val="0"/>
      <w:marRight w:val="0"/>
      <w:marTop w:val="0"/>
      <w:marBottom w:val="0"/>
      <w:divBdr>
        <w:top w:val="none" w:sz="0" w:space="0" w:color="auto"/>
        <w:left w:val="none" w:sz="0" w:space="0" w:color="auto"/>
        <w:bottom w:val="none" w:sz="0" w:space="0" w:color="auto"/>
        <w:right w:val="none" w:sz="0" w:space="0" w:color="auto"/>
      </w:divBdr>
    </w:div>
    <w:div w:id="793794404">
      <w:bodyDiv w:val="1"/>
      <w:marLeft w:val="0"/>
      <w:marRight w:val="0"/>
      <w:marTop w:val="0"/>
      <w:marBottom w:val="0"/>
      <w:divBdr>
        <w:top w:val="none" w:sz="0" w:space="0" w:color="auto"/>
        <w:left w:val="none" w:sz="0" w:space="0" w:color="auto"/>
        <w:bottom w:val="none" w:sz="0" w:space="0" w:color="auto"/>
        <w:right w:val="none" w:sz="0" w:space="0" w:color="auto"/>
      </w:divBdr>
    </w:div>
    <w:div w:id="794059628">
      <w:bodyDiv w:val="1"/>
      <w:marLeft w:val="0"/>
      <w:marRight w:val="0"/>
      <w:marTop w:val="0"/>
      <w:marBottom w:val="0"/>
      <w:divBdr>
        <w:top w:val="none" w:sz="0" w:space="0" w:color="auto"/>
        <w:left w:val="none" w:sz="0" w:space="0" w:color="auto"/>
        <w:bottom w:val="none" w:sz="0" w:space="0" w:color="auto"/>
        <w:right w:val="none" w:sz="0" w:space="0" w:color="auto"/>
      </w:divBdr>
    </w:div>
    <w:div w:id="794837451">
      <w:bodyDiv w:val="1"/>
      <w:marLeft w:val="0"/>
      <w:marRight w:val="0"/>
      <w:marTop w:val="0"/>
      <w:marBottom w:val="0"/>
      <w:divBdr>
        <w:top w:val="none" w:sz="0" w:space="0" w:color="auto"/>
        <w:left w:val="none" w:sz="0" w:space="0" w:color="auto"/>
        <w:bottom w:val="none" w:sz="0" w:space="0" w:color="auto"/>
        <w:right w:val="none" w:sz="0" w:space="0" w:color="auto"/>
      </w:divBdr>
    </w:div>
    <w:div w:id="795224160">
      <w:bodyDiv w:val="1"/>
      <w:marLeft w:val="0"/>
      <w:marRight w:val="0"/>
      <w:marTop w:val="0"/>
      <w:marBottom w:val="0"/>
      <w:divBdr>
        <w:top w:val="none" w:sz="0" w:space="0" w:color="auto"/>
        <w:left w:val="none" w:sz="0" w:space="0" w:color="auto"/>
        <w:bottom w:val="none" w:sz="0" w:space="0" w:color="auto"/>
        <w:right w:val="none" w:sz="0" w:space="0" w:color="auto"/>
      </w:divBdr>
    </w:div>
    <w:div w:id="795369416">
      <w:bodyDiv w:val="1"/>
      <w:marLeft w:val="0"/>
      <w:marRight w:val="0"/>
      <w:marTop w:val="0"/>
      <w:marBottom w:val="0"/>
      <w:divBdr>
        <w:top w:val="none" w:sz="0" w:space="0" w:color="auto"/>
        <w:left w:val="none" w:sz="0" w:space="0" w:color="auto"/>
        <w:bottom w:val="none" w:sz="0" w:space="0" w:color="auto"/>
        <w:right w:val="none" w:sz="0" w:space="0" w:color="auto"/>
      </w:divBdr>
    </w:div>
    <w:div w:id="797257604">
      <w:bodyDiv w:val="1"/>
      <w:marLeft w:val="0"/>
      <w:marRight w:val="0"/>
      <w:marTop w:val="0"/>
      <w:marBottom w:val="0"/>
      <w:divBdr>
        <w:top w:val="none" w:sz="0" w:space="0" w:color="auto"/>
        <w:left w:val="none" w:sz="0" w:space="0" w:color="auto"/>
        <w:bottom w:val="none" w:sz="0" w:space="0" w:color="auto"/>
        <w:right w:val="none" w:sz="0" w:space="0" w:color="auto"/>
      </w:divBdr>
    </w:div>
    <w:div w:id="798038060">
      <w:bodyDiv w:val="1"/>
      <w:marLeft w:val="0"/>
      <w:marRight w:val="0"/>
      <w:marTop w:val="0"/>
      <w:marBottom w:val="0"/>
      <w:divBdr>
        <w:top w:val="none" w:sz="0" w:space="0" w:color="auto"/>
        <w:left w:val="none" w:sz="0" w:space="0" w:color="auto"/>
        <w:bottom w:val="none" w:sz="0" w:space="0" w:color="auto"/>
        <w:right w:val="none" w:sz="0" w:space="0" w:color="auto"/>
      </w:divBdr>
    </w:div>
    <w:div w:id="798498092">
      <w:bodyDiv w:val="1"/>
      <w:marLeft w:val="0"/>
      <w:marRight w:val="0"/>
      <w:marTop w:val="0"/>
      <w:marBottom w:val="0"/>
      <w:divBdr>
        <w:top w:val="none" w:sz="0" w:space="0" w:color="auto"/>
        <w:left w:val="none" w:sz="0" w:space="0" w:color="auto"/>
        <w:bottom w:val="none" w:sz="0" w:space="0" w:color="auto"/>
        <w:right w:val="none" w:sz="0" w:space="0" w:color="auto"/>
      </w:divBdr>
    </w:div>
    <w:div w:id="799112327">
      <w:bodyDiv w:val="1"/>
      <w:marLeft w:val="0"/>
      <w:marRight w:val="0"/>
      <w:marTop w:val="0"/>
      <w:marBottom w:val="0"/>
      <w:divBdr>
        <w:top w:val="none" w:sz="0" w:space="0" w:color="auto"/>
        <w:left w:val="none" w:sz="0" w:space="0" w:color="auto"/>
        <w:bottom w:val="none" w:sz="0" w:space="0" w:color="auto"/>
        <w:right w:val="none" w:sz="0" w:space="0" w:color="auto"/>
      </w:divBdr>
    </w:div>
    <w:div w:id="799497093">
      <w:bodyDiv w:val="1"/>
      <w:marLeft w:val="0"/>
      <w:marRight w:val="0"/>
      <w:marTop w:val="0"/>
      <w:marBottom w:val="0"/>
      <w:divBdr>
        <w:top w:val="none" w:sz="0" w:space="0" w:color="auto"/>
        <w:left w:val="none" w:sz="0" w:space="0" w:color="auto"/>
        <w:bottom w:val="none" w:sz="0" w:space="0" w:color="auto"/>
        <w:right w:val="none" w:sz="0" w:space="0" w:color="auto"/>
      </w:divBdr>
    </w:div>
    <w:div w:id="799499927">
      <w:bodyDiv w:val="1"/>
      <w:marLeft w:val="0"/>
      <w:marRight w:val="0"/>
      <w:marTop w:val="0"/>
      <w:marBottom w:val="0"/>
      <w:divBdr>
        <w:top w:val="none" w:sz="0" w:space="0" w:color="auto"/>
        <w:left w:val="none" w:sz="0" w:space="0" w:color="auto"/>
        <w:bottom w:val="none" w:sz="0" w:space="0" w:color="auto"/>
        <w:right w:val="none" w:sz="0" w:space="0" w:color="auto"/>
      </w:divBdr>
    </w:div>
    <w:div w:id="799884591">
      <w:bodyDiv w:val="1"/>
      <w:marLeft w:val="0"/>
      <w:marRight w:val="0"/>
      <w:marTop w:val="0"/>
      <w:marBottom w:val="0"/>
      <w:divBdr>
        <w:top w:val="none" w:sz="0" w:space="0" w:color="auto"/>
        <w:left w:val="none" w:sz="0" w:space="0" w:color="auto"/>
        <w:bottom w:val="none" w:sz="0" w:space="0" w:color="auto"/>
        <w:right w:val="none" w:sz="0" w:space="0" w:color="auto"/>
      </w:divBdr>
    </w:div>
    <w:div w:id="800727904">
      <w:bodyDiv w:val="1"/>
      <w:marLeft w:val="0"/>
      <w:marRight w:val="0"/>
      <w:marTop w:val="0"/>
      <w:marBottom w:val="0"/>
      <w:divBdr>
        <w:top w:val="none" w:sz="0" w:space="0" w:color="auto"/>
        <w:left w:val="none" w:sz="0" w:space="0" w:color="auto"/>
        <w:bottom w:val="none" w:sz="0" w:space="0" w:color="auto"/>
        <w:right w:val="none" w:sz="0" w:space="0" w:color="auto"/>
      </w:divBdr>
    </w:div>
    <w:div w:id="800802914">
      <w:bodyDiv w:val="1"/>
      <w:marLeft w:val="0"/>
      <w:marRight w:val="0"/>
      <w:marTop w:val="0"/>
      <w:marBottom w:val="0"/>
      <w:divBdr>
        <w:top w:val="none" w:sz="0" w:space="0" w:color="auto"/>
        <w:left w:val="none" w:sz="0" w:space="0" w:color="auto"/>
        <w:bottom w:val="none" w:sz="0" w:space="0" w:color="auto"/>
        <w:right w:val="none" w:sz="0" w:space="0" w:color="auto"/>
      </w:divBdr>
    </w:div>
    <w:div w:id="801001596">
      <w:bodyDiv w:val="1"/>
      <w:marLeft w:val="0"/>
      <w:marRight w:val="0"/>
      <w:marTop w:val="0"/>
      <w:marBottom w:val="0"/>
      <w:divBdr>
        <w:top w:val="none" w:sz="0" w:space="0" w:color="auto"/>
        <w:left w:val="none" w:sz="0" w:space="0" w:color="auto"/>
        <w:bottom w:val="none" w:sz="0" w:space="0" w:color="auto"/>
        <w:right w:val="none" w:sz="0" w:space="0" w:color="auto"/>
      </w:divBdr>
    </w:div>
    <w:div w:id="801046670">
      <w:bodyDiv w:val="1"/>
      <w:marLeft w:val="0"/>
      <w:marRight w:val="0"/>
      <w:marTop w:val="0"/>
      <w:marBottom w:val="0"/>
      <w:divBdr>
        <w:top w:val="none" w:sz="0" w:space="0" w:color="auto"/>
        <w:left w:val="none" w:sz="0" w:space="0" w:color="auto"/>
        <w:bottom w:val="none" w:sz="0" w:space="0" w:color="auto"/>
        <w:right w:val="none" w:sz="0" w:space="0" w:color="auto"/>
      </w:divBdr>
    </w:div>
    <w:div w:id="801076986">
      <w:bodyDiv w:val="1"/>
      <w:marLeft w:val="0"/>
      <w:marRight w:val="0"/>
      <w:marTop w:val="0"/>
      <w:marBottom w:val="0"/>
      <w:divBdr>
        <w:top w:val="none" w:sz="0" w:space="0" w:color="auto"/>
        <w:left w:val="none" w:sz="0" w:space="0" w:color="auto"/>
        <w:bottom w:val="none" w:sz="0" w:space="0" w:color="auto"/>
        <w:right w:val="none" w:sz="0" w:space="0" w:color="auto"/>
      </w:divBdr>
    </w:div>
    <w:div w:id="801114702">
      <w:bodyDiv w:val="1"/>
      <w:marLeft w:val="0"/>
      <w:marRight w:val="0"/>
      <w:marTop w:val="0"/>
      <w:marBottom w:val="0"/>
      <w:divBdr>
        <w:top w:val="none" w:sz="0" w:space="0" w:color="auto"/>
        <w:left w:val="none" w:sz="0" w:space="0" w:color="auto"/>
        <w:bottom w:val="none" w:sz="0" w:space="0" w:color="auto"/>
        <w:right w:val="none" w:sz="0" w:space="0" w:color="auto"/>
      </w:divBdr>
    </w:div>
    <w:div w:id="801726843">
      <w:bodyDiv w:val="1"/>
      <w:marLeft w:val="0"/>
      <w:marRight w:val="0"/>
      <w:marTop w:val="0"/>
      <w:marBottom w:val="0"/>
      <w:divBdr>
        <w:top w:val="none" w:sz="0" w:space="0" w:color="auto"/>
        <w:left w:val="none" w:sz="0" w:space="0" w:color="auto"/>
        <w:bottom w:val="none" w:sz="0" w:space="0" w:color="auto"/>
        <w:right w:val="none" w:sz="0" w:space="0" w:color="auto"/>
      </w:divBdr>
    </w:div>
    <w:div w:id="802114472">
      <w:bodyDiv w:val="1"/>
      <w:marLeft w:val="0"/>
      <w:marRight w:val="0"/>
      <w:marTop w:val="0"/>
      <w:marBottom w:val="0"/>
      <w:divBdr>
        <w:top w:val="none" w:sz="0" w:space="0" w:color="auto"/>
        <w:left w:val="none" w:sz="0" w:space="0" w:color="auto"/>
        <w:bottom w:val="none" w:sz="0" w:space="0" w:color="auto"/>
        <w:right w:val="none" w:sz="0" w:space="0" w:color="auto"/>
      </w:divBdr>
    </w:div>
    <w:div w:id="803082745">
      <w:bodyDiv w:val="1"/>
      <w:marLeft w:val="0"/>
      <w:marRight w:val="0"/>
      <w:marTop w:val="0"/>
      <w:marBottom w:val="0"/>
      <w:divBdr>
        <w:top w:val="none" w:sz="0" w:space="0" w:color="auto"/>
        <w:left w:val="none" w:sz="0" w:space="0" w:color="auto"/>
        <w:bottom w:val="none" w:sz="0" w:space="0" w:color="auto"/>
        <w:right w:val="none" w:sz="0" w:space="0" w:color="auto"/>
      </w:divBdr>
    </w:div>
    <w:div w:id="803348668">
      <w:bodyDiv w:val="1"/>
      <w:marLeft w:val="0"/>
      <w:marRight w:val="0"/>
      <w:marTop w:val="0"/>
      <w:marBottom w:val="0"/>
      <w:divBdr>
        <w:top w:val="none" w:sz="0" w:space="0" w:color="auto"/>
        <w:left w:val="none" w:sz="0" w:space="0" w:color="auto"/>
        <w:bottom w:val="none" w:sz="0" w:space="0" w:color="auto"/>
        <w:right w:val="none" w:sz="0" w:space="0" w:color="auto"/>
      </w:divBdr>
    </w:div>
    <w:div w:id="803733760">
      <w:bodyDiv w:val="1"/>
      <w:marLeft w:val="0"/>
      <w:marRight w:val="0"/>
      <w:marTop w:val="0"/>
      <w:marBottom w:val="0"/>
      <w:divBdr>
        <w:top w:val="none" w:sz="0" w:space="0" w:color="auto"/>
        <w:left w:val="none" w:sz="0" w:space="0" w:color="auto"/>
        <w:bottom w:val="none" w:sz="0" w:space="0" w:color="auto"/>
        <w:right w:val="none" w:sz="0" w:space="0" w:color="auto"/>
      </w:divBdr>
    </w:div>
    <w:div w:id="803739431">
      <w:bodyDiv w:val="1"/>
      <w:marLeft w:val="0"/>
      <w:marRight w:val="0"/>
      <w:marTop w:val="0"/>
      <w:marBottom w:val="0"/>
      <w:divBdr>
        <w:top w:val="none" w:sz="0" w:space="0" w:color="auto"/>
        <w:left w:val="none" w:sz="0" w:space="0" w:color="auto"/>
        <w:bottom w:val="none" w:sz="0" w:space="0" w:color="auto"/>
        <w:right w:val="none" w:sz="0" w:space="0" w:color="auto"/>
      </w:divBdr>
    </w:div>
    <w:div w:id="803740544">
      <w:bodyDiv w:val="1"/>
      <w:marLeft w:val="0"/>
      <w:marRight w:val="0"/>
      <w:marTop w:val="0"/>
      <w:marBottom w:val="0"/>
      <w:divBdr>
        <w:top w:val="none" w:sz="0" w:space="0" w:color="auto"/>
        <w:left w:val="none" w:sz="0" w:space="0" w:color="auto"/>
        <w:bottom w:val="none" w:sz="0" w:space="0" w:color="auto"/>
        <w:right w:val="none" w:sz="0" w:space="0" w:color="auto"/>
      </w:divBdr>
    </w:div>
    <w:div w:id="804546559">
      <w:bodyDiv w:val="1"/>
      <w:marLeft w:val="0"/>
      <w:marRight w:val="0"/>
      <w:marTop w:val="0"/>
      <w:marBottom w:val="0"/>
      <w:divBdr>
        <w:top w:val="none" w:sz="0" w:space="0" w:color="auto"/>
        <w:left w:val="none" w:sz="0" w:space="0" w:color="auto"/>
        <w:bottom w:val="none" w:sz="0" w:space="0" w:color="auto"/>
        <w:right w:val="none" w:sz="0" w:space="0" w:color="auto"/>
      </w:divBdr>
    </w:div>
    <w:div w:id="804589196">
      <w:bodyDiv w:val="1"/>
      <w:marLeft w:val="0"/>
      <w:marRight w:val="0"/>
      <w:marTop w:val="0"/>
      <w:marBottom w:val="0"/>
      <w:divBdr>
        <w:top w:val="none" w:sz="0" w:space="0" w:color="auto"/>
        <w:left w:val="none" w:sz="0" w:space="0" w:color="auto"/>
        <w:bottom w:val="none" w:sz="0" w:space="0" w:color="auto"/>
        <w:right w:val="none" w:sz="0" w:space="0" w:color="auto"/>
      </w:divBdr>
    </w:div>
    <w:div w:id="804934066">
      <w:bodyDiv w:val="1"/>
      <w:marLeft w:val="0"/>
      <w:marRight w:val="0"/>
      <w:marTop w:val="0"/>
      <w:marBottom w:val="0"/>
      <w:divBdr>
        <w:top w:val="none" w:sz="0" w:space="0" w:color="auto"/>
        <w:left w:val="none" w:sz="0" w:space="0" w:color="auto"/>
        <w:bottom w:val="none" w:sz="0" w:space="0" w:color="auto"/>
        <w:right w:val="none" w:sz="0" w:space="0" w:color="auto"/>
      </w:divBdr>
    </w:div>
    <w:div w:id="805002192">
      <w:bodyDiv w:val="1"/>
      <w:marLeft w:val="0"/>
      <w:marRight w:val="0"/>
      <w:marTop w:val="0"/>
      <w:marBottom w:val="0"/>
      <w:divBdr>
        <w:top w:val="none" w:sz="0" w:space="0" w:color="auto"/>
        <w:left w:val="none" w:sz="0" w:space="0" w:color="auto"/>
        <w:bottom w:val="none" w:sz="0" w:space="0" w:color="auto"/>
        <w:right w:val="none" w:sz="0" w:space="0" w:color="auto"/>
      </w:divBdr>
    </w:div>
    <w:div w:id="805053957">
      <w:bodyDiv w:val="1"/>
      <w:marLeft w:val="0"/>
      <w:marRight w:val="0"/>
      <w:marTop w:val="0"/>
      <w:marBottom w:val="0"/>
      <w:divBdr>
        <w:top w:val="none" w:sz="0" w:space="0" w:color="auto"/>
        <w:left w:val="none" w:sz="0" w:space="0" w:color="auto"/>
        <w:bottom w:val="none" w:sz="0" w:space="0" w:color="auto"/>
        <w:right w:val="none" w:sz="0" w:space="0" w:color="auto"/>
      </w:divBdr>
    </w:div>
    <w:div w:id="805202220">
      <w:bodyDiv w:val="1"/>
      <w:marLeft w:val="0"/>
      <w:marRight w:val="0"/>
      <w:marTop w:val="0"/>
      <w:marBottom w:val="0"/>
      <w:divBdr>
        <w:top w:val="none" w:sz="0" w:space="0" w:color="auto"/>
        <w:left w:val="none" w:sz="0" w:space="0" w:color="auto"/>
        <w:bottom w:val="none" w:sz="0" w:space="0" w:color="auto"/>
        <w:right w:val="none" w:sz="0" w:space="0" w:color="auto"/>
      </w:divBdr>
    </w:div>
    <w:div w:id="805273387">
      <w:bodyDiv w:val="1"/>
      <w:marLeft w:val="0"/>
      <w:marRight w:val="0"/>
      <w:marTop w:val="0"/>
      <w:marBottom w:val="0"/>
      <w:divBdr>
        <w:top w:val="none" w:sz="0" w:space="0" w:color="auto"/>
        <w:left w:val="none" w:sz="0" w:space="0" w:color="auto"/>
        <w:bottom w:val="none" w:sz="0" w:space="0" w:color="auto"/>
        <w:right w:val="none" w:sz="0" w:space="0" w:color="auto"/>
      </w:divBdr>
    </w:div>
    <w:div w:id="805395391">
      <w:bodyDiv w:val="1"/>
      <w:marLeft w:val="0"/>
      <w:marRight w:val="0"/>
      <w:marTop w:val="0"/>
      <w:marBottom w:val="0"/>
      <w:divBdr>
        <w:top w:val="none" w:sz="0" w:space="0" w:color="auto"/>
        <w:left w:val="none" w:sz="0" w:space="0" w:color="auto"/>
        <w:bottom w:val="none" w:sz="0" w:space="0" w:color="auto"/>
        <w:right w:val="none" w:sz="0" w:space="0" w:color="auto"/>
      </w:divBdr>
    </w:div>
    <w:div w:id="805779911">
      <w:bodyDiv w:val="1"/>
      <w:marLeft w:val="0"/>
      <w:marRight w:val="0"/>
      <w:marTop w:val="0"/>
      <w:marBottom w:val="0"/>
      <w:divBdr>
        <w:top w:val="none" w:sz="0" w:space="0" w:color="auto"/>
        <w:left w:val="none" w:sz="0" w:space="0" w:color="auto"/>
        <w:bottom w:val="none" w:sz="0" w:space="0" w:color="auto"/>
        <w:right w:val="none" w:sz="0" w:space="0" w:color="auto"/>
      </w:divBdr>
    </w:div>
    <w:div w:id="806169098">
      <w:bodyDiv w:val="1"/>
      <w:marLeft w:val="0"/>
      <w:marRight w:val="0"/>
      <w:marTop w:val="0"/>
      <w:marBottom w:val="0"/>
      <w:divBdr>
        <w:top w:val="none" w:sz="0" w:space="0" w:color="auto"/>
        <w:left w:val="none" w:sz="0" w:space="0" w:color="auto"/>
        <w:bottom w:val="none" w:sz="0" w:space="0" w:color="auto"/>
        <w:right w:val="none" w:sz="0" w:space="0" w:color="auto"/>
      </w:divBdr>
    </w:div>
    <w:div w:id="806581490">
      <w:bodyDiv w:val="1"/>
      <w:marLeft w:val="0"/>
      <w:marRight w:val="0"/>
      <w:marTop w:val="0"/>
      <w:marBottom w:val="0"/>
      <w:divBdr>
        <w:top w:val="none" w:sz="0" w:space="0" w:color="auto"/>
        <w:left w:val="none" w:sz="0" w:space="0" w:color="auto"/>
        <w:bottom w:val="none" w:sz="0" w:space="0" w:color="auto"/>
        <w:right w:val="none" w:sz="0" w:space="0" w:color="auto"/>
      </w:divBdr>
    </w:div>
    <w:div w:id="806700953">
      <w:bodyDiv w:val="1"/>
      <w:marLeft w:val="0"/>
      <w:marRight w:val="0"/>
      <w:marTop w:val="0"/>
      <w:marBottom w:val="0"/>
      <w:divBdr>
        <w:top w:val="none" w:sz="0" w:space="0" w:color="auto"/>
        <w:left w:val="none" w:sz="0" w:space="0" w:color="auto"/>
        <w:bottom w:val="none" w:sz="0" w:space="0" w:color="auto"/>
        <w:right w:val="none" w:sz="0" w:space="0" w:color="auto"/>
      </w:divBdr>
    </w:div>
    <w:div w:id="807165902">
      <w:bodyDiv w:val="1"/>
      <w:marLeft w:val="0"/>
      <w:marRight w:val="0"/>
      <w:marTop w:val="0"/>
      <w:marBottom w:val="0"/>
      <w:divBdr>
        <w:top w:val="none" w:sz="0" w:space="0" w:color="auto"/>
        <w:left w:val="none" w:sz="0" w:space="0" w:color="auto"/>
        <w:bottom w:val="none" w:sz="0" w:space="0" w:color="auto"/>
        <w:right w:val="none" w:sz="0" w:space="0" w:color="auto"/>
      </w:divBdr>
    </w:div>
    <w:div w:id="807237560">
      <w:bodyDiv w:val="1"/>
      <w:marLeft w:val="0"/>
      <w:marRight w:val="0"/>
      <w:marTop w:val="0"/>
      <w:marBottom w:val="0"/>
      <w:divBdr>
        <w:top w:val="none" w:sz="0" w:space="0" w:color="auto"/>
        <w:left w:val="none" w:sz="0" w:space="0" w:color="auto"/>
        <w:bottom w:val="none" w:sz="0" w:space="0" w:color="auto"/>
        <w:right w:val="none" w:sz="0" w:space="0" w:color="auto"/>
      </w:divBdr>
    </w:div>
    <w:div w:id="807667766">
      <w:bodyDiv w:val="1"/>
      <w:marLeft w:val="0"/>
      <w:marRight w:val="0"/>
      <w:marTop w:val="0"/>
      <w:marBottom w:val="0"/>
      <w:divBdr>
        <w:top w:val="none" w:sz="0" w:space="0" w:color="auto"/>
        <w:left w:val="none" w:sz="0" w:space="0" w:color="auto"/>
        <w:bottom w:val="none" w:sz="0" w:space="0" w:color="auto"/>
        <w:right w:val="none" w:sz="0" w:space="0" w:color="auto"/>
      </w:divBdr>
    </w:div>
    <w:div w:id="808280883">
      <w:bodyDiv w:val="1"/>
      <w:marLeft w:val="0"/>
      <w:marRight w:val="0"/>
      <w:marTop w:val="0"/>
      <w:marBottom w:val="0"/>
      <w:divBdr>
        <w:top w:val="none" w:sz="0" w:space="0" w:color="auto"/>
        <w:left w:val="none" w:sz="0" w:space="0" w:color="auto"/>
        <w:bottom w:val="none" w:sz="0" w:space="0" w:color="auto"/>
        <w:right w:val="none" w:sz="0" w:space="0" w:color="auto"/>
      </w:divBdr>
    </w:div>
    <w:div w:id="808287141">
      <w:bodyDiv w:val="1"/>
      <w:marLeft w:val="0"/>
      <w:marRight w:val="0"/>
      <w:marTop w:val="0"/>
      <w:marBottom w:val="0"/>
      <w:divBdr>
        <w:top w:val="none" w:sz="0" w:space="0" w:color="auto"/>
        <w:left w:val="none" w:sz="0" w:space="0" w:color="auto"/>
        <w:bottom w:val="none" w:sz="0" w:space="0" w:color="auto"/>
        <w:right w:val="none" w:sz="0" w:space="0" w:color="auto"/>
      </w:divBdr>
    </w:div>
    <w:div w:id="808324641">
      <w:bodyDiv w:val="1"/>
      <w:marLeft w:val="0"/>
      <w:marRight w:val="0"/>
      <w:marTop w:val="0"/>
      <w:marBottom w:val="0"/>
      <w:divBdr>
        <w:top w:val="none" w:sz="0" w:space="0" w:color="auto"/>
        <w:left w:val="none" w:sz="0" w:space="0" w:color="auto"/>
        <w:bottom w:val="none" w:sz="0" w:space="0" w:color="auto"/>
        <w:right w:val="none" w:sz="0" w:space="0" w:color="auto"/>
      </w:divBdr>
    </w:div>
    <w:div w:id="808401060">
      <w:bodyDiv w:val="1"/>
      <w:marLeft w:val="0"/>
      <w:marRight w:val="0"/>
      <w:marTop w:val="0"/>
      <w:marBottom w:val="0"/>
      <w:divBdr>
        <w:top w:val="none" w:sz="0" w:space="0" w:color="auto"/>
        <w:left w:val="none" w:sz="0" w:space="0" w:color="auto"/>
        <w:bottom w:val="none" w:sz="0" w:space="0" w:color="auto"/>
        <w:right w:val="none" w:sz="0" w:space="0" w:color="auto"/>
      </w:divBdr>
    </w:div>
    <w:div w:id="808472535">
      <w:bodyDiv w:val="1"/>
      <w:marLeft w:val="0"/>
      <w:marRight w:val="0"/>
      <w:marTop w:val="0"/>
      <w:marBottom w:val="0"/>
      <w:divBdr>
        <w:top w:val="none" w:sz="0" w:space="0" w:color="auto"/>
        <w:left w:val="none" w:sz="0" w:space="0" w:color="auto"/>
        <w:bottom w:val="none" w:sz="0" w:space="0" w:color="auto"/>
        <w:right w:val="none" w:sz="0" w:space="0" w:color="auto"/>
      </w:divBdr>
    </w:div>
    <w:div w:id="808666119">
      <w:bodyDiv w:val="1"/>
      <w:marLeft w:val="0"/>
      <w:marRight w:val="0"/>
      <w:marTop w:val="0"/>
      <w:marBottom w:val="0"/>
      <w:divBdr>
        <w:top w:val="none" w:sz="0" w:space="0" w:color="auto"/>
        <w:left w:val="none" w:sz="0" w:space="0" w:color="auto"/>
        <w:bottom w:val="none" w:sz="0" w:space="0" w:color="auto"/>
        <w:right w:val="none" w:sz="0" w:space="0" w:color="auto"/>
      </w:divBdr>
    </w:div>
    <w:div w:id="808938255">
      <w:bodyDiv w:val="1"/>
      <w:marLeft w:val="0"/>
      <w:marRight w:val="0"/>
      <w:marTop w:val="0"/>
      <w:marBottom w:val="0"/>
      <w:divBdr>
        <w:top w:val="none" w:sz="0" w:space="0" w:color="auto"/>
        <w:left w:val="none" w:sz="0" w:space="0" w:color="auto"/>
        <w:bottom w:val="none" w:sz="0" w:space="0" w:color="auto"/>
        <w:right w:val="none" w:sz="0" w:space="0" w:color="auto"/>
      </w:divBdr>
    </w:div>
    <w:div w:id="809324802">
      <w:bodyDiv w:val="1"/>
      <w:marLeft w:val="0"/>
      <w:marRight w:val="0"/>
      <w:marTop w:val="0"/>
      <w:marBottom w:val="0"/>
      <w:divBdr>
        <w:top w:val="none" w:sz="0" w:space="0" w:color="auto"/>
        <w:left w:val="none" w:sz="0" w:space="0" w:color="auto"/>
        <w:bottom w:val="none" w:sz="0" w:space="0" w:color="auto"/>
        <w:right w:val="none" w:sz="0" w:space="0" w:color="auto"/>
      </w:divBdr>
    </w:div>
    <w:div w:id="809446331">
      <w:bodyDiv w:val="1"/>
      <w:marLeft w:val="0"/>
      <w:marRight w:val="0"/>
      <w:marTop w:val="0"/>
      <w:marBottom w:val="0"/>
      <w:divBdr>
        <w:top w:val="none" w:sz="0" w:space="0" w:color="auto"/>
        <w:left w:val="none" w:sz="0" w:space="0" w:color="auto"/>
        <w:bottom w:val="none" w:sz="0" w:space="0" w:color="auto"/>
        <w:right w:val="none" w:sz="0" w:space="0" w:color="auto"/>
      </w:divBdr>
    </w:div>
    <w:div w:id="809984719">
      <w:bodyDiv w:val="1"/>
      <w:marLeft w:val="0"/>
      <w:marRight w:val="0"/>
      <w:marTop w:val="0"/>
      <w:marBottom w:val="0"/>
      <w:divBdr>
        <w:top w:val="none" w:sz="0" w:space="0" w:color="auto"/>
        <w:left w:val="none" w:sz="0" w:space="0" w:color="auto"/>
        <w:bottom w:val="none" w:sz="0" w:space="0" w:color="auto"/>
        <w:right w:val="none" w:sz="0" w:space="0" w:color="auto"/>
      </w:divBdr>
    </w:div>
    <w:div w:id="810176817">
      <w:bodyDiv w:val="1"/>
      <w:marLeft w:val="0"/>
      <w:marRight w:val="0"/>
      <w:marTop w:val="0"/>
      <w:marBottom w:val="0"/>
      <w:divBdr>
        <w:top w:val="none" w:sz="0" w:space="0" w:color="auto"/>
        <w:left w:val="none" w:sz="0" w:space="0" w:color="auto"/>
        <w:bottom w:val="none" w:sz="0" w:space="0" w:color="auto"/>
        <w:right w:val="none" w:sz="0" w:space="0" w:color="auto"/>
      </w:divBdr>
    </w:div>
    <w:div w:id="810246401">
      <w:bodyDiv w:val="1"/>
      <w:marLeft w:val="0"/>
      <w:marRight w:val="0"/>
      <w:marTop w:val="0"/>
      <w:marBottom w:val="0"/>
      <w:divBdr>
        <w:top w:val="none" w:sz="0" w:space="0" w:color="auto"/>
        <w:left w:val="none" w:sz="0" w:space="0" w:color="auto"/>
        <w:bottom w:val="none" w:sz="0" w:space="0" w:color="auto"/>
        <w:right w:val="none" w:sz="0" w:space="0" w:color="auto"/>
      </w:divBdr>
    </w:div>
    <w:div w:id="810486549">
      <w:bodyDiv w:val="1"/>
      <w:marLeft w:val="0"/>
      <w:marRight w:val="0"/>
      <w:marTop w:val="0"/>
      <w:marBottom w:val="0"/>
      <w:divBdr>
        <w:top w:val="none" w:sz="0" w:space="0" w:color="auto"/>
        <w:left w:val="none" w:sz="0" w:space="0" w:color="auto"/>
        <w:bottom w:val="none" w:sz="0" w:space="0" w:color="auto"/>
        <w:right w:val="none" w:sz="0" w:space="0" w:color="auto"/>
      </w:divBdr>
    </w:div>
    <w:div w:id="810632727">
      <w:bodyDiv w:val="1"/>
      <w:marLeft w:val="0"/>
      <w:marRight w:val="0"/>
      <w:marTop w:val="0"/>
      <w:marBottom w:val="0"/>
      <w:divBdr>
        <w:top w:val="none" w:sz="0" w:space="0" w:color="auto"/>
        <w:left w:val="none" w:sz="0" w:space="0" w:color="auto"/>
        <w:bottom w:val="none" w:sz="0" w:space="0" w:color="auto"/>
        <w:right w:val="none" w:sz="0" w:space="0" w:color="auto"/>
      </w:divBdr>
    </w:div>
    <w:div w:id="811554458">
      <w:bodyDiv w:val="1"/>
      <w:marLeft w:val="0"/>
      <w:marRight w:val="0"/>
      <w:marTop w:val="0"/>
      <w:marBottom w:val="0"/>
      <w:divBdr>
        <w:top w:val="none" w:sz="0" w:space="0" w:color="auto"/>
        <w:left w:val="none" w:sz="0" w:space="0" w:color="auto"/>
        <w:bottom w:val="none" w:sz="0" w:space="0" w:color="auto"/>
        <w:right w:val="none" w:sz="0" w:space="0" w:color="auto"/>
      </w:divBdr>
    </w:div>
    <w:div w:id="811867438">
      <w:bodyDiv w:val="1"/>
      <w:marLeft w:val="0"/>
      <w:marRight w:val="0"/>
      <w:marTop w:val="0"/>
      <w:marBottom w:val="0"/>
      <w:divBdr>
        <w:top w:val="none" w:sz="0" w:space="0" w:color="auto"/>
        <w:left w:val="none" w:sz="0" w:space="0" w:color="auto"/>
        <w:bottom w:val="none" w:sz="0" w:space="0" w:color="auto"/>
        <w:right w:val="none" w:sz="0" w:space="0" w:color="auto"/>
      </w:divBdr>
    </w:div>
    <w:div w:id="812210668">
      <w:bodyDiv w:val="1"/>
      <w:marLeft w:val="0"/>
      <w:marRight w:val="0"/>
      <w:marTop w:val="0"/>
      <w:marBottom w:val="0"/>
      <w:divBdr>
        <w:top w:val="none" w:sz="0" w:space="0" w:color="auto"/>
        <w:left w:val="none" w:sz="0" w:space="0" w:color="auto"/>
        <w:bottom w:val="none" w:sz="0" w:space="0" w:color="auto"/>
        <w:right w:val="none" w:sz="0" w:space="0" w:color="auto"/>
      </w:divBdr>
    </w:div>
    <w:div w:id="812409845">
      <w:bodyDiv w:val="1"/>
      <w:marLeft w:val="0"/>
      <w:marRight w:val="0"/>
      <w:marTop w:val="0"/>
      <w:marBottom w:val="0"/>
      <w:divBdr>
        <w:top w:val="none" w:sz="0" w:space="0" w:color="auto"/>
        <w:left w:val="none" w:sz="0" w:space="0" w:color="auto"/>
        <w:bottom w:val="none" w:sz="0" w:space="0" w:color="auto"/>
        <w:right w:val="none" w:sz="0" w:space="0" w:color="auto"/>
      </w:divBdr>
    </w:div>
    <w:div w:id="812527568">
      <w:bodyDiv w:val="1"/>
      <w:marLeft w:val="0"/>
      <w:marRight w:val="0"/>
      <w:marTop w:val="0"/>
      <w:marBottom w:val="0"/>
      <w:divBdr>
        <w:top w:val="none" w:sz="0" w:space="0" w:color="auto"/>
        <w:left w:val="none" w:sz="0" w:space="0" w:color="auto"/>
        <w:bottom w:val="none" w:sz="0" w:space="0" w:color="auto"/>
        <w:right w:val="none" w:sz="0" w:space="0" w:color="auto"/>
      </w:divBdr>
    </w:div>
    <w:div w:id="812865978">
      <w:bodyDiv w:val="1"/>
      <w:marLeft w:val="0"/>
      <w:marRight w:val="0"/>
      <w:marTop w:val="0"/>
      <w:marBottom w:val="0"/>
      <w:divBdr>
        <w:top w:val="none" w:sz="0" w:space="0" w:color="auto"/>
        <w:left w:val="none" w:sz="0" w:space="0" w:color="auto"/>
        <w:bottom w:val="none" w:sz="0" w:space="0" w:color="auto"/>
        <w:right w:val="none" w:sz="0" w:space="0" w:color="auto"/>
      </w:divBdr>
    </w:div>
    <w:div w:id="812871872">
      <w:bodyDiv w:val="1"/>
      <w:marLeft w:val="0"/>
      <w:marRight w:val="0"/>
      <w:marTop w:val="0"/>
      <w:marBottom w:val="0"/>
      <w:divBdr>
        <w:top w:val="none" w:sz="0" w:space="0" w:color="auto"/>
        <w:left w:val="none" w:sz="0" w:space="0" w:color="auto"/>
        <w:bottom w:val="none" w:sz="0" w:space="0" w:color="auto"/>
        <w:right w:val="none" w:sz="0" w:space="0" w:color="auto"/>
      </w:divBdr>
    </w:div>
    <w:div w:id="814495592">
      <w:bodyDiv w:val="1"/>
      <w:marLeft w:val="0"/>
      <w:marRight w:val="0"/>
      <w:marTop w:val="0"/>
      <w:marBottom w:val="0"/>
      <w:divBdr>
        <w:top w:val="none" w:sz="0" w:space="0" w:color="auto"/>
        <w:left w:val="none" w:sz="0" w:space="0" w:color="auto"/>
        <w:bottom w:val="none" w:sz="0" w:space="0" w:color="auto"/>
        <w:right w:val="none" w:sz="0" w:space="0" w:color="auto"/>
      </w:divBdr>
    </w:div>
    <w:div w:id="815074832">
      <w:bodyDiv w:val="1"/>
      <w:marLeft w:val="0"/>
      <w:marRight w:val="0"/>
      <w:marTop w:val="0"/>
      <w:marBottom w:val="0"/>
      <w:divBdr>
        <w:top w:val="none" w:sz="0" w:space="0" w:color="auto"/>
        <w:left w:val="none" w:sz="0" w:space="0" w:color="auto"/>
        <w:bottom w:val="none" w:sz="0" w:space="0" w:color="auto"/>
        <w:right w:val="none" w:sz="0" w:space="0" w:color="auto"/>
      </w:divBdr>
    </w:div>
    <w:div w:id="815144874">
      <w:bodyDiv w:val="1"/>
      <w:marLeft w:val="0"/>
      <w:marRight w:val="0"/>
      <w:marTop w:val="0"/>
      <w:marBottom w:val="0"/>
      <w:divBdr>
        <w:top w:val="none" w:sz="0" w:space="0" w:color="auto"/>
        <w:left w:val="none" w:sz="0" w:space="0" w:color="auto"/>
        <w:bottom w:val="none" w:sz="0" w:space="0" w:color="auto"/>
        <w:right w:val="none" w:sz="0" w:space="0" w:color="auto"/>
      </w:divBdr>
    </w:div>
    <w:div w:id="815144922">
      <w:bodyDiv w:val="1"/>
      <w:marLeft w:val="0"/>
      <w:marRight w:val="0"/>
      <w:marTop w:val="0"/>
      <w:marBottom w:val="0"/>
      <w:divBdr>
        <w:top w:val="none" w:sz="0" w:space="0" w:color="auto"/>
        <w:left w:val="none" w:sz="0" w:space="0" w:color="auto"/>
        <w:bottom w:val="none" w:sz="0" w:space="0" w:color="auto"/>
        <w:right w:val="none" w:sz="0" w:space="0" w:color="auto"/>
      </w:divBdr>
    </w:div>
    <w:div w:id="815490670">
      <w:bodyDiv w:val="1"/>
      <w:marLeft w:val="0"/>
      <w:marRight w:val="0"/>
      <w:marTop w:val="0"/>
      <w:marBottom w:val="0"/>
      <w:divBdr>
        <w:top w:val="none" w:sz="0" w:space="0" w:color="auto"/>
        <w:left w:val="none" w:sz="0" w:space="0" w:color="auto"/>
        <w:bottom w:val="none" w:sz="0" w:space="0" w:color="auto"/>
        <w:right w:val="none" w:sz="0" w:space="0" w:color="auto"/>
      </w:divBdr>
    </w:div>
    <w:div w:id="815532914">
      <w:bodyDiv w:val="1"/>
      <w:marLeft w:val="0"/>
      <w:marRight w:val="0"/>
      <w:marTop w:val="0"/>
      <w:marBottom w:val="0"/>
      <w:divBdr>
        <w:top w:val="none" w:sz="0" w:space="0" w:color="auto"/>
        <w:left w:val="none" w:sz="0" w:space="0" w:color="auto"/>
        <w:bottom w:val="none" w:sz="0" w:space="0" w:color="auto"/>
        <w:right w:val="none" w:sz="0" w:space="0" w:color="auto"/>
      </w:divBdr>
    </w:div>
    <w:div w:id="815681160">
      <w:bodyDiv w:val="1"/>
      <w:marLeft w:val="0"/>
      <w:marRight w:val="0"/>
      <w:marTop w:val="0"/>
      <w:marBottom w:val="0"/>
      <w:divBdr>
        <w:top w:val="none" w:sz="0" w:space="0" w:color="auto"/>
        <w:left w:val="none" w:sz="0" w:space="0" w:color="auto"/>
        <w:bottom w:val="none" w:sz="0" w:space="0" w:color="auto"/>
        <w:right w:val="none" w:sz="0" w:space="0" w:color="auto"/>
      </w:divBdr>
    </w:div>
    <w:div w:id="815682861">
      <w:bodyDiv w:val="1"/>
      <w:marLeft w:val="0"/>
      <w:marRight w:val="0"/>
      <w:marTop w:val="0"/>
      <w:marBottom w:val="0"/>
      <w:divBdr>
        <w:top w:val="none" w:sz="0" w:space="0" w:color="auto"/>
        <w:left w:val="none" w:sz="0" w:space="0" w:color="auto"/>
        <w:bottom w:val="none" w:sz="0" w:space="0" w:color="auto"/>
        <w:right w:val="none" w:sz="0" w:space="0" w:color="auto"/>
      </w:divBdr>
    </w:div>
    <w:div w:id="815758594">
      <w:bodyDiv w:val="1"/>
      <w:marLeft w:val="0"/>
      <w:marRight w:val="0"/>
      <w:marTop w:val="0"/>
      <w:marBottom w:val="0"/>
      <w:divBdr>
        <w:top w:val="none" w:sz="0" w:space="0" w:color="auto"/>
        <w:left w:val="none" w:sz="0" w:space="0" w:color="auto"/>
        <w:bottom w:val="none" w:sz="0" w:space="0" w:color="auto"/>
        <w:right w:val="none" w:sz="0" w:space="0" w:color="auto"/>
      </w:divBdr>
    </w:div>
    <w:div w:id="816805256">
      <w:bodyDiv w:val="1"/>
      <w:marLeft w:val="0"/>
      <w:marRight w:val="0"/>
      <w:marTop w:val="0"/>
      <w:marBottom w:val="0"/>
      <w:divBdr>
        <w:top w:val="none" w:sz="0" w:space="0" w:color="auto"/>
        <w:left w:val="none" w:sz="0" w:space="0" w:color="auto"/>
        <w:bottom w:val="none" w:sz="0" w:space="0" w:color="auto"/>
        <w:right w:val="none" w:sz="0" w:space="0" w:color="auto"/>
      </w:divBdr>
    </w:div>
    <w:div w:id="817260848">
      <w:bodyDiv w:val="1"/>
      <w:marLeft w:val="0"/>
      <w:marRight w:val="0"/>
      <w:marTop w:val="0"/>
      <w:marBottom w:val="0"/>
      <w:divBdr>
        <w:top w:val="none" w:sz="0" w:space="0" w:color="auto"/>
        <w:left w:val="none" w:sz="0" w:space="0" w:color="auto"/>
        <w:bottom w:val="none" w:sz="0" w:space="0" w:color="auto"/>
        <w:right w:val="none" w:sz="0" w:space="0" w:color="auto"/>
      </w:divBdr>
    </w:div>
    <w:div w:id="817264449">
      <w:bodyDiv w:val="1"/>
      <w:marLeft w:val="0"/>
      <w:marRight w:val="0"/>
      <w:marTop w:val="0"/>
      <w:marBottom w:val="0"/>
      <w:divBdr>
        <w:top w:val="none" w:sz="0" w:space="0" w:color="auto"/>
        <w:left w:val="none" w:sz="0" w:space="0" w:color="auto"/>
        <w:bottom w:val="none" w:sz="0" w:space="0" w:color="auto"/>
        <w:right w:val="none" w:sz="0" w:space="0" w:color="auto"/>
      </w:divBdr>
    </w:div>
    <w:div w:id="818155180">
      <w:bodyDiv w:val="1"/>
      <w:marLeft w:val="0"/>
      <w:marRight w:val="0"/>
      <w:marTop w:val="0"/>
      <w:marBottom w:val="0"/>
      <w:divBdr>
        <w:top w:val="none" w:sz="0" w:space="0" w:color="auto"/>
        <w:left w:val="none" w:sz="0" w:space="0" w:color="auto"/>
        <w:bottom w:val="none" w:sz="0" w:space="0" w:color="auto"/>
        <w:right w:val="none" w:sz="0" w:space="0" w:color="auto"/>
      </w:divBdr>
    </w:div>
    <w:div w:id="818885407">
      <w:bodyDiv w:val="1"/>
      <w:marLeft w:val="0"/>
      <w:marRight w:val="0"/>
      <w:marTop w:val="0"/>
      <w:marBottom w:val="0"/>
      <w:divBdr>
        <w:top w:val="none" w:sz="0" w:space="0" w:color="auto"/>
        <w:left w:val="none" w:sz="0" w:space="0" w:color="auto"/>
        <w:bottom w:val="none" w:sz="0" w:space="0" w:color="auto"/>
        <w:right w:val="none" w:sz="0" w:space="0" w:color="auto"/>
      </w:divBdr>
    </w:div>
    <w:div w:id="819007189">
      <w:bodyDiv w:val="1"/>
      <w:marLeft w:val="0"/>
      <w:marRight w:val="0"/>
      <w:marTop w:val="0"/>
      <w:marBottom w:val="0"/>
      <w:divBdr>
        <w:top w:val="none" w:sz="0" w:space="0" w:color="auto"/>
        <w:left w:val="none" w:sz="0" w:space="0" w:color="auto"/>
        <w:bottom w:val="none" w:sz="0" w:space="0" w:color="auto"/>
        <w:right w:val="none" w:sz="0" w:space="0" w:color="auto"/>
      </w:divBdr>
    </w:div>
    <w:div w:id="819033832">
      <w:bodyDiv w:val="1"/>
      <w:marLeft w:val="0"/>
      <w:marRight w:val="0"/>
      <w:marTop w:val="0"/>
      <w:marBottom w:val="0"/>
      <w:divBdr>
        <w:top w:val="none" w:sz="0" w:space="0" w:color="auto"/>
        <w:left w:val="none" w:sz="0" w:space="0" w:color="auto"/>
        <w:bottom w:val="none" w:sz="0" w:space="0" w:color="auto"/>
        <w:right w:val="none" w:sz="0" w:space="0" w:color="auto"/>
      </w:divBdr>
    </w:div>
    <w:div w:id="819346905">
      <w:bodyDiv w:val="1"/>
      <w:marLeft w:val="0"/>
      <w:marRight w:val="0"/>
      <w:marTop w:val="0"/>
      <w:marBottom w:val="0"/>
      <w:divBdr>
        <w:top w:val="none" w:sz="0" w:space="0" w:color="auto"/>
        <w:left w:val="none" w:sz="0" w:space="0" w:color="auto"/>
        <w:bottom w:val="none" w:sz="0" w:space="0" w:color="auto"/>
        <w:right w:val="none" w:sz="0" w:space="0" w:color="auto"/>
      </w:divBdr>
    </w:div>
    <w:div w:id="820997117">
      <w:bodyDiv w:val="1"/>
      <w:marLeft w:val="0"/>
      <w:marRight w:val="0"/>
      <w:marTop w:val="0"/>
      <w:marBottom w:val="0"/>
      <w:divBdr>
        <w:top w:val="none" w:sz="0" w:space="0" w:color="auto"/>
        <w:left w:val="none" w:sz="0" w:space="0" w:color="auto"/>
        <w:bottom w:val="none" w:sz="0" w:space="0" w:color="auto"/>
        <w:right w:val="none" w:sz="0" w:space="0" w:color="auto"/>
      </w:divBdr>
    </w:div>
    <w:div w:id="821115381">
      <w:bodyDiv w:val="1"/>
      <w:marLeft w:val="0"/>
      <w:marRight w:val="0"/>
      <w:marTop w:val="0"/>
      <w:marBottom w:val="0"/>
      <w:divBdr>
        <w:top w:val="none" w:sz="0" w:space="0" w:color="auto"/>
        <w:left w:val="none" w:sz="0" w:space="0" w:color="auto"/>
        <w:bottom w:val="none" w:sz="0" w:space="0" w:color="auto"/>
        <w:right w:val="none" w:sz="0" w:space="0" w:color="auto"/>
      </w:divBdr>
    </w:div>
    <w:div w:id="821167046">
      <w:bodyDiv w:val="1"/>
      <w:marLeft w:val="0"/>
      <w:marRight w:val="0"/>
      <w:marTop w:val="0"/>
      <w:marBottom w:val="0"/>
      <w:divBdr>
        <w:top w:val="none" w:sz="0" w:space="0" w:color="auto"/>
        <w:left w:val="none" w:sz="0" w:space="0" w:color="auto"/>
        <w:bottom w:val="none" w:sz="0" w:space="0" w:color="auto"/>
        <w:right w:val="none" w:sz="0" w:space="0" w:color="auto"/>
      </w:divBdr>
    </w:div>
    <w:div w:id="821431275">
      <w:bodyDiv w:val="1"/>
      <w:marLeft w:val="0"/>
      <w:marRight w:val="0"/>
      <w:marTop w:val="0"/>
      <w:marBottom w:val="0"/>
      <w:divBdr>
        <w:top w:val="none" w:sz="0" w:space="0" w:color="auto"/>
        <w:left w:val="none" w:sz="0" w:space="0" w:color="auto"/>
        <w:bottom w:val="none" w:sz="0" w:space="0" w:color="auto"/>
        <w:right w:val="none" w:sz="0" w:space="0" w:color="auto"/>
      </w:divBdr>
    </w:div>
    <w:div w:id="821627492">
      <w:bodyDiv w:val="1"/>
      <w:marLeft w:val="0"/>
      <w:marRight w:val="0"/>
      <w:marTop w:val="0"/>
      <w:marBottom w:val="0"/>
      <w:divBdr>
        <w:top w:val="none" w:sz="0" w:space="0" w:color="auto"/>
        <w:left w:val="none" w:sz="0" w:space="0" w:color="auto"/>
        <w:bottom w:val="none" w:sz="0" w:space="0" w:color="auto"/>
        <w:right w:val="none" w:sz="0" w:space="0" w:color="auto"/>
      </w:divBdr>
    </w:div>
    <w:div w:id="822310552">
      <w:bodyDiv w:val="1"/>
      <w:marLeft w:val="0"/>
      <w:marRight w:val="0"/>
      <w:marTop w:val="0"/>
      <w:marBottom w:val="0"/>
      <w:divBdr>
        <w:top w:val="none" w:sz="0" w:space="0" w:color="auto"/>
        <w:left w:val="none" w:sz="0" w:space="0" w:color="auto"/>
        <w:bottom w:val="none" w:sz="0" w:space="0" w:color="auto"/>
        <w:right w:val="none" w:sz="0" w:space="0" w:color="auto"/>
      </w:divBdr>
    </w:div>
    <w:div w:id="822432518">
      <w:bodyDiv w:val="1"/>
      <w:marLeft w:val="0"/>
      <w:marRight w:val="0"/>
      <w:marTop w:val="0"/>
      <w:marBottom w:val="0"/>
      <w:divBdr>
        <w:top w:val="none" w:sz="0" w:space="0" w:color="auto"/>
        <w:left w:val="none" w:sz="0" w:space="0" w:color="auto"/>
        <w:bottom w:val="none" w:sz="0" w:space="0" w:color="auto"/>
        <w:right w:val="none" w:sz="0" w:space="0" w:color="auto"/>
      </w:divBdr>
    </w:div>
    <w:div w:id="822433684">
      <w:bodyDiv w:val="1"/>
      <w:marLeft w:val="0"/>
      <w:marRight w:val="0"/>
      <w:marTop w:val="0"/>
      <w:marBottom w:val="0"/>
      <w:divBdr>
        <w:top w:val="none" w:sz="0" w:space="0" w:color="auto"/>
        <w:left w:val="none" w:sz="0" w:space="0" w:color="auto"/>
        <w:bottom w:val="none" w:sz="0" w:space="0" w:color="auto"/>
        <w:right w:val="none" w:sz="0" w:space="0" w:color="auto"/>
      </w:divBdr>
    </w:div>
    <w:div w:id="823014817">
      <w:bodyDiv w:val="1"/>
      <w:marLeft w:val="0"/>
      <w:marRight w:val="0"/>
      <w:marTop w:val="0"/>
      <w:marBottom w:val="0"/>
      <w:divBdr>
        <w:top w:val="none" w:sz="0" w:space="0" w:color="auto"/>
        <w:left w:val="none" w:sz="0" w:space="0" w:color="auto"/>
        <w:bottom w:val="none" w:sz="0" w:space="0" w:color="auto"/>
        <w:right w:val="none" w:sz="0" w:space="0" w:color="auto"/>
      </w:divBdr>
    </w:div>
    <w:div w:id="823162091">
      <w:bodyDiv w:val="1"/>
      <w:marLeft w:val="0"/>
      <w:marRight w:val="0"/>
      <w:marTop w:val="0"/>
      <w:marBottom w:val="0"/>
      <w:divBdr>
        <w:top w:val="none" w:sz="0" w:space="0" w:color="auto"/>
        <w:left w:val="none" w:sz="0" w:space="0" w:color="auto"/>
        <w:bottom w:val="none" w:sz="0" w:space="0" w:color="auto"/>
        <w:right w:val="none" w:sz="0" w:space="0" w:color="auto"/>
      </w:divBdr>
    </w:div>
    <w:div w:id="823398658">
      <w:bodyDiv w:val="1"/>
      <w:marLeft w:val="0"/>
      <w:marRight w:val="0"/>
      <w:marTop w:val="0"/>
      <w:marBottom w:val="0"/>
      <w:divBdr>
        <w:top w:val="none" w:sz="0" w:space="0" w:color="auto"/>
        <w:left w:val="none" w:sz="0" w:space="0" w:color="auto"/>
        <w:bottom w:val="none" w:sz="0" w:space="0" w:color="auto"/>
        <w:right w:val="none" w:sz="0" w:space="0" w:color="auto"/>
      </w:divBdr>
    </w:div>
    <w:div w:id="823818117">
      <w:bodyDiv w:val="1"/>
      <w:marLeft w:val="0"/>
      <w:marRight w:val="0"/>
      <w:marTop w:val="0"/>
      <w:marBottom w:val="0"/>
      <w:divBdr>
        <w:top w:val="none" w:sz="0" w:space="0" w:color="auto"/>
        <w:left w:val="none" w:sz="0" w:space="0" w:color="auto"/>
        <w:bottom w:val="none" w:sz="0" w:space="0" w:color="auto"/>
        <w:right w:val="none" w:sz="0" w:space="0" w:color="auto"/>
      </w:divBdr>
    </w:div>
    <w:div w:id="824663072">
      <w:bodyDiv w:val="1"/>
      <w:marLeft w:val="0"/>
      <w:marRight w:val="0"/>
      <w:marTop w:val="0"/>
      <w:marBottom w:val="0"/>
      <w:divBdr>
        <w:top w:val="none" w:sz="0" w:space="0" w:color="auto"/>
        <w:left w:val="none" w:sz="0" w:space="0" w:color="auto"/>
        <w:bottom w:val="none" w:sz="0" w:space="0" w:color="auto"/>
        <w:right w:val="none" w:sz="0" w:space="0" w:color="auto"/>
      </w:divBdr>
    </w:div>
    <w:div w:id="824930527">
      <w:bodyDiv w:val="1"/>
      <w:marLeft w:val="0"/>
      <w:marRight w:val="0"/>
      <w:marTop w:val="0"/>
      <w:marBottom w:val="0"/>
      <w:divBdr>
        <w:top w:val="none" w:sz="0" w:space="0" w:color="auto"/>
        <w:left w:val="none" w:sz="0" w:space="0" w:color="auto"/>
        <w:bottom w:val="none" w:sz="0" w:space="0" w:color="auto"/>
        <w:right w:val="none" w:sz="0" w:space="0" w:color="auto"/>
      </w:divBdr>
    </w:div>
    <w:div w:id="825241838">
      <w:bodyDiv w:val="1"/>
      <w:marLeft w:val="0"/>
      <w:marRight w:val="0"/>
      <w:marTop w:val="0"/>
      <w:marBottom w:val="0"/>
      <w:divBdr>
        <w:top w:val="none" w:sz="0" w:space="0" w:color="auto"/>
        <w:left w:val="none" w:sz="0" w:space="0" w:color="auto"/>
        <w:bottom w:val="none" w:sz="0" w:space="0" w:color="auto"/>
        <w:right w:val="none" w:sz="0" w:space="0" w:color="auto"/>
      </w:divBdr>
    </w:div>
    <w:div w:id="826046261">
      <w:bodyDiv w:val="1"/>
      <w:marLeft w:val="0"/>
      <w:marRight w:val="0"/>
      <w:marTop w:val="0"/>
      <w:marBottom w:val="0"/>
      <w:divBdr>
        <w:top w:val="none" w:sz="0" w:space="0" w:color="auto"/>
        <w:left w:val="none" w:sz="0" w:space="0" w:color="auto"/>
        <w:bottom w:val="none" w:sz="0" w:space="0" w:color="auto"/>
        <w:right w:val="none" w:sz="0" w:space="0" w:color="auto"/>
      </w:divBdr>
    </w:div>
    <w:div w:id="826674709">
      <w:bodyDiv w:val="1"/>
      <w:marLeft w:val="0"/>
      <w:marRight w:val="0"/>
      <w:marTop w:val="0"/>
      <w:marBottom w:val="0"/>
      <w:divBdr>
        <w:top w:val="none" w:sz="0" w:space="0" w:color="auto"/>
        <w:left w:val="none" w:sz="0" w:space="0" w:color="auto"/>
        <w:bottom w:val="none" w:sz="0" w:space="0" w:color="auto"/>
        <w:right w:val="none" w:sz="0" w:space="0" w:color="auto"/>
      </w:divBdr>
    </w:div>
    <w:div w:id="827209693">
      <w:bodyDiv w:val="1"/>
      <w:marLeft w:val="0"/>
      <w:marRight w:val="0"/>
      <w:marTop w:val="0"/>
      <w:marBottom w:val="0"/>
      <w:divBdr>
        <w:top w:val="none" w:sz="0" w:space="0" w:color="auto"/>
        <w:left w:val="none" w:sz="0" w:space="0" w:color="auto"/>
        <w:bottom w:val="none" w:sz="0" w:space="0" w:color="auto"/>
        <w:right w:val="none" w:sz="0" w:space="0" w:color="auto"/>
      </w:divBdr>
    </w:div>
    <w:div w:id="827400154">
      <w:bodyDiv w:val="1"/>
      <w:marLeft w:val="0"/>
      <w:marRight w:val="0"/>
      <w:marTop w:val="0"/>
      <w:marBottom w:val="0"/>
      <w:divBdr>
        <w:top w:val="none" w:sz="0" w:space="0" w:color="auto"/>
        <w:left w:val="none" w:sz="0" w:space="0" w:color="auto"/>
        <w:bottom w:val="none" w:sz="0" w:space="0" w:color="auto"/>
        <w:right w:val="none" w:sz="0" w:space="0" w:color="auto"/>
      </w:divBdr>
    </w:div>
    <w:div w:id="827479614">
      <w:bodyDiv w:val="1"/>
      <w:marLeft w:val="0"/>
      <w:marRight w:val="0"/>
      <w:marTop w:val="0"/>
      <w:marBottom w:val="0"/>
      <w:divBdr>
        <w:top w:val="none" w:sz="0" w:space="0" w:color="auto"/>
        <w:left w:val="none" w:sz="0" w:space="0" w:color="auto"/>
        <w:bottom w:val="none" w:sz="0" w:space="0" w:color="auto"/>
        <w:right w:val="none" w:sz="0" w:space="0" w:color="auto"/>
      </w:divBdr>
    </w:div>
    <w:div w:id="828057937">
      <w:bodyDiv w:val="1"/>
      <w:marLeft w:val="0"/>
      <w:marRight w:val="0"/>
      <w:marTop w:val="0"/>
      <w:marBottom w:val="0"/>
      <w:divBdr>
        <w:top w:val="none" w:sz="0" w:space="0" w:color="auto"/>
        <w:left w:val="none" w:sz="0" w:space="0" w:color="auto"/>
        <w:bottom w:val="none" w:sz="0" w:space="0" w:color="auto"/>
        <w:right w:val="none" w:sz="0" w:space="0" w:color="auto"/>
      </w:divBdr>
    </w:div>
    <w:div w:id="828254427">
      <w:bodyDiv w:val="1"/>
      <w:marLeft w:val="0"/>
      <w:marRight w:val="0"/>
      <w:marTop w:val="0"/>
      <w:marBottom w:val="0"/>
      <w:divBdr>
        <w:top w:val="none" w:sz="0" w:space="0" w:color="auto"/>
        <w:left w:val="none" w:sz="0" w:space="0" w:color="auto"/>
        <w:bottom w:val="none" w:sz="0" w:space="0" w:color="auto"/>
        <w:right w:val="none" w:sz="0" w:space="0" w:color="auto"/>
      </w:divBdr>
    </w:div>
    <w:div w:id="828444168">
      <w:bodyDiv w:val="1"/>
      <w:marLeft w:val="0"/>
      <w:marRight w:val="0"/>
      <w:marTop w:val="0"/>
      <w:marBottom w:val="0"/>
      <w:divBdr>
        <w:top w:val="none" w:sz="0" w:space="0" w:color="auto"/>
        <w:left w:val="none" w:sz="0" w:space="0" w:color="auto"/>
        <w:bottom w:val="none" w:sz="0" w:space="0" w:color="auto"/>
        <w:right w:val="none" w:sz="0" w:space="0" w:color="auto"/>
      </w:divBdr>
    </w:div>
    <w:div w:id="829097561">
      <w:bodyDiv w:val="1"/>
      <w:marLeft w:val="0"/>
      <w:marRight w:val="0"/>
      <w:marTop w:val="0"/>
      <w:marBottom w:val="0"/>
      <w:divBdr>
        <w:top w:val="none" w:sz="0" w:space="0" w:color="auto"/>
        <w:left w:val="none" w:sz="0" w:space="0" w:color="auto"/>
        <w:bottom w:val="none" w:sz="0" w:space="0" w:color="auto"/>
        <w:right w:val="none" w:sz="0" w:space="0" w:color="auto"/>
      </w:divBdr>
    </w:div>
    <w:div w:id="829760457">
      <w:bodyDiv w:val="1"/>
      <w:marLeft w:val="0"/>
      <w:marRight w:val="0"/>
      <w:marTop w:val="0"/>
      <w:marBottom w:val="0"/>
      <w:divBdr>
        <w:top w:val="none" w:sz="0" w:space="0" w:color="auto"/>
        <w:left w:val="none" w:sz="0" w:space="0" w:color="auto"/>
        <w:bottom w:val="none" w:sz="0" w:space="0" w:color="auto"/>
        <w:right w:val="none" w:sz="0" w:space="0" w:color="auto"/>
      </w:divBdr>
    </w:div>
    <w:div w:id="829835261">
      <w:bodyDiv w:val="1"/>
      <w:marLeft w:val="0"/>
      <w:marRight w:val="0"/>
      <w:marTop w:val="0"/>
      <w:marBottom w:val="0"/>
      <w:divBdr>
        <w:top w:val="none" w:sz="0" w:space="0" w:color="auto"/>
        <w:left w:val="none" w:sz="0" w:space="0" w:color="auto"/>
        <w:bottom w:val="none" w:sz="0" w:space="0" w:color="auto"/>
        <w:right w:val="none" w:sz="0" w:space="0" w:color="auto"/>
      </w:divBdr>
    </w:div>
    <w:div w:id="830095910">
      <w:bodyDiv w:val="1"/>
      <w:marLeft w:val="0"/>
      <w:marRight w:val="0"/>
      <w:marTop w:val="0"/>
      <w:marBottom w:val="0"/>
      <w:divBdr>
        <w:top w:val="none" w:sz="0" w:space="0" w:color="auto"/>
        <w:left w:val="none" w:sz="0" w:space="0" w:color="auto"/>
        <w:bottom w:val="none" w:sz="0" w:space="0" w:color="auto"/>
        <w:right w:val="none" w:sz="0" w:space="0" w:color="auto"/>
      </w:divBdr>
    </w:div>
    <w:div w:id="830607747">
      <w:bodyDiv w:val="1"/>
      <w:marLeft w:val="0"/>
      <w:marRight w:val="0"/>
      <w:marTop w:val="0"/>
      <w:marBottom w:val="0"/>
      <w:divBdr>
        <w:top w:val="none" w:sz="0" w:space="0" w:color="auto"/>
        <w:left w:val="none" w:sz="0" w:space="0" w:color="auto"/>
        <w:bottom w:val="none" w:sz="0" w:space="0" w:color="auto"/>
        <w:right w:val="none" w:sz="0" w:space="0" w:color="auto"/>
      </w:divBdr>
    </w:div>
    <w:div w:id="830947097">
      <w:bodyDiv w:val="1"/>
      <w:marLeft w:val="0"/>
      <w:marRight w:val="0"/>
      <w:marTop w:val="0"/>
      <w:marBottom w:val="0"/>
      <w:divBdr>
        <w:top w:val="none" w:sz="0" w:space="0" w:color="auto"/>
        <w:left w:val="none" w:sz="0" w:space="0" w:color="auto"/>
        <w:bottom w:val="none" w:sz="0" w:space="0" w:color="auto"/>
        <w:right w:val="none" w:sz="0" w:space="0" w:color="auto"/>
      </w:divBdr>
    </w:div>
    <w:div w:id="830951037">
      <w:bodyDiv w:val="1"/>
      <w:marLeft w:val="0"/>
      <w:marRight w:val="0"/>
      <w:marTop w:val="0"/>
      <w:marBottom w:val="0"/>
      <w:divBdr>
        <w:top w:val="none" w:sz="0" w:space="0" w:color="auto"/>
        <w:left w:val="none" w:sz="0" w:space="0" w:color="auto"/>
        <w:bottom w:val="none" w:sz="0" w:space="0" w:color="auto"/>
        <w:right w:val="none" w:sz="0" w:space="0" w:color="auto"/>
      </w:divBdr>
    </w:div>
    <w:div w:id="831681408">
      <w:bodyDiv w:val="1"/>
      <w:marLeft w:val="0"/>
      <w:marRight w:val="0"/>
      <w:marTop w:val="0"/>
      <w:marBottom w:val="0"/>
      <w:divBdr>
        <w:top w:val="none" w:sz="0" w:space="0" w:color="auto"/>
        <w:left w:val="none" w:sz="0" w:space="0" w:color="auto"/>
        <w:bottom w:val="none" w:sz="0" w:space="0" w:color="auto"/>
        <w:right w:val="none" w:sz="0" w:space="0" w:color="auto"/>
      </w:divBdr>
    </w:div>
    <w:div w:id="831722111">
      <w:bodyDiv w:val="1"/>
      <w:marLeft w:val="0"/>
      <w:marRight w:val="0"/>
      <w:marTop w:val="0"/>
      <w:marBottom w:val="0"/>
      <w:divBdr>
        <w:top w:val="none" w:sz="0" w:space="0" w:color="auto"/>
        <w:left w:val="none" w:sz="0" w:space="0" w:color="auto"/>
        <w:bottom w:val="none" w:sz="0" w:space="0" w:color="auto"/>
        <w:right w:val="none" w:sz="0" w:space="0" w:color="auto"/>
      </w:divBdr>
    </w:div>
    <w:div w:id="832261935">
      <w:bodyDiv w:val="1"/>
      <w:marLeft w:val="0"/>
      <w:marRight w:val="0"/>
      <w:marTop w:val="0"/>
      <w:marBottom w:val="0"/>
      <w:divBdr>
        <w:top w:val="none" w:sz="0" w:space="0" w:color="auto"/>
        <w:left w:val="none" w:sz="0" w:space="0" w:color="auto"/>
        <w:bottom w:val="none" w:sz="0" w:space="0" w:color="auto"/>
        <w:right w:val="none" w:sz="0" w:space="0" w:color="auto"/>
      </w:divBdr>
    </w:div>
    <w:div w:id="832380659">
      <w:bodyDiv w:val="1"/>
      <w:marLeft w:val="0"/>
      <w:marRight w:val="0"/>
      <w:marTop w:val="0"/>
      <w:marBottom w:val="0"/>
      <w:divBdr>
        <w:top w:val="none" w:sz="0" w:space="0" w:color="auto"/>
        <w:left w:val="none" w:sz="0" w:space="0" w:color="auto"/>
        <w:bottom w:val="none" w:sz="0" w:space="0" w:color="auto"/>
        <w:right w:val="none" w:sz="0" w:space="0" w:color="auto"/>
      </w:divBdr>
    </w:div>
    <w:div w:id="832648056">
      <w:bodyDiv w:val="1"/>
      <w:marLeft w:val="0"/>
      <w:marRight w:val="0"/>
      <w:marTop w:val="0"/>
      <w:marBottom w:val="0"/>
      <w:divBdr>
        <w:top w:val="none" w:sz="0" w:space="0" w:color="auto"/>
        <w:left w:val="none" w:sz="0" w:space="0" w:color="auto"/>
        <w:bottom w:val="none" w:sz="0" w:space="0" w:color="auto"/>
        <w:right w:val="none" w:sz="0" w:space="0" w:color="auto"/>
      </w:divBdr>
    </w:div>
    <w:div w:id="832648936">
      <w:bodyDiv w:val="1"/>
      <w:marLeft w:val="0"/>
      <w:marRight w:val="0"/>
      <w:marTop w:val="0"/>
      <w:marBottom w:val="0"/>
      <w:divBdr>
        <w:top w:val="none" w:sz="0" w:space="0" w:color="auto"/>
        <w:left w:val="none" w:sz="0" w:space="0" w:color="auto"/>
        <w:bottom w:val="none" w:sz="0" w:space="0" w:color="auto"/>
        <w:right w:val="none" w:sz="0" w:space="0" w:color="auto"/>
      </w:divBdr>
    </w:div>
    <w:div w:id="832798581">
      <w:bodyDiv w:val="1"/>
      <w:marLeft w:val="0"/>
      <w:marRight w:val="0"/>
      <w:marTop w:val="0"/>
      <w:marBottom w:val="0"/>
      <w:divBdr>
        <w:top w:val="none" w:sz="0" w:space="0" w:color="auto"/>
        <w:left w:val="none" w:sz="0" w:space="0" w:color="auto"/>
        <w:bottom w:val="none" w:sz="0" w:space="0" w:color="auto"/>
        <w:right w:val="none" w:sz="0" w:space="0" w:color="auto"/>
      </w:divBdr>
    </w:div>
    <w:div w:id="832843903">
      <w:bodyDiv w:val="1"/>
      <w:marLeft w:val="0"/>
      <w:marRight w:val="0"/>
      <w:marTop w:val="0"/>
      <w:marBottom w:val="0"/>
      <w:divBdr>
        <w:top w:val="none" w:sz="0" w:space="0" w:color="auto"/>
        <w:left w:val="none" w:sz="0" w:space="0" w:color="auto"/>
        <w:bottom w:val="none" w:sz="0" w:space="0" w:color="auto"/>
        <w:right w:val="none" w:sz="0" w:space="0" w:color="auto"/>
      </w:divBdr>
    </w:div>
    <w:div w:id="832988705">
      <w:bodyDiv w:val="1"/>
      <w:marLeft w:val="0"/>
      <w:marRight w:val="0"/>
      <w:marTop w:val="0"/>
      <w:marBottom w:val="0"/>
      <w:divBdr>
        <w:top w:val="none" w:sz="0" w:space="0" w:color="auto"/>
        <w:left w:val="none" w:sz="0" w:space="0" w:color="auto"/>
        <w:bottom w:val="none" w:sz="0" w:space="0" w:color="auto"/>
        <w:right w:val="none" w:sz="0" w:space="0" w:color="auto"/>
      </w:divBdr>
    </w:div>
    <w:div w:id="832991510">
      <w:bodyDiv w:val="1"/>
      <w:marLeft w:val="0"/>
      <w:marRight w:val="0"/>
      <w:marTop w:val="0"/>
      <w:marBottom w:val="0"/>
      <w:divBdr>
        <w:top w:val="none" w:sz="0" w:space="0" w:color="auto"/>
        <w:left w:val="none" w:sz="0" w:space="0" w:color="auto"/>
        <w:bottom w:val="none" w:sz="0" w:space="0" w:color="auto"/>
        <w:right w:val="none" w:sz="0" w:space="0" w:color="auto"/>
      </w:divBdr>
    </w:div>
    <w:div w:id="833111824">
      <w:bodyDiv w:val="1"/>
      <w:marLeft w:val="0"/>
      <w:marRight w:val="0"/>
      <w:marTop w:val="0"/>
      <w:marBottom w:val="0"/>
      <w:divBdr>
        <w:top w:val="none" w:sz="0" w:space="0" w:color="auto"/>
        <w:left w:val="none" w:sz="0" w:space="0" w:color="auto"/>
        <w:bottom w:val="none" w:sz="0" w:space="0" w:color="auto"/>
        <w:right w:val="none" w:sz="0" w:space="0" w:color="auto"/>
      </w:divBdr>
    </w:div>
    <w:div w:id="833303735">
      <w:bodyDiv w:val="1"/>
      <w:marLeft w:val="0"/>
      <w:marRight w:val="0"/>
      <w:marTop w:val="0"/>
      <w:marBottom w:val="0"/>
      <w:divBdr>
        <w:top w:val="none" w:sz="0" w:space="0" w:color="auto"/>
        <w:left w:val="none" w:sz="0" w:space="0" w:color="auto"/>
        <w:bottom w:val="none" w:sz="0" w:space="0" w:color="auto"/>
        <w:right w:val="none" w:sz="0" w:space="0" w:color="auto"/>
      </w:divBdr>
    </w:div>
    <w:div w:id="833447658">
      <w:bodyDiv w:val="1"/>
      <w:marLeft w:val="0"/>
      <w:marRight w:val="0"/>
      <w:marTop w:val="0"/>
      <w:marBottom w:val="0"/>
      <w:divBdr>
        <w:top w:val="none" w:sz="0" w:space="0" w:color="auto"/>
        <w:left w:val="none" w:sz="0" w:space="0" w:color="auto"/>
        <w:bottom w:val="none" w:sz="0" w:space="0" w:color="auto"/>
        <w:right w:val="none" w:sz="0" w:space="0" w:color="auto"/>
      </w:divBdr>
    </w:div>
    <w:div w:id="833489713">
      <w:bodyDiv w:val="1"/>
      <w:marLeft w:val="0"/>
      <w:marRight w:val="0"/>
      <w:marTop w:val="0"/>
      <w:marBottom w:val="0"/>
      <w:divBdr>
        <w:top w:val="none" w:sz="0" w:space="0" w:color="auto"/>
        <w:left w:val="none" w:sz="0" w:space="0" w:color="auto"/>
        <w:bottom w:val="none" w:sz="0" w:space="0" w:color="auto"/>
        <w:right w:val="none" w:sz="0" w:space="0" w:color="auto"/>
      </w:divBdr>
    </w:div>
    <w:div w:id="833495177">
      <w:bodyDiv w:val="1"/>
      <w:marLeft w:val="0"/>
      <w:marRight w:val="0"/>
      <w:marTop w:val="0"/>
      <w:marBottom w:val="0"/>
      <w:divBdr>
        <w:top w:val="none" w:sz="0" w:space="0" w:color="auto"/>
        <w:left w:val="none" w:sz="0" w:space="0" w:color="auto"/>
        <w:bottom w:val="none" w:sz="0" w:space="0" w:color="auto"/>
        <w:right w:val="none" w:sz="0" w:space="0" w:color="auto"/>
      </w:divBdr>
    </w:div>
    <w:div w:id="833645087">
      <w:bodyDiv w:val="1"/>
      <w:marLeft w:val="0"/>
      <w:marRight w:val="0"/>
      <w:marTop w:val="0"/>
      <w:marBottom w:val="0"/>
      <w:divBdr>
        <w:top w:val="none" w:sz="0" w:space="0" w:color="auto"/>
        <w:left w:val="none" w:sz="0" w:space="0" w:color="auto"/>
        <w:bottom w:val="none" w:sz="0" w:space="0" w:color="auto"/>
        <w:right w:val="none" w:sz="0" w:space="0" w:color="auto"/>
      </w:divBdr>
    </w:div>
    <w:div w:id="834109182">
      <w:bodyDiv w:val="1"/>
      <w:marLeft w:val="0"/>
      <w:marRight w:val="0"/>
      <w:marTop w:val="0"/>
      <w:marBottom w:val="0"/>
      <w:divBdr>
        <w:top w:val="none" w:sz="0" w:space="0" w:color="auto"/>
        <w:left w:val="none" w:sz="0" w:space="0" w:color="auto"/>
        <w:bottom w:val="none" w:sz="0" w:space="0" w:color="auto"/>
        <w:right w:val="none" w:sz="0" w:space="0" w:color="auto"/>
      </w:divBdr>
    </w:div>
    <w:div w:id="834222302">
      <w:bodyDiv w:val="1"/>
      <w:marLeft w:val="0"/>
      <w:marRight w:val="0"/>
      <w:marTop w:val="0"/>
      <w:marBottom w:val="0"/>
      <w:divBdr>
        <w:top w:val="none" w:sz="0" w:space="0" w:color="auto"/>
        <w:left w:val="none" w:sz="0" w:space="0" w:color="auto"/>
        <w:bottom w:val="none" w:sz="0" w:space="0" w:color="auto"/>
        <w:right w:val="none" w:sz="0" w:space="0" w:color="auto"/>
      </w:divBdr>
    </w:div>
    <w:div w:id="834303316">
      <w:bodyDiv w:val="1"/>
      <w:marLeft w:val="0"/>
      <w:marRight w:val="0"/>
      <w:marTop w:val="0"/>
      <w:marBottom w:val="0"/>
      <w:divBdr>
        <w:top w:val="none" w:sz="0" w:space="0" w:color="auto"/>
        <w:left w:val="none" w:sz="0" w:space="0" w:color="auto"/>
        <w:bottom w:val="none" w:sz="0" w:space="0" w:color="auto"/>
        <w:right w:val="none" w:sz="0" w:space="0" w:color="auto"/>
      </w:divBdr>
    </w:div>
    <w:div w:id="834614076">
      <w:bodyDiv w:val="1"/>
      <w:marLeft w:val="0"/>
      <w:marRight w:val="0"/>
      <w:marTop w:val="0"/>
      <w:marBottom w:val="0"/>
      <w:divBdr>
        <w:top w:val="none" w:sz="0" w:space="0" w:color="auto"/>
        <w:left w:val="none" w:sz="0" w:space="0" w:color="auto"/>
        <w:bottom w:val="none" w:sz="0" w:space="0" w:color="auto"/>
        <w:right w:val="none" w:sz="0" w:space="0" w:color="auto"/>
      </w:divBdr>
    </w:div>
    <w:div w:id="834879582">
      <w:bodyDiv w:val="1"/>
      <w:marLeft w:val="0"/>
      <w:marRight w:val="0"/>
      <w:marTop w:val="0"/>
      <w:marBottom w:val="0"/>
      <w:divBdr>
        <w:top w:val="none" w:sz="0" w:space="0" w:color="auto"/>
        <w:left w:val="none" w:sz="0" w:space="0" w:color="auto"/>
        <w:bottom w:val="none" w:sz="0" w:space="0" w:color="auto"/>
        <w:right w:val="none" w:sz="0" w:space="0" w:color="auto"/>
      </w:divBdr>
    </w:div>
    <w:div w:id="835420152">
      <w:bodyDiv w:val="1"/>
      <w:marLeft w:val="0"/>
      <w:marRight w:val="0"/>
      <w:marTop w:val="0"/>
      <w:marBottom w:val="0"/>
      <w:divBdr>
        <w:top w:val="none" w:sz="0" w:space="0" w:color="auto"/>
        <w:left w:val="none" w:sz="0" w:space="0" w:color="auto"/>
        <w:bottom w:val="none" w:sz="0" w:space="0" w:color="auto"/>
        <w:right w:val="none" w:sz="0" w:space="0" w:color="auto"/>
      </w:divBdr>
    </w:div>
    <w:div w:id="835728109">
      <w:bodyDiv w:val="1"/>
      <w:marLeft w:val="0"/>
      <w:marRight w:val="0"/>
      <w:marTop w:val="0"/>
      <w:marBottom w:val="0"/>
      <w:divBdr>
        <w:top w:val="none" w:sz="0" w:space="0" w:color="auto"/>
        <w:left w:val="none" w:sz="0" w:space="0" w:color="auto"/>
        <w:bottom w:val="none" w:sz="0" w:space="0" w:color="auto"/>
        <w:right w:val="none" w:sz="0" w:space="0" w:color="auto"/>
      </w:divBdr>
    </w:div>
    <w:div w:id="835994166">
      <w:bodyDiv w:val="1"/>
      <w:marLeft w:val="0"/>
      <w:marRight w:val="0"/>
      <w:marTop w:val="0"/>
      <w:marBottom w:val="0"/>
      <w:divBdr>
        <w:top w:val="none" w:sz="0" w:space="0" w:color="auto"/>
        <w:left w:val="none" w:sz="0" w:space="0" w:color="auto"/>
        <w:bottom w:val="none" w:sz="0" w:space="0" w:color="auto"/>
        <w:right w:val="none" w:sz="0" w:space="0" w:color="auto"/>
      </w:divBdr>
    </w:div>
    <w:div w:id="836043021">
      <w:bodyDiv w:val="1"/>
      <w:marLeft w:val="0"/>
      <w:marRight w:val="0"/>
      <w:marTop w:val="0"/>
      <w:marBottom w:val="0"/>
      <w:divBdr>
        <w:top w:val="none" w:sz="0" w:space="0" w:color="auto"/>
        <w:left w:val="none" w:sz="0" w:space="0" w:color="auto"/>
        <w:bottom w:val="none" w:sz="0" w:space="0" w:color="auto"/>
        <w:right w:val="none" w:sz="0" w:space="0" w:color="auto"/>
      </w:divBdr>
    </w:div>
    <w:div w:id="836307405">
      <w:bodyDiv w:val="1"/>
      <w:marLeft w:val="0"/>
      <w:marRight w:val="0"/>
      <w:marTop w:val="0"/>
      <w:marBottom w:val="0"/>
      <w:divBdr>
        <w:top w:val="none" w:sz="0" w:space="0" w:color="auto"/>
        <w:left w:val="none" w:sz="0" w:space="0" w:color="auto"/>
        <w:bottom w:val="none" w:sz="0" w:space="0" w:color="auto"/>
        <w:right w:val="none" w:sz="0" w:space="0" w:color="auto"/>
      </w:divBdr>
    </w:div>
    <w:div w:id="836968865">
      <w:bodyDiv w:val="1"/>
      <w:marLeft w:val="0"/>
      <w:marRight w:val="0"/>
      <w:marTop w:val="0"/>
      <w:marBottom w:val="0"/>
      <w:divBdr>
        <w:top w:val="none" w:sz="0" w:space="0" w:color="auto"/>
        <w:left w:val="none" w:sz="0" w:space="0" w:color="auto"/>
        <w:bottom w:val="none" w:sz="0" w:space="0" w:color="auto"/>
        <w:right w:val="none" w:sz="0" w:space="0" w:color="auto"/>
      </w:divBdr>
    </w:div>
    <w:div w:id="837042922">
      <w:bodyDiv w:val="1"/>
      <w:marLeft w:val="0"/>
      <w:marRight w:val="0"/>
      <w:marTop w:val="0"/>
      <w:marBottom w:val="0"/>
      <w:divBdr>
        <w:top w:val="none" w:sz="0" w:space="0" w:color="auto"/>
        <w:left w:val="none" w:sz="0" w:space="0" w:color="auto"/>
        <w:bottom w:val="none" w:sz="0" w:space="0" w:color="auto"/>
        <w:right w:val="none" w:sz="0" w:space="0" w:color="auto"/>
      </w:divBdr>
    </w:div>
    <w:div w:id="837621585">
      <w:bodyDiv w:val="1"/>
      <w:marLeft w:val="0"/>
      <w:marRight w:val="0"/>
      <w:marTop w:val="0"/>
      <w:marBottom w:val="0"/>
      <w:divBdr>
        <w:top w:val="none" w:sz="0" w:space="0" w:color="auto"/>
        <w:left w:val="none" w:sz="0" w:space="0" w:color="auto"/>
        <w:bottom w:val="none" w:sz="0" w:space="0" w:color="auto"/>
        <w:right w:val="none" w:sz="0" w:space="0" w:color="auto"/>
      </w:divBdr>
    </w:div>
    <w:div w:id="838496322">
      <w:bodyDiv w:val="1"/>
      <w:marLeft w:val="0"/>
      <w:marRight w:val="0"/>
      <w:marTop w:val="0"/>
      <w:marBottom w:val="0"/>
      <w:divBdr>
        <w:top w:val="none" w:sz="0" w:space="0" w:color="auto"/>
        <w:left w:val="none" w:sz="0" w:space="0" w:color="auto"/>
        <w:bottom w:val="none" w:sz="0" w:space="0" w:color="auto"/>
        <w:right w:val="none" w:sz="0" w:space="0" w:color="auto"/>
      </w:divBdr>
    </w:div>
    <w:div w:id="839581873">
      <w:bodyDiv w:val="1"/>
      <w:marLeft w:val="0"/>
      <w:marRight w:val="0"/>
      <w:marTop w:val="0"/>
      <w:marBottom w:val="0"/>
      <w:divBdr>
        <w:top w:val="none" w:sz="0" w:space="0" w:color="auto"/>
        <w:left w:val="none" w:sz="0" w:space="0" w:color="auto"/>
        <w:bottom w:val="none" w:sz="0" w:space="0" w:color="auto"/>
        <w:right w:val="none" w:sz="0" w:space="0" w:color="auto"/>
      </w:divBdr>
    </w:div>
    <w:div w:id="840386596">
      <w:bodyDiv w:val="1"/>
      <w:marLeft w:val="0"/>
      <w:marRight w:val="0"/>
      <w:marTop w:val="0"/>
      <w:marBottom w:val="0"/>
      <w:divBdr>
        <w:top w:val="none" w:sz="0" w:space="0" w:color="auto"/>
        <w:left w:val="none" w:sz="0" w:space="0" w:color="auto"/>
        <w:bottom w:val="none" w:sz="0" w:space="0" w:color="auto"/>
        <w:right w:val="none" w:sz="0" w:space="0" w:color="auto"/>
      </w:divBdr>
    </w:div>
    <w:div w:id="840464909">
      <w:bodyDiv w:val="1"/>
      <w:marLeft w:val="0"/>
      <w:marRight w:val="0"/>
      <w:marTop w:val="0"/>
      <w:marBottom w:val="0"/>
      <w:divBdr>
        <w:top w:val="none" w:sz="0" w:space="0" w:color="auto"/>
        <w:left w:val="none" w:sz="0" w:space="0" w:color="auto"/>
        <w:bottom w:val="none" w:sz="0" w:space="0" w:color="auto"/>
        <w:right w:val="none" w:sz="0" w:space="0" w:color="auto"/>
      </w:divBdr>
    </w:div>
    <w:div w:id="840509670">
      <w:bodyDiv w:val="1"/>
      <w:marLeft w:val="0"/>
      <w:marRight w:val="0"/>
      <w:marTop w:val="0"/>
      <w:marBottom w:val="0"/>
      <w:divBdr>
        <w:top w:val="none" w:sz="0" w:space="0" w:color="auto"/>
        <w:left w:val="none" w:sz="0" w:space="0" w:color="auto"/>
        <w:bottom w:val="none" w:sz="0" w:space="0" w:color="auto"/>
        <w:right w:val="none" w:sz="0" w:space="0" w:color="auto"/>
      </w:divBdr>
    </w:div>
    <w:div w:id="840899271">
      <w:bodyDiv w:val="1"/>
      <w:marLeft w:val="0"/>
      <w:marRight w:val="0"/>
      <w:marTop w:val="0"/>
      <w:marBottom w:val="0"/>
      <w:divBdr>
        <w:top w:val="none" w:sz="0" w:space="0" w:color="auto"/>
        <w:left w:val="none" w:sz="0" w:space="0" w:color="auto"/>
        <w:bottom w:val="none" w:sz="0" w:space="0" w:color="auto"/>
        <w:right w:val="none" w:sz="0" w:space="0" w:color="auto"/>
      </w:divBdr>
    </w:div>
    <w:div w:id="841431277">
      <w:bodyDiv w:val="1"/>
      <w:marLeft w:val="0"/>
      <w:marRight w:val="0"/>
      <w:marTop w:val="0"/>
      <w:marBottom w:val="0"/>
      <w:divBdr>
        <w:top w:val="none" w:sz="0" w:space="0" w:color="auto"/>
        <w:left w:val="none" w:sz="0" w:space="0" w:color="auto"/>
        <w:bottom w:val="none" w:sz="0" w:space="0" w:color="auto"/>
        <w:right w:val="none" w:sz="0" w:space="0" w:color="auto"/>
      </w:divBdr>
    </w:div>
    <w:div w:id="841510225">
      <w:bodyDiv w:val="1"/>
      <w:marLeft w:val="0"/>
      <w:marRight w:val="0"/>
      <w:marTop w:val="0"/>
      <w:marBottom w:val="0"/>
      <w:divBdr>
        <w:top w:val="none" w:sz="0" w:space="0" w:color="auto"/>
        <w:left w:val="none" w:sz="0" w:space="0" w:color="auto"/>
        <w:bottom w:val="none" w:sz="0" w:space="0" w:color="auto"/>
        <w:right w:val="none" w:sz="0" w:space="0" w:color="auto"/>
      </w:divBdr>
    </w:div>
    <w:div w:id="841699058">
      <w:bodyDiv w:val="1"/>
      <w:marLeft w:val="0"/>
      <w:marRight w:val="0"/>
      <w:marTop w:val="0"/>
      <w:marBottom w:val="0"/>
      <w:divBdr>
        <w:top w:val="none" w:sz="0" w:space="0" w:color="auto"/>
        <w:left w:val="none" w:sz="0" w:space="0" w:color="auto"/>
        <w:bottom w:val="none" w:sz="0" w:space="0" w:color="auto"/>
        <w:right w:val="none" w:sz="0" w:space="0" w:color="auto"/>
      </w:divBdr>
    </w:div>
    <w:div w:id="842739318">
      <w:bodyDiv w:val="1"/>
      <w:marLeft w:val="0"/>
      <w:marRight w:val="0"/>
      <w:marTop w:val="0"/>
      <w:marBottom w:val="0"/>
      <w:divBdr>
        <w:top w:val="none" w:sz="0" w:space="0" w:color="auto"/>
        <w:left w:val="none" w:sz="0" w:space="0" w:color="auto"/>
        <w:bottom w:val="none" w:sz="0" w:space="0" w:color="auto"/>
        <w:right w:val="none" w:sz="0" w:space="0" w:color="auto"/>
      </w:divBdr>
    </w:div>
    <w:div w:id="842740288">
      <w:bodyDiv w:val="1"/>
      <w:marLeft w:val="0"/>
      <w:marRight w:val="0"/>
      <w:marTop w:val="0"/>
      <w:marBottom w:val="0"/>
      <w:divBdr>
        <w:top w:val="none" w:sz="0" w:space="0" w:color="auto"/>
        <w:left w:val="none" w:sz="0" w:space="0" w:color="auto"/>
        <w:bottom w:val="none" w:sz="0" w:space="0" w:color="auto"/>
        <w:right w:val="none" w:sz="0" w:space="0" w:color="auto"/>
      </w:divBdr>
    </w:div>
    <w:div w:id="842740553">
      <w:bodyDiv w:val="1"/>
      <w:marLeft w:val="0"/>
      <w:marRight w:val="0"/>
      <w:marTop w:val="0"/>
      <w:marBottom w:val="0"/>
      <w:divBdr>
        <w:top w:val="none" w:sz="0" w:space="0" w:color="auto"/>
        <w:left w:val="none" w:sz="0" w:space="0" w:color="auto"/>
        <w:bottom w:val="none" w:sz="0" w:space="0" w:color="auto"/>
        <w:right w:val="none" w:sz="0" w:space="0" w:color="auto"/>
      </w:divBdr>
    </w:div>
    <w:div w:id="843011394">
      <w:bodyDiv w:val="1"/>
      <w:marLeft w:val="0"/>
      <w:marRight w:val="0"/>
      <w:marTop w:val="0"/>
      <w:marBottom w:val="0"/>
      <w:divBdr>
        <w:top w:val="none" w:sz="0" w:space="0" w:color="auto"/>
        <w:left w:val="none" w:sz="0" w:space="0" w:color="auto"/>
        <w:bottom w:val="none" w:sz="0" w:space="0" w:color="auto"/>
        <w:right w:val="none" w:sz="0" w:space="0" w:color="auto"/>
      </w:divBdr>
    </w:div>
    <w:div w:id="843015703">
      <w:bodyDiv w:val="1"/>
      <w:marLeft w:val="0"/>
      <w:marRight w:val="0"/>
      <w:marTop w:val="0"/>
      <w:marBottom w:val="0"/>
      <w:divBdr>
        <w:top w:val="none" w:sz="0" w:space="0" w:color="auto"/>
        <w:left w:val="none" w:sz="0" w:space="0" w:color="auto"/>
        <w:bottom w:val="none" w:sz="0" w:space="0" w:color="auto"/>
        <w:right w:val="none" w:sz="0" w:space="0" w:color="auto"/>
      </w:divBdr>
    </w:div>
    <w:div w:id="843208159">
      <w:bodyDiv w:val="1"/>
      <w:marLeft w:val="0"/>
      <w:marRight w:val="0"/>
      <w:marTop w:val="0"/>
      <w:marBottom w:val="0"/>
      <w:divBdr>
        <w:top w:val="none" w:sz="0" w:space="0" w:color="auto"/>
        <w:left w:val="none" w:sz="0" w:space="0" w:color="auto"/>
        <w:bottom w:val="none" w:sz="0" w:space="0" w:color="auto"/>
        <w:right w:val="none" w:sz="0" w:space="0" w:color="auto"/>
      </w:divBdr>
    </w:div>
    <w:div w:id="843471365">
      <w:bodyDiv w:val="1"/>
      <w:marLeft w:val="0"/>
      <w:marRight w:val="0"/>
      <w:marTop w:val="0"/>
      <w:marBottom w:val="0"/>
      <w:divBdr>
        <w:top w:val="none" w:sz="0" w:space="0" w:color="auto"/>
        <w:left w:val="none" w:sz="0" w:space="0" w:color="auto"/>
        <w:bottom w:val="none" w:sz="0" w:space="0" w:color="auto"/>
        <w:right w:val="none" w:sz="0" w:space="0" w:color="auto"/>
      </w:divBdr>
    </w:div>
    <w:div w:id="843714210">
      <w:bodyDiv w:val="1"/>
      <w:marLeft w:val="0"/>
      <w:marRight w:val="0"/>
      <w:marTop w:val="0"/>
      <w:marBottom w:val="0"/>
      <w:divBdr>
        <w:top w:val="none" w:sz="0" w:space="0" w:color="auto"/>
        <w:left w:val="none" w:sz="0" w:space="0" w:color="auto"/>
        <w:bottom w:val="none" w:sz="0" w:space="0" w:color="auto"/>
        <w:right w:val="none" w:sz="0" w:space="0" w:color="auto"/>
      </w:divBdr>
    </w:div>
    <w:div w:id="843939654">
      <w:bodyDiv w:val="1"/>
      <w:marLeft w:val="0"/>
      <w:marRight w:val="0"/>
      <w:marTop w:val="0"/>
      <w:marBottom w:val="0"/>
      <w:divBdr>
        <w:top w:val="none" w:sz="0" w:space="0" w:color="auto"/>
        <w:left w:val="none" w:sz="0" w:space="0" w:color="auto"/>
        <w:bottom w:val="none" w:sz="0" w:space="0" w:color="auto"/>
        <w:right w:val="none" w:sz="0" w:space="0" w:color="auto"/>
      </w:divBdr>
    </w:div>
    <w:div w:id="844049641">
      <w:bodyDiv w:val="1"/>
      <w:marLeft w:val="0"/>
      <w:marRight w:val="0"/>
      <w:marTop w:val="0"/>
      <w:marBottom w:val="0"/>
      <w:divBdr>
        <w:top w:val="none" w:sz="0" w:space="0" w:color="auto"/>
        <w:left w:val="none" w:sz="0" w:space="0" w:color="auto"/>
        <w:bottom w:val="none" w:sz="0" w:space="0" w:color="auto"/>
        <w:right w:val="none" w:sz="0" w:space="0" w:color="auto"/>
      </w:divBdr>
    </w:div>
    <w:div w:id="844440111">
      <w:bodyDiv w:val="1"/>
      <w:marLeft w:val="0"/>
      <w:marRight w:val="0"/>
      <w:marTop w:val="0"/>
      <w:marBottom w:val="0"/>
      <w:divBdr>
        <w:top w:val="none" w:sz="0" w:space="0" w:color="auto"/>
        <w:left w:val="none" w:sz="0" w:space="0" w:color="auto"/>
        <w:bottom w:val="none" w:sz="0" w:space="0" w:color="auto"/>
        <w:right w:val="none" w:sz="0" w:space="0" w:color="auto"/>
      </w:divBdr>
    </w:div>
    <w:div w:id="844445019">
      <w:bodyDiv w:val="1"/>
      <w:marLeft w:val="0"/>
      <w:marRight w:val="0"/>
      <w:marTop w:val="0"/>
      <w:marBottom w:val="0"/>
      <w:divBdr>
        <w:top w:val="none" w:sz="0" w:space="0" w:color="auto"/>
        <w:left w:val="none" w:sz="0" w:space="0" w:color="auto"/>
        <w:bottom w:val="none" w:sz="0" w:space="0" w:color="auto"/>
        <w:right w:val="none" w:sz="0" w:space="0" w:color="auto"/>
      </w:divBdr>
    </w:div>
    <w:div w:id="844517267">
      <w:bodyDiv w:val="1"/>
      <w:marLeft w:val="0"/>
      <w:marRight w:val="0"/>
      <w:marTop w:val="0"/>
      <w:marBottom w:val="0"/>
      <w:divBdr>
        <w:top w:val="none" w:sz="0" w:space="0" w:color="auto"/>
        <w:left w:val="none" w:sz="0" w:space="0" w:color="auto"/>
        <w:bottom w:val="none" w:sz="0" w:space="0" w:color="auto"/>
        <w:right w:val="none" w:sz="0" w:space="0" w:color="auto"/>
      </w:divBdr>
    </w:div>
    <w:div w:id="844828530">
      <w:bodyDiv w:val="1"/>
      <w:marLeft w:val="0"/>
      <w:marRight w:val="0"/>
      <w:marTop w:val="0"/>
      <w:marBottom w:val="0"/>
      <w:divBdr>
        <w:top w:val="none" w:sz="0" w:space="0" w:color="auto"/>
        <w:left w:val="none" w:sz="0" w:space="0" w:color="auto"/>
        <w:bottom w:val="none" w:sz="0" w:space="0" w:color="auto"/>
        <w:right w:val="none" w:sz="0" w:space="0" w:color="auto"/>
      </w:divBdr>
    </w:div>
    <w:div w:id="845093146">
      <w:bodyDiv w:val="1"/>
      <w:marLeft w:val="0"/>
      <w:marRight w:val="0"/>
      <w:marTop w:val="0"/>
      <w:marBottom w:val="0"/>
      <w:divBdr>
        <w:top w:val="none" w:sz="0" w:space="0" w:color="auto"/>
        <w:left w:val="none" w:sz="0" w:space="0" w:color="auto"/>
        <w:bottom w:val="none" w:sz="0" w:space="0" w:color="auto"/>
        <w:right w:val="none" w:sz="0" w:space="0" w:color="auto"/>
      </w:divBdr>
    </w:div>
    <w:div w:id="845097147">
      <w:bodyDiv w:val="1"/>
      <w:marLeft w:val="0"/>
      <w:marRight w:val="0"/>
      <w:marTop w:val="0"/>
      <w:marBottom w:val="0"/>
      <w:divBdr>
        <w:top w:val="none" w:sz="0" w:space="0" w:color="auto"/>
        <w:left w:val="none" w:sz="0" w:space="0" w:color="auto"/>
        <w:bottom w:val="none" w:sz="0" w:space="0" w:color="auto"/>
        <w:right w:val="none" w:sz="0" w:space="0" w:color="auto"/>
      </w:divBdr>
    </w:div>
    <w:div w:id="847252369">
      <w:bodyDiv w:val="1"/>
      <w:marLeft w:val="0"/>
      <w:marRight w:val="0"/>
      <w:marTop w:val="0"/>
      <w:marBottom w:val="0"/>
      <w:divBdr>
        <w:top w:val="none" w:sz="0" w:space="0" w:color="auto"/>
        <w:left w:val="none" w:sz="0" w:space="0" w:color="auto"/>
        <w:bottom w:val="none" w:sz="0" w:space="0" w:color="auto"/>
        <w:right w:val="none" w:sz="0" w:space="0" w:color="auto"/>
      </w:divBdr>
    </w:div>
    <w:div w:id="847452038">
      <w:bodyDiv w:val="1"/>
      <w:marLeft w:val="0"/>
      <w:marRight w:val="0"/>
      <w:marTop w:val="0"/>
      <w:marBottom w:val="0"/>
      <w:divBdr>
        <w:top w:val="none" w:sz="0" w:space="0" w:color="auto"/>
        <w:left w:val="none" w:sz="0" w:space="0" w:color="auto"/>
        <w:bottom w:val="none" w:sz="0" w:space="0" w:color="auto"/>
        <w:right w:val="none" w:sz="0" w:space="0" w:color="auto"/>
      </w:divBdr>
    </w:div>
    <w:div w:id="848954541">
      <w:bodyDiv w:val="1"/>
      <w:marLeft w:val="0"/>
      <w:marRight w:val="0"/>
      <w:marTop w:val="0"/>
      <w:marBottom w:val="0"/>
      <w:divBdr>
        <w:top w:val="none" w:sz="0" w:space="0" w:color="auto"/>
        <w:left w:val="none" w:sz="0" w:space="0" w:color="auto"/>
        <w:bottom w:val="none" w:sz="0" w:space="0" w:color="auto"/>
        <w:right w:val="none" w:sz="0" w:space="0" w:color="auto"/>
      </w:divBdr>
    </w:div>
    <w:div w:id="849484815">
      <w:bodyDiv w:val="1"/>
      <w:marLeft w:val="0"/>
      <w:marRight w:val="0"/>
      <w:marTop w:val="0"/>
      <w:marBottom w:val="0"/>
      <w:divBdr>
        <w:top w:val="none" w:sz="0" w:space="0" w:color="auto"/>
        <w:left w:val="none" w:sz="0" w:space="0" w:color="auto"/>
        <w:bottom w:val="none" w:sz="0" w:space="0" w:color="auto"/>
        <w:right w:val="none" w:sz="0" w:space="0" w:color="auto"/>
      </w:divBdr>
    </w:div>
    <w:div w:id="849761618">
      <w:bodyDiv w:val="1"/>
      <w:marLeft w:val="0"/>
      <w:marRight w:val="0"/>
      <w:marTop w:val="0"/>
      <w:marBottom w:val="0"/>
      <w:divBdr>
        <w:top w:val="none" w:sz="0" w:space="0" w:color="auto"/>
        <w:left w:val="none" w:sz="0" w:space="0" w:color="auto"/>
        <w:bottom w:val="none" w:sz="0" w:space="0" w:color="auto"/>
        <w:right w:val="none" w:sz="0" w:space="0" w:color="auto"/>
      </w:divBdr>
    </w:div>
    <w:div w:id="850068911">
      <w:bodyDiv w:val="1"/>
      <w:marLeft w:val="0"/>
      <w:marRight w:val="0"/>
      <w:marTop w:val="0"/>
      <w:marBottom w:val="0"/>
      <w:divBdr>
        <w:top w:val="none" w:sz="0" w:space="0" w:color="auto"/>
        <w:left w:val="none" w:sz="0" w:space="0" w:color="auto"/>
        <w:bottom w:val="none" w:sz="0" w:space="0" w:color="auto"/>
        <w:right w:val="none" w:sz="0" w:space="0" w:color="auto"/>
      </w:divBdr>
    </w:div>
    <w:div w:id="850292872">
      <w:bodyDiv w:val="1"/>
      <w:marLeft w:val="0"/>
      <w:marRight w:val="0"/>
      <w:marTop w:val="0"/>
      <w:marBottom w:val="0"/>
      <w:divBdr>
        <w:top w:val="none" w:sz="0" w:space="0" w:color="auto"/>
        <w:left w:val="none" w:sz="0" w:space="0" w:color="auto"/>
        <w:bottom w:val="none" w:sz="0" w:space="0" w:color="auto"/>
        <w:right w:val="none" w:sz="0" w:space="0" w:color="auto"/>
      </w:divBdr>
    </w:div>
    <w:div w:id="850685076">
      <w:bodyDiv w:val="1"/>
      <w:marLeft w:val="0"/>
      <w:marRight w:val="0"/>
      <w:marTop w:val="0"/>
      <w:marBottom w:val="0"/>
      <w:divBdr>
        <w:top w:val="none" w:sz="0" w:space="0" w:color="auto"/>
        <w:left w:val="none" w:sz="0" w:space="0" w:color="auto"/>
        <w:bottom w:val="none" w:sz="0" w:space="0" w:color="auto"/>
        <w:right w:val="none" w:sz="0" w:space="0" w:color="auto"/>
      </w:divBdr>
    </w:div>
    <w:div w:id="851794649">
      <w:bodyDiv w:val="1"/>
      <w:marLeft w:val="0"/>
      <w:marRight w:val="0"/>
      <w:marTop w:val="0"/>
      <w:marBottom w:val="0"/>
      <w:divBdr>
        <w:top w:val="none" w:sz="0" w:space="0" w:color="auto"/>
        <w:left w:val="none" w:sz="0" w:space="0" w:color="auto"/>
        <w:bottom w:val="none" w:sz="0" w:space="0" w:color="auto"/>
        <w:right w:val="none" w:sz="0" w:space="0" w:color="auto"/>
      </w:divBdr>
    </w:div>
    <w:div w:id="851838517">
      <w:bodyDiv w:val="1"/>
      <w:marLeft w:val="0"/>
      <w:marRight w:val="0"/>
      <w:marTop w:val="0"/>
      <w:marBottom w:val="0"/>
      <w:divBdr>
        <w:top w:val="none" w:sz="0" w:space="0" w:color="auto"/>
        <w:left w:val="none" w:sz="0" w:space="0" w:color="auto"/>
        <w:bottom w:val="none" w:sz="0" w:space="0" w:color="auto"/>
        <w:right w:val="none" w:sz="0" w:space="0" w:color="auto"/>
      </w:divBdr>
    </w:div>
    <w:div w:id="851913868">
      <w:bodyDiv w:val="1"/>
      <w:marLeft w:val="0"/>
      <w:marRight w:val="0"/>
      <w:marTop w:val="0"/>
      <w:marBottom w:val="0"/>
      <w:divBdr>
        <w:top w:val="none" w:sz="0" w:space="0" w:color="auto"/>
        <w:left w:val="none" w:sz="0" w:space="0" w:color="auto"/>
        <w:bottom w:val="none" w:sz="0" w:space="0" w:color="auto"/>
        <w:right w:val="none" w:sz="0" w:space="0" w:color="auto"/>
      </w:divBdr>
    </w:div>
    <w:div w:id="852458076">
      <w:bodyDiv w:val="1"/>
      <w:marLeft w:val="0"/>
      <w:marRight w:val="0"/>
      <w:marTop w:val="0"/>
      <w:marBottom w:val="0"/>
      <w:divBdr>
        <w:top w:val="none" w:sz="0" w:space="0" w:color="auto"/>
        <w:left w:val="none" w:sz="0" w:space="0" w:color="auto"/>
        <w:bottom w:val="none" w:sz="0" w:space="0" w:color="auto"/>
        <w:right w:val="none" w:sz="0" w:space="0" w:color="auto"/>
      </w:divBdr>
    </w:div>
    <w:div w:id="852770340">
      <w:bodyDiv w:val="1"/>
      <w:marLeft w:val="0"/>
      <w:marRight w:val="0"/>
      <w:marTop w:val="0"/>
      <w:marBottom w:val="0"/>
      <w:divBdr>
        <w:top w:val="none" w:sz="0" w:space="0" w:color="auto"/>
        <w:left w:val="none" w:sz="0" w:space="0" w:color="auto"/>
        <w:bottom w:val="none" w:sz="0" w:space="0" w:color="auto"/>
        <w:right w:val="none" w:sz="0" w:space="0" w:color="auto"/>
      </w:divBdr>
    </w:div>
    <w:div w:id="855119816">
      <w:bodyDiv w:val="1"/>
      <w:marLeft w:val="0"/>
      <w:marRight w:val="0"/>
      <w:marTop w:val="0"/>
      <w:marBottom w:val="0"/>
      <w:divBdr>
        <w:top w:val="none" w:sz="0" w:space="0" w:color="auto"/>
        <w:left w:val="none" w:sz="0" w:space="0" w:color="auto"/>
        <w:bottom w:val="none" w:sz="0" w:space="0" w:color="auto"/>
        <w:right w:val="none" w:sz="0" w:space="0" w:color="auto"/>
      </w:divBdr>
    </w:div>
    <w:div w:id="855264406">
      <w:bodyDiv w:val="1"/>
      <w:marLeft w:val="0"/>
      <w:marRight w:val="0"/>
      <w:marTop w:val="0"/>
      <w:marBottom w:val="0"/>
      <w:divBdr>
        <w:top w:val="none" w:sz="0" w:space="0" w:color="auto"/>
        <w:left w:val="none" w:sz="0" w:space="0" w:color="auto"/>
        <w:bottom w:val="none" w:sz="0" w:space="0" w:color="auto"/>
        <w:right w:val="none" w:sz="0" w:space="0" w:color="auto"/>
      </w:divBdr>
    </w:div>
    <w:div w:id="855314965">
      <w:bodyDiv w:val="1"/>
      <w:marLeft w:val="0"/>
      <w:marRight w:val="0"/>
      <w:marTop w:val="0"/>
      <w:marBottom w:val="0"/>
      <w:divBdr>
        <w:top w:val="none" w:sz="0" w:space="0" w:color="auto"/>
        <w:left w:val="none" w:sz="0" w:space="0" w:color="auto"/>
        <w:bottom w:val="none" w:sz="0" w:space="0" w:color="auto"/>
        <w:right w:val="none" w:sz="0" w:space="0" w:color="auto"/>
      </w:divBdr>
    </w:div>
    <w:div w:id="856580123">
      <w:bodyDiv w:val="1"/>
      <w:marLeft w:val="0"/>
      <w:marRight w:val="0"/>
      <w:marTop w:val="0"/>
      <w:marBottom w:val="0"/>
      <w:divBdr>
        <w:top w:val="none" w:sz="0" w:space="0" w:color="auto"/>
        <w:left w:val="none" w:sz="0" w:space="0" w:color="auto"/>
        <w:bottom w:val="none" w:sz="0" w:space="0" w:color="auto"/>
        <w:right w:val="none" w:sz="0" w:space="0" w:color="auto"/>
      </w:divBdr>
    </w:div>
    <w:div w:id="856773452">
      <w:bodyDiv w:val="1"/>
      <w:marLeft w:val="0"/>
      <w:marRight w:val="0"/>
      <w:marTop w:val="0"/>
      <w:marBottom w:val="0"/>
      <w:divBdr>
        <w:top w:val="none" w:sz="0" w:space="0" w:color="auto"/>
        <w:left w:val="none" w:sz="0" w:space="0" w:color="auto"/>
        <w:bottom w:val="none" w:sz="0" w:space="0" w:color="auto"/>
        <w:right w:val="none" w:sz="0" w:space="0" w:color="auto"/>
      </w:divBdr>
    </w:div>
    <w:div w:id="857308950">
      <w:bodyDiv w:val="1"/>
      <w:marLeft w:val="0"/>
      <w:marRight w:val="0"/>
      <w:marTop w:val="0"/>
      <w:marBottom w:val="0"/>
      <w:divBdr>
        <w:top w:val="none" w:sz="0" w:space="0" w:color="auto"/>
        <w:left w:val="none" w:sz="0" w:space="0" w:color="auto"/>
        <w:bottom w:val="none" w:sz="0" w:space="0" w:color="auto"/>
        <w:right w:val="none" w:sz="0" w:space="0" w:color="auto"/>
      </w:divBdr>
    </w:div>
    <w:div w:id="857617746">
      <w:bodyDiv w:val="1"/>
      <w:marLeft w:val="0"/>
      <w:marRight w:val="0"/>
      <w:marTop w:val="0"/>
      <w:marBottom w:val="0"/>
      <w:divBdr>
        <w:top w:val="none" w:sz="0" w:space="0" w:color="auto"/>
        <w:left w:val="none" w:sz="0" w:space="0" w:color="auto"/>
        <w:bottom w:val="none" w:sz="0" w:space="0" w:color="auto"/>
        <w:right w:val="none" w:sz="0" w:space="0" w:color="auto"/>
      </w:divBdr>
    </w:div>
    <w:div w:id="857618212">
      <w:bodyDiv w:val="1"/>
      <w:marLeft w:val="0"/>
      <w:marRight w:val="0"/>
      <w:marTop w:val="0"/>
      <w:marBottom w:val="0"/>
      <w:divBdr>
        <w:top w:val="none" w:sz="0" w:space="0" w:color="auto"/>
        <w:left w:val="none" w:sz="0" w:space="0" w:color="auto"/>
        <w:bottom w:val="none" w:sz="0" w:space="0" w:color="auto"/>
        <w:right w:val="none" w:sz="0" w:space="0" w:color="auto"/>
      </w:divBdr>
    </w:div>
    <w:div w:id="857818376">
      <w:bodyDiv w:val="1"/>
      <w:marLeft w:val="0"/>
      <w:marRight w:val="0"/>
      <w:marTop w:val="0"/>
      <w:marBottom w:val="0"/>
      <w:divBdr>
        <w:top w:val="none" w:sz="0" w:space="0" w:color="auto"/>
        <w:left w:val="none" w:sz="0" w:space="0" w:color="auto"/>
        <w:bottom w:val="none" w:sz="0" w:space="0" w:color="auto"/>
        <w:right w:val="none" w:sz="0" w:space="0" w:color="auto"/>
      </w:divBdr>
    </w:div>
    <w:div w:id="857934588">
      <w:bodyDiv w:val="1"/>
      <w:marLeft w:val="0"/>
      <w:marRight w:val="0"/>
      <w:marTop w:val="0"/>
      <w:marBottom w:val="0"/>
      <w:divBdr>
        <w:top w:val="none" w:sz="0" w:space="0" w:color="auto"/>
        <w:left w:val="none" w:sz="0" w:space="0" w:color="auto"/>
        <w:bottom w:val="none" w:sz="0" w:space="0" w:color="auto"/>
        <w:right w:val="none" w:sz="0" w:space="0" w:color="auto"/>
      </w:divBdr>
    </w:div>
    <w:div w:id="858083903">
      <w:bodyDiv w:val="1"/>
      <w:marLeft w:val="0"/>
      <w:marRight w:val="0"/>
      <w:marTop w:val="0"/>
      <w:marBottom w:val="0"/>
      <w:divBdr>
        <w:top w:val="none" w:sz="0" w:space="0" w:color="auto"/>
        <w:left w:val="none" w:sz="0" w:space="0" w:color="auto"/>
        <w:bottom w:val="none" w:sz="0" w:space="0" w:color="auto"/>
        <w:right w:val="none" w:sz="0" w:space="0" w:color="auto"/>
      </w:divBdr>
    </w:div>
    <w:div w:id="858275014">
      <w:bodyDiv w:val="1"/>
      <w:marLeft w:val="0"/>
      <w:marRight w:val="0"/>
      <w:marTop w:val="0"/>
      <w:marBottom w:val="0"/>
      <w:divBdr>
        <w:top w:val="none" w:sz="0" w:space="0" w:color="auto"/>
        <w:left w:val="none" w:sz="0" w:space="0" w:color="auto"/>
        <w:bottom w:val="none" w:sz="0" w:space="0" w:color="auto"/>
        <w:right w:val="none" w:sz="0" w:space="0" w:color="auto"/>
      </w:divBdr>
    </w:div>
    <w:div w:id="858542918">
      <w:bodyDiv w:val="1"/>
      <w:marLeft w:val="0"/>
      <w:marRight w:val="0"/>
      <w:marTop w:val="0"/>
      <w:marBottom w:val="0"/>
      <w:divBdr>
        <w:top w:val="none" w:sz="0" w:space="0" w:color="auto"/>
        <w:left w:val="none" w:sz="0" w:space="0" w:color="auto"/>
        <w:bottom w:val="none" w:sz="0" w:space="0" w:color="auto"/>
        <w:right w:val="none" w:sz="0" w:space="0" w:color="auto"/>
      </w:divBdr>
    </w:div>
    <w:div w:id="858548182">
      <w:bodyDiv w:val="1"/>
      <w:marLeft w:val="0"/>
      <w:marRight w:val="0"/>
      <w:marTop w:val="0"/>
      <w:marBottom w:val="0"/>
      <w:divBdr>
        <w:top w:val="none" w:sz="0" w:space="0" w:color="auto"/>
        <w:left w:val="none" w:sz="0" w:space="0" w:color="auto"/>
        <w:bottom w:val="none" w:sz="0" w:space="0" w:color="auto"/>
        <w:right w:val="none" w:sz="0" w:space="0" w:color="auto"/>
      </w:divBdr>
    </w:div>
    <w:div w:id="858660420">
      <w:bodyDiv w:val="1"/>
      <w:marLeft w:val="0"/>
      <w:marRight w:val="0"/>
      <w:marTop w:val="0"/>
      <w:marBottom w:val="0"/>
      <w:divBdr>
        <w:top w:val="none" w:sz="0" w:space="0" w:color="auto"/>
        <w:left w:val="none" w:sz="0" w:space="0" w:color="auto"/>
        <w:bottom w:val="none" w:sz="0" w:space="0" w:color="auto"/>
        <w:right w:val="none" w:sz="0" w:space="0" w:color="auto"/>
      </w:divBdr>
    </w:div>
    <w:div w:id="858929014">
      <w:bodyDiv w:val="1"/>
      <w:marLeft w:val="0"/>
      <w:marRight w:val="0"/>
      <w:marTop w:val="0"/>
      <w:marBottom w:val="0"/>
      <w:divBdr>
        <w:top w:val="none" w:sz="0" w:space="0" w:color="auto"/>
        <w:left w:val="none" w:sz="0" w:space="0" w:color="auto"/>
        <w:bottom w:val="none" w:sz="0" w:space="0" w:color="auto"/>
        <w:right w:val="none" w:sz="0" w:space="0" w:color="auto"/>
      </w:divBdr>
    </w:div>
    <w:div w:id="859272900">
      <w:bodyDiv w:val="1"/>
      <w:marLeft w:val="0"/>
      <w:marRight w:val="0"/>
      <w:marTop w:val="0"/>
      <w:marBottom w:val="0"/>
      <w:divBdr>
        <w:top w:val="none" w:sz="0" w:space="0" w:color="auto"/>
        <w:left w:val="none" w:sz="0" w:space="0" w:color="auto"/>
        <w:bottom w:val="none" w:sz="0" w:space="0" w:color="auto"/>
        <w:right w:val="none" w:sz="0" w:space="0" w:color="auto"/>
      </w:divBdr>
    </w:div>
    <w:div w:id="859857762">
      <w:bodyDiv w:val="1"/>
      <w:marLeft w:val="0"/>
      <w:marRight w:val="0"/>
      <w:marTop w:val="0"/>
      <w:marBottom w:val="0"/>
      <w:divBdr>
        <w:top w:val="none" w:sz="0" w:space="0" w:color="auto"/>
        <w:left w:val="none" w:sz="0" w:space="0" w:color="auto"/>
        <w:bottom w:val="none" w:sz="0" w:space="0" w:color="auto"/>
        <w:right w:val="none" w:sz="0" w:space="0" w:color="auto"/>
      </w:divBdr>
    </w:div>
    <w:div w:id="859898280">
      <w:bodyDiv w:val="1"/>
      <w:marLeft w:val="0"/>
      <w:marRight w:val="0"/>
      <w:marTop w:val="0"/>
      <w:marBottom w:val="0"/>
      <w:divBdr>
        <w:top w:val="none" w:sz="0" w:space="0" w:color="auto"/>
        <w:left w:val="none" w:sz="0" w:space="0" w:color="auto"/>
        <w:bottom w:val="none" w:sz="0" w:space="0" w:color="auto"/>
        <w:right w:val="none" w:sz="0" w:space="0" w:color="auto"/>
      </w:divBdr>
    </w:div>
    <w:div w:id="860053076">
      <w:bodyDiv w:val="1"/>
      <w:marLeft w:val="0"/>
      <w:marRight w:val="0"/>
      <w:marTop w:val="0"/>
      <w:marBottom w:val="0"/>
      <w:divBdr>
        <w:top w:val="none" w:sz="0" w:space="0" w:color="auto"/>
        <w:left w:val="none" w:sz="0" w:space="0" w:color="auto"/>
        <w:bottom w:val="none" w:sz="0" w:space="0" w:color="auto"/>
        <w:right w:val="none" w:sz="0" w:space="0" w:color="auto"/>
      </w:divBdr>
    </w:div>
    <w:div w:id="860433968">
      <w:bodyDiv w:val="1"/>
      <w:marLeft w:val="0"/>
      <w:marRight w:val="0"/>
      <w:marTop w:val="0"/>
      <w:marBottom w:val="0"/>
      <w:divBdr>
        <w:top w:val="none" w:sz="0" w:space="0" w:color="auto"/>
        <w:left w:val="none" w:sz="0" w:space="0" w:color="auto"/>
        <w:bottom w:val="none" w:sz="0" w:space="0" w:color="auto"/>
        <w:right w:val="none" w:sz="0" w:space="0" w:color="auto"/>
      </w:divBdr>
    </w:div>
    <w:div w:id="861020145">
      <w:bodyDiv w:val="1"/>
      <w:marLeft w:val="0"/>
      <w:marRight w:val="0"/>
      <w:marTop w:val="0"/>
      <w:marBottom w:val="0"/>
      <w:divBdr>
        <w:top w:val="none" w:sz="0" w:space="0" w:color="auto"/>
        <w:left w:val="none" w:sz="0" w:space="0" w:color="auto"/>
        <w:bottom w:val="none" w:sz="0" w:space="0" w:color="auto"/>
        <w:right w:val="none" w:sz="0" w:space="0" w:color="auto"/>
      </w:divBdr>
    </w:div>
    <w:div w:id="861357494">
      <w:bodyDiv w:val="1"/>
      <w:marLeft w:val="0"/>
      <w:marRight w:val="0"/>
      <w:marTop w:val="0"/>
      <w:marBottom w:val="0"/>
      <w:divBdr>
        <w:top w:val="none" w:sz="0" w:space="0" w:color="auto"/>
        <w:left w:val="none" w:sz="0" w:space="0" w:color="auto"/>
        <w:bottom w:val="none" w:sz="0" w:space="0" w:color="auto"/>
        <w:right w:val="none" w:sz="0" w:space="0" w:color="auto"/>
      </w:divBdr>
    </w:div>
    <w:div w:id="861478113">
      <w:bodyDiv w:val="1"/>
      <w:marLeft w:val="0"/>
      <w:marRight w:val="0"/>
      <w:marTop w:val="0"/>
      <w:marBottom w:val="0"/>
      <w:divBdr>
        <w:top w:val="none" w:sz="0" w:space="0" w:color="auto"/>
        <w:left w:val="none" w:sz="0" w:space="0" w:color="auto"/>
        <w:bottom w:val="none" w:sz="0" w:space="0" w:color="auto"/>
        <w:right w:val="none" w:sz="0" w:space="0" w:color="auto"/>
      </w:divBdr>
    </w:div>
    <w:div w:id="861668694">
      <w:bodyDiv w:val="1"/>
      <w:marLeft w:val="0"/>
      <w:marRight w:val="0"/>
      <w:marTop w:val="0"/>
      <w:marBottom w:val="0"/>
      <w:divBdr>
        <w:top w:val="none" w:sz="0" w:space="0" w:color="auto"/>
        <w:left w:val="none" w:sz="0" w:space="0" w:color="auto"/>
        <w:bottom w:val="none" w:sz="0" w:space="0" w:color="auto"/>
        <w:right w:val="none" w:sz="0" w:space="0" w:color="auto"/>
      </w:divBdr>
    </w:div>
    <w:div w:id="862670304">
      <w:bodyDiv w:val="1"/>
      <w:marLeft w:val="0"/>
      <w:marRight w:val="0"/>
      <w:marTop w:val="0"/>
      <w:marBottom w:val="0"/>
      <w:divBdr>
        <w:top w:val="none" w:sz="0" w:space="0" w:color="auto"/>
        <w:left w:val="none" w:sz="0" w:space="0" w:color="auto"/>
        <w:bottom w:val="none" w:sz="0" w:space="0" w:color="auto"/>
        <w:right w:val="none" w:sz="0" w:space="0" w:color="auto"/>
      </w:divBdr>
    </w:div>
    <w:div w:id="862745682">
      <w:bodyDiv w:val="1"/>
      <w:marLeft w:val="0"/>
      <w:marRight w:val="0"/>
      <w:marTop w:val="0"/>
      <w:marBottom w:val="0"/>
      <w:divBdr>
        <w:top w:val="none" w:sz="0" w:space="0" w:color="auto"/>
        <w:left w:val="none" w:sz="0" w:space="0" w:color="auto"/>
        <w:bottom w:val="none" w:sz="0" w:space="0" w:color="auto"/>
        <w:right w:val="none" w:sz="0" w:space="0" w:color="auto"/>
      </w:divBdr>
    </w:div>
    <w:div w:id="863055254">
      <w:bodyDiv w:val="1"/>
      <w:marLeft w:val="0"/>
      <w:marRight w:val="0"/>
      <w:marTop w:val="0"/>
      <w:marBottom w:val="0"/>
      <w:divBdr>
        <w:top w:val="none" w:sz="0" w:space="0" w:color="auto"/>
        <w:left w:val="none" w:sz="0" w:space="0" w:color="auto"/>
        <w:bottom w:val="none" w:sz="0" w:space="0" w:color="auto"/>
        <w:right w:val="none" w:sz="0" w:space="0" w:color="auto"/>
      </w:divBdr>
    </w:div>
    <w:div w:id="864440088">
      <w:bodyDiv w:val="1"/>
      <w:marLeft w:val="0"/>
      <w:marRight w:val="0"/>
      <w:marTop w:val="0"/>
      <w:marBottom w:val="0"/>
      <w:divBdr>
        <w:top w:val="none" w:sz="0" w:space="0" w:color="auto"/>
        <w:left w:val="none" w:sz="0" w:space="0" w:color="auto"/>
        <w:bottom w:val="none" w:sz="0" w:space="0" w:color="auto"/>
        <w:right w:val="none" w:sz="0" w:space="0" w:color="auto"/>
      </w:divBdr>
    </w:div>
    <w:div w:id="864560955">
      <w:bodyDiv w:val="1"/>
      <w:marLeft w:val="0"/>
      <w:marRight w:val="0"/>
      <w:marTop w:val="0"/>
      <w:marBottom w:val="0"/>
      <w:divBdr>
        <w:top w:val="none" w:sz="0" w:space="0" w:color="auto"/>
        <w:left w:val="none" w:sz="0" w:space="0" w:color="auto"/>
        <w:bottom w:val="none" w:sz="0" w:space="0" w:color="auto"/>
        <w:right w:val="none" w:sz="0" w:space="0" w:color="auto"/>
      </w:divBdr>
    </w:div>
    <w:div w:id="864638922">
      <w:bodyDiv w:val="1"/>
      <w:marLeft w:val="0"/>
      <w:marRight w:val="0"/>
      <w:marTop w:val="0"/>
      <w:marBottom w:val="0"/>
      <w:divBdr>
        <w:top w:val="none" w:sz="0" w:space="0" w:color="auto"/>
        <w:left w:val="none" w:sz="0" w:space="0" w:color="auto"/>
        <w:bottom w:val="none" w:sz="0" w:space="0" w:color="auto"/>
        <w:right w:val="none" w:sz="0" w:space="0" w:color="auto"/>
      </w:divBdr>
    </w:div>
    <w:div w:id="865025802">
      <w:bodyDiv w:val="1"/>
      <w:marLeft w:val="0"/>
      <w:marRight w:val="0"/>
      <w:marTop w:val="0"/>
      <w:marBottom w:val="0"/>
      <w:divBdr>
        <w:top w:val="none" w:sz="0" w:space="0" w:color="auto"/>
        <w:left w:val="none" w:sz="0" w:space="0" w:color="auto"/>
        <w:bottom w:val="none" w:sz="0" w:space="0" w:color="auto"/>
        <w:right w:val="none" w:sz="0" w:space="0" w:color="auto"/>
      </w:divBdr>
    </w:div>
    <w:div w:id="865288389">
      <w:bodyDiv w:val="1"/>
      <w:marLeft w:val="0"/>
      <w:marRight w:val="0"/>
      <w:marTop w:val="0"/>
      <w:marBottom w:val="0"/>
      <w:divBdr>
        <w:top w:val="none" w:sz="0" w:space="0" w:color="auto"/>
        <w:left w:val="none" w:sz="0" w:space="0" w:color="auto"/>
        <w:bottom w:val="none" w:sz="0" w:space="0" w:color="auto"/>
        <w:right w:val="none" w:sz="0" w:space="0" w:color="auto"/>
      </w:divBdr>
    </w:div>
    <w:div w:id="865678220">
      <w:bodyDiv w:val="1"/>
      <w:marLeft w:val="0"/>
      <w:marRight w:val="0"/>
      <w:marTop w:val="0"/>
      <w:marBottom w:val="0"/>
      <w:divBdr>
        <w:top w:val="none" w:sz="0" w:space="0" w:color="auto"/>
        <w:left w:val="none" w:sz="0" w:space="0" w:color="auto"/>
        <w:bottom w:val="none" w:sz="0" w:space="0" w:color="auto"/>
        <w:right w:val="none" w:sz="0" w:space="0" w:color="auto"/>
      </w:divBdr>
    </w:div>
    <w:div w:id="865798169">
      <w:bodyDiv w:val="1"/>
      <w:marLeft w:val="0"/>
      <w:marRight w:val="0"/>
      <w:marTop w:val="0"/>
      <w:marBottom w:val="0"/>
      <w:divBdr>
        <w:top w:val="none" w:sz="0" w:space="0" w:color="auto"/>
        <w:left w:val="none" w:sz="0" w:space="0" w:color="auto"/>
        <w:bottom w:val="none" w:sz="0" w:space="0" w:color="auto"/>
        <w:right w:val="none" w:sz="0" w:space="0" w:color="auto"/>
      </w:divBdr>
    </w:div>
    <w:div w:id="866987059">
      <w:bodyDiv w:val="1"/>
      <w:marLeft w:val="0"/>
      <w:marRight w:val="0"/>
      <w:marTop w:val="0"/>
      <w:marBottom w:val="0"/>
      <w:divBdr>
        <w:top w:val="none" w:sz="0" w:space="0" w:color="auto"/>
        <w:left w:val="none" w:sz="0" w:space="0" w:color="auto"/>
        <w:bottom w:val="none" w:sz="0" w:space="0" w:color="auto"/>
        <w:right w:val="none" w:sz="0" w:space="0" w:color="auto"/>
      </w:divBdr>
    </w:div>
    <w:div w:id="868101243">
      <w:bodyDiv w:val="1"/>
      <w:marLeft w:val="0"/>
      <w:marRight w:val="0"/>
      <w:marTop w:val="0"/>
      <w:marBottom w:val="0"/>
      <w:divBdr>
        <w:top w:val="none" w:sz="0" w:space="0" w:color="auto"/>
        <w:left w:val="none" w:sz="0" w:space="0" w:color="auto"/>
        <w:bottom w:val="none" w:sz="0" w:space="0" w:color="auto"/>
        <w:right w:val="none" w:sz="0" w:space="0" w:color="auto"/>
      </w:divBdr>
    </w:div>
    <w:div w:id="868251487">
      <w:bodyDiv w:val="1"/>
      <w:marLeft w:val="0"/>
      <w:marRight w:val="0"/>
      <w:marTop w:val="0"/>
      <w:marBottom w:val="0"/>
      <w:divBdr>
        <w:top w:val="none" w:sz="0" w:space="0" w:color="auto"/>
        <w:left w:val="none" w:sz="0" w:space="0" w:color="auto"/>
        <w:bottom w:val="none" w:sz="0" w:space="0" w:color="auto"/>
        <w:right w:val="none" w:sz="0" w:space="0" w:color="auto"/>
      </w:divBdr>
    </w:div>
    <w:div w:id="868569587">
      <w:bodyDiv w:val="1"/>
      <w:marLeft w:val="0"/>
      <w:marRight w:val="0"/>
      <w:marTop w:val="0"/>
      <w:marBottom w:val="0"/>
      <w:divBdr>
        <w:top w:val="none" w:sz="0" w:space="0" w:color="auto"/>
        <w:left w:val="none" w:sz="0" w:space="0" w:color="auto"/>
        <w:bottom w:val="none" w:sz="0" w:space="0" w:color="auto"/>
        <w:right w:val="none" w:sz="0" w:space="0" w:color="auto"/>
      </w:divBdr>
    </w:div>
    <w:div w:id="868957321">
      <w:bodyDiv w:val="1"/>
      <w:marLeft w:val="0"/>
      <w:marRight w:val="0"/>
      <w:marTop w:val="0"/>
      <w:marBottom w:val="0"/>
      <w:divBdr>
        <w:top w:val="none" w:sz="0" w:space="0" w:color="auto"/>
        <w:left w:val="none" w:sz="0" w:space="0" w:color="auto"/>
        <w:bottom w:val="none" w:sz="0" w:space="0" w:color="auto"/>
        <w:right w:val="none" w:sz="0" w:space="0" w:color="auto"/>
      </w:divBdr>
    </w:div>
    <w:div w:id="869992683">
      <w:bodyDiv w:val="1"/>
      <w:marLeft w:val="0"/>
      <w:marRight w:val="0"/>
      <w:marTop w:val="0"/>
      <w:marBottom w:val="0"/>
      <w:divBdr>
        <w:top w:val="none" w:sz="0" w:space="0" w:color="auto"/>
        <w:left w:val="none" w:sz="0" w:space="0" w:color="auto"/>
        <w:bottom w:val="none" w:sz="0" w:space="0" w:color="auto"/>
        <w:right w:val="none" w:sz="0" w:space="0" w:color="auto"/>
      </w:divBdr>
    </w:div>
    <w:div w:id="870337760">
      <w:bodyDiv w:val="1"/>
      <w:marLeft w:val="0"/>
      <w:marRight w:val="0"/>
      <w:marTop w:val="0"/>
      <w:marBottom w:val="0"/>
      <w:divBdr>
        <w:top w:val="none" w:sz="0" w:space="0" w:color="auto"/>
        <w:left w:val="none" w:sz="0" w:space="0" w:color="auto"/>
        <w:bottom w:val="none" w:sz="0" w:space="0" w:color="auto"/>
        <w:right w:val="none" w:sz="0" w:space="0" w:color="auto"/>
      </w:divBdr>
    </w:div>
    <w:div w:id="870415872">
      <w:bodyDiv w:val="1"/>
      <w:marLeft w:val="0"/>
      <w:marRight w:val="0"/>
      <w:marTop w:val="0"/>
      <w:marBottom w:val="0"/>
      <w:divBdr>
        <w:top w:val="none" w:sz="0" w:space="0" w:color="auto"/>
        <w:left w:val="none" w:sz="0" w:space="0" w:color="auto"/>
        <w:bottom w:val="none" w:sz="0" w:space="0" w:color="auto"/>
        <w:right w:val="none" w:sz="0" w:space="0" w:color="auto"/>
      </w:divBdr>
    </w:div>
    <w:div w:id="870531424">
      <w:bodyDiv w:val="1"/>
      <w:marLeft w:val="0"/>
      <w:marRight w:val="0"/>
      <w:marTop w:val="0"/>
      <w:marBottom w:val="0"/>
      <w:divBdr>
        <w:top w:val="none" w:sz="0" w:space="0" w:color="auto"/>
        <w:left w:val="none" w:sz="0" w:space="0" w:color="auto"/>
        <w:bottom w:val="none" w:sz="0" w:space="0" w:color="auto"/>
        <w:right w:val="none" w:sz="0" w:space="0" w:color="auto"/>
      </w:divBdr>
    </w:div>
    <w:div w:id="870648787">
      <w:bodyDiv w:val="1"/>
      <w:marLeft w:val="0"/>
      <w:marRight w:val="0"/>
      <w:marTop w:val="0"/>
      <w:marBottom w:val="0"/>
      <w:divBdr>
        <w:top w:val="none" w:sz="0" w:space="0" w:color="auto"/>
        <w:left w:val="none" w:sz="0" w:space="0" w:color="auto"/>
        <w:bottom w:val="none" w:sz="0" w:space="0" w:color="auto"/>
        <w:right w:val="none" w:sz="0" w:space="0" w:color="auto"/>
      </w:divBdr>
    </w:div>
    <w:div w:id="870921056">
      <w:bodyDiv w:val="1"/>
      <w:marLeft w:val="0"/>
      <w:marRight w:val="0"/>
      <w:marTop w:val="0"/>
      <w:marBottom w:val="0"/>
      <w:divBdr>
        <w:top w:val="none" w:sz="0" w:space="0" w:color="auto"/>
        <w:left w:val="none" w:sz="0" w:space="0" w:color="auto"/>
        <w:bottom w:val="none" w:sz="0" w:space="0" w:color="auto"/>
        <w:right w:val="none" w:sz="0" w:space="0" w:color="auto"/>
      </w:divBdr>
    </w:div>
    <w:div w:id="871040688">
      <w:bodyDiv w:val="1"/>
      <w:marLeft w:val="0"/>
      <w:marRight w:val="0"/>
      <w:marTop w:val="0"/>
      <w:marBottom w:val="0"/>
      <w:divBdr>
        <w:top w:val="none" w:sz="0" w:space="0" w:color="auto"/>
        <w:left w:val="none" w:sz="0" w:space="0" w:color="auto"/>
        <w:bottom w:val="none" w:sz="0" w:space="0" w:color="auto"/>
        <w:right w:val="none" w:sz="0" w:space="0" w:color="auto"/>
      </w:divBdr>
    </w:div>
    <w:div w:id="871503196">
      <w:bodyDiv w:val="1"/>
      <w:marLeft w:val="0"/>
      <w:marRight w:val="0"/>
      <w:marTop w:val="0"/>
      <w:marBottom w:val="0"/>
      <w:divBdr>
        <w:top w:val="none" w:sz="0" w:space="0" w:color="auto"/>
        <w:left w:val="none" w:sz="0" w:space="0" w:color="auto"/>
        <w:bottom w:val="none" w:sz="0" w:space="0" w:color="auto"/>
        <w:right w:val="none" w:sz="0" w:space="0" w:color="auto"/>
      </w:divBdr>
    </w:div>
    <w:div w:id="871694405">
      <w:bodyDiv w:val="1"/>
      <w:marLeft w:val="0"/>
      <w:marRight w:val="0"/>
      <w:marTop w:val="0"/>
      <w:marBottom w:val="0"/>
      <w:divBdr>
        <w:top w:val="none" w:sz="0" w:space="0" w:color="auto"/>
        <w:left w:val="none" w:sz="0" w:space="0" w:color="auto"/>
        <w:bottom w:val="none" w:sz="0" w:space="0" w:color="auto"/>
        <w:right w:val="none" w:sz="0" w:space="0" w:color="auto"/>
      </w:divBdr>
    </w:div>
    <w:div w:id="871961278">
      <w:bodyDiv w:val="1"/>
      <w:marLeft w:val="0"/>
      <w:marRight w:val="0"/>
      <w:marTop w:val="0"/>
      <w:marBottom w:val="0"/>
      <w:divBdr>
        <w:top w:val="none" w:sz="0" w:space="0" w:color="auto"/>
        <w:left w:val="none" w:sz="0" w:space="0" w:color="auto"/>
        <w:bottom w:val="none" w:sz="0" w:space="0" w:color="auto"/>
        <w:right w:val="none" w:sz="0" w:space="0" w:color="auto"/>
      </w:divBdr>
    </w:div>
    <w:div w:id="872570092">
      <w:bodyDiv w:val="1"/>
      <w:marLeft w:val="0"/>
      <w:marRight w:val="0"/>
      <w:marTop w:val="0"/>
      <w:marBottom w:val="0"/>
      <w:divBdr>
        <w:top w:val="none" w:sz="0" w:space="0" w:color="auto"/>
        <w:left w:val="none" w:sz="0" w:space="0" w:color="auto"/>
        <w:bottom w:val="none" w:sz="0" w:space="0" w:color="auto"/>
        <w:right w:val="none" w:sz="0" w:space="0" w:color="auto"/>
      </w:divBdr>
    </w:div>
    <w:div w:id="872571705">
      <w:bodyDiv w:val="1"/>
      <w:marLeft w:val="0"/>
      <w:marRight w:val="0"/>
      <w:marTop w:val="0"/>
      <w:marBottom w:val="0"/>
      <w:divBdr>
        <w:top w:val="none" w:sz="0" w:space="0" w:color="auto"/>
        <w:left w:val="none" w:sz="0" w:space="0" w:color="auto"/>
        <w:bottom w:val="none" w:sz="0" w:space="0" w:color="auto"/>
        <w:right w:val="none" w:sz="0" w:space="0" w:color="auto"/>
      </w:divBdr>
    </w:div>
    <w:div w:id="874201125">
      <w:bodyDiv w:val="1"/>
      <w:marLeft w:val="0"/>
      <w:marRight w:val="0"/>
      <w:marTop w:val="0"/>
      <w:marBottom w:val="0"/>
      <w:divBdr>
        <w:top w:val="none" w:sz="0" w:space="0" w:color="auto"/>
        <w:left w:val="none" w:sz="0" w:space="0" w:color="auto"/>
        <w:bottom w:val="none" w:sz="0" w:space="0" w:color="auto"/>
        <w:right w:val="none" w:sz="0" w:space="0" w:color="auto"/>
      </w:divBdr>
    </w:div>
    <w:div w:id="874393925">
      <w:bodyDiv w:val="1"/>
      <w:marLeft w:val="0"/>
      <w:marRight w:val="0"/>
      <w:marTop w:val="0"/>
      <w:marBottom w:val="0"/>
      <w:divBdr>
        <w:top w:val="none" w:sz="0" w:space="0" w:color="auto"/>
        <w:left w:val="none" w:sz="0" w:space="0" w:color="auto"/>
        <w:bottom w:val="none" w:sz="0" w:space="0" w:color="auto"/>
        <w:right w:val="none" w:sz="0" w:space="0" w:color="auto"/>
      </w:divBdr>
    </w:div>
    <w:div w:id="874849351">
      <w:bodyDiv w:val="1"/>
      <w:marLeft w:val="0"/>
      <w:marRight w:val="0"/>
      <w:marTop w:val="0"/>
      <w:marBottom w:val="0"/>
      <w:divBdr>
        <w:top w:val="none" w:sz="0" w:space="0" w:color="auto"/>
        <w:left w:val="none" w:sz="0" w:space="0" w:color="auto"/>
        <w:bottom w:val="none" w:sz="0" w:space="0" w:color="auto"/>
        <w:right w:val="none" w:sz="0" w:space="0" w:color="auto"/>
      </w:divBdr>
    </w:div>
    <w:div w:id="874999872">
      <w:bodyDiv w:val="1"/>
      <w:marLeft w:val="0"/>
      <w:marRight w:val="0"/>
      <w:marTop w:val="0"/>
      <w:marBottom w:val="0"/>
      <w:divBdr>
        <w:top w:val="none" w:sz="0" w:space="0" w:color="auto"/>
        <w:left w:val="none" w:sz="0" w:space="0" w:color="auto"/>
        <w:bottom w:val="none" w:sz="0" w:space="0" w:color="auto"/>
        <w:right w:val="none" w:sz="0" w:space="0" w:color="auto"/>
      </w:divBdr>
    </w:div>
    <w:div w:id="875198884">
      <w:bodyDiv w:val="1"/>
      <w:marLeft w:val="0"/>
      <w:marRight w:val="0"/>
      <w:marTop w:val="0"/>
      <w:marBottom w:val="0"/>
      <w:divBdr>
        <w:top w:val="none" w:sz="0" w:space="0" w:color="auto"/>
        <w:left w:val="none" w:sz="0" w:space="0" w:color="auto"/>
        <w:bottom w:val="none" w:sz="0" w:space="0" w:color="auto"/>
        <w:right w:val="none" w:sz="0" w:space="0" w:color="auto"/>
      </w:divBdr>
    </w:div>
    <w:div w:id="876159877">
      <w:bodyDiv w:val="1"/>
      <w:marLeft w:val="0"/>
      <w:marRight w:val="0"/>
      <w:marTop w:val="0"/>
      <w:marBottom w:val="0"/>
      <w:divBdr>
        <w:top w:val="none" w:sz="0" w:space="0" w:color="auto"/>
        <w:left w:val="none" w:sz="0" w:space="0" w:color="auto"/>
        <w:bottom w:val="none" w:sz="0" w:space="0" w:color="auto"/>
        <w:right w:val="none" w:sz="0" w:space="0" w:color="auto"/>
      </w:divBdr>
    </w:div>
    <w:div w:id="876746286">
      <w:bodyDiv w:val="1"/>
      <w:marLeft w:val="0"/>
      <w:marRight w:val="0"/>
      <w:marTop w:val="0"/>
      <w:marBottom w:val="0"/>
      <w:divBdr>
        <w:top w:val="none" w:sz="0" w:space="0" w:color="auto"/>
        <w:left w:val="none" w:sz="0" w:space="0" w:color="auto"/>
        <w:bottom w:val="none" w:sz="0" w:space="0" w:color="auto"/>
        <w:right w:val="none" w:sz="0" w:space="0" w:color="auto"/>
      </w:divBdr>
    </w:div>
    <w:div w:id="877089114">
      <w:bodyDiv w:val="1"/>
      <w:marLeft w:val="0"/>
      <w:marRight w:val="0"/>
      <w:marTop w:val="0"/>
      <w:marBottom w:val="0"/>
      <w:divBdr>
        <w:top w:val="none" w:sz="0" w:space="0" w:color="auto"/>
        <w:left w:val="none" w:sz="0" w:space="0" w:color="auto"/>
        <w:bottom w:val="none" w:sz="0" w:space="0" w:color="auto"/>
        <w:right w:val="none" w:sz="0" w:space="0" w:color="auto"/>
      </w:divBdr>
    </w:div>
    <w:div w:id="877814499">
      <w:bodyDiv w:val="1"/>
      <w:marLeft w:val="0"/>
      <w:marRight w:val="0"/>
      <w:marTop w:val="0"/>
      <w:marBottom w:val="0"/>
      <w:divBdr>
        <w:top w:val="none" w:sz="0" w:space="0" w:color="auto"/>
        <w:left w:val="none" w:sz="0" w:space="0" w:color="auto"/>
        <w:bottom w:val="none" w:sz="0" w:space="0" w:color="auto"/>
        <w:right w:val="none" w:sz="0" w:space="0" w:color="auto"/>
      </w:divBdr>
    </w:div>
    <w:div w:id="878011881">
      <w:bodyDiv w:val="1"/>
      <w:marLeft w:val="0"/>
      <w:marRight w:val="0"/>
      <w:marTop w:val="0"/>
      <w:marBottom w:val="0"/>
      <w:divBdr>
        <w:top w:val="none" w:sz="0" w:space="0" w:color="auto"/>
        <w:left w:val="none" w:sz="0" w:space="0" w:color="auto"/>
        <w:bottom w:val="none" w:sz="0" w:space="0" w:color="auto"/>
        <w:right w:val="none" w:sz="0" w:space="0" w:color="auto"/>
      </w:divBdr>
    </w:div>
    <w:div w:id="878083773">
      <w:bodyDiv w:val="1"/>
      <w:marLeft w:val="0"/>
      <w:marRight w:val="0"/>
      <w:marTop w:val="0"/>
      <w:marBottom w:val="0"/>
      <w:divBdr>
        <w:top w:val="none" w:sz="0" w:space="0" w:color="auto"/>
        <w:left w:val="none" w:sz="0" w:space="0" w:color="auto"/>
        <w:bottom w:val="none" w:sz="0" w:space="0" w:color="auto"/>
        <w:right w:val="none" w:sz="0" w:space="0" w:color="auto"/>
      </w:divBdr>
    </w:div>
    <w:div w:id="878279138">
      <w:bodyDiv w:val="1"/>
      <w:marLeft w:val="0"/>
      <w:marRight w:val="0"/>
      <w:marTop w:val="0"/>
      <w:marBottom w:val="0"/>
      <w:divBdr>
        <w:top w:val="none" w:sz="0" w:space="0" w:color="auto"/>
        <w:left w:val="none" w:sz="0" w:space="0" w:color="auto"/>
        <w:bottom w:val="none" w:sz="0" w:space="0" w:color="auto"/>
        <w:right w:val="none" w:sz="0" w:space="0" w:color="auto"/>
      </w:divBdr>
    </w:div>
    <w:div w:id="878394954">
      <w:bodyDiv w:val="1"/>
      <w:marLeft w:val="0"/>
      <w:marRight w:val="0"/>
      <w:marTop w:val="0"/>
      <w:marBottom w:val="0"/>
      <w:divBdr>
        <w:top w:val="none" w:sz="0" w:space="0" w:color="auto"/>
        <w:left w:val="none" w:sz="0" w:space="0" w:color="auto"/>
        <w:bottom w:val="none" w:sz="0" w:space="0" w:color="auto"/>
        <w:right w:val="none" w:sz="0" w:space="0" w:color="auto"/>
      </w:divBdr>
    </w:div>
    <w:div w:id="878779788">
      <w:bodyDiv w:val="1"/>
      <w:marLeft w:val="0"/>
      <w:marRight w:val="0"/>
      <w:marTop w:val="0"/>
      <w:marBottom w:val="0"/>
      <w:divBdr>
        <w:top w:val="none" w:sz="0" w:space="0" w:color="auto"/>
        <w:left w:val="none" w:sz="0" w:space="0" w:color="auto"/>
        <w:bottom w:val="none" w:sz="0" w:space="0" w:color="auto"/>
        <w:right w:val="none" w:sz="0" w:space="0" w:color="auto"/>
      </w:divBdr>
    </w:div>
    <w:div w:id="878861959">
      <w:bodyDiv w:val="1"/>
      <w:marLeft w:val="0"/>
      <w:marRight w:val="0"/>
      <w:marTop w:val="0"/>
      <w:marBottom w:val="0"/>
      <w:divBdr>
        <w:top w:val="none" w:sz="0" w:space="0" w:color="auto"/>
        <w:left w:val="none" w:sz="0" w:space="0" w:color="auto"/>
        <w:bottom w:val="none" w:sz="0" w:space="0" w:color="auto"/>
        <w:right w:val="none" w:sz="0" w:space="0" w:color="auto"/>
      </w:divBdr>
    </w:div>
    <w:div w:id="879977299">
      <w:bodyDiv w:val="1"/>
      <w:marLeft w:val="0"/>
      <w:marRight w:val="0"/>
      <w:marTop w:val="0"/>
      <w:marBottom w:val="0"/>
      <w:divBdr>
        <w:top w:val="none" w:sz="0" w:space="0" w:color="auto"/>
        <w:left w:val="none" w:sz="0" w:space="0" w:color="auto"/>
        <w:bottom w:val="none" w:sz="0" w:space="0" w:color="auto"/>
        <w:right w:val="none" w:sz="0" w:space="0" w:color="auto"/>
      </w:divBdr>
    </w:div>
    <w:div w:id="880089224">
      <w:bodyDiv w:val="1"/>
      <w:marLeft w:val="0"/>
      <w:marRight w:val="0"/>
      <w:marTop w:val="0"/>
      <w:marBottom w:val="0"/>
      <w:divBdr>
        <w:top w:val="none" w:sz="0" w:space="0" w:color="auto"/>
        <w:left w:val="none" w:sz="0" w:space="0" w:color="auto"/>
        <w:bottom w:val="none" w:sz="0" w:space="0" w:color="auto"/>
        <w:right w:val="none" w:sz="0" w:space="0" w:color="auto"/>
      </w:divBdr>
    </w:div>
    <w:div w:id="880442364">
      <w:bodyDiv w:val="1"/>
      <w:marLeft w:val="0"/>
      <w:marRight w:val="0"/>
      <w:marTop w:val="0"/>
      <w:marBottom w:val="0"/>
      <w:divBdr>
        <w:top w:val="none" w:sz="0" w:space="0" w:color="auto"/>
        <w:left w:val="none" w:sz="0" w:space="0" w:color="auto"/>
        <w:bottom w:val="none" w:sz="0" w:space="0" w:color="auto"/>
        <w:right w:val="none" w:sz="0" w:space="0" w:color="auto"/>
      </w:divBdr>
    </w:div>
    <w:div w:id="880674292">
      <w:bodyDiv w:val="1"/>
      <w:marLeft w:val="0"/>
      <w:marRight w:val="0"/>
      <w:marTop w:val="0"/>
      <w:marBottom w:val="0"/>
      <w:divBdr>
        <w:top w:val="none" w:sz="0" w:space="0" w:color="auto"/>
        <w:left w:val="none" w:sz="0" w:space="0" w:color="auto"/>
        <w:bottom w:val="none" w:sz="0" w:space="0" w:color="auto"/>
        <w:right w:val="none" w:sz="0" w:space="0" w:color="auto"/>
      </w:divBdr>
    </w:div>
    <w:div w:id="881093364">
      <w:bodyDiv w:val="1"/>
      <w:marLeft w:val="0"/>
      <w:marRight w:val="0"/>
      <w:marTop w:val="0"/>
      <w:marBottom w:val="0"/>
      <w:divBdr>
        <w:top w:val="none" w:sz="0" w:space="0" w:color="auto"/>
        <w:left w:val="none" w:sz="0" w:space="0" w:color="auto"/>
        <w:bottom w:val="none" w:sz="0" w:space="0" w:color="auto"/>
        <w:right w:val="none" w:sz="0" w:space="0" w:color="auto"/>
      </w:divBdr>
    </w:div>
    <w:div w:id="881941944">
      <w:bodyDiv w:val="1"/>
      <w:marLeft w:val="0"/>
      <w:marRight w:val="0"/>
      <w:marTop w:val="0"/>
      <w:marBottom w:val="0"/>
      <w:divBdr>
        <w:top w:val="none" w:sz="0" w:space="0" w:color="auto"/>
        <w:left w:val="none" w:sz="0" w:space="0" w:color="auto"/>
        <w:bottom w:val="none" w:sz="0" w:space="0" w:color="auto"/>
        <w:right w:val="none" w:sz="0" w:space="0" w:color="auto"/>
      </w:divBdr>
    </w:div>
    <w:div w:id="882207997">
      <w:bodyDiv w:val="1"/>
      <w:marLeft w:val="0"/>
      <w:marRight w:val="0"/>
      <w:marTop w:val="0"/>
      <w:marBottom w:val="0"/>
      <w:divBdr>
        <w:top w:val="none" w:sz="0" w:space="0" w:color="auto"/>
        <w:left w:val="none" w:sz="0" w:space="0" w:color="auto"/>
        <w:bottom w:val="none" w:sz="0" w:space="0" w:color="auto"/>
        <w:right w:val="none" w:sz="0" w:space="0" w:color="auto"/>
      </w:divBdr>
    </w:div>
    <w:div w:id="882643638">
      <w:bodyDiv w:val="1"/>
      <w:marLeft w:val="0"/>
      <w:marRight w:val="0"/>
      <w:marTop w:val="0"/>
      <w:marBottom w:val="0"/>
      <w:divBdr>
        <w:top w:val="none" w:sz="0" w:space="0" w:color="auto"/>
        <w:left w:val="none" w:sz="0" w:space="0" w:color="auto"/>
        <w:bottom w:val="none" w:sz="0" w:space="0" w:color="auto"/>
        <w:right w:val="none" w:sz="0" w:space="0" w:color="auto"/>
      </w:divBdr>
    </w:div>
    <w:div w:id="882787610">
      <w:bodyDiv w:val="1"/>
      <w:marLeft w:val="0"/>
      <w:marRight w:val="0"/>
      <w:marTop w:val="0"/>
      <w:marBottom w:val="0"/>
      <w:divBdr>
        <w:top w:val="none" w:sz="0" w:space="0" w:color="auto"/>
        <w:left w:val="none" w:sz="0" w:space="0" w:color="auto"/>
        <w:bottom w:val="none" w:sz="0" w:space="0" w:color="auto"/>
        <w:right w:val="none" w:sz="0" w:space="0" w:color="auto"/>
      </w:divBdr>
    </w:div>
    <w:div w:id="882861985">
      <w:bodyDiv w:val="1"/>
      <w:marLeft w:val="0"/>
      <w:marRight w:val="0"/>
      <w:marTop w:val="0"/>
      <w:marBottom w:val="0"/>
      <w:divBdr>
        <w:top w:val="none" w:sz="0" w:space="0" w:color="auto"/>
        <w:left w:val="none" w:sz="0" w:space="0" w:color="auto"/>
        <w:bottom w:val="none" w:sz="0" w:space="0" w:color="auto"/>
        <w:right w:val="none" w:sz="0" w:space="0" w:color="auto"/>
      </w:divBdr>
    </w:div>
    <w:div w:id="883520293">
      <w:bodyDiv w:val="1"/>
      <w:marLeft w:val="0"/>
      <w:marRight w:val="0"/>
      <w:marTop w:val="0"/>
      <w:marBottom w:val="0"/>
      <w:divBdr>
        <w:top w:val="none" w:sz="0" w:space="0" w:color="auto"/>
        <w:left w:val="none" w:sz="0" w:space="0" w:color="auto"/>
        <w:bottom w:val="none" w:sz="0" w:space="0" w:color="auto"/>
        <w:right w:val="none" w:sz="0" w:space="0" w:color="auto"/>
      </w:divBdr>
    </w:div>
    <w:div w:id="883522399">
      <w:bodyDiv w:val="1"/>
      <w:marLeft w:val="0"/>
      <w:marRight w:val="0"/>
      <w:marTop w:val="0"/>
      <w:marBottom w:val="0"/>
      <w:divBdr>
        <w:top w:val="none" w:sz="0" w:space="0" w:color="auto"/>
        <w:left w:val="none" w:sz="0" w:space="0" w:color="auto"/>
        <w:bottom w:val="none" w:sz="0" w:space="0" w:color="auto"/>
        <w:right w:val="none" w:sz="0" w:space="0" w:color="auto"/>
      </w:divBdr>
    </w:div>
    <w:div w:id="883568015">
      <w:bodyDiv w:val="1"/>
      <w:marLeft w:val="0"/>
      <w:marRight w:val="0"/>
      <w:marTop w:val="0"/>
      <w:marBottom w:val="0"/>
      <w:divBdr>
        <w:top w:val="none" w:sz="0" w:space="0" w:color="auto"/>
        <w:left w:val="none" w:sz="0" w:space="0" w:color="auto"/>
        <w:bottom w:val="none" w:sz="0" w:space="0" w:color="auto"/>
        <w:right w:val="none" w:sz="0" w:space="0" w:color="auto"/>
      </w:divBdr>
    </w:div>
    <w:div w:id="883979090">
      <w:bodyDiv w:val="1"/>
      <w:marLeft w:val="0"/>
      <w:marRight w:val="0"/>
      <w:marTop w:val="0"/>
      <w:marBottom w:val="0"/>
      <w:divBdr>
        <w:top w:val="none" w:sz="0" w:space="0" w:color="auto"/>
        <w:left w:val="none" w:sz="0" w:space="0" w:color="auto"/>
        <w:bottom w:val="none" w:sz="0" w:space="0" w:color="auto"/>
        <w:right w:val="none" w:sz="0" w:space="0" w:color="auto"/>
      </w:divBdr>
    </w:div>
    <w:div w:id="884217223">
      <w:bodyDiv w:val="1"/>
      <w:marLeft w:val="0"/>
      <w:marRight w:val="0"/>
      <w:marTop w:val="0"/>
      <w:marBottom w:val="0"/>
      <w:divBdr>
        <w:top w:val="none" w:sz="0" w:space="0" w:color="auto"/>
        <w:left w:val="none" w:sz="0" w:space="0" w:color="auto"/>
        <w:bottom w:val="none" w:sz="0" w:space="0" w:color="auto"/>
        <w:right w:val="none" w:sz="0" w:space="0" w:color="auto"/>
      </w:divBdr>
    </w:div>
    <w:div w:id="884679022">
      <w:bodyDiv w:val="1"/>
      <w:marLeft w:val="0"/>
      <w:marRight w:val="0"/>
      <w:marTop w:val="0"/>
      <w:marBottom w:val="0"/>
      <w:divBdr>
        <w:top w:val="none" w:sz="0" w:space="0" w:color="auto"/>
        <w:left w:val="none" w:sz="0" w:space="0" w:color="auto"/>
        <w:bottom w:val="none" w:sz="0" w:space="0" w:color="auto"/>
        <w:right w:val="none" w:sz="0" w:space="0" w:color="auto"/>
      </w:divBdr>
    </w:div>
    <w:div w:id="884680299">
      <w:bodyDiv w:val="1"/>
      <w:marLeft w:val="0"/>
      <w:marRight w:val="0"/>
      <w:marTop w:val="0"/>
      <w:marBottom w:val="0"/>
      <w:divBdr>
        <w:top w:val="none" w:sz="0" w:space="0" w:color="auto"/>
        <w:left w:val="none" w:sz="0" w:space="0" w:color="auto"/>
        <w:bottom w:val="none" w:sz="0" w:space="0" w:color="auto"/>
        <w:right w:val="none" w:sz="0" w:space="0" w:color="auto"/>
      </w:divBdr>
    </w:div>
    <w:div w:id="884683892">
      <w:bodyDiv w:val="1"/>
      <w:marLeft w:val="0"/>
      <w:marRight w:val="0"/>
      <w:marTop w:val="0"/>
      <w:marBottom w:val="0"/>
      <w:divBdr>
        <w:top w:val="none" w:sz="0" w:space="0" w:color="auto"/>
        <w:left w:val="none" w:sz="0" w:space="0" w:color="auto"/>
        <w:bottom w:val="none" w:sz="0" w:space="0" w:color="auto"/>
        <w:right w:val="none" w:sz="0" w:space="0" w:color="auto"/>
      </w:divBdr>
    </w:div>
    <w:div w:id="884870092">
      <w:bodyDiv w:val="1"/>
      <w:marLeft w:val="0"/>
      <w:marRight w:val="0"/>
      <w:marTop w:val="0"/>
      <w:marBottom w:val="0"/>
      <w:divBdr>
        <w:top w:val="none" w:sz="0" w:space="0" w:color="auto"/>
        <w:left w:val="none" w:sz="0" w:space="0" w:color="auto"/>
        <w:bottom w:val="none" w:sz="0" w:space="0" w:color="auto"/>
        <w:right w:val="none" w:sz="0" w:space="0" w:color="auto"/>
      </w:divBdr>
    </w:div>
    <w:div w:id="885260684">
      <w:bodyDiv w:val="1"/>
      <w:marLeft w:val="0"/>
      <w:marRight w:val="0"/>
      <w:marTop w:val="0"/>
      <w:marBottom w:val="0"/>
      <w:divBdr>
        <w:top w:val="none" w:sz="0" w:space="0" w:color="auto"/>
        <w:left w:val="none" w:sz="0" w:space="0" w:color="auto"/>
        <w:bottom w:val="none" w:sz="0" w:space="0" w:color="auto"/>
        <w:right w:val="none" w:sz="0" w:space="0" w:color="auto"/>
      </w:divBdr>
    </w:div>
    <w:div w:id="885489116">
      <w:bodyDiv w:val="1"/>
      <w:marLeft w:val="0"/>
      <w:marRight w:val="0"/>
      <w:marTop w:val="0"/>
      <w:marBottom w:val="0"/>
      <w:divBdr>
        <w:top w:val="none" w:sz="0" w:space="0" w:color="auto"/>
        <w:left w:val="none" w:sz="0" w:space="0" w:color="auto"/>
        <w:bottom w:val="none" w:sz="0" w:space="0" w:color="auto"/>
        <w:right w:val="none" w:sz="0" w:space="0" w:color="auto"/>
      </w:divBdr>
    </w:div>
    <w:div w:id="885599922">
      <w:bodyDiv w:val="1"/>
      <w:marLeft w:val="0"/>
      <w:marRight w:val="0"/>
      <w:marTop w:val="0"/>
      <w:marBottom w:val="0"/>
      <w:divBdr>
        <w:top w:val="none" w:sz="0" w:space="0" w:color="auto"/>
        <w:left w:val="none" w:sz="0" w:space="0" w:color="auto"/>
        <w:bottom w:val="none" w:sz="0" w:space="0" w:color="auto"/>
        <w:right w:val="none" w:sz="0" w:space="0" w:color="auto"/>
      </w:divBdr>
    </w:div>
    <w:div w:id="885920152">
      <w:bodyDiv w:val="1"/>
      <w:marLeft w:val="0"/>
      <w:marRight w:val="0"/>
      <w:marTop w:val="0"/>
      <w:marBottom w:val="0"/>
      <w:divBdr>
        <w:top w:val="none" w:sz="0" w:space="0" w:color="auto"/>
        <w:left w:val="none" w:sz="0" w:space="0" w:color="auto"/>
        <w:bottom w:val="none" w:sz="0" w:space="0" w:color="auto"/>
        <w:right w:val="none" w:sz="0" w:space="0" w:color="auto"/>
      </w:divBdr>
    </w:div>
    <w:div w:id="886070144">
      <w:bodyDiv w:val="1"/>
      <w:marLeft w:val="0"/>
      <w:marRight w:val="0"/>
      <w:marTop w:val="0"/>
      <w:marBottom w:val="0"/>
      <w:divBdr>
        <w:top w:val="none" w:sz="0" w:space="0" w:color="auto"/>
        <w:left w:val="none" w:sz="0" w:space="0" w:color="auto"/>
        <w:bottom w:val="none" w:sz="0" w:space="0" w:color="auto"/>
        <w:right w:val="none" w:sz="0" w:space="0" w:color="auto"/>
      </w:divBdr>
    </w:div>
    <w:div w:id="886650998">
      <w:bodyDiv w:val="1"/>
      <w:marLeft w:val="0"/>
      <w:marRight w:val="0"/>
      <w:marTop w:val="0"/>
      <w:marBottom w:val="0"/>
      <w:divBdr>
        <w:top w:val="none" w:sz="0" w:space="0" w:color="auto"/>
        <w:left w:val="none" w:sz="0" w:space="0" w:color="auto"/>
        <w:bottom w:val="none" w:sz="0" w:space="0" w:color="auto"/>
        <w:right w:val="none" w:sz="0" w:space="0" w:color="auto"/>
      </w:divBdr>
    </w:div>
    <w:div w:id="887112847">
      <w:bodyDiv w:val="1"/>
      <w:marLeft w:val="0"/>
      <w:marRight w:val="0"/>
      <w:marTop w:val="0"/>
      <w:marBottom w:val="0"/>
      <w:divBdr>
        <w:top w:val="none" w:sz="0" w:space="0" w:color="auto"/>
        <w:left w:val="none" w:sz="0" w:space="0" w:color="auto"/>
        <w:bottom w:val="none" w:sz="0" w:space="0" w:color="auto"/>
        <w:right w:val="none" w:sz="0" w:space="0" w:color="auto"/>
      </w:divBdr>
    </w:div>
    <w:div w:id="887646675">
      <w:bodyDiv w:val="1"/>
      <w:marLeft w:val="0"/>
      <w:marRight w:val="0"/>
      <w:marTop w:val="0"/>
      <w:marBottom w:val="0"/>
      <w:divBdr>
        <w:top w:val="none" w:sz="0" w:space="0" w:color="auto"/>
        <w:left w:val="none" w:sz="0" w:space="0" w:color="auto"/>
        <w:bottom w:val="none" w:sz="0" w:space="0" w:color="auto"/>
        <w:right w:val="none" w:sz="0" w:space="0" w:color="auto"/>
      </w:divBdr>
    </w:div>
    <w:div w:id="888301875">
      <w:bodyDiv w:val="1"/>
      <w:marLeft w:val="0"/>
      <w:marRight w:val="0"/>
      <w:marTop w:val="0"/>
      <w:marBottom w:val="0"/>
      <w:divBdr>
        <w:top w:val="none" w:sz="0" w:space="0" w:color="auto"/>
        <w:left w:val="none" w:sz="0" w:space="0" w:color="auto"/>
        <w:bottom w:val="none" w:sz="0" w:space="0" w:color="auto"/>
        <w:right w:val="none" w:sz="0" w:space="0" w:color="auto"/>
      </w:divBdr>
    </w:div>
    <w:div w:id="888567458">
      <w:bodyDiv w:val="1"/>
      <w:marLeft w:val="0"/>
      <w:marRight w:val="0"/>
      <w:marTop w:val="0"/>
      <w:marBottom w:val="0"/>
      <w:divBdr>
        <w:top w:val="none" w:sz="0" w:space="0" w:color="auto"/>
        <w:left w:val="none" w:sz="0" w:space="0" w:color="auto"/>
        <w:bottom w:val="none" w:sz="0" w:space="0" w:color="auto"/>
        <w:right w:val="none" w:sz="0" w:space="0" w:color="auto"/>
      </w:divBdr>
    </w:div>
    <w:div w:id="888686442">
      <w:bodyDiv w:val="1"/>
      <w:marLeft w:val="0"/>
      <w:marRight w:val="0"/>
      <w:marTop w:val="0"/>
      <w:marBottom w:val="0"/>
      <w:divBdr>
        <w:top w:val="none" w:sz="0" w:space="0" w:color="auto"/>
        <w:left w:val="none" w:sz="0" w:space="0" w:color="auto"/>
        <w:bottom w:val="none" w:sz="0" w:space="0" w:color="auto"/>
        <w:right w:val="none" w:sz="0" w:space="0" w:color="auto"/>
      </w:divBdr>
    </w:div>
    <w:div w:id="888804145">
      <w:bodyDiv w:val="1"/>
      <w:marLeft w:val="0"/>
      <w:marRight w:val="0"/>
      <w:marTop w:val="0"/>
      <w:marBottom w:val="0"/>
      <w:divBdr>
        <w:top w:val="none" w:sz="0" w:space="0" w:color="auto"/>
        <w:left w:val="none" w:sz="0" w:space="0" w:color="auto"/>
        <w:bottom w:val="none" w:sz="0" w:space="0" w:color="auto"/>
        <w:right w:val="none" w:sz="0" w:space="0" w:color="auto"/>
      </w:divBdr>
    </w:div>
    <w:div w:id="889150318">
      <w:bodyDiv w:val="1"/>
      <w:marLeft w:val="0"/>
      <w:marRight w:val="0"/>
      <w:marTop w:val="0"/>
      <w:marBottom w:val="0"/>
      <w:divBdr>
        <w:top w:val="none" w:sz="0" w:space="0" w:color="auto"/>
        <w:left w:val="none" w:sz="0" w:space="0" w:color="auto"/>
        <w:bottom w:val="none" w:sz="0" w:space="0" w:color="auto"/>
        <w:right w:val="none" w:sz="0" w:space="0" w:color="auto"/>
      </w:divBdr>
    </w:div>
    <w:div w:id="889270371">
      <w:bodyDiv w:val="1"/>
      <w:marLeft w:val="0"/>
      <w:marRight w:val="0"/>
      <w:marTop w:val="0"/>
      <w:marBottom w:val="0"/>
      <w:divBdr>
        <w:top w:val="none" w:sz="0" w:space="0" w:color="auto"/>
        <w:left w:val="none" w:sz="0" w:space="0" w:color="auto"/>
        <w:bottom w:val="none" w:sz="0" w:space="0" w:color="auto"/>
        <w:right w:val="none" w:sz="0" w:space="0" w:color="auto"/>
      </w:divBdr>
    </w:div>
    <w:div w:id="889614476">
      <w:bodyDiv w:val="1"/>
      <w:marLeft w:val="0"/>
      <w:marRight w:val="0"/>
      <w:marTop w:val="0"/>
      <w:marBottom w:val="0"/>
      <w:divBdr>
        <w:top w:val="none" w:sz="0" w:space="0" w:color="auto"/>
        <w:left w:val="none" w:sz="0" w:space="0" w:color="auto"/>
        <w:bottom w:val="none" w:sz="0" w:space="0" w:color="auto"/>
        <w:right w:val="none" w:sz="0" w:space="0" w:color="auto"/>
      </w:divBdr>
    </w:div>
    <w:div w:id="890532623">
      <w:bodyDiv w:val="1"/>
      <w:marLeft w:val="0"/>
      <w:marRight w:val="0"/>
      <w:marTop w:val="0"/>
      <w:marBottom w:val="0"/>
      <w:divBdr>
        <w:top w:val="none" w:sz="0" w:space="0" w:color="auto"/>
        <w:left w:val="none" w:sz="0" w:space="0" w:color="auto"/>
        <w:bottom w:val="none" w:sz="0" w:space="0" w:color="auto"/>
        <w:right w:val="none" w:sz="0" w:space="0" w:color="auto"/>
      </w:divBdr>
    </w:div>
    <w:div w:id="890532689">
      <w:bodyDiv w:val="1"/>
      <w:marLeft w:val="0"/>
      <w:marRight w:val="0"/>
      <w:marTop w:val="0"/>
      <w:marBottom w:val="0"/>
      <w:divBdr>
        <w:top w:val="none" w:sz="0" w:space="0" w:color="auto"/>
        <w:left w:val="none" w:sz="0" w:space="0" w:color="auto"/>
        <w:bottom w:val="none" w:sz="0" w:space="0" w:color="auto"/>
        <w:right w:val="none" w:sz="0" w:space="0" w:color="auto"/>
      </w:divBdr>
    </w:div>
    <w:div w:id="891117982">
      <w:bodyDiv w:val="1"/>
      <w:marLeft w:val="0"/>
      <w:marRight w:val="0"/>
      <w:marTop w:val="0"/>
      <w:marBottom w:val="0"/>
      <w:divBdr>
        <w:top w:val="none" w:sz="0" w:space="0" w:color="auto"/>
        <w:left w:val="none" w:sz="0" w:space="0" w:color="auto"/>
        <w:bottom w:val="none" w:sz="0" w:space="0" w:color="auto"/>
        <w:right w:val="none" w:sz="0" w:space="0" w:color="auto"/>
      </w:divBdr>
    </w:div>
    <w:div w:id="891648104">
      <w:bodyDiv w:val="1"/>
      <w:marLeft w:val="0"/>
      <w:marRight w:val="0"/>
      <w:marTop w:val="0"/>
      <w:marBottom w:val="0"/>
      <w:divBdr>
        <w:top w:val="none" w:sz="0" w:space="0" w:color="auto"/>
        <w:left w:val="none" w:sz="0" w:space="0" w:color="auto"/>
        <w:bottom w:val="none" w:sz="0" w:space="0" w:color="auto"/>
        <w:right w:val="none" w:sz="0" w:space="0" w:color="auto"/>
      </w:divBdr>
    </w:div>
    <w:div w:id="891884063">
      <w:bodyDiv w:val="1"/>
      <w:marLeft w:val="0"/>
      <w:marRight w:val="0"/>
      <w:marTop w:val="0"/>
      <w:marBottom w:val="0"/>
      <w:divBdr>
        <w:top w:val="none" w:sz="0" w:space="0" w:color="auto"/>
        <w:left w:val="none" w:sz="0" w:space="0" w:color="auto"/>
        <w:bottom w:val="none" w:sz="0" w:space="0" w:color="auto"/>
        <w:right w:val="none" w:sz="0" w:space="0" w:color="auto"/>
      </w:divBdr>
    </w:div>
    <w:div w:id="891884802">
      <w:bodyDiv w:val="1"/>
      <w:marLeft w:val="0"/>
      <w:marRight w:val="0"/>
      <w:marTop w:val="0"/>
      <w:marBottom w:val="0"/>
      <w:divBdr>
        <w:top w:val="none" w:sz="0" w:space="0" w:color="auto"/>
        <w:left w:val="none" w:sz="0" w:space="0" w:color="auto"/>
        <w:bottom w:val="none" w:sz="0" w:space="0" w:color="auto"/>
        <w:right w:val="none" w:sz="0" w:space="0" w:color="auto"/>
      </w:divBdr>
    </w:div>
    <w:div w:id="891892387">
      <w:bodyDiv w:val="1"/>
      <w:marLeft w:val="0"/>
      <w:marRight w:val="0"/>
      <w:marTop w:val="0"/>
      <w:marBottom w:val="0"/>
      <w:divBdr>
        <w:top w:val="none" w:sz="0" w:space="0" w:color="auto"/>
        <w:left w:val="none" w:sz="0" w:space="0" w:color="auto"/>
        <w:bottom w:val="none" w:sz="0" w:space="0" w:color="auto"/>
        <w:right w:val="none" w:sz="0" w:space="0" w:color="auto"/>
      </w:divBdr>
    </w:div>
    <w:div w:id="892160368">
      <w:bodyDiv w:val="1"/>
      <w:marLeft w:val="0"/>
      <w:marRight w:val="0"/>
      <w:marTop w:val="0"/>
      <w:marBottom w:val="0"/>
      <w:divBdr>
        <w:top w:val="none" w:sz="0" w:space="0" w:color="auto"/>
        <w:left w:val="none" w:sz="0" w:space="0" w:color="auto"/>
        <w:bottom w:val="none" w:sz="0" w:space="0" w:color="auto"/>
        <w:right w:val="none" w:sz="0" w:space="0" w:color="auto"/>
      </w:divBdr>
    </w:div>
    <w:div w:id="892886388">
      <w:bodyDiv w:val="1"/>
      <w:marLeft w:val="0"/>
      <w:marRight w:val="0"/>
      <w:marTop w:val="0"/>
      <w:marBottom w:val="0"/>
      <w:divBdr>
        <w:top w:val="none" w:sz="0" w:space="0" w:color="auto"/>
        <w:left w:val="none" w:sz="0" w:space="0" w:color="auto"/>
        <w:bottom w:val="none" w:sz="0" w:space="0" w:color="auto"/>
        <w:right w:val="none" w:sz="0" w:space="0" w:color="auto"/>
      </w:divBdr>
    </w:div>
    <w:div w:id="892888578">
      <w:bodyDiv w:val="1"/>
      <w:marLeft w:val="0"/>
      <w:marRight w:val="0"/>
      <w:marTop w:val="0"/>
      <w:marBottom w:val="0"/>
      <w:divBdr>
        <w:top w:val="none" w:sz="0" w:space="0" w:color="auto"/>
        <w:left w:val="none" w:sz="0" w:space="0" w:color="auto"/>
        <w:bottom w:val="none" w:sz="0" w:space="0" w:color="auto"/>
        <w:right w:val="none" w:sz="0" w:space="0" w:color="auto"/>
      </w:divBdr>
    </w:div>
    <w:div w:id="893005737">
      <w:bodyDiv w:val="1"/>
      <w:marLeft w:val="0"/>
      <w:marRight w:val="0"/>
      <w:marTop w:val="0"/>
      <w:marBottom w:val="0"/>
      <w:divBdr>
        <w:top w:val="none" w:sz="0" w:space="0" w:color="auto"/>
        <w:left w:val="none" w:sz="0" w:space="0" w:color="auto"/>
        <w:bottom w:val="none" w:sz="0" w:space="0" w:color="auto"/>
        <w:right w:val="none" w:sz="0" w:space="0" w:color="auto"/>
      </w:divBdr>
    </w:div>
    <w:div w:id="893010557">
      <w:bodyDiv w:val="1"/>
      <w:marLeft w:val="0"/>
      <w:marRight w:val="0"/>
      <w:marTop w:val="0"/>
      <w:marBottom w:val="0"/>
      <w:divBdr>
        <w:top w:val="none" w:sz="0" w:space="0" w:color="auto"/>
        <w:left w:val="none" w:sz="0" w:space="0" w:color="auto"/>
        <w:bottom w:val="none" w:sz="0" w:space="0" w:color="auto"/>
        <w:right w:val="none" w:sz="0" w:space="0" w:color="auto"/>
      </w:divBdr>
    </w:div>
    <w:div w:id="894044447">
      <w:bodyDiv w:val="1"/>
      <w:marLeft w:val="0"/>
      <w:marRight w:val="0"/>
      <w:marTop w:val="0"/>
      <w:marBottom w:val="0"/>
      <w:divBdr>
        <w:top w:val="none" w:sz="0" w:space="0" w:color="auto"/>
        <w:left w:val="none" w:sz="0" w:space="0" w:color="auto"/>
        <w:bottom w:val="none" w:sz="0" w:space="0" w:color="auto"/>
        <w:right w:val="none" w:sz="0" w:space="0" w:color="auto"/>
      </w:divBdr>
    </w:div>
    <w:div w:id="894656079">
      <w:bodyDiv w:val="1"/>
      <w:marLeft w:val="0"/>
      <w:marRight w:val="0"/>
      <w:marTop w:val="0"/>
      <w:marBottom w:val="0"/>
      <w:divBdr>
        <w:top w:val="none" w:sz="0" w:space="0" w:color="auto"/>
        <w:left w:val="none" w:sz="0" w:space="0" w:color="auto"/>
        <w:bottom w:val="none" w:sz="0" w:space="0" w:color="auto"/>
        <w:right w:val="none" w:sz="0" w:space="0" w:color="auto"/>
      </w:divBdr>
    </w:div>
    <w:div w:id="894857395">
      <w:bodyDiv w:val="1"/>
      <w:marLeft w:val="0"/>
      <w:marRight w:val="0"/>
      <w:marTop w:val="0"/>
      <w:marBottom w:val="0"/>
      <w:divBdr>
        <w:top w:val="none" w:sz="0" w:space="0" w:color="auto"/>
        <w:left w:val="none" w:sz="0" w:space="0" w:color="auto"/>
        <w:bottom w:val="none" w:sz="0" w:space="0" w:color="auto"/>
        <w:right w:val="none" w:sz="0" w:space="0" w:color="auto"/>
      </w:divBdr>
    </w:div>
    <w:div w:id="894894863">
      <w:bodyDiv w:val="1"/>
      <w:marLeft w:val="0"/>
      <w:marRight w:val="0"/>
      <w:marTop w:val="0"/>
      <w:marBottom w:val="0"/>
      <w:divBdr>
        <w:top w:val="none" w:sz="0" w:space="0" w:color="auto"/>
        <w:left w:val="none" w:sz="0" w:space="0" w:color="auto"/>
        <w:bottom w:val="none" w:sz="0" w:space="0" w:color="auto"/>
        <w:right w:val="none" w:sz="0" w:space="0" w:color="auto"/>
      </w:divBdr>
    </w:div>
    <w:div w:id="895161685">
      <w:bodyDiv w:val="1"/>
      <w:marLeft w:val="0"/>
      <w:marRight w:val="0"/>
      <w:marTop w:val="0"/>
      <w:marBottom w:val="0"/>
      <w:divBdr>
        <w:top w:val="none" w:sz="0" w:space="0" w:color="auto"/>
        <w:left w:val="none" w:sz="0" w:space="0" w:color="auto"/>
        <w:bottom w:val="none" w:sz="0" w:space="0" w:color="auto"/>
        <w:right w:val="none" w:sz="0" w:space="0" w:color="auto"/>
      </w:divBdr>
    </w:div>
    <w:div w:id="895169180">
      <w:bodyDiv w:val="1"/>
      <w:marLeft w:val="0"/>
      <w:marRight w:val="0"/>
      <w:marTop w:val="0"/>
      <w:marBottom w:val="0"/>
      <w:divBdr>
        <w:top w:val="none" w:sz="0" w:space="0" w:color="auto"/>
        <w:left w:val="none" w:sz="0" w:space="0" w:color="auto"/>
        <w:bottom w:val="none" w:sz="0" w:space="0" w:color="auto"/>
        <w:right w:val="none" w:sz="0" w:space="0" w:color="auto"/>
      </w:divBdr>
    </w:div>
    <w:div w:id="895238881">
      <w:bodyDiv w:val="1"/>
      <w:marLeft w:val="0"/>
      <w:marRight w:val="0"/>
      <w:marTop w:val="0"/>
      <w:marBottom w:val="0"/>
      <w:divBdr>
        <w:top w:val="none" w:sz="0" w:space="0" w:color="auto"/>
        <w:left w:val="none" w:sz="0" w:space="0" w:color="auto"/>
        <w:bottom w:val="none" w:sz="0" w:space="0" w:color="auto"/>
        <w:right w:val="none" w:sz="0" w:space="0" w:color="auto"/>
      </w:divBdr>
    </w:div>
    <w:div w:id="895241111">
      <w:bodyDiv w:val="1"/>
      <w:marLeft w:val="0"/>
      <w:marRight w:val="0"/>
      <w:marTop w:val="0"/>
      <w:marBottom w:val="0"/>
      <w:divBdr>
        <w:top w:val="none" w:sz="0" w:space="0" w:color="auto"/>
        <w:left w:val="none" w:sz="0" w:space="0" w:color="auto"/>
        <w:bottom w:val="none" w:sz="0" w:space="0" w:color="auto"/>
        <w:right w:val="none" w:sz="0" w:space="0" w:color="auto"/>
      </w:divBdr>
    </w:div>
    <w:div w:id="895245197">
      <w:bodyDiv w:val="1"/>
      <w:marLeft w:val="0"/>
      <w:marRight w:val="0"/>
      <w:marTop w:val="0"/>
      <w:marBottom w:val="0"/>
      <w:divBdr>
        <w:top w:val="none" w:sz="0" w:space="0" w:color="auto"/>
        <w:left w:val="none" w:sz="0" w:space="0" w:color="auto"/>
        <w:bottom w:val="none" w:sz="0" w:space="0" w:color="auto"/>
        <w:right w:val="none" w:sz="0" w:space="0" w:color="auto"/>
      </w:divBdr>
    </w:div>
    <w:div w:id="895629096">
      <w:bodyDiv w:val="1"/>
      <w:marLeft w:val="0"/>
      <w:marRight w:val="0"/>
      <w:marTop w:val="0"/>
      <w:marBottom w:val="0"/>
      <w:divBdr>
        <w:top w:val="none" w:sz="0" w:space="0" w:color="auto"/>
        <w:left w:val="none" w:sz="0" w:space="0" w:color="auto"/>
        <w:bottom w:val="none" w:sz="0" w:space="0" w:color="auto"/>
        <w:right w:val="none" w:sz="0" w:space="0" w:color="auto"/>
      </w:divBdr>
    </w:div>
    <w:div w:id="895778462">
      <w:bodyDiv w:val="1"/>
      <w:marLeft w:val="0"/>
      <w:marRight w:val="0"/>
      <w:marTop w:val="0"/>
      <w:marBottom w:val="0"/>
      <w:divBdr>
        <w:top w:val="none" w:sz="0" w:space="0" w:color="auto"/>
        <w:left w:val="none" w:sz="0" w:space="0" w:color="auto"/>
        <w:bottom w:val="none" w:sz="0" w:space="0" w:color="auto"/>
        <w:right w:val="none" w:sz="0" w:space="0" w:color="auto"/>
      </w:divBdr>
    </w:div>
    <w:div w:id="896210132">
      <w:bodyDiv w:val="1"/>
      <w:marLeft w:val="0"/>
      <w:marRight w:val="0"/>
      <w:marTop w:val="0"/>
      <w:marBottom w:val="0"/>
      <w:divBdr>
        <w:top w:val="none" w:sz="0" w:space="0" w:color="auto"/>
        <w:left w:val="none" w:sz="0" w:space="0" w:color="auto"/>
        <w:bottom w:val="none" w:sz="0" w:space="0" w:color="auto"/>
        <w:right w:val="none" w:sz="0" w:space="0" w:color="auto"/>
      </w:divBdr>
    </w:div>
    <w:div w:id="896235131">
      <w:bodyDiv w:val="1"/>
      <w:marLeft w:val="0"/>
      <w:marRight w:val="0"/>
      <w:marTop w:val="0"/>
      <w:marBottom w:val="0"/>
      <w:divBdr>
        <w:top w:val="none" w:sz="0" w:space="0" w:color="auto"/>
        <w:left w:val="none" w:sz="0" w:space="0" w:color="auto"/>
        <w:bottom w:val="none" w:sz="0" w:space="0" w:color="auto"/>
        <w:right w:val="none" w:sz="0" w:space="0" w:color="auto"/>
      </w:divBdr>
    </w:div>
    <w:div w:id="896478542">
      <w:bodyDiv w:val="1"/>
      <w:marLeft w:val="0"/>
      <w:marRight w:val="0"/>
      <w:marTop w:val="0"/>
      <w:marBottom w:val="0"/>
      <w:divBdr>
        <w:top w:val="none" w:sz="0" w:space="0" w:color="auto"/>
        <w:left w:val="none" w:sz="0" w:space="0" w:color="auto"/>
        <w:bottom w:val="none" w:sz="0" w:space="0" w:color="auto"/>
        <w:right w:val="none" w:sz="0" w:space="0" w:color="auto"/>
      </w:divBdr>
    </w:div>
    <w:div w:id="896814833">
      <w:bodyDiv w:val="1"/>
      <w:marLeft w:val="0"/>
      <w:marRight w:val="0"/>
      <w:marTop w:val="0"/>
      <w:marBottom w:val="0"/>
      <w:divBdr>
        <w:top w:val="none" w:sz="0" w:space="0" w:color="auto"/>
        <w:left w:val="none" w:sz="0" w:space="0" w:color="auto"/>
        <w:bottom w:val="none" w:sz="0" w:space="0" w:color="auto"/>
        <w:right w:val="none" w:sz="0" w:space="0" w:color="auto"/>
      </w:divBdr>
    </w:div>
    <w:div w:id="896863401">
      <w:bodyDiv w:val="1"/>
      <w:marLeft w:val="0"/>
      <w:marRight w:val="0"/>
      <w:marTop w:val="0"/>
      <w:marBottom w:val="0"/>
      <w:divBdr>
        <w:top w:val="none" w:sz="0" w:space="0" w:color="auto"/>
        <w:left w:val="none" w:sz="0" w:space="0" w:color="auto"/>
        <w:bottom w:val="none" w:sz="0" w:space="0" w:color="auto"/>
        <w:right w:val="none" w:sz="0" w:space="0" w:color="auto"/>
      </w:divBdr>
    </w:div>
    <w:div w:id="897087903">
      <w:bodyDiv w:val="1"/>
      <w:marLeft w:val="0"/>
      <w:marRight w:val="0"/>
      <w:marTop w:val="0"/>
      <w:marBottom w:val="0"/>
      <w:divBdr>
        <w:top w:val="none" w:sz="0" w:space="0" w:color="auto"/>
        <w:left w:val="none" w:sz="0" w:space="0" w:color="auto"/>
        <w:bottom w:val="none" w:sz="0" w:space="0" w:color="auto"/>
        <w:right w:val="none" w:sz="0" w:space="0" w:color="auto"/>
      </w:divBdr>
    </w:div>
    <w:div w:id="897786430">
      <w:bodyDiv w:val="1"/>
      <w:marLeft w:val="0"/>
      <w:marRight w:val="0"/>
      <w:marTop w:val="0"/>
      <w:marBottom w:val="0"/>
      <w:divBdr>
        <w:top w:val="none" w:sz="0" w:space="0" w:color="auto"/>
        <w:left w:val="none" w:sz="0" w:space="0" w:color="auto"/>
        <w:bottom w:val="none" w:sz="0" w:space="0" w:color="auto"/>
        <w:right w:val="none" w:sz="0" w:space="0" w:color="auto"/>
      </w:divBdr>
    </w:div>
    <w:div w:id="899285989">
      <w:bodyDiv w:val="1"/>
      <w:marLeft w:val="0"/>
      <w:marRight w:val="0"/>
      <w:marTop w:val="0"/>
      <w:marBottom w:val="0"/>
      <w:divBdr>
        <w:top w:val="none" w:sz="0" w:space="0" w:color="auto"/>
        <w:left w:val="none" w:sz="0" w:space="0" w:color="auto"/>
        <w:bottom w:val="none" w:sz="0" w:space="0" w:color="auto"/>
        <w:right w:val="none" w:sz="0" w:space="0" w:color="auto"/>
      </w:divBdr>
    </w:div>
    <w:div w:id="899755057">
      <w:bodyDiv w:val="1"/>
      <w:marLeft w:val="0"/>
      <w:marRight w:val="0"/>
      <w:marTop w:val="0"/>
      <w:marBottom w:val="0"/>
      <w:divBdr>
        <w:top w:val="none" w:sz="0" w:space="0" w:color="auto"/>
        <w:left w:val="none" w:sz="0" w:space="0" w:color="auto"/>
        <w:bottom w:val="none" w:sz="0" w:space="0" w:color="auto"/>
        <w:right w:val="none" w:sz="0" w:space="0" w:color="auto"/>
      </w:divBdr>
    </w:div>
    <w:div w:id="900478477">
      <w:bodyDiv w:val="1"/>
      <w:marLeft w:val="0"/>
      <w:marRight w:val="0"/>
      <w:marTop w:val="0"/>
      <w:marBottom w:val="0"/>
      <w:divBdr>
        <w:top w:val="none" w:sz="0" w:space="0" w:color="auto"/>
        <w:left w:val="none" w:sz="0" w:space="0" w:color="auto"/>
        <w:bottom w:val="none" w:sz="0" w:space="0" w:color="auto"/>
        <w:right w:val="none" w:sz="0" w:space="0" w:color="auto"/>
      </w:divBdr>
    </w:div>
    <w:div w:id="901521887">
      <w:bodyDiv w:val="1"/>
      <w:marLeft w:val="0"/>
      <w:marRight w:val="0"/>
      <w:marTop w:val="0"/>
      <w:marBottom w:val="0"/>
      <w:divBdr>
        <w:top w:val="none" w:sz="0" w:space="0" w:color="auto"/>
        <w:left w:val="none" w:sz="0" w:space="0" w:color="auto"/>
        <w:bottom w:val="none" w:sz="0" w:space="0" w:color="auto"/>
        <w:right w:val="none" w:sz="0" w:space="0" w:color="auto"/>
      </w:divBdr>
    </w:div>
    <w:div w:id="901865165">
      <w:bodyDiv w:val="1"/>
      <w:marLeft w:val="0"/>
      <w:marRight w:val="0"/>
      <w:marTop w:val="0"/>
      <w:marBottom w:val="0"/>
      <w:divBdr>
        <w:top w:val="none" w:sz="0" w:space="0" w:color="auto"/>
        <w:left w:val="none" w:sz="0" w:space="0" w:color="auto"/>
        <w:bottom w:val="none" w:sz="0" w:space="0" w:color="auto"/>
        <w:right w:val="none" w:sz="0" w:space="0" w:color="auto"/>
      </w:divBdr>
    </w:div>
    <w:div w:id="902104523">
      <w:bodyDiv w:val="1"/>
      <w:marLeft w:val="0"/>
      <w:marRight w:val="0"/>
      <w:marTop w:val="0"/>
      <w:marBottom w:val="0"/>
      <w:divBdr>
        <w:top w:val="none" w:sz="0" w:space="0" w:color="auto"/>
        <w:left w:val="none" w:sz="0" w:space="0" w:color="auto"/>
        <w:bottom w:val="none" w:sz="0" w:space="0" w:color="auto"/>
        <w:right w:val="none" w:sz="0" w:space="0" w:color="auto"/>
      </w:divBdr>
    </w:div>
    <w:div w:id="902106124">
      <w:bodyDiv w:val="1"/>
      <w:marLeft w:val="0"/>
      <w:marRight w:val="0"/>
      <w:marTop w:val="0"/>
      <w:marBottom w:val="0"/>
      <w:divBdr>
        <w:top w:val="none" w:sz="0" w:space="0" w:color="auto"/>
        <w:left w:val="none" w:sz="0" w:space="0" w:color="auto"/>
        <w:bottom w:val="none" w:sz="0" w:space="0" w:color="auto"/>
        <w:right w:val="none" w:sz="0" w:space="0" w:color="auto"/>
      </w:divBdr>
    </w:div>
    <w:div w:id="902256942">
      <w:bodyDiv w:val="1"/>
      <w:marLeft w:val="0"/>
      <w:marRight w:val="0"/>
      <w:marTop w:val="0"/>
      <w:marBottom w:val="0"/>
      <w:divBdr>
        <w:top w:val="none" w:sz="0" w:space="0" w:color="auto"/>
        <w:left w:val="none" w:sz="0" w:space="0" w:color="auto"/>
        <w:bottom w:val="none" w:sz="0" w:space="0" w:color="auto"/>
        <w:right w:val="none" w:sz="0" w:space="0" w:color="auto"/>
      </w:divBdr>
    </w:div>
    <w:div w:id="902447156">
      <w:bodyDiv w:val="1"/>
      <w:marLeft w:val="0"/>
      <w:marRight w:val="0"/>
      <w:marTop w:val="0"/>
      <w:marBottom w:val="0"/>
      <w:divBdr>
        <w:top w:val="none" w:sz="0" w:space="0" w:color="auto"/>
        <w:left w:val="none" w:sz="0" w:space="0" w:color="auto"/>
        <w:bottom w:val="none" w:sz="0" w:space="0" w:color="auto"/>
        <w:right w:val="none" w:sz="0" w:space="0" w:color="auto"/>
      </w:divBdr>
    </w:div>
    <w:div w:id="903104319">
      <w:bodyDiv w:val="1"/>
      <w:marLeft w:val="0"/>
      <w:marRight w:val="0"/>
      <w:marTop w:val="0"/>
      <w:marBottom w:val="0"/>
      <w:divBdr>
        <w:top w:val="none" w:sz="0" w:space="0" w:color="auto"/>
        <w:left w:val="none" w:sz="0" w:space="0" w:color="auto"/>
        <w:bottom w:val="none" w:sz="0" w:space="0" w:color="auto"/>
        <w:right w:val="none" w:sz="0" w:space="0" w:color="auto"/>
      </w:divBdr>
    </w:div>
    <w:div w:id="903367513">
      <w:bodyDiv w:val="1"/>
      <w:marLeft w:val="0"/>
      <w:marRight w:val="0"/>
      <w:marTop w:val="0"/>
      <w:marBottom w:val="0"/>
      <w:divBdr>
        <w:top w:val="none" w:sz="0" w:space="0" w:color="auto"/>
        <w:left w:val="none" w:sz="0" w:space="0" w:color="auto"/>
        <w:bottom w:val="none" w:sz="0" w:space="0" w:color="auto"/>
        <w:right w:val="none" w:sz="0" w:space="0" w:color="auto"/>
      </w:divBdr>
    </w:div>
    <w:div w:id="903950749">
      <w:bodyDiv w:val="1"/>
      <w:marLeft w:val="0"/>
      <w:marRight w:val="0"/>
      <w:marTop w:val="0"/>
      <w:marBottom w:val="0"/>
      <w:divBdr>
        <w:top w:val="none" w:sz="0" w:space="0" w:color="auto"/>
        <w:left w:val="none" w:sz="0" w:space="0" w:color="auto"/>
        <w:bottom w:val="none" w:sz="0" w:space="0" w:color="auto"/>
        <w:right w:val="none" w:sz="0" w:space="0" w:color="auto"/>
      </w:divBdr>
    </w:div>
    <w:div w:id="904145307">
      <w:bodyDiv w:val="1"/>
      <w:marLeft w:val="0"/>
      <w:marRight w:val="0"/>
      <w:marTop w:val="0"/>
      <w:marBottom w:val="0"/>
      <w:divBdr>
        <w:top w:val="none" w:sz="0" w:space="0" w:color="auto"/>
        <w:left w:val="none" w:sz="0" w:space="0" w:color="auto"/>
        <w:bottom w:val="none" w:sz="0" w:space="0" w:color="auto"/>
        <w:right w:val="none" w:sz="0" w:space="0" w:color="auto"/>
      </w:divBdr>
    </w:div>
    <w:div w:id="904295358">
      <w:bodyDiv w:val="1"/>
      <w:marLeft w:val="0"/>
      <w:marRight w:val="0"/>
      <w:marTop w:val="0"/>
      <w:marBottom w:val="0"/>
      <w:divBdr>
        <w:top w:val="none" w:sz="0" w:space="0" w:color="auto"/>
        <w:left w:val="none" w:sz="0" w:space="0" w:color="auto"/>
        <w:bottom w:val="none" w:sz="0" w:space="0" w:color="auto"/>
        <w:right w:val="none" w:sz="0" w:space="0" w:color="auto"/>
      </w:divBdr>
    </w:div>
    <w:div w:id="904530005">
      <w:bodyDiv w:val="1"/>
      <w:marLeft w:val="0"/>
      <w:marRight w:val="0"/>
      <w:marTop w:val="0"/>
      <w:marBottom w:val="0"/>
      <w:divBdr>
        <w:top w:val="none" w:sz="0" w:space="0" w:color="auto"/>
        <w:left w:val="none" w:sz="0" w:space="0" w:color="auto"/>
        <w:bottom w:val="none" w:sz="0" w:space="0" w:color="auto"/>
        <w:right w:val="none" w:sz="0" w:space="0" w:color="auto"/>
      </w:divBdr>
    </w:div>
    <w:div w:id="904797432">
      <w:bodyDiv w:val="1"/>
      <w:marLeft w:val="0"/>
      <w:marRight w:val="0"/>
      <w:marTop w:val="0"/>
      <w:marBottom w:val="0"/>
      <w:divBdr>
        <w:top w:val="none" w:sz="0" w:space="0" w:color="auto"/>
        <w:left w:val="none" w:sz="0" w:space="0" w:color="auto"/>
        <w:bottom w:val="none" w:sz="0" w:space="0" w:color="auto"/>
        <w:right w:val="none" w:sz="0" w:space="0" w:color="auto"/>
      </w:divBdr>
    </w:div>
    <w:div w:id="905578248">
      <w:bodyDiv w:val="1"/>
      <w:marLeft w:val="0"/>
      <w:marRight w:val="0"/>
      <w:marTop w:val="0"/>
      <w:marBottom w:val="0"/>
      <w:divBdr>
        <w:top w:val="none" w:sz="0" w:space="0" w:color="auto"/>
        <w:left w:val="none" w:sz="0" w:space="0" w:color="auto"/>
        <w:bottom w:val="none" w:sz="0" w:space="0" w:color="auto"/>
        <w:right w:val="none" w:sz="0" w:space="0" w:color="auto"/>
      </w:divBdr>
    </w:div>
    <w:div w:id="905647794">
      <w:bodyDiv w:val="1"/>
      <w:marLeft w:val="0"/>
      <w:marRight w:val="0"/>
      <w:marTop w:val="0"/>
      <w:marBottom w:val="0"/>
      <w:divBdr>
        <w:top w:val="none" w:sz="0" w:space="0" w:color="auto"/>
        <w:left w:val="none" w:sz="0" w:space="0" w:color="auto"/>
        <w:bottom w:val="none" w:sz="0" w:space="0" w:color="auto"/>
        <w:right w:val="none" w:sz="0" w:space="0" w:color="auto"/>
      </w:divBdr>
    </w:div>
    <w:div w:id="905915606">
      <w:bodyDiv w:val="1"/>
      <w:marLeft w:val="0"/>
      <w:marRight w:val="0"/>
      <w:marTop w:val="0"/>
      <w:marBottom w:val="0"/>
      <w:divBdr>
        <w:top w:val="none" w:sz="0" w:space="0" w:color="auto"/>
        <w:left w:val="none" w:sz="0" w:space="0" w:color="auto"/>
        <w:bottom w:val="none" w:sz="0" w:space="0" w:color="auto"/>
        <w:right w:val="none" w:sz="0" w:space="0" w:color="auto"/>
      </w:divBdr>
    </w:div>
    <w:div w:id="906262681">
      <w:bodyDiv w:val="1"/>
      <w:marLeft w:val="0"/>
      <w:marRight w:val="0"/>
      <w:marTop w:val="0"/>
      <w:marBottom w:val="0"/>
      <w:divBdr>
        <w:top w:val="none" w:sz="0" w:space="0" w:color="auto"/>
        <w:left w:val="none" w:sz="0" w:space="0" w:color="auto"/>
        <w:bottom w:val="none" w:sz="0" w:space="0" w:color="auto"/>
        <w:right w:val="none" w:sz="0" w:space="0" w:color="auto"/>
      </w:divBdr>
    </w:div>
    <w:div w:id="906691994">
      <w:bodyDiv w:val="1"/>
      <w:marLeft w:val="0"/>
      <w:marRight w:val="0"/>
      <w:marTop w:val="0"/>
      <w:marBottom w:val="0"/>
      <w:divBdr>
        <w:top w:val="none" w:sz="0" w:space="0" w:color="auto"/>
        <w:left w:val="none" w:sz="0" w:space="0" w:color="auto"/>
        <w:bottom w:val="none" w:sz="0" w:space="0" w:color="auto"/>
        <w:right w:val="none" w:sz="0" w:space="0" w:color="auto"/>
      </w:divBdr>
    </w:div>
    <w:div w:id="906961157">
      <w:bodyDiv w:val="1"/>
      <w:marLeft w:val="0"/>
      <w:marRight w:val="0"/>
      <w:marTop w:val="0"/>
      <w:marBottom w:val="0"/>
      <w:divBdr>
        <w:top w:val="none" w:sz="0" w:space="0" w:color="auto"/>
        <w:left w:val="none" w:sz="0" w:space="0" w:color="auto"/>
        <w:bottom w:val="none" w:sz="0" w:space="0" w:color="auto"/>
        <w:right w:val="none" w:sz="0" w:space="0" w:color="auto"/>
      </w:divBdr>
    </w:div>
    <w:div w:id="908421157">
      <w:bodyDiv w:val="1"/>
      <w:marLeft w:val="0"/>
      <w:marRight w:val="0"/>
      <w:marTop w:val="0"/>
      <w:marBottom w:val="0"/>
      <w:divBdr>
        <w:top w:val="none" w:sz="0" w:space="0" w:color="auto"/>
        <w:left w:val="none" w:sz="0" w:space="0" w:color="auto"/>
        <w:bottom w:val="none" w:sz="0" w:space="0" w:color="auto"/>
        <w:right w:val="none" w:sz="0" w:space="0" w:color="auto"/>
      </w:divBdr>
    </w:div>
    <w:div w:id="910307114">
      <w:bodyDiv w:val="1"/>
      <w:marLeft w:val="0"/>
      <w:marRight w:val="0"/>
      <w:marTop w:val="0"/>
      <w:marBottom w:val="0"/>
      <w:divBdr>
        <w:top w:val="none" w:sz="0" w:space="0" w:color="auto"/>
        <w:left w:val="none" w:sz="0" w:space="0" w:color="auto"/>
        <w:bottom w:val="none" w:sz="0" w:space="0" w:color="auto"/>
        <w:right w:val="none" w:sz="0" w:space="0" w:color="auto"/>
      </w:divBdr>
    </w:div>
    <w:div w:id="910962885">
      <w:bodyDiv w:val="1"/>
      <w:marLeft w:val="0"/>
      <w:marRight w:val="0"/>
      <w:marTop w:val="0"/>
      <w:marBottom w:val="0"/>
      <w:divBdr>
        <w:top w:val="none" w:sz="0" w:space="0" w:color="auto"/>
        <w:left w:val="none" w:sz="0" w:space="0" w:color="auto"/>
        <w:bottom w:val="none" w:sz="0" w:space="0" w:color="auto"/>
        <w:right w:val="none" w:sz="0" w:space="0" w:color="auto"/>
      </w:divBdr>
    </w:div>
    <w:div w:id="911739757">
      <w:bodyDiv w:val="1"/>
      <w:marLeft w:val="0"/>
      <w:marRight w:val="0"/>
      <w:marTop w:val="0"/>
      <w:marBottom w:val="0"/>
      <w:divBdr>
        <w:top w:val="none" w:sz="0" w:space="0" w:color="auto"/>
        <w:left w:val="none" w:sz="0" w:space="0" w:color="auto"/>
        <w:bottom w:val="none" w:sz="0" w:space="0" w:color="auto"/>
        <w:right w:val="none" w:sz="0" w:space="0" w:color="auto"/>
      </w:divBdr>
    </w:div>
    <w:div w:id="912356659">
      <w:bodyDiv w:val="1"/>
      <w:marLeft w:val="0"/>
      <w:marRight w:val="0"/>
      <w:marTop w:val="0"/>
      <w:marBottom w:val="0"/>
      <w:divBdr>
        <w:top w:val="none" w:sz="0" w:space="0" w:color="auto"/>
        <w:left w:val="none" w:sz="0" w:space="0" w:color="auto"/>
        <w:bottom w:val="none" w:sz="0" w:space="0" w:color="auto"/>
        <w:right w:val="none" w:sz="0" w:space="0" w:color="auto"/>
      </w:divBdr>
    </w:div>
    <w:div w:id="912621004">
      <w:bodyDiv w:val="1"/>
      <w:marLeft w:val="0"/>
      <w:marRight w:val="0"/>
      <w:marTop w:val="0"/>
      <w:marBottom w:val="0"/>
      <w:divBdr>
        <w:top w:val="none" w:sz="0" w:space="0" w:color="auto"/>
        <w:left w:val="none" w:sz="0" w:space="0" w:color="auto"/>
        <w:bottom w:val="none" w:sz="0" w:space="0" w:color="auto"/>
        <w:right w:val="none" w:sz="0" w:space="0" w:color="auto"/>
      </w:divBdr>
    </w:div>
    <w:div w:id="913468413">
      <w:bodyDiv w:val="1"/>
      <w:marLeft w:val="0"/>
      <w:marRight w:val="0"/>
      <w:marTop w:val="0"/>
      <w:marBottom w:val="0"/>
      <w:divBdr>
        <w:top w:val="none" w:sz="0" w:space="0" w:color="auto"/>
        <w:left w:val="none" w:sz="0" w:space="0" w:color="auto"/>
        <w:bottom w:val="none" w:sz="0" w:space="0" w:color="auto"/>
        <w:right w:val="none" w:sz="0" w:space="0" w:color="auto"/>
      </w:divBdr>
    </w:div>
    <w:div w:id="913705178">
      <w:bodyDiv w:val="1"/>
      <w:marLeft w:val="0"/>
      <w:marRight w:val="0"/>
      <w:marTop w:val="0"/>
      <w:marBottom w:val="0"/>
      <w:divBdr>
        <w:top w:val="none" w:sz="0" w:space="0" w:color="auto"/>
        <w:left w:val="none" w:sz="0" w:space="0" w:color="auto"/>
        <w:bottom w:val="none" w:sz="0" w:space="0" w:color="auto"/>
        <w:right w:val="none" w:sz="0" w:space="0" w:color="auto"/>
      </w:divBdr>
    </w:div>
    <w:div w:id="913781008">
      <w:bodyDiv w:val="1"/>
      <w:marLeft w:val="0"/>
      <w:marRight w:val="0"/>
      <w:marTop w:val="0"/>
      <w:marBottom w:val="0"/>
      <w:divBdr>
        <w:top w:val="none" w:sz="0" w:space="0" w:color="auto"/>
        <w:left w:val="none" w:sz="0" w:space="0" w:color="auto"/>
        <w:bottom w:val="none" w:sz="0" w:space="0" w:color="auto"/>
        <w:right w:val="none" w:sz="0" w:space="0" w:color="auto"/>
      </w:divBdr>
    </w:div>
    <w:div w:id="914167238">
      <w:bodyDiv w:val="1"/>
      <w:marLeft w:val="0"/>
      <w:marRight w:val="0"/>
      <w:marTop w:val="0"/>
      <w:marBottom w:val="0"/>
      <w:divBdr>
        <w:top w:val="none" w:sz="0" w:space="0" w:color="auto"/>
        <w:left w:val="none" w:sz="0" w:space="0" w:color="auto"/>
        <w:bottom w:val="none" w:sz="0" w:space="0" w:color="auto"/>
        <w:right w:val="none" w:sz="0" w:space="0" w:color="auto"/>
      </w:divBdr>
    </w:div>
    <w:div w:id="914361343">
      <w:bodyDiv w:val="1"/>
      <w:marLeft w:val="0"/>
      <w:marRight w:val="0"/>
      <w:marTop w:val="0"/>
      <w:marBottom w:val="0"/>
      <w:divBdr>
        <w:top w:val="none" w:sz="0" w:space="0" w:color="auto"/>
        <w:left w:val="none" w:sz="0" w:space="0" w:color="auto"/>
        <w:bottom w:val="none" w:sz="0" w:space="0" w:color="auto"/>
        <w:right w:val="none" w:sz="0" w:space="0" w:color="auto"/>
      </w:divBdr>
    </w:div>
    <w:div w:id="914433251">
      <w:bodyDiv w:val="1"/>
      <w:marLeft w:val="0"/>
      <w:marRight w:val="0"/>
      <w:marTop w:val="0"/>
      <w:marBottom w:val="0"/>
      <w:divBdr>
        <w:top w:val="none" w:sz="0" w:space="0" w:color="auto"/>
        <w:left w:val="none" w:sz="0" w:space="0" w:color="auto"/>
        <w:bottom w:val="none" w:sz="0" w:space="0" w:color="auto"/>
        <w:right w:val="none" w:sz="0" w:space="0" w:color="auto"/>
      </w:divBdr>
    </w:div>
    <w:div w:id="914898766">
      <w:bodyDiv w:val="1"/>
      <w:marLeft w:val="0"/>
      <w:marRight w:val="0"/>
      <w:marTop w:val="0"/>
      <w:marBottom w:val="0"/>
      <w:divBdr>
        <w:top w:val="none" w:sz="0" w:space="0" w:color="auto"/>
        <w:left w:val="none" w:sz="0" w:space="0" w:color="auto"/>
        <w:bottom w:val="none" w:sz="0" w:space="0" w:color="auto"/>
        <w:right w:val="none" w:sz="0" w:space="0" w:color="auto"/>
      </w:divBdr>
    </w:div>
    <w:div w:id="915013675">
      <w:bodyDiv w:val="1"/>
      <w:marLeft w:val="0"/>
      <w:marRight w:val="0"/>
      <w:marTop w:val="0"/>
      <w:marBottom w:val="0"/>
      <w:divBdr>
        <w:top w:val="none" w:sz="0" w:space="0" w:color="auto"/>
        <w:left w:val="none" w:sz="0" w:space="0" w:color="auto"/>
        <w:bottom w:val="none" w:sz="0" w:space="0" w:color="auto"/>
        <w:right w:val="none" w:sz="0" w:space="0" w:color="auto"/>
      </w:divBdr>
    </w:div>
    <w:div w:id="915362574">
      <w:bodyDiv w:val="1"/>
      <w:marLeft w:val="0"/>
      <w:marRight w:val="0"/>
      <w:marTop w:val="0"/>
      <w:marBottom w:val="0"/>
      <w:divBdr>
        <w:top w:val="none" w:sz="0" w:space="0" w:color="auto"/>
        <w:left w:val="none" w:sz="0" w:space="0" w:color="auto"/>
        <w:bottom w:val="none" w:sz="0" w:space="0" w:color="auto"/>
        <w:right w:val="none" w:sz="0" w:space="0" w:color="auto"/>
      </w:divBdr>
    </w:div>
    <w:div w:id="915893031">
      <w:bodyDiv w:val="1"/>
      <w:marLeft w:val="0"/>
      <w:marRight w:val="0"/>
      <w:marTop w:val="0"/>
      <w:marBottom w:val="0"/>
      <w:divBdr>
        <w:top w:val="none" w:sz="0" w:space="0" w:color="auto"/>
        <w:left w:val="none" w:sz="0" w:space="0" w:color="auto"/>
        <w:bottom w:val="none" w:sz="0" w:space="0" w:color="auto"/>
        <w:right w:val="none" w:sz="0" w:space="0" w:color="auto"/>
      </w:divBdr>
    </w:div>
    <w:div w:id="916093379">
      <w:bodyDiv w:val="1"/>
      <w:marLeft w:val="0"/>
      <w:marRight w:val="0"/>
      <w:marTop w:val="0"/>
      <w:marBottom w:val="0"/>
      <w:divBdr>
        <w:top w:val="none" w:sz="0" w:space="0" w:color="auto"/>
        <w:left w:val="none" w:sz="0" w:space="0" w:color="auto"/>
        <w:bottom w:val="none" w:sz="0" w:space="0" w:color="auto"/>
        <w:right w:val="none" w:sz="0" w:space="0" w:color="auto"/>
      </w:divBdr>
    </w:div>
    <w:div w:id="916288786">
      <w:bodyDiv w:val="1"/>
      <w:marLeft w:val="0"/>
      <w:marRight w:val="0"/>
      <w:marTop w:val="0"/>
      <w:marBottom w:val="0"/>
      <w:divBdr>
        <w:top w:val="none" w:sz="0" w:space="0" w:color="auto"/>
        <w:left w:val="none" w:sz="0" w:space="0" w:color="auto"/>
        <w:bottom w:val="none" w:sz="0" w:space="0" w:color="auto"/>
        <w:right w:val="none" w:sz="0" w:space="0" w:color="auto"/>
      </w:divBdr>
    </w:div>
    <w:div w:id="916405578">
      <w:bodyDiv w:val="1"/>
      <w:marLeft w:val="0"/>
      <w:marRight w:val="0"/>
      <w:marTop w:val="0"/>
      <w:marBottom w:val="0"/>
      <w:divBdr>
        <w:top w:val="none" w:sz="0" w:space="0" w:color="auto"/>
        <w:left w:val="none" w:sz="0" w:space="0" w:color="auto"/>
        <w:bottom w:val="none" w:sz="0" w:space="0" w:color="auto"/>
        <w:right w:val="none" w:sz="0" w:space="0" w:color="auto"/>
      </w:divBdr>
    </w:div>
    <w:div w:id="917253620">
      <w:bodyDiv w:val="1"/>
      <w:marLeft w:val="0"/>
      <w:marRight w:val="0"/>
      <w:marTop w:val="0"/>
      <w:marBottom w:val="0"/>
      <w:divBdr>
        <w:top w:val="none" w:sz="0" w:space="0" w:color="auto"/>
        <w:left w:val="none" w:sz="0" w:space="0" w:color="auto"/>
        <w:bottom w:val="none" w:sz="0" w:space="0" w:color="auto"/>
        <w:right w:val="none" w:sz="0" w:space="0" w:color="auto"/>
      </w:divBdr>
    </w:div>
    <w:div w:id="918245336">
      <w:bodyDiv w:val="1"/>
      <w:marLeft w:val="0"/>
      <w:marRight w:val="0"/>
      <w:marTop w:val="0"/>
      <w:marBottom w:val="0"/>
      <w:divBdr>
        <w:top w:val="none" w:sz="0" w:space="0" w:color="auto"/>
        <w:left w:val="none" w:sz="0" w:space="0" w:color="auto"/>
        <w:bottom w:val="none" w:sz="0" w:space="0" w:color="auto"/>
        <w:right w:val="none" w:sz="0" w:space="0" w:color="auto"/>
      </w:divBdr>
    </w:div>
    <w:div w:id="918831453">
      <w:bodyDiv w:val="1"/>
      <w:marLeft w:val="0"/>
      <w:marRight w:val="0"/>
      <w:marTop w:val="0"/>
      <w:marBottom w:val="0"/>
      <w:divBdr>
        <w:top w:val="none" w:sz="0" w:space="0" w:color="auto"/>
        <w:left w:val="none" w:sz="0" w:space="0" w:color="auto"/>
        <w:bottom w:val="none" w:sz="0" w:space="0" w:color="auto"/>
        <w:right w:val="none" w:sz="0" w:space="0" w:color="auto"/>
      </w:divBdr>
    </w:div>
    <w:div w:id="918908676">
      <w:bodyDiv w:val="1"/>
      <w:marLeft w:val="0"/>
      <w:marRight w:val="0"/>
      <w:marTop w:val="0"/>
      <w:marBottom w:val="0"/>
      <w:divBdr>
        <w:top w:val="none" w:sz="0" w:space="0" w:color="auto"/>
        <w:left w:val="none" w:sz="0" w:space="0" w:color="auto"/>
        <w:bottom w:val="none" w:sz="0" w:space="0" w:color="auto"/>
        <w:right w:val="none" w:sz="0" w:space="0" w:color="auto"/>
      </w:divBdr>
    </w:div>
    <w:div w:id="919410648">
      <w:bodyDiv w:val="1"/>
      <w:marLeft w:val="0"/>
      <w:marRight w:val="0"/>
      <w:marTop w:val="0"/>
      <w:marBottom w:val="0"/>
      <w:divBdr>
        <w:top w:val="none" w:sz="0" w:space="0" w:color="auto"/>
        <w:left w:val="none" w:sz="0" w:space="0" w:color="auto"/>
        <w:bottom w:val="none" w:sz="0" w:space="0" w:color="auto"/>
        <w:right w:val="none" w:sz="0" w:space="0" w:color="auto"/>
      </w:divBdr>
    </w:div>
    <w:div w:id="920139758">
      <w:bodyDiv w:val="1"/>
      <w:marLeft w:val="0"/>
      <w:marRight w:val="0"/>
      <w:marTop w:val="0"/>
      <w:marBottom w:val="0"/>
      <w:divBdr>
        <w:top w:val="none" w:sz="0" w:space="0" w:color="auto"/>
        <w:left w:val="none" w:sz="0" w:space="0" w:color="auto"/>
        <w:bottom w:val="none" w:sz="0" w:space="0" w:color="auto"/>
        <w:right w:val="none" w:sz="0" w:space="0" w:color="auto"/>
      </w:divBdr>
    </w:div>
    <w:div w:id="920723110">
      <w:bodyDiv w:val="1"/>
      <w:marLeft w:val="0"/>
      <w:marRight w:val="0"/>
      <w:marTop w:val="0"/>
      <w:marBottom w:val="0"/>
      <w:divBdr>
        <w:top w:val="none" w:sz="0" w:space="0" w:color="auto"/>
        <w:left w:val="none" w:sz="0" w:space="0" w:color="auto"/>
        <w:bottom w:val="none" w:sz="0" w:space="0" w:color="auto"/>
        <w:right w:val="none" w:sz="0" w:space="0" w:color="auto"/>
      </w:divBdr>
    </w:div>
    <w:div w:id="920793414">
      <w:bodyDiv w:val="1"/>
      <w:marLeft w:val="0"/>
      <w:marRight w:val="0"/>
      <w:marTop w:val="0"/>
      <w:marBottom w:val="0"/>
      <w:divBdr>
        <w:top w:val="none" w:sz="0" w:space="0" w:color="auto"/>
        <w:left w:val="none" w:sz="0" w:space="0" w:color="auto"/>
        <w:bottom w:val="none" w:sz="0" w:space="0" w:color="auto"/>
        <w:right w:val="none" w:sz="0" w:space="0" w:color="auto"/>
      </w:divBdr>
    </w:div>
    <w:div w:id="921254014">
      <w:bodyDiv w:val="1"/>
      <w:marLeft w:val="0"/>
      <w:marRight w:val="0"/>
      <w:marTop w:val="0"/>
      <w:marBottom w:val="0"/>
      <w:divBdr>
        <w:top w:val="none" w:sz="0" w:space="0" w:color="auto"/>
        <w:left w:val="none" w:sz="0" w:space="0" w:color="auto"/>
        <w:bottom w:val="none" w:sz="0" w:space="0" w:color="auto"/>
        <w:right w:val="none" w:sz="0" w:space="0" w:color="auto"/>
      </w:divBdr>
    </w:div>
    <w:div w:id="921255311">
      <w:bodyDiv w:val="1"/>
      <w:marLeft w:val="0"/>
      <w:marRight w:val="0"/>
      <w:marTop w:val="0"/>
      <w:marBottom w:val="0"/>
      <w:divBdr>
        <w:top w:val="none" w:sz="0" w:space="0" w:color="auto"/>
        <w:left w:val="none" w:sz="0" w:space="0" w:color="auto"/>
        <w:bottom w:val="none" w:sz="0" w:space="0" w:color="auto"/>
        <w:right w:val="none" w:sz="0" w:space="0" w:color="auto"/>
      </w:divBdr>
    </w:div>
    <w:div w:id="921448997">
      <w:bodyDiv w:val="1"/>
      <w:marLeft w:val="0"/>
      <w:marRight w:val="0"/>
      <w:marTop w:val="0"/>
      <w:marBottom w:val="0"/>
      <w:divBdr>
        <w:top w:val="none" w:sz="0" w:space="0" w:color="auto"/>
        <w:left w:val="none" w:sz="0" w:space="0" w:color="auto"/>
        <w:bottom w:val="none" w:sz="0" w:space="0" w:color="auto"/>
        <w:right w:val="none" w:sz="0" w:space="0" w:color="auto"/>
      </w:divBdr>
    </w:div>
    <w:div w:id="921837458">
      <w:bodyDiv w:val="1"/>
      <w:marLeft w:val="0"/>
      <w:marRight w:val="0"/>
      <w:marTop w:val="0"/>
      <w:marBottom w:val="0"/>
      <w:divBdr>
        <w:top w:val="none" w:sz="0" w:space="0" w:color="auto"/>
        <w:left w:val="none" w:sz="0" w:space="0" w:color="auto"/>
        <w:bottom w:val="none" w:sz="0" w:space="0" w:color="auto"/>
        <w:right w:val="none" w:sz="0" w:space="0" w:color="auto"/>
      </w:divBdr>
    </w:div>
    <w:div w:id="922035339">
      <w:bodyDiv w:val="1"/>
      <w:marLeft w:val="0"/>
      <w:marRight w:val="0"/>
      <w:marTop w:val="0"/>
      <w:marBottom w:val="0"/>
      <w:divBdr>
        <w:top w:val="none" w:sz="0" w:space="0" w:color="auto"/>
        <w:left w:val="none" w:sz="0" w:space="0" w:color="auto"/>
        <w:bottom w:val="none" w:sz="0" w:space="0" w:color="auto"/>
        <w:right w:val="none" w:sz="0" w:space="0" w:color="auto"/>
      </w:divBdr>
    </w:div>
    <w:div w:id="922299847">
      <w:bodyDiv w:val="1"/>
      <w:marLeft w:val="0"/>
      <w:marRight w:val="0"/>
      <w:marTop w:val="0"/>
      <w:marBottom w:val="0"/>
      <w:divBdr>
        <w:top w:val="none" w:sz="0" w:space="0" w:color="auto"/>
        <w:left w:val="none" w:sz="0" w:space="0" w:color="auto"/>
        <w:bottom w:val="none" w:sz="0" w:space="0" w:color="auto"/>
        <w:right w:val="none" w:sz="0" w:space="0" w:color="auto"/>
      </w:divBdr>
    </w:div>
    <w:div w:id="922569248">
      <w:bodyDiv w:val="1"/>
      <w:marLeft w:val="0"/>
      <w:marRight w:val="0"/>
      <w:marTop w:val="0"/>
      <w:marBottom w:val="0"/>
      <w:divBdr>
        <w:top w:val="none" w:sz="0" w:space="0" w:color="auto"/>
        <w:left w:val="none" w:sz="0" w:space="0" w:color="auto"/>
        <w:bottom w:val="none" w:sz="0" w:space="0" w:color="auto"/>
        <w:right w:val="none" w:sz="0" w:space="0" w:color="auto"/>
      </w:divBdr>
    </w:div>
    <w:div w:id="922682591">
      <w:bodyDiv w:val="1"/>
      <w:marLeft w:val="0"/>
      <w:marRight w:val="0"/>
      <w:marTop w:val="0"/>
      <w:marBottom w:val="0"/>
      <w:divBdr>
        <w:top w:val="none" w:sz="0" w:space="0" w:color="auto"/>
        <w:left w:val="none" w:sz="0" w:space="0" w:color="auto"/>
        <w:bottom w:val="none" w:sz="0" w:space="0" w:color="auto"/>
        <w:right w:val="none" w:sz="0" w:space="0" w:color="auto"/>
      </w:divBdr>
    </w:div>
    <w:div w:id="923614666">
      <w:bodyDiv w:val="1"/>
      <w:marLeft w:val="0"/>
      <w:marRight w:val="0"/>
      <w:marTop w:val="0"/>
      <w:marBottom w:val="0"/>
      <w:divBdr>
        <w:top w:val="none" w:sz="0" w:space="0" w:color="auto"/>
        <w:left w:val="none" w:sz="0" w:space="0" w:color="auto"/>
        <w:bottom w:val="none" w:sz="0" w:space="0" w:color="auto"/>
        <w:right w:val="none" w:sz="0" w:space="0" w:color="auto"/>
      </w:divBdr>
    </w:div>
    <w:div w:id="923731000">
      <w:bodyDiv w:val="1"/>
      <w:marLeft w:val="0"/>
      <w:marRight w:val="0"/>
      <w:marTop w:val="0"/>
      <w:marBottom w:val="0"/>
      <w:divBdr>
        <w:top w:val="none" w:sz="0" w:space="0" w:color="auto"/>
        <w:left w:val="none" w:sz="0" w:space="0" w:color="auto"/>
        <w:bottom w:val="none" w:sz="0" w:space="0" w:color="auto"/>
        <w:right w:val="none" w:sz="0" w:space="0" w:color="auto"/>
      </w:divBdr>
    </w:div>
    <w:div w:id="923875313">
      <w:bodyDiv w:val="1"/>
      <w:marLeft w:val="0"/>
      <w:marRight w:val="0"/>
      <w:marTop w:val="0"/>
      <w:marBottom w:val="0"/>
      <w:divBdr>
        <w:top w:val="none" w:sz="0" w:space="0" w:color="auto"/>
        <w:left w:val="none" w:sz="0" w:space="0" w:color="auto"/>
        <w:bottom w:val="none" w:sz="0" w:space="0" w:color="auto"/>
        <w:right w:val="none" w:sz="0" w:space="0" w:color="auto"/>
      </w:divBdr>
    </w:div>
    <w:div w:id="923996069">
      <w:bodyDiv w:val="1"/>
      <w:marLeft w:val="0"/>
      <w:marRight w:val="0"/>
      <w:marTop w:val="0"/>
      <w:marBottom w:val="0"/>
      <w:divBdr>
        <w:top w:val="none" w:sz="0" w:space="0" w:color="auto"/>
        <w:left w:val="none" w:sz="0" w:space="0" w:color="auto"/>
        <w:bottom w:val="none" w:sz="0" w:space="0" w:color="auto"/>
        <w:right w:val="none" w:sz="0" w:space="0" w:color="auto"/>
      </w:divBdr>
    </w:div>
    <w:div w:id="924194375">
      <w:bodyDiv w:val="1"/>
      <w:marLeft w:val="0"/>
      <w:marRight w:val="0"/>
      <w:marTop w:val="0"/>
      <w:marBottom w:val="0"/>
      <w:divBdr>
        <w:top w:val="none" w:sz="0" w:space="0" w:color="auto"/>
        <w:left w:val="none" w:sz="0" w:space="0" w:color="auto"/>
        <w:bottom w:val="none" w:sz="0" w:space="0" w:color="auto"/>
        <w:right w:val="none" w:sz="0" w:space="0" w:color="auto"/>
      </w:divBdr>
    </w:div>
    <w:div w:id="925194278">
      <w:bodyDiv w:val="1"/>
      <w:marLeft w:val="0"/>
      <w:marRight w:val="0"/>
      <w:marTop w:val="0"/>
      <w:marBottom w:val="0"/>
      <w:divBdr>
        <w:top w:val="none" w:sz="0" w:space="0" w:color="auto"/>
        <w:left w:val="none" w:sz="0" w:space="0" w:color="auto"/>
        <w:bottom w:val="none" w:sz="0" w:space="0" w:color="auto"/>
        <w:right w:val="none" w:sz="0" w:space="0" w:color="auto"/>
      </w:divBdr>
    </w:div>
    <w:div w:id="925382212">
      <w:bodyDiv w:val="1"/>
      <w:marLeft w:val="0"/>
      <w:marRight w:val="0"/>
      <w:marTop w:val="0"/>
      <w:marBottom w:val="0"/>
      <w:divBdr>
        <w:top w:val="none" w:sz="0" w:space="0" w:color="auto"/>
        <w:left w:val="none" w:sz="0" w:space="0" w:color="auto"/>
        <w:bottom w:val="none" w:sz="0" w:space="0" w:color="auto"/>
        <w:right w:val="none" w:sz="0" w:space="0" w:color="auto"/>
      </w:divBdr>
    </w:div>
    <w:div w:id="925578818">
      <w:bodyDiv w:val="1"/>
      <w:marLeft w:val="0"/>
      <w:marRight w:val="0"/>
      <w:marTop w:val="0"/>
      <w:marBottom w:val="0"/>
      <w:divBdr>
        <w:top w:val="none" w:sz="0" w:space="0" w:color="auto"/>
        <w:left w:val="none" w:sz="0" w:space="0" w:color="auto"/>
        <w:bottom w:val="none" w:sz="0" w:space="0" w:color="auto"/>
        <w:right w:val="none" w:sz="0" w:space="0" w:color="auto"/>
      </w:divBdr>
    </w:div>
    <w:div w:id="925654399">
      <w:bodyDiv w:val="1"/>
      <w:marLeft w:val="0"/>
      <w:marRight w:val="0"/>
      <w:marTop w:val="0"/>
      <w:marBottom w:val="0"/>
      <w:divBdr>
        <w:top w:val="none" w:sz="0" w:space="0" w:color="auto"/>
        <w:left w:val="none" w:sz="0" w:space="0" w:color="auto"/>
        <w:bottom w:val="none" w:sz="0" w:space="0" w:color="auto"/>
        <w:right w:val="none" w:sz="0" w:space="0" w:color="auto"/>
      </w:divBdr>
    </w:div>
    <w:div w:id="925844085">
      <w:bodyDiv w:val="1"/>
      <w:marLeft w:val="0"/>
      <w:marRight w:val="0"/>
      <w:marTop w:val="0"/>
      <w:marBottom w:val="0"/>
      <w:divBdr>
        <w:top w:val="none" w:sz="0" w:space="0" w:color="auto"/>
        <w:left w:val="none" w:sz="0" w:space="0" w:color="auto"/>
        <w:bottom w:val="none" w:sz="0" w:space="0" w:color="auto"/>
        <w:right w:val="none" w:sz="0" w:space="0" w:color="auto"/>
      </w:divBdr>
    </w:div>
    <w:div w:id="926109172">
      <w:bodyDiv w:val="1"/>
      <w:marLeft w:val="0"/>
      <w:marRight w:val="0"/>
      <w:marTop w:val="0"/>
      <w:marBottom w:val="0"/>
      <w:divBdr>
        <w:top w:val="none" w:sz="0" w:space="0" w:color="auto"/>
        <w:left w:val="none" w:sz="0" w:space="0" w:color="auto"/>
        <w:bottom w:val="none" w:sz="0" w:space="0" w:color="auto"/>
        <w:right w:val="none" w:sz="0" w:space="0" w:color="auto"/>
      </w:divBdr>
    </w:div>
    <w:div w:id="926815928">
      <w:bodyDiv w:val="1"/>
      <w:marLeft w:val="0"/>
      <w:marRight w:val="0"/>
      <w:marTop w:val="0"/>
      <w:marBottom w:val="0"/>
      <w:divBdr>
        <w:top w:val="none" w:sz="0" w:space="0" w:color="auto"/>
        <w:left w:val="none" w:sz="0" w:space="0" w:color="auto"/>
        <w:bottom w:val="none" w:sz="0" w:space="0" w:color="auto"/>
        <w:right w:val="none" w:sz="0" w:space="0" w:color="auto"/>
      </w:divBdr>
    </w:div>
    <w:div w:id="927269719">
      <w:bodyDiv w:val="1"/>
      <w:marLeft w:val="0"/>
      <w:marRight w:val="0"/>
      <w:marTop w:val="0"/>
      <w:marBottom w:val="0"/>
      <w:divBdr>
        <w:top w:val="none" w:sz="0" w:space="0" w:color="auto"/>
        <w:left w:val="none" w:sz="0" w:space="0" w:color="auto"/>
        <w:bottom w:val="none" w:sz="0" w:space="0" w:color="auto"/>
        <w:right w:val="none" w:sz="0" w:space="0" w:color="auto"/>
      </w:divBdr>
    </w:div>
    <w:div w:id="927423454">
      <w:bodyDiv w:val="1"/>
      <w:marLeft w:val="0"/>
      <w:marRight w:val="0"/>
      <w:marTop w:val="0"/>
      <w:marBottom w:val="0"/>
      <w:divBdr>
        <w:top w:val="none" w:sz="0" w:space="0" w:color="auto"/>
        <w:left w:val="none" w:sz="0" w:space="0" w:color="auto"/>
        <w:bottom w:val="none" w:sz="0" w:space="0" w:color="auto"/>
        <w:right w:val="none" w:sz="0" w:space="0" w:color="auto"/>
      </w:divBdr>
    </w:div>
    <w:div w:id="927736478">
      <w:bodyDiv w:val="1"/>
      <w:marLeft w:val="0"/>
      <w:marRight w:val="0"/>
      <w:marTop w:val="0"/>
      <w:marBottom w:val="0"/>
      <w:divBdr>
        <w:top w:val="none" w:sz="0" w:space="0" w:color="auto"/>
        <w:left w:val="none" w:sz="0" w:space="0" w:color="auto"/>
        <w:bottom w:val="none" w:sz="0" w:space="0" w:color="auto"/>
        <w:right w:val="none" w:sz="0" w:space="0" w:color="auto"/>
      </w:divBdr>
    </w:div>
    <w:div w:id="928543358">
      <w:bodyDiv w:val="1"/>
      <w:marLeft w:val="0"/>
      <w:marRight w:val="0"/>
      <w:marTop w:val="0"/>
      <w:marBottom w:val="0"/>
      <w:divBdr>
        <w:top w:val="none" w:sz="0" w:space="0" w:color="auto"/>
        <w:left w:val="none" w:sz="0" w:space="0" w:color="auto"/>
        <w:bottom w:val="none" w:sz="0" w:space="0" w:color="auto"/>
        <w:right w:val="none" w:sz="0" w:space="0" w:color="auto"/>
      </w:divBdr>
    </w:div>
    <w:div w:id="928780024">
      <w:bodyDiv w:val="1"/>
      <w:marLeft w:val="0"/>
      <w:marRight w:val="0"/>
      <w:marTop w:val="0"/>
      <w:marBottom w:val="0"/>
      <w:divBdr>
        <w:top w:val="none" w:sz="0" w:space="0" w:color="auto"/>
        <w:left w:val="none" w:sz="0" w:space="0" w:color="auto"/>
        <w:bottom w:val="none" w:sz="0" w:space="0" w:color="auto"/>
        <w:right w:val="none" w:sz="0" w:space="0" w:color="auto"/>
      </w:divBdr>
    </w:div>
    <w:div w:id="929047385">
      <w:bodyDiv w:val="1"/>
      <w:marLeft w:val="0"/>
      <w:marRight w:val="0"/>
      <w:marTop w:val="0"/>
      <w:marBottom w:val="0"/>
      <w:divBdr>
        <w:top w:val="none" w:sz="0" w:space="0" w:color="auto"/>
        <w:left w:val="none" w:sz="0" w:space="0" w:color="auto"/>
        <w:bottom w:val="none" w:sz="0" w:space="0" w:color="auto"/>
        <w:right w:val="none" w:sz="0" w:space="0" w:color="auto"/>
      </w:divBdr>
    </w:div>
    <w:div w:id="929236667">
      <w:bodyDiv w:val="1"/>
      <w:marLeft w:val="0"/>
      <w:marRight w:val="0"/>
      <w:marTop w:val="0"/>
      <w:marBottom w:val="0"/>
      <w:divBdr>
        <w:top w:val="none" w:sz="0" w:space="0" w:color="auto"/>
        <w:left w:val="none" w:sz="0" w:space="0" w:color="auto"/>
        <w:bottom w:val="none" w:sz="0" w:space="0" w:color="auto"/>
        <w:right w:val="none" w:sz="0" w:space="0" w:color="auto"/>
      </w:divBdr>
    </w:div>
    <w:div w:id="929510190">
      <w:bodyDiv w:val="1"/>
      <w:marLeft w:val="0"/>
      <w:marRight w:val="0"/>
      <w:marTop w:val="0"/>
      <w:marBottom w:val="0"/>
      <w:divBdr>
        <w:top w:val="none" w:sz="0" w:space="0" w:color="auto"/>
        <w:left w:val="none" w:sz="0" w:space="0" w:color="auto"/>
        <w:bottom w:val="none" w:sz="0" w:space="0" w:color="auto"/>
        <w:right w:val="none" w:sz="0" w:space="0" w:color="auto"/>
      </w:divBdr>
    </w:div>
    <w:div w:id="930351822">
      <w:bodyDiv w:val="1"/>
      <w:marLeft w:val="0"/>
      <w:marRight w:val="0"/>
      <w:marTop w:val="0"/>
      <w:marBottom w:val="0"/>
      <w:divBdr>
        <w:top w:val="none" w:sz="0" w:space="0" w:color="auto"/>
        <w:left w:val="none" w:sz="0" w:space="0" w:color="auto"/>
        <w:bottom w:val="none" w:sz="0" w:space="0" w:color="auto"/>
        <w:right w:val="none" w:sz="0" w:space="0" w:color="auto"/>
      </w:divBdr>
    </w:div>
    <w:div w:id="930550861">
      <w:bodyDiv w:val="1"/>
      <w:marLeft w:val="0"/>
      <w:marRight w:val="0"/>
      <w:marTop w:val="0"/>
      <w:marBottom w:val="0"/>
      <w:divBdr>
        <w:top w:val="none" w:sz="0" w:space="0" w:color="auto"/>
        <w:left w:val="none" w:sz="0" w:space="0" w:color="auto"/>
        <w:bottom w:val="none" w:sz="0" w:space="0" w:color="auto"/>
        <w:right w:val="none" w:sz="0" w:space="0" w:color="auto"/>
      </w:divBdr>
    </w:div>
    <w:div w:id="931088647">
      <w:bodyDiv w:val="1"/>
      <w:marLeft w:val="0"/>
      <w:marRight w:val="0"/>
      <w:marTop w:val="0"/>
      <w:marBottom w:val="0"/>
      <w:divBdr>
        <w:top w:val="none" w:sz="0" w:space="0" w:color="auto"/>
        <w:left w:val="none" w:sz="0" w:space="0" w:color="auto"/>
        <w:bottom w:val="none" w:sz="0" w:space="0" w:color="auto"/>
        <w:right w:val="none" w:sz="0" w:space="0" w:color="auto"/>
      </w:divBdr>
    </w:div>
    <w:div w:id="931546686">
      <w:bodyDiv w:val="1"/>
      <w:marLeft w:val="0"/>
      <w:marRight w:val="0"/>
      <w:marTop w:val="0"/>
      <w:marBottom w:val="0"/>
      <w:divBdr>
        <w:top w:val="none" w:sz="0" w:space="0" w:color="auto"/>
        <w:left w:val="none" w:sz="0" w:space="0" w:color="auto"/>
        <w:bottom w:val="none" w:sz="0" w:space="0" w:color="auto"/>
        <w:right w:val="none" w:sz="0" w:space="0" w:color="auto"/>
      </w:divBdr>
    </w:div>
    <w:div w:id="933199007">
      <w:bodyDiv w:val="1"/>
      <w:marLeft w:val="0"/>
      <w:marRight w:val="0"/>
      <w:marTop w:val="0"/>
      <w:marBottom w:val="0"/>
      <w:divBdr>
        <w:top w:val="none" w:sz="0" w:space="0" w:color="auto"/>
        <w:left w:val="none" w:sz="0" w:space="0" w:color="auto"/>
        <w:bottom w:val="none" w:sz="0" w:space="0" w:color="auto"/>
        <w:right w:val="none" w:sz="0" w:space="0" w:color="auto"/>
      </w:divBdr>
    </w:div>
    <w:div w:id="933325551">
      <w:bodyDiv w:val="1"/>
      <w:marLeft w:val="0"/>
      <w:marRight w:val="0"/>
      <w:marTop w:val="0"/>
      <w:marBottom w:val="0"/>
      <w:divBdr>
        <w:top w:val="none" w:sz="0" w:space="0" w:color="auto"/>
        <w:left w:val="none" w:sz="0" w:space="0" w:color="auto"/>
        <w:bottom w:val="none" w:sz="0" w:space="0" w:color="auto"/>
        <w:right w:val="none" w:sz="0" w:space="0" w:color="auto"/>
      </w:divBdr>
    </w:div>
    <w:div w:id="933516266">
      <w:bodyDiv w:val="1"/>
      <w:marLeft w:val="0"/>
      <w:marRight w:val="0"/>
      <w:marTop w:val="0"/>
      <w:marBottom w:val="0"/>
      <w:divBdr>
        <w:top w:val="none" w:sz="0" w:space="0" w:color="auto"/>
        <w:left w:val="none" w:sz="0" w:space="0" w:color="auto"/>
        <w:bottom w:val="none" w:sz="0" w:space="0" w:color="auto"/>
        <w:right w:val="none" w:sz="0" w:space="0" w:color="auto"/>
      </w:divBdr>
    </w:div>
    <w:div w:id="933628750">
      <w:bodyDiv w:val="1"/>
      <w:marLeft w:val="0"/>
      <w:marRight w:val="0"/>
      <w:marTop w:val="0"/>
      <w:marBottom w:val="0"/>
      <w:divBdr>
        <w:top w:val="none" w:sz="0" w:space="0" w:color="auto"/>
        <w:left w:val="none" w:sz="0" w:space="0" w:color="auto"/>
        <w:bottom w:val="none" w:sz="0" w:space="0" w:color="auto"/>
        <w:right w:val="none" w:sz="0" w:space="0" w:color="auto"/>
      </w:divBdr>
    </w:div>
    <w:div w:id="933823434">
      <w:bodyDiv w:val="1"/>
      <w:marLeft w:val="0"/>
      <w:marRight w:val="0"/>
      <w:marTop w:val="0"/>
      <w:marBottom w:val="0"/>
      <w:divBdr>
        <w:top w:val="none" w:sz="0" w:space="0" w:color="auto"/>
        <w:left w:val="none" w:sz="0" w:space="0" w:color="auto"/>
        <w:bottom w:val="none" w:sz="0" w:space="0" w:color="auto"/>
        <w:right w:val="none" w:sz="0" w:space="0" w:color="auto"/>
      </w:divBdr>
    </w:div>
    <w:div w:id="934049011">
      <w:bodyDiv w:val="1"/>
      <w:marLeft w:val="0"/>
      <w:marRight w:val="0"/>
      <w:marTop w:val="0"/>
      <w:marBottom w:val="0"/>
      <w:divBdr>
        <w:top w:val="none" w:sz="0" w:space="0" w:color="auto"/>
        <w:left w:val="none" w:sz="0" w:space="0" w:color="auto"/>
        <w:bottom w:val="none" w:sz="0" w:space="0" w:color="auto"/>
        <w:right w:val="none" w:sz="0" w:space="0" w:color="auto"/>
      </w:divBdr>
    </w:div>
    <w:div w:id="935403206">
      <w:bodyDiv w:val="1"/>
      <w:marLeft w:val="0"/>
      <w:marRight w:val="0"/>
      <w:marTop w:val="0"/>
      <w:marBottom w:val="0"/>
      <w:divBdr>
        <w:top w:val="none" w:sz="0" w:space="0" w:color="auto"/>
        <w:left w:val="none" w:sz="0" w:space="0" w:color="auto"/>
        <w:bottom w:val="none" w:sz="0" w:space="0" w:color="auto"/>
        <w:right w:val="none" w:sz="0" w:space="0" w:color="auto"/>
      </w:divBdr>
    </w:div>
    <w:div w:id="936208629">
      <w:bodyDiv w:val="1"/>
      <w:marLeft w:val="0"/>
      <w:marRight w:val="0"/>
      <w:marTop w:val="0"/>
      <w:marBottom w:val="0"/>
      <w:divBdr>
        <w:top w:val="none" w:sz="0" w:space="0" w:color="auto"/>
        <w:left w:val="none" w:sz="0" w:space="0" w:color="auto"/>
        <w:bottom w:val="none" w:sz="0" w:space="0" w:color="auto"/>
        <w:right w:val="none" w:sz="0" w:space="0" w:color="auto"/>
      </w:divBdr>
    </w:div>
    <w:div w:id="937641792">
      <w:bodyDiv w:val="1"/>
      <w:marLeft w:val="0"/>
      <w:marRight w:val="0"/>
      <w:marTop w:val="0"/>
      <w:marBottom w:val="0"/>
      <w:divBdr>
        <w:top w:val="none" w:sz="0" w:space="0" w:color="auto"/>
        <w:left w:val="none" w:sz="0" w:space="0" w:color="auto"/>
        <w:bottom w:val="none" w:sz="0" w:space="0" w:color="auto"/>
        <w:right w:val="none" w:sz="0" w:space="0" w:color="auto"/>
      </w:divBdr>
    </w:div>
    <w:div w:id="939218636">
      <w:bodyDiv w:val="1"/>
      <w:marLeft w:val="0"/>
      <w:marRight w:val="0"/>
      <w:marTop w:val="0"/>
      <w:marBottom w:val="0"/>
      <w:divBdr>
        <w:top w:val="none" w:sz="0" w:space="0" w:color="auto"/>
        <w:left w:val="none" w:sz="0" w:space="0" w:color="auto"/>
        <w:bottom w:val="none" w:sz="0" w:space="0" w:color="auto"/>
        <w:right w:val="none" w:sz="0" w:space="0" w:color="auto"/>
      </w:divBdr>
    </w:div>
    <w:div w:id="939293334">
      <w:bodyDiv w:val="1"/>
      <w:marLeft w:val="0"/>
      <w:marRight w:val="0"/>
      <w:marTop w:val="0"/>
      <w:marBottom w:val="0"/>
      <w:divBdr>
        <w:top w:val="none" w:sz="0" w:space="0" w:color="auto"/>
        <w:left w:val="none" w:sz="0" w:space="0" w:color="auto"/>
        <w:bottom w:val="none" w:sz="0" w:space="0" w:color="auto"/>
        <w:right w:val="none" w:sz="0" w:space="0" w:color="auto"/>
      </w:divBdr>
    </w:div>
    <w:div w:id="939796874">
      <w:bodyDiv w:val="1"/>
      <w:marLeft w:val="0"/>
      <w:marRight w:val="0"/>
      <w:marTop w:val="0"/>
      <w:marBottom w:val="0"/>
      <w:divBdr>
        <w:top w:val="none" w:sz="0" w:space="0" w:color="auto"/>
        <w:left w:val="none" w:sz="0" w:space="0" w:color="auto"/>
        <w:bottom w:val="none" w:sz="0" w:space="0" w:color="auto"/>
        <w:right w:val="none" w:sz="0" w:space="0" w:color="auto"/>
      </w:divBdr>
    </w:div>
    <w:div w:id="939918090">
      <w:bodyDiv w:val="1"/>
      <w:marLeft w:val="0"/>
      <w:marRight w:val="0"/>
      <w:marTop w:val="0"/>
      <w:marBottom w:val="0"/>
      <w:divBdr>
        <w:top w:val="none" w:sz="0" w:space="0" w:color="auto"/>
        <w:left w:val="none" w:sz="0" w:space="0" w:color="auto"/>
        <w:bottom w:val="none" w:sz="0" w:space="0" w:color="auto"/>
        <w:right w:val="none" w:sz="0" w:space="0" w:color="auto"/>
      </w:divBdr>
    </w:div>
    <w:div w:id="940142542">
      <w:bodyDiv w:val="1"/>
      <w:marLeft w:val="0"/>
      <w:marRight w:val="0"/>
      <w:marTop w:val="0"/>
      <w:marBottom w:val="0"/>
      <w:divBdr>
        <w:top w:val="none" w:sz="0" w:space="0" w:color="auto"/>
        <w:left w:val="none" w:sz="0" w:space="0" w:color="auto"/>
        <w:bottom w:val="none" w:sz="0" w:space="0" w:color="auto"/>
        <w:right w:val="none" w:sz="0" w:space="0" w:color="auto"/>
      </w:divBdr>
    </w:div>
    <w:div w:id="940605358">
      <w:bodyDiv w:val="1"/>
      <w:marLeft w:val="0"/>
      <w:marRight w:val="0"/>
      <w:marTop w:val="0"/>
      <w:marBottom w:val="0"/>
      <w:divBdr>
        <w:top w:val="none" w:sz="0" w:space="0" w:color="auto"/>
        <w:left w:val="none" w:sz="0" w:space="0" w:color="auto"/>
        <w:bottom w:val="none" w:sz="0" w:space="0" w:color="auto"/>
        <w:right w:val="none" w:sz="0" w:space="0" w:color="auto"/>
      </w:divBdr>
    </w:div>
    <w:div w:id="941690362">
      <w:bodyDiv w:val="1"/>
      <w:marLeft w:val="0"/>
      <w:marRight w:val="0"/>
      <w:marTop w:val="0"/>
      <w:marBottom w:val="0"/>
      <w:divBdr>
        <w:top w:val="none" w:sz="0" w:space="0" w:color="auto"/>
        <w:left w:val="none" w:sz="0" w:space="0" w:color="auto"/>
        <w:bottom w:val="none" w:sz="0" w:space="0" w:color="auto"/>
        <w:right w:val="none" w:sz="0" w:space="0" w:color="auto"/>
      </w:divBdr>
    </w:div>
    <w:div w:id="941886332">
      <w:bodyDiv w:val="1"/>
      <w:marLeft w:val="0"/>
      <w:marRight w:val="0"/>
      <w:marTop w:val="0"/>
      <w:marBottom w:val="0"/>
      <w:divBdr>
        <w:top w:val="none" w:sz="0" w:space="0" w:color="auto"/>
        <w:left w:val="none" w:sz="0" w:space="0" w:color="auto"/>
        <w:bottom w:val="none" w:sz="0" w:space="0" w:color="auto"/>
        <w:right w:val="none" w:sz="0" w:space="0" w:color="auto"/>
      </w:divBdr>
    </w:div>
    <w:div w:id="942421121">
      <w:bodyDiv w:val="1"/>
      <w:marLeft w:val="0"/>
      <w:marRight w:val="0"/>
      <w:marTop w:val="0"/>
      <w:marBottom w:val="0"/>
      <w:divBdr>
        <w:top w:val="none" w:sz="0" w:space="0" w:color="auto"/>
        <w:left w:val="none" w:sz="0" w:space="0" w:color="auto"/>
        <w:bottom w:val="none" w:sz="0" w:space="0" w:color="auto"/>
        <w:right w:val="none" w:sz="0" w:space="0" w:color="auto"/>
      </w:divBdr>
    </w:div>
    <w:div w:id="943541278">
      <w:bodyDiv w:val="1"/>
      <w:marLeft w:val="0"/>
      <w:marRight w:val="0"/>
      <w:marTop w:val="0"/>
      <w:marBottom w:val="0"/>
      <w:divBdr>
        <w:top w:val="none" w:sz="0" w:space="0" w:color="auto"/>
        <w:left w:val="none" w:sz="0" w:space="0" w:color="auto"/>
        <w:bottom w:val="none" w:sz="0" w:space="0" w:color="auto"/>
        <w:right w:val="none" w:sz="0" w:space="0" w:color="auto"/>
      </w:divBdr>
    </w:div>
    <w:div w:id="943924289">
      <w:bodyDiv w:val="1"/>
      <w:marLeft w:val="0"/>
      <w:marRight w:val="0"/>
      <w:marTop w:val="0"/>
      <w:marBottom w:val="0"/>
      <w:divBdr>
        <w:top w:val="none" w:sz="0" w:space="0" w:color="auto"/>
        <w:left w:val="none" w:sz="0" w:space="0" w:color="auto"/>
        <w:bottom w:val="none" w:sz="0" w:space="0" w:color="auto"/>
        <w:right w:val="none" w:sz="0" w:space="0" w:color="auto"/>
      </w:divBdr>
    </w:div>
    <w:div w:id="944653424">
      <w:bodyDiv w:val="1"/>
      <w:marLeft w:val="0"/>
      <w:marRight w:val="0"/>
      <w:marTop w:val="0"/>
      <w:marBottom w:val="0"/>
      <w:divBdr>
        <w:top w:val="none" w:sz="0" w:space="0" w:color="auto"/>
        <w:left w:val="none" w:sz="0" w:space="0" w:color="auto"/>
        <w:bottom w:val="none" w:sz="0" w:space="0" w:color="auto"/>
        <w:right w:val="none" w:sz="0" w:space="0" w:color="auto"/>
      </w:divBdr>
    </w:div>
    <w:div w:id="945160872">
      <w:bodyDiv w:val="1"/>
      <w:marLeft w:val="0"/>
      <w:marRight w:val="0"/>
      <w:marTop w:val="0"/>
      <w:marBottom w:val="0"/>
      <w:divBdr>
        <w:top w:val="none" w:sz="0" w:space="0" w:color="auto"/>
        <w:left w:val="none" w:sz="0" w:space="0" w:color="auto"/>
        <w:bottom w:val="none" w:sz="0" w:space="0" w:color="auto"/>
        <w:right w:val="none" w:sz="0" w:space="0" w:color="auto"/>
      </w:divBdr>
    </w:div>
    <w:div w:id="945887183">
      <w:bodyDiv w:val="1"/>
      <w:marLeft w:val="0"/>
      <w:marRight w:val="0"/>
      <w:marTop w:val="0"/>
      <w:marBottom w:val="0"/>
      <w:divBdr>
        <w:top w:val="none" w:sz="0" w:space="0" w:color="auto"/>
        <w:left w:val="none" w:sz="0" w:space="0" w:color="auto"/>
        <w:bottom w:val="none" w:sz="0" w:space="0" w:color="auto"/>
        <w:right w:val="none" w:sz="0" w:space="0" w:color="auto"/>
      </w:divBdr>
    </w:div>
    <w:div w:id="946348060">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009625">
      <w:bodyDiv w:val="1"/>
      <w:marLeft w:val="0"/>
      <w:marRight w:val="0"/>
      <w:marTop w:val="0"/>
      <w:marBottom w:val="0"/>
      <w:divBdr>
        <w:top w:val="none" w:sz="0" w:space="0" w:color="auto"/>
        <w:left w:val="none" w:sz="0" w:space="0" w:color="auto"/>
        <w:bottom w:val="none" w:sz="0" w:space="0" w:color="auto"/>
        <w:right w:val="none" w:sz="0" w:space="0" w:color="auto"/>
      </w:divBdr>
    </w:div>
    <w:div w:id="948584174">
      <w:bodyDiv w:val="1"/>
      <w:marLeft w:val="0"/>
      <w:marRight w:val="0"/>
      <w:marTop w:val="0"/>
      <w:marBottom w:val="0"/>
      <w:divBdr>
        <w:top w:val="none" w:sz="0" w:space="0" w:color="auto"/>
        <w:left w:val="none" w:sz="0" w:space="0" w:color="auto"/>
        <w:bottom w:val="none" w:sz="0" w:space="0" w:color="auto"/>
        <w:right w:val="none" w:sz="0" w:space="0" w:color="auto"/>
      </w:divBdr>
    </w:div>
    <w:div w:id="948852813">
      <w:bodyDiv w:val="1"/>
      <w:marLeft w:val="0"/>
      <w:marRight w:val="0"/>
      <w:marTop w:val="0"/>
      <w:marBottom w:val="0"/>
      <w:divBdr>
        <w:top w:val="none" w:sz="0" w:space="0" w:color="auto"/>
        <w:left w:val="none" w:sz="0" w:space="0" w:color="auto"/>
        <w:bottom w:val="none" w:sz="0" w:space="0" w:color="auto"/>
        <w:right w:val="none" w:sz="0" w:space="0" w:color="auto"/>
      </w:divBdr>
    </w:div>
    <w:div w:id="949168311">
      <w:bodyDiv w:val="1"/>
      <w:marLeft w:val="0"/>
      <w:marRight w:val="0"/>
      <w:marTop w:val="0"/>
      <w:marBottom w:val="0"/>
      <w:divBdr>
        <w:top w:val="none" w:sz="0" w:space="0" w:color="auto"/>
        <w:left w:val="none" w:sz="0" w:space="0" w:color="auto"/>
        <w:bottom w:val="none" w:sz="0" w:space="0" w:color="auto"/>
        <w:right w:val="none" w:sz="0" w:space="0" w:color="auto"/>
      </w:divBdr>
    </w:div>
    <w:div w:id="949237636">
      <w:bodyDiv w:val="1"/>
      <w:marLeft w:val="0"/>
      <w:marRight w:val="0"/>
      <w:marTop w:val="0"/>
      <w:marBottom w:val="0"/>
      <w:divBdr>
        <w:top w:val="none" w:sz="0" w:space="0" w:color="auto"/>
        <w:left w:val="none" w:sz="0" w:space="0" w:color="auto"/>
        <w:bottom w:val="none" w:sz="0" w:space="0" w:color="auto"/>
        <w:right w:val="none" w:sz="0" w:space="0" w:color="auto"/>
      </w:divBdr>
    </w:div>
    <w:div w:id="949245309">
      <w:bodyDiv w:val="1"/>
      <w:marLeft w:val="0"/>
      <w:marRight w:val="0"/>
      <w:marTop w:val="0"/>
      <w:marBottom w:val="0"/>
      <w:divBdr>
        <w:top w:val="none" w:sz="0" w:space="0" w:color="auto"/>
        <w:left w:val="none" w:sz="0" w:space="0" w:color="auto"/>
        <w:bottom w:val="none" w:sz="0" w:space="0" w:color="auto"/>
        <w:right w:val="none" w:sz="0" w:space="0" w:color="auto"/>
      </w:divBdr>
    </w:div>
    <w:div w:id="949360921">
      <w:bodyDiv w:val="1"/>
      <w:marLeft w:val="0"/>
      <w:marRight w:val="0"/>
      <w:marTop w:val="0"/>
      <w:marBottom w:val="0"/>
      <w:divBdr>
        <w:top w:val="none" w:sz="0" w:space="0" w:color="auto"/>
        <w:left w:val="none" w:sz="0" w:space="0" w:color="auto"/>
        <w:bottom w:val="none" w:sz="0" w:space="0" w:color="auto"/>
        <w:right w:val="none" w:sz="0" w:space="0" w:color="auto"/>
      </w:divBdr>
    </w:div>
    <w:div w:id="949554153">
      <w:bodyDiv w:val="1"/>
      <w:marLeft w:val="0"/>
      <w:marRight w:val="0"/>
      <w:marTop w:val="0"/>
      <w:marBottom w:val="0"/>
      <w:divBdr>
        <w:top w:val="none" w:sz="0" w:space="0" w:color="auto"/>
        <w:left w:val="none" w:sz="0" w:space="0" w:color="auto"/>
        <w:bottom w:val="none" w:sz="0" w:space="0" w:color="auto"/>
        <w:right w:val="none" w:sz="0" w:space="0" w:color="auto"/>
      </w:divBdr>
    </w:div>
    <w:div w:id="949706332">
      <w:bodyDiv w:val="1"/>
      <w:marLeft w:val="0"/>
      <w:marRight w:val="0"/>
      <w:marTop w:val="0"/>
      <w:marBottom w:val="0"/>
      <w:divBdr>
        <w:top w:val="none" w:sz="0" w:space="0" w:color="auto"/>
        <w:left w:val="none" w:sz="0" w:space="0" w:color="auto"/>
        <w:bottom w:val="none" w:sz="0" w:space="0" w:color="auto"/>
        <w:right w:val="none" w:sz="0" w:space="0" w:color="auto"/>
      </w:divBdr>
    </w:div>
    <w:div w:id="950471761">
      <w:bodyDiv w:val="1"/>
      <w:marLeft w:val="0"/>
      <w:marRight w:val="0"/>
      <w:marTop w:val="0"/>
      <w:marBottom w:val="0"/>
      <w:divBdr>
        <w:top w:val="none" w:sz="0" w:space="0" w:color="auto"/>
        <w:left w:val="none" w:sz="0" w:space="0" w:color="auto"/>
        <w:bottom w:val="none" w:sz="0" w:space="0" w:color="auto"/>
        <w:right w:val="none" w:sz="0" w:space="0" w:color="auto"/>
      </w:divBdr>
    </w:div>
    <w:div w:id="950551847">
      <w:bodyDiv w:val="1"/>
      <w:marLeft w:val="0"/>
      <w:marRight w:val="0"/>
      <w:marTop w:val="0"/>
      <w:marBottom w:val="0"/>
      <w:divBdr>
        <w:top w:val="none" w:sz="0" w:space="0" w:color="auto"/>
        <w:left w:val="none" w:sz="0" w:space="0" w:color="auto"/>
        <w:bottom w:val="none" w:sz="0" w:space="0" w:color="auto"/>
        <w:right w:val="none" w:sz="0" w:space="0" w:color="auto"/>
      </w:divBdr>
    </w:div>
    <w:div w:id="950817212">
      <w:bodyDiv w:val="1"/>
      <w:marLeft w:val="0"/>
      <w:marRight w:val="0"/>
      <w:marTop w:val="0"/>
      <w:marBottom w:val="0"/>
      <w:divBdr>
        <w:top w:val="none" w:sz="0" w:space="0" w:color="auto"/>
        <w:left w:val="none" w:sz="0" w:space="0" w:color="auto"/>
        <w:bottom w:val="none" w:sz="0" w:space="0" w:color="auto"/>
        <w:right w:val="none" w:sz="0" w:space="0" w:color="auto"/>
      </w:divBdr>
    </w:div>
    <w:div w:id="950823795">
      <w:bodyDiv w:val="1"/>
      <w:marLeft w:val="0"/>
      <w:marRight w:val="0"/>
      <w:marTop w:val="0"/>
      <w:marBottom w:val="0"/>
      <w:divBdr>
        <w:top w:val="none" w:sz="0" w:space="0" w:color="auto"/>
        <w:left w:val="none" w:sz="0" w:space="0" w:color="auto"/>
        <w:bottom w:val="none" w:sz="0" w:space="0" w:color="auto"/>
        <w:right w:val="none" w:sz="0" w:space="0" w:color="auto"/>
      </w:divBdr>
    </w:div>
    <w:div w:id="951520921">
      <w:bodyDiv w:val="1"/>
      <w:marLeft w:val="0"/>
      <w:marRight w:val="0"/>
      <w:marTop w:val="0"/>
      <w:marBottom w:val="0"/>
      <w:divBdr>
        <w:top w:val="none" w:sz="0" w:space="0" w:color="auto"/>
        <w:left w:val="none" w:sz="0" w:space="0" w:color="auto"/>
        <w:bottom w:val="none" w:sz="0" w:space="0" w:color="auto"/>
        <w:right w:val="none" w:sz="0" w:space="0" w:color="auto"/>
      </w:divBdr>
    </w:div>
    <w:div w:id="951546284">
      <w:bodyDiv w:val="1"/>
      <w:marLeft w:val="0"/>
      <w:marRight w:val="0"/>
      <w:marTop w:val="0"/>
      <w:marBottom w:val="0"/>
      <w:divBdr>
        <w:top w:val="none" w:sz="0" w:space="0" w:color="auto"/>
        <w:left w:val="none" w:sz="0" w:space="0" w:color="auto"/>
        <w:bottom w:val="none" w:sz="0" w:space="0" w:color="auto"/>
        <w:right w:val="none" w:sz="0" w:space="0" w:color="auto"/>
      </w:divBdr>
    </w:div>
    <w:div w:id="951666201">
      <w:bodyDiv w:val="1"/>
      <w:marLeft w:val="0"/>
      <w:marRight w:val="0"/>
      <w:marTop w:val="0"/>
      <w:marBottom w:val="0"/>
      <w:divBdr>
        <w:top w:val="none" w:sz="0" w:space="0" w:color="auto"/>
        <w:left w:val="none" w:sz="0" w:space="0" w:color="auto"/>
        <w:bottom w:val="none" w:sz="0" w:space="0" w:color="auto"/>
        <w:right w:val="none" w:sz="0" w:space="0" w:color="auto"/>
      </w:divBdr>
    </w:div>
    <w:div w:id="951743401">
      <w:bodyDiv w:val="1"/>
      <w:marLeft w:val="0"/>
      <w:marRight w:val="0"/>
      <w:marTop w:val="0"/>
      <w:marBottom w:val="0"/>
      <w:divBdr>
        <w:top w:val="none" w:sz="0" w:space="0" w:color="auto"/>
        <w:left w:val="none" w:sz="0" w:space="0" w:color="auto"/>
        <w:bottom w:val="none" w:sz="0" w:space="0" w:color="auto"/>
        <w:right w:val="none" w:sz="0" w:space="0" w:color="auto"/>
      </w:divBdr>
    </w:div>
    <w:div w:id="951786729">
      <w:bodyDiv w:val="1"/>
      <w:marLeft w:val="0"/>
      <w:marRight w:val="0"/>
      <w:marTop w:val="0"/>
      <w:marBottom w:val="0"/>
      <w:divBdr>
        <w:top w:val="none" w:sz="0" w:space="0" w:color="auto"/>
        <w:left w:val="none" w:sz="0" w:space="0" w:color="auto"/>
        <w:bottom w:val="none" w:sz="0" w:space="0" w:color="auto"/>
        <w:right w:val="none" w:sz="0" w:space="0" w:color="auto"/>
      </w:divBdr>
    </w:div>
    <w:div w:id="952126919">
      <w:bodyDiv w:val="1"/>
      <w:marLeft w:val="0"/>
      <w:marRight w:val="0"/>
      <w:marTop w:val="0"/>
      <w:marBottom w:val="0"/>
      <w:divBdr>
        <w:top w:val="none" w:sz="0" w:space="0" w:color="auto"/>
        <w:left w:val="none" w:sz="0" w:space="0" w:color="auto"/>
        <w:bottom w:val="none" w:sz="0" w:space="0" w:color="auto"/>
        <w:right w:val="none" w:sz="0" w:space="0" w:color="auto"/>
      </w:divBdr>
    </w:div>
    <w:div w:id="952832484">
      <w:bodyDiv w:val="1"/>
      <w:marLeft w:val="0"/>
      <w:marRight w:val="0"/>
      <w:marTop w:val="0"/>
      <w:marBottom w:val="0"/>
      <w:divBdr>
        <w:top w:val="none" w:sz="0" w:space="0" w:color="auto"/>
        <w:left w:val="none" w:sz="0" w:space="0" w:color="auto"/>
        <w:bottom w:val="none" w:sz="0" w:space="0" w:color="auto"/>
        <w:right w:val="none" w:sz="0" w:space="0" w:color="auto"/>
      </w:divBdr>
    </w:div>
    <w:div w:id="952982862">
      <w:bodyDiv w:val="1"/>
      <w:marLeft w:val="0"/>
      <w:marRight w:val="0"/>
      <w:marTop w:val="0"/>
      <w:marBottom w:val="0"/>
      <w:divBdr>
        <w:top w:val="none" w:sz="0" w:space="0" w:color="auto"/>
        <w:left w:val="none" w:sz="0" w:space="0" w:color="auto"/>
        <w:bottom w:val="none" w:sz="0" w:space="0" w:color="auto"/>
        <w:right w:val="none" w:sz="0" w:space="0" w:color="auto"/>
      </w:divBdr>
    </w:div>
    <w:div w:id="953485959">
      <w:bodyDiv w:val="1"/>
      <w:marLeft w:val="0"/>
      <w:marRight w:val="0"/>
      <w:marTop w:val="0"/>
      <w:marBottom w:val="0"/>
      <w:divBdr>
        <w:top w:val="none" w:sz="0" w:space="0" w:color="auto"/>
        <w:left w:val="none" w:sz="0" w:space="0" w:color="auto"/>
        <w:bottom w:val="none" w:sz="0" w:space="0" w:color="auto"/>
        <w:right w:val="none" w:sz="0" w:space="0" w:color="auto"/>
      </w:divBdr>
    </w:div>
    <w:div w:id="953514450">
      <w:bodyDiv w:val="1"/>
      <w:marLeft w:val="0"/>
      <w:marRight w:val="0"/>
      <w:marTop w:val="0"/>
      <w:marBottom w:val="0"/>
      <w:divBdr>
        <w:top w:val="none" w:sz="0" w:space="0" w:color="auto"/>
        <w:left w:val="none" w:sz="0" w:space="0" w:color="auto"/>
        <w:bottom w:val="none" w:sz="0" w:space="0" w:color="auto"/>
        <w:right w:val="none" w:sz="0" w:space="0" w:color="auto"/>
      </w:divBdr>
    </w:div>
    <w:div w:id="954796491">
      <w:bodyDiv w:val="1"/>
      <w:marLeft w:val="0"/>
      <w:marRight w:val="0"/>
      <w:marTop w:val="0"/>
      <w:marBottom w:val="0"/>
      <w:divBdr>
        <w:top w:val="none" w:sz="0" w:space="0" w:color="auto"/>
        <w:left w:val="none" w:sz="0" w:space="0" w:color="auto"/>
        <w:bottom w:val="none" w:sz="0" w:space="0" w:color="auto"/>
        <w:right w:val="none" w:sz="0" w:space="0" w:color="auto"/>
      </w:divBdr>
    </w:div>
    <w:div w:id="955327088">
      <w:bodyDiv w:val="1"/>
      <w:marLeft w:val="0"/>
      <w:marRight w:val="0"/>
      <w:marTop w:val="0"/>
      <w:marBottom w:val="0"/>
      <w:divBdr>
        <w:top w:val="none" w:sz="0" w:space="0" w:color="auto"/>
        <w:left w:val="none" w:sz="0" w:space="0" w:color="auto"/>
        <w:bottom w:val="none" w:sz="0" w:space="0" w:color="auto"/>
        <w:right w:val="none" w:sz="0" w:space="0" w:color="auto"/>
      </w:divBdr>
    </w:div>
    <w:div w:id="955872822">
      <w:bodyDiv w:val="1"/>
      <w:marLeft w:val="0"/>
      <w:marRight w:val="0"/>
      <w:marTop w:val="0"/>
      <w:marBottom w:val="0"/>
      <w:divBdr>
        <w:top w:val="none" w:sz="0" w:space="0" w:color="auto"/>
        <w:left w:val="none" w:sz="0" w:space="0" w:color="auto"/>
        <w:bottom w:val="none" w:sz="0" w:space="0" w:color="auto"/>
        <w:right w:val="none" w:sz="0" w:space="0" w:color="auto"/>
      </w:divBdr>
    </w:div>
    <w:div w:id="955914304">
      <w:bodyDiv w:val="1"/>
      <w:marLeft w:val="0"/>
      <w:marRight w:val="0"/>
      <w:marTop w:val="0"/>
      <w:marBottom w:val="0"/>
      <w:divBdr>
        <w:top w:val="none" w:sz="0" w:space="0" w:color="auto"/>
        <w:left w:val="none" w:sz="0" w:space="0" w:color="auto"/>
        <w:bottom w:val="none" w:sz="0" w:space="0" w:color="auto"/>
        <w:right w:val="none" w:sz="0" w:space="0" w:color="auto"/>
      </w:divBdr>
    </w:div>
    <w:div w:id="956133574">
      <w:bodyDiv w:val="1"/>
      <w:marLeft w:val="0"/>
      <w:marRight w:val="0"/>
      <w:marTop w:val="0"/>
      <w:marBottom w:val="0"/>
      <w:divBdr>
        <w:top w:val="none" w:sz="0" w:space="0" w:color="auto"/>
        <w:left w:val="none" w:sz="0" w:space="0" w:color="auto"/>
        <w:bottom w:val="none" w:sz="0" w:space="0" w:color="auto"/>
        <w:right w:val="none" w:sz="0" w:space="0" w:color="auto"/>
      </w:divBdr>
    </w:div>
    <w:div w:id="956330007">
      <w:bodyDiv w:val="1"/>
      <w:marLeft w:val="0"/>
      <w:marRight w:val="0"/>
      <w:marTop w:val="0"/>
      <w:marBottom w:val="0"/>
      <w:divBdr>
        <w:top w:val="none" w:sz="0" w:space="0" w:color="auto"/>
        <w:left w:val="none" w:sz="0" w:space="0" w:color="auto"/>
        <w:bottom w:val="none" w:sz="0" w:space="0" w:color="auto"/>
        <w:right w:val="none" w:sz="0" w:space="0" w:color="auto"/>
      </w:divBdr>
    </w:div>
    <w:div w:id="956528785">
      <w:bodyDiv w:val="1"/>
      <w:marLeft w:val="0"/>
      <w:marRight w:val="0"/>
      <w:marTop w:val="0"/>
      <w:marBottom w:val="0"/>
      <w:divBdr>
        <w:top w:val="none" w:sz="0" w:space="0" w:color="auto"/>
        <w:left w:val="none" w:sz="0" w:space="0" w:color="auto"/>
        <w:bottom w:val="none" w:sz="0" w:space="0" w:color="auto"/>
        <w:right w:val="none" w:sz="0" w:space="0" w:color="auto"/>
      </w:divBdr>
    </w:div>
    <w:div w:id="956720642">
      <w:bodyDiv w:val="1"/>
      <w:marLeft w:val="0"/>
      <w:marRight w:val="0"/>
      <w:marTop w:val="0"/>
      <w:marBottom w:val="0"/>
      <w:divBdr>
        <w:top w:val="none" w:sz="0" w:space="0" w:color="auto"/>
        <w:left w:val="none" w:sz="0" w:space="0" w:color="auto"/>
        <w:bottom w:val="none" w:sz="0" w:space="0" w:color="auto"/>
        <w:right w:val="none" w:sz="0" w:space="0" w:color="auto"/>
      </w:divBdr>
    </w:div>
    <w:div w:id="956761219">
      <w:bodyDiv w:val="1"/>
      <w:marLeft w:val="0"/>
      <w:marRight w:val="0"/>
      <w:marTop w:val="0"/>
      <w:marBottom w:val="0"/>
      <w:divBdr>
        <w:top w:val="none" w:sz="0" w:space="0" w:color="auto"/>
        <w:left w:val="none" w:sz="0" w:space="0" w:color="auto"/>
        <w:bottom w:val="none" w:sz="0" w:space="0" w:color="auto"/>
        <w:right w:val="none" w:sz="0" w:space="0" w:color="auto"/>
      </w:divBdr>
    </w:div>
    <w:div w:id="956762351">
      <w:bodyDiv w:val="1"/>
      <w:marLeft w:val="0"/>
      <w:marRight w:val="0"/>
      <w:marTop w:val="0"/>
      <w:marBottom w:val="0"/>
      <w:divBdr>
        <w:top w:val="none" w:sz="0" w:space="0" w:color="auto"/>
        <w:left w:val="none" w:sz="0" w:space="0" w:color="auto"/>
        <w:bottom w:val="none" w:sz="0" w:space="0" w:color="auto"/>
        <w:right w:val="none" w:sz="0" w:space="0" w:color="auto"/>
      </w:divBdr>
    </w:div>
    <w:div w:id="956792567">
      <w:bodyDiv w:val="1"/>
      <w:marLeft w:val="0"/>
      <w:marRight w:val="0"/>
      <w:marTop w:val="0"/>
      <w:marBottom w:val="0"/>
      <w:divBdr>
        <w:top w:val="none" w:sz="0" w:space="0" w:color="auto"/>
        <w:left w:val="none" w:sz="0" w:space="0" w:color="auto"/>
        <w:bottom w:val="none" w:sz="0" w:space="0" w:color="auto"/>
        <w:right w:val="none" w:sz="0" w:space="0" w:color="auto"/>
      </w:divBdr>
    </w:div>
    <w:div w:id="956987369">
      <w:bodyDiv w:val="1"/>
      <w:marLeft w:val="0"/>
      <w:marRight w:val="0"/>
      <w:marTop w:val="0"/>
      <w:marBottom w:val="0"/>
      <w:divBdr>
        <w:top w:val="none" w:sz="0" w:space="0" w:color="auto"/>
        <w:left w:val="none" w:sz="0" w:space="0" w:color="auto"/>
        <w:bottom w:val="none" w:sz="0" w:space="0" w:color="auto"/>
        <w:right w:val="none" w:sz="0" w:space="0" w:color="auto"/>
      </w:divBdr>
    </w:div>
    <w:div w:id="957492851">
      <w:bodyDiv w:val="1"/>
      <w:marLeft w:val="0"/>
      <w:marRight w:val="0"/>
      <w:marTop w:val="0"/>
      <w:marBottom w:val="0"/>
      <w:divBdr>
        <w:top w:val="none" w:sz="0" w:space="0" w:color="auto"/>
        <w:left w:val="none" w:sz="0" w:space="0" w:color="auto"/>
        <w:bottom w:val="none" w:sz="0" w:space="0" w:color="auto"/>
        <w:right w:val="none" w:sz="0" w:space="0" w:color="auto"/>
      </w:divBdr>
    </w:div>
    <w:div w:id="957562201">
      <w:bodyDiv w:val="1"/>
      <w:marLeft w:val="0"/>
      <w:marRight w:val="0"/>
      <w:marTop w:val="0"/>
      <w:marBottom w:val="0"/>
      <w:divBdr>
        <w:top w:val="none" w:sz="0" w:space="0" w:color="auto"/>
        <w:left w:val="none" w:sz="0" w:space="0" w:color="auto"/>
        <w:bottom w:val="none" w:sz="0" w:space="0" w:color="auto"/>
        <w:right w:val="none" w:sz="0" w:space="0" w:color="auto"/>
      </w:divBdr>
    </w:div>
    <w:div w:id="957565931">
      <w:bodyDiv w:val="1"/>
      <w:marLeft w:val="0"/>
      <w:marRight w:val="0"/>
      <w:marTop w:val="0"/>
      <w:marBottom w:val="0"/>
      <w:divBdr>
        <w:top w:val="none" w:sz="0" w:space="0" w:color="auto"/>
        <w:left w:val="none" w:sz="0" w:space="0" w:color="auto"/>
        <w:bottom w:val="none" w:sz="0" w:space="0" w:color="auto"/>
        <w:right w:val="none" w:sz="0" w:space="0" w:color="auto"/>
      </w:divBdr>
    </w:div>
    <w:div w:id="957948737">
      <w:bodyDiv w:val="1"/>
      <w:marLeft w:val="0"/>
      <w:marRight w:val="0"/>
      <w:marTop w:val="0"/>
      <w:marBottom w:val="0"/>
      <w:divBdr>
        <w:top w:val="none" w:sz="0" w:space="0" w:color="auto"/>
        <w:left w:val="none" w:sz="0" w:space="0" w:color="auto"/>
        <w:bottom w:val="none" w:sz="0" w:space="0" w:color="auto"/>
        <w:right w:val="none" w:sz="0" w:space="0" w:color="auto"/>
      </w:divBdr>
    </w:div>
    <w:div w:id="958339795">
      <w:bodyDiv w:val="1"/>
      <w:marLeft w:val="0"/>
      <w:marRight w:val="0"/>
      <w:marTop w:val="0"/>
      <w:marBottom w:val="0"/>
      <w:divBdr>
        <w:top w:val="none" w:sz="0" w:space="0" w:color="auto"/>
        <w:left w:val="none" w:sz="0" w:space="0" w:color="auto"/>
        <w:bottom w:val="none" w:sz="0" w:space="0" w:color="auto"/>
        <w:right w:val="none" w:sz="0" w:space="0" w:color="auto"/>
      </w:divBdr>
    </w:div>
    <w:div w:id="958612857">
      <w:bodyDiv w:val="1"/>
      <w:marLeft w:val="0"/>
      <w:marRight w:val="0"/>
      <w:marTop w:val="0"/>
      <w:marBottom w:val="0"/>
      <w:divBdr>
        <w:top w:val="none" w:sz="0" w:space="0" w:color="auto"/>
        <w:left w:val="none" w:sz="0" w:space="0" w:color="auto"/>
        <w:bottom w:val="none" w:sz="0" w:space="0" w:color="auto"/>
        <w:right w:val="none" w:sz="0" w:space="0" w:color="auto"/>
      </w:divBdr>
    </w:div>
    <w:div w:id="958802308">
      <w:bodyDiv w:val="1"/>
      <w:marLeft w:val="0"/>
      <w:marRight w:val="0"/>
      <w:marTop w:val="0"/>
      <w:marBottom w:val="0"/>
      <w:divBdr>
        <w:top w:val="none" w:sz="0" w:space="0" w:color="auto"/>
        <w:left w:val="none" w:sz="0" w:space="0" w:color="auto"/>
        <w:bottom w:val="none" w:sz="0" w:space="0" w:color="auto"/>
        <w:right w:val="none" w:sz="0" w:space="0" w:color="auto"/>
      </w:divBdr>
    </w:div>
    <w:div w:id="958878045">
      <w:bodyDiv w:val="1"/>
      <w:marLeft w:val="0"/>
      <w:marRight w:val="0"/>
      <w:marTop w:val="0"/>
      <w:marBottom w:val="0"/>
      <w:divBdr>
        <w:top w:val="none" w:sz="0" w:space="0" w:color="auto"/>
        <w:left w:val="none" w:sz="0" w:space="0" w:color="auto"/>
        <w:bottom w:val="none" w:sz="0" w:space="0" w:color="auto"/>
        <w:right w:val="none" w:sz="0" w:space="0" w:color="auto"/>
      </w:divBdr>
    </w:div>
    <w:div w:id="959340288">
      <w:bodyDiv w:val="1"/>
      <w:marLeft w:val="0"/>
      <w:marRight w:val="0"/>
      <w:marTop w:val="0"/>
      <w:marBottom w:val="0"/>
      <w:divBdr>
        <w:top w:val="none" w:sz="0" w:space="0" w:color="auto"/>
        <w:left w:val="none" w:sz="0" w:space="0" w:color="auto"/>
        <w:bottom w:val="none" w:sz="0" w:space="0" w:color="auto"/>
        <w:right w:val="none" w:sz="0" w:space="0" w:color="auto"/>
      </w:divBdr>
    </w:div>
    <w:div w:id="959530988">
      <w:bodyDiv w:val="1"/>
      <w:marLeft w:val="0"/>
      <w:marRight w:val="0"/>
      <w:marTop w:val="0"/>
      <w:marBottom w:val="0"/>
      <w:divBdr>
        <w:top w:val="none" w:sz="0" w:space="0" w:color="auto"/>
        <w:left w:val="none" w:sz="0" w:space="0" w:color="auto"/>
        <w:bottom w:val="none" w:sz="0" w:space="0" w:color="auto"/>
        <w:right w:val="none" w:sz="0" w:space="0" w:color="auto"/>
      </w:divBdr>
    </w:div>
    <w:div w:id="959603078">
      <w:bodyDiv w:val="1"/>
      <w:marLeft w:val="0"/>
      <w:marRight w:val="0"/>
      <w:marTop w:val="0"/>
      <w:marBottom w:val="0"/>
      <w:divBdr>
        <w:top w:val="none" w:sz="0" w:space="0" w:color="auto"/>
        <w:left w:val="none" w:sz="0" w:space="0" w:color="auto"/>
        <w:bottom w:val="none" w:sz="0" w:space="0" w:color="auto"/>
        <w:right w:val="none" w:sz="0" w:space="0" w:color="auto"/>
      </w:divBdr>
    </w:div>
    <w:div w:id="960233639">
      <w:bodyDiv w:val="1"/>
      <w:marLeft w:val="0"/>
      <w:marRight w:val="0"/>
      <w:marTop w:val="0"/>
      <w:marBottom w:val="0"/>
      <w:divBdr>
        <w:top w:val="none" w:sz="0" w:space="0" w:color="auto"/>
        <w:left w:val="none" w:sz="0" w:space="0" w:color="auto"/>
        <w:bottom w:val="none" w:sz="0" w:space="0" w:color="auto"/>
        <w:right w:val="none" w:sz="0" w:space="0" w:color="auto"/>
      </w:divBdr>
    </w:div>
    <w:div w:id="960889184">
      <w:bodyDiv w:val="1"/>
      <w:marLeft w:val="0"/>
      <w:marRight w:val="0"/>
      <w:marTop w:val="0"/>
      <w:marBottom w:val="0"/>
      <w:divBdr>
        <w:top w:val="none" w:sz="0" w:space="0" w:color="auto"/>
        <w:left w:val="none" w:sz="0" w:space="0" w:color="auto"/>
        <w:bottom w:val="none" w:sz="0" w:space="0" w:color="auto"/>
        <w:right w:val="none" w:sz="0" w:space="0" w:color="auto"/>
      </w:divBdr>
    </w:div>
    <w:div w:id="960889236">
      <w:bodyDiv w:val="1"/>
      <w:marLeft w:val="0"/>
      <w:marRight w:val="0"/>
      <w:marTop w:val="0"/>
      <w:marBottom w:val="0"/>
      <w:divBdr>
        <w:top w:val="none" w:sz="0" w:space="0" w:color="auto"/>
        <w:left w:val="none" w:sz="0" w:space="0" w:color="auto"/>
        <w:bottom w:val="none" w:sz="0" w:space="0" w:color="auto"/>
        <w:right w:val="none" w:sz="0" w:space="0" w:color="auto"/>
      </w:divBdr>
    </w:div>
    <w:div w:id="960920375">
      <w:bodyDiv w:val="1"/>
      <w:marLeft w:val="0"/>
      <w:marRight w:val="0"/>
      <w:marTop w:val="0"/>
      <w:marBottom w:val="0"/>
      <w:divBdr>
        <w:top w:val="none" w:sz="0" w:space="0" w:color="auto"/>
        <w:left w:val="none" w:sz="0" w:space="0" w:color="auto"/>
        <w:bottom w:val="none" w:sz="0" w:space="0" w:color="auto"/>
        <w:right w:val="none" w:sz="0" w:space="0" w:color="auto"/>
      </w:divBdr>
    </w:div>
    <w:div w:id="961958597">
      <w:bodyDiv w:val="1"/>
      <w:marLeft w:val="0"/>
      <w:marRight w:val="0"/>
      <w:marTop w:val="0"/>
      <w:marBottom w:val="0"/>
      <w:divBdr>
        <w:top w:val="none" w:sz="0" w:space="0" w:color="auto"/>
        <w:left w:val="none" w:sz="0" w:space="0" w:color="auto"/>
        <w:bottom w:val="none" w:sz="0" w:space="0" w:color="auto"/>
        <w:right w:val="none" w:sz="0" w:space="0" w:color="auto"/>
      </w:divBdr>
    </w:div>
    <w:div w:id="961963639">
      <w:bodyDiv w:val="1"/>
      <w:marLeft w:val="0"/>
      <w:marRight w:val="0"/>
      <w:marTop w:val="0"/>
      <w:marBottom w:val="0"/>
      <w:divBdr>
        <w:top w:val="none" w:sz="0" w:space="0" w:color="auto"/>
        <w:left w:val="none" w:sz="0" w:space="0" w:color="auto"/>
        <w:bottom w:val="none" w:sz="0" w:space="0" w:color="auto"/>
        <w:right w:val="none" w:sz="0" w:space="0" w:color="auto"/>
      </w:divBdr>
    </w:div>
    <w:div w:id="962467001">
      <w:bodyDiv w:val="1"/>
      <w:marLeft w:val="0"/>
      <w:marRight w:val="0"/>
      <w:marTop w:val="0"/>
      <w:marBottom w:val="0"/>
      <w:divBdr>
        <w:top w:val="none" w:sz="0" w:space="0" w:color="auto"/>
        <w:left w:val="none" w:sz="0" w:space="0" w:color="auto"/>
        <w:bottom w:val="none" w:sz="0" w:space="0" w:color="auto"/>
        <w:right w:val="none" w:sz="0" w:space="0" w:color="auto"/>
      </w:divBdr>
    </w:div>
    <w:div w:id="962619939">
      <w:bodyDiv w:val="1"/>
      <w:marLeft w:val="0"/>
      <w:marRight w:val="0"/>
      <w:marTop w:val="0"/>
      <w:marBottom w:val="0"/>
      <w:divBdr>
        <w:top w:val="none" w:sz="0" w:space="0" w:color="auto"/>
        <w:left w:val="none" w:sz="0" w:space="0" w:color="auto"/>
        <w:bottom w:val="none" w:sz="0" w:space="0" w:color="auto"/>
        <w:right w:val="none" w:sz="0" w:space="0" w:color="auto"/>
      </w:divBdr>
    </w:div>
    <w:div w:id="962733399">
      <w:bodyDiv w:val="1"/>
      <w:marLeft w:val="0"/>
      <w:marRight w:val="0"/>
      <w:marTop w:val="0"/>
      <w:marBottom w:val="0"/>
      <w:divBdr>
        <w:top w:val="none" w:sz="0" w:space="0" w:color="auto"/>
        <w:left w:val="none" w:sz="0" w:space="0" w:color="auto"/>
        <w:bottom w:val="none" w:sz="0" w:space="0" w:color="auto"/>
        <w:right w:val="none" w:sz="0" w:space="0" w:color="auto"/>
      </w:divBdr>
    </w:div>
    <w:div w:id="962882225">
      <w:bodyDiv w:val="1"/>
      <w:marLeft w:val="0"/>
      <w:marRight w:val="0"/>
      <w:marTop w:val="0"/>
      <w:marBottom w:val="0"/>
      <w:divBdr>
        <w:top w:val="none" w:sz="0" w:space="0" w:color="auto"/>
        <w:left w:val="none" w:sz="0" w:space="0" w:color="auto"/>
        <w:bottom w:val="none" w:sz="0" w:space="0" w:color="auto"/>
        <w:right w:val="none" w:sz="0" w:space="0" w:color="auto"/>
      </w:divBdr>
    </w:div>
    <w:div w:id="962884686">
      <w:bodyDiv w:val="1"/>
      <w:marLeft w:val="0"/>
      <w:marRight w:val="0"/>
      <w:marTop w:val="0"/>
      <w:marBottom w:val="0"/>
      <w:divBdr>
        <w:top w:val="none" w:sz="0" w:space="0" w:color="auto"/>
        <w:left w:val="none" w:sz="0" w:space="0" w:color="auto"/>
        <w:bottom w:val="none" w:sz="0" w:space="0" w:color="auto"/>
        <w:right w:val="none" w:sz="0" w:space="0" w:color="auto"/>
      </w:divBdr>
    </w:div>
    <w:div w:id="963195211">
      <w:bodyDiv w:val="1"/>
      <w:marLeft w:val="0"/>
      <w:marRight w:val="0"/>
      <w:marTop w:val="0"/>
      <w:marBottom w:val="0"/>
      <w:divBdr>
        <w:top w:val="none" w:sz="0" w:space="0" w:color="auto"/>
        <w:left w:val="none" w:sz="0" w:space="0" w:color="auto"/>
        <w:bottom w:val="none" w:sz="0" w:space="0" w:color="auto"/>
        <w:right w:val="none" w:sz="0" w:space="0" w:color="auto"/>
      </w:divBdr>
    </w:div>
    <w:div w:id="964625304">
      <w:bodyDiv w:val="1"/>
      <w:marLeft w:val="0"/>
      <w:marRight w:val="0"/>
      <w:marTop w:val="0"/>
      <w:marBottom w:val="0"/>
      <w:divBdr>
        <w:top w:val="none" w:sz="0" w:space="0" w:color="auto"/>
        <w:left w:val="none" w:sz="0" w:space="0" w:color="auto"/>
        <w:bottom w:val="none" w:sz="0" w:space="0" w:color="auto"/>
        <w:right w:val="none" w:sz="0" w:space="0" w:color="auto"/>
      </w:divBdr>
    </w:div>
    <w:div w:id="965156032">
      <w:bodyDiv w:val="1"/>
      <w:marLeft w:val="0"/>
      <w:marRight w:val="0"/>
      <w:marTop w:val="0"/>
      <w:marBottom w:val="0"/>
      <w:divBdr>
        <w:top w:val="none" w:sz="0" w:space="0" w:color="auto"/>
        <w:left w:val="none" w:sz="0" w:space="0" w:color="auto"/>
        <w:bottom w:val="none" w:sz="0" w:space="0" w:color="auto"/>
        <w:right w:val="none" w:sz="0" w:space="0" w:color="auto"/>
      </w:divBdr>
    </w:div>
    <w:div w:id="965306771">
      <w:bodyDiv w:val="1"/>
      <w:marLeft w:val="0"/>
      <w:marRight w:val="0"/>
      <w:marTop w:val="0"/>
      <w:marBottom w:val="0"/>
      <w:divBdr>
        <w:top w:val="none" w:sz="0" w:space="0" w:color="auto"/>
        <w:left w:val="none" w:sz="0" w:space="0" w:color="auto"/>
        <w:bottom w:val="none" w:sz="0" w:space="0" w:color="auto"/>
        <w:right w:val="none" w:sz="0" w:space="0" w:color="auto"/>
      </w:divBdr>
    </w:div>
    <w:div w:id="965357821">
      <w:bodyDiv w:val="1"/>
      <w:marLeft w:val="0"/>
      <w:marRight w:val="0"/>
      <w:marTop w:val="0"/>
      <w:marBottom w:val="0"/>
      <w:divBdr>
        <w:top w:val="none" w:sz="0" w:space="0" w:color="auto"/>
        <w:left w:val="none" w:sz="0" w:space="0" w:color="auto"/>
        <w:bottom w:val="none" w:sz="0" w:space="0" w:color="auto"/>
        <w:right w:val="none" w:sz="0" w:space="0" w:color="auto"/>
      </w:divBdr>
    </w:div>
    <w:div w:id="965508001">
      <w:bodyDiv w:val="1"/>
      <w:marLeft w:val="0"/>
      <w:marRight w:val="0"/>
      <w:marTop w:val="0"/>
      <w:marBottom w:val="0"/>
      <w:divBdr>
        <w:top w:val="none" w:sz="0" w:space="0" w:color="auto"/>
        <w:left w:val="none" w:sz="0" w:space="0" w:color="auto"/>
        <w:bottom w:val="none" w:sz="0" w:space="0" w:color="auto"/>
        <w:right w:val="none" w:sz="0" w:space="0" w:color="auto"/>
      </w:divBdr>
    </w:div>
    <w:div w:id="966273485">
      <w:bodyDiv w:val="1"/>
      <w:marLeft w:val="0"/>
      <w:marRight w:val="0"/>
      <w:marTop w:val="0"/>
      <w:marBottom w:val="0"/>
      <w:divBdr>
        <w:top w:val="none" w:sz="0" w:space="0" w:color="auto"/>
        <w:left w:val="none" w:sz="0" w:space="0" w:color="auto"/>
        <w:bottom w:val="none" w:sz="0" w:space="0" w:color="auto"/>
        <w:right w:val="none" w:sz="0" w:space="0" w:color="auto"/>
      </w:divBdr>
    </w:div>
    <w:div w:id="966735205">
      <w:bodyDiv w:val="1"/>
      <w:marLeft w:val="0"/>
      <w:marRight w:val="0"/>
      <w:marTop w:val="0"/>
      <w:marBottom w:val="0"/>
      <w:divBdr>
        <w:top w:val="none" w:sz="0" w:space="0" w:color="auto"/>
        <w:left w:val="none" w:sz="0" w:space="0" w:color="auto"/>
        <w:bottom w:val="none" w:sz="0" w:space="0" w:color="auto"/>
        <w:right w:val="none" w:sz="0" w:space="0" w:color="auto"/>
      </w:divBdr>
    </w:div>
    <w:div w:id="966737534">
      <w:bodyDiv w:val="1"/>
      <w:marLeft w:val="0"/>
      <w:marRight w:val="0"/>
      <w:marTop w:val="0"/>
      <w:marBottom w:val="0"/>
      <w:divBdr>
        <w:top w:val="none" w:sz="0" w:space="0" w:color="auto"/>
        <w:left w:val="none" w:sz="0" w:space="0" w:color="auto"/>
        <w:bottom w:val="none" w:sz="0" w:space="0" w:color="auto"/>
        <w:right w:val="none" w:sz="0" w:space="0" w:color="auto"/>
      </w:divBdr>
    </w:div>
    <w:div w:id="967010515">
      <w:bodyDiv w:val="1"/>
      <w:marLeft w:val="0"/>
      <w:marRight w:val="0"/>
      <w:marTop w:val="0"/>
      <w:marBottom w:val="0"/>
      <w:divBdr>
        <w:top w:val="none" w:sz="0" w:space="0" w:color="auto"/>
        <w:left w:val="none" w:sz="0" w:space="0" w:color="auto"/>
        <w:bottom w:val="none" w:sz="0" w:space="0" w:color="auto"/>
        <w:right w:val="none" w:sz="0" w:space="0" w:color="auto"/>
      </w:divBdr>
    </w:div>
    <w:div w:id="967052273">
      <w:bodyDiv w:val="1"/>
      <w:marLeft w:val="0"/>
      <w:marRight w:val="0"/>
      <w:marTop w:val="0"/>
      <w:marBottom w:val="0"/>
      <w:divBdr>
        <w:top w:val="none" w:sz="0" w:space="0" w:color="auto"/>
        <w:left w:val="none" w:sz="0" w:space="0" w:color="auto"/>
        <w:bottom w:val="none" w:sz="0" w:space="0" w:color="auto"/>
        <w:right w:val="none" w:sz="0" w:space="0" w:color="auto"/>
      </w:divBdr>
    </w:div>
    <w:div w:id="967396519">
      <w:bodyDiv w:val="1"/>
      <w:marLeft w:val="0"/>
      <w:marRight w:val="0"/>
      <w:marTop w:val="0"/>
      <w:marBottom w:val="0"/>
      <w:divBdr>
        <w:top w:val="none" w:sz="0" w:space="0" w:color="auto"/>
        <w:left w:val="none" w:sz="0" w:space="0" w:color="auto"/>
        <w:bottom w:val="none" w:sz="0" w:space="0" w:color="auto"/>
        <w:right w:val="none" w:sz="0" w:space="0" w:color="auto"/>
      </w:divBdr>
    </w:div>
    <w:div w:id="967467221">
      <w:bodyDiv w:val="1"/>
      <w:marLeft w:val="0"/>
      <w:marRight w:val="0"/>
      <w:marTop w:val="0"/>
      <w:marBottom w:val="0"/>
      <w:divBdr>
        <w:top w:val="none" w:sz="0" w:space="0" w:color="auto"/>
        <w:left w:val="none" w:sz="0" w:space="0" w:color="auto"/>
        <w:bottom w:val="none" w:sz="0" w:space="0" w:color="auto"/>
        <w:right w:val="none" w:sz="0" w:space="0" w:color="auto"/>
      </w:divBdr>
    </w:div>
    <w:div w:id="967782412">
      <w:bodyDiv w:val="1"/>
      <w:marLeft w:val="0"/>
      <w:marRight w:val="0"/>
      <w:marTop w:val="0"/>
      <w:marBottom w:val="0"/>
      <w:divBdr>
        <w:top w:val="none" w:sz="0" w:space="0" w:color="auto"/>
        <w:left w:val="none" w:sz="0" w:space="0" w:color="auto"/>
        <w:bottom w:val="none" w:sz="0" w:space="0" w:color="auto"/>
        <w:right w:val="none" w:sz="0" w:space="0" w:color="auto"/>
      </w:divBdr>
    </w:div>
    <w:div w:id="967903031">
      <w:bodyDiv w:val="1"/>
      <w:marLeft w:val="0"/>
      <w:marRight w:val="0"/>
      <w:marTop w:val="0"/>
      <w:marBottom w:val="0"/>
      <w:divBdr>
        <w:top w:val="none" w:sz="0" w:space="0" w:color="auto"/>
        <w:left w:val="none" w:sz="0" w:space="0" w:color="auto"/>
        <w:bottom w:val="none" w:sz="0" w:space="0" w:color="auto"/>
        <w:right w:val="none" w:sz="0" w:space="0" w:color="auto"/>
      </w:divBdr>
    </w:div>
    <w:div w:id="968632807">
      <w:bodyDiv w:val="1"/>
      <w:marLeft w:val="0"/>
      <w:marRight w:val="0"/>
      <w:marTop w:val="0"/>
      <w:marBottom w:val="0"/>
      <w:divBdr>
        <w:top w:val="none" w:sz="0" w:space="0" w:color="auto"/>
        <w:left w:val="none" w:sz="0" w:space="0" w:color="auto"/>
        <w:bottom w:val="none" w:sz="0" w:space="0" w:color="auto"/>
        <w:right w:val="none" w:sz="0" w:space="0" w:color="auto"/>
      </w:divBdr>
    </w:div>
    <w:div w:id="969018634">
      <w:bodyDiv w:val="1"/>
      <w:marLeft w:val="0"/>
      <w:marRight w:val="0"/>
      <w:marTop w:val="0"/>
      <w:marBottom w:val="0"/>
      <w:divBdr>
        <w:top w:val="none" w:sz="0" w:space="0" w:color="auto"/>
        <w:left w:val="none" w:sz="0" w:space="0" w:color="auto"/>
        <w:bottom w:val="none" w:sz="0" w:space="0" w:color="auto"/>
        <w:right w:val="none" w:sz="0" w:space="0" w:color="auto"/>
      </w:divBdr>
    </w:div>
    <w:div w:id="970205268">
      <w:bodyDiv w:val="1"/>
      <w:marLeft w:val="0"/>
      <w:marRight w:val="0"/>
      <w:marTop w:val="0"/>
      <w:marBottom w:val="0"/>
      <w:divBdr>
        <w:top w:val="none" w:sz="0" w:space="0" w:color="auto"/>
        <w:left w:val="none" w:sz="0" w:space="0" w:color="auto"/>
        <w:bottom w:val="none" w:sz="0" w:space="0" w:color="auto"/>
        <w:right w:val="none" w:sz="0" w:space="0" w:color="auto"/>
      </w:divBdr>
    </w:div>
    <w:div w:id="971981166">
      <w:bodyDiv w:val="1"/>
      <w:marLeft w:val="0"/>
      <w:marRight w:val="0"/>
      <w:marTop w:val="0"/>
      <w:marBottom w:val="0"/>
      <w:divBdr>
        <w:top w:val="none" w:sz="0" w:space="0" w:color="auto"/>
        <w:left w:val="none" w:sz="0" w:space="0" w:color="auto"/>
        <w:bottom w:val="none" w:sz="0" w:space="0" w:color="auto"/>
        <w:right w:val="none" w:sz="0" w:space="0" w:color="auto"/>
      </w:divBdr>
    </w:div>
    <w:div w:id="972055882">
      <w:bodyDiv w:val="1"/>
      <w:marLeft w:val="0"/>
      <w:marRight w:val="0"/>
      <w:marTop w:val="0"/>
      <w:marBottom w:val="0"/>
      <w:divBdr>
        <w:top w:val="none" w:sz="0" w:space="0" w:color="auto"/>
        <w:left w:val="none" w:sz="0" w:space="0" w:color="auto"/>
        <w:bottom w:val="none" w:sz="0" w:space="0" w:color="auto"/>
        <w:right w:val="none" w:sz="0" w:space="0" w:color="auto"/>
      </w:divBdr>
    </w:div>
    <w:div w:id="972250814">
      <w:bodyDiv w:val="1"/>
      <w:marLeft w:val="0"/>
      <w:marRight w:val="0"/>
      <w:marTop w:val="0"/>
      <w:marBottom w:val="0"/>
      <w:divBdr>
        <w:top w:val="none" w:sz="0" w:space="0" w:color="auto"/>
        <w:left w:val="none" w:sz="0" w:space="0" w:color="auto"/>
        <w:bottom w:val="none" w:sz="0" w:space="0" w:color="auto"/>
        <w:right w:val="none" w:sz="0" w:space="0" w:color="auto"/>
      </w:divBdr>
    </w:div>
    <w:div w:id="973755216">
      <w:bodyDiv w:val="1"/>
      <w:marLeft w:val="0"/>
      <w:marRight w:val="0"/>
      <w:marTop w:val="0"/>
      <w:marBottom w:val="0"/>
      <w:divBdr>
        <w:top w:val="none" w:sz="0" w:space="0" w:color="auto"/>
        <w:left w:val="none" w:sz="0" w:space="0" w:color="auto"/>
        <w:bottom w:val="none" w:sz="0" w:space="0" w:color="auto"/>
        <w:right w:val="none" w:sz="0" w:space="0" w:color="auto"/>
      </w:divBdr>
    </w:div>
    <w:div w:id="974991410">
      <w:bodyDiv w:val="1"/>
      <w:marLeft w:val="0"/>
      <w:marRight w:val="0"/>
      <w:marTop w:val="0"/>
      <w:marBottom w:val="0"/>
      <w:divBdr>
        <w:top w:val="none" w:sz="0" w:space="0" w:color="auto"/>
        <w:left w:val="none" w:sz="0" w:space="0" w:color="auto"/>
        <w:bottom w:val="none" w:sz="0" w:space="0" w:color="auto"/>
        <w:right w:val="none" w:sz="0" w:space="0" w:color="auto"/>
      </w:divBdr>
    </w:div>
    <w:div w:id="975528678">
      <w:bodyDiv w:val="1"/>
      <w:marLeft w:val="0"/>
      <w:marRight w:val="0"/>
      <w:marTop w:val="0"/>
      <w:marBottom w:val="0"/>
      <w:divBdr>
        <w:top w:val="none" w:sz="0" w:space="0" w:color="auto"/>
        <w:left w:val="none" w:sz="0" w:space="0" w:color="auto"/>
        <w:bottom w:val="none" w:sz="0" w:space="0" w:color="auto"/>
        <w:right w:val="none" w:sz="0" w:space="0" w:color="auto"/>
      </w:divBdr>
    </w:div>
    <w:div w:id="975840842">
      <w:bodyDiv w:val="1"/>
      <w:marLeft w:val="0"/>
      <w:marRight w:val="0"/>
      <w:marTop w:val="0"/>
      <w:marBottom w:val="0"/>
      <w:divBdr>
        <w:top w:val="none" w:sz="0" w:space="0" w:color="auto"/>
        <w:left w:val="none" w:sz="0" w:space="0" w:color="auto"/>
        <w:bottom w:val="none" w:sz="0" w:space="0" w:color="auto"/>
        <w:right w:val="none" w:sz="0" w:space="0" w:color="auto"/>
      </w:divBdr>
    </w:div>
    <w:div w:id="976224353">
      <w:bodyDiv w:val="1"/>
      <w:marLeft w:val="0"/>
      <w:marRight w:val="0"/>
      <w:marTop w:val="0"/>
      <w:marBottom w:val="0"/>
      <w:divBdr>
        <w:top w:val="none" w:sz="0" w:space="0" w:color="auto"/>
        <w:left w:val="none" w:sz="0" w:space="0" w:color="auto"/>
        <w:bottom w:val="none" w:sz="0" w:space="0" w:color="auto"/>
        <w:right w:val="none" w:sz="0" w:space="0" w:color="auto"/>
      </w:divBdr>
    </w:div>
    <w:div w:id="976295688">
      <w:bodyDiv w:val="1"/>
      <w:marLeft w:val="0"/>
      <w:marRight w:val="0"/>
      <w:marTop w:val="0"/>
      <w:marBottom w:val="0"/>
      <w:divBdr>
        <w:top w:val="none" w:sz="0" w:space="0" w:color="auto"/>
        <w:left w:val="none" w:sz="0" w:space="0" w:color="auto"/>
        <w:bottom w:val="none" w:sz="0" w:space="0" w:color="auto"/>
        <w:right w:val="none" w:sz="0" w:space="0" w:color="auto"/>
      </w:divBdr>
    </w:div>
    <w:div w:id="976422674">
      <w:bodyDiv w:val="1"/>
      <w:marLeft w:val="0"/>
      <w:marRight w:val="0"/>
      <w:marTop w:val="0"/>
      <w:marBottom w:val="0"/>
      <w:divBdr>
        <w:top w:val="none" w:sz="0" w:space="0" w:color="auto"/>
        <w:left w:val="none" w:sz="0" w:space="0" w:color="auto"/>
        <w:bottom w:val="none" w:sz="0" w:space="0" w:color="auto"/>
        <w:right w:val="none" w:sz="0" w:space="0" w:color="auto"/>
      </w:divBdr>
    </w:div>
    <w:div w:id="977539558">
      <w:bodyDiv w:val="1"/>
      <w:marLeft w:val="0"/>
      <w:marRight w:val="0"/>
      <w:marTop w:val="0"/>
      <w:marBottom w:val="0"/>
      <w:divBdr>
        <w:top w:val="none" w:sz="0" w:space="0" w:color="auto"/>
        <w:left w:val="none" w:sz="0" w:space="0" w:color="auto"/>
        <w:bottom w:val="none" w:sz="0" w:space="0" w:color="auto"/>
        <w:right w:val="none" w:sz="0" w:space="0" w:color="auto"/>
      </w:divBdr>
    </w:div>
    <w:div w:id="978807525">
      <w:bodyDiv w:val="1"/>
      <w:marLeft w:val="0"/>
      <w:marRight w:val="0"/>
      <w:marTop w:val="0"/>
      <w:marBottom w:val="0"/>
      <w:divBdr>
        <w:top w:val="none" w:sz="0" w:space="0" w:color="auto"/>
        <w:left w:val="none" w:sz="0" w:space="0" w:color="auto"/>
        <w:bottom w:val="none" w:sz="0" w:space="0" w:color="auto"/>
        <w:right w:val="none" w:sz="0" w:space="0" w:color="auto"/>
      </w:divBdr>
    </w:div>
    <w:div w:id="979312233">
      <w:bodyDiv w:val="1"/>
      <w:marLeft w:val="0"/>
      <w:marRight w:val="0"/>
      <w:marTop w:val="0"/>
      <w:marBottom w:val="0"/>
      <w:divBdr>
        <w:top w:val="none" w:sz="0" w:space="0" w:color="auto"/>
        <w:left w:val="none" w:sz="0" w:space="0" w:color="auto"/>
        <w:bottom w:val="none" w:sz="0" w:space="0" w:color="auto"/>
        <w:right w:val="none" w:sz="0" w:space="0" w:color="auto"/>
      </w:divBdr>
    </w:div>
    <w:div w:id="979573330">
      <w:bodyDiv w:val="1"/>
      <w:marLeft w:val="0"/>
      <w:marRight w:val="0"/>
      <w:marTop w:val="0"/>
      <w:marBottom w:val="0"/>
      <w:divBdr>
        <w:top w:val="none" w:sz="0" w:space="0" w:color="auto"/>
        <w:left w:val="none" w:sz="0" w:space="0" w:color="auto"/>
        <w:bottom w:val="none" w:sz="0" w:space="0" w:color="auto"/>
        <w:right w:val="none" w:sz="0" w:space="0" w:color="auto"/>
      </w:divBdr>
    </w:div>
    <w:div w:id="980115890">
      <w:bodyDiv w:val="1"/>
      <w:marLeft w:val="0"/>
      <w:marRight w:val="0"/>
      <w:marTop w:val="0"/>
      <w:marBottom w:val="0"/>
      <w:divBdr>
        <w:top w:val="none" w:sz="0" w:space="0" w:color="auto"/>
        <w:left w:val="none" w:sz="0" w:space="0" w:color="auto"/>
        <w:bottom w:val="none" w:sz="0" w:space="0" w:color="auto"/>
        <w:right w:val="none" w:sz="0" w:space="0" w:color="auto"/>
      </w:divBdr>
    </w:div>
    <w:div w:id="980185245">
      <w:bodyDiv w:val="1"/>
      <w:marLeft w:val="0"/>
      <w:marRight w:val="0"/>
      <w:marTop w:val="0"/>
      <w:marBottom w:val="0"/>
      <w:divBdr>
        <w:top w:val="none" w:sz="0" w:space="0" w:color="auto"/>
        <w:left w:val="none" w:sz="0" w:space="0" w:color="auto"/>
        <w:bottom w:val="none" w:sz="0" w:space="0" w:color="auto"/>
        <w:right w:val="none" w:sz="0" w:space="0" w:color="auto"/>
      </w:divBdr>
    </w:div>
    <w:div w:id="980424000">
      <w:bodyDiv w:val="1"/>
      <w:marLeft w:val="0"/>
      <w:marRight w:val="0"/>
      <w:marTop w:val="0"/>
      <w:marBottom w:val="0"/>
      <w:divBdr>
        <w:top w:val="none" w:sz="0" w:space="0" w:color="auto"/>
        <w:left w:val="none" w:sz="0" w:space="0" w:color="auto"/>
        <w:bottom w:val="none" w:sz="0" w:space="0" w:color="auto"/>
        <w:right w:val="none" w:sz="0" w:space="0" w:color="auto"/>
      </w:divBdr>
    </w:div>
    <w:div w:id="981232275">
      <w:bodyDiv w:val="1"/>
      <w:marLeft w:val="0"/>
      <w:marRight w:val="0"/>
      <w:marTop w:val="0"/>
      <w:marBottom w:val="0"/>
      <w:divBdr>
        <w:top w:val="none" w:sz="0" w:space="0" w:color="auto"/>
        <w:left w:val="none" w:sz="0" w:space="0" w:color="auto"/>
        <w:bottom w:val="none" w:sz="0" w:space="0" w:color="auto"/>
        <w:right w:val="none" w:sz="0" w:space="0" w:color="auto"/>
      </w:divBdr>
    </w:div>
    <w:div w:id="981426968">
      <w:bodyDiv w:val="1"/>
      <w:marLeft w:val="0"/>
      <w:marRight w:val="0"/>
      <w:marTop w:val="0"/>
      <w:marBottom w:val="0"/>
      <w:divBdr>
        <w:top w:val="none" w:sz="0" w:space="0" w:color="auto"/>
        <w:left w:val="none" w:sz="0" w:space="0" w:color="auto"/>
        <w:bottom w:val="none" w:sz="0" w:space="0" w:color="auto"/>
        <w:right w:val="none" w:sz="0" w:space="0" w:color="auto"/>
      </w:divBdr>
    </w:div>
    <w:div w:id="981890882">
      <w:bodyDiv w:val="1"/>
      <w:marLeft w:val="0"/>
      <w:marRight w:val="0"/>
      <w:marTop w:val="0"/>
      <w:marBottom w:val="0"/>
      <w:divBdr>
        <w:top w:val="none" w:sz="0" w:space="0" w:color="auto"/>
        <w:left w:val="none" w:sz="0" w:space="0" w:color="auto"/>
        <w:bottom w:val="none" w:sz="0" w:space="0" w:color="auto"/>
        <w:right w:val="none" w:sz="0" w:space="0" w:color="auto"/>
      </w:divBdr>
    </w:div>
    <w:div w:id="982276303">
      <w:bodyDiv w:val="1"/>
      <w:marLeft w:val="0"/>
      <w:marRight w:val="0"/>
      <w:marTop w:val="0"/>
      <w:marBottom w:val="0"/>
      <w:divBdr>
        <w:top w:val="none" w:sz="0" w:space="0" w:color="auto"/>
        <w:left w:val="none" w:sz="0" w:space="0" w:color="auto"/>
        <w:bottom w:val="none" w:sz="0" w:space="0" w:color="auto"/>
        <w:right w:val="none" w:sz="0" w:space="0" w:color="auto"/>
      </w:divBdr>
    </w:div>
    <w:div w:id="983120513">
      <w:bodyDiv w:val="1"/>
      <w:marLeft w:val="0"/>
      <w:marRight w:val="0"/>
      <w:marTop w:val="0"/>
      <w:marBottom w:val="0"/>
      <w:divBdr>
        <w:top w:val="none" w:sz="0" w:space="0" w:color="auto"/>
        <w:left w:val="none" w:sz="0" w:space="0" w:color="auto"/>
        <w:bottom w:val="none" w:sz="0" w:space="0" w:color="auto"/>
        <w:right w:val="none" w:sz="0" w:space="0" w:color="auto"/>
      </w:divBdr>
    </w:div>
    <w:div w:id="983201962">
      <w:bodyDiv w:val="1"/>
      <w:marLeft w:val="0"/>
      <w:marRight w:val="0"/>
      <w:marTop w:val="0"/>
      <w:marBottom w:val="0"/>
      <w:divBdr>
        <w:top w:val="none" w:sz="0" w:space="0" w:color="auto"/>
        <w:left w:val="none" w:sz="0" w:space="0" w:color="auto"/>
        <w:bottom w:val="none" w:sz="0" w:space="0" w:color="auto"/>
        <w:right w:val="none" w:sz="0" w:space="0" w:color="auto"/>
      </w:divBdr>
    </w:div>
    <w:div w:id="984159973">
      <w:bodyDiv w:val="1"/>
      <w:marLeft w:val="0"/>
      <w:marRight w:val="0"/>
      <w:marTop w:val="0"/>
      <w:marBottom w:val="0"/>
      <w:divBdr>
        <w:top w:val="none" w:sz="0" w:space="0" w:color="auto"/>
        <w:left w:val="none" w:sz="0" w:space="0" w:color="auto"/>
        <w:bottom w:val="none" w:sz="0" w:space="0" w:color="auto"/>
        <w:right w:val="none" w:sz="0" w:space="0" w:color="auto"/>
      </w:divBdr>
    </w:div>
    <w:div w:id="984511902">
      <w:bodyDiv w:val="1"/>
      <w:marLeft w:val="0"/>
      <w:marRight w:val="0"/>
      <w:marTop w:val="0"/>
      <w:marBottom w:val="0"/>
      <w:divBdr>
        <w:top w:val="none" w:sz="0" w:space="0" w:color="auto"/>
        <w:left w:val="none" w:sz="0" w:space="0" w:color="auto"/>
        <w:bottom w:val="none" w:sz="0" w:space="0" w:color="auto"/>
        <w:right w:val="none" w:sz="0" w:space="0" w:color="auto"/>
      </w:divBdr>
    </w:div>
    <w:div w:id="984965501">
      <w:bodyDiv w:val="1"/>
      <w:marLeft w:val="0"/>
      <w:marRight w:val="0"/>
      <w:marTop w:val="0"/>
      <w:marBottom w:val="0"/>
      <w:divBdr>
        <w:top w:val="none" w:sz="0" w:space="0" w:color="auto"/>
        <w:left w:val="none" w:sz="0" w:space="0" w:color="auto"/>
        <w:bottom w:val="none" w:sz="0" w:space="0" w:color="auto"/>
        <w:right w:val="none" w:sz="0" w:space="0" w:color="auto"/>
      </w:divBdr>
    </w:div>
    <w:div w:id="986083752">
      <w:bodyDiv w:val="1"/>
      <w:marLeft w:val="0"/>
      <w:marRight w:val="0"/>
      <w:marTop w:val="0"/>
      <w:marBottom w:val="0"/>
      <w:divBdr>
        <w:top w:val="none" w:sz="0" w:space="0" w:color="auto"/>
        <w:left w:val="none" w:sz="0" w:space="0" w:color="auto"/>
        <w:bottom w:val="none" w:sz="0" w:space="0" w:color="auto"/>
        <w:right w:val="none" w:sz="0" w:space="0" w:color="auto"/>
      </w:divBdr>
    </w:div>
    <w:div w:id="986321404">
      <w:bodyDiv w:val="1"/>
      <w:marLeft w:val="0"/>
      <w:marRight w:val="0"/>
      <w:marTop w:val="0"/>
      <w:marBottom w:val="0"/>
      <w:divBdr>
        <w:top w:val="none" w:sz="0" w:space="0" w:color="auto"/>
        <w:left w:val="none" w:sz="0" w:space="0" w:color="auto"/>
        <w:bottom w:val="none" w:sz="0" w:space="0" w:color="auto"/>
        <w:right w:val="none" w:sz="0" w:space="0" w:color="auto"/>
      </w:divBdr>
    </w:div>
    <w:div w:id="986588595">
      <w:bodyDiv w:val="1"/>
      <w:marLeft w:val="0"/>
      <w:marRight w:val="0"/>
      <w:marTop w:val="0"/>
      <w:marBottom w:val="0"/>
      <w:divBdr>
        <w:top w:val="none" w:sz="0" w:space="0" w:color="auto"/>
        <w:left w:val="none" w:sz="0" w:space="0" w:color="auto"/>
        <w:bottom w:val="none" w:sz="0" w:space="0" w:color="auto"/>
        <w:right w:val="none" w:sz="0" w:space="0" w:color="auto"/>
      </w:divBdr>
    </w:div>
    <w:div w:id="986665134">
      <w:bodyDiv w:val="1"/>
      <w:marLeft w:val="0"/>
      <w:marRight w:val="0"/>
      <w:marTop w:val="0"/>
      <w:marBottom w:val="0"/>
      <w:divBdr>
        <w:top w:val="none" w:sz="0" w:space="0" w:color="auto"/>
        <w:left w:val="none" w:sz="0" w:space="0" w:color="auto"/>
        <w:bottom w:val="none" w:sz="0" w:space="0" w:color="auto"/>
        <w:right w:val="none" w:sz="0" w:space="0" w:color="auto"/>
      </w:divBdr>
    </w:div>
    <w:div w:id="986938188">
      <w:bodyDiv w:val="1"/>
      <w:marLeft w:val="0"/>
      <w:marRight w:val="0"/>
      <w:marTop w:val="0"/>
      <w:marBottom w:val="0"/>
      <w:divBdr>
        <w:top w:val="none" w:sz="0" w:space="0" w:color="auto"/>
        <w:left w:val="none" w:sz="0" w:space="0" w:color="auto"/>
        <w:bottom w:val="none" w:sz="0" w:space="0" w:color="auto"/>
        <w:right w:val="none" w:sz="0" w:space="0" w:color="auto"/>
      </w:divBdr>
    </w:div>
    <w:div w:id="987320901">
      <w:bodyDiv w:val="1"/>
      <w:marLeft w:val="0"/>
      <w:marRight w:val="0"/>
      <w:marTop w:val="0"/>
      <w:marBottom w:val="0"/>
      <w:divBdr>
        <w:top w:val="none" w:sz="0" w:space="0" w:color="auto"/>
        <w:left w:val="none" w:sz="0" w:space="0" w:color="auto"/>
        <w:bottom w:val="none" w:sz="0" w:space="0" w:color="auto"/>
        <w:right w:val="none" w:sz="0" w:space="0" w:color="auto"/>
      </w:divBdr>
    </w:div>
    <w:div w:id="987393502">
      <w:bodyDiv w:val="1"/>
      <w:marLeft w:val="0"/>
      <w:marRight w:val="0"/>
      <w:marTop w:val="0"/>
      <w:marBottom w:val="0"/>
      <w:divBdr>
        <w:top w:val="none" w:sz="0" w:space="0" w:color="auto"/>
        <w:left w:val="none" w:sz="0" w:space="0" w:color="auto"/>
        <w:bottom w:val="none" w:sz="0" w:space="0" w:color="auto"/>
        <w:right w:val="none" w:sz="0" w:space="0" w:color="auto"/>
      </w:divBdr>
    </w:div>
    <w:div w:id="987898293">
      <w:bodyDiv w:val="1"/>
      <w:marLeft w:val="0"/>
      <w:marRight w:val="0"/>
      <w:marTop w:val="0"/>
      <w:marBottom w:val="0"/>
      <w:divBdr>
        <w:top w:val="none" w:sz="0" w:space="0" w:color="auto"/>
        <w:left w:val="none" w:sz="0" w:space="0" w:color="auto"/>
        <w:bottom w:val="none" w:sz="0" w:space="0" w:color="auto"/>
        <w:right w:val="none" w:sz="0" w:space="0" w:color="auto"/>
      </w:divBdr>
    </w:div>
    <w:div w:id="988024780">
      <w:bodyDiv w:val="1"/>
      <w:marLeft w:val="0"/>
      <w:marRight w:val="0"/>
      <w:marTop w:val="0"/>
      <w:marBottom w:val="0"/>
      <w:divBdr>
        <w:top w:val="none" w:sz="0" w:space="0" w:color="auto"/>
        <w:left w:val="none" w:sz="0" w:space="0" w:color="auto"/>
        <w:bottom w:val="none" w:sz="0" w:space="0" w:color="auto"/>
        <w:right w:val="none" w:sz="0" w:space="0" w:color="auto"/>
      </w:divBdr>
    </w:div>
    <w:div w:id="988052376">
      <w:bodyDiv w:val="1"/>
      <w:marLeft w:val="0"/>
      <w:marRight w:val="0"/>
      <w:marTop w:val="0"/>
      <w:marBottom w:val="0"/>
      <w:divBdr>
        <w:top w:val="none" w:sz="0" w:space="0" w:color="auto"/>
        <w:left w:val="none" w:sz="0" w:space="0" w:color="auto"/>
        <w:bottom w:val="none" w:sz="0" w:space="0" w:color="auto"/>
        <w:right w:val="none" w:sz="0" w:space="0" w:color="auto"/>
      </w:divBdr>
    </w:div>
    <w:div w:id="988293054">
      <w:bodyDiv w:val="1"/>
      <w:marLeft w:val="0"/>
      <w:marRight w:val="0"/>
      <w:marTop w:val="0"/>
      <w:marBottom w:val="0"/>
      <w:divBdr>
        <w:top w:val="none" w:sz="0" w:space="0" w:color="auto"/>
        <w:left w:val="none" w:sz="0" w:space="0" w:color="auto"/>
        <w:bottom w:val="none" w:sz="0" w:space="0" w:color="auto"/>
        <w:right w:val="none" w:sz="0" w:space="0" w:color="auto"/>
      </w:divBdr>
    </w:div>
    <w:div w:id="988367738">
      <w:bodyDiv w:val="1"/>
      <w:marLeft w:val="0"/>
      <w:marRight w:val="0"/>
      <w:marTop w:val="0"/>
      <w:marBottom w:val="0"/>
      <w:divBdr>
        <w:top w:val="none" w:sz="0" w:space="0" w:color="auto"/>
        <w:left w:val="none" w:sz="0" w:space="0" w:color="auto"/>
        <w:bottom w:val="none" w:sz="0" w:space="0" w:color="auto"/>
        <w:right w:val="none" w:sz="0" w:space="0" w:color="auto"/>
      </w:divBdr>
    </w:div>
    <w:div w:id="989289555">
      <w:bodyDiv w:val="1"/>
      <w:marLeft w:val="0"/>
      <w:marRight w:val="0"/>
      <w:marTop w:val="0"/>
      <w:marBottom w:val="0"/>
      <w:divBdr>
        <w:top w:val="none" w:sz="0" w:space="0" w:color="auto"/>
        <w:left w:val="none" w:sz="0" w:space="0" w:color="auto"/>
        <w:bottom w:val="none" w:sz="0" w:space="0" w:color="auto"/>
        <w:right w:val="none" w:sz="0" w:space="0" w:color="auto"/>
      </w:divBdr>
    </w:div>
    <w:div w:id="989594411">
      <w:bodyDiv w:val="1"/>
      <w:marLeft w:val="0"/>
      <w:marRight w:val="0"/>
      <w:marTop w:val="0"/>
      <w:marBottom w:val="0"/>
      <w:divBdr>
        <w:top w:val="none" w:sz="0" w:space="0" w:color="auto"/>
        <w:left w:val="none" w:sz="0" w:space="0" w:color="auto"/>
        <w:bottom w:val="none" w:sz="0" w:space="0" w:color="auto"/>
        <w:right w:val="none" w:sz="0" w:space="0" w:color="auto"/>
      </w:divBdr>
    </w:div>
    <w:div w:id="989674351">
      <w:bodyDiv w:val="1"/>
      <w:marLeft w:val="0"/>
      <w:marRight w:val="0"/>
      <w:marTop w:val="0"/>
      <w:marBottom w:val="0"/>
      <w:divBdr>
        <w:top w:val="none" w:sz="0" w:space="0" w:color="auto"/>
        <w:left w:val="none" w:sz="0" w:space="0" w:color="auto"/>
        <w:bottom w:val="none" w:sz="0" w:space="0" w:color="auto"/>
        <w:right w:val="none" w:sz="0" w:space="0" w:color="auto"/>
      </w:divBdr>
    </w:div>
    <w:div w:id="990213549">
      <w:bodyDiv w:val="1"/>
      <w:marLeft w:val="0"/>
      <w:marRight w:val="0"/>
      <w:marTop w:val="0"/>
      <w:marBottom w:val="0"/>
      <w:divBdr>
        <w:top w:val="none" w:sz="0" w:space="0" w:color="auto"/>
        <w:left w:val="none" w:sz="0" w:space="0" w:color="auto"/>
        <w:bottom w:val="none" w:sz="0" w:space="0" w:color="auto"/>
        <w:right w:val="none" w:sz="0" w:space="0" w:color="auto"/>
      </w:divBdr>
    </w:div>
    <w:div w:id="990256404">
      <w:bodyDiv w:val="1"/>
      <w:marLeft w:val="0"/>
      <w:marRight w:val="0"/>
      <w:marTop w:val="0"/>
      <w:marBottom w:val="0"/>
      <w:divBdr>
        <w:top w:val="none" w:sz="0" w:space="0" w:color="auto"/>
        <w:left w:val="none" w:sz="0" w:space="0" w:color="auto"/>
        <w:bottom w:val="none" w:sz="0" w:space="0" w:color="auto"/>
        <w:right w:val="none" w:sz="0" w:space="0" w:color="auto"/>
      </w:divBdr>
    </w:div>
    <w:div w:id="990476201">
      <w:bodyDiv w:val="1"/>
      <w:marLeft w:val="0"/>
      <w:marRight w:val="0"/>
      <w:marTop w:val="0"/>
      <w:marBottom w:val="0"/>
      <w:divBdr>
        <w:top w:val="none" w:sz="0" w:space="0" w:color="auto"/>
        <w:left w:val="none" w:sz="0" w:space="0" w:color="auto"/>
        <w:bottom w:val="none" w:sz="0" w:space="0" w:color="auto"/>
        <w:right w:val="none" w:sz="0" w:space="0" w:color="auto"/>
      </w:divBdr>
    </w:div>
    <w:div w:id="990642445">
      <w:bodyDiv w:val="1"/>
      <w:marLeft w:val="0"/>
      <w:marRight w:val="0"/>
      <w:marTop w:val="0"/>
      <w:marBottom w:val="0"/>
      <w:divBdr>
        <w:top w:val="none" w:sz="0" w:space="0" w:color="auto"/>
        <w:left w:val="none" w:sz="0" w:space="0" w:color="auto"/>
        <w:bottom w:val="none" w:sz="0" w:space="0" w:color="auto"/>
        <w:right w:val="none" w:sz="0" w:space="0" w:color="auto"/>
      </w:divBdr>
    </w:div>
    <w:div w:id="991251514">
      <w:bodyDiv w:val="1"/>
      <w:marLeft w:val="0"/>
      <w:marRight w:val="0"/>
      <w:marTop w:val="0"/>
      <w:marBottom w:val="0"/>
      <w:divBdr>
        <w:top w:val="none" w:sz="0" w:space="0" w:color="auto"/>
        <w:left w:val="none" w:sz="0" w:space="0" w:color="auto"/>
        <w:bottom w:val="none" w:sz="0" w:space="0" w:color="auto"/>
        <w:right w:val="none" w:sz="0" w:space="0" w:color="auto"/>
      </w:divBdr>
    </w:div>
    <w:div w:id="991374252">
      <w:bodyDiv w:val="1"/>
      <w:marLeft w:val="0"/>
      <w:marRight w:val="0"/>
      <w:marTop w:val="0"/>
      <w:marBottom w:val="0"/>
      <w:divBdr>
        <w:top w:val="none" w:sz="0" w:space="0" w:color="auto"/>
        <w:left w:val="none" w:sz="0" w:space="0" w:color="auto"/>
        <w:bottom w:val="none" w:sz="0" w:space="0" w:color="auto"/>
        <w:right w:val="none" w:sz="0" w:space="0" w:color="auto"/>
      </w:divBdr>
    </w:div>
    <w:div w:id="992215350">
      <w:bodyDiv w:val="1"/>
      <w:marLeft w:val="0"/>
      <w:marRight w:val="0"/>
      <w:marTop w:val="0"/>
      <w:marBottom w:val="0"/>
      <w:divBdr>
        <w:top w:val="none" w:sz="0" w:space="0" w:color="auto"/>
        <w:left w:val="none" w:sz="0" w:space="0" w:color="auto"/>
        <w:bottom w:val="none" w:sz="0" w:space="0" w:color="auto"/>
        <w:right w:val="none" w:sz="0" w:space="0" w:color="auto"/>
      </w:divBdr>
    </w:div>
    <w:div w:id="992294862">
      <w:bodyDiv w:val="1"/>
      <w:marLeft w:val="0"/>
      <w:marRight w:val="0"/>
      <w:marTop w:val="0"/>
      <w:marBottom w:val="0"/>
      <w:divBdr>
        <w:top w:val="none" w:sz="0" w:space="0" w:color="auto"/>
        <w:left w:val="none" w:sz="0" w:space="0" w:color="auto"/>
        <w:bottom w:val="none" w:sz="0" w:space="0" w:color="auto"/>
        <w:right w:val="none" w:sz="0" w:space="0" w:color="auto"/>
      </w:divBdr>
    </w:div>
    <w:div w:id="992683581">
      <w:bodyDiv w:val="1"/>
      <w:marLeft w:val="0"/>
      <w:marRight w:val="0"/>
      <w:marTop w:val="0"/>
      <w:marBottom w:val="0"/>
      <w:divBdr>
        <w:top w:val="none" w:sz="0" w:space="0" w:color="auto"/>
        <w:left w:val="none" w:sz="0" w:space="0" w:color="auto"/>
        <w:bottom w:val="none" w:sz="0" w:space="0" w:color="auto"/>
        <w:right w:val="none" w:sz="0" w:space="0" w:color="auto"/>
      </w:divBdr>
    </w:div>
    <w:div w:id="992877201">
      <w:bodyDiv w:val="1"/>
      <w:marLeft w:val="0"/>
      <w:marRight w:val="0"/>
      <w:marTop w:val="0"/>
      <w:marBottom w:val="0"/>
      <w:divBdr>
        <w:top w:val="none" w:sz="0" w:space="0" w:color="auto"/>
        <w:left w:val="none" w:sz="0" w:space="0" w:color="auto"/>
        <w:bottom w:val="none" w:sz="0" w:space="0" w:color="auto"/>
        <w:right w:val="none" w:sz="0" w:space="0" w:color="auto"/>
      </w:divBdr>
    </w:div>
    <w:div w:id="992953291">
      <w:bodyDiv w:val="1"/>
      <w:marLeft w:val="0"/>
      <w:marRight w:val="0"/>
      <w:marTop w:val="0"/>
      <w:marBottom w:val="0"/>
      <w:divBdr>
        <w:top w:val="none" w:sz="0" w:space="0" w:color="auto"/>
        <w:left w:val="none" w:sz="0" w:space="0" w:color="auto"/>
        <w:bottom w:val="none" w:sz="0" w:space="0" w:color="auto"/>
        <w:right w:val="none" w:sz="0" w:space="0" w:color="auto"/>
      </w:divBdr>
    </w:div>
    <w:div w:id="993798375">
      <w:bodyDiv w:val="1"/>
      <w:marLeft w:val="0"/>
      <w:marRight w:val="0"/>
      <w:marTop w:val="0"/>
      <w:marBottom w:val="0"/>
      <w:divBdr>
        <w:top w:val="none" w:sz="0" w:space="0" w:color="auto"/>
        <w:left w:val="none" w:sz="0" w:space="0" w:color="auto"/>
        <w:bottom w:val="none" w:sz="0" w:space="0" w:color="auto"/>
        <w:right w:val="none" w:sz="0" w:space="0" w:color="auto"/>
      </w:divBdr>
    </w:div>
    <w:div w:id="993994733">
      <w:bodyDiv w:val="1"/>
      <w:marLeft w:val="0"/>
      <w:marRight w:val="0"/>
      <w:marTop w:val="0"/>
      <w:marBottom w:val="0"/>
      <w:divBdr>
        <w:top w:val="none" w:sz="0" w:space="0" w:color="auto"/>
        <w:left w:val="none" w:sz="0" w:space="0" w:color="auto"/>
        <w:bottom w:val="none" w:sz="0" w:space="0" w:color="auto"/>
        <w:right w:val="none" w:sz="0" w:space="0" w:color="auto"/>
      </w:divBdr>
    </w:div>
    <w:div w:id="994147958">
      <w:bodyDiv w:val="1"/>
      <w:marLeft w:val="0"/>
      <w:marRight w:val="0"/>
      <w:marTop w:val="0"/>
      <w:marBottom w:val="0"/>
      <w:divBdr>
        <w:top w:val="none" w:sz="0" w:space="0" w:color="auto"/>
        <w:left w:val="none" w:sz="0" w:space="0" w:color="auto"/>
        <w:bottom w:val="none" w:sz="0" w:space="0" w:color="auto"/>
        <w:right w:val="none" w:sz="0" w:space="0" w:color="auto"/>
      </w:divBdr>
    </w:div>
    <w:div w:id="994190480">
      <w:bodyDiv w:val="1"/>
      <w:marLeft w:val="0"/>
      <w:marRight w:val="0"/>
      <w:marTop w:val="0"/>
      <w:marBottom w:val="0"/>
      <w:divBdr>
        <w:top w:val="none" w:sz="0" w:space="0" w:color="auto"/>
        <w:left w:val="none" w:sz="0" w:space="0" w:color="auto"/>
        <w:bottom w:val="none" w:sz="0" w:space="0" w:color="auto"/>
        <w:right w:val="none" w:sz="0" w:space="0" w:color="auto"/>
      </w:divBdr>
    </w:div>
    <w:div w:id="994337346">
      <w:bodyDiv w:val="1"/>
      <w:marLeft w:val="0"/>
      <w:marRight w:val="0"/>
      <w:marTop w:val="0"/>
      <w:marBottom w:val="0"/>
      <w:divBdr>
        <w:top w:val="none" w:sz="0" w:space="0" w:color="auto"/>
        <w:left w:val="none" w:sz="0" w:space="0" w:color="auto"/>
        <w:bottom w:val="none" w:sz="0" w:space="0" w:color="auto"/>
        <w:right w:val="none" w:sz="0" w:space="0" w:color="auto"/>
      </w:divBdr>
    </w:div>
    <w:div w:id="995232586">
      <w:bodyDiv w:val="1"/>
      <w:marLeft w:val="0"/>
      <w:marRight w:val="0"/>
      <w:marTop w:val="0"/>
      <w:marBottom w:val="0"/>
      <w:divBdr>
        <w:top w:val="none" w:sz="0" w:space="0" w:color="auto"/>
        <w:left w:val="none" w:sz="0" w:space="0" w:color="auto"/>
        <w:bottom w:val="none" w:sz="0" w:space="0" w:color="auto"/>
        <w:right w:val="none" w:sz="0" w:space="0" w:color="auto"/>
      </w:divBdr>
    </w:div>
    <w:div w:id="995572162">
      <w:bodyDiv w:val="1"/>
      <w:marLeft w:val="0"/>
      <w:marRight w:val="0"/>
      <w:marTop w:val="0"/>
      <w:marBottom w:val="0"/>
      <w:divBdr>
        <w:top w:val="none" w:sz="0" w:space="0" w:color="auto"/>
        <w:left w:val="none" w:sz="0" w:space="0" w:color="auto"/>
        <w:bottom w:val="none" w:sz="0" w:space="0" w:color="auto"/>
        <w:right w:val="none" w:sz="0" w:space="0" w:color="auto"/>
      </w:divBdr>
    </w:div>
    <w:div w:id="995842169">
      <w:bodyDiv w:val="1"/>
      <w:marLeft w:val="0"/>
      <w:marRight w:val="0"/>
      <w:marTop w:val="0"/>
      <w:marBottom w:val="0"/>
      <w:divBdr>
        <w:top w:val="none" w:sz="0" w:space="0" w:color="auto"/>
        <w:left w:val="none" w:sz="0" w:space="0" w:color="auto"/>
        <w:bottom w:val="none" w:sz="0" w:space="0" w:color="auto"/>
        <w:right w:val="none" w:sz="0" w:space="0" w:color="auto"/>
      </w:divBdr>
    </w:div>
    <w:div w:id="995887556">
      <w:bodyDiv w:val="1"/>
      <w:marLeft w:val="0"/>
      <w:marRight w:val="0"/>
      <w:marTop w:val="0"/>
      <w:marBottom w:val="0"/>
      <w:divBdr>
        <w:top w:val="none" w:sz="0" w:space="0" w:color="auto"/>
        <w:left w:val="none" w:sz="0" w:space="0" w:color="auto"/>
        <w:bottom w:val="none" w:sz="0" w:space="0" w:color="auto"/>
        <w:right w:val="none" w:sz="0" w:space="0" w:color="auto"/>
      </w:divBdr>
    </w:div>
    <w:div w:id="996030530">
      <w:bodyDiv w:val="1"/>
      <w:marLeft w:val="0"/>
      <w:marRight w:val="0"/>
      <w:marTop w:val="0"/>
      <w:marBottom w:val="0"/>
      <w:divBdr>
        <w:top w:val="none" w:sz="0" w:space="0" w:color="auto"/>
        <w:left w:val="none" w:sz="0" w:space="0" w:color="auto"/>
        <w:bottom w:val="none" w:sz="0" w:space="0" w:color="auto"/>
        <w:right w:val="none" w:sz="0" w:space="0" w:color="auto"/>
      </w:divBdr>
    </w:div>
    <w:div w:id="996767428">
      <w:bodyDiv w:val="1"/>
      <w:marLeft w:val="0"/>
      <w:marRight w:val="0"/>
      <w:marTop w:val="0"/>
      <w:marBottom w:val="0"/>
      <w:divBdr>
        <w:top w:val="none" w:sz="0" w:space="0" w:color="auto"/>
        <w:left w:val="none" w:sz="0" w:space="0" w:color="auto"/>
        <w:bottom w:val="none" w:sz="0" w:space="0" w:color="auto"/>
        <w:right w:val="none" w:sz="0" w:space="0" w:color="auto"/>
      </w:divBdr>
    </w:div>
    <w:div w:id="996767882">
      <w:bodyDiv w:val="1"/>
      <w:marLeft w:val="0"/>
      <w:marRight w:val="0"/>
      <w:marTop w:val="0"/>
      <w:marBottom w:val="0"/>
      <w:divBdr>
        <w:top w:val="none" w:sz="0" w:space="0" w:color="auto"/>
        <w:left w:val="none" w:sz="0" w:space="0" w:color="auto"/>
        <w:bottom w:val="none" w:sz="0" w:space="0" w:color="auto"/>
        <w:right w:val="none" w:sz="0" w:space="0" w:color="auto"/>
      </w:divBdr>
    </w:div>
    <w:div w:id="996961579">
      <w:bodyDiv w:val="1"/>
      <w:marLeft w:val="0"/>
      <w:marRight w:val="0"/>
      <w:marTop w:val="0"/>
      <w:marBottom w:val="0"/>
      <w:divBdr>
        <w:top w:val="none" w:sz="0" w:space="0" w:color="auto"/>
        <w:left w:val="none" w:sz="0" w:space="0" w:color="auto"/>
        <w:bottom w:val="none" w:sz="0" w:space="0" w:color="auto"/>
        <w:right w:val="none" w:sz="0" w:space="0" w:color="auto"/>
      </w:divBdr>
    </w:div>
    <w:div w:id="997924789">
      <w:bodyDiv w:val="1"/>
      <w:marLeft w:val="0"/>
      <w:marRight w:val="0"/>
      <w:marTop w:val="0"/>
      <w:marBottom w:val="0"/>
      <w:divBdr>
        <w:top w:val="none" w:sz="0" w:space="0" w:color="auto"/>
        <w:left w:val="none" w:sz="0" w:space="0" w:color="auto"/>
        <w:bottom w:val="none" w:sz="0" w:space="0" w:color="auto"/>
        <w:right w:val="none" w:sz="0" w:space="0" w:color="auto"/>
      </w:divBdr>
    </w:div>
    <w:div w:id="997999674">
      <w:bodyDiv w:val="1"/>
      <w:marLeft w:val="0"/>
      <w:marRight w:val="0"/>
      <w:marTop w:val="0"/>
      <w:marBottom w:val="0"/>
      <w:divBdr>
        <w:top w:val="none" w:sz="0" w:space="0" w:color="auto"/>
        <w:left w:val="none" w:sz="0" w:space="0" w:color="auto"/>
        <w:bottom w:val="none" w:sz="0" w:space="0" w:color="auto"/>
        <w:right w:val="none" w:sz="0" w:space="0" w:color="auto"/>
      </w:divBdr>
    </w:div>
    <w:div w:id="998581546">
      <w:bodyDiv w:val="1"/>
      <w:marLeft w:val="0"/>
      <w:marRight w:val="0"/>
      <w:marTop w:val="0"/>
      <w:marBottom w:val="0"/>
      <w:divBdr>
        <w:top w:val="none" w:sz="0" w:space="0" w:color="auto"/>
        <w:left w:val="none" w:sz="0" w:space="0" w:color="auto"/>
        <w:bottom w:val="none" w:sz="0" w:space="0" w:color="auto"/>
        <w:right w:val="none" w:sz="0" w:space="0" w:color="auto"/>
      </w:divBdr>
    </w:div>
    <w:div w:id="998774192">
      <w:bodyDiv w:val="1"/>
      <w:marLeft w:val="0"/>
      <w:marRight w:val="0"/>
      <w:marTop w:val="0"/>
      <w:marBottom w:val="0"/>
      <w:divBdr>
        <w:top w:val="none" w:sz="0" w:space="0" w:color="auto"/>
        <w:left w:val="none" w:sz="0" w:space="0" w:color="auto"/>
        <w:bottom w:val="none" w:sz="0" w:space="0" w:color="auto"/>
        <w:right w:val="none" w:sz="0" w:space="0" w:color="auto"/>
      </w:divBdr>
    </w:div>
    <w:div w:id="998966360">
      <w:bodyDiv w:val="1"/>
      <w:marLeft w:val="0"/>
      <w:marRight w:val="0"/>
      <w:marTop w:val="0"/>
      <w:marBottom w:val="0"/>
      <w:divBdr>
        <w:top w:val="none" w:sz="0" w:space="0" w:color="auto"/>
        <w:left w:val="none" w:sz="0" w:space="0" w:color="auto"/>
        <w:bottom w:val="none" w:sz="0" w:space="0" w:color="auto"/>
        <w:right w:val="none" w:sz="0" w:space="0" w:color="auto"/>
      </w:divBdr>
    </w:div>
    <w:div w:id="999235763">
      <w:bodyDiv w:val="1"/>
      <w:marLeft w:val="0"/>
      <w:marRight w:val="0"/>
      <w:marTop w:val="0"/>
      <w:marBottom w:val="0"/>
      <w:divBdr>
        <w:top w:val="none" w:sz="0" w:space="0" w:color="auto"/>
        <w:left w:val="none" w:sz="0" w:space="0" w:color="auto"/>
        <w:bottom w:val="none" w:sz="0" w:space="0" w:color="auto"/>
        <w:right w:val="none" w:sz="0" w:space="0" w:color="auto"/>
      </w:divBdr>
    </w:div>
    <w:div w:id="999576312">
      <w:bodyDiv w:val="1"/>
      <w:marLeft w:val="0"/>
      <w:marRight w:val="0"/>
      <w:marTop w:val="0"/>
      <w:marBottom w:val="0"/>
      <w:divBdr>
        <w:top w:val="none" w:sz="0" w:space="0" w:color="auto"/>
        <w:left w:val="none" w:sz="0" w:space="0" w:color="auto"/>
        <w:bottom w:val="none" w:sz="0" w:space="0" w:color="auto"/>
        <w:right w:val="none" w:sz="0" w:space="0" w:color="auto"/>
      </w:divBdr>
    </w:div>
    <w:div w:id="999767445">
      <w:bodyDiv w:val="1"/>
      <w:marLeft w:val="0"/>
      <w:marRight w:val="0"/>
      <w:marTop w:val="0"/>
      <w:marBottom w:val="0"/>
      <w:divBdr>
        <w:top w:val="none" w:sz="0" w:space="0" w:color="auto"/>
        <w:left w:val="none" w:sz="0" w:space="0" w:color="auto"/>
        <w:bottom w:val="none" w:sz="0" w:space="0" w:color="auto"/>
        <w:right w:val="none" w:sz="0" w:space="0" w:color="auto"/>
      </w:divBdr>
    </w:div>
    <w:div w:id="1000086608">
      <w:bodyDiv w:val="1"/>
      <w:marLeft w:val="0"/>
      <w:marRight w:val="0"/>
      <w:marTop w:val="0"/>
      <w:marBottom w:val="0"/>
      <w:divBdr>
        <w:top w:val="none" w:sz="0" w:space="0" w:color="auto"/>
        <w:left w:val="none" w:sz="0" w:space="0" w:color="auto"/>
        <w:bottom w:val="none" w:sz="0" w:space="0" w:color="auto"/>
        <w:right w:val="none" w:sz="0" w:space="0" w:color="auto"/>
      </w:divBdr>
    </w:div>
    <w:div w:id="1000935260">
      <w:bodyDiv w:val="1"/>
      <w:marLeft w:val="0"/>
      <w:marRight w:val="0"/>
      <w:marTop w:val="0"/>
      <w:marBottom w:val="0"/>
      <w:divBdr>
        <w:top w:val="none" w:sz="0" w:space="0" w:color="auto"/>
        <w:left w:val="none" w:sz="0" w:space="0" w:color="auto"/>
        <w:bottom w:val="none" w:sz="0" w:space="0" w:color="auto"/>
        <w:right w:val="none" w:sz="0" w:space="0" w:color="auto"/>
      </w:divBdr>
    </w:div>
    <w:div w:id="1000936834">
      <w:bodyDiv w:val="1"/>
      <w:marLeft w:val="0"/>
      <w:marRight w:val="0"/>
      <w:marTop w:val="0"/>
      <w:marBottom w:val="0"/>
      <w:divBdr>
        <w:top w:val="none" w:sz="0" w:space="0" w:color="auto"/>
        <w:left w:val="none" w:sz="0" w:space="0" w:color="auto"/>
        <w:bottom w:val="none" w:sz="0" w:space="0" w:color="auto"/>
        <w:right w:val="none" w:sz="0" w:space="0" w:color="auto"/>
      </w:divBdr>
    </w:div>
    <w:div w:id="1000960956">
      <w:bodyDiv w:val="1"/>
      <w:marLeft w:val="0"/>
      <w:marRight w:val="0"/>
      <w:marTop w:val="0"/>
      <w:marBottom w:val="0"/>
      <w:divBdr>
        <w:top w:val="none" w:sz="0" w:space="0" w:color="auto"/>
        <w:left w:val="none" w:sz="0" w:space="0" w:color="auto"/>
        <w:bottom w:val="none" w:sz="0" w:space="0" w:color="auto"/>
        <w:right w:val="none" w:sz="0" w:space="0" w:color="auto"/>
      </w:divBdr>
    </w:div>
    <w:div w:id="1001202303">
      <w:bodyDiv w:val="1"/>
      <w:marLeft w:val="0"/>
      <w:marRight w:val="0"/>
      <w:marTop w:val="0"/>
      <w:marBottom w:val="0"/>
      <w:divBdr>
        <w:top w:val="none" w:sz="0" w:space="0" w:color="auto"/>
        <w:left w:val="none" w:sz="0" w:space="0" w:color="auto"/>
        <w:bottom w:val="none" w:sz="0" w:space="0" w:color="auto"/>
        <w:right w:val="none" w:sz="0" w:space="0" w:color="auto"/>
      </w:divBdr>
    </w:div>
    <w:div w:id="1001617602">
      <w:bodyDiv w:val="1"/>
      <w:marLeft w:val="0"/>
      <w:marRight w:val="0"/>
      <w:marTop w:val="0"/>
      <w:marBottom w:val="0"/>
      <w:divBdr>
        <w:top w:val="none" w:sz="0" w:space="0" w:color="auto"/>
        <w:left w:val="none" w:sz="0" w:space="0" w:color="auto"/>
        <w:bottom w:val="none" w:sz="0" w:space="0" w:color="auto"/>
        <w:right w:val="none" w:sz="0" w:space="0" w:color="auto"/>
      </w:divBdr>
    </w:div>
    <w:div w:id="1002274382">
      <w:bodyDiv w:val="1"/>
      <w:marLeft w:val="0"/>
      <w:marRight w:val="0"/>
      <w:marTop w:val="0"/>
      <w:marBottom w:val="0"/>
      <w:divBdr>
        <w:top w:val="none" w:sz="0" w:space="0" w:color="auto"/>
        <w:left w:val="none" w:sz="0" w:space="0" w:color="auto"/>
        <w:bottom w:val="none" w:sz="0" w:space="0" w:color="auto"/>
        <w:right w:val="none" w:sz="0" w:space="0" w:color="auto"/>
      </w:divBdr>
    </w:div>
    <w:div w:id="1002899898">
      <w:bodyDiv w:val="1"/>
      <w:marLeft w:val="0"/>
      <w:marRight w:val="0"/>
      <w:marTop w:val="0"/>
      <w:marBottom w:val="0"/>
      <w:divBdr>
        <w:top w:val="none" w:sz="0" w:space="0" w:color="auto"/>
        <w:left w:val="none" w:sz="0" w:space="0" w:color="auto"/>
        <w:bottom w:val="none" w:sz="0" w:space="0" w:color="auto"/>
        <w:right w:val="none" w:sz="0" w:space="0" w:color="auto"/>
      </w:divBdr>
    </w:div>
    <w:div w:id="1003241168">
      <w:bodyDiv w:val="1"/>
      <w:marLeft w:val="0"/>
      <w:marRight w:val="0"/>
      <w:marTop w:val="0"/>
      <w:marBottom w:val="0"/>
      <w:divBdr>
        <w:top w:val="none" w:sz="0" w:space="0" w:color="auto"/>
        <w:left w:val="none" w:sz="0" w:space="0" w:color="auto"/>
        <w:bottom w:val="none" w:sz="0" w:space="0" w:color="auto"/>
        <w:right w:val="none" w:sz="0" w:space="0" w:color="auto"/>
      </w:divBdr>
    </w:div>
    <w:div w:id="1003321764">
      <w:bodyDiv w:val="1"/>
      <w:marLeft w:val="0"/>
      <w:marRight w:val="0"/>
      <w:marTop w:val="0"/>
      <w:marBottom w:val="0"/>
      <w:divBdr>
        <w:top w:val="none" w:sz="0" w:space="0" w:color="auto"/>
        <w:left w:val="none" w:sz="0" w:space="0" w:color="auto"/>
        <w:bottom w:val="none" w:sz="0" w:space="0" w:color="auto"/>
        <w:right w:val="none" w:sz="0" w:space="0" w:color="auto"/>
      </w:divBdr>
    </w:div>
    <w:div w:id="1003439728">
      <w:bodyDiv w:val="1"/>
      <w:marLeft w:val="0"/>
      <w:marRight w:val="0"/>
      <w:marTop w:val="0"/>
      <w:marBottom w:val="0"/>
      <w:divBdr>
        <w:top w:val="none" w:sz="0" w:space="0" w:color="auto"/>
        <w:left w:val="none" w:sz="0" w:space="0" w:color="auto"/>
        <w:bottom w:val="none" w:sz="0" w:space="0" w:color="auto"/>
        <w:right w:val="none" w:sz="0" w:space="0" w:color="auto"/>
      </w:divBdr>
    </w:div>
    <w:div w:id="1004358507">
      <w:bodyDiv w:val="1"/>
      <w:marLeft w:val="0"/>
      <w:marRight w:val="0"/>
      <w:marTop w:val="0"/>
      <w:marBottom w:val="0"/>
      <w:divBdr>
        <w:top w:val="none" w:sz="0" w:space="0" w:color="auto"/>
        <w:left w:val="none" w:sz="0" w:space="0" w:color="auto"/>
        <w:bottom w:val="none" w:sz="0" w:space="0" w:color="auto"/>
        <w:right w:val="none" w:sz="0" w:space="0" w:color="auto"/>
      </w:divBdr>
    </w:div>
    <w:div w:id="1004938818">
      <w:bodyDiv w:val="1"/>
      <w:marLeft w:val="0"/>
      <w:marRight w:val="0"/>
      <w:marTop w:val="0"/>
      <w:marBottom w:val="0"/>
      <w:divBdr>
        <w:top w:val="none" w:sz="0" w:space="0" w:color="auto"/>
        <w:left w:val="none" w:sz="0" w:space="0" w:color="auto"/>
        <w:bottom w:val="none" w:sz="0" w:space="0" w:color="auto"/>
        <w:right w:val="none" w:sz="0" w:space="0" w:color="auto"/>
      </w:divBdr>
    </w:div>
    <w:div w:id="1005061751">
      <w:bodyDiv w:val="1"/>
      <w:marLeft w:val="0"/>
      <w:marRight w:val="0"/>
      <w:marTop w:val="0"/>
      <w:marBottom w:val="0"/>
      <w:divBdr>
        <w:top w:val="none" w:sz="0" w:space="0" w:color="auto"/>
        <w:left w:val="none" w:sz="0" w:space="0" w:color="auto"/>
        <w:bottom w:val="none" w:sz="0" w:space="0" w:color="auto"/>
        <w:right w:val="none" w:sz="0" w:space="0" w:color="auto"/>
      </w:divBdr>
    </w:div>
    <w:div w:id="1005203232">
      <w:bodyDiv w:val="1"/>
      <w:marLeft w:val="0"/>
      <w:marRight w:val="0"/>
      <w:marTop w:val="0"/>
      <w:marBottom w:val="0"/>
      <w:divBdr>
        <w:top w:val="none" w:sz="0" w:space="0" w:color="auto"/>
        <w:left w:val="none" w:sz="0" w:space="0" w:color="auto"/>
        <w:bottom w:val="none" w:sz="0" w:space="0" w:color="auto"/>
        <w:right w:val="none" w:sz="0" w:space="0" w:color="auto"/>
      </w:divBdr>
    </w:div>
    <w:div w:id="1005283941">
      <w:bodyDiv w:val="1"/>
      <w:marLeft w:val="0"/>
      <w:marRight w:val="0"/>
      <w:marTop w:val="0"/>
      <w:marBottom w:val="0"/>
      <w:divBdr>
        <w:top w:val="none" w:sz="0" w:space="0" w:color="auto"/>
        <w:left w:val="none" w:sz="0" w:space="0" w:color="auto"/>
        <w:bottom w:val="none" w:sz="0" w:space="0" w:color="auto"/>
        <w:right w:val="none" w:sz="0" w:space="0" w:color="auto"/>
      </w:divBdr>
    </w:div>
    <w:div w:id="1005740615">
      <w:bodyDiv w:val="1"/>
      <w:marLeft w:val="0"/>
      <w:marRight w:val="0"/>
      <w:marTop w:val="0"/>
      <w:marBottom w:val="0"/>
      <w:divBdr>
        <w:top w:val="none" w:sz="0" w:space="0" w:color="auto"/>
        <w:left w:val="none" w:sz="0" w:space="0" w:color="auto"/>
        <w:bottom w:val="none" w:sz="0" w:space="0" w:color="auto"/>
        <w:right w:val="none" w:sz="0" w:space="0" w:color="auto"/>
      </w:divBdr>
    </w:div>
    <w:div w:id="1006444425">
      <w:bodyDiv w:val="1"/>
      <w:marLeft w:val="0"/>
      <w:marRight w:val="0"/>
      <w:marTop w:val="0"/>
      <w:marBottom w:val="0"/>
      <w:divBdr>
        <w:top w:val="none" w:sz="0" w:space="0" w:color="auto"/>
        <w:left w:val="none" w:sz="0" w:space="0" w:color="auto"/>
        <w:bottom w:val="none" w:sz="0" w:space="0" w:color="auto"/>
        <w:right w:val="none" w:sz="0" w:space="0" w:color="auto"/>
      </w:divBdr>
    </w:div>
    <w:div w:id="1006788279">
      <w:bodyDiv w:val="1"/>
      <w:marLeft w:val="0"/>
      <w:marRight w:val="0"/>
      <w:marTop w:val="0"/>
      <w:marBottom w:val="0"/>
      <w:divBdr>
        <w:top w:val="none" w:sz="0" w:space="0" w:color="auto"/>
        <w:left w:val="none" w:sz="0" w:space="0" w:color="auto"/>
        <w:bottom w:val="none" w:sz="0" w:space="0" w:color="auto"/>
        <w:right w:val="none" w:sz="0" w:space="0" w:color="auto"/>
      </w:divBdr>
    </w:div>
    <w:div w:id="1006789794">
      <w:bodyDiv w:val="1"/>
      <w:marLeft w:val="0"/>
      <w:marRight w:val="0"/>
      <w:marTop w:val="0"/>
      <w:marBottom w:val="0"/>
      <w:divBdr>
        <w:top w:val="none" w:sz="0" w:space="0" w:color="auto"/>
        <w:left w:val="none" w:sz="0" w:space="0" w:color="auto"/>
        <w:bottom w:val="none" w:sz="0" w:space="0" w:color="auto"/>
        <w:right w:val="none" w:sz="0" w:space="0" w:color="auto"/>
      </w:divBdr>
    </w:div>
    <w:div w:id="1006900620">
      <w:bodyDiv w:val="1"/>
      <w:marLeft w:val="0"/>
      <w:marRight w:val="0"/>
      <w:marTop w:val="0"/>
      <w:marBottom w:val="0"/>
      <w:divBdr>
        <w:top w:val="none" w:sz="0" w:space="0" w:color="auto"/>
        <w:left w:val="none" w:sz="0" w:space="0" w:color="auto"/>
        <w:bottom w:val="none" w:sz="0" w:space="0" w:color="auto"/>
        <w:right w:val="none" w:sz="0" w:space="0" w:color="auto"/>
      </w:divBdr>
    </w:div>
    <w:div w:id="1007244476">
      <w:bodyDiv w:val="1"/>
      <w:marLeft w:val="0"/>
      <w:marRight w:val="0"/>
      <w:marTop w:val="0"/>
      <w:marBottom w:val="0"/>
      <w:divBdr>
        <w:top w:val="none" w:sz="0" w:space="0" w:color="auto"/>
        <w:left w:val="none" w:sz="0" w:space="0" w:color="auto"/>
        <w:bottom w:val="none" w:sz="0" w:space="0" w:color="auto"/>
        <w:right w:val="none" w:sz="0" w:space="0" w:color="auto"/>
      </w:divBdr>
    </w:div>
    <w:div w:id="1007635303">
      <w:bodyDiv w:val="1"/>
      <w:marLeft w:val="0"/>
      <w:marRight w:val="0"/>
      <w:marTop w:val="0"/>
      <w:marBottom w:val="0"/>
      <w:divBdr>
        <w:top w:val="none" w:sz="0" w:space="0" w:color="auto"/>
        <w:left w:val="none" w:sz="0" w:space="0" w:color="auto"/>
        <w:bottom w:val="none" w:sz="0" w:space="0" w:color="auto"/>
        <w:right w:val="none" w:sz="0" w:space="0" w:color="auto"/>
      </w:divBdr>
    </w:div>
    <w:div w:id="1007947582">
      <w:bodyDiv w:val="1"/>
      <w:marLeft w:val="0"/>
      <w:marRight w:val="0"/>
      <w:marTop w:val="0"/>
      <w:marBottom w:val="0"/>
      <w:divBdr>
        <w:top w:val="none" w:sz="0" w:space="0" w:color="auto"/>
        <w:left w:val="none" w:sz="0" w:space="0" w:color="auto"/>
        <w:bottom w:val="none" w:sz="0" w:space="0" w:color="auto"/>
        <w:right w:val="none" w:sz="0" w:space="0" w:color="auto"/>
      </w:divBdr>
    </w:div>
    <w:div w:id="1007949147">
      <w:bodyDiv w:val="1"/>
      <w:marLeft w:val="0"/>
      <w:marRight w:val="0"/>
      <w:marTop w:val="0"/>
      <w:marBottom w:val="0"/>
      <w:divBdr>
        <w:top w:val="none" w:sz="0" w:space="0" w:color="auto"/>
        <w:left w:val="none" w:sz="0" w:space="0" w:color="auto"/>
        <w:bottom w:val="none" w:sz="0" w:space="0" w:color="auto"/>
        <w:right w:val="none" w:sz="0" w:space="0" w:color="auto"/>
      </w:divBdr>
    </w:div>
    <w:div w:id="1008362056">
      <w:bodyDiv w:val="1"/>
      <w:marLeft w:val="0"/>
      <w:marRight w:val="0"/>
      <w:marTop w:val="0"/>
      <w:marBottom w:val="0"/>
      <w:divBdr>
        <w:top w:val="none" w:sz="0" w:space="0" w:color="auto"/>
        <w:left w:val="none" w:sz="0" w:space="0" w:color="auto"/>
        <w:bottom w:val="none" w:sz="0" w:space="0" w:color="auto"/>
        <w:right w:val="none" w:sz="0" w:space="0" w:color="auto"/>
      </w:divBdr>
    </w:div>
    <w:div w:id="1008681642">
      <w:bodyDiv w:val="1"/>
      <w:marLeft w:val="0"/>
      <w:marRight w:val="0"/>
      <w:marTop w:val="0"/>
      <w:marBottom w:val="0"/>
      <w:divBdr>
        <w:top w:val="none" w:sz="0" w:space="0" w:color="auto"/>
        <w:left w:val="none" w:sz="0" w:space="0" w:color="auto"/>
        <w:bottom w:val="none" w:sz="0" w:space="0" w:color="auto"/>
        <w:right w:val="none" w:sz="0" w:space="0" w:color="auto"/>
      </w:divBdr>
    </w:div>
    <w:div w:id="1008867814">
      <w:bodyDiv w:val="1"/>
      <w:marLeft w:val="0"/>
      <w:marRight w:val="0"/>
      <w:marTop w:val="0"/>
      <w:marBottom w:val="0"/>
      <w:divBdr>
        <w:top w:val="none" w:sz="0" w:space="0" w:color="auto"/>
        <w:left w:val="none" w:sz="0" w:space="0" w:color="auto"/>
        <w:bottom w:val="none" w:sz="0" w:space="0" w:color="auto"/>
        <w:right w:val="none" w:sz="0" w:space="0" w:color="auto"/>
      </w:divBdr>
    </w:div>
    <w:div w:id="1008870113">
      <w:bodyDiv w:val="1"/>
      <w:marLeft w:val="0"/>
      <w:marRight w:val="0"/>
      <w:marTop w:val="0"/>
      <w:marBottom w:val="0"/>
      <w:divBdr>
        <w:top w:val="none" w:sz="0" w:space="0" w:color="auto"/>
        <w:left w:val="none" w:sz="0" w:space="0" w:color="auto"/>
        <w:bottom w:val="none" w:sz="0" w:space="0" w:color="auto"/>
        <w:right w:val="none" w:sz="0" w:space="0" w:color="auto"/>
      </w:divBdr>
    </w:div>
    <w:div w:id="1009141375">
      <w:bodyDiv w:val="1"/>
      <w:marLeft w:val="0"/>
      <w:marRight w:val="0"/>
      <w:marTop w:val="0"/>
      <w:marBottom w:val="0"/>
      <w:divBdr>
        <w:top w:val="none" w:sz="0" w:space="0" w:color="auto"/>
        <w:left w:val="none" w:sz="0" w:space="0" w:color="auto"/>
        <w:bottom w:val="none" w:sz="0" w:space="0" w:color="auto"/>
        <w:right w:val="none" w:sz="0" w:space="0" w:color="auto"/>
      </w:divBdr>
    </w:div>
    <w:div w:id="1009142500">
      <w:bodyDiv w:val="1"/>
      <w:marLeft w:val="0"/>
      <w:marRight w:val="0"/>
      <w:marTop w:val="0"/>
      <w:marBottom w:val="0"/>
      <w:divBdr>
        <w:top w:val="none" w:sz="0" w:space="0" w:color="auto"/>
        <w:left w:val="none" w:sz="0" w:space="0" w:color="auto"/>
        <w:bottom w:val="none" w:sz="0" w:space="0" w:color="auto"/>
        <w:right w:val="none" w:sz="0" w:space="0" w:color="auto"/>
      </w:divBdr>
    </w:div>
    <w:div w:id="1009260376">
      <w:bodyDiv w:val="1"/>
      <w:marLeft w:val="0"/>
      <w:marRight w:val="0"/>
      <w:marTop w:val="0"/>
      <w:marBottom w:val="0"/>
      <w:divBdr>
        <w:top w:val="none" w:sz="0" w:space="0" w:color="auto"/>
        <w:left w:val="none" w:sz="0" w:space="0" w:color="auto"/>
        <w:bottom w:val="none" w:sz="0" w:space="0" w:color="auto"/>
        <w:right w:val="none" w:sz="0" w:space="0" w:color="auto"/>
      </w:divBdr>
    </w:div>
    <w:div w:id="1009796608">
      <w:bodyDiv w:val="1"/>
      <w:marLeft w:val="0"/>
      <w:marRight w:val="0"/>
      <w:marTop w:val="0"/>
      <w:marBottom w:val="0"/>
      <w:divBdr>
        <w:top w:val="none" w:sz="0" w:space="0" w:color="auto"/>
        <w:left w:val="none" w:sz="0" w:space="0" w:color="auto"/>
        <w:bottom w:val="none" w:sz="0" w:space="0" w:color="auto"/>
        <w:right w:val="none" w:sz="0" w:space="0" w:color="auto"/>
      </w:divBdr>
    </w:div>
    <w:div w:id="1011106144">
      <w:bodyDiv w:val="1"/>
      <w:marLeft w:val="0"/>
      <w:marRight w:val="0"/>
      <w:marTop w:val="0"/>
      <w:marBottom w:val="0"/>
      <w:divBdr>
        <w:top w:val="none" w:sz="0" w:space="0" w:color="auto"/>
        <w:left w:val="none" w:sz="0" w:space="0" w:color="auto"/>
        <w:bottom w:val="none" w:sz="0" w:space="0" w:color="auto"/>
        <w:right w:val="none" w:sz="0" w:space="0" w:color="auto"/>
      </w:divBdr>
    </w:div>
    <w:div w:id="1011368947">
      <w:bodyDiv w:val="1"/>
      <w:marLeft w:val="0"/>
      <w:marRight w:val="0"/>
      <w:marTop w:val="0"/>
      <w:marBottom w:val="0"/>
      <w:divBdr>
        <w:top w:val="none" w:sz="0" w:space="0" w:color="auto"/>
        <w:left w:val="none" w:sz="0" w:space="0" w:color="auto"/>
        <w:bottom w:val="none" w:sz="0" w:space="0" w:color="auto"/>
        <w:right w:val="none" w:sz="0" w:space="0" w:color="auto"/>
      </w:divBdr>
    </w:div>
    <w:div w:id="1011492295">
      <w:bodyDiv w:val="1"/>
      <w:marLeft w:val="0"/>
      <w:marRight w:val="0"/>
      <w:marTop w:val="0"/>
      <w:marBottom w:val="0"/>
      <w:divBdr>
        <w:top w:val="none" w:sz="0" w:space="0" w:color="auto"/>
        <w:left w:val="none" w:sz="0" w:space="0" w:color="auto"/>
        <w:bottom w:val="none" w:sz="0" w:space="0" w:color="auto"/>
        <w:right w:val="none" w:sz="0" w:space="0" w:color="auto"/>
      </w:divBdr>
    </w:div>
    <w:div w:id="1012028951">
      <w:bodyDiv w:val="1"/>
      <w:marLeft w:val="0"/>
      <w:marRight w:val="0"/>
      <w:marTop w:val="0"/>
      <w:marBottom w:val="0"/>
      <w:divBdr>
        <w:top w:val="none" w:sz="0" w:space="0" w:color="auto"/>
        <w:left w:val="none" w:sz="0" w:space="0" w:color="auto"/>
        <w:bottom w:val="none" w:sz="0" w:space="0" w:color="auto"/>
        <w:right w:val="none" w:sz="0" w:space="0" w:color="auto"/>
      </w:divBdr>
    </w:div>
    <w:div w:id="1012301679">
      <w:bodyDiv w:val="1"/>
      <w:marLeft w:val="0"/>
      <w:marRight w:val="0"/>
      <w:marTop w:val="0"/>
      <w:marBottom w:val="0"/>
      <w:divBdr>
        <w:top w:val="none" w:sz="0" w:space="0" w:color="auto"/>
        <w:left w:val="none" w:sz="0" w:space="0" w:color="auto"/>
        <w:bottom w:val="none" w:sz="0" w:space="0" w:color="auto"/>
        <w:right w:val="none" w:sz="0" w:space="0" w:color="auto"/>
      </w:divBdr>
    </w:div>
    <w:div w:id="1012563238">
      <w:bodyDiv w:val="1"/>
      <w:marLeft w:val="0"/>
      <w:marRight w:val="0"/>
      <w:marTop w:val="0"/>
      <w:marBottom w:val="0"/>
      <w:divBdr>
        <w:top w:val="none" w:sz="0" w:space="0" w:color="auto"/>
        <w:left w:val="none" w:sz="0" w:space="0" w:color="auto"/>
        <w:bottom w:val="none" w:sz="0" w:space="0" w:color="auto"/>
        <w:right w:val="none" w:sz="0" w:space="0" w:color="auto"/>
      </w:divBdr>
    </w:div>
    <w:div w:id="1012756626">
      <w:bodyDiv w:val="1"/>
      <w:marLeft w:val="0"/>
      <w:marRight w:val="0"/>
      <w:marTop w:val="0"/>
      <w:marBottom w:val="0"/>
      <w:divBdr>
        <w:top w:val="none" w:sz="0" w:space="0" w:color="auto"/>
        <w:left w:val="none" w:sz="0" w:space="0" w:color="auto"/>
        <w:bottom w:val="none" w:sz="0" w:space="0" w:color="auto"/>
        <w:right w:val="none" w:sz="0" w:space="0" w:color="auto"/>
      </w:divBdr>
    </w:div>
    <w:div w:id="1013072324">
      <w:bodyDiv w:val="1"/>
      <w:marLeft w:val="0"/>
      <w:marRight w:val="0"/>
      <w:marTop w:val="0"/>
      <w:marBottom w:val="0"/>
      <w:divBdr>
        <w:top w:val="none" w:sz="0" w:space="0" w:color="auto"/>
        <w:left w:val="none" w:sz="0" w:space="0" w:color="auto"/>
        <w:bottom w:val="none" w:sz="0" w:space="0" w:color="auto"/>
        <w:right w:val="none" w:sz="0" w:space="0" w:color="auto"/>
      </w:divBdr>
    </w:div>
    <w:div w:id="1013338279">
      <w:bodyDiv w:val="1"/>
      <w:marLeft w:val="0"/>
      <w:marRight w:val="0"/>
      <w:marTop w:val="0"/>
      <w:marBottom w:val="0"/>
      <w:divBdr>
        <w:top w:val="none" w:sz="0" w:space="0" w:color="auto"/>
        <w:left w:val="none" w:sz="0" w:space="0" w:color="auto"/>
        <w:bottom w:val="none" w:sz="0" w:space="0" w:color="auto"/>
        <w:right w:val="none" w:sz="0" w:space="0" w:color="auto"/>
      </w:divBdr>
    </w:div>
    <w:div w:id="1013459942">
      <w:bodyDiv w:val="1"/>
      <w:marLeft w:val="0"/>
      <w:marRight w:val="0"/>
      <w:marTop w:val="0"/>
      <w:marBottom w:val="0"/>
      <w:divBdr>
        <w:top w:val="none" w:sz="0" w:space="0" w:color="auto"/>
        <w:left w:val="none" w:sz="0" w:space="0" w:color="auto"/>
        <w:bottom w:val="none" w:sz="0" w:space="0" w:color="auto"/>
        <w:right w:val="none" w:sz="0" w:space="0" w:color="auto"/>
      </w:divBdr>
    </w:div>
    <w:div w:id="1013655281">
      <w:bodyDiv w:val="1"/>
      <w:marLeft w:val="0"/>
      <w:marRight w:val="0"/>
      <w:marTop w:val="0"/>
      <w:marBottom w:val="0"/>
      <w:divBdr>
        <w:top w:val="none" w:sz="0" w:space="0" w:color="auto"/>
        <w:left w:val="none" w:sz="0" w:space="0" w:color="auto"/>
        <w:bottom w:val="none" w:sz="0" w:space="0" w:color="auto"/>
        <w:right w:val="none" w:sz="0" w:space="0" w:color="auto"/>
      </w:divBdr>
    </w:div>
    <w:div w:id="1014301734">
      <w:bodyDiv w:val="1"/>
      <w:marLeft w:val="0"/>
      <w:marRight w:val="0"/>
      <w:marTop w:val="0"/>
      <w:marBottom w:val="0"/>
      <w:divBdr>
        <w:top w:val="none" w:sz="0" w:space="0" w:color="auto"/>
        <w:left w:val="none" w:sz="0" w:space="0" w:color="auto"/>
        <w:bottom w:val="none" w:sz="0" w:space="0" w:color="auto"/>
        <w:right w:val="none" w:sz="0" w:space="0" w:color="auto"/>
      </w:divBdr>
    </w:div>
    <w:div w:id="1014380341">
      <w:bodyDiv w:val="1"/>
      <w:marLeft w:val="0"/>
      <w:marRight w:val="0"/>
      <w:marTop w:val="0"/>
      <w:marBottom w:val="0"/>
      <w:divBdr>
        <w:top w:val="none" w:sz="0" w:space="0" w:color="auto"/>
        <w:left w:val="none" w:sz="0" w:space="0" w:color="auto"/>
        <w:bottom w:val="none" w:sz="0" w:space="0" w:color="auto"/>
        <w:right w:val="none" w:sz="0" w:space="0" w:color="auto"/>
      </w:divBdr>
    </w:div>
    <w:div w:id="1014768873">
      <w:bodyDiv w:val="1"/>
      <w:marLeft w:val="0"/>
      <w:marRight w:val="0"/>
      <w:marTop w:val="0"/>
      <w:marBottom w:val="0"/>
      <w:divBdr>
        <w:top w:val="none" w:sz="0" w:space="0" w:color="auto"/>
        <w:left w:val="none" w:sz="0" w:space="0" w:color="auto"/>
        <w:bottom w:val="none" w:sz="0" w:space="0" w:color="auto"/>
        <w:right w:val="none" w:sz="0" w:space="0" w:color="auto"/>
      </w:divBdr>
    </w:div>
    <w:div w:id="1015232751">
      <w:bodyDiv w:val="1"/>
      <w:marLeft w:val="0"/>
      <w:marRight w:val="0"/>
      <w:marTop w:val="0"/>
      <w:marBottom w:val="0"/>
      <w:divBdr>
        <w:top w:val="none" w:sz="0" w:space="0" w:color="auto"/>
        <w:left w:val="none" w:sz="0" w:space="0" w:color="auto"/>
        <w:bottom w:val="none" w:sz="0" w:space="0" w:color="auto"/>
        <w:right w:val="none" w:sz="0" w:space="0" w:color="auto"/>
      </w:divBdr>
    </w:div>
    <w:div w:id="1015888388">
      <w:bodyDiv w:val="1"/>
      <w:marLeft w:val="0"/>
      <w:marRight w:val="0"/>
      <w:marTop w:val="0"/>
      <w:marBottom w:val="0"/>
      <w:divBdr>
        <w:top w:val="none" w:sz="0" w:space="0" w:color="auto"/>
        <w:left w:val="none" w:sz="0" w:space="0" w:color="auto"/>
        <w:bottom w:val="none" w:sz="0" w:space="0" w:color="auto"/>
        <w:right w:val="none" w:sz="0" w:space="0" w:color="auto"/>
      </w:divBdr>
    </w:div>
    <w:div w:id="1016269955">
      <w:bodyDiv w:val="1"/>
      <w:marLeft w:val="0"/>
      <w:marRight w:val="0"/>
      <w:marTop w:val="0"/>
      <w:marBottom w:val="0"/>
      <w:divBdr>
        <w:top w:val="none" w:sz="0" w:space="0" w:color="auto"/>
        <w:left w:val="none" w:sz="0" w:space="0" w:color="auto"/>
        <w:bottom w:val="none" w:sz="0" w:space="0" w:color="auto"/>
        <w:right w:val="none" w:sz="0" w:space="0" w:color="auto"/>
      </w:divBdr>
    </w:div>
    <w:div w:id="1016535731">
      <w:bodyDiv w:val="1"/>
      <w:marLeft w:val="0"/>
      <w:marRight w:val="0"/>
      <w:marTop w:val="0"/>
      <w:marBottom w:val="0"/>
      <w:divBdr>
        <w:top w:val="none" w:sz="0" w:space="0" w:color="auto"/>
        <w:left w:val="none" w:sz="0" w:space="0" w:color="auto"/>
        <w:bottom w:val="none" w:sz="0" w:space="0" w:color="auto"/>
        <w:right w:val="none" w:sz="0" w:space="0" w:color="auto"/>
      </w:divBdr>
    </w:div>
    <w:div w:id="1016618446">
      <w:bodyDiv w:val="1"/>
      <w:marLeft w:val="0"/>
      <w:marRight w:val="0"/>
      <w:marTop w:val="0"/>
      <w:marBottom w:val="0"/>
      <w:divBdr>
        <w:top w:val="none" w:sz="0" w:space="0" w:color="auto"/>
        <w:left w:val="none" w:sz="0" w:space="0" w:color="auto"/>
        <w:bottom w:val="none" w:sz="0" w:space="0" w:color="auto"/>
        <w:right w:val="none" w:sz="0" w:space="0" w:color="auto"/>
      </w:divBdr>
    </w:div>
    <w:div w:id="1016999518">
      <w:bodyDiv w:val="1"/>
      <w:marLeft w:val="0"/>
      <w:marRight w:val="0"/>
      <w:marTop w:val="0"/>
      <w:marBottom w:val="0"/>
      <w:divBdr>
        <w:top w:val="none" w:sz="0" w:space="0" w:color="auto"/>
        <w:left w:val="none" w:sz="0" w:space="0" w:color="auto"/>
        <w:bottom w:val="none" w:sz="0" w:space="0" w:color="auto"/>
        <w:right w:val="none" w:sz="0" w:space="0" w:color="auto"/>
      </w:divBdr>
    </w:div>
    <w:div w:id="1017001193">
      <w:bodyDiv w:val="1"/>
      <w:marLeft w:val="0"/>
      <w:marRight w:val="0"/>
      <w:marTop w:val="0"/>
      <w:marBottom w:val="0"/>
      <w:divBdr>
        <w:top w:val="none" w:sz="0" w:space="0" w:color="auto"/>
        <w:left w:val="none" w:sz="0" w:space="0" w:color="auto"/>
        <w:bottom w:val="none" w:sz="0" w:space="0" w:color="auto"/>
        <w:right w:val="none" w:sz="0" w:space="0" w:color="auto"/>
      </w:divBdr>
    </w:div>
    <w:div w:id="1017074801">
      <w:bodyDiv w:val="1"/>
      <w:marLeft w:val="0"/>
      <w:marRight w:val="0"/>
      <w:marTop w:val="0"/>
      <w:marBottom w:val="0"/>
      <w:divBdr>
        <w:top w:val="none" w:sz="0" w:space="0" w:color="auto"/>
        <w:left w:val="none" w:sz="0" w:space="0" w:color="auto"/>
        <w:bottom w:val="none" w:sz="0" w:space="0" w:color="auto"/>
        <w:right w:val="none" w:sz="0" w:space="0" w:color="auto"/>
      </w:divBdr>
    </w:div>
    <w:div w:id="1017124932">
      <w:bodyDiv w:val="1"/>
      <w:marLeft w:val="0"/>
      <w:marRight w:val="0"/>
      <w:marTop w:val="0"/>
      <w:marBottom w:val="0"/>
      <w:divBdr>
        <w:top w:val="none" w:sz="0" w:space="0" w:color="auto"/>
        <w:left w:val="none" w:sz="0" w:space="0" w:color="auto"/>
        <w:bottom w:val="none" w:sz="0" w:space="0" w:color="auto"/>
        <w:right w:val="none" w:sz="0" w:space="0" w:color="auto"/>
      </w:divBdr>
    </w:div>
    <w:div w:id="1017467647">
      <w:bodyDiv w:val="1"/>
      <w:marLeft w:val="0"/>
      <w:marRight w:val="0"/>
      <w:marTop w:val="0"/>
      <w:marBottom w:val="0"/>
      <w:divBdr>
        <w:top w:val="none" w:sz="0" w:space="0" w:color="auto"/>
        <w:left w:val="none" w:sz="0" w:space="0" w:color="auto"/>
        <w:bottom w:val="none" w:sz="0" w:space="0" w:color="auto"/>
        <w:right w:val="none" w:sz="0" w:space="0" w:color="auto"/>
      </w:divBdr>
    </w:div>
    <w:div w:id="1017779145">
      <w:bodyDiv w:val="1"/>
      <w:marLeft w:val="0"/>
      <w:marRight w:val="0"/>
      <w:marTop w:val="0"/>
      <w:marBottom w:val="0"/>
      <w:divBdr>
        <w:top w:val="none" w:sz="0" w:space="0" w:color="auto"/>
        <w:left w:val="none" w:sz="0" w:space="0" w:color="auto"/>
        <w:bottom w:val="none" w:sz="0" w:space="0" w:color="auto"/>
        <w:right w:val="none" w:sz="0" w:space="0" w:color="auto"/>
      </w:divBdr>
    </w:div>
    <w:div w:id="1017848424">
      <w:bodyDiv w:val="1"/>
      <w:marLeft w:val="0"/>
      <w:marRight w:val="0"/>
      <w:marTop w:val="0"/>
      <w:marBottom w:val="0"/>
      <w:divBdr>
        <w:top w:val="none" w:sz="0" w:space="0" w:color="auto"/>
        <w:left w:val="none" w:sz="0" w:space="0" w:color="auto"/>
        <w:bottom w:val="none" w:sz="0" w:space="0" w:color="auto"/>
        <w:right w:val="none" w:sz="0" w:space="0" w:color="auto"/>
      </w:divBdr>
    </w:div>
    <w:div w:id="1017851448">
      <w:bodyDiv w:val="1"/>
      <w:marLeft w:val="0"/>
      <w:marRight w:val="0"/>
      <w:marTop w:val="0"/>
      <w:marBottom w:val="0"/>
      <w:divBdr>
        <w:top w:val="none" w:sz="0" w:space="0" w:color="auto"/>
        <w:left w:val="none" w:sz="0" w:space="0" w:color="auto"/>
        <w:bottom w:val="none" w:sz="0" w:space="0" w:color="auto"/>
        <w:right w:val="none" w:sz="0" w:space="0" w:color="auto"/>
      </w:divBdr>
    </w:div>
    <w:div w:id="1017923040">
      <w:bodyDiv w:val="1"/>
      <w:marLeft w:val="0"/>
      <w:marRight w:val="0"/>
      <w:marTop w:val="0"/>
      <w:marBottom w:val="0"/>
      <w:divBdr>
        <w:top w:val="none" w:sz="0" w:space="0" w:color="auto"/>
        <w:left w:val="none" w:sz="0" w:space="0" w:color="auto"/>
        <w:bottom w:val="none" w:sz="0" w:space="0" w:color="auto"/>
        <w:right w:val="none" w:sz="0" w:space="0" w:color="auto"/>
      </w:divBdr>
    </w:div>
    <w:div w:id="1018461266">
      <w:bodyDiv w:val="1"/>
      <w:marLeft w:val="0"/>
      <w:marRight w:val="0"/>
      <w:marTop w:val="0"/>
      <w:marBottom w:val="0"/>
      <w:divBdr>
        <w:top w:val="none" w:sz="0" w:space="0" w:color="auto"/>
        <w:left w:val="none" w:sz="0" w:space="0" w:color="auto"/>
        <w:bottom w:val="none" w:sz="0" w:space="0" w:color="auto"/>
        <w:right w:val="none" w:sz="0" w:space="0" w:color="auto"/>
      </w:divBdr>
    </w:div>
    <w:div w:id="1018508447">
      <w:bodyDiv w:val="1"/>
      <w:marLeft w:val="0"/>
      <w:marRight w:val="0"/>
      <w:marTop w:val="0"/>
      <w:marBottom w:val="0"/>
      <w:divBdr>
        <w:top w:val="none" w:sz="0" w:space="0" w:color="auto"/>
        <w:left w:val="none" w:sz="0" w:space="0" w:color="auto"/>
        <w:bottom w:val="none" w:sz="0" w:space="0" w:color="auto"/>
        <w:right w:val="none" w:sz="0" w:space="0" w:color="auto"/>
      </w:divBdr>
    </w:div>
    <w:div w:id="1019697440">
      <w:bodyDiv w:val="1"/>
      <w:marLeft w:val="0"/>
      <w:marRight w:val="0"/>
      <w:marTop w:val="0"/>
      <w:marBottom w:val="0"/>
      <w:divBdr>
        <w:top w:val="none" w:sz="0" w:space="0" w:color="auto"/>
        <w:left w:val="none" w:sz="0" w:space="0" w:color="auto"/>
        <w:bottom w:val="none" w:sz="0" w:space="0" w:color="auto"/>
        <w:right w:val="none" w:sz="0" w:space="0" w:color="auto"/>
      </w:divBdr>
    </w:div>
    <w:div w:id="1020009191">
      <w:bodyDiv w:val="1"/>
      <w:marLeft w:val="0"/>
      <w:marRight w:val="0"/>
      <w:marTop w:val="0"/>
      <w:marBottom w:val="0"/>
      <w:divBdr>
        <w:top w:val="none" w:sz="0" w:space="0" w:color="auto"/>
        <w:left w:val="none" w:sz="0" w:space="0" w:color="auto"/>
        <w:bottom w:val="none" w:sz="0" w:space="0" w:color="auto"/>
        <w:right w:val="none" w:sz="0" w:space="0" w:color="auto"/>
      </w:divBdr>
    </w:div>
    <w:div w:id="1020163046">
      <w:bodyDiv w:val="1"/>
      <w:marLeft w:val="0"/>
      <w:marRight w:val="0"/>
      <w:marTop w:val="0"/>
      <w:marBottom w:val="0"/>
      <w:divBdr>
        <w:top w:val="none" w:sz="0" w:space="0" w:color="auto"/>
        <w:left w:val="none" w:sz="0" w:space="0" w:color="auto"/>
        <w:bottom w:val="none" w:sz="0" w:space="0" w:color="auto"/>
        <w:right w:val="none" w:sz="0" w:space="0" w:color="auto"/>
      </w:divBdr>
    </w:div>
    <w:div w:id="1020818375">
      <w:bodyDiv w:val="1"/>
      <w:marLeft w:val="0"/>
      <w:marRight w:val="0"/>
      <w:marTop w:val="0"/>
      <w:marBottom w:val="0"/>
      <w:divBdr>
        <w:top w:val="none" w:sz="0" w:space="0" w:color="auto"/>
        <w:left w:val="none" w:sz="0" w:space="0" w:color="auto"/>
        <w:bottom w:val="none" w:sz="0" w:space="0" w:color="auto"/>
        <w:right w:val="none" w:sz="0" w:space="0" w:color="auto"/>
      </w:divBdr>
    </w:div>
    <w:div w:id="1020937466">
      <w:bodyDiv w:val="1"/>
      <w:marLeft w:val="0"/>
      <w:marRight w:val="0"/>
      <w:marTop w:val="0"/>
      <w:marBottom w:val="0"/>
      <w:divBdr>
        <w:top w:val="none" w:sz="0" w:space="0" w:color="auto"/>
        <w:left w:val="none" w:sz="0" w:space="0" w:color="auto"/>
        <w:bottom w:val="none" w:sz="0" w:space="0" w:color="auto"/>
        <w:right w:val="none" w:sz="0" w:space="0" w:color="auto"/>
      </w:divBdr>
    </w:div>
    <w:div w:id="1021974754">
      <w:bodyDiv w:val="1"/>
      <w:marLeft w:val="0"/>
      <w:marRight w:val="0"/>
      <w:marTop w:val="0"/>
      <w:marBottom w:val="0"/>
      <w:divBdr>
        <w:top w:val="none" w:sz="0" w:space="0" w:color="auto"/>
        <w:left w:val="none" w:sz="0" w:space="0" w:color="auto"/>
        <w:bottom w:val="none" w:sz="0" w:space="0" w:color="auto"/>
        <w:right w:val="none" w:sz="0" w:space="0" w:color="auto"/>
      </w:divBdr>
    </w:div>
    <w:div w:id="1022631103">
      <w:bodyDiv w:val="1"/>
      <w:marLeft w:val="0"/>
      <w:marRight w:val="0"/>
      <w:marTop w:val="0"/>
      <w:marBottom w:val="0"/>
      <w:divBdr>
        <w:top w:val="none" w:sz="0" w:space="0" w:color="auto"/>
        <w:left w:val="none" w:sz="0" w:space="0" w:color="auto"/>
        <w:bottom w:val="none" w:sz="0" w:space="0" w:color="auto"/>
        <w:right w:val="none" w:sz="0" w:space="0" w:color="auto"/>
      </w:divBdr>
    </w:div>
    <w:div w:id="1023556057">
      <w:bodyDiv w:val="1"/>
      <w:marLeft w:val="0"/>
      <w:marRight w:val="0"/>
      <w:marTop w:val="0"/>
      <w:marBottom w:val="0"/>
      <w:divBdr>
        <w:top w:val="none" w:sz="0" w:space="0" w:color="auto"/>
        <w:left w:val="none" w:sz="0" w:space="0" w:color="auto"/>
        <w:bottom w:val="none" w:sz="0" w:space="0" w:color="auto"/>
        <w:right w:val="none" w:sz="0" w:space="0" w:color="auto"/>
      </w:divBdr>
    </w:div>
    <w:div w:id="1023825140">
      <w:bodyDiv w:val="1"/>
      <w:marLeft w:val="0"/>
      <w:marRight w:val="0"/>
      <w:marTop w:val="0"/>
      <w:marBottom w:val="0"/>
      <w:divBdr>
        <w:top w:val="none" w:sz="0" w:space="0" w:color="auto"/>
        <w:left w:val="none" w:sz="0" w:space="0" w:color="auto"/>
        <w:bottom w:val="none" w:sz="0" w:space="0" w:color="auto"/>
        <w:right w:val="none" w:sz="0" w:space="0" w:color="auto"/>
      </w:divBdr>
    </w:div>
    <w:div w:id="1024213419">
      <w:bodyDiv w:val="1"/>
      <w:marLeft w:val="0"/>
      <w:marRight w:val="0"/>
      <w:marTop w:val="0"/>
      <w:marBottom w:val="0"/>
      <w:divBdr>
        <w:top w:val="none" w:sz="0" w:space="0" w:color="auto"/>
        <w:left w:val="none" w:sz="0" w:space="0" w:color="auto"/>
        <w:bottom w:val="none" w:sz="0" w:space="0" w:color="auto"/>
        <w:right w:val="none" w:sz="0" w:space="0" w:color="auto"/>
      </w:divBdr>
    </w:div>
    <w:div w:id="1024357119">
      <w:bodyDiv w:val="1"/>
      <w:marLeft w:val="0"/>
      <w:marRight w:val="0"/>
      <w:marTop w:val="0"/>
      <w:marBottom w:val="0"/>
      <w:divBdr>
        <w:top w:val="none" w:sz="0" w:space="0" w:color="auto"/>
        <w:left w:val="none" w:sz="0" w:space="0" w:color="auto"/>
        <w:bottom w:val="none" w:sz="0" w:space="0" w:color="auto"/>
        <w:right w:val="none" w:sz="0" w:space="0" w:color="auto"/>
      </w:divBdr>
    </w:div>
    <w:div w:id="1025055719">
      <w:bodyDiv w:val="1"/>
      <w:marLeft w:val="0"/>
      <w:marRight w:val="0"/>
      <w:marTop w:val="0"/>
      <w:marBottom w:val="0"/>
      <w:divBdr>
        <w:top w:val="none" w:sz="0" w:space="0" w:color="auto"/>
        <w:left w:val="none" w:sz="0" w:space="0" w:color="auto"/>
        <w:bottom w:val="none" w:sz="0" w:space="0" w:color="auto"/>
        <w:right w:val="none" w:sz="0" w:space="0" w:color="auto"/>
      </w:divBdr>
    </w:div>
    <w:div w:id="1025256476">
      <w:bodyDiv w:val="1"/>
      <w:marLeft w:val="0"/>
      <w:marRight w:val="0"/>
      <w:marTop w:val="0"/>
      <w:marBottom w:val="0"/>
      <w:divBdr>
        <w:top w:val="none" w:sz="0" w:space="0" w:color="auto"/>
        <w:left w:val="none" w:sz="0" w:space="0" w:color="auto"/>
        <w:bottom w:val="none" w:sz="0" w:space="0" w:color="auto"/>
        <w:right w:val="none" w:sz="0" w:space="0" w:color="auto"/>
      </w:divBdr>
    </w:div>
    <w:div w:id="1025322836">
      <w:bodyDiv w:val="1"/>
      <w:marLeft w:val="0"/>
      <w:marRight w:val="0"/>
      <w:marTop w:val="0"/>
      <w:marBottom w:val="0"/>
      <w:divBdr>
        <w:top w:val="none" w:sz="0" w:space="0" w:color="auto"/>
        <w:left w:val="none" w:sz="0" w:space="0" w:color="auto"/>
        <w:bottom w:val="none" w:sz="0" w:space="0" w:color="auto"/>
        <w:right w:val="none" w:sz="0" w:space="0" w:color="auto"/>
      </w:divBdr>
    </w:div>
    <w:div w:id="1025325236">
      <w:bodyDiv w:val="1"/>
      <w:marLeft w:val="0"/>
      <w:marRight w:val="0"/>
      <w:marTop w:val="0"/>
      <w:marBottom w:val="0"/>
      <w:divBdr>
        <w:top w:val="none" w:sz="0" w:space="0" w:color="auto"/>
        <w:left w:val="none" w:sz="0" w:space="0" w:color="auto"/>
        <w:bottom w:val="none" w:sz="0" w:space="0" w:color="auto"/>
        <w:right w:val="none" w:sz="0" w:space="0" w:color="auto"/>
      </w:divBdr>
    </w:div>
    <w:div w:id="1025905518">
      <w:bodyDiv w:val="1"/>
      <w:marLeft w:val="0"/>
      <w:marRight w:val="0"/>
      <w:marTop w:val="0"/>
      <w:marBottom w:val="0"/>
      <w:divBdr>
        <w:top w:val="none" w:sz="0" w:space="0" w:color="auto"/>
        <w:left w:val="none" w:sz="0" w:space="0" w:color="auto"/>
        <w:bottom w:val="none" w:sz="0" w:space="0" w:color="auto"/>
        <w:right w:val="none" w:sz="0" w:space="0" w:color="auto"/>
      </w:divBdr>
    </w:div>
    <w:div w:id="1026977811">
      <w:bodyDiv w:val="1"/>
      <w:marLeft w:val="0"/>
      <w:marRight w:val="0"/>
      <w:marTop w:val="0"/>
      <w:marBottom w:val="0"/>
      <w:divBdr>
        <w:top w:val="none" w:sz="0" w:space="0" w:color="auto"/>
        <w:left w:val="none" w:sz="0" w:space="0" w:color="auto"/>
        <w:bottom w:val="none" w:sz="0" w:space="0" w:color="auto"/>
        <w:right w:val="none" w:sz="0" w:space="0" w:color="auto"/>
      </w:divBdr>
    </w:div>
    <w:div w:id="1027370930">
      <w:bodyDiv w:val="1"/>
      <w:marLeft w:val="0"/>
      <w:marRight w:val="0"/>
      <w:marTop w:val="0"/>
      <w:marBottom w:val="0"/>
      <w:divBdr>
        <w:top w:val="none" w:sz="0" w:space="0" w:color="auto"/>
        <w:left w:val="none" w:sz="0" w:space="0" w:color="auto"/>
        <w:bottom w:val="none" w:sz="0" w:space="0" w:color="auto"/>
        <w:right w:val="none" w:sz="0" w:space="0" w:color="auto"/>
      </w:divBdr>
    </w:div>
    <w:div w:id="1027371438">
      <w:bodyDiv w:val="1"/>
      <w:marLeft w:val="0"/>
      <w:marRight w:val="0"/>
      <w:marTop w:val="0"/>
      <w:marBottom w:val="0"/>
      <w:divBdr>
        <w:top w:val="none" w:sz="0" w:space="0" w:color="auto"/>
        <w:left w:val="none" w:sz="0" w:space="0" w:color="auto"/>
        <w:bottom w:val="none" w:sz="0" w:space="0" w:color="auto"/>
        <w:right w:val="none" w:sz="0" w:space="0" w:color="auto"/>
      </w:divBdr>
    </w:div>
    <w:div w:id="1028869944">
      <w:bodyDiv w:val="1"/>
      <w:marLeft w:val="0"/>
      <w:marRight w:val="0"/>
      <w:marTop w:val="0"/>
      <w:marBottom w:val="0"/>
      <w:divBdr>
        <w:top w:val="none" w:sz="0" w:space="0" w:color="auto"/>
        <w:left w:val="none" w:sz="0" w:space="0" w:color="auto"/>
        <w:bottom w:val="none" w:sz="0" w:space="0" w:color="auto"/>
        <w:right w:val="none" w:sz="0" w:space="0" w:color="auto"/>
      </w:divBdr>
    </w:div>
    <w:div w:id="1029380854">
      <w:bodyDiv w:val="1"/>
      <w:marLeft w:val="0"/>
      <w:marRight w:val="0"/>
      <w:marTop w:val="0"/>
      <w:marBottom w:val="0"/>
      <w:divBdr>
        <w:top w:val="none" w:sz="0" w:space="0" w:color="auto"/>
        <w:left w:val="none" w:sz="0" w:space="0" w:color="auto"/>
        <w:bottom w:val="none" w:sz="0" w:space="0" w:color="auto"/>
        <w:right w:val="none" w:sz="0" w:space="0" w:color="auto"/>
      </w:divBdr>
    </w:div>
    <w:div w:id="1029457348">
      <w:bodyDiv w:val="1"/>
      <w:marLeft w:val="0"/>
      <w:marRight w:val="0"/>
      <w:marTop w:val="0"/>
      <w:marBottom w:val="0"/>
      <w:divBdr>
        <w:top w:val="none" w:sz="0" w:space="0" w:color="auto"/>
        <w:left w:val="none" w:sz="0" w:space="0" w:color="auto"/>
        <w:bottom w:val="none" w:sz="0" w:space="0" w:color="auto"/>
        <w:right w:val="none" w:sz="0" w:space="0" w:color="auto"/>
      </w:divBdr>
    </w:div>
    <w:div w:id="1030913031">
      <w:bodyDiv w:val="1"/>
      <w:marLeft w:val="0"/>
      <w:marRight w:val="0"/>
      <w:marTop w:val="0"/>
      <w:marBottom w:val="0"/>
      <w:divBdr>
        <w:top w:val="none" w:sz="0" w:space="0" w:color="auto"/>
        <w:left w:val="none" w:sz="0" w:space="0" w:color="auto"/>
        <w:bottom w:val="none" w:sz="0" w:space="0" w:color="auto"/>
        <w:right w:val="none" w:sz="0" w:space="0" w:color="auto"/>
      </w:divBdr>
    </w:div>
    <w:div w:id="1031034489">
      <w:bodyDiv w:val="1"/>
      <w:marLeft w:val="0"/>
      <w:marRight w:val="0"/>
      <w:marTop w:val="0"/>
      <w:marBottom w:val="0"/>
      <w:divBdr>
        <w:top w:val="none" w:sz="0" w:space="0" w:color="auto"/>
        <w:left w:val="none" w:sz="0" w:space="0" w:color="auto"/>
        <w:bottom w:val="none" w:sz="0" w:space="0" w:color="auto"/>
        <w:right w:val="none" w:sz="0" w:space="0" w:color="auto"/>
      </w:divBdr>
    </w:div>
    <w:div w:id="1031956464">
      <w:bodyDiv w:val="1"/>
      <w:marLeft w:val="0"/>
      <w:marRight w:val="0"/>
      <w:marTop w:val="0"/>
      <w:marBottom w:val="0"/>
      <w:divBdr>
        <w:top w:val="none" w:sz="0" w:space="0" w:color="auto"/>
        <w:left w:val="none" w:sz="0" w:space="0" w:color="auto"/>
        <w:bottom w:val="none" w:sz="0" w:space="0" w:color="auto"/>
        <w:right w:val="none" w:sz="0" w:space="0" w:color="auto"/>
      </w:divBdr>
    </w:div>
    <w:div w:id="1032537563">
      <w:bodyDiv w:val="1"/>
      <w:marLeft w:val="0"/>
      <w:marRight w:val="0"/>
      <w:marTop w:val="0"/>
      <w:marBottom w:val="0"/>
      <w:divBdr>
        <w:top w:val="none" w:sz="0" w:space="0" w:color="auto"/>
        <w:left w:val="none" w:sz="0" w:space="0" w:color="auto"/>
        <w:bottom w:val="none" w:sz="0" w:space="0" w:color="auto"/>
        <w:right w:val="none" w:sz="0" w:space="0" w:color="auto"/>
      </w:divBdr>
    </w:div>
    <w:div w:id="1033648062">
      <w:bodyDiv w:val="1"/>
      <w:marLeft w:val="0"/>
      <w:marRight w:val="0"/>
      <w:marTop w:val="0"/>
      <w:marBottom w:val="0"/>
      <w:divBdr>
        <w:top w:val="none" w:sz="0" w:space="0" w:color="auto"/>
        <w:left w:val="none" w:sz="0" w:space="0" w:color="auto"/>
        <w:bottom w:val="none" w:sz="0" w:space="0" w:color="auto"/>
        <w:right w:val="none" w:sz="0" w:space="0" w:color="auto"/>
      </w:divBdr>
    </w:div>
    <w:div w:id="1033922511">
      <w:bodyDiv w:val="1"/>
      <w:marLeft w:val="0"/>
      <w:marRight w:val="0"/>
      <w:marTop w:val="0"/>
      <w:marBottom w:val="0"/>
      <w:divBdr>
        <w:top w:val="none" w:sz="0" w:space="0" w:color="auto"/>
        <w:left w:val="none" w:sz="0" w:space="0" w:color="auto"/>
        <w:bottom w:val="none" w:sz="0" w:space="0" w:color="auto"/>
        <w:right w:val="none" w:sz="0" w:space="0" w:color="auto"/>
      </w:divBdr>
    </w:div>
    <w:div w:id="1034386469">
      <w:bodyDiv w:val="1"/>
      <w:marLeft w:val="0"/>
      <w:marRight w:val="0"/>
      <w:marTop w:val="0"/>
      <w:marBottom w:val="0"/>
      <w:divBdr>
        <w:top w:val="none" w:sz="0" w:space="0" w:color="auto"/>
        <w:left w:val="none" w:sz="0" w:space="0" w:color="auto"/>
        <w:bottom w:val="none" w:sz="0" w:space="0" w:color="auto"/>
        <w:right w:val="none" w:sz="0" w:space="0" w:color="auto"/>
      </w:divBdr>
    </w:div>
    <w:div w:id="1034505529">
      <w:bodyDiv w:val="1"/>
      <w:marLeft w:val="0"/>
      <w:marRight w:val="0"/>
      <w:marTop w:val="0"/>
      <w:marBottom w:val="0"/>
      <w:divBdr>
        <w:top w:val="none" w:sz="0" w:space="0" w:color="auto"/>
        <w:left w:val="none" w:sz="0" w:space="0" w:color="auto"/>
        <w:bottom w:val="none" w:sz="0" w:space="0" w:color="auto"/>
        <w:right w:val="none" w:sz="0" w:space="0" w:color="auto"/>
      </w:divBdr>
    </w:div>
    <w:div w:id="1034815826">
      <w:bodyDiv w:val="1"/>
      <w:marLeft w:val="0"/>
      <w:marRight w:val="0"/>
      <w:marTop w:val="0"/>
      <w:marBottom w:val="0"/>
      <w:divBdr>
        <w:top w:val="none" w:sz="0" w:space="0" w:color="auto"/>
        <w:left w:val="none" w:sz="0" w:space="0" w:color="auto"/>
        <w:bottom w:val="none" w:sz="0" w:space="0" w:color="auto"/>
        <w:right w:val="none" w:sz="0" w:space="0" w:color="auto"/>
      </w:divBdr>
    </w:div>
    <w:div w:id="1035495952">
      <w:bodyDiv w:val="1"/>
      <w:marLeft w:val="0"/>
      <w:marRight w:val="0"/>
      <w:marTop w:val="0"/>
      <w:marBottom w:val="0"/>
      <w:divBdr>
        <w:top w:val="none" w:sz="0" w:space="0" w:color="auto"/>
        <w:left w:val="none" w:sz="0" w:space="0" w:color="auto"/>
        <w:bottom w:val="none" w:sz="0" w:space="0" w:color="auto"/>
        <w:right w:val="none" w:sz="0" w:space="0" w:color="auto"/>
      </w:divBdr>
    </w:div>
    <w:div w:id="1036269966">
      <w:bodyDiv w:val="1"/>
      <w:marLeft w:val="0"/>
      <w:marRight w:val="0"/>
      <w:marTop w:val="0"/>
      <w:marBottom w:val="0"/>
      <w:divBdr>
        <w:top w:val="none" w:sz="0" w:space="0" w:color="auto"/>
        <w:left w:val="none" w:sz="0" w:space="0" w:color="auto"/>
        <w:bottom w:val="none" w:sz="0" w:space="0" w:color="auto"/>
        <w:right w:val="none" w:sz="0" w:space="0" w:color="auto"/>
      </w:divBdr>
    </w:div>
    <w:div w:id="1036738037">
      <w:bodyDiv w:val="1"/>
      <w:marLeft w:val="0"/>
      <w:marRight w:val="0"/>
      <w:marTop w:val="0"/>
      <w:marBottom w:val="0"/>
      <w:divBdr>
        <w:top w:val="none" w:sz="0" w:space="0" w:color="auto"/>
        <w:left w:val="none" w:sz="0" w:space="0" w:color="auto"/>
        <w:bottom w:val="none" w:sz="0" w:space="0" w:color="auto"/>
        <w:right w:val="none" w:sz="0" w:space="0" w:color="auto"/>
      </w:divBdr>
    </w:div>
    <w:div w:id="1037002993">
      <w:bodyDiv w:val="1"/>
      <w:marLeft w:val="0"/>
      <w:marRight w:val="0"/>
      <w:marTop w:val="0"/>
      <w:marBottom w:val="0"/>
      <w:divBdr>
        <w:top w:val="none" w:sz="0" w:space="0" w:color="auto"/>
        <w:left w:val="none" w:sz="0" w:space="0" w:color="auto"/>
        <w:bottom w:val="none" w:sz="0" w:space="0" w:color="auto"/>
        <w:right w:val="none" w:sz="0" w:space="0" w:color="auto"/>
      </w:divBdr>
    </w:div>
    <w:div w:id="1037008743">
      <w:bodyDiv w:val="1"/>
      <w:marLeft w:val="0"/>
      <w:marRight w:val="0"/>
      <w:marTop w:val="0"/>
      <w:marBottom w:val="0"/>
      <w:divBdr>
        <w:top w:val="none" w:sz="0" w:space="0" w:color="auto"/>
        <w:left w:val="none" w:sz="0" w:space="0" w:color="auto"/>
        <w:bottom w:val="none" w:sz="0" w:space="0" w:color="auto"/>
        <w:right w:val="none" w:sz="0" w:space="0" w:color="auto"/>
      </w:divBdr>
    </w:div>
    <w:div w:id="1037196231">
      <w:bodyDiv w:val="1"/>
      <w:marLeft w:val="0"/>
      <w:marRight w:val="0"/>
      <w:marTop w:val="0"/>
      <w:marBottom w:val="0"/>
      <w:divBdr>
        <w:top w:val="none" w:sz="0" w:space="0" w:color="auto"/>
        <w:left w:val="none" w:sz="0" w:space="0" w:color="auto"/>
        <w:bottom w:val="none" w:sz="0" w:space="0" w:color="auto"/>
        <w:right w:val="none" w:sz="0" w:space="0" w:color="auto"/>
      </w:divBdr>
    </w:div>
    <w:div w:id="1037509623">
      <w:bodyDiv w:val="1"/>
      <w:marLeft w:val="0"/>
      <w:marRight w:val="0"/>
      <w:marTop w:val="0"/>
      <w:marBottom w:val="0"/>
      <w:divBdr>
        <w:top w:val="none" w:sz="0" w:space="0" w:color="auto"/>
        <w:left w:val="none" w:sz="0" w:space="0" w:color="auto"/>
        <w:bottom w:val="none" w:sz="0" w:space="0" w:color="auto"/>
        <w:right w:val="none" w:sz="0" w:space="0" w:color="auto"/>
      </w:divBdr>
    </w:div>
    <w:div w:id="1037510038">
      <w:bodyDiv w:val="1"/>
      <w:marLeft w:val="0"/>
      <w:marRight w:val="0"/>
      <w:marTop w:val="0"/>
      <w:marBottom w:val="0"/>
      <w:divBdr>
        <w:top w:val="none" w:sz="0" w:space="0" w:color="auto"/>
        <w:left w:val="none" w:sz="0" w:space="0" w:color="auto"/>
        <w:bottom w:val="none" w:sz="0" w:space="0" w:color="auto"/>
        <w:right w:val="none" w:sz="0" w:space="0" w:color="auto"/>
      </w:divBdr>
    </w:div>
    <w:div w:id="1037512752">
      <w:bodyDiv w:val="1"/>
      <w:marLeft w:val="0"/>
      <w:marRight w:val="0"/>
      <w:marTop w:val="0"/>
      <w:marBottom w:val="0"/>
      <w:divBdr>
        <w:top w:val="none" w:sz="0" w:space="0" w:color="auto"/>
        <w:left w:val="none" w:sz="0" w:space="0" w:color="auto"/>
        <w:bottom w:val="none" w:sz="0" w:space="0" w:color="auto"/>
        <w:right w:val="none" w:sz="0" w:space="0" w:color="auto"/>
      </w:divBdr>
    </w:div>
    <w:div w:id="1037660168">
      <w:bodyDiv w:val="1"/>
      <w:marLeft w:val="0"/>
      <w:marRight w:val="0"/>
      <w:marTop w:val="0"/>
      <w:marBottom w:val="0"/>
      <w:divBdr>
        <w:top w:val="none" w:sz="0" w:space="0" w:color="auto"/>
        <w:left w:val="none" w:sz="0" w:space="0" w:color="auto"/>
        <w:bottom w:val="none" w:sz="0" w:space="0" w:color="auto"/>
        <w:right w:val="none" w:sz="0" w:space="0" w:color="auto"/>
      </w:divBdr>
    </w:div>
    <w:div w:id="1039162060">
      <w:bodyDiv w:val="1"/>
      <w:marLeft w:val="0"/>
      <w:marRight w:val="0"/>
      <w:marTop w:val="0"/>
      <w:marBottom w:val="0"/>
      <w:divBdr>
        <w:top w:val="none" w:sz="0" w:space="0" w:color="auto"/>
        <w:left w:val="none" w:sz="0" w:space="0" w:color="auto"/>
        <w:bottom w:val="none" w:sz="0" w:space="0" w:color="auto"/>
        <w:right w:val="none" w:sz="0" w:space="0" w:color="auto"/>
      </w:divBdr>
    </w:div>
    <w:div w:id="1040667340">
      <w:bodyDiv w:val="1"/>
      <w:marLeft w:val="0"/>
      <w:marRight w:val="0"/>
      <w:marTop w:val="0"/>
      <w:marBottom w:val="0"/>
      <w:divBdr>
        <w:top w:val="none" w:sz="0" w:space="0" w:color="auto"/>
        <w:left w:val="none" w:sz="0" w:space="0" w:color="auto"/>
        <w:bottom w:val="none" w:sz="0" w:space="0" w:color="auto"/>
        <w:right w:val="none" w:sz="0" w:space="0" w:color="auto"/>
      </w:divBdr>
    </w:div>
    <w:div w:id="1040741685">
      <w:bodyDiv w:val="1"/>
      <w:marLeft w:val="0"/>
      <w:marRight w:val="0"/>
      <w:marTop w:val="0"/>
      <w:marBottom w:val="0"/>
      <w:divBdr>
        <w:top w:val="none" w:sz="0" w:space="0" w:color="auto"/>
        <w:left w:val="none" w:sz="0" w:space="0" w:color="auto"/>
        <w:bottom w:val="none" w:sz="0" w:space="0" w:color="auto"/>
        <w:right w:val="none" w:sz="0" w:space="0" w:color="auto"/>
      </w:divBdr>
    </w:div>
    <w:div w:id="1041321482">
      <w:bodyDiv w:val="1"/>
      <w:marLeft w:val="0"/>
      <w:marRight w:val="0"/>
      <w:marTop w:val="0"/>
      <w:marBottom w:val="0"/>
      <w:divBdr>
        <w:top w:val="none" w:sz="0" w:space="0" w:color="auto"/>
        <w:left w:val="none" w:sz="0" w:space="0" w:color="auto"/>
        <w:bottom w:val="none" w:sz="0" w:space="0" w:color="auto"/>
        <w:right w:val="none" w:sz="0" w:space="0" w:color="auto"/>
      </w:divBdr>
    </w:div>
    <w:div w:id="1042679235">
      <w:bodyDiv w:val="1"/>
      <w:marLeft w:val="0"/>
      <w:marRight w:val="0"/>
      <w:marTop w:val="0"/>
      <w:marBottom w:val="0"/>
      <w:divBdr>
        <w:top w:val="none" w:sz="0" w:space="0" w:color="auto"/>
        <w:left w:val="none" w:sz="0" w:space="0" w:color="auto"/>
        <w:bottom w:val="none" w:sz="0" w:space="0" w:color="auto"/>
        <w:right w:val="none" w:sz="0" w:space="0" w:color="auto"/>
      </w:divBdr>
    </w:div>
    <w:div w:id="1042754437">
      <w:bodyDiv w:val="1"/>
      <w:marLeft w:val="0"/>
      <w:marRight w:val="0"/>
      <w:marTop w:val="0"/>
      <w:marBottom w:val="0"/>
      <w:divBdr>
        <w:top w:val="none" w:sz="0" w:space="0" w:color="auto"/>
        <w:left w:val="none" w:sz="0" w:space="0" w:color="auto"/>
        <w:bottom w:val="none" w:sz="0" w:space="0" w:color="auto"/>
        <w:right w:val="none" w:sz="0" w:space="0" w:color="auto"/>
      </w:divBdr>
    </w:div>
    <w:div w:id="1042830751">
      <w:bodyDiv w:val="1"/>
      <w:marLeft w:val="0"/>
      <w:marRight w:val="0"/>
      <w:marTop w:val="0"/>
      <w:marBottom w:val="0"/>
      <w:divBdr>
        <w:top w:val="none" w:sz="0" w:space="0" w:color="auto"/>
        <w:left w:val="none" w:sz="0" w:space="0" w:color="auto"/>
        <w:bottom w:val="none" w:sz="0" w:space="0" w:color="auto"/>
        <w:right w:val="none" w:sz="0" w:space="0" w:color="auto"/>
      </w:divBdr>
    </w:div>
    <w:div w:id="1042900948">
      <w:bodyDiv w:val="1"/>
      <w:marLeft w:val="0"/>
      <w:marRight w:val="0"/>
      <w:marTop w:val="0"/>
      <w:marBottom w:val="0"/>
      <w:divBdr>
        <w:top w:val="none" w:sz="0" w:space="0" w:color="auto"/>
        <w:left w:val="none" w:sz="0" w:space="0" w:color="auto"/>
        <w:bottom w:val="none" w:sz="0" w:space="0" w:color="auto"/>
        <w:right w:val="none" w:sz="0" w:space="0" w:color="auto"/>
      </w:divBdr>
    </w:div>
    <w:div w:id="1044063644">
      <w:bodyDiv w:val="1"/>
      <w:marLeft w:val="0"/>
      <w:marRight w:val="0"/>
      <w:marTop w:val="0"/>
      <w:marBottom w:val="0"/>
      <w:divBdr>
        <w:top w:val="none" w:sz="0" w:space="0" w:color="auto"/>
        <w:left w:val="none" w:sz="0" w:space="0" w:color="auto"/>
        <w:bottom w:val="none" w:sz="0" w:space="0" w:color="auto"/>
        <w:right w:val="none" w:sz="0" w:space="0" w:color="auto"/>
      </w:divBdr>
    </w:div>
    <w:div w:id="1044211036">
      <w:bodyDiv w:val="1"/>
      <w:marLeft w:val="0"/>
      <w:marRight w:val="0"/>
      <w:marTop w:val="0"/>
      <w:marBottom w:val="0"/>
      <w:divBdr>
        <w:top w:val="none" w:sz="0" w:space="0" w:color="auto"/>
        <w:left w:val="none" w:sz="0" w:space="0" w:color="auto"/>
        <w:bottom w:val="none" w:sz="0" w:space="0" w:color="auto"/>
        <w:right w:val="none" w:sz="0" w:space="0" w:color="auto"/>
      </w:divBdr>
    </w:div>
    <w:div w:id="1044402042">
      <w:bodyDiv w:val="1"/>
      <w:marLeft w:val="0"/>
      <w:marRight w:val="0"/>
      <w:marTop w:val="0"/>
      <w:marBottom w:val="0"/>
      <w:divBdr>
        <w:top w:val="none" w:sz="0" w:space="0" w:color="auto"/>
        <w:left w:val="none" w:sz="0" w:space="0" w:color="auto"/>
        <w:bottom w:val="none" w:sz="0" w:space="0" w:color="auto"/>
        <w:right w:val="none" w:sz="0" w:space="0" w:color="auto"/>
      </w:divBdr>
    </w:div>
    <w:div w:id="1044646382">
      <w:bodyDiv w:val="1"/>
      <w:marLeft w:val="0"/>
      <w:marRight w:val="0"/>
      <w:marTop w:val="0"/>
      <w:marBottom w:val="0"/>
      <w:divBdr>
        <w:top w:val="none" w:sz="0" w:space="0" w:color="auto"/>
        <w:left w:val="none" w:sz="0" w:space="0" w:color="auto"/>
        <w:bottom w:val="none" w:sz="0" w:space="0" w:color="auto"/>
        <w:right w:val="none" w:sz="0" w:space="0" w:color="auto"/>
      </w:divBdr>
    </w:div>
    <w:div w:id="1045182419">
      <w:bodyDiv w:val="1"/>
      <w:marLeft w:val="0"/>
      <w:marRight w:val="0"/>
      <w:marTop w:val="0"/>
      <w:marBottom w:val="0"/>
      <w:divBdr>
        <w:top w:val="none" w:sz="0" w:space="0" w:color="auto"/>
        <w:left w:val="none" w:sz="0" w:space="0" w:color="auto"/>
        <w:bottom w:val="none" w:sz="0" w:space="0" w:color="auto"/>
        <w:right w:val="none" w:sz="0" w:space="0" w:color="auto"/>
      </w:divBdr>
    </w:div>
    <w:div w:id="1046763003">
      <w:bodyDiv w:val="1"/>
      <w:marLeft w:val="0"/>
      <w:marRight w:val="0"/>
      <w:marTop w:val="0"/>
      <w:marBottom w:val="0"/>
      <w:divBdr>
        <w:top w:val="none" w:sz="0" w:space="0" w:color="auto"/>
        <w:left w:val="none" w:sz="0" w:space="0" w:color="auto"/>
        <w:bottom w:val="none" w:sz="0" w:space="0" w:color="auto"/>
        <w:right w:val="none" w:sz="0" w:space="0" w:color="auto"/>
      </w:divBdr>
    </w:div>
    <w:div w:id="1047140221">
      <w:bodyDiv w:val="1"/>
      <w:marLeft w:val="0"/>
      <w:marRight w:val="0"/>
      <w:marTop w:val="0"/>
      <w:marBottom w:val="0"/>
      <w:divBdr>
        <w:top w:val="none" w:sz="0" w:space="0" w:color="auto"/>
        <w:left w:val="none" w:sz="0" w:space="0" w:color="auto"/>
        <w:bottom w:val="none" w:sz="0" w:space="0" w:color="auto"/>
        <w:right w:val="none" w:sz="0" w:space="0" w:color="auto"/>
      </w:divBdr>
    </w:div>
    <w:div w:id="1047339032">
      <w:bodyDiv w:val="1"/>
      <w:marLeft w:val="0"/>
      <w:marRight w:val="0"/>
      <w:marTop w:val="0"/>
      <w:marBottom w:val="0"/>
      <w:divBdr>
        <w:top w:val="none" w:sz="0" w:space="0" w:color="auto"/>
        <w:left w:val="none" w:sz="0" w:space="0" w:color="auto"/>
        <w:bottom w:val="none" w:sz="0" w:space="0" w:color="auto"/>
        <w:right w:val="none" w:sz="0" w:space="0" w:color="auto"/>
      </w:divBdr>
    </w:div>
    <w:div w:id="1047409563">
      <w:bodyDiv w:val="1"/>
      <w:marLeft w:val="0"/>
      <w:marRight w:val="0"/>
      <w:marTop w:val="0"/>
      <w:marBottom w:val="0"/>
      <w:divBdr>
        <w:top w:val="none" w:sz="0" w:space="0" w:color="auto"/>
        <w:left w:val="none" w:sz="0" w:space="0" w:color="auto"/>
        <w:bottom w:val="none" w:sz="0" w:space="0" w:color="auto"/>
        <w:right w:val="none" w:sz="0" w:space="0" w:color="auto"/>
      </w:divBdr>
    </w:div>
    <w:div w:id="1047879956">
      <w:bodyDiv w:val="1"/>
      <w:marLeft w:val="0"/>
      <w:marRight w:val="0"/>
      <w:marTop w:val="0"/>
      <w:marBottom w:val="0"/>
      <w:divBdr>
        <w:top w:val="none" w:sz="0" w:space="0" w:color="auto"/>
        <w:left w:val="none" w:sz="0" w:space="0" w:color="auto"/>
        <w:bottom w:val="none" w:sz="0" w:space="0" w:color="auto"/>
        <w:right w:val="none" w:sz="0" w:space="0" w:color="auto"/>
      </w:divBdr>
    </w:div>
    <w:div w:id="1047951728">
      <w:bodyDiv w:val="1"/>
      <w:marLeft w:val="0"/>
      <w:marRight w:val="0"/>
      <w:marTop w:val="0"/>
      <w:marBottom w:val="0"/>
      <w:divBdr>
        <w:top w:val="none" w:sz="0" w:space="0" w:color="auto"/>
        <w:left w:val="none" w:sz="0" w:space="0" w:color="auto"/>
        <w:bottom w:val="none" w:sz="0" w:space="0" w:color="auto"/>
        <w:right w:val="none" w:sz="0" w:space="0" w:color="auto"/>
      </w:divBdr>
    </w:div>
    <w:div w:id="1049259707">
      <w:bodyDiv w:val="1"/>
      <w:marLeft w:val="0"/>
      <w:marRight w:val="0"/>
      <w:marTop w:val="0"/>
      <w:marBottom w:val="0"/>
      <w:divBdr>
        <w:top w:val="none" w:sz="0" w:space="0" w:color="auto"/>
        <w:left w:val="none" w:sz="0" w:space="0" w:color="auto"/>
        <w:bottom w:val="none" w:sz="0" w:space="0" w:color="auto"/>
        <w:right w:val="none" w:sz="0" w:space="0" w:color="auto"/>
      </w:divBdr>
    </w:div>
    <w:div w:id="1049261641">
      <w:bodyDiv w:val="1"/>
      <w:marLeft w:val="0"/>
      <w:marRight w:val="0"/>
      <w:marTop w:val="0"/>
      <w:marBottom w:val="0"/>
      <w:divBdr>
        <w:top w:val="none" w:sz="0" w:space="0" w:color="auto"/>
        <w:left w:val="none" w:sz="0" w:space="0" w:color="auto"/>
        <w:bottom w:val="none" w:sz="0" w:space="0" w:color="auto"/>
        <w:right w:val="none" w:sz="0" w:space="0" w:color="auto"/>
      </w:divBdr>
    </w:div>
    <w:div w:id="1049495655">
      <w:bodyDiv w:val="1"/>
      <w:marLeft w:val="0"/>
      <w:marRight w:val="0"/>
      <w:marTop w:val="0"/>
      <w:marBottom w:val="0"/>
      <w:divBdr>
        <w:top w:val="none" w:sz="0" w:space="0" w:color="auto"/>
        <w:left w:val="none" w:sz="0" w:space="0" w:color="auto"/>
        <w:bottom w:val="none" w:sz="0" w:space="0" w:color="auto"/>
        <w:right w:val="none" w:sz="0" w:space="0" w:color="auto"/>
      </w:divBdr>
    </w:div>
    <w:div w:id="1049574327">
      <w:bodyDiv w:val="1"/>
      <w:marLeft w:val="0"/>
      <w:marRight w:val="0"/>
      <w:marTop w:val="0"/>
      <w:marBottom w:val="0"/>
      <w:divBdr>
        <w:top w:val="none" w:sz="0" w:space="0" w:color="auto"/>
        <w:left w:val="none" w:sz="0" w:space="0" w:color="auto"/>
        <w:bottom w:val="none" w:sz="0" w:space="0" w:color="auto"/>
        <w:right w:val="none" w:sz="0" w:space="0" w:color="auto"/>
      </w:divBdr>
    </w:div>
    <w:div w:id="1049837924">
      <w:bodyDiv w:val="1"/>
      <w:marLeft w:val="0"/>
      <w:marRight w:val="0"/>
      <w:marTop w:val="0"/>
      <w:marBottom w:val="0"/>
      <w:divBdr>
        <w:top w:val="none" w:sz="0" w:space="0" w:color="auto"/>
        <w:left w:val="none" w:sz="0" w:space="0" w:color="auto"/>
        <w:bottom w:val="none" w:sz="0" w:space="0" w:color="auto"/>
        <w:right w:val="none" w:sz="0" w:space="0" w:color="auto"/>
      </w:divBdr>
    </w:div>
    <w:div w:id="1050111827">
      <w:bodyDiv w:val="1"/>
      <w:marLeft w:val="0"/>
      <w:marRight w:val="0"/>
      <w:marTop w:val="0"/>
      <w:marBottom w:val="0"/>
      <w:divBdr>
        <w:top w:val="none" w:sz="0" w:space="0" w:color="auto"/>
        <w:left w:val="none" w:sz="0" w:space="0" w:color="auto"/>
        <w:bottom w:val="none" w:sz="0" w:space="0" w:color="auto"/>
        <w:right w:val="none" w:sz="0" w:space="0" w:color="auto"/>
      </w:divBdr>
    </w:div>
    <w:div w:id="1050345736">
      <w:bodyDiv w:val="1"/>
      <w:marLeft w:val="0"/>
      <w:marRight w:val="0"/>
      <w:marTop w:val="0"/>
      <w:marBottom w:val="0"/>
      <w:divBdr>
        <w:top w:val="none" w:sz="0" w:space="0" w:color="auto"/>
        <w:left w:val="none" w:sz="0" w:space="0" w:color="auto"/>
        <w:bottom w:val="none" w:sz="0" w:space="0" w:color="auto"/>
        <w:right w:val="none" w:sz="0" w:space="0" w:color="auto"/>
      </w:divBdr>
    </w:div>
    <w:div w:id="1050689590">
      <w:bodyDiv w:val="1"/>
      <w:marLeft w:val="0"/>
      <w:marRight w:val="0"/>
      <w:marTop w:val="0"/>
      <w:marBottom w:val="0"/>
      <w:divBdr>
        <w:top w:val="none" w:sz="0" w:space="0" w:color="auto"/>
        <w:left w:val="none" w:sz="0" w:space="0" w:color="auto"/>
        <w:bottom w:val="none" w:sz="0" w:space="0" w:color="auto"/>
        <w:right w:val="none" w:sz="0" w:space="0" w:color="auto"/>
      </w:divBdr>
    </w:div>
    <w:div w:id="1050954617">
      <w:bodyDiv w:val="1"/>
      <w:marLeft w:val="0"/>
      <w:marRight w:val="0"/>
      <w:marTop w:val="0"/>
      <w:marBottom w:val="0"/>
      <w:divBdr>
        <w:top w:val="none" w:sz="0" w:space="0" w:color="auto"/>
        <w:left w:val="none" w:sz="0" w:space="0" w:color="auto"/>
        <w:bottom w:val="none" w:sz="0" w:space="0" w:color="auto"/>
        <w:right w:val="none" w:sz="0" w:space="0" w:color="auto"/>
      </w:divBdr>
    </w:div>
    <w:div w:id="1051420932">
      <w:bodyDiv w:val="1"/>
      <w:marLeft w:val="0"/>
      <w:marRight w:val="0"/>
      <w:marTop w:val="0"/>
      <w:marBottom w:val="0"/>
      <w:divBdr>
        <w:top w:val="none" w:sz="0" w:space="0" w:color="auto"/>
        <w:left w:val="none" w:sz="0" w:space="0" w:color="auto"/>
        <w:bottom w:val="none" w:sz="0" w:space="0" w:color="auto"/>
        <w:right w:val="none" w:sz="0" w:space="0" w:color="auto"/>
      </w:divBdr>
    </w:div>
    <w:div w:id="1052924364">
      <w:bodyDiv w:val="1"/>
      <w:marLeft w:val="0"/>
      <w:marRight w:val="0"/>
      <w:marTop w:val="0"/>
      <w:marBottom w:val="0"/>
      <w:divBdr>
        <w:top w:val="none" w:sz="0" w:space="0" w:color="auto"/>
        <w:left w:val="none" w:sz="0" w:space="0" w:color="auto"/>
        <w:bottom w:val="none" w:sz="0" w:space="0" w:color="auto"/>
        <w:right w:val="none" w:sz="0" w:space="0" w:color="auto"/>
      </w:divBdr>
    </w:div>
    <w:div w:id="1053234178">
      <w:bodyDiv w:val="1"/>
      <w:marLeft w:val="0"/>
      <w:marRight w:val="0"/>
      <w:marTop w:val="0"/>
      <w:marBottom w:val="0"/>
      <w:divBdr>
        <w:top w:val="none" w:sz="0" w:space="0" w:color="auto"/>
        <w:left w:val="none" w:sz="0" w:space="0" w:color="auto"/>
        <w:bottom w:val="none" w:sz="0" w:space="0" w:color="auto"/>
        <w:right w:val="none" w:sz="0" w:space="0" w:color="auto"/>
      </w:divBdr>
    </w:div>
    <w:div w:id="1055198764">
      <w:bodyDiv w:val="1"/>
      <w:marLeft w:val="0"/>
      <w:marRight w:val="0"/>
      <w:marTop w:val="0"/>
      <w:marBottom w:val="0"/>
      <w:divBdr>
        <w:top w:val="none" w:sz="0" w:space="0" w:color="auto"/>
        <w:left w:val="none" w:sz="0" w:space="0" w:color="auto"/>
        <w:bottom w:val="none" w:sz="0" w:space="0" w:color="auto"/>
        <w:right w:val="none" w:sz="0" w:space="0" w:color="auto"/>
      </w:divBdr>
    </w:div>
    <w:div w:id="1055349329">
      <w:bodyDiv w:val="1"/>
      <w:marLeft w:val="0"/>
      <w:marRight w:val="0"/>
      <w:marTop w:val="0"/>
      <w:marBottom w:val="0"/>
      <w:divBdr>
        <w:top w:val="none" w:sz="0" w:space="0" w:color="auto"/>
        <w:left w:val="none" w:sz="0" w:space="0" w:color="auto"/>
        <w:bottom w:val="none" w:sz="0" w:space="0" w:color="auto"/>
        <w:right w:val="none" w:sz="0" w:space="0" w:color="auto"/>
      </w:divBdr>
    </w:div>
    <w:div w:id="1055468701">
      <w:bodyDiv w:val="1"/>
      <w:marLeft w:val="0"/>
      <w:marRight w:val="0"/>
      <w:marTop w:val="0"/>
      <w:marBottom w:val="0"/>
      <w:divBdr>
        <w:top w:val="none" w:sz="0" w:space="0" w:color="auto"/>
        <w:left w:val="none" w:sz="0" w:space="0" w:color="auto"/>
        <w:bottom w:val="none" w:sz="0" w:space="0" w:color="auto"/>
        <w:right w:val="none" w:sz="0" w:space="0" w:color="auto"/>
      </w:divBdr>
    </w:div>
    <w:div w:id="1055473181">
      <w:bodyDiv w:val="1"/>
      <w:marLeft w:val="0"/>
      <w:marRight w:val="0"/>
      <w:marTop w:val="0"/>
      <w:marBottom w:val="0"/>
      <w:divBdr>
        <w:top w:val="none" w:sz="0" w:space="0" w:color="auto"/>
        <w:left w:val="none" w:sz="0" w:space="0" w:color="auto"/>
        <w:bottom w:val="none" w:sz="0" w:space="0" w:color="auto"/>
        <w:right w:val="none" w:sz="0" w:space="0" w:color="auto"/>
      </w:divBdr>
    </w:div>
    <w:div w:id="1055589406">
      <w:bodyDiv w:val="1"/>
      <w:marLeft w:val="0"/>
      <w:marRight w:val="0"/>
      <w:marTop w:val="0"/>
      <w:marBottom w:val="0"/>
      <w:divBdr>
        <w:top w:val="none" w:sz="0" w:space="0" w:color="auto"/>
        <w:left w:val="none" w:sz="0" w:space="0" w:color="auto"/>
        <w:bottom w:val="none" w:sz="0" w:space="0" w:color="auto"/>
        <w:right w:val="none" w:sz="0" w:space="0" w:color="auto"/>
      </w:divBdr>
    </w:div>
    <w:div w:id="1055616776">
      <w:bodyDiv w:val="1"/>
      <w:marLeft w:val="0"/>
      <w:marRight w:val="0"/>
      <w:marTop w:val="0"/>
      <w:marBottom w:val="0"/>
      <w:divBdr>
        <w:top w:val="none" w:sz="0" w:space="0" w:color="auto"/>
        <w:left w:val="none" w:sz="0" w:space="0" w:color="auto"/>
        <w:bottom w:val="none" w:sz="0" w:space="0" w:color="auto"/>
        <w:right w:val="none" w:sz="0" w:space="0" w:color="auto"/>
      </w:divBdr>
    </w:div>
    <w:div w:id="1055933079">
      <w:bodyDiv w:val="1"/>
      <w:marLeft w:val="0"/>
      <w:marRight w:val="0"/>
      <w:marTop w:val="0"/>
      <w:marBottom w:val="0"/>
      <w:divBdr>
        <w:top w:val="none" w:sz="0" w:space="0" w:color="auto"/>
        <w:left w:val="none" w:sz="0" w:space="0" w:color="auto"/>
        <w:bottom w:val="none" w:sz="0" w:space="0" w:color="auto"/>
        <w:right w:val="none" w:sz="0" w:space="0" w:color="auto"/>
      </w:divBdr>
    </w:div>
    <w:div w:id="1056320002">
      <w:bodyDiv w:val="1"/>
      <w:marLeft w:val="0"/>
      <w:marRight w:val="0"/>
      <w:marTop w:val="0"/>
      <w:marBottom w:val="0"/>
      <w:divBdr>
        <w:top w:val="none" w:sz="0" w:space="0" w:color="auto"/>
        <w:left w:val="none" w:sz="0" w:space="0" w:color="auto"/>
        <w:bottom w:val="none" w:sz="0" w:space="0" w:color="auto"/>
        <w:right w:val="none" w:sz="0" w:space="0" w:color="auto"/>
      </w:divBdr>
    </w:div>
    <w:div w:id="1056663438">
      <w:bodyDiv w:val="1"/>
      <w:marLeft w:val="0"/>
      <w:marRight w:val="0"/>
      <w:marTop w:val="0"/>
      <w:marBottom w:val="0"/>
      <w:divBdr>
        <w:top w:val="none" w:sz="0" w:space="0" w:color="auto"/>
        <w:left w:val="none" w:sz="0" w:space="0" w:color="auto"/>
        <w:bottom w:val="none" w:sz="0" w:space="0" w:color="auto"/>
        <w:right w:val="none" w:sz="0" w:space="0" w:color="auto"/>
      </w:divBdr>
    </w:div>
    <w:div w:id="1057434141">
      <w:bodyDiv w:val="1"/>
      <w:marLeft w:val="0"/>
      <w:marRight w:val="0"/>
      <w:marTop w:val="0"/>
      <w:marBottom w:val="0"/>
      <w:divBdr>
        <w:top w:val="none" w:sz="0" w:space="0" w:color="auto"/>
        <w:left w:val="none" w:sz="0" w:space="0" w:color="auto"/>
        <w:bottom w:val="none" w:sz="0" w:space="0" w:color="auto"/>
        <w:right w:val="none" w:sz="0" w:space="0" w:color="auto"/>
      </w:divBdr>
    </w:div>
    <w:div w:id="1058284188">
      <w:bodyDiv w:val="1"/>
      <w:marLeft w:val="0"/>
      <w:marRight w:val="0"/>
      <w:marTop w:val="0"/>
      <w:marBottom w:val="0"/>
      <w:divBdr>
        <w:top w:val="none" w:sz="0" w:space="0" w:color="auto"/>
        <w:left w:val="none" w:sz="0" w:space="0" w:color="auto"/>
        <w:bottom w:val="none" w:sz="0" w:space="0" w:color="auto"/>
        <w:right w:val="none" w:sz="0" w:space="0" w:color="auto"/>
      </w:divBdr>
    </w:div>
    <w:div w:id="1058433691">
      <w:bodyDiv w:val="1"/>
      <w:marLeft w:val="0"/>
      <w:marRight w:val="0"/>
      <w:marTop w:val="0"/>
      <w:marBottom w:val="0"/>
      <w:divBdr>
        <w:top w:val="none" w:sz="0" w:space="0" w:color="auto"/>
        <w:left w:val="none" w:sz="0" w:space="0" w:color="auto"/>
        <w:bottom w:val="none" w:sz="0" w:space="0" w:color="auto"/>
        <w:right w:val="none" w:sz="0" w:space="0" w:color="auto"/>
      </w:divBdr>
    </w:div>
    <w:div w:id="1058893308">
      <w:bodyDiv w:val="1"/>
      <w:marLeft w:val="0"/>
      <w:marRight w:val="0"/>
      <w:marTop w:val="0"/>
      <w:marBottom w:val="0"/>
      <w:divBdr>
        <w:top w:val="none" w:sz="0" w:space="0" w:color="auto"/>
        <w:left w:val="none" w:sz="0" w:space="0" w:color="auto"/>
        <w:bottom w:val="none" w:sz="0" w:space="0" w:color="auto"/>
        <w:right w:val="none" w:sz="0" w:space="0" w:color="auto"/>
      </w:divBdr>
    </w:div>
    <w:div w:id="1060130622">
      <w:bodyDiv w:val="1"/>
      <w:marLeft w:val="0"/>
      <w:marRight w:val="0"/>
      <w:marTop w:val="0"/>
      <w:marBottom w:val="0"/>
      <w:divBdr>
        <w:top w:val="none" w:sz="0" w:space="0" w:color="auto"/>
        <w:left w:val="none" w:sz="0" w:space="0" w:color="auto"/>
        <w:bottom w:val="none" w:sz="0" w:space="0" w:color="auto"/>
        <w:right w:val="none" w:sz="0" w:space="0" w:color="auto"/>
      </w:divBdr>
    </w:div>
    <w:div w:id="1060832736">
      <w:bodyDiv w:val="1"/>
      <w:marLeft w:val="0"/>
      <w:marRight w:val="0"/>
      <w:marTop w:val="0"/>
      <w:marBottom w:val="0"/>
      <w:divBdr>
        <w:top w:val="none" w:sz="0" w:space="0" w:color="auto"/>
        <w:left w:val="none" w:sz="0" w:space="0" w:color="auto"/>
        <w:bottom w:val="none" w:sz="0" w:space="0" w:color="auto"/>
        <w:right w:val="none" w:sz="0" w:space="0" w:color="auto"/>
      </w:divBdr>
    </w:div>
    <w:div w:id="1061248677">
      <w:bodyDiv w:val="1"/>
      <w:marLeft w:val="0"/>
      <w:marRight w:val="0"/>
      <w:marTop w:val="0"/>
      <w:marBottom w:val="0"/>
      <w:divBdr>
        <w:top w:val="none" w:sz="0" w:space="0" w:color="auto"/>
        <w:left w:val="none" w:sz="0" w:space="0" w:color="auto"/>
        <w:bottom w:val="none" w:sz="0" w:space="0" w:color="auto"/>
        <w:right w:val="none" w:sz="0" w:space="0" w:color="auto"/>
      </w:divBdr>
    </w:div>
    <w:div w:id="1062364461">
      <w:bodyDiv w:val="1"/>
      <w:marLeft w:val="0"/>
      <w:marRight w:val="0"/>
      <w:marTop w:val="0"/>
      <w:marBottom w:val="0"/>
      <w:divBdr>
        <w:top w:val="none" w:sz="0" w:space="0" w:color="auto"/>
        <w:left w:val="none" w:sz="0" w:space="0" w:color="auto"/>
        <w:bottom w:val="none" w:sz="0" w:space="0" w:color="auto"/>
        <w:right w:val="none" w:sz="0" w:space="0" w:color="auto"/>
      </w:divBdr>
    </w:div>
    <w:div w:id="1063256083">
      <w:bodyDiv w:val="1"/>
      <w:marLeft w:val="0"/>
      <w:marRight w:val="0"/>
      <w:marTop w:val="0"/>
      <w:marBottom w:val="0"/>
      <w:divBdr>
        <w:top w:val="none" w:sz="0" w:space="0" w:color="auto"/>
        <w:left w:val="none" w:sz="0" w:space="0" w:color="auto"/>
        <w:bottom w:val="none" w:sz="0" w:space="0" w:color="auto"/>
        <w:right w:val="none" w:sz="0" w:space="0" w:color="auto"/>
      </w:divBdr>
    </w:div>
    <w:div w:id="1063336779">
      <w:bodyDiv w:val="1"/>
      <w:marLeft w:val="0"/>
      <w:marRight w:val="0"/>
      <w:marTop w:val="0"/>
      <w:marBottom w:val="0"/>
      <w:divBdr>
        <w:top w:val="none" w:sz="0" w:space="0" w:color="auto"/>
        <w:left w:val="none" w:sz="0" w:space="0" w:color="auto"/>
        <w:bottom w:val="none" w:sz="0" w:space="0" w:color="auto"/>
        <w:right w:val="none" w:sz="0" w:space="0" w:color="auto"/>
      </w:divBdr>
    </w:div>
    <w:div w:id="1063604452">
      <w:bodyDiv w:val="1"/>
      <w:marLeft w:val="0"/>
      <w:marRight w:val="0"/>
      <w:marTop w:val="0"/>
      <w:marBottom w:val="0"/>
      <w:divBdr>
        <w:top w:val="none" w:sz="0" w:space="0" w:color="auto"/>
        <w:left w:val="none" w:sz="0" w:space="0" w:color="auto"/>
        <w:bottom w:val="none" w:sz="0" w:space="0" w:color="auto"/>
        <w:right w:val="none" w:sz="0" w:space="0" w:color="auto"/>
      </w:divBdr>
    </w:div>
    <w:div w:id="1064378000">
      <w:bodyDiv w:val="1"/>
      <w:marLeft w:val="0"/>
      <w:marRight w:val="0"/>
      <w:marTop w:val="0"/>
      <w:marBottom w:val="0"/>
      <w:divBdr>
        <w:top w:val="none" w:sz="0" w:space="0" w:color="auto"/>
        <w:left w:val="none" w:sz="0" w:space="0" w:color="auto"/>
        <w:bottom w:val="none" w:sz="0" w:space="0" w:color="auto"/>
        <w:right w:val="none" w:sz="0" w:space="0" w:color="auto"/>
      </w:divBdr>
    </w:div>
    <w:div w:id="1064648596">
      <w:bodyDiv w:val="1"/>
      <w:marLeft w:val="0"/>
      <w:marRight w:val="0"/>
      <w:marTop w:val="0"/>
      <w:marBottom w:val="0"/>
      <w:divBdr>
        <w:top w:val="none" w:sz="0" w:space="0" w:color="auto"/>
        <w:left w:val="none" w:sz="0" w:space="0" w:color="auto"/>
        <w:bottom w:val="none" w:sz="0" w:space="0" w:color="auto"/>
        <w:right w:val="none" w:sz="0" w:space="0" w:color="auto"/>
      </w:divBdr>
    </w:div>
    <w:div w:id="1064794546">
      <w:bodyDiv w:val="1"/>
      <w:marLeft w:val="0"/>
      <w:marRight w:val="0"/>
      <w:marTop w:val="0"/>
      <w:marBottom w:val="0"/>
      <w:divBdr>
        <w:top w:val="none" w:sz="0" w:space="0" w:color="auto"/>
        <w:left w:val="none" w:sz="0" w:space="0" w:color="auto"/>
        <w:bottom w:val="none" w:sz="0" w:space="0" w:color="auto"/>
        <w:right w:val="none" w:sz="0" w:space="0" w:color="auto"/>
      </w:divBdr>
    </w:div>
    <w:div w:id="1065300321">
      <w:bodyDiv w:val="1"/>
      <w:marLeft w:val="0"/>
      <w:marRight w:val="0"/>
      <w:marTop w:val="0"/>
      <w:marBottom w:val="0"/>
      <w:divBdr>
        <w:top w:val="none" w:sz="0" w:space="0" w:color="auto"/>
        <w:left w:val="none" w:sz="0" w:space="0" w:color="auto"/>
        <w:bottom w:val="none" w:sz="0" w:space="0" w:color="auto"/>
        <w:right w:val="none" w:sz="0" w:space="0" w:color="auto"/>
      </w:divBdr>
    </w:div>
    <w:div w:id="1065879714">
      <w:bodyDiv w:val="1"/>
      <w:marLeft w:val="0"/>
      <w:marRight w:val="0"/>
      <w:marTop w:val="0"/>
      <w:marBottom w:val="0"/>
      <w:divBdr>
        <w:top w:val="none" w:sz="0" w:space="0" w:color="auto"/>
        <w:left w:val="none" w:sz="0" w:space="0" w:color="auto"/>
        <w:bottom w:val="none" w:sz="0" w:space="0" w:color="auto"/>
        <w:right w:val="none" w:sz="0" w:space="0" w:color="auto"/>
      </w:divBdr>
    </w:div>
    <w:div w:id="1066025039">
      <w:bodyDiv w:val="1"/>
      <w:marLeft w:val="0"/>
      <w:marRight w:val="0"/>
      <w:marTop w:val="0"/>
      <w:marBottom w:val="0"/>
      <w:divBdr>
        <w:top w:val="none" w:sz="0" w:space="0" w:color="auto"/>
        <w:left w:val="none" w:sz="0" w:space="0" w:color="auto"/>
        <w:bottom w:val="none" w:sz="0" w:space="0" w:color="auto"/>
        <w:right w:val="none" w:sz="0" w:space="0" w:color="auto"/>
      </w:divBdr>
    </w:div>
    <w:div w:id="1068184966">
      <w:bodyDiv w:val="1"/>
      <w:marLeft w:val="0"/>
      <w:marRight w:val="0"/>
      <w:marTop w:val="0"/>
      <w:marBottom w:val="0"/>
      <w:divBdr>
        <w:top w:val="none" w:sz="0" w:space="0" w:color="auto"/>
        <w:left w:val="none" w:sz="0" w:space="0" w:color="auto"/>
        <w:bottom w:val="none" w:sz="0" w:space="0" w:color="auto"/>
        <w:right w:val="none" w:sz="0" w:space="0" w:color="auto"/>
      </w:divBdr>
    </w:div>
    <w:div w:id="1069427850">
      <w:bodyDiv w:val="1"/>
      <w:marLeft w:val="0"/>
      <w:marRight w:val="0"/>
      <w:marTop w:val="0"/>
      <w:marBottom w:val="0"/>
      <w:divBdr>
        <w:top w:val="none" w:sz="0" w:space="0" w:color="auto"/>
        <w:left w:val="none" w:sz="0" w:space="0" w:color="auto"/>
        <w:bottom w:val="none" w:sz="0" w:space="0" w:color="auto"/>
        <w:right w:val="none" w:sz="0" w:space="0" w:color="auto"/>
      </w:divBdr>
    </w:div>
    <w:div w:id="1069838888">
      <w:bodyDiv w:val="1"/>
      <w:marLeft w:val="0"/>
      <w:marRight w:val="0"/>
      <w:marTop w:val="0"/>
      <w:marBottom w:val="0"/>
      <w:divBdr>
        <w:top w:val="none" w:sz="0" w:space="0" w:color="auto"/>
        <w:left w:val="none" w:sz="0" w:space="0" w:color="auto"/>
        <w:bottom w:val="none" w:sz="0" w:space="0" w:color="auto"/>
        <w:right w:val="none" w:sz="0" w:space="0" w:color="auto"/>
      </w:divBdr>
    </w:div>
    <w:div w:id="1069887778">
      <w:bodyDiv w:val="1"/>
      <w:marLeft w:val="0"/>
      <w:marRight w:val="0"/>
      <w:marTop w:val="0"/>
      <w:marBottom w:val="0"/>
      <w:divBdr>
        <w:top w:val="none" w:sz="0" w:space="0" w:color="auto"/>
        <w:left w:val="none" w:sz="0" w:space="0" w:color="auto"/>
        <w:bottom w:val="none" w:sz="0" w:space="0" w:color="auto"/>
        <w:right w:val="none" w:sz="0" w:space="0" w:color="auto"/>
      </w:divBdr>
    </w:div>
    <w:div w:id="1070346969">
      <w:bodyDiv w:val="1"/>
      <w:marLeft w:val="0"/>
      <w:marRight w:val="0"/>
      <w:marTop w:val="0"/>
      <w:marBottom w:val="0"/>
      <w:divBdr>
        <w:top w:val="none" w:sz="0" w:space="0" w:color="auto"/>
        <w:left w:val="none" w:sz="0" w:space="0" w:color="auto"/>
        <w:bottom w:val="none" w:sz="0" w:space="0" w:color="auto"/>
        <w:right w:val="none" w:sz="0" w:space="0" w:color="auto"/>
      </w:divBdr>
    </w:div>
    <w:div w:id="1070465726">
      <w:bodyDiv w:val="1"/>
      <w:marLeft w:val="0"/>
      <w:marRight w:val="0"/>
      <w:marTop w:val="0"/>
      <w:marBottom w:val="0"/>
      <w:divBdr>
        <w:top w:val="none" w:sz="0" w:space="0" w:color="auto"/>
        <w:left w:val="none" w:sz="0" w:space="0" w:color="auto"/>
        <w:bottom w:val="none" w:sz="0" w:space="0" w:color="auto"/>
        <w:right w:val="none" w:sz="0" w:space="0" w:color="auto"/>
      </w:divBdr>
    </w:div>
    <w:div w:id="1070538168">
      <w:bodyDiv w:val="1"/>
      <w:marLeft w:val="0"/>
      <w:marRight w:val="0"/>
      <w:marTop w:val="0"/>
      <w:marBottom w:val="0"/>
      <w:divBdr>
        <w:top w:val="none" w:sz="0" w:space="0" w:color="auto"/>
        <w:left w:val="none" w:sz="0" w:space="0" w:color="auto"/>
        <w:bottom w:val="none" w:sz="0" w:space="0" w:color="auto"/>
        <w:right w:val="none" w:sz="0" w:space="0" w:color="auto"/>
      </w:divBdr>
    </w:div>
    <w:div w:id="1071469120">
      <w:bodyDiv w:val="1"/>
      <w:marLeft w:val="0"/>
      <w:marRight w:val="0"/>
      <w:marTop w:val="0"/>
      <w:marBottom w:val="0"/>
      <w:divBdr>
        <w:top w:val="none" w:sz="0" w:space="0" w:color="auto"/>
        <w:left w:val="none" w:sz="0" w:space="0" w:color="auto"/>
        <w:bottom w:val="none" w:sz="0" w:space="0" w:color="auto"/>
        <w:right w:val="none" w:sz="0" w:space="0" w:color="auto"/>
      </w:divBdr>
    </w:div>
    <w:div w:id="1072117679">
      <w:bodyDiv w:val="1"/>
      <w:marLeft w:val="0"/>
      <w:marRight w:val="0"/>
      <w:marTop w:val="0"/>
      <w:marBottom w:val="0"/>
      <w:divBdr>
        <w:top w:val="none" w:sz="0" w:space="0" w:color="auto"/>
        <w:left w:val="none" w:sz="0" w:space="0" w:color="auto"/>
        <w:bottom w:val="none" w:sz="0" w:space="0" w:color="auto"/>
        <w:right w:val="none" w:sz="0" w:space="0" w:color="auto"/>
      </w:divBdr>
    </w:div>
    <w:div w:id="1072311385">
      <w:bodyDiv w:val="1"/>
      <w:marLeft w:val="0"/>
      <w:marRight w:val="0"/>
      <w:marTop w:val="0"/>
      <w:marBottom w:val="0"/>
      <w:divBdr>
        <w:top w:val="none" w:sz="0" w:space="0" w:color="auto"/>
        <w:left w:val="none" w:sz="0" w:space="0" w:color="auto"/>
        <w:bottom w:val="none" w:sz="0" w:space="0" w:color="auto"/>
        <w:right w:val="none" w:sz="0" w:space="0" w:color="auto"/>
      </w:divBdr>
    </w:div>
    <w:div w:id="1072579272">
      <w:bodyDiv w:val="1"/>
      <w:marLeft w:val="0"/>
      <w:marRight w:val="0"/>
      <w:marTop w:val="0"/>
      <w:marBottom w:val="0"/>
      <w:divBdr>
        <w:top w:val="none" w:sz="0" w:space="0" w:color="auto"/>
        <w:left w:val="none" w:sz="0" w:space="0" w:color="auto"/>
        <w:bottom w:val="none" w:sz="0" w:space="0" w:color="auto"/>
        <w:right w:val="none" w:sz="0" w:space="0" w:color="auto"/>
      </w:divBdr>
    </w:div>
    <w:div w:id="1073165610">
      <w:bodyDiv w:val="1"/>
      <w:marLeft w:val="0"/>
      <w:marRight w:val="0"/>
      <w:marTop w:val="0"/>
      <w:marBottom w:val="0"/>
      <w:divBdr>
        <w:top w:val="none" w:sz="0" w:space="0" w:color="auto"/>
        <w:left w:val="none" w:sz="0" w:space="0" w:color="auto"/>
        <w:bottom w:val="none" w:sz="0" w:space="0" w:color="auto"/>
        <w:right w:val="none" w:sz="0" w:space="0" w:color="auto"/>
      </w:divBdr>
    </w:div>
    <w:div w:id="1073359920">
      <w:bodyDiv w:val="1"/>
      <w:marLeft w:val="0"/>
      <w:marRight w:val="0"/>
      <w:marTop w:val="0"/>
      <w:marBottom w:val="0"/>
      <w:divBdr>
        <w:top w:val="none" w:sz="0" w:space="0" w:color="auto"/>
        <w:left w:val="none" w:sz="0" w:space="0" w:color="auto"/>
        <w:bottom w:val="none" w:sz="0" w:space="0" w:color="auto"/>
        <w:right w:val="none" w:sz="0" w:space="0" w:color="auto"/>
      </w:divBdr>
    </w:div>
    <w:div w:id="1074012079">
      <w:bodyDiv w:val="1"/>
      <w:marLeft w:val="0"/>
      <w:marRight w:val="0"/>
      <w:marTop w:val="0"/>
      <w:marBottom w:val="0"/>
      <w:divBdr>
        <w:top w:val="none" w:sz="0" w:space="0" w:color="auto"/>
        <w:left w:val="none" w:sz="0" w:space="0" w:color="auto"/>
        <w:bottom w:val="none" w:sz="0" w:space="0" w:color="auto"/>
        <w:right w:val="none" w:sz="0" w:space="0" w:color="auto"/>
      </w:divBdr>
    </w:div>
    <w:div w:id="1074473271">
      <w:bodyDiv w:val="1"/>
      <w:marLeft w:val="0"/>
      <w:marRight w:val="0"/>
      <w:marTop w:val="0"/>
      <w:marBottom w:val="0"/>
      <w:divBdr>
        <w:top w:val="none" w:sz="0" w:space="0" w:color="auto"/>
        <w:left w:val="none" w:sz="0" w:space="0" w:color="auto"/>
        <w:bottom w:val="none" w:sz="0" w:space="0" w:color="auto"/>
        <w:right w:val="none" w:sz="0" w:space="0" w:color="auto"/>
      </w:divBdr>
    </w:div>
    <w:div w:id="1077240037">
      <w:bodyDiv w:val="1"/>
      <w:marLeft w:val="0"/>
      <w:marRight w:val="0"/>
      <w:marTop w:val="0"/>
      <w:marBottom w:val="0"/>
      <w:divBdr>
        <w:top w:val="none" w:sz="0" w:space="0" w:color="auto"/>
        <w:left w:val="none" w:sz="0" w:space="0" w:color="auto"/>
        <w:bottom w:val="none" w:sz="0" w:space="0" w:color="auto"/>
        <w:right w:val="none" w:sz="0" w:space="0" w:color="auto"/>
      </w:divBdr>
    </w:div>
    <w:div w:id="1077442709">
      <w:bodyDiv w:val="1"/>
      <w:marLeft w:val="0"/>
      <w:marRight w:val="0"/>
      <w:marTop w:val="0"/>
      <w:marBottom w:val="0"/>
      <w:divBdr>
        <w:top w:val="none" w:sz="0" w:space="0" w:color="auto"/>
        <w:left w:val="none" w:sz="0" w:space="0" w:color="auto"/>
        <w:bottom w:val="none" w:sz="0" w:space="0" w:color="auto"/>
        <w:right w:val="none" w:sz="0" w:space="0" w:color="auto"/>
      </w:divBdr>
    </w:div>
    <w:div w:id="1077629503">
      <w:bodyDiv w:val="1"/>
      <w:marLeft w:val="0"/>
      <w:marRight w:val="0"/>
      <w:marTop w:val="0"/>
      <w:marBottom w:val="0"/>
      <w:divBdr>
        <w:top w:val="none" w:sz="0" w:space="0" w:color="auto"/>
        <w:left w:val="none" w:sz="0" w:space="0" w:color="auto"/>
        <w:bottom w:val="none" w:sz="0" w:space="0" w:color="auto"/>
        <w:right w:val="none" w:sz="0" w:space="0" w:color="auto"/>
      </w:divBdr>
    </w:div>
    <w:div w:id="1077895309">
      <w:bodyDiv w:val="1"/>
      <w:marLeft w:val="0"/>
      <w:marRight w:val="0"/>
      <w:marTop w:val="0"/>
      <w:marBottom w:val="0"/>
      <w:divBdr>
        <w:top w:val="none" w:sz="0" w:space="0" w:color="auto"/>
        <w:left w:val="none" w:sz="0" w:space="0" w:color="auto"/>
        <w:bottom w:val="none" w:sz="0" w:space="0" w:color="auto"/>
        <w:right w:val="none" w:sz="0" w:space="0" w:color="auto"/>
      </w:divBdr>
    </w:div>
    <w:div w:id="1078022676">
      <w:bodyDiv w:val="1"/>
      <w:marLeft w:val="0"/>
      <w:marRight w:val="0"/>
      <w:marTop w:val="0"/>
      <w:marBottom w:val="0"/>
      <w:divBdr>
        <w:top w:val="none" w:sz="0" w:space="0" w:color="auto"/>
        <w:left w:val="none" w:sz="0" w:space="0" w:color="auto"/>
        <w:bottom w:val="none" w:sz="0" w:space="0" w:color="auto"/>
        <w:right w:val="none" w:sz="0" w:space="0" w:color="auto"/>
      </w:divBdr>
    </w:div>
    <w:div w:id="1078483325">
      <w:bodyDiv w:val="1"/>
      <w:marLeft w:val="0"/>
      <w:marRight w:val="0"/>
      <w:marTop w:val="0"/>
      <w:marBottom w:val="0"/>
      <w:divBdr>
        <w:top w:val="none" w:sz="0" w:space="0" w:color="auto"/>
        <w:left w:val="none" w:sz="0" w:space="0" w:color="auto"/>
        <w:bottom w:val="none" w:sz="0" w:space="0" w:color="auto"/>
        <w:right w:val="none" w:sz="0" w:space="0" w:color="auto"/>
      </w:divBdr>
    </w:div>
    <w:div w:id="1078794440">
      <w:bodyDiv w:val="1"/>
      <w:marLeft w:val="0"/>
      <w:marRight w:val="0"/>
      <w:marTop w:val="0"/>
      <w:marBottom w:val="0"/>
      <w:divBdr>
        <w:top w:val="none" w:sz="0" w:space="0" w:color="auto"/>
        <w:left w:val="none" w:sz="0" w:space="0" w:color="auto"/>
        <w:bottom w:val="none" w:sz="0" w:space="0" w:color="auto"/>
        <w:right w:val="none" w:sz="0" w:space="0" w:color="auto"/>
      </w:divBdr>
    </w:div>
    <w:div w:id="1078940652">
      <w:bodyDiv w:val="1"/>
      <w:marLeft w:val="0"/>
      <w:marRight w:val="0"/>
      <w:marTop w:val="0"/>
      <w:marBottom w:val="0"/>
      <w:divBdr>
        <w:top w:val="none" w:sz="0" w:space="0" w:color="auto"/>
        <w:left w:val="none" w:sz="0" w:space="0" w:color="auto"/>
        <w:bottom w:val="none" w:sz="0" w:space="0" w:color="auto"/>
        <w:right w:val="none" w:sz="0" w:space="0" w:color="auto"/>
      </w:divBdr>
    </w:div>
    <w:div w:id="1081176656">
      <w:bodyDiv w:val="1"/>
      <w:marLeft w:val="0"/>
      <w:marRight w:val="0"/>
      <w:marTop w:val="0"/>
      <w:marBottom w:val="0"/>
      <w:divBdr>
        <w:top w:val="none" w:sz="0" w:space="0" w:color="auto"/>
        <w:left w:val="none" w:sz="0" w:space="0" w:color="auto"/>
        <w:bottom w:val="none" w:sz="0" w:space="0" w:color="auto"/>
        <w:right w:val="none" w:sz="0" w:space="0" w:color="auto"/>
      </w:divBdr>
    </w:div>
    <w:div w:id="1081680788">
      <w:bodyDiv w:val="1"/>
      <w:marLeft w:val="0"/>
      <w:marRight w:val="0"/>
      <w:marTop w:val="0"/>
      <w:marBottom w:val="0"/>
      <w:divBdr>
        <w:top w:val="none" w:sz="0" w:space="0" w:color="auto"/>
        <w:left w:val="none" w:sz="0" w:space="0" w:color="auto"/>
        <w:bottom w:val="none" w:sz="0" w:space="0" w:color="auto"/>
        <w:right w:val="none" w:sz="0" w:space="0" w:color="auto"/>
      </w:divBdr>
    </w:div>
    <w:div w:id="1081833542">
      <w:bodyDiv w:val="1"/>
      <w:marLeft w:val="0"/>
      <w:marRight w:val="0"/>
      <w:marTop w:val="0"/>
      <w:marBottom w:val="0"/>
      <w:divBdr>
        <w:top w:val="none" w:sz="0" w:space="0" w:color="auto"/>
        <w:left w:val="none" w:sz="0" w:space="0" w:color="auto"/>
        <w:bottom w:val="none" w:sz="0" w:space="0" w:color="auto"/>
        <w:right w:val="none" w:sz="0" w:space="0" w:color="auto"/>
      </w:divBdr>
    </w:div>
    <w:div w:id="1082407504">
      <w:bodyDiv w:val="1"/>
      <w:marLeft w:val="0"/>
      <w:marRight w:val="0"/>
      <w:marTop w:val="0"/>
      <w:marBottom w:val="0"/>
      <w:divBdr>
        <w:top w:val="none" w:sz="0" w:space="0" w:color="auto"/>
        <w:left w:val="none" w:sz="0" w:space="0" w:color="auto"/>
        <w:bottom w:val="none" w:sz="0" w:space="0" w:color="auto"/>
        <w:right w:val="none" w:sz="0" w:space="0" w:color="auto"/>
      </w:divBdr>
    </w:div>
    <w:div w:id="1082802250">
      <w:bodyDiv w:val="1"/>
      <w:marLeft w:val="0"/>
      <w:marRight w:val="0"/>
      <w:marTop w:val="0"/>
      <w:marBottom w:val="0"/>
      <w:divBdr>
        <w:top w:val="none" w:sz="0" w:space="0" w:color="auto"/>
        <w:left w:val="none" w:sz="0" w:space="0" w:color="auto"/>
        <w:bottom w:val="none" w:sz="0" w:space="0" w:color="auto"/>
        <w:right w:val="none" w:sz="0" w:space="0" w:color="auto"/>
      </w:divBdr>
    </w:div>
    <w:div w:id="1082870146">
      <w:bodyDiv w:val="1"/>
      <w:marLeft w:val="0"/>
      <w:marRight w:val="0"/>
      <w:marTop w:val="0"/>
      <w:marBottom w:val="0"/>
      <w:divBdr>
        <w:top w:val="none" w:sz="0" w:space="0" w:color="auto"/>
        <w:left w:val="none" w:sz="0" w:space="0" w:color="auto"/>
        <w:bottom w:val="none" w:sz="0" w:space="0" w:color="auto"/>
        <w:right w:val="none" w:sz="0" w:space="0" w:color="auto"/>
      </w:divBdr>
    </w:div>
    <w:div w:id="1083146112">
      <w:bodyDiv w:val="1"/>
      <w:marLeft w:val="0"/>
      <w:marRight w:val="0"/>
      <w:marTop w:val="0"/>
      <w:marBottom w:val="0"/>
      <w:divBdr>
        <w:top w:val="none" w:sz="0" w:space="0" w:color="auto"/>
        <w:left w:val="none" w:sz="0" w:space="0" w:color="auto"/>
        <w:bottom w:val="none" w:sz="0" w:space="0" w:color="auto"/>
        <w:right w:val="none" w:sz="0" w:space="0" w:color="auto"/>
      </w:divBdr>
    </w:div>
    <w:div w:id="1083256710">
      <w:bodyDiv w:val="1"/>
      <w:marLeft w:val="0"/>
      <w:marRight w:val="0"/>
      <w:marTop w:val="0"/>
      <w:marBottom w:val="0"/>
      <w:divBdr>
        <w:top w:val="none" w:sz="0" w:space="0" w:color="auto"/>
        <w:left w:val="none" w:sz="0" w:space="0" w:color="auto"/>
        <w:bottom w:val="none" w:sz="0" w:space="0" w:color="auto"/>
        <w:right w:val="none" w:sz="0" w:space="0" w:color="auto"/>
      </w:divBdr>
    </w:div>
    <w:div w:id="1083332430">
      <w:bodyDiv w:val="1"/>
      <w:marLeft w:val="0"/>
      <w:marRight w:val="0"/>
      <w:marTop w:val="0"/>
      <w:marBottom w:val="0"/>
      <w:divBdr>
        <w:top w:val="none" w:sz="0" w:space="0" w:color="auto"/>
        <w:left w:val="none" w:sz="0" w:space="0" w:color="auto"/>
        <w:bottom w:val="none" w:sz="0" w:space="0" w:color="auto"/>
        <w:right w:val="none" w:sz="0" w:space="0" w:color="auto"/>
      </w:divBdr>
    </w:div>
    <w:div w:id="1083406689">
      <w:bodyDiv w:val="1"/>
      <w:marLeft w:val="0"/>
      <w:marRight w:val="0"/>
      <w:marTop w:val="0"/>
      <w:marBottom w:val="0"/>
      <w:divBdr>
        <w:top w:val="none" w:sz="0" w:space="0" w:color="auto"/>
        <w:left w:val="none" w:sz="0" w:space="0" w:color="auto"/>
        <w:bottom w:val="none" w:sz="0" w:space="0" w:color="auto"/>
        <w:right w:val="none" w:sz="0" w:space="0" w:color="auto"/>
      </w:divBdr>
    </w:div>
    <w:div w:id="1084183372">
      <w:bodyDiv w:val="1"/>
      <w:marLeft w:val="0"/>
      <w:marRight w:val="0"/>
      <w:marTop w:val="0"/>
      <w:marBottom w:val="0"/>
      <w:divBdr>
        <w:top w:val="none" w:sz="0" w:space="0" w:color="auto"/>
        <w:left w:val="none" w:sz="0" w:space="0" w:color="auto"/>
        <w:bottom w:val="none" w:sz="0" w:space="0" w:color="auto"/>
        <w:right w:val="none" w:sz="0" w:space="0" w:color="auto"/>
      </w:divBdr>
    </w:div>
    <w:div w:id="1084372798">
      <w:bodyDiv w:val="1"/>
      <w:marLeft w:val="0"/>
      <w:marRight w:val="0"/>
      <w:marTop w:val="0"/>
      <w:marBottom w:val="0"/>
      <w:divBdr>
        <w:top w:val="none" w:sz="0" w:space="0" w:color="auto"/>
        <w:left w:val="none" w:sz="0" w:space="0" w:color="auto"/>
        <w:bottom w:val="none" w:sz="0" w:space="0" w:color="auto"/>
        <w:right w:val="none" w:sz="0" w:space="0" w:color="auto"/>
      </w:divBdr>
    </w:div>
    <w:div w:id="1084768574">
      <w:bodyDiv w:val="1"/>
      <w:marLeft w:val="0"/>
      <w:marRight w:val="0"/>
      <w:marTop w:val="0"/>
      <w:marBottom w:val="0"/>
      <w:divBdr>
        <w:top w:val="none" w:sz="0" w:space="0" w:color="auto"/>
        <w:left w:val="none" w:sz="0" w:space="0" w:color="auto"/>
        <w:bottom w:val="none" w:sz="0" w:space="0" w:color="auto"/>
        <w:right w:val="none" w:sz="0" w:space="0" w:color="auto"/>
      </w:divBdr>
    </w:div>
    <w:div w:id="1084959499">
      <w:bodyDiv w:val="1"/>
      <w:marLeft w:val="0"/>
      <w:marRight w:val="0"/>
      <w:marTop w:val="0"/>
      <w:marBottom w:val="0"/>
      <w:divBdr>
        <w:top w:val="none" w:sz="0" w:space="0" w:color="auto"/>
        <w:left w:val="none" w:sz="0" w:space="0" w:color="auto"/>
        <w:bottom w:val="none" w:sz="0" w:space="0" w:color="auto"/>
        <w:right w:val="none" w:sz="0" w:space="0" w:color="auto"/>
      </w:divBdr>
    </w:div>
    <w:div w:id="1085345543">
      <w:bodyDiv w:val="1"/>
      <w:marLeft w:val="0"/>
      <w:marRight w:val="0"/>
      <w:marTop w:val="0"/>
      <w:marBottom w:val="0"/>
      <w:divBdr>
        <w:top w:val="none" w:sz="0" w:space="0" w:color="auto"/>
        <w:left w:val="none" w:sz="0" w:space="0" w:color="auto"/>
        <w:bottom w:val="none" w:sz="0" w:space="0" w:color="auto"/>
        <w:right w:val="none" w:sz="0" w:space="0" w:color="auto"/>
      </w:divBdr>
    </w:div>
    <w:div w:id="1085807683">
      <w:bodyDiv w:val="1"/>
      <w:marLeft w:val="0"/>
      <w:marRight w:val="0"/>
      <w:marTop w:val="0"/>
      <w:marBottom w:val="0"/>
      <w:divBdr>
        <w:top w:val="none" w:sz="0" w:space="0" w:color="auto"/>
        <w:left w:val="none" w:sz="0" w:space="0" w:color="auto"/>
        <w:bottom w:val="none" w:sz="0" w:space="0" w:color="auto"/>
        <w:right w:val="none" w:sz="0" w:space="0" w:color="auto"/>
      </w:divBdr>
    </w:div>
    <w:div w:id="1085883909">
      <w:bodyDiv w:val="1"/>
      <w:marLeft w:val="0"/>
      <w:marRight w:val="0"/>
      <w:marTop w:val="0"/>
      <w:marBottom w:val="0"/>
      <w:divBdr>
        <w:top w:val="none" w:sz="0" w:space="0" w:color="auto"/>
        <w:left w:val="none" w:sz="0" w:space="0" w:color="auto"/>
        <w:bottom w:val="none" w:sz="0" w:space="0" w:color="auto"/>
        <w:right w:val="none" w:sz="0" w:space="0" w:color="auto"/>
      </w:divBdr>
    </w:div>
    <w:div w:id="1086145359">
      <w:bodyDiv w:val="1"/>
      <w:marLeft w:val="0"/>
      <w:marRight w:val="0"/>
      <w:marTop w:val="0"/>
      <w:marBottom w:val="0"/>
      <w:divBdr>
        <w:top w:val="none" w:sz="0" w:space="0" w:color="auto"/>
        <w:left w:val="none" w:sz="0" w:space="0" w:color="auto"/>
        <w:bottom w:val="none" w:sz="0" w:space="0" w:color="auto"/>
        <w:right w:val="none" w:sz="0" w:space="0" w:color="auto"/>
      </w:divBdr>
    </w:div>
    <w:div w:id="1086809069">
      <w:bodyDiv w:val="1"/>
      <w:marLeft w:val="0"/>
      <w:marRight w:val="0"/>
      <w:marTop w:val="0"/>
      <w:marBottom w:val="0"/>
      <w:divBdr>
        <w:top w:val="none" w:sz="0" w:space="0" w:color="auto"/>
        <w:left w:val="none" w:sz="0" w:space="0" w:color="auto"/>
        <w:bottom w:val="none" w:sz="0" w:space="0" w:color="auto"/>
        <w:right w:val="none" w:sz="0" w:space="0" w:color="auto"/>
      </w:divBdr>
    </w:div>
    <w:div w:id="1086918614">
      <w:bodyDiv w:val="1"/>
      <w:marLeft w:val="0"/>
      <w:marRight w:val="0"/>
      <w:marTop w:val="0"/>
      <w:marBottom w:val="0"/>
      <w:divBdr>
        <w:top w:val="none" w:sz="0" w:space="0" w:color="auto"/>
        <w:left w:val="none" w:sz="0" w:space="0" w:color="auto"/>
        <w:bottom w:val="none" w:sz="0" w:space="0" w:color="auto"/>
        <w:right w:val="none" w:sz="0" w:space="0" w:color="auto"/>
      </w:divBdr>
    </w:div>
    <w:div w:id="1087843094">
      <w:bodyDiv w:val="1"/>
      <w:marLeft w:val="0"/>
      <w:marRight w:val="0"/>
      <w:marTop w:val="0"/>
      <w:marBottom w:val="0"/>
      <w:divBdr>
        <w:top w:val="none" w:sz="0" w:space="0" w:color="auto"/>
        <w:left w:val="none" w:sz="0" w:space="0" w:color="auto"/>
        <w:bottom w:val="none" w:sz="0" w:space="0" w:color="auto"/>
        <w:right w:val="none" w:sz="0" w:space="0" w:color="auto"/>
      </w:divBdr>
    </w:div>
    <w:div w:id="1088117133">
      <w:bodyDiv w:val="1"/>
      <w:marLeft w:val="0"/>
      <w:marRight w:val="0"/>
      <w:marTop w:val="0"/>
      <w:marBottom w:val="0"/>
      <w:divBdr>
        <w:top w:val="none" w:sz="0" w:space="0" w:color="auto"/>
        <w:left w:val="none" w:sz="0" w:space="0" w:color="auto"/>
        <w:bottom w:val="none" w:sz="0" w:space="0" w:color="auto"/>
        <w:right w:val="none" w:sz="0" w:space="0" w:color="auto"/>
      </w:divBdr>
    </w:div>
    <w:div w:id="1088117762">
      <w:bodyDiv w:val="1"/>
      <w:marLeft w:val="0"/>
      <w:marRight w:val="0"/>
      <w:marTop w:val="0"/>
      <w:marBottom w:val="0"/>
      <w:divBdr>
        <w:top w:val="none" w:sz="0" w:space="0" w:color="auto"/>
        <w:left w:val="none" w:sz="0" w:space="0" w:color="auto"/>
        <w:bottom w:val="none" w:sz="0" w:space="0" w:color="auto"/>
        <w:right w:val="none" w:sz="0" w:space="0" w:color="auto"/>
      </w:divBdr>
    </w:div>
    <w:div w:id="1089041213">
      <w:bodyDiv w:val="1"/>
      <w:marLeft w:val="0"/>
      <w:marRight w:val="0"/>
      <w:marTop w:val="0"/>
      <w:marBottom w:val="0"/>
      <w:divBdr>
        <w:top w:val="none" w:sz="0" w:space="0" w:color="auto"/>
        <w:left w:val="none" w:sz="0" w:space="0" w:color="auto"/>
        <w:bottom w:val="none" w:sz="0" w:space="0" w:color="auto"/>
        <w:right w:val="none" w:sz="0" w:space="0" w:color="auto"/>
      </w:divBdr>
    </w:div>
    <w:div w:id="1089110013">
      <w:bodyDiv w:val="1"/>
      <w:marLeft w:val="0"/>
      <w:marRight w:val="0"/>
      <w:marTop w:val="0"/>
      <w:marBottom w:val="0"/>
      <w:divBdr>
        <w:top w:val="none" w:sz="0" w:space="0" w:color="auto"/>
        <w:left w:val="none" w:sz="0" w:space="0" w:color="auto"/>
        <w:bottom w:val="none" w:sz="0" w:space="0" w:color="auto"/>
        <w:right w:val="none" w:sz="0" w:space="0" w:color="auto"/>
      </w:divBdr>
    </w:div>
    <w:div w:id="1089154664">
      <w:bodyDiv w:val="1"/>
      <w:marLeft w:val="0"/>
      <w:marRight w:val="0"/>
      <w:marTop w:val="0"/>
      <w:marBottom w:val="0"/>
      <w:divBdr>
        <w:top w:val="none" w:sz="0" w:space="0" w:color="auto"/>
        <w:left w:val="none" w:sz="0" w:space="0" w:color="auto"/>
        <w:bottom w:val="none" w:sz="0" w:space="0" w:color="auto"/>
        <w:right w:val="none" w:sz="0" w:space="0" w:color="auto"/>
      </w:divBdr>
    </w:div>
    <w:div w:id="1089355179">
      <w:bodyDiv w:val="1"/>
      <w:marLeft w:val="0"/>
      <w:marRight w:val="0"/>
      <w:marTop w:val="0"/>
      <w:marBottom w:val="0"/>
      <w:divBdr>
        <w:top w:val="none" w:sz="0" w:space="0" w:color="auto"/>
        <w:left w:val="none" w:sz="0" w:space="0" w:color="auto"/>
        <w:bottom w:val="none" w:sz="0" w:space="0" w:color="auto"/>
        <w:right w:val="none" w:sz="0" w:space="0" w:color="auto"/>
      </w:divBdr>
    </w:div>
    <w:div w:id="1089545641">
      <w:bodyDiv w:val="1"/>
      <w:marLeft w:val="0"/>
      <w:marRight w:val="0"/>
      <w:marTop w:val="0"/>
      <w:marBottom w:val="0"/>
      <w:divBdr>
        <w:top w:val="none" w:sz="0" w:space="0" w:color="auto"/>
        <w:left w:val="none" w:sz="0" w:space="0" w:color="auto"/>
        <w:bottom w:val="none" w:sz="0" w:space="0" w:color="auto"/>
        <w:right w:val="none" w:sz="0" w:space="0" w:color="auto"/>
      </w:divBdr>
    </w:div>
    <w:div w:id="1089808898">
      <w:bodyDiv w:val="1"/>
      <w:marLeft w:val="0"/>
      <w:marRight w:val="0"/>
      <w:marTop w:val="0"/>
      <w:marBottom w:val="0"/>
      <w:divBdr>
        <w:top w:val="none" w:sz="0" w:space="0" w:color="auto"/>
        <w:left w:val="none" w:sz="0" w:space="0" w:color="auto"/>
        <w:bottom w:val="none" w:sz="0" w:space="0" w:color="auto"/>
        <w:right w:val="none" w:sz="0" w:space="0" w:color="auto"/>
      </w:divBdr>
    </w:div>
    <w:div w:id="1090005451">
      <w:bodyDiv w:val="1"/>
      <w:marLeft w:val="0"/>
      <w:marRight w:val="0"/>
      <w:marTop w:val="0"/>
      <w:marBottom w:val="0"/>
      <w:divBdr>
        <w:top w:val="none" w:sz="0" w:space="0" w:color="auto"/>
        <w:left w:val="none" w:sz="0" w:space="0" w:color="auto"/>
        <w:bottom w:val="none" w:sz="0" w:space="0" w:color="auto"/>
        <w:right w:val="none" w:sz="0" w:space="0" w:color="auto"/>
      </w:divBdr>
    </w:div>
    <w:div w:id="1090154044">
      <w:bodyDiv w:val="1"/>
      <w:marLeft w:val="0"/>
      <w:marRight w:val="0"/>
      <w:marTop w:val="0"/>
      <w:marBottom w:val="0"/>
      <w:divBdr>
        <w:top w:val="none" w:sz="0" w:space="0" w:color="auto"/>
        <w:left w:val="none" w:sz="0" w:space="0" w:color="auto"/>
        <w:bottom w:val="none" w:sz="0" w:space="0" w:color="auto"/>
        <w:right w:val="none" w:sz="0" w:space="0" w:color="auto"/>
      </w:divBdr>
    </w:div>
    <w:div w:id="1090663098">
      <w:bodyDiv w:val="1"/>
      <w:marLeft w:val="0"/>
      <w:marRight w:val="0"/>
      <w:marTop w:val="0"/>
      <w:marBottom w:val="0"/>
      <w:divBdr>
        <w:top w:val="none" w:sz="0" w:space="0" w:color="auto"/>
        <w:left w:val="none" w:sz="0" w:space="0" w:color="auto"/>
        <w:bottom w:val="none" w:sz="0" w:space="0" w:color="auto"/>
        <w:right w:val="none" w:sz="0" w:space="0" w:color="auto"/>
      </w:divBdr>
    </w:div>
    <w:div w:id="1091046699">
      <w:bodyDiv w:val="1"/>
      <w:marLeft w:val="0"/>
      <w:marRight w:val="0"/>
      <w:marTop w:val="0"/>
      <w:marBottom w:val="0"/>
      <w:divBdr>
        <w:top w:val="none" w:sz="0" w:space="0" w:color="auto"/>
        <w:left w:val="none" w:sz="0" w:space="0" w:color="auto"/>
        <w:bottom w:val="none" w:sz="0" w:space="0" w:color="auto"/>
        <w:right w:val="none" w:sz="0" w:space="0" w:color="auto"/>
      </w:divBdr>
    </w:div>
    <w:div w:id="1091699711">
      <w:bodyDiv w:val="1"/>
      <w:marLeft w:val="0"/>
      <w:marRight w:val="0"/>
      <w:marTop w:val="0"/>
      <w:marBottom w:val="0"/>
      <w:divBdr>
        <w:top w:val="none" w:sz="0" w:space="0" w:color="auto"/>
        <w:left w:val="none" w:sz="0" w:space="0" w:color="auto"/>
        <w:bottom w:val="none" w:sz="0" w:space="0" w:color="auto"/>
        <w:right w:val="none" w:sz="0" w:space="0" w:color="auto"/>
      </w:divBdr>
    </w:div>
    <w:div w:id="1091858215">
      <w:bodyDiv w:val="1"/>
      <w:marLeft w:val="0"/>
      <w:marRight w:val="0"/>
      <w:marTop w:val="0"/>
      <w:marBottom w:val="0"/>
      <w:divBdr>
        <w:top w:val="none" w:sz="0" w:space="0" w:color="auto"/>
        <w:left w:val="none" w:sz="0" w:space="0" w:color="auto"/>
        <w:bottom w:val="none" w:sz="0" w:space="0" w:color="auto"/>
        <w:right w:val="none" w:sz="0" w:space="0" w:color="auto"/>
      </w:divBdr>
    </w:div>
    <w:div w:id="1091896124">
      <w:bodyDiv w:val="1"/>
      <w:marLeft w:val="0"/>
      <w:marRight w:val="0"/>
      <w:marTop w:val="0"/>
      <w:marBottom w:val="0"/>
      <w:divBdr>
        <w:top w:val="none" w:sz="0" w:space="0" w:color="auto"/>
        <w:left w:val="none" w:sz="0" w:space="0" w:color="auto"/>
        <w:bottom w:val="none" w:sz="0" w:space="0" w:color="auto"/>
        <w:right w:val="none" w:sz="0" w:space="0" w:color="auto"/>
      </w:divBdr>
    </w:div>
    <w:div w:id="1091966999">
      <w:bodyDiv w:val="1"/>
      <w:marLeft w:val="0"/>
      <w:marRight w:val="0"/>
      <w:marTop w:val="0"/>
      <w:marBottom w:val="0"/>
      <w:divBdr>
        <w:top w:val="none" w:sz="0" w:space="0" w:color="auto"/>
        <w:left w:val="none" w:sz="0" w:space="0" w:color="auto"/>
        <w:bottom w:val="none" w:sz="0" w:space="0" w:color="auto"/>
        <w:right w:val="none" w:sz="0" w:space="0" w:color="auto"/>
      </w:divBdr>
    </w:div>
    <w:div w:id="1092119343">
      <w:bodyDiv w:val="1"/>
      <w:marLeft w:val="0"/>
      <w:marRight w:val="0"/>
      <w:marTop w:val="0"/>
      <w:marBottom w:val="0"/>
      <w:divBdr>
        <w:top w:val="none" w:sz="0" w:space="0" w:color="auto"/>
        <w:left w:val="none" w:sz="0" w:space="0" w:color="auto"/>
        <w:bottom w:val="none" w:sz="0" w:space="0" w:color="auto"/>
        <w:right w:val="none" w:sz="0" w:space="0" w:color="auto"/>
      </w:divBdr>
    </w:div>
    <w:div w:id="1092162453">
      <w:bodyDiv w:val="1"/>
      <w:marLeft w:val="0"/>
      <w:marRight w:val="0"/>
      <w:marTop w:val="0"/>
      <w:marBottom w:val="0"/>
      <w:divBdr>
        <w:top w:val="none" w:sz="0" w:space="0" w:color="auto"/>
        <w:left w:val="none" w:sz="0" w:space="0" w:color="auto"/>
        <w:bottom w:val="none" w:sz="0" w:space="0" w:color="auto"/>
        <w:right w:val="none" w:sz="0" w:space="0" w:color="auto"/>
      </w:divBdr>
    </w:div>
    <w:div w:id="1092318735">
      <w:bodyDiv w:val="1"/>
      <w:marLeft w:val="0"/>
      <w:marRight w:val="0"/>
      <w:marTop w:val="0"/>
      <w:marBottom w:val="0"/>
      <w:divBdr>
        <w:top w:val="none" w:sz="0" w:space="0" w:color="auto"/>
        <w:left w:val="none" w:sz="0" w:space="0" w:color="auto"/>
        <w:bottom w:val="none" w:sz="0" w:space="0" w:color="auto"/>
        <w:right w:val="none" w:sz="0" w:space="0" w:color="auto"/>
      </w:divBdr>
    </w:div>
    <w:div w:id="1093092149">
      <w:bodyDiv w:val="1"/>
      <w:marLeft w:val="0"/>
      <w:marRight w:val="0"/>
      <w:marTop w:val="0"/>
      <w:marBottom w:val="0"/>
      <w:divBdr>
        <w:top w:val="none" w:sz="0" w:space="0" w:color="auto"/>
        <w:left w:val="none" w:sz="0" w:space="0" w:color="auto"/>
        <w:bottom w:val="none" w:sz="0" w:space="0" w:color="auto"/>
        <w:right w:val="none" w:sz="0" w:space="0" w:color="auto"/>
      </w:divBdr>
    </w:div>
    <w:div w:id="1093355956">
      <w:bodyDiv w:val="1"/>
      <w:marLeft w:val="0"/>
      <w:marRight w:val="0"/>
      <w:marTop w:val="0"/>
      <w:marBottom w:val="0"/>
      <w:divBdr>
        <w:top w:val="none" w:sz="0" w:space="0" w:color="auto"/>
        <w:left w:val="none" w:sz="0" w:space="0" w:color="auto"/>
        <w:bottom w:val="none" w:sz="0" w:space="0" w:color="auto"/>
        <w:right w:val="none" w:sz="0" w:space="0" w:color="auto"/>
      </w:divBdr>
    </w:div>
    <w:div w:id="1093360932">
      <w:bodyDiv w:val="1"/>
      <w:marLeft w:val="0"/>
      <w:marRight w:val="0"/>
      <w:marTop w:val="0"/>
      <w:marBottom w:val="0"/>
      <w:divBdr>
        <w:top w:val="none" w:sz="0" w:space="0" w:color="auto"/>
        <w:left w:val="none" w:sz="0" w:space="0" w:color="auto"/>
        <w:bottom w:val="none" w:sz="0" w:space="0" w:color="auto"/>
        <w:right w:val="none" w:sz="0" w:space="0" w:color="auto"/>
      </w:divBdr>
    </w:div>
    <w:div w:id="1093624485">
      <w:bodyDiv w:val="1"/>
      <w:marLeft w:val="0"/>
      <w:marRight w:val="0"/>
      <w:marTop w:val="0"/>
      <w:marBottom w:val="0"/>
      <w:divBdr>
        <w:top w:val="none" w:sz="0" w:space="0" w:color="auto"/>
        <w:left w:val="none" w:sz="0" w:space="0" w:color="auto"/>
        <w:bottom w:val="none" w:sz="0" w:space="0" w:color="auto"/>
        <w:right w:val="none" w:sz="0" w:space="0" w:color="auto"/>
      </w:divBdr>
    </w:div>
    <w:div w:id="1094011114">
      <w:bodyDiv w:val="1"/>
      <w:marLeft w:val="0"/>
      <w:marRight w:val="0"/>
      <w:marTop w:val="0"/>
      <w:marBottom w:val="0"/>
      <w:divBdr>
        <w:top w:val="none" w:sz="0" w:space="0" w:color="auto"/>
        <w:left w:val="none" w:sz="0" w:space="0" w:color="auto"/>
        <w:bottom w:val="none" w:sz="0" w:space="0" w:color="auto"/>
        <w:right w:val="none" w:sz="0" w:space="0" w:color="auto"/>
      </w:divBdr>
    </w:div>
    <w:div w:id="1094016621">
      <w:bodyDiv w:val="1"/>
      <w:marLeft w:val="0"/>
      <w:marRight w:val="0"/>
      <w:marTop w:val="0"/>
      <w:marBottom w:val="0"/>
      <w:divBdr>
        <w:top w:val="none" w:sz="0" w:space="0" w:color="auto"/>
        <w:left w:val="none" w:sz="0" w:space="0" w:color="auto"/>
        <w:bottom w:val="none" w:sz="0" w:space="0" w:color="auto"/>
        <w:right w:val="none" w:sz="0" w:space="0" w:color="auto"/>
      </w:divBdr>
    </w:div>
    <w:div w:id="1094983652">
      <w:bodyDiv w:val="1"/>
      <w:marLeft w:val="0"/>
      <w:marRight w:val="0"/>
      <w:marTop w:val="0"/>
      <w:marBottom w:val="0"/>
      <w:divBdr>
        <w:top w:val="none" w:sz="0" w:space="0" w:color="auto"/>
        <w:left w:val="none" w:sz="0" w:space="0" w:color="auto"/>
        <w:bottom w:val="none" w:sz="0" w:space="0" w:color="auto"/>
        <w:right w:val="none" w:sz="0" w:space="0" w:color="auto"/>
      </w:divBdr>
    </w:div>
    <w:div w:id="1095398368">
      <w:bodyDiv w:val="1"/>
      <w:marLeft w:val="0"/>
      <w:marRight w:val="0"/>
      <w:marTop w:val="0"/>
      <w:marBottom w:val="0"/>
      <w:divBdr>
        <w:top w:val="none" w:sz="0" w:space="0" w:color="auto"/>
        <w:left w:val="none" w:sz="0" w:space="0" w:color="auto"/>
        <w:bottom w:val="none" w:sz="0" w:space="0" w:color="auto"/>
        <w:right w:val="none" w:sz="0" w:space="0" w:color="auto"/>
      </w:divBdr>
    </w:div>
    <w:div w:id="1095512296">
      <w:bodyDiv w:val="1"/>
      <w:marLeft w:val="0"/>
      <w:marRight w:val="0"/>
      <w:marTop w:val="0"/>
      <w:marBottom w:val="0"/>
      <w:divBdr>
        <w:top w:val="none" w:sz="0" w:space="0" w:color="auto"/>
        <w:left w:val="none" w:sz="0" w:space="0" w:color="auto"/>
        <w:bottom w:val="none" w:sz="0" w:space="0" w:color="auto"/>
        <w:right w:val="none" w:sz="0" w:space="0" w:color="auto"/>
      </w:divBdr>
    </w:div>
    <w:div w:id="1096289704">
      <w:bodyDiv w:val="1"/>
      <w:marLeft w:val="0"/>
      <w:marRight w:val="0"/>
      <w:marTop w:val="0"/>
      <w:marBottom w:val="0"/>
      <w:divBdr>
        <w:top w:val="none" w:sz="0" w:space="0" w:color="auto"/>
        <w:left w:val="none" w:sz="0" w:space="0" w:color="auto"/>
        <w:bottom w:val="none" w:sz="0" w:space="0" w:color="auto"/>
        <w:right w:val="none" w:sz="0" w:space="0" w:color="auto"/>
      </w:divBdr>
    </w:div>
    <w:div w:id="1096831032">
      <w:bodyDiv w:val="1"/>
      <w:marLeft w:val="0"/>
      <w:marRight w:val="0"/>
      <w:marTop w:val="0"/>
      <w:marBottom w:val="0"/>
      <w:divBdr>
        <w:top w:val="none" w:sz="0" w:space="0" w:color="auto"/>
        <w:left w:val="none" w:sz="0" w:space="0" w:color="auto"/>
        <w:bottom w:val="none" w:sz="0" w:space="0" w:color="auto"/>
        <w:right w:val="none" w:sz="0" w:space="0" w:color="auto"/>
      </w:divBdr>
    </w:div>
    <w:div w:id="1096943839">
      <w:bodyDiv w:val="1"/>
      <w:marLeft w:val="0"/>
      <w:marRight w:val="0"/>
      <w:marTop w:val="0"/>
      <w:marBottom w:val="0"/>
      <w:divBdr>
        <w:top w:val="none" w:sz="0" w:space="0" w:color="auto"/>
        <w:left w:val="none" w:sz="0" w:space="0" w:color="auto"/>
        <w:bottom w:val="none" w:sz="0" w:space="0" w:color="auto"/>
        <w:right w:val="none" w:sz="0" w:space="0" w:color="auto"/>
      </w:divBdr>
    </w:div>
    <w:div w:id="1096949010">
      <w:bodyDiv w:val="1"/>
      <w:marLeft w:val="0"/>
      <w:marRight w:val="0"/>
      <w:marTop w:val="0"/>
      <w:marBottom w:val="0"/>
      <w:divBdr>
        <w:top w:val="none" w:sz="0" w:space="0" w:color="auto"/>
        <w:left w:val="none" w:sz="0" w:space="0" w:color="auto"/>
        <w:bottom w:val="none" w:sz="0" w:space="0" w:color="auto"/>
        <w:right w:val="none" w:sz="0" w:space="0" w:color="auto"/>
      </w:divBdr>
    </w:div>
    <w:div w:id="1097019872">
      <w:bodyDiv w:val="1"/>
      <w:marLeft w:val="0"/>
      <w:marRight w:val="0"/>
      <w:marTop w:val="0"/>
      <w:marBottom w:val="0"/>
      <w:divBdr>
        <w:top w:val="none" w:sz="0" w:space="0" w:color="auto"/>
        <w:left w:val="none" w:sz="0" w:space="0" w:color="auto"/>
        <w:bottom w:val="none" w:sz="0" w:space="0" w:color="auto"/>
        <w:right w:val="none" w:sz="0" w:space="0" w:color="auto"/>
      </w:divBdr>
    </w:div>
    <w:div w:id="1097099134">
      <w:bodyDiv w:val="1"/>
      <w:marLeft w:val="0"/>
      <w:marRight w:val="0"/>
      <w:marTop w:val="0"/>
      <w:marBottom w:val="0"/>
      <w:divBdr>
        <w:top w:val="none" w:sz="0" w:space="0" w:color="auto"/>
        <w:left w:val="none" w:sz="0" w:space="0" w:color="auto"/>
        <w:bottom w:val="none" w:sz="0" w:space="0" w:color="auto"/>
        <w:right w:val="none" w:sz="0" w:space="0" w:color="auto"/>
      </w:divBdr>
    </w:div>
    <w:div w:id="1097288007">
      <w:bodyDiv w:val="1"/>
      <w:marLeft w:val="0"/>
      <w:marRight w:val="0"/>
      <w:marTop w:val="0"/>
      <w:marBottom w:val="0"/>
      <w:divBdr>
        <w:top w:val="none" w:sz="0" w:space="0" w:color="auto"/>
        <w:left w:val="none" w:sz="0" w:space="0" w:color="auto"/>
        <w:bottom w:val="none" w:sz="0" w:space="0" w:color="auto"/>
        <w:right w:val="none" w:sz="0" w:space="0" w:color="auto"/>
      </w:divBdr>
    </w:div>
    <w:div w:id="1097599589">
      <w:bodyDiv w:val="1"/>
      <w:marLeft w:val="0"/>
      <w:marRight w:val="0"/>
      <w:marTop w:val="0"/>
      <w:marBottom w:val="0"/>
      <w:divBdr>
        <w:top w:val="none" w:sz="0" w:space="0" w:color="auto"/>
        <w:left w:val="none" w:sz="0" w:space="0" w:color="auto"/>
        <w:bottom w:val="none" w:sz="0" w:space="0" w:color="auto"/>
        <w:right w:val="none" w:sz="0" w:space="0" w:color="auto"/>
      </w:divBdr>
    </w:div>
    <w:div w:id="1097604966">
      <w:bodyDiv w:val="1"/>
      <w:marLeft w:val="0"/>
      <w:marRight w:val="0"/>
      <w:marTop w:val="0"/>
      <w:marBottom w:val="0"/>
      <w:divBdr>
        <w:top w:val="none" w:sz="0" w:space="0" w:color="auto"/>
        <w:left w:val="none" w:sz="0" w:space="0" w:color="auto"/>
        <w:bottom w:val="none" w:sz="0" w:space="0" w:color="auto"/>
        <w:right w:val="none" w:sz="0" w:space="0" w:color="auto"/>
      </w:divBdr>
    </w:div>
    <w:div w:id="1098938945">
      <w:bodyDiv w:val="1"/>
      <w:marLeft w:val="0"/>
      <w:marRight w:val="0"/>
      <w:marTop w:val="0"/>
      <w:marBottom w:val="0"/>
      <w:divBdr>
        <w:top w:val="none" w:sz="0" w:space="0" w:color="auto"/>
        <w:left w:val="none" w:sz="0" w:space="0" w:color="auto"/>
        <w:bottom w:val="none" w:sz="0" w:space="0" w:color="auto"/>
        <w:right w:val="none" w:sz="0" w:space="0" w:color="auto"/>
      </w:divBdr>
    </w:div>
    <w:div w:id="1099182232">
      <w:bodyDiv w:val="1"/>
      <w:marLeft w:val="0"/>
      <w:marRight w:val="0"/>
      <w:marTop w:val="0"/>
      <w:marBottom w:val="0"/>
      <w:divBdr>
        <w:top w:val="none" w:sz="0" w:space="0" w:color="auto"/>
        <w:left w:val="none" w:sz="0" w:space="0" w:color="auto"/>
        <w:bottom w:val="none" w:sz="0" w:space="0" w:color="auto"/>
        <w:right w:val="none" w:sz="0" w:space="0" w:color="auto"/>
      </w:divBdr>
    </w:div>
    <w:div w:id="1099643091">
      <w:bodyDiv w:val="1"/>
      <w:marLeft w:val="0"/>
      <w:marRight w:val="0"/>
      <w:marTop w:val="0"/>
      <w:marBottom w:val="0"/>
      <w:divBdr>
        <w:top w:val="none" w:sz="0" w:space="0" w:color="auto"/>
        <w:left w:val="none" w:sz="0" w:space="0" w:color="auto"/>
        <w:bottom w:val="none" w:sz="0" w:space="0" w:color="auto"/>
        <w:right w:val="none" w:sz="0" w:space="0" w:color="auto"/>
      </w:divBdr>
    </w:div>
    <w:div w:id="1099720665">
      <w:bodyDiv w:val="1"/>
      <w:marLeft w:val="0"/>
      <w:marRight w:val="0"/>
      <w:marTop w:val="0"/>
      <w:marBottom w:val="0"/>
      <w:divBdr>
        <w:top w:val="none" w:sz="0" w:space="0" w:color="auto"/>
        <w:left w:val="none" w:sz="0" w:space="0" w:color="auto"/>
        <w:bottom w:val="none" w:sz="0" w:space="0" w:color="auto"/>
        <w:right w:val="none" w:sz="0" w:space="0" w:color="auto"/>
      </w:divBdr>
    </w:div>
    <w:div w:id="1100492860">
      <w:bodyDiv w:val="1"/>
      <w:marLeft w:val="0"/>
      <w:marRight w:val="0"/>
      <w:marTop w:val="0"/>
      <w:marBottom w:val="0"/>
      <w:divBdr>
        <w:top w:val="none" w:sz="0" w:space="0" w:color="auto"/>
        <w:left w:val="none" w:sz="0" w:space="0" w:color="auto"/>
        <w:bottom w:val="none" w:sz="0" w:space="0" w:color="auto"/>
        <w:right w:val="none" w:sz="0" w:space="0" w:color="auto"/>
      </w:divBdr>
    </w:div>
    <w:div w:id="1100561868">
      <w:bodyDiv w:val="1"/>
      <w:marLeft w:val="0"/>
      <w:marRight w:val="0"/>
      <w:marTop w:val="0"/>
      <w:marBottom w:val="0"/>
      <w:divBdr>
        <w:top w:val="none" w:sz="0" w:space="0" w:color="auto"/>
        <w:left w:val="none" w:sz="0" w:space="0" w:color="auto"/>
        <w:bottom w:val="none" w:sz="0" w:space="0" w:color="auto"/>
        <w:right w:val="none" w:sz="0" w:space="0" w:color="auto"/>
      </w:divBdr>
    </w:div>
    <w:div w:id="1100636132">
      <w:bodyDiv w:val="1"/>
      <w:marLeft w:val="0"/>
      <w:marRight w:val="0"/>
      <w:marTop w:val="0"/>
      <w:marBottom w:val="0"/>
      <w:divBdr>
        <w:top w:val="none" w:sz="0" w:space="0" w:color="auto"/>
        <w:left w:val="none" w:sz="0" w:space="0" w:color="auto"/>
        <w:bottom w:val="none" w:sz="0" w:space="0" w:color="auto"/>
        <w:right w:val="none" w:sz="0" w:space="0" w:color="auto"/>
      </w:divBdr>
    </w:div>
    <w:div w:id="1100836534">
      <w:bodyDiv w:val="1"/>
      <w:marLeft w:val="0"/>
      <w:marRight w:val="0"/>
      <w:marTop w:val="0"/>
      <w:marBottom w:val="0"/>
      <w:divBdr>
        <w:top w:val="none" w:sz="0" w:space="0" w:color="auto"/>
        <w:left w:val="none" w:sz="0" w:space="0" w:color="auto"/>
        <w:bottom w:val="none" w:sz="0" w:space="0" w:color="auto"/>
        <w:right w:val="none" w:sz="0" w:space="0" w:color="auto"/>
      </w:divBdr>
    </w:div>
    <w:div w:id="1100875939">
      <w:bodyDiv w:val="1"/>
      <w:marLeft w:val="0"/>
      <w:marRight w:val="0"/>
      <w:marTop w:val="0"/>
      <w:marBottom w:val="0"/>
      <w:divBdr>
        <w:top w:val="none" w:sz="0" w:space="0" w:color="auto"/>
        <w:left w:val="none" w:sz="0" w:space="0" w:color="auto"/>
        <w:bottom w:val="none" w:sz="0" w:space="0" w:color="auto"/>
        <w:right w:val="none" w:sz="0" w:space="0" w:color="auto"/>
      </w:divBdr>
    </w:div>
    <w:div w:id="1100905145">
      <w:bodyDiv w:val="1"/>
      <w:marLeft w:val="0"/>
      <w:marRight w:val="0"/>
      <w:marTop w:val="0"/>
      <w:marBottom w:val="0"/>
      <w:divBdr>
        <w:top w:val="none" w:sz="0" w:space="0" w:color="auto"/>
        <w:left w:val="none" w:sz="0" w:space="0" w:color="auto"/>
        <w:bottom w:val="none" w:sz="0" w:space="0" w:color="auto"/>
        <w:right w:val="none" w:sz="0" w:space="0" w:color="auto"/>
      </w:divBdr>
    </w:div>
    <w:div w:id="1101141935">
      <w:bodyDiv w:val="1"/>
      <w:marLeft w:val="0"/>
      <w:marRight w:val="0"/>
      <w:marTop w:val="0"/>
      <w:marBottom w:val="0"/>
      <w:divBdr>
        <w:top w:val="none" w:sz="0" w:space="0" w:color="auto"/>
        <w:left w:val="none" w:sz="0" w:space="0" w:color="auto"/>
        <w:bottom w:val="none" w:sz="0" w:space="0" w:color="auto"/>
        <w:right w:val="none" w:sz="0" w:space="0" w:color="auto"/>
      </w:divBdr>
    </w:div>
    <w:div w:id="1101950657">
      <w:bodyDiv w:val="1"/>
      <w:marLeft w:val="0"/>
      <w:marRight w:val="0"/>
      <w:marTop w:val="0"/>
      <w:marBottom w:val="0"/>
      <w:divBdr>
        <w:top w:val="none" w:sz="0" w:space="0" w:color="auto"/>
        <w:left w:val="none" w:sz="0" w:space="0" w:color="auto"/>
        <w:bottom w:val="none" w:sz="0" w:space="0" w:color="auto"/>
        <w:right w:val="none" w:sz="0" w:space="0" w:color="auto"/>
      </w:divBdr>
    </w:div>
    <w:div w:id="1101998667">
      <w:bodyDiv w:val="1"/>
      <w:marLeft w:val="0"/>
      <w:marRight w:val="0"/>
      <w:marTop w:val="0"/>
      <w:marBottom w:val="0"/>
      <w:divBdr>
        <w:top w:val="none" w:sz="0" w:space="0" w:color="auto"/>
        <w:left w:val="none" w:sz="0" w:space="0" w:color="auto"/>
        <w:bottom w:val="none" w:sz="0" w:space="0" w:color="auto"/>
        <w:right w:val="none" w:sz="0" w:space="0" w:color="auto"/>
      </w:divBdr>
    </w:div>
    <w:div w:id="1102215652">
      <w:bodyDiv w:val="1"/>
      <w:marLeft w:val="0"/>
      <w:marRight w:val="0"/>
      <w:marTop w:val="0"/>
      <w:marBottom w:val="0"/>
      <w:divBdr>
        <w:top w:val="none" w:sz="0" w:space="0" w:color="auto"/>
        <w:left w:val="none" w:sz="0" w:space="0" w:color="auto"/>
        <w:bottom w:val="none" w:sz="0" w:space="0" w:color="auto"/>
        <w:right w:val="none" w:sz="0" w:space="0" w:color="auto"/>
      </w:divBdr>
    </w:div>
    <w:div w:id="1102337580">
      <w:bodyDiv w:val="1"/>
      <w:marLeft w:val="0"/>
      <w:marRight w:val="0"/>
      <w:marTop w:val="0"/>
      <w:marBottom w:val="0"/>
      <w:divBdr>
        <w:top w:val="none" w:sz="0" w:space="0" w:color="auto"/>
        <w:left w:val="none" w:sz="0" w:space="0" w:color="auto"/>
        <w:bottom w:val="none" w:sz="0" w:space="0" w:color="auto"/>
        <w:right w:val="none" w:sz="0" w:space="0" w:color="auto"/>
      </w:divBdr>
    </w:div>
    <w:div w:id="1102602203">
      <w:bodyDiv w:val="1"/>
      <w:marLeft w:val="0"/>
      <w:marRight w:val="0"/>
      <w:marTop w:val="0"/>
      <w:marBottom w:val="0"/>
      <w:divBdr>
        <w:top w:val="none" w:sz="0" w:space="0" w:color="auto"/>
        <w:left w:val="none" w:sz="0" w:space="0" w:color="auto"/>
        <w:bottom w:val="none" w:sz="0" w:space="0" w:color="auto"/>
        <w:right w:val="none" w:sz="0" w:space="0" w:color="auto"/>
      </w:divBdr>
    </w:div>
    <w:div w:id="1102723563">
      <w:bodyDiv w:val="1"/>
      <w:marLeft w:val="0"/>
      <w:marRight w:val="0"/>
      <w:marTop w:val="0"/>
      <w:marBottom w:val="0"/>
      <w:divBdr>
        <w:top w:val="none" w:sz="0" w:space="0" w:color="auto"/>
        <w:left w:val="none" w:sz="0" w:space="0" w:color="auto"/>
        <w:bottom w:val="none" w:sz="0" w:space="0" w:color="auto"/>
        <w:right w:val="none" w:sz="0" w:space="0" w:color="auto"/>
      </w:divBdr>
    </w:div>
    <w:div w:id="1102804037">
      <w:bodyDiv w:val="1"/>
      <w:marLeft w:val="0"/>
      <w:marRight w:val="0"/>
      <w:marTop w:val="0"/>
      <w:marBottom w:val="0"/>
      <w:divBdr>
        <w:top w:val="none" w:sz="0" w:space="0" w:color="auto"/>
        <w:left w:val="none" w:sz="0" w:space="0" w:color="auto"/>
        <w:bottom w:val="none" w:sz="0" w:space="0" w:color="auto"/>
        <w:right w:val="none" w:sz="0" w:space="0" w:color="auto"/>
      </w:divBdr>
    </w:div>
    <w:div w:id="1102995296">
      <w:bodyDiv w:val="1"/>
      <w:marLeft w:val="0"/>
      <w:marRight w:val="0"/>
      <w:marTop w:val="0"/>
      <w:marBottom w:val="0"/>
      <w:divBdr>
        <w:top w:val="none" w:sz="0" w:space="0" w:color="auto"/>
        <w:left w:val="none" w:sz="0" w:space="0" w:color="auto"/>
        <w:bottom w:val="none" w:sz="0" w:space="0" w:color="auto"/>
        <w:right w:val="none" w:sz="0" w:space="0" w:color="auto"/>
      </w:divBdr>
    </w:div>
    <w:div w:id="1103233099">
      <w:bodyDiv w:val="1"/>
      <w:marLeft w:val="0"/>
      <w:marRight w:val="0"/>
      <w:marTop w:val="0"/>
      <w:marBottom w:val="0"/>
      <w:divBdr>
        <w:top w:val="none" w:sz="0" w:space="0" w:color="auto"/>
        <w:left w:val="none" w:sz="0" w:space="0" w:color="auto"/>
        <w:bottom w:val="none" w:sz="0" w:space="0" w:color="auto"/>
        <w:right w:val="none" w:sz="0" w:space="0" w:color="auto"/>
      </w:divBdr>
    </w:div>
    <w:div w:id="1103917711">
      <w:bodyDiv w:val="1"/>
      <w:marLeft w:val="0"/>
      <w:marRight w:val="0"/>
      <w:marTop w:val="0"/>
      <w:marBottom w:val="0"/>
      <w:divBdr>
        <w:top w:val="none" w:sz="0" w:space="0" w:color="auto"/>
        <w:left w:val="none" w:sz="0" w:space="0" w:color="auto"/>
        <w:bottom w:val="none" w:sz="0" w:space="0" w:color="auto"/>
        <w:right w:val="none" w:sz="0" w:space="0" w:color="auto"/>
      </w:divBdr>
    </w:div>
    <w:div w:id="1104228205">
      <w:bodyDiv w:val="1"/>
      <w:marLeft w:val="0"/>
      <w:marRight w:val="0"/>
      <w:marTop w:val="0"/>
      <w:marBottom w:val="0"/>
      <w:divBdr>
        <w:top w:val="none" w:sz="0" w:space="0" w:color="auto"/>
        <w:left w:val="none" w:sz="0" w:space="0" w:color="auto"/>
        <w:bottom w:val="none" w:sz="0" w:space="0" w:color="auto"/>
        <w:right w:val="none" w:sz="0" w:space="0" w:color="auto"/>
      </w:divBdr>
    </w:div>
    <w:div w:id="1104615625">
      <w:bodyDiv w:val="1"/>
      <w:marLeft w:val="0"/>
      <w:marRight w:val="0"/>
      <w:marTop w:val="0"/>
      <w:marBottom w:val="0"/>
      <w:divBdr>
        <w:top w:val="none" w:sz="0" w:space="0" w:color="auto"/>
        <w:left w:val="none" w:sz="0" w:space="0" w:color="auto"/>
        <w:bottom w:val="none" w:sz="0" w:space="0" w:color="auto"/>
        <w:right w:val="none" w:sz="0" w:space="0" w:color="auto"/>
      </w:divBdr>
    </w:div>
    <w:div w:id="1105223693">
      <w:bodyDiv w:val="1"/>
      <w:marLeft w:val="0"/>
      <w:marRight w:val="0"/>
      <w:marTop w:val="0"/>
      <w:marBottom w:val="0"/>
      <w:divBdr>
        <w:top w:val="none" w:sz="0" w:space="0" w:color="auto"/>
        <w:left w:val="none" w:sz="0" w:space="0" w:color="auto"/>
        <w:bottom w:val="none" w:sz="0" w:space="0" w:color="auto"/>
        <w:right w:val="none" w:sz="0" w:space="0" w:color="auto"/>
      </w:divBdr>
    </w:div>
    <w:div w:id="1105493565">
      <w:bodyDiv w:val="1"/>
      <w:marLeft w:val="0"/>
      <w:marRight w:val="0"/>
      <w:marTop w:val="0"/>
      <w:marBottom w:val="0"/>
      <w:divBdr>
        <w:top w:val="none" w:sz="0" w:space="0" w:color="auto"/>
        <w:left w:val="none" w:sz="0" w:space="0" w:color="auto"/>
        <w:bottom w:val="none" w:sz="0" w:space="0" w:color="auto"/>
        <w:right w:val="none" w:sz="0" w:space="0" w:color="auto"/>
      </w:divBdr>
    </w:div>
    <w:div w:id="1105807945">
      <w:bodyDiv w:val="1"/>
      <w:marLeft w:val="0"/>
      <w:marRight w:val="0"/>
      <w:marTop w:val="0"/>
      <w:marBottom w:val="0"/>
      <w:divBdr>
        <w:top w:val="none" w:sz="0" w:space="0" w:color="auto"/>
        <w:left w:val="none" w:sz="0" w:space="0" w:color="auto"/>
        <w:bottom w:val="none" w:sz="0" w:space="0" w:color="auto"/>
        <w:right w:val="none" w:sz="0" w:space="0" w:color="auto"/>
      </w:divBdr>
    </w:div>
    <w:div w:id="1106001139">
      <w:bodyDiv w:val="1"/>
      <w:marLeft w:val="0"/>
      <w:marRight w:val="0"/>
      <w:marTop w:val="0"/>
      <w:marBottom w:val="0"/>
      <w:divBdr>
        <w:top w:val="none" w:sz="0" w:space="0" w:color="auto"/>
        <w:left w:val="none" w:sz="0" w:space="0" w:color="auto"/>
        <w:bottom w:val="none" w:sz="0" w:space="0" w:color="auto"/>
        <w:right w:val="none" w:sz="0" w:space="0" w:color="auto"/>
      </w:divBdr>
    </w:div>
    <w:div w:id="1106195247">
      <w:bodyDiv w:val="1"/>
      <w:marLeft w:val="0"/>
      <w:marRight w:val="0"/>
      <w:marTop w:val="0"/>
      <w:marBottom w:val="0"/>
      <w:divBdr>
        <w:top w:val="none" w:sz="0" w:space="0" w:color="auto"/>
        <w:left w:val="none" w:sz="0" w:space="0" w:color="auto"/>
        <w:bottom w:val="none" w:sz="0" w:space="0" w:color="auto"/>
        <w:right w:val="none" w:sz="0" w:space="0" w:color="auto"/>
      </w:divBdr>
    </w:div>
    <w:div w:id="1106269959">
      <w:bodyDiv w:val="1"/>
      <w:marLeft w:val="0"/>
      <w:marRight w:val="0"/>
      <w:marTop w:val="0"/>
      <w:marBottom w:val="0"/>
      <w:divBdr>
        <w:top w:val="none" w:sz="0" w:space="0" w:color="auto"/>
        <w:left w:val="none" w:sz="0" w:space="0" w:color="auto"/>
        <w:bottom w:val="none" w:sz="0" w:space="0" w:color="auto"/>
        <w:right w:val="none" w:sz="0" w:space="0" w:color="auto"/>
      </w:divBdr>
    </w:div>
    <w:div w:id="1106536016">
      <w:bodyDiv w:val="1"/>
      <w:marLeft w:val="0"/>
      <w:marRight w:val="0"/>
      <w:marTop w:val="0"/>
      <w:marBottom w:val="0"/>
      <w:divBdr>
        <w:top w:val="none" w:sz="0" w:space="0" w:color="auto"/>
        <w:left w:val="none" w:sz="0" w:space="0" w:color="auto"/>
        <w:bottom w:val="none" w:sz="0" w:space="0" w:color="auto"/>
        <w:right w:val="none" w:sz="0" w:space="0" w:color="auto"/>
      </w:divBdr>
    </w:div>
    <w:div w:id="1106542013">
      <w:bodyDiv w:val="1"/>
      <w:marLeft w:val="0"/>
      <w:marRight w:val="0"/>
      <w:marTop w:val="0"/>
      <w:marBottom w:val="0"/>
      <w:divBdr>
        <w:top w:val="none" w:sz="0" w:space="0" w:color="auto"/>
        <w:left w:val="none" w:sz="0" w:space="0" w:color="auto"/>
        <w:bottom w:val="none" w:sz="0" w:space="0" w:color="auto"/>
        <w:right w:val="none" w:sz="0" w:space="0" w:color="auto"/>
      </w:divBdr>
    </w:div>
    <w:div w:id="1106921137">
      <w:bodyDiv w:val="1"/>
      <w:marLeft w:val="0"/>
      <w:marRight w:val="0"/>
      <w:marTop w:val="0"/>
      <w:marBottom w:val="0"/>
      <w:divBdr>
        <w:top w:val="none" w:sz="0" w:space="0" w:color="auto"/>
        <w:left w:val="none" w:sz="0" w:space="0" w:color="auto"/>
        <w:bottom w:val="none" w:sz="0" w:space="0" w:color="auto"/>
        <w:right w:val="none" w:sz="0" w:space="0" w:color="auto"/>
      </w:divBdr>
    </w:div>
    <w:div w:id="1107191433">
      <w:bodyDiv w:val="1"/>
      <w:marLeft w:val="0"/>
      <w:marRight w:val="0"/>
      <w:marTop w:val="0"/>
      <w:marBottom w:val="0"/>
      <w:divBdr>
        <w:top w:val="none" w:sz="0" w:space="0" w:color="auto"/>
        <w:left w:val="none" w:sz="0" w:space="0" w:color="auto"/>
        <w:bottom w:val="none" w:sz="0" w:space="0" w:color="auto"/>
        <w:right w:val="none" w:sz="0" w:space="0" w:color="auto"/>
      </w:divBdr>
    </w:div>
    <w:div w:id="1107191798">
      <w:bodyDiv w:val="1"/>
      <w:marLeft w:val="0"/>
      <w:marRight w:val="0"/>
      <w:marTop w:val="0"/>
      <w:marBottom w:val="0"/>
      <w:divBdr>
        <w:top w:val="none" w:sz="0" w:space="0" w:color="auto"/>
        <w:left w:val="none" w:sz="0" w:space="0" w:color="auto"/>
        <w:bottom w:val="none" w:sz="0" w:space="0" w:color="auto"/>
        <w:right w:val="none" w:sz="0" w:space="0" w:color="auto"/>
      </w:divBdr>
    </w:div>
    <w:div w:id="1107193905">
      <w:bodyDiv w:val="1"/>
      <w:marLeft w:val="0"/>
      <w:marRight w:val="0"/>
      <w:marTop w:val="0"/>
      <w:marBottom w:val="0"/>
      <w:divBdr>
        <w:top w:val="none" w:sz="0" w:space="0" w:color="auto"/>
        <w:left w:val="none" w:sz="0" w:space="0" w:color="auto"/>
        <w:bottom w:val="none" w:sz="0" w:space="0" w:color="auto"/>
        <w:right w:val="none" w:sz="0" w:space="0" w:color="auto"/>
      </w:divBdr>
    </w:div>
    <w:div w:id="1107196601">
      <w:bodyDiv w:val="1"/>
      <w:marLeft w:val="0"/>
      <w:marRight w:val="0"/>
      <w:marTop w:val="0"/>
      <w:marBottom w:val="0"/>
      <w:divBdr>
        <w:top w:val="none" w:sz="0" w:space="0" w:color="auto"/>
        <w:left w:val="none" w:sz="0" w:space="0" w:color="auto"/>
        <w:bottom w:val="none" w:sz="0" w:space="0" w:color="auto"/>
        <w:right w:val="none" w:sz="0" w:space="0" w:color="auto"/>
      </w:divBdr>
    </w:div>
    <w:div w:id="1107626785">
      <w:bodyDiv w:val="1"/>
      <w:marLeft w:val="0"/>
      <w:marRight w:val="0"/>
      <w:marTop w:val="0"/>
      <w:marBottom w:val="0"/>
      <w:divBdr>
        <w:top w:val="none" w:sz="0" w:space="0" w:color="auto"/>
        <w:left w:val="none" w:sz="0" w:space="0" w:color="auto"/>
        <w:bottom w:val="none" w:sz="0" w:space="0" w:color="auto"/>
        <w:right w:val="none" w:sz="0" w:space="0" w:color="auto"/>
      </w:divBdr>
    </w:div>
    <w:div w:id="1109855225">
      <w:bodyDiv w:val="1"/>
      <w:marLeft w:val="0"/>
      <w:marRight w:val="0"/>
      <w:marTop w:val="0"/>
      <w:marBottom w:val="0"/>
      <w:divBdr>
        <w:top w:val="none" w:sz="0" w:space="0" w:color="auto"/>
        <w:left w:val="none" w:sz="0" w:space="0" w:color="auto"/>
        <w:bottom w:val="none" w:sz="0" w:space="0" w:color="auto"/>
        <w:right w:val="none" w:sz="0" w:space="0" w:color="auto"/>
      </w:divBdr>
    </w:div>
    <w:div w:id="1110053650">
      <w:bodyDiv w:val="1"/>
      <w:marLeft w:val="0"/>
      <w:marRight w:val="0"/>
      <w:marTop w:val="0"/>
      <w:marBottom w:val="0"/>
      <w:divBdr>
        <w:top w:val="none" w:sz="0" w:space="0" w:color="auto"/>
        <w:left w:val="none" w:sz="0" w:space="0" w:color="auto"/>
        <w:bottom w:val="none" w:sz="0" w:space="0" w:color="auto"/>
        <w:right w:val="none" w:sz="0" w:space="0" w:color="auto"/>
      </w:divBdr>
    </w:div>
    <w:div w:id="1111583899">
      <w:bodyDiv w:val="1"/>
      <w:marLeft w:val="0"/>
      <w:marRight w:val="0"/>
      <w:marTop w:val="0"/>
      <w:marBottom w:val="0"/>
      <w:divBdr>
        <w:top w:val="none" w:sz="0" w:space="0" w:color="auto"/>
        <w:left w:val="none" w:sz="0" w:space="0" w:color="auto"/>
        <w:bottom w:val="none" w:sz="0" w:space="0" w:color="auto"/>
        <w:right w:val="none" w:sz="0" w:space="0" w:color="auto"/>
      </w:divBdr>
    </w:div>
    <w:div w:id="1111709571">
      <w:bodyDiv w:val="1"/>
      <w:marLeft w:val="0"/>
      <w:marRight w:val="0"/>
      <w:marTop w:val="0"/>
      <w:marBottom w:val="0"/>
      <w:divBdr>
        <w:top w:val="none" w:sz="0" w:space="0" w:color="auto"/>
        <w:left w:val="none" w:sz="0" w:space="0" w:color="auto"/>
        <w:bottom w:val="none" w:sz="0" w:space="0" w:color="auto"/>
        <w:right w:val="none" w:sz="0" w:space="0" w:color="auto"/>
      </w:divBdr>
    </w:div>
    <w:div w:id="1111825653">
      <w:bodyDiv w:val="1"/>
      <w:marLeft w:val="0"/>
      <w:marRight w:val="0"/>
      <w:marTop w:val="0"/>
      <w:marBottom w:val="0"/>
      <w:divBdr>
        <w:top w:val="none" w:sz="0" w:space="0" w:color="auto"/>
        <w:left w:val="none" w:sz="0" w:space="0" w:color="auto"/>
        <w:bottom w:val="none" w:sz="0" w:space="0" w:color="auto"/>
        <w:right w:val="none" w:sz="0" w:space="0" w:color="auto"/>
      </w:divBdr>
    </w:div>
    <w:div w:id="1113785051">
      <w:bodyDiv w:val="1"/>
      <w:marLeft w:val="0"/>
      <w:marRight w:val="0"/>
      <w:marTop w:val="0"/>
      <w:marBottom w:val="0"/>
      <w:divBdr>
        <w:top w:val="none" w:sz="0" w:space="0" w:color="auto"/>
        <w:left w:val="none" w:sz="0" w:space="0" w:color="auto"/>
        <w:bottom w:val="none" w:sz="0" w:space="0" w:color="auto"/>
        <w:right w:val="none" w:sz="0" w:space="0" w:color="auto"/>
      </w:divBdr>
    </w:div>
    <w:div w:id="1113793049">
      <w:bodyDiv w:val="1"/>
      <w:marLeft w:val="0"/>
      <w:marRight w:val="0"/>
      <w:marTop w:val="0"/>
      <w:marBottom w:val="0"/>
      <w:divBdr>
        <w:top w:val="none" w:sz="0" w:space="0" w:color="auto"/>
        <w:left w:val="none" w:sz="0" w:space="0" w:color="auto"/>
        <w:bottom w:val="none" w:sz="0" w:space="0" w:color="auto"/>
        <w:right w:val="none" w:sz="0" w:space="0" w:color="auto"/>
      </w:divBdr>
    </w:div>
    <w:div w:id="1113938198">
      <w:bodyDiv w:val="1"/>
      <w:marLeft w:val="0"/>
      <w:marRight w:val="0"/>
      <w:marTop w:val="0"/>
      <w:marBottom w:val="0"/>
      <w:divBdr>
        <w:top w:val="none" w:sz="0" w:space="0" w:color="auto"/>
        <w:left w:val="none" w:sz="0" w:space="0" w:color="auto"/>
        <w:bottom w:val="none" w:sz="0" w:space="0" w:color="auto"/>
        <w:right w:val="none" w:sz="0" w:space="0" w:color="auto"/>
      </w:divBdr>
    </w:div>
    <w:div w:id="1114247052">
      <w:bodyDiv w:val="1"/>
      <w:marLeft w:val="0"/>
      <w:marRight w:val="0"/>
      <w:marTop w:val="0"/>
      <w:marBottom w:val="0"/>
      <w:divBdr>
        <w:top w:val="none" w:sz="0" w:space="0" w:color="auto"/>
        <w:left w:val="none" w:sz="0" w:space="0" w:color="auto"/>
        <w:bottom w:val="none" w:sz="0" w:space="0" w:color="auto"/>
        <w:right w:val="none" w:sz="0" w:space="0" w:color="auto"/>
      </w:divBdr>
    </w:div>
    <w:div w:id="1114250322">
      <w:bodyDiv w:val="1"/>
      <w:marLeft w:val="0"/>
      <w:marRight w:val="0"/>
      <w:marTop w:val="0"/>
      <w:marBottom w:val="0"/>
      <w:divBdr>
        <w:top w:val="none" w:sz="0" w:space="0" w:color="auto"/>
        <w:left w:val="none" w:sz="0" w:space="0" w:color="auto"/>
        <w:bottom w:val="none" w:sz="0" w:space="0" w:color="auto"/>
        <w:right w:val="none" w:sz="0" w:space="0" w:color="auto"/>
      </w:divBdr>
    </w:div>
    <w:div w:id="1114518139">
      <w:bodyDiv w:val="1"/>
      <w:marLeft w:val="0"/>
      <w:marRight w:val="0"/>
      <w:marTop w:val="0"/>
      <w:marBottom w:val="0"/>
      <w:divBdr>
        <w:top w:val="none" w:sz="0" w:space="0" w:color="auto"/>
        <w:left w:val="none" w:sz="0" w:space="0" w:color="auto"/>
        <w:bottom w:val="none" w:sz="0" w:space="0" w:color="auto"/>
        <w:right w:val="none" w:sz="0" w:space="0" w:color="auto"/>
      </w:divBdr>
    </w:div>
    <w:div w:id="1115365167">
      <w:bodyDiv w:val="1"/>
      <w:marLeft w:val="0"/>
      <w:marRight w:val="0"/>
      <w:marTop w:val="0"/>
      <w:marBottom w:val="0"/>
      <w:divBdr>
        <w:top w:val="none" w:sz="0" w:space="0" w:color="auto"/>
        <w:left w:val="none" w:sz="0" w:space="0" w:color="auto"/>
        <w:bottom w:val="none" w:sz="0" w:space="0" w:color="auto"/>
        <w:right w:val="none" w:sz="0" w:space="0" w:color="auto"/>
      </w:divBdr>
    </w:div>
    <w:div w:id="1115445651">
      <w:bodyDiv w:val="1"/>
      <w:marLeft w:val="0"/>
      <w:marRight w:val="0"/>
      <w:marTop w:val="0"/>
      <w:marBottom w:val="0"/>
      <w:divBdr>
        <w:top w:val="none" w:sz="0" w:space="0" w:color="auto"/>
        <w:left w:val="none" w:sz="0" w:space="0" w:color="auto"/>
        <w:bottom w:val="none" w:sz="0" w:space="0" w:color="auto"/>
        <w:right w:val="none" w:sz="0" w:space="0" w:color="auto"/>
      </w:divBdr>
    </w:div>
    <w:div w:id="1115638844">
      <w:bodyDiv w:val="1"/>
      <w:marLeft w:val="0"/>
      <w:marRight w:val="0"/>
      <w:marTop w:val="0"/>
      <w:marBottom w:val="0"/>
      <w:divBdr>
        <w:top w:val="none" w:sz="0" w:space="0" w:color="auto"/>
        <w:left w:val="none" w:sz="0" w:space="0" w:color="auto"/>
        <w:bottom w:val="none" w:sz="0" w:space="0" w:color="auto"/>
        <w:right w:val="none" w:sz="0" w:space="0" w:color="auto"/>
      </w:divBdr>
    </w:div>
    <w:div w:id="1115834879">
      <w:bodyDiv w:val="1"/>
      <w:marLeft w:val="0"/>
      <w:marRight w:val="0"/>
      <w:marTop w:val="0"/>
      <w:marBottom w:val="0"/>
      <w:divBdr>
        <w:top w:val="none" w:sz="0" w:space="0" w:color="auto"/>
        <w:left w:val="none" w:sz="0" w:space="0" w:color="auto"/>
        <w:bottom w:val="none" w:sz="0" w:space="0" w:color="auto"/>
        <w:right w:val="none" w:sz="0" w:space="0" w:color="auto"/>
      </w:divBdr>
    </w:div>
    <w:div w:id="1117483469">
      <w:bodyDiv w:val="1"/>
      <w:marLeft w:val="0"/>
      <w:marRight w:val="0"/>
      <w:marTop w:val="0"/>
      <w:marBottom w:val="0"/>
      <w:divBdr>
        <w:top w:val="none" w:sz="0" w:space="0" w:color="auto"/>
        <w:left w:val="none" w:sz="0" w:space="0" w:color="auto"/>
        <w:bottom w:val="none" w:sz="0" w:space="0" w:color="auto"/>
        <w:right w:val="none" w:sz="0" w:space="0" w:color="auto"/>
      </w:divBdr>
    </w:div>
    <w:div w:id="1117987829">
      <w:bodyDiv w:val="1"/>
      <w:marLeft w:val="0"/>
      <w:marRight w:val="0"/>
      <w:marTop w:val="0"/>
      <w:marBottom w:val="0"/>
      <w:divBdr>
        <w:top w:val="none" w:sz="0" w:space="0" w:color="auto"/>
        <w:left w:val="none" w:sz="0" w:space="0" w:color="auto"/>
        <w:bottom w:val="none" w:sz="0" w:space="0" w:color="auto"/>
        <w:right w:val="none" w:sz="0" w:space="0" w:color="auto"/>
      </w:divBdr>
    </w:div>
    <w:div w:id="1118337252">
      <w:bodyDiv w:val="1"/>
      <w:marLeft w:val="0"/>
      <w:marRight w:val="0"/>
      <w:marTop w:val="0"/>
      <w:marBottom w:val="0"/>
      <w:divBdr>
        <w:top w:val="none" w:sz="0" w:space="0" w:color="auto"/>
        <w:left w:val="none" w:sz="0" w:space="0" w:color="auto"/>
        <w:bottom w:val="none" w:sz="0" w:space="0" w:color="auto"/>
        <w:right w:val="none" w:sz="0" w:space="0" w:color="auto"/>
      </w:divBdr>
    </w:div>
    <w:div w:id="1118835184">
      <w:bodyDiv w:val="1"/>
      <w:marLeft w:val="0"/>
      <w:marRight w:val="0"/>
      <w:marTop w:val="0"/>
      <w:marBottom w:val="0"/>
      <w:divBdr>
        <w:top w:val="none" w:sz="0" w:space="0" w:color="auto"/>
        <w:left w:val="none" w:sz="0" w:space="0" w:color="auto"/>
        <w:bottom w:val="none" w:sz="0" w:space="0" w:color="auto"/>
        <w:right w:val="none" w:sz="0" w:space="0" w:color="auto"/>
      </w:divBdr>
    </w:div>
    <w:div w:id="1118837983">
      <w:bodyDiv w:val="1"/>
      <w:marLeft w:val="0"/>
      <w:marRight w:val="0"/>
      <w:marTop w:val="0"/>
      <w:marBottom w:val="0"/>
      <w:divBdr>
        <w:top w:val="none" w:sz="0" w:space="0" w:color="auto"/>
        <w:left w:val="none" w:sz="0" w:space="0" w:color="auto"/>
        <w:bottom w:val="none" w:sz="0" w:space="0" w:color="auto"/>
        <w:right w:val="none" w:sz="0" w:space="0" w:color="auto"/>
      </w:divBdr>
    </w:div>
    <w:div w:id="1119566710">
      <w:bodyDiv w:val="1"/>
      <w:marLeft w:val="0"/>
      <w:marRight w:val="0"/>
      <w:marTop w:val="0"/>
      <w:marBottom w:val="0"/>
      <w:divBdr>
        <w:top w:val="none" w:sz="0" w:space="0" w:color="auto"/>
        <w:left w:val="none" w:sz="0" w:space="0" w:color="auto"/>
        <w:bottom w:val="none" w:sz="0" w:space="0" w:color="auto"/>
        <w:right w:val="none" w:sz="0" w:space="0" w:color="auto"/>
      </w:divBdr>
    </w:div>
    <w:div w:id="1119568692">
      <w:bodyDiv w:val="1"/>
      <w:marLeft w:val="0"/>
      <w:marRight w:val="0"/>
      <w:marTop w:val="0"/>
      <w:marBottom w:val="0"/>
      <w:divBdr>
        <w:top w:val="none" w:sz="0" w:space="0" w:color="auto"/>
        <w:left w:val="none" w:sz="0" w:space="0" w:color="auto"/>
        <w:bottom w:val="none" w:sz="0" w:space="0" w:color="auto"/>
        <w:right w:val="none" w:sz="0" w:space="0" w:color="auto"/>
      </w:divBdr>
    </w:div>
    <w:div w:id="1120301167">
      <w:bodyDiv w:val="1"/>
      <w:marLeft w:val="0"/>
      <w:marRight w:val="0"/>
      <w:marTop w:val="0"/>
      <w:marBottom w:val="0"/>
      <w:divBdr>
        <w:top w:val="none" w:sz="0" w:space="0" w:color="auto"/>
        <w:left w:val="none" w:sz="0" w:space="0" w:color="auto"/>
        <w:bottom w:val="none" w:sz="0" w:space="0" w:color="auto"/>
        <w:right w:val="none" w:sz="0" w:space="0" w:color="auto"/>
      </w:divBdr>
    </w:div>
    <w:div w:id="1120763317">
      <w:bodyDiv w:val="1"/>
      <w:marLeft w:val="0"/>
      <w:marRight w:val="0"/>
      <w:marTop w:val="0"/>
      <w:marBottom w:val="0"/>
      <w:divBdr>
        <w:top w:val="none" w:sz="0" w:space="0" w:color="auto"/>
        <w:left w:val="none" w:sz="0" w:space="0" w:color="auto"/>
        <w:bottom w:val="none" w:sz="0" w:space="0" w:color="auto"/>
        <w:right w:val="none" w:sz="0" w:space="0" w:color="auto"/>
      </w:divBdr>
    </w:div>
    <w:div w:id="1122307228">
      <w:bodyDiv w:val="1"/>
      <w:marLeft w:val="0"/>
      <w:marRight w:val="0"/>
      <w:marTop w:val="0"/>
      <w:marBottom w:val="0"/>
      <w:divBdr>
        <w:top w:val="none" w:sz="0" w:space="0" w:color="auto"/>
        <w:left w:val="none" w:sz="0" w:space="0" w:color="auto"/>
        <w:bottom w:val="none" w:sz="0" w:space="0" w:color="auto"/>
        <w:right w:val="none" w:sz="0" w:space="0" w:color="auto"/>
      </w:divBdr>
    </w:div>
    <w:div w:id="1123109084">
      <w:bodyDiv w:val="1"/>
      <w:marLeft w:val="0"/>
      <w:marRight w:val="0"/>
      <w:marTop w:val="0"/>
      <w:marBottom w:val="0"/>
      <w:divBdr>
        <w:top w:val="none" w:sz="0" w:space="0" w:color="auto"/>
        <w:left w:val="none" w:sz="0" w:space="0" w:color="auto"/>
        <w:bottom w:val="none" w:sz="0" w:space="0" w:color="auto"/>
        <w:right w:val="none" w:sz="0" w:space="0" w:color="auto"/>
      </w:divBdr>
    </w:div>
    <w:div w:id="1123157525">
      <w:bodyDiv w:val="1"/>
      <w:marLeft w:val="0"/>
      <w:marRight w:val="0"/>
      <w:marTop w:val="0"/>
      <w:marBottom w:val="0"/>
      <w:divBdr>
        <w:top w:val="none" w:sz="0" w:space="0" w:color="auto"/>
        <w:left w:val="none" w:sz="0" w:space="0" w:color="auto"/>
        <w:bottom w:val="none" w:sz="0" w:space="0" w:color="auto"/>
        <w:right w:val="none" w:sz="0" w:space="0" w:color="auto"/>
      </w:divBdr>
    </w:div>
    <w:div w:id="1123693500">
      <w:bodyDiv w:val="1"/>
      <w:marLeft w:val="0"/>
      <w:marRight w:val="0"/>
      <w:marTop w:val="0"/>
      <w:marBottom w:val="0"/>
      <w:divBdr>
        <w:top w:val="none" w:sz="0" w:space="0" w:color="auto"/>
        <w:left w:val="none" w:sz="0" w:space="0" w:color="auto"/>
        <w:bottom w:val="none" w:sz="0" w:space="0" w:color="auto"/>
        <w:right w:val="none" w:sz="0" w:space="0" w:color="auto"/>
      </w:divBdr>
    </w:div>
    <w:div w:id="1123888985">
      <w:bodyDiv w:val="1"/>
      <w:marLeft w:val="0"/>
      <w:marRight w:val="0"/>
      <w:marTop w:val="0"/>
      <w:marBottom w:val="0"/>
      <w:divBdr>
        <w:top w:val="none" w:sz="0" w:space="0" w:color="auto"/>
        <w:left w:val="none" w:sz="0" w:space="0" w:color="auto"/>
        <w:bottom w:val="none" w:sz="0" w:space="0" w:color="auto"/>
        <w:right w:val="none" w:sz="0" w:space="0" w:color="auto"/>
      </w:divBdr>
    </w:div>
    <w:div w:id="1124226489">
      <w:bodyDiv w:val="1"/>
      <w:marLeft w:val="0"/>
      <w:marRight w:val="0"/>
      <w:marTop w:val="0"/>
      <w:marBottom w:val="0"/>
      <w:divBdr>
        <w:top w:val="none" w:sz="0" w:space="0" w:color="auto"/>
        <w:left w:val="none" w:sz="0" w:space="0" w:color="auto"/>
        <w:bottom w:val="none" w:sz="0" w:space="0" w:color="auto"/>
        <w:right w:val="none" w:sz="0" w:space="0" w:color="auto"/>
      </w:divBdr>
    </w:div>
    <w:div w:id="1125270551">
      <w:bodyDiv w:val="1"/>
      <w:marLeft w:val="0"/>
      <w:marRight w:val="0"/>
      <w:marTop w:val="0"/>
      <w:marBottom w:val="0"/>
      <w:divBdr>
        <w:top w:val="none" w:sz="0" w:space="0" w:color="auto"/>
        <w:left w:val="none" w:sz="0" w:space="0" w:color="auto"/>
        <w:bottom w:val="none" w:sz="0" w:space="0" w:color="auto"/>
        <w:right w:val="none" w:sz="0" w:space="0" w:color="auto"/>
      </w:divBdr>
    </w:div>
    <w:div w:id="1125923349">
      <w:bodyDiv w:val="1"/>
      <w:marLeft w:val="0"/>
      <w:marRight w:val="0"/>
      <w:marTop w:val="0"/>
      <w:marBottom w:val="0"/>
      <w:divBdr>
        <w:top w:val="none" w:sz="0" w:space="0" w:color="auto"/>
        <w:left w:val="none" w:sz="0" w:space="0" w:color="auto"/>
        <w:bottom w:val="none" w:sz="0" w:space="0" w:color="auto"/>
        <w:right w:val="none" w:sz="0" w:space="0" w:color="auto"/>
      </w:divBdr>
    </w:div>
    <w:div w:id="1126198109">
      <w:bodyDiv w:val="1"/>
      <w:marLeft w:val="0"/>
      <w:marRight w:val="0"/>
      <w:marTop w:val="0"/>
      <w:marBottom w:val="0"/>
      <w:divBdr>
        <w:top w:val="none" w:sz="0" w:space="0" w:color="auto"/>
        <w:left w:val="none" w:sz="0" w:space="0" w:color="auto"/>
        <w:bottom w:val="none" w:sz="0" w:space="0" w:color="auto"/>
        <w:right w:val="none" w:sz="0" w:space="0" w:color="auto"/>
      </w:divBdr>
    </w:div>
    <w:div w:id="1126461891">
      <w:bodyDiv w:val="1"/>
      <w:marLeft w:val="0"/>
      <w:marRight w:val="0"/>
      <w:marTop w:val="0"/>
      <w:marBottom w:val="0"/>
      <w:divBdr>
        <w:top w:val="none" w:sz="0" w:space="0" w:color="auto"/>
        <w:left w:val="none" w:sz="0" w:space="0" w:color="auto"/>
        <w:bottom w:val="none" w:sz="0" w:space="0" w:color="auto"/>
        <w:right w:val="none" w:sz="0" w:space="0" w:color="auto"/>
      </w:divBdr>
    </w:div>
    <w:div w:id="1127048511">
      <w:bodyDiv w:val="1"/>
      <w:marLeft w:val="0"/>
      <w:marRight w:val="0"/>
      <w:marTop w:val="0"/>
      <w:marBottom w:val="0"/>
      <w:divBdr>
        <w:top w:val="none" w:sz="0" w:space="0" w:color="auto"/>
        <w:left w:val="none" w:sz="0" w:space="0" w:color="auto"/>
        <w:bottom w:val="none" w:sz="0" w:space="0" w:color="auto"/>
        <w:right w:val="none" w:sz="0" w:space="0" w:color="auto"/>
      </w:divBdr>
    </w:div>
    <w:div w:id="1127622559">
      <w:bodyDiv w:val="1"/>
      <w:marLeft w:val="0"/>
      <w:marRight w:val="0"/>
      <w:marTop w:val="0"/>
      <w:marBottom w:val="0"/>
      <w:divBdr>
        <w:top w:val="none" w:sz="0" w:space="0" w:color="auto"/>
        <w:left w:val="none" w:sz="0" w:space="0" w:color="auto"/>
        <w:bottom w:val="none" w:sz="0" w:space="0" w:color="auto"/>
        <w:right w:val="none" w:sz="0" w:space="0" w:color="auto"/>
      </w:divBdr>
    </w:div>
    <w:div w:id="1128234867">
      <w:bodyDiv w:val="1"/>
      <w:marLeft w:val="0"/>
      <w:marRight w:val="0"/>
      <w:marTop w:val="0"/>
      <w:marBottom w:val="0"/>
      <w:divBdr>
        <w:top w:val="none" w:sz="0" w:space="0" w:color="auto"/>
        <w:left w:val="none" w:sz="0" w:space="0" w:color="auto"/>
        <w:bottom w:val="none" w:sz="0" w:space="0" w:color="auto"/>
        <w:right w:val="none" w:sz="0" w:space="0" w:color="auto"/>
      </w:divBdr>
    </w:div>
    <w:div w:id="1128426639">
      <w:bodyDiv w:val="1"/>
      <w:marLeft w:val="0"/>
      <w:marRight w:val="0"/>
      <w:marTop w:val="0"/>
      <w:marBottom w:val="0"/>
      <w:divBdr>
        <w:top w:val="none" w:sz="0" w:space="0" w:color="auto"/>
        <w:left w:val="none" w:sz="0" w:space="0" w:color="auto"/>
        <w:bottom w:val="none" w:sz="0" w:space="0" w:color="auto"/>
        <w:right w:val="none" w:sz="0" w:space="0" w:color="auto"/>
      </w:divBdr>
    </w:div>
    <w:div w:id="1129741192">
      <w:bodyDiv w:val="1"/>
      <w:marLeft w:val="0"/>
      <w:marRight w:val="0"/>
      <w:marTop w:val="0"/>
      <w:marBottom w:val="0"/>
      <w:divBdr>
        <w:top w:val="none" w:sz="0" w:space="0" w:color="auto"/>
        <w:left w:val="none" w:sz="0" w:space="0" w:color="auto"/>
        <w:bottom w:val="none" w:sz="0" w:space="0" w:color="auto"/>
        <w:right w:val="none" w:sz="0" w:space="0" w:color="auto"/>
      </w:divBdr>
    </w:div>
    <w:div w:id="1129783521">
      <w:bodyDiv w:val="1"/>
      <w:marLeft w:val="0"/>
      <w:marRight w:val="0"/>
      <w:marTop w:val="0"/>
      <w:marBottom w:val="0"/>
      <w:divBdr>
        <w:top w:val="none" w:sz="0" w:space="0" w:color="auto"/>
        <w:left w:val="none" w:sz="0" w:space="0" w:color="auto"/>
        <w:bottom w:val="none" w:sz="0" w:space="0" w:color="auto"/>
        <w:right w:val="none" w:sz="0" w:space="0" w:color="auto"/>
      </w:divBdr>
    </w:div>
    <w:div w:id="1129856242">
      <w:bodyDiv w:val="1"/>
      <w:marLeft w:val="0"/>
      <w:marRight w:val="0"/>
      <w:marTop w:val="0"/>
      <w:marBottom w:val="0"/>
      <w:divBdr>
        <w:top w:val="none" w:sz="0" w:space="0" w:color="auto"/>
        <w:left w:val="none" w:sz="0" w:space="0" w:color="auto"/>
        <w:bottom w:val="none" w:sz="0" w:space="0" w:color="auto"/>
        <w:right w:val="none" w:sz="0" w:space="0" w:color="auto"/>
      </w:divBdr>
    </w:div>
    <w:div w:id="1130123579">
      <w:bodyDiv w:val="1"/>
      <w:marLeft w:val="0"/>
      <w:marRight w:val="0"/>
      <w:marTop w:val="0"/>
      <w:marBottom w:val="0"/>
      <w:divBdr>
        <w:top w:val="none" w:sz="0" w:space="0" w:color="auto"/>
        <w:left w:val="none" w:sz="0" w:space="0" w:color="auto"/>
        <w:bottom w:val="none" w:sz="0" w:space="0" w:color="auto"/>
        <w:right w:val="none" w:sz="0" w:space="0" w:color="auto"/>
      </w:divBdr>
    </w:div>
    <w:div w:id="1130169070">
      <w:bodyDiv w:val="1"/>
      <w:marLeft w:val="0"/>
      <w:marRight w:val="0"/>
      <w:marTop w:val="0"/>
      <w:marBottom w:val="0"/>
      <w:divBdr>
        <w:top w:val="none" w:sz="0" w:space="0" w:color="auto"/>
        <w:left w:val="none" w:sz="0" w:space="0" w:color="auto"/>
        <w:bottom w:val="none" w:sz="0" w:space="0" w:color="auto"/>
        <w:right w:val="none" w:sz="0" w:space="0" w:color="auto"/>
      </w:divBdr>
    </w:div>
    <w:div w:id="1130897604">
      <w:bodyDiv w:val="1"/>
      <w:marLeft w:val="0"/>
      <w:marRight w:val="0"/>
      <w:marTop w:val="0"/>
      <w:marBottom w:val="0"/>
      <w:divBdr>
        <w:top w:val="none" w:sz="0" w:space="0" w:color="auto"/>
        <w:left w:val="none" w:sz="0" w:space="0" w:color="auto"/>
        <w:bottom w:val="none" w:sz="0" w:space="0" w:color="auto"/>
        <w:right w:val="none" w:sz="0" w:space="0" w:color="auto"/>
      </w:divBdr>
    </w:div>
    <w:div w:id="1131440252">
      <w:bodyDiv w:val="1"/>
      <w:marLeft w:val="0"/>
      <w:marRight w:val="0"/>
      <w:marTop w:val="0"/>
      <w:marBottom w:val="0"/>
      <w:divBdr>
        <w:top w:val="none" w:sz="0" w:space="0" w:color="auto"/>
        <w:left w:val="none" w:sz="0" w:space="0" w:color="auto"/>
        <w:bottom w:val="none" w:sz="0" w:space="0" w:color="auto"/>
        <w:right w:val="none" w:sz="0" w:space="0" w:color="auto"/>
      </w:divBdr>
    </w:div>
    <w:div w:id="1132136506">
      <w:bodyDiv w:val="1"/>
      <w:marLeft w:val="0"/>
      <w:marRight w:val="0"/>
      <w:marTop w:val="0"/>
      <w:marBottom w:val="0"/>
      <w:divBdr>
        <w:top w:val="none" w:sz="0" w:space="0" w:color="auto"/>
        <w:left w:val="none" w:sz="0" w:space="0" w:color="auto"/>
        <w:bottom w:val="none" w:sz="0" w:space="0" w:color="auto"/>
        <w:right w:val="none" w:sz="0" w:space="0" w:color="auto"/>
      </w:divBdr>
    </w:div>
    <w:div w:id="1132476653">
      <w:bodyDiv w:val="1"/>
      <w:marLeft w:val="0"/>
      <w:marRight w:val="0"/>
      <w:marTop w:val="0"/>
      <w:marBottom w:val="0"/>
      <w:divBdr>
        <w:top w:val="none" w:sz="0" w:space="0" w:color="auto"/>
        <w:left w:val="none" w:sz="0" w:space="0" w:color="auto"/>
        <w:bottom w:val="none" w:sz="0" w:space="0" w:color="auto"/>
        <w:right w:val="none" w:sz="0" w:space="0" w:color="auto"/>
      </w:divBdr>
    </w:div>
    <w:div w:id="1132477763">
      <w:bodyDiv w:val="1"/>
      <w:marLeft w:val="0"/>
      <w:marRight w:val="0"/>
      <w:marTop w:val="0"/>
      <w:marBottom w:val="0"/>
      <w:divBdr>
        <w:top w:val="none" w:sz="0" w:space="0" w:color="auto"/>
        <w:left w:val="none" w:sz="0" w:space="0" w:color="auto"/>
        <w:bottom w:val="none" w:sz="0" w:space="0" w:color="auto"/>
        <w:right w:val="none" w:sz="0" w:space="0" w:color="auto"/>
      </w:divBdr>
    </w:div>
    <w:div w:id="1133140103">
      <w:bodyDiv w:val="1"/>
      <w:marLeft w:val="0"/>
      <w:marRight w:val="0"/>
      <w:marTop w:val="0"/>
      <w:marBottom w:val="0"/>
      <w:divBdr>
        <w:top w:val="none" w:sz="0" w:space="0" w:color="auto"/>
        <w:left w:val="none" w:sz="0" w:space="0" w:color="auto"/>
        <w:bottom w:val="none" w:sz="0" w:space="0" w:color="auto"/>
        <w:right w:val="none" w:sz="0" w:space="0" w:color="auto"/>
      </w:divBdr>
    </w:div>
    <w:div w:id="1134062249">
      <w:bodyDiv w:val="1"/>
      <w:marLeft w:val="0"/>
      <w:marRight w:val="0"/>
      <w:marTop w:val="0"/>
      <w:marBottom w:val="0"/>
      <w:divBdr>
        <w:top w:val="none" w:sz="0" w:space="0" w:color="auto"/>
        <w:left w:val="none" w:sz="0" w:space="0" w:color="auto"/>
        <w:bottom w:val="none" w:sz="0" w:space="0" w:color="auto"/>
        <w:right w:val="none" w:sz="0" w:space="0" w:color="auto"/>
      </w:divBdr>
    </w:div>
    <w:div w:id="1134299619">
      <w:bodyDiv w:val="1"/>
      <w:marLeft w:val="0"/>
      <w:marRight w:val="0"/>
      <w:marTop w:val="0"/>
      <w:marBottom w:val="0"/>
      <w:divBdr>
        <w:top w:val="none" w:sz="0" w:space="0" w:color="auto"/>
        <w:left w:val="none" w:sz="0" w:space="0" w:color="auto"/>
        <w:bottom w:val="none" w:sz="0" w:space="0" w:color="auto"/>
        <w:right w:val="none" w:sz="0" w:space="0" w:color="auto"/>
      </w:divBdr>
    </w:div>
    <w:div w:id="1134328362">
      <w:bodyDiv w:val="1"/>
      <w:marLeft w:val="0"/>
      <w:marRight w:val="0"/>
      <w:marTop w:val="0"/>
      <w:marBottom w:val="0"/>
      <w:divBdr>
        <w:top w:val="none" w:sz="0" w:space="0" w:color="auto"/>
        <w:left w:val="none" w:sz="0" w:space="0" w:color="auto"/>
        <w:bottom w:val="none" w:sz="0" w:space="0" w:color="auto"/>
        <w:right w:val="none" w:sz="0" w:space="0" w:color="auto"/>
      </w:divBdr>
    </w:div>
    <w:div w:id="1134566655">
      <w:bodyDiv w:val="1"/>
      <w:marLeft w:val="0"/>
      <w:marRight w:val="0"/>
      <w:marTop w:val="0"/>
      <w:marBottom w:val="0"/>
      <w:divBdr>
        <w:top w:val="none" w:sz="0" w:space="0" w:color="auto"/>
        <w:left w:val="none" w:sz="0" w:space="0" w:color="auto"/>
        <w:bottom w:val="none" w:sz="0" w:space="0" w:color="auto"/>
        <w:right w:val="none" w:sz="0" w:space="0" w:color="auto"/>
      </w:divBdr>
    </w:div>
    <w:div w:id="1135174762">
      <w:bodyDiv w:val="1"/>
      <w:marLeft w:val="0"/>
      <w:marRight w:val="0"/>
      <w:marTop w:val="0"/>
      <w:marBottom w:val="0"/>
      <w:divBdr>
        <w:top w:val="none" w:sz="0" w:space="0" w:color="auto"/>
        <w:left w:val="none" w:sz="0" w:space="0" w:color="auto"/>
        <w:bottom w:val="none" w:sz="0" w:space="0" w:color="auto"/>
        <w:right w:val="none" w:sz="0" w:space="0" w:color="auto"/>
      </w:divBdr>
    </w:div>
    <w:div w:id="1135365968">
      <w:bodyDiv w:val="1"/>
      <w:marLeft w:val="0"/>
      <w:marRight w:val="0"/>
      <w:marTop w:val="0"/>
      <w:marBottom w:val="0"/>
      <w:divBdr>
        <w:top w:val="none" w:sz="0" w:space="0" w:color="auto"/>
        <w:left w:val="none" w:sz="0" w:space="0" w:color="auto"/>
        <w:bottom w:val="none" w:sz="0" w:space="0" w:color="auto"/>
        <w:right w:val="none" w:sz="0" w:space="0" w:color="auto"/>
      </w:divBdr>
    </w:div>
    <w:div w:id="1135953784">
      <w:bodyDiv w:val="1"/>
      <w:marLeft w:val="0"/>
      <w:marRight w:val="0"/>
      <w:marTop w:val="0"/>
      <w:marBottom w:val="0"/>
      <w:divBdr>
        <w:top w:val="none" w:sz="0" w:space="0" w:color="auto"/>
        <w:left w:val="none" w:sz="0" w:space="0" w:color="auto"/>
        <w:bottom w:val="none" w:sz="0" w:space="0" w:color="auto"/>
        <w:right w:val="none" w:sz="0" w:space="0" w:color="auto"/>
      </w:divBdr>
    </w:div>
    <w:div w:id="1136295590">
      <w:bodyDiv w:val="1"/>
      <w:marLeft w:val="0"/>
      <w:marRight w:val="0"/>
      <w:marTop w:val="0"/>
      <w:marBottom w:val="0"/>
      <w:divBdr>
        <w:top w:val="none" w:sz="0" w:space="0" w:color="auto"/>
        <w:left w:val="none" w:sz="0" w:space="0" w:color="auto"/>
        <w:bottom w:val="none" w:sz="0" w:space="0" w:color="auto"/>
        <w:right w:val="none" w:sz="0" w:space="0" w:color="auto"/>
      </w:divBdr>
    </w:div>
    <w:div w:id="1136527751">
      <w:bodyDiv w:val="1"/>
      <w:marLeft w:val="0"/>
      <w:marRight w:val="0"/>
      <w:marTop w:val="0"/>
      <w:marBottom w:val="0"/>
      <w:divBdr>
        <w:top w:val="none" w:sz="0" w:space="0" w:color="auto"/>
        <w:left w:val="none" w:sz="0" w:space="0" w:color="auto"/>
        <w:bottom w:val="none" w:sz="0" w:space="0" w:color="auto"/>
        <w:right w:val="none" w:sz="0" w:space="0" w:color="auto"/>
      </w:divBdr>
    </w:div>
    <w:div w:id="1137604526">
      <w:bodyDiv w:val="1"/>
      <w:marLeft w:val="0"/>
      <w:marRight w:val="0"/>
      <w:marTop w:val="0"/>
      <w:marBottom w:val="0"/>
      <w:divBdr>
        <w:top w:val="none" w:sz="0" w:space="0" w:color="auto"/>
        <w:left w:val="none" w:sz="0" w:space="0" w:color="auto"/>
        <w:bottom w:val="none" w:sz="0" w:space="0" w:color="auto"/>
        <w:right w:val="none" w:sz="0" w:space="0" w:color="auto"/>
      </w:divBdr>
    </w:div>
    <w:div w:id="1137914883">
      <w:bodyDiv w:val="1"/>
      <w:marLeft w:val="0"/>
      <w:marRight w:val="0"/>
      <w:marTop w:val="0"/>
      <w:marBottom w:val="0"/>
      <w:divBdr>
        <w:top w:val="none" w:sz="0" w:space="0" w:color="auto"/>
        <w:left w:val="none" w:sz="0" w:space="0" w:color="auto"/>
        <w:bottom w:val="none" w:sz="0" w:space="0" w:color="auto"/>
        <w:right w:val="none" w:sz="0" w:space="0" w:color="auto"/>
      </w:divBdr>
    </w:div>
    <w:div w:id="1137919869">
      <w:bodyDiv w:val="1"/>
      <w:marLeft w:val="0"/>
      <w:marRight w:val="0"/>
      <w:marTop w:val="0"/>
      <w:marBottom w:val="0"/>
      <w:divBdr>
        <w:top w:val="none" w:sz="0" w:space="0" w:color="auto"/>
        <w:left w:val="none" w:sz="0" w:space="0" w:color="auto"/>
        <w:bottom w:val="none" w:sz="0" w:space="0" w:color="auto"/>
        <w:right w:val="none" w:sz="0" w:space="0" w:color="auto"/>
      </w:divBdr>
    </w:div>
    <w:div w:id="1137990044">
      <w:bodyDiv w:val="1"/>
      <w:marLeft w:val="0"/>
      <w:marRight w:val="0"/>
      <w:marTop w:val="0"/>
      <w:marBottom w:val="0"/>
      <w:divBdr>
        <w:top w:val="none" w:sz="0" w:space="0" w:color="auto"/>
        <w:left w:val="none" w:sz="0" w:space="0" w:color="auto"/>
        <w:bottom w:val="none" w:sz="0" w:space="0" w:color="auto"/>
        <w:right w:val="none" w:sz="0" w:space="0" w:color="auto"/>
      </w:divBdr>
    </w:div>
    <w:div w:id="1137995458">
      <w:bodyDiv w:val="1"/>
      <w:marLeft w:val="0"/>
      <w:marRight w:val="0"/>
      <w:marTop w:val="0"/>
      <w:marBottom w:val="0"/>
      <w:divBdr>
        <w:top w:val="none" w:sz="0" w:space="0" w:color="auto"/>
        <w:left w:val="none" w:sz="0" w:space="0" w:color="auto"/>
        <w:bottom w:val="none" w:sz="0" w:space="0" w:color="auto"/>
        <w:right w:val="none" w:sz="0" w:space="0" w:color="auto"/>
      </w:divBdr>
    </w:div>
    <w:div w:id="1138105232">
      <w:bodyDiv w:val="1"/>
      <w:marLeft w:val="0"/>
      <w:marRight w:val="0"/>
      <w:marTop w:val="0"/>
      <w:marBottom w:val="0"/>
      <w:divBdr>
        <w:top w:val="none" w:sz="0" w:space="0" w:color="auto"/>
        <w:left w:val="none" w:sz="0" w:space="0" w:color="auto"/>
        <w:bottom w:val="none" w:sz="0" w:space="0" w:color="auto"/>
        <w:right w:val="none" w:sz="0" w:space="0" w:color="auto"/>
      </w:divBdr>
    </w:div>
    <w:div w:id="1138456679">
      <w:bodyDiv w:val="1"/>
      <w:marLeft w:val="0"/>
      <w:marRight w:val="0"/>
      <w:marTop w:val="0"/>
      <w:marBottom w:val="0"/>
      <w:divBdr>
        <w:top w:val="none" w:sz="0" w:space="0" w:color="auto"/>
        <w:left w:val="none" w:sz="0" w:space="0" w:color="auto"/>
        <w:bottom w:val="none" w:sz="0" w:space="0" w:color="auto"/>
        <w:right w:val="none" w:sz="0" w:space="0" w:color="auto"/>
      </w:divBdr>
    </w:div>
    <w:div w:id="1138960753">
      <w:bodyDiv w:val="1"/>
      <w:marLeft w:val="0"/>
      <w:marRight w:val="0"/>
      <w:marTop w:val="0"/>
      <w:marBottom w:val="0"/>
      <w:divBdr>
        <w:top w:val="none" w:sz="0" w:space="0" w:color="auto"/>
        <w:left w:val="none" w:sz="0" w:space="0" w:color="auto"/>
        <w:bottom w:val="none" w:sz="0" w:space="0" w:color="auto"/>
        <w:right w:val="none" w:sz="0" w:space="0" w:color="auto"/>
      </w:divBdr>
    </w:div>
    <w:div w:id="1139421626">
      <w:bodyDiv w:val="1"/>
      <w:marLeft w:val="0"/>
      <w:marRight w:val="0"/>
      <w:marTop w:val="0"/>
      <w:marBottom w:val="0"/>
      <w:divBdr>
        <w:top w:val="none" w:sz="0" w:space="0" w:color="auto"/>
        <w:left w:val="none" w:sz="0" w:space="0" w:color="auto"/>
        <w:bottom w:val="none" w:sz="0" w:space="0" w:color="auto"/>
        <w:right w:val="none" w:sz="0" w:space="0" w:color="auto"/>
      </w:divBdr>
    </w:div>
    <w:div w:id="1139608621">
      <w:bodyDiv w:val="1"/>
      <w:marLeft w:val="0"/>
      <w:marRight w:val="0"/>
      <w:marTop w:val="0"/>
      <w:marBottom w:val="0"/>
      <w:divBdr>
        <w:top w:val="none" w:sz="0" w:space="0" w:color="auto"/>
        <w:left w:val="none" w:sz="0" w:space="0" w:color="auto"/>
        <w:bottom w:val="none" w:sz="0" w:space="0" w:color="auto"/>
        <w:right w:val="none" w:sz="0" w:space="0" w:color="auto"/>
      </w:divBdr>
    </w:div>
    <w:div w:id="1139684421">
      <w:bodyDiv w:val="1"/>
      <w:marLeft w:val="0"/>
      <w:marRight w:val="0"/>
      <w:marTop w:val="0"/>
      <w:marBottom w:val="0"/>
      <w:divBdr>
        <w:top w:val="none" w:sz="0" w:space="0" w:color="auto"/>
        <w:left w:val="none" w:sz="0" w:space="0" w:color="auto"/>
        <w:bottom w:val="none" w:sz="0" w:space="0" w:color="auto"/>
        <w:right w:val="none" w:sz="0" w:space="0" w:color="auto"/>
      </w:divBdr>
    </w:div>
    <w:div w:id="1140147055">
      <w:bodyDiv w:val="1"/>
      <w:marLeft w:val="0"/>
      <w:marRight w:val="0"/>
      <w:marTop w:val="0"/>
      <w:marBottom w:val="0"/>
      <w:divBdr>
        <w:top w:val="none" w:sz="0" w:space="0" w:color="auto"/>
        <w:left w:val="none" w:sz="0" w:space="0" w:color="auto"/>
        <w:bottom w:val="none" w:sz="0" w:space="0" w:color="auto"/>
        <w:right w:val="none" w:sz="0" w:space="0" w:color="auto"/>
      </w:divBdr>
    </w:div>
    <w:div w:id="1140923727">
      <w:bodyDiv w:val="1"/>
      <w:marLeft w:val="0"/>
      <w:marRight w:val="0"/>
      <w:marTop w:val="0"/>
      <w:marBottom w:val="0"/>
      <w:divBdr>
        <w:top w:val="none" w:sz="0" w:space="0" w:color="auto"/>
        <w:left w:val="none" w:sz="0" w:space="0" w:color="auto"/>
        <w:bottom w:val="none" w:sz="0" w:space="0" w:color="auto"/>
        <w:right w:val="none" w:sz="0" w:space="0" w:color="auto"/>
      </w:divBdr>
    </w:div>
    <w:div w:id="1140927856">
      <w:bodyDiv w:val="1"/>
      <w:marLeft w:val="0"/>
      <w:marRight w:val="0"/>
      <w:marTop w:val="0"/>
      <w:marBottom w:val="0"/>
      <w:divBdr>
        <w:top w:val="none" w:sz="0" w:space="0" w:color="auto"/>
        <w:left w:val="none" w:sz="0" w:space="0" w:color="auto"/>
        <w:bottom w:val="none" w:sz="0" w:space="0" w:color="auto"/>
        <w:right w:val="none" w:sz="0" w:space="0" w:color="auto"/>
      </w:divBdr>
    </w:div>
    <w:div w:id="1142429490">
      <w:bodyDiv w:val="1"/>
      <w:marLeft w:val="0"/>
      <w:marRight w:val="0"/>
      <w:marTop w:val="0"/>
      <w:marBottom w:val="0"/>
      <w:divBdr>
        <w:top w:val="none" w:sz="0" w:space="0" w:color="auto"/>
        <w:left w:val="none" w:sz="0" w:space="0" w:color="auto"/>
        <w:bottom w:val="none" w:sz="0" w:space="0" w:color="auto"/>
        <w:right w:val="none" w:sz="0" w:space="0" w:color="auto"/>
      </w:divBdr>
    </w:div>
    <w:div w:id="1142692575">
      <w:bodyDiv w:val="1"/>
      <w:marLeft w:val="0"/>
      <w:marRight w:val="0"/>
      <w:marTop w:val="0"/>
      <w:marBottom w:val="0"/>
      <w:divBdr>
        <w:top w:val="none" w:sz="0" w:space="0" w:color="auto"/>
        <w:left w:val="none" w:sz="0" w:space="0" w:color="auto"/>
        <w:bottom w:val="none" w:sz="0" w:space="0" w:color="auto"/>
        <w:right w:val="none" w:sz="0" w:space="0" w:color="auto"/>
      </w:divBdr>
    </w:div>
    <w:div w:id="1143305533">
      <w:bodyDiv w:val="1"/>
      <w:marLeft w:val="0"/>
      <w:marRight w:val="0"/>
      <w:marTop w:val="0"/>
      <w:marBottom w:val="0"/>
      <w:divBdr>
        <w:top w:val="none" w:sz="0" w:space="0" w:color="auto"/>
        <w:left w:val="none" w:sz="0" w:space="0" w:color="auto"/>
        <w:bottom w:val="none" w:sz="0" w:space="0" w:color="auto"/>
        <w:right w:val="none" w:sz="0" w:space="0" w:color="auto"/>
      </w:divBdr>
    </w:div>
    <w:div w:id="1144278251">
      <w:bodyDiv w:val="1"/>
      <w:marLeft w:val="0"/>
      <w:marRight w:val="0"/>
      <w:marTop w:val="0"/>
      <w:marBottom w:val="0"/>
      <w:divBdr>
        <w:top w:val="none" w:sz="0" w:space="0" w:color="auto"/>
        <w:left w:val="none" w:sz="0" w:space="0" w:color="auto"/>
        <w:bottom w:val="none" w:sz="0" w:space="0" w:color="auto"/>
        <w:right w:val="none" w:sz="0" w:space="0" w:color="auto"/>
      </w:divBdr>
    </w:div>
    <w:div w:id="1144741983">
      <w:bodyDiv w:val="1"/>
      <w:marLeft w:val="0"/>
      <w:marRight w:val="0"/>
      <w:marTop w:val="0"/>
      <w:marBottom w:val="0"/>
      <w:divBdr>
        <w:top w:val="none" w:sz="0" w:space="0" w:color="auto"/>
        <w:left w:val="none" w:sz="0" w:space="0" w:color="auto"/>
        <w:bottom w:val="none" w:sz="0" w:space="0" w:color="auto"/>
        <w:right w:val="none" w:sz="0" w:space="0" w:color="auto"/>
      </w:divBdr>
    </w:div>
    <w:div w:id="1145046988">
      <w:bodyDiv w:val="1"/>
      <w:marLeft w:val="0"/>
      <w:marRight w:val="0"/>
      <w:marTop w:val="0"/>
      <w:marBottom w:val="0"/>
      <w:divBdr>
        <w:top w:val="none" w:sz="0" w:space="0" w:color="auto"/>
        <w:left w:val="none" w:sz="0" w:space="0" w:color="auto"/>
        <w:bottom w:val="none" w:sz="0" w:space="0" w:color="auto"/>
        <w:right w:val="none" w:sz="0" w:space="0" w:color="auto"/>
      </w:divBdr>
    </w:div>
    <w:div w:id="1145703877">
      <w:bodyDiv w:val="1"/>
      <w:marLeft w:val="0"/>
      <w:marRight w:val="0"/>
      <w:marTop w:val="0"/>
      <w:marBottom w:val="0"/>
      <w:divBdr>
        <w:top w:val="none" w:sz="0" w:space="0" w:color="auto"/>
        <w:left w:val="none" w:sz="0" w:space="0" w:color="auto"/>
        <w:bottom w:val="none" w:sz="0" w:space="0" w:color="auto"/>
        <w:right w:val="none" w:sz="0" w:space="0" w:color="auto"/>
      </w:divBdr>
    </w:div>
    <w:div w:id="1145780349">
      <w:bodyDiv w:val="1"/>
      <w:marLeft w:val="0"/>
      <w:marRight w:val="0"/>
      <w:marTop w:val="0"/>
      <w:marBottom w:val="0"/>
      <w:divBdr>
        <w:top w:val="none" w:sz="0" w:space="0" w:color="auto"/>
        <w:left w:val="none" w:sz="0" w:space="0" w:color="auto"/>
        <w:bottom w:val="none" w:sz="0" w:space="0" w:color="auto"/>
        <w:right w:val="none" w:sz="0" w:space="0" w:color="auto"/>
      </w:divBdr>
    </w:div>
    <w:div w:id="1146240140">
      <w:bodyDiv w:val="1"/>
      <w:marLeft w:val="0"/>
      <w:marRight w:val="0"/>
      <w:marTop w:val="0"/>
      <w:marBottom w:val="0"/>
      <w:divBdr>
        <w:top w:val="none" w:sz="0" w:space="0" w:color="auto"/>
        <w:left w:val="none" w:sz="0" w:space="0" w:color="auto"/>
        <w:bottom w:val="none" w:sz="0" w:space="0" w:color="auto"/>
        <w:right w:val="none" w:sz="0" w:space="0" w:color="auto"/>
      </w:divBdr>
    </w:div>
    <w:div w:id="1146430810">
      <w:bodyDiv w:val="1"/>
      <w:marLeft w:val="0"/>
      <w:marRight w:val="0"/>
      <w:marTop w:val="0"/>
      <w:marBottom w:val="0"/>
      <w:divBdr>
        <w:top w:val="none" w:sz="0" w:space="0" w:color="auto"/>
        <w:left w:val="none" w:sz="0" w:space="0" w:color="auto"/>
        <w:bottom w:val="none" w:sz="0" w:space="0" w:color="auto"/>
        <w:right w:val="none" w:sz="0" w:space="0" w:color="auto"/>
      </w:divBdr>
    </w:div>
    <w:div w:id="1146438399">
      <w:bodyDiv w:val="1"/>
      <w:marLeft w:val="0"/>
      <w:marRight w:val="0"/>
      <w:marTop w:val="0"/>
      <w:marBottom w:val="0"/>
      <w:divBdr>
        <w:top w:val="none" w:sz="0" w:space="0" w:color="auto"/>
        <w:left w:val="none" w:sz="0" w:space="0" w:color="auto"/>
        <w:bottom w:val="none" w:sz="0" w:space="0" w:color="auto"/>
        <w:right w:val="none" w:sz="0" w:space="0" w:color="auto"/>
      </w:divBdr>
    </w:div>
    <w:div w:id="1146968217">
      <w:bodyDiv w:val="1"/>
      <w:marLeft w:val="0"/>
      <w:marRight w:val="0"/>
      <w:marTop w:val="0"/>
      <w:marBottom w:val="0"/>
      <w:divBdr>
        <w:top w:val="none" w:sz="0" w:space="0" w:color="auto"/>
        <w:left w:val="none" w:sz="0" w:space="0" w:color="auto"/>
        <w:bottom w:val="none" w:sz="0" w:space="0" w:color="auto"/>
        <w:right w:val="none" w:sz="0" w:space="0" w:color="auto"/>
      </w:divBdr>
    </w:div>
    <w:div w:id="1146973569">
      <w:bodyDiv w:val="1"/>
      <w:marLeft w:val="0"/>
      <w:marRight w:val="0"/>
      <w:marTop w:val="0"/>
      <w:marBottom w:val="0"/>
      <w:divBdr>
        <w:top w:val="none" w:sz="0" w:space="0" w:color="auto"/>
        <w:left w:val="none" w:sz="0" w:space="0" w:color="auto"/>
        <w:bottom w:val="none" w:sz="0" w:space="0" w:color="auto"/>
        <w:right w:val="none" w:sz="0" w:space="0" w:color="auto"/>
      </w:divBdr>
    </w:div>
    <w:div w:id="1147670004">
      <w:bodyDiv w:val="1"/>
      <w:marLeft w:val="0"/>
      <w:marRight w:val="0"/>
      <w:marTop w:val="0"/>
      <w:marBottom w:val="0"/>
      <w:divBdr>
        <w:top w:val="none" w:sz="0" w:space="0" w:color="auto"/>
        <w:left w:val="none" w:sz="0" w:space="0" w:color="auto"/>
        <w:bottom w:val="none" w:sz="0" w:space="0" w:color="auto"/>
        <w:right w:val="none" w:sz="0" w:space="0" w:color="auto"/>
      </w:divBdr>
    </w:div>
    <w:div w:id="1148202700">
      <w:bodyDiv w:val="1"/>
      <w:marLeft w:val="0"/>
      <w:marRight w:val="0"/>
      <w:marTop w:val="0"/>
      <w:marBottom w:val="0"/>
      <w:divBdr>
        <w:top w:val="none" w:sz="0" w:space="0" w:color="auto"/>
        <w:left w:val="none" w:sz="0" w:space="0" w:color="auto"/>
        <w:bottom w:val="none" w:sz="0" w:space="0" w:color="auto"/>
        <w:right w:val="none" w:sz="0" w:space="0" w:color="auto"/>
      </w:divBdr>
    </w:div>
    <w:div w:id="1148598013">
      <w:bodyDiv w:val="1"/>
      <w:marLeft w:val="0"/>
      <w:marRight w:val="0"/>
      <w:marTop w:val="0"/>
      <w:marBottom w:val="0"/>
      <w:divBdr>
        <w:top w:val="none" w:sz="0" w:space="0" w:color="auto"/>
        <w:left w:val="none" w:sz="0" w:space="0" w:color="auto"/>
        <w:bottom w:val="none" w:sz="0" w:space="0" w:color="auto"/>
        <w:right w:val="none" w:sz="0" w:space="0" w:color="auto"/>
      </w:divBdr>
    </w:div>
    <w:div w:id="1148665183">
      <w:bodyDiv w:val="1"/>
      <w:marLeft w:val="0"/>
      <w:marRight w:val="0"/>
      <w:marTop w:val="0"/>
      <w:marBottom w:val="0"/>
      <w:divBdr>
        <w:top w:val="none" w:sz="0" w:space="0" w:color="auto"/>
        <w:left w:val="none" w:sz="0" w:space="0" w:color="auto"/>
        <w:bottom w:val="none" w:sz="0" w:space="0" w:color="auto"/>
        <w:right w:val="none" w:sz="0" w:space="0" w:color="auto"/>
      </w:divBdr>
    </w:div>
    <w:div w:id="1149202712">
      <w:bodyDiv w:val="1"/>
      <w:marLeft w:val="0"/>
      <w:marRight w:val="0"/>
      <w:marTop w:val="0"/>
      <w:marBottom w:val="0"/>
      <w:divBdr>
        <w:top w:val="none" w:sz="0" w:space="0" w:color="auto"/>
        <w:left w:val="none" w:sz="0" w:space="0" w:color="auto"/>
        <w:bottom w:val="none" w:sz="0" w:space="0" w:color="auto"/>
        <w:right w:val="none" w:sz="0" w:space="0" w:color="auto"/>
      </w:divBdr>
    </w:div>
    <w:div w:id="1149248730">
      <w:bodyDiv w:val="1"/>
      <w:marLeft w:val="0"/>
      <w:marRight w:val="0"/>
      <w:marTop w:val="0"/>
      <w:marBottom w:val="0"/>
      <w:divBdr>
        <w:top w:val="none" w:sz="0" w:space="0" w:color="auto"/>
        <w:left w:val="none" w:sz="0" w:space="0" w:color="auto"/>
        <w:bottom w:val="none" w:sz="0" w:space="0" w:color="auto"/>
        <w:right w:val="none" w:sz="0" w:space="0" w:color="auto"/>
      </w:divBdr>
    </w:div>
    <w:div w:id="1149399055">
      <w:bodyDiv w:val="1"/>
      <w:marLeft w:val="0"/>
      <w:marRight w:val="0"/>
      <w:marTop w:val="0"/>
      <w:marBottom w:val="0"/>
      <w:divBdr>
        <w:top w:val="none" w:sz="0" w:space="0" w:color="auto"/>
        <w:left w:val="none" w:sz="0" w:space="0" w:color="auto"/>
        <w:bottom w:val="none" w:sz="0" w:space="0" w:color="auto"/>
        <w:right w:val="none" w:sz="0" w:space="0" w:color="auto"/>
      </w:divBdr>
    </w:div>
    <w:div w:id="1149593542">
      <w:bodyDiv w:val="1"/>
      <w:marLeft w:val="0"/>
      <w:marRight w:val="0"/>
      <w:marTop w:val="0"/>
      <w:marBottom w:val="0"/>
      <w:divBdr>
        <w:top w:val="none" w:sz="0" w:space="0" w:color="auto"/>
        <w:left w:val="none" w:sz="0" w:space="0" w:color="auto"/>
        <w:bottom w:val="none" w:sz="0" w:space="0" w:color="auto"/>
        <w:right w:val="none" w:sz="0" w:space="0" w:color="auto"/>
      </w:divBdr>
    </w:div>
    <w:div w:id="1149781857">
      <w:bodyDiv w:val="1"/>
      <w:marLeft w:val="0"/>
      <w:marRight w:val="0"/>
      <w:marTop w:val="0"/>
      <w:marBottom w:val="0"/>
      <w:divBdr>
        <w:top w:val="none" w:sz="0" w:space="0" w:color="auto"/>
        <w:left w:val="none" w:sz="0" w:space="0" w:color="auto"/>
        <w:bottom w:val="none" w:sz="0" w:space="0" w:color="auto"/>
        <w:right w:val="none" w:sz="0" w:space="0" w:color="auto"/>
      </w:divBdr>
    </w:div>
    <w:div w:id="1149829803">
      <w:bodyDiv w:val="1"/>
      <w:marLeft w:val="0"/>
      <w:marRight w:val="0"/>
      <w:marTop w:val="0"/>
      <w:marBottom w:val="0"/>
      <w:divBdr>
        <w:top w:val="none" w:sz="0" w:space="0" w:color="auto"/>
        <w:left w:val="none" w:sz="0" w:space="0" w:color="auto"/>
        <w:bottom w:val="none" w:sz="0" w:space="0" w:color="auto"/>
        <w:right w:val="none" w:sz="0" w:space="0" w:color="auto"/>
      </w:divBdr>
    </w:div>
    <w:div w:id="1149906930">
      <w:bodyDiv w:val="1"/>
      <w:marLeft w:val="0"/>
      <w:marRight w:val="0"/>
      <w:marTop w:val="0"/>
      <w:marBottom w:val="0"/>
      <w:divBdr>
        <w:top w:val="none" w:sz="0" w:space="0" w:color="auto"/>
        <w:left w:val="none" w:sz="0" w:space="0" w:color="auto"/>
        <w:bottom w:val="none" w:sz="0" w:space="0" w:color="auto"/>
        <w:right w:val="none" w:sz="0" w:space="0" w:color="auto"/>
      </w:divBdr>
    </w:div>
    <w:div w:id="1150516447">
      <w:bodyDiv w:val="1"/>
      <w:marLeft w:val="0"/>
      <w:marRight w:val="0"/>
      <w:marTop w:val="0"/>
      <w:marBottom w:val="0"/>
      <w:divBdr>
        <w:top w:val="none" w:sz="0" w:space="0" w:color="auto"/>
        <w:left w:val="none" w:sz="0" w:space="0" w:color="auto"/>
        <w:bottom w:val="none" w:sz="0" w:space="0" w:color="auto"/>
        <w:right w:val="none" w:sz="0" w:space="0" w:color="auto"/>
      </w:divBdr>
    </w:div>
    <w:div w:id="1150555817">
      <w:bodyDiv w:val="1"/>
      <w:marLeft w:val="0"/>
      <w:marRight w:val="0"/>
      <w:marTop w:val="0"/>
      <w:marBottom w:val="0"/>
      <w:divBdr>
        <w:top w:val="none" w:sz="0" w:space="0" w:color="auto"/>
        <w:left w:val="none" w:sz="0" w:space="0" w:color="auto"/>
        <w:bottom w:val="none" w:sz="0" w:space="0" w:color="auto"/>
        <w:right w:val="none" w:sz="0" w:space="0" w:color="auto"/>
      </w:divBdr>
    </w:div>
    <w:div w:id="1150826724">
      <w:bodyDiv w:val="1"/>
      <w:marLeft w:val="0"/>
      <w:marRight w:val="0"/>
      <w:marTop w:val="0"/>
      <w:marBottom w:val="0"/>
      <w:divBdr>
        <w:top w:val="none" w:sz="0" w:space="0" w:color="auto"/>
        <w:left w:val="none" w:sz="0" w:space="0" w:color="auto"/>
        <w:bottom w:val="none" w:sz="0" w:space="0" w:color="auto"/>
        <w:right w:val="none" w:sz="0" w:space="0" w:color="auto"/>
      </w:divBdr>
    </w:div>
    <w:div w:id="1151098655">
      <w:bodyDiv w:val="1"/>
      <w:marLeft w:val="0"/>
      <w:marRight w:val="0"/>
      <w:marTop w:val="0"/>
      <w:marBottom w:val="0"/>
      <w:divBdr>
        <w:top w:val="none" w:sz="0" w:space="0" w:color="auto"/>
        <w:left w:val="none" w:sz="0" w:space="0" w:color="auto"/>
        <w:bottom w:val="none" w:sz="0" w:space="0" w:color="auto"/>
        <w:right w:val="none" w:sz="0" w:space="0" w:color="auto"/>
      </w:divBdr>
    </w:div>
    <w:div w:id="1151213827">
      <w:bodyDiv w:val="1"/>
      <w:marLeft w:val="0"/>
      <w:marRight w:val="0"/>
      <w:marTop w:val="0"/>
      <w:marBottom w:val="0"/>
      <w:divBdr>
        <w:top w:val="none" w:sz="0" w:space="0" w:color="auto"/>
        <w:left w:val="none" w:sz="0" w:space="0" w:color="auto"/>
        <w:bottom w:val="none" w:sz="0" w:space="0" w:color="auto"/>
        <w:right w:val="none" w:sz="0" w:space="0" w:color="auto"/>
      </w:divBdr>
    </w:div>
    <w:div w:id="1151796722">
      <w:bodyDiv w:val="1"/>
      <w:marLeft w:val="0"/>
      <w:marRight w:val="0"/>
      <w:marTop w:val="0"/>
      <w:marBottom w:val="0"/>
      <w:divBdr>
        <w:top w:val="none" w:sz="0" w:space="0" w:color="auto"/>
        <w:left w:val="none" w:sz="0" w:space="0" w:color="auto"/>
        <w:bottom w:val="none" w:sz="0" w:space="0" w:color="auto"/>
        <w:right w:val="none" w:sz="0" w:space="0" w:color="auto"/>
      </w:divBdr>
    </w:div>
    <w:div w:id="1153106185">
      <w:bodyDiv w:val="1"/>
      <w:marLeft w:val="0"/>
      <w:marRight w:val="0"/>
      <w:marTop w:val="0"/>
      <w:marBottom w:val="0"/>
      <w:divBdr>
        <w:top w:val="none" w:sz="0" w:space="0" w:color="auto"/>
        <w:left w:val="none" w:sz="0" w:space="0" w:color="auto"/>
        <w:bottom w:val="none" w:sz="0" w:space="0" w:color="auto"/>
        <w:right w:val="none" w:sz="0" w:space="0" w:color="auto"/>
      </w:divBdr>
    </w:div>
    <w:div w:id="1153524105">
      <w:bodyDiv w:val="1"/>
      <w:marLeft w:val="0"/>
      <w:marRight w:val="0"/>
      <w:marTop w:val="0"/>
      <w:marBottom w:val="0"/>
      <w:divBdr>
        <w:top w:val="none" w:sz="0" w:space="0" w:color="auto"/>
        <w:left w:val="none" w:sz="0" w:space="0" w:color="auto"/>
        <w:bottom w:val="none" w:sz="0" w:space="0" w:color="auto"/>
        <w:right w:val="none" w:sz="0" w:space="0" w:color="auto"/>
      </w:divBdr>
    </w:div>
    <w:div w:id="1153569921">
      <w:bodyDiv w:val="1"/>
      <w:marLeft w:val="0"/>
      <w:marRight w:val="0"/>
      <w:marTop w:val="0"/>
      <w:marBottom w:val="0"/>
      <w:divBdr>
        <w:top w:val="none" w:sz="0" w:space="0" w:color="auto"/>
        <w:left w:val="none" w:sz="0" w:space="0" w:color="auto"/>
        <w:bottom w:val="none" w:sz="0" w:space="0" w:color="auto"/>
        <w:right w:val="none" w:sz="0" w:space="0" w:color="auto"/>
      </w:divBdr>
    </w:div>
    <w:div w:id="1153637726">
      <w:bodyDiv w:val="1"/>
      <w:marLeft w:val="0"/>
      <w:marRight w:val="0"/>
      <w:marTop w:val="0"/>
      <w:marBottom w:val="0"/>
      <w:divBdr>
        <w:top w:val="none" w:sz="0" w:space="0" w:color="auto"/>
        <w:left w:val="none" w:sz="0" w:space="0" w:color="auto"/>
        <w:bottom w:val="none" w:sz="0" w:space="0" w:color="auto"/>
        <w:right w:val="none" w:sz="0" w:space="0" w:color="auto"/>
      </w:divBdr>
    </w:div>
    <w:div w:id="1153788915">
      <w:bodyDiv w:val="1"/>
      <w:marLeft w:val="0"/>
      <w:marRight w:val="0"/>
      <w:marTop w:val="0"/>
      <w:marBottom w:val="0"/>
      <w:divBdr>
        <w:top w:val="none" w:sz="0" w:space="0" w:color="auto"/>
        <w:left w:val="none" w:sz="0" w:space="0" w:color="auto"/>
        <w:bottom w:val="none" w:sz="0" w:space="0" w:color="auto"/>
        <w:right w:val="none" w:sz="0" w:space="0" w:color="auto"/>
      </w:divBdr>
    </w:div>
    <w:div w:id="1153907713">
      <w:bodyDiv w:val="1"/>
      <w:marLeft w:val="0"/>
      <w:marRight w:val="0"/>
      <w:marTop w:val="0"/>
      <w:marBottom w:val="0"/>
      <w:divBdr>
        <w:top w:val="none" w:sz="0" w:space="0" w:color="auto"/>
        <w:left w:val="none" w:sz="0" w:space="0" w:color="auto"/>
        <w:bottom w:val="none" w:sz="0" w:space="0" w:color="auto"/>
        <w:right w:val="none" w:sz="0" w:space="0" w:color="auto"/>
      </w:divBdr>
    </w:div>
    <w:div w:id="1154100311">
      <w:bodyDiv w:val="1"/>
      <w:marLeft w:val="0"/>
      <w:marRight w:val="0"/>
      <w:marTop w:val="0"/>
      <w:marBottom w:val="0"/>
      <w:divBdr>
        <w:top w:val="none" w:sz="0" w:space="0" w:color="auto"/>
        <w:left w:val="none" w:sz="0" w:space="0" w:color="auto"/>
        <w:bottom w:val="none" w:sz="0" w:space="0" w:color="auto"/>
        <w:right w:val="none" w:sz="0" w:space="0" w:color="auto"/>
      </w:divBdr>
    </w:div>
    <w:div w:id="1154175285">
      <w:bodyDiv w:val="1"/>
      <w:marLeft w:val="0"/>
      <w:marRight w:val="0"/>
      <w:marTop w:val="0"/>
      <w:marBottom w:val="0"/>
      <w:divBdr>
        <w:top w:val="none" w:sz="0" w:space="0" w:color="auto"/>
        <w:left w:val="none" w:sz="0" w:space="0" w:color="auto"/>
        <w:bottom w:val="none" w:sz="0" w:space="0" w:color="auto"/>
        <w:right w:val="none" w:sz="0" w:space="0" w:color="auto"/>
      </w:divBdr>
    </w:div>
    <w:div w:id="1154179049">
      <w:bodyDiv w:val="1"/>
      <w:marLeft w:val="0"/>
      <w:marRight w:val="0"/>
      <w:marTop w:val="0"/>
      <w:marBottom w:val="0"/>
      <w:divBdr>
        <w:top w:val="none" w:sz="0" w:space="0" w:color="auto"/>
        <w:left w:val="none" w:sz="0" w:space="0" w:color="auto"/>
        <w:bottom w:val="none" w:sz="0" w:space="0" w:color="auto"/>
        <w:right w:val="none" w:sz="0" w:space="0" w:color="auto"/>
      </w:divBdr>
    </w:div>
    <w:div w:id="1154294930">
      <w:bodyDiv w:val="1"/>
      <w:marLeft w:val="0"/>
      <w:marRight w:val="0"/>
      <w:marTop w:val="0"/>
      <w:marBottom w:val="0"/>
      <w:divBdr>
        <w:top w:val="none" w:sz="0" w:space="0" w:color="auto"/>
        <w:left w:val="none" w:sz="0" w:space="0" w:color="auto"/>
        <w:bottom w:val="none" w:sz="0" w:space="0" w:color="auto"/>
        <w:right w:val="none" w:sz="0" w:space="0" w:color="auto"/>
      </w:divBdr>
    </w:div>
    <w:div w:id="1154370491">
      <w:bodyDiv w:val="1"/>
      <w:marLeft w:val="0"/>
      <w:marRight w:val="0"/>
      <w:marTop w:val="0"/>
      <w:marBottom w:val="0"/>
      <w:divBdr>
        <w:top w:val="none" w:sz="0" w:space="0" w:color="auto"/>
        <w:left w:val="none" w:sz="0" w:space="0" w:color="auto"/>
        <w:bottom w:val="none" w:sz="0" w:space="0" w:color="auto"/>
        <w:right w:val="none" w:sz="0" w:space="0" w:color="auto"/>
      </w:divBdr>
    </w:div>
    <w:div w:id="1154755527">
      <w:bodyDiv w:val="1"/>
      <w:marLeft w:val="0"/>
      <w:marRight w:val="0"/>
      <w:marTop w:val="0"/>
      <w:marBottom w:val="0"/>
      <w:divBdr>
        <w:top w:val="none" w:sz="0" w:space="0" w:color="auto"/>
        <w:left w:val="none" w:sz="0" w:space="0" w:color="auto"/>
        <w:bottom w:val="none" w:sz="0" w:space="0" w:color="auto"/>
        <w:right w:val="none" w:sz="0" w:space="0" w:color="auto"/>
      </w:divBdr>
    </w:div>
    <w:div w:id="1154757556">
      <w:bodyDiv w:val="1"/>
      <w:marLeft w:val="0"/>
      <w:marRight w:val="0"/>
      <w:marTop w:val="0"/>
      <w:marBottom w:val="0"/>
      <w:divBdr>
        <w:top w:val="none" w:sz="0" w:space="0" w:color="auto"/>
        <w:left w:val="none" w:sz="0" w:space="0" w:color="auto"/>
        <w:bottom w:val="none" w:sz="0" w:space="0" w:color="auto"/>
        <w:right w:val="none" w:sz="0" w:space="0" w:color="auto"/>
      </w:divBdr>
    </w:div>
    <w:div w:id="1155220649">
      <w:bodyDiv w:val="1"/>
      <w:marLeft w:val="0"/>
      <w:marRight w:val="0"/>
      <w:marTop w:val="0"/>
      <w:marBottom w:val="0"/>
      <w:divBdr>
        <w:top w:val="none" w:sz="0" w:space="0" w:color="auto"/>
        <w:left w:val="none" w:sz="0" w:space="0" w:color="auto"/>
        <w:bottom w:val="none" w:sz="0" w:space="0" w:color="auto"/>
        <w:right w:val="none" w:sz="0" w:space="0" w:color="auto"/>
      </w:divBdr>
    </w:div>
    <w:div w:id="1155994484">
      <w:bodyDiv w:val="1"/>
      <w:marLeft w:val="0"/>
      <w:marRight w:val="0"/>
      <w:marTop w:val="0"/>
      <w:marBottom w:val="0"/>
      <w:divBdr>
        <w:top w:val="none" w:sz="0" w:space="0" w:color="auto"/>
        <w:left w:val="none" w:sz="0" w:space="0" w:color="auto"/>
        <w:bottom w:val="none" w:sz="0" w:space="0" w:color="auto"/>
        <w:right w:val="none" w:sz="0" w:space="0" w:color="auto"/>
      </w:divBdr>
    </w:div>
    <w:div w:id="1156263646">
      <w:bodyDiv w:val="1"/>
      <w:marLeft w:val="0"/>
      <w:marRight w:val="0"/>
      <w:marTop w:val="0"/>
      <w:marBottom w:val="0"/>
      <w:divBdr>
        <w:top w:val="none" w:sz="0" w:space="0" w:color="auto"/>
        <w:left w:val="none" w:sz="0" w:space="0" w:color="auto"/>
        <w:bottom w:val="none" w:sz="0" w:space="0" w:color="auto"/>
        <w:right w:val="none" w:sz="0" w:space="0" w:color="auto"/>
      </w:divBdr>
    </w:div>
    <w:div w:id="1157576387">
      <w:bodyDiv w:val="1"/>
      <w:marLeft w:val="0"/>
      <w:marRight w:val="0"/>
      <w:marTop w:val="0"/>
      <w:marBottom w:val="0"/>
      <w:divBdr>
        <w:top w:val="none" w:sz="0" w:space="0" w:color="auto"/>
        <w:left w:val="none" w:sz="0" w:space="0" w:color="auto"/>
        <w:bottom w:val="none" w:sz="0" w:space="0" w:color="auto"/>
        <w:right w:val="none" w:sz="0" w:space="0" w:color="auto"/>
      </w:divBdr>
    </w:div>
    <w:div w:id="1157916936">
      <w:bodyDiv w:val="1"/>
      <w:marLeft w:val="0"/>
      <w:marRight w:val="0"/>
      <w:marTop w:val="0"/>
      <w:marBottom w:val="0"/>
      <w:divBdr>
        <w:top w:val="none" w:sz="0" w:space="0" w:color="auto"/>
        <w:left w:val="none" w:sz="0" w:space="0" w:color="auto"/>
        <w:bottom w:val="none" w:sz="0" w:space="0" w:color="auto"/>
        <w:right w:val="none" w:sz="0" w:space="0" w:color="auto"/>
      </w:divBdr>
    </w:div>
    <w:div w:id="1158035057">
      <w:bodyDiv w:val="1"/>
      <w:marLeft w:val="0"/>
      <w:marRight w:val="0"/>
      <w:marTop w:val="0"/>
      <w:marBottom w:val="0"/>
      <w:divBdr>
        <w:top w:val="none" w:sz="0" w:space="0" w:color="auto"/>
        <w:left w:val="none" w:sz="0" w:space="0" w:color="auto"/>
        <w:bottom w:val="none" w:sz="0" w:space="0" w:color="auto"/>
        <w:right w:val="none" w:sz="0" w:space="0" w:color="auto"/>
      </w:divBdr>
    </w:div>
    <w:div w:id="1158183902">
      <w:bodyDiv w:val="1"/>
      <w:marLeft w:val="0"/>
      <w:marRight w:val="0"/>
      <w:marTop w:val="0"/>
      <w:marBottom w:val="0"/>
      <w:divBdr>
        <w:top w:val="none" w:sz="0" w:space="0" w:color="auto"/>
        <w:left w:val="none" w:sz="0" w:space="0" w:color="auto"/>
        <w:bottom w:val="none" w:sz="0" w:space="0" w:color="auto"/>
        <w:right w:val="none" w:sz="0" w:space="0" w:color="auto"/>
      </w:divBdr>
    </w:div>
    <w:div w:id="1158306438">
      <w:bodyDiv w:val="1"/>
      <w:marLeft w:val="0"/>
      <w:marRight w:val="0"/>
      <w:marTop w:val="0"/>
      <w:marBottom w:val="0"/>
      <w:divBdr>
        <w:top w:val="none" w:sz="0" w:space="0" w:color="auto"/>
        <w:left w:val="none" w:sz="0" w:space="0" w:color="auto"/>
        <w:bottom w:val="none" w:sz="0" w:space="0" w:color="auto"/>
        <w:right w:val="none" w:sz="0" w:space="0" w:color="auto"/>
      </w:divBdr>
    </w:div>
    <w:div w:id="1158573534">
      <w:bodyDiv w:val="1"/>
      <w:marLeft w:val="0"/>
      <w:marRight w:val="0"/>
      <w:marTop w:val="0"/>
      <w:marBottom w:val="0"/>
      <w:divBdr>
        <w:top w:val="none" w:sz="0" w:space="0" w:color="auto"/>
        <w:left w:val="none" w:sz="0" w:space="0" w:color="auto"/>
        <w:bottom w:val="none" w:sz="0" w:space="0" w:color="auto"/>
        <w:right w:val="none" w:sz="0" w:space="0" w:color="auto"/>
      </w:divBdr>
    </w:div>
    <w:div w:id="1158615033">
      <w:bodyDiv w:val="1"/>
      <w:marLeft w:val="0"/>
      <w:marRight w:val="0"/>
      <w:marTop w:val="0"/>
      <w:marBottom w:val="0"/>
      <w:divBdr>
        <w:top w:val="none" w:sz="0" w:space="0" w:color="auto"/>
        <w:left w:val="none" w:sz="0" w:space="0" w:color="auto"/>
        <w:bottom w:val="none" w:sz="0" w:space="0" w:color="auto"/>
        <w:right w:val="none" w:sz="0" w:space="0" w:color="auto"/>
      </w:divBdr>
    </w:div>
    <w:div w:id="1158767647">
      <w:bodyDiv w:val="1"/>
      <w:marLeft w:val="0"/>
      <w:marRight w:val="0"/>
      <w:marTop w:val="0"/>
      <w:marBottom w:val="0"/>
      <w:divBdr>
        <w:top w:val="none" w:sz="0" w:space="0" w:color="auto"/>
        <w:left w:val="none" w:sz="0" w:space="0" w:color="auto"/>
        <w:bottom w:val="none" w:sz="0" w:space="0" w:color="auto"/>
        <w:right w:val="none" w:sz="0" w:space="0" w:color="auto"/>
      </w:divBdr>
    </w:div>
    <w:div w:id="1158887669">
      <w:bodyDiv w:val="1"/>
      <w:marLeft w:val="0"/>
      <w:marRight w:val="0"/>
      <w:marTop w:val="0"/>
      <w:marBottom w:val="0"/>
      <w:divBdr>
        <w:top w:val="none" w:sz="0" w:space="0" w:color="auto"/>
        <w:left w:val="none" w:sz="0" w:space="0" w:color="auto"/>
        <w:bottom w:val="none" w:sz="0" w:space="0" w:color="auto"/>
        <w:right w:val="none" w:sz="0" w:space="0" w:color="auto"/>
      </w:divBdr>
    </w:div>
    <w:div w:id="1158958120">
      <w:bodyDiv w:val="1"/>
      <w:marLeft w:val="0"/>
      <w:marRight w:val="0"/>
      <w:marTop w:val="0"/>
      <w:marBottom w:val="0"/>
      <w:divBdr>
        <w:top w:val="none" w:sz="0" w:space="0" w:color="auto"/>
        <w:left w:val="none" w:sz="0" w:space="0" w:color="auto"/>
        <w:bottom w:val="none" w:sz="0" w:space="0" w:color="auto"/>
        <w:right w:val="none" w:sz="0" w:space="0" w:color="auto"/>
      </w:divBdr>
    </w:div>
    <w:div w:id="1159809529">
      <w:bodyDiv w:val="1"/>
      <w:marLeft w:val="0"/>
      <w:marRight w:val="0"/>
      <w:marTop w:val="0"/>
      <w:marBottom w:val="0"/>
      <w:divBdr>
        <w:top w:val="none" w:sz="0" w:space="0" w:color="auto"/>
        <w:left w:val="none" w:sz="0" w:space="0" w:color="auto"/>
        <w:bottom w:val="none" w:sz="0" w:space="0" w:color="auto"/>
        <w:right w:val="none" w:sz="0" w:space="0" w:color="auto"/>
      </w:divBdr>
    </w:div>
    <w:div w:id="1160585677">
      <w:bodyDiv w:val="1"/>
      <w:marLeft w:val="0"/>
      <w:marRight w:val="0"/>
      <w:marTop w:val="0"/>
      <w:marBottom w:val="0"/>
      <w:divBdr>
        <w:top w:val="none" w:sz="0" w:space="0" w:color="auto"/>
        <w:left w:val="none" w:sz="0" w:space="0" w:color="auto"/>
        <w:bottom w:val="none" w:sz="0" w:space="0" w:color="auto"/>
        <w:right w:val="none" w:sz="0" w:space="0" w:color="auto"/>
      </w:divBdr>
    </w:div>
    <w:div w:id="1160924169">
      <w:bodyDiv w:val="1"/>
      <w:marLeft w:val="0"/>
      <w:marRight w:val="0"/>
      <w:marTop w:val="0"/>
      <w:marBottom w:val="0"/>
      <w:divBdr>
        <w:top w:val="none" w:sz="0" w:space="0" w:color="auto"/>
        <w:left w:val="none" w:sz="0" w:space="0" w:color="auto"/>
        <w:bottom w:val="none" w:sz="0" w:space="0" w:color="auto"/>
        <w:right w:val="none" w:sz="0" w:space="0" w:color="auto"/>
      </w:divBdr>
    </w:div>
    <w:div w:id="1161392418">
      <w:bodyDiv w:val="1"/>
      <w:marLeft w:val="0"/>
      <w:marRight w:val="0"/>
      <w:marTop w:val="0"/>
      <w:marBottom w:val="0"/>
      <w:divBdr>
        <w:top w:val="none" w:sz="0" w:space="0" w:color="auto"/>
        <w:left w:val="none" w:sz="0" w:space="0" w:color="auto"/>
        <w:bottom w:val="none" w:sz="0" w:space="0" w:color="auto"/>
        <w:right w:val="none" w:sz="0" w:space="0" w:color="auto"/>
      </w:divBdr>
    </w:div>
    <w:div w:id="1161458880">
      <w:bodyDiv w:val="1"/>
      <w:marLeft w:val="0"/>
      <w:marRight w:val="0"/>
      <w:marTop w:val="0"/>
      <w:marBottom w:val="0"/>
      <w:divBdr>
        <w:top w:val="none" w:sz="0" w:space="0" w:color="auto"/>
        <w:left w:val="none" w:sz="0" w:space="0" w:color="auto"/>
        <w:bottom w:val="none" w:sz="0" w:space="0" w:color="auto"/>
        <w:right w:val="none" w:sz="0" w:space="0" w:color="auto"/>
      </w:divBdr>
    </w:div>
    <w:div w:id="1162159911">
      <w:bodyDiv w:val="1"/>
      <w:marLeft w:val="0"/>
      <w:marRight w:val="0"/>
      <w:marTop w:val="0"/>
      <w:marBottom w:val="0"/>
      <w:divBdr>
        <w:top w:val="none" w:sz="0" w:space="0" w:color="auto"/>
        <w:left w:val="none" w:sz="0" w:space="0" w:color="auto"/>
        <w:bottom w:val="none" w:sz="0" w:space="0" w:color="auto"/>
        <w:right w:val="none" w:sz="0" w:space="0" w:color="auto"/>
      </w:divBdr>
    </w:div>
    <w:div w:id="1163085783">
      <w:bodyDiv w:val="1"/>
      <w:marLeft w:val="0"/>
      <w:marRight w:val="0"/>
      <w:marTop w:val="0"/>
      <w:marBottom w:val="0"/>
      <w:divBdr>
        <w:top w:val="none" w:sz="0" w:space="0" w:color="auto"/>
        <w:left w:val="none" w:sz="0" w:space="0" w:color="auto"/>
        <w:bottom w:val="none" w:sz="0" w:space="0" w:color="auto"/>
        <w:right w:val="none" w:sz="0" w:space="0" w:color="auto"/>
      </w:divBdr>
    </w:div>
    <w:div w:id="1163158800">
      <w:bodyDiv w:val="1"/>
      <w:marLeft w:val="0"/>
      <w:marRight w:val="0"/>
      <w:marTop w:val="0"/>
      <w:marBottom w:val="0"/>
      <w:divBdr>
        <w:top w:val="none" w:sz="0" w:space="0" w:color="auto"/>
        <w:left w:val="none" w:sz="0" w:space="0" w:color="auto"/>
        <w:bottom w:val="none" w:sz="0" w:space="0" w:color="auto"/>
        <w:right w:val="none" w:sz="0" w:space="0" w:color="auto"/>
      </w:divBdr>
    </w:div>
    <w:div w:id="1163349801">
      <w:bodyDiv w:val="1"/>
      <w:marLeft w:val="0"/>
      <w:marRight w:val="0"/>
      <w:marTop w:val="0"/>
      <w:marBottom w:val="0"/>
      <w:divBdr>
        <w:top w:val="none" w:sz="0" w:space="0" w:color="auto"/>
        <w:left w:val="none" w:sz="0" w:space="0" w:color="auto"/>
        <w:bottom w:val="none" w:sz="0" w:space="0" w:color="auto"/>
        <w:right w:val="none" w:sz="0" w:space="0" w:color="auto"/>
      </w:divBdr>
    </w:div>
    <w:div w:id="1163550517">
      <w:bodyDiv w:val="1"/>
      <w:marLeft w:val="0"/>
      <w:marRight w:val="0"/>
      <w:marTop w:val="0"/>
      <w:marBottom w:val="0"/>
      <w:divBdr>
        <w:top w:val="none" w:sz="0" w:space="0" w:color="auto"/>
        <w:left w:val="none" w:sz="0" w:space="0" w:color="auto"/>
        <w:bottom w:val="none" w:sz="0" w:space="0" w:color="auto"/>
        <w:right w:val="none" w:sz="0" w:space="0" w:color="auto"/>
      </w:divBdr>
    </w:div>
    <w:div w:id="1164593165">
      <w:bodyDiv w:val="1"/>
      <w:marLeft w:val="0"/>
      <w:marRight w:val="0"/>
      <w:marTop w:val="0"/>
      <w:marBottom w:val="0"/>
      <w:divBdr>
        <w:top w:val="none" w:sz="0" w:space="0" w:color="auto"/>
        <w:left w:val="none" w:sz="0" w:space="0" w:color="auto"/>
        <w:bottom w:val="none" w:sz="0" w:space="0" w:color="auto"/>
        <w:right w:val="none" w:sz="0" w:space="0" w:color="auto"/>
      </w:divBdr>
    </w:div>
    <w:div w:id="1164734571">
      <w:bodyDiv w:val="1"/>
      <w:marLeft w:val="0"/>
      <w:marRight w:val="0"/>
      <w:marTop w:val="0"/>
      <w:marBottom w:val="0"/>
      <w:divBdr>
        <w:top w:val="none" w:sz="0" w:space="0" w:color="auto"/>
        <w:left w:val="none" w:sz="0" w:space="0" w:color="auto"/>
        <w:bottom w:val="none" w:sz="0" w:space="0" w:color="auto"/>
        <w:right w:val="none" w:sz="0" w:space="0" w:color="auto"/>
      </w:divBdr>
    </w:div>
    <w:div w:id="1165172923">
      <w:bodyDiv w:val="1"/>
      <w:marLeft w:val="0"/>
      <w:marRight w:val="0"/>
      <w:marTop w:val="0"/>
      <w:marBottom w:val="0"/>
      <w:divBdr>
        <w:top w:val="none" w:sz="0" w:space="0" w:color="auto"/>
        <w:left w:val="none" w:sz="0" w:space="0" w:color="auto"/>
        <w:bottom w:val="none" w:sz="0" w:space="0" w:color="auto"/>
        <w:right w:val="none" w:sz="0" w:space="0" w:color="auto"/>
      </w:divBdr>
    </w:div>
    <w:div w:id="1165247479">
      <w:bodyDiv w:val="1"/>
      <w:marLeft w:val="0"/>
      <w:marRight w:val="0"/>
      <w:marTop w:val="0"/>
      <w:marBottom w:val="0"/>
      <w:divBdr>
        <w:top w:val="none" w:sz="0" w:space="0" w:color="auto"/>
        <w:left w:val="none" w:sz="0" w:space="0" w:color="auto"/>
        <w:bottom w:val="none" w:sz="0" w:space="0" w:color="auto"/>
        <w:right w:val="none" w:sz="0" w:space="0" w:color="auto"/>
      </w:divBdr>
    </w:div>
    <w:div w:id="1165510969">
      <w:bodyDiv w:val="1"/>
      <w:marLeft w:val="0"/>
      <w:marRight w:val="0"/>
      <w:marTop w:val="0"/>
      <w:marBottom w:val="0"/>
      <w:divBdr>
        <w:top w:val="none" w:sz="0" w:space="0" w:color="auto"/>
        <w:left w:val="none" w:sz="0" w:space="0" w:color="auto"/>
        <w:bottom w:val="none" w:sz="0" w:space="0" w:color="auto"/>
        <w:right w:val="none" w:sz="0" w:space="0" w:color="auto"/>
      </w:divBdr>
    </w:div>
    <w:div w:id="1166939218">
      <w:bodyDiv w:val="1"/>
      <w:marLeft w:val="0"/>
      <w:marRight w:val="0"/>
      <w:marTop w:val="0"/>
      <w:marBottom w:val="0"/>
      <w:divBdr>
        <w:top w:val="none" w:sz="0" w:space="0" w:color="auto"/>
        <w:left w:val="none" w:sz="0" w:space="0" w:color="auto"/>
        <w:bottom w:val="none" w:sz="0" w:space="0" w:color="auto"/>
        <w:right w:val="none" w:sz="0" w:space="0" w:color="auto"/>
      </w:divBdr>
    </w:div>
    <w:div w:id="1166939747">
      <w:bodyDiv w:val="1"/>
      <w:marLeft w:val="0"/>
      <w:marRight w:val="0"/>
      <w:marTop w:val="0"/>
      <w:marBottom w:val="0"/>
      <w:divBdr>
        <w:top w:val="none" w:sz="0" w:space="0" w:color="auto"/>
        <w:left w:val="none" w:sz="0" w:space="0" w:color="auto"/>
        <w:bottom w:val="none" w:sz="0" w:space="0" w:color="auto"/>
        <w:right w:val="none" w:sz="0" w:space="0" w:color="auto"/>
      </w:divBdr>
    </w:div>
    <w:div w:id="1167289963">
      <w:bodyDiv w:val="1"/>
      <w:marLeft w:val="0"/>
      <w:marRight w:val="0"/>
      <w:marTop w:val="0"/>
      <w:marBottom w:val="0"/>
      <w:divBdr>
        <w:top w:val="none" w:sz="0" w:space="0" w:color="auto"/>
        <w:left w:val="none" w:sz="0" w:space="0" w:color="auto"/>
        <w:bottom w:val="none" w:sz="0" w:space="0" w:color="auto"/>
        <w:right w:val="none" w:sz="0" w:space="0" w:color="auto"/>
      </w:divBdr>
    </w:div>
    <w:div w:id="1167592852">
      <w:bodyDiv w:val="1"/>
      <w:marLeft w:val="0"/>
      <w:marRight w:val="0"/>
      <w:marTop w:val="0"/>
      <w:marBottom w:val="0"/>
      <w:divBdr>
        <w:top w:val="none" w:sz="0" w:space="0" w:color="auto"/>
        <w:left w:val="none" w:sz="0" w:space="0" w:color="auto"/>
        <w:bottom w:val="none" w:sz="0" w:space="0" w:color="auto"/>
        <w:right w:val="none" w:sz="0" w:space="0" w:color="auto"/>
      </w:divBdr>
    </w:div>
    <w:div w:id="1167598047">
      <w:bodyDiv w:val="1"/>
      <w:marLeft w:val="0"/>
      <w:marRight w:val="0"/>
      <w:marTop w:val="0"/>
      <w:marBottom w:val="0"/>
      <w:divBdr>
        <w:top w:val="none" w:sz="0" w:space="0" w:color="auto"/>
        <w:left w:val="none" w:sz="0" w:space="0" w:color="auto"/>
        <w:bottom w:val="none" w:sz="0" w:space="0" w:color="auto"/>
        <w:right w:val="none" w:sz="0" w:space="0" w:color="auto"/>
      </w:divBdr>
    </w:div>
    <w:div w:id="1168056717">
      <w:bodyDiv w:val="1"/>
      <w:marLeft w:val="0"/>
      <w:marRight w:val="0"/>
      <w:marTop w:val="0"/>
      <w:marBottom w:val="0"/>
      <w:divBdr>
        <w:top w:val="none" w:sz="0" w:space="0" w:color="auto"/>
        <w:left w:val="none" w:sz="0" w:space="0" w:color="auto"/>
        <w:bottom w:val="none" w:sz="0" w:space="0" w:color="auto"/>
        <w:right w:val="none" w:sz="0" w:space="0" w:color="auto"/>
      </w:divBdr>
    </w:div>
    <w:div w:id="1168133714">
      <w:bodyDiv w:val="1"/>
      <w:marLeft w:val="0"/>
      <w:marRight w:val="0"/>
      <w:marTop w:val="0"/>
      <w:marBottom w:val="0"/>
      <w:divBdr>
        <w:top w:val="none" w:sz="0" w:space="0" w:color="auto"/>
        <w:left w:val="none" w:sz="0" w:space="0" w:color="auto"/>
        <w:bottom w:val="none" w:sz="0" w:space="0" w:color="auto"/>
        <w:right w:val="none" w:sz="0" w:space="0" w:color="auto"/>
      </w:divBdr>
    </w:div>
    <w:div w:id="1168180117">
      <w:bodyDiv w:val="1"/>
      <w:marLeft w:val="0"/>
      <w:marRight w:val="0"/>
      <w:marTop w:val="0"/>
      <w:marBottom w:val="0"/>
      <w:divBdr>
        <w:top w:val="none" w:sz="0" w:space="0" w:color="auto"/>
        <w:left w:val="none" w:sz="0" w:space="0" w:color="auto"/>
        <w:bottom w:val="none" w:sz="0" w:space="0" w:color="auto"/>
        <w:right w:val="none" w:sz="0" w:space="0" w:color="auto"/>
      </w:divBdr>
    </w:div>
    <w:div w:id="1168209984">
      <w:bodyDiv w:val="1"/>
      <w:marLeft w:val="0"/>
      <w:marRight w:val="0"/>
      <w:marTop w:val="0"/>
      <w:marBottom w:val="0"/>
      <w:divBdr>
        <w:top w:val="none" w:sz="0" w:space="0" w:color="auto"/>
        <w:left w:val="none" w:sz="0" w:space="0" w:color="auto"/>
        <w:bottom w:val="none" w:sz="0" w:space="0" w:color="auto"/>
        <w:right w:val="none" w:sz="0" w:space="0" w:color="auto"/>
      </w:divBdr>
    </w:div>
    <w:div w:id="1168446269">
      <w:bodyDiv w:val="1"/>
      <w:marLeft w:val="0"/>
      <w:marRight w:val="0"/>
      <w:marTop w:val="0"/>
      <w:marBottom w:val="0"/>
      <w:divBdr>
        <w:top w:val="none" w:sz="0" w:space="0" w:color="auto"/>
        <w:left w:val="none" w:sz="0" w:space="0" w:color="auto"/>
        <w:bottom w:val="none" w:sz="0" w:space="0" w:color="auto"/>
        <w:right w:val="none" w:sz="0" w:space="0" w:color="auto"/>
      </w:divBdr>
    </w:div>
    <w:div w:id="1168860646">
      <w:bodyDiv w:val="1"/>
      <w:marLeft w:val="0"/>
      <w:marRight w:val="0"/>
      <w:marTop w:val="0"/>
      <w:marBottom w:val="0"/>
      <w:divBdr>
        <w:top w:val="none" w:sz="0" w:space="0" w:color="auto"/>
        <w:left w:val="none" w:sz="0" w:space="0" w:color="auto"/>
        <w:bottom w:val="none" w:sz="0" w:space="0" w:color="auto"/>
        <w:right w:val="none" w:sz="0" w:space="0" w:color="auto"/>
      </w:divBdr>
    </w:div>
    <w:div w:id="1169440896">
      <w:bodyDiv w:val="1"/>
      <w:marLeft w:val="0"/>
      <w:marRight w:val="0"/>
      <w:marTop w:val="0"/>
      <w:marBottom w:val="0"/>
      <w:divBdr>
        <w:top w:val="none" w:sz="0" w:space="0" w:color="auto"/>
        <w:left w:val="none" w:sz="0" w:space="0" w:color="auto"/>
        <w:bottom w:val="none" w:sz="0" w:space="0" w:color="auto"/>
        <w:right w:val="none" w:sz="0" w:space="0" w:color="auto"/>
      </w:divBdr>
    </w:div>
    <w:div w:id="1169758401">
      <w:bodyDiv w:val="1"/>
      <w:marLeft w:val="0"/>
      <w:marRight w:val="0"/>
      <w:marTop w:val="0"/>
      <w:marBottom w:val="0"/>
      <w:divBdr>
        <w:top w:val="none" w:sz="0" w:space="0" w:color="auto"/>
        <w:left w:val="none" w:sz="0" w:space="0" w:color="auto"/>
        <w:bottom w:val="none" w:sz="0" w:space="0" w:color="auto"/>
        <w:right w:val="none" w:sz="0" w:space="0" w:color="auto"/>
      </w:divBdr>
    </w:div>
    <w:div w:id="1170173018">
      <w:bodyDiv w:val="1"/>
      <w:marLeft w:val="0"/>
      <w:marRight w:val="0"/>
      <w:marTop w:val="0"/>
      <w:marBottom w:val="0"/>
      <w:divBdr>
        <w:top w:val="none" w:sz="0" w:space="0" w:color="auto"/>
        <w:left w:val="none" w:sz="0" w:space="0" w:color="auto"/>
        <w:bottom w:val="none" w:sz="0" w:space="0" w:color="auto"/>
        <w:right w:val="none" w:sz="0" w:space="0" w:color="auto"/>
      </w:divBdr>
    </w:div>
    <w:div w:id="1170751835">
      <w:bodyDiv w:val="1"/>
      <w:marLeft w:val="0"/>
      <w:marRight w:val="0"/>
      <w:marTop w:val="0"/>
      <w:marBottom w:val="0"/>
      <w:divBdr>
        <w:top w:val="none" w:sz="0" w:space="0" w:color="auto"/>
        <w:left w:val="none" w:sz="0" w:space="0" w:color="auto"/>
        <w:bottom w:val="none" w:sz="0" w:space="0" w:color="auto"/>
        <w:right w:val="none" w:sz="0" w:space="0" w:color="auto"/>
      </w:divBdr>
    </w:div>
    <w:div w:id="1170947759">
      <w:bodyDiv w:val="1"/>
      <w:marLeft w:val="0"/>
      <w:marRight w:val="0"/>
      <w:marTop w:val="0"/>
      <w:marBottom w:val="0"/>
      <w:divBdr>
        <w:top w:val="none" w:sz="0" w:space="0" w:color="auto"/>
        <w:left w:val="none" w:sz="0" w:space="0" w:color="auto"/>
        <w:bottom w:val="none" w:sz="0" w:space="0" w:color="auto"/>
        <w:right w:val="none" w:sz="0" w:space="0" w:color="auto"/>
      </w:divBdr>
    </w:div>
    <w:div w:id="1171018888">
      <w:bodyDiv w:val="1"/>
      <w:marLeft w:val="0"/>
      <w:marRight w:val="0"/>
      <w:marTop w:val="0"/>
      <w:marBottom w:val="0"/>
      <w:divBdr>
        <w:top w:val="none" w:sz="0" w:space="0" w:color="auto"/>
        <w:left w:val="none" w:sz="0" w:space="0" w:color="auto"/>
        <w:bottom w:val="none" w:sz="0" w:space="0" w:color="auto"/>
        <w:right w:val="none" w:sz="0" w:space="0" w:color="auto"/>
      </w:divBdr>
    </w:div>
    <w:div w:id="1171407232">
      <w:bodyDiv w:val="1"/>
      <w:marLeft w:val="0"/>
      <w:marRight w:val="0"/>
      <w:marTop w:val="0"/>
      <w:marBottom w:val="0"/>
      <w:divBdr>
        <w:top w:val="none" w:sz="0" w:space="0" w:color="auto"/>
        <w:left w:val="none" w:sz="0" w:space="0" w:color="auto"/>
        <w:bottom w:val="none" w:sz="0" w:space="0" w:color="auto"/>
        <w:right w:val="none" w:sz="0" w:space="0" w:color="auto"/>
      </w:divBdr>
    </w:div>
    <w:div w:id="1171986217">
      <w:bodyDiv w:val="1"/>
      <w:marLeft w:val="0"/>
      <w:marRight w:val="0"/>
      <w:marTop w:val="0"/>
      <w:marBottom w:val="0"/>
      <w:divBdr>
        <w:top w:val="none" w:sz="0" w:space="0" w:color="auto"/>
        <w:left w:val="none" w:sz="0" w:space="0" w:color="auto"/>
        <w:bottom w:val="none" w:sz="0" w:space="0" w:color="auto"/>
        <w:right w:val="none" w:sz="0" w:space="0" w:color="auto"/>
      </w:divBdr>
    </w:div>
    <w:div w:id="1172187923">
      <w:bodyDiv w:val="1"/>
      <w:marLeft w:val="0"/>
      <w:marRight w:val="0"/>
      <w:marTop w:val="0"/>
      <w:marBottom w:val="0"/>
      <w:divBdr>
        <w:top w:val="none" w:sz="0" w:space="0" w:color="auto"/>
        <w:left w:val="none" w:sz="0" w:space="0" w:color="auto"/>
        <w:bottom w:val="none" w:sz="0" w:space="0" w:color="auto"/>
        <w:right w:val="none" w:sz="0" w:space="0" w:color="auto"/>
      </w:divBdr>
    </w:div>
    <w:div w:id="1172334969">
      <w:bodyDiv w:val="1"/>
      <w:marLeft w:val="0"/>
      <w:marRight w:val="0"/>
      <w:marTop w:val="0"/>
      <w:marBottom w:val="0"/>
      <w:divBdr>
        <w:top w:val="none" w:sz="0" w:space="0" w:color="auto"/>
        <w:left w:val="none" w:sz="0" w:space="0" w:color="auto"/>
        <w:bottom w:val="none" w:sz="0" w:space="0" w:color="auto"/>
        <w:right w:val="none" w:sz="0" w:space="0" w:color="auto"/>
      </w:divBdr>
    </w:div>
    <w:div w:id="1172642226">
      <w:bodyDiv w:val="1"/>
      <w:marLeft w:val="0"/>
      <w:marRight w:val="0"/>
      <w:marTop w:val="0"/>
      <w:marBottom w:val="0"/>
      <w:divBdr>
        <w:top w:val="none" w:sz="0" w:space="0" w:color="auto"/>
        <w:left w:val="none" w:sz="0" w:space="0" w:color="auto"/>
        <w:bottom w:val="none" w:sz="0" w:space="0" w:color="auto"/>
        <w:right w:val="none" w:sz="0" w:space="0" w:color="auto"/>
      </w:divBdr>
    </w:div>
    <w:div w:id="1172918763">
      <w:bodyDiv w:val="1"/>
      <w:marLeft w:val="0"/>
      <w:marRight w:val="0"/>
      <w:marTop w:val="0"/>
      <w:marBottom w:val="0"/>
      <w:divBdr>
        <w:top w:val="none" w:sz="0" w:space="0" w:color="auto"/>
        <w:left w:val="none" w:sz="0" w:space="0" w:color="auto"/>
        <w:bottom w:val="none" w:sz="0" w:space="0" w:color="auto"/>
        <w:right w:val="none" w:sz="0" w:space="0" w:color="auto"/>
      </w:divBdr>
    </w:div>
    <w:div w:id="1173107927">
      <w:bodyDiv w:val="1"/>
      <w:marLeft w:val="0"/>
      <w:marRight w:val="0"/>
      <w:marTop w:val="0"/>
      <w:marBottom w:val="0"/>
      <w:divBdr>
        <w:top w:val="none" w:sz="0" w:space="0" w:color="auto"/>
        <w:left w:val="none" w:sz="0" w:space="0" w:color="auto"/>
        <w:bottom w:val="none" w:sz="0" w:space="0" w:color="auto"/>
        <w:right w:val="none" w:sz="0" w:space="0" w:color="auto"/>
      </w:divBdr>
    </w:div>
    <w:div w:id="1173761064">
      <w:bodyDiv w:val="1"/>
      <w:marLeft w:val="0"/>
      <w:marRight w:val="0"/>
      <w:marTop w:val="0"/>
      <w:marBottom w:val="0"/>
      <w:divBdr>
        <w:top w:val="none" w:sz="0" w:space="0" w:color="auto"/>
        <w:left w:val="none" w:sz="0" w:space="0" w:color="auto"/>
        <w:bottom w:val="none" w:sz="0" w:space="0" w:color="auto"/>
        <w:right w:val="none" w:sz="0" w:space="0" w:color="auto"/>
      </w:divBdr>
    </w:div>
    <w:div w:id="1173842086">
      <w:bodyDiv w:val="1"/>
      <w:marLeft w:val="0"/>
      <w:marRight w:val="0"/>
      <w:marTop w:val="0"/>
      <w:marBottom w:val="0"/>
      <w:divBdr>
        <w:top w:val="none" w:sz="0" w:space="0" w:color="auto"/>
        <w:left w:val="none" w:sz="0" w:space="0" w:color="auto"/>
        <w:bottom w:val="none" w:sz="0" w:space="0" w:color="auto"/>
        <w:right w:val="none" w:sz="0" w:space="0" w:color="auto"/>
      </w:divBdr>
    </w:div>
    <w:div w:id="1174413079">
      <w:bodyDiv w:val="1"/>
      <w:marLeft w:val="0"/>
      <w:marRight w:val="0"/>
      <w:marTop w:val="0"/>
      <w:marBottom w:val="0"/>
      <w:divBdr>
        <w:top w:val="none" w:sz="0" w:space="0" w:color="auto"/>
        <w:left w:val="none" w:sz="0" w:space="0" w:color="auto"/>
        <w:bottom w:val="none" w:sz="0" w:space="0" w:color="auto"/>
        <w:right w:val="none" w:sz="0" w:space="0" w:color="auto"/>
      </w:divBdr>
    </w:div>
    <w:div w:id="1174490008">
      <w:bodyDiv w:val="1"/>
      <w:marLeft w:val="0"/>
      <w:marRight w:val="0"/>
      <w:marTop w:val="0"/>
      <w:marBottom w:val="0"/>
      <w:divBdr>
        <w:top w:val="none" w:sz="0" w:space="0" w:color="auto"/>
        <w:left w:val="none" w:sz="0" w:space="0" w:color="auto"/>
        <w:bottom w:val="none" w:sz="0" w:space="0" w:color="auto"/>
        <w:right w:val="none" w:sz="0" w:space="0" w:color="auto"/>
      </w:divBdr>
    </w:div>
    <w:div w:id="1175340358">
      <w:bodyDiv w:val="1"/>
      <w:marLeft w:val="0"/>
      <w:marRight w:val="0"/>
      <w:marTop w:val="0"/>
      <w:marBottom w:val="0"/>
      <w:divBdr>
        <w:top w:val="none" w:sz="0" w:space="0" w:color="auto"/>
        <w:left w:val="none" w:sz="0" w:space="0" w:color="auto"/>
        <w:bottom w:val="none" w:sz="0" w:space="0" w:color="auto"/>
        <w:right w:val="none" w:sz="0" w:space="0" w:color="auto"/>
      </w:divBdr>
    </w:div>
    <w:div w:id="1175463360">
      <w:bodyDiv w:val="1"/>
      <w:marLeft w:val="0"/>
      <w:marRight w:val="0"/>
      <w:marTop w:val="0"/>
      <w:marBottom w:val="0"/>
      <w:divBdr>
        <w:top w:val="none" w:sz="0" w:space="0" w:color="auto"/>
        <w:left w:val="none" w:sz="0" w:space="0" w:color="auto"/>
        <w:bottom w:val="none" w:sz="0" w:space="0" w:color="auto"/>
        <w:right w:val="none" w:sz="0" w:space="0" w:color="auto"/>
      </w:divBdr>
    </w:div>
    <w:div w:id="1176384520">
      <w:bodyDiv w:val="1"/>
      <w:marLeft w:val="0"/>
      <w:marRight w:val="0"/>
      <w:marTop w:val="0"/>
      <w:marBottom w:val="0"/>
      <w:divBdr>
        <w:top w:val="none" w:sz="0" w:space="0" w:color="auto"/>
        <w:left w:val="none" w:sz="0" w:space="0" w:color="auto"/>
        <w:bottom w:val="none" w:sz="0" w:space="0" w:color="auto"/>
        <w:right w:val="none" w:sz="0" w:space="0" w:color="auto"/>
      </w:divBdr>
    </w:div>
    <w:div w:id="1176456756">
      <w:bodyDiv w:val="1"/>
      <w:marLeft w:val="0"/>
      <w:marRight w:val="0"/>
      <w:marTop w:val="0"/>
      <w:marBottom w:val="0"/>
      <w:divBdr>
        <w:top w:val="none" w:sz="0" w:space="0" w:color="auto"/>
        <w:left w:val="none" w:sz="0" w:space="0" w:color="auto"/>
        <w:bottom w:val="none" w:sz="0" w:space="0" w:color="auto"/>
        <w:right w:val="none" w:sz="0" w:space="0" w:color="auto"/>
      </w:divBdr>
    </w:div>
    <w:div w:id="1176968238">
      <w:bodyDiv w:val="1"/>
      <w:marLeft w:val="0"/>
      <w:marRight w:val="0"/>
      <w:marTop w:val="0"/>
      <w:marBottom w:val="0"/>
      <w:divBdr>
        <w:top w:val="none" w:sz="0" w:space="0" w:color="auto"/>
        <w:left w:val="none" w:sz="0" w:space="0" w:color="auto"/>
        <w:bottom w:val="none" w:sz="0" w:space="0" w:color="auto"/>
        <w:right w:val="none" w:sz="0" w:space="0" w:color="auto"/>
      </w:divBdr>
    </w:div>
    <w:div w:id="1178228588">
      <w:bodyDiv w:val="1"/>
      <w:marLeft w:val="0"/>
      <w:marRight w:val="0"/>
      <w:marTop w:val="0"/>
      <w:marBottom w:val="0"/>
      <w:divBdr>
        <w:top w:val="none" w:sz="0" w:space="0" w:color="auto"/>
        <w:left w:val="none" w:sz="0" w:space="0" w:color="auto"/>
        <w:bottom w:val="none" w:sz="0" w:space="0" w:color="auto"/>
        <w:right w:val="none" w:sz="0" w:space="0" w:color="auto"/>
      </w:divBdr>
    </w:div>
    <w:div w:id="1178619363">
      <w:bodyDiv w:val="1"/>
      <w:marLeft w:val="0"/>
      <w:marRight w:val="0"/>
      <w:marTop w:val="0"/>
      <w:marBottom w:val="0"/>
      <w:divBdr>
        <w:top w:val="none" w:sz="0" w:space="0" w:color="auto"/>
        <w:left w:val="none" w:sz="0" w:space="0" w:color="auto"/>
        <w:bottom w:val="none" w:sz="0" w:space="0" w:color="auto"/>
        <w:right w:val="none" w:sz="0" w:space="0" w:color="auto"/>
      </w:divBdr>
    </w:div>
    <w:div w:id="1179269324">
      <w:bodyDiv w:val="1"/>
      <w:marLeft w:val="0"/>
      <w:marRight w:val="0"/>
      <w:marTop w:val="0"/>
      <w:marBottom w:val="0"/>
      <w:divBdr>
        <w:top w:val="none" w:sz="0" w:space="0" w:color="auto"/>
        <w:left w:val="none" w:sz="0" w:space="0" w:color="auto"/>
        <w:bottom w:val="none" w:sz="0" w:space="0" w:color="auto"/>
        <w:right w:val="none" w:sz="0" w:space="0" w:color="auto"/>
      </w:divBdr>
    </w:div>
    <w:div w:id="1179537627">
      <w:bodyDiv w:val="1"/>
      <w:marLeft w:val="0"/>
      <w:marRight w:val="0"/>
      <w:marTop w:val="0"/>
      <w:marBottom w:val="0"/>
      <w:divBdr>
        <w:top w:val="none" w:sz="0" w:space="0" w:color="auto"/>
        <w:left w:val="none" w:sz="0" w:space="0" w:color="auto"/>
        <w:bottom w:val="none" w:sz="0" w:space="0" w:color="auto"/>
        <w:right w:val="none" w:sz="0" w:space="0" w:color="auto"/>
      </w:divBdr>
    </w:div>
    <w:div w:id="1179546492">
      <w:bodyDiv w:val="1"/>
      <w:marLeft w:val="0"/>
      <w:marRight w:val="0"/>
      <w:marTop w:val="0"/>
      <w:marBottom w:val="0"/>
      <w:divBdr>
        <w:top w:val="none" w:sz="0" w:space="0" w:color="auto"/>
        <w:left w:val="none" w:sz="0" w:space="0" w:color="auto"/>
        <w:bottom w:val="none" w:sz="0" w:space="0" w:color="auto"/>
        <w:right w:val="none" w:sz="0" w:space="0" w:color="auto"/>
      </w:divBdr>
    </w:div>
    <w:div w:id="1179664759">
      <w:bodyDiv w:val="1"/>
      <w:marLeft w:val="0"/>
      <w:marRight w:val="0"/>
      <w:marTop w:val="0"/>
      <w:marBottom w:val="0"/>
      <w:divBdr>
        <w:top w:val="none" w:sz="0" w:space="0" w:color="auto"/>
        <w:left w:val="none" w:sz="0" w:space="0" w:color="auto"/>
        <w:bottom w:val="none" w:sz="0" w:space="0" w:color="auto"/>
        <w:right w:val="none" w:sz="0" w:space="0" w:color="auto"/>
      </w:divBdr>
    </w:div>
    <w:div w:id="1179849376">
      <w:bodyDiv w:val="1"/>
      <w:marLeft w:val="0"/>
      <w:marRight w:val="0"/>
      <w:marTop w:val="0"/>
      <w:marBottom w:val="0"/>
      <w:divBdr>
        <w:top w:val="none" w:sz="0" w:space="0" w:color="auto"/>
        <w:left w:val="none" w:sz="0" w:space="0" w:color="auto"/>
        <w:bottom w:val="none" w:sz="0" w:space="0" w:color="auto"/>
        <w:right w:val="none" w:sz="0" w:space="0" w:color="auto"/>
      </w:divBdr>
    </w:div>
    <w:div w:id="1180197386">
      <w:bodyDiv w:val="1"/>
      <w:marLeft w:val="0"/>
      <w:marRight w:val="0"/>
      <w:marTop w:val="0"/>
      <w:marBottom w:val="0"/>
      <w:divBdr>
        <w:top w:val="none" w:sz="0" w:space="0" w:color="auto"/>
        <w:left w:val="none" w:sz="0" w:space="0" w:color="auto"/>
        <w:bottom w:val="none" w:sz="0" w:space="0" w:color="auto"/>
        <w:right w:val="none" w:sz="0" w:space="0" w:color="auto"/>
      </w:divBdr>
    </w:div>
    <w:div w:id="1180437690">
      <w:bodyDiv w:val="1"/>
      <w:marLeft w:val="0"/>
      <w:marRight w:val="0"/>
      <w:marTop w:val="0"/>
      <w:marBottom w:val="0"/>
      <w:divBdr>
        <w:top w:val="none" w:sz="0" w:space="0" w:color="auto"/>
        <w:left w:val="none" w:sz="0" w:space="0" w:color="auto"/>
        <w:bottom w:val="none" w:sz="0" w:space="0" w:color="auto"/>
        <w:right w:val="none" w:sz="0" w:space="0" w:color="auto"/>
      </w:divBdr>
    </w:div>
    <w:div w:id="1180779185">
      <w:bodyDiv w:val="1"/>
      <w:marLeft w:val="0"/>
      <w:marRight w:val="0"/>
      <w:marTop w:val="0"/>
      <w:marBottom w:val="0"/>
      <w:divBdr>
        <w:top w:val="none" w:sz="0" w:space="0" w:color="auto"/>
        <w:left w:val="none" w:sz="0" w:space="0" w:color="auto"/>
        <w:bottom w:val="none" w:sz="0" w:space="0" w:color="auto"/>
        <w:right w:val="none" w:sz="0" w:space="0" w:color="auto"/>
      </w:divBdr>
    </w:div>
    <w:div w:id="1181434491">
      <w:bodyDiv w:val="1"/>
      <w:marLeft w:val="0"/>
      <w:marRight w:val="0"/>
      <w:marTop w:val="0"/>
      <w:marBottom w:val="0"/>
      <w:divBdr>
        <w:top w:val="none" w:sz="0" w:space="0" w:color="auto"/>
        <w:left w:val="none" w:sz="0" w:space="0" w:color="auto"/>
        <w:bottom w:val="none" w:sz="0" w:space="0" w:color="auto"/>
        <w:right w:val="none" w:sz="0" w:space="0" w:color="auto"/>
      </w:divBdr>
    </w:div>
    <w:div w:id="1181434545">
      <w:bodyDiv w:val="1"/>
      <w:marLeft w:val="0"/>
      <w:marRight w:val="0"/>
      <w:marTop w:val="0"/>
      <w:marBottom w:val="0"/>
      <w:divBdr>
        <w:top w:val="none" w:sz="0" w:space="0" w:color="auto"/>
        <w:left w:val="none" w:sz="0" w:space="0" w:color="auto"/>
        <w:bottom w:val="none" w:sz="0" w:space="0" w:color="auto"/>
        <w:right w:val="none" w:sz="0" w:space="0" w:color="auto"/>
      </w:divBdr>
    </w:div>
    <w:div w:id="1182860358">
      <w:bodyDiv w:val="1"/>
      <w:marLeft w:val="0"/>
      <w:marRight w:val="0"/>
      <w:marTop w:val="0"/>
      <w:marBottom w:val="0"/>
      <w:divBdr>
        <w:top w:val="none" w:sz="0" w:space="0" w:color="auto"/>
        <w:left w:val="none" w:sz="0" w:space="0" w:color="auto"/>
        <w:bottom w:val="none" w:sz="0" w:space="0" w:color="auto"/>
        <w:right w:val="none" w:sz="0" w:space="0" w:color="auto"/>
      </w:divBdr>
    </w:div>
    <w:div w:id="1182889624">
      <w:bodyDiv w:val="1"/>
      <w:marLeft w:val="0"/>
      <w:marRight w:val="0"/>
      <w:marTop w:val="0"/>
      <w:marBottom w:val="0"/>
      <w:divBdr>
        <w:top w:val="none" w:sz="0" w:space="0" w:color="auto"/>
        <w:left w:val="none" w:sz="0" w:space="0" w:color="auto"/>
        <w:bottom w:val="none" w:sz="0" w:space="0" w:color="auto"/>
        <w:right w:val="none" w:sz="0" w:space="0" w:color="auto"/>
      </w:divBdr>
    </w:div>
    <w:div w:id="1183058092">
      <w:bodyDiv w:val="1"/>
      <w:marLeft w:val="0"/>
      <w:marRight w:val="0"/>
      <w:marTop w:val="0"/>
      <w:marBottom w:val="0"/>
      <w:divBdr>
        <w:top w:val="none" w:sz="0" w:space="0" w:color="auto"/>
        <w:left w:val="none" w:sz="0" w:space="0" w:color="auto"/>
        <w:bottom w:val="none" w:sz="0" w:space="0" w:color="auto"/>
        <w:right w:val="none" w:sz="0" w:space="0" w:color="auto"/>
      </w:divBdr>
    </w:div>
    <w:div w:id="1184175679">
      <w:bodyDiv w:val="1"/>
      <w:marLeft w:val="0"/>
      <w:marRight w:val="0"/>
      <w:marTop w:val="0"/>
      <w:marBottom w:val="0"/>
      <w:divBdr>
        <w:top w:val="none" w:sz="0" w:space="0" w:color="auto"/>
        <w:left w:val="none" w:sz="0" w:space="0" w:color="auto"/>
        <w:bottom w:val="none" w:sz="0" w:space="0" w:color="auto"/>
        <w:right w:val="none" w:sz="0" w:space="0" w:color="auto"/>
      </w:divBdr>
    </w:div>
    <w:div w:id="1184636815">
      <w:bodyDiv w:val="1"/>
      <w:marLeft w:val="0"/>
      <w:marRight w:val="0"/>
      <w:marTop w:val="0"/>
      <w:marBottom w:val="0"/>
      <w:divBdr>
        <w:top w:val="none" w:sz="0" w:space="0" w:color="auto"/>
        <w:left w:val="none" w:sz="0" w:space="0" w:color="auto"/>
        <w:bottom w:val="none" w:sz="0" w:space="0" w:color="auto"/>
        <w:right w:val="none" w:sz="0" w:space="0" w:color="auto"/>
      </w:divBdr>
    </w:div>
    <w:div w:id="1184784091">
      <w:bodyDiv w:val="1"/>
      <w:marLeft w:val="0"/>
      <w:marRight w:val="0"/>
      <w:marTop w:val="0"/>
      <w:marBottom w:val="0"/>
      <w:divBdr>
        <w:top w:val="none" w:sz="0" w:space="0" w:color="auto"/>
        <w:left w:val="none" w:sz="0" w:space="0" w:color="auto"/>
        <w:bottom w:val="none" w:sz="0" w:space="0" w:color="auto"/>
        <w:right w:val="none" w:sz="0" w:space="0" w:color="auto"/>
      </w:divBdr>
    </w:div>
    <w:div w:id="1184788119">
      <w:bodyDiv w:val="1"/>
      <w:marLeft w:val="0"/>
      <w:marRight w:val="0"/>
      <w:marTop w:val="0"/>
      <w:marBottom w:val="0"/>
      <w:divBdr>
        <w:top w:val="none" w:sz="0" w:space="0" w:color="auto"/>
        <w:left w:val="none" w:sz="0" w:space="0" w:color="auto"/>
        <w:bottom w:val="none" w:sz="0" w:space="0" w:color="auto"/>
        <w:right w:val="none" w:sz="0" w:space="0" w:color="auto"/>
      </w:divBdr>
    </w:div>
    <w:div w:id="1184900954">
      <w:bodyDiv w:val="1"/>
      <w:marLeft w:val="0"/>
      <w:marRight w:val="0"/>
      <w:marTop w:val="0"/>
      <w:marBottom w:val="0"/>
      <w:divBdr>
        <w:top w:val="none" w:sz="0" w:space="0" w:color="auto"/>
        <w:left w:val="none" w:sz="0" w:space="0" w:color="auto"/>
        <w:bottom w:val="none" w:sz="0" w:space="0" w:color="auto"/>
        <w:right w:val="none" w:sz="0" w:space="0" w:color="auto"/>
      </w:divBdr>
    </w:div>
    <w:div w:id="1185443301">
      <w:bodyDiv w:val="1"/>
      <w:marLeft w:val="0"/>
      <w:marRight w:val="0"/>
      <w:marTop w:val="0"/>
      <w:marBottom w:val="0"/>
      <w:divBdr>
        <w:top w:val="none" w:sz="0" w:space="0" w:color="auto"/>
        <w:left w:val="none" w:sz="0" w:space="0" w:color="auto"/>
        <w:bottom w:val="none" w:sz="0" w:space="0" w:color="auto"/>
        <w:right w:val="none" w:sz="0" w:space="0" w:color="auto"/>
      </w:divBdr>
    </w:div>
    <w:div w:id="1185830552">
      <w:bodyDiv w:val="1"/>
      <w:marLeft w:val="0"/>
      <w:marRight w:val="0"/>
      <w:marTop w:val="0"/>
      <w:marBottom w:val="0"/>
      <w:divBdr>
        <w:top w:val="none" w:sz="0" w:space="0" w:color="auto"/>
        <w:left w:val="none" w:sz="0" w:space="0" w:color="auto"/>
        <w:bottom w:val="none" w:sz="0" w:space="0" w:color="auto"/>
        <w:right w:val="none" w:sz="0" w:space="0" w:color="auto"/>
      </w:divBdr>
    </w:div>
    <w:div w:id="1186752405">
      <w:bodyDiv w:val="1"/>
      <w:marLeft w:val="0"/>
      <w:marRight w:val="0"/>
      <w:marTop w:val="0"/>
      <w:marBottom w:val="0"/>
      <w:divBdr>
        <w:top w:val="none" w:sz="0" w:space="0" w:color="auto"/>
        <w:left w:val="none" w:sz="0" w:space="0" w:color="auto"/>
        <w:bottom w:val="none" w:sz="0" w:space="0" w:color="auto"/>
        <w:right w:val="none" w:sz="0" w:space="0" w:color="auto"/>
      </w:divBdr>
    </w:div>
    <w:div w:id="1186947487">
      <w:bodyDiv w:val="1"/>
      <w:marLeft w:val="0"/>
      <w:marRight w:val="0"/>
      <w:marTop w:val="0"/>
      <w:marBottom w:val="0"/>
      <w:divBdr>
        <w:top w:val="none" w:sz="0" w:space="0" w:color="auto"/>
        <w:left w:val="none" w:sz="0" w:space="0" w:color="auto"/>
        <w:bottom w:val="none" w:sz="0" w:space="0" w:color="auto"/>
        <w:right w:val="none" w:sz="0" w:space="0" w:color="auto"/>
      </w:divBdr>
    </w:div>
    <w:div w:id="1187212337">
      <w:bodyDiv w:val="1"/>
      <w:marLeft w:val="0"/>
      <w:marRight w:val="0"/>
      <w:marTop w:val="0"/>
      <w:marBottom w:val="0"/>
      <w:divBdr>
        <w:top w:val="none" w:sz="0" w:space="0" w:color="auto"/>
        <w:left w:val="none" w:sz="0" w:space="0" w:color="auto"/>
        <w:bottom w:val="none" w:sz="0" w:space="0" w:color="auto"/>
        <w:right w:val="none" w:sz="0" w:space="0" w:color="auto"/>
      </w:divBdr>
    </w:div>
    <w:div w:id="1187253887">
      <w:bodyDiv w:val="1"/>
      <w:marLeft w:val="0"/>
      <w:marRight w:val="0"/>
      <w:marTop w:val="0"/>
      <w:marBottom w:val="0"/>
      <w:divBdr>
        <w:top w:val="none" w:sz="0" w:space="0" w:color="auto"/>
        <w:left w:val="none" w:sz="0" w:space="0" w:color="auto"/>
        <w:bottom w:val="none" w:sz="0" w:space="0" w:color="auto"/>
        <w:right w:val="none" w:sz="0" w:space="0" w:color="auto"/>
      </w:divBdr>
    </w:div>
    <w:div w:id="1187328123">
      <w:bodyDiv w:val="1"/>
      <w:marLeft w:val="0"/>
      <w:marRight w:val="0"/>
      <w:marTop w:val="0"/>
      <w:marBottom w:val="0"/>
      <w:divBdr>
        <w:top w:val="none" w:sz="0" w:space="0" w:color="auto"/>
        <w:left w:val="none" w:sz="0" w:space="0" w:color="auto"/>
        <w:bottom w:val="none" w:sz="0" w:space="0" w:color="auto"/>
        <w:right w:val="none" w:sz="0" w:space="0" w:color="auto"/>
      </w:divBdr>
    </w:div>
    <w:div w:id="1187408009">
      <w:bodyDiv w:val="1"/>
      <w:marLeft w:val="0"/>
      <w:marRight w:val="0"/>
      <w:marTop w:val="0"/>
      <w:marBottom w:val="0"/>
      <w:divBdr>
        <w:top w:val="none" w:sz="0" w:space="0" w:color="auto"/>
        <w:left w:val="none" w:sz="0" w:space="0" w:color="auto"/>
        <w:bottom w:val="none" w:sz="0" w:space="0" w:color="auto"/>
        <w:right w:val="none" w:sz="0" w:space="0" w:color="auto"/>
      </w:divBdr>
    </w:div>
    <w:div w:id="1187523472">
      <w:bodyDiv w:val="1"/>
      <w:marLeft w:val="0"/>
      <w:marRight w:val="0"/>
      <w:marTop w:val="0"/>
      <w:marBottom w:val="0"/>
      <w:divBdr>
        <w:top w:val="none" w:sz="0" w:space="0" w:color="auto"/>
        <w:left w:val="none" w:sz="0" w:space="0" w:color="auto"/>
        <w:bottom w:val="none" w:sz="0" w:space="0" w:color="auto"/>
        <w:right w:val="none" w:sz="0" w:space="0" w:color="auto"/>
      </w:divBdr>
    </w:div>
    <w:div w:id="1187987419">
      <w:bodyDiv w:val="1"/>
      <w:marLeft w:val="0"/>
      <w:marRight w:val="0"/>
      <w:marTop w:val="0"/>
      <w:marBottom w:val="0"/>
      <w:divBdr>
        <w:top w:val="none" w:sz="0" w:space="0" w:color="auto"/>
        <w:left w:val="none" w:sz="0" w:space="0" w:color="auto"/>
        <w:bottom w:val="none" w:sz="0" w:space="0" w:color="auto"/>
        <w:right w:val="none" w:sz="0" w:space="0" w:color="auto"/>
      </w:divBdr>
    </w:div>
    <w:div w:id="1188256096">
      <w:bodyDiv w:val="1"/>
      <w:marLeft w:val="0"/>
      <w:marRight w:val="0"/>
      <w:marTop w:val="0"/>
      <w:marBottom w:val="0"/>
      <w:divBdr>
        <w:top w:val="none" w:sz="0" w:space="0" w:color="auto"/>
        <w:left w:val="none" w:sz="0" w:space="0" w:color="auto"/>
        <w:bottom w:val="none" w:sz="0" w:space="0" w:color="auto"/>
        <w:right w:val="none" w:sz="0" w:space="0" w:color="auto"/>
      </w:divBdr>
    </w:div>
    <w:div w:id="1188330557">
      <w:bodyDiv w:val="1"/>
      <w:marLeft w:val="0"/>
      <w:marRight w:val="0"/>
      <w:marTop w:val="0"/>
      <w:marBottom w:val="0"/>
      <w:divBdr>
        <w:top w:val="none" w:sz="0" w:space="0" w:color="auto"/>
        <w:left w:val="none" w:sz="0" w:space="0" w:color="auto"/>
        <w:bottom w:val="none" w:sz="0" w:space="0" w:color="auto"/>
        <w:right w:val="none" w:sz="0" w:space="0" w:color="auto"/>
      </w:divBdr>
    </w:div>
    <w:div w:id="1188370454">
      <w:bodyDiv w:val="1"/>
      <w:marLeft w:val="0"/>
      <w:marRight w:val="0"/>
      <w:marTop w:val="0"/>
      <w:marBottom w:val="0"/>
      <w:divBdr>
        <w:top w:val="none" w:sz="0" w:space="0" w:color="auto"/>
        <w:left w:val="none" w:sz="0" w:space="0" w:color="auto"/>
        <w:bottom w:val="none" w:sz="0" w:space="0" w:color="auto"/>
        <w:right w:val="none" w:sz="0" w:space="0" w:color="auto"/>
      </w:divBdr>
    </w:div>
    <w:div w:id="1188446042">
      <w:bodyDiv w:val="1"/>
      <w:marLeft w:val="0"/>
      <w:marRight w:val="0"/>
      <w:marTop w:val="0"/>
      <w:marBottom w:val="0"/>
      <w:divBdr>
        <w:top w:val="none" w:sz="0" w:space="0" w:color="auto"/>
        <w:left w:val="none" w:sz="0" w:space="0" w:color="auto"/>
        <w:bottom w:val="none" w:sz="0" w:space="0" w:color="auto"/>
        <w:right w:val="none" w:sz="0" w:space="0" w:color="auto"/>
      </w:divBdr>
    </w:div>
    <w:div w:id="1188518286">
      <w:bodyDiv w:val="1"/>
      <w:marLeft w:val="0"/>
      <w:marRight w:val="0"/>
      <w:marTop w:val="0"/>
      <w:marBottom w:val="0"/>
      <w:divBdr>
        <w:top w:val="none" w:sz="0" w:space="0" w:color="auto"/>
        <w:left w:val="none" w:sz="0" w:space="0" w:color="auto"/>
        <w:bottom w:val="none" w:sz="0" w:space="0" w:color="auto"/>
        <w:right w:val="none" w:sz="0" w:space="0" w:color="auto"/>
      </w:divBdr>
    </w:div>
    <w:div w:id="1188636409">
      <w:bodyDiv w:val="1"/>
      <w:marLeft w:val="0"/>
      <w:marRight w:val="0"/>
      <w:marTop w:val="0"/>
      <w:marBottom w:val="0"/>
      <w:divBdr>
        <w:top w:val="none" w:sz="0" w:space="0" w:color="auto"/>
        <w:left w:val="none" w:sz="0" w:space="0" w:color="auto"/>
        <w:bottom w:val="none" w:sz="0" w:space="0" w:color="auto"/>
        <w:right w:val="none" w:sz="0" w:space="0" w:color="auto"/>
      </w:divBdr>
    </w:div>
    <w:div w:id="1189831743">
      <w:bodyDiv w:val="1"/>
      <w:marLeft w:val="0"/>
      <w:marRight w:val="0"/>
      <w:marTop w:val="0"/>
      <w:marBottom w:val="0"/>
      <w:divBdr>
        <w:top w:val="none" w:sz="0" w:space="0" w:color="auto"/>
        <w:left w:val="none" w:sz="0" w:space="0" w:color="auto"/>
        <w:bottom w:val="none" w:sz="0" w:space="0" w:color="auto"/>
        <w:right w:val="none" w:sz="0" w:space="0" w:color="auto"/>
      </w:divBdr>
    </w:div>
    <w:div w:id="1189952400">
      <w:bodyDiv w:val="1"/>
      <w:marLeft w:val="0"/>
      <w:marRight w:val="0"/>
      <w:marTop w:val="0"/>
      <w:marBottom w:val="0"/>
      <w:divBdr>
        <w:top w:val="none" w:sz="0" w:space="0" w:color="auto"/>
        <w:left w:val="none" w:sz="0" w:space="0" w:color="auto"/>
        <w:bottom w:val="none" w:sz="0" w:space="0" w:color="auto"/>
        <w:right w:val="none" w:sz="0" w:space="0" w:color="auto"/>
      </w:divBdr>
    </w:div>
    <w:div w:id="1190022242">
      <w:bodyDiv w:val="1"/>
      <w:marLeft w:val="0"/>
      <w:marRight w:val="0"/>
      <w:marTop w:val="0"/>
      <w:marBottom w:val="0"/>
      <w:divBdr>
        <w:top w:val="none" w:sz="0" w:space="0" w:color="auto"/>
        <w:left w:val="none" w:sz="0" w:space="0" w:color="auto"/>
        <w:bottom w:val="none" w:sz="0" w:space="0" w:color="auto"/>
        <w:right w:val="none" w:sz="0" w:space="0" w:color="auto"/>
      </w:divBdr>
    </w:div>
    <w:div w:id="1190070531">
      <w:bodyDiv w:val="1"/>
      <w:marLeft w:val="0"/>
      <w:marRight w:val="0"/>
      <w:marTop w:val="0"/>
      <w:marBottom w:val="0"/>
      <w:divBdr>
        <w:top w:val="none" w:sz="0" w:space="0" w:color="auto"/>
        <w:left w:val="none" w:sz="0" w:space="0" w:color="auto"/>
        <w:bottom w:val="none" w:sz="0" w:space="0" w:color="auto"/>
        <w:right w:val="none" w:sz="0" w:space="0" w:color="auto"/>
      </w:divBdr>
    </w:div>
    <w:div w:id="1190218547">
      <w:bodyDiv w:val="1"/>
      <w:marLeft w:val="0"/>
      <w:marRight w:val="0"/>
      <w:marTop w:val="0"/>
      <w:marBottom w:val="0"/>
      <w:divBdr>
        <w:top w:val="none" w:sz="0" w:space="0" w:color="auto"/>
        <w:left w:val="none" w:sz="0" w:space="0" w:color="auto"/>
        <w:bottom w:val="none" w:sz="0" w:space="0" w:color="auto"/>
        <w:right w:val="none" w:sz="0" w:space="0" w:color="auto"/>
      </w:divBdr>
    </w:div>
    <w:div w:id="1190341467">
      <w:bodyDiv w:val="1"/>
      <w:marLeft w:val="0"/>
      <w:marRight w:val="0"/>
      <w:marTop w:val="0"/>
      <w:marBottom w:val="0"/>
      <w:divBdr>
        <w:top w:val="none" w:sz="0" w:space="0" w:color="auto"/>
        <w:left w:val="none" w:sz="0" w:space="0" w:color="auto"/>
        <w:bottom w:val="none" w:sz="0" w:space="0" w:color="auto"/>
        <w:right w:val="none" w:sz="0" w:space="0" w:color="auto"/>
      </w:divBdr>
    </w:div>
    <w:div w:id="1190531410">
      <w:bodyDiv w:val="1"/>
      <w:marLeft w:val="0"/>
      <w:marRight w:val="0"/>
      <w:marTop w:val="0"/>
      <w:marBottom w:val="0"/>
      <w:divBdr>
        <w:top w:val="none" w:sz="0" w:space="0" w:color="auto"/>
        <w:left w:val="none" w:sz="0" w:space="0" w:color="auto"/>
        <w:bottom w:val="none" w:sz="0" w:space="0" w:color="auto"/>
        <w:right w:val="none" w:sz="0" w:space="0" w:color="auto"/>
      </w:divBdr>
    </w:div>
    <w:div w:id="1190684951">
      <w:bodyDiv w:val="1"/>
      <w:marLeft w:val="0"/>
      <w:marRight w:val="0"/>
      <w:marTop w:val="0"/>
      <w:marBottom w:val="0"/>
      <w:divBdr>
        <w:top w:val="none" w:sz="0" w:space="0" w:color="auto"/>
        <w:left w:val="none" w:sz="0" w:space="0" w:color="auto"/>
        <w:bottom w:val="none" w:sz="0" w:space="0" w:color="auto"/>
        <w:right w:val="none" w:sz="0" w:space="0" w:color="auto"/>
      </w:divBdr>
    </w:div>
    <w:div w:id="1191843763">
      <w:bodyDiv w:val="1"/>
      <w:marLeft w:val="0"/>
      <w:marRight w:val="0"/>
      <w:marTop w:val="0"/>
      <w:marBottom w:val="0"/>
      <w:divBdr>
        <w:top w:val="none" w:sz="0" w:space="0" w:color="auto"/>
        <w:left w:val="none" w:sz="0" w:space="0" w:color="auto"/>
        <w:bottom w:val="none" w:sz="0" w:space="0" w:color="auto"/>
        <w:right w:val="none" w:sz="0" w:space="0" w:color="auto"/>
      </w:divBdr>
    </w:div>
    <w:div w:id="1191914448">
      <w:bodyDiv w:val="1"/>
      <w:marLeft w:val="0"/>
      <w:marRight w:val="0"/>
      <w:marTop w:val="0"/>
      <w:marBottom w:val="0"/>
      <w:divBdr>
        <w:top w:val="none" w:sz="0" w:space="0" w:color="auto"/>
        <w:left w:val="none" w:sz="0" w:space="0" w:color="auto"/>
        <w:bottom w:val="none" w:sz="0" w:space="0" w:color="auto"/>
        <w:right w:val="none" w:sz="0" w:space="0" w:color="auto"/>
      </w:divBdr>
    </w:div>
    <w:div w:id="1192255885">
      <w:bodyDiv w:val="1"/>
      <w:marLeft w:val="0"/>
      <w:marRight w:val="0"/>
      <w:marTop w:val="0"/>
      <w:marBottom w:val="0"/>
      <w:divBdr>
        <w:top w:val="none" w:sz="0" w:space="0" w:color="auto"/>
        <w:left w:val="none" w:sz="0" w:space="0" w:color="auto"/>
        <w:bottom w:val="none" w:sz="0" w:space="0" w:color="auto"/>
        <w:right w:val="none" w:sz="0" w:space="0" w:color="auto"/>
      </w:divBdr>
    </w:div>
    <w:div w:id="1192457520">
      <w:bodyDiv w:val="1"/>
      <w:marLeft w:val="0"/>
      <w:marRight w:val="0"/>
      <w:marTop w:val="0"/>
      <w:marBottom w:val="0"/>
      <w:divBdr>
        <w:top w:val="none" w:sz="0" w:space="0" w:color="auto"/>
        <w:left w:val="none" w:sz="0" w:space="0" w:color="auto"/>
        <w:bottom w:val="none" w:sz="0" w:space="0" w:color="auto"/>
        <w:right w:val="none" w:sz="0" w:space="0" w:color="auto"/>
      </w:divBdr>
    </w:div>
    <w:div w:id="1192643340">
      <w:bodyDiv w:val="1"/>
      <w:marLeft w:val="0"/>
      <w:marRight w:val="0"/>
      <w:marTop w:val="0"/>
      <w:marBottom w:val="0"/>
      <w:divBdr>
        <w:top w:val="none" w:sz="0" w:space="0" w:color="auto"/>
        <w:left w:val="none" w:sz="0" w:space="0" w:color="auto"/>
        <w:bottom w:val="none" w:sz="0" w:space="0" w:color="auto"/>
        <w:right w:val="none" w:sz="0" w:space="0" w:color="auto"/>
      </w:divBdr>
    </w:div>
    <w:div w:id="1192840525">
      <w:bodyDiv w:val="1"/>
      <w:marLeft w:val="0"/>
      <w:marRight w:val="0"/>
      <w:marTop w:val="0"/>
      <w:marBottom w:val="0"/>
      <w:divBdr>
        <w:top w:val="none" w:sz="0" w:space="0" w:color="auto"/>
        <w:left w:val="none" w:sz="0" w:space="0" w:color="auto"/>
        <w:bottom w:val="none" w:sz="0" w:space="0" w:color="auto"/>
        <w:right w:val="none" w:sz="0" w:space="0" w:color="auto"/>
      </w:divBdr>
    </w:div>
    <w:div w:id="1192915762">
      <w:bodyDiv w:val="1"/>
      <w:marLeft w:val="0"/>
      <w:marRight w:val="0"/>
      <w:marTop w:val="0"/>
      <w:marBottom w:val="0"/>
      <w:divBdr>
        <w:top w:val="none" w:sz="0" w:space="0" w:color="auto"/>
        <w:left w:val="none" w:sz="0" w:space="0" w:color="auto"/>
        <w:bottom w:val="none" w:sz="0" w:space="0" w:color="auto"/>
        <w:right w:val="none" w:sz="0" w:space="0" w:color="auto"/>
      </w:divBdr>
    </w:div>
    <w:div w:id="1193687868">
      <w:bodyDiv w:val="1"/>
      <w:marLeft w:val="0"/>
      <w:marRight w:val="0"/>
      <w:marTop w:val="0"/>
      <w:marBottom w:val="0"/>
      <w:divBdr>
        <w:top w:val="none" w:sz="0" w:space="0" w:color="auto"/>
        <w:left w:val="none" w:sz="0" w:space="0" w:color="auto"/>
        <w:bottom w:val="none" w:sz="0" w:space="0" w:color="auto"/>
        <w:right w:val="none" w:sz="0" w:space="0" w:color="auto"/>
      </w:divBdr>
    </w:div>
    <w:div w:id="1193693762">
      <w:bodyDiv w:val="1"/>
      <w:marLeft w:val="0"/>
      <w:marRight w:val="0"/>
      <w:marTop w:val="0"/>
      <w:marBottom w:val="0"/>
      <w:divBdr>
        <w:top w:val="none" w:sz="0" w:space="0" w:color="auto"/>
        <w:left w:val="none" w:sz="0" w:space="0" w:color="auto"/>
        <w:bottom w:val="none" w:sz="0" w:space="0" w:color="auto"/>
        <w:right w:val="none" w:sz="0" w:space="0" w:color="auto"/>
      </w:divBdr>
    </w:div>
    <w:div w:id="1194147717">
      <w:bodyDiv w:val="1"/>
      <w:marLeft w:val="0"/>
      <w:marRight w:val="0"/>
      <w:marTop w:val="0"/>
      <w:marBottom w:val="0"/>
      <w:divBdr>
        <w:top w:val="none" w:sz="0" w:space="0" w:color="auto"/>
        <w:left w:val="none" w:sz="0" w:space="0" w:color="auto"/>
        <w:bottom w:val="none" w:sz="0" w:space="0" w:color="auto"/>
        <w:right w:val="none" w:sz="0" w:space="0" w:color="auto"/>
      </w:divBdr>
    </w:div>
    <w:div w:id="1194229465">
      <w:bodyDiv w:val="1"/>
      <w:marLeft w:val="0"/>
      <w:marRight w:val="0"/>
      <w:marTop w:val="0"/>
      <w:marBottom w:val="0"/>
      <w:divBdr>
        <w:top w:val="none" w:sz="0" w:space="0" w:color="auto"/>
        <w:left w:val="none" w:sz="0" w:space="0" w:color="auto"/>
        <w:bottom w:val="none" w:sz="0" w:space="0" w:color="auto"/>
        <w:right w:val="none" w:sz="0" w:space="0" w:color="auto"/>
      </w:divBdr>
    </w:div>
    <w:div w:id="1195115771">
      <w:bodyDiv w:val="1"/>
      <w:marLeft w:val="0"/>
      <w:marRight w:val="0"/>
      <w:marTop w:val="0"/>
      <w:marBottom w:val="0"/>
      <w:divBdr>
        <w:top w:val="none" w:sz="0" w:space="0" w:color="auto"/>
        <w:left w:val="none" w:sz="0" w:space="0" w:color="auto"/>
        <w:bottom w:val="none" w:sz="0" w:space="0" w:color="auto"/>
        <w:right w:val="none" w:sz="0" w:space="0" w:color="auto"/>
      </w:divBdr>
    </w:div>
    <w:div w:id="1195382736">
      <w:bodyDiv w:val="1"/>
      <w:marLeft w:val="0"/>
      <w:marRight w:val="0"/>
      <w:marTop w:val="0"/>
      <w:marBottom w:val="0"/>
      <w:divBdr>
        <w:top w:val="none" w:sz="0" w:space="0" w:color="auto"/>
        <w:left w:val="none" w:sz="0" w:space="0" w:color="auto"/>
        <w:bottom w:val="none" w:sz="0" w:space="0" w:color="auto"/>
        <w:right w:val="none" w:sz="0" w:space="0" w:color="auto"/>
      </w:divBdr>
    </w:div>
    <w:div w:id="1195390926">
      <w:bodyDiv w:val="1"/>
      <w:marLeft w:val="0"/>
      <w:marRight w:val="0"/>
      <w:marTop w:val="0"/>
      <w:marBottom w:val="0"/>
      <w:divBdr>
        <w:top w:val="none" w:sz="0" w:space="0" w:color="auto"/>
        <w:left w:val="none" w:sz="0" w:space="0" w:color="auto"/>
        <w:bottom w:val="none" w:sz="0" w:space="0" w:color="auto"/>
        <w:right w:val="none" w:sz="0" w:space="0" w:color="auto"/>
      </w:divBdr>
    </w:div>
    <w:div w:id="1195581512">
      <w:bodyDiv w:val="1"/>
      <w:marLeft w:val="0"/>
      <w:marRight w:val="0"/>
      <w:marTop w:val="0"/>
      <w:marBottom w:val="0"/>
      <w:divBdr>
        <w:top w:val="none" w:sz="0" w:space="0" w:color="auto"/>
        <w:left w:val="none" w:sz="0" w:space="0" w:color="auto"/>
        <w:bottom w:val="none" w:sz="0" w:space="0" w:color="auto"/>
        <w:right w:val="none" w:sz="0" w:space="0" w:color="auto"/>
      </w:divBdr>
    </w:div>
    <w:div w:id="1195845218">
      <w:bodyDiv w:val="1"/>
      <w:marLeft w:val="0"/>
      <w:marRight w:val="0"/>
      <w:marTop w:val="0"/>
      <w:marBottom w:val="0"/>
      <w:divBdr>
        <w:top w:val="none" w:sz="0" w:space="0" w:color="auto"/>
        <w:left w:val="none" w:sz="0" w:space="0" w:color="auto"/>
        <w:bottom w:val="none" w:sz="0" w:space="0" w:color="auto"/>
        <w:right w:val="none" w:sz="0" w:space="0" w:color="auto"/>
      </w:divBdr>
    </w:div>
    <w:div w:id="1196775870">
      <w:bodyDiv w:val="1"/>
      <w:marLeft w:val="0"/>
      <w:marRight w:val="0"/>
      <w:marTop w:val="0"/>
      <w:marBottom w:val="0"/>
      <w:divBdr>
        <w:top w:val="none" w:sz="0" w:space="0" w:color="auto"/>
        <w:left w:val="none" w:sz="0" w:space="0" w:color="auto"/>
        <w:bottom w:val="none" w:sz="0" w:space="0" w:color="auto"/>
        <w:right w:val="none" w:sz="0" w:space="0" w:color="auto"/>
      </w:divBdr>
    </w:div>
    <w:div w:id="1196889412">
      <w:bodyDiv w:val="1"/>
      <w:marLeft w:val="0"/>
      <w:marRight w:val="0"/>
      <w:marTop w:val="0"/>
      <w:marBottom w:val="0"/>
      <w:divBdr>
        <w:top w:val="none" w:sz="0" w:space="0" w:color="auto"/>
        <w:left w:val="none" w:sz="0" w:space="0" w:color="auto"/>
        <w:bottom w:val="none" w:sz="0" w:space="0" w:color="auto"/>
        <w:right w:val="none" w:sz="0" w:space="0" w:color="auto"/>
      </w:divBdr>
    </w:div>
    <w:div w:id="1197235622">
      <w:bodyDiv w:val="1"/>
      <w:marLeft w:val="0"/>
      <w:marRight w:val="0"/>
      <w:marTop w:val="0"/>
      <w:marBottom w:val="0"/>
      <w:divBdr>
        <w:top w:val="none" w:sz="0" w:space="0" w:color="auto"/>
        <w:left w:val="none" w:sz="0" w:space="0" w:color="auto"/>
        <w:bottom w:val="none" w:sz="0" w:space="0" w:color="auto"/>
        <w:right w:val="none" w:sz="0" w:space="0" w:color="auto"/>
      </w:divBdr>
    </w:div>
    <w:div w:id="1197348277">
      <w:bodyDiv w:val="1"/>
      <w:marLeft w:val="0"/>
      <w:marRight w:val="0"/>
      <w:marTop w:val="0"/>
      <w:marBottom w:val="0"/>
      <w:divBdr>
        <w:top w:val="none" w:sz="0" w:space="0" w:color="auto"/>
        <w:left w:val="none" w:sz="0" w:space="0" w:color="auto"/>
        <w:bottom w:val="none" w:sz="0" w:space="0" w:color="auto"/>
        <w:right w:val="none" w:sz="0" w:space="0" w:color="auto"/>
      </w:divBdr>
    </w:div>
    <w:div w:id="1198542826">
      <w:bodyDiv w:val="1"/>
      <w:marLeft w:val="0"/>
      <w:marRight w:val="0"/>
      <w:marTop w:val="0"/>
      <w:marBottom w:val="0"/>
      <w:divBdr>
        <w:top w:val="none" w:sz="0" w:space="0" w:color="auto"/>
        <w:left w:val="none" w:sz="0" w:space="0" w:color="auto"/>
        <w:bottom w:val="none" w:sz="0" w:space="0" w:color="auto"/>
        <w:right w:val="none" w:sz="0" w:space="0" w:color="auto"/>
      </w:divBdr>
    </w:div>
    <w:div w:id="1199120757">
      <w:bodyDiv w:val="1"/>
      <w:marLeft w:val="0"/>
      <w:marRight w:val="0"/>
      <w:marTop w:val="0"/>
      <w:marBottom w:val="0"/>
      <w:divBdr>
        <w:top w:val="none" w:sz="0" w:space="0" w:color="auto"/>
        <w:left w:val="none" w:sz="0" w:space="0" w:color="auto"/>
        <w:bottom w:val="none" w:sz="0" w:space="0" w:color="auto"/>
        <w:right w:val="none" w:sz="0" w:space="0" w:color="auto"/>
      </w:divBdr>
    </w:div>
    <w:div w:id="1199244648">
      <w:bodyDiv w:val="1"/>
      <w:marLeft w:val="0"/>
      <w:marRight w:val="0"/>
      <w:marTop w:val="0"/>
      <w:marBottom w:val="0"/>
      <w:divBdr>
        <w:top w:val="none" w:sz="0" w:space="0" w:color="auto"/>
        <w:left w:val="none" w:sz="0" w:space="0" w:color="auto"/>
        <w:bottom w:val="none" w:sz="0" w:space="0" w:color="auto"/>
        <w:right w:val="none" w:sz="0" w:space="0" w:color="auto"/>
      </w:divBdr>
    </w:div>
    <w:div w:id="1199322315">
      <w:bodyDiv w:val="1"/>
      <w:marLeft w:val="0"/>
      <w:marRight w:val="0"/>
      <w:marTop w:val="0"/>
      <w:marBottom w:val="0"/>
      <w:divBdr>
        <w:top w:val="none" w:sz="0" w:space="0" w:color="auto"/>
        <w:left w:val="none" w:sz="0" w:space="0" w:color="auto"/>
        <w:bottom w:val="none" w:sz="0" w:space="0" w:color="auto"/>
        <w:right w:val="none" w:sz="0" w:space="0" w:color="auto"/>
      </w:divBdr>
    </w:div>
    <w:div w:id="1199391307">
      <w:bodyDiv w:val="1"/>
      <w:marLeft w:val="0"/>
      <w:marRight w:val="0"/>
      <w:marTop w:val="0"/>
      <w:marBottom w:val="0"/>
      <w:divBdr>
        <w:top w:val="none" w:sz="0" w:space="0" w:color="auto"/>
        <w:left w:val="none" w:sz="0" w:space="0" w:color="auto"/>
        <w:bottom w:val="none" w:sz="0" w:space="0" w:color="auto"/>
        <w:right w:val="none" w:sz="0" w:space="0" w:color="auto"/>
      </w:divBdr>
    </w:div>
    <w:div w:id="1200244431">
      <w:bodyDiv w:val="1"/>
      <w:marLeft w:val="0"/>
      <w:marRight w:val="0"/>
      <w:marTop w:val="0"/>
      <w:marBottom w:val="0"/>
      <w:divBdr>
        <w:top w:val="none" w:sz="0" w:space="0" w:color="auto"/>
        <w:left w:val="none" w:sz="0" w:space="0" w:color="auto"/>
        <w:bottom w:val="none" w:sz="0" w:space="0" w:color="auto"/>
        <w:right w:val="none" w:sz="0" w:space="0" w:color="auto"/>
      </w:divBdr>
    </w:div>
    <w:div w:id="1200389652">
      <w:bodyDiv w:val="1"/>
      <w:marLeft w:val="0"/>
      <w:marRight w:val="0"/>
      <w:marTop w:val="0"/>
      <w:marBottom w:val="0"/>
      <w:divBdr>
        <w:top w:val="none" w:sz="0" w:space="0" w:color="auto"/>
        <w:left w:val="none" w:sz="0" w:space="0" w:color="auto"/>
        <w:bottom w:val="none" w:sz="0" w:space="0" w:color="auto"/>
        <w:right w:val="none" w:sz="0" w:space="0" w:color="auto"/>
      </w:divBdr>
    </w:div>
    <w:div w:id="1200433154">
      <w:bodyDiv w:val="1"/>
      <w:marLeft w:val="0"/>
      <w:marRight w:val="0"/>
      <w:marTop w:val="0"/>
      <w:marBottom w:val="0"/>
      <w:divBdr>
        <w:top w:val="none" w:sz="0" w:space="0" w:color="auto"/>
        <w:left w:val="none" w:sz="0" w:space="0" w:color="auto"/>
        <w:bottom w:val="none" w:sz="0" w:space="0" w:color="auto"/>
        <w:right w:val="none" w:sz="0" w:space="0" w:color="auto"/>
      </w:divBdr>
    </w:div>
    <w:div w:id="1200506014">
      <w:bodyDiv w:val="1"/>
      <w:marLeft w:val="0"/>
      <w:marRight w:val="0"/>
      <w:marTop w:val="0"/>
      <w:marBottom w:val="0"/>
      <w:divBdr>
        <w:top w:val="none" w:sz="0" w:space="0" w:color="auto"/>
        <w:left w:val="none" w:sz="0" w:space="0" w:color="auto"/>
        <w:bottom w:val="none" w:sz="0" w:space="0" w:color="auto"/>
        <w:right w:val="none" w:sz="0" w:space="0" w:color="auto"/>
      </w:divBdr>
    </w:div>
    <w:div w:id="1201356036">
      <w:bodyDiv w:val="1"/>
      <w:marLeft w:val="0"/>
      <w:marRight w:val="0"/>
      <w:marTop w:val="0"/>
      <w:marBottom w:val="0"/>
      <w:divBdr>
        <w:top w:val="none" w:sz="0" w:space="0" w:color="auto"/>
        <w:left w:val="none" w:sz="0" w:space="0" w:color="auto"/>
        <w:bottom w:val="none" w:sz="0" w:space="0" w:color="auto"/>
        <w:right w:val="none" w:sz="0" w:space="0" w:color="auto"/>
      </w:divBdr>
    </w:div>
    <w:div w:id="1201477412">
      <w:bodyDiv w:val="1"/>
      <w:marLeft w:val="0"/>
      <w:marRight w:val="0"/>
      <w:marTop w:val="0"/>
      <w:marBottom w:val="0"/>
      <w:divBdr>
        <w:top w:val="none" w:sz="0" w:space="0" w:color="auto"/>
        <w:left w:val="none" w:sz="0" w:space="0" w:color="auto"/>
        <w:bottom w:val="none" w:sz="0" w:space="0" w:color="auto"/>
        <w:right w:val="none" w:sz="0" w:space="0" w:color="auto"/>
      </w:divBdr>
    </w:div>
    <w:div w:id="1201623930">
      <w:bodyDiv w:val="1"/>
      <w:marLeft w:val="0"/>
      <w:marRight w:val="0"/>
      <w:marTop w:val="0"/>
      <w:marBottom w:val="0"/>
      <w:divBdr>
        <w:top w:val="none" w:sz="0" w:space="0" w:color="auto"/>
        <w:left w:val="none" w:sz="0" w:space="0" w:color="auto"/>
        <w:bottom w:val="none" w:sz="0" w:space="0" w:color="auto"/>
        <w:right w:val="none" w:sz="0" w:space="0" w:color="auto"/>
      </w:divBdr>
    </w:div>
    <w:div w:id="1202330223">
      <w:bodyDiv w:val="1"/>
      <w:marLeft w:val="0"/>
      <w:marRight w:val="0"/>
      <w:marTop w:val="0"/>
      <w:marBottom w:val="0"/>
      <w:divBdr>
        <w:top w:val="none" w:sz="0" w:space="0" w:color="auto"/>
        <w:left w:val="none" w:sz="0" w:space="0" w:color="auto"/>
        <w:bottom w:val="none" w:sz="0" w:space="0" w:color="auto"/>
        <w:right w:val="none" w:sz="0" w:space="0" w:color="auto"/>
      </w:divBdr>
    </w:div>
    <w:div w:id="1202666697">
      <w:bodyDiv w:val="1"/>
      <w:marLeft w:val="0"/>
      <w:marRight w:val="0"/>
      <w:marTop w:val="0"/>
      <w:marBottom w:val="0"/>
      <w:divBdr>
        <w:top w:val="none" w:sz="0" w:space="0" w:color="auto"/>
        <w:left w:val="none" w:sz="0" w:space="0" w:color="auto"/>
        <w:bottom w:val="none" w:sz="0" w:space="0" w:color="auto"/>
        <w:right w:val="none" w:sz="0" w:space="0" w:color="auto"/>
      </w:divBdr>
    </w:div>
    <w:div w:id="1202669412">
      <w:bodyDiv w:val="1"/>
      <w:marLeft w:val="0"/>
      <w:marRight w:val="0"/>
      <w:marTop w:val="0"/>
      <w:marBottom w:val="0"/>
      <w:divBdr>
        <w:top w:val="none" w:sz="0" w:space="0" w:color="auto"/>
        <w:left w:val="none" w:sz="0" w:space="0" w:color="auto"/>
        <w:bottom w:val="none" w:sz="0" w:space="0" w:color="auto"/>
        <w:right w:val="none" w:sz="0" w:space="0" w:color="auto"/>
      </w:divBdr>
    </w:div>
    <w:div w:id="1203860983">
      <w:bodyDiv w:val="1"/>
      <w:marLeft w:val="0"/>
      <w:marRight w:val="0"/>
      <w:marTop w:val="0"/>
      <w:marBottom w:val="0"/>
      <w:divBdr>
        <w:top w:val="none" w:sz="0" w:space="0" w:color="auto"/>
        <w:left w:val="none" w:sz="0" w:space="0" w:color="auto"/>
        <w:bottom w:val="none" w:sz="0" w:space="0" w:color="auto"/>
        <w:right w:val="none" w:sz="0" w:space="0" w:color="auto"/>
      </w:divBdr>
    </w:div>
    <w:div w:id="1204102743">
      <w:bodyDiv w:val="1"/>
      <w:marLeft w:val="0"/>
      <w:marRight w:val="0"/>
      <w:marTop w:val="0"/>
      <w:marBottom w:val="0"/>
      <w:divBdr>
        <w:top w:val="none" w:sz="0" w:space="0" w:color="auto"/>
        <w:left w:val="none" w:sz="0" w:space="0" w:color="auto"/>
        <w:bottom w:val="none" w:sz="0" w:space="0" w:color="auto"/>
        <w:right w:val="none" w:sz="0" w:space="0" w:color="auto"/>
      </w:divBdr>
    </w:div>
    <w:div w:id="1205096849">
      <w:bodyDiv w:val="1"/>
      <w:marLeft w:val="0"/>
      <w:marRight w:val="0"/>
      <w:marTop w:val="0"/>
      <w:marBottom w:val="0"/>
      <w:divBdr>
        <w:top w:val="none" w:sz="0" w:space="0" w:color="auto"/>
        <w:left w:val="none" w:sz="0" w:space="0" w:color="auto"/>
        <w:bottom w:val="none" w:sz="0" w:space="0" w:color="auto"/>
        <w:right w:val="none" w:sz="0" w:space="0" w:color="auto"/>
      </w:divBdr>
    </w:div>
    <w:div w:id="1205173410">
      <w:bodyDiv w:val="1"/>
      <w:marLeft w:val="0"/>
      <w:marRight w:val="0"/>
      <w:marTop w:val="0"/>
      <w:marBottom w:val="0"/>
      <w:divBdr>
        <w:top w:val="none" w:sz="0" w:space="0" w:color="auto"/>
        <w:left w:val="none" w:sz="0" w:space="0" w:color="auto"/>
        <w:bottom w:val="none" w:sz="0" w:space="0" w:color="auto"/>
        <w:right w:val="none" w:sz="0" w:space="0" w:color="auto"/>
      </w:divBdr>
    </w:div>
    <w:div w:id="1205482898">
      <w:bodyDiv w:val="1"/>
      <w:marLeft w:val="0"/>
      <w:marRight w:val="0"/>
      <w:marTop w:val="0"/>
      <w:marBottom w:val="0"/>
      <w:divBdr>
        <w:top w:val="none" w:sz="0" w:space="0" w:color="auto"/>
        <w:left w:val="none" w:sz="0" w:space="0" w:color="auto"/>
        <w:bottom w:val="none" w:sz="0" w:space="0" w:color="auto"/>
        <w:right w:val="none" w:sz="0" w:space="0" w:color="auto"/>
      </w:divBdr>
    </w:div>
    <w:div w:id="1205828919">
      <w:bodyDiv w:val="1"/>
      <w:marLeft w:val="0"/>
      <w:marRight w:val="0"/>
      <w:marTop w:val="0"/>
      <w:marBottom w:val="0"/>
      <w:divBdr>
        <w:top w:val="none" w:sz="0" w:space="0" w:color="auto"/>
        <w:left w:val="none" w:sz="0" w:space="0" w:color="auto"/>
        <w:bottom w:val="none" w:sz="0" w:space="0" w:color="auto"/>
        <w:right w:val="none" w:sz="0" w:space="0" w:color="auto"/>
      </w:divBdr>
    </w:div>
    <w:div w:id="1206259186">
      <w:bodyDiv w:val="1"/>
      <w:marLeft w:val="0"/>
      <w:marRight w:val="0"/>
      <w:marTop w:val="0"/>
      <w:marBottom w:val="0"/>
      <w:divBdr>
        <w:top w:val="none" w:sz="0" w:space="0" w:color="auto"/>
        <w:left w:val="none" w:sz="0" w:space="0" w:color="auto"/>
        <w:bottom w:val="none" w:sz="0" w:space="0" w:color="auto"/>
        <w:right w:val="none" w:sz="0" w:space="0" w:color="auto"/>
      </w:divBdr>
    </w:div>
    <w:div w:id="1206330026">
      <w:bodyDiv w:val="1"/>
      <w:marLeft w:val="0"/>
      <w:marRight w:val="0"/>
      <w:marTop w:val="0"/>
      <w:marBottom w:val="0"/>
      <w:divBdr>
        <w:top w:val="none" w:sz="0" w:space="0" w:color="auto"/>
        <w:left w:val="none" w:sz="0" w:space="0" w:color="auto"/>
        <w:bottom w:val="none" w:sz="0" w:space="0" w:color="auto"/>
        <w:right w:val="none" w:sz="0" w:space="0" w:color="auto"/>
      </w:divBdr>
    </w:div>
    <w:div w:id="1207529645">
      <w:bodyDiv w:val="1"/>
      <w:marLeft w:val="0"/>
      <w:marRight w:val="0"/>
      <w:marTop w:val="0"/>
      <w:marBottom w:val="0"/>
      <w:divBdr>
        <w:top w:val="none" w:sz="0" w:space="0" w:color="auto"/>
        <w:left w:val="none" w:sz="0" w:space="0" w:color="auto"/>
        <w:bottom w:val="none" w:sz="0" w:space="0" w:color="auto"/>
        <w:right w:val="none" w:sz="0" w:space="0" w:color="auto"/>
      </w:divBdr>
    </w:div>
    <w:div w:id="1208489425">
      <w:bodyDiv w:val="1"/>
      <w:marLeft w:val="0"/>
      <w:marRight w:val="0"/>
      <w:marTop w:val="0"/>
      <w:marBottom w:val="0"/>
      <w:divBdr>
        <w:top w:val="none" w:sz="0" w:space="0" w:color="auto"/>
        <w:left w:val="none" w:sz="0" w:space="0" w:color="auto"/>
        <w:bottom w:val="none" w:sz="0" w:space="0" w:color="auto"/>
        <w:right w:val="none" w:sz="0" w:space="0" w:color="auto"/>
      </w:divBdr>
    </w:div>
    <w:div w:id="1209296149">
      <w:bodyDiv w:val="1"/>
      <w:marLeft w:val="0"/>
      <w:marRight w:val="0"/>
      <w:marTop w:val="0"/>
      <w:marBottom w:val="0"/>
      <w:divBdr>
        <w:top w:val="none" w:sz="0" w:space="0" w:color="auto"/>
        <w:left w:val="none" w:sz="0" w:space="0" w:color="auto"/>
        <w:bottom w:val="none" w:sz="0" w:space="0" w:color="auto"/>
        <w:right w:val="none" w:sz="0" w:space="0" w:color="auto"/>
      </w:divBdr>
    </w:div>
    <w:div w:id="1209493147">
      <w:bodyDiv w:val="1"/>
      <w:marLeft w:val="0"/>
      <w:marRight w:val="0"/>
      <w:marTop w:val="0"/>
      <w:marBottom w:val="0"/>
      <w:divBdr>
        <w:top w:val="none" w:sz="0" w:space="0" w:color="auto"/>
        <w:left w:val="none" w:sz="0" w:space="0" w:color="auto"/>
        <w:bottom w:val="none" w:sz="0" w:space="0" w:color="auto"/>
        <w:right w:val="none" w:sz="0" w:space="0" w:color="auto"/>
      </w:divBdr>
    </w:div>
    <w:div w:id="1209756507">
      <w:bodyDiv w:val="1"/>
      <w:marLeft w:val="0"/>
      <w:marRight w:val="0"/>
      <w:marTop w:val="0"/>
      <w:marBottom w:val="0"/>
      <w:divBdr>
        <w:top w:val="none" w:sz="0" w:space="0" w:color="auto"/>
        <w:left w:val="none" w:sz="0" w:space="0" w:color="auto"/>
        <w:bottom w:val="none" w:sz="0" w:space="0" w:color="auto"/>
        <w:right w:val="none" w:sz="0" w:space="0" w:color="auto"/>
      </w:divBdr>
    </w:div>
    <w:div w:id="1209991391">
      <w:bodyDiv w:val="1"/>
      <w:marLeft w:val="0"/>
      <w:marRight w:val="0"/>
      <w:marTop w:val="0"/>
      <w:marBottom w:val="0"/>
      <w:divBdr>
        <w:top w:val="none" w:sz="0" w:space="0" w:color="auto"/>
        <w:left w:val="none" w:sz="0" w:space="0" w:color="auto"/>
        <w:bottom w:val="none" w:sz="0" w:space="0" w:color="auto"/>
        <w:right w:val="none" w:sz="0" w:space="0" w:color="auto"/>
      </w:divBdr>
    </w:div>
    <w:div w:id="1210075212">
      <w:bodyDiv w:val="1"/>
      <w:marLeft w:val="0"/>
      <w:marRight w:val="0"/>
      <w:marTop w:val="0"/>
      <w:marBottom w:val="0"/>
      <w:divBdr>
        <w:top w:val="none" w:sz="0" w:space="0" w:color="auto"/>
        <w:left w:val="none" w:sz="0" w:space="0" w:color="auto"/>
        <w:bottom w:val="none" w:sz="0" w:space="0" w:color="auto"/>
        <w:right w:val="none" w:sz="0" w:space="0" w:color="auto"/>
      </w:divBdr>
    </w:div>
    <w:div w:id="1210608029">
      <w:bodyDiv w:val="1"/>
      <w:marLeft w:val="0"/>
      <w:marRight w:val="0"/>
      <w:marTop w:val="0"/>
      <w:marBottom w:val="0"/>
      <w:divBdr>
        <w:top w:val="none" w:sz="0" w:space="0" w:color="auto"/>
        <w:left w:val="none" w:sz="0" w:space="0" w:color="auto"/>
        <w:bottom w:val="none" w:sz="0" w:space="0" w:color="auto"/>
        <w:right w:val="none" w:sz="0" w:space="0" w:color="auto"/>
      </w:divBdr>
    </w:div>
    <w:div w:id="1210728000">
      <w:bodyDiv w:val="1"/>
      <w:marLeft w:val="0"/>
      <w:marRight w:val="0"/>
      <w:marTop w:val="0"/>
      <w:marBottom w:val="0"/>
      <w:divBdr>
        <w:top w:val="none" w:sz="0" w:space="0" w:color="auto"/>
        <w:left w:val="none" w:sz="0" w:space="0" w:color="auto"/>
        <w:bottom w:val="none" w:sz="0" w:space="0" w:color="auto"/>
        <w:right w:val="none" w:sz="0" w:space="0" w:color="auto"/>
      </w:divBdr>
    </w:div>
    <w:div w:id="1210996378">
      <w:bodyDiv w:val="1"/>
      <w:marLeft w:val="0"/>
      <w:marRight w:val="0"/>
      <w:marTop w:val="0"/>
      <w:marBottom w:val="0"/>
      <w:divBdr>
        <w:top w:val="none" w:sz="0" w:space="0" w:color="auto"/>
        <w:left w:val="none" w:sz="0" w:space="0" w:color="auto"/>
        <w:bottom w:val="none" w:sz="0" w:space="0" w:color="auto"/>
        <w:right w:val="none" w:sz="0" w:space="0" w:color="auto"/>
      </w:divBdr>
    </w:div>
    <w:div w:id="1211069628">
      <w:bodyDiv w:val="1"/>
      <w:marLeft w:val="0"/>
      <w:marRight w:val="0"/>
      <w:marTop w:val="0"/>
      <w:marBottom w:val="0"/>
      <w:divBdr>
        <w:top w:val="none" w:sz="0" w:space="0" w:color="auto"/>
        <w:left w:val="none" w:sz="0" w:space="0" w:color="auto"/>
        <w:bottom w:val="none" w:sz="0" w:space="0" w:color="auto"/>
        <w:right w:val="none" w:sz="0" w:space="0" w:color="auto"/>
      </w:divBdr>
    </w:div>
    <w:div w:id="1211190741">
      <w:bodyDiv w:val="1"/>
      <w:marLeft w:val="0"/>
      <w:marRight w:val="0"/>
      <w:marTop w:val="0"/>
      <w:marBottom w:val="0"/>
      <w:divBdr>
        <w:top w:val="none" w:sz="0" w:space="0" w:color="auto"/>
        <w:left w:val="none" w:sz="0" w:space="0" w:color="auto"/>
        <w:bottom w:val="none" w:sz="0" w:space="0" w:color="auto"/>
        <w:right w:val="none" w:sz="0" w:space="0" w:color="auto"/>
      </w:divBdr>
    </w:div>
    <w:div w:id="1211260935">
      <w:bodyDiv w:val="1"/>
      <w:marLeft w:val="0"/>
      <w:marRight w:val="0"/>
      <w:marTop w:val="0"/>
      <w:marBottom w:val="0"/>
      <w:divBdr>
        <w:top w:val="none" w:sz="0" w:space="0" w:color="auto"/>
        <w:left w:val="none" w:sz="0" w:space="0" w:color="auto"/>
        <w:bottom w:val="none" w:sz="0" w:space="0" w:color="auto"/>
        <w:right w:val="none" w:sz="0" w:space="0" w:color="auto"/>
      </w:divBdr>
    </w:div>
    <w:div w:id="1211303343">
      <w:bodyDiv w:val="1"/>
      <w:marLeft w:val="0"/>
      <w:marRight w:val="0"/>
      <w:marTop w:val="0"/>
      <w:marBottom w:val="0"/>
      <w:divBdr>
        <w:top w:val="none" w:sz="0" w:space="0" w:color="auto"/>
        <w:left w:val="none" w:sz="0" w:space="0" w:color="auto"/>
        <w:bottom w:val="none" w:sz="0" w:space="0" w:color="auto"/>
        <w:right w:val="none" w:sz="0" w:space="0" w:color="auto"/>
      </w:divBdr>
    </w:div>
    <w:div w:id="1211309328">
      <w:bodyDiv w:val="1"/>
      <w:marLeft w:val="0"/>
      <w:marRight w:val="0"/>
      <w:marTop w:val="0"/>
      <w:marBottom w:val="0"/>
      <w:divBdr>
        <w:top w:val="none" w:sz="0" w:space="0" w:color="auto"/>
        <w:left w:val="none" w:sz="0" w:space="0" w:color="auto"/>
        <w:bottom w:val="none" w:sz="0" w:space="0" w:color="auto"/>
        <w:right w:val="none" w:sz="0" w:space="0" w:color="auto"/>
      </w:divBdr>
    </w:div>
    <w:div w:id="1211917823">
      <w:bodyDiv w:val="1"/>
      <w:marLeft w:val="0"/>
      <w:marRight w:val="0"/>
      <w:marTop w:val="0"/>
      <w:marBottom w:val="0"/>
      <w:divBdr>
        <w:top w:val="none" w:sz="0" w:space="0" w:color="auto"/>
        <w:left w:val="none" w:sz="0" w:space="0" w:color="auto"/>
        <w:bottom w:val="none" w:sz="0" w:space="0" w:color="auto"/>
        <w:right w:val="none" w:sz="0" w:space="0" w:color="auto"/>
      </w:divBdr>
    </w:div>
    <w:div w:id="1212112608">
      <w:bodyDiv w:val="1"/>
      <w:marLeft w:val="0"/>
      <w:marRight w:val="0"/>
      <w:marTop w:val="0"/>
      <w:marBottom w:val="0"/>
      <w:divBdr>
        <w:top w:val="none" w:sz="0" w:space="0" w:color="auto"/>
        <w:left w:val="none" w:sz="0" w:space="0" w:color="auto"/>
        <w:bottom w:val="none" w:sz="0" w:space="0" w:color="auto"/>
        <w:right w:val="none" w:sz="0" w:space="0" w:color="auto"/>
      </w:divBdr>
    </w:div>
    <w:div w:id="1212155575">
      <w:bodyDiv w:val="1"/>
      <w:marLeft w:val="0"/>
      <w:marRight w:val="0"/>
      <w:marTop w:val="0"/>
      <w:marBottom w:val="0"/>
      <w:divBdr>
        <w:top w:val="none" w:sz="0" w:space="0" w:color="auto"/>
        <w:left w:val="none" w:sz="0" w:space="0" w:color="auto"/>
        <w:bottom w:val="none" w:sz="0" w:space="0" w:color="auto"/>
        <w:right w:val="none" w:sz="0" w:space="0" w:color="auto"/>
      </w:divBdr>
    </w:div>
    <w:div w:id="1212351401">
      <w:bodyDiv w:val="1"/>
      <w:marLeft w:val="0"/>
      <w:marRight w:val="0"/>
      <w:marTop w:val="0"/>
      <w:marBottom w:val="0"/>
      <w:divBdr>
        <w:top w:val="none" w:sz="0" w:space="0" w:color="auto"/>
        <w:left w:val="none" w:sz="0" w:space="0" w:color="auto"/>
        <w:bottom w:val="none" w:sz="0" w:space="0" w:color="auto"/>
        <w:right w:val="none" w:sz="0" w:space="0" w:color="auto"/>
      </w:divBdr>
    </w:div>
    <w:div w:id="1213152598">
      <w:bodyDiv w:val="1"/>
      <w:marLeft w:val="0"/>
      <w:marRight w:val="0"/>
      <w:marTop w:val="0"/>
      <w:marBottom w:val="0"/>
      <w:divBdr>
        <w:top w:val="none" w:sz="0" w:space="0" w:color="auto"/>
        <w:left w:val="none" w:sz="0" w:space="0" w:color="auto"/>
        <w:bottom w:val="none" w:sz="0" w:space="0" w:color="auto"/>
        <w:right w:val="none" w:sz="0" w:space="0" w:color="auto"/>
      </w:divBdr>
    </w:div>
    <w:div w:id="1213344811">
      <w:bodyDiv w:val="1"/>
      <w:marLeft w:val="0"/>
      <w:marRight w:val="0"/>
      <w:marTop w:val="0"/>
      <w:marBottom w:val="0"/>
      <w:divBdr>
        <w:top w:val="none" w:sz="0" w:space="0" w:color="auto"/>
        <w:left w:val="none" w:sz="0" w:space="0" w:color="auto"/>
        <w:bottom w:val="none" w:sz="0" w:space="0" w:color="auto"/>
        <w:right w:val="none" w:sz="0" w:space="0" w:color="auto"/>
      </w:divBdr>
    </w:div>
    <w:div w:id="1213536746">
      <w:bodyDiv w:val="1"/>
      <w:marLeft w:val="0"/>
      <w:marRight w:val="0"/>
      <w:marTop w:val="0"/>
      <w:marBottom w:val="0"/>
      <w:divBdr>
        <w:top w:val="none" w:sz="0" w:space="0" w:color="auto"/>
        <w:left w:val="none" w:sz="0" w:space="0" w:color="auto"/>
        <w:bottom w:val="none" w:sz="0" w:space="0" w:color="auto"/>
        <w:right w:val="none" w:sz="0" w:space="0" w:color="auto"/>
      </w:divBdr>
    </w:div>
    <w:div w:id="1213619128">
      <w:bodyDiv w:val="1"/>
      <w:marLeft w:val="0"/>
      <w:marRight w:val="0"/>
      <w:marTop w:val="0"/>
      <w:marBottom w:val="0"/>
      <w:divBdr>
        <w:top w:val="none" w:sz="0" w:space="0" w:color="auto"/>
        <w:left w:val="none" w:sz="0" w:space="0" w:color="auto"/>
        <w:bottom w:val="none" w:sz="0" w:space="0" w:color="auto"/>
        <w:right w:val="none" w:sz="0" w:space="0" w:color="auto"/>
      </w:divBdr>
    </w:div>
    <w:div w:id="1213927824">
      <w:bodyDiv w:val="1"/>
      <w:marLeft w:val="0"/>
      <w:marRight w:val="0"/>
      <w:marTop w:val="0"/>
      <w:marBottom w:val="0"/>
      <w:divBdr>
        <w:top w:val="none" w:sz="0" w:space="0" w:color="auto"/>
        <w:left w:val="none" w:sz="0" w:space="0" w:color="auto"/>
        <w:bottom w:val="none" w:sz="0" w:space="0" w:color="auto"/>
        <w:right w:val="none" w:sz="0" w:space="0" w:color="auto"/>
      </w:divBdr>
    </w:div>
    <w:div w:id="1214386494">
      <w:bodyDiv w:val="1"/>
      <w:marLeft w:val="0"/>
      <w:marRight w:val="0"/>
      <w:marTop w:val="0"/>
      <w:marBottom w:val="0"/>
      <w:divBdr>
        <w:top w:val="none" w:sz="0" w:space="0" w:color="auto"/>
        <w:left w:val="none" w:sz="0" w:space="0" w:color="auto"/>
        <w:bottom w:val="none" w:sz="0" w:space="0" w:color="auto"/>
        <w:right w:val="none" w:sz="0" w:space="0" w:color="auto"/>
      </w:divBdr>
    </w:div>
    <w:div w:id="1214463307">
      <w:bodyDiv w:val="1"/>
      <w:marLeft w:val="0"/>
      <w:marRight w:val="0"/>
      <w:marTop w:val="0"/>
      <w:marBottom w:val="0"/>
      <w:divBdr>
        <w:top w:val="none" w:sz="0" w:space="0" w:color="auto"/>
        <w:left w:val="none" w:sz="0" w:space="0" w:color="auto"/>
        <w:bottom w:val="none" w:sz="0" w:space="0" w:color="auto"/>
        <w:right w:val="none" w:sz="0" w:space="0" w:color="auto"/>
      </w:divBdr>
    </w:div>
    <w:div w:id="1214659864">
      <w:bodyDiv w:val="1"/>
      <w:marLeft w:val="0"/>
      <w:marRight w:val="0"/>
      <w:marTop w:val="0"/>
      <w:marBottom w:val="0"/>
      <w:divBdr>
        <w:top w:val="none" w:sz="0" w:space="0" w:color="auto"/>
        <w:left w:val="none" w:sz="0" w:space="0" w:color="auto"/>
        <w:bottom w:val="none" w:sz="0" w:space="0" w:color="auto"/>
        <w:right w:val="none" w:sz="0" w:space="0" w:color="auto"/>
      </w:divBdr>
    </w:div>
    <w:div w:id="1214804500">
      <w:bodyDiv w:val="1"/>
      <w:marLeft w:val="0"/>
      <w:marRight w:val="0"/>
      <w:marTop w:val="0"/>
      <w:marBottom w:val="0"/>
      <w:divBdr>
        <w:top w:val="none" w:sz="0" w:space="0" w:color="auto"/>
        <w:left w:val="none" w:sz="0" w:space="0" w:color="auto"/>
        <w:bottom w:val="none" w:sz="0" w:space="0" w:color="auto"/>
        <w:right w:val="none" w:sz="0" w:space="0" w:color="auto"/>
      </w:divBdr>
    </w:div>
    <w:div w:id="1214852821">
      <w:bodyDiv w:val="1"/>
      <w:marLeft w:val="0"/>
      <w:marRight w:val="0"/>
      <w:marTop w:val="0"/>
      <w:marBottom w:val="0"/>
      <w:divBdr>
        <w:top w:val="none" w:sz="0" w:space="0" w:color="auto"/>
        <w:left w:val="none" w:sz="0" w:space="0" w:color="auto"/>
        <w:bottom w:val="none" w:sz="0" w:space="0" w:color="auto"/>
        <w:right w:val="none" w:sz="0" w:space="0" w:color="auto"/>
      </w:divBdr>
    </w:div>
    <w:div w:id="1215195349">
      <w:bodyDiv w:val="1"/>
      <w:marLeft w:val="0"/>
      <w:marRight w:val="0"/>
      <w:marTop w:val="0"/>
      <w:marBottom w:val="0"/>
      <w:divBdr>
        <w:top w:val="none" w:sz="0" w:space="0" w:color="auto"/>
        <w:left w:val="none" w:sz="0" w:space="0" w:color="auto"/>
        <w:bottom w:val="none" w:sz="0" w:space="0" w:color="auto"/>
        <w:right w:val="none" w:sz="0" w:space="0" w:color="auto"/>
      </w:divBdr>
    </w:div>
    <w:div w:id="1215459796">
      <w:bodyDiv w:val="1"/>
      <w:marLeft w:val="0"/>
      <w:marRight w:val="0"/>
      <w:marTop w:val="0"/>
      <w:marBottom w:val="0"/>
      <w:divBdr>
        <w:top w:val="none" w:sz="0" w:space="0" w:color="auto"/>
        <w:left w:val="none" w:sz="0" w:space="0" w:color="auto"/>
        <w:bottom w:val="none" w:sz="0" w:space="0" w:color="auto"/>
        <w:right w:val="none" w:sz="0" w:space="0" w:color="auto"/>
      </w:divBdr>
    </w:div>
    <w:div w:id="1215584458">
      <w:bodyDiv w:val="1"/>
      <w:marLeft w:val="0"/>
      <w:marRight w:val="0"/>
      <w:marTop w:val="0"/>
      <w:marBottom w:val="0"/>
      <w:divBdr>
        <w:top w:val="none" w:sz="0" w:space="0" w:color="auto"/>
        <w:left w:val="none" w:sz="0" w:space="0" w:color="auto"/>
        <w:bottom w:val="none" w:sz="0" w:space="0" w:color="auto"/>
        <w:right w:val="none" w:sz="0" w:space="0" w:color="auto"/>
      </w:divBdr>
    </w:div>
    <w:div w:id="1215653708">
      <w:bodyDiv w:val="1"/>
      <w:marLeft w:val="0"/>
      <w:marRight w:val="0"/>
      <w:marTop w:val="0"/>
      <w:marBottom w:val="0"/>
      <w:divBdr>
        <w:top w:val="none" w:sz="0" w:space="0" w:color="auto"/>
        <w:left w:val="none" w:sz="0" w:space="0" w:color="auto"/>
        <w:bottom w:val="none" w:sz="0" w:space="0" w:color="auto"/>
        <w:right w:val="none" w:sz="0" w:space="0" w:color="auto"/>
      </w:divBdr>
    </w:div>
    <w:div w:id="1215855054">
      <w:bodyDiv w:val="1"/>
      <w:marLeft w:val="0"/>
      <w:marRight w:val="0"/>
      <w:marTop w:val="0"/>
      <w:marBottom w:val="0"/>
      <w:divBdr>
        <w:top w:val="none" w:sz="0" w:space="0" w:color="auto"/>
        <w:left w:val="none" w:sz="0" w:space="0" w:color="auto"/>
        <w:bottom w:val="none" w:sz="0" w:space="0" w:color="auto"/>
        <w:right w:val="none" w:sz="0" w:space="0" w:color="auto"/>
      </w:divBdr>
    </w:div>
    <w:div w:id="1215921810">
      <w:bodyDiv w:val="1"/>
      <w:marLeft w:val="0"/>
      <w:marRight w:val="0"/>
      <w:marTop w:val="0"/>
      <w:marBottom w:val="0"/>
      <w:divBdr>
        <w:top w:val="none" w:sz="0" w:space="0" w:color="auto"/>
        <w:left w:val="none" w:sz="0" w:space="0" w:color="auto"/>
        <w:bottom w:val="none" w:sz="0" w:space="0" w:color="auto"/>
        <w:right w:val="none" w:sz="0" w:space="0" w:color="auto"/>
      </w:divBdr>
    </w:div>
    <w:div w:id="1215965097">
      <w:bodyDiv w:val="1"/>
      <w:marLeft w:val="0"/>
      <w:marRight w:val="0"/>
      <w:marTop w:val="0"/>
      <w:marBottom w:val="0"/>
      <w:divBdr>
        <w:top w:val="none" w:sz="0" w:space="0" w:color="auto"/>
        <w:left w:val="none" w:sz="0" w:space="0" w:color="auto"/>
        <w:bottom w:val="none" w:sz="0" w:space="0" w:color="auto"/>
        <w:right w:val="none" w:sz="0" w:space="0" w:color="auto"/>
      </w:divBdr>
    </w:div>
    <w:div w:id="1215970736">
      <w:bodyDiv w:val="1"/>
      <w:marLeft w:val="0"/>
      <w:marRight w:val="0"/>
      <w:marTop w:val="0"/>
      <w:marBottom w:val="0"/>
      <w:divBdr>
        <w:top w:val="none" w:sz="0" w:space="0" w:color="auto"/>
        <w:left w:val="none" w:sz="0" w:space="0" w:color="auto"/>
        <w:bottom w:val="none" w:sz="0" w:space="0" w:color="auto"/>
        <w:right w:val="none" w:sz="0" w:space="0" w:color="auto"/>
      </w:divBdr>
    </w:div>
    <w:div w:id="1216240686">
      <w:bodyDiv w:val="1"/>
      <w:marLeft w:val="0"/>
      <w:marRight w:val="0"/>
      <w:marTop w:val="0"/>
      <w:marBottom w:val="0"/>
      <w:divBdr>
        <w:top w:val="none" w:sz="0" w:space="0" w:color="auto"/>
        <w:left w:val="none" w:sz="0" w:space="0" w:color="auto"/>
        <w:bottom w:val="none" w:sz="0" w:space="0" w:color="auto"/>
        <w:right w:val="none" w:sz="0" w:space="0" w:color="auto"/>
      </w:divBdr>
    </w:div>
    <w:div w:id="1216241003">
      <w:bodyDiv w:val="1"/>
      <w:marLeft w:val="0"/>
      <w:marRight w:val="0"/>
      <w:marTop w:val="0"/>
      <w:marBottom w:val="0"/>
      <w:divBdr>
        <w:top w:val="none" w:sz="0" w:space="0" w:color="auto"/>
        <w:left w:val="none" w:sz="0" w:space="0" w:color="auto"/>
        <w:bottom w:val="none" w:sz="0" w:space="0" w:color="auto"/>
        <w:right w:val="none" w:sz="0" w:space="0" w:color="auto"/>
      </w:divBdr>
    </w:div>
    <w:div w:id="1217162314">
      <w:bodyDiv w:val="1"/>
      <w:marLeft w:val="0"/>
      <w:marRight w:val="0"/>
      <w:marTop w:val="0"/>
      <w:marBottom w:val="0"/>
      <w:divBdr>
        <w:top w:val="none" w:sz="0" w:space="0" w:color="auto"/>
        <w:left w:val="none" w:sz="0" w:space="0" w:color="auto"/>
        <w:bottom w:val="none" w:sz="0" w:space="0" w:color="auto"/>
        <w:right w:val="none" w:sz="0" w:space="0" w:color="auto"/>
      </w:divBdr>
    </w:div>
    <w:div w:id="1217593869">
      <w:bodyDiv w:val="1"/>
      <w:marLeft w:val="0"/>
      <w:marRight w:val="0"/>
      <w:marTop w:val="0"/>
      <w:marBottom w:val="0"/>
      <w:divBdr>
        <w:top w:val="none" w:sz="0" w:space="0" w:color="auto"/>
        <w:left w:val="none" w:sz="0" w:space="0" w:color="auto"/>
        <w:bottom w:val="none" w:sz="0" w:space="0" w:color="auto"/>
        <w:right w:val="none" w:sz="0" w:space="0" w:color="auto"/>
      </w:divBdr>
    </w:div>
    <w:div w:id="1217737255">
      <w:bodyDiv w:val="1"/>
      <w:marLeft w:val="0"/>
      <w:marRight w:val="0"/>
      <w:marTop w:val="0"/>
      <w:marBottom w:val="0"/>
      <w:divBdr>
        <w:top w:val="none" w:sz="0" w:space="0" w:color="auto"/>
        <w:left w:val="none" w:sz="0" w:space="0" w:color="auto"/>
        <w:bottom w:val="none" w:sz="0" w:space="0" w:color="auto"/>
        <w:right w:val="none" w:sz="0" w:space="0" w:color="auto"/>
      </w:divBdr>
    </w:div>
    <w:div w:id="1217744704">
      <w:bodyDiv w:val="1"/>
      <w:marLeft w:val="0"/>
      <w:marRight w:val="0"/>
      <w:marTop w:val="0"/>
      <w:marBottom w:val="0"/>
      <w:divBdr>
        <w:top w:val="none" w:sz="0" w:space="0" w:color="auto"/>
        <w:left w:val="none" w:sz="0" w:space="0" w:color="auto"/>
        <w:bottom w:val="none" w:sz="0" w:space="0" w:color="auto"/>
        <w:right w:val="none" w:sz="0" w:space="0" w:color="auto"/>
      </w:divBdr>
    </w:div>
    <w:div w:id="1218009026">
      <w:bodyDiv w:val="1"/>
      <w:marLeft w:val="0"/>
      <w:marRight w:val="0"/>
      <w:marTop w:val="0"/>
      <w:marBottom w:val="0"/>
      <w:divBdr>
        <w:top w:val="none" w:sz="0" w:space="0" w:color="auto"/>
        <w:left w:val="none" w:sz="0" w:space="0" w:color="auto"/>
        <w:bottom w:val="none" w:sz="0" w:space="0" w:color="auto"/>
        <w:right w:val="none" w:sz="0" w:space="0" w:color="auto"/>
      </w:divBdr>
    </w:div>
    <w:div w:id="1218200277">
      <w:bodyDiv w:val="1"/>
      <w:marLeft w:val="0"/>
      <w:marRight w:val="0"/>
      <w:marTop w:val="0"/>
      <w:marBottom w:val="0"/>
      <w:divBdr>
        <w:top w:val="none" w:sz="0" w:space="0" w:color="auto"/>
        <w:left w:val="none" w:sz="0" w:space="0" w:color="auto"/>
        <w:bottom w:val="none" w:sz="0" w:space="0" w:color="auto"/>
        <w:right w:val="none" w:sz="0" w:space="0" w:color="auto"/>
      </w:divBdr>
    </w:div>
    <w:div w:id="1218276506">
      <w:bodyDiv w:val="1"/>
      <w:marLeft w:val="0"/>
      <w:marRight w:val="0"/>
      <w:marTop w:val="0"/>
      <w:marBottom w:val="0"/>
      <w:divBdr>
        <w:top w:val="none" w:sz="0" w:space="0" w:color="auto"/>
        <w:left w:val="none" w:sz="0" w:space="0" w:color="auto"/>
        <w:bottom w:val="none" w:sz="0" w:space="0" w:color="auto"/>
        <w:right w:val="none" w:sz="0" w:space="0" w:color="auto"/>
      </w:divBdr>
    </w:div>
    <w:div w:id="1218513487">
      <w:bodyDiv w:val="1"/>
      <w:marLeft w:val="0"/>
      <w:marRight w:val="0"/>
      <w:marTop w:val="0"/>
      <w:marBottom w:val="0"/>
      <w:divBdr>
        <w:top w:val="none" w:sz="0" w:space="0" w:color="auto"/>
        <w:left w:val="none" w:sz="0" w:space="0" w:color="auto"/>
        <w:bottom w:val="none" w:sz="0" w:space="0" w:color="auto"/>
        <w:right w:val="none" w:sz="0" w:space="0" w:color="auto"/>
      </w:divBdr>
    </w:div>
    <w:div w:id="1219047202">
      <w:bodyDiv w:val="1"/>
      <w:marLeft w:val="0"/>
      <w:marRight w:val="0"/>
      <w:marTop w:val="0"/>
      <w:marBottom w:val="0"/>
      <w:divBdr>
        <w:top w:val="none" w:sz="0" w:space="0" w:color="auto"/>
        <w:left w:val="none" w:sz="0" w:space="0" w:color="auto"/>
        <w:bottom w:val="none" w:sz="0" w:space="0" w:color="auto"/>
        <w:right w:val="none" w:sz="0" w:space="0" w:color="auto"/>
      </w:divBdr>
    </w:div>
    <w:div w:id="1219316827">
      <w:bodyDiv w:val="1"/>
      <w:marLeft w:val="0"/>
      <w:marRight w:val="0"/>
      <w:marTop w:val="0"/>
      <w:marBottom w:val="0"/>
      <w:divBdr>
        <w:top w:val="none" w:sz="0" w:space="0" w:color="auto"/>
        <w:left w:val="none" w:sz="0" w:space="0" w:color="auto"/>
        <w:bottom w:val="none" w:sz="0" w:space="0" w:color="auto"/>
        <w:right w:val="none" w:sz="0" w:space="0" w:color="auto"/>
      </w:divBdr>
    </w:div>
    <w:div w:id="1219440139">
      <w:bodyDiv w:val="1"/>
      <w:marLeft w:val="0"/>
      <w:marRight w:val="0"/>
      <w:marTop w:val="0"/>
      <w:marBottom w:val="0"/>
      <w:divBdr>
        <w:top w:val="none" w:sz="0" w:space="0" w:color="auto"/>
        <w:left w:val="none" w:sz="0" w:space="0" w:color="auto"/>
        <w:bottom w:val="none" w:sz="0" w:space="0" w:color="auto"/>
        <w:right w:val="none" w:sz="0" w:space="0" w:color="auto"/>
      </w:divBdr>
    </w:div>
    <w:div w:id="1220244352">
      <w:bodyDiv w:val="1"/>
      <w:marLeft w:val="0"/>
      <w:marRight w:val="0"/>
      <w:marTop w:val="0"/>
      <w:marBottom w:val="0"/>
      <w:divBdr>
        <w:top w:val="none" w:sz="0" w:space="0" w:color="auto"/>
        <w:left w:val="none" w:sz="0" w:space="0" w:color="auto"/>
        <w:bottom w:val="none" w:sz="0" w:space="0" w:color="auto"/>
        <w:right w:val="none" w:sz="0" w:space="0" w:color="auto"/>
      </w:divBdr>
    </w:div>
    <w:div w:id="1220283307">
      <w:bodyDiv w:val="1"/>
      <w:marLeft w:val="0"/>
      <w:marRight w:val="0"/>
      <w:marTop w:val="0"/>
      <w:marBottom w:val="0"/>
      <w:divBdr>
        <w:top w:val="none" w:sz="0" w:space="0" w:color="auto"/>
        <w:left w:val="none" w:sz="0" w:space="0" w:color="auto"/>
        <w:bottom w:val="none" w:sz="0" w:space="0" w:color="auto"/>
        <w:right w:val="none" w:sz="0" w:space="0" w:color="auto"/>
      </w:divBdr>
    </w:div>
    <w:div w:id="1220360766">
      <w:bodyDiv w:val="1"/>
      <w:marLeft w:val="0"/>
      <w:marRight w:val="0"/>
      <w:marTop w:val="0"/>
      <w:marBottom w:val="0"/>
      <w:divBdr>
        <w:top w:val="none" w:sz="0" w:space="0" w:color="auto"/>
        <w:left w:val="none" w:sz="0" w:space="0" w:color="auto"/>
        <w:bottom w:val="none" w:sz="0" w:space="0" w:color="auto"/>
        <w:right w:val="none" w:sz="0" w:space="0" w:color="auto"/>
      </w:divBdr>
    </w:div>
    <w:div w:id="1221213697">
      <w:bodyDiv w:val="1"/>
      <w:marLeft w:val="0"/>
      <w:marRight w:val="0"/>
      <w:marTop w:val="0"/>
      <w:marBottom w:val="0"/>
      <w:divBdr>
        <w:top w:val="none" w:sz="0" w:space="0" w:color="auto"/>
        <w:left w:val="none" w:sz="0" w:space="0" w:color="auto"/>
        <w:bottom w:val="none" w:sz="0" w:space="0" w:color="auto"/>
        <w:right w:val="none" w:sz="0" w:space="0" w:color="auto"/>
      </w:divBdr>
    </w:div>
    <w:div w:id="1221819446">
      <w:bodyDiv w:val="1"/>
      <w:marLeft w:val="0"/>
      <w:marRight w:val="0"/>
      <w:marTop w:val="0"/>
      <w:marBottom w:val="0"/>
      <w:divBdr>
        <w:top w:val="none" w:sz="0" w:space="0" w:color="auto"/>
        <w:left w:val="none" w:sz="0" w:space="0" w:color="auto"/>
        <w:bottom w:val="none" w:sz="0" w:space="0" w:color="auto"/>
        <w:right w:val="none" w:sz="0" w:space="0" w:color="auto"/>
      </w:divBdr>
    </w:div>
    <w:div w:id="1222212868">
      <w:bodyDiv w:val="1"/>
      <w:marLeft w:val="0"/>
      <w:marRight w:val="0"/>
      <w:marTop w:val="0"/>
      <w:marBottom w:val="0"/>
      <w:divBdr>
        <w:top w:val="none" w:sz="0" w:space="0" w:color="auto"/>
        <w:left w:val="none" w:sz="0" w:space="0" w:color="auto"/>
        <w:bottom w:val="none" w:sz="0" w:space="0" w:color="auto"/>
        <w:right w:val="none" w:sz="0" w:space="0" w:color="auto"/>
      </w:divBdr>
    </w:div>
    <w:div w:id="1222248594">
      <w:bodyDiv w:val="1"/>
      <w:marLeft w:val="0"/>
      <w:marRight w:val="0"/>
      <w:marTop w:val="0"/>
      <w:marBottom w:val="0"/>
      <w:divBdr>
        <w:top w:val="none" w:sz="0" w:space="0" w:color="auto"/>
        <w:left w:val="none" w:sz="0" w:space="0" w:color="auto"/>
        <w:bottom w:val="none" w:sz="0" w:space="0" w:color="auto"/>
        <w:right w:val="none" w:sz="0" w:space="0" w:color="auto"/>
      </w:divBdr>
    </w:div>
    <w:div w:id="1223105432">
      <w:bodyDiv w:val="1"/>
      <w:marLeft w:val="0"/>
      <w:marRight w:val="0"/>
      <w:marTop w:val="0"/>
      <w:marBottom w:val="0"/>
      <w:divBdr>
        <w:top w:val="none" w:sz="0" w:space="0" w:color="auto"/>
        <w:left w:val="none" w:sz="0" w:space="0" w:color="auto"/>
        <w:bottom w:val="none" w:sz="0" w:space="0" w:color="auto"/>
        <w:right w:val="none" w:sz="0" w:space="0" w:color="auto"/>
      </w:divBdr>
    </w:div>
    <w:div w:id="1224220783">
      <w:bodyDiv w:val="1"/>
      <w:marLeft w:val="0"/>
      <w:marRight w:val="0"/>
      <w:marTop w:val="0"/>
      <w:marBottom w:val="0"/>
      <w:divBdr>
        <w:top w:val="none" w:sz="0" w:space="0" w:color="auto"/>
        <w:left w:val="none" w:sz="0" w:space="0" w:color="auto"/>
        <w:bottom w:val="none" w:sz="0" w:space="0" w:color="auto"/>
        <w:right w:val="none" w:sz="0" w:space="0" w:color="auto"/>
      </w:divBdr>
    </w:div>
    <w:div w:id="1224367759">
      <w:bodyDiv w:val="1"/>
      <w:marLeft w:val="0"/>
      <w:marRight w:val="0"/>
      <w:marTop w:val="0"/>
      <w:marBottom w:val="0"/>
      <w:divBdr>
        <w:top w:val="none" w:sz="0" w:space="0" w:color="auto"/>
        <w:left w:val="none" w:sz="0" w:space="0" w:color="auto"/>
        <w:bottom w:val="none" w:sz="0" w:space="0" w:color="auto"/>
        <w:right w:val="none" w:sz="0" w:space="0" w:color="auto"/>
      </w:divBdr>
    </w:div>
    <w:div w:id="1224415240">
      <w:bodyDiv w:val="1"/>
      <w:marLeft w:val="0"/>
      <w:marRight w:val="0"/>
      <w:marTop w:val="0"/>
      <w:marBottom w:val="0"/>
      <w:divBdr>
        <w:top w:val="none" w:sz="0" w:space="0" w:color="auto"/>
        <w:left w:val="none" w:sz="0" w:space="0" w:color="auto"/>
        <w:bottom w:val="none" w:sz="0" w:space="0" w:color="auto"/>
        <w:right w:val="none" w:sz="0" w:space="0" w:color="auto"/>
      </w:divBdr>
    </w:div>
    <w:div w:id="1224608298">
      <w:bodyDiv w:val="1"/>
      <w:marLeft w:val="0"/>
      <w:marRight w:val="0"/>
      <w:marTop w:val="0"/>
      <w:marBottom w:val="0"/>
      <w:divBdr>
        <w:top w:val="none" w:sz="0" w:space="0" w:color="auto"/>
        <w:left w:val="none" w:sz="0" w:space="0" w:color="auto"/>
        <w:bottom w:val="none" w:sz="0" w:space="0" w:color="auto"/>
        <w:right w:val="none" w:sz="0" w:space="0" w:color="auto"/>
      </w:divBdr>
    </w:div>
    <w:div w:id="1224952913">
      <w:bodyDiv w:val="1"/>
      <w:marLeft w:val="0"/>
      <w:marRight w:val="0"/>
      <w:marTop w:val="0"/>
      <w:marBottom w:val="0"/>
      <w:divBdr>
        <w:top w:val="none" w:sz="0" w:space="0" w:color="auto"/>
        <w:left w:val="none" w:sz="0" w:space="0" w:color="auto"/>
        <w:bottom w:val="none" w:sz="0" w:space="0" w:color="auto"/>
        <w:right w:val="none" w:sz="0" w:space="0" w:color="auto"/>
      </w:divBdr>
    </w:div>
    <w:div w:id="1225021639">
      <w:bodyDiv w:val="1"/>
      <w:marLeft w:val="0"/>
      <w:marRight w:val="0"/>
      <w:marTop w:val="0"/>
      <w:marBottom w:val="0"/>
      <w:divBdr>
        <w:top w:val="none" w:sz="0" w:space="0" w:color="auto"/>
        <w:left w:val="none" w:sz="0" w:space="0" w:color="auto"/>
        <w:bottom w:val="none" w:sz="0" w:space="0" w:color="auto"/>
        <w:right w:val="none" w:sz="0" w:space="0" w:color="auto"/>
      </w:divBdr>
    </w:div>
    <w:div w:id="1225021784">
      <w:bodyDiv w:val="1"/>
      <w:marLeft w:val="0"/>
      <w:marRight w:val="0"/>
      <w:marTop w:val="0"/>
      <w:marBottom w:val="0"/>
      <w:divBdr>
        <w:top w:val="none" w:sz="0" w:space="0" w:color="auto"/>
        <w:left w:val="none" w:sz="0" w:space="0" w:color="auto"/>
        <w:bottom w:val="none" w:sz="0" w:space="0" w:color="auto"/>
        <w:right w:val="none" w:sz="0" w:space="0" w:color="auto"/>
      </w:divBdr>
    </w:div>
    <w:div w:id="1225145966">
      <w:bodyDiv w:val="1"/>
      <w:marLeft w:val="0"/>
      <w:marRight w:val="0"/>
      <w:marTop w:val="0"/>
      <w:marBottom w:val="0"/>
      <w:divBdr>
        <w:top w:val="none" w:sz="0" w:space="0" w:color="auto"/>
        <w:left w:val="none" w:sz="0" w:space="0" w:color="auto"/>
        <w:bottom w:val="none" w:sz="0" w:space="0" w:color="auto"/>
        <w:right w:val="none" w:sz="0" w:space="0" w:color="auto"/>
      </w:divBdr>
    </w:div>
    <w:div w:id="1225222256">
      <w:bodyDiv w:val="1"/>
      <w:marLeft w:val="0"/>
      <w:marRight w:val="0"/>
      <w:marTop w:val="0"/>
      <w:marBottom w:val="0"/>
      <w:divBdr>
        <w:top w:val="none" w:sz="0" w:space="0" w:color="auto"/>
        <w:left w:val="none" w:sz="0" w:space="0" w:color="auto"/>
        <w:bottom w:val="none" w:sz="0" w:space="0" w:color="auto"/>
        <w:right w:val="none" w:sz="0" w:space="0" w:color="auto"/>
      </w:divBdr>
    </w:div>
    <w:div w:id="1226720452">
      <w:bodyDiv w:val="1"/>
      <w:marLeft w:val="0"/>
      <w:marRight w:val="0"/>
      <w:marTop w:val="0"/>
      <w:marBottom w:val="0"/>
      <w:divBdr>
        <w:top w:val="none" w:sz="0" w:space="0" w:color="auto"/>
        <w:left w:val="none" w:sz="0" w:space="0" w:color="auto"/>
        <w:bottom w:val="none" w:sz="0" w:space="0" w:color="auto"/>
        <w:right w:val="none" w:sz="0" w:space="0" w:color="auto"/>
      </w:divBdr>
    </w:div>
    <w:div w:id="1226911148">
      <w:bodyDiv w:val="1"/>
      <w:marLeft w:val="0"/>
      <w:marRight w:val="0"/>
      <w:marTop w:val="0"/>
      <w:marBottom w:val="0"/>
      <w:divBdr>
        <w:top w:val="none" w:sz="0" w:space="0" w:color="auto"/>
        <w:left w:val="none" w:sz="0" w:space="0" w:color="auto"/>
        <w:bottom w:val="none" w:sz="0" w:space="0" w:color="auto"/>
        <w:right w:val="none" w:sz="0" w:space="0" w:color="auto"/>
      </w:divBdr>
    </w:div>
    <w:div w:id="1226991879">
      <w:bodyDiv w:val="1"/>
      <w:marLeft w:val="0"/>
      <w:marRight w:val="0"/>
      <w:marTop w:val="0"/>
      <w:marBottom w:val="0"/>
      <w:divBdr>
        <w:top w:val="none" w:sz="0" w:space="0" w:color="auto"/>
        <w:left w:val="none" w:sz="0" w:space="0" w:color="auto"/>
        <w:bottom w:val="none" w:sz="0" w:space="0" w:color="auto"/>
        <w:right w:val="none" w:sz="0" w:space="0" w:color="auto"/>
      </w:divBdr>
    </w:div>
    <w:div w:id="1227299821">
      <w:bodyDiv w:val="1"/>
      <w:marLeft w:val="0"/>
      <w:marRight w:val="0"/>
      <w:marTop w:val="0"/>
      <w:marBottom w:val="0"/>
      <w:divBdr>
        <w:top w:val="none" w:sz="0" w:space="0" w:color="auto"/>
        <w:left w:val="none" w:sz="0" w:space="0" w:color="auto"/>
        <w:bottom w:val="none" w:sz="0" w:space="0" w:color="auto"/>
        <w:right w:val="none" w:sz="0" w:space="0" w:color="auto"/>
      </w:divBdr>
    </w:div>
    <w:div w:id="1227691889">
      <w:bodyDiv w:val="1"/>
      <w:marLeft w:val="0"/>
      <w:marRight w:val="0"/>
      <w:marTop w:val="0"/>
      <w:marBottom w:val="0"/>
      <w:divBdr>
        <w:top w:val="none" w:sz="0" w:space="0" w:color="auto"/>
        <w:left w:val="none" w:sz="0" w:space="0" w:color="auto"/>
        <w:bottom w:val="none" w:sz="0" w:space="0" w:color="auto"/>
        <w:right w:val="none" w:sz="0" w:space="0" w:color="auto"/>
      </w:divBdr>
    </w:div>
    <w:div w:id="1228802379">
      <w:bodyDiv w:val="1"/>
      <w:marLeft w:val="0"/>
      <w:marRight w:val="0"/>
      <w:marTop w:val="0"/>
      <w:marBottom w:val="0"/>
      <w:divBdr>
        <w:top w:val="none" w:sz="0" w:space="0" w:color="auto"/>
        <w:left w:val="none" w:sz="0" w:space="0" w:color="auto"/>
        <w:bottom w:val="none" w:sz="0" w:space="0" w:color="auto"/>
        <w:right w:val="none" w:sz="0" w:space="0" w:color="auto"/>
      </w:divBdr>
    </w:div>
    <w:div w:id="1229612005">
      <w:bodyDiv w:val="1"/>
      <w:marLeft w:val="0"/>
      <w:marRight w:val="0"/>
      <w:marTop w:val="0"/>
      <w:marBottom w:val="0"/>
      <w:divBdr>
        <w:top w:val="none" w:sz="0" w:space="0" w:color="auto"/>
        <w:left w:val="none" w:sz="0" w:space="0" w:color="auto"/>
        <w:bottom w:val="none" w:sz="0" w:space="0" w:color="auto"/>
        <w:right w:val="none" w:sz="0" w:space="0" w:color="auto"/>
      </w:divBdr>
    </w:div>
    <w:div w:id="1230187511">
      <w:bodyDiv w:val="1"/>
      <w:marLeft w:val="0"/>
      <w:marRight w:val="0"/>
      <w:marTop w:val="0"/>
      <w:marBottom w:val="0"/>
      <w:divBdr>
        <w:top w:val="none" w:sz="0" w:space="0" w:color="auto"/>
        <w:left w:val="none" w:sz="0" w:space="0" w:color="auto"/>
        <w:bottom w:val="none" w:sz="0" w:space="0" w:color="auto"/>
        <w:right w:val="none" w:sz="0" w:space="0" w:color="auto"/>
      </w:divBdr>
    </w:div>
    <w:div w:id="1230268506">
      <w:bodyDiv w:val="1"/>
      <w:marLeft w:val="0"/>
      <w:marRight w:val="0"/>
      <w:marTop w:val="0"/>
      <w:marBottom w:val="0"/>
      <w:divBdr>
        <w:top w:val="none" w:sz="0" w:space="0" w:color="auto"/>
        <w:left w:val="none" w:sz="0" w:space="0" w:color="auto"/>
        <w:bottom w:val="none" w:sz="0" w:space="0" w:color="auto"/>
        <w:right w:val="none" w:sz="0" w:space="0" w:color="auto"/>
      </w:divBdr>
    </w:div>
    <w:div w:id="1230388042">
      <w:bodyDiv w:val="1"/>
      <w:marLeft w:val="0"/>
      <w:marRight w:val="0"/>
      <w:marTop w:val="0"/>
      <w:marBottom w:val="0"/>
      <w:divBdr>
        <w:top w:val="none" w:sz="0" w:space="0" w:color="auto"/>
        <w:left w:val="none" w:sz="0" w:space="0" w:color="auto"/>
        <w:bottom w:val="none" w:sz="0" w:space="0" w:color="auto"/>
        <w:right w:val="none" w:sz="0" w:space="0" w:color="auto"/>
      </w:divBdr>
    </w:div>
    <w:div w:id="1230730425">
      <w:bodyDiv w:val="1"/>
      <w:marLeft w:val="0"/>
      <w:marRight w:val="0"/>
      <w:marTop w:val="0"/>
      <w:marBottom w:val="0"/>
      <w:divBdr>
        <w:top w:val="none" w:sz="0" w:space="0" w:color="auto"/>
        <w:left w:val="none" w:sz="0" w:space="0" w:color="auto"/>
        <w:bottom w:val="none" w:sz="0" w:space="0" w:color="auto"/>
        <w:right w:val="none" w:sz="0" w:space="0" w:color="auto"/>
      </w:divBdr>
    </w:div>
    <w:div w:id="1231041848">
      <w:bodyDiv w:val="1"/>
      <w:marLeft w:val="0"/>
      <w:marRight w:val="0"/>
      <w:marTop w:val="0"/>
      <w:marBottom w:val="0"/>
      <w:divBdr>
        <w:top w:val="none" w:sz="0" w:space="0" w:color="auto"/>
        <w:left w:val="none" w:sz="0" w:space="0" w:color="auto"/>
        <w:bottom w:val="none" w:sz="0" w:space="0" w:color="auto"/>
        <w:right w:val="none" w:sz="0" w:space="0" w:color="auto"/>
      </w:divBdr>
    </w:div>
    <w:div w:id="1231043781">
      <w:bodyDiv w:val="1"/>
      <w:marLeft w:val="0"/>
      <w:marRight w:val="0"/>
      <w:marTop w:val="0"/>
      <w:marBottom w:val="0"/>
      <w:divBdr>
        <w:top w:val="none" w:sz="0" w:space="0" w:color="auto"/>
        <w:left w:val="none" w:sz="0" w:space="0" w:color="auto"/>
        <w:bottom w:val="none" w:sz="0" w:space="0" w:color="auto"/>
        <w:right w:val="none" w:sz="0" w:space="0" w:color="auto"/>
      </w:divBdr>
    </w:div>
    <w:div w:id="1231622688">
      <w:bodyDiv w:val="1"/>
      <w:marLeft w:val="0"/>
      <w:marRight w:val="0"/>
      <w:marTop w:val="0"/>
      <w:marBottom w:val="0"/>
      <w:divBdr>
        <w:top w:val="none" w:sz="0" w:space="0" w:color="auto"/>
        <w:left w:val="none" w:sz="0" w:space="0" w:color="auto"/>
        <w:bottom w:val="none" w:sz="0" w:space="0" w:color="auto"/>
        <w:right w:val="none" w:sz="0" w:space="0" w:color="auto"/>
      </w:divBdr>
    </w:div>
    <w:div w:id="1231768717">
      <w:bodyDiv w:val="1"/>
      <w:marLeft w:val="0"/>
      <w:marRight w:val="0"/>
      <w:marTop w:val="0"/>
      <w:marBottom w:val="0"/>
      <w:divBdr>
        <w:top w:val="none" w:sz="0" w:space="0" w:color="auto"/>
        <w:left w:val="none" w:sz="0" w:space="0" w:color="auto"/>
        <w:bottom w:val="none" w:sz="0" w:space="0" w:color="auto"/>
        <w:right w:val="none" w:sz="0" w:space="0" w:color="auto"/>
      </w:divBdr>
    </w:div>
    <w:div w:id="1232353734">
      <w:bodyDiv w:val="1"/>
      <w:marLeft w:val="0"/>
      <w:marRight w:val="0"/>
      <w:marTop w:val="0"/>
      <w:marBottom w:val="0"/>
      <w:divBdr>
        <w:top w:val="none" w:sz="0" w:space="0" w:color="auto"/>
        <w:left w:val="none" w:sz="0" w:space="0" w:color="auto"/>
        <w:bottom w:val="none" w:sz="0" w:space="0" w:color="auto"/>
        <w:right w:val="none" w:sz="0" w:space="0" w:color="auto"/>
      </w:divBdr>
    </w:div>
    <w:div w:id="1232542260">
      <w:bodyDiv w:val="1"/>
      <w:marLeft w:val="0"/>
      <w:marRight w:val="0"/>
      <w:marTop w:val="0"/>
      <w:marBottom w:val="0"/>
      <w:divBdr>
        <w:top w:val="none" w:sz="0" w:space="0" w:color="auto"/>
        <w:left w:val="none" w:sz="0" w:space="0" w:color="auto"/>
        <w:bottom w:val="none" w:sz="0" w:space="0" w:color="auto"/>
        <w:right w:val="none" w:sz="0" w:space="0" w:color="auto"/>
      </w:divBdr>
    </w:div>
    <w:div w:id="1232542604">
      <w:bodyDiv w:val="1"/>
      <w:marLeft w:val="0"/>
      <w:marRight w:val="0"/>
      <w:marTop w:val="0"/>
      <w:marBottom w:val="0"/>
      <w:divBdr>
        <w:top w:val="none" w:sz="0" w:space="0" w:color="auto"/>
        <w:left w:val="none" w:sz="0" w:space="0" w:color="auto"/>
        <w:bottom w:val="none" w:sz="0" w:space="0" w:color="auto"/>
        <w:right w:val="none" w:sz="0" w:space="0" w:color="auto"/>
      </w:divBdr>
    </w:div>
    <w:div w:id="1232619580">
      <w:bodyDiv w:val="1"/>
      <w:marLeft w:val="0"/>
      <w:marRight w:val="0"/>
      <w:marTop w:val="0"/>
      <w:marBottom w:val="0"/>
      <w:divBdr>
        <w:top w:val="none" w:sz="0" w:space="0" w:color="auto"/>
        <w:left w:val="none" w:sz="0" w:space="0" w:color="auto"/>
        <w:bottom w:val="none" w:sz="0" w:space="0" w:color="auto"/>
        <w:right w:val="none" w:sz="0" w:space="0" w:color="auto"/>
      </w:divBdr>
    </w:div>
    <w:div w:id="1232814131">
      <w:bodyDiv w:val="1"/>
      <w:marLeft w:val="0"/>
      <w:marRight w:val="0"/>
      <w:marTop w:val="0"/>
      <w:marBottom w:val="0"/>
      <w:divBdr>
        <w:top w:val="none" w:sz="0" w:space="0" w:color="auto"/>
        <w:left w:val="none" w:sz="0" w:space="0" w:color="auto"/>
        <w:bottom w:val="none" w:sz="0" w:space="0" w:color="auto"/>
        <w:right w:val="none" w:sz="0" w:space="0" w:color="auto"/>
      </w:divBdr>
    </w:div>
    <w:div w:id="1233003193">
      <w:bodyDiv w:val="1"/>
      <w:marLeft w:val="0"/>
      <w:marRight w:val="0"/>
      <w:marTop w:val="0"/>
      <w:marBottom w:val="0"/>
      <w:divBdr>
        <w:top w:val="none" w:sz="0" w:space="0" w:color="auto"/>
        <w:left w:val="none" w:sz="0" w:space="0" w:color="auto"/>
        <w:bottom w:val="none" w:sz="0" w:space="0" w:color="auto"/>
        <w:right w:val="none" w:sz="0" w:space="0" w:color="auto"/>
      </w:divBdr>
    </w:div>
    <w:div w:id="1233390654">
      <w:bodyDiv w:val="1"/>
      <w:marLeft w:val="0"/>
      <w:marRight w:val="0"/>
      <w:marTop w:val="0"/>
      <w:marBottom w:val="0"/>
      <w:divBdr>
        <w:top w:val="none" w:sz="0" w:space="0" w:color="auto"/>
        <w:left w:val="none" w:sz="0" w:space="0" w:color="auto"/>
        <w:bottom w:val="none" w:sz="0" w:space="0" w:color="auto"/>
        <w:right w:val="none" w:sz="0" w:space="0" w:color="auto"/>
      </w:divBdr>
    </w:div>
    <w:div w:id="1233851758">
      <w:bodyDiv w:val="1"/>
      <w:marLeft w:val="0"/>
      <w:marRight w:val="0"/>
      <w:marTop w:val="0"/>
      <w:marBottom w:val="0"/>
      <w:divBdr>
        <w:top w:val="none" w:sz="0" w:space="0" w:color="auto"/>
        <w:left w:val="none" w:sz="0" w:space="0" w:color="auto"/>
        <w:bottom w:val="none" w:sz="0" w:space="0" w:color="auto"/>
        <w:right w:val="none" w:sz="0" w:space="0" w:color="auto"/>
      </w:divBdr>
    </w:div>
    <w:div w:id="1234198924">
      <w:bodyDiv w:val="1"/>
      <w:marLeft w:val="0"/>
      <w:marRight w:val="0"/>
      <w:marTop w:val="0"/>
      <w:marBottom w:val="0"/>
      <w:divBdr>
        <w:top w:val="none" w:sz="0" w:space="0" w:color="auto"/>
        <w:left w:val="none" w:sz="0" w:space="0" w:color="auto"/>
        <w:bottom w:val="none" w:sz="0" w:space="0" w:color="auto"/>
        <w:right w:val="none" w:sz="0" w:space="0" w:color="auto"/>
      </w:divBdr>
    </w:div>
    <w:div w:id="1235504625">
      <w:bodyDiv w:val="1"/>
      <w:marLeft w:val="0"/>
      <w:marRight w:val="0"/>
      <w:marTop w:val="0"/>
      <w:marBottom w:val="0"/>
      <w:divBdr>
        <w:top w:val="none" w:sz="0" w:space="0" w:color="auto"/>
        <w:left w:val="none" w:sz="0" w:space="0" w:color="auto"/>
        <w:bottom w:val="none" w:sz="0" w:space="0" w:color="auto"/>
        <w:right w:val="none" w:sz="0" w:space="0" w:color="auto"/>
      </w:divBdr>
    </w:div>
    <w:div w:id="1235509794">
      <w:bodyDiv w:val="1"/>
      <w:marLeft w:val="0"/>
      <w:marRight w:val="0"/>
      <w:marTop w:val="0"/>
      <w:marBottom w:val="0"/>
      <w:divBdr>
        <w:top w:val="none" w:sz="0" w:space="0" w:color="auto"/>
        <w:left w:val="none" w:sz="0" w:space="0" w:color="auto"/>
        <w:bottom w:val="none" w:sz="0" w:space="0" w:color="auto"/>
        <w:right w:val="none" w:sz="0" w:space="0" w:color="auto"/>
      </w:divBdr>
    </w:div>
    <w:div w:id="1235970779">
      <w:bodyDiv w:val="1"/>
      <w:marLeft w:val="0"/>
      <w:marRight w:val="0"/>
      <w:marTop w:val="0"/>
      <w:marBottom w:val="0"/>
      <w:divBdr>
        <w:top w:val="none" w:sz="0" w:space="0" w:color="auto"/>
        <w:left w:val="none" w:sz="0" w:space="0" w:color="auto"/>
        <w:bottom w:val="none" w:sz="0" w:space="0" w:color="auto"/>
        <w:right w:val="none" w:sz="0" w:space="0" w:color="auto"/>
      </w:divBdr>
    </w:div>
    <w:div w:id="1236470761">
      <w:bodyDiv w:val="1"/>
      <w:marLeft w:val="0"/>
      <w:marRight w:val="0"/>
      <w:marTop w:val="0"/>
      <w:marBottom w:val="0"/>
      <w:divBdr>
        <w:top w:val="none" w:sz="0" w:space="0" w:color="auto"/>
        <w:left w:val="none" w:sz="0" w:space="0" w:color="auto"/>
        <w:bottom w:val="none" w:sz="0" w:space="0" w:color="auto"/>
        <w:right w:val="none" w:sz="0" w:space="0" w:color="auto"/>
      </w:divBdr>
    </w:div>
    <w:div w:id="1236740089">
      <w:bodyDiv w:val="1"/>
      <w:marLeft w:val="0"/>
      <w:marRight w:val="0"/>
      <w:marTop w:val="0"/>
      <w:marBottom w:val="0"/>
      <w:divBdr>
        <w:top w:val="none" w:sz="0" w:space="0" w:color="auto"/>
        <w:left w:val="none" w:sz="0" w:space="0" w:color="auto"/>
        <w:bottom w:val="none" w:sz="0" w:space="0" w:color="auto"/>
        <w:right w:val="none" w:sz="0" w:space="0" w:color="auto"/>
      </w:divBdr>
    </w:div>
    <w:div w:id="1237320370">
      <w:bodyDiv w:val="1"/>
      <w:marLeft w:val="0"/>
      <w:marRight w:val="0"/>
      <w:marTop w:val="0"/>
      <w:marBottom w:val="0"/>
      <w:divBdr>
        <w:top w:val="none" w:sz="0" w:space="0" w:color="auto"/>
        <w:left w:val="none" w:sz="0" w:space="0" w:color="auto"/>
        <w:bottom w:val="none" w:sz="0" w:space="0" w:color="auto"/>
        <w:right w:val="none" w:sz="0" w:space="0" w:color="auto"/>
      </w:divBdr>
    </w:div>
    <w:div w:id="1237595894">
      <w:bodyDiv w:val="1"/>
      <w:marLeft w:val="0"/>
      <w:marRight w:val="0"/>
      <w:marTop w:val="0"/>
      <w:marBottom w:val="0"/>
      <w:divBdr>
        <w:top w:val="none" w:sz="0" w:space="0" w:color="auto"/>
        <w:left w:val="none" w:sz="0" w:space="0" w:color="auto"/>
        <w:bottom w:val="none" w:sz="0" w:space="0" w:color="auto"/>
        <w:right w:val="none" w:sz="0" w:space="0" w:color="auto"/>
      </w:divBdr>
    </w:div>
    <w:div w:id="1237742148">
      <w:bodyDiv w:val="1"/>
      <w:marLeft w:val="0"/>
      <w:marRight w:val="0"/>
      <w:marTop w:val="0"/>
      <w:marBottom w:val="0"/>
      <w:divBdr>
        <w:top w:val="none" w:sz="0" w:space="0" w:color="auto"/>
        <w:left w:val="none" w:sz="0" w:space="0" w:color="auto"/>
        <w:bottom w:val="none" w:sz="0" w:space="0" w:color="auto"/>
        <w:right w:val="none" w:sz="0" w:space="0" w:color="auto"/>
      </w:divBdr>
    </w:div>
    <w:div w:id="1238128357">
      <w:bodyDiv w:val="1"/>
      <w:marLeft w:val="0"/>
      <w:marRight w:val="0"/>
      <w:marTop w:val="0"/>
      <w:marBottom w:val="0"/>
      <w:divBdr>
        <w:top w:val="none" w:sz="0" w:space="0" w:color="auto"/>
        <w:left w:val="none" w:sz="0" w:space="0" w:color="auto"/>
        <w:bottom w:val="none" w:sz="0" w:space="0" w:color="auto"/>
        <w:right w:val="none" w:sz="0" w:space="0" w:color="auto"/>
      </w:divBdr>
    </w:div>
    <w:div w:id="1238172868">
      <w:bodyDiv w:val="1"/>
      <w:marLeft w:val="0"/>
      <w:marRight w:val="0"/>
      <w:marTop w:val="0"/>
      <w:marBottom w:val="0"/>
      <w:divBdr>
        <w:top w:val="none" w:sz="0" w:space="0" w:color="auto"/>
        <w:left w:val="none" w:sz="0" w:space="0" w:color="auto"/>
        <w:bottom w:val="none" w:sz="0" w:space="0" w:color="auto"/>
        <w:right w:val="none" w:sz="0" w:space="0" w:color="auto"/>
      </w:divBdr>
    </w:div>
    <w:div w:id="1238636818">
      <w:bodyDiv w:val="1"/>
      <w:marLeft w:val="0"/>
      <w:marRight w:val="0"/>
      <w:marTop w:val="0"/>
      <w:marBottom w:val="0"/>
      <w:divBdr>
        <w:top w:val="none" w:sz="0" w:space="0" w:color="auto"/>
        <w:left w:val="none" w:sz="0" w:space="0" w:color="auto"/>
        <w:bottom w:val="none" w:sz="0" w:space="0" w:color="auto"/>
        <w:right w:val="none" w:sz="0" w:space="0" w:color="auto"/>
      </w:divBdr>
    </w:div>
    <w:div w:id="1238638338">
      <w:bodyDiv w:val="1"/>
      <w:marLeft w:val="0"/>
      <w:marRight w:val="0"/>
      <w:marTop w:val="0"/>
      <w:marBottom w:val="0"/>
      <w:divBdr>
        <w:top w:val="none" w:sz="0" w:space="0" w:color="auto"/>
        <w:left w:val="none" w:sz="0" w:space="0" w:color="auto"/>
        <w:bottom w:val="none" w:sz="0" w:space="0" w:color="auto"/>
        <w:right w:val="none" w:sz="0" w:space="0" w:color="auto"/>
      </w:divBdr>
    </w:div>
    <w:div w:id="1238662069">
      <w:bodyDiv w:val="1"/>
      <w:marLeft w:val="0"/>
      <w:marRight w:val="0"/>
      <w:marTop w:val="0"/>
      <w:marBottom w:val="0"/>
      <w:divBdr>
        <w:top w:val="none" w:sz="0" w:space="0" w:color="auto"/>
        <w:left w:val="none" w:sz="0" w:space="0" w:color="auto"/>
        <w:bottom w:val="none" w:sz="0" w:space="0" w:color="auto"/>
        <w:right w:val="none" w:sz="0" w:space="0" w:color="auto"/>
      </w:divBdr>
    </w:div>
    <w:div w:id="1239360779">
      <w:bodyDiv w:val="1"/>
      <w:marLeft w:val="0"/>
      <w:marRight w:val="0"/>
      <w:marTop w:val="0"/>
      <w:marBottom w:val="0"/>
      <w:divBdr>
        <w:top w:val="none" w:sz="0" w:space="0" w:color="auto"/>
        <w:left w:val="none" w:sz="0" w:space="0" w:color="auto"/>
        <w:bottom w:val="none" w:sz="0" w:space="0" w:color="auto"/>
        <w:right w:val="none" w:sz="0" w:space="0" w:color="auto"/>
      </w:divBdr>
    </w:div>
    <w:div w:id="1239710171">
      <w:bodyDiv w:val="1"/>
      <w:marLeft w:val="0"/>
      <w:marRight w:val="0"/>
      <w:marTop w:val="0"/>
      <w:marBottom w:val="0"/>
      <w:divBdr>
        <w:top w:val="none" w:sz="0" w:space="0" w:color="auto"/>
        <w:left w:val="none" w:sz="0" w:space="0" w:color="auto"/>
        <w:bottom w:val="none" w:sz="0" w:space="0" w:color="auto"/>
        <w:right w:val="none" w:sz="0" w:space="0" w:color="auto"/>
      </w:divBdr>
    </w:div>
    <w:div w:id="1239944654">
      <w:bodyDiv w:val="1"/>
      <w:marLeft w:val="0"/>
      <w:marRight w:val="0"/>
      <w:marTop w:val="0"/>
      <w:marBottom w:val="0"/>
      <w:divBdr>
        <w:top w:val="none" w:sz="0" w:space="0" w:color="auto"/>
        <w:left w:val="none" w:sz="0" w:space="0" w:color="auto"/>
        <w:bottom w:val="none" w:sz="0" w:space="0" w:color="auto"/>
        <w:right w:val="none" w:sz="0" w:space="0" w:color="auto"/>
      </w:divBdr>
    </w:div>
    <w:div w:id="1240166782">
      <w:bodyDiv w:val="1"/>
      <w:marLeft w:val="0"/>
      <w:marRight w:val="0"/>
      <w:marTop w:val="0"/>
      <w:marBottom w:val="0"/>
      <w:divBdr>
        <w:top w:val="none" w:sz="0" w:space="0" w:color="auto"/>
        <w:left w:val="none" w:sz="0" w:space="0" w:color="auto"/>
        <w:bottom w:val="none" w:sz="0" w:space="0" w:color="auto"/>
        <w:right w:val="none" w:sz="0" w:space="0" w:color="auto"/>
      </w:divBdr>
    </w:div>
    <w:div w:id="1240674779">
      <w:bodyDiv w:val="1"/>
      <w:marLeft w:val="0"/>
      <w:marRight w:val="0"/>
      <w:marTop w:val="0"/>
      <w:marBottom w:val="0"/>
      <w:divBdr>
        <w:top w:val="none" w:sz="0" w:space="0" w:color="auto"/>
        <w:left w:val="none" w:sz="0" w:space="0" w:color="auto"/>
        <w:bottom w:val="none" w:sz="0" w:space="0" w:color="auto"/>
        <w:right w:val="none" w:sz="0" w:space="0" w:color="auto"/>
      </w:divBdr>
    </w:div>
    <w:div w:id="1241137057">
      <w:bodyDiv w:val="1"/>
      <w:marLeft w:val="0"/>
      <w:marRight w:val="0"/>
      <w:marTop w:val="0"/>
      <w:marBottom w:val="0"/>
      <w:divBdr>
        <w:top w:val="none" w:sz="0" w:space="0" w:color="auto"/>
        <w:left w:val="none" w:sz="0" w:space="0" w:color="auto"/>
        <w:bottom w:val="none" w:sz="0" w:space="0" w:color="auto"/>
        <w:right w:val="none" w:sz="0" w:space="0" w:color="auto"/>
      </w:divBdr>
    </w:div>
    <w:div w:id="1241210924">
      <w:bodyDiv w:val="1"/>
      <w:marLeft w:val="0"/>
      <w:marRight w:val="0"/>
      <w:marTop w:val="0"/>
      <w:marBottom w:val="0"/>
      <w:divBdr>
        <w:top w:val="none" w:sz="0" w:space="0" w:color="auto"/>
        <w:left w:val="none" w:sz="0" w:space="0" w:color="auto"/>
        <w:bottom w:val="none" w:sz="0" w:space="0" w:color="auto"/>
        <w:right w:val="none" w:sz="0" w:space="0" w:color="auto"/>
      </w:divBdr>
    </w:div>
    <w:div w:id="1241603037">
      <w:bodyDiv w:val="1"/>
      <w:marLeft w:val="0"/>
      <w:marRight w:val="0"/>
      <w:marTop w:val="0"/>
      <w:marBottom w:val="0"/>
      <w:divBdr>
        <w:top w:val="none" w:sz="0" w:space="0" w:color="auto"/>
        <w:left w:val="none" w:sz="0" w:space="0" w:color="auto"/>
        <w:bottom w:val="none" w:sz="0" w:space="0" w:color="auto"/>
        <w:right w:val="none" w:sz="0" w:space="0" w:color="auto"/>
      </w:divBdr>
    </w:div>
    <w:div w:id="1241712830">
      <w:bodyDiv w:val="1"/>
      <w:marLeft w:val="0"/>
      <w:marRight w:val="0"/>
      <w:marTop w:val="0"/>
      <w:marBottom w:val="0"/>
      <w:divBdr>
        <w:top w:val="none" w:sz="0" w:space="0" w:color="auto"/>
        <w:left w:val="none" w:sz="0" w:space="0" w:color="auto"/>
        <w:bottom w:val="none" w:sz="0" w:space="0" w:color="auto"/>
        <w:right w:val="none" w:sz="0" w:space="0" w:color="auto"/>
      </w:divBdr>
    </w:div>
    <w:div w:id="1242327761">
      <w:bodyDiv w:val="1"/>
      <w:marLeft w:val="0"/>
      <w:marRight w:val="0"/>
      <w:marTop w:val="0"/>
      <w:marBottom w:val="0"/>
      <w:divBdr>
        <w:top w:val="none" w:sz="0" w:space="0" w:color="auto"/>
        <w:left w:val="none" w:sz="0" w:space="0" w:color="auto"/>
        <w:bottom w:val="none" w:sz="0" w:space="0" w:color="auto"/>
        <w:right w:val="none" w:sz="0" w:space="0" w:color="auto"/>
      </w:divBdr>
    </w:div>
    <w:div w:id="1242518261">
      <w:bodyDiv w:val="1"/>
      <w:marLeft w:val="0"/>
      <w:marRight w:val="0"/>
      <w:marTop w:val="0"/>
      <w:marBottom w:val="0"/>
      <w:divBdr>
        <w:top w:val="none" w:sz="0" w:space="0" w:color="auto"/>
        <w:left w:val="none" w:sz="0" w:space="0" w:color="auto"/>
        <w:bottom w:val="none" w:sz="0" w:space="0" w:color="auto"/>
        <w:right w:val="none" w:sz="0" w:space="0" w:color="auto"/>
      </w:divBdr>
    </w:div>
    <w:div w:id="1243485401">
      <w:bodyDiv w:val="1"/>
      <w:marLeft w:val="0"/>
      <w:marRight w:val="0"/>
      <w:marTop w:val="0"/>
      <w:marBottom w:val="0"/>
      <w:divBdr>
        <w:top w:val="none" w:sz="0" w:space="0" w:color="auto"/>
        <w:left w:val="none" w:sz="0" w:space="0" w:color="auto"/>
        <w:bottom w:val="none" w:sz="0" w:space="0" w:color="auto"/>
        <w:right w:val="none" w:sz="0" w:space="0" w:color="auto"/>
      </w:divBdr>
    </w:div>
    <w:div w:id="1244338719">
      <w:bodyDiv w:val="1"/>
      <w:marLeft w:val="0"/>
      <w:marRight w:val="0"/>
      <w:marTop w:val="0"/>
      <w:marBottom w:val="0"/>
      <w:divBdr>
        <w:top w:val="none" w:sz="0" w:space="0" w:color="auto"/>
        <w:left w:val="none" w:sz="0" w:space="0" w:color="auto"/>
        <w:bottom w:val="none" w:sz="0" w:space="0" w:color="auto"/>
        <w:right w:val="none" w:sz="0" w:space="0" w:color="auto"/>
      </w:divBdr>
    </w:div>
    <w:div w:id="1244410721">
      <w:bodyDiv w:val="1"/>
      <w:marLeft w:val="0"/>
      <w:marRight w:val="0"/>
      <w:marTop w:val="0"/>
      <w:marBottom w:val="0"/>
      <w:divBdr>
        <w:top w:val="none" w:sz="0" w:space="0" w:color="auto"/>
        <w:left w:val="none" w:sz="0" w:space="0" w:color="auto"/>
        <w:bottom w:val="none" w:sz="0" w:space="0" w:color="auto"/>
        <w:right w:val="none" w:sz="0" w:space="0" w:color="auto"/>
      </w:divBdr>
    </w:div>
    <w:div w:id="1245534189">
      <w:bodyDiv w:val="1"/>
      <w:marLeft w:val="0"/>
      <w:marRight w:val="0"/>
      <w:marTop w:val="0"/>
      <w:marBottom w:val="0"/>
      <w:divBdr>
        <w:top w:val="none" w:sz="0" w:space="0" w:color="auto"/>
        <w:left w:val="none" w:sz="0" w:space="0" w:color="auto"/>
        <w:bottom w:val="none" w:sz="0" w:space="0" w:color="auto"/>
        <w:right w:val="none" w:sz="0" w:space="0" w:color="auto"/>
      </w:divBdr>
    </w:div>
    <w:div w:id="1245794693">
      <w:bodyDiv w:val="1"/>
      <w:marLeft w:val="0"/>
      <w:marRight w:val="0"/>
      <w:marTop w:val="0"/>
      <w:marBottom w:val="0"/>
      <w:divBdr>
        <w:top w:val="none" w:sz="0" w:space="0" w:color="auto"/>
        <w:left w:val="none" w:sz="0" w:space="0" w:color="auto"/>
        <w:bottom w:val="none" w:sz="0" w:space="0" w:color="auto"/>
        <w:right w:val="none" w:sz="0" w:space="0" w:color="auto"/>
      </w:divBdr>
    </w:div>
    <w:div w:id="1245913876">
      <w:bodyDiv w:val="1"/>
      <w:marLeft w:val="0"/>
      <w:marRight w:val="0"/>
      <w:marTop w:val="0"/>
      <w:marBottom w:val="0"/>
      <w:divBdr>
        <w:top w:val="none" w:sz="0" w:space="0" w:color="auto"/>
        <w:left w:val="none" w:sz="0" w:space="0" w:color="auto"/>
        <w:bottom w:val="none" w:sz="0" w:space="0" w:color="auto"/>
        <w:right w:val="none" w:sz="0" w:space="0" w:color="auto"/>
      </w:divBdr>
    </w:div>
    <w:div w:id="1246383141">
      <w:bodyDiv w:val="1"/>
      <w:marLeft w:val="0"/>
      <w:marRight w:val="0"/>
      <w:marTop w:val="0"/>
      <w:marBottom w:val="0"/>
      <w:divBdr>
        <w:top w:val="none" w:sz="0" w:space="0" w:color="auto"/>
        <w:left w:val="none" w:sz="0" w:space="0" w:color="auto"/>
        <w:bottom w:val="none" w:sz="0" w:space="0" w:color="auto"/>
        <w:right w:val="none" w:sz="0" w:space="0" w:color="auto"/>
      </w:divBdr>
    </w:div>
    <w:div w:id="1246456578">
      <w:bodyDiv w:val="1"/>
      <w:marLeft w:val="0"/>
      <w:marRight w:val="0"/>
      <w:marTop w:val="0"/>
      <w:marBottom w:val="0"/>
      <w:divBdr>
        <w:top w:val="none" w:sz="0" w:space="0" w:color="auto"/>
        <w:left w:val="none" w:sz="0" w:space="0" w:color="auto"/>
        <w:bottom w:val="none" w:sz="0" w:space="0" w:color="auto"/>
        <w:right w:val="none" w:sz="0" w:space="0" w:color="auto"/>
      </w:divBdr>
    </w:div>
    <w:div w:id="1246693243">
      <w:bodyDiv w:val="1"/>
      <w:marLeft w:val="0"/>
      <w:marRight w:val="0"/>
      <w:marTop w:val="0"/>
      <w:marBottom w:val="0"/>
      <w:divBdr>
        <w:top w:val="none" w:sz="0" w:space="0" w:color="auto"/>
        <w:left w:val="none" w:sz="0" w:space="0" w:color="auto"/>
        <w:bottom w:val="none" w:sz="0" w:space="0" w:color="auto"/>
        <w:right w:val="none" w:sz="0" w:space="0" w:color="auto"/>
      </w:divBdr>
    </w:div>
    <w:div w:id="1246957564">
      <w:bodyDiv w:val="1"/>
      <w:marLeft w:val="0"/>
      <w:marRight w:val="0"/>
      <w:marTop w:val="0"/>
      <w:marBottom w:val="0"/>
      <w:divBdr>
        <w:top w:val="none" w:sz="0" w:space="0" w:color="auto"/>
        <w:left w:val="none" w:sz="0" w:space="0" w:color="auto"/>
        <w:bottom w:val="none" w:sz="0" w:space="0" w:color="auto"/>
        <w:right w:val="none" w:sz="0" w:space="0" w:color="auto"/>
      </w:divBdr>
    </w:div>
    <w:div w:id="1247688162">
      <w:bodyDiv w:val="1"/>
      <w:marLeft w:val="0"/>
      <w:marRight w:val="0"/>
      <w:marTop w:val="0"/>
      <w:marBottom w:val="0"/>
      <w:divBdr>
        <w:top w:val="none" w:sz="0" w:space="0" w:color="auto"/>
        <w:left w:val="none" w:sz="0" w:space="0" w:color="auto"/>
        <w:bottom w:val="none" w:sz="0" w:space="0" w:color="auto"/>
        <w:right w:val="none" w:sz="0" w:space="0" w:color="auto"/>
      </w:divBdr>
    </w:div>
    <w:div w:id="1248423838">
      <w:bodyDiv w:val="1"/>
      <w:marLeft w:val="0"/>
      <w:marRight w:val="0"/>
      <w:marTop w:val="0"/>
      <w:marBottom w:val="0"/>
      <w:divBdr>
        <w:top w:val="none" w:sz="0" w:space="0" w:color="auto"/>
        <w:left w:val="none" w:sz="0" w:space="0" w:color="auto"/>
        <w:bottom w:val="none" w:sz="0" w:space="0" w:color="auto"/>
        <w:right w:val="none" w:sz="0" w:space="0" w:color="auto"/>
      </w:divBdr>
    </w:div>
    <w:div w:id="1248922423">
      <w:bodyDiv w:val="1"/>
      <w:marLeft w:val="0"/>
      <w:marRight w:val="0"/>
      <w:marTop w:val="0"/>
      <w:marBottom w:val="0"/>
      <w:divBdr>
        <w:top w:val="none" w:sz="0" w:space="0" w:color="auto"/>
        <w:left w:val="none" w:sz="0" w:space="0" w:color="auto"/>
        <w:bottom w:val="none" w:sz="0" w:space="0" w:color="auto"/>
        <w:right w:val="none" w:sz="0" w:space="0" w:color="auto"/>
      </w:divBdr>
    </w:div>
    <w:div w:id="1249075559">
      <w:bodyDiv w:val="1"/>
      <w:marLeft w:val="0"/>
      <w:marRight w:val="0"/>
      <w:marTop w:val="0"/>
      <w:marBottom w:val="0"/>
      <w:divBdr>
        <w:top w:val="none" w:sz="0" w:space="0" w:color="auto"/>
        <w:left w:val="none" w:sz="0" w:space="0" w:color="auto"/>
        <w:bottom w:val="none" w:sz="0" w:space="0" w:color="auto"/>
        <w:right w:val="none" w:sz="0" w:space="0" w:color="auto"/>
      </w:divBdr>
    </w:div>
    <w:div w:id="1249579866">
      <w:bodyDiv w:val="1"/>
      <w:marLeft w:val="0"/>
      <w:marRight w:val="0"/>
      <w:marTop w:val="0"/>
      <w:marBottom w:val="0"/>
      <w:divBdr>
        <w:top w:val="none" w:sz="0" w:space="0" w:color="auto"/>
        <w:left w:val="none" w:sz="0" w:space="0" w:color="auto"/>
        <w:bottom w:val="none" w:sz="0" w:space="0" w:color="auto"/>
        <w:right w:val="none" w:sz="0" w:space="0" w:color="auto"/>
      </w:divBdr>
    </w:div>
    <w:div w:id="1250233748">
      <w:bodyDiv w:val="1"/>
      <w:marLeft w:val="0"/>
      <w:marRight w:val="0"/>
      <w:marTop w:val="0"/>
      <w:marBottom w:val="0"/>
      <w:divBdr>
        <w:top w:val="none" w:sz="0" w:space="0" w:color="auto"/>
        <w:left w:val="none" w:sz="0" w:space="0" w:color="auto"/>
        <w:bottom w:val="none" w:sz="0" w:space="0" w:color="auto"/>
        <w:right w:val="none" w:sz="0" w:space="0" w:color="auto"/>
      </w:divBdr>
    </w:div>
    <w:div w:id="1250313621">
      <w:bodyDiv w:val="1"/>
      <w:marLeft w:val="0"/>
      <w:marRight w:val="0"/>
      <w:marTop w:val="0"/>
      <w:marBottom w:val="0"/>
      <w:divBdr>
        <w:top w:val="none" w:sz="0" w:space="0" w:color="auto"/>
        <w:left w:val="none" w:sz="0" w:space="0" w:color="auto"/>
        <w:bottom w:val="none" w:sz="0" w:space="0" w:color="auto"/>
        <w:right w:val="none" w:sz="0" w:space="0" w:color="auto"/>
      </w:divBdr>
    </w:div>
    <w:div w:id="1250431064">
      <w:bodyDiv w:val="1"/>
      <w:marLeft w:val="0"/>
      <w:marRight w:val="0"/>
      <w:marTop w:val="0"/>
      <w:marBottom w:val="0"/>
      <w:divBdr>
        <w:top w:val="none" w:sz="0" w:space="0" w:color="auto"/>
        <w:left w:val="none" w:sz="0" w:space="0" w:color="auto"/>
        <w:bottom w:val="none" w:sz="0" w:space="0" w:color="auto"/>
        <w:right w:val="none" w:sz="0" w:space="0" w:color="auto"/>
      </w:divBdr>
    </w:div>
    <w:div w:id="1250970655">
      <w:bodyDiv w:val="1"/>
      <w:marLeft w:val="0"/>
      <w:marRight w:val="0"/>
      <w:marTop w:val="0"/>
      <w:marBottom w:val="0"/>
      <w:divBdr>
        <w:top w:val="none" w:sz="0" w:space="0" w:color="auto"/>
        <w:left w:val="none" w:sz="0" w:space="0" w:color="auto"/>
        <w:bottom w:val="none" w:sz="0" w:space="0" w:color="auto"/>
        <w:right w:val="none" w:sz="0" w:space="0" w:color="auto"/>
      </w:divBdr>
    </w:div>
    <w:div w:id="1251815401">
      <w:bodyDiv w:val="1"/>
      <w:marLeft w:val="0"/>
      <w:marRight w:val="0"/>
      <w:marTop w:val="0"/>
      <w:marBottom w:val="0"/>
      <w:divBdr>
        <w:top w:val="none" w:sz="0" w:space="0" w:color="auto"/>
        <w:left w:val="none" w:sz="0" w:space="0" w:color="auto"/>
        <w:bottom w:val="none" w:sz="0" w:space="0" w:color="auto"/>
        <w:right w:val="none" w:sz="0" w:space="0" w:color="auto"/>
      </w:divBdr>
    </w:div>
    <w:div w:id="1252592024">
      <w:bodyDiv w:val="1"/>
      <w:marLeft w:val="0"/>
      <w:marRight w:val="0"/>
      <w:marTop w:val="0"/>
      <w:marBottom w:val="0"/>
      <w:divBdr>
        <w:top w:val="none" w:sz="0" w:space="0" w:color="auto"/>
        <w:left w:val="none" w:sz="0" w:space="0" w:color="auto"/>
        <w:bottom w:val="none" w:sz="0" w:space="0" w:color="auto"/>
        <w:right w:val="none" w:sz="0" w:space="0" w:color="auto"/>
      </w:divBdr>
    </w:div>
    <w:div w:id="1252659032">
      <w:bodyDiv w:val="1"/>
      <w:marLeft w:val="0"/>
      <w:marRight w:val="0"/>
      <w:marTop w:val="0"/>
      <w:marBottom w:val="0"/>
      <w:divBdr>
        <w:top w:val="none" w:sz="0" w:space="0" w:color="auto"/>
        <w:left w:val="none" w:sz="0" w:space="0" w:color="auto"/>
        <w:bottom w:val="none" w:sz="0" w:space="0" w:color="auto"/>
        <w:right w:val="none" w:sz="0" w:space="0" w:color="auto"/>
      </w:divBdr>
    </w:div>
    <w:div w:id="1252928718">
      <w:bodyDiv w:val="1"/>
      <w:marLeft w:val="0"/>
      <w:marRight w:val="0"/>
      <w:marTop w:val="0"/>
      <w:marBottom w:val="0"/>
      <w:divBdr>
        <w:top w:val="none" w:sz="0" w:space="0" w:color="auto"/>
        <w:left w:val="none" w:sz="0" w:space="0" w:color="auto"/>
        <w:bottom w:val="none" w:sz="0" w:space="0" w:color="auto"/>
        <w:right w:val="none" w:sz="0" w:space="0" w:color="auto"/>
      </w:divBdr>
    </w:div>
    <w:div w:id="1253011643">
      <w:bodyDiv w:val="1"/>
      <w:marLeft w:val="0"/>
      <w:marRight w:val="0"/>
      <w:marTop w:val="0"/>
      <w:marBottom w:val="0"/>
      <w:divBdr>
        <w:top w:val="none" w:sz="0" w:space="0" w:color="auto"/>
        <w:left w:val="none" w:sz="0" w:space="0" w:color="auto"/>
        <w:bottom w:val="none" w:sz="0" w:space="0" w:color="auto"/>
        <w:right w:val="none" w:sz="0" w:space="0" w:color="auto"/>
      </w:divBdr>
    </w:div>
    <w:div w:id="1253078679">
      <w:bodyDiv w:val="1"/>
      <w:marLeft w:val="0"/>
      <w:marRight w:val="0"/>
      <w:marTop w:val="0"/>
      <w:marBottom w:val="0"/>
      <w:divBdr>
        <w:top w:val="none" w:sz="0" w:space="0" w:color="auto"/>
        <w:left w:val="none" w:sz="0" w:space="0" w:color="auto"/>
        <w:bottom w:val="none" w:sz="0" w:space="0" w:color="auto"/>
        <w:right w:val="none" w:sz="0" w:space="0" w:color="auto"/>
      </w:divBdr>
    </w:div>
    <w:div w:id="1253856520">
      <w:bodyDiv w:val="1"/>
      <w:marLeft w:val="0"/>
      <w:marRight w:val="0"/>
      <w:marTop w:val="0"/>
      <w:marBottom w:val="0"/>
      <w:divBdr>
        <w:top w:val="none" w:sz="0" w:space="0" w:color="auto"/>
        <w:left w:val="none" w:sz="0" w:space="0" w:color="auto"/>
        <w:bottom w:val="none" w:sz="0" w:space="0" w:color="auto"/>
        <w:right w:val="none" w:sz="0" w:space="0" w:color="auto"/>
      </w:divBdr>
    </w:div>
    <w:div w:id="1253901744">
      <w:bodyDiv w:val="1"/>
      <w:marLeft w:val="0"/>
      <w:marRight w:val="0"/>
      <w:marTop w:val="0"/>
      <w:marBottom w:val="0"/>
      <w:divBdr>
        <w:top w:val="none" w:sz="0" w:space="0" w:color="auto"/>
        <w:left w:val="none" w:sz="0" w:space="0" w:color="auto"/>
        <w:bottom w:val="none" w:sz="0" w:space="0" w:color="auto"/>
        <w:right w:val="none" w:sz="0" w:space="0" w:color="auto"/>
      </w:divBdr>
    </w:div>
    <w:div w:id="1254630634">
      <w:bodyDiv w:val="1"/>
      <w:marLeft w:val="0"/>
      <w:marRight w:val="0"/>
      <w:marTop w:val="0"/>
      <w:marBottom w:val="0"/>
      <w:divBdr>
        <w:top w:val="none" w:sz="0" w:space="0" w:color="auto"/>
        <w:left w:val="none" w:sz="0" w:space="0" w:color="auto"/>
        <w:bottom w:val="none" w:sz="0" w:space="0" w:color="auto"/>
        <w:right w:val="none" w:sz="0" w:space="0" w:color="auto"/>
      </w:divBdr>
    </w:div>
    <w:div w:id="1254976039">
      <w:bodyDiv w:val="1"/>
      <w:marLeft w:val="0"/>
      <w:marRight w:val="0"/>
      <w:marTop w:val="0"/>
      <w:marBottom w:val="0"/>
      <w:divBdr>
        <w:top w:val="none" w:sz="0" w:space="0" w:color="auto"/>
        <w:left w:val="none" w:sz="0" w:space="0" w:color="auto"/>
        <w:bottom w:val="none" w:sz="0" w:space="0" w:color="auto"/>
        <w:right w:val="none" w:sz="0" w:space="0" w:color="auto"/>
      </w:divBdr>
    </w:div>
    <w:div w:id="1255161694">
      <w:bodyDiv w:val="1"/>
      <w:marLeft w:val="0"/>
      <w:marRight w:val="0"/>
      <w:marTop w:val="0"/>
      <w:marBottom w:val="0"/>
      <w:divBdr>
        <w:top w:val="none" w:sz="0" w:space="0" w:color="auto"/>
        <w:left w:val="none" w:sz="0" w:space="0" w:color="auto"/>
        <w:bottom w:val="none" w:sz="0" w:space="0" w:color="auto"/>
        <w:right w:val="none" w:sz="0" w:space="0" w:color="auto"/>
      </w:divBdr>
    </w:div>
    <w:div w:id="1255702002">
      <w:bodyDiv w:val="1"/>
      <w:marLeft w:val="0"/>
      <w:marRight w:val="0"/>
      <w:marTop w:val="0"/>
      <w:marBottom w:val="0"/>
      <w:divBdr>
        <w:top w:val="none" w:sz="0" w:space="0" w:color="auto"/>
        <w:left w:val="none" w:sz="0" w:space="0" w:color="auto"/>
        <w:bottom w:val="none" w:sz="0" w:space="0" w:color="auto"/>
        <w:right w:val="none" w:sz="0" w:space="0" w:color="auto"/>
      </w:divBdr>
    </w:div>
    <w:div w:id="1255893216">
      <w:bodyDiv w:val="1"/>
      <w:marLeft w:val="0"/>
      <w:marRight w:val="0"/>
      <w:marTop w:val="0"/>
      <w:marBottom w:val="0"/>
      <w:divBdr>
        <w:top w:val="none" w:sz="0" w:space="0" w:color="auto"/>
        <w:left w:val="none" w:sz="0" w:space="0" w:color="auto"/>
        <w:bottom w:val="none" w:sz="0" w:space="0" w:color="auto"/>
        <w:right w:val="none" w:sz="0" w:space="0" w:color="auto"/>
      </w:divBdr>
    </w:div>
    <w:div w:id="1256209360">
      <w:bodyDiv w:val="1"/>
      <w:marLeft w:val="0"/>
      <w:marRight w:val="0"/>
      <w:marTop w:val="0"/>
      <w:marBottom w:val="0"/>
      <w:divBdr>
        <w:top w:val="none" w:sz="0" w:space="0" w:color="auto"/>
        <w:left w:val="none" w:sz="0" w:space="0" w:color="auto"/>
        <w:bottom w:val="none" w:sz="0" w:space="0" w:color="auto"/>
        <w:right w:val="none" w:sz="0" w:space="0" w:color="auto"/>
      </w:divBdr>
    </w:div>
    <w:div w:id="1256403904">
      <w:bodyDiv w:val="1"/>
      <w:marLeft w:val="0"/>
      <w:marRight w:val="0"/>
      <w:marTop w:val="0"/>
      <w:marBottom w:val="0"/>
      <w:divBdr>
        <w:top w:val="none" w:sz="0" w:space="0" w:color="auto"/>
        <w:left w:val="none" w:sz="0" w:space="0" w:color="auto"/>
        <w:bottom w:val="none" w:sz="0" w:space="0" w:color="auto"/>
        <w:right w:val="none" w:sz="0" w:space="0" w:color="auto"/>
      </w:divBdr>
    </w:div>
    <w:div w:id="1256669995">
      <w:bodyDiv w:val="1"/>
      <w:marLeft w:val="0"/>
      <w:marRight w:val="0"/>
      <w:marTop w:val="0"/>
      <w:marBottom w:val="0"/>
      <w:divBdr>
        <w:top w:val="none" w:sz="0" w:space="0" w:color="auto"/>
        <w:left w:val="none" w:sz="0" w:space="0" w:color="auto"/>
        <w:bottom w:val="none" w:sz="0" w:space="0" w:color="auto"/>
        <w:right w:val="none" w:sz="0" w:space="0" w:color="auto"/>
      </w:divBdr>
    </w:div>
    <w:div w:id="1256816553">
      <w:bodyDiv w:val="1"/>
      <w:marLeft w:val="0"/>
      <w:marRight w:val="0"/>
      <w:marTop w:val="0"/>
      <w:marBottom w:val="0"/>
      <w:divBdr>
        <w:top w:val="none" w:sz="0" w:space="0" w:color="auto"/>
        <w:left w:val="none" w:sz="0" w:space="0" w:color="auto"/>
        <w:bottom w:val="none" w:sz="0" w:space="0" w:color="auto"/>
        <w:right w:val="none" w:sz="0" w:space="0" w:color="auto"/>
      </w:divBdr>
    </w:div>
    <w:div w:id="1256941876">
      <w:bodyDiv w:val="1"/>
      <w:marLeft w:val="0"/>
      <w:marRight w:val="0"/>
      <w:marTop w:val="0"/>
      <w:marBottom w:val="0"/>
      <w:divBdr>
        <w:top w:val="none" w:sz="0" w:space="0" w:color="auto"/>
        <w:left w:val="none" w:sz="0" w:space="0" w:color="auto"/>
        <w:bottom w:val="none" w:sz="0" w:space="0" w:color="auto"/>
        <w:right w:val="none" w:sz="0" w:space="0" w:color="auto"/>
      </w:divBdr>
    </w:div>
    <w:div w:id="1257208905">
      <w:bodyDiv w:val="1"/>
      <w:marLeft w:val="0"/>
      <w:marRight w:val="0"/>
      <w:marTop w:val="0"/>
      <w:marBottom w:val="0"/>
      <w:divBdr>
        <w:top w:val="none" w:sz="0" w:space="0" w:color="auto"/>
        <w:left w:val="none" w:sz="0" w:space="0" w:color="auto"/>
        <w:bottom w:val="none" w:sz="0" w:space="0" w:color="auto"/>
        <w:right w:val="none" w:sz="0" w:space="0" w:color="auto"/>
      </w:divBdr>
    </w:div>
    <w:div w:id="1257909141">
      <w:bodyDiv w:val="1"/>
      <w:marLeft w:val="0"/>
      <w:marRight w:val="0"/>
      <w:marTop w:val="0"/>
      <w:marBottom w:val="0"/>
      <w:divBdr>
        <w:top w:val="none" w:sz="0" w:space="0" w:color="auto"/>
        <w:left w:val="none" w:sz="0" w:space="0" w:color="auto"/>
        <w:bottom w:val="none" w:sz="0" w:space="0" w:color="auto"/>
        <w:right w:val="none" w:sz="0" w:space="0" w:color="auto"/>
      </w:divBdr>
    </w:div>
    <w:div w:id="1258365924">
      <w:bodyDiv w:val="1"/>
      <w:marLeft w:val="0"/>
      <w:marRight w:val="0"/>
      <w:marTop w:val="0"/>
      <w:marBottom w:val="0"/>
      <w:divBdr>
        <w:top w:val="none" w:sz="0" w:space="0" w:color="auto"/>
        <w:left w:val="none" w:sz="0" w:space="0" w:color="auto"/>
        <w:bottom w:val="none" w:sz="0" w:space="0" w:color="auto"/>
        <w:right w:val="none" w:sz="0" w:space="0" w:color="auto"/>
      </w:divBdr>
    </w:div>
    <w:div w:id="1258636076">
      <w:bodyDiv w:val="1"/>
      <w:marLeft w:val="0"/>
      <w:marRight w:val="0"/>
      <w:marTop w:val="0"/>
      <w:marBottom w:val="0"/>
      <w:divBdr>
        <w:top w:val="none" w:sz="0" w:space="0" w:color="auto"/>
        <w:left w:val="none" w:sz="0" w:space="0" w:color="auto"/>
        <w:bottom w:val="none" w:sz="0" w:space="0" w:color="auto"/>
        <w:right w:val="none" w:sz="0" w:space="0" w:color="auto"/>
      </w:divBdr>
    </w:div>
    <w:div w:id="1258906019">
      <w:bodyDiv w:val="1"/>
      <w:marLeft w:val="0"/>
      <w:marRight w:val="0"/>
      <w:marTop w:val="0"/>
      <w:marBottom w:val="0"/>
      <w:divBdr>
        <w:top w:val="none" w:sz="0" w:space="0" w:color="auto"/>
        <w:left w:val="none" w:sz="0" w:space="0" w:color="auto"/>
        <w:bottom w:val="none" w:sz="0" w:space="0" w:color="auto"/>
        <w:right w:val="none" w:sz="0" w:space="0" w:color="auto"/>
      </w:divBdr>
    </w:div>
    <w:div w:id="1259296092">
      <w:bodyDiv w:val="1"/>
      <w:marLeft w:val="0"/>
      <w:marRight w:val="0"/>
      <w:marTop w:val="0"/>
      <w:marBottom w:val="0"/>
      <w:divBdr>
        <w:top w:val="none" w:sz="0" w:space="0" w:color="auto"/>
        <w:left w:val="none" w:sz="0" w:space="0" w:color="auto"/>
        <w:bottom w:val="none" w:sz="0" w:space="0" w:color="auto"/>
        <w:right w:val="none" w:sz="0" w:space="0" w:color="auto"/>
      </w:divBdr>
    </w:div>
    <w:div w:id="1259603199">
      <w:bodyDiv w:val="1"/>
      <w:marLeft w:val="0"/>
      <w:marRight w:val="0"/>
      <w:marTop w:val="0"/>
      <w:marBottom w:val="0"/>
      <w:divBdr>
        <w:top w:val="none" w:sz="0" w:space="0" w:color="auto"/>
        <w:left w:val="none" w:sz="0" w:space="0" w:color="auto"/>
        <w:bottom w:val="none" w:sz="0" w:space="0" w:color="auto"/>
        <w:right w:val="none" w:sz="0" w:space="0" w:color="auto"/>
      </w:divBdr>
    </w:div>
    <w:div w:id="1259748896">
      <w:bodyDiv w:val="1"/>
      <w:marLeft w:val="0"/>
      <w:marRight w:val="0"/>
      <w:marTop w:val="0"/>
      <w:marBottom w:val="0"/>
      <w:divBdr>
        <w:top w:val="none" w:sz="0" w:space="0" w:color="auto"/>
        <w:left w:val="none" w:sz="0" w:space="0" w:color="auto"/>
        <w:bottom w:val="none" w:sz="0" w:space="0" w:color="auto"/>
        <w:right w:val="none" w:sz="0" w:space="0" w:color="auto"/>
      </w:divBdr>
    </w:div>
    <w:div w:id="1260674015">
      <w:bodyDiv w:val="1"/>
      <w:marLeft w:val="0"/>
      <w:marRight w:val="0"/>
      <w:marTop w:val="0"/>
      <w:marBottom w:val="0"/>
      <w:divBdr>
        <w:top w:val="none" w:sz="0" w:space="0" w:color="auto"/>
        <w:left w:val="none" w:sz="0" w:space="0" w:color="auto"/>
        <w:bottom w:val="none" w:sz="0" w:space="0" w:color="auto"/>
        <w:right w:val="none" w:sz="0" w:space="0" w:color="auto"/>
      </w:divBdr>
    </w:div>
    <w:div w:id="1260945382">
      <w:bodyDiv w:val="1"/>
      <w:marLeft w:val="0"/>
      <w:marRight w:val="0"/>
      <w:marTop w:val="0"/>
      <w:marBottom w:val="0"/>
      <w:divBdr>
        <w:top w:val="none" w:sz="0" w:space="0" w:color="auto"/>
        <w:left w:val="none" w:sz="0" w:space="0" w:color="auto"/>
        <w:bottom w:val="none" w:sz="0" w:space="0" w:color="auto"/>
        <w:right w:val="none" w:sz="0" w:space="0" w:color="auto"/>
      </w:divBdr>
    </w:div>
    <w:div w:id="1261068518">
      <w:bodyDiv w:val="1"/>
      <w:marLeft w:val="0"/>
      <w:marRight w:val="0"/>
      <w:marTop w:val="0"/>
      <w:marBottom w:val="0"/>
      <w:divBdr>
        <w:top w:val="none" w:sz="0" w:space="0" w:color="auto"/>
        <w:left w:val="none" w:sz="0" w:space="0" w:color="auto"/>
        <w:bottom w:val="none" w:sz="0" w:space="0" w:color="auto"/>
        <w:right w:val="none" w:sz="0" w:space="0" w:color="auto"/>
      </w:divBdr>
    </w:div>
    <w:div w:id="1261259774">
      <w:bodyDiv w:val="1"/>
      <w:marLeft w:val="0"/>
      <w:marRight w:val="0"/>
      <w:marTop w:val="0"/>
      <w:marBottom w:val="0"/>
      <w:divBdr>
        <w:top w:val="none" w:sz="0" w:space="0" w:color="auto"/>
        <w:left w:val="none" w:sz="0" w:space="0" w:color="auto"/>
        <w:bottom w:val="none" w:sz="0" w:space="0" w:color="auto"/>
        <w:right w:val="none" w:sz="0" w:space="0" w:color="auto"/>
      </w:divBdr>
    </w:div>
    <w:div w:id="1261375780">
      <w:bodyDiv w:val="1"/>
      <w:marLeft w:val="0"/>
      <w:marRight w:val="0"/>
      <w:marTop w:val="0"/>
      <w:marBottom w:val="0"/>
      <w:divBdr>
        <w:top w:val="none" w:sz="0" w:space="0" w:color="auto"/>
        <w:left w:val="none" w:sz="0" w:space="0" w:color="auto"/>
        <w:bottom w:val="none" w:sz="0" w:space="0" w:color="auto"/>
        <w:right w:val="none" w:sz="0" w:space="0" w:color="auto"/>
      </w:divBdr>
    </w:div>
    <w:div w:id="1262035272">
      <w:bodyDiv w:val="1"/>
      <w:marLeft w:val="0"/>
      <w:marRight w:val="0"/>
      <w:marTop w:val="0"/>
      <w:marBottom w:val="0"/>
      <w:divBdr>
        <w:top w:val="none" w:sz="0" w:space="0" w:color="auto"/>
        <w:left w:val="none" w:sz="0" w:space="0" w:color="auto"/>
        <w:bottom w:val="none" w:sz="0" w:space="0" w:color="auto"/>
        <w:right w:val="none" w:sz="0" w:space="0" w:color="auto"/>
      </w:divBdr>
    </w:div>
    <w:div w:id="1262642226">
      <w:bodyDiv w:val="1"/>
      <w:marLeft w:val="0"/>
      <w:marRight w:val="0"/>
      <w:marTop w:val="0"/>
      <w:marBottom w:val="0"/>
      <w:divBdr>
        <w:top w:val="none" w:sz="0" w:space="0" w:color="auto"/>
        <w:left w:val="none" w:sz="0" w:space="0" w:color="auto"/>
        <w:bottom w:val="none" w:sz="0" w:space="0" w:color="auto"/>
        <w:right w:val="none" w:sz="0" w:space="0" w:color="auto"/>
      </w:divBdr>
    </w:div>
    <w:div w:id="1262911265">
      <w:bodyDiv w:val="1"/>
      <w:marLeft w:val="0"/>
      <w:marRight w:val="0"/>
      <w:marTop w:val="0"/>
      <w:marBottom w:val="0"/>
      <w:divBdr>
        <w:top w:val="none" w:sz="0" w:space="0" w:color="auto"/>
        <w:left w:val="none" w:sz="0" w:space="0" w:color="auto"/>
        <w:bottom w:val="none" w:sz="0" w:space="0" w:color="auto"/>
        <w:right w:val="none" w:sz="0" w:space="0" w:color="auto"/>
      </w:divBdr>
    </w:div>
    <w:div w:id="1262949865">
      <w:bodyDiv w:val="1"/>
      <w:marLeft w:val="0"/>
      <w:marRight w:val="0"/>
      <w:marTop w:val="0"/>
      <w:marBottom w:val="0"/>
      <w:divBdr>
        <w:top w:val="none" w:sz="0" w:space="0" w:color="auto"/>
        <w:left w:val="none" w:sz="0" w:space="0" w:color="auto"/>
        <w:bottom w:val="none" w:sz="0" w:space="0" w:color="auto"/>
        <w:right w:val="none" w:sz="0" w:space="0" w:color="auto"/>
      </w:divBdr>
    </w:div>
    <w:div w:id="1263298554">
      <w:bodyDiv w:val="1"/>
      <w:marLeft w:val="0"/>
      <w:marRight w:val="0"/>
      <w:marTop w:val="0"/>
      <w:marBottom w:val="0"/>
      <w:divBdr>
        <w:top w:val="none" w:sz="0" w:space="0" w:color="auto"/>
        <w:left w:val="none" w:sz="0" w:space="0" w:color="auto"/>
        <w:bottom w:val="none" w:sz="0" w:space="0" w:color="auto"/>
        <w:right w:val="none" w:sz="0" w:space="0" w:color="auto"/>
      </w:divBdr>
    </w:div>
    <w:div w:id="1263301006">
      <w:bodyDiv w:val="1"/>
      <w:marLeft w:val="0"/>
      <w:marRight w:val="0"/>
      <w:marTop w:val="0"/>
      <w:marBottom w:val="0"/>
      <w:divBdr>
        <w:top w:val="none" w:sz="0" w:space="0" w:color="auto"/>
        <w:left w:val="none" w:sz="0" w:space="0" w:color="auto"/>
        <w:bottom w:val="none" w:sz="0" w:space="0" w:color="auto"/>
        <w:right w:val="none" w:sz="0" w:space="0" w:color="auto"/>
      </w:divBdr>
    </w:div>
    <w:div w:id="1263611196">
      <w:bodyDiv w:val="1"/>
      <w:marLeft w:val="0"/>
      <w:marRight w:val="0"/>
      <w:marTop w:val="0"/>
      <w:marBottom w:val="0"/>
      <w:divBdr>
        <w:top w:val="none" w:sz="0" w:space="0" w:color="auto"/>
        <w:left w:val="none" w:sz="0" w:space="0" w:color="auto"/>
        <w:bottom w:val="none" w:sz="0" w:space="0" w:color="auto"/>
        <w:right w:val="none" w:sz="0" w:space="0" w:color="auto"/>
      </w:divBdr>
    </w:div>
    <w:div w:id="1263802606">
      <w:bodyDiv w:val="1"/>
      <w:marLeft w:val="0"/>
      <w:marRight w:val="0"/>
      <w:marTop w:val="0"/>
      <w:marBottom w:val="0"/>
      <w:divBdr>
        <w:top w:val="none" w:sz="0" w:space="0" w:color="auto"/>
        <w:left w:val="none" w:sz="0" w:space="0" w:color="auto"/>
        <w:bottom w:val="none" w:sz="0" w:space="0" w:color="auto"/>
        <w:right w:val="none" w:sz="0" w:space="0" w:color="auto"/>
      </w:divBdr>
    </w:div>
    <w:div w:id="1265067998">
      <w:bodyDiv w:val="1"/>
      <w:marLeft w:val="0"/>
      <w:marRight w:val="0"/>
      <w:marTop w:val="0"/>
      <w:marBottom w:val="0"/>
      <w:divBdr>
        <w:top w:val="none" w:sz="0" w:space="0" w:color="auto"/>
        <w:left w:val="none" w:sz="0" w:space="0" w:color="auto"/>
        <w:bottom w:val="none" w:sz="0" w:space="0" w:color="auto"/>
        <w:right w:val="none" w:sz="0" w:space="0" w:color="auto"/>
      </w:divBdr>
    </w:div>
    <w:div w:id="1265109342">
      <w:bodyDiv w:val="1"/>
      <w:marLeft w:val="0"/>
      <w:marRight w:val="0"/>
      <w:marTop w:val="0"/>
      <w:marBottom w:val="0"/>
      <w:divBdr>
        <w:top w:val="none" w:sz="0" w:space="0" w:color="auto"/>
        <w:left w:val="none" w:sz="0" w:space="0" w:color="auto"/>
        <w:bottom w:val="none" w:sz="0" w:space="0" w:color="auto"/>
        <w:right w:val="none" w:sz="0" w:space="0" w:color="auto"/>
      </w:divBdr>
    </w:div>
    <w:div w:id="1265115698">
      <w:bodyDiv w:val="1"/>
      <w:marLeft w:val="0"/>
      <w:marRight w:val="0"/>
      <w:marTop w:val="0"/>
      <w:marBottom w:val="0"/>
      <w:divBdr>
        <w:top w:val="none" w:sz="0" w:space="0" w:color="auto"/>
        <w:left w:val="none" w:sz="0" w:space="0" w:color="auto"/>
        <w:bottom w:val="none" w:sz="0" w:space="0" w:color="auto"/>
        <w:right w:val="none" w:sz="0" w:space="0" w:color="auto"/>
      </w:divBdr>
    </w:div>
    <w:div w:id="1265262064">
      <w:bodyDiv w:val="1"/>
      <w:marLeft w:val="0"/>
      <w:marRight w:val="0"/>
      <w:marTop w:val="0"/>
      <w:marBottom w:val="0"/>
      <w:divBdr>
        <w:top w:val="none" w:sz="0" w:space="0" w:color="auto"/>
        <w:left w:val="none" w:sz="0" w:space="0" w:color="auto"/>
        <w:bottom w:val="none" w:sz="0" w:space="0" w:color="auto"/>
        <w:right w:val="none" w:sz="0" w:space="0" w:color="auto"/>
      </w:divBdr>
    </w:div>
    <w:div w:id="1266040862">
      <w:bodyDiv w:val="1"/>
      <w:marLeft w:val="0"/>
      <w:marRight w:val="0"/>
      <w:marTop w:val="0"/>
      <w:marBottom w:val="0"/>
      <w:divBdr>
        <w:top w:val="none" w:sz="0" w:space="0" w:color="auto"/>
        <w:left w:val="none" w:sz="0" w:space="0" w:color="auto"/>
        <w:bottom w:val="none" w:sz="0" w:space="0" w:color="auto"/>
        <w:right w:val="none" w:sz="0" w:space="0" w:color="auto"/>
      </w:divBdr>
    </w:div>
    <w:div w:id="1266228194">
      <w:bodyDiv w:val="1"/>
      <w:marLeft w:val="0"/>
      <w:marRight w:val="0"/>
      <w:marTop w:val="0"/>
      <w:marBottom w:val="0"/>
      <w:divBdr>
        <w:top w:val="none" w:sz="0" w:space="0" w:color="auto"/>
        <w:left w:val="none" w:sz="0" w:space="0" w:color="auto"/>
        <w:bottom w:val="none" w:sz="0" w:space="0" w:color="auto"/>
        <w:right w:val="none" w:sz="0" w:space="0" w:color="auto"/>
      </w:divBdr>
    </w:div>
    <w:div w:id="1266497229">
      <w:bodyDiv w:val="1"/>
      <w:marLeft w:val="0"/>
      <w:marRight w:val="0"/>
      <w:marTop w:val="0"/>
      <w:marBottom w:val="0"/>
      <w:divBdr>
        <w:top w:val="none" w:sz="0" w:space="0" w:color="auto"/>
        <w:left w:val="none" w:sz="0" w:space="0" w:color="auto"/>
        <w:bottom w:val="none" w:sz="0" w:space="0" w:color="auto"/>
        <w:right w:val="none" w:sz="0" w:space="0" w:color="auto"/>
      </w:divBdr>
    </w:div>
    <w:div w:id="1267277205">
      <w:bodyDiv w:val="1"/>
      <w:marLeft w:val="0"/>
      <w:marRight w:val="0"/>
      <w:marTop w:val="0"/>
      <w:marBottom w:val="0"/>
      <w:divBdr>
        <w:top w:val="none" w:sz="0" w:space="0" w:color="auto"/>
        <w:left w:val="none" w:sz="0" w:space="0" w:color="auto"/>
        <w:bottom w:val="none" w:sz="0" w:space="0" w:color="auto"/>
        <w:right w:val="none" w:sz="0" w:space="0" w:color="auto"/>
      </w:divBdr>
    </w:div>
    <w:div w:id="1267349214">
      <w:bodyDiv w:val="1"/>
      <w:marLeft w:val="0"/>
      <w:marRight w:val="0"/>
      <w:marTop w:val="0"/>
      <w:marBottom w:val="0"/>
      <w:divBdr>
        <w:top w:val="none" w:sz="0" w:space="0" w:color="auto"/>
        <w:left w:val="none" w:sz="0" w:space="0" w:color="auto"/>
        <w:bottom w:val="none" w:sz="0" w:space="0" w:color="auto"/>
        <w:right w:val="none" w:sz="0" w:space="0" w:color="auto"/>
      </w:divBdr>
    </w:div>
    <w:div w:id="1267428015">
      <w:bodyDiv w:val="1"/>
      <w:marLeft w:val="0"/>
      <w:marRight w:val="0"/>
      <w:marTop w:val="0"/>
      <w:marBottom w:val="0"/>
      <w:divBdr>
        <w:top w:val="none" w:sz="0" w:space="0" w:color="auto"/>
        <w:left w:val="none" w:sz="0" w:space="0" w:color="auto"/>
        <w:bottom w:val="none" w:sz="0" w:space="0" w:color="auto"/>
        <w:right w:val="none" w:sz="0" w:space="0" w:color="auto"/>
      </w:divBdr>
    </w:div>
    <w:div w:id="1267734703">
      <w:bodyDiv w:val="1"/>
      <w:marLeft w:val="0"/>
      <w:marRight w:val="0"/>
      <w:marTop w:val="0"/>
      <w:marBottom w:val="0"/>
      <w:divBdr>
        <w:top w:val="none" w:sz="0" w:space="0" w:color="auto"/>
        <w:left w:val="none" w:sz="0" w:space="0" w:color="auto"/>
        <w:bottom w:val="none" w:sz="0" w:space="0" w:color="auto"/>
        <w:right w:val="none" w:sz="0" w:space="0" w:color="auto"/>
      </w:divBdr>
    </w:div>
    <w:div w:id="1268390801">
      <w:bodyDiv w:val="1"/>
      <w:marLeft w:val="0"/>
      <w:marRight w:val="0"/>
      <w:marTop w:val="0"/>
      <w:marBottom w:val="0"/>
      <w:divBdr>
        <w:top w:val="none" w:sz="0" w:space="0" w:color="auto"/>
        <w:left w:val="none" w:sz="0" w:space="0" w:color="auto"/>
        <w:bottom w:val="none" w:sz="0" w:space="0" w:color="auto"/>
        <w:right w:val="none" w:sz="0" w:space="0" w:color="auto"/>
      </w:divBdr>
    </w:div>
    <w:div w:id="1269312402">
      <w:bodyDiv w:val="1"/>
      <w:marLeft w:val="0"/>
      <w:marRight w:val="0"/>
      <w:marTop w:val="0"/>
      <w:marBottom w:val="0"/>
      <w:divBdr>
        <w:top w:val="none" w:sz="0" w:space="0" w:color="auto"/>
        <w:left w:val="none" w:sz="0" w:space="0" w:color="auto"/>
        <w:bottom w:val="none" w:sz="0" w:space="0" w:color="auto"/>
        <w:right w:val="none" w:sz="0" w:space="0" w:color="auto"/>
      </w:divBdr>
    </w:div>
    <w:div w:id="1269508112">
      <w:bodyDiv w:val="1"/>
      <w:marLeft w:val="0"/>
      <w:marRight w:val="0"/>
      <w:marTop w:val="0"/>
      <w:marBottom w:val="0"/>
      <w:divBdr>
        <w:top w:val="none" w:sz="0" w:space="0" w:color="auto"/>
        <w:left w:val="none" w:sz="0" w:space="0" w:color="auto"/>
        <w:bottom w:val="none" w:sz="0" w:space="0" w:color="auto"/>
        <w:right w:val="none" w:sz="0" w:space="0" w:color="auto"/>
      </w:divBdr>
    </w:div>
    <w:div w:id="1270433892">
      <w:bodyDiv w:val="1"/>
      <w:marLeft w:val="0"/>
      <w:marRight w:val="0"/>
      <w:marTop w:val="0"/>
      <w:marBottom w:val="0"/>
      <w:divBdr>
        <w:top w:val="none" w:sz="0" w:space="0" w:color="auto"/>
        <w:left w:val="none" w:sz="0" w:space="0" w:color="auto"/>
        <w:bottom w:val="none" w:sz="0" w:space="0" w:color="auto"/>
        <w:right w:val="none" w:sz="0" w:space="0" w:color="auto"/>
      </w:divBdr>
    </w:div>
    <w:div w:id="1270507798">
      <w:bodyDiv w:val="1"/>
      <w:marLeft w:val="0"/>
      <w:marRight w:val="0"/>
      <w:marTop w:val="0"/>
      <w:marBottom w:val="0"/>
      <w:divBdr>
        <w:top w:val="none" w:sz="0" w:space="0" w:color="auto"/>
        <w:left w:val="none" w:sz="0" w:space="0" w:color="auto"/>
        <w:bottom w:val="none" w:sz="0" w:space="0" w:color="auto"/>
        <w:right w:val="none" w:sz="0" w:space="0" w:color="auto"/>
      </w:divBdr>
    </w:div>
    <w:div w:id="1270818619">
      <w:bodyDiv w:val="1"/>
      <w:marLeft w:val="0"/>
      <w:marRight w:val="0"/>
      <w:marTop w:val="0"/>
      <w:marBottom w:val="0"/>
      <w:divBdr>
        <w:top w:val="none" w:sz="0" w:space="0" w:color="auto"/>
        <w:left w:val="none" w:sz="0" w:space="0" w:color="auto"/>
        <w:bottom w:val="none" w:sz="0" w:space="0" w:color="auto"/>
        <w:right w:val="none" w:sz="0" w:space="0" w:color="auto"/>
      </w:divBdr>
    </w:div>
    <w:div w:id="1270820226">
      <w:bodyDiv w:val="1"/>
      <w:marLeft w:val="0"/>
      <w:marRight w:val="0"/>
      <w:marTop w:val="0"/>
      <w:marBottom w:val="0"/>
      <w:divBdr>
        <w:top w:val="none" w:sz="0" w:space="0" w:color="auto"/>
        <w:left w:val="none" w:sz="0" w:space="0" w:color="auto"/>
        <w:bottom w:val="none" w:sz="0" w:space="0" w:color="auto"/>
        <w:right w:val="none" w:sz="0" w:space="0" w:color="auto"/>
      </w:divBdr>
    </w:div>
    <w:div w:id="1272131078">
      <w:bodyDiv w:val="1"/>
      <w:marLeft w:val="0"/>
      <w:marRight w:val="0"/>
      <w:marTop w:val="0"/>
      <w:marBottom w:val="0"/>
      <w:divBdr>
        <w:top w:val="none" w:sz="0" w:space="0" w:color="auto"/>
        <w:left w:val="none" w:sz="0" w:space="0" w:color="auto"/>
        <w:bottom w:val="none" w:sz="0" w:space="0" w:color="auto"/>
        <w:right w:val="none" w:sz="0" w:space="0" w:color="auto"/>
      </w:divBdr>
    </w:div>
    <w:div w:id="1272513837">
      <w:bodyDiv w:val="1"/>
      <w:marLeft w:val="0"/>
      <w:marRight w:val="0"/>
      <w:marTop w:val="0"/>
      <w:marBottom w:val="0"/>
      <w:divBdr>
        <w:top w:val="none" w:sz="0" w:space="0" w:color="auto"/>
        <w:left w:val="none" w:sz="0" w:space="0" w:color="auto"/>
        <w:bottom w:val="none" w:sz="0" w:space="0" w:color="auto"/>
        <w:right w:val="none" w:sz="0" w:space="0" w:color="auto"/>
      </w:divBdr>
    </w:div>
    <w:div w:id="1272666252">
      <w:bodyDiv w:val="1"/>
      <w:marLeft w:val="0"/>
      <w:marRight w:val="0"/>
      <w:marTop w:val="0"/>
      <w:marBottom w:val="0"/>
      <w:divBdr>
        <w:top w:val="none" w:sz="0" w:space="0" w:color="auto"/>
        <w:left w:val="none" w:sz="0" w:space="0" w:color="auto"/>
        <w:bottom w:val="none" w:sz="0" w:space="0" w:color="auto"/>
        <w:right w:val="none" w:sz="0" w:space="0" w:color="auto"/>
      </w:divBdr>
    </w:div>
    <w:div w:id="1272862477">
      <w:bodyDiv w:val="1"/>
      <w:marLeft w:val="0"/>
      <w:marRight w:val="0"/>
      <w:marTop w:val="0"/>
      <w:marBottom w:val="0"/>
      <w:divBdr>
        <w:top w:val="none" w:sz="0" w:space="0" w:color="auto"/>
        <w:left w:val="none" w:sz="0" w:space="0" w:color="auto"/>
        <w:bottom w:val="none" w:sz="0" w:space="0" w:color="auto"/>
        <w:right w:val="none" w:sz="0" w:space="0" w:color="auto"/>
      </w:divBdr>
    </w:div>
    <w:div w:id="1273705956">
      <w:bodyDiv w:val="1"/>
      <w:marLeft w:val="0"/>
      <w:marRight w:val="0"/>
      <w:marTop w:val="0"/>
      <w:marBottom w:val="0"/>
      <w:divBdr>
        <w:top w:val="none" w:sz="0" w:space="0" w:color="auto"/>
        <w:left w:val="none" w:sz="0" w:space="0" w:color="auto"/>
        <w:bottom w:val="none" w:sz="0" w:space="0" w:color="auto"/>
        <w:right w:val="none" w:sz="0" w:space="0" w:color="auto"/>
      </w:divBdr>
    </w:div>
    <w:div w:id="1274284574">
      <w:bodyDiv w:val="1"/>
      <w:marLeft w:val="0"/>
      <w:marRight w:val="0"/>
      <w:marTop w:val="0"/>
      <w:marBottom w:val="0"/>
      <w:divBdr>
        <w:top w:val="none" w:sz="0" w:space="0" w:color="auto"/>
        <w:left w:val="none" w:sz="0" w:space="0" w:color="auto"/>
        <w:bottom w:val="none" w:sz="0" w:space="0" w:color="auto"/>
        <w:right w:val="none" w:sz="0" w:space="0" w:color="auto"/>
      </w:divBdr>
    </w:div>
    <w:div w:id="1275551083">
      <w:bodyDiv w:val="1"/>
      <w:marLeft w:val="0"/>
      <w:marRight w:val="0"/>
      <w:marTop w:val="0"/>
      <w:marBottom w:val="0"/>
      <w:divBdr>
        <w:top w:val="none" w:sz="0" w:space="0" w:color="auto"/>
        <w:left w:val="none" w:sz="0" w:space="0" w:color="auto"/>
        <w:bottom w:val="none" w:sz="0" w:space="0" w:color="auto"/>
        <w:right w:val="none" w:sz="0" w:space="0" w:color="auto"/>
      </w:divBdr>
    </w:div>
    <w:div w:id="1275554148">
      <w:bodyDiv w:val="1"/>
      <w:marLeft w:val="0"/>
      <w:marRight w:val="0"/>
      <w:marTop w:val="0"/>
      <w:marBottom w:val="0"/>
      <w:divBdr>
        <w:top w:val="none" w:sz="0" w:space="0" w:color="auto"/>
        <w:left w:val="none" w:sz="0" w:space="0" w:color="auto"/>
        <w:bottom w:val="none" w:sz="0" w:space="0" w:color="auto"/>
        <w:right w:val="none" w:sz="0" w:space="0" w:color="auto"/>
      </w:divBdr>
    </w:div>
    <w:div w:id="1275945160">
      <w:bodyDiv w:val="1"/>
      <w:marLeft w:val="0"/>
      <w:marRight w:val="0"/>
      <w:marTop w:val="0"/>
      <w:marBottom w:val="0"/>
      <w:divBdr>
        <w:top w:val="none" w:sz="0" w:space="0" w:color="auto"/>
        <w:left w:val="none" w:sz="0" w:space="0" w:color="auto"/>
        <w:bottom w:val="none" w:sz="0" w:space="0" w:color="auto"/>
        <w:right w:val="none" w:sz="0" w:space="0" w:color="auto"/>
      </w:divBdr>
    </w:div>
    <w:div w:id="1276248530">
      <w:bodyDiv w:val="1"/>
      <w:marLeft w:val="0"/>
      <w:marRight w:val="0"/>
      <w:marTop w:val="0"/>
      <w:marBottom w:val="0"/>
      <w:divBdr>
        <w:top w:val="none" w:sz="0" w:space="0" w:color="auto"/>
        <w:left w:val="none" w:sz="0" w:space="0" w:color="auto"/>
        <w:bottom w:val="none" w:sz="0" w:space="0" w:color="auto"/>
        <w:right w:val="none" w:sz="0" w:space="0" w:color="auto"/>
      </w:divBdr>
    </w:div>
    <w:div w:id="1277063028">
      <w:bodyDiv w:val="1"/>
      <w:marLeft w:val="0"/>
      <w:marRight w:val="0"/>
      <w:marTop w:val="0"/>
      <w:marBottom w:val="0"/>
      <w:divBdr>
        <w:top w:val="none" w:sz="0" w:space="0" w:color="auto"/>
        <w:left w:val="none" w:sz="0" w:space="0" w:color="auto"/>
        <w:bottom w:val="none" w:sz="0" w:space="0" w:color="auto"/>
        <w:right w:val="none" w:sz="0" w:space="0" w:color="auto"/>
      </w:divBdr>
    </w:div>
    <w:div w:id="1277368303">
      <w:bodyDiv w:val="1"/>
      <w:marLeft w:val="0"/>
      <w:marRight w:val="0"/>
      <w:marTop w:val="0"/>
      <w:marBottom w:val="0"/>
      <w:divBdr>
        <w:top w:val="none" w:sz="0" w:space="0" w:color="auto"/>
        <w:left w:val="none" w:sz="0" w:space="0" w:color="auto"/>
        <w:bottom w:val="none" w:sz="0" w:space="0" w:color="auto"/>
        <w:right w:val="none" w:sz="0" w:space="0" w:color="auto"/>
      </w:divBdr>
    </w:div>
    <w:div w:id="1277640636">
      <w:bodyDiv w:val="1"/>
      <w:marLeft w:val="0"/>
      <w:marRight w:val="0"/>
      <w:marTop w:val="0"/>
      <w:marBottom w:val="0"/>
      <w:divBdr>
        <w:top w:val="none" w:sz="0" w:space="0" w:color="auto"/>
        <w:left w:val="none" w:sz="0" w:space="0" w:color="auto"/>
        <w:bottom w:val="none" w:sz="0" w:space="0" w:color="auto"/>
        <w:right w:val="none" w:sz="0" w:space="0" w:color="auto"/>
      </w:divBdr>
    </w:div>
    <w:div w:id="1278027796">
      <w:bodyDiv w:val="1"/>
      <w:marLeft w:val="0"/>
      <w:marRight w:val="0"/>
      <w:marTop w:val="0"/>
      <w:marBottom w:val="0"/>
      <w:divBdr>
        <w:top w:val="none" w:sz="0" w:space="0" w:color="auto"/>
        <w:left w:val="none" w:sz="0" w:space="0" w:color="auto"/>
        <w:bottom w:val="none" w:sz="0" w:space="0" w:color="auto"/>
        <w:right w:val="none" w:sz="0" w:space="0" w:color="auto"/>
      </w:divBdr>
    </w:div>
    <w:div w:id="1278218062">
      <w:bodyDiv w:val="1"/>
      <w:marLeft w:val="0"/>
      <w:marRight w:val="0"/>
      <w:marTop w:val="0"/>
      <w:marBottom w:val="0"/>
      <w:divBdr>
        <w:top w:val="none" w:sz="0" w:space="0" w:color="auto"/>
        <w:left w:val="none" w:sz="0" w:space="0" w:color="auto"/>
        <w:bottom w:val="none" w:sz="0" w:space="0" w:color="auto"/>
        <w:right w:val="none" w:sz="0" w:space="0" w:color="auto"/>
      </w:divBdr>
    </w:div>
    <w:div w:id="1278753727">
      <w:bodyDiv w:val="1"/>
      <w:marLeft w:val="0"/>
      <w:marRight w:val="0"/>
      <w:marTop w:val="0"/>
      <w:marBottom w:val="0"/>
      <w:divBdr>
        <w:top w:val="none" w:sz="0" w:space="0" w:color="auto"/>
        <w:left w:val="none" w:sz="0" w:space="0" w:color="auto"/>
        <w:bottom w:val="none" w:sz="0" w:space="0" w:color="auto"/>
        <w:right w:val="none" w:sz="0" w:space="0" w:color="auto"/>
      </w:divBdr>
    </w:div>
    <w:div w:id="1278760220">
      <w:bodyDiv w:val="1"/>
      <w:marLeft w:val="0"/>
      <w:marRight w:val="0"/>
      <w:marTop w:val="0"/>
      <w:marBottom w:val="0"/>
      <w:divBdr>
        <w:top w:val="none" w:sz="0" w:space="0" w:color="auto"/>
        <w:left w:val="none" w:sz="0" w:space="0" w:color="auto"/>
        <w:bottom w:val="none" w:sz="0" w:space="0" w:color="auto"/>
        <w:right w:val="none" w:sz="0" w:space="0" w:color="auto"/>
      </w:divBdr>
    </w:div>
    <w:div w:id="1278953202">
      <w:bodyDiv w:val="1"/>
      <w:marLeft w:val="0"/>
      <w:marRight w:val="0"/>
      <w:marTop w:val="0"/>
      <w:marBottom w:val="0"/>
      <w:divBdr>
        <w:top w:val="none" w:sz="0" w:space="0" w:color="auto"/>
        <w:left w:val="none" w:sz="0" w:space="0" w:color="auto"/>
        <w:bottom w:val="none" w:sz="0" w:space="0" w:color="auto"/>
        <w:right w:val="none" w:sz="0" w:space="0" w:color="auto"/>
      </w:divBdr>
    </w:div>
    <w:div w:id="1279482942">
      <w:bodyDiv w:val="1"/>
      <w:marLeft w:val="0"/>
      <w:marRight w:val="0"/>
      <w:marTop w:val="0"/>
      <w:marBottom w:val="0"/>
      <w:divBdr>
        <w:top w:val="none" w:sz="0" w:space="0" w:color="auto"/>
        <w:left w:val="none" w:sz="0" w:space="0" w:color="auto"/>
        <w:bottom w:val="none" w:sz="0" w:space="0" w:color="auto"/>
        <w:right w:val="none" w:sz="0" w:space="0" w:color="auto"/>
      </w:divBdr>
    </w:div>
    <w:div w:id="1279605334">
      <w:bodyDiv w:val="1"/>
      <w:marLeft w:val="0"/>
      <w:marRight w:val="0"/>
      <w:marTop w:val="0"/>
      <w:marBottom w:val="0"/>
      <w:divBdr>
        <w:top w:val="none" w:sz="0" w:space="0" w:color="auto"/>
        <w:left w:val="none" w:sz="0" w:space="0" w:color="auto"/>
        <w:bottom w:val="none" w:sz="0" w:space="0" w:color="auto"/>
        <w:right w:val="none" w:sz="0" w:space="0" w:color="auto"/>
      </w:divBdr>
    </w:div>
    <w:div w:id="1280181031">
      <w:bodyDiv w:val="1"/>
      <w:marLeft w:val="0"/>
      <w:marRight w:val="0"/>
      <w:marTop w:val="0"/>
      <w:marBottom w:val="0"/>
      <w:divBdr>
        <w:top w:val="none" w:sz="0" w:space="0" w:color="auto"/>
        <w:left w:val="none" w:sz="0" w:space="0" w:color="auto"/>
        <w:bottom w:val="none" w:sz="0" w:space="0" w:color="auto"/>
        <w:right w:val="none" w:sz="0" w:space="0" w:color="auto"/>
      </w:divBdr>
    </w:div>
    <w:div w:id="1280525443">
      <w:bodyDiv w:val="1"/>
      <w:marLeft w:val="0"/>
      <w:marRight w:val="0"/>
      <w:marTop w:val="0"/>
      <w:marBottom w:val="0"/>
      <w:divBdr>
        <w:top w:val="none" w:sz="0" w:space="0" w:color="auto"/>
        <w:left w:val="none" w:sz="0" w:space="0" w:color="auto"/>
        <w:bottom w:val="none" w:sz="0" w:space="0" w:color="auto"/>
        <w:right w:val="none" w:sz="0" w:space="0" w:color="auto"/>
      </w:divBdr>
    </w:div>
    <w:div w:id="1281915903">
      <w:bodyDiv w:val="1"/>
      <w:marLeft w:val="0"/>
      <w:marRight w:val="0"/>
      <w:marTop w:val="0"/>
      <w:marBottom w:val="0"/>
      <w:divBdr>
        <w:top w:val="none" w:sz="0" w:space="0" w:color="auto"/>
        <w:left w:val="none" w:sz="0" w:space="0" w:color="auto"/>
        <w:bottom w:val="none" w:sz="0" w:space="0" w:color="auto"/>
        <w:right w:val="none" w:sz="0" w:space="0" w:color="auto"/>
      </w:divBdr>
    </w:div>
    <w:div w:id="1282612496">
      <w:bodyDiv w:val="1"/>
      <w:marLeft w:val="0"/>
      <w:marRight w:val="0"/>
      <w:marTop w:val="0"/>
      <w:marBottom w:val="0"/>
      <w:divBdr>
        <w:top w:val="none" w:sz="0" w:space="0" w:color="auto"/>
        <w:left w:val="none" w:sz="0" w:space="0" w:color="auto"/>
        <w:bottom w:val="none" w:sz="0" w:space="0" w:color="auto"/>
        <w:right w:val="none" w:sz="0" w:space="0" w:color="auto"/>
      </w:divBdr>
    </w:div>
    <w:div w:id="1283533310">
      <w:bodyDiv w:val="1"/>
      <w:marLeft w:val="0"/>
      <w:marRight w:val="0"/>
      <w:marTop w:val="0"/>
      <w:marBottom w:val="0"/>
      <w:divBdr>
        <w:top w:val="none" w:sz="0" w:space="0" w:color="auto"/>
        <w:left w:val="none" w:sz="0" w:space="0" w:color="auto"/>
        <w:bottom w:val="none" w:sz="0" w:space="0" w:color="auto"/>
        <w:right w:val="none" w:sz="0" w:space="0" w:color="auto"/>
      </w:divBdr>
    </w:div>
    <w:div w:id="1283612734">
      <w:bodyDiv w:val="1"/>
      <w:marLeft w:val="0"/>
      <w:marRight w:val="0"/>
      <w:marTop w:val="0"/>
      <w:marBottom w:val="0"/>
      <w:divBdr>
        <w:top w:val="none" w:sz="0" w:space="0" w:color="auto"/>
        <w:left w:val="none" w:sz="0" w:space="0" w:color="auto"/>
        <w:bottom w:val="none" w:sz="0" w:space="0" w:color="auto"/>
        <w:right w:val="none" w:sz="0" w:space="0" w:color="auto"/>
      </w:divBdr>
    </w:div>
    <w:div w:id="1283919026">
      <w:bodyDiv w:val="1"/>
      <w:marLeft w:val="0"/>
      <w:marRight w:val="0"/>
      <w:marTop w:val="0"/>
      <w:marBottom w:val="0"/>
      <w:divBdr>
        <w:top w:val="none" w:sz="0" w:space="0" w:color="auto"/>
        <w:left w:val="none" w:sz="0" w:space="0" w:color="auto"/>
        <w:bottom w:val="none" w:sz="0" w:space="0" w:color="auto"/>
        <w:right w:val="none" w:sz="0" w:space="0" w:color="auto"/>
      </w:divBdr>
    </w:div>
    <w:div w:id="1285842159">
      <w:bodyDiv w:val="1"/>
      <w:marLeft w:val="0"/>
      <w:marRight w:val="0"/>
      <w:marTop w:val="0"/>
      <w:marBottom w:val="0"/>
      <w:divBdr>
        <w:top w:val="none" w:sz="0" w:space="0" w:color="auto"/>
        <w:left w:val="none" w:sz="0" w:space="0" w:color="auto"/>
        <w:bottom w:val="none" w:sz="0" w:space="0" w:color="auto"/>
        <w:right w:val="none" w:sz="0" w:space="0" w:color="auto"/>
      </w:divBdr>
    </w:div>
    <w:div w:id="1287009201">
      <w:bodyDiv w:val="1"/>
      <w:marLeft w:val="0"/>
      <w:marRight w:val="0"/>
      <w:marTop w:val="0"/>
      <w:marBottom w:val="0"/>
      <w:divBdr>
        <w:top w:val="none" w:sz="0" w:space="0" w:color="auto"/>
        <w:left w:val="none" w:sz="0" w:space="0" w:color="auto"/>
        <w:bottom w:val="none" w:sz="0" w:space="0" w:color="auto"/>
        <w:right w:val="none" w:sz="0" w:space="0" w:color="auto"/>
      </w:divBdr>
    </w:div>
    <w:div w:id="1287128708">
      <w:bodyDiv w:val="1"/>
      <w:marLeft w:val="0"/>
      <w:marRight w:val="0"/>
      <w:marTop w:val="0"/>
      <w:marBottom w:val="0"/>
      <w:divBdr>
        <w:top w:val="none" w:sz="0" w:space="0" w:color="auto"/>
        <w:left w:val="none" w:sz="0" w:space="0" w:color="auto"/>
        <w:bottom w:val="none" w:sz="0" w:space="0" w:color="auto"/>
        <w:right w:val="none" w:sz="0" w:space="0" w:color="auto"/>
      </w:divBdr>
    </w:div>
    <w:div w:id="1287588079">
      <w:bodyDiv w:val="1"/>
      <w:marLeft w:val="0"/>
      <w:marRight w:val="0"/>
      <w:marTop w:val="0"/>
      <w:marBottom w:val="0"/>
      <w:divBdr>
        <w:top w:val="none" w:sz="0" w:space="0" w:color="auto"/>
        <w:left w:val="none" w:sz="0" w:space="0" w:color="auto"/>
        <w:bottom w:val="none" w:sz="0" w:space="0" w:color="auto"/>
        <w:right w:val="none" w:sz="0" w:space="0" w:color="auto"/>
      </w:divBdr>
    </w:div>
    <w:div w:id="1287853568">
      <w:bodyDiv w:val="1"/>
      <w:marLeft w:val="0"/>
      <w:marRight w:val="0"/>
      <w:marTop w:val="0"/>
      <w:marBottom w:val="0"/>
      <w:divBdr>
        <w:top w:val="none" w:sz="0" w:space="0" w:color="auto"/>
        <w:left w:val="none" w:sz="0" w:space="0" w:color="auto"/>
        <w:bottom w:val="none" w:sz="0" w:space="0" w:color="auto"/>
        <w:right w:val="none" w:sz="0" w:space="0" w:color="auto"/>
      </w:divBdr>
    </w:div>
    <w:div w:id="1287932969">
      <w:bodyDiv w:val="1"/>
      <w:marLeft w:val="0"/>
      <w:marRight w:val="0"/>
      <w:marTop w:val="0"/>
      <w:marBottom w:val="0"/>
      <w:divBdr>
        <w:top w:val="none" w:sz="0" w:space="0" w:color="auto"/>
        <w:left w:val="none" w:sz="0" w:space="0" w:color="auto"/>
        <w:bottom w:val="none" w:sz="0" w:space="0" w:color="auto"/>
        <w:right w:val="none" w:sz="0" w:space="0" w:color="auto"/>
      </w:divBdr>
    </w:div>
    <w:div w:id="1288047828">
      <w:bodyDiv w:val="1"/>
      <w:marLeft w:val="0"/>
      <w:marRight w:val="0"/>
      <w:marTop w:val="0"/>
      <w:marBottom w:val="0"/>
      <w:divBdr>
        <w:top w:val="none" w:sz="0" w:space="0" w:color="auto"/>
        <w:left w:val="none" w:sz="0" w:space="0" w:color="auto"/>
        <w:bottom w:val="none" w:sz="0" w:space="0" w:color="auto"/>
        <w:right w:val="none" w:sz="0" w:space="0" w:color="auto"/>
      </w:divBdr>
    </w:div>
    <w:div w:id="1288659659">
      <w:bodyDiv w:val="1"/>
      <w:marLeft w:val="0"/>
      <w:marRight w:val="0"/>
      <w:marTop w:val="0"/>
      <w:marBottom w:val="0"/>
      <w:divBdr>
        <w:top w:val="none" w:sz="0" w:space="0" w:color="auto"/>
        <w:left w:val="none" w:sz="0" w:space="0" w:color="auto"/>
        <w:bottom w:val="none" w:sz="0" w:space="0" w:color="auto"/>
        <w:right w:val="none" w:sz="0" w:space="0" w:color="auto"/>
      </w:divBdr>
    </w:div>
    <w:div w:id="1291088488">
      <w:bodyDiv w:val="1"/>
      <w:marLeft w:val="0"/>
      <w:marRight w:val="0"/>
      <w:marTop w:val="0"/>
      <w:marBottom w:val="0"/>
      <w:divBdr>
        <w:top w:val="none" w:sz="0" w:space="0" w:color="auto"/>
        <w:left w:val="none" w:sz="0" w:space="0" w:color="auto"/>
        <w:bottom w:val="none" w:sz="0" w:space="0" w:color="auto"/>
        <w:right w:val="none" w:sz="0" w:space="0" w:color="auto"/>
      </w:divBdr>
    </w:div>
    <w:div w:id="1291129768">
      <w:bodyDiv w:val="1"/>
      <w:marLeft w:val="0"/>
      <w:marRight w:val="0"/>
      <w:marTop w:val="0"/>
      <w:marBottom w:val="0"/>
      <w:divBdr>
        <w:top w:val="none" w:sz="0" w:space="0" w:color="auto"/>
        <w:left w:val="none" w:sz="0" w:space="0" w:color="auto"/>
        <w:bottom w:val="none" w:sz="0" w:space="0" w:color="auto"/>
        <w:right w:val="none" w:sz="0" w:space="0" w:color="auto"/>
      </w:divBdr>
    </w:div>
    <w:div w:id="1291352275">
      <w:bodyDiv w:val="1"/>
      <w:marLeft w:val="0"/>
      <w:marRight w:val="0"/>
      <w:marTop w:val="0"/>
      <w:marBottom w:val="0"/>
      <w:divBdr>
        <w:top w:val="none" w:sz="0" w:space="0" w:color="auto"/>
        <w:left w:val="none" w:sz="0" w:space="0" w:color="auto"/>
        <w:bottom w:val="none" w:sz="0" w:space="0" w:color="auto"/>
        <w:right w:val="none" w:sz="0" w:space="0" w:color="auto"/>
      </w:divBdr>
    </w:div>
    <w:div w:id="1292663209">
      <w:bodyDiv w:val="1"/>
      <w:marLeft w:val="0"/>
      <w:marRight w:val="0"/>
      <w:marTop w:val="0"/>
      <w:marBottom w:val="0"/>
      <w:divBdr>
        <w:top w:val="none" w:sz="0" w:space="0" w:color="auto"/>
        <w:left w:val="none" w:sz="0" w:space="0" w:color="auto"/>
        <w:bottom w:val="none" w:sz="0" w:space="0" w:color="auto"/>
        <w:right w:val="none" w:sz="0" w:space="0" w:color="auto"/>
      </w:divBdr>
    </w:div>
    <w:div w:id="1293638050">
      <w:bodyDiv w:val="1"/>
      <w:marLeft w:val="0"/>
      <w:marRight w:val="0"/>
      <w:marTop w:val="0"/>
      <w:marBottom w:val="0"/>
      <w:divBdr>
        <w:top w:val="none" w:sz="0" w:space="0" w:color="auto"/>
        <w:left w:val="none" w:sz="0" w:space="0" w:color="auto"/>
        <w:bottom w:val="none" w:sz="0" w:space="0" w:color="auto"/>
        <w:right w:val="none" w:sz="0" w:space="0" w:color="auto"/>
      </w:divBdr>
    </w:div>
    <w:div w:id="1294018769">
      <w:bodyDiv w:val="1"/>
      <w:marLeft w:val="0"/>
      <w:marRight w:val="0"/>
      <w:marTop w:val="0"/>
      <w:marBottom w:val="0"/>
      <w:divBdr>
        <w:top w:val="none" w:sz="0" w:space="0" w:color="auto"/>
        <w:left w:val="none" w:sz="0" w:space="0" w:color="auto"/>
        <w:bottom w:val="none" w:sz="0" w:space="0" w:color="auto"/>
        <w:right w:val="none" w:sz="0" w:space="0" w:color="auto"/>
      </w:divBdr>
    </w:div>
    <w:div w:id="1294142342">
      <w:bodyDiv w:val="1"/>
      <w:marLeft w:val="0"/>
      <w:marRight w:val="0"/>
      <w:marTop w:val="0"/>
      <w:marBottom w:val="0"/>
      <w:divBdr>
        <w:top w:val="none" w:sz="0" w:space="0" w:color="auto"/>
        <w:left w:val="none" w:sz="0" w:space="0" w:color="auto"/>
        <w:bottom w:val="none" w:sz="0" w:space="0" w:color="auto"/>
        <w:right w:val="none" w:sz="0" w:space="0" w:color="auto"/>
      </w:divBdr>
    </w:div>
    <w:div w:id="1294363198">
      <w:bodyDiv w:val="1"/>
      <w:marLeft w:val="0"/>
      <w:marRight w:val="0"/>
      <w:marTop w:val="0"/>
      <w:marBottom w:val="0"/>
      <w:divBdr>
        <w:top w:val="none" w:sz="0" w:space="0" w:color="auto"/>
        <w:left w:val="none" w:sz="0" w:space="0" w:color="auto"/>
        <w:bottom w:val="none" w:sz="0" w:space="0" w:color="auto"/>
        <w:right w:val="none" w:sz="0" w:space="0" w:color="auto"/>
      </w:divBdr>
    </w:div>
    <w:div w:id="1295210183">
      <w:bodyDiv w:val="1"/>
      <w:marLeft w:val="0"/>
      <w:marRight w:val="0"/>
      <w:marTop w:val="0"/>
      <w:marBottom w:val="0"/>
      <w:divBdr>
        <w:top w:val="none" w:sz="0" w:space="0" w:color="auto"/>
        <w:left w:val="none" w:sz="0" w:space="0" w:color="auto"/>
        <w:bottom w:val="none" w:sz="0" w:space="0" w:color="auto"/>
        <w:right w:val="none" w:sz="0" w:space="0" w:color="auto"/>
      </w:divBdr>
    </w:div>
    <w:div w:id="1296528637">
      <w:bodyDiv w:val="1"/>
      <w:marLeft w:val="0"/>
      <w:marRight w:val="0"/>
      <w:marTop w:val="0"/>
      <w:marBottom w:val="0"/>
      <w:divBdr>
        <w:top w:val="none" w:sz="0" w:space="0" w:color="auto"/>
        <w:left w:val="none" w:sz="0" w:space="0" w:color="auto"/>
        <w:bottom w:val="none" w:sz="0" w:space="0" w:color="auto"/>
        <w:right w:val="none" w:sz="0" w:space="0" w:color="auto"/>
      </w:divBdr>
    </w:div>
    <w:div w:id="1296982741">
      <w:bodyDiv w:val="1"/>
      <w:marLeft w:val="0"/>
      <w:marRight w:val="0"/>
      <w:marTop w:val="0"/>
      <w:marBottom w:val="0"/>
      <w:divBdr>
        <w:top w:val="none" w:sz="0" w:space="0" w:color="auto"/>
        <w:left w:val="none" w:sz="0" w:space="0" w:color="auto"/>
        <w:bottom w:val="none" w:sz="0" w:space="0" w:color="auto"/>
        <w:right w:val="none" w:sz="0" w:space="0" w:color="auto"/>
      </w:divBdr>
    </w:div>
    <w:div w:id="1297176214">
      <w:bodyDiv w:val="1"/>
      <w:marLeft w:val="0"/>
      <w:marRight w:val="0"/>
      <w:marTop w:val="0"/>
      <w:marBottom w:val="0"/>
      <w:divBdr>
        <w:top w:val="none" w:sz="0" w:space="0" w:color="auto"/>
        <w:left w:val="none" w:sz="0" w:space="0" w:color="auto"/>
        <w:bottom w:val="none" w:sz="0" w:space="0" w:color="auto"/>
        <w:right w:val="none" w:sz="0" w:space="0" w:color="auto"/>
      </w:divBdr>
    </w:div>
    <w:div w:id="1298339541">
      <w:bodyDiv w:val="1"/>
      <w:marLeft w:val="0"/>
      <w:marRight w:val="0"/>
      <w:marTop w:val="0"/>
      <w:marBottom w:val="0"/>
      <w:divBdr>
        <w:top w:val="none" w:sz="0" w:space="0" w:color="auto"/>
        <w:left w:val="none" w:sz="0" w:space="0" w:color="auto"/>
        <w:bottom w:val="none" w:sz="0" w:space="0" w:color="auto"/>
        <w:right w:val="none" w:sz="0" w:space="0" w:color="auto"/>
      </w:divBdr>
    </w:div>
    <w:div w:id="1299460946">
      <w:bodyDiv w:val="1"/>
      <w:marLeft w:val="0"/>
      <w:marRight w:val="0"/>
      <w:marTop w:val="0"/>
      <w:marBottom w:val="0"/>
      <w:divBdr>
        <w:top w:val="none" w:sz="0" w:space="0" w:color="auto"/>
        <w:left w:val="none" w:sz="0" w:space="0" w:color="auto"/>
        <w:bottom w:val="none" w:sz="0" w:space="0" w:color="auto"/>
        <w:right w:val="none" w:sz="0" w:space="0" w:color="auto"/>
      </w:divBdr>
    </w:div>
    <w:div w:id="1300569125">
      <w:bodyDiv w:val="1"/>
      <w:marLeft w:val="0"/>
      <w:marRight w:val="0"/>
      <w:marTop w:val="0"/>
      <w:marBottom w:val="0"/>
      <w:divBdr>
        <w:top w:val="none" w:sz="0" w:space="0" w:color="auto"/>
        <w:left w:val="none" w:sz="0" w:space="0" w:color="auto"/>
        <w:bottom w:val="none" w:sz="0" w:space="0" w:color="auto"/>
        <w:right w:val="none" w:sz="0" w:space="0" w:color="auto"/>
      </w:divBdr>
    </w:div>
    <w:div w:id="1301109565">
      <w:bodyDiv w:val="1"/>
      <w:marLeft w:val="0"/>
      <w:marRight w:val="0"/>
      <w:marTop w:val="0"/>
      <w:marBottom w:val="0"/>
      <w:divBdr>
        <w:top w:val="none" w:sz="0" w:space="0" w:color="auto"/>
        <w:left w:val="none" w:sz="0" w:space="0" w:color="auto"/>
        <w:bottom w:val="none" w:sz="0" w:space="0" w:color="auto"/>
        <w:right w:val="none" w:sz="0" w:space="0" w:color="auto"/>
      </w:divBdr>
    </w:div>
    <w:div w:id="1301571217">
      <w:bodyDiv w:val="1"/>
      <w:marLeft w:val="0"/>
      <w:marRight w:val="0"/>
      <w:marTop w:val="0"/>
      <w:marBottom w:val="0"/>
      <w:divBdr>
        <w:top w:val="none" w:sz="0" w:space="0" w:color="auto"/>
        <w:left w:val="none" w:sz="0" w:space="0" w:color="auto"/>
        <w:bottom w:val="none" w:sz="0" w:space="0" w:color="auto"/>
        <w:right w:val="none" w:sz="0" w:space="0" w:color="auto"/>
      </w:divBdr>
    </w:div>
    <w:div w:id="1302077567">
      <w:bodyDiv w:val="1"/>
      <w:marLeft w:val="0"/>
      <w:marRight w:val="0"/>
      <w:marTop w:val="0"/>
      <w:marBottom w:val="0"/>
      <w:divBdr>
        <w:top w:val="none" w:sz="0" w:space="0" w:color="auto"/>
        <w:left w:val="none" w:sz="0" w:space="0" w:color="auto"/>
        <w:bottom w:val="none" w:sz="0" w:space="0" w:color="auto"/>
        <w:right w:val="none" w:sz="0" w:space="0" w:color="auto"/>
      </w:divBdr>
    </w:div>
    <w:div w:id="1302153504">
      <w:bodyDiv w:val="1"/>
      <w:marLeft w:val="0"/>
      <w:marRight w:val="0"/>
      <w:marTop w:val="0"/>
      <w:marBottom w:val="0"/>
      <w:divBdr>
        <w:top w:val="none" w:sz="0" w:space="0" w:color="auto"/>
        <w:left w:val="none" w:sz="0" w:space="0" w:color="auto"/>
        <w:bottom w:val="none" w:sz="0" w:space="0" w:color="auto"/>
        <w:right w:val="none" w:sz="0" w:space="0" w:color="auto"/>
      </w:divBdr>
    </w:div>
    <w:div w:id="1303074753">
      <w:bodyDiv w:val="1"/>
      <w:marLeft w:val="0"/>
      <w:marRight w:val="0"/>
      <w:marTop w:val="0"/>
      <w:marBottom w:val="0"/>
      <w:divBdr>
        <w:top w:val="none" w:sz="0" w:space="0" w:color="auto"/>
        <w:left w:val="none" w:sz="0" w:space="0" w:color="auto"/>
        <w:bottom w:val="none" w:sz="0" w:space="0" w:color="auto"/>
        <w:right w:val="none" w:sz="0" w:space="0" w:color="auto"/>
      </w:divBdr>
    </w:div>
    <w:div w:id="1303189590">
      <w:bodyDiv w:val="1"/>
      <w:marLeft w:val="0"/>
      <w:marRight w:val="0"/>
      <w:marTop w:val="0"/>
      <w:marBottom w:val="0"/>
      <w:divBdr>
        <w:top w:val="none" w:sz="0" w:space="0" w:color="auto"/>
        <w:left w:val="none" w:sz="0" w:space="0" w:color="auto"/>
        <w:bottom w:val="none" w:sz="0" w:space="0" w:color="auto"/>
        <w:right w:val="none" w:sz="0" w:space="0" w:color="auto"/>
      </w:divBdr>
    </w:div>
    <w:div w:id="1304306993">
      <w:bodyDiv w:val="1"/>
      <w:marLeft w:val="0"/>
      <w:marRight w:val="0"/>
      <w:marTop w:val="0"/>
      <w:marBottom w:val="0"/>
      <w:divBdr>
        <w:top w:val="none" w:sz="0" w:space="0" w:color="auto"/>
        <w:left w:val="none" w:sz="0" w:space="0" w:color="auto"/>
        <w:bottom w:val="none" w:sz="0" w:space="0" w:color="auto"/>
        <w:right w:val="none" w:sz="0" w:space="0" w:color="auto"/>
      </w:divBdr>
    </w:div>
    <w:div w:id="1304314548">
      <w:bodyDiv w:val="1"/>
      <w:marLeft w:val="0"/>
      <w:marRight w:val="0"/>
      <w:marTop w:val="0"/>
      <w:marBottom w:val="0"/>
      <w:divBdr>
        <w:top w:val="none" w:sz="0" w:space="0" w:color="auto"/>
        <w:left w:val="none" w:sz="0" w:space="0" w:color="auto"/>
        <w:bottom w:val="none" w:sz="0" w:space="0" w:color="auto"/>
        <w:right w:val="none" w:sz="0" w:space="0" w:color="auto"/>
      </w:divBdr>
    </w:div>
    <w:div w:id="1304390470">
      <w:bodyDiv w:val="1"/>
      <w:marLeft w:val="0"/>
      <w:marRight w:val="0"/>
      <w:marTop w:val="0"/>
      <w:marBottom w:val="0"/>
      <w:divBdr>
        <w:top w:val="none" w:sz="0" w:space="0" w:color="auto"/>
        <w:left w:val="none" w:sz="0" w:space="0" w:color="auto"/>
        <w:bottom w:val="none" w:sz="0" w:space="0" w:color="auto"/>
        <w:right w:val="none" w:sz="0" w:space="0" w:color="auto"/>
      </w:divBdr>
    </w:div>
    <w:div w:id="1304575559">
      <w:bodyDiv w:val="1"/>
      <w:marLeft w:val="0"/>
      <w:marRight w:val="0"/>
      <w:marTop w:val="0"/>
      <w:marBottom w:val="0"/>
      <w:divBdr>
        <w:top w:val="none" w:sz="0" w:space="0" w:color="auto"/>
        <w:left w:val="none" w:sz="0" w:space="0" w:color="auto"/>
        <w:bottom w:val="none" w:sz="0" w:space="0" w:color="auto"/>
        <w:right w:val="none" w:sz="0" w:space="0" w:color="auto"/>
      </w:divBdr>
    </w:div>
    <w:div w:id="1304773804">
      <w:bodyDiv w:val="1"/>
      <w:marLeft w:val="0"/>
      <w:marRight w:val="0"/>
      <w:marTop w:val="0"/>
      <w:marBottom w:val="0"/>
      <w:divBdr>
        <w:top w:val="none" w:sz="0" w:space="0" w:color="auto"/>
        <w:left w:val="none" w:sz="0" w:space="0" w:color="auto"/>
        <w:bottom w:val="none" w:sz="0" w:space="0" w:color="auto"/>
        <w:right w:val="none" w:sz="0" w:space="0" w:color="auto"/>
      </w:divBdr>
    </w:div>
    <w:div w:id="1305742172">
      <w:bodyDiv w:val="1"/>
      <w:marLeft w:val="0"/>
      <w:marRight w:val="0"/>
      <w:marTop w:val="0"/>
      <w:marBottom w:val="0"/>
      <w:divBdr>
        <w:top w:val="none" w:sz="0" w:space="0" w:color="auto"/>
        <w:left w:val="none" w:sz="0" w:space="0" w:color="auto"/>
        <w:bottom w:val="none" w:sz="0" w:space="0" w:color="auto"/>
        <w:right w:val="none" w:sz="0" w:space="0" w:color="auto"/>
      </w:divBdr>
    </w:div>
    <w:div w:id="1306665204">
      <w:bodyDiv w:val="1"/>
      <w:marLeft w:val="0"/>
      <w:marRight w:val="0"/>
      <w:marTop w:val="0"/>
      <w:marBottom w:val="0"/>
      <w:divBdr>
        <w:top w:val="none" w:sz="0" w:space="0" w:color="auto"/>
        <w:left w:val="none" w:sz="0" w:space="0" w:color="auto"/>
        <w:bottom w:val="none" w:sz="0" w:space="0" w:color="auto"/>
        <w:right w:val="none" w:sz="0" w:space="0" w:color="auto"/>
      </w:divBdr>
    </w:div>
    <w:div w:id="1306667592">
      <w:bodyDiv w:val="1"/>
      <w:marLeft w:val="0"/>
      <w:marRight w:val="0"/>
      <w:marTop w:val="0"/>
      <w:marBottom w:val="0"/>
      <w:divBdr>
        <w:top w:val="none" w:sz="0" w:space="0" w:color="auto"/>
        <w:left w:val="none" w:sz="0" w:space="0" w:color="auto"/>
        <w:bottom w:val="none" w:sz="0" w:space="0" w:color="auto"/>
        <w:right w:val="none" w:sz="0" w:space="0" w:color="auto"/>
      </w:divBdr>
    </w:div>
    <w:div w:id="1307197134">
      <w:bodyDiv w:val="1"/>
      <w:marLeft w:val="0"/>
      <w:marRight w:val="0"/>
      <w:marTop w:val="0"/>
      <w:marBottom w:val="0"/>
      <w:divBdr>
        <w:top w:val="none" w:sz="0" w:space="0" w:color="auto"/>
        <w:left w:val="none" w:sz="0" w:space="0" w:color="auto"/>
        <w:bottom w:val="none" w:sz="0" w:space="0" w:color="auto"/>
        <w:right w:val="none" w:sz="0" w:space="0" w:color="auto"/>
      </w:divBdr>
    </w:div>
    <w:div w:id="1307974509">
      <w:bodyDiv w:val="1"/>
      <w:marLeft w:val="0"/>
      <w:marRight w:val="0"/>
      <w:marTop w:val="0"/>
      <w:marBottom w:val="0"/>
      <w:divBdr>
        <w:top w:val="none" w:sz="0" w:space="0" w:color="auto"/>
        <w:left w:val="none" w:sz="0" w:space="0" w:color="auto"/>
        <w:bottom w:val="none" w:sz="0" w:space="0" w:color="auto"/>
        <w:right w:val="none" w:sz="0" w:space="0" w:color="auto"/>
      </w:divBdr>
    </w:div>
    <w:div w:id="1308323008">
      <w:bodyDiv w:val="1"/>
      <w:marLeft w:val="0"/>
      <w:marRight w:val="0"/>
      <w:marTop w:val="0"/>
      <w:marBottom w:val="0"/>
      <w:divBdr>
        <w:top w:val="none" w:sz="0" w:space="0" w:color="auto"/>
        <w:left w:val="none" w:sz="0" w:space="0" w:color="auto"/>
        <w:bottom w:val="none" w:sz="0" w:space="0" w:color="auto"/>
        <w:right w:val="none" w:sz="0" w:space="0" w:color="auto"/>
      </w:divBdr>
    </w:div>
    <w:div w:id="1308440070">
      <w:bodyDiv w:val="1"/>
      <w:marLeft w:val="0"/>
      <w:marRight w:val="0"/>
      <w:marTop w:val="0"/>
      <w:marBottom w:val="0"/>
      <w:divBdr>
        <w:top w:val="none" w:sz="0" w:space="0" w:color="auto"/>
        <w:left w:val="none" w:sz="0" w:space="0" w:color="auto"/>
        <w:bottom w:val="none" w:sz="0" w:space="0" w:color="auto"/>
        <w:right w:val="none" w:sz="0" w:space="0" w:color="auto"/>
      </w:divBdr>
    </w:div>
    <w:div w:id="1308509427">
      <w:bodyDiv w:val="1"/>
      <w:marLeft w:val="0"/>
      <w:marRight w:val="0"/>
      <w:marTop w:val="0"/>
      <w:marBottom w:val="0"/>
      <w:divBdr>
        <w:top w:val="none" w:sz="0" w:space="0" w:color="auto"/>
        <w:left w:val="none" w:sz="0" w:space="0" w:color="auto"/>
        <w:bottom w:val="none" w:sz="0" w:space="0" w:color="auto"/>
        <w:right w:val="none" w:sz="0" w:space="0" w:color="auto"/>
      </w:divBdr>
    </w:div>
    <w:div w:id="1308630794">
      <w:bodyDiv w:val="1"/>
      <w:marLeft w:val="0"/>
      <w:marRight w:val="0"/>
      <w:marTop w:val="0"/>
      <w:marBottom w:val="0"/>
      <w:divBdr>
        <w:top w:val="none" w:sz="0" w:space="0" w:color="auto"/>
        <w:left w:val="none" w:sz="0" w:space="0" w:color="auto"/>
        <w:bottom w:val="none" w:sz="0" w:space="0" w:color="auto"/>
        <w:right w:val="none" w:sz="0" w:space="0" w:color="auto"/>
      </w:divBdr>
    </w:div>
    <w:div w:id="1309044518">
      <w:bodyDiv w:val="1"/>
      <w:marLeft w:val="0"/>
      <w:marRight w:val="0"/>
      <w:marTop w:val="0"/>
      <w:marBottom w:val="0"/>
      <w:divBdr>
        <w:top w:val="none" w:sz="0" w:space="0" w:color="auto"/>
        <w:left w:val="none" w:sz="0" w:space="0" w:color="auto"/>
        <w:bottom w:val="none" w:sz="0" w:space="0" w:color="auto"/>
        <w:right w:val="none" w:sz="0" w:space="0" w:color="auto"/>
      </w:divBdr>
    </w:div>
    <w:div w:id="1309895589">
      <w:bodyDiv w:val="1"/>
      <w:marLeft w:val="0"/>
      <w:marRight w:val="0"/>
      <w:marTop w:val="0"/>
      <w:marBottom w:val="0"/>
      <w:divBdr>
        <w:top w:val="none" w:sz="0" w:space="0" w:color="auto"/>
        <w:left w:val="none" w:sz="0" w:space="0" w:color="auto"/>
        <w:bottom w:val="none" w:sz="0" w:space="0" w:color="auto"/>
        <w:right w:val="none" w:sz="0" w:space="0" w:color="auto"/>
      </w:divBdr>
    </w:div>
    <w:div w:id="1309943826">
      <w:bodyDiv w:val="1"/>
      <w:marLeft w:val="0"/>
      <w:marRight w:val="0"/>
      <w:marTop w:val="0"/>
      <w:marBottom w:val="0"/>
      <w:divBdr>
        <w:top w:val="none" w:sz="0" w:space="0" w:color="auto"/>
        <w:left w:val="none" w:sz="0" w:space="0" w:color="auto"/>
        <w:bottom w:val="none" w:sz="0" w:space="0" w:color="auto"/>
        <w:right w:val="none" w:sz="0" w:space="0" w:color="auto"/>
      </w:divBdr>
    </w:div>
    <w:div w:id="1310010912">
      <w:bodyDiv w:val="1"/>
      <w:marLeft w:val="0"/>
      <w:marRight w:val="0"/>
      <w:marTop w:val="0"/>
      <w:marBottom w:val="0"/>
      <w:divBdr>
        <w:top w:val="none" w:sz="0" w:space="0" w:color="auto"/>
        <w:left w:val="none" w:sz="0" w:space="0" w:color="auto"/>
        <w:bottom w:val="none" w:sz="0" w:space="0" w:color="auto"/>
        <w:right w:val="none" w:sz="0" w:space="0" w:color="auto"/>
      </w:divBdr>
    </w:div>
    <w:div w:id="1310091287">
      <w:bodyDiv w:val="1"/>
      <w:marLeft w:val="0"/>
      <w:marRight w:val="0"/>
      <w:marTop w:val="0"/>
      <w:marBottom w:val="0"/>
      <w:divBdr>
        <w:top w:val="none" w:sz="0" w:space="0" w:color="auto"/>
        <w:left w:val="none" w:sz="0" w:space="0" w:color="auto"/>
        <w:bottom w:val="none" w:sz="0" w:space="0" w:color="auto"/>
        <w:right w:val="none" w:sz="0" w:space="0" w:color="auto"/>
      </w:divBdr>
    </w:div>
    <w:div w:id="1310328913">
      <w:bodyDiv w:val="1"/>
      <w:marLeft w:val="0"/>
      <w:marRight w:val="0"/>
      <w:marTop w:val="0"/>
      <w:marBottom w:val="0"/>
      <w:divBdr>
        <w:top w:val="none" w:sz="0" w:space="0" w:color="auto"/>
        <w:left w:val="none" w:sz="0" w:space="0" w:color="auto"/>
        <w:bottom w:val="none" w:sz="0" w:space="0" w:color="auto"/>
        <w:right w:val="none" w:sz="0" w:space="0" w:color="auto"/>
      </w:divBdr>
    </w:div>
    <w:div w:id="1310398141">
      <w:bodyDiv w:val="1"/>
      <w:marLeft w:val="0"/>
      <w:marRight w:val="0"/>
      <w:marTop w:val="0"/>
      <w:marBottom w:val="0"/>
      <w:divBdr>
        <w:top w:val="none" w:sz="0" w:space="0" w:color="auto"/>
        <w:left w:val="none" w:sz="0" w:space="0" w:color="auto"/>
        <w:bottom w:val="none" w:sz="0" w:space="0" w:color="auto"/>
        <w:right w:val="none" w:sz="0" w:space="0" w:color="auto"/>
      </w:divBdr>
    </w:div>
    <w:div w:id="1310475038">
      <w:bodyDiv w:val="1"/>
      <w:marLeft w:val="0"/>
      <w:marRight w:val="0"/>
      <w:marTop w:val="0"/>
      <w:marBottom w:val="0"/>
      <w:divBdr>
        <w:top w:val="none" w:sz="0" w:space="0" w:color="auto"/>
        <w:left w:val="none" w:sz="0" w:space="0" w:color="auto"/>
        <w:bottom w:val="none" w:sz="0" w:space="0" w:color="auto"/>
        <w:right w:val="none" w:sz="0" w:space="0" w:color="auto"/>
      </w:divBdr>
    </w:div>
    <w:div w:id="1310475678">
      <w:bodyDiv w:val="1"/>
      <w:marLeft w:val="0"/>
      <w:marRight w:val="0"/>
      <w:marTop w:val="0"/>
      <w:marBottom w:val="0"/>
      <w:divBdr>
        <w:top w:val="none" w:sz="0" w:space="0" w:color="auto"/>
        <w:left w:val="none" w:sz="0" w:space="0" w:color="auto"/>
        <w:bottom w:val="none" w:sz="0" w:space="0" w:color="auto"/>
        <w:right w:val="none" w:sz="0" w:space="0" w:color="auto"/>
      </w:divBdr>
    </w:div>
    <w:div w:id="1310555041">
      <w:bodyDiv w:val="1"/>
      <w:marLeft w:val="0"/>
      <w:marRight w:val="0"/>
      <w:marTop w:val="0"/>
      <w:marBottom w:val="0"/>
      <w:divBdr>
        <w:top w:val="none" w:sz="0" w:space="0" w:color="auto"/>
        <w:left w:val="none" w:sz="0" w:space="0" w:color="auto"/>
        <w:bottom w:val="none" w:sz="0" w:space="0" w:color="auto"/>
        <w:right w:val="none" w:sz="0" w:space="0" w:color="auto"/>
      </w:divBdr>
    </w:div>
    <w:div w:id="1310555603">
      <w:bodyDiv w:val="1"/>
      <w:marLeft w:val="0"/>
      <w:marRight w:val="0"/>
      <w:marTop w:val="0"/>
      <w:marBottom w:val="0"/>
      <w:divBdr>
        <w:top w:val="none" w:sz="0" w:space="0" w:color="auto"/>
        <w:left w:val="none" w:sz="0" w:space="0" w:color="auto"/>
        <w:bottom w:val="none" w:sz="0" w:space="0" w:color="auto"/>
        <w:right w:val="none" w:sz="0" w:space="0" w:color="auto"/>
      </w:divBdr>
    </w:div>
    <w:div w:id="1310591447">
      <w:bodyDiv w:val="1"/>
      <w:marLeft w:val="0"/>
      <w:marRight w:val="0"/>
      <w:marTop w:val="0"/>
      <w:marBottom w:val="0"/>
      <w:divBdr>
        <w:top w:val="none" w:sz="0" w:space="0" w:color="auto"/>
        <w:left w:val="none" w:sz="0" w:space="0" w:color="auto"/>
        <w:bottom w:val="none" w:sz="0" w:space="0" w:color="auto"/>
        <w:right w:val="none" w:sz="0" w:space="0" w:color="auto"/>
      </w:divBdr>
    </w:div>
    <w:div w:id="1310786809">
      <w:bodyDiv w:val="1"/>
      <w:marLeft w:val="0"/>
      <w:marRight w:val="0"/>
      <w:marTop w:val="0"/>
      <w:marBottom w:val="0"/>
      <w:divBdr>
        <w:top w:val="none" w:sz="0" w:space="0" w:color="auto"/>
        <w:left w:val="none" w:sz="0" w:space="0" w:color="auto"/>
        <w:bottom w:val="none" w:sz="0" w:space="0" w:color="auto"/>
        <w:right w:val="none" w:sz="0" w:space="0" w:color="auto"/>
      </w:divBdr>
    </w:div>
    <w:div w:id="1310936493">
      <w:bodyDiv w:val="1"/>
      <w:marLeft w:val="0"/>
      <w:marRight w:val="0"/>
      <w:marTop w:val="0"/>
      <w:marBottom w:val="0"/>
      <w:divBdr>
        <w:top w:val="none" w:sz="0" w:space="0" w:color="auto"/>
        <w:left w:val="none" w:sz="0" w:space="0" w:color="auto"/>
        <w:bottom w:val="none" w:sz="0" w:space="0" w:color="auto"/>
        <w:right w:val="none" w:sz="0" w:space="0" w:color="auto"/>
      </w:divBdr>
    </w:div>
    <w:div w:id="1311246792">
      <w:bodyDiv w:val="1"/>
      <w:marLeft w:val="0"/>
      <w:marRight w:val="0"/>
      <w:marTop w:val="0"/>
      <w:marBottom w:val="0"/>
      <w:divBdr>
        <w:top w:val="none" w:sz="0" w:space="0" w:color="auto"/>
        <w:left w:val="none" w:sz="0" w:space="0" w:color="auto"/>
        <w:bottom w:val="none" w:sz="0" w:space="0" w:color="auto"/>
        <w:right w:val="none" w:sz="0" w:space="0" w:color="auto"/>
      </w:divBdr>
    </w:div>
    <w:div w:id="1311323858">
      <w:bodyDiv w:val="1"/>
      <w:marLeft w:val="0"/>
      <w:marRight w:val="0"/>
      <w:marTop w:val="0"/>
      <w:marBottom w:val="0"/>
      <w:divBdr>
        <w:top w:val="none" w:sz="0" w:space="0" w:color="auto"/>
        <w:left w:val="none" w:sz="0" w:space="0" w:color="auto"/>
        <w:bottom w:val="none" w:sz="0" w:space="0" w:color="auto"/>
        <w:right w:val="none" w:sz="0" w:space="0" w:color="auto"/>
      </w:divBdr>
    </w:div>
    <w:div w:id="1311404798">
      <w:bodyDiv w:val="1"/>
      <w:marLeft w:val="0"/>
      <w:marRight w:val="0"/>
      <w:marTop w:val="0"/>
      <w:marBottom w:val="0"/>
      <w:divBdr>
        <w:top w:val="none" w:sz="0" w:space="0" w:color="auto"/>
        <w:left w:val="none" w:sz="0" w:space="0" w:color="auto"/>
        <w:bottom w:val="none" w:sz="0" w:space="0" w:color="auto"/>
        <w:right w:val="none" w:sz="0" w:space="0" w:color="auto"/>
      </w:divBdr>
    </w:div>
    <w:div w:id="1311906839">
      <w:bodyDiv w:val="1"/>
      <w:marLeft w:val="0"/>
      <w:marRight w:val="0"/>
      <w:marTop w:val="0"/>
      <w:marBottom w:val="0"/>
      <w:divBdr>
        <w:top w:val="none" w:sz="0" w:space="0" w:color="auto"/>
        <w:left w:val="none" w:sz="0" w:space="0" w:color="auto"/>
        <w:bottom w:val="none" w:sz="0" w:space="0" w:color="auto"/>
        <w:right w:val="none" w:sz="0" w:space="0" w:color="auto"/>
      </w:divBdr>
    </w:div>
    <w:div w:id="1311977442">
      <w:bodyDiv w:val="1"/>
      <w:marLeft w:val="0"/>
      <w:marRight w:val="0"/>
      <w:marTop w:val="0"/>
      <w:marBottom w:val="0"/>
      <w:divBdr>
        <w:top w:val="none" w:sz="0" w:space="0" w:color="auto"/>
        <w:left w:val="none" w:sz="0" w:space="0" w:color="auto"/>
        <w:bottom w:val="none" w:sz="0" w:space="0" w:color="auto"/>
        <w:right w:val="none" w:sz="0" w:space="0" w:color="auto"/>
      </w:divBdr>
    </w:div>
    <w:div w:id="1312056721">
      <w:bodyDiv w:val="1"/>
      <w:marLeft w:val="0"/>
      <w:marRight w:val="0"/>
      <w:marTop w:val="0"/>
      <w:marBottom w:val="0"/>
      <w:divBdr>
        <w:top w:val="none" w:sz="0" w:space="0" w:color="auto"/>
        <w:left w:val="none" w:sz="0" w:space="0" w:color="auto"/>
        <w:bottom w:val="none" w:sz="0" w:space="0" w:color="auto"/>
        <w:right w:val="none" w:sz="0" w:space="0" w:color="auto"/>
      </w:divBdr>
    </w:div>
    <w:div w:id="1312514059">
      <w:bodyDiv w:val="1"/>
      <w:marLeft w:val="0"/>
      <w:marRight w:val="0"/>
      <w:marTop w:val="0"/>
      <w:marBottom w:val="0"/>
      <w:divBdr>
        <w:top w:val="none" w:sz="0" w:space="0" w:color="auto"/>
        <w:left w:val="none" w:sz="0" w:space="0" w:color="auto"/>
        <w:bottom w:val="none" w:sz="0" w:space="0" w:color="auto"/>
        <w:right w:val="none" w:sz="0" w:space="0" w:color="auto"/>
      </w:divBdr>
    </w:div>
    <w:div w:id="1312518268">
      <w:bodyDiv w:val="1"/>
      <w:marLeft w:val="0"/>
      <w:marRight w:val="0"/>
      <w:marTop w:val="0"/>
      <w:marBottom w:val="0"/>
      <w:divBdr>
        <w:top w:val="none" w:sz="0" w:space="0" w:color="auto"/>
        <w:left w:val="none" w:sz="0" w:space="0" w:color="auto"/>
        <w:bottom w:val="none" w:sz="0" w:space="0" w:color="auto"/>
        <w:right w:val="none" w:sz="0" w:space="0" w:color="auto"/>
      </w:divBdr>
    </w:div>
    <w:div w:id="1312830363">
      <w:bodyDiv w:val="1"/>
      <w:marLeft w:val="0"/>
      <w:marRight w:val="0"/>
      <w:marTop w:val="0"/>
      <w:marBottom w:val="0"/>
      <w:divBdr>
        <w:top w:val="none" w:sz="0" w:space="0" w:color="auto"/>
        <w:left w:val="none" w:sz="0" w:space="0" w:color="auto"/>
        <w:bottom w:val="none" w:sz="0" w:space="0" w:color="auto"/>
        <w:right w:val="none" w:sz="0" w:space="0" w:color="auto"/>
      </w:divBdr>
    </w:div>
    <w:div w:id="1312950257">
      <w:bodyDiv w:val="1"/>
      <w:marLeft w:val="0"/>
      <w:marRight w:val="0"/>
      <w:marTop w:val="0"/>
      <w:marBottom w:val="0"/>
      <w:divBdr>
        <w:top w:val="none" w:sz="0" w:space="0" w:color="auto"/>
        <w:left w:val="none" w:sz="0" w:space="0" w:color="auto"/>
        <w:bottom w:val="none" w:sz="0" w:space="0" w:color="auto"/>
        <w:right w:val="none" w:sz="0" w:space="0" w:color="auto"/>
      </w:divBdr>
    </w:div>
    <w:div w:id="1312976537">
      <w:bodyDiv w:val="1"/>
      <w:marLeft w:val="0"/>
      <w:marRight w:val="0"/>
      <w:marTop w:val="0"/>
      <w:marBottom w:val="0"/>
      <w:divBdr>
        <w:top w:val="none" w:sz="0" w:space="0" w:color="auto"/>
        <w:left w:val="none" w:sz="0" w:space="0" w:color="auto"/>
        <w:bottom w:val="none" w:sz="0" w:space="0" w:color="auto"/>
        <w:right w:val="none" w:sz="0" w:space="0" w:color="auto"/>
      </w:divBdr>
    </w:div>
    <w:div w:id="1312976705">
      <w:bodyDiv w:val="1"/>
      <w:marLeft w:val="0"/>
      <w:marRight w:val="0"/>
      <w:marTop w:val="0"/>
      <w:marBottom w:val="0"/>
      <w:divBdr>
        <w:top w:val="none" w:sz="0" w:space="0" w:color="auto"/>
        <w:left w:val="none" w:sz="0" w:space="0" w:color="auto"/>
        <w:bottom w:val="none" w:sz="0" w:space="0" w:color="auto"/>
        <w:right w:val="none" w:sz="0" w:space="0" w:color="auto"/>
      </w:divBdr>
    </w:div>
    <w:div w:id="1313292674">
      <w:bodyDiv w:val="1"/>
      <w:marLeft w:val="0"/>
      <w:marRight w:val="0"/>
      <w:marTop w:val="0"/>
      <w:marBottom w:val="0"/>
      <w:divBdr>
        <w:top w:val="none" w:sz="0" w:space="0" w:color="auto"/>
        <w:left w:val="none" w:sz="0" w:space="0" w:color="auto"/>
        <w:bottom w:val="none" w:sz="0" w:space="0" w:color="auto"/>
        <w:right w:val="none" w:sz="0" w:space="0" w:color="auto"/>
      </w:divBdr>
    </w:div>
    <w:div w:id="1313368823">
      <w:bodyDiv w:val="1"/>
      <w:marLeft w:val="0"/>
      <w:marRight w:val="0"/>
      <w:marTop w:val="0"/>
      <w:marBottom w:val="0"/>
      <w:divBdr>
        <w:top w:val="none" w:sz="0" w:space="0" w:color="auto"/>
        <w:left w:val="none" w:sz="0" w:space="0" w:color="auto"/>
        <w:bottom w:val="none" w:sz="0" w:space="0" w:color="auto"/>
        <w:right w:val="none" w:sz="0" w:space="0" w:color="auto"/>
      </w:divBdr>
    </w:div>
    <w:div w:id="1313830973">
      <w:bodyDiv w:val="1"/>
      <w:marLeft w:val="0"/>
      <w:marRight w:val="0"/>
      <w:marTop w:val="0"/>
      <w:marBottom w:val="0"/>
      <w:divBdr>
        <w:top w:val="none" w:sz="0" w:space="0" w:color="auto"/>
        <w:left w:val="none" w:sz="0" w:space="0" w:color="auto"/>
        <w:bottom w:val="none" w:sz="0" w:space="0" w:color="auto"/>
        <w:right w:val="none" w:sz="0" w:space="0" w:color="auto"/>
      </w:divBdr>
    </w:div>
    <w:div w:id="1314918148">
      <w:bodyDiv w:val="1"/>
      <w:marLeft w:val="0"/>
      <w:marRight w:val="0"/>
      <w:marTop w:val="0"/>
      <w:marBottom w:val="0"/>
      <w:divBdr>
        <w:top w:val="none" w:sz="0" w:space="0" w:color="auto"/>
        <w:left w:val="none" w:sz="0" w:space="0" w:color="auto"/>
        <w:bottom w:val="none" w:sz="0" w:space="0" w:color="auto"/>
        <w:right w:val="none" w:sz="0" w:space="0" w:color="auto"/>
      </w:divBdr>
    </w:div>
    <w:div w:id="1315182916">
      <w:bodyDiv w:val="1"/>
      <w:marLeft w:val="0"/>
      <w:marRight w:val="0"/>
      <w:marTop w:val="0"/>
      <w:marBottom w:val="0"/>
      <w:divBdr>
        <w:top w:val="none" w:sz="0" w:space="0" w:color="auto"/>
        <w:left w:val="none" w:sz="0" w:space="0" w:color="auto"/>
        <w:bottom w:val="none" w:sz="0" w:space="0" w:color="auto"/>
        <w:right w:val="none" w:sz="0" w:space="0" w:color="auto"/>
      </w:divBdr>
    </w:div>
    <w:div w:id="1316106029">
      <w:bodyDiv w:val="1"/>
      <w:marLeft w:val="0"/>
      <w:marRight w:val="0"/>
      <w:marTop w:val="0"/>
      <w:marBottom w:val="0"/>
      <w:divBdr>
        <w:top w:val="none" w:sz="0" w:space="0" w:color="auto"/>
        <w:left w:val="none" w:sz="0" w:space="0" w:color="auto"/>
        <w:bottom w:val="none" w:sz="0" w:space="0" w:color="auto"/>
        <w:right w:val="none" w:sz="0" w:space="0" w:color="auto"/>
      </w:divBdr>
    </w:div>
    <w:div w:id="1316449741">
      <w:bodyDiv w:val="1"/>
      <w:marLeft w:val="0"/>
      <w:marRight w:val="0"/>
      <w:marTop w:val="0"/>
      <w:marBottom w:val="0"/>
      <w:divBdr>
        <w:top w:val="none" w:sz="0" w:space="0" w:color="auto"/>
        <w:left w:val="none" w:sz="0" w:space="0" w:color="auto"/>
        <w:bottom w:val="none" w:sz="0" w:space="0" w:color="auto"/>
        <w:right w:val="none" w:sz="0" w:space="0" w:color="auto"/>
      </w:divBdr>
    </w:div>
    <w:div w:id="1316490654">
      <w:bodyDiv w:val="1"/>
      <w:marLeft w:val="0"/>
      <w:marRight w:val="0"/>
      <w:marTop w:val="0"/>
      <w:marBottom w:val="0"/>
      <w:divBdr>
        <w:top w:val="none" w:sz="0" w:space="0" w:color="auto"/>
        <w:left w:val="none" w:sz="0" w:space="0" w:color="auto"/>
        <w:bottom w:val="none" w:sz="0" w:space="0" w:color="auto"/>
        <w:right w:val="none" w:sz="0" w:space="0" w:color="auto"/>
      </w:divBdr>
    </w:div>
    <w:div w:id="1317148357">
      <w:bodyDiv w:val="1"/>
      <w:marLeft w:val="0"/>
      <w:marRight w:val="0"/>
      <w:marTop w:val="0"/>
      <w:marBottom w:val="0"/>
      <w:divBdr>
        <w:top w:val="none" w:sz="0" w:space="0" w:color="auto"/>
        <w:left w:val="none" w:sz="0" w:space="0" w:color="auto"/>
        <w:bottom w:val="none" w:sz="0" w:space="0" w:color="auto"/>
        <w:right w:val="none" w:sz="0" w:space="0" w:color="auto"/>
      </w:divBdr>
    </w:div>
    <w:div w:id="1317369851">
      <w:bodyDiv w:val="1"/>
      <w:marLeft w:val="0"/>
      <w:marRight w:val="0"/>
      <w:marTop w:val="0"/>
      <w:marBottom w:val="0"/>
      <w:divBdr>
        <w:top w:val="none" w:sz="0" w:space="0" w:color="auto"/>
        <w:left w:val="none" w:sz="0" w:space="0" w:color="auto"/>
        <w:bottom w:val="none" w:sz="0" w:space="0" w:color="auto"/>
        <w:right w:val="none" w:sz="0" w:space="0" w:color="auto"/>
      </w:divBdr>
    </w:div>
    <w:div w:id="1317881223">
      <w:bodyDiv w:val="1"/>
      <w:marLeft w:val="0"/>
      <w:marRight w:val="0"/>
      <w:marTop w:val="0"/>
      <w:marBottom w:val="0"/>
      <w:divBdr>
        <w:top w:val="none" w:sz="0" w:space="0" w:color="auto"/>
        <w:left w:val="none" w:sz="0" w:space="0" w:color="auto"/>
        <w:bottom w:val="none" w:sz="0" w:space="0" w:color="auto"/>
        <w:right w:val="none" w:sz="0" w:space="0" w:color="auto"/>
      </w:divBdr>
    </w:div>
    <w:div w:id="1318996027">
      <w:bodyDiv w:val="1"/>
      <w:marLeft w:val="0"/>
      <w:marRight w:val="0"/>
      <w:marTop w:val="0"/>
      <w:marBottom w:val="0"/>
      <w:divBdr>
        <w:top w:val="none" w:sz="0" w:space="0" w:color="auto"/>
        <w:left w:val="none" w:sz="0" w:space="0" w:color="auto"/>
        <w:bottom w:val="none" w:sz="0" w:space="0" w:color="auto"/>
        <w:right w:val="none" w:sz="0" w:space="0" w:color="auto"/>
      </w:divBdr>
    </w:div>
    <w:div w:id="1319000770">
      <w:bodyDiv w:val="1"/>
      <w:marLeft w:val="0"/>
      <w:marRight w:val="0"/>
      <w:marTop w:val="0"/>
      <w:marBottom w:val="0"/>
      <w:divBdr>
        <w:top w:val="none" w:sz="0" w:space="0" w:color="auto"/>
        <w:left w:val="none" w:sz="0" w:space="0" w:color="auto"/>
        <w:bottom w:val="none" w:sz="0" w:space="0" w:color="auto"/>
        <w:right w:val="none" w:sz="0" w:space="0" w:color="auto"/>
      </w:divBdr>
    </w:div>
    <w:div w:id="1319387461">
      <w:bodyDiv w:val="1"/>
      <w:marLeft w:val="0"/>
      <w:marRight w:val="0"/>
      <w:marTop w:val="0"/>
      <w:marBottom w:val="0"/>
      <w:divBdr>
        <w:top w:val="none" w:sz="0" w:space="0" w:color="auto"/>
        <w:left w:val="none" w:sz="0" w:space="0" w:color="auto"/>
        <w:bottom w:val="none" w:sz="0" w:space="0" w:color="auto"/>
        <w:right w:val="none" w:sz="0" w:space="0" w:color="auto"/>
      </w:divBdr>
    </w:div>
    <w:div w:id="1319965186">
      <w:bodyDiv w:val="1"/>
      <w:marLeft w:val="0"/>
      <w:marRight w:val="0"/>
      <w:marTop w:val="0"/>
      <w:marBottom w:val="0"/>
      <w:divBdr>
        <w:top w:val="none" w:sz="0" w:space="0" w:color="auto"/>
        <w:left w:val="none" w:sz="0" w:space="0" w:color="auto"/>
        <w:bottom w:val="none" w:sz="0" w:space="0" w:color="auto"/>
        <w:right w:val="none" w:sz="0" w:space="0" w:color="auto"/>
      </w:divBdr>
    </w:div>
    <w:div w:id="1320379220">
      <w:bodyDiv w:val="1"/>
      <w:marLeft w:val="0"/>
      <w:marRight w:val="0"/>
      <w:marTop w:val="0"/>
      <w:marBottom w:val="0"/>
      <w:divBdr>
        <w:top w:val="none" w:sz="0" w:space="0" w:color="auto"/>
        <w:left w:val="none" w:sz="0" w:space="0" w:color="auto"/>
        <w:bottom w:val="none" w:sz="0" w:space="0" w:color="auto"/>
        <w:right w:val="none" w:sz="0" w:space="0" w:color="auto"/>
      </w:divBdr>
    </w:div>
    <w:div w:id="1320579136">
      <w:bodyDiv w:val="1"/>
      <w:marLeft w:val="0"/>
      <w:marRight w:val="0"/>
      <w:marTop w:val="0"/>
      <w:marBottom w:val="0"/>
      <w:divBdr>
        <w:top w:val="none" w:sz="0" w:space="0" w:color="auto"/>
        <w:left w:val="none" w:sz="0" w:space="0" w:color="auto"/>
        <w:bottom w:val="none" w:sz="0" w:space="0" w:color="auto"/>
        <w:right w:val="none" w:sz="0" w:space="0" w:color="auto"/>
      </w:divBdr>
    </w:div>
    <w:div w:id="1320618416">
      <w:bodyDiv w:val="1"/>
      <w:marLeft w:val="0"/>
      <w:marRight w:val="0"/>
      <w:marTop w:val="0"/>
      <w:marBottom w:val="0"/>
      <w:divBdr>
        <w:top w:val="none" w:sz="0" w:space="0" w:color="auto"/>
        <w:left w:val="none" w:sz="0" w:space="0" w:color="auto"/>
        <w:bottom w:val="none" w:sz="0" w:space="0" w:color="auto"/>
        <w:right w:val="none" w:sz="0" w:space="0" w:color="auto"/>
      </w:divBdr>
    </w:div>
    <w:div w:id="1320622785">
      <w:bodyDiv w:val="1"/>
      <w:marLeft w:val="0"/>
      <w:marRight w:val="0"/>
      <w:marTop w:val="0"/>
      <w:marBottom w:val="0"/>
      <w:divBdr>
        <w:top w:val="none" w:sz="0" w:space="0" w:color="auto"/>
        <w:left w:val="none" w:sz="0" w:space="0" w:color="auto"/>
        <w:bottom w:val="none" w:sz="0" w:space="0" w:color="auto"/>
        <w:right w:val="none" w:sz="0" w:space="0" w:color="auto"/>
      </w:divBdr>
    </w:div>
    <w:div w:id="1322587258">
      <w:bodyDiv w:val="1"/>
      <w:marLeft w:val="0"/>
      <w:marRight w:val="0"/>
      <w:marTop w:val="0"/>
      <w:marBottom w:val="0"/>
      <w:divBdr>
        <w:top w:val="none" w:sz="0" w:space="0" w:color="auto"/>
        <w:left w:val="none" w:sz="0" w:space="0" w:color="auto"/>
        <w:bottom w:val="none" w:sz="0" w:space="0" w:color="auto"/>
        <w:right w:val="none" w:sz="0" w:space="0" w:color="auto"/>
      </w:divBdr>
    </w:div>
    <w:div w:id="1323042868">
      <w:bodyDiv w:val="1"/>
      <w:marLeft w:val="0"/>
      <w:marRight w:val="0"/>
      <w:marTop w:val="0"/>
      <w:marBottom w:val="0"/>
      <w:divBdr>
        <w:top w:val="none" w:sz="0" w:space="0" w:color="auto"/>
        <w:left w:val="none" w:sz="0" w:space="0" w:color="auto"/>
        <w:bottom w:val="none" w:sz="0" w:space="0" w:color="auto"/>
        <w:right w:val="none" w:sz="0" w:space="0" w:color="auto"/>
      </w:divBdr>
    </w:div>
    <w:div w:id="1323120646">
      <w:bodyDiv w:val="1"/>
      <w:marLeft w:val="0"/>
      <w:marRight w:val="0"/>
      <w:marTop w:val="0"/>
      <w:marBottom w:val="0"/>
      <w:divBdr>
        <w:top w:val="none" w:sz="0" w:space="0" w:color="auto"/>
        <w:left w:val="none" w:sz="0" w:space="0" w:color="auto"/>
        <w:bottom w:val="none" w:sz="0" w:space="0" w:color="auto"/>
        <w:right w:val="none" w:sz="0" w:space="0" w:color="auto"/>
      </w:divBdr>
    </w:div>
    <w:div w:id="1323240831">
      <w:bodyDiv w:val="1"/>
      <w:marLeft w:val="0"/>
      <w:marRight w:val="0"/>
      <w:marTop w:val="0"/>
      <w:marBottom w:val="0"/>
      <w:divBdr>
        <w:top w:val="none" w:sz="0" w:space="0" w:color="auto"/>
        <w:left w:val="none" w:sz="0" w:space="0" w:color="auto"/>
        <w:bottom w:val="none" w:sz="0" w:space="0" w:color="auto"/>
        <w:right w:val="none" w:sz="0" w:space="0" w:color="auto"/>
      </w:divBdr>
    </w:div>
    <w:div w:id="1323505052">
      <w:bodyDiv w:val="1"/>
      <w:marLeft w:val="0"/>
      <w:marRight w:val="0"/>
      <w:marTop w:val="0"/>
      <w:marBottom w:val="0"/>
      <w:divBdr>
        <w:top w:val="none" w:sz="0" w:space="0" w:color="auto"/>
        <w:left w:val="none" w:sz="0" w:space="0" w:color="auto"/>
        <w:bottom w:val="none" w:sz="0" w:space="0" w:color="auto"/>
        <w:right w:val="none" w:sz="0" w:space="0" w:color="auto"/>
      </w:divBdr>
    </w:div>
    <w:div w:id="1324771213">
      <w:bodyDiv w:val="1"/>
      <w:marLeft w:val="0"/>
      <w:marRight w:val="0"/>
      <w:marTop w:val="0"/>
      <w:marBottom w:val="0"/>
      <w:divBdr>
        <w:top w:val="none" w:sz="0" w:space="0" w:color="auto"/>
        <w:left w:val="none" w:sz="0" w:space="0" w:color="auto"/>
        <w:bottom w:val="none" w:sz="0" w:space="0" w:color="auto"/>
        <w:right w:val="none" w:sz="0" w:space="0" w:color="auto"/>
      </w:divBdr>
    </w:div>
    <w:div w:id="1324817428">
      <w:bodyDiv w:val="1"/>
      <w:marLeft w:val="0"/>
      <w:marRight w:val="0"/>
      <w:marTop w:val="0"/>
      <w:marBottom w:val="0"/>
      <w:divBdr>
        <w:top w:val="none" w:sz="0" w:space="0" w:color="auto"/>
        <w:left w:val="none" w:sz="0" w:space="0" w:color="auto"/>
        <w:bottom w:val="none" w:sz="0" w:space="0" w:color="auto"/>
        <w:right w:val="none" w:sz="0" w:space="0" w:color="auto"/>
      </w:divBdr>
    </w:div>
    <w:div w:id="1325283198">
      <w:bodyDiv w:val="1"/>
      <w:marLeft w:val="0"/>
      <w:marRight w:val="0"/>
      <w:marTop w:val="0"/>
      <w:marBottom w:val="0"/>
      <w:divBdr>
        <w:top w:val="none" w:sz="0" w:space="0" w:color="auto"/>
        <w:left w:val="none" w:sz="0" w:space="0" w:color="auto"/>
        <w:bottom w:val="none" w:sz="0" w:space="0" w:color="auto"/>
        <w:right w:val="none" w:sz="0" w:space="0" w:color="auto"/>
      </w:divBdr>
    </w:div>
    <w:div w:id="1326202935">
      <w:bodyDiv w:val="1"/>
      <w:marLeft w:val="0"/>
      <w:marRight w:val="0"/>
      <w:marTop w:val="0"/>
      <w:marBottom w:val="0"/>
      <w:divBdr>
        <w:top w:val="none" w:sz="0" w:space="0" w:color="auto"/>
        <w:left w:val="none" w:sz="0" w:space="0" w:color="auto"/>
        <w:bottom w:val="none" w:sz="0" w:space="0" w:color="auto"/>
        <w:right w:val="none" w:sz="0" w:space="0" w:color="auto"/>
      </w:divBdr>
      <w:divsChild>
        <w:div w:id="584344909">
          <w:marLeft w:val="0"/>
          <w:marRight w:val="0"/>
          <w:marTop w:val="0"/>
          <w:marBottom w:val="0"/>
          <w:divBdr>
            <w:top w:val="none" w:sz="0" w:space="0" w:color="auto"/>
            <w:left w:val="none" w:sz="0" w:space="0" w:color="auto"/>
            <w:bottom w:val="none" w:sz="0" w:space="0" w:color="auto"/>
            <w:right w:val="none" w:sz="0" w:space="0" w:color="auto"/>
          </w:divBdr>
        </w:div>
        <w:div w:id="1566646018">
          <w:marLeft w:val="0"/>
          <w:marRight w:val="0"/>
          <w:marTop w:val="0"/>
          <w:marBottom w:val="0"/>
          <w:divBdr>
            <w:top w:val="none" w:sz="0" w:space="0" w:color="auto"/>
            <w:left w:val="none" w:sz="0" w:space="0" w:color="auto"/>
            <w:bottom w:val="none" w:sz="0" w:space="0" w:color="auto"/>
            <w:right w:val="none" w:sz="0" w:space="0" w:color="auto"/>
          </w:divBdr>
        </w:div>
      </w:divsChild>
    </w:div>
    <w:div w:id="1326855499">
      <w:bodyDiv w:val="1"/>
      <w:marLeft w:val="0"/>
      <w:marRight w:val="0"/>
      <w:marTop w:val="0"/>
      <w:marBottom w:val="0"/>
      <w:divBdr>
        <w:top w:val="none" w:sz="0" w:space="0" w:color="auto"/>
        <w:left w:val="none" w:sz="0" w:space="0" w:color="auto"/>
        <w:bottom w:val="none" w:sz="0" w:space="0" w:color="auto"/>
        <w:right w:val="none" w:sz="0" w:space="0" w:color="auto"/>
      </w:divBdr>
    </w:div>
    <w:div w:id="1328098970">
      <w:bodyDiv w:val="1"/>
      <w:marLeft w:val="0"/>
      <w:marRight w:val="0"/>
      <w:marTop w:val="0"/>
      <w:marBottom w:val="0"/>
      <w:divBdr>
        <w:top w:val="none" w:sz="0" w:space="0" w:color="auto"/>
        <w:left w:val="none" w:sz="0" w:space="0" w:color="auto"/>
        <w:bottom w:val="none" w:sz="0" w:space="0" w:color="auto"/>
        <w:right w:val="none" w:sz="0" w:space="0" w:color="auto"/>
      </w:divBdr>
    </w:div>
    <w:div w:id="1329208965">
      <w:bodyDiv w:val="1"/>
      <w:marLeft w:val="0"/>
      <w:marRight w:val="0"/>
      <w:marTop w:val="0"/>
      <w:marBottom w:val="0"/>
      <w:divBdr>
        <w:top w:val="none" w:sz="0" w:space="0" w:color="auto"/>
        <w:left w:val="none" w:sz="0" w:space="0" w:color="auto"/>
        <w:bottom w:val="none" w:sz="0" w:space="0" w:color="auto"/>
        <w:right w:val="none" w:sz="0" w:space="0" w:color="auto"/>
      </w:divBdr>
    </w:div>
    <w:div w:id="1329551805">
      <w:bodyDiv w:val="1"/>
      <w:marLeft w:val="0"/>
      <w:marRight w:val="0"/>
      <w:marTop w:val="0"/>
      <w:marBottom w:val="0"/>
      <w:divBdr>
        <w:top w:val="none" w:sz="0" w:space="0" w:color="auto"/>
        <w:left w:val="none" w:sz="0" w:space="0" w:color="auto"/>
        <w:bottom w:val="none" w:sz="0" w:space="0" w:color="auto"/>
        <w:right w:val="none" w:sz="0" w:space="0" w:color="auto"/>
      </w:divBdr>
    </w:div>
    <w:div w:id="1330138250">
      <w:bodyDiv w:val="1"/>
      <w:marLeft w:val="0"/>
      <w:marRight w:val="0"/>
      <w:marTop w:val="0"/>
      <w:marBottom w:val="0"/>
      <w:divBdr>
        <w:top w:val="none" w:sz="0" w:space="0" w:color="auto"/>
        <w:left w:val="none" w:sz="0" w:space="0" w:color="auto"/>
        <w:bottom w:val="none" w:sz="0" w:space="0" w:color="auto"/>
        <w:right w:val="none" w:sz="0" w:space="0" w:color="auto"/>
      </w:divBdr>
    </w:div>
    <w:div w:id="1330208858">
      <w:bodyDiv w:val="1"/>
      <w:marLeft w:val="0"/>
      <w:marRight w:val="0"/>
      <w:marTop w:val="0"/>
      <w:marBottom w:val="0"/>
      <w:divBdr>
        <w:top w:val="none" w:sz="0" w:space="0" w:color="auto"/>
        <w:left w:val="none" w:sz="0" w:space="0" w:color="auto"/>
        <w:bottom w:val="none" w:sz="0" w:space="0" w:color="auto"/>
        <w:right w:val="none" w:sz="0" w:space="0" w:color="auto"/>
      </w:divBdr>
    </w:div>
    <w:div w:id="1330451892">
      <w:bodyDiv w:val="1"/>
      <w:marLeft w:val="0"/>
      <w:marRight w:val="0"/>
      <w:marTop w:val="0"/>
      <w:marBottom w:val="0"/>
      <w:divBdr>
        <w:top w:val="none" w:sz="0" w:space="0" w:color="auto"/>
        <w:left w:val="none" w:sz="0" w:space="0" w:color="auto"/>
        <w:bottom w:val="none" w:sz="0" w:space="0" w:color="auto"/>
        <w:right w:val="none" w:sz="0" w:space="0" w:color="auto"/>
      </w:divBdr>
    </w:div>
    <w:div w:id="1331104360">
      <w:bodyDiv w:val="1"/>
      <w:marLeft w:val="0"/>
      <w:marRight w:val="0"/>
      <w:marTop w:val="0"/>
      <w:marBottom w:val="0"/>
      <w:divBdr>
        <w:top w:val="none" w:sz="0" w:space="0" w:color="auto"/>
        <w:left w:val="none" w:sz="0" w:space="0" w:color="auto"/>
        <w:bottom w:val="none" w:sz="0" w:space="0" w:color="auto"/>
        <w:right w:val="none" w:sz="0" w:space="0" w:color="auto"/>
      </w:divBdr>
    </w:div>
    <w:div w:id="1331566552">
      <w:bodyDiv w:val="1"/>
      <w:marLeft w:val="0"/>
      <w:marRight w:val="0"/>
      <w:marTop w:val="0"/>
      <w:marBottom w:val="0"/>
      <w:divBdr>
        <w:top w:val="none" w:sz="0" w:space="0" w:color="auto"/>
        <w:left w:val="none" w:sz="0" w:space="0" w:color="auto"/>
        <w:bottom w:val="none" w:sz="0" w:space="0" w:color="auto"/>
        <w:right w:val="none" w:sz="0" w:space="0" w:color="auto"/>
      </w:divBdr>
    </w:div>
    <w:div w:id="1331566826">
      <w:bodyDiv w:val="1"/>
      <w:marLeft w:val="0"/>
      <w:marRight w:val="0"/>
      <w:marTop w:val="0"/>
      <w:marBottom w:val="0"/>
      <w:divBdr>
        <w:top w:val="none" w:sz="0" w:space="0" w:color="auto"/>
        <w:left w:val="none" w:sz="0" w:space="0" w:color="auto"/>
        <w:bottom w:val="none" w:sz="0" w:space="0" w:color="auto"/>
        <w:right w:val="none" w:sz="0" w:space="0" w:color="auto"/>
      </w:divBdr>
    </w:div>
    <w:div w:id="1332294120">
      <w:bodyDiv w:val="1"/>
      <w:marLeft w:val="0"/>
      <w:marRight w:val="0"/>
      <w:marTop w:val="0"/>
      <w:marBottom w:val="0"/>
      <w:divBdr>
        <w:top w:val="none" w:sz="0" w:space="0" w:color="auto"/>
        <w:left w:val="none" w:sz="0" w:space="0" w:color="auto"/>
        <w:bottom w:val="none" w:sz="0" w:space="0" w:color="auto"/>
        <w:right w:val="none" w:sz="0" w:space="0" w:color="auto"/>
      </w:divBdr>
    </w:div>
    <w:div w:id="1333532487">
      <w:bodyDiv w:val="1"/>
      <w:marLeft w:val="0"/>
      <w:marRight w:val="0"/>
      <w:marTop w:val="0"/>
      <w:marBottom w:val="0"/>
      <w:divBdr>
        <w:top w:val="none" w:sz="0" w:space="0" w:color="auto"/>
        <w:left w:val="none" w:sz="0" w:space="0" w:color="auto"/>
        <w:bottom w:val="none" w:sz="0" w:space="0" w:color="auto"/>
        <w:right w:val="none" w:sz="0" w:space="0" w:color="auto"/>
      </w:divBdr>
    </w:div>
    <w:div w:id="1333677942">
      <w:bodyDiv w:val="1"/>
      <w:marLeft w:val="0"/>
      <w:marRight w:val="0"/>
      <w:marTop w:val="0"/>
      <w:marBottom w:val="0"/>
      <w:divBdr>
        <w:top w:val="none" w:sz="0" w:space="0" w:color="auto"/>
        <w:left w:val="none" w:sz="0" w:space="0" w:color="auto"/>
        <w:bottom w:val="none" w:sz="0" w:space="0" w:color="auto"/>
        <w:right w:val="none" w:sz="0" w:space="0" w:color="auto"/>
      </w:divBdr>
    </w:div>
    <w:div w:id="1333724343">
      <w:bodyDiv w:val="1"/>
      <w:marLeft w:val="0"/>
      <w:marRight w:val="0"/>
      <w:marTop w:val="0"/>
      <w:marBottom w:val="0"/>
      <w:divBdr>
        <w:top w:val="none" w:sz="0" w:space="0" w:color="auto"/>
        <w:left w:val="none" w:sz="0" w:space="0" w:color="auto"/>
        <w:bottom w:val="none" w:sz="0" w:space="0" w:color="auto"/>
        <w:right w:val="none" w:sz="0" w:space="0" w:color="auto"/>
      </w:divBdr>
    </w:div>
    <w:div w:id="1333725006">
      <w:bodyDiv w:val="1"/>
      <w:marLeft w:val="0"/>
      <w:marRight w:val="0"/>
      <w:marTop w:val="0"/>
      <w:marBottom w:val="0"/>
      <w:divBdr>
        <w:top w:val="none" w:sz="0" w:space="0" w:color="auto"/>
        <w:left w:val="none" w:sz="0" w:space="0" w:color="auto"/>
        <w:bottom w:val="none" w:sz="0" w:space="0" w:color="auto"/>
        <w:right w:val="none" w:sz="0" w:space="0" w:color="auto"/>
      </w:divBdr>
    </w:div>
    <w:div w:id="1333794774">
      <w:bodyDiv w:val="1"/>
      <w:marLeft w:val="0"/>
      <w:marRight w:val="0"/>
      <w:marTop w:val="0"/>
      <w:marBottom w:val="0"/>
      <w:divBdr>
        <w:top w:val="none" w:sz="0" w:space="0" w:color="auto"/>
        <w:left w:val="none" w:sz="0" w:space="0" w:color="auto"/>
        <w:bottom w:val="none" w:sz="0" w:space="0" w:color="auto"/>
        <w:right w:val="none" w:sz="0" w:space="0" w:color="auto"/>
      </w:divBdr>
    </w:div>
    <w:div w:id="1333990992">
      <w:bodyDiv w:val="1"/>
      <w:marLeft w:val="0"/>
      <w:marRight w:val="0"/>
      <w:marTop w:val="0"/>
      <w:marBottom w:val="0"/>
      <w:divBdr>
        <w:top w:val="none" w:sz="0" w:space="0" w:color="auto"/>
        <w:left w:val="none" w:sz="0" w:space="0" w:color="auto"/>
        <w:bottom w:val="none" w:sz="0" w:space="0" w:color="auto"/>
        <w:right w:val="none" w:sz="0" w:space="0" w:color="auto"/>
      </w:divBdr>
    </w:div>
    <w:div w:id="1334331231">
      <w:bodyDiv w:val="1"/>
      <w:marLeft w:val="0"/>
      <w:marRight w:val="0"/>
      <w:marTop w:val="0"/>
      <w:marBottom w:val="0"/>
      <w:divBdr>
        <w:top w:val="none" w:sz="0" w:space="0" w:color="auto"/>
        <w:left w:val="none" w:sz="0" w:space="0" w:color="auto"/>
        <w:bottom w:val="none" w:sz="0" w:space="0" w:color="auto"/>
        <w:right w:val="none" w:sz="0" w:space="0" w:color="auto"/>
      </w:divBdr>
    </w:div>
    <w:div w:id="1334453829">
      <w:bodyDiv w:val="1"/>
      <w:marLeft w:val="0"/>
      <w:marRight w:val="0"/>
      <w:marTop w:val="0"/>
      <w:marBottom w:val="0"/>
      <w:divBdr>
        <w:top w:val="none" w:sz="0" w:space="0" w:color="auto"/>
        <w:left w:val="none" w:sz="0" w:space="0" w:color="auto"/>
        <w:bottom w:val="none" w:sz="0" w:space="0" w:color="auto"/>
        <w:right w:val="none" w:sz="0" w:space="0" w:color="auto"/>
      </w:divBdr>
    </w:div>
    <w:div w:id="1335108741">
      <w:bodyDiv w:val="1"/>
      <w:marLeft w:val="0"/>
      <w:marRight w:val="0"/>
      <w:marTop w:val="0"/>
      <w:marBottom w:val="0"/>
      <w:divBdr>
        <w:top w:val="none" w:sz="0" w:space="0" w:color="auto"/>
        <w:left w:val="none" w:sz="0" w:space="0" w:color="auto"/>
        <w:bottom w:val="none" w:sz="0" w:space="0" w:color="auto"/>
        <w:right w:val="none" w:sz="0" w:space="0" w:color="auto"/>
      </w:divBdr>
    </w:div>
    <w:div w:id="1336302186">
      <w:bodyDiv w:val="1"/>
      <w:marLeft w:val="0"/>
      <w:marRight w:val="0"/>
      <w:marTop w:val="0"/>
      <w:marBottom w:val="0"/>
      <w:divBdr>
        <w:top w:val="none" w:sz="0" w:space="0" w:color="auto"/>
        <w:left w:val="none" w:sz="0" w:space="0" w:color="auto"/>
        <w:bottom w:val="none" w:sz="0" w:space="0" w:color="auto"/>
        <w:right w:val="none" w:sz="0" w:space="0" w:color="auto"/>
      </w:divBdr>
    </w:div>
    <w:div w:id="1336760685">
      <w:bodyDiv w:val="1"/>
      <w:marLeft w:val="0"/>
      <w:marRight w:val="0"/>
      <w:marTop w:val="0"/>
      <w:marBottom w:val="0"/>
      <w:divBdr>
        <w:top w:val="none" w:sz="0" w:space="0" w:color="auto"/>
        <w:left w:val="none" w:sz="0" w:space="0" w:color="auto"/>
        <w:bottom w:val="none" w:sz="0" w:space="0" w:color="auto"/>
        <w:right w:val="none" w:sz="0" w:space="0" w:color="auto"/>
      </w:divBdr>
    </w:div>
    <w:div w:id="1336956060">
      <w:bodyDiv w:val="1"/>
      <w:marLeft w:val="0"/>
      <w:marRight w:val="0"/>
      <w:marTop w:val="0"/>
      <w:marBottom w:val="0"/>
      <w:divBdr>
        <w:top w:val="none" w:sz="0" w:space="0" w:color="auto"/>
        <w:left w:val="none" w:sz="0" w:space="0" w:color="auto"/>
        <w:bottom w:val="none" w:sz="0" w:space="0" w:color="auto"/>
        <w:right w:val="none" w:sz="0" w:space="0" w:color="auto"/>
      </w:divBdr>
    </w:div>
    <w:div w:id="1336957626">
      <w:bodyDiv w:val="1"/>
      <w:marLeft w:val="0"/>
      <w:marRight w:val="0"/>
      <w:marTop w:val="0"/>
      <w:marBottom w:val="0"/>
      <w:divBdr>
        <w:top w:val="none" w:sz="0" w:space="0" w:color="auto"/>
        <w:left w:val="none" w:sz="0" w:space="0" w:color="auto"/>
        <w:bottom w:val="none" w:sz="0" w:space="0" w:color="auto"/>
        <w:right w:val="none" w:sz="0" w:space="0" w:color="auto"/>
      </w:divBdr>
    </w:div>
    <w:div w:id="1337028209">
      <w:bodyDiv w:val="1"/>
      <w:marLeft w:val="0"/>
      <w:marRight w:val="0"/>
      <w:marTop w:val="0"/>
      <w:marBottom w:val="0"/>
      <w:divBdr>
        <w:top w:val="none" w:sz="0" w:space="0" w:color="auto"/>
        <w:left w:val="none" w:sz="0" w:space="0" w:color="auto"/>
        <w:bottom w:val="none" w:sz="0" w:space="0" w:color="auto"/>
        <w:right w:val="none" w:sz="0" w:space="0" w:color="auto"/>
      </w:divBdr>
    </w:div>
    <w:div w:id="1339040542">
      <w:bodyDiv w:val="1"/>
      <w:marLeft w:val="0"/>
      <w:marRight w:val="0"/>
      <w:marTop w:val="0"/>
      <w:marBottom w:val="0"/>
      <w:divBdr>
        <w:top w:val="none" w:sz="0" w:space="0" w:color="auto"/>
        <w:left w:val="none" w:sz="0" w:space="0" w:color="auto"/>
        <w:bottom w:val="none" w:sz="0" w:space="0" w:color="auto"/>
        <w:right w:val="none" w:sz="0" w:space="0" w:color="auto"/>
      </w:divBdr>
    </w:div>
    <w:div w:id="1339425303">
      <w:bodyDiv w:val="1"/>
      <w:marLeft w:val="0"/>
      <w:marRight w:val="0"/>
      <w:marTop w:val="0"/>
      <w:marBottom w:val="0"/>
      <w:divBdr>
        <w:top w:val="none" w:sz="0" w:space="0" w:color="auto"/>
        <w:left w:val="none" w:sz="0" w:space="0" w:color="auto"/>
        <w:bottom w:val="none" w:sz="0" w:space="0" w:color="auto"/>
        <w:right w:val="none" w:sz="0" w:space="0" w:color="auto"/>
      </w:divBdr>
    </w:div>
    <w:div w:id="1340042896">
      <w:bodyDiv w:val="1"/>
      <w:marLeft w:val="0"/>
      <w:marRight w:val="0"/>
      <w:marTop w:val="0"/>
      <w:marBottom w:val="0"/>
      <w:divBdr>
        <w:top w:val="none" w:sz="0" w:space="0" w:color="auto"/>
        <w:left w:val="none" w:sz="0" w:space="0" w:color="auto"/>
        <w:bottom w:val="none" w:sz="0" w:space="0" w:color="auto"/>
        <w:right w:val="none" w:sz="0" w:space="0" w:color="auto"/>
      </w:divBdr>
    </w:div>
    <w:div w:id="1340504072">
      <w:bodyDiv w:val="1"/>
      <w:marLeft w:val="0"/>
      <w:marRight w:val="0"/>
      <w:marTop w:val="0"/>
      <w:marBottom w:val="0"/>
      <w:divBdr>
        <w:top w:val="none" w:sz="0" w:space="0" w:color="auto"/>
        <w:left w:val="none" w:sz="0" w:space="0" w:color="auto"/>
        <w:bottom w:val="none" w:sz="0" w:space="0" w:color="auto"/>
        <w:right w:val="none" w:sz="0" w:space="0" w:color="auto"/>
      </w:divBdr>
    </w:div>
    <w:div w:id="1340888455">
      <w:bodyDiv w:val="1"/>
      <w:marLeft w:val="0"/>
      <w:marRight w:val="0"/>
      <w:marTop w:val="0"/>
      <w:marBottom w:val="0"/>
      <w:divBdr>
        <w:top w:val="none" w:sz="0" w:space="0" w:color="auto"/>
        <w:left w:val="none" w:sz="0" w:space="0" w:color="auto"/>
        <w:bottom w:val="none" w:sz="0" w:space="0" w:color="auto"/>
        <w:right w:val="none" w:sz="0" w:space="0" w:color="auto"/>
      </w:divBdr>
    </w:div>
    <w:div w:id="1340933002">
      <w:bodyDiv w:val="1"/>
      <w:marLeft w:val="0"/>
      <w:marRight w:val="0"/>
      <w:marTop w:val="0"/>
      <w:marBottom w:val="0"/>
      <w:divBdr>
        <w:top w:val="none" w:sz="0" w:space="0" w:color="auto"/>
        <w:left w:val="none" w:sz="0" w:space="0" w:color="auto"/>
        <w:bottom w:val="none" w:sz="0" w:space="0" w:color="auto"/>
        <w:right w:val="none" w:sz="0" w:space="0" w:color="auto"/>
      </w:divBdr>
    </w:div>
    <w:div w:id="1340963069">
      <w:bodyDiv w:val="1"/>
      <w:marLeft w:val="0"/>
      <w:marRight w:val="0"/>
      <w:marTop w:val="0"/>
      <w:marBottom w:val="0"/>
      <w:divBdr>
        <w:top w:val="none" w:sz="0" w:space="0" w:color="auto"/>
        <w:left w:val="none" w:sz="0" w:space="0" w:color="auto"/>
        <w:bottom w:val="none" w:sz="0" w:space="0" w:color="auto"/>
        <w:right w:val="none" w:sz="0" w:space="0" w:color="auto"/>
      </w:divBdr>
    </w:div>
    <w:div w:id="1341591382">
      <w:bodyDiv w:val="1"/>
      <w:marLeft w:val="0"/>
      <w:marRight w:val="0"/>
      <w:marTop w:val="0"/>
      <w:marBottom w:val="0"/>
      <w:divBdr>
        <w:top w:val="none" w:sz="0" w:space="0" w:color="auto"/>
        <w:left w:val="none" w:sz="0" w:space="0" w:color="auto"/>
        <w:bottom w:val="none" w:sz="0" w:space="0" w:color="auto"/>
        <w:right w:val="none" w:sz="0" w:space="0" w:color="auto"/>
      </w:divBdr>
    </w:div>
    <w:div w:id="1341660294">
      <w:bodyDiv w:val="1"/>
      <w:marLeft w:val="0"/>
      <w:marRight w:val="0"/>
      <w:marTop w:val="0"/>
      <w:marBottom w:val="0"/>
      <w:divBdr>
        <w:top w:val="none" w:sz="0" w:space="0" w:color="auto"/>
        <w:left w:val="none" w:sz="0" w:space="0" w:color="auto"/>
        <w:bottom w:val="none" w:sz="0" w:space="0" w:color="auto"/>
        <w:right w:val="none" w:sz="0" w:space="0" w:color="auto"/>
      </w:divBdr>
    </w:div>
    <w:div w:id="1341663530">
      <w:bodyDiv w:val="1"/>
      <w:marLeft w:val="0"/>
      <w:marRight w:val="0"/>
      <w:marTop w:val="0"/>
      <w:marBottom w:val="0"/>
      <w:divBdr>
        <w:top w:val="none" w:sz="0" w:space="0" w:color="auto"/>
        <w:left w:val="none" w:sz="0" w:space="0" w:color="auto"/>
        <w:bottom w:val="none" w:sz="0" w:space="0" w:color="auto"/>
        <w:right w:val="none" w:sz="0" w:space="0" w:color="auto"/>
      </w:divBdr>
    </w:div>
    <w:div w:id="1342203705">
      <w:bodyDiv w:val="1"/>
      <w:marLeft w:val="0"/>
      <w:marRight w:val="0"/>
      <w:marTop w:val="0"/>
      <w:marBottom w:val="0"/>
      <w:divBdr>
        <w:top w:val="none" w:sz="0" w:space="0" w:color="auto"/>
        <w:left w:val="none" w:sz="0" w:space="0" w:color="auto"/>
        <w:bottom w:val="none" w:sz="0" w:space="0" w:color="auto"/>
        <w:right w:val="none" w:sz="0" w:space="0" w:color="auto"/>
      </w:divBdr>
    </w:div>
    <w:div w:id="1343433413">
      <w:bodyDiv w:val="1"/>
      <w:marLeft w:val="0"/>
      <w:marRight w:val="0"/>
      <w:marTop w:val="0"/>
      <w:marBottom w:val="0"/>
      <w:divBdr>
        <w:top w:val="none" w:sz="0" w:space="0" w:color="auto"/>
        <w:left w:val="none" w:sz="0" w:space="0" w:color="auto"/>
        <w:bottom w:val="none" w:sz="0" w:space="0" w:color="auto"/>
        <w:right w:val="none" w:sz="0" w:space="0" w:color="auto"/>
      </w:divBdr>
    </w:div>
    <w:div w:id="1343433415">
      <w:bodyDiv w:val="1"/>
      <w:marLeft w:val="0"/>
      <w:marRight w:val="0"/>
      <w:marTop w:val="0"/>
      <w:marBottom w:val="0"/>
      <w:divBdr>
        <w:top w:val="none" w:sz="0" w:space="0" w:color="auto"/>
        <w:left w:val="none" w:sz="0" w:space="0" w:color="auto"/>
        <w:bottom w:val="none" w:sz="0" w:space="0" w:color="auto"/>
        <w:right w:val="none" w:sz="0" w:space="0" w:color="auto"/>
      </w:divBdr>
    </w:div>
    <w:div w:id="1343582774">
      <w:bodyDiv w:val="1"/>
      <w:marLeft w:val="0"/>
      <w:marRight w:val="0"/>
      <w:marTop w:val="0"/>
      <w:marBottom w:val="0"/>
      <w:divBdr>
        <w:top w:val="none" w:sz="0" w:space="0" w:color="auto"/>
        <w:left w:val="none" w:sz="0" w:space="0" w:color="auto"/>
        <w:bottom w:val="none" w:sz="0" w:space="0" w:color="auto"/>
        <w:right w:val="none" w:sz="0" w:space="0" w:color="auto"/>
      </w:divBdr>
    </w:div>
    <w:div w:id="1343627533">
      <w:bodyDiv w:val="1"/>
      <w:marLeft w:val="0"/>
      <w:marRight w:val="0"/>
      <w:marTop w:val="0"/>
      <w:marBottom w:val="0"/>
      <w:divBdr>
        <w:top w:val="none" w:sz="0" w:space="0" w:color="auto"/>
        <w:left w:val="none" w:sz="0" w:space="0" w:color="auto"/>
        <w:bottom w:val="none" w:sz="0" w:space="0" w:color="auto"/>
        <w:right w:val="none" w:sz="0" w:space="0" w:color="auto"/>
      </w:divBdr>
    </w:div>
    <w:div w:id="1344475874">
      <w:bodyDiv w:val="1"/>
      <w:marLeft w:val="0"/>
      <w:marRight w:val="0"/>
      <w:marTop w:val="0"/>
      <w:marBottom w:val="0"/>
      <w:divBdr>
        <w:top w:val="none" w:sz="0" w:space="0" w:color="auto"/>
        <w:left w:val="none" w:sz="0" w:space="0" w:color="auto"/>
        <w:bottom w:val="none" w:sz="0" w:space="0" w:color="auto"/>
        <w:right w:val="none" w:sz="0" w:space="0" w:color="auto"/>
      </w:divBdr>
    </w:div>
    <w:div w:id="1344938845">
      <w:bodyDiv w:val="1"/>
      <w:marLeft w:val="0"/>
      <w:marRight w:val="0"/>
      <w:marTop w:val="0"/>
      <w:marBottom w:val="0"/>
      <w:divBdr>
        <w:top w:val="none" w:sz="0" w:space="0" w:color="auto"/>
        <w:left w:val="none" w:sz="0" w:space="0" w:color="auto"/>
        <w:bottom w:val="none" w:sz="0" w:space="0" w:color="auto"/>
        <w:right w:val="none" w:sz="0" w:space="0" w:color="auto"/>
      </w:divBdr>
    </w:div>
    <w:div w:id="1345401475">
      <w:bodyDiv w:val="1"/>
      <w:marLeft w:val="0"/>
      <w:marRight w:val="0"/>
      <w:marTop w:val="0"/>
      <w:marBottom w:val="0"/>
      <w:divBdr>
        <w:top w:val="none" w:sz="0" w:space="0" w:color="auto"/>
        <w:left w:val="none" w:sz="0" w:space="0" w:color="auto"/>
        <w:bottom w:val="none" w:sz="0" w:space="0" w:color="auto"/>
        <w:right w:val="none" w:sz="0" w:space="0" w:color="auto"/>
      </w:divBdr>
    </w:div>
    <w:div w:id="1345788803">
      <w:bodyDiv w:val="1"/>
      <w:marLeft w:val="0"/>
      <w:marRight w:val="0"/>
      <w:marTop w:val="0"/>
      <w:marBottom w:val="0"/>
      <w:divBdr>
        <w:top w:val="none" w:sz="0" w:space="0" w:color="auto"/>
        <w:left w:val="none" w:sz="0" w:space="0" w:color="auto"/>
        <w:bottom w:val="none" w:sz="0" w:space="0" w:color="auto"/>
        <w:right w:val="none" w:sz="0" w:space="0" w:color="auto"/>
      </w:divBdr>
    </w:div>
    <w:div w:id="1347294461">
      <w:bodyDiv w:val="1"/>
      <w:marLeft w:val="0"/>
      <w:marRight w:val="0"/>
      <w:marTop w:val="0"/>
      <w:marBottom w:val="0"/>
      <w:divBdr>
        <w:top w:val="none" w:sz="0" w:space="0" w:color="auto"/>
        <w:left w:val="none" w:sz="0" w:space="0" w:color="auto"/>
        <w:bottom w:val="none" w:sz="0" w:space="0" w:color="auto"/>
        <w:right w:val="none" w:sz="0" w:space="0" w:color="auto"/>
      </w:divBdr>
    </w:div>
    <w:div w:id="1347636834">
      <w:bodyDiv w:val="1"/>
      <w:marLeft w:val="0"/>
      <w:marRight w:val="0"/>
      <w:marTop w:val="0"/>
      <w:marBottom w:val="0"/>
      <w:divBdr>
        <w:top w:val="none" w:sz="0" w:space="0" w:color="auto"/>
        <w:left w:val="none" w:sz="0" w:space="0" w:color="auto"/>
        <w:bottom w:val="none" w:sz="0" w:space="0" w:color="auto"/>
        <w:right w:val="none" w:sz="0" w:space="0" w:color="auto"/>
      </w:divBdr>
    </w:div>
    <w:div w:id="1347832169">
      <w:bodyDiv w:val="1"/>
      <w:marLeft w:val="0"/>
      <w:marRight w:val="0"/>
      <w:marTop w:val="0"/>
      <w:marBottom w:val="0"/>
      <w:divBdr>
        <w:top w:val="none" w:sz="0" w:space="0" w:color="auto"/>
        <w:left w:val="none" w:sz="0" w:space="0" w:color="auto"/>
        <w:bottom w:val="none" w:sz="0" w:space="0" w:color="auto"/>
        <w:right w:val="none" w:sz="0" w:space="0" w:color="auto"/>
      </w:divBdr>
    </w:div>
    <w:div w:id="1348868377">
      <w:bodyDiv w:val="1"/>
      <w:marLeft w:val="0"/>
      <w:marRight w:val="0"/>
      <w:marTop w:val="0"/>
      <w:marBottom w:val="0"/>
      <w:divBdr>
        <w:top w:val="none" w:sz="0" w:space="0" w:color="auto"/>
        <w:left w:val="none" w:sz="0" w:space="0" w:color="auto"/>
        <w:bottom w:val="none" w:sz="0" w:space="0" w:color="auto"/>
        <w:right w:val="none" w:sz="0" w:space="0" w:color="auto"/>
      </w:divBdr>
    </w:div>
    <w:div w:id="1349329073">
      <w:bodyDiv w:val="1"/>
      <w:marLeft w:val="0"/>
      <w:marRight w:val="0"/>
      <w:marTop w:val="0"/>
      <w:marBottom w:val="0"/>
      <w:divBdr>
        <w:top w:val="none" w:sz="0" w:space="0" w:color="auto"/>
        <w:left w:val="none" w:sz="0" w:space="0" w:color="auto"/>
        <w:bottom w:val="none" w:sz="0" w:space="0" w:color="auto"/>
        <w:right w:val="none" w:sz="0" w:space="0" w:color="auto"/>
      </w:divBdr>
    </w:div>
    <w:div w:id="1351638382">
      <w:bodyDiv w:val="1"/>
      <w:marLeft w:val="0"/>
      <w:marRight w:val="0"/>
      <w:marTop w:val="0"/>
      <w:marBottom w:val="0"/>
      <w:divBdr>
        <w:top w:val="none" w:sz="0" w:space="0" w:color="auto"/>
        <w:left w:val="none" w:sz="0" w:space="0" w:color="auto"/>
        <w:bottom w:val="none" w:sz="0" w:space="0" w:color="auto"/>
        <w:right w:val="none" w:sz="0" w:space="0" w:color="auto"/>
      </w:divBdr>
    </w:div>
    <w:div w:id="1352220199">
      <w:bodyDiv w:val="1"/>
      <w:marLeft w:val="0"/>
      <w:marRight w:val="0"/>
      <w:marTop w:val="0"/>
      <w:marBottom w:val="0"/>
      <w:divBdr>
        <w:top w:val="none" w:sz="0" w:space="0" w:color="auto"/>
        <w:left w:val="none" w:sz="0" w:space="0" w:color="auto"/>
        <w:bottom w:val="none" w:sz="0" w:space="0" w:color="auto"/>
        <w:right w:val="none" w:sz="0" w:space="0" w:color="auto"/>
      </w:divBdr>
    </w:div>
    <w:div w:id="1353189342">
      <w:bodyDiv w:val="1"/>
      <w:marLeft w:val="0"/>
      <w:marRight w:val="0"/>
      <w:marTop w:val="0"/>
      <w:marBottom w:val="0"/>
      <w:divBdr>
        <w:top w:val="none" w:sz="0" w:space="0" w:color="auto"/>
        <w:left w:val="none" w:sz="0" w:space="0" w:color="auto"/>
        <w:bottom w:val="none" w:sz="0" w:space="0" w:color="auto"/>
        <w:right w:val="none" w:sz="0" w:space="0" w:color="auto"/>
      </w:divBdr>
    </w:div>
    <w:div w:id="1353267834">
      <w:bodyDiv w:val="1"/>
      <w:marLeft w:val="0"/>
      <w:marRight w:val="0"/>
      <w:marTop w:val="0"/>
      <w:marBottom w:val="0"/>
      <w:divBdr>
        <w:top w:val="none" w:sz="0" w:space="0" w:color="auto"/>
        <w:left w:val="none" w:sz="0" w:space="0" w:color="auto"/>
        <w:bottom w:val="none" w:sz="0" w:space="0" w:color="auto"/>
        <w:right w:val="none" w:sz="0" w:space="0" w:color="auto"/>
      </w:divBdr>
    </w:div>
    <w:div w:id="1353914395">
      <w:bodyDiv w:val="1"/>
      <w:marLeft w:val="0"/>
      <w:marRight w:val="0"/>
      <w:marTop w:val="0"/>
      <w:marBottom w:val="0"/>
      <w:divBdr>
        <w:top w:val="none" w:sz="0" w:space="0" w:color="auto"/>
        <w:left w:val="none" w:sz="0" w:space="0" w:color="auto"/>
        <w:bottom w:val="none" w:sz="0" w:space="0" w:color="auto"/>
        <w:right w:val="none" w:sz="0" w:space="0" w:color="auto"/>
      </w:divBdr>
    </w:div>
    <w:div w:id="1353919067">
      <w:bodyDiv w:val="1"/>
      <w:marLeft w:val="0"/>
      <w:marRight w:val="0"/>
      <w:marTop w:val="0"/>
      <w:marBottom w:val="0"/>
      <w:divBdr>
        <w:top w:val="none" w:sz="0" w:space="0" w:color="auto"/>
        <w:left w:val="none" w:sz="0" w:space="0" w:color="auto"/>
        <w:bottom w:val="none" w:sz="0" w:space="0" w:color="auto"/>
        <w:right w:val="none" w:sz="0" w:space="0" w:color="auto"/>
      </w:divBdr>
    </w:div>
    <w:div w:id="1354651569">
      <w:bodyDiv w:val="1"/>
      <w:marLeft w:val="0"/>
      <w:marRight w:val="0"/>
      <w:marTop w:val="0"/>
      <w:marBottom w:val="0"/>
      <w:divBdr>
        <w:top w:val="none" w:sz="0" w:space="0" w:color="auto"/>
        <w:left w:val="none" w:sz="0" w:space="0" w:color="auto"/>
        <w:bottom w:val="none" w:sz="0" w:space="0" w:color="auto"/>
        <w:right w:val="none" w:sz="0" w:space="0" w:color="auto"/>
      </w:divBdr>
    </w:div>
    <w:div w:id="1355494743">
      <w:bodyDiv w:val="1"/>
      <w:marLeft w:val="0"/>
      <w:marRight w:val="0"/>
      <w:marTop w:val="0"/>
      <w:marBottom w:val="0"/>
      <w:divBdr>
        <w:top w:val="none" w:sz="0" w:space="0" w:color="auto"/>
        <w:left w:val="none" w:sz="0" w:space="0" w:color="auto"/>
        <w:bottom w:val="none" w:sz="0" w:space="0" w:color="auto"/>
        <w:right w:val="none" w:sz="0" w:space="0" w:color="auto"/>
      </w:divBdr>
    </w:div>
    <w:div w:id="1355886424">
      <w:bodyDiv w:val="1"/>
      <w:marLeft w:val="0"/>
      <w:marRight w:val="0"/>
      <w:marTop w:val="0"/>
      <w:marBottom w:val="0"/>
      <w:divBdr>
        <w:top w:val="none" w:sz="0" w:space="0" w:color="auto"/>
        <w:left w:val="none" w:sz="0" w:space="0" w:color="auto"/>
        <w:bottom w:val="none" w:sz="0" w:space="0" w:color="auto"/>
        <w:right w:val="none" w:sz="0" w:space="0" w:color="auto"/>
      </w:divBdr>
    </w:div>
    <w:div w:id="1356424298">
      <w:bodyDiv w:val="1"/>
      <w:marLeft w:val="0"/>
      <w:marRight w:val="0"/>
      <w:marTop w:val="0"/>
      <w:marBottom w:val="0"/>
      <w:divBdr>
        <w:top w:val="none" w:sz="0" w:space="0" w:color="auto"/>
        <w:left w:val="none" w:sz="0" w:space="0" w:color="auto"/>
        <w:bottom w:val="none" w:sz="0" w:space="0" w:color="auto"/>
        <w:right w:val="none" w:sz="0" w:space="0" w:color="auto"/>
      </w:divBdr>
    </w:div>
    <w:div w:id="1357391572">
      <w:bodyDiv w:val="1"/>
      <w:marLeft w:val="0"/>
      <w:marRight w:val="0"/>
      <w:marTop w:val="0"/>
      <w:marBottom w:val="0"/>
      <w:divBdr>
        <w:top w:val="none" w:sz="0" w:space="0" w:color="auto"/>
        <w:left w:val="none" w:sz="0" w:space="0" w:color="auto"/>
        <w:bottom w:val="none" w:sz="0" w:space="0" w:color="auto"/>
        <w:right w:val="none" w:sz="0" w:space="0" w:color="auto"/>
      </w:divBdr>
    </w:div>
    <w:div w:id="1357541482">
      <w:bodyDiv w:val="1"/>
      <w:marLeft w:val="0"/>
      <w:marRight w:val="0"/>
      <w:marTop w:val="0"/>
      <w:marBottom w:val="0"/>
      <w:divBdr>
        <w:top w:val="none" w:sz="0" w:space="0" w:color="auto"/>
        <w:left w:val="none" w:sz="0" w:space="0" w:color="auto"/>
        <w:bottom w:val="none" w:sz="0" w:space="0" w:color="auto"/>
        <w:right w:val="none" w:sz="0" w:space="0" w:color="auto"/>
      </w:divBdr>
    </w:div>
    <w:div w:id="1357658437">
      <w:bodyDiv w:val="1"/>
      <w:marLeft w:val="0"/>
      <w:marRight w:val="0"/>
      <w:marTop w:val="0"/>
      <w:marBottom w:val="0"/>
      <w:divBdr>
        <w:top w:val="none" w:sz="0" w:space="0" w:color="auto"/>
        <w:left w:val="none" w:sz="0" w:space="0" w:color="auto"/>
        <w:bottom w:val="none" w:sz="0" w:space="0" w:color="auto"/>
        <w:right w:val="none" w:sz="0" w:space="0" w:color="auto"/>
      </w:divBdr>
    </w:div>
    <w:div w:id="1358627325">
      <w:bodyDiv w:val="1"/>
      <w:marLeft w:val="0"/>
      <w:marRight w:val="0"/>
      <w:marTop w:val="0"/>
      <w:marBottom w:val="0"/>
      <w:divBdr>
        <w:top w:val="none" w:sz="0" w:space="0" w:color="auto"/>
        <w:left w:val="none" w:sz="0" w:space="0" w:color="auto"/>
        <w:bottom w:val="none" w:sz="0" w:space="0" w:color="auto"/>
        <w:right w:val="none" w:sz="0" w:space="0" w:color="auto"/>
      </w:divBdr>
    </w:div>
    <w:div w:id="1358773296">
      <w:bodyDiv w:val="1"/>
      <w:marLeft w:val="0"/>
      <w:marRight w:val="0"/>
      <w:marTop w:val="0"/>
      <w:marBottom w:val="0"/>
      <w:divBdr>
        <w:top w:val="none" w:sz="0" w:space="0" w:color="auto"/>
        <w:left w:val="none" w:sz="0" w:space="0" w:color="auto"/>
        <w:bottom w:val="none" w:sz="0" w:space="0" w:color="auto"/>
        <w:right w:val="none" w:sz="0" w:space="0" w:color="auto"/>
      </w:divBdr>
    </w:div>
    <w:div w:id="1358920260">
      <w:bodyDiv w:val="1"/>
      <w:marLeft w:val="0"/>
      <w:marRight w:val="0"/>
      <w:marTop w:val="0"/>
      <w:marBottom w:val="0"/>
      <w:divBdr>
        <w:top w:val="none" w:sz="0" w:space="0" w:color="auto"/>
        <w:left w:val="none" w:sz="0" w:space="0" w:color="auto"/>
        <w:bottom w:val="none" w:sz="0" w:space="0" w:color="auto"/>
        <w:right w:val="none" w:sz="0" w:space="0" w:color="auto"/>
      </w:divBdr>
    </w:div>
    <w:div w:id="1359039214">
      <w:bodyDiv w:val="1"/>
      <w:marLeft w:val="0"/>
      <w:marRight w:val="0"/>
      <w:marTop w:val="0"/>
      <w:marBottom w:val="0"/>
      <w:divBdr>
        <w:top w:val="none" w:sz="0" w:space="0" w:color="auto"/>
        <w:left w:val="none" w:sz="0" w:space="0" w:color="auto"/>
        <w:bottom w:val="none" w:sz="0" w:space="0" w:color="auto"/>
        <w:right w:val="none" w:sz="0" w:space="0" w:color="auto"/>
      </w:divBdr>
    </w:div>
    <w:div w:id="1359505379">
      <w:bodyDiv w:val="1"/>
      <w:marLeft w:val="0"/>
      <w:marRight w:val="0"/>
      <w:marTop w:val="0"/>
      <w:marBottom w:val="0"/>
      <w:divBdr>
        <w:top w:val="none" w:sz="0" w:space="0" w:color="auto"/>
        <w:left w:val="none" w:sz="0" w:space="0" w:color="auto"/>
        <w:bottom w:val="none" w:sz="0" w:space="0" w:color="auto"/>
        <w:right w:val="none" w:sz="0" w:space="0" w:color="auto"/>
      </w:divBdr>
    </w:div>
    <w:div w:id="1359694413">
      <w:bodyDiv w:val="1"/>
      <w:marLeft w:val="0"/>
      <w:marRight w:val="0"/>
      <w:marTop w:val="0"/>
      <w:marBottom w:val="0"/>
      <w:divBdr>
        <w:top w:val="none" w:sz="0" w:space="0" w:color="auto"/>
        <w:left w:val="none" w:sz="0" w:space="0" w:color="auto"/>
        <w:bottom w:val="none" w:sz="0" w:space="0" w:color="auto"/>
        <w:right w:val="none" w:sz="0" w:space="0" w:color="auto"/>
      </w:divBdr>
    </w:div>
    <w:div w:id="1359812135">
      <w:bodyDiv w:val="1"/>
      <w:marLeft w:val="0"/>
      <w:marRight w:val="0"/>
      <w:marTop w:val="0"/>
      <w:marBottom w:val="0"/>
      <w:divBdr>
        <w:top w:val="none" w:sz="0" w:space="0" w:color="auto"/>
        <w:left w:val="none" w:sz="0" w:space="0" w:color="auto"/>
        <w:bottom w:val="none" w:sz="0" w:space="0" w:color="auto"/>
        <w:right w:val="none" w:sz="0" w:space="0" w:color="auto"/>
      </w:divBdr>
    </w:div>
    <w:div w:id="1360203963">
      <w:bodyDiv w:val="1"/>
      <w:marLeft w:val="0"/>
      <w:marRight w:val="0"/>
      <w:marTop w:val="0"/>
      <w:marBottom w:val="0"/>
      <w:divBdr>
        <w:top w:val="none" w:sz="0" w:space="0" w:color="auto"/>
        <w:left w:val="none" w:sz="0" w:space="0" w:color="auto"/>
        <w:bottom w:val="none" w:sz="0" w:space="0" w:color="auto"/>
        <w:right w:val="none" w:sz="0" w:space="0" w:color="auto"/>
      </w:divBdr>
    </w:div>
    <w:div w:id="1360663923">
      <w:bodyDiv w:val="1"/>
      <w:marLeft w:val="0"/>
      <w:marRight w:val="0"/>
      <w:marTop w:val="0"/>
      <w:marBottom w:val="0"/>
      <w:divBdr>
        <w:top w:val="none" w:sz="0" w:space="0" w:color="auto"/>
        <w:left w:val="none" w:sz="0" w:space="0" w:color="auto"/>
        <w:bottom w:val="none" w:sz="0" w:space="0" w:color="auto"/>
        <w:right w:val="none" w:sz="0" w:space="0" w:color="auto"/>
      </w:divBdr>
    </w:div>
    <w:div w:id="1361782105">
      <w:bodyDiv w:val="1"/>
      <w:marLeft w:val="0"/>
      <w:marRight w:val="0"/>
      <w:marTop w:val="0"/>
      <w:marBottom w:val="0"/>
      <w:divBdr>
        <w:top w:val="none" w:sz="0" w:space="0" w:color="auto"/>
        <w:left w:val="none" w:sz="0" w:space="0" w:color="auto"/>
        <w:bottom w:val="none" w:sz="0" w:space="0" w:color="auto"/>
        <w:right w:val="none" w:sz="0" w:space="0" w:color="auto"/>
      </w:divBdr>
    </w:div>
    <w:div w:id="1362046056">
      <w:bodyDiv w:val="1"/>
      <w:marLeft w:val="0"/>
      <w:marRight w:val="0"/>
      <w:marTop w:val="0"/>
      <w:marBottom w:val="0"/>
      <w:divBdr>
        <w:top w:val="none" w:sz="0" w:space="0" w:color="auto"/>
        <w:left w:val="none" w:sz="0" w:space="0" w:color="auto"/>
        <w:bottom w:val="none" w:sz="0" w:space="0" w:color="auto"/>
        <w:right w:val="none" w:sz="0" w:space="0" w:color="auto"/>
      </w:divBdr>
    </w:div>
    <w:div w:id="1362315233">
      <w:bodyDiv w:val="1"/>
      <w:marLeft w:val="0"/>
      <w:marRight w:val="0"/>
      <w:marTop w:val="0"/>
      <w:marBottom w:val="0"/>
      <w:divBdr>
        <w:top w:val="none" w:sz="0" w:space="0" w:color="auto"/>
        <w:left w:val="none" w:sz="0" w:space="0" w:color="auto"/>
        <w:bottom w:val="none" w:sz="0" w:space="0" w:color="auto"/>
        <w:right w:val="none" w:sz="0" w:space="0" w:color="auto"/>
      </w:divBdr>
    </w:div>
    <w:div w:id="1362315457">
      <w:bodyDiv w:val="1"/>
      <w:marLeft w:val="0"/>
      <w:marRight w:val="0"/>
      <w:marTop w:val="0"/>
      <w:marBottom w:val="0"/>
      <w:divBdr>
        <w:top w:val="none" w:sz="0" w:space="0" w:color="auto"/>
        <w:left w:val="none" w:sz="0" w:space="0" w:color="auto"/>
        <w:bottom w:val="none" w:sz="0" w:space="0" w:color="auto"/>
        <w:right w:val="none" w:sz="0" w:space="0" w:color="auto"/>
      </w:divBdr>
    </w:div>
    <w:div w:id="1362707730">
      <w:bodyDiv w:val="1"/>
      <w:marLeft w:val="0"/>
      <w:marRight w:val="0"/>
      <w:marTop w:val="0"/>
      <w:marBottom w:val="0"/>
      <w:divBdr>
        <w:top w:val="none" w:sz="0" w:space="0" w:color="auto"/>
        <w:left w:val="none" w:sz="0" w:space="0" w:color="auto"/>
        <w:bottom w:val="none" w:sz="0" w:space="0" w:color="auto"/>
        <w:right w:val="none" w:sz="0" w:space="0" w:color="auto"/>
      </w:divBdr>
    </w:div>
    <w:div w:id="1362827563">
      <w:bodyDiv w:val="1"/>
      <w:marLeft w:val="0"/>
      <w:marRight w:val="0"/>
      <w:marTop w:val="0"/>
      <w:marBottom w:val="0"/>
      <w:divBdr>
        <w:top w:val="none" w:sz="0" w:space="0" w:color="auto"/>
        <w:left w:val="none" w:sz="0" w:space="0" w:color="auto"/>
        <w:bottom w:val="none" w:sz="0" w:space="0" w:color="auto"/>
        <w:right w:val="none" w:sz="0" w:space="0" w:color="auto"/>
      </w:divBdr>
    </w:div>
    <w:div w:id="1362901528">
      <w:bodyDiv w:val="1"/>
      <w:marLeft w:val="0"/>
      <w:marRight w:val="0"/>
      <w:marTop w:val="0"/>
      <w:marBottom w:val="0"/>
      <w:divBdr>
        <w:top w:val="none" w:sz="0" w:space="0" w:color="auto"/>
        <w:left w:val="none" w:sz="0" w:space="0" w:color="auto"/>
        <w:bottom w:val="none" w:sz="0" w:space="0" w:color="auto"/>
        <w:right w:val="none" w:sz="0" w:space="0" w:color="auto"/>
      </w:divBdr>
    </w:div>
    <w:div w:id="1363047858">
      <w:bodyDiv w:val="1"/>
      <w:marLeft w:val="0"/>
      <w:marRight w:val="0"/>
      <w:marTop w:val="0"/>
      <w:marBottom w:val="0"/>
      <w:divBdr>
        <w:top w:val="none" w:sz="0" w:space="0" w:color="auto"/>
        <w:left w:val="none" w:sz="0" w:space="0" w:color="auto"/>
        <w:bottom w:val="none" w:sz="0" w:space="0" w:color="auto"/>
        <w:right w:val="none" w:sz="0" w:space="0" w:color="auto"/>
      </w:divBdr>
    </w:div>
    <w:div w:id="1363360057">
      <w:bodyDiv w:val="1"/>
      <w:marLeft w:val="0"/>
      <w:marRight w:val="0"/>
      <w:marTop w:val="0"/>
      <w:marBottom w:val="0"/>
      <w:divBdr>
        <w:top w:val="none" w:sz="0" w:space="0" w:color="auto"/>
        <w:left w:val="none" w:sz="0" w:space="0" w:color="auto"/>
        <w:bottom w:val="none" w:sz="0" w:space="0" w:color="auto"/>
        <w:right w:val="none" w:sz="0" w:space="0" w:color="auto"/>
      </w:divBdr>
    </w:div>
    <w:div w:id="1363704047">
      <w:bodyDiv w:val="1"/>
      <w:marLeft w:val="0"/>
      <w:marRight w:val="0"/>
      <w:marTop w:val="0"/>
      <w:marBottom w:val="0"/>
      <w:divBdr>
        <w:top w:val="none" w:sz="0" w:space="0" w:color="auto"/>
        <w:left w:val="none" w:sz="0" w:space="0" w:color="auto"/>
        <w:bottom w:val="none" w:sz="0" w:space="0" w:color="auto"/>
        <w:right w:val="none" w:sz="0" w:space="0" w:color="auto"/>
      </w:divBdr>
    </w:div>
    <w:div w:id="1364480525">
      <w:bodyDiv w:val="1"/>
      <w:marLeft w:val="0"/>
      <w:marRight w:val="0"/>
      <w:marTop w:val="0"/>
      <w:marBottom w:val="0"/>
      <w:divBdr>
        <w:top w:val="none" w:sz="0" w:space="0" w:color="auto"/>
        <w:left w:val="none" w:sz="0" w:space="0" w:color="auto"/>
        <w:bottom w:val="none" w:sz="0" w:space="0" w:color="auto"/>
        <w:right w:val="none" w:sz="0" w:space="0" w:color="auto"/>
      </w:divBdr>
    </w:div>
    <w:div w:id="1364555071">
      <w:bodyDiv w:val="1"/>
      <w:marLeft w:val="0"/>
      <w:marRight w:val="0"/>
      <w:marTop w:val="0"/>
      <w:marBottom w:val="0"/>
      <w:divBdr>
        <w:top w:val="none" w:sz="0" w:space="0" w:color="auto"/>
        <w:left w:val="none" w:sz="0" w:space="0" w:color="auto"/>
        <w:bottom w:val="none" w:sz="0" w:space="0" w:color="auto"/>
        <w:right w:val="none" w:sz="0" w:space="0" w:color="auto"/>
      </w:divBdr>
    </w:div>
    <w:div w:id="1365329909">
      <w:bodyDiv w:val="1"/>
      <w:marLeft w:val="0"/>
      <w:marRight w:val="0"/>
      <w:marTop w:val="0"/>
      <w:marBottom w:val="0"/>
      <w:divBdr>
        <w:top w:val="none" w:sz="0" w:space="0" w:color="auto"/>
        <w:left w:val="none" w:sz="0" w:space="0" w:color="auto"/>
        <w:bottom w:val="none" w:sz="0" w:space="0" w:color="auto"/>
        <w:right w:val="none" w:sz="0" w:space="0" w:color="auto"/>
      </w:divBdr>
    </w:div>
    <w:div w:id="1365861116">
      <w:bodyDiv w:val="1"/>
      <w:marLeft w:val="0"/>
      <w:marRight w:val="0"/>
      <w:marTop w:val="0"/>
      <w:marBottom w:val="0"/>
      <w:divBdr>
        <w:top w:val="none" w:sz="0" w:space="0" w:color="auto"/>
        <w:left w:val="none" w:sz="0" w:space="0" w:color="auto"/>
        <w:bottom w:val="none" w:sz="0" w:space="0" w:color="auto"/>
        <w:right w:val="none" w:sz="0" w:space="0" w:color="auto"/>
      </w:divBdr>
    </w:div>
    <w:div w:id="1366100964">
      <w:bodyDiv w:val="1"/>
      <w:marLeft w:val="0"/>
      <w:marRight w:val="0"/>
      <w:marTop w:val="0"/>
      <w:marBottom w:val="0"/>
      <w:divBdr>
        <w:top w:val="none" w:sz="0" w:space="0" w:color="auto"/>
        <w:left w:val="none" w:sz="0" w:space="0" w:color="auto"/>
        <w:bottom w:val="none" w:sz="0" w:space="0" w:color="auto"/>
        <w:right w:val="none" w:sz="0" w:space="0" w:color="auto"/>
      </w:divBdr>
    </w:div>
    <w:div w:id="1366567080">
      <w:bodyDiv w:val="1"/>
      <w:marLeft w:val="0"/>
      <w:marRight w:val="0"/>
      <w:marTop w:val="0"/>
      <w:marBottom w:val="0"/>
      <w:divBdr>
        <w:top w:val="none" w:sz="0" w:space="0" w:color="auto"/>
        <w:left w:val="none" w:sz="0" w:space="0" w:color="auto"/>
        <w:bottom w:val="none" w:sz="0" w:space="0" w:color="auto"/>
        <w:right w:val="none" w:sz="0" w:space="0" w:color="auto"/>
      </w:divBdr>
    </w:div>
    <w:div w:id="1367561745">
      <w:bodyDiv w:val="1"/>
      <w:marLeft w:val="0"/>
      <w:marRight w:val="0"/>
      <w:marTop w:val="0"/>
      <w:marBottom w:val="0"/>
      <w:divBdr>
        <w:top w:val="none" w:sz="0" w:space="0" w:color="auto"/>
        <w:left w:val="none" w:sz="0" w:space="0" w:color="auto"/>
        <w:bottom w:val="none" w:sz="0" w:space="0" w:color="auto"/>
        <w:right w:val="none" w:sz="0" w:space="0" w:color="auto"/>
      </w:divBdr>
    </w:div>
    <w:div w:id="1368486926">
      <w:bodyDiv w:val="1"/>
      <w:marLeft w:val="0"/>
      <w:marRight w:val="0"/>
      <w:marTop w:val="0"/>
      <w:marBottom w:val="0"/>
      <w:divBdr>
        <w:top w:val="none" w:sz="0" w:space="0" w:color="auto"/>
        <w:left w:val="none" w:sz="0" w:space="0" w:color="auto"/>
        <w:bottom w:val="none" w:sz="0" w:space="0" w:color="auto"/>
        <w:right w:val="none" w:sz="0" w:space="0" w:color="auto"/>
      </w:divBdr>
    </w:div>
    <w:div w:id="1368605755">
      <w:bodyDiv w:val="1"/>
      <w:marLeft w:val="0"/>
      <w:marRight w:val="0"/>
      <w:marTop w:val="0"/>
      <w:marBottom w:val="0"/>
      <w:divBdr>
        <w:top w:val="none" w:sz="0" w:space="0" w:color="auto"/>
        <w:left w:val="none" w:sz="0" w:space="0" w:color="auto"/>
        <w:bottom w:val="none" w:sz="0" w:space="0" w:color="auto"/>
        <w:right w:val="none" w:sz="0" w:space="0" w:color="auto"/>
      </w:divBdr>
    </w:div>
    <w:div w:id="1368751298">
      <w:bodyDiv w:val="1"/>
      <w:marLeft w:val="0"/>
      <w:marRight w:val="0"/>
      <w:marTop w:val="0"/>
      <w:marBottom w:val="0"/>
      <w:divBdr>
        <w:top w:val="none" w:sz="0" w:space="0" w:color="auto"/>
        <w:left w:val="none" w:sz="0" w:space="0" w:color="auto"/>
        <w:bottom w:val="none" w:sz="0" w:space="0" w:color="auto"/>
        <w:right w:val="none" w:sz="0" w:space="0" w:color="auto"/>
      </w:divBdr>
    </w:div>
    <w:div w:id="1368796305">
      <w:bodyDiv w:val="1"/>
      <w:marLeft w:val="0"/>
      <w:marRight w:val="0"/>
      <w:marTop w:val="0"/>
      <w:marBottom w:val="0"/>
      <w:divBdr>
        <w:top w:val="none" w:sz="0" w:space="0" w:color="auto"/>
        <w:left w:val="none" w:sz="0" w:space="0" w:color="auto"/>
        <w:bottom w:val="none" w:sz="0" w:space="0" w:color="auto"/>
        <w:right w:val="none" w:sz="0" w:space="0" w:color="auto"/>
      </w:divBdr>
    </w:div>
    <w:div w:id="1369452042">
      <w:bodyDiv w:val="1"/>
      <w:marLeft w:val="0"/>
      <w:marRight w:val="0"/>
      <w:marTop w:val="0"/>
      <w:marBottom w:val="0"/>
      <w:divBdr>
        <w:top w:val="none" w:sz="0" w:space="0" w:color="auto"/>
        <w:left w:val="none" w:sz="0" w:space="0" w:color="auto"/>
        <w:bottom w:val="none" w:sz="0" w:space="0" w:color="auto"/>
        <w:right w:val="none" w:sz="0" w:space="0" w:color="auto"/>
      </w:divBdr>
    </w:div>
    <w:div w:id="1369454804">
      <w:bodyDiv w:val="1"/>
      <w:marLeft w:val="0"/>
      <w:marRight w:val="0"/>
      <w:marTop w:val="0"/>
      <w:marBottom w:val="0"/>
      <w:divBdr>
        <w:top w:val="none" w:sz="0" w:space="0" w:color="auto"/>
        <w:left w:val="none" w:sz="0" w:space="0" w:color="auto"/>
        <w:bottom w:val="none" w:sz="0" w:space="0" w:color="auto"/>
        <w:right w:val="none" w:sz="0" w:space="0" w:color="auto"/>
      </w:divBdr>
    </w:div>
    <w:div w:id="1369527184">
      <w:bodyDiv w:val="1"/>
      <w:marLeft w:val="0"/>
      <w:marRight w:val="0"/>
      <w:marTop w:val="0"/>
      <w:marBottom w:val="0"/>
      <w:divBdr>
        <w:top w:val="none" w:sz="0" w:space="0" w:color="auto"/>
        <w:left w:val="none" w:sz="0" w:space="0" w:color="auto"/>
        <w:bottom w:val="none" w:sz="0" w:space="0" w:color="auto"/>
        <w:right w:val="none" w:sz="0" w:space="0" w:color="auto"/>
      </w:divBdr>
    </w:div>
    <w:div w:id="1369646179">
      <w:bodyDiv w:val="1"/>
      <w:marLeft w:val="0"/>
      <w:marRight w:val="0"/>
      <w:marTop w:val="0"/>
      <w:marBottom w:val="0"/>
      <w:divBdr>
        <w:top w:val="none" w:sz="0" w:space="0" w:color="auto"/>
        <w:left w:val="none" w:sz="0" w:space="0" w:color="auto"/>
        <w:bottom w:val="none" w:sz="0" w:space="0" w:color="auto"/>
        <w:right w:val="none" w:sz="0" w:space="0" w:color="auto"/>
      </w:divBdr>
    </w:div>
    <w:div w:id="1370104532">
      <w:bodyDiv w:val="1"/>
      <w:marLeft w:val="0"/>
      <w:marRight w:val="0"/>
      <w:marTop w:val="0"/>
      <w:marBottom w:val="0"/>
      <w:divBdr>
        <w:top w:val="none" w:sz="0" w:space="0" w:color="auto"/>
        <w:left w:val="none" w:sz="0" w:space="0" w:color="auto"/>
        <w:bottom w:val="none" w:sz="0" w:space="0" w:color="auto"/>
        <w:right w:val="none" w:sz="0" w:space="0" w:color="auto"/>
      </w:divBdr>
    </w:div>
    <w:div w:id="1370185336">
      <w:bodyDiv w:val="1"/>
      <w:marLeft w:val="0"/>
      <w:marRight w:val="0"/>
      <w:marTop w:val="0"/>
      <w:marBottom w:val="0"/>
      <w:divBdr>
        <w:top w:val="none" w:sz="0" w:space="0" w:color="auto"/>
        <w:left w:val="none" w:sz="0" w:space="0" w:color="auto"/>
        <w:bottom w:val="none" w:sz="0" w:space="0" w:color="auto"/>
        <w:right w:val="none" w:sz="0" w:space="0" w:color="auto"/>
      </w:divBdr>
    </w:div>
    <w:div w:id="1370298631">
      <w:bodyDiv w:val="1"/>
      <w:marLeft w:val="0"/>
      <w:marRight w:val="0"/>
      <w:marTop w:val="0"/>
      <w:marBottom w:val="0"/>
      <w:divBdr>
        <w:top w:val="none" w:sz="0" w:space="0" w:color="auto"/>
        <w:left w:val="none" w:sz="0" w:space="0" w:color="auto"/>
        <w:bottom w:val="none" w:sz="0" w:space="0" w:color="auto"/>
        <w:right w:val="none" w:sz="0" w:space="0" w:color="auto"/>
      </w:divBdr>
    </w:div>
    <w:div w:id="1370374767">
      <w:bodyDiv w:val="1"/>
      <w:marLeft w:val="0"/>
      <w:marRight w:val="0"/>
      <w:marTop w:val="0"/>
      <w:marBottom w:val="0"/>
      <w:divBdr>
        <w:top w:val="none" w:sz="0" w:space="0" w:color="auto"/>
        <w:left w:val="none" w:sz="0" w:space="0" w:color="auto"/>
        <w:bottom w:val="none" w:sz="0" w:space="0" w:color="auto"/>
        <w:right w:val="none" w:sz="0" w:space="0" w:color="auto"/>
      </w:divBdr>
    </w:div>
    <w:div w:id="1370491106">
      <w:bodyDiv w:val="1"/>
      <w:marLeft w:val="0"/>
      <w:marRight w:val="0"/>
      <w:marTop w:val="0"/>
      <w:marBottom w:val="0"/>
      <w:divBdr>
        <w:top w:val="none" w:sz="0" w:space="0" w:color="auto"/>
        <w:left w:val="none" w:sz="0" w:space="0" w:color="auto"/>
        <w:bottom w:val="none" w:sz="0" w:space="0" w:color="auto"/>
        <w:right w:val="none" w:sz="0" w:space="0" w:color="auto"/>
      </w:divBdr>
    </w:div>
    <w:div w:id="1371372473">
      <w:bodyDiv w:val="1"/>
      <w:marLeft w:val="0"/>
      <w:marRight w:val="0"/>
      <w:marTop w:val="0"/>
      <w:marBottom w:val="0"/>
      <w:divBdr>
        <w:top w:val="none" w:sz="0" w:space="0" w:color="auto"/>
        <w:left w:val="none" w:sz="0" w:space="0" w:color="auto"/>
        <w:bottom w:val="none" w:sz="0" w:space="0" w:color="auto"/>
        <w:right w:val="none" w:sz="0" w:space="0" w:color="auto"/>
      </w:divBdr>
    </w:div>
    <w:div w:id="1371373252">
      <w:bodyDiv w:val="1"/>
      <w:marLeft w:val="0"/>
      <w:marRight w:val="0"/>
      <w:marTop w:val="0"/>
      <w:marBottom w:val="0"/>
      <w:divBdr>
        <w:top w:val="none" w:sz="0" w:space="0" w:color="auto"/>
        <w:left w:val="none" w:sz="0" w:space="0" w:color="auto"/>
        <w:bottom w:val="none" w:sz="0" w:space="0" w:color="auto"/>
        <w:right w:val="none" w:sz="0" w:space="0" w:color="auto"/>
      </w:divBdr>
    </w:div>
    <w:div w:id="1371414123">
      <w:bodyDiv w:val="1"/>
      <w:marLeft w:val="0"/>
      <w:marRight w:val="0"/>
      <w:marTop w:val="0"/>
      <w:marBottom w:val="0"/>
      <w:divBdr>
        <w:top w:val="none" w:sz="0" w:space="0" w:color="auto"/>
        <w:left w:val="none" w:sz="0" w:space="0" w:color="auto"/>
        <w:bottom w:val="none" w:sz="0" w:space="0" w:color="auto"/>
        <w:right w:val="none" w:sz="0" w:space="0" w:color="auto"/>
      </w:divBdr>
    </w:div>
    <w:div w:id="1372921592">
      <w:bodyDiv w:val="1"/>
      <w:marLeft w:val="0"/>
      <w:marRight w:val="0"/>
      <w:marTop w:val="0"/>
      <w:marBottom w:val="0"/>
      <w:divBdr>
        <w:top w:val="none" w:sz="0" w:space="0" w:color="auto"/>
        <w:left w:val="none" w:sz="0" w:space="0" w:color="auto"/>
        <w:bottom w:val="none" w:sz="0" w:space="0" w:color="auto"/>
        <w:right w:val="none" w:sz="0" w:space="0" w:color="auto"/>
      </w:divBdr>
    </w:div>
    <w:div w:id="1373188669">
      <w:bodyDiv w:val="1"/>
      <w:marLeft w:val="0"/>
      <w:marRight w:val="0"/>
      <w:marTop w:val="0"/>
      <w:marBottom w:val="0"/>
      <w:divBdr>
        <w:top w:val="none" w:sz="0" w:space="0" w:color="auto"/>
        <w:left w:val="none" w:sz="0" w:space="0" w:color="auto"/>
        <w:bottom w:val="none" w:sz="0" w:space="0" w:color="auto"/>
        <w:right w:val="none" w:sz="0" w:space="0" w:color="auto"/>
      </w:divBdr>
    </w:div>
    <w:div w:id="1373266641">
      <w:bodyDiv w:val="1"/>
      <w:marLeft w:val="0"/>
      <w:marRight w:val="0"/>
      <w:marTop w:val="0"/>
      <w:marBottom w:val="0"/>
      <w:divBdr>
        <w:top w:val="none" w:sz="0" w:space="0" w:color="auto"/>
        <w:left w:val="none" w:sz="0" w:space="0" w:color="auto"/>
        <w:bottom w:val="none" w:sz="0" w:space="0" w:color="auto"/>
        <w:right w:val="none" w:sz="0" w:space="0" w:color="auto"/>
      </w:divBdr>
    </w:div>
    <w:div w:id="1373379164">
      <w:bodyDiv w:val="1"/>
      <w:marLeft w:val="0"/>
      <w:marRight w:val="0"/>
      <w:marTop w:val="0"/>
      <w:marBottom w:val="0"/>
      <w:divBdr>
        <w:top w:val="none" w:sz="0" w:space="0" w:color="auto"/>
        <w:left w:val="none" w:sz="0" w:space="0" w:color="auto"/>
        <w:bottom w:val="none" w:sz="0" w:space="0" w:color="auto"/>
        <w:right w:val="none" w:sz="0" w:space="0" w:color="auto"/>
      </w:divBdr>
    </w:div>
    <w:div w:id="1373579542">
      <w:bodyDiv w:val="1"/>
      <w:marLeft w:val="0"/>
      <w:marRight w:val="0"/>
      <w:marTop w:val="0"/>
      <w:marBottom w:val="0"/>
      <w:divBdr>
        <w:top w:val="none" w:sz="0" w:space="0" w:color="auto"/>
        <w:left w:val="none" w:sz="0" w:space="0" w:color="auto"/>
        <w:bottom w:val="none" w:sz="0" w:space="0" w:color="auto"/>
        <w:right w:val="none" w:sz="0" w:space="0" w:color="auto"/>
      </w:divBdr>
    </w:div>
    <w:div w:id="1373848523">
      <w:bodyDiv w:val="1"/>
      <w:marLeft w:val="0"/>
      <w:marRight w:val="0"/>
      <w:marTop w:val="0"/>
      <w:marBottom w:val="0"/>
      <w:divBdr>
        <w:top w:val="none" w:sz="0" w:space="0" w:color="auto"/>
        <w:left w:val="none" w:sz="0" w:space="0" w:color="auto"/>
        <w:bottom w:val="none" w:sz="0" w:space="0" w:color="auto"/>
        <w:right w:val="none" w:sz="0" w:space="0" w:color="auto"/>
      </w:divBdr>
    </w:div>
    <w:div w:id="1374159582">
      <w:bodyDiv w:val="1"/>
      <w:marLeft w:val="0"/>
      <w:marRight w:val="0"/>
      <w:marTop w:val="0"/>
      <w:marBottom w:val="0"/>
      <w:divBdr>
        <w:top w:val="none" w:sz="0" w:space="0" w:color="auto"/>
        <w:left w:val="none" w:sz="0" w:space="0" w:color="auto"/>
        <w:bottom w:val="none" w:sz="0" w:space="0" w:color="auto"/>
        <w:right w:val="none" w:sz="0" w:space="0" w:color="auto"/>
      </w:divBdr>
    </w:div>
    <w:div w:id="1374695916">
      <w:bodyDiv w:val="1"/>
      <w:marLeft w:val="0"/>
      <w:marRight w:val="0"/>
      <w:marTop w:val="0"/>
      <w:marBottom w:val="0"/>
      <w:divBdr>
        <w:top w:val="none" w:sz="0" w:space="0" w:color="auto"/>
        <w:left w:val="none" w:sz="0" w:space="0" w:color="auto"/>
        <w:bottom w:val="none" w:sz="0" w:space="0" w:color="auto"/>
        <w:right w:val="none" w:sz="0" w:space="0" w:color="auto"/>
      </w:divBdr>
    </w:div>
    <w:div w:id="1374844984">
      <w:bodyDiv w:val="1"/>
      <w:marLeft w:val="0"/>
      <w:marRight w:val="0"/>
      <w:marTop w:val="0"/>
      <w:marBottom w:val="0"/>
      <w:divBdr>
        <w:top w:val="none" w:sz="0" w:space="0" w:color="auto"/>
        <w:left w:val="none" w:sz="0" w:space="0" w:color="auto"/>
        <w:bottom w:val="none" w:sz="0" w:space="0" w:color="auto"/>
        <w:right w:val="none" w:sz="0" w:space="0" w:color="auto"/>
      </w:divBdr>
    </w:div>
    <w:div w:id="1376003544">
      <w:bodyDiv w:val="1"/>
      <w:marLeft w:val="0"/>
      <w:marRight w:val="0"/>
      <w:marTop w:val="0"/>
      <w:marBottom w:val="0"/>
      <w:divBdr>
        <w:top w:val="none" w:sz="0" w:space="0" w:color="auto"/>
        <w:left w:val="none" w:sz="0" w:space="0" w:color="auto"/>
        <w:bottom w:val="none" w:sz="0" w:space="0" w:color="auto"/>
        <w:right w:val="none" w:sz="0" w:space="0" w:color="auto"/>
      </w:divBdr>
    </w:div>
    <w:div w:id="1376081247">
      <w:bodyDiv w:val="1"/>
      <w:marLeft w:val="0"/>
      <w:marRight w:val="0"/>
      <w:marTop w:val="0"/>
      <w:marBottom w:val="0"/>
      <w:divBdr>
        <w:top w:val="none" w:sz="0" w:space="0" w:color="auto"/>
        <w:left w:val="none" w:sz="0" w:space="0" w:color="auto"/>
        <w:bottom w:val="none" w:sz="0" w:space="0" w:color="auto"/>
        <w:right w:val="none" w:sz="0" w:space="0" w:color="auto"/>
      </w:divBdr>
    </w:div>
    <w:div w:id="1376124945">
      <w:bodyDiv w:val="1"/>
      <w:marLeft w:val="0"/>
      <w:marRight w:val="0"/>
      <w:marTop w:val="0"/>
      <w:marBottom w:val="0"/>
      <w:divBdr>
        <w:top w:val="none" w:sz="0" w:space="0" w:color="auto"/>
        <w:left w:val="none" w:sz="0" w:space="0" w:color="auto"/>
        <w:bottom w:val="none" w:sz="0" w:space="0" w:color="auto"/>
        <w:right w:val="none" w:sz="0" w:space="0" w:color="auto"/>
      </w:divBdr>
    </w:div>
    <w:div w:id="1376737222">
      <w:bodyDiv w:val="1"/>
      <w:marLeft w:val="0"/>
      <w:marRight w:val="0"/>
      <w:marTop w:val="0"/>
      <w:marBottom w:val="0"/>
      <w:divBdr>
        <w:top w:val="none" w:sz="0" w:space="0" w:color="auto"/>
        <w:left w:val="none" w:sz="0" w:space="0" w:color="auto"/>
        <w:bottom w:val="none" w:sz="0" w:space="0" w:color="auto"/>
        <w:right w:val="none" w:sz="0" w:space="0" w:color="auto"/>
      </w:divBdr>
    </w:div>
    <w:div w:id="1377244333">
      <w:bodyDiv w:val="1"/>
      <w:marLeft w:val="0"/>
      <w:marRight w:val="0"/>
      <w:marTop w:val="0"/>
      <w:marBottom w:val="0"/>
      <w:divBdr>
        <w:top w:val="none" w:sz="0" w:space="0" w:color="auto"/>
        <w:left w:val="none" w:sz="0" w:space="0" w:color="auto"/>
        <w:bottom w:val="none" w:sz="0" w:space="0" w:color="auto"/>
        <w:right w:val="none" w:sz="0" w:space="0" w:color="auto"/>
      </w:divBdr>
    </w:div>
    <w:div w:id="1377463583">
      <w:bodyDiv w:val="1"/>
      <w:marLeft w:val="0"/>
      <w:marRight w:val="0"/>
      <w:marTop w:val="0"/>
      <w:marBottom w:val="0"/>
      <w:divBdr>
        <w:top w:val="none" w:sz="0" w:space="0" w:color="auto"/>
        <w:left w:val="none" w:sz="0" w:space="0" w:color="auto"/>
        <w:bottom w:val="none" w:sz="0" w:space="0" w:color="auto"/>
        <w:right w:val="none" w:sz="0" w:space="0" w:color="auto"/>
      </w:divBdr>
    </w:div>
    <w:div w:id="1378162623">
      <w:bodyDiv w:val="1"/>
      <w:marLeft w:val="0"/>
      <w:marRight w:val="0"/>
      <w:marTop w:val="0"/>
      <w:marBottom w:val="0"/>
      <w:divBdr>
        <w:top w:val="none" w:sz="0" w:space="0" w:color="auto"/>
        <w:left w:val="none" w:sz="0" w:space="0" w:color="auto"/>
        <w:bottom w:val="none" w:sz="0" w:space="0" w:color="auto"/>
        <w:right w:val="none" w:sz="0" w:space="0" w:color="auto"/>
      </w:divBdr>
    </w:div>
    <w:div w:id="1378353845">
      <w:bodyDiv w:val="1"/>
      <w:marLeft w:val="0"/>
      <w:marRight w:val="0"/>
      <w:marTop w:val="0"/>
      <w:marBottom w:val="0"/>
      <w:divBdr>
        <w:top w:val="none" w:sz="0" w:space="0" w:color="auto"/>
        <w:left w:val="none" w:sz="0" w:space="0" w:color="auto"/>
        <w:bottom w:val="none" w:sz="0" w:space="0" w:color="auto"/>
        <w:right w:val="none" w:sz="0" w:space="0" w:color="auto"/>
      </w:divBdr>
    </w:div>
    <w:div w:id="1378509457">
      <w:bodyDiv w:val="1"/>
      <w:marLeft w:val="0"/>
      <w:marRight w:val="0"/>
      <w:marTop w:val="0"/>
      <w:marBottom w:val="0"/>
      <w:divBdr>
        <w:top w:val="none" w:sz="0" w:space="0" w:color="auto"/>
        <w:left w:val="none" w:sz="0" w:space="0" w:color="auto"/>
        <w:bottom w:val="none" w:sz="0" w:space="0" w:color="auto"/>
        <w:right w:val="none" w:sz="0" w:space="0" w:color="auto"/>
      </w:divBdr>
    </w:div>
    <w:div w:id="1378624346">
      <w:bodyDiv w:val="1"/>
      <w:marLeft w:val="0"/>
      <w:marRight w:val="0"/>
      <w:marTop w:val="0"/>
      <w:marBottom w:val="0"/>
      <w:divBdr>
        <w:top w:val="none" w:sz="0" w:space="0" w:color="auto"/>
        <w:left w:val="none" w:sz="0" w:space="0" w:color="auto"/>
        <w:bottom w:val="none" w:sz="0" w:space="0" w:color="auto"/>
        <w:right w:val="none" w:sz="0" w:space="0" w:color="auto"/>
      </w:divBdr>
    </w:div>
    <w:div w:id="1378701783">
      <w:bodyDiv w:val="1"/>
      <w:marLeft w:val="0"/>
      <w:marRight w:val="0"/>
      <w:marTop w:val="0"/>
      <w:marBottom w:val="0"/>
      <w:divBdr>
        <w:top w:val="none" w:sz="0" w:space="0" w:color="auto"/>
        <w:left w:val="none" w:sz="0" w:space="0" w:color="auto"/>
        <w:bottom w:val="none" w:sz="0" w:space="0" w:color="auto"/>
        <w:right w:val="none" w:sz="0" w:space="0" w:color="auto"/>
      </w:divBdr>
    </w:div>
    <w:div w:id="1378775607">
      <w:bodyDiv w:val="1"/>
      <w:marLeft w:val="0"/>
      <w:marRight w:val="0"/>
      <w:marTop w:val="0"/>
      <w:marBottom w:val="0"/>
      <w:divBdr>
        <w:top w:val="none" w:sz="0" w:space="0" w:color="auto"/>
        <w:left w:val="none" w:sz="0" w:space="0" w:color="auto"/>
        <w:bottom w:val="none" w:sz="0" w:space="0" w:color="auto"/>
        <w:right w:val="none" w:sz="0" w:space="0" w:color="auto"/>
      </w:divBdr>
    </w:div>
    <w:div w:id="1379091507">
      <w:bodyDiv w:val="1"/>
      <w:marLeft w:val="0"/>
      <w:marRight w:val="0"/>
      <w:marTop w:val="0"/>
      <w:marBottom w:val="0"/>
      <w:divBdr>
        <w:top w:val="none" w:sz="0" w:space="0" w:color="auto"/>
        <w:left w:val="none" w:sz="0" w:space="0" w:color="auto"/>
        <w:bottom w:val="none" w:sz="0" w:space="0" w:color="auto"/>
        <w:right w:val="none" w:sz="0" w:space="0" w:color="auto"/>
      </w:divBdr>
    </w:div>
    <w:div w:id="1379165911">
      <w:bodyDiv w:val="1"/>
      <w:marLeft w:val="0"/>
      <w:marRight w:val="0"/>
      <w:marTop w:val="0"/>
      <w:marBottom w:val="0"/>
      <w:divBdr>
        <w:top w:val="none" w:sz="0" w:space="0" w:color="auto"/>
        <w:left w:val="none" w:sz="0" w:space="0" w:color="auto"/>
        <w:bottom w:val="none" w:sz="0" w:space="0" w:color="auto"/>
        <w:right w:val="none" w:sz="0" w:space="0" w:color="auto"/>
      </w:divBdr>
    </w:div>
    <w:div w:id="1379550119">
      <w:bodyDiv w:val="1"/>
      <w:marLeft w:val="0"/>
      <w:marRight w:val="0"/>
      <w:marTop w:val="0"/>
      <w:marBottom w:val="0"/>
      <w:divBdr>
        <w:top w:val="none" w:sz="0" w:space="0" w:color="auto"/>
        <w:left w:val="none" w:sz="0" w:space="0" w:color="auto"/>
        <w:bottom w:val="none" w:sz="0" w:space="0" w:color="auto"/>
        <w:right w:val="none" w:sz="0" w:space="0" w:color="auto"/>
      </w:divBdr>
    </w:div>
    <w:div w:id="1380082239">
      <w:bodyDiv w:val="1"/>
      <w:marLeft w:val="0"/>
      <w:marRight w:val="0"/>
      <w:marTop w:val="0"/>
      <w:marBottom w:val="0"/>
      <w:divBdr>
        <w:top w:val="none" w:sz="0" w:space="0" w:color="auto"/>
        <w:left w:val="none" w:sz="0" w:space="0" w:color="auto"/>
        <w:bottom w:val="none" w:sz="0" w:space="0" w:color="auto"/>
        <w:right w:val="none" w:sz="0" w:space="0" w:color="auto"/>
      </w:divBdr>
    </w:div>
    <w:div w:id="1380202006">
      <w:bodyDiv w:val="1"/>
      <w:marLeft w:val="0"/>
      <w:marRight w:val="0"/>
      <w:marTop w:val="0"/>
      <w:marBottom w:val="0"/>
      <w:divBdr>
        <w:top w:val="none" w:sz="0" w:space="0" w:color="auto"/>
        <w:left w:val="none" w:sz="0" w:space="0" w:color="auto"/>
        <w:bottom w:val="none" w:sz="0" w:space="0" w:color="auto"/>
        <w:right w:val="none" w:sz="0" w:space="0" w:color="auto"/>
      </w:divBdr>
    </w:div>
    <w:div w:id="1380395214">
      <w:bodyDiv w:val="1"/>
      <w:marLeft w:val="0"/>
      <w:marRight w:val="0"/>
      <w:marTop w:val="0"/>
      <w:marBottom w:val="0"/>
      <w:divBdr>
        <w:top w:val="none" w:sz="0" w:space="0" w:color="auto"/>
        <w:left w:val="none" w:sz="0" w:space="0" w:color="auto"/>
        <w:bottom w:val="none" w:sz="0" w:space="0" w:color="auto"/>
        <w:right w:val="none" w:sz="0" w:space="0" w:color="auto"/>
      </w:divBdr>
    </w:div>
    <w:div w:id="1381592262">
      <w:bodyDiv w:val="1"/>
      <w:marLeft w:val="0"/>
      <w:marRight w:val="0"/>
      <w:marTop w:val="0"/>
      <w:marBottom w:val="0"/>
      <w:divBdr>
        <w:top w:val="none" w:sz="0" w:space="0" w:color="auto"/>
        <w:left w:val="none" w:sz="0" w:space="0" w:color="auto"/>
        <w:bottom w:val="none" w:sz="0" w:space="0" w:color="auto"/>
        <w:right w:val="none" w:sz="0" w:space="0" w:color="auto"/>
      </w:divBdr>
    </w:div>
    <w:div w:id="1382048554">
      <w:bodyDiv w:val="1"/>
      <w:marLeft w:val="0"/>
      <w:marRight w:val="0"/>
      <w:marTop w:val="0"/>
      <w:marBottom w:val="0"/>
      <w:divBdr>
        <w:top w:val="none" w:sz="0" w:space="0" w:color="auto"/>
        <w:left w:val="none" w:sz="0" w:space="0" w:color="auto"/>
        <w:bottom w:val="none" w:sz="0" w:space="0" w:color="auto"/>
        <w:right w:val="none" w:sz="0" w:space="0" w:color="auto"/>
      </w:divBdr>
    </w:div>
    <w:div w:id="1382097348">
      <w:bodyDiv w:val="1"/>
      <w:marLeft w:val="0"/>
      <w:marRight w:val="0"/>
      <w:marTop w:val="0"/>
      <w:marBottom w:val="0"/>
      <w:divBdr>
        <w:top w:val="none" w:sz="0" w:space="0" w:color="auto"/>
        <w:left w:val="none" w:sz="0" w:space="0" w:color="auto"/>
        <w:bottom w:val="none" w:sz="0" w:space="0" w:color="auto"/>
        <w:right w:val="none" w:sz="0" w:space="0" w:color="auto"/>
      </w:divBdr>
    </w:div>
    <w:div w:id="1382168695">
      <w:bodyDiv w:val="1"/>
      <w:marLeft w:val="0"/>
      <w:marRight w:val="0"/>
      <w:marTop w:val="0"/>
      <w:marBottom w:val="0"/>
      <w:divBdr>
        <w:top w:val="none" w:sz="0" w:space="0" w:color="auto"/>
        <w:left w:val="none" w:sz="0" w:space="0" w:color="auto"/>
        <w:bottom w:val="none" w:sz="0" w:space="0" w:color="auto"/>
        <w:right w:val="none" w:sz="0" w:space="0" w:color="auto"/>
      </w:divBdr>
    </w:div>
    <w:div w:id="1382292846">
      <w:bodyDiv w:val="1"/>
      <w:marLeft w:val="0"/>
      <w:marRight w:val="0"/>
      <w:marTop w:val="0"/>
      <w:marBottom w:val="0"/>
      <w:divBdr>
        <w:top w:val="none" w:sz="0" w:space="0" w:color="auto"/>
        <w:left w:val="none" w:sz="0" w:space="0" w:color="auto"/>
        <w:bottom w:val="none" w:sz="0" w:space="0" w:color="auto"/>
        <w:right w:val="none" w:sz="0" w:space="0" w:color="auto"/>
      </w:divBdr>
    </w:div>
    <w:div w:id="1382705159">
      <w:bodyDiv w:val="1"/>
      <w:marLeft w:val="0"/>
      <w:marRight w:val="0"/>
      <w:marTop w:val="0"/>
      <w:marBottom w:val="0"/>
      <w:divBdr>
        <w:top w:val="none" w:sz="0" w:space="0" w:color="auto"/>
        <w:left w:val="none" w:sz="0" w:space="0" w:color="auto"/>
        <w:bottom w:val="none" w:sz="0" w:space="0" w:color="auto"/>
        <w:right w:val="none" w:sz="0" w:space="0" w:color="auto"/>
      </w:divBdr>
    </w:div>
    <w:div w:id="1383486162">
      <w:bodyDiv w:val="1"/>
      <w:marLeft w:val="0"/>
      <w:marRight w:val="0"/>
      <w:marTop w:val="0"/>
      <w:marBottom w:val="0"/>
      <w:divBdr>
        <w:top w:val="none" w:sz="0" w:space="0" w:color="auto"/>
        <w:left w:val="none" w:sz="0" w:space="0" w:color="auto"/>
        <w:bottom w:val="none" w:sz="0" w:space="0" w:color="auto"/>
        <w:right w:val="none" w:sz="0" w:space="0" w:color="auto"/>
      </w:divBdr>
    </w:div>
    <w:div w:id="1383675037">
      <w:bodyDiv w:val="1"/>
      <w:marLeft w:val="0"/>
      <w:marRight w:val="0"/>
      <w:marTop w:val="0"/>
      <w:marBottom w:val="0"/>
      <w:divBdr>
        <w:top w:val="none" w:sz="0" w:space="0" w:color="auto"/>
        <w:left w:val="none" w:sz="0" w:space="0" w:color="auto"/>
        <w:bottom w:val="none" w:sz="0" w:space="0" w:color="auto"/>
        <w:right w:val="none" w:sz="0" w:space="0" w:color="auto"/>
      </w:divBdr>
    </w:div>
    <w:div w:id="1383749678">
      <w:bodyDiv w:val="1"/>
      <w:marLeft w:val="0"/>
      <w:marRight w:val="0"/>
      <w:marTop w:val="0"/>
      <w:marBottom w:val="0"/>
      <w:divBdr>
        <w:top w:val="none" w:sz="0" w:space="0" w:color="auto"/>
        <w:left w:val="none" w:sz="0" w:space="0" w:color="auto"/>
        <w:bottom w:val="none" w:sz="0" w:space="0" w:color="auto"/>
        <w:right w:val="none" w:sz="0" w:space="0" w:color="auto"/>
      </w:divBdr>
    </w:div>
    <w:div w:id="1383942571">
      <w:bodyDiv w:val="1"/>
      <w:marLeft w:val="0"/>
      <w:marRight w:val="0"/>
      <w:marTop w:val="0"/>
      <w:marBottom w:val="0"/>
      <w:divBdr>
        <w:top w:val="none" w:sz="0" w:space="0" w:color="auto"/>
        <w:left w:val="none" w:sz="0" w:space="0" w:color="auto"/>
        <w:bottom w:val="none" w:sz="0" w:space="0" w:color="auto"/>
        <w:right w:val="none" w:sz="0" w:space="0" w:color="auto"/>
      </w:divBdr>
    </w:div>
    <w:div w:id="1384020328">
      <w:bodyDiv w:val="1"/>
      <w:marLeft w:val="0"/>
      <w:marRight w:val="0"/>
      <w:marTop w:val="0"/>
      <w:marBottom w:val="0"/>
      <w:divBdr>
        <w:top w:val="none" w:sz="0" w:space="0" w:color="auto"/>
        <w:left w:val="none" w:sz="0" w:space="0" w:color="auto"/>
        <w:bottom w:val="none" w:sz="0" w:space="0" w:color="auto"/>
        <w:right w:val="none" w:sz="0" w:space="0" w:color="auto"/>
      </w:divBdr>
    </w:div>
    <w:div w:id="1384404057">
      <w:bodyDiv w:val="1"/>
      <w:marLeft w:val="0"/>
      <w:marRight w:val="0"/>
      <w:marTop w:val="0"/>
      <w:marBottom w:val="0"/>
      <w:divBdr>
        <w:top w:val="none" w:sz="0" w:space="0" w:color="auto"/>
        <w:left w:val="none" w:sz="0" w:space="0" w:color="auto"/>
        <w:bottom w:val="none" w:sz="0" w:space="0" w:color="auto"/>
        <w:right w:val="none" w:sz="0" w:space="0" w:color="auto"/>
      </w:divBdr>
    </w:div>
    <w:div w:id="1384406789">
      <w:bodyDiv w:val="1"/>
      <w:marLeft w:val="0"/>
      <w:marRight w:val="0"/>
      <w:marTop w:val="0"/>
      <w:marBottom w:val="0"/>
      <w:divBdr>
        <w:top w:val="none" w:sz="0" w:space="0" w:color="auto"/>
        <w:left w:val="none" w:sz="0" w:space="0" w:color="auto"/>
        <w:bottom w:val="none" w:sz="0" w:space="0" w:color="auto"/>
        <w:right w:val="none" w:sz="0" w:space="0" w:color="auto"/>
      </w:divBdr>
    </w:div>
    <w:div w:id="1384524307">
      <w:bodyDiv w:val="1"/>
      <w:marLeft w:val="0"/>
      <w:marRight w:val="0"/>
      <w:marTop w:val="0"/>
      <w:marBottom w:val="0"/>
      <w:divBdr>
        <w:top w:val="none" w:sz="0" w:space="0" w:color="auto"/>
        <w:left w:val="none" w:sz="0" w:space="0" w:color="auto"/>
        <w:bottom w:val="none" w:sz="0" w:space="0" w:color="auto"/>
        <w:right w:val="none" w:sz="0" w:space="0" w:color="auto"/>
      </w:divBdr>
    </w:div>
    <w:div w:id="1384524645">
      <w:bodyDiv w:val="1"/>
      <w:marLeft w:val="0"/>
      <w:marRight w:val="0"/>
      <w:marTop w:val="0"/>
      <w:marBottom w:val="0"/>
      <w:divBdr>
        <w:top w:val="none" w:sz="0" w:space="0" w:color="auto"/>
        <w:left w:val="none" w:sz="0" w:space="0" w:color="auto"/>
        <w:bottom w:val="none" w:sz="0" w:space="0" w:color="auto"/>
        <w:right w:val="none" w:sz="0" w:space="0" w:color="auto"/>
      </w:divBdr>
    </w:div>
    <w:div w:id="1384986671">
      <w:bodyDiv w:val="1"/>
      <w:marLeft w:val="0"/>
      <w:marRight w:val="0"/>
      <w:marTop w:val="0"/>
      <w:marBottom w:val="0"/>
      <w:divBdr>
        <w:top w:val="none" w:sz="0" w:space="0" w:color="auto"/>
        <w:left w:val="none" w:sz="0" w:space="0" w:color="auto"/>
        <w:bottom w:val="none" w:sz="0" w:space="0" w:color="auto"/>
        <w:right w:val="none" w:sz="0" w:space="0" w:color="auto"/>
      </w:divBdr>
    </w:div>
    <w:div w:id="1385252465">
      <w:bodyDiv w:val="1"/>
      <w:marLeft w:val="0"/>
      <w:marRight w:val="0"/>
      <w:marTop w:val="0"/>
      <w:marBottom w:val="0"/>
      <w:divBdr>
        <w:top w:val="none" w:sz="0" w:space="0" w:color="auto"/>
        <w:left w:val="none" w:sz="0" w:space="0" w:color="auto"/>
        <w:bottom w:val="none" w:sz="0" w:space="0" w:color="auto"/>
        <w:right w:val="none" w:sz="0" w:space="0" w:color="auto"/>
      </w:divBdr>
    </w:div>
    <w:div w:id="1385451705">
      <w:bodyDiv w:val="1"/>
      <w:marLeft w:val="0"/>
      <w:marRight w:val="0"/>
      <w:marTop w:val="0"/>
      <w:marBottom w:val="0"/>
      <w:divBdr>
        <w:top w:val="none" w:sz="0" w:space="0" w:color="auto"/>
        <w:left w:val="none" w:sz="0" w:space="0" w:color="auto"/>
        <w:bottom w:val="none" w:sz="0" w:space="0" w:color="auto"/>
        <w:right w:val="none" w:sz="0" w:space="0" w:color="auto"/>
      </w:divBdr>
    </w:div>
    <w:div w:id="1386176413">
      <w:bodyDiv w:val="1"/>
      <w:marLeft w:val="0"/>
      <w:marRight w:val="0"/>
      <w:marTop w:val="0"/>
      <w:marBottom w:val="0"/>
      <w:divBdr>
        <w:top w:val="none" w:sz="0" w:space="0" w:color="auto"/>
        <w:left w:val="none" w:sz="0" w:space="0" w:color="auto"/>
        <w:bottom w:val="none" w:sz="0" w:space="0" w:color="auto"/>
        <w:right w:val="none" w:sz="0" w:space="0" w:color="auto"/>
      </w:divBdr>
    </w:div>
    <w:div w:id="1386297235">
      <w:bodyDiv w:val="1"/>
      <w:marLeft w:val="0"/>
      <w:marRight w:val="0"/>
      <w:marTop w:val="0"/>
      <w:marBottom w:val="0"/>
      <w:divBdr>
        <w:top w:val="none" w:sz="0" w:space="0" w:color="auto"/>
        <w:left w:val="none" w:sz="0" w:space="0" w:color="auto"/>
        <w:bottom w:val="none" w:sz="0" w:space="0" w:color="auto"/>
        <w:right w:val="none" w:sz="0" w:space="0" w:color="auto"/>
      </w:divBdr>
    </w:div>
    <w:div w:id="1386834470">
      <w:bodyDiv w:val="1"/>
      <w:marLeft w:val="0"/>
      <w:marRight w:val="0"/>
      <w:marTop w:val="0"/>
      <w:marBottom w:val="0"/>
      <w:divBdr>
        <w:top w:val="none" w:sz="0" w:space="0" w:color="auto"/>
        <w:left w:val="none" w:sz="0" w:space="0" w:color="auto"/>
        <w:bottom w:val="none" w:sz="0" w:space="0" w:color="auto"/>
        <w:right w:val="none" w:sz="0" w:space="0" w:color="auto"/>
      </w:divBdr>
    </w:div>
    <w:div w:id="1387293437">
      <w:bodyDiv w:val="1"/>
      <w:marLeft w:val="0"/>
      <w:marRight w:val="0"/>
      <w:marTop w:val="0"/>
      <w:marBottom w:val="0"/>
      <w:divBdr>
        <w:top w:val="none" w:sz="0" w:space="0" w:color="auto"/>
        <w:left w:val="none" w:sz="0" w:space="0" w:color="auto"/>
        <w:bottom w:val="none" w:sz="0" w:space="0" w:color="auto"/>
        <w:right w:val="none" w:sz="0" w:space="0" w:color="auto"/>
      </w:divBdr>
    </w:div>
    <w:div w:id="1387485341">
      <w:bodyDiv w:val="1"/>
      <w:marLeft w:val="0"/>
      <w:marRight w:val="0"/>
      <w:marTop w:val="0"/>
      <w:marBottom w:val="0"/>
      <w:divBdr>
        <w:top w:val="none" w:sz="0" w:space="0" w:color="auto"/>
        <w:left w:val="none" w:sz="0" w:space="0" w:color="auto"/>
        <w:bottom w:val="none" w:sz="0" w:space="0" w:color="auto"/>
        <w:right w:val="none" w:sz="0" w:space="0" w:color="auto"/>
      </w:divBdr>
    </w:div>
    <w:div w:id="1387492373">
      <w:bodyDiv w:val="1"/>
      <w:marLeft w:val="0"/>
      <w:marRight w:val="0"/>
      <w:marTop w:val="0"/>
      <w:marBottom w:val="0"/>
      <w:divBdr>
        <w:top w:val="none" w:sz="0" w:space="0" w:color="auto"/>
        <w:left w:val="none" w:sz="0" w:space="0" w:color="auto"/>
        <w:bottom w:val="none" w:sz="0" w:space="0" w:color="auto"/>
        <w:right w:val="none" w:sz="0" w:space="0" w:color="auto"/>
      </w:divBdr>
    </w:div>
    <w:div w:id="1388720648">
      <w:bodyDiv w:val="1"/>
      <w:marLeft w:val="0"/>
      <w:marRight w:val="0"/>
      <w:marTop w:val="0"/>
      <w:marBottom w:val="0"/>
      <w:divBdr>
        <w:top w:val="none" w:sz="0" w:space="0" w:color="auto"/>
        <w:left w:val="none" w:sz="0" w:space="0" w:color="auto"/>
        <w:bottom w:val="none" w:sz="0" w:space="0" w:color="auto"/>
        <w:right w:val="none" w:sz="0" w:space="0" w:color="auto"/>
      </w:divBdr>
    </w:div>
    <w:div w:id="1389185206">
      <w:bodyDiv w:val="1"/>
      <w:marLeft w:val="0"/>
      <w:marRight w:val="0"/>
      <w:marTop w:val="0"/>
      <w:marBottom w:val="0"/>
      <w:divBdr>
        <w:top w:val="none" w:sz="0" w:space="0" w:color="auto"/>
        <w:left w:val="none" w:sz="0" w:space="0" w:color="auto"/>
        <w:bottom w:val="none" w:sz="0" w:space="0" w:color="auto"/>
        <w:right w:val="none" w:sz="0" w:space="0" w:color="auto"/>
      </w:divBdr>
    </w:div>
    <w:div w:id="1389256806">
      <w:bodyDiv w:val="1"/>
      <w:marLeft w:val="0"/>
      <w:marRight w:val="0"/>
      <w:marTop w:val="0"/>
      <w:marBottom w:val="0"/>
      <w:divBdr>
        <w:top w:val="none" w:sz="0" w:space="0" w:color="auto"/>
        <w:left w:val="none" w:sz="0" w:space="0" w:color="auto"/>
        <w:bottom w:val="none" w:sz="0" w:space="0" w:color="auto"/>
        <w:right w:val="none" w:sz="0" w:space="0" w:color="auto"/>
      </w:divBdr>
    </w:div>
    <w:div w:id="1389455185">
      <w:bodyDiv w:val="1"/>
      <w:marLeft w:val="0"/>
      <w:marRight w:val="0"/>
      <w:marTop w:val="0"/>
      <w:marBottom w:val="0"/>
      <w:divBdr>
        <w:top w:val="none" w:sz="0" w:space="0" w:color="auto"/>
        <w:left w:val="none" w:sz="0" w:space="0" w:color="auto"/>
        <w:bottom w:val="none" w:sz="0" w:space="0" w:color="auto"/>
        <w:right w:val="none" w:sz="0" w:space="0" w:color="auto"/>
      </w:divBdr>
    </w:div>
    <w:div w:id="1389644400">
      <w:bodyDiv w:val="1"/>
      <w:marLeft w:val="0"/>
      <w:marRight w:val="0"/>
      <w:marTop w:val="0"/>
      <w:marBottom w:val="0"/>
      <w:divBdr>
        <w:top w:val="none" w:sz="0" w:space="0" w:color="auto"/>
        <w:left w:val="none" w:sz="0" w:space="0" w:color="auto"/>
        <w:bottom w:val="none" w:sz="0" w:space="0" w:color="auto"/>
        <w:right w:val="none" w:sz="0" w:space="0" w:color="auto"/>
      </w:divBdr>
    </w:div>
    <w:div w:id="1389838366">
      <w:bodyDiv w:val="1"/>
      <w:marLeft w:val="0"/>
      <w:marRight w:val="0"/>
      <w:marTop w:val="0"/>
      <w:marBottom w:val="0"/>
      <w:divBdr>
        <w:top w:val="none" w:sz="0" w:space="0" w:color="auto"/>
        <w:left w:val="none" w:sz="0" w:space="0" w:color="auto"/>
        <w:bottom w:val="none" w:sz="0" w:space="0" w:color="auto"/>
        <w:right w:val="none" w:sz="0" w:space="0" w:color="auto"/>
      </w:divBdr>
    </w:div>
    <w:div w:id="1390105231">
      <w:bodyDiv w:val="1"/>
      <w:marLeft w:val="0"/>
      <w:marRight w:val="0"/>
      <w:marTop w:val="0"/>
      <w:marBottom w:val="0"/>
      <w:divBdr>
        <w:top w:val="none" w:sz="0" w:space="0" w:color="auto"/>
        <w:left w:val="none" w:sz="0" w:space="0" w:color="auto"/>
        <w:bottom w:val="none" w:sz="0" w:space="0" w:color="auto"/>
        <w:right w:val="none" w:sz="0" w:space="0" w:color="auto"/>
      </w:divBdr>
    </w:div>
    <w:div w:id="1390302921">
      <w:bodyDiv w:val="1"/>
      <w:marLeft w:val="0"/>
      <w:marRight w:val="0"/>
      <w:marTop w:val="0"/>
      <w:marBottom w:val="0"/>
      <w:divBdr>
        <w:top w:val="none" w:sz="0" w:space="0" w:color="auto"/>
        <w:left w:val="none" w:sz="0" w:space="0" w:color="auto"/>
        <w:bottom w:val="none" w:sz="0" w:space="0" w:color="auto"/>
        <w:right w:val="none" w:sz="0" w:space="0" w:color="auto"/>
      </w:divBdr>
    </w:div>
    <w:div w:id="1390610430">
      <w:bodyDiv w:val="1"/>
      <w:marLeft w:val="0"/>
      <w:marRight w:val="0"/>
      <w:marTop w:val="0"/>
      <w:marBottom w:val="0"/>
      <w:divBdr>
        <w:top w:val="none" w:sz="0" w:space="0" w:color="auto"/>
        <w:left w:val="none" w:sz="0" w:space="0" w:color="auto"/>
        <w:bottom w:val="none" w:sz="0" w:space="0" w:color="auto"/>
        <w:right w:val="none" w:sz="0" w:space="0" w:color="auto"/>
      </w:divBdr>
    </w:div>
    <w:div w:id="1390689301">
      <w:bodyDiv w:val="1"/>
      <w:marLeft w:val="0"/>
      <w:marRight w:val="0"/>
      <w:marTop w:val="0"/>
      <w:marBottom w:val="0"/>
      <w:divBdr>
        <w:top w:val="none" w:sz="0" w:space="0" w:color="auto"/>
        <w:left w:val="none" w:sz="0" w:space="0" w:color="auto"/>
        <w:bottom w:val="none" w:sz="0" w:space="0" w:color="auto"/>
        <w:right w:val="none" w:sz="0" w:space="0" w:color="auto"/>
      </w:divBdr>
    </w:div>
    <w:div w:id="1392193442">
      <w:bodyDiv w:val="1"/>
      <w:marLeft w:val="0"/>
      <w:marRight w:val="0"/>
      <w:marTop w:val="0"/>
      <w:marBottom w:val="0"/>
      <w:divBdr>
        <w:top w:val="none" w:sz="0" w:space="0" w:color="auto"/>
        <w:left w:val="none" w:sz="0" w:space="0" w:color="auto"/>
        <w:bottom w:val="none" w:sz="0" w:space="0" w:color="auto"/>
        <w:right w:val="none" w:sz="0" w:space="0" w:color="auto"/>
      </w:divBdr>
    </w:div>
    <w:div w:id="1392270430">
      <w:bodyDiv w:val="1"/>
      <w:marLeft w:val="0"/>
      <w:marRight w:val="0"/>
      <w:marTop w:val="0"/>
      <w:marBottom w:val="0"/>
      <w:divBdr>
        <w:top w:val="none" w:sz="0" w:space="0" w:color="auto"/>
        <w:left w:val="none" w:sz="0" w:space="0" w:color="auto"/>
        <w:bottom w:val="none" w:sz="0" w:space="0" w:color="auto"/>
        <w:right w:val="none" w:sz="0" w:space="0" w:color="auto"/>
      </w:divBdr>
    </w:div>
    <w:div w:id="1392464404">
      <w:bodyDiv w:val="1"/>
      <w:marLeft w:val="0"/>
      <w:marRight w:val="0"/>
      <w:marTop w:val="0"/>
      <w:marBottom w:val="0"/>
      <w:divBdr>
        <w:top w:val="none" w:sz="0" w:space="0" w:color="auto"/>
        <w:left w:val="none" w:sz="0" w:space="0" w:color="auto"/>
        <w:bottom w:val="none" w:sz="0" w:space="0" w:color="auto"/>
        <w:right w:val="none" w:sz="0" w:space="0" w:color="auto"/>
      </w:divBdr>
    </w:div>
    <w:div w:id="1392539351">
      <w:bodyDiv w:val="1"/>
      <w:marLeft w:val="0"/>
      <w:marRight w:val="0"/>
      <w:marTop w:val="0"/>
      <w:marBottom w:val="0"/>
      <w:divBdr>
        <w:top w:val="none" w:sz="0" w:space="0" w:color="auto"/>
        <w:left w:val="none" w:sz="0" w:space="0" w:color="auto"/>
        <w:bottom w:val="none" w:sz="0" w:space="0" w:color="auto"/>
        <w:right w:val="none" w:sz="0" w:space="0" w:color="auto"/>
      </w:divBdr>
    </w:div>
    <w:div w:id="1393189396">
      <w:bodyDiv w:val="1"/>
      <w:marLeft w:val="0"/>
      <w:marRight w:val="0"/>
      <w:marTop w:val="0"/>
      <w:marBottom w:val="0"/>
      <w:divBdr>
        <w:top w:val="none" w:sz="0" w:space="0" w:color="auto"/>
        <w:left w:val="none" w:sz="0" w:space="0" w:color="auto"/>
        <w:bottom w:val="none" w:sz="0" w:space="0" w:color="auto"/>
        <w:right w:val="none" w:sz="0" w:space="0" w:color="auto"/>
      </w:divBdr>
    </w:div>
    <w:div w:id="1393196925">
      <w:bodyDiv w:val="1"/>
      <w:marLeft w:val="0"/>
      <w:marRight w:val="0"/>
      <w:marTop w:val="0"/>
      <w:marBottom w:val="0"/>
      <w:divBdr>
        <w:top w:val="none" w:sz="0" w:space="0" w:color="auto"/>
        <w:left w:val="none" w:sz="0" w:space="0" w:color="auto"/>
        <w:bottom w:val="none" w:sz="0" w:space="0" w:color="auto"/>
        <w:right w:val="none" w:sz="0" w:space="0" w:color="auto"/>
      </w:divBdr>
    </w:div>
    <w:div w:id="1393230137">
      <w:bodyDiv w:val="1"/>
      <w:marLeft w:val="0"/>
      <w:marRight w:val="0"/>
      <w:marTop w:val="0"/>
      <w:marBottom w:val="0"/>
      <w:divBdr>
        <w:top w:val="none" w:sz="0" w:space="0" w:color="auto"/>
        <w:left w:val="none" w:sz="0" w:space="0" w:color="auto"/>
        <w:bottom w:val="none" w:sz="0" w:space="0" w:color="auto"/>
        <w:right w:val="none" w:sz="0" w:space="0" w:color="auto"/>
      </w:divBdr>
    </w:div>
    <w:div w:id="1394159892">
      <w:bodyDiv w:val="1"/>
      <w:marLeft w:val="0"/>
      <w:marRight w:val="0"/>
      <w:marTop w:val="0"/>
      <w:marBottom w:val="0"/>
      <w:divBdr>
        <w:top w:val="none" w:sz="0" w:space="0" w:color="auto"/>
        <w:left w:val="none" w:sz="0" w:space="0" w:color="auto"/>
        <w:bottom w:val="none" w:sz="0" w:space="0" w:color="auto"/>
        <w:right w:val="none" w:sz="0" w:space="0" w:color="auto"/>
      </w:divBdr>
    </w:div>
    <w:div w:id="1394350378">
      <w:bodyDiv w:val="1"/>
      <w:marLeft w:val="0"/>
      <w:marRight w:val="0"/>
      <w:marTop w:val="0"/>
      <w:marBottom w:val="0"/>
      <w:divBdr>
        <w:top w:val="none" w:sz="0" w:space="0" w:color="auto"/>
        <w:left w:val="none" w:sz="0" w:space="0" w:color="auto"/>
        <w:bottom w:val="none" w:sz="0" w:space="0" w:color="auto"/>
        <w:right w:val="none" w:sz="0" w:space="0" w:color="auto"/>
      </w:divBdr>
    </w:div>
    <w:div w:id="1394428682">
      <w:bodyDiv w:val="1"/>
      <w:marLeft w:val="0"/>
      <w:marRight w:val="0"/>
      <w:marTop w:val="0"/>
      <w:marBottom w:val="0"/>
      <w:divBdr>
        <w:top w:val="none" w:sz="0" w:space="0" w:color="auto"/>
        <w:left w:val="none" w:sz="0" w:space="0" w:color="auto"/>
        <w:bottom w:val="none" w:sz="0" w:space="0" w:color="auto"/>
        <w:right w:val="none" w:sz="0" w:space="0" w:color="auto"/>
      </w:divBdr>
    </w:div>
    <w:div w:id="1394618255">
      <w:bodyDiv w:val="1"/>
      <w:marLeft w:val="0"/>
      <w:marRight w:val="0"/>
      <w:marTop w:val="0"/>
      <w:marBottom w:val="0"/>
      <w:divBdr>
        <w:top w:val="none" w:sz="0" w:space="0" w:color="auto"/>
        <w:left w:val="none" w:sz="0" w:space="0" w:color="auto"/>
        <w:bottom w:val="none" w:sz="0" w:space="0" w:color="auto"/>
        <w:right w:val="none" w:sz="0" w:space="0" w:color="auto"/>
      </w:divBdr>
    </w:div>
    <w:div w:id="1394624493">
      <w:bodyDiv w:val="1"/>
      <w:marLeft w:val="0"/>
      <w:marRight w:val="0"/>
      <w:marTop w:val="0"/>
      <w:marBottom w:val="0"/>
      <w:divBdr>
        <w:top w:val="none" w:sz="0" w:space="0" w:color="auto"/>
        <w:left w:val="none" w:sz="0" w:space="0" w:color="auto"/>
        <w:bottom w:val="none" w:sz="0" w:space="0" w:color="auto"/>
        <w:right w:val="none" w:sz="0" w:space="0" w:color="auto"/>
      </w:divBdr>
    </w:div>
    <w:div w:id="1394891563">
      <w:bodyDiv w:val="1"/>
      <w:marLeft w:val="0"/>
      <w:marRight w:val="0"/>
      <w:marTop w:val="0"/>
      <w:marBottom w:val="0"/>
      <w:divBdr>
        <w:top w:val="none" w:sz="0" w:space="0" w:color="auto"/>
        <w:left w:val="none" w:sz="0" w:space="0" w:color="auto"/>
        <w:bottom w:val="none" w:sz="0" w:space="0" w:color="auto"/>
        <w:right w:val="none" w:sz="0" w:space="0" w:color="auto"/>
      </w:divBdr>
    </w:div>
    <w:div w:id="1395204408">
      <w:bodyDiv w:val="1"/>
      <w:marLeft w:val="0"/>
      <w:marRight w:val="0"/>
      <w:marTop w:val="0"/>
      <w:marBottom w:val="0"/>
      <w:divBdr>
        <w:top w:val="none" w:sz="0" w:space="0" w:color="auto"/>
        <w:left w:val="none" w:sz="0" w:space="0" w:color="auto"/>
        <w:bottom w:val="none" w:sz="0" w:space="0" w:color="auto"/>
        <w:right w:val="none" w:sz="0" w:space="0" w:color="auto"/>
      </w:divBdr>
    </w:div>
    <w:div w:id="1395548417">
      <w:bodyDiv w:val="1"/>
      <w:marLeft w:val="0"/>
      <w:marRight w:val="0"/>
      <w:marTop w:val="0"/>
      <w:marBottom w:val="0"/>
      <w:divBdr>
        <w:top w:val="none" w:sz="0" w:space="0" w:color="auto"/>
        <w:left w:val="none" w:sz="0" w:space="0" w:color="auto"/>
        <w:bottom w:val="none" w:sz="0" w:space="0" w:color="auto"/>
        <w:right w:val="none" w:sz="0" w:space="0" w:color="auto"/>
      </w:divBdr>
    </w:div>
    <w:div w:id="1396054242">
      <w:bodyDiv w:val="1"/>
      <w:marLeft w:val="0"/>
      <w:marRight w:val="0"/>
      <w:marTop w:val="0"/>
      <w:marBottom w:val="0"/>
      <w:divBdr>
        <w:top w:val="none" w:sz="0" w:space="0" w:color="auto"/>
        <w:left w:val="none" w:sz="0" w:space="0" w:color="auto"/>
        <w:bottom w:val="none" w:sz="0" w:space="0" w:color="auto"/>
        <w:right w:val="none" w:sz="0" w:space="0" w:color="auto"/>
      </w:divBdr>
    </w:div>
    <w:div w:id="1396078008">
      <w:bodyDiv w:val="1"/>
      <w:marLeft w:val="0"/>
      <w:marRight w:val="0"/>
      <w:marTop w:val="0"/>
      <w:marBottom w:val="0"/>
      <w:divBdr>
        <w:top w:val="none" w:sz="0" w:space="0" w:color="auto"/>
        <w:left w:val="none" w:sz="0" w:space="0" w:color="auto"/>
        <w:bottom w:val="none" w:sz="0" w:space="0" w:color="auto"/>
        <w:right w:val="none" w:sz="0" w:space="0" w:color="auto"/>
      </w:divBdr>
    </w:div>
    <w:div w:id="1396318098">
      <w:bodyDiv w:val="1"/>
      <w:marLeft w:val="0"/>
      <w:marRight w:val="0"/>
      <w:marTop w:val="0"/>
      <w:marBottom w:val="0"/>
      <w:divBdr>
        <w:top w:val="none" w:sz="0" w:space="0" w:color="auto"/>
        <w:left w:val="none" w:sz="0" w:space="0" w:color="auto"/>
        <w:bottom w:val="none" w:sz="0" w:space="0" w:color="auto"/>
        <w:right w:val="none" w:sz="0" w:space="0" w:color="auto"/>
      </w:divBdr>
    </w:div>
    <w:div w:id="1396708634">
      <w:bodyDiv w:val="1"/>
      <w:marLeft w:val="0"/>
      <w:marRight w:val="0"/>
      <w:marTop w:val="0"/>
      <w:marBottom w:val="0"/>
      <w:divBdr>
        <w:top w:val="none" w:sz="0" w:space="0" w:color="auto"/>
        <w:left w:val="none" w:sz="0" w:space="0" w:color="auto"/>
        <w:bottom w:val="none" w:sz="0" w:space="0" w:color="auto"/>
        <w:right w:val="none" w:sz="0" w:space="0" w:color="auto"/>
      </w:divBdr>
    </w:div>
    <w:div w:id="1397119304">
      <w:bodyDiv w:val="1"/>
      <w:marLeft w:val="0"/>
      <w:marRight w:val="0"/>
      <w:marTop w:val="0"/>
      <w:marBottom w:val="0"/>
      <w:divBdr>
        <w:top w:val="none" w:sz="0" w:space="0" w:color="auto"/>
        <w:left w:val="none" w:sz="0" w:space="0" w:color="auto"/>
        <w:bottom w:val="none" w:sz="0" w:space="0" w:color="auto"/>
        <w:right w:val="none" w:sz="0" w:space="0" w:color="auto"/>
      </w:divBdr>
    </w:div>
    <w:div w:id="1397389361">
      <w:bodyDiv w:val="1"/>
      <w:marLeft w:val="0"/>
      <w:marRight w:val="0"/>
      <w:marTop w:val="0"/>
      <w:marBottom w:val="0"/>
      <w:divBdr>
        <w:top w:val="none" w:sz="0" w:space="0" w:color="auto"/>
        <w:left w:val="none" w:sz="0" w:space="0" w:color="auto"/>
        <w:bottom w:val="none" w:sz="0" w:space="0" w:color="auto"/>
        <w:right w:val="none" w:sz="0" w:space="0" w:color="auto"/>
      </w:divBdr>
    </w:div>
    <w:div w:id="1397557649">
      <w:bodyDiv w:val="1"/>
      <w:marLeft w:val="0"/>
      <w:marRight w:val="0"/>
      <w:marTop w:val="0"/>
      <w:marBottom w:val="0"/>
      <w:divBdr>
        <w:top w:val="none" w:sz="0" w:space="0" w:color="auto"/>
        <w:left w:val="none" w:sz="0" w:space="0" w:color="auto"/>
        <w:bottom w:val="none" w:sz="0" w:space="0" w:color="auto"/>
        <w:right w:val="none" w:sz="0" w:space="0" w:color="auto"/>
      </w:divBdr>
    </w:div>
    <w:div w:id="1398086976">
      <w:bodyDiv w:val="1"/>
      <w:marLeft w:val="0"/>
      <w:marRight w:val="0"/>
      <w:marTop w:val="0"/>
      <w:marBottom w:val="0"/>
      <w:divBdr>
        <w:top w:val="none" w:sz="0" w:space="0" w:color="auto"/>
        <w:left w:val="none" w:sz="0" w:space="0" w:color="auto"/>
        <w:bottom w:val="none" w:sz="0" w:space="0" w:color="auto"/>
        <w:right w:val="none" w:sz="0" w:space="0" w:color="auto"/>
      </w:divBdr>
    </w:div>
    <w:div w:id="1398669927">
      <w:bodyDiv w:val="1"/>
      <w:marLeft w:val="0"/>
      <w:marRight w:val="0"/>
      <w:marTop w:val="0"/>
      <w:marBottom w:val="0"/>
      <w:divBdr>
        <w:top w:val="none" w:sz="0" w:space="0" w:color="auto"/>
        <w:left w:val="none" w:sz="0" w:space="0" w:color="auto"/>
        <w:bottom w:val="none" w:sz="0" w:space="0" w:color="auto"/>
        <w:right w:val="none" w:sz="0" w:space="0" w:color="auto"/>
      </w:divBdr>
    </w:div>
    <w:div w:id="1398741799">
      <w:bodyDiv w:val="1"/>
      <w:marLeft w:val="0"/>
      <w:marRight w:val="0"/>
      <w:marTop w:val="0"/>
      <w:marBottom w:val="0"/>
      <w:divBdr>
        <w:top w:val="none" w:sz="0" w:space="0" w:color="auto"/>
        <w:left w:val="none" w:sz="0" w:space="0" w:color="auto"/>
        <w:bottom w:val="none" w:sz="0" w:space="0" w:color="auto"/>
        <w:right w:val="none" w:sz="0" w:space="0" w:color="auto"/>
      </w:divBdr>
    </w:div>
    <w:div w:id="1398744982">
      <w:bodyDiv w:val="1"/>
      <w:marLeft w:val="0"/>
      <w:marRight w:val="0"/>
      <w:marTop w:val="0"/>
      <w:marBottom w:val="0"/>
      <w:divBdr>
        <w:top w:val="none" w:sz="0" w:space="0" w:color="auto"/>
        <w:left w:val="none" w:sz="0" w:space="0" w:color="auto"/>
        <w:bottom w:val="none" w:sz="0" w:space="0" w:color="auto"/>
        <w:right w:val="none" w:sz="0" w:space="0" w:color="auto"/>
      </w:divBdr>
    </w:div>
    <w:div w:id="1398748755">
      <w:bodyDiv w:val="1"/>
      <w:marLeft w:val="0"/>
      <w:marRight w:val="0"/>
      <w:marTop w:val="0"/>
      <w:marBottom w:val="0"/>
      <w:divBdr>
        <w:top w:val="none" w:sz="0" w:space="0" w:color="auto"/>
        <w:left w:val="none" w:sz="0" w:space="0" w:color="auto"/>
        <w:bottom w:val="none" w:sz="0" w:space="0" w:color="auto"/>
        <w:right w:val="none" w:sz="0" w:space="0" w:color="auto"/>
      </w:divBdr>
    </w:div>
    <w:div w:id="1399479194">
      <w:bodyDiv w:val="1"/>
      <w:marLeft w:val="0"/>
      <w:marRight w:val="0"/>
      <w:marTop w:val="0"/>
      <w:marBottom w:val="0"/>
      <w:divBdr>
        <w:top w:val="none" w:sz="0" w:space="0" w:color="auto"/>
        <w:left w:val="none" w:sz="0" w:space="0" w:color="auto"/>
        <w:bottom w:val="none" w:sz="0" w:space="0" w:color="auto"/>
        <w:right w:val="none" w:sz="0" w:space="0" w:color="auto"/>
      </w:divBdr>
    </w:div>
    <w:div w:id="1399665860">
      <w:bodyDiv w:val="1"/>
      <w:marLeft w:val="0"/>
      <w:marRight w:val="0"/>
      <w:marTop w:val="0"/>
      <w:marBottom w:val="0"/>
      <w:divBdr>
        <w:top w:val="none" w:sz="0" w:space="0" w:color="auto"/>
        <w:left w:val="none" w:sz="0" w:space="0" w:color="auto"/>
        <w:bottom w:val="none" w:sz="0" w:space="0" w:color="auto"/>
        <w:right w:val="none" w:sz="0" w:space="0" w:color="auto"/>
      </w:divBdr>
    </w:div>
    <w:div w:id="1400244750">
      <w:bodyDiv w:val="1"/>
      <w:marLeft w:val="0"/>
      <w:marRight w:val="0"/>
      <w:marTop w:val="0"/>
      <w:marBottom w:val="0"/>
      <w:divBdr>
        <w:top w:val="none" w:sz="0" w:space="0" w:color="auto"/>
        <w:left w:val="none" w:sz="0" w:space="0" w:color="auto"/>
        <w:bottom w:val="none" w:sz="0" w:space="0" w:color="auto"/>
        <w:right w:val="none" w:sz="0" w:space="0" w:color="auto"/>
      </w:divBdr>
    </w:div>
    <w:div w:id="1400325888">
      <w:bodyDiv w:val="1"/>
      <w:marLeft w:val="0"/>
      <w:marRight w:val="0"/>
      <w:marTop w:val="0"/>
      <w:marBottom w:val="0"/>
      <w:divBdr>
        <w:top w:val="none" w:sz="0" w:space="0" w:color="auto"/>
        <w:left w:val="none" w:sz="0" w:space="0" w:color="auto"/>
        <w:bottom w:val="none" w:sz="0" w:space="0" w:color="auto"/>
        <w:right w:val="none" w:sz="0" w:space="0" w:color="auto"/>
      </w:divBdr>
    </w:div>
    <w:div w:id="1400787963">
      <w:bodyDiv w:val="1"/>
      <w:marLeft w:val="0"/>
      <w:marRight w:val="0"/>
      <w:marTop w:val="0"/>
      <w:marBottom w:val="0"/>
      <w:divBdr>
        <w:top w:val="none" w:sz="0" w:space="0" w:color="auto"/>
        <w:left w:val="none" w:sz="0" w:space="0" w:color="auto"/>
        <w:bottom w:val="none" w:sz="0" w:space="0" w:color="auto"/>
        <w:right w:val="none" w:sz="0" w:space="0" w:color="auto"/>
      </w:divBdr>
    </w:div>
    <w:div w:id="1400904149">
      <w:bodyDiv w:val="1"/>
      <w:marLeft w:val="0"/>
      <w:marRight w:val="0"/>
      <w:marTop w:val="0"/>
      <w:marBottom w:val="0"/>
      <w:divBdr>
        <w:top w:val="none" w:sz="0" w:space="0" w:color="auto"/>
        <w:left w:val="none" w:sz="0" w:space="0" w:color="auto"/>
        <w:bottom w:val="none" w:sz="0" w:space="0" w:color="auto"/>
        <w:right w:val="none" w:sz="0" w:space="0" w:color="auto"/>
      </w:divBdr>
    </w:div>
    <w:div w:id="1401056595">
      <w:bodyDiv w:val="1"/>
      <w:marLeft w:val="0"/>
      <w:marRight w:val="0"/>
      <w:marTop w:val="0"/>
      <w:marBottom w:val="0"/>
      <w:divBdr>
        <w:top w:val="none" w:sz="0" w:space="0" w:color="auto"/>
        <w:left w:val="none" w:sz="0" w:space="0" w:color="auto"/>
        <w:bottom w:val="none" w:sz="0" w:space="0" w:color="auto"/>
        <w:right w:val="none" w:sz="0" w:space="0" w:color="auto"/>
      </w:divBdr>
    </w:div>
    <w:div w:id="1401060404">
      <w:bodyDiv w:val="1"/>
      <w:marLeft w:val="0"/>
      <w:marRight w:val="0"/>
      <w:marTop w:val="0"/>
      <w:marBottom w:val="0"/>
      <w:divBdr>
        <w:top w:val="none" w:sz="0" w:space="0" w:color="auto"/>
        <w:left w:val="none" w:sz="0" w:space="0" w:color="auto"/>
        <w:bottom w:val="none" w:sz="0" w:space="0" w:color="auto"/>
        <w:right w:val="none" w:sz="0" w:space="0" w:color="auto"/>
      </w:divBdr>
    </w:div>
    <w:div w:id="1401098773">
      <w:bodyDiv w:val="1"/>
      <w:marLeft w:val="0"/>
      <w:marRight w:val="0"/>
      <w:marTop w:val="0"/>
      <w:marBottom w:val="0"/>
      <w:divBdr>
        <w:top w:val="none" w:sz="0" w:space="0" w:color="auto"/>
        <w:left w:val="none" w:sz="0" w:space="0" w:color="auto"/>
        <w:bottom w:val="none" w:sz="0" w:space="0" w:color="auto"/>
        <w:right w:val="none" w:sz="0" w:space="0" w:color="auto"/>
      </w:divBdr>
    </w:div>
    <w:div w:id="1402214987">
      <w:bodyDiv w:val="1"/>
      <w:marLeft w:val="0"/>
      <w:marRight w:val="0"/>
      <w:marTop w:val="0"/>
      <w:marBottom w:val="0"/>
      <w:divBdr>
        <w:top w:val="none" w:sz="0" w:space="0" w:color="auto"/>
        <w:left w:val="none" w:sz="0" w:space="0" w:color="auto"/>
        <w:bottom w:val="none" w:sz="0" w:space="0" w:color="auto"/>
        <w:right w:val="none" w:sz="0" w:space="0" w:color="auto"/>
      </w:divBdr>
    </w:div>
    <w:div w:id="1402364837">
      <w:bodyDiv w:val="1"/>
      <w:marLeft w:val="0"/>
      <w:marRight w:val="0"/>
      <w:marTop w:val="0"/>
      <w:marBottom w:val="0"/>
      <w:divBdr>
        <w:top w:val="none" w:sz="0" w:space="0" w:color="auto"/>
        <w:left w:val="none" w:sz="0" w:space="0" w:color="auto"/>
        <w:bottom w:val="none" w:sz="0" w:space="0" w:color="auto"/>
        <w:right w:val="none" w:sz="0" w:space="0" w:color="auto"/>
      </w:divBdr>
    </w:div>
    <w:div w:id="1402408991">
      <w:bodyDiv w:val="1"/>
      <w:marLeft w:val="0"/>
      <w:marRight w:val="0"/>
      <w:marTop w:val="0"/>
      <w:marBottom w:val="0"/>
      <w:divBdr>
        <w:top w:val="none" w:sz="0" w:space="0" w:color="auto"/>
        <w:left w:val="none" w:sz="0" w:space="0" w:color="auto"/>
        <w:bottom w:val="none" w:sz="0" w:space="0" w:color="auto"/>
        <w:right w:val="none" w:sz="0" w:space="0" w:color="auto"/>
      </w:divBdr>
    </w:div>
    <w:div w:id="1403604738">
      <w:bodyDiv w:val="1"/>
      <w:marLeft w:val="0"/>
      <w:marRight w:val="0"/>
      <w:marTop w:val="0"/>
      <w:marBottom w:val="0"/>
      <w:divBdr>
        <w:top w:val="none" w:sz="0" w:space="0" w:color="auto"/>
        <w:left w:val="none" w:sz="0" w:space="0" w:color="auto"/>
        <w:bottom w:val="none" w:sz="0" w:space="0" w:color="auto"/>
        <w:right w:val="none" w:sz="0" w:space="0" w:color="auto"/>
      </w:divBdr>
    </w:div>
    <w:div w:id="1403720060">
      <w:bodyDiv w:val="1"/>
      <w:marLeft w:val="0"/>
      <w:marRight w:val="0"/>
      <w:marTop w:val="0"/>
      <w:marBottom w:val="0"/>
      <w:divBdr>
        <w:top w:val="none" w:sz="0" w:space="0" w:color="auto"/>
        <w:left w:val="none" w:sz="0" w:space="0" w:color="auto"/>
        <w:bottom w:val="none" w:sz="0" w:space="0" w:color="auto"/>
        <w:right w:val="none" w:sz="0" w:space="0" w:color="auto"/>
      </w:divBdr>
    </w:div>
    <w:div w:id="1404135096">
      <w:bodyDiv w:val="1"/>
      <w:marLeft w:val="0"/>
      <w:marRight w:val="0"/>
      <w:marTop w:val="0"/>
      <w:marBottom w:val="0"/>
      <w:divBdr>
        <w:top w:val="none" w:sz="0" w:space="0" w:color="auto"/>
        <w:left w:val="none" w:sz="0" w:space="0" w:color="auto"/>
        <w:bottom w:val="none" w:sz="0" w:space="0" w:color="auto"/>
        <w:right w:val="none" w:sz="0" w:space="0" w:color="auto"/>
      </w:divBdr>
    </w:div>
    <w:div w:id="1404183967">
      <w:bodyDiv w:val="1"/>
      <w:marLeft w:val="0"/>
      <w:marRight w:val="0"/>
      <w:marTop w:val="0"/>
      <w:marBottom w:val="0"/>
      <w:divBdr>
        <w:top w:val="none" w:sz="0" w:space="0" w:color="auto"/>
        <w:left w:val="none" w:sz="0" w:space="0" w:color="auto"/>
        <w:bottom w:val="none" w:sz="0" w:space="0" w:color="auto"/>
        <w:right w:val="none" w:sz="0" w:space="0" w:color="auto"/>
      </w:divBdr>
    </w:div>
    <w:div w:id="1404403153">
      <w:bodyDiv w:val="1"/>
      <w:marLeft w:val="0"/>
      <w:marRight w:val="0"/>
      <w:marTop w:val="0"/>
      <w:marBottom w:val="0"/>
      <w:divBdr>
        <w:top w:val="none" w:sz="0" w:space="0" w:color="auto"/>
        <w:left w:val="none" w:sz="0" w:space="0" w:color="auto"/>
        <w:bottom w:val="none" w:sz="0" w:space="0" w:color="auto"/>
        <w:right w:val="none" w:sz="0" w:space="0" w:color="auto"/>
      </w:divBdr>
    </w:div>
    <w:div w:id="1404639914">
      <w:bodyDiv w:val="1"/>
      <w:marLeft w:val="0"/>
      <w:marRight w:val="0"/>
      <w:marTop w:val="0"/>
      <w:marBottom w:val="0"/>
      <w:divBdr>
        <w:top w:val="none" w:sz="0" w:space="0" w:color="auto"/>
        <w:left w:val="none" w:sz="0" w:space="0" w:color="auto"/>
        <w:bottom w:val="none" w:sz="0" w:space="0" w:color="auto"/>
        <w:right w:val="none" w:sz="0" w:space="0" w:color="auto"/>
      </w:divBdr>
    </w:div>
    <w:div w:id="1405103477">
      <w:bodyDiv w:val="1"/>
      <w:marLeft w:val="0"/>
      <w:marRight w:val="0"/>
      <w:marTop w:val="0"/>
      <w:marBottom w:val="0"/>
      <w:divBdr>
        <w:top w:val="none" w:sz="0" w:space="0" w:color="auto"/>
        <w:left w:val="none" w:sz="0" w:space="0" w:color="auto"/>
        <w:bottom w:val="none" w:sz="0" w:space="0" w:color="auto"/>
        <w:right w:val="none" w:sz="0" w:space="0" w:color="auto"/>
      </w:divBdr>
    </w:div>
    <w:div w:id="1405179683">
      <w:bodyDiv w:val="1"/>
      <w:marLeft w:val="0"/>
      <w:marRight w:val="0"/>
      <w:marTop w:val="0"/>
      <w:marBottom w:val="0"/>
      <w:divBdr>
        <w:top w:val="none" w:sz="0" w:space="0" w:color="auto"/>
        <w:left w:val="none" w:sz="0" w:space="0" w:color="auto"/>
        <w:bottom w:val="none" w:sz="0" w:space="0" w:color="auto"/>
        <w:right w:val="none" w:sz="0" w:space="0" w:color="auto"/>
      </w:divBdr>
    </w:div>
    <w:div w:id="1405831934">
      <w:bodyDiv w:val="1"/>
      <w:marLeft w:val="0"/>
      <w:marRight w:val="0"/>
      <w:marTop w:val="0"/>
      <w:marBottom w:val="0"/>
      <w:divBdr>
        <w:top w:val="none" w:sz="0" w:space="0" w:color="auto"/>
        <w:left w:val="none" w:sz="0" w:space="0" w:color="auto"/>
        <w:bottom w:val="none" w:sz="0" w:space="0" w:color="auto"/>
        <w:right w:val="none" w:sz="0" w:space="0" w:color="auto"/>
      </w:divBdr>
    </w:div>
    <w:div w:id="1405834447">
      <w:bodyDiv w:val="1"/>
      <w:marLeft w:val="0"/>
      <w:marRight w:val="0"/>
      <w:marTop w:val="0"/>
      <w:marBottom w:val="0"/>
      <w:divBdr>
        <w:top w:val="none" w:sz="0" w:space="0" w:color="auto"/>
        <w:left w:val="none" w:sz="0" w:space="0" w:color="auto"/>
        <w:bottom w:val="none" w:sz="0" w:space="0" w:color="auto"/>
        <w:right w:val="none" w:sz="0" w:space="0" w:color="auto"/>
      </w:divBdr>
    </w:div>
    <w:div w:id="1406219781">
      <w:bodyDiv w:val="1"/>
      <w:marLeft w:val="0"/>
      <w:marRight w:val="0"/>
      <w:marTop w:val="0"/>
      <w:marBottom w:val="0"/>
      <w:divBdr>
        <w:top w:val="none" w:sz="0" w:space="0" w:color="auto"/>
        <w:left w:val="none" w:sz="0" w:space="0" w:color="auto"/>
        <w:bottom w:val="none" w:sz="0" w:space="0" w:color="auto"/>
        <w:right w:val="none" w:sz="0" w:space="0" w:color="auto"/>
      </w:divBdr>
    </w:div>
    <w:div w:id="1406302252">
      <w:bodyDiv w:val="1"/>
      <w:marLeft w:val="0"/>
      <w:marRight w:val="0"/>
      <w:marTop w:val="0"/>
      <w:marBottom w:val="0"/>
      <w:divBdr>
        <w:top w:val="none" w:sz="0" w:space="0" w:color="auto"/>
        <w:left w:val="none" w:sz="0" w:space="0" w:color="auto"/>
        <w:bottom w:val="none" w:sz="0" w:space="0" w:color="auto"/>
        <w:right w:val="none" w:sz="0" w:space="0" w:color="auto"/>
      </w:divBdr>
    </w:div>
    <w:div w:id="1406302381">
      <w:bodyDiv w:val="1"/>
      <w:marLeft w:val="0"/>
      <w:marRight w:val="0"/>
      <w:marTop w:val="0"/>
      <w:marBottom w:val="0"/>
      <w:divBdr>
        <w:top w:val="none" w:sz="0" w:space="0" w:color="auto"/>
        <w:left w:val="none" w:sz="0" w:space="0" w:color="auto"/>
        <w:bottom w:val="none" w:sz="0" w:space="0" w:color="auto"/>
        <w:right w:val="none" w:sz="0" w:space="0" w:color="auto"/>
      </w:divBdr>
    </w:div>
    <w:div w:id="1406490223">
      <w:bodyDiv w:val="1"/>
      <w:marLeft w:val="0"/>
      <w:marRight w:val="0"/>
      <w:marTop w:val="0"/>
      <w:marBottom w:val="0"/>
      <w:divBdr>
        <w:top w:val="none" w:sz="0" w:space="0" w:color="auto"/>
        <w:left w:val="none" w:sz="0" w:space="0" w:color="auto"/>
        <w:bottom w:val="none" w:sz="0" w:space="0" w:color="auto"/>
        <w:right w:val="none" w:sz="0" w:space="0" w:color="auto"/>
      </w:divBdr>
    </w:div>
    <w:div w:id="1406495451">
      <w:bodyDiv w:val="1"/>
      <w:marLeft w:val="0"/>
      <w:marRight w:val="0"/>
      <w:marTop w:val="0"/>
      <w:marBottom w:val="0"/>
      <w:divBdr>
        <w:top w:val="none" w:sz="0" w:space="0" w:color="auto"/>
        <w:left w:val="none" w:sz="0" w:space="0" w:color="auto"/>
        <w:bottom w:val="none" w:sz="0" w:space="0" w:color="auto"/>
        <w:right w:val="none" w:sz="0" w:space="0" w:color="auto"/>
      </w:divBdr>
    </w:div>
    <w:div w:id="1406688061">
      <w:bodyDiv w:val="1"/>
      <w:marLeft w:val="0"/>
      <w:marRight w:val="0"/>
      <w:marTop w:val="0"/>
      <w:marBottom w:val="0"/>
      <w:divBdr>
        <w:top w:val="none" w:sz="0" w:space="0" w:color="auto"/>
        <w:left w:val="none" w:sz="0" w:space="0" w:color="auto"/>
        <w:bottom w:val="none" w:sz="0" w:space="0" w:color="auto"/>
        <w:right w:val="none" w:sz="0" w:space="0" w:color="auto"/>
      </w:divBdr>
    </w:div>
    <w:div w:id="1407801679">
      <w:bodyDiv w:val="1"/>
      <w:marLeft w:val="0"/>
      <w:marRight w:val="0"/>
      <w:marTop w:val="0"/>
      <w:marBottom w:val="0"/>
      <w:divBdr>
        <w:top w:val="none" w:sz="0" w:space="0" w:color="auto"/>
        <w:left w:val="none" w:sz="0" w:space="0" w:color="auto"/>
        <w:bottom w:val="none" w:sz="0" w:space="0" w:color="auto"/>
        <w:right w:val="none" w:sz="0" w:space="0" w:color="auto"/>
      </w:divBdr>
    </w:div>
    <w:div w:id="1407873931">
      <w:bodyDiv w:val="1"/>
      <w:marLeft w:val="0"/>
      <w:marRight w:val="0"/>
      <w:marTop w:val="0"/>
      <w:marBottom w:val="0"/>
      <w:divBdr>
        <w:top w:val="none" w:sz="0" w:space="0" w:color="auto"/>
        <w:left w:val="none" w:sz="0" w:space="0" w:color="auto"/>
        <w:bottom w:val="none" w:sz="0" w:space="0" w:color="auto"/>
        <w:right w:val="none" w:sz="0" w:space="0" w:color="auto"/>
      </w:divBdr>
    </w:div>
    <w:div w:id="1407923225">
      <w:bodyDiv w:val="1"/>
      <w:marLeft w:val="0"/>
      <w:marRight w:val="0"/>
      <w:marTop w:val="0"/>
      <w:marBottom w:val="0"/>
      <w:divBdr>
        <w:top w:val="none" w:sz="0" w:space="0" w:color="auto"/>
        <w:left w:val="none" w:sz="0" w:space="0" w:color="auto"/>
        <w:bottom w:val="none" w:sz="0" w:space="0" w:color="auto"/>
        <w:right w:val="none" w:sz="0" w:space="0" w:color="auto"/>
      </w:divBdr>
    </w:div>
    <w:div w:id="1408576710">
      <w:bodyDiv w:val="1"/>
      <w:marLeft w:val="0"/>
      <w:marRight w:val="0"/>
      <w:marTop w:val="0"/>
      <w:marBottom w:val="0"/>
      <w:divBdr>
        <w:top w:val="none" w:sz="0" w:space="0" w:color="auto"/>
        <w:left w:val="none" w:sz="0" w:space="0" w:color="auto"/>
        <w:bottom w:val="none" w:sz="0" w:space="0" w:color="auto"/>
        <w:right w:val="none" w:sz="0" w:space="0" w:color="auto"/>
      </w:divBdr>
    </w:div>
    <w:div w:id="1408769757">
      <w:bodyDiv w:val="1"/>
      <w:marLeft w:val="0"/>
      <w:marRight w:val="0"/>
      <w:marTop w:val="0"/>
      <w:marBottom w:val="0"/>
      <w:divBdr>
        <w:top w:val="none" w:sz="0" w:space="0" w:color="auto"/>
        <w:left w:val="none" w:sz="0" w:space="0" w:color="auto"/>
        <w:bottom w:val="none" w:sz="0" w:space="0" w:color="auto"/>
        <w:right w:val="none" w:sz="0" w:space="0" w:color="auto"/>
      </w:divBdr>
    </w:div>
    <w:div w:id="1409494181">
      <w:bodyDiv w:val="1"/>
      <w:marLeft w:val="0"/>
      <w:marRight w:val="0"/>
      <w:marTop w:val="0"/>
      <w:marBottom w:val="0"/>
      <w:divBdr>
        <w:top w:val="none" w:sz="0" w:space="0" w:color="auto"/>
        <w:left w:val="none" w:sz="0" w:space="0" w:color="auto"/>
        <w:bottom w:val="none" w:sz="0" w:space="0" w:color="auto"/>
        <w:right w:val="none" w:sz="0" w:space="0" w:color="auto"/>
      </w:divBdr>
    </w:div>
    <w:div w:id="1409498568">
      <w:bodyDiv w:val="1"/>
      <w:marLeft w:val="0"/>
      <w:marRight w:val="0"/>
      <w:marTop w:val="0"/>
      <w:marBottom w:val="0"/>
      <w:divBdr>
        <w:top w:val="none" w:sz="0" w:space="0" w:color="auto"/>
        <w:left w:val="none" w:sz="0" w:space="0" w:color="auto"/>
        <w:bottom w:val="none" w:sz="0" w:space="0" w:color="auto"/>
        <w:right w:val="none" w:sz="0" w:space="0" w:color="auto"/>
      </w:divBdr>
    </w:div>
    <w:div w:id="1409500653">
      <w:bodyDiv w:val="1"/>
      <w:marLeft w:val="0"/>
      <w:marRight w:val="0"/>
      <w:marTop w:val="0"/>
      <w:marBottom w:val="0"/>
      <w:divBdr>
        <w:top w:val="none" w:sz="0" w:space="0" w:color="auto"/>
        <w:left w:val="none" w:sz="0" w:space="0" w:color="auto"/>
        <w:bottom w:val="none" w:sz="0" w:space="0" w:color="auto"/>
        <w:right w:val="none" w:sz="0" w:space="0" w:color="auto"/>
      </w:divBdr>
    </w:div>
    <w:div w:id="1411149449">
      <w:bodyDiv w:val="1"/>
      <w:marLeft w:val="0"/>
      <w:marRight w:val="0"/>
      <w:marTop w:val="0"/>
      <w:marBottom w:val="0"/>
      <w:divBdr>
        <w:top w:val="none" w:sz="0" w:space="0" w:color="auto"/>
        <w:left w:val="none" w:sz="0" w:space="0" w:color="auto"/>
        <w:bottom w:val="none" w:sz="0" w:space="0" w:color="auto"/>
        <w:right w:val="none" w:sz="0" w:space="0" w:color="auto"/>
      </w:divBdr>
    </w:div>
    <w:div w:id="1412198500">
      <w:bodyDiv w:val="1"/>
      <w:marLeft w:val="0"/>
      <w:marRight w:val="0"/>
      <w:marTop w:val="0"/>
      <w:marBottom w:val="0"/>
      <w:divBdr>
        <w:top w:val="none" w:sz="0" w:space="0" w:color="auto"/>
        <w:left w:val="none" w:sz="0" w:space="0" w:color="auto"/>
        <w:bottom w:val="none" w:sz="0" w:space="0" w:color="auto"/>
        <w:right w:val="none" w:sz="0" w:space="0" w:color="auto"/>
      </w:divBdr>
    </w:div>
    <w:div w:id="1412237635">
      <w:bodyDiv w:val="1"/>
      <w:marLeft w:val="0"/>
      <w:marRight w:val="0"/>
      <w:marTop w:val="0"/>
      <w:marBottom w:val="0"/>
      <w:divBdr>
        <w:top w:val="none" w:sz="0" w:space="0" w:color="auto"/>
        <w:left w:val="none" w:sz="0" w:space="0" w:color="auto"/>
        <w:bottom w:val="none" w:sz="0" w:space="0" w:color="auto"/>
        <w:right w:val="none" w:sz="0" w:space="0" w:color="auto"/>
      </w:divBdr>
    </w:div>
    <w:div w:id="1412772342">
      <w:bodyDiv w:val="1"/>
      <w:marLeft w:val="0"/>
      <w:marRight w:val="0"/>
      <w:marTop w:val="0"/>
      <w:marBottom w:val="0"/>
      <w:divBdr>
        <w:top w:val="none" w:sz="0" w:space="0" w:color="auto"/>
        <w:left w:val="none" w:sz="0" w:space="0" w:color="auto"/>
        <w:bottom w:val="none" w:sz="0" w:space="0" w:color="auto"/>
        <w:right w:val="none" w:sz="0" w:space="0" w:color="auto"/>
      </w:divBdr>
    </w:div>
    <w:div w:id="1412969416">
      <w:bodyDiv w:val="1"/>
      <w:marLeft w:val="0"/>
      <w:marRight w:val="0"/>
      <w:marTop w:val="0"/>
      <w:marBottom w:val="0"/>
      <w:divBdr>
        <w:top w:val="none" w:sz="0" w:space="0" w:color="auto"/>
        <w:left w:val="none" w:sz="0" w:space="0" w:color="auto"/>
        <w:bottom w:val="none" w:sz="0" w:space="0" w:color="auto"/>
        <w:right w:val="none" w:sz="0" w:space="0" w:color="auto"/>
      </w:divBdr>
    </w:div>
    <w:div w:id="1413312881">
      <w:bodyDiv w:val="1"/>
      <w:marLeft w:val="0"/>
      <w:marRight w:val="0"/>
      <w:marTop w:val="0"/>
      <w:marBottom w:val="0"/>
      <w:divBdr>
        <w:top w:val="none" w:sz="0" w:space="0" w:color="auto"/>
        <w:left w:val="none" w:sz="0" w:space="0" w:color="auto"/>
        <w:bottom w:val="none" w:sz="0" w:space="0" w:color="auto"/>
        <w:right w:val="none" w:sz="0" w:space="0" w:color="auto"/>
      </w:divBdr>
    </w:div>
    <w:div w:id="1413358557">
      <w:bodyDiv w:val="1"/>
      <w:marLeft w:val="0"/>
      <w:marRight w:val="0"/>
      <w:marTop w:val="0"/>
      <w:marBottom w:val="0"/>
      <w:divBdr>
        <w:top w:val="none" w:sz="0" w:space="0" w:color="auto"/>
        <w:left w:val="none" w:sz="0" w:space="0" w:color="auto"/>
        <w:bottom w:val="none" w:sz="0" w:space="0" w:color="auto"/>
        <w:right w:val="none" w:sz="0" w:space="0" w:color="auto"/>
      </w:divBdr>
    </w:div>
    <w:div w:id="1413551438">
      <w:bodyDiv w:val="1"/>
      <w:marLeft w:val="0"/>
      <w:marRight w:val="0"/>
      <w:marTop w:val="0"/>
      <w:marBottom w:val="0"/>
      <w:divBdr>
        <w:top w:val="none" w:sz="0" w:space="0" w:color="auto"/>
        <w:left w:val="none" w:sz="0" w:space="0" w:color="auto"/>
        <w:bottom w:val="none" w:sz="0" w:space="0" w:color="auto"/>
        <w:right w:val="none" w:sz="0" w:space="0" w:color="auto"/>
      </w:divBdr>
    </w:div>
    <w:div w:id="1413939330">
      <w:bodyDiv w:val="1"/>
      <w:marLeft w:val="0"/>
      <w:marRight w:val="0"/>
      <w:marTop w:val="0"/>
      <w:marBottom w:val="0"/>
      <w:divBdr>
        <w:top w:val="none" w:sz="0" w:space="0" w:color="auto"/>
        <w:left w:val="none" w:sz="0" w:space="0" w:color="auto"/>
        <w:bottom w:val="none" w:sz="0" w:space="0" w:color="auto"/>
        <w:right w:val="none" w:sz="0" w:space="0" w:color="auto"/>
      </w:divBdr>
    </w:div>
    <w:div w:id="1414086728">
      <w:bodyDiv w:val="1"/>
      <w:marLeft w:val="0"/>
      <w:marRight w:val="0"/>
      <w:marTop w:val="0"/>
      <w:marBottom w:val="0"/>
      <w:divBdr>
        <w:top w:val="none" w:sz="0" w:space="0" w:color="auto"/>
        <w:left w:val="none" w:sz="0" w:space="0" w:color="auto"/>
        <w:bottom w:val="none" w:sz="0" w:space="0" w:color="auto"/>
        <w:right w:val="none" w:sz="0" w:space="0" w:color="auto"/>
      </w:divBdr>
    </w:div>
    <w:div w:id="1414156343">
      <w:bodyDiv w:val="1"/>
      <w:marLeft w:val="0"/>
      <w:marRight w:val="0"/>
      <w:marTop w:val="0"/>
      <w:marBottom w:val="0"/>
      <w:divBdr>
        <w:top w:val="none" w:sz="0" w:space="0" w:color="auto"/>
        <w:left w:val="none" w:sz="0" w:space="0" w:color="auto"/>
        <w:bottom w:val="none" w:sz="0" w:space="0" w:color="auto"/>
        <w:right w:val="none" w:sz="0" w:space="0" w:color="auto"/>
      </w:divBdr>
    </w:div>
    <w:div w:id="1414276672">
      <w:bodyDiv w:val="1"/>
      <w:marLeft w:val="0"/>
      <w:marRight w:val="0"/>
      <w:marTop w:val="0"/>
      <w:marBottom w:val="0"/>
      <w:divBdr>
        <w:top w:val="none" w:sz="0" w:space="0" w:color="auto"/>
        <w:left w:val="none" w:sz="0" w:space="0" w:color="auto"/>
        <w:bottom w:val="none" w:sz="0" w:space="0" w:color="auto"/>
        <w:right w:val="none" w:sz="0" w:space="0" w:color="auto"/>
      </w:divBdr>
    </w:div>
    <w:div w:id="1414427770">
      <w:bodyDiv w:val="1"/>
      <w:marLeft w:val="0"/>
      <w:marRight w:val="0"/>
      <w:marTop w:val="0"/>
      <w:marBottom w:val="0"/>
      <w:divBdr>
        <w:top w:val="none" w:sz="0" w:space="0" w:color="auto"/>
        <w:left w:val="none" w:sz="0" w:space="0" w:color="auto"/>
        <w:bottom w:val="none" w:sz="0" w:space="0" w:color="auto"/>
        <w:right w:val="none" w:sz="0" w:space="0" w:color="auto"/>
      </w:divBdr>
    </w:div>
    <w:div w:id="1415201157">
      <w:bodyDiv w:val="1"/>
      <w:marLeft w:val="0"/>
      <w:marRight w:val="0"/>
      <w:marTop w:val="0"/>
      <w:marBottom w:val="0"/>
      <w:divBdr>
        <w:top w:val="none" w:sz="0" w:space="0" w:color="auto"/>
        <w:left w:val="none" w:sz="0" w:space="0" w:color="auto"/>
        <w:bottom w:val="none" w:sz="0" w:space="0" w:color="auto"/>
        <w:right w:val="none" w:sz="0" w:space="0" w:color="auto"/>
      </w:divBdr>
    </w:div>
    <w:div w:id="1415202809">
      <w:bodyDiv w:val="1"/>
      <w:marLeft w:val="0"/>
      <w:marRight w:val="0"/>
      <w:marTop w:val="0"/>
      <w:marBottom w:val="0"/>
      <w:divBdr>
        <w:top w:val="none" w:sz="0" w:space="0" w:color="auto"/>
        <w:left w:val="none" w:sz="0" w:space="0" w:color="auto"/>
        <w:bottom w:val="none" w:sz="0" w:space="0" w:color="auto"/>
        <w:right w:val="none" w:sz="0" w:space="0" w:color="auto"/>
      </w:divBdr>
    </w:div>
    <w:div w:id="1415203055">
      <w:bodyDiv w:val="1"/>
      <w:marLeft w:val="0"/>
      <w:marRight w:val="0"/>
      <w:marTop w:val="0"/>
      <w:marBottom w:val="0"/>
      <w:divBdr>
        <w:top w:val="none" w:sz="0" w:space="0" w:color="auto"/>
        <w:left w:val="none" w:sz="0" w:space="0" w:color="auto"/>
        <w:bottom w:val="none" w:sz="0" w:space="0" w:color="auto"/>
        <w:right w:val="none" w:sz="0" w:space="0" w:color="auto"/>
      </w:divBdr>
    </w:div>
    <w:div w:id="1415397183">
      <w:bodyDiv w:val="1"/>
      <w:marLeft w:val="0"/>
      <w:marRight w:val="0"/>
      <w:marTop w:val="0"/>
      <w:marBottom w:val="0"/>
      <w:divBdr>
        <w:top w:val="none" w:sz="0" w:space="0" w:color="auto"/>
        <w:left w:val="none" w:sz="0" w:space="0" w:color="auto"/>
        <w:bottom w:val="none" w:sz="0" w:space="0" w:color="auto"/>
        <w:right w:val="none" w:sz="0" w:space="0" w:color="auto"/>
      </w:divBdr>
    </w:div>
    <w:div w:id="1415668656">
      <w:bodyDiv w:val="1"/>
      <w:marLeft w:val="0"/>
      <w:marRight w:val="0"/>
      <w:marTop w:val="0"/>
      <w:marBottom w:val="0"/>
      <w:divBdr>
        <w:top w:val="none" w:sz="0" w:space="0" w:color="auto"/>
        <w:left w:val="none" w:sz="0" w:space="0" w:color="auto"/>
        <w:bottom w:val="none" w:sz="0" w:space="0" w:color="auto"/>
        <w:right w:val="none" w:sz="0" w:space="0" w:color="auto"/>
      </w:divBdr>
    </w:div>
    <w:div w:id="1415980207">
      <w:bodyDiv w:val="1"/>
      <w:marLeft w:val="0"/>
      <w:marRight w:val="0"/>
      <w:marTop w:val="0"/>
      <w:marBottom w:val="0"/>
      <w:divBdr>
        <w:top w:val="none" w:sz="0" w:space="0" w:color="auto"/>
        <w:left w:val="none" w:sz="0" w:space="0" w:color="auto"/>
        <w:bottom w:val="none" w:sz="0" w:space="0" w:color="auto"/>
        <w:right w:val="none" w:sz="0" w:space="0" w:color="auto"/>
      </w:divBdr>
    </w:div>
    <w:div w:id="1416130932">
      <w:bodyDiv w:val="1"/>
      <w:marLeft w:val="0"/>
      <w:marRight w:val="0"/>
      <w:marTop w:val="0"/>
      <w:marBottom w:val="0"/>
      <w:divBdr>
        <w:top w:val="none" w:sz="0" w:space="0" w:color="auto"/>
        <w:left w:val="none" w:sz="0" w:space="0" w:color="auto"/>
        <w:bottom w:val="none" w:sz="0" w:space="0" w:color="auto"/>
        <w:right w:val="none" w:sz="0" w:space="0" w:color="auto"/>
      </w:divBdr>
    </w:div>
    <w:div w:id="1416392748">
      <w:bodyDiv w:val="1"/>
      <w:marLeft w:val="0"/>
      <w:marRight w:val="0"/>
      <w:marTop w:val="0"/>
      <w:marBottom w:val="0"/>
      <w:divBdr>
        <w:top w:val="none" w:sz="0" w:space="0" w:color="auto"/>
        <w:left w:val="none" w:sz="0" w:space="0" w:color="auto"/>
        <w:bottom w:val="none" w:sz="0" w:space="0" w:color="auto"/>
        <w:right w:val="none" w:sz="0" w:space="0" w:color="auto"/>
      </w:divBdr>
    </w:div>
    <w:div w:id="1416627138">
      <w:bodyDiv w:val="1"/>
      <w:marLeft w:val="0"/>
      <w:marRight w:val="0"/>
      <w:marTop w:val="0"/>
      <w:marBottom w:val="0"/>
      <w:divBdr>
        <w:top w:val="none" w:sz="0" w:space="0" w:color="auto"/>
        <w:left w:val="none" w:sz="0" w:space="0" w:color="auto"/>
        <w:bottom w:val="none" w:sz="0" w:space="0" w:color="auto"/>
        <w:right w:val="none" w:sz="0" w:space="0" w:color="auto"/>
      </w:divBdr>
    </w:div>
    <w:div w:id="1416976356">
      <w:bodyDiv w:val="1"/>
      <w:marLeft w:val="0"/>
      <w:marRight w:val="0"/>
      <w:marTop w:val="0"/>
      <w:marBottom w:val="0"/>
      <w:divBdr>
        <w:top w:val="none" w:sz="0" w:space="0" w:color="auto"/>
        <w:left w:val="none" w:sz="0" w:space="0" w:color="auto"/>
        <w:bottom w:val="none" w:sz="0" w:space="0" w:color="auto"/>
        <w:right w:val="none" w:sz="0" w:space="0" w:color="auto"/>
      </w:divBdr>
    </w:div>
    <w:div w:id="1416977718">
      <w:bodyDiv w:val="1"/>
      <w:marLeft w:val="0"/>
      <w:marRight w:val="0"/>
      <w:marTop w:val="0"/>
      <w:marBottom w:val="0"/>
      <w:divBdr>
        <w:top w:val="none" w:sz="0" w:space="0" w:color="auto"/>
        <w:left w:val="none" w:sz="0" w:space="0" w:color="auto"/>
        <w:bottom w:val="none" w:sz="0" w:space="0" w:color="auto"/>
        <w:right w:val="none" w:sz="0" w:space="0" w:color="auto"/>
      </w:divBdr>
    </w:div>
    <w:div w:id="1417163869">
      <w:bodyDiv w:val="1"/>
      <w:marLeft w:val="0"/>
      <w:marRight w:val="0"/>
      <w:marTop w:val="0"/>
      <w:marBottom w:val="0"/>
      <w:divBdr>
        <w:top w:val="none" w:sz="0" w:space="0" w:color="auto"/>
        <w:left w:val="none" w:sz="0" w:space="0" w:color="auto"/>
        <w:bottom w:val="none" w:sz="0" w:space="0" w:color="auto"/>
        <w:right w:val="none" w:sz="0" w:space="0" w:color="auto"/>
      </w:divBdr>
    </w:div>
    <w:div w:id="1418206439">
      <w:bodyDiv w:val="1"/>
      <w:marLeft w:val="0"/>
      <w:marRight w:val="0"/>
      <w:marTop w:val="0"/>
      <w:marBottom w:val="0"/>
      <w:divBdr>
        <w:top w:val="none" w:sz="0" w:space="0" w:color="auto"/>
        <w:left w:val="none" w:sz="0" w:space="0" w:color="auto"/>
        <w:bottom w:val="none" w:sz="0" w:space="0" w:color="auto"/>
        <w:right w:val="none" w:sz="0" w:space="0" w:color="auto"/>
      </w:divBdr>
    </w:div>
    <w:div w:id="1418282255">
      <w:bodyDiv w:val="1"/>
      <w:marLeft w:val="0"/>
      <w:marRight w:val="0"/>
      <w:marTop w:val="0"/>
      <w:marBottom w:val="0"/>
      <w:divBdr>
        <w:top w:val="none" w:sz="0" w:space="0" w:color="auto"/>
        <w:left w:val="none" w:sz="0" w:space="0" w:color="auto"/>
        <w:bottom w:val="none" w:sz="0" w:space="0" w:color="auto"/>
        <w:right w:val="none" w:sz="0" w:space="0" w:color="auto"/>
      </w:divBdr>
    </w:div>
    <w:div w:id="1418557878">
      <w:bodyDiv w:val="1"/>
      <w:marLeft w:val="0"/>
      <w:marRight w:val="0"/>
      <w:marTop w:val="0"/>
      <w:marBottom w:val="0"/>
      <w:divBdr>
        <w:top w:val="none" w:sz="0" w:space="0" w:color="auto"/>
        <w:left w:val="none" w:sz="0" w:space="0" w:color="auto"/>
        <w:bottom w:val="none" w:sz="0" w:space="0" w:color="auto"/>
        <w:right w:val="none" w:sz="0" w:space="0" w:color="auto"/>
      </w:divBdr>
    </w:div>
    <w:div w:id="1418674294">
      <w:bodyDiv w:val="1"/>
      <w:marLeft w:val="0"/>
      <w:marRight w:val="0"/>
      <w:marTop w:val="0"/>
      <w:marBottom w:val="0"/>
      <w:divBdr>
        <w:top w:val="none" w:sz="0" w:space="0" w:color="auto"/>
        <w:left w:val="none" w:sz="0" w:space="0" w:color="auto"/>
        <w:bottom w:val="none" w:sz="0" w:space="0" w:color="auto"/>
        <w:right w:val="none" w:sz="0" w:space="0" w:color="auto"/>
      </w:divBdr>
    </w:div>
    <w:div w:id="1419015557">
      <w:bodyDiv w:val="1"/>
      <w:marLeft w:val="0"/>
      <w:marRight w:val="0"/>
      <w:marTop w:val="0"/>
      <w:marBottom w:val="0"/>
      <w:divBdr>
        <w:top w:val="none" w:sz="0" w:space="0" w:color="auto"/>
        <w:left w:val="none" w:sz="0" w:space="0" w:color="auto"/>
        <w:bottom w:val="none" w:sz="0" w:space="0" w:color="auto"/>
        <w:right w:val="none" w:sz="0" w:space="0" w:color="auto"/>
      </w:divBdr>
    </w:div>
    <w:div w:id="1419137147">
      <w:bodyDiv w:val="1"/>
      <w:marLeft w:val="0"/>
      <w:marRight w:val="0"/>
      <w:marTop w:val="0"/>
      <w:marBottom w:val="0"/>
      <w:divBdr>
        <w:top w:val="none" w:sz="0" w:space="0" w:color="auto"/>
        <w:left w:val="none" w:sz="0" w:space="0" w:color="auto"/>
        <w:bottom w:val="none" w:sz="0" w:space="0" w:color="auto"/>
        <w:right w:val="none" w:sz="0" w:space="0" w:color="auto"/>
      </w:divBdr>
    </w:div>
    <w:div w:id="1420444731">
      <w:bodyDiv w:val="1"/>
      <w:marLeft w:val="0"/>
      <w:marRight w:val="0"/>
      <w:marTop w:val="0"/>
      <w:marBottom w:val="0"/>
      <w:divBdr>
        <w:top w:val="none" w:sz="0" w:space="0" w:color="auto"/>
        <w:left w:val="none" w:sz="0" w:space="0" w:color="auto"/>
        <w:bottom w:val="none" w:sz="0" w:space="0" w:color="auto"/>
        <w:right w:val="none" w:sz="0" w:space="0" w:color="auto"/>
      </w:divBdr>
    </w:div>
    <w:div w:id="1420521994">
      <w:bodyDiv w:val="1"/>
      <w:marLeft w:val="0"/>
      <w:marRight w:val="0"/>
      <w:marTop w:val="0"/>
      <w:marBottom w:val="0"/>
      <w:divBdr>
        <w:top w:val="none" w:sz="0" w:space="0" w:color="auto"/>
        <w:left w:val="none" w:sz="0" w:space="0" w:color="auto"/>
        <w:bottom w:val="none" w:sz="0" w:space="0" w:color="auto"/>
        <w:right w:val="none" w:sz="0" w:space="0" w:color="auto"/>
      </w:divBdr>
    </w:div>
    <w:div w:id="1420522272">
      <w:bodyDiv w:val="1"/>
      <w:marLeft w:val="0"/>
      <w:marRight w:val="0"/>
      <w:marTop w:val="0"/>
      <w:marBottom w:val="0"/>
      <w:divBdr>
        <w:top w:val="none" w:sz="0" w:space="0" w:color="auto"/>
        <w:left w:val="none" w:sz="0" w:space="0" w:color="auto"/>
        <w:bottom w:val="none" w:sz="0" w:space="0" w:color="auto"/>
        <w:right w:val="none" w:sz="0" w:space="0" w:color="auto"/>
      </w:divBdr>
    </w:div>
    <w:div w:id="1421484113">
      <w:bodyDiv w:val="1"/>
      <w:marLeft w:val="0"/>
      <w:marRight w:val="0"/>
      <w:marTop w:val="0"/>
      <w:marBottom w:val="0"/>
      <w:divBdr>
        <w:top w:val="none" w:sz="0" w:space="0" w:color="auto"/>
        <w:left w:val="none" w:sz="0" w:space="0" w:color="auto"/>
        <w:bottom w:val="none" w:sz="0" w:space="0" w:color="auto"/>
        <w:right w:val="none" w:sz="0" w:space="0" w:color="auto"/>
      </w:divBdr>
    </w:div>
    <w:div w:id="1421753483">
      <w:bodyDiv w:val="1"/>
      <w:marLeft w:val="0"/>
      <w:marRight w:val="0"/>
      <w:marTop w:val="0"/>
      <w:marBottom w:val="0"/>
      <w:divBdr>
        <w:top w:val="none" w:sz="0" w:space="0" w:color="auto"/>
        <w:left w:val="none" w:sz="0" w:space="0" w:color="auto"/>
        <w:bottom w:val="none" w:sz="0" w:space="0" w:color="auto"/>
        <w:right w:val="none" w:sz="0" w:space="0" w:color="auto"/>
      </w:divBdr>
    </w:div>
    <w:div w:id="1421828205">
      <w:bodyDiv w:val="1"/>
      <w:marLeft w:val="0"/>
      <w:marRight w:val="0"/>
      <w:marTop w:val="0"/>
      <w:marBottom w:val="0"/>
      <w:divBdr>
        <w:top w:val="none" w:sz="0" w:space="0" w:color="auto"/>
        <w:left w:val="none" w:sz="0" w:space="0" w:color="auto"/>
        <w:bottom w:val="none" w:sz="0" w:space="0" w:color="auto"/>
        <w:right w:val="none" w:sz="0" w:space="0" w:color="auto"/>
      </w:divBdr>
    </w:div>
    <w:div w:id="1422529397">
      <w:bodyDiv w:val="1"/>
      <w:marLeft w:val="0"/>
      <w:marRight w:val="0"/>
      <w:marTop w:val="0"/>
      <w:marBottom w:val="0"/>
      <w:divBdr>
        <w:top w:val="none" w:sz="0" w:space="0" w:color="auto"/>
        <w:left w:val="none" w:sz="0" w:space="0" w:color="auto"/>
        <w:bottom w:val="none" w:sz="0" w:space="0" w:color="auto"/>
        <w:right w:val="none" w:sz="0" w:space="0" w:color="auto"/>
      </w:divBdr>
    </w:div>
    <w:div w:id="1422794802">
      <w:bodyDiv w:val="1"/>
      <w:marLeft w:val="0"/>
      <w:marRight w:val="0"/>
      <w:marTop w:val="0"/>
      <w:marBottom w:val="0"/>
      <w:divBdr>
        <w:top w:val="none" w:sz="0" w:space="0" w:color="auto"/>
        <w:left w:val="none" w:sz="0" w:space="0" w:color="auto"/>
        <w:bottom w:val="none" w:sz="0" w:space="0" w:color="auto"/>
        <w:right w:val="none" w:sz="0" w:space="0" w:color="auto"/>
      </w:divBdr>
    </w:div>
    <w:div w:id="1422917921">
      <w:bodyDiv w:val="1"/>
      <w:marLeft w:val="0"/>
      <w:marRight w:val="0"/>
      <w:marTop w:val="0"/>
      <w:marBottom w:val="0"/>
      <w:divBdr>
        <w:top w:val="none" w:sz="0" w:space="0" w:color="auto"/>
        <w:left w:val="none" w:sz="0" w:space="0" w:color="auto"/>
        <w:bottom w:val="none" w:sz="0" w:space="0" w:color="auto"/>
        <w:right w:val="none" w:sz="0" w:space="0" w:color="auto"/>
      </w:divBdr>
    </w:div>
    <w:div w:id="1422949555">
      <w:bodyDiv w:val="1"/>
      <w:marLeft w:val="0"/>
      <w:marRight w:val="0"/>
      <w:marTop w:val="0"/>
      <w:marBottom w:val="0"/>
      <w:divBdr>
        <w:top w:val="none" w:sz="0" w:space="0" w:color="auto"/>
        <w:left w:val="none" w:sz="0" w:space="0" w:color="auto"/>
        <w:bottom w:val="none" w:sz="0" w:space="0" w:color="auto"/>
        <w:right w:val="none" w:sz="0" w:space="0" w:color="auto"/>
      </w:divBdr>
    </w:div>
    <w:div w:id="1423602044">
      <w:bodyDiv w:val="1"/>
      <w:marLeft w:val="0"/>
      <w:marRight w:val="0"/>
      <w:marTop w:val="0"/>
      <w:marBottom w:val="0"/>
      <w:divBdr>
        <w:top w:val="none" w:sz="0" w:space="0" w:color="auto"/>
        <w:left w:val="none" w:sz="0" w:space="0" w:color="auto"/>
        <w:bottom w:val="none" w:sz="0" w:space="0" w:color="auto"/>
        <w:right w:val="none" w:sz="0" w:space="0" w:color="auto"/>
      </w:divBdr>
    </w:div>
    <w:div w:id="1423797954">
      <w:bodyDiv w:val="1"/>
      <w:marLeft w:val="0"/>
      <w:marRight w:val="0"/>
      <w:marTop w:val="0"/>
      <w:marBottom w:val="0"/>
      <w:divBdr>
        <w:top w:val="none" w:sz="0" w:space="0" w:color="auto"/>
        <w:left w:val="none" w:sz="0" w:space="0" w:color="auto"/>
        <w:bottom w:val="none" w:sz="0" w:space="0" w:color="auto"/>
        <w:right w:val="none" w:sz="0" w:space="0" w:color="auto"/>
      </w:divBdr>
    </w:div>
    <w:div w:id="1424371940">
      <w:bodyDiv w:val="1"/>
      <w:marLeft w:val="0"/>
      <w:marRight w:val="0"/>
      <w:marTop w:val="0"/>
      <w:marBottom w:val="0"/>
      <w:divBdr>
        <w:top w:val="none" w:sz="0" w:space="0" w:color="auto"/>
        <w:left w:val="none" w:sz="0" w:space="0" w:color="auto"/>
        <w:bottom w:val="none" w:sz="0" w:space="0" w:color="auto"/>
        <w:right w:val="none" w:sz="0" w:space="0" w:color="auto"/>
      </w:divBdr>
    </w:div>
    <w:div w:id="1424455145">
      <w:bodyDiv w:val="1"/>
      <w:marLeft w:val="0"/>
      <w:marRight w:val="0"/>
      <w:marTop w:val="0"/>
      <w:marBottom w:val="0"/>
      <w:divBdr>
        <w:top w:val="none" w:sz="0" w:space="0" w:color="auto"/>
        <w:left w:val="none" w:sz="0" w:space="0" w:color="auto"/>
        <w:bottom w:val="none" w:sz="0" w:space="0" w:color="auto"/>
        <w:right w:val="none" w:sz="0" w:space="0" w:color="auto"/>
      </w:divBdr>
    </w:div>
    <w:div w:id="1424573504">
      <w:bodyDiv w:val="1"/>
      <w:marLeft w:val="0"/>
      <w:marRight w:val="0"/>
      <w:marTop w:val="0"/>
      <w:marBottom w:val="0"/>
      <w:divBdr>
        <w:top w:val="none" w:sz="0" w:space="0" w:color="auto"/>
        <w:left w:val="none" w:sz="0" w:space="0" w:color="auto"/>
        <w:bottom w:val="none" w:sz="0" w:space="0" w:color="auto"/>
        <w:right w:val="none" w:sz="0" w:space="0" w:color="auto"/>
      </w:divBdr>
    </w:div>
    <w:div w:id="1424911334">
      <w:bodyDiv w:val="1"/>
      <w:marLeft w:val="0"/>
      <w:marRight w:val="0"/>
      <w:marTop w:val="0"/>
      <w:marBottom w:val="0"/>
      <w:divBdr>
        <w:top w:val="none" w:sz="0" w:space="0" w:color="auto"/>
        <w:left w:val="none" w:sz="0" w:space="0" w:color="auto"/>
        <w:bottom w:val="none" w:sz="0" w:space="0" w:color="auto"/>
        <w:right w:val="none" w:sz="0" w:space="0" w:color="auto"/>
      </w:divBdr>
    </w:div>
    <w:div w:id="1424915806">
      <w:bodyDiv w:val="1"/>
      <w:marLeft w:val="0"/>
      <w:marRight w:val="0"/>
      <w:marTop w:val="0"/>
      <w:marBottom w:val="0"/>
      <w:divBdr>
        <w:top w:val="none" w:sz="0" w:space="0" w:color="auto"/>
        <w:left w:val="none" w:sz="0" w:space="0" w:color="auto"/>
        <w:bottom w:val="none" w:sz="0" w:space="0" w:color="auto"/>
        <w:right w:val="none" w:sz="0" w:space="0" w:color="auto"/>
      </w:divBdr>
    </w:div>
    <w:div w:id="1424951960">
      <w:bodyDiv w:val="1"/>
      <w:marLeft w:val="0"/>
      <w:marRight w:val="0"/>
      <w:marTop w:val="0"/>
      <w:marBottom w:val="0"/>
      <w:divBdr>
        <w:top w:val="none" w:sz="0" w:space="0" w:color="auto"/>
        <w:left w:val="none" w:sz="0" w:space="0" w:color="auto"/>
        <w:bottom w:val="none" w:sz="0" w:space="0" w:color="auto"/>
        <w:right w:val="none" w:sz="0" w:space="0" w:color="auto"/>
      </w:divBdr>
    </w:div>
    <w:div w:id="1425372165">
      <w:bodyDiv w:val="1"/>
      <w:marLeft w:val="0"/>
      <w:marRight w:val="0"/>
      <w:marTop w:val="0"/>
      <w:marBottom w:val="0"/>
      <w:divBdr>
        <w:top w:val="none" w:sz="0" w:space="0" w:color="auto"/>
        <w:left w:val="none" w:sz="0" w:space="0" w:color="auto"/>
        <w:bottom w:val="none" w:sz="0" w:space="0" w:color="auto"/>
        <w:right w:val="none" w:sz="0" w:space="0" w:color="auto"/>
      </w:divBdr>
    </w:div>
    <w:div w:id="1425806987">
      <w:bodyDiv w:val="1"/>
      <w:marLeft w:val="0"/>
      <w:marRight w:val="0"/>
      <w:marTop w:val="0"/>
      <w:marBottom w:val="0"/>
      <w:divBdr>
        <w:top w:val="none" w:sz="0" w:space="0" w:color="auto"/>
        <w:left w:val="none" w:sz="0" w:space="0" w:color="auto"/>
        <w:bottom w:val="none" w:sz="0" w:space="0" w:color="auto"/>
        <w:right w:val="none" w:sz="0" w:space="0" w:color="auto"/>
      </w:divBdr>
    </w:div>
    <w:div w:id="1425952475">
      <w:bodyDiv w:val="1"/>
      <w:marLeft w:val="0"/>
      <w:marRight w:val="0"/>
      <w:marTop w:val="0"/>
      <w:marBottom w:val="0"/>
      <w:divBdr>
        <w:top w:val="none" w:sz="0" w:space="0" w:color="auto"/>
        <w:left w:val="none" w:sz="0" w:space="0" w:color="auto"/>
        <w:bottom w:val="none" w:sz="0" w:space="0" w:color="auto"/>
        <w:right w:val="none" w:sz="0" w:space="0" w:color="auto"/>
      </w:divBdr>
    </w:div>
    <w:div w:id="1426537872">
      <w:bodyDiv w:val="1"/>
      <w:marLeft w:val="0"/>
      <w:marRight w:val="0"/>
      <w:marTop w:val="0"/>
      <w:marBottom w:val="0"/>
      <w:divBdr>
        <w:top w:val="none" w:sz="0" w:space="0" w:color="auto"/>
        <w:left w:val="none" w:sz="0" w:space="0" w:color="auto"/>
        <w:bottom w:val="none" w:sz="0" w:space="0" w:color="auto"/>
        <w:right w:val="none" w:sz="0" w:space="0" w:color="auto"/>
      </w:divBdr>
    </w:div>
    <w:div w:id="1427069235">
      <w:bodyDiv w:val="1"/>
      <w:marLeft w:val="0"/>
      <w:marRight w:val="0"/>
      <w:marTop w:val="0"/>
      <w:marBottom w:val="0"/>
      <w:divBdr>
        <w:top w:val="none" w:sz="0" w:space="0" w:color="auto"/>
        <w:left w:val="none" w:sz="0" w:space="0" w:color="auto"/>
        <w:bottom w:val="none" w:sz="0" w:space="0" w:color="auto"/>
        <w:right w:val="none" w:sz="0" w:space="0" w:color="auto"/>
      </w:divBdr>
    </w:div>
    <w:div w:id="1427380791">
      <w:bodyDiv w:val="1"/>
      <w:marLeft w:val="0"/>
      <w:marRight w:val="0"/>
      <w:marTop w:val="0"/>
      <w:marBottom w:val="0"/>
      <w:divBdr>
        <w:top w:val="none" w:sz="0" w:space="0" w:color="auto"/>
        <w:left w:val="none" w:sz="0" w:space="0" w:color="auto"/>
        <w:bottom w:val="none" w:sz="0" w:space="0" w:color="auto"/>
        <w:right w:val="none" w:sz="0" w:space="0" w:color="auto"/>
      </w:divBdr>
    </w:div>
    <w:div w:id="1427505997">
      <w:bodyDiv w:val="1"/>
      <w:marLeft w:val="0"/>
      <w:marRight w:val="0"/>
      <w:marTop w:val="0"/>
      <w:marBottom w:val="0"/>
      <w:divBdr>
        <w:top w:val="none" w:sz="0" w:space="0" w:color="auto"/>
        <w:left w:val="none" w:sz="0" w:space="0" w:color="auto"/>
        <w:bottom w:val="none" w:sz="0" w:space="0" w:color="auto"/>
        <w:right w:val="none" w:sz="0" w:space="0" w:color="auto"/>
      </w:divBdr>
    </w:div>
    <w:div w:id="1427842279">
      <w:bodyDiv w:val="1"/>
      <w:marLeft w:val="0"/>
      <w:marRight w:val="0"/>
      <w:marTop w:val="0"/>
      <w:marBottom w:val="0"/>
      <w:divBdr>
        <w:top w:val="none" w:sz="0" w:space="0" w:color="auto"/>
        <w:left w:val="none" w:sz="0" w:space="0" w:color="auto"/>
        <w:bottom w:val="none" w:sz="0" w:space="0" w:color="auto"/>
        <w:right w:val="none" w:sz="0" w:space="0" w:color="auto"/>
      </w:divBdr>
    </w:div>
    <w:div w:id="1427846064">
      <w:bodyDiv w:val="1"/>
      <w:marLeft w:val="0"/>
      <w:marRight w:val="0"/>
      <w:marTop w:val="0"/>
      <w:marBottom w:val="0"/>
      <w:divBdr>
        <w:top w:val="none" w:sz="0" w:space="0" w:color="auto"/>
        <w:left w:val="none" w:sz="0" w:space="0" w:color="auto"/>
        <w:bottom w:val="none" w:sz="0" w:space="0" w:color="auto"/>
        <w:right w:val="none" w:sz="0" w:space="0" w:color="auto"/>
      </w:divBdr>
    </w:div>
    <w:div w:id="1427918796">
      <w:bodyDiv w:val="1"/>
      <w:marLeft w:val="0"/>
      <w:marRight w:val="0"/>
      <w:marTop w:val="0"/>
      <w:marBottom w:val="0"/>
      <w:divBdr>
        <w:top w:val="none" w:sz="0" w:space="0" w:color="auto"/>
        <w:left w:val="none" w:sz="0" w:space="0" w:color="auto"/>
        <w:bottom w:val="none" w:sz="0" w:space="0" w:color="auto"/>
        <w:right w:val="none" w:sz="0" w:space="0" w:color="auto"/>
      </w:divBdr>
    </w:div>
    <w:div w:id="1428112567">
      <w:bodyDiv w:val="1"/>
      <w:marLeft w:val="0"/>
      <w:marRight w:val="0"/>
      <w:marTop w:val="0"/>
      <w:marBottom w:val="0"/>
      <w:divBdr>
        <w:top w:val="none" w:sz="0" w:space="0" w:color="auto"/>
        <w:left w:val="none" w:sz="0" w:space="0" w:color="auto"/>
        <w:bottom w:val="none" w:sz="0" w:space="0" w:color="auto"/>
        <w:right w:val="none" w:sz="0" w:space="0" w:color="auto"/>
      </w:divBdr>
    </w:div>
    <w:div w:id="1428308744">
      <w:bodyDiv w:val="1"/>
      <w:marLeft w:val="0"/>
      <w:marRight w:val="0"/>
      <w:marTop w:val="0"/>
      <w:marBottom w:val="0"/>
      <w:divBdr>
        <w:top w:val="none" w:sz="0" w:space="0" w:color="auto"/>
        <w:left w:val="none" w:sz="0" w:space="0" w:color="auto"/>
        <w:bottom w:val="none" w:sz="0" w:space="0" w:color="auto"/>
        <w:right w:val="none" w:sz="0" w:space="0" w:color="auto"/>
      </w:divBdr>
    </w:div>
    <w:div w:id="1430000764">
      <w:bodyDiv w:val="1"/>
      <w:marLeft w:val="0"/>
      <w:marRight w:val="0"/>
      <w:marTop w:val="0"/>
      <w:marBottom w:val="0"/>
      <w:divBdr>
        <w:top w:val="none" w:sz="0" w:space="0" w:color="auto"/>
        <w:left w:val="none" w:sz="0" w:space="0" w:color="auto"/>
        <w:bottom w:val="none" w:sz="0" w:space="0" w:color="auto"/>
        <w:right w:val="none" w:sz="0" w:space="0" w:color="auto"/>
      </w:divBdr>
    </w:div>
    <w:div w:id="1430194836">
      <w:bodyDiv w:val="1"/>
      <w:marLeft w:val="0"/>
      <w:marRight w:val="0"/>
      <w:marTop w:val="0"/>
      <w:marBottom w:val="0"/>
      <w:divBdr>
        <w:top w:val="none" w:sz="0" w:space="0" w:color="auto"/>
        <w:left w:val="none" w:sz="0" w:space="0" w:color="auto"/>
        <w:bottom w:val="none" w:sz="0" w:space="0" w:color="auto"/>
        <w:right w:val="none" w:sz="0" w:space="0" w:color="auto"/>
      </w:divBdr>
    </w:div>
    <w:div w:id="1430732278">
      <w:bodyDiv w:val="1"/>
      <w:marLeft w:val="0"/>
      <w:marRight w:val="0"/>
      <w:marTop w:val="0"/>
      <w:marBottom w:val="0"/>
      <w:divBdr>
        <w:top w:val="none" w:sz="0" w:space="0" w:color="auto"/>
        <w:left w:val="none" w:sz="0" w:space="0" w:color="auto"/>
        <w:bottom w:val="none" w:sz="0" w:space="0" w:color="auto"/>
        <w:right w:val="none" w:sz="0" w:space="0" w:color="auto"/>
      </w:divBdr>
    </w:div>
    <w:div w:id="1431006557">
      <w:bodyDiv w:val="1"/>
      <w:marLeft w:val="0"/>
      <w:marRight w:val="0"/>
      <w:marTop w:val="0"/>
      <w:marBottom w:val="0"/>
      <w:divBdr>
        <w:top w:val="none" w:sz="0" w:space="0" w:color="auto"/>
        <w:left w:val="none" w:sz="0" w:space="0" w:color="auto"/>
        <w:bottom w:val="none" w:sz="0" w:space="0" w:color="auto"/>
        <w:right w:val="none" w:sz="0" w:space="0" w:color="auto"/>
      </w:divBdr>
    </w:div>
    <w:div w:id="1431463691">
      <w:bodyDiv w:val="1"/>
      <w:marLeft w:val="0"/>
      <w:marRight w:val="0"/>
      <w:marTop w:val="0"/>
      <w:marBottom w:val="0"/>
      <w:divBdr>
        <w:top w:val="none" w:sz="0" w:space="0" w:color="auto"/>
        <w:left w:val="none" w:sz="0" w:space="0" w:color="auto"/>
        <w:bottom w:val="none" w:sz="0" w:space="0" w:color="auto"/>
        <w:right w:val="none" w:sz="0" w:space="0" w:color="auto"/>
      </w:divBdr>
    </w:div>
    <w:div w:id="1431586701">
      <w:bodyDiv w:val="1"/>
      <w:marLeft w:val="0"/>
      <w:marRight w:val="0"/>
      <w:marTop w:val="0"/>
      <w:marBottom w:val="0"/>
      <w:divBdr>
        <w:top w:val="none" w:sz="0" w:space="0" w:color="auto"/>
        <w:left w:val="none" w:sz="0" w:space="0" w:color="auto"/>
        <w:bottom w:val="none" w:sz="0" w:space="0" w:color="auto"/>
        <w:right w:val="none" w:sz="0" w:space="0" w:color="auto"/>
      </w:divBdr>
    </w:div>
    <w:div w:id="1431967432">
      <w:bodyDiv w:val="1"/>
      <w:marLeft w:val="0"/>
      <w:marRight w:val="0"/>
      <w:marTop w:val="0"/>
      <w:marBottom w:val="0"/>
      <w:divBdr>
        <w:top w:val="none" w:sz="0" w:space="0" w:color="auto"/>
        <w:left w:val="none" w:sz="0" w:space="0" w:color="auto"/>
        <w:bottom w:val="none" w:sz="0" w:space="0" w:color="auto"/>
        <w:right w:val="none" w:sz="0" w:space="0" w:color="auto"/>
      </w:divBdr>
    </w:div>
    <w:div w:id="1432043761">
      <w:bodyDiv w:val="1"/>
      <w:marLeft w:val="0"/>
      <w:marRight w:val="0"/>
      <w:marTop w:val="0"/>
      <w:marBottom w:val="0"/>
      <w:divBdr>
        <w:top w:val="none" w:sz="0" w:space="0" w:color="auto"/>
        <w:left w:val="none" w:sz="0" w:space="0" w:color="auto"/>
        <w:bottom w:val="none" w:sz="0" w:space="0" w:color="auto"/>
        <w:right w:val="none" w:sz="0" w:space="0" w:color="auto"/>
      </w:divBdr>
    </w:div>
    <w:div w:id="1432360208">
      <w:bodyDiv w:val="1"/>
      <w:marLeft w:val="0"/>
      <w:marRight w:val="0"/>
      <w:marTop w:val="0"/>
      <w:marBottom w:val="0"/>
      <w:divBdr>
        <w:top w:val="none" w:sz="0" w:space="0" w:color="auto"/>
        <w:left w:val="none" w:sz="0" w:space="0" w:color="auto"/>
        <w:bottom w:val="none" w:sz="0" w:space="0" w:color="auto"/>
        <w:right w:val="none" w:sz="0" w:space="0" w:color="auto"/>
      </w:divBdr>
    </w:div>
    <w:div w:id="1432821411">
      <w:bodyDiv w:val="1"/>
      <w:marLeft w:val="0"/>
      <w:marRight w:val="0"/>
      <w:marTop w:val="0"/>
      <w:marBottom w:val="0"/>
      <w:divBdr>
        <w:top w:val="none" w:sz="0" w:space="0" w:color="auto"/>
        <w:left w:val="none" w:sz="0" w:space="0" w:color="auto"/>
        <w:bottom w:val="none" w:sz="0" w:space="0" w:color="auto"/>
        <w:right w:val="none" w:sz="0" w:space="0" w:color="auto"/>
      </w:divBdr>
    </w:div>
    <w:div w:id="1432824598">
      <w:bodyDiv w:val="1"/>
      <w:marLeft w:val="0"/>
      <w:marRight w:val="0"/>
      <w:marTop w:val="0"/>
      <w:marBottom w:val="0"/>
      <w:divBdr>
        <w:top w:val="none" w:sz="0" w:space="0" w:color="auto"/>
        <w:left w:val="none" w:sz="0" w:space="0" w:color="auto"/>
        <w:bottom w:val="none" w:sz="0" w:space="0" w:color="auto"/>
        <w:right w:val="none" w:sz="0" w:space="0" w:color="auto"/>
      </w:divBdr>
    </w:div>
    <w:div w:id="1432899221">
      <w:bodyDiv w:val="1"/>
      <w:marLeft w:val="0"/>
      <w:marRight w:val="0"/>
      <w:marTop w:val="0"/>
      <w:marBottom w:val="0"/>
      <w:divBdr>
        <w:top w:val="none" w:sz="0" w:space="0" w:color="auto"/>
        <w:left w:val="none" w:sz="0" w:space="0" w:color="auto"/>
        <w:bottom w:val="none" w:sz="0" w:space="0" w:color="auto"/>
        <w:right w:val="none" w:sz="0" w:space="0" w:color="auto"/>
      </w:divBdr>
    </w:div>
    <w:div w:id="1432969411">
      <w:bodyDiv w:val="1"/>
      <w:marLeft w:val="0"/>
      <w:marRight w:val="0"/>
      <w:marTop w:val="0"/>
      <w:marBottom w:val="0"/>
      <w:divBdr>
        <w:top w:val="none" w:sz="0" w:space="0" w:color="auto"/>
        <w:left w:val="none" w:sz="0" w:space="0" w:color="auto"/>
        <w:bottom w:val="none" w:sz="0" w:space="0" w:color="auto"/>
        <w:right w:val="none" w:sz="0" w:space="0" w:color="auto"/>
      </w:divBdr>
    </w:div>
    <w:div w:id="1433550941">
      <w:bodyDiv w:val="1"/>
      <w:marLeft w:val="0"/>
      <w:marRight w:val="0"/>
      <w:marTop w:val="0"/>
      <w:marBottom w:val="0"/>
      <w:divBdr>
        <w:top w:val="none" w:sz="0" w:space="0" w:color="auto"/>
        <w:left w:val="none" w:sz="0" w:space="0" w:color="auto"/>
        <w:bottom w:val="none" w:sz="0" w:space="0" w:color="auto"/>
        <w:right w:val="none" w:sz="0" w:space="0" w:color="auto"/>
      </w:divBdr>
    </w:div>
    <w:div w:id="1433666618">
      <w:bodyDiv w:val="1"/>
      <w:marLeft w:val="0"/>
      <w:marRight w:val="0"/>
      <w:marTop w:val="0"/>
      <w:marBottom w:val="0"/>
      <w:divBdr>
        <w:top w:val="none" w:sz="0" w:space="0" w:color="auto"/>
        <w:left w:val="none" w:sz="0" w:space="0" w:color="auto"/>
        <w:bottom w:val="none" w:sz="0" w:space="0" w:color="auto"/>
        <w:right w:val="none" w:sz="0" w:space="0" w:color="auto"/>
      </w:divBdr>
    </w:div>
    <w:div w:id="1434588910">
      <w:bodyDiv w:val="1"/>
      <w:marLeft w:val="0"/>
      <w:marRight w:val="0"/>
      <w:marTop w:val="0"/>
      <w:marBottom w:val="0"/>
      <w:divBdr>
        <w:top w:val="none" w:sz="0" w:space="0" w:color="auto"/>
        <w:left w:val="none" w:sz="0" w:space="0" w:color="auto"/>
        <w:bottom w:val="none" w:sz="0" w:space="0" w:color="auto"/>
        <w:right w:val="none" w:sz="0" w:space="0" w:color="auto"/>
      </w:divBdr>
    </w:div>
    <w:div w:id="1435638314">
      <w:bodyDiv w:val="1"/>
      <w:marLeft w:val="0"/>
      <w:marRight w:val="0"/>
      <w:marTop w:val="0"/>
      <w:marBottom w:val="0"/>
      <w:divBdr>
        <w:top w:val="none" w:sz="0" w:space="0" w:color="auto"/>
        <w:left w:val="none" w:sz="0" w:space="0" w:color="auto"/>
        <w:bottom w:val="none" w:sz="0" w:space="0" w:color="auto"/>
        <w:right w:val="none" w:sz="0" w:space="0" w:color="auto"/>
      </w:divBdr>
    </w:div>
    <w:div w:id="1436100914">
      <w:bodyDiv w:val="1"/>
      <w:marLeft w:val="0"/>
      <w:marRight w:val="0"/>
      <w:marTop w:val="0"/>
      <w:marBottom w:val="0"/>
      <w:divBdr>
        <w:top w:val="none" w:sz="0" w:space="0" w:color="auto"/>
        <w:left w:val="none" w:sz="0" w:space="0" w:color="auto"/>
        <w:bottom w:val="none" w:sz="0" w:space="0" w:color="auto"/>
        <w:right w:val="none" w:sz="0" w:space="0" w:color="auto"/>
      </w:divBdr>
    </w:div>
    <w:div w:id="1436174467">
      <w:bodyDiv w:val="1"/>
      <w:marLeft w:val="0"/>
      <w:marRight w:val="0"/>
      <w:marTop w:val="0"/>
      <w:marBottom w:val="0"/>
      <w:divBdr>
        <w:top w:val="none" w:sz="0" w:space="0" w:color="auto"/>
        <w:left w:val="none" w:sz="0" w:space="0" w:color="auto"/>
        <w:bottom w:val="none" w:sz="0" w:space="0" w:color="auto"/>
        <w:right w:val="none" w:sz="0" w:space="0" w:color="auto"/>
      </w:divBdr>
    </w:div>
    <w:div w:id="1436250110">
      <w:bodyDiv w:val="1"/>
      <w:marLeft w:val="0"/>
      <w:marRight w:val="0"/>
      <w:marTop w:val="0"/>
      <w:marBottom w:val="0"/>
      <w:divBdr>
        <w:top w:val="none" w:sz="0" w:space="0" w:color="auto"/>
        <w:left w:val="none" w:sz="0" w:space="0" w:color="auto"/>
        <w:bottom w:val="none" w:sz="0" w:space="0" w:color="auto"/>
        <w:right w:val="none" w:sz="0" w:space="0" w:color="auto"/>
      </w:divBdr>
    </w:div>
    <w:div w:id="1436360834">
      <w:bodyDiv w:val="1"/>
      <w:marLeft w:val="0"/>
      <w:marRight w:val="0"/>
      <w:marTop w:val="0"/>
      <w:marBottom w:val="0"/>
      <w:divBdr>
        <w:top w:val="none" w:sz="0" w:space="0" w:color="auto"/>
        <w:left w:val="none" w:sz="0" w:space="0" w:color="auto"/>
        <w:bottom w:val="none" w:sz="0" w:space="0" w:color="auto"/>
        <w:right w:val="none" w:sz="0" w:space="0" w:color="auto"/>
      </w:divBdr>
    </w:div>
    <w:div w:id="1437018168">
      <w:bodyDiv w:val="1"/>
      <w:marLeft w:val="0"/>
      <w:marRight w:val="0"/>
      <w:marTop w:val="0"/>
      <w:marBottom w:val="0"/>
      <w:divBdr>
        <w:top w:val="none" w:sz="0" w:space="0" w:color="auto"/>
        <w:left w:val="none" w:sz="0" w:space="0" w:color="auto"/>
        <w:bottom w:val="none" w:sz="0" w:space="0" w:color="auto"/>
        <w:right w:val="none" w:sz="0" w:space="0" w:color="auto"/>
      </w:divBdr>
    </w:div>
    <w:div w:id="1437018774">
      <w:bodyDiv w:val="1"/>
      <w:marLeft w:val="0"/>
      <w:marRight w:val="0"/>
      <w:marTop w:val="0"/>
      <w:marBottom w:val="0"/>
      <w:divBdr>
        <w:top w:val="none" w:sz="0" w:space="0" w:color="auto"/>
        <w:left w:val="none" w:sz="0" w:space="0" w:color="auto"/>
        <w:bottom w:val="none" w:sz="0" w:space="0" w:color="auto"/>
        <w:right w:val="none" w:sz="0" w:space="0" w:color="auto"/>
      </w:divBdr>
    </w:div>
    <w:div w:id="1437097138">
      <w:bodyDiv w:val="1"/>
      <w:marLeft w:val="0"/>
      <w:marRight w:val="0"/>
      <w:marTop w:val="0"/>
      <w:marBottom w:val="0"/>
      <w:divBdr>
        <w:top w:val="none" w:sz="0" w:space="0" w:color="auto"/>
        <w:left w:val="none" w:sz="0" w:space="0" w:color="auto"/>
        <w:bottom w:val="none" w:sz="0" w:space="0" w:color="auto"/>
        <w:right w:val="none" w:sz="0" w:space="0" w:color="auto"/>
      </w:divBdr>
    </w:div>
    <w:div w:id="1437363886">
      <w:bodyDiv w:val="1"/>
      <w:marLeft w:val="0"/>
      <w:marRight w:val="0"/>
      <w:marTop w:val="0"/>
      <w:marBottom w:val="0"/>
      <w:divBdr>
        <w:top w:val="none" w:sz="0" w:space="0" w:color="auto"/>
        <w:left w:val="none" w:sz="0" w:space="0" w:color="auto"/>
        <w:bottom w:val="none" w:sz="0" w:space="0" w:color="auto"/>
        <w:right w:val="none" w:sz="0" w:space="0" w:color="auto"/>
      </w:divBdr>
    </w:div>
    <w:div w:id="1437869814">
      <w:bodyDiv w:val="1"/>
      <w:marLeft w:val="0"/>
      <w:marRight w:val="0"/>
      <w:marTop w:val="0"/>
      <w:marBottom w:val="0"/>
      <w:divBdr>
        <w:top w:val="none" w:sz="0" w:space="0" w:color="auto"/>
        <w:left w:val="none" w:sz="0" w:space="0" w:color="auto"/>
        <w:bottom w:val="none" w:sz="0" w:space="0" w:color="auto"/>
        <w:right w:val="none" w:sz="0" w:space="0" w:color="auto"/>
      </w:divBdr>
    </w:div>
    <w:div w:id="1438327689">
      <w:bodyDiv w:val="1"/>
      <w:marLeft w:val="0"/>
      <w:marRight w:val="0"/>
      <w:marTop w:val="0"/>
      <w:marBottom w:val="0"/>
      <w:divBdr>
        <w:top w:val="none" w:sz="0" w:space="0" w:color="auto"/>
        <w:left w:val="none" w:sz="0" w:space="0" w:color="auto"/>
        <w:bottom w:val="none" w:sz="0" w:space="0" w:color="auto"/>
        <w:right w:val="none" w:sz="0" w:space="0" w:color="auto"/>
      </w:divBdr>
    </w:div>
    <w:div w:id="1438597997">
      <w:bodyDiv w:val="1"/>
      <w:marLeft w:val="0"/>
      <w:marRight w:val="0"/>
      <w:marTop w:val="0"/>
      <w:marBottom w:val="0"/>
      <w:divBdr>
        <w:top w:val="none" w:sz="0" w:space="0" w:color="auto"/>
        <w:left w:val="none" w:sz="0" w:space="0" w:color="auto"/>
        <w:bottom w:val="none" w:sz="0" w:space="0" w:color="auto"/>
        <w:right w:val="none" w:sz="0" w:space="0" w:color="auto"/>
      </w:divBdr>
    </w:div>
    <w:div w:id="1438792857">
      <w:bodyDiv w:val="1"/>
      <w:marLeft w:val="0"/>
      <w:marRight w:val="0"/>
      <w:marTop w:val="0"/>
      <w:marBottom w:val="0"/>
      <w:divBdr>
        <w:top w:val="none" w:sz="0" w:space="0" w:color="auto"/>
        <w:left w:val="none" w:sz="0" w:space="0" w:color="auto"/>
        <w:bottom w:val="none" w:sz="0" w:space="0" w:color="auto"/>
        <w:right w:val="none" w:sz="0" w:space="0" w:color="auto"/>
      </w:divBdr>
    </w:div>
    <w:div w:id="1438989743">
      <w:bodyDiv w:val="1"/>
      <w:marLeft w:val="0"/>
      <w:marRight w:val="0"/>
      <w:marTop w:val="0"/>
      <w:marBottom w:val="0"/>
      <w:divBdr>
        <w:top w:val="none" w:sz="0" w:space="0" w:color="auto"/>
        <w:left w:val="none" w:sz="0" w:space="0" w:color="auto"/>
        <w:bottom w:val="none" w:sz="0" w:space="0" w:color="auto"/>
        <w:right w:val="none" w:sz="0" w:space="0" w:color="auto"/>
      </w:divBdr>
    </w:div>
    <w:div w:id="1439179924">
      <w:bodyDiv w:val="1"/>
      <w:marLeft w:val="0"/>
      <w:marRight w:val="0"/>
      <w:marTop w:val="0"/>
      <w:marBottom w:val="0"/>
      <w:divBdr>
        <w:top w:val="none" w:sz="0" w:space="0" w:color="auto"/>
        <w:left w:val="none" w:sz="0" w:space="0" w:color="auto"/>
        <w:bottom w:val="none" w:sz="0" w:space="0" w:color="auto"/>
        <w:right w:val="none" w:sz="0" w:space="0" w:color="auto"/>
      </w:divBdr>
    </w:div>
    <w:div w:id="1439257964">
      <w:bodyDiv w:val="1"/>
      <w:marLeft w:val="0"/>
      <w:marRight w:val="0"/>
      <w:marTop w:val="0"/>
      <w:marBottom w:val="0"/>
      <w:divBdr>
        <w:top w:val="none" w:sz="0" w:space="0" w:color="auto"/>
        <w:left w:val="none" w:sz="0" w:space="0" w:color="auto"/>
        <w:bottom w:val="none" w:sz="0" w:space="0" w:color="auto"/>
        <w:right w:val="none" w:sz="0" w:space="0" w:color="auto"/>
      </w:divBdr>
    </w:div>
    <w:div w:id="1440225184">
      <w:bodyDiv w:val="1"/>
      <w:marLeft w:val="0"/>
      <w:marRight w:val="0"/>
      <w:marTop w:val="0"/>
      <w:marBottom w:val="0"/>
      <w:divBdr>
        <w:top w:val="none" w:sz="0" w:space="0" w:color="auto"/>
        <w:left w:val="none" w:sz="0" w:space="0" w:color="auto"/>
        <w:bottom w:val="none" w:sz="0" w:space="0" w:color="auto"/>
        <w:right w:val="none" w:sz="0" w:space="0" w:color="auto"/>
      </w:divBdr>
    </w:div>
    <w:div w:id="1440416820">
      <w:bodyDiv w:val="1"/>
      <w:marLeft w:val="0"/>
      <w:marRight w:val="0"/>
      <w:marTop w:val="0"/>
      <w:marBottom w:val="0"/>
      <w:divBdr>
        <w:top w:val="none" w:sz="0" w:space="0" w:color="auto"/>
        <w:left w:val="none" w:sz="0" w:space="0" w:color="auto"/>
        <w:bottom w:val="none" w:sz="0" w:space="0" w:color="auto"/>
        <w:right w:val="none" w:sz="0" w:space="0" w:color="auto"/>
      </w:divBdr>
    </w:div>
    <w:div w:id="1440444326">
      <w:bodyDiv w:val="1"/>
      <w:marLeft w:val="0"/>
      <w:marRight w:val="0"/>
      <w:marTop w:val="0"/>
      <w:marBottom w:val="0"/>
      <w:divBdr>
        <w:top w:val="none" w:sz="0" w:space="0" w:color="auto"/>
        <w:left w:val="none" w:sz="0" w:space="0" w:color="auto"/>
        <w:bottom w:val="none" w:sz="0" w:space="0" w:color="auto"/>
        <w:right w:val="none" w:sz="0" w:space="0" w:color="auto"/>
      </w:divBdr>
    </w:div>
    <w:div w:id="1440906570">
      <w:bodyDiv w:val="1"/>
      <w:marLeft w:val="0"/>
      <w:marRight w:val="0"/>
      <w:marTop w:val="0"/>
      <w:marBottom w:val="0"/>
      <w:divBdr>
        <w:top w:val="none" w:sz="0" w:space="0" w:color="auto"/>
        <w:left w:val="none" w:sz="0" w:space="0" w:color="auto"/>
        <w:bottom w:val="none" w:sz="0" w:space="0" w:color="auto"/>
        <w:right w:val="none" w:sz="0" w:space="0" w:color="auto"/>
      </w:divBdr>
    </w:div>
    <w:div w:id="1441686432">
      <w:bodyDiv w:val="1"/>
      <w:marLeft w:val="0"/>
      <w:marRight w:val="0"/>
      <w:marTop w:val="0"/>
      <w:marBottom w:val="0"/>
      <w:divBdr>
        <w:top w:val="none" w:sz="0" w:space="0" w:color="auto"/>
        <w:left w:val="none" w:sz="0" w:space="0" w:color="auto"/>
        <w:bottom w:val="none" w:sz="0" w:space="0" w:color="auto"/>
        <w:right w:val="none" w:sz="0" w:space="0" w:color="auto"/>
      </w:divBdr>
    </w:div>
    <w:div w:id="1441754011">
      <w:bodyDiv w:val="1"/>
      <w:marLeft w:val="0"/>
      <w:marRight w:val="0"/>
      <w:marTop w:val="0"/>
      <w:marBottom w:val="0"/>
      <w:divBdr>
        <w:top w:val="none" w:sz="0" w:space="0" w:color="auto"/>
        <w:left w:val="none" w:sz="0" w:space="0" w:color="auto"/>
        <w:bottom w:val="none" w:sz="0" w:space="0" w:color="auto"/>
        <w:right w:val="none" w:sz="0" w:space="0" w:color="auto"/>
      </w:divBdr>
    </w:div>
    <w:div w:id="1442842672">
      <w:bodyDiv w:val="1"/>
      <w:marLeft w:val="0"/>
      <w:marRight w:val="0"/>
      <w:marTop w:val="0"/>
      <w:marBottom w:val="0"/>
      <w:divBdr>
        <w:top w:val="none" w:sz="0" w:space="0" w:color="auto"/>
        <w:left w:val="none" w:sz="0" w:space="0" w:color="auto"/>
        <w:bottom w:val="none" w:sz="0" w:space="0" w:color="auto"/>
        <w:right w:val="none" w:sz="0" w:space="0" w:color="auto"/>
      </w:divBdr>
    </w:div>
    <w:div w:id="1443068446">
      <w:bodyDiv w:val="1"/>
      <w:marLeft w:val="0"/>
      <w:marRight w:val="0"/>
      <w:marTop w:val="0"/>
      <w:marBottom w:val="0"/>
      <w:divBdr>
        <w:top w:val="none" w:sz="0" w:space="0" w:color="auto"/>
        <w:left w:val="none" w:sz="0" w:space="0" w:color="auto"/>
        <w:bottom w:val="none" w:sz="0" w:space="0" w:color="auto"/>
        <w:right w:val="none" w:sz="0" w:space="0" w:color="auto"/>
      </w:divBdr>
    </w:div>
    <w:div w:id="1443069742">
      <w:bodyDiv w:val="1"/>
      <w:marLeft w:val="0"/>
      <w:marRight w:val="0"/>
      <w:marTop w:val="0"/>
      <w:marBottom w:val="0"/>
      <w:divBdr>
        <w:top w:val="none" w:sz="0" w:space="0" w:color="auto"/>
        <w:left w:val="none" w:sz="0" w:space="0" w:color="auto"/>
        <w:bottom w:val="none" w:sz="0" w:space="0" w:color="auto"/>
        <w:right w:val="none" w:sz="0" w:space="0" w:color="auto"/>
      </w:divBdr>
    </w:div>
    <w:div w:id="1443451992">
      <w:bodyDiv w:val="1"/>
      <w:marLeft w:val="0"/>
      <w:marRight w:val="0"/>
      <w:marTop w:val="0"/>
      <w:marBottom w:val="0"/>
      <w:divBdr>
        <w:top w:val="none" w:sz="0" w:space="0" w:color="auto"/>
        <w:left w:val="none" w:sz="0" w:space="0" w:color="auto"/>
        <w:bottom w:val="none" w:sz="0" w:space="0" w:color="auto"/>
        <w:right w:val="none" w:sz="0" w:space="0" w:color="auto"/>
      </w:divBdr>
    </w:div>
    <w:div w:id="1443651106">
      <w:bodyDiv w:val="1"/>
      <w:marLeft w:val="0"/>
      <w:marRight w:val="0"/>
      <w:marTop w:val="0"/>
      <w:marBottom w:val="0"/>
      <w:divBdr>
        <w:top w:val="none" w:sz="0" w:space="0" w:color="auto"/>
        <w:left w:val="none" w:sz="0" w:space="0" w:color="auto"/>
        <w:bottom w:val="none" w:sz="0" w:space="0" w:color="auto"/>
        <w:right w:val="none" w:sz="0" w:space="0" w:color="auto"/>
      </w:divBdr>
    </w:div>
    <w:div w:id="1443720914">
      <w:bodyDiv w:val="1"/>
      <w:marLeft w:val="0"/>
      <w:marRight w:val="0"/>
      <w:marTop w:val="0"/>
      <w:marBottom w:val="0"/>
      <w:divBdr>
        <w:top w:val="none" w:sz="0" w:space="0" w:color="auto"/>
        <w:left w:val="none" w:sz="0" w:space="0" w:color="auto"/>
        <w:bottom w:val="none" w:sz="0" w:space="0" w:color="auto"/>
        <w:right w:val="none" w:sz="0" w:space="0" w:color="auto"/>
      </w:divBdr>
    </w:div>
    <w:div w:id="1443767465">
      <w:bodyDiv w:val="1"/>
      <w:marLeft w:val="0"/>
      <w:marRight w:val="0"/>
      <w:marTop w:val="0"/>
      <w:marBottom w:val="0"/>
      <w:divBdr>
        <w:top w:val="none" w:sz="0" w:space="0" w:color="auto"/>
        <w:left w:val="none" w:sz="0" w:space="0" w:color="auto"/>
        <w:bottom w:val="none" w:sz="0" w:space="0" w:color="auto"/>
        <w:right w:val="none" w:sz="0" w:space="0" w:color="auto"/>
      </w:divBdr>
    </w:div>
    <w:div w:id="1443960097">
      <w:bodyDiv w:val="1"/>
      <w:marLeft w:val="0"/>
      <w:marRight w:val="0"/>
      <w:marTop w:val="0"/>
      <w:marBottom w:val="0"/>
      <w:divBdr>
        <w:top w:val="none" w:sz="0" w:space="0" w:color="auto"/>
        <w:left w:val="none" w:sz="0" w:space="0" w:color="auto"/>
        <w:bottom w:val="none" w:sz="0" w:space="0" w:color="auto"/>
        <w:right w:val="none" w:sz="0" w:space="0" w:color="auto"/>
      </w:divBdr>
    </w:div>
    <w:div w:id="1443961591">
      <w:bodyDiv w:val="1"/>
      <w:marLeft w:val="0"/>
      <w:marRight w:val="0"/>
      <w:marTop w:val="0"/>
      <w:marBottom w:val="0"/>
      <w:divBdr>
        <w:top w:val="none" w:sz="0" w:space="0" w:color="auto"/>
        <w:left w:val="none" w:sz="0" w:space="0" w:color="auto"/>
        <w:bottom w:val="none" w:sz="0" w:space="0" w:color="auto"/>
        <w:right w:val="none" w:sz="0" w:space="0" w:color="auto"/>
      </w:divBdr>
    </w:div>
    <w:div w:id="1444226478">
      <w:bodyDiv w:val="1"/>
      <w:marLeft w:val="0"/>
      <w:marRight w:val="0"/>
      <w:marTop w:val="0"/>
      <w:marBottom w:val="0"/>
      <w:divBdr>
        <w:top w:val="none" w:sz="0" w:space="0" w:color="auto"/>
        <w:left w:val="none" w:sz="0" w:space="0" w:color="auto"/>
        <w:bottom w:val="none" w:sz="0" w:space="0" w:color="auto"/>
        <w:right w:val="none" w:sz="0" w:space="0" w:color="auto"/>
      </w:divBdr>
    </w:div>
    <w:div w:id="1444616674">
      <w:bodyDiv w:val="1"/>
      <w:marLeft w:val="0"/>
      <w:marRight w:val="0"/>
      <w:marTop w:val="0"/>
      <w:marBottom w:val="0"/>
      <w:divBdr>
        <w:top w:val="none" w:sz="0" w:space="0" w:color="auto"/>
        <w:left w:val="none" w:sz="0" w:space="0" w:color="auto"/>
        <w:bottom w:val="none" w:sz="0" w:space="0" w:color="auto"/>
        <w:right w:val="none" w:sz="0" w:space="0" w:color="auto"/>
      </w:divBdr>
    </w:div>
    <w:div w:id="1444686831">
      <w:bodyDiv w:val="1"/>
      <w:marLeft w:val="0"/>
      <w:marRight w:val="0"/>
      <w:marTop w:val="0"/>
      <w:marBottom w:val="0"/>
      <w:divBdr>
        <w:top w:val="none" w:sz="0" w:space="0" w:color="auto"/>
        <w:left w:val="none" w:sz="0" w:space="0" w:color="auto"/>
        <w:bottom w:val="none" w:sz="0" w:space="0" w:color="auto"/>
        <w:right w:val="none" w:sz="0" w:space="0" w:color="auto"/>
      </w:divBdr>
    </w:div>
    <w:div w:id="1445270374">
      <w:bodyDiv w:val="1"/>
      <w:marLeft w:val="0"/>
      <w:marRight w:val="0"/>
      <w:marTop w:val="0"/>
      <w:marBottom w:val="0"/>
      <w:divBdr>
        <w:top w:val="none" w:sz="0" w:space="0" w:color="auto"/>
        <w:left w:val="none" w:sz="0" w:space="0" w:color="auto"/>
        <w:bottom w:val="none" w:sz="0" w:space="0" w:color="auto"/>
        <w:right w:val="none" w:sz="0" w:space="0" w:color="auto"/>
      </w:divBdr>
    </w:div>
    <w:div w:id="1445343524">
      <w:bodyDiv w:val="1"/>
      <w:marLeft w:val="0"/>
      <w:marRight w:val="0"/>
      <w:marTop w:val="0"/>
      <w:marBottom w:val="0"/>
      <w:divBdr>
        <w:top w:val="none" w:sz="0" w:space="0" w:color="auto"/>
        <w:left w:val="none" w:sz="0" w:space="0" w:color="auto"/>
        <w:bottom w:val="none" w:sz="0" w:space="0" w:color="auto"/>
        <w:right w:val="none" w:sz="0" w:space="0" w:color="auto"/>
      </w:divBdr>
    </w:div>
    <w:div w:id="1446073539">
      <w:bodyDiv w:val="1"/>
      <w:marLeft w:val="0"/>
      <w:marRight w:val="0"/>
      <w:marTop w:val="0"/>
      <w:marBottom w:val="0"/>
      <w:divBdr>
        <w:top w:val="none" w:sz="0" w:space="0" w:color="auto"/>
        <w:left w:val="none" w:sz="0" w:space="0" w:color="auto"/>
        <w:bottom w:val="none" w:sz="0" w:space="0" w:color="auto"/>
        <w:right w:val="none" w:sz="0" w:space="0" w:color="auto"/>
      </w:divBdr>
    </w:div>
    <w:div w:id="1446540843">
      <w:bodyDiv w:val="1"/>
      <w:marLeft w:val="0"/>
      <w:marRight w:val="0"/>
      <w:marTop w:val="0"/>
      <w:marBottom w:val="0"/>
      <w:divBdr>
        <w:top w:val="none" w:sz="0" w:space="0" w:color="auto"/>
        <w:left w:val="none" w:sz="0" w:space="0" w:color="auto"/>
        <w:bottom w:val="none" w:sz="0" w:space="0" w:color="auto"/>
        <w:right w:val="none" w:sz="0" w:space="0" w:color="auto"/>
      </w:divBdr>
    </w:div>
    <w:div w:id="1447193124">
      <w:bodyDiv w:val="1"/>
      <w:marLeft w:val="0"/>
      <w:marRight w:val="0"/>
      <w:marTop w:val="0"/>
      <w:marBottom w:val="0"/>
      <w:divBdr>
        <w:top w:val="none" w:sz="0" w:space="0" w:color="auto"/>
        <w:left w:val="none" w:sz="0" w:space="0" w:color="auto"/>
        <w:bottom w:val="none" w:sz="0" w:space="0" w:color="auto"/>
        <w:right w:val="none" w:sz="0" w:space="0" w:color="auto"/>
      </w:divBdr>
    </w:div>
    <w:div w:id="1447232367">
      <w:bodyDiv w:val="1"/>
      <w:marLeft w:val="0"/>
      <w:marRight w:val="0"/>
      <w:marTop w:val="0"/>
      <w:marBottom w:val="0"/>
      <w:divBdr>
        <w:top w:val="none" w:sz="0" w:space="0" w:color="auto"/>
        <w:left w:val="none" w:sz="0" w:space="0" w:color="auto"/>
        <w:bottom w:val="none" w:sz="0" w:space="0" w:color="auto"/>
        <w:right w:val="none" w:sz="0" w:space="0" w:color="auto"/>
      </w:divBdr>
    </w:div>
    <w:div w:id="1447233601">
      <w:bodyDiv w:val="1"/>
      <w:marLeft w:val="0"/>
      <w:marRight w:val="0"/>
      <w:marTop w:val="0"/>
      <w:marBottom w:val="0"/>
      <w:divBdr>
        <w:top w:val="none" w:sz="0" w:space="0" w:color="auto"/>
        <w:left w:val="none" w:sz="0" w:space="0" w:color="auto"/>
        <w:bottom w:val="none" w:sz="0" w:space="0" w:color="auto"/>
        <w:right w:val="none" w:sz="0" w:space="0" w:color="auto"/>
      </w:divBdr>
    </w:div>
    <w:div w:id="1447692792">
      <w:bodyDiv w:val="1"/>
      <w:marLeft w:val="0"/>
      <w:marRight w:val="0"/>
      <w:marTop w:val="0"/>
      <w:marBottom w:val="0"/>
      <w:divBdr>
        <w:top w:val="none" w:sz="0" w:space="0" w:color="auto"/>
        <w:left w:val="none" w:sz="0" w:space="0" w:color="auto"/>
        <w:bottom w:val="none" w:sz="0" w:space="0" w:color="auto"/>
        <w:right w:val="none" w:sz="0" w:space="0" w:color="auto"/>
      </w:divBdr>
    </w:div>
    <w:div w:id="1448159477">
      <w:bodyDiv w:val="1"/>
      <w:marLeft w:val="0"/>
      <w:marRight w:val="0"/>
      <w:marTop w:val="0"/>
      <w:marBottom w:val="0"/>
      <w:divBdr>
        <w:top w:val="none" w:sz="0" w:space="0" w:color="auto"/>
        <w:left w:val="none" w:sz="0" w:space="0" w:color="auto"/>
        <w:bottom w:val="none" w:sz="0" w:space="0" w:color="auto"/>
        <w:right w:val="none" w:sz="0" w:space="0" w:color="auto"/>
      </w:divBdr>
    </w:div>
    <w:div w:id="1448233334">
      <w:bodyDiv w:val="1"/>
      <w:marLeft w:val="0"/>
      <w:marRight w:val="0"/>
      <w:marTop w:val="0"/>
      <w:marBottom w:val="0"/>
      <w:divBdr>
        <w:top w:val="none" w:sz="0" w:space="0" w:color="auto"/>
        <w:left w:val="none" w:sz="0" w:space="0" w:color="auto"/>
        <w:bottom w:val="none" w:sz="0" w:space="0" w:color="auto"/>
        <w:right w:val="none" w:sz="0" w:space="0" w:color="auto"/>
      </w:divBdr>
    </w:div>
    <w:div w:id="1448937724">
      <w:bodyDiv w:val="1"/>
      <w:marLeft w:val="0"/>
      <w:marRight w:val="0"/>
      <w:marTop w:val="0"/>
      <w:marBottom w:val="0"/>
      <w:divBdr>
        <w:top w:val="none" w:sz="0" w:space="0" w:color="auto"/>
        <w:left w:val="none" w:sz="0" w:space="0" w:color="auto"/>
        <w:bottom w:val="none" w:sz="0" w:space="0" w:color="auto"/>
        <w:right w:val="none" w:sz="0" w:space="0" w:color="auto"/>
      </w:divBdr>
    </w:div>
    <w:div w:id="1449662912">
      <w:bodyDiv w:val="1"/>
      <w:marLeft w:val="0"/>
      <w:marRight w:val="0"/>
      <w:marTop w:val="0"/>
      <w:marBottom w:val="0"/>
      <w:divBdr>
        <w:top w:val="none" w:sz="0" w:space="0" w:color="auto"/>
        <w:left w:val="none" w:sz="0" w:space="0" w:color="auto"/>
        <w:bottom w:val="none" w:sz="0" w:space="0" w:color="auto"/>
        <w:right w:val="none" w:sz="0" w:space="0" w:color="auto"/>
      </w:divBdr>
    </w:div>
    <w:div w:id="1450199994">
      <w:bodyDiv w:val="1"/>
      <w:marLeft w:val="0"/>
      <w:marRight w:val="0"/>
      <w:marTop w:val="0"/>
      <w:marBottom w:val="0"/>
      <w:divBdr>
        <w:top w:val="none" w:sz="0" w:space="0" w:color="auto"/>
        <w:left w:val="none" w:sz="0" w:space="0" w:color="auto"/>
        <w:bottom w:val="none" w:sz="0" w:space="0" w:color="auto"/>
        <w:right w:val="none" w:sz="0" w:space="0" w:color="auto"/>
      </w:divBdr>
    </w:div>
    <w:div w:id="1450708924">
      <w:bodyDiv w:val="1"/>
      <w:marLeft w:val="0"/>
      <w:marRight w:val="0"/>
      <w:marTop w:val="0"/>
      <w:marBottom w:val="0"/>
      <w:divBdr>
        <w:top w:val="none" w:sz="0" w:space="0" w:color="auto"/>
        <w:left w:val="none" w:sz="0" w:space="0" w:color="auto"/>
        <w:bottom w:val="none" w:sz="0" w:space="0" w:color="auto"/>
        <w:right w:val="none" w:sz="0" w:space="0" w:color="auto"/>
      </w:divBdr>
    </w:div>
    <w:div w:id="1450784534">
      <w:bodyDiv w:val="1"/>
      <w:marLeft w:val="0"/>
      <w:marRight w:val="0"/>
      <w:marTop w:val="0"/>
      <w:marBottom w:val="0"/>
      <w:divBdr>
        <w:top w:val="none" w:sz="0" w:space="0" w:color="auto"/>
        <w:left w:val="none" w:sz="0" w:space="0" w:color="auto"/>
        <w:bottom w:val="none" w:sz="0" w:space="0" w:color="auto"/>
        <w:right w:val="none" w:sz="0" w:space="0" w:color="auto"/>
      </w:divBdr>
    </w:div>
    <w:div w:id="1451440791">
      <w:bodyDiv w:val="1"/>
      <w:marLeft w:val="0"/>
      <w:marRight w:val="0"/>
      <w:marTop w:val="0"/>
      <w:marBottom w:val="0"/>
      <w:divBdr>
        <w:top w:val="none" w:sz="0" w:space="0" w:color="auto"/>
        <w:left w:val="none" w:sz="0" w:space="0" w:color="auto"/>
        <w:bottom w:val="none" w:sz="0" w:space="0" w:color="auto"/>
        <w:right w:val="none" w:sz="0" w:space="0" w:color="auto"/>
      </w:divBdr>
    </w:div>
    <w:div w:id="1452086414">
      <w:bodyDiv w:val="1"/>
      <w:marLeft w:val="0"/>
      <w:marRight w:val="0"/>
      <w:marTop w:val="0"/>
      <w:marBottom w:val="0"/>
      <w:divBdr>
        <w:top w:val="none" w:sz="0" w:space="0" w:color="auto"/>
        <w:left w:val="none" w:sz="0" w:space="0" w:color="auto"/>
        <w:bottom w:val="none" w:sz="0" w:space="0" w:color="auto"/>
        <w:right w:val="none" w:sz="0" w:space="0" w:color="auto"/>
      </w:divBdr>
    </w:div>
    <w:div w:id="1452475124">
      <w:bodyDiv w:val="1"/>
      <w:marLeft w:val="0"/>
      <w:marRight w:val="0"/>
      <w:marTop w:val="0"/>
      <w:marBottom w:val="0"/>
      <w:divBdr>
        <w:top w:val="none" w:sz="0" w:space="0" w:color="auto"/>
        <w:left w:val="none" w:sz="0" w:space="0" w:color="auto"/>
        <w:bottom w:val="none" w:sz="0" w:space="0" w:color="auto"/>
        <w:right w:val="none" w:sz="0" w:space="0" w:color="auto"/>
      </w:divBdr>
    </w:div>
    <w:div w:id="1454128369">
      <w:bodyDiv w:val="1"/>
      <w:marLeft w:val="0"/>
      <w:marRight w:val="0"/>
      <w:marTop w:val="0"/>
      <w:marBottom w:val="0"/>
      <w:divBdr>
        <w:top w:val="none" w:sz="0" w:space="0" w:color="auto"/>
        <w:left w:val="none" w:sz="0" w:space="0" w:color="auto"/>
        <w:bottom w:val="none" w:sz="0" w:space="0" w:color="auto"/>
        <w:right w:val="none" w:sz="0" w:space="0" w:color="auto"/>
      </w:divBdr>
    </w:div>
    <w:div w:id="1454792283">
      <w:bodyDiv w:val="1"/>
      <w:marLeft w:val="0"/>
      <w:marRight w:val="0"/>
      <w:marTop w:val="0"/>
      <w:marBottom w:val="0"/>
      <w:divBdr>
        <w:top w:val="none" w:sz="0" w:space="0" w:color="auto"/>
        <w:left w:val="none" w:sz="0" w:space="0" w:color="auto"/>
        <w:bottom w:val="none" w:sz="0" w:space="0" w:color="auto"/>
        <w:right w:val="none" w:sz="0" w:space="0" w:color="auto"/>
      </w:divBdr>
    </w:div>
    <w:div w:id="1455253705">
      <w:bodyDiv w:val="1"/>
      <w:marLeft w:val="0"/>
      <w:marRight w:val="0"/>
      <w:marTop w:val="0"/>
      <w:marBottom w:val="0"/>
      <w:divBdr>
        <w:top w:val="none" w:sz="0" w:space="0" w:color="auto"/>
        <w:left w:val="none" w:sz="0" w:space="0" w:color="auto"/>
        <w:bottom w:val="none" w:sz="0" w:space="0" w:color="auto"/>
        <w:right w:val="none" w:sz="0" w:space="0" w:color="auto"/>
      </w:divBdr>
    </w:div>
    <w:div w:id="1455366990">
      <w:bodyDiv w:val="1"/>
      <w:marLeft w:val="0"/>
      <w:marRight w:val="0"/>
      <w:marTop w:val="0"/>
      <w:marBottom w:val="0"/>
      <w:divBdr>
        <w:top w:val="none" w:sz="0" w:space="0" w:color="auto"/>
        <w:left w:val="none" w:sz="0" w:space="0" w:color="auto"/>
        <w:bottom w:val="none" w:sz="0" w:space="0" w:color="auto"/>
        <w:right w:val="none" w:sz="0" w:space="0" w:color="auto"/>
      </w:divBdr>
    </w:div>
    <w:div w:id="1455440558">
      <w:bodyDiv w:val="1"/>
      <w:marLeft w:val="0"/>
      <w:marRight w:val="0"/>
      <w:marTop w:val="0"/>
      <w:marBottom w:val="0"/>
      <w:divBdr>
        <w:top w:val="none" w:sz="0" w:space="0" w:color="auto"/>
        <w:left w:val="none" w:sz="0" w:space="0" w:color="auto"/>
        <w:bottom w:val="none" w:sz="0" w:space="0" w:color="auto"/>
        <w:right w:val="none" w:sz="0" w:space="0" w:color="auto"/>
      </w:divBdr>
    </w:div>
    <w:div w:id="1456870835">
      <w:bodyDiv w:val="1"/>
      <w:marLeft w:val="0"/>
      <w:marRight w:val="0"/>
      <w:marTop w:val="0"/>
      <w:marBottom w:val="0"/>
      <w:divBdr>
        <w:top w:val="none" w:sz="0" w:space="0" w:color="auto"/>
        <w:left w:val="none" w:sz="0" w:space="0" w:color="auto"/>
        <w:bottom w:val="none" w:sz="0" w:space="0" w:color="auto"/>
        <w:right w:val="none" w:sz="0" w:space="0" w:color="auto"/>
      </w:divBdr>
    </w:div>
    <w:div w:id="1457873768">
      <w:bodyDiv w:val="1"/>
      <w:marLeft w:val="0"/>
      <w:marRight w:val="0"/>
      <w:marTop w:val="0"/>
      <w:marBottom w:val="0"/>
      <w:divBdr>
        <w:top w:val="none" w:sz="0" w:space="0" w:color="auto"/>
        <w:left w:val="none" w:sz="0" w:space="0" w:color="auto"/>
        <w:bottom w:val="none" w:sz="0" w:space="0" w:color="auto"/>
        <w:right w:val="none" w:sz="0" w:space="0" w:color="auto"/>
      </w:divBdr>
    </w:div>
    <w:div w:id="1458063647">
      <w:bodyDiv w:val="1"/>
      <w:marLeft w:val="0"/>
      <w:marRight w:val="0"/>
      <w:marTop w:val="0"/>
      <w:marBottom w:val="0"/>
      <w:divBdr>
        <w:top w:val="none" w:sz="0" w:space="0" w:color="auto"/>
        <w:left w:val="none" w:sz="0" w:space="0" w:color="auto"/>
        <w:bottom w:val="none" w:sz="0" w:space="0" w:color="auto"/>
        <w:right w:val="none" w:sz="0" w:space="0" w:color="auto"/>
      </w:divBdr>
    </w:div>
    <w:div w:id="1458646669">
      <w:bodyDiv w:val="1"/>
      <w:marLeft w:val="0"/>
      <w:marRight w:val="0"/>
      <w:marTop w:val="0"/>
      <w:marBottom w:val="0"/>
      <w:divBdr>
        <w:top w:val="none" w:sz="0" w:space="0" w:color="auto"/>
        <w:left w:val="none" w:sz="0" w:space="0" w:color="auto"/>
        <w:bottom w:val="none" w:sz="0" w:space="0" w:color="auto"/>
        <w:right w:val="none" w:sz="0" w:space="0" w:color="auto"/>
      </w:divBdr>
    </w:div>
    <w:div w:id="1459034562">
      <w:bodyDiv w:val="1"/>
      <w:marLeft w:val="0"/>
      <w:marRight w:val="0"/>
      <w:marTop w:val="0"/>
      <w:marBottom w:val="0"/>
      <w:divBdr>
        <w:top w:val="none" w:sz="0" w:space="0" w:color="auto"/>
        <w:left w:val="none" w:sz="0" w:space="0" w:color="auto"/>
        <w:bottom w:val="none" w:sz="0" w:space="0" w:color="auto"/>
        <w:right w:val="none" w:sz="0" w:space="0" w:color="auto"/>
      </w:divBdr>
    </w:div>
    <w:div w:id="1459495171">
      <w:bodyDiv w:val="1"/>
      <w:marLeft w:val="0"/>
      <w:marRight w:val="0"/>
      <w:marTop w:val="0"/>
      <w:marBottom w:val="0"/>
      <w:divBdr>
        <w:top w:val="none" w:sz="0" w:space="0" w:color="auto"/>
        <w:left w:val="none" w:sz="0" w:space="0" w:color="auto"/>
        <w:bottom w:val="none" w:sz="0" w:space="0" w:color="auto"/>
        <w:right w:val="none" w:sz="0" w:space="0" w:color="auto"/>
      </w:divBdr>
    </w:div>
    <w:div w:id="1459762781">
      <w:bodyDiv w:val="1"/>
      <w:marLeft w:val="0"/>
      <w:marRight w:val="0"/>
      <w:marTop w:val="0"/>
      <w:marBottom w:val="0"/>
      <w:divBdr>
        <w:top w:val="none" w:sz="0" w:space="0" w:color="auto"/>
        <w:left w:val="none" w:sz="0" w:space="0" w:color="auto"/>
        <w:bottom w:val="none" w:sz="0" w:space="0" w:color="auto"/>
        <w:right w:val="none" w:sz="0" w:space="0" w:color="auto"/>
      </w:divBdr>
    </w:div>
    <w:div w:id="1460148087">
      <w:bodyDiv w:val="1"/>
      <w:marLeft w:val="0"/>
      <w:marRight w:val="0"/>
      <w:marTop w:val="0"/>
      <w:marBottom w:val="0"/>
      <w:divBdr>
        <w:top w:val="none" w:sz="0" w:space="0" w:color="auto"/>
        <w:left w:val="none" w:sz="0" w:space="0" w:color="auto"/>
        <w:bottom w:val="none" w:sz="0" w:space="0" w:color="auto"/>
        <w:right w:val="none" w:sz="0" w:space="0" w:color="auto"/>
      </w:divBdr>
    </w:div>
    <w:div w:id="1460564175">
      <w:bodyDiv w:val="1"/>
      <w:marLeft w:val="0"/>
      <w:marRight w:val="0"/>
      <w:marTop w:val="0"/>
      <w:marBottom w:val="0"/>
      <w:divBdr>
        <w:top w:val="none" w:sz="0" w:space="0" w:color="auto"/>
        <w:left w:val="none" w:sz="0" w:space="0" w:color="auto"/>
        <w:bottom w:val="none" w:sz="0" w:space="0" w:color="auto"/>
        <w:right w:val="none" w:sz="0" w:space="0" w:color="auto"/>
      </w:divBdr>
    </w:div>
    <w:div w:id="1460802051">
      <w:bodyDiv w:val="1"/>
      <w:marLeft w:val="0"/>
      <w:marRight w:val="0"/>
      <w:marTop w:val="0"/>
      <w:marBottom w:val="0"/>
      <w:divBdr>
        <w:top w:val="none" w:sz="0" w:space="0" w:color="auto"/>
        <w:left w:val="none" w:sz="0" w:space="0" w:color="auto"/>
        <w:bottom w:val="none" w:sz="0" w:space="0" w:color="auto"/>
        <w:right w:val="none" w:sz="0" w:space="0" w:color="auto"/>
      </w:divBdr>
    </w:div>
    <w:div w:id="1461026322">
      <w:bodyDiv w:val="1"/>
      <w:marLeft w:val="0"/>
      <w:marRight w:val="0"/>
      <w:marTop w:val="0"/>
      <w:marBottom w:val="0"/>
      <w:divBdr>
        <w:top w:val="none" w:sz="0" w:space="0" w:color="auto"/>
        <w:left w:val="none" w:sz="0" w:space="0" w:color="auto"/>
        <w:bottom w:val="none" w:sz="0" w:space="0" w:color="auto"/>
        <w:right w:val="none" w:sz="0" w:space="0" w:color="auto"/>
      </w:divBdr>
    </w:div>
    <w:div w:id="1461414851">
      <w:bodyDiv w:val="1"/>
      <w:marLeft w:val="0"/>
      <w:marRight w:val="0"/>
      <w:marTop w:val="0"/>
      <w:marBottom w:val="0"/>
      <w:divBdr>
        <w:top w:val="none" w:sz="0" w:space="0" w:color="auto"/>
        <w:left w:val="none" w:sz="0" w:space="0" w:color="auto"/>
        <w:bottom w:val="none" w:sz="0" w:space="0" w:color="auto"/>
        <w:right w:val="none" w:sz="0" w:space="0" w:color="auto"/>
      </w:divBdr>
    </w:div>
    <w:div w:id="1461462724">
      <w:bodyDiv w:val="1"/>
      <w:marLeft w:val="0"/>
      <w:marRight w:val="0"/>
      <w:marTop w:val="0"/>
      <w:marBottom w:val="0"/>
      <w:divBdr>
        <w:top w:val="none" w:sz="0" w:space="0" w:color="auto"/>
        <w:left w:val="none" w:sz="0" w:space="0" w:color="auto"/>
        <w:bottom w:val="none" w:sz="0" w:space="0" w:color="auto"/>
        <w:right w:val="none" w:sz="0" w:space="0" w:color="auto"/>
      </w:divBdr>
    </w:div>
    <w:div w:id="1461722367">
      <w:bodyDiv w:val="1"/>
      <w:marLeft w:val="0"/>
      <w:marRight w:val="0"/>
      <w:marTop w:val="0"/>
      <w:marBottom w:val="0"/>
      <w:divBdr>
        <w:top w:val="none" w:sz="0" w:space="0" w:color="auto"/>
        <w:left w:val="none" w:sz="0" w:space="0" w:color="auto"/>
        <w:bottom w:val="none" w:sz="0" w:space="0" w:color="auto"/>
        <w:right w:val="none" w:sz="0" w:space="0" w:color="auto"/>
      </w:divBdr>
    </w:div>
    <w:div w:id="1461801552">
      <w:bodyDiv w:val="1"/>
      <w:marLeft w:val="0"/>
      <w:marRight w:val="0"/>
      <w:marTop w:val="0"/>
      <w:marBottom w:val="0"/>
      <w:divBdr>
        <w:top w:val="none" w:sz="0" w:space="0" w:color="auto"/>
        <w:left w:val="none" w:sz="0" w:space="0" w:color="auto"/>
        <w:bottom w:val="none" w:sz="0" w:space="0" w:color="auto"/>
        <w:right w:val="none" w:sz="0" w:space="0" w:color="auto"/>
      </w:divBdr>
    </w:div>
    <w:div w:id="1461804982">
      <w:bodyDiv w:val="1"/>
      <w:marLeft w:val="0"/>
      <w:marRight w:val="0"/>
      <w:marTop w:val="0"/>
      <w:marBottom w:val="0"/>
      <w:divBdr>
        <w:top w:val="none" w:sz="0" w:space="0" w:color="auto"/>
        <w:left w:val="none" w:sz="0" w:space="0" w:color="auto"/>
        <w:bottom w:val="none" w:sz="0" w:space="0" w:color="auto"/>
        <w:right w:val="none" w:sz="0" w:space="0" w:color="auto"/>
      </w:divBdr>
    </w:div>
    <w:div w:id="1461999024">
      <w:bodyDiv w:val="1"/>
      <w:marLeft w:val="0"/>
      <w:marRight w:val="0"/>
      <w:marTop w:val="0"/>
      <w:marBottom w:val="0"/>
      <w:divBdr>
        <w:top w:val="none" w:sz="0" w:space="0" w:color="auto"/>
        <w:left w:val="none" w:sz="0" w:space="0" w:color="auto"/>
        <w:bottom w:val="none" w:sz="0" w:space="0" w:color="auto"/>
        <w:right w:val="none" w:sz="0" w:space="0" w:color="auto"/>
      </w:divBdr>
    </w:div>
    <w:div w:id="1462264977">
      <w:bodyDiv w:val="1"/>
      <w:marLeft w:val="0"/>
      <w:marRight w:val="0"/>
      <w:marTop w:val="0"/>
      <w:marBottom w:val="0"/>
      <w:divBdr>
        <w:top w:val="none" w:sz="0" w:space="0" w:color="auto"/>
        <w:left w:val="none" w:sz="0" w:space="0" w:color="auto"/>
        <w:bottom w:val="none" w:sz="0" w:space="0" w:color="auto"/>
        <w:right w:val="none" w:sz="0" w:space="0" w:color="auto"/>
      </w:divBdr>
    </w:div>
    <w:div w:id="1462842364">
      <w:bodyDiv w:val="1"/>
      <w:marLeft w:val="0"/>
      <w:marRight w:val="0"/>
      <w:marTop w:val="0"/>
      <w:marBottom w:val="0"/>
      <w:divBdr>
        <w:top w:val="none" w:sz="0" w:space="0" w:color="auto"/>
        <w:left w:val="none" w:sz="0" w:space="0" w:color="auto"/>
        <w:bottom w:val="none" w:sz="0" w:space="0" w:color="auto"/>
        <w:right w:val="none" w:sz="0" w:space="0" w:color="auto"/>
      </w:divBdr>
    </w:div>
    <w:div w:id="1462846446">
      <w:bodyDiv w:val="1"/>
      <w:marLeft w:val="0"/>
      <w:marRight w:val="0"/>
      <w:marTop w:val="0"/>
      <w:marBottom w:val="0"/>
      <w:divBdr>
        <w:top w:val="none" w:sz="0" w:space="0" w:color="auto"/>
        <w:left w:val="none" w:sz="0" w:space="0" w:color="auto"/>
        <w:bottom w:val="none" w:sz="0" w:space="0" w:color="auto"/>
        <w:right w:val="none" w:sz="0" w:space="0" w:color="auto"/>
      </w:divBdr>
    </w:div>
    <w:div w:id="1463035334">
      <w:bodyDiv w:val="1"/>
      <w:marLeft w:val="0"/>
      <w:marRight w:val="0"/>
      <w:marTop w:val="0"/>
      <w:marBottom w:val="0"/>
      <w:divBdr>
        <w:top w:val="none" w:sz="0" w:space="0" w:color="auto"/>
        <w:left w:val="none" w:sz="0" w:space="0" w:color="auto"/>
        <w:bottom w:val="none" w:sz="0" w:space="0" w:color="auto"/>
        <w:right w:val="none" w:sz="0" w:space="0" w:color="auto"/>
      </w:divBdr>
    </w:div>
    <w:div w:id="1463496462">
      <w:bodyDiv w:val="1"/>
      <w:marLeft w:val="0"/>
      <w:marRight w:val="0"/>
      <w:marTop w:val="0"/>
      <w:marBottom w:val="0"/>
      <w:divBdr>
        <w:top w:val="none" w:sz="0" w:space="0" w:color="auto"/>
        <w:left w:val="none" w:sz="0" w:space="0" w:color="auto"/>
        <w:bottom w:val="none" w:sz="0" w:space="0" w:color="auto"/>
        <w:right w:val="none" w:sz="0" w:space="0" w:color="auto"/>
      </w:divBdr>
    </w:div>
    <w:div w:id="1463615595">
      <w:bodyDiv w:val="1"/>
      <w:marLeft w:val="0"/>
      <w:marRight w:val="0"/>
      <w:marTop w:val="0"/>
      <w:marBottom w:val="0"/>
      <w:divBdr>
        <w:top w:val="none" w:sz="0" w:space="0" w:color="auto"/>
        <w:left w:val="none" w:sz="0" w:space="0" w:color="auto"/>
        <w:bottom w:val="none" w:sz="0" w:space="0" w:color="auto"/>
        <w:right w:val="none" w:sz="0" w:space="0" w:color="auto"/>
      </w:divBdr>
    </w:div>
    <w:div w:id="1463767165">
      <w:bodyDiv w:val="1"/>
      <w:marLeft w:val="0"/>
      <w:marRight w:val="0"/>
      <w:marTop w:val="0"/>
      <w:marBottom w:val="0"/>
      <w:divBdr>
        <w:top w:val="none" w:sz="0" w:space="0" w:color="auto"/>
        <w:left w:val="none" w:sz="0" w:space="0" w:color="auto"/>
        <w:bottom w:val="none" w:sz="0" w:space="0" w:color="auto"/>
        <w:right w:val="none" w:sz="0" w:space="0" w:color="auto"/>
      </w:divBdr>
    </w:div>
    <w:div w:id="1463813630">
      <w:bodyDiv w:val="1"/>
      <w:marLeft w:val="0"/>
      <w:marRight w:val="0"/>
      <w:marTop w:val="0"/>
      <w:marBottom w:val="0"/>
      <w:divBdr>
        <w:top w:val="none" w:sz="0" w:space="0" w:color="auto"/>
        <w:left w:val="none" w:sz="0" w:space="0" w:color="auto"/>
        <w:bottom w:val="none" w:sz="0" w:space="0" w:color="auto"/>
        <w:right w:val="none" w:sz="0" w:space="0" w:color="auto"/>
      </w:divBdr>
    </w:div>
    <w:div w:id="1463961729">
      <w:bodyDiv w:val="1"/>
      <w:marLeft w:val="0"/>
      <w:marRight w:val="0"/>
      <w:marTop w:val="0"/>
      <w:marBottom w:val="0"/>
      <w:divBdr>
        <w:top w:val="none" w:sz="0" w:space="0" w:color="auto"/>
        <w:left w:val="none" w:sz="0" w:space="0" w:color="auto"/>
        <w:bottom w:val="none" w:sz="0" w:space="0" w:color="auto"/>
        <w:right w:val="none" w:sz="0" w:space="0" w:color="auto"/>
      </w:divBdr>
    </w:div>
    <w:div w:id="1464427055">
      <w:bodyDiv w:val="1"/>
      <w:marLeft w:val="0"/>
      <w:marRight w:val="0"/>
      <w:marTop w:val="0"/>
      <w:marBottom w:val="0"/>
      <w:divBdr>
        <w:top w:val="none" w:sz="0" w:space="0" w:color="auto"/>
        <w:left w:val="none" w:sz="0" w:space="0" w:color="auto"/>
        <w:bottom w:val="none" w:sz="0" w:space="0" w:color="auto"/>
        <w:right w:val="none" w:sz="0" w:space="0" w:color="auto"/>
      </w:divBdr>
    </w:div>
    <w:div w:id="1464499349">
      <w:bodyDiv w:val="1"/>
      <w:marLeft w:val="0"/>
      <w:marRight w:val="0"/>
      <w:marTop w:val="0"/>
      <w:marBottom w:val="0"/>
      <w:divBdr>
        <w:top w:val="none" w:sz="0" w:space="0" w:color="auto"/>
        <w:left w:val="none" w:sz="0" w:space="0" w:color="auto"/>
        <w:bottom w:val="none" w:sz="0" w:space="0" w:color="auto"/>
        <w:right w:val="none" w:sz="0" w:space="0" w:color="auto"/>
      </w:divBdr>
    </w:div>
    <w:div w:id="1465078707">
      <w:bodyDiv w:val="1"/>
      <w:marLeft w:val="0"/>
      <w:marRight w:val="0"/>
      <w:marTop w:val="0"/>
      <w:marBottom w:val="0"/>
      <w:divBdr>
        <w:top w:val="none" w:sz="0" w:space="0" w:color="auto"/>
        <w:left w:val="none" w:sz="0" w:space="0" w:color="auto"/>
        <w:bottom w:val="none" w:sz="0" w:space="0" w:color="auto"/>
        <w:right w:val="none" w:sz="0" w:space="0" w:color="auto"/>
      </w:divBdr>
    </w:div>
    <w:div w:id="1465538279">
      <w:bodyDiv w:val="1"/>
      <w:marLeft w:val="0"/>
      <w:marRight w:val="0"/>
      <w:marTop w:val="0"/>
      <w:marBottom w:val="0"/>
      <w:divBdr>
        <w:top w:val="none" w:sz="0" w:space="0" w:color="auto"/>
        <w:left w:val="none" w:sz="0" w:space="0" w:color="auto"/>
        <w:bottom w:val="none" w:sz="0" w:space="0" w:color="auto"/>
        <w:right w:val="none" w:sz="0" w:space="0" w:color="auto"/>
      </w:divBdr>
    </w:div>
    <w:div w:id="1466313467">
      <w:bodyDiv w:val="1"/>
      <w:marLeft w:val="0"/>
      <w:marRight w:val="0"/>
      <w:marTop w:val="0"/>
      <w:marBottom w:val="0"/>
      <w:divBdr>
        <w:top w:val="none" w:sz="0" w:space="0" w:color="auto"/>
        <w:left w:val="none" w:sz="0" w:space="0" w:color="auto"/>
        <w:bottom w:val="none" w:sz="0" w:space="0" w:color="auto"/>
        <w:right w:val="none" w:sz="0" w:space="0" w:color="auto"/>
      </w:divBdr>
    </w:div>
    <w:div w:id="1466852788">
      <w:bodyDiv w:val="1"/>
      <w:marLeft w:val="0"/>
      <w:marRight w:val="0"/>
      <w:marTop w:val="0"/>
      <w:marBottom w:val="0"/>
      <w:divBdr>
        <w:top w:val="none" w:sz="0" w:space="0" w:color="auto"/>
        <w:left w:val="none" w:sz="0" w:space="0" w:color="auto"/>
        <w:bottom w:val="none" w:sz="0" w:space="0" w:color="auto"/>
        <w:right w:val="none" w:sz="0" w:space="0" w:color="auto"/>
      </w:divBdr>
    </w:div>
    <w:div w:id="1467312782">
      <w:bodyDiv w:val="1"/>
      <w:marLeft w:val="0"/>
      <w:marRight w:val="0"/>
      <w:marTop w:val="0"/>
      <w:marBottom w:val="0"/>
      <w:divBdr>
        <w:top w:val="none" w:sz="0" w:space="0" w:color="auto"/>
        <w:left w:val="none" w:sz="0" w:space="0" w:color="auto"/>
        <w:bottom w:val="none" w:sz="0" w:space="0" w:color="auto"/>
        <w:right w:val="none" w:sz="0" w:space="0" w:color="auto"/>
      </w:divBdr>
    </w:div>
    <w:div w:id="1467313538">
      <w:bodyDiv w:val="1"/>
      <w:marLeft w:val="0"/>
      <w:marRight w:val="0"/>
      <w:marTop w:val="0"/>
      <w:marBottom w:val="0"/>
      <w:divBdr>
        <w:top w:val="none" w:sz="0" w:space="0" w:color="auto"/>
        <w:left w:val="none" w:sz="0" w:space="0" w:color="auto"/>
        <w:bottom w:val="none" w:sz="0" w:space="0" w:color="auto"/>
        <w:right w:val="none" w:sz="0" w:space="0" w:color="auto"/>
      </w:divBdr>
    </w:div>
    <w:div w:id="1467434616">
      <w:bodyDiv w:val="1"/>
      <w:marLeft w:val="0"/>
      <w:marRight w:val="0"/>
      <w:marTop w:val="0"/>
      <w:marBottom w:val="0"/>
      <w:divBdr>
        <w:top w:val="none" w:sz="0" w:space="0" w:color="auto"/>
        <w:left w:val="none" w:sz="0" w:space="0" w:color="auto"/>
        <w:bottom w:val="none" w:sz="0" w:space="0" w:color="auto"/>
        <w:right w:val="none" w:sz="0" w:space="0" w:color="auto"/>
      </w:divBdr>
    </w:div>
    <w:div w:id="1467621909">
      <w:bodyDiv w:val="1"/>
      <w:marLeft w:val="0"/>
      <w:marRight w:val="0"/>
      <w:marTop w:val="0"/>
      <w:marBottom w:val="0"/>
      <w:divBdr>
        <w:top w:val="none" w:sz="0" w:space="0" w:color="auto"/>
        <w:left w:val="none" w:sz="0" w:space="0" w:color="auto"/>
        <w:bottom w:val="none" w:sz="0" w:space="0" w:color="auto"/>
        <w:right w:val="none" w:sz="0" w:space="0" w:color="auto"/>
      </w:divBdr>
    </w:div>
    <w:div w:id="1467893955">
      <w:bodyDiv w:val="1"/>
      <w:marLeft w:val="0"/>
      <w:marRight w:val="0"/>
      <w:marTop w:val="0"/>
      <w:marBottom w:val="0"/>
      <w:divBdr>
        <w:top w:val="none" w:sz="0" w:space="0" w:color="auto"/>
        <w:left w:val="none" w:sz="0" w:space="0" w:color="auto"/>
        <w:bottom w:val="none" w:sz="0" w:space="0" w:color="auto"/>
        <w:right w:val="none" w:sz="0" w:space="0" w:color="auto"/>
      </w:divBdr>
    </w:div>
    <w:div w:id="1468014064">
      <w:bodyDiv w:val="1"/>
      <w:marLeft w:val="0"/>
      <w:marRight w:val="0"/>
      <w:marTop w:val="0"/>
      <w:marBottom w:val="0"/>
      <w:divBdr>
        <w:top w:val="none" w:sz="0" w:space="0" w:color="auto"/>
        <w:left w:val="none" w:sz="0" w:space="0" w:color="auto"/>
        <w:bottom w:val="none" w:sz="0" w:space="0" w:color="auto"/>
        <w:right w:val="none" w:sz="0" w:space="0" w:color="auto"/>
      </w:divBdr>
    </w:div>
    <w:div w:id="1469009072">
      <w:bodyDiv w:val="1"/>
      <w:marLeft w:val="0"/>
      <w:marRight w:val="0"/>
      <w:marTop w:val="0"/>
      <w:marBottom w:val="0"/>
      <w:divBdr>
        <w:top w:val="none" w:sz="0" w:space="0" w:color="auto"/>
        <w:left w:val="none" w:sz="0" w:space="0" w:color="auto"/>
        <w:bottom w:val="none" w:sz="0" w:space="0" w:color="auto"/>
        <w:right w:val="none" w:sz="0" w:space="0" w:color="auto"/>
      </w:divBdr>
    </w:div>
    <w:div w:id="1469662134">
      <w:bodyDiv w:val="1"/>
      <w:marLeft w:val="0"/>
      <w:marRight w:val="0"/>
      <w:marTop w:val="0"/>
      <w:marBottom w:val="0"/>
      <w:divBdr>
        <w:top w:val="none" w:sz="0" w:space="0" w:color="auto"/>
        <w:left w:val="none" w:sz="0" w:space="0" w:color="auto"/>
        <w:bottom w:val="none" w:sz="0" w:space="0" w:color="auto"/>
        <w:right w:val="none" w:sz="0" w:space="0" w:color="auto"/>
      </w:divBdr>
    </w:div>
    <w:div w:id="1470318632">
      <w:bodyDiv w:val="1"/>
      <w:marLeft w:val="0"/>
      <w:marRight w:val="0"/>
      <w:marTop w:val="0"/>
      <w:marBottom w:val="0"/>
      <w:divBdr>
        <w:top w:val="none" w:sz="0" w:space="0" w:color="auto"/>
        <w:left w:val="none" w:sz="0" w:space="0" w:color="auto"/>
        <w:bottom w:val="none" w:sz="0" w:space="0" w:color="auto"/>
        <w:right w:val="none" w:sz="0" w:space="0" w:color="auto"/>
      </w:divBdr>
    </w:div>
    <w:div w:id="1470391694">
      <w:bodyDiv w:val="1"/>
      <w:marLeft w:val="0"/>
      <w:marRight w:val="0"/>
      <w:marTop w:val="0"/>
      <w:marBottom w:val="0"/>
      <w:divBdr>
        <w:top w:val="none" w:sz="0" w:space="0" w:color="auto"/>
        <w:left w:val="none" w:sz="0" w:space="0" w:color="auto"/>
        <w:bottom w:val="none" w:sz="0" w:space="0" w:color="auto"/>
        <w:right w:val="none" w:sz="0" w:space="0" w:color="auto"/>
      </w:divBdr>
    </w:div>
    <w:div w:id="1471245887">
      <w:bodyDiv w:val="1"/>
      <w:marLeft w:val="0"/>
      <w:marRight w:val="0"/>
      <w:marTop w:val="0"/>
      <w:marBottom w:val="0"/>
      <w:divBdr>
        <w:top w:val="none" w:sz="0" w:space="0" w:color="auto"/>
        <w:left w:val="none" w:sz="0" w:space="0" w:color="auto"/>
        <w:bottom w:val="none" w:sz="0" w:space="0" w:color="auto"/>
        <w:right w:val="none" w:sz="0" w:space="0" w:color="auto"/>
      </w:divBdr>
    </w:div>
    <w:div w:id="1471627069">
      <w:bodyDiv w:val="1"/>
      <w:marLeft w:val="0"/>
      <w:marRight w:val="0"/>
      <w:marTop w:val="0"/>
      <w:marBottom w:val="0"/>
      <w:divBdr>
        <w:top w:val="none" w:sz="0" w:space="0" w:color="auto"/>
        <w:left w:val="none" w:sz="0" w:space="0" w:color="auto"/>
        <w:bottom w:val="none" w:sz="0" w:space="0" w:color="auto"/>
        <w:right w:val="none" w:sz="0" w:space="0" w:color="auto"/>
      </w:divBdr>
    </w:div>
    <w:div w:id="1471820356">
      <w:bodyDiv w:val="1"/>
      <w:marLeft w:val="0"/>
      <w:marRight w:val="0"/>
      <w:marTop w:val="0"/>
      <w:marBottom w:val="0"/>
      <w:divBdr>
        <w:top w:val="none" w:sz="0" w:space="0" w:color="auto"/>
        <w:left w:val="none" w:sz="0" w:space="0" w:color="auto"/>
        <w:bottom w:val="none" w:sz="0" w:space="0" w:color="auto"/>
        <w:right w:val="none" w:sz="0" w:space="0" w:color="auto"/>
      </w:divBdr>
    </w:div>
    <w:div w:id="1472090814">
      <w:bodyDiv w:val="1"/>
      <w:marLeft w:val="0"/>
      <w:marRight w:val="0"/>
      <w:marTop w:val="0"/>
      <w:marBottom w:val="0"/>
      <w:divBdr>
        <w:top w:val="none" w:sz="0" w:space="0" w:color="auto"/>
        <w:left w:val="none" w:sz="0" w:space="0" w:color="auto"/>
        <w:bottom w:val="none" w:sz="0" w:space="0" w:color="auto"/>
        <w:right w:val="none" w:sz="0" w:space="0" w:color="auto"/>
      </w:divBdr>
    </w:div>
    <w:div w:id="1472165694">
      <w:bodyDiv w:val="1"/>
      <w:marLeft w:val="0"/>
      <w:marRight w:val="0"/>
      <w:marTop w:val="0"/>
      <w:marBottom w:val="0"/>
      <w:divBdr>
        <w:top w:val="none" w:sz="0" w:space="0" w:color="auto"/>
        <w:left w:val="none" w:sz="0" w:space="0" w:color="auto"/>
        <w:bottom w:val="none" w:sz="0" w:space="0" w:color="auto"/>
        <w:right w:val="none" w:sz="0" w:space="0" w:color="auto"/>
      </w:divBdr>
    </w:div>
    <w:div w:id="1472404279">
      <w:bodyDiv w:val="1"/>
      <w:marLeft w:val="0"/>
      <w:marRight w:val="0"/>
      <w:marTop w:val="0"/>
      <w:marBottom w:val="0"/>
      <w:divBdr>
        <w:top w:val="none" w:sz="0" w:space="0" w:color="auto"/>
        <w:left w:val="none" w:sz="0" w:space="0" w:color="auto"/>
        <w:bottom w:val="none" w:sz="0" w:space="0" w:color="auto"/>
        <w:right w:val="none" w:sz="0" w:space="0" w:color="auto"/>
      </w:divBdr>
    </w:div>
    <w:div w:id="1472752099">
      <w:bodyDiv w:val="1"/>
      <w:marLeft w:val="0"/>
      <w:marRight w:val="0"/>
      <w:marTop w:val="0"/>
      <w:marBottom w:val="0"/>
      <w:divBdr>
        <w:top w:val="none" w:sz="0" w:space="0" w:color="auto"/>
        <w:left w:val="none" w:sz="0" w:space="0" w:color="auto"/>
        <w:bottom w:val="none" w:sz="0" w:space="0" w:color="auto"/>
        <w:right w:val="none" w:sz="0" w:space="0" w:color="auto"/>
      </w:divBdr>
    </w:div>
    <w:div w:id="1473667836">
      <w:bodyDiv w:val="1"/>
      <w:marLeft w:val="0"/>
      <w:marRight w:val="0"/>
      <w:marTop w:val="0"/>
      <w:marBottom w:val="0"/>
      <w:divBdr>
        <w:top w:val="none" w:sz="0" w:space="0" w:color="auto"/>
        <w:left w:val="none" w:sz="0" w:space="0" w:color="auto"/>
        <w:bottom w:val="none" w:sz="0" w:space="0" w:color="auto"/>
        <w:right w:val="none" w:sz="0" w:space="0" w:color="auto"/>
      </w:divBdr>
    </w:div>
    <w:div w:id="1474635593">
      <w:bodyDiv w:val="1"/>
      <w:marLeft w:val="0"/>
      <w:marRight w:val="0"/>
      <w:marTop w:val="0"/>
      <w:marBottom w:val="0"/>
      <w:divBdr>
        <w:top w:val="none" w:sz="0" w:space="0" w:color="auto"/>
        <w:left w:val="none" w:sz="0" w:space="0" w:color="auto"/>
        <w:bottom w:val="none" w:sz="0" w:space="0" w:color="auto"/>
        <w:right w:val="none" w:sz="0" w:space="0" w:color="auto"/>
      </w:divBdr>
    </w:div>
    <w:div w:id="1474953616">
      <w:bodyDiv w:val="1"/>
      <w:marLeft w:val="0"/>
      <w:marRight w:val="0"/>
      <w:marTop w:val="0"/>
      <w:marBottom w:val="0"/>
      <w:divBdr>
        <w:top w:val="none" w:sz="0" w:space="0" w:color="auto"/>
        <w:left w:val="none" w:sz="0" w:space="0" w:color="auto"/>
        <w:bottom w:val="none" w:sz="0" w:space="0" w:color="auto"/>
        <w:right w:val="none" w:sz="0" w:space="0" w:color="auto"/>
      </w:divBdr>
    </w:div>
    <w:div w:id="1475022821">
      <w:bodyDiv w:val="1"/>
      <w:marLeft w:val="0"/>
      <w:marRight w:val="0"/>
      <w:marTop w:val="0"/>
      <w:marBottom w:val="0"/>
      <w:divBdr>
        <w:top w:val="none" w:sz="0" w:space="0" w:color="auto"/>
        <w:left w:val="none" w:sz="0" w:space="0" w:color="auto"/>
        <w:bottom w:val="none" w:sz="0" w:space="0" w:color="auto"/>
        <w:right w:val="none" w:sz="0" w:space="0" w:color="auto"/>
      </w:divBdr>
    </w:div>
    <w:div w:id="1475492325">
      <w:bodyDiv w:val="1"/>
      <w:marLeft w:val="0"/>
      <w:marRight w:val="0"/>
      <w:marTop w:val="0"/>
      <w:marBottom w:val="0"/>
      <w:divBdr>
        <w:top w:val="none" w:sz="0" w:space="0" w:color="auto"/>
        <w:left w:val="none" w:sz="0" w:space="0" w:color="auto"/>
        <w:bottom w:val="none" w:sz="0" w:space="0" w:color="auto"/>
        <w:right w:val="none" w:sz="0" w:space="0" w:color="auto"/>
      </w:divBdr>
    </w:div>
    <w:div w:id="1477336313">
      <w:bodyDiv w:val="1"/>
      <w:marLeft w:val="0"/>
      <w:marRight w:val="0"/>
      <w:marTop w:val="0"/>
      <w:marBottom w:val="0"/>
      <w:divBdr>
        <w:top w:val="none" w:sz="0" w:space="0" w:color="auto"/>
        <w:left w:val="none" w:sz="0" w:space="0" w:color="auto"/>
        <w:bottom w:val="none" w:sz="0" w:space="0" w:color="auto"/>
        <w:right w:val="none" w:sz="0" w:space="0" w:color="auto"/>
      </w:divBdr>
    </w:div>
    <w:div w:id="1477339146">
      <w:bodyDiv w:val="1"/>
      <w:marLeft w:val="0"/>
      <w:marRight w:val="0"/>
      <w:marTop w:val="0"/>
      <w:marBottom w:val="0"/>
      <w:divBdr>
        <w:top w:val="none" w:sz="0" w:space="0" w:color="auto"/>
        <w:left w:val="none" w:sz="0" w:space="0" w:color="auto"/>
        <w:bottom w:val="none" w:sz="0" w:space="0" w:color="auto"/>
        <w:right w:val="none" w:sz="0" w:space="0" w:color="auto"/>
      </w:divBdr>
    </w:div>
    <w:div w:id="1477527476">
      <w:bodyDiv w:val="1"/>
      <w:marLeft w:val="0"/>
      <w:marRight w:val="0"/>
      <w:marTop w:val="0"/>
      <w:marBottom w:val="0"/>
      <w:divBdr>
        <w:top w:val="none" w:sz="0" w:space="0" w:color="auto"/>
        <w:left w:val="none" w:sz="0" w:space="0" w:color="auto"/>
        <w:bottom w:val="none" w:sz="0" w:space="0" w:color="auto"/>
        <w:right w:val="none" w:sz="0" w:space="0" w:color="auto"/>
      </w:divBdr>
    </w:div>
    <w:div w:id="1477649586">
      <w:bodyDiv w:val="1"/>
      <w:marLeft w:val="0"/>
      <w:marRight w:val="0"/>
      <w:marTop w:val="0"/>
      <w:marBottom w:val="0"/>
      <w:divBdr>
        <w:top w:val="none" w:sz="0" w:space="0" w:color="auto"/>
        <w:left w:val="none" w:sz="0" w:space="0" w:color="auto"/>
        <w:bottom w:val="none" w:sz="0" w:space="0" w:color="auto"/>
        <w:right w:val="none" w:sz="0" w:space="0" w:color="auto"/>
      </w:divBdr>
    </w:div>
    <w:div w:id="1477719898">
      <w:bodyDiv w:val="1"/>
      <w:marLeft w:val="0"/>
      <w:marRight w:val="0"/>
      <w:marTop w:val="0"/>
      <w:marBottom w:val="0"/>
      <w:divBdr>
        <w:top w:val="none" w:sz="0" w:space="0" w:color="auto"/>
        <w:left w:val="none" w:sz="0" w:space="0" w:color="auto"/>
        <w:bottom w:val="none" w:sz="0" w:space="0" w:color="auto"/>
        <w:right w:val="none" w:sz="0" w:space="0" w:color="auto"/>
      </w:divBdr>
    </w:div>
    <w:div w:id="1478379256">
      <w:bodyDiv w:val="1"/>
      <w:marLeft w:val="0"/>
      <w:marRight w:val="0"/>
      <w:marTop w:val="0"/>
      <w:marBottom w:val="0"/>
      <w:divBdr>
        <w:top w:val="none" w:sz="0" w:space="0" w:color="auto"/>
        <w:left w:val="none" w:sz="0" w:space="0" w:color="auto"/>
        <w:bottom w:val="none" w:sz="0" w:space="0" w:color="auto"/>
        <w:right w:val="none" w:sz="0" w:space="0" w:color="auto"/>
      </w:divBdr>
    </w:div>
    <w:div w:id="1478643709">
      <w:bodyDiv w:val="1"/>
      <w:marLeft w:val="0"/>
      <w:marRight w:val="0"/>
      <w:marTop w:val="0"/>
      <w:marBottom w:val="0"/>
      <w:divBdr>
        <w:top w:val="none" w:sz="0" w:space="0" w:color="auto"/>
        <w:left w:val="none" w:sz="0" w:space="0" w:color="auto"/>
        <w:bottom w:val="none" w:sz="0" w:space="0" w:color="auto"/>
        <w:right w:val="none" w:sz="0" w:space="0" w:color="auto"/>
      </w:divBdr>
    </w:div>
    <w:div w:id="1479299070">
      <w:bodyDiv w:val="1"/>
      <w:marLeft w:val="0"/>
      <w:marRight w:val="0"/>
      <w:marTop w:val="0"/>
      <w:marBottom w:val="0"/>
      <w:divBdr>
        <w:top w:val="none" w:sz="0" w:space="0" w:color="auto"/>
        <w:left w:val="none" w:sz="0" w:space="0" w:color="auto"/>
        <w:bottom w:val="none" w:sz="0" w:space="0" w:color="auto"/>
        <w:right w:val="none" w:sz="0" w:space="0" w:color="auto"/>
      </w:divBdr>
    </w:div>
    <w:div w:id="1479541278">
      <w:bodyDiv w:val="1"/>
      <w:marLeft w:val="0"/>
      <w:marRight w:val="0"/>
      <w:marTop w:val="0"/>
      <w:marBottom w:val="0"/>
      <w:divBdr>
        <w:top w:val="none" w:sz="0" w:space="0" w:color="auto"/>
        <w:left w:val="none" w:sz="0" w:space="0" w:color="auto"/>
        <w:bottom w:val="none" w:sz="0" w:space="0" w:color="auto"/>
        <w:right w:val="none" w:sz="0" w:space="0" w:color="auto"/>
      </w:divBdr>
    </w:div>
    <w:div w:id="1479690305">
      <w:bodyDiv w:val="1"/>
      <w:marLeft w:val="0"/>
      <w:marRight w:val="0"/>
      <w:marTop w:val="0"/>
      <w:marBottom w:val="0"/>
      <w:divBdr>
        <w:top w:val="none" w:sz="0" w:space="0" w:color="auto"/>
        <w:left w:val="none" w:sz="0" w:space="0" w:color="auto"/>
        <w:bottom w:val="none" w:sz="0" w:space="0" w:color="auto"/>
        <w:right w:val="none" w:sz="0" w:space="0" w:color="auto"/>
      </w:divBdr>
    </w:div>
    <w:div w:id="1479762510">
      <w:bodyDiv w:val="1"/>
      <w:marLeft w:val="0"/>
      <w:marRight w:val="0"/>
      <w:marTop w:val="0"/>
      <w:marBottom w:val="0"/>
      <w:divBdr>
        <w:top w:val="none" w:sz="0" w:space="0" w:color="auto"/>
        <w:left w:val="none" w:sz="0" w:space="0" w:color="auto"/>
        <w:bottom w:val="none" w:sz="0" w:space="0" w:color="auto"/>
        <w:right w:val="none" w:sz="0" w:space="0" w:color="auto"/>
      </w:divBdr>
    </w:div>
    <w:div w:id="1480220775">
      <w:bodyDiv w:val="1"/>
      <w:marLeft w:val="0"/>
      <w:marRight w:val="0"/>
      <w:marTop w:val="0"/>
      <w:marBottom w:val="0"/>
      <w:divBdr>
        <w:top w:val="none" w:sz="0" w:space="0" w:color="auto"/>
        <w:left w:val="none" w:sz="0" w:space="0" w:color="auto"/>
        <w:bottom w:val="none" w:sz="0" w:space="0" w:color="auto"/>
        <w:right w:val="none" w:sz="0" w:space="0" w:color="auto"/>
      </w:divBdr>
    </w:div>
    <w:div w:id="1480414385">
      <w:bodyDiv w:val="1"/>
      <w:marLeft w:val="0"/>
      <w:marRight w:val="0"/>
      <w:marTop w:val="0"/>
      <w:marBottom w:val="0"/>
      <w:divBdr>
        <w:top w:val="none" w:sz="0" w:space="0" w:color="auto"/>
        <w:left w:val="none" w:sz="0" w:space="0" w:color="auto"/>
        <w:bottom w:val="none" w:sz="0" w:space="0" w:color="auto"/>
        <w:right w:val="none" w:sz="0" w:space="0" w:color="auto"/>
      </w:divBdr>
    </w:div>
    <w:div w:id="1480687297">
      <w:bodyDiv w:val="1"/>
      <w:marLeft w:val="0"/>
      <w:marRight w:val="0"/>
      <w:marTop w:val="0"/>
      <w:marBottom w:val="0"/>
      <w:divBdr>
        <w:top w:val="none" w:sz="0" w:space="0" w:color="auto"/>
        <w:left w:val="none" w:sz="0" w:space="0" w:color="auto"/>
        <w:bottom w:val="none" w:sz="0" w:space="0" w:color="auto"/>
        <w:right w:val="none" w:sz="0" w:space="0" w:color="auto"/>
      </w:divBdr>
    </w:div>
    <w:div w:id="1481580655">
      <w:bodyDiv w:val="1"/>
      <w:marLeft w:val="0"/>
      <w:marRight w:val="0"/>
      <w:marTop w:val="0"/>
      <w:marBottom w:val="0"/>
      <w:divBdr>
        <w:top w:val="none" w:sz="0" w:space="0" w:color="auto"/>
        <w:left w:val="none" w:sz="0" w:space="0" w:color="auto"/>
        <w:bottom w:val="none" w:sz="0" w:space="0" w:color="auto"/>
        <w:right w:val="none" w:sz="0" w:space="0" w:color="auto"/>
      </w:divBdr>
    </w:div>
    <w:div w:id="1481658275">
      <w:bodyDiv w:val="1"/>
      <w:marLeft w:val="0"/>
      <w:marRight w:val="0"/>
      <w:marTop w:val="0"/>
      <w:marBottom w:val="0"/>
      <w:divBdr>
        <w:top w:val="none" w:sz="0" w:space="0" w:color="auto"/>
        <w:left w:val="none" w:sz="0" w:space="0" w:color="auto"/>
        <w:bottom w:val="none" w:sz="0" w:space="0" w:color="auto"/>
        <w:right w:val="none" w:sz="0" w:space="0" w:color="auto"/>
      </w:divBdr>
    </w:div>
    <w:div w:id="1481994331">
      <w:bodyDiv w:val="1"/>
      <w:marLeft w:val="0"/>
      <w:marRight w:val="0"/>
      <w:marTop w:val="0"/>
      <w:marBottom w:val="0"/>
      <w:divBdr>
        <w:top w:val="none" w:sz="0" w:space="0" w:color="auto"/>
        <w:left w:val="none" w:sz="0" w:space="0" w:color="auto"/>
        <w:bottom w:val="none" w:sz="0" w:space="0" w:color="auto"/>
        <w:right w:val="none" w:sz="0" w:space="0" w:color="auto"/>
      </w:divBdr>
    </w:div>
    <w:div w:id="1482304499">
      <w:bodyDiv w:val="1"/>
      <w:marLeft w:val="0"/>
      <w:marRight w:val="0"/>
      <w:marTop w:val="0"/>
      <w:marBottom w:val="0"/>
      <w:divBdr>
        <w:top w:val="none" w:sz="0" w:space="0" w:color="auto"/>
        <w:left w:val="none" w:sz="0" w:space="0" w:color="auto"/>
        <w:bottom w:val="none" w:sz="0" w:space="0" w:color="auto"/>
        <w:right w:val="none" w:sz="0" w:space="0" w:color="auto"/>
      </w:divBdr>
    </w:div>
    <w:div w:id="1482305580">
      <w:bodyDiv w:val="1"/>
      <w:marLeft w:val="0"/>
      <w:marRight w:val="0"/>
      <w:marTop w:val="0"/>
      <w:marBottom w:val="0"/>
      <w:divBdr>
        <w:top w:val="none" w:sz="0" w:space="0" w:color="auto"/>
        <w:left w:val="none" w:sz="0" w:space="0" w:color="auto"/>
        <w:bottom w:val="none" w:sz="0" w:space="0" w:color="auto"/>
        <w:right w:val="none" w:sz="0" w:space="0" w:color="auto"/>
      </w:divBdr>
    </w:div>
    <w:div w:id="1482960038">
      <w:bodyDiv w:val="1"/>
      <w:marLeft w:val="0"/>
      <w:marRight w:val="0"/>
      <w:marTop w:val="0"/>
      <w:marBottom w:val="0"/>
      <w:divBdr>
        <w:top w:val="none" w:sz="0" w:space="0" w:color="auto"/>
        <w:left w:val="none" w:sz="0" w:space="0" w:color="auto"/>
        <w:bottom w:val="none" w:sz="0" w:space="0" w:color="auto"/>
        <w:right w:val="none" w:sz="0" w:space="0" w:color="auto"/>
      </w:divBdr>
    </w:div>
    <w:div w:id="1482965344">
      <w:bodyDiv w:val="1"/>
      <w:marLeft w:val="0"/>
      <w:marRight w:val="0"/>
      <w:marTop w:val="0"/>
      <w:marBottom w:val="0"/>
      <w:divBdr>
        <w:top w:val="none" w:sz="0" w:space="0" w:color="auto"/>
        <w:left w:val="none" w:sz="0" w:space="0" w:color="auto"/>
        <w:bottom w:val="none" w:sz="0" w:space="0" w:color="auto"/>
        <w:right w:val="none" w:sz="0" w:space="0" w:color="auto"/>
      </w:divBdr>
    </w:div>
    <w:div w:id="1483035145">
      <w:bodyDiv w:val="1"/>
      <w:marLeft w:val="0"/>
      <w:marRight w:val="0"/>
      <w:marTop w:val="0"/>
      <w:marBottom w:val="0"/>
      <w:divBdr>
        <w:top w:val="none" w:sz="0" w:space="0" w:color="auto"/>
        <w:left w:val="none" w:sz="0" w:space="0" w:color="auto"/>
        <w:bottom w:val="none" w:sz="0" w:space="0" w:color="auto"/>
        <w:right w:val="none" w:sz="0" w:space="0" w:color="auto"/>
      </w:divBdr>
    </w:div>
    <w:div w:id="1483159607">
      <w:bodyDiv w:val="1"/>
      <w:marLeft w:val="0"/>
      <w:marRight w:val="0"/>
      <w:marTop w:val="0"/>
      <w:marBottom w:val="0"/>
      <w:divBdr>
        <w:top w:val="none" w:sz="0" w:space="0" w:color="auto"/>
        <w:left w:val="none" w:sz="0" w:space="0" w:color="auto"/>
        <w:bottom w:val="none" w:sz="0" w:space="0" w:color="auto"/>
        <w:right w:val="none" w:sz="0" w:space="0" w:color="auto"/>
      </w:divBdr>
    </w:div>
    <w:div w:id="1483540497">
      <w:bodyDiv w:val="1"/>
      <w:marLeft w:val="0"/>
      <w:marRight w:val="0"/>
      <w:marTop w:val="0"/>
      <w:marBottom w:val="0"/>
      <w:divBdr>
        <w:top w:val="none" w:sz="0" w:space="0" w:color="auto"/>
        <w:left w:val="none" w:sz="0" w:space="0" w:color="auto"/>
        <w:bottom w:val="none" w:sz="0" w:space="0" w:color="auto"/>
        <w:right w:val="none" w:sz="0" w:space="0" w:color="auto"/>
      </w:divBdr>
    </w:div>
    <w:div w:id="1483814114">
      <w:bodyDiv w:val="1"/>
      <w:marLeft w:val="0"/>
      <w:marRight w:val="0"/>
      <w:marTop w:val="0"/>
      <w:marBottom w:val="0"/>
      <w:divBdr>
        <w:top w:val="none" w:sz="0" w:space="0" w:color="auto"/>
        <w:left w:val="none" w:sz="0" w:space="0" w:color="auto"/>
        <w:bottom w:val="none" w:sz="0" w:space="0" w:color="auto"/>
        <w:right w:val="none" w:sz="0" w:space="0" w:color="auto"/>
      </w:divBdr>
    </w:div>
    <w:div w:id="1483884039">
      <w:bodyDiv w:val="1"/>
      <w:marLeft w:val="0"/>
      <w:marRight w:val="0"/>
      <w:marTop w:val="0"/>
      <w:marBottom w:val="0"/>
      <w:divBdr>
        <w:top w:val="none" w:sz="0" w:space="0" w:color="auto"/>
        <w:left w:val="none" w:sz="0" w:space="0" w:color="auto"/>
        <w:bottom w:val="none" w:sz="0" w:space="0" w:color="auto"/>
        <w:right w:val="none" w:sz="0" w:space="0" w:color="auto"/>
      </w:divBdr>
    </w:div>
    <w:div w:id="1484927509">
      <w:bodyDiv w:val="1"/>
      <w:marLeft w:val="0"/>
      <w:marRight w:val="0"/>
      <w:marTop w:val="0"/>
      <w:marBottom w:val="0"/>
      <w:divBdr>
        <w:top w:val="none" w:sz="0" w:space="0" w:color="auto"/>
        <w:left w:val="none" w:sz="0" w:space="0" w:color="auto"/>
        <w:bottom w:val="none" w:sz="0" w:space="0" w:color="auto"/>
        <w:right w:val="none" w:sz="0" w:space="0" w:color="auto"/>
      </w:divBdr>
    </w:div>
    <w:div w:id="1485314822">
      <w:bodyDiv w:val="1"/>
      <w:marLeft w:val="0"/>
      <w:marRight w:val="0"/>
      <w:marTop w:val="0"/>
      <w:marBottom w:val="0"/>
      <w:divBdr>
        <w:top w:val="none" w:sz="0" w:space="0" w:color="auto"/>
        <w:left w:val="none" w:sz="0" w:space="0" w:color="auto"/>
        <w:bottom w:val="none" w:sz="0" w:space="0" w:color="auto"/>
        <w:right w:val="none" w:sz="0" w:space="0" w:color="auto"/>
      </w:divBdr>
    </w:div>
    <w:div w:id="1485586541">
      <w:bodyDiv w:val="1"/>
      <w:marLeft w:val="0"/>
      <w:marRight w:val="0"/>
      <w:marTop w:val="0"/>
      <w:marBottom w:val="0"/>
      <w:divBdr>
        <w:top w:val="none" w:sz="0" w:space="0" w:color="auto"/>
        <w:left w:val="none" w:sz="0" w:space="0" w:color="auto"/>
        <w:bottom w:val="none" w:sz="0" w:space="0" w:color="auto"/>
        <w:right w:val="none" w:sz="0" w:space="0" w:color="auto"/>
      </w:divBdr>
    </w:div>
    <w:div w:id="1485849830">
      <w:bodyDiv w:val="1"/>
      <w:marLeft w:val="0"/>
      <w:marRight w:val="0"/>
      <w:marTop w:val="0"/>
      <w:marBottom w:val="0"/>
      <w:divBdr>
        <w:top w:val="none" w:sz="0" w:space="0" w:color="auto"/>
        <w:left w:val="none" w:sz="0" w:space="0" w:color="auto"/>
        <w:bottom w:val="none" w:sz="0" w:space="0" w:color="auto"/>
        <w:right w:val="none" w:sz="0" w:space="0" w:color="auto"/>
      </w:divBdr>
    </w:div>
    <w:div w:id="1485976394">
      <w:bodyDiv w:val="1"/>
      <w:marLeft w:val="0"/>
      <w:marRight w:val="0"/>
      <w:marTop w:val="0"/>
      <w:marBottom w:val="0"/>
      <w:divBdr>
        <w:top w:val="none" w:sz="0" w:space="0" w:color="auto"/>
        <w:left w:val="none" w:sz="0" w:space="0" w:color="auto"/>
        <w:bottom w:val="none" w:sz="0" w:space="0" w:color="auto"/>
        <w:right w:val="none" w:sz="0" w:space="0" w:color="auto"/>
      </w:divBdr>
    </w:div>
    <w:div w:id="1486706482">
      <w:bodyDiv w:val="1"/>
      <w:marLeft w:val="0"/>
      <w:marRight w:val="0"/>
      <w:marTop w:val="0"/>
      <w:marBottom w:val="0"/>
      <w:divBdr>
        <w:top w:val="none" w:sz="0" w:space="0" w:color="auto"/>
        <w:left w:val="none" w:sz="0" w:space="0" w:color="auto"/>
        <w:bottom w:val="none" w:sz="0" w:space="0" w:color="auto"/>
        <w:right w:val="none" w:sz="0" w:space="0" w:color="auto"/>
      </w:divBdr>
    </w:div>
    <w:div w:id="1486893451">
      <w:bodyDiv w:val="1"/>
      <w:marLeft w:val="0"/>
      <w:marRight w:val="0"/>
      <w:marTop w:val="0"/>
      <w:marBottom w:val="0"/>
      <w:divBdr>
        <w:top w:val="none" w:sz="0" w:space="0" w:color="auto"/>
        <w:left w:val="none" w:sz="0" w:space="0" w:color="auto"/>
        <w:bottom w:val="none" w:sz="0" w:space="0" w:color="auto"/>
        <w:right w:val="none" w:sz="0" w:space="0" w:color="auto"/>
      </w:divBdr>
    </w:div>
    <w:div w:id="1486973204">
      <w:bodyDiv w:val="1"/>
      <w:marLeft w:val="0"/>
      <w:marRight w:val="0"/>
      <w:marTop w:val="0"/>
      <w:marBottom w:val="0"/>
      <w:divBdr>
        <w:top w:val="none" w:sz="0" w:space="0" w:color="auto"/>
        <w:left w:val="none" w:sz="0" w:space="0" w:color="auto"/>
        <w:bottom w:val="none" w:sz="0" w:space="0" w:color="auto"/>
        <w:right w:val="none" w:sz="0" w:space="0" w:color="auto"/>
      </w:divBdr>
    </w:div>
    <w:div w:id="1487088024">
      <w:bodyDiv w:val="1"/>
      <w:marLeft w:val="0"/>
      <w:marRight w:val="0"/>
      <w:marTop w:val="0"/>
      <w:marBottom w:val="0"/>
      <w:divBdr>
        <w:top w:val="none" w:sz="0" w:space="0" w:color="auto"/>
        <w:left w:val="none" w:sz="0" w:space="0" w:color="auto"/>
        <w:bottom w:val="none" w:sz="0" w:space="0" w:color="auto"/>
        <w:right w:val="none" w:sz="0" w:space="0" w:color="auto"/>
      </w:divBdr>
    </w:div>
    <w:div w:id="1488132863">
      <w:bodyDiv w:val="1"/>
      <w:marLeft w:val="0"/>
      <w:marRight w:val="0"/>
      <w:marTop w:val="0"/>
      <w:marBottom w:val="0"/>
      <w:divBdr>
        <w:top w:val="none" w:sz="0" w:space="0" w:color="auto"/>
        <w:left w:val="none" w:sz="0" w:space="0" w:color="auto"/>
        <w:bottom w:val="none" w:sz="0" w:space="0" w:color="auto"/>
        <w:right w:val="none" w:sz="0" w:space="0" w:color="auto"/>
      </w:divBdr>
    </w:div>
    <w:div w:id="1488205996">
      <w:bodyDiv w:val="1"/>
      <w:marLeft w:val="0"/>
      <w:marRight w:val="0"/>
      <w:marTop w:val="0"/>
      <w:marBottom w:val="0"/>
      <w:divBdr>
        <w:top w:val="none" w:sz="0" w:space="0" w:color="auto"/>
        <w:left w:val="none" w:sz="0" w:space="0" w:color="auto"/>
        <w:bottom w:val="none" w:sz="0" w:space="0" w:color="auto"/>
        <w:right w:val="none" w:sz="0" w:space="0" w:color="auto"/>
      </w:divBdr>
    </w:div>
    <w:div w:id="1488521226">
      <w:bodyDiv w:val="1"/>
      <w:marLeft w:val="0"/>
      <w:marRight w:val="0"/>
      <w:marTop w:val="0"/>
      <w:marBottom w:val="0"/>
      <w:divBdr>
        <w:top w:val="none" w:sz="0" w:space="0" w:color="auto"/>
        <w:left w:val="none" w:sz="0" w:space="0" w:color="auto"/>
        <w:bottom w:val="none" w:sz="0" w:space="0" w:color="auto"/>
        <w:right w:val="none" w:sz="0" w:space="0" w:color="auto"/>
      </w:divBdr>
    </w:div>
    <w:div w:id="1488783293">
      <w:bodyDiv w:val="1"/>
      <w:marLeft w:val="0"/>
      <w:marRight w:val="0"/>
      <w:marTop w:val="0"/>
      <w:marBottom w:val="0"/>
      <w:divBdr>
        <w:top w:val="none" w:sz="0" w:space="0" w:color="auto"/>
        <w:left w:val="none" w:sz="0" w:space="0" w:color="auto"/>
        <w:bottom w:val="none" w:sz="0" w:space="0" w:color="auto"/>
        <w:right w:val="none" w:sz="0" w:space="0" w:color="auto"/>
      </w:divBdr>
    </w:div>
    <w:div w:id="1489131957">
      <w:bodyDiv w:val="1"/>
      <w:marLeft w:val="0"/>
      <w:marRight w:val="0"/>
      <w:marTop w:val="0"/>
      <w:marBottom w:val="0"/>
      <w:divBdr>
        <w:top w:val="none" w:sz="0" w:space="0" w:color="auto"/>
        <w:left w:val="none" w:sz="0" w:space="0" w:color="auto"/>
        <w:bottom w:val="none" w:sz="0" w:space="0" w:color="auto"/>
        <w:right w:val="none" w:sz="0" w:space="0" w:color="auto"/>
      </w:divBdr>
    </w:div>
    <w:div w:id="1489201636">
      <w:bodyDiv w:val="1"/>
      <w:marLeft w:val="0"/>
      <w:marRight w:val="0"/>
      <w:marTop w:val="0"/>
      <w:marBottom w:val="0"/>
      <w:divBdr>
        <w:top w:val="none" w:sz="0" w:space="0" w:color="auto"/>
        <w:left w:val="none" w:sz="0" w:space="0" w:color="auto"/>
        <w:bottom w:val="none" w:sz="0" w:space="0" w:color="auto"/>
        <w:right w:val="none" w:sz="0" w:space="0" w:color="auto"/>
      </w:divBdr>
    </w:div>
    <w:div w:id="1489246171">
      <w:bodyDiv w:val="1"/>
      <w:marLeft w:val="0"/>
      <w:marRight w:val="0"/>
      <w:marTop w:val="0"/>
      <w:marBottom w:val="0"/>
      <w:divBdr>
        <w:top w:val="none" w:sz="0" w:space="0" w:color="auto"/>
        <w:left w:val="none" w:sz="0" w:space="0" w:color="auto"/>
        <w:bottom w:val="none" w:sz="0" w:space="0" w:color="auto"/>
        <w:right w:val="none" w:sz="0" w:space="0" w:color="auto"/>
      </w:divBdr>
    </w:div>
    <w:div w:id="1489597194">
      <w:bodyDiv w:val="1"/>
      <w:marLeft w:val="0"/>
      <w:marRight w:val="0"/>
      <w:marTop w:val="0"/>
      <w:marBottom w:val="0"/>
      <w:divBdr>
        <w:top w:val="none" w:sz="0" w:space="0" w:color="auto"/>
        <w:left w:val="none" w:sz="0" w:space="0" w:color="auto"/>
        <w:bottom w:val="none" w:sz="0" w:space="0" w:color="auto"/>
        <w:right w:val="none" w:sz="0" w:space="0" w:color="auto"/>
      </w:divBdr>
    </w:div>
    <w:div w:id="1489979369">
      <w:bodyDiv w:val="1"/>
      <w:marLeft w:val="0"/>
      <w:marRight w:val="0"/>
      <w:marTop w:val="0"/>
      <w:marBottom w:val="0"/>
      <w:divBdr>
        <w:top w:val="none" w:sz="0" w:space="0" w:color="auto"/>
        <w:left w:val="none" w:sz="0" w:space="0" w:color="auto"/>
        <w:bottom w:val="none" w:sz="0" w:space="0" w:color="auto"/>
        <w:right w:val="none" w:sz="0" w:space="0" w:color="auto"/>
      </w:divBdr>
    </w:div>
    <w:div w:id="1491360627">
      <w:bodyDiv w:val="1"/>
      <w:marLeft w:val="0"/>
      <w:marRight w:val="0"/>
      <w:marTop w:val="0"/>
      <w:marBottom w:val="0"/>
      <w:divBdr>
        <w:top w:val="none" w:sz="0" w:space="0" w:color="auto"/>
        <w:left w:val="none" w:sz="0" w:space="0" w:color="auto"/>
        <w:bottom w:val="none" w:sz="0" w:space="0" w:color="auto"/>
        <w:right w:val="none" w:sz="0" w:space="0" w:color="auto"/>
      </w:divBdr>
    </w:div>
    <w:div w:id="1491631627">
      <w:bodyDiv w:val="1"/>
      <w:marLeft w:val="0"/>
      <w:marRight w:val="0"/>
      <w:marTop w:val="0"/>
      <w:marBottom w:val="0"/>
      <w:divBdr>
        <w:top w:val="none" w:sz="0" w:space="0" w:color="auto"/>
        <w:left w:val="none" w:sz="0" w:space="0" w:color="auto"/>
        <w:bottom w:val="none" w:sz="0" w:space="0" w:color="auto"/>
        <w:right w:val="none" w:sz="0" w:space="0" w:color="auto"/>
      </w:divBdr>
    </w:div>
    <w:div w:id="1492402494">
      <w:bodyDiv w:val="1"/>
      <w:marLeft w:val="0"/>
      <w:marRight w:val="0"/>
      <w:marTop w:val="0"/>
      <w:marBottom w:val="0"/>
      <w:divBdr>
        <w:top w:val="none" w:sz="0" w:space="0" w:color="auto"/>
        <w:left w:val="none" w:sz="0" w:space="0" w:color="auto"/>
        <w:bottom w:val="none" w:sz="0" w:space="0" w:color="auto"/>
        <w:right w:val="none" w:sz="0" w:space="0" w:color="auto"/>
      </w:divBdr>
    </w:div>
    <w:div w:id="1492524654">
      <w:bodyDiv w:val="1"/>
      <w:marLeft w:val="0"/>
      <w:marRight w:val="0"/>
      <w:marTop w:val="0"/>
      <w:marBottom w:val="0"/>
      <w:divBdr>
        <w:top w:val="none" w:sz="0" w:space="0" w:color="auto"/>
        <w:left w:val="none" w:sz="0" w:space="0" w:color="auto"/>
        <w:bottom w:val="none" w:sz="0" w:space="0" w:color="auto"/>
        <w:right w:val="none" w:sz="0" w:space="0" w:color="auto"/>
      </w:divBdr>
    </w:div>
    <w:div w:id="1492528771">
      <w:bodyDiv w:val="1"/>
      <w:marLeft w:val="0"/>
      <w:marRight w:val="0"/>
      <w:marTop w:val="0"/>
      <w:marBottom w:val="0"/>
      <w:divBdr>
        <w:top w:val="none" w:sz="0" w:space="0" w:color="auto"/>
        <w:left w:val="none" w:sz="0" w:space="0" w:color="auto"/>
        <w:bottom w:val="none" w:sz="0" w:space="0" w:color="auto"/>
        <w:right w:val="none" w:sz="0" w:space="0" w:color="auto"/>
      </w:divBdr>
    </w:div>
    <w:div w:id="1492673369">
      <w:bodyDiv w:val="1"/>
      <w:marLeft w:val="0"/>
      <w:marRight w:val="0"/>
      <w:marTop w:val="0"/>
      <w:marBottom w:val="0"/>
      <w:divBdr>
        <w:top w:val="none" w:sz="0" w:space="0" w:color="auto"/>
        <w:left w:val="none" w:sz="0" w:space="0" w:color="auto"/>
        <w:bottom w:val="none" w:sz="0" w:space="0" w:color="auto"/>
        <w:right w:val="none" w:sz="0" w:space="0" w:color="auto"/>
      </w:divBdr>
    </w:div>
    <w:div w:id="1492678464">
      <w:bodyDiv w:val="1"/>
      <w:marLeft w:val="0"/>
      <w:marRight w:val="0"/>
      <w:marTop w:val="0"/>
      <w:marBottom w:val="0"/>
      <w:divBdr>
        <w:top w:val="none" w:sz="0" w:space="0" w:color="auto"/>
        <w:left w:val="none" w:sz="0" w:space="0" w:color="auto"/>
        <w:bottom w:val="none" w:sz="0" w:space="0" w:color="auto"/>
        <w:right w:val="none" w:sz="0" w:space="0" w:color="auto"/>
      </w:divBdr>
    </w:div>
    <w:div w:id="1492720896">
      <w:bodyDiv w:val="1"/>
      <w:marLeft w:val="0"/>
      <w:marRight w:val="0"/>
      <w:marTop w:val="0"/>
      <w:marBottom w:val="0"/>
      <w:divBdr>
        <w:top w:val="none" w:sz="0" w:space="0" w:color="auto"/>
        <w:left w:val="none" w:sz="0" w:space="0" w:color="auto"/>
        <w:bottom w:val="none" w:sz="0" w:space="0" w:color="auto"/>
        <w:right w:val="none" w:sz="0" w:space="0" w:color="auto"/>
      </w:divBdr>
    </w:div>
    <w:div w:id="1493639967">
      <w:bodyDiv w:val="1"/>
      <w:marLeft w:val="0"/>
      <w:marRight w:val="0"/>
      <w:marTop w:val="0"/>
      <w:marBottom w:val="0"/>
      <w:divBdr>
        <w:top w:val="none" w:sz="0" w:space="0" w:color="auto"/>
        <w:left w:val="none" w:sz="0" w:space="0" w:color="auto"/>
        <w:bottom w:val="none" w:sz="0" w:space="0" w:color="auto"/>
        <w:right w:val="none" w:sz="0" w:space="0" w:color="auto"/>
      </w:divBdr>
    </w:div>
    <w:div w:id="1494640244">
      <w:bodyDiv w:val="1"/>
      <w:marLeft w:val="0"/>
      <w:marRight w:val="0"/>
      <w:marTop w:val="0"/>
      <w:marBottom w:val="0"/>
      <w:divBdr>
        <w:top w:val="none" w:sz="0" w:space="0" w:color="auto"/>
        <w:left w:val="none" w:sz="0" w:space="0" w:color="auto"/>
        <w:bottom w:val="none" w:sz="0" w:space="0" w:color="auto"/>
        <w:right w:val="none" w:sz="0" w:space="0" w:color="auto"/>
      </w:divBdr>
    </w:div>
    <w:div w:id="1494835832">
      <w:bodyDiv w:val="1"/>
      <w:marLeft w:val="0"/>
      <w:marRight w:val="0"/>
      <w:marTop w:val="0"/>
      <w:marBottom w:val="0"/>
      <w:divBdr>
        <w:top w:val="none" w:sz="0" w:space="0" w:color="auto"/>
        <w:left w:val="none" w:sz="0" w:space="0" w:color="auto"/>
        <w:bottom w:val="none" w:sz="0" w:space="0" w:color="auto"/>
        <w:right w:val="none" w:sz="0" w:space="0" w:color="auto"/>
      </w:divBdr>
    </w:div>
    <w:div w:id="1495341638">
      <w:bodyDiv w:val="1"/>
      <w:marLeft w:val="0"/>
      <w:marRight w:val="0"/>
      <w:marTop w:val="0"/>
      <w:marBottom w:val="0"/>
      <w:divBdr>
        <w:top w:val="none" w:sz="0" w:space="0" w:color="auto"/>
        <w:left w:val="none" w:sz="0" w:space="0" w:color="auto"/>
        <w:bottom w:val="none" w:sz="0" w:space="0" w:color="auto"/>
        <w:right w:val="none" w:sz="0" w:space="0" w:color="auto"/>
      </w:divBdr>
    </w:div>
    <w:div w:id="1495494467">
      <w:bodyDiv w:val="1"/>
      <w:marLeft w:val="0"/>
      <w:marRight w:val="0"/>
      <w:marTop w:val="0"/>
      <w:marBottom w:val="0"/>
      <w:divBdr>
        <w:top w:val="none" w:sz="0" w:space="0" w:color="auto"/>
        <w:left w:val="none" w:sz="0" w:space="0" w:color="auto"/>
        <w:bottom w:val="none" w:sz="0" w:space="0" w:color="auto"/>
        <w:right w:val="none" w:sz="0" w:space="0" w:color="auto"/>
      </w:divBdr>
    </w:div>
    <w:div w:id="1495679099">
      <w:bodyDiv w:val="1"/>
      <w:marLeft w:val="0"/>
      <w:marRight w:val="0"/>
      <w:marTop w:val="0"/>
      <w:marBottom w:val="0"/>
      <w:divBdr>
        <w:top w:val="none" w:sz="0" w:space="0" w:color="auto"/>
        <w:left w:val="none" w:sz="0" w:space="0" w:color="auto"/>
        <w:bottom w:val="none" w:sz="0" w:space="0" w:color="auto"/>
        <w:right w:val="none" w:sz="0" w:space="0" w:color="auto"/>
      </w:divBdr>
    </w:div>
    <w:div w:id="1495876607">
      <w:bodyDiv w:val="1"/>
      <w:marLeft w:val="0"/>
      <w:marRight w:val="0"/>
      <w:marTop w:val="0"/>
      <w:marBottom w:val="0"/>
      <w:divBdr>
        <w:top w:val="none" w:sz="0" w:space="0" w:color="auto"/>
        <w:left w:val="none" w:sz="0" w:space="0" w:color="auto"/>
        <w:bottom w:val="none" w:sz="0" w:space="0" w:color="auto"/>
        <w:right w:val="none" w:sz="0" w:space="0" w:color="auto"/>
      </w:divBdr>
    </w:div>
    <w:div w:id="1495955086">
      <w:bodyDiv w:val="1"/>
      <w:marLeft w:val="0"/>
      <w:marRight w:val="0"/>
      <w:marTop w:val="0"/>
      <w:marBottom w:val="0"/>
      <w:divBdr>
        <w:top w:val="none" w:sz="0" w:space="0" w:color="auto"/>
        <w:left w:val="none" w:sz="0" w:space="0" w:color="auto"/>
        <w:bottom w:val="none" w:sz="0" w:space="0" w:color="auto"/>
        <w:right w:val="none" w:sz="0" w:space="0" w:color="auto"/>
      </w:divBdr>
    </w:div>
    <w:div w:id="1496069581">
      <w:bodyDiv w:val="1"/>
      <w:marLeft w:val="0"/>
      <w:marRight w:val="0"/>
      <w:marTop w:val="0"/>
      <w:marBottom w:val="0"/>
      <w:divBdr>
        <w:top w:val="none" w:sz="0" w:space="0" w:color="auto"/>
        <w:left w:val="none" w:sz="0" w:space="0" w:color="auto"/>
        <w:bottom w:val="none" w:sz="0" w:space="0" w:color="auto"/>
        <w:right w:val="none" w:sz="0" w:space="0" w:color="auto"/>
      </w:divBdr>
    </w:div>
    <w:div w:id="1496261481">
      <w:bodyDiv w:val="1"/>
      <w:marLeft w:val="0"/>
      <w:marRight w:val="0"/>
      <w:marTop w:val="0"/>
      <w:marBottom w:val="0"/>
      <w:divBdr>
        <w:top w:val="none" w:sz="0" w:space="0" w:color="auto"/>
        <w:left w:val="none" w:sz="0" w:space="0" w:color="auto"/>
        <w:bottom w:val="none" w:sz="0" w:space="0" w:color="auto"/>
        <w:right w:val="none" w:sz="0" w:space="0" w:color="auto"/>
      </w:divBdr>
    </w:div>
    <w:div w:id="1496263557">
      <w:bodyDiv w:val="1"/>
      <w:marLeft w:val="0"/>
      <w:marRight w:val="0"/>
      <w:marTop w:val="0"/>
      <w:marBottom w:val="0"/>
      <w:divBdr>
        <w:top w:val="none" w:sz="0" w:space="0" w:color="auto"/>
        <w:left w:val="none" w:sz="0" w:space="0" w:color="auto"/>
        <w:bottom w:val="none" w:sz="0" w:space="0" w:color="auto"/>
        <w:right w:val="none" w:sz="0" w:space="0" w:color="auto"/>
      </w:divBdr>
    </w:div>
    <w:div w:id="1496343126">
      <w:bodyDiv w:val="1"/>
      <w:marLeft w:val="0"/>
      <w:marRight w:val="0"/>
      <w:marTop w:val="0"/>
      <w:marBottom w:val="0"/>
      <w:divBdr>
        <w:top w:val="none" w:sz="0" w:space="0" w:color="auto"/>
        <w:left w:val="none" w:sz="0" w:space="0" w:color="auto"/>
        <w:bottom w:val="none" w:sz="0" w:space="0" w:color="auto"/>
        <w:right w:val="none" w:sz="0" w:space="0" w:color="auto"/>
      </w:divBdr>
    </w:div>
    <w:div w:id="1497258563">
      <w:bodyDiv w:val="1"/>
      <w:marLeft w:val="0"/>
      <w:marRight w:val="0"/>
      <w:marTop w:val="0"/>
      <w:marBottom w:val="0"/>
      <w:divBdr>
        <w:top w:val="none" w:sz="0" w:space="0" w:color="auto"/>
        <w:left w:val="none" w:sz="0" w:space="0" w:color="auto"/>
        <w:bottom w:val="none" w:sz="0" w:space="0" w:color="auto"/>
        <w:right w:val="none" w:sz="0" w:space="0" w:color="auto"/>
      </w:divBdr>
    </w:div>
    <w:div w:id="1497769773">
      <w:bodyDiv w:val="1"/>
      <w:marLeft w:val="0"/>
      <w:marRight w:val="0"/>
      <w:marTop w:val="0"/>
      <w:marBottom w:val="0"/>
      <w:divBdr>
        <w:top w:val="none" w:sz="0" w:space="0" w:color="auto"/>
        <w:left w:val="none" w:sz="0" w:space="0" w:color="auto"/>
        <w:bottom w:val="none" w:sz="0" w:space="0" w:color="auto"/>
        <w:right w:val="none" w:sz="0" w:space="0" w:color="auto"/>
      </w:divBdr>
    </w:div>
    <w:div w:id="1498037568">
      <w:bodyDiv w:val="1"/>
      <w:marLeft w:val="0"/>
      <w:marRight w:val="0"/>
      <w:marTop w:val="0"/>
      <w:marBottom w:val="0"/>
      <w:divBdr>
        <w:top w:val="none" w:sz="0" w:space="0" w:color="auto"/>
        <w:left w:val="none" w:sz="0" w:space="0" w:color="auto"/>
        <w:bottom w:val="none" w:sz="0" w:space="0" w:color="auto"/>
        <w:right w:val="none" w:sz="0" w:space="0" w:color="auto"/>
      </w:divBdr>
    </w:div>
    <w:div w:id="1498184766">
      <w:bodyDiv w:val="1"/>
      <w:marLeft w:val="0"/>
      <w:marRight w:val="0"/>
      <w:marTop w:val="0"/>
      <w:marBottom w:val="0"/>
      <w:divBdr>
        <w:top w:val="none" w:sz="0" w:space="0" w:color="auto"/>
        <w:left w:val="none" w:sz="0" w:space="0" w:color="auto"/>
        <w:bottom w:val="none" w:sz="0" w:space="0" w:color="auto"/>
        <w:right w:val="none" w:sz="0" w:space="0" w:color="auto"/>
      </w:divBdr>
    </w:div>
    <w:div w:id="1498493602">
      <w:bodyDiv w:val="1"/>
      <w:marLeft w:val="0"/>
      <w:marRight w:val="0"/>
      <w:marTop w:val="0"/>
      <w:marBottom w:val="0"/>
      <w:divBdr>
        <w:top w:val="none" w:sz="0" w:space="0" w:color="auto"/>
        <w:left w:val="none" w:sz="0" w:space="0" w:color="auto"/>
        <w:bottom w:val="none" w:sz="0" w:space="0" w:color="auto"/>
        <w:right w:val="none" w:sz="0" w:space="0" w:color="auto"/>
      </w:divBdr>
    </w:div>
    <w:div w:id="1498496152">
      <w:bodyDiv w:val="1"/>
      <w:marLeft w:val="0"/>
      <w:marRight w:val="0"/>
      <w:marTop w:val="0"/>
      <w:marBottom w:val="0"/>
      <w:divBdr>
        <w:top w:val="none" w:sz="0" w:space="0" w:color="auto"/>
        <w:left w:val="none" w:sz="0" w:space="0" w:color="auto"/>
        <w:bottom w:val="none" w:sz="0" w:space="0" w:color="auto"/>
        <w:right w:val="none" w:sz="0" w:space="0" w:color="auto"/>
      </w:divBdr>
    </w:div>
    <w:div w:id="1498685892">
      <w:bodyDiv w:val="1"/>
      <w:marLeft w:val="0"/>
      <w:marRight w:val="0"/>
      <w:marTop w:val="0"/>
      <w:marBottom w:val="0"/>
      <w:divBdr>
        <w:top w:val="none" w:sz="0" w:space="0" w:color="auto"/>
        <w:left w:val="none" w:sz="0" w:space="0" w:color="auto"/>
        <w:bottom w:val="none" w:sz="0" w:space="0" w:color="auto"/>
        <w:right w:val="none" w:sz="0" w:space="0" w:color="auto"/>
      </w:divBdr>
    </w:div>
    <w:div w:id="1498770847">
      <w:bodyDiv w:val="1"/>
      <w:marLeft w:val="0"/>
      <w:marRight w:val="0"/>
      <w:marTop w:val="0"/>
      <w:marBottom w:val="0"/>
      <w:divBdr>
        <w:top w:val="none" w:sz="0" w:space="0" w:color="auto"/>
        <w:left w:val="none" w:sz="0" w:space="0" w:color="auto"/>
        <w:bottom w:val="none" w:sz="0" w:space="0" w:color="auto"/>
        <w:right w:val="none" w:sz="0" w:space="0" w:color="auto"/>
      </w:divBdr>
    </w:div>
    <w:div w:id="1498812844">
      <w:bodyDiv w:val="1"/>
      <w:marLeft w:val="0"/>
      <w:marRight w:val="0"/>
      <w:marTop w:val="0"/>
      <w:marBottom w:val="0"/>
      <w:divBdr>
        <w:top w:val="none" w:sz="0" w:space="0" w:color="auto"/>
        <w:left w:val="none" w:sz="0" w:space="0" w:color="auto"/>
        <w:bottom w:val="none" w:sz="0" w:space="0" w:color="auto"/>
        <w:right w:val="none" w:sz="0" w:space="0" w:color="auto"/>
      </w:divBdr>
    </w:div>
    <w:div w:id="1499030337">
      <w:bodyDiv w:val="1"/>
      <w:marLeft w:val="0"/>
      <w:marRight w:val="0"/>
      <w:marTop w:val="0"/>
      <w:marBottom w:val="0"/>
      <w:divBdr>
        <w:top w:val="none" w:sz="0" w:space="0" w:color="auto"/>
        <w:left w:val="none" w:sz="0" w:space="0" w:color="auto"/>
        <w:bottom w:val="none" w:sz="0" w:space="0" w:color="auto"/>
        <w:right w:val="none" w:sz="0" w:space="0" w:color="auto"/>
      </w:divBdr>
    </w:div>
    <w:div w:id="1499350635">
      <w:bodyDiv w:val="1"/>
      <w:marLeft w:val="0"/>
      <w:marRight w:val="0"/>
      <w:marTop w:val="0"/>
      <w:marBottom w:val="0"/>
      <w:divBdr>
        <w:top w:val="none" w:sz="0" w:space="0" w:color="auto"/>
        <w:left w:val="none" w:sz="0" w:space="0" w:color="auto"/>
        <w:bottom w:val="none" w:sz="0" w:space="0" w:color="auto"/>
        <w:right w:val="none" w:sz="0" w:space="0" w:color="auto"/>
      </w:divBdr>
    </w:div>
    <w:div w:id="1499419347">
      <w:bodyDiv w:val="1"/>
      <w:marLeft w:val="0"/>
      <w:marRight w:val="0"/>
      <w:marTop w:val="0"/>
      <w:marBottom w:val="0"/>
      <w:divBdr>
        <w:top w:val="none" w:sz="0" w:space="0" w:color="auto"/>
        <w:left w:val="none" w:sz="0" w:space="0" w:color="auto"/>
        <w:bottom w:val="none" w:sz="0" w:space="0" w:color="auto"/>
        <w:right w:val="none" w:sz="0" w:space="0" w:color="auto"/>
      </w:divBdr>
    </w:div>
    <w:div w:id="1499685260">
      <w:bodyDiv w:val="1"/>
      <w:marLeft w:val="0"/>
      <w:marRight w:val="0"/>
      <w:marTop w:val="0"/>
      <w:marBottom w:val="0"/>
      <w:divBdr>
        <w:top w:val="none" w:sz="0" w:space="0" w:color="auto"/>
        <w:left w:val="none" w:sz="0" w:space="0" w:color="auto"/>
        <w:bottom w:val="none" w:sz="0" w:space="0" w:color="auto"/>
        <w:right w:val="none" w:sz="0" w:space="0" w:color="auto"/>
      </w:divBdr>
    </w:div>
    <w:div w:id="1499686284">
      <w:bodyDiv w:val="1"/>
      <w:marLeft w:val="0"/>
      <w:marRight w:val="0"/>
      <w:marTop w:val="0"/>
      <w:marBottom w:val="0"/>
      <w:divBdr>
        <w:top w:val="none" w:sz="0" w:space="0" w:color="auto"/>
        <w:left w:val="none" w:sz="0" w:space="0" w:color="auto"/>
        <w:bottom w:val="none" w:sz="0" w:space="0" w:color="auto"/>
        <w:right w:val="none" w:sz="0" w:space="0" w:color="auto"/>
      </w:divBdr>
    </w:div>
    <w:div w:id="1499929765">
      <w:bodyDiv w:val="1"/>
      <w:marLeft w:val="0"/>
      <w:marRight w:val="0"/>
      <w:marTop w:val="0"/>
      <w:marBottom w:val="0"/>
      <w:divBdr>
        <w:top w:val="none" w:sz="0" w:space="0" w:color="auto"/>
        <w:left w:val="none" w:sz="0" w:space="0" w:color="auto"/>
        <w:bottom w:val="none" w:sz="0" w:space="0" w:color="auto"/>
        <w:right w:val="none" w:sz="0" w:space="0" w:color="auto"/>
      </w:divBdr>
    </w:div>
    <w:div w:id="1500609163">
      <w:bodyDiv w:val="1"/>
      <w:marLeft w:val="0"/>
      <w:marRight w:val="0"/>
      <w:marTop w:val="0"/>
      <w:marBottom w:val="0"/>
      <w:divBdr>
        <w:top w:val="none" w:sz="0" w:space="0" w:color="auto"/>
        <w:left w:val="none" w:sz="0" w:space="0" w:color="auto"/>
        <w:bottom w:val="none" w:sz="0" w:space="0" w:color="auto"/>
        <w:right w:val="none" w:sz="0" w:space="0" w:color="auto"/>
      </w:divBdr>
    </w:div>
    <w:div w:id="1500732995">
      <w:bodyDiv w:val="1"/>
      <w:marLeft w:val="0"/>
      <w:marRight w:val="0"/>
      <w:marTop w:val="0"/>
      <w:marBottom w:val="0"/>
      <w:divBdr>
        <w:top w:val="none" w:sz="0" w:space="0" w:color="auto"/>
        <w:left w:val="none" w:sz="0" w:space="0" w:color="auto"/>
        <w:bottom w:val="none" w:sz="0" w:space="0" w:color="auto"/>
        <w:right w:val="none" w:sz="0" w:space="0" w:color="auto"/>
      </w:divBdr>
    </w:div>
    <w:div w:id="1501002388">
      <w:bodyDiv w:val="1"/>
      <w:marLeft w:val="0"/>
      <w:marRight w:val="0"/>
      <w:marTop w:val="0"/>
      <w:marBottom w:val="0"/>
      <w:divBdr>
        <w:top w:val="none" w:sz="0" w:space="0" w:color="auto"/>
        <w:left w:val="none" w:sz="0" w:space="0" w:color="auto"/>
        <w:bottom w:val="none" w:sz="0" w:space="0" w:color="auto"/>
        <w:right w:val="none" w:sz="0" w:space="0" w:color="auto"/>
      </w:divBdr>
    </w:div>
    <w:div w:id="1501117195">
      <w:bodyDiv w:val="1"/>
      <w:marLeft w:val="0"/>
      <w:marRight w:val="0"/>
      <w:marTop w:val="0"/>
      <w:marBottom w:val="0"/>
      <w:divBdr>
        <w:top w:val="none" w:sz="0" w:space="0" w:color="auto"/>
        <w:left w:val="none" w:sz="0" w:space="0" w:color="auto"/>
        <w:bottom w:val="none" w:sz="0" w:space="0" w:color="auto"/>
        <w:right w:val="none" w:sz="0" w:space="0" w:color="auto"/>
      </w:divBdr>
    </w:div>
    <w:div w:id="1501315218">
      <w:bodyDiv w:val="1"/>
      <w:marLeft w:val="0"/>
      <w:marRight w:val="0"/>
      <w:marTop w:val="0"/>
      <w:marBottom w:val="0"/>
      <w:divBdr>
        <w:top w:val="none" w:sz="0" w:space="0" w:color="auto"/>
        <w:left w:val="none" w:sz="0" w:space="0" w:color="auto"/>
        <w:bottom w:val="none" w:sz="0" w:space="0" w:color="auto"/>
        <w:right w:val="none" w:sz="0" w:space="0" w:color="auto"/>
      </w:divBdr>
    </w:div>
    <w:div w:id="1501890169">
      <w:bodyDiv w:val="1"/>
      <w:marLeft w:val="0"/>
      <w:marRight w:val="0"/>
      <w:marTop w:val="0"/>
      <w:marBottom w:val="0"/>
      <w:divBdr>
        <w:top w:val="none" w:sz="0" w:space="0" w:color="auto"/>
        <w:left w:val="none" w:sz="0" w:space="0" w:color="auto"/>
        <w:bottom w:val="none" w:sz="0" w:space="0" w:color="auto"/>
        <w:right w:val="none" w:sz="0" w:space="0" w:color="auto"/>
      </w:divBdr>
    </w:div>
    <w:div w:id="1501964303">
      <w:bodyDiv w:val="1"/>
      <w:marLeft w:val="0"/>
      <w:marRight w:val="0"/>
      <w:marTop w:val="0"/>
      <w:marBottom w:val="0"/>
      <w:divBdr>
        <w:top w:val="none" w:sz="0" w:space="0" w:color="auto"/>
        <w:left w:val="none" w:sz="0" w:space="0" w:color="auto"/>
        <w:bottom w:val="none" w:sz="0" w:space="0" w:color="auto"/>
        <w:right w:val="none" w:sz="0" w:space="0" w:color="auto"/>
      </w:divBdr>
    </w:div>
    <w:div w:id="1502162850">
      <w:bodyDiv w:val="1"/>
      <w:marLeft w:val="0"/>
      <w:marRight w:val="0"/>
      <w:marTop w:val="0"/>
      <w:marBottom w:val="0"/>
      <w:divBdr>
        <w:top w:val="none" w:sz="0" w:space="0" w:color="auto"/>
        <w:left w:val="none" w:sz="0" w:space="0" w:color="auto"/>
        <w:bottom w:val="none" w:sz="0" w:space="0" w:color="auto"/>
        <w:right w:val="none" w:sz="0" w:space="0" w:color="auto"/>
      </w:divBdr>
    </w:div>
    <w:div w:id="1502576063">
      <w:bodyDiv w:val="1"/>
      <w:marLeft w:val="0"/>
      <w:marRight w:val="0"/>
      <w:marTop w:val="0"/>
      <w:marBottom w:val="0"/>
      <w:divBdr>
        <w:top w:val="none" w:sz="0" w:space="0" w:color="auto"/>
        <w:left w:val="none" w:sz="0" w:space="0" w:color="auto"/>
        <w:bottom w:val="none" w:sz="0" w:space="0" w:color="auto"/>
        <w:right w:val="none" w:sz="0" w:space="0" w:color="auto"/>
      </w:divBdr>
    </w:div>
    <w:div w:id="1503548156">
      <w:bodyDiv w:val="1"/>
      <w:marLeft w:val="0"/>
      <w:marRight w:val="0"/>
      <w:marTop w:val="0"/>
      <w:marBottom w:val="0"/>
      <w:divBdr>
        <w:top w:val="none" w:sz="0" w:space="0" w:color="auto"/>
        <w:left w:val="none" w:sz="0" w:space="0" w:color="auto"/>
        <w:bottom w:val="none" w:sz="0" w:space="0" w:color="auto"/>
        <w:right w:val="none" w:sz="0" w:space="0" w:color="auto"/>
      </w:divBdr>
    </w:div>
    <w:div w:id="1504130232">
      <w:bodyDiv w:val="1"/>
      <w:marLeft w:val="0"/>
      <w:marRight w:val="0"/>
      <w:marTop w:val="0"/>
      <w:marBottom w:val="0"/>
      <w:divBdr>
        <w:top w:val="none" w:sz="0" w:space="0" w:color="auto"/>
        <w:left w:val="none" w:sz="0" w:space="0" w:color="auto"/>
        <w:bottom w:val="none" w:sz="0" w:space="0" w:color="auto"/>
        <w:right w:val="none" w:sz="0" w:space="0" w:color="auto"/>
      </w:divBdr>
    </w:div>
    <w:div w:id="1504323484">
      <w:bodyDiv w:val="1"/>
      <w:marLeft w:val="0"/>
      <w:marRight w:val="0"/>
      <w:marTop w:val="0"/>
      <w:marBottom w:val="0"/>
      <w:divBdr>
        <w:top w:val="none" w:sz="0" w:space="0" w:color="auto"/>
        <w:left w:val="none" w:sz="0" w:space="0" w:color="auto"/>
        <w:bottom w:val="none" w:sz="0" w:space="0" w:color="auto"/>
        <w:right w:val="none" w:sz="0" w:space="0" w:color="auto"/>
      </w:divBdr>
    </w:div>
    <w:div w:id="1504591340">
      <w:bodyDiv w:val="1"/>
      <w:marLeft w:val="0"/>
      <w:marRight w:val="0"/>
      <w:marTop w:val="0"/>
      <w:marBottom w:val="0"/>
      <w:divBdr>
        <w:top w:val="none" w:sz="0" w:space="0" w:color="auto"/>
        <w:left w:val="none" w:sz="0" w:space="0" w:color="auto"/>
        <w:bottom w:val="none" w:sz="0" w:space="0" w:color="auto"/>
        <w:right w:val="none" w:sz="0" w:space="0" w:color="auto"/>
      </w:divBdr>
    </w:div>
    <w:div w:id="1504662084">
      <w:bodyDiv w:val="1"/>
      <w:marLeft w:val="0"/>
      <w:marRight w:val="0"/>
      <w:marTop w:val="0"/>
      <w:marBottom w:val="0"/>
      <w:divBdr>
        <w:top w:val="none" w:sz="0" w:space="0" w:color="auto"/>
        <w:left w:val="none" w:sz="0" w:space="0" w:color="auto"/>
        <w:bottom w:val="none" w:sz="0" w:space="0" w:color="auto"/>
        <w:right w:val="none" w:sz="0" w:space="0" w:color="auto"/>
      </w:divBdr>
    </w:div>
    <w:div w:id="1505704866">
      <w:bodyDiv w:val="1"/>
      <w:marLeft w:val="0"/>
      <w:marRight w:val="0"/>
      <w:marTop w:val="0"/>
      <w:marBottom w:val="0"/>
      <w:divBdr>
        <w:top w:val="none" w:sz="0" w:space="0" w:color="auto"/>
        <w:left w:val="none" w:sz="0" w:space="0" w:color="auto"/>
        <w:bottom w:val="none" w:sz="0" w:space="0" w:color="auto"/>
        <w:right w:val="none" w:sz="0" w:space="0" w:color="auto"/>
      </w:divBdr>
    </w:div>
    <w:div w:id="1506438016">
      <w:bodyDiv w:val="1"/>
      <w:marLeft w:val="0"/>
      <w:marRight w:val="0"/>
      <w:marTop w:val="0"/>
      <w:marBottom w:val="0"/>
      <w:divBdr>
        <w:top w:val="none" w:sz="0" w:space="0" w:color="auto"/>
        <w:left w:val="none" w:sz="0" w:space="0" w:color="auto"/>
        <w:bottom w:val="none" w:sz="0" w:space="0" w:color="auto"/>
        <w:right w:val="none" w:sz="0" w:space="0" w:color="auto"/>
      </w:divBdr>
    </w:div>
    <w:div w:id="1507212048">
      <w:bodyDiv w:val="1"/>
      <w:marLeft w:val="0"/>
      <w:marRight w:val="0"/>
      <w:marTop w:val="0"/>
      <w:marBottom w:val="0"/>
      <w:divBdr>
        <w:top w:val="none" w:sz="0" w:space="0" w:color="auto"/>
        <w:left w:val="none" w:sz="0" w:space="0" w:color="auto"/>
        <w:bottom w:val="none" w:sz="0" w:space="0" w:color="auto"/>
        <w:right w:val="none" w:sz="0" w:space="0" w:color="auto"/>
      </w:divBdr>
    </w:div>
    <w:div w:id="1507596914">
      <w:bodyDiv w:val="1"/>
      <w:marLeft w:val="0"/>
      <w:marRight w:val="0"/>
      <w:marTop w:val="0"/>
      <w:marBottom w:val="0"/>
      <w:divBdr>
        <w:top w:val="none" w:sz="0" w:space="0" w:color="auto"/>
        <w:left w:val="none" w:sz="0" w:space="0" w:color="auto"/>
        <w:bottom w:val="none" w:sz="0" w:space="0" w:color="auto"/>
        <w:right w:val="none" w:sz="0" w:space="0" w:color="auto"/>
      </w:divBdr>
    </w:div>
    <w:div w:id="1508401501">
      <w:bodyDiv w:val="1"/>
      <w:marLeft w:val="0"/>
      <w:marRight w:val="0"/>
      <w:marTop w:val="0"/>
      <w:marBottom w:val="0"/>
      <w:divBdr>
        <w:top w:val="none" w:sz="0" w:space="0" w:color="auto"/>
        <w:left w:val="none" w:sz="0" w:space="0" w:color="auto"/>
        <w:bottom w:val="none" w:sz="0" w:space="0" w:color="auto"/>
        <w:right w:val="none" w:sz="0" w:space="0" w:color="auto"/>
      </w:divBdr>
    </w:div>
    <w:div w:id="1508449236">
      <w:bodyDiv w:val="1"/>
      <w:marLeft w:val="0"/>
      <w:marRight w:val="0"/>
      <w:marTop w:val="0"/>
      <w:marBottom w:val="0"/>
      <w:divBdr>
        <w:top w:val="none" w:sz="0" w:space="0" w:color="auto"/>
        <w:left w:val="none" w:sz="0" w:space="0" w:color="auto"/>
        <w:bottom w:val="none" w:sz="0" w:space="0" w:color="auto"/>
        <w:right w:val="none" w:sz="0" w:space="0" w:color="auto"/>
      </w:divBdr>
    </w:div>
    <w:div w:id="1508473957">
      <w:bodyDiv w:val="1"/>
      <w:marLeft w:val="0"/>
      <w:marRight w:val="0"/>
      <w:marTop w:val="0"/>
      <w:marBottom w:val="0"/>
      <w:divBdr>
        <w:top w:val="none" w:sz="0" w:space="0" w:color="auto"/>
        <w:left w:val="none" w:sz="0" w:space="0" w:color="auto"/>
        <w:bottom w:val="none" w:sz="0" w:space="0" w:color="auto"/>
        <w:right w:val="none" w:sz="0" w:space="0" w:color="auto"/>
      </w:divBdr>
    </w:div>
    <w:div w:id="1508859526">
      <w:bodyDiv w:val="1"/>
      <w:marLeft w:val="0"/>
      <w:marRight w:val="0"/>
      <w:marTop w:val="0"/>
      <w:marBottom w:val="0"/>
      <w:divBdr>
        <w:top w:val="none" w:sz="0" w:space="0" w:color="auto"/>
        <w:left w:val="none" w:sz="0" w:space="0" w:color="auto"/>
        <w:bottom w:val="none" w:sz="0" w:space="0" w:color="auto"/>
        <w:right w:val="none" w:sz="0" w:space="0" w:color="auto"/>
      </w:divBdr>
    </w:div>
    <w:div w:id="1509052419">
      <w:bodyDiv w:val="1"/>
      <w:marLeft w:val="0"/>
      <w:marRight w:val="0"/>
      <w:marTop w:val="0"/>
      <w:marBottom w:val="0"/>
      <w:divBdr>
        <w:top w:val="none" w:sz="0" w:space="0" w:color="auto"/>
        <w:left w:val="none" w:sz="0" w:space="0" w:color="auto"/>
        <w:bottom w:val="none" w:sz="0" w:space="0" w:color="auto"/>
        <w:right w:val="none" w:sz="0" w:space="0" w:color="auto"/>
      </w:divBdr>
    </w:div>
    <w:div w:id="1509371186">
      <w:bodyDiv w:val="1"/>
      <w:marLeft w:val="0"/>
      <w:marRight w:val="0"/>
      <w:marTop w:val="0"/>
      <w:marBottom w:val="0"/>
      <w:divBdr>
        <w:top w:val="none" w:sz="0" w:space="0" w:color="auto"/>
        <w:left w:val="none" w:sz="0" w:space="0" w:color="auto"/>
        <w:bottom w:val="none" w:sz="0" w:space="0" w:color="auto"/>
        <w:right w:val="none" w:sz="0" w:space="0" w:color="auto"/>
      </w:divBdr>
    </w:div>
    <w:div w:id="1510948023">
      <w:bodyDiv w:val="1"/>
      <w:marLeft w:val="0"/>
      <w:marRight w:val="0"/>
      <w:marTop w:val="0"/>
      <w:marBottom w:val="0"/>
      <w:divBdr>
        <w:top w:val="none" w:sz="0" w:space="0" w:color="auto"/>
        <w:left w:val="none" w:sz="0" w:space="0" w:color="auto"/>
        <w:bottom w:val="none" w:sz="0" w:space="0" w:color="auto"/>
        <w:right w:val="none" w:sz="0" w:space="0" w:color="auto"/>
      </w:divBdr>
    </w:div>
    <w:div w:id="1511329754">
      <w:bodyDiv w:val="1"/>
      <w:marLeft w:val="0"/>
      <w:marRight w:val="0"/>
      <w:marTop w:val="0"/>
      <w:marBottom w:val="0"/>
      <w:divBdr>
        <w:top w:val="none" w:sz="0" w:space="0" w:color="auto"/>
        <w:left w:val="none" w:sz="0" w:space="0" w:color="auto"/>
        <w:bottom w:val="none" w:sz="0" w:space="0" w:color="auto"/>
        <w:right w:val="none" w:sz="0" w:space="0" w:color="auto"/>
      </w:divBdr>
    </w:div>
    <w:div w:id="1511523627">
      <w:bodyDiv w:val="1"/>
      <w:marLeft w:val="0"/>
      <w:marRight w:val="0"/>
      <w:marTop w:val="0"/>
      <w:marBottom w:val="0"/>
      <w:divBdr>
        <w:top w:val="none" w:sz="0" w:space="0" w:color="auto"/>
        <w:left w:val="none" w:sz="0" w:space="0" w:color="auto"/>
        <w:bottom w:val="none" w:sz="0" w:space="0" w:color="auto"/>
        <w:right w:val="none" w:sz="0" w:space="0" w:color="auto"/>
      </w:divBdr>
    </w:div>
    <w:div w:id="1511527260">
      <w:bodyDiv w:val="1"/>
      <w:marLeft w:val="0"/>
      <w:marRight w:val="0"/>
      <w:marTop w:val="0"/>
      <w:marBottom w:val="0"/>
      <w:divBdr>
        <w:top w:val="none" w:sz="0" w:space="0" w:color="auto"/>
        <w:left w:val="none" w:sz="0" w:space="0" w:color="auto"/>
        <w:bottom w:val="none" w:sz="0" w:space="0" w:color="auto"/>
        <w:right w:val="none" w:sz="0" w:space="0" w:color="auto"/>
      </w:divBdr>
    </w:div>
    <w:div w:id="1511598204">
      <w:bodyDiv w:val="1"/>
      <w:marLeft w:val="0"/>
      <w:marRight w:val="0"/>
      <w:marTop w:val="0"/>
      <w:marBottom w:val="0"/>
      <w:divBdr>
        <w:top w:val="none" w:sz="0" w:space="0" w:color="auto"/>
        <w:left w:val="none" w:sz="0" w:space="0" w:color="auto"/>
        <w:bottom w:val="none" w:sz="0" w:space="0" w:color="auto"/>
        <w:right w:val="none" w:sz="0" w:space="0" w:color="auto"/>
      </w:divBdr>
    </w:div>
    <w:div w:id="1511674498">
      <w:bodyDiv w:val="1"/>
      <w:marLeft w:val="0"/>
      <w:marRight w:val="0"/>
      <w:marTop w:val="0"/>
      <w:marBottom w:val="0"/>
      <w:divBdr>
        <w:top w:val="none" w:sz="0" w:space="0" w:color="auto"/>
        <w:left w:val="none" w:sz="0" w:space="0" w:color="auto"/>
        <w:bottom w:val="none" w:sz="0" w:space="0" w:color="auto"/>
        <w:right w:val="none" w:sz="0" w:space="0" w:color="auto"/>
      </w:divBdr>
    </w:div>
    <w:div w:id="1512256845">
      <w:bodyDiv w:val="1"/>
      <w:marLeft w:val="0"/>
      <w:marRight w:val="0"/>
      <w:marTop w:val="0"/>
      <w:marBottom w:val="0"/>
      <w:divBdr>
        <w:top w:val="none" w:sz="0" w:space="0" w:color="auto"/>
        <w:left w:val="none" w:sz="0" w:space="0" w:color="auto"/>
        <w:bottom w:val="none" w:sz="0" w:space="0" w:color="auto"/>
        <w:right w:val="none" w:sz="0" w:space="0" w:color="auto"/>
      </w:divBdr>
    </w:div>
    <w:div w:id="1512717732">
      <w:bodyDiv w:val="1"/>
      <w:marLeft w:val="0"/>
      <w:marRight w:val="0"/>
      <w:marTop w:val="0"/>
      <w:marBottom w:val="0"/>
      <w:divBdr>
        <w:top w:val="none" w:sz="0" w:space="0" w:color="auto"/>
        <w:left w:val="none" w:sz="0" w:space="0" w:color="auto"/>
        <w:bottom w:val="none" w:sz="0" w:space="0" w:color="auto"/>
        <w:right w:val="none" w:sz="0" w:space="0" w:color="auto"/>
      </w:divBdr>
    </w:div>
    <w:div w:id="1513907776">
      <w:bodyDiv w:val="1"/>
      <w:marLeft w:val="0"/>
      <w:marRight w:val="0"/>
      <w:marTop w:val="0"/>
      <w:marBottom w:val="0"/>
      <w:divBdr>
        <w:top w:val="none" w:sz="0" w:space="0" w:color="auto"/>
        <w:left w:val="none" w:sz="0" w:space="0" w:color="auto"/>
        <w:bottom w:val="none" w:sz="0" w:space="0" w:color="auto"/>
        <w:right w:val="none" w:sz="0" w:space="0" w:color="auto"/>
      </w:divBdr>
    </w:div>
    <w:div w:id="1513958794">
      <w:bodyDiv w:val="1"/>
      <w:marLeft w:val="0"/>
      <w:marRight w:val="0"/>
      <w:marTop w:val="0"/>
      <w:marBottom w:val="0"/>
      <w:divBdr>
        <w:top w:val="none" w:sz="0" w:space="0" w:color="auto"/>
        <w:left w:val="none" w:sz="0" w:space="0" w:color="auto"/>
        <w:bottom w:val="none" w:sz="0" w:space="0" w:color="auto"/>
        <w:right w:val="none" w:sz="0" w:space="0" w:color="auto"/>
      </w:divBdr>
    </w:div>
    <w:div w:id="1514219954">
      <w:bodyDiv w:val="1"/>
      <w:marLeft w:val="0"/>
      <w:marRight w:val="0"/>
      <w:marTop w:val="0"/>
      <w:marBottom w:val="0"/>
      <w:divBdr>
        <w:top w:val="none" w:sz="0" w:space="0" w:color="auto"/>
        <w:left w:val="none" w:sz="0" w:space="0" w:color="auto"/>
        <w:bottom w:val="none" w:sz="0" w:space="0" w:color="auto"/>
        <w:right w:val="none" w:sz="0" w:space="0" w:color="auto"/>
      </w:divBdr>
    </w:div>
    <w:div w:id="1514808486">
      <w:bodyDiv w:val="1"/>
      <w:marLeft w:val="0"/>
      <w:marRight w:val="0"/>
      <w:marTop w:val="0"/>
      <w:marBottom w:val="0"/>
      <w:divBdr>
        <w:top w:val="none" w:sz="0" w:space="0" w:color="auto"/>
        <w:left w:val="none" w:sz="0" w:space="0" w:color="auto"/>
        <w:bottom w:val="none" w:sz="0" w:space="0" w:color="auto"/>
        <w:right w:val="none" w:sz="0" w:space="0" w:color="auto"/>
      </w:divBdr>
    </w:div>
    <w:div w:id="1515147004">
      <w:bodyDiv w:val="1"/>
      <w:marLeft w:val="0"/>
      <w:marRight w:val="0"/>
      <w:marTop w:val="0"/>
      <w:marBottom w:val="0"/>
      <w:divBdr>
        <w:top w:val="none" w:sz="0" w:space="0" w:color="auto"/>
        <w:left w:val="none" w:sz="0" w:space="0" w:color="auto"/>
        <w:bottom w:val="none" w:sz="0" w:space="0" w:color="auto"/>
        <w:right w:val="none" w:sz="0" w:space="0" w:color="auto"/>
      </w:divBdr>
    </w:div>
    <w:div w:id="1515413289">
      <w:bodyDiv w:val="1"/>
      <w:marLeft w:val="0"/>
      <w:marRight w:val="0"/>
      <w:marTop w:val="0"/>
      <w:marBottom w:val="0"/>
      <w:divBdr>
        <w:top w:val="none" w:sz="0" w:space="0" w:color="auto"/>
        <w:left w:val="none" w:sz="0" w:space="0" w:color="auto"/>
        <w:bottom w:val="none" w:sz="0" w:space="0" w:color="auto"/>
        <w:right w:val="none" w:sz="0" w:space="0" w:color="auto"/>
      </w:divBdr>
    </w:div>
    <w:div w:id="1516110812">
      <w:bodyDiv w:val="1"/>
      <w:marLeft w:val="0"/>
      <w:marRight w:val="0"/>
      <w:marTop w:val="0"/>
      <w:marBottom w:val="0"/>
      <w:divBdr>
        <w:top w:val="none" w:sz="0" w:space="0" w:color="auto"/>
        <w:left w:val="none" w:sz="0" w:space="0" w:color="auto"/>
        <w:bottom w:val="none" w:sz="0" w:space="0" w:color="auto"/>
        <w:right w:val="none" w:sz="0" w:space="0" w:color="auto"/>
      </w:divBdr>
    </w:div>
    <w:div w:id="1516456139">
      <w:bodyDiv w:val="1"/>
      <w:marLeft w:val="0"/>
      <w:marRight w:val="0"/>
      <w:marTop w:val="0"/>
      <w:marBottom w:val="0"/>
      <w:divBdr>
        <w:top w:val="none" w:sz="0" w:space="0" w:color="auto"/>
        <w:left w:val="none" w:sz="0" w:space="0" w:color="auto"/>
        <w:bottom w:val="none" w:sz="0" w:space="0" w:color="auto"/>
        <w:right w:val="none" w:sz="0" w:space="0" w:color="auto"/>
      </w:divBdr>
    </w:div>
    <w:div w:id="1516461767">
      <w:bodyDiv w:val="1"/>
      <w:marLeft w:val="0"/>
      <w:marRight w:val="0"/>
      <w:marTop w:val="0"/>
      <w:marBottom w:val="0"/>
      <w:divBdr>
        <w:top w:val="none" w:sz="0" w:space="0" w:color="auto"/>
        <w:left w:val="none" w:sz="0" w:space="0" w:color="auto"/>
        <w:bottom w:val="none" w:sz="0" w:space="0" w:color="auto"/>
        <w:right w:val="none" w:sz="0" w:space="0" w:color="auto"/>
      </w:divBdr>
    </w:div>
    <w:div w:id="1516578999">
      <w:bodyDiv w:val="1"/>
      <w:marLeft w:val="0"/>
      <w:marRight w:val="0"/>
      <w:marTop w:val="0"/>
      <w:marBottom w:val="0"/>
      <w:divBdr>
        <w:top w:val="none" w:sz="0" w:space="0" w:color="auto"/>
        <w:left w:val="none" w:sz="0" w:space="0" w:color="auto"/>
        <w:bottom w:val="none" w:sz="0" w:space="0" w:color="auto"/>
        <w:right w:val="none" w:sz="0" w:space="0" w:color="auto"/>
      </w:divBdr>
    </w:div>
    <w:div w:id="1517622592">
      <w:bodyDiv w:val="1"/>
      <w:marLeft w:val="0"/>
      <w:marRight w:val="0"/>
      <w:marTop w:val="0"/>
      <w:marBottom w:val="0"/>
      <w:divBdr>
        <w:top w:val="none" w:sz="0" w:space="0" w:color="auto"/>
        <w:left w:val="none" w:sz="0" w:space="0" w:color="auto"/>
        <w:bottom w:val="none" w:sz="0" w:space="0" w:color="auto"/>
        <w:right w:val="none" w:sz="0" w:space="0" w:color="auto"/>
      </w:divBdr>
    </w:div>
    <w:div w:id="1517841373">
      <w:bodyDiv w:val="1"/>
      <w:marLeft w:val="0"/>
      <w:marRight w:val="0"/>
      <w:marTop w:val="0"/>
      <w:marBottom w:val="0"/>
      <w:divBdr>
        <w:top w:val="none" w:sz="0" w:space="0" w:color="auto"/>
        <w:left w:val="none" w:sz="0" w:space="0" w:color="auto"/>
        <w:bottom w:val="none" w:sz="0" w:space="0" w:color="auto"/>
        <w:right w:val="none" w:sz="0" w:space="0" w:color="auto"/>
      </w:divBdr>
    </w:div>
    <w:div w:id="1517964233">
      <w:bodyDiv w:val="1"/>
      <w:marLeft w:val="0"/>
      <w:marRight w:val="0"/>
      <w:marTop w:val="0"/>
      <w:marBottom w:val="0"/>
      <w:divBdr>
        <w:top w:val="none" w:sz="0" w:space="0" w:color="auto"/>
        <w:left w:val="none" w:sz="0" w:space="0" w:color="auto"/>
        <w:bottom w:val="none" w:sz="0" w:space="0" w:color="auto"/>
        <w:right w:val="none" w:sz="0" w:space="0" w:color="auto"/>
      </w:divBdr>
    </w:div>
    <w:div w:id="1518694642">
      <w:bodyDiv w:val="1"/>
      <w:marLeft w:val="0"/>
      <w:marRight w:val="0"/>
      <w:marTop w:val="0"/>
      <w:marBottom w:val="0"/>
      <w:divBdr>
        <w:top w:val="none" w:sz="0" w:space="0" w:color="auto"/>
        <w:left w:val="none" w:sz="0" w:space="0" w:color="auto"/>
        <w:bottom w:val="none" w:sz="0" w:space="0" w:color="auto"/>
        <w:right w:val="none" w:sz="0" w:space="0" w:color="auto"/>
      </w:divBdr>
    </w:div>
    <w:div w:id="1519081262">
      <w:bodyDiv w:val="1"/>
      <w:marLeft w:val="0"/>
      <w:marRight w:val="0"/>
      <w:marTop w:val="0"/>
      <w:marBottom w:val="0"/>
      <w:divBdr>
        <w:top w:val="none" w:sz="0" w:space="0" w:color="auto"/>
        <w:left w:val="none" w:sz="0" w:space="0" w:color="auto"/>
        <w:bottom w:val="none" w:sz="0" w:space="0" w:color="auto"/>
        <w:right w:val="none" w:sz="0" w:space="0" w:color="auto"/>
      </w:divBdr>
    </w:div>
    <w:div w:id="1520318329">
      <w:bodyDiv w:val="1"/>
      <w:marLeft w:val="0"/>
      <w:marRight w:val="0"/>
      <w:marTop w:val="0"/>
      <w:marBottom w:val="0"/>
      <w:divBdr>
        <w:top w:val="none" w:sz="0" w:space="0" w:color="auto"/>
        <w:left w:val="none" w:sz="0" w:space="0" w:color="auto"/>
        <w:bottom w:val="none" w:sz="0" w:space="0" w:color="auto"/>
        <w:right w:val="none" w:sz="0" w:space="0" w:color="auto"/>
      </w:divBdr>
    </w:div>
    <w:div w:id="1520969647">
      <w:bodyDiv w:val="1"/>
      <w:marLeft w:val="0"/>
      <w:marRight w:val="0"/>
      <w:marTop w:val="0"/>
      <w:marBottom w:val="0"/>
      <w:divBdr>
        <w:top w:val="none" w:sz="0" w:space="0" w:color="auto"/>
        <w:left w:val="none" w:sz="0" w:space="0" w:color="auto"/>
        <w:bottom w:val="none" w:sz="0" w:space="0" w:color="auto"/>
        <w:right w:val="none" w:sz="0" w:space="0" w:color="auto"/>
      </w:divBdr>
      <w:divsChild>
        <w:div w:id="298538746">
          <w:marLeft w:val="0"/>
          <w:marRight w:val="0"/>
          <w:marTop w:val="0"/>
          <w:marBottom w:val="0"/>
          <w:divBdr>
            <w:top w:val="none" w:sz="0" w:space="0" w:color="auto"/>
            <w:left w:val="none" w:sz="0" w:space="0" w:color="auto"/>
            <w:bottom w:val="none" w:sz="0" w:space="0" w:color="auto"/>
            <w:right w:val="none" w:sz="0" w:space="0" w:color="auto"/>
          </w:divBdr>
        </w:div>
        <w:div w:id="1731070457">
          <w:marLeft w:val="0"/>
          <w:marRight w:val="0"/>
          <w:marTop w:val="0"/>
          <w:marBottom w:val="0"/>
          <w:divBdr>
            <w:top w:val="none" w:sz="0" w:space="0" w:color="auto"/>
            <w:left w:val="none" w:sz="0" w:space="0" w:color="auto"/>
            <w:bottom w:val="none" w:sz="0" w:space="0" w:color="auto"/>
            <w:right w:val="none" w:sz="0" w:space="0" w:color="auto"/>
          </w:divBdr>
        </w:div>
      </w:divsChild>
    </w:div>
    <w:div w:id="1521162759">
      <w:bodyDiv w:val="1"/>
      <w:marLeft w:val="0"/>
      <w:marRight w:val="0"/>
      <w:marTop w:val="0"/>
      <w:marBottom w:val="0"/>
      <w:divBdr>
        <w:top w:val="none" w:sz="0" w:space="0" w:color="auto"/>
        <w:left w:val="none" w:sz="0" w:space="0" w:color="auto"/>
        <w:bottom w:val="none" w:sz="0" w:space="0" w:color="auto"/>
        <w:right w:val="none" w:sz="0" w:space="0" w:color="auto"/>
      </w:divBdr>
    </w:div>
    <w:div w:id="1521236768">
      <w:bodyDiv w:val="1"/>
      <w:marLeft w:val="0"/>
      <w:marRight w:val="0"/>
      <w:marTop w:val="0"/>
      <w:marBottom w:val="0"/>
      <w:divBdr>
        <w:top w:val="none" w:sz="0" w:space="0" w:color="auto"/>
        <w:left w:val="none" w:sz="0" w:space="0" w:color="auto"/>
        <w:bottom w:val="none" w:sz="0" w:space="0" w:color="auto"/>
        <w:right w:val="none" w:sz="0" w:space="0" w:color="auto"/>
      </w:divBdr>
    </w:div>
    <w:div w:id="1521352869">
      <w:bodyDiv w:val="1"/>
      <w:marLeft w:val="0"/>
      <w:marRight w:val="0"/>
      <w:marTop w:val="0"/>
      <w:marBottom w:val="0"/>
      <w:divBdr>
        <w:top w:val="none" w:sz="0" w:space="0" w:color="auto"/>
        <w:left w:val="none" w:sz="0" w:space="0" w:color="auto"/>
        <w:bottom w:val="none" w:sz="0" w:space="0" w:color="auto"/>
        <w:right w:val="none" w:sz="0" w:space="0" w:color="auto"/>
      </w:divBdr>
    </w:div>
    <w:div w:id="1521356744">
      <w:bodyDiv w:val="1"/>
      <w:marLeft w:val="0"/>
      <w:marRight w:val="0"/>
      <w:marTop w:val="0"/>
      <w:marBottom w:val="0"/>
      <w:divBdr>
        <w:top w:val="none" w:sz="0" w:space="0" w:color="auto"/>
        <w:left w:val="none" w:sz="0" w:space="0" w:color="auto"/>
        <w:bottom w:val="none" w:sz="0" w:space="0" w:color="auto"/>
        <w:right w:val="none" w:sz="0" w:space="0" w:color="auto"/>
      </w:divBdr>
    </w:div>
    <w:div w:id="1522012839">
      <w:bodyDiv w:val="1"/>
      <w:marLeft w:val="0"/>
      <w:marRight w:val="0"/>
      <w:marTop w:val="0"/>
      <w:marBottom w:val="0"/>
      <w:divBdr>
        <w:top w:val="none" w:sz="0" w:space="0" w:color="auto"/>
        <w:left w:val="none" w:sz="0" w:space="0" w:color="auto"/>
        <w:bottom w:val="none" w:sz="0" w:space="0" w:color="auto"/>
        <w:right w:val="none" w:sz="0" w:space="0" w:color="auto"/>
      </w:divBdr>
    </w:div>
    <w:div w:id="1522280013">
      <w:bodyDiv w:val="1"/>
      <w:marLeft w:val="0"/>
      <w:marRight w:val="0"/>
      <w:marTop w:val="0"/>
      <w:marBottom w:val="0"/>
      <w:divBdr>
        <w:top w:val="none" w:sz="0" w:space="0" w:color="auto"/>
        <w:left w:val="none" w:sz="0" w:space="0" w:color="auto"/>
        <w:bottom w:val="none" w:sz="0" w:space="0" w:color="auto"/>
        <w:right w:val="none" w:sz="0" w:space="0" w:color="auto"/>
      </w:divBdr>
    </w:div>
    <w:div w:id="1522402799">
      <w:bodyDiv w:val="1"/>
      <w:marLeft w:val="0"/>
      <w:marRight w:val="0"/>
      <w:marTop w:val="0"/>
      <w:marBottom w:val="0"/>
      <w:divBdr>
        <w:top w:val="none" w:sz="0" w:space="0" w:color="auto"/>
        <w:left w:val="none" w:sz="0" w:space="0" w:color="auto"/>
        <w:bottom w:val="none" w:sz="0" w:space="0" w:color="auto"/>
        <w:right w:val="none" w:sz="0" w:space="0" w:color="auto"/>
      </w:divBdr>
    </w:div>
    <w:div w:id="1522930958">
      <w:bodyDiv w:val="1"/>
      <w:marLeft w:val="0"/>
      <w:marRight w:val="0"/>
      <w:marTop w:val="0"/>
      <w:marBottom w:val="0"/>
      <w:divBdr>
        <w:top w:val="none" w:sz="0" w:space="0" w:color="auto"/>
        <w:left w:val="none" w:sz="0" w:space="0" w:color="auto"/>
        <w:bottom w:val="none" w:sz="0" w:space="0" w:color="auto"/>
        <w:right w:val="none" w:sz="0" w:space="0" w:color="auto"/>
      </w:divBdr>
    </w:div>
    <w:div w:id="1523206326">
      <w:bodyDiv w:val="1"/>
      <w:marLeft w:val="0"/>
      <w:marRight w:val="0"/>
      <w:marTop w:val="0"/>
      <w:marBottom w:val="0"/>
      <w:divBdr>
        <w:top w:val="none" w:sz="0" w:space="0" w:color="auto"/>
        <w:left w:val="none" w:sz="0" w:space="0" w:color="auto"/>
        <w:bottom w:val="none" w:sz="0" w:space="0" w:color="auto"/>
        <w:right w:val="none" w:sz="0" w:space="0" w:color="auto"/>
      </w:divBdr>
    </w:div>
    <w:div w:id="1523396738">
      <w:bodyDiv w:val="1"/>
      <w:marLeft w:val="0"/>
      <w:marRight w:val="0"/>
      <w:marTop w:val="0"/>
      <w:marBottom w:val="0"/>
      <w:divBdr>
        <w:top w:val="none" w:sz="0" w:space="0" w:color="auto"/>
        <w:left w:val="none" w:sz="0" w:space="0" w:color="auto"/>
        <w:bottom w:val="none" w:sz="0" w:space="0" w:color="auto"/>
        <w:right w:val="none" w:sz="0" w:space="0" w:color="auto"/>
      </w:divBdr>
    </w:div>
    <w:div w:id="1525316643">
      <w:bodyDiv w:val="1"/>
      <w:marLeft w:val="0"/>
      <w:marRight w:val="0"/>
      <w:marTop w:val="0"/>
      <w:marBottom w:val="0"/>
      <w:divBdr>
        <w:top w:val="none" w:sz="0" w:space="0" w:color="auto"/>
        <w:left w:val="none" w:sz="0" w:space="0" w:color="auto"/>
        <w:bottom w:val="none" w:sz="0" w:space="0" w:color="auto"/>
        <w:right w:val="none" w:sz="0" w:space="0" w:color="auto"/>
      </w:divBdr>
    </w:div>
    <w:div w:id="1525750522">
      <w:bodyDiv w:val="1"/>
      <w:marLeft w:val="0"/>
      <w:marRight w:val="0"/>
      <w:marTop w:val="0"/>
      <w:marBottom w:val="0"/>
      <w:divBdr>
        <w:top w:val="none" w:sz="0" w:space="0" w:color="auto"/>
        <w:left w:val="none" w:sz="0" w:space="0" w:color="auto"/>
        <w:bottom w:val="none" w:sz="0" w:space="0" w:color="auto"/>
        <w:right w:val="none" w:sz="0" w:space="0" w:color="auto"/>
      </w:divBdr>
    </w:div>
    <w:div w:id="1525945609">
      <w:bodyDiv w:val="1"/>
      <w:marLeft w:val="0"/>
      <w:marRight w:val="0"/>
      <w:marTop w:val="0"/>
      <w:marBottom w:val="0"/>
      <w:divBdr>
        <w:top w:val="none" w:sz="0" w:space="0" w:color="auto"/>
        <w:left w:val="none" w:sz="0" w:space="0" w:color="auto"/>
        <w:bottom w:val="none" w:sz="0" w:space="0" w:color="auto"/>
        <w:right w:val="none" w:sz="0" w:space="0" w:color="auto"/>
      </w:divBdr>
    </w:div>
    <w:div w:id="1526363775">
      <w:bodyDiv w:val="1"/>
      <w:marLeft w:val="0"/>
      <w:marRight w:val="0"/>
      <w:marTop w:val="0"/>
      <w:marBottom w:val="0"/>
      <w:divBdr>
        <w:top w:val="none" w:sz="0" w:space="0" w:color="auto"/>
        <w:left w:val="none" w:sz="0" w:space="0" w:color="auto"/>
        <w:bottom w:val="none" w:sz="0" w:space="0" w:color="auto"/>
        <w:right w:val="none" w:sz="0" w:space="0" w:color="auto"/>
      </w:divBdr>
    </w:div>
    <w:div w:id="1526407715">
      <w:bodyDiv w:val="1"/>
      <w:marLeft w:val="0"/>
      <w:marRight w:val="0"/>
      <w:marTop w:val="0"/>
      <w:marBottom w:val="0"/>
      <w:divBdr>
        <w:top w:val="none" w:sz="0" w:space="0" w:color="auto"/>
        <w:left w:val="none" w:sz="0" w:space="0" w:color="auto"/>
        <w:bottom w:val="none" w:sz="0" w:space="0" w:color="auto"/>
        <w:right w:val="none" w:sz="0" w:space="0" w:color="auto"/>
      </w:divBdr>
    </w:div>
    <w:div w:id="1526674985">
      <w:bodyDiv w:val="1"/>
      <w:marLeft w:val="0"/>
      <w:marRight w:val="0"/>
      <w:marTop w:val="0"/>
      <w:marBottom w:val="0"/>
      <w:divBdr>
        <w:top w:val="none" w:sz="0" w:space="0" w:color="auto"/>
        <w:left w:val="none" w:sz="0" w:space="0" w:color="auto"/>
        <w:bottom w:val="none" w:sz="0" w:space="0" w:color="auto"/>
        <w:right w:val="none" w:sz="0" w:space="0" w:color="auto"/>
      </w:divBdr>
    </w:div>
    <w:div w:id="1526746394">
      <w:bodyDiv w:val="1"/>
      <w:marLeft w:val="0"/>
      <w:marRight w:val="0"/>
      <w:marTop w:val="0"/>
      <w:marBottom w:val="0"/>
      <w:divBdr>
        <w:top w:val="none" w:sz="0" w:space="0" w:color="auto"/>
        <w:left w:val="none" w:sz="0" w:space="0" w:color="auto"/>
        <w:bottom w:val="none" w:sz="0" w:space="0" w:color="auto"/>
        <w:right w:val="none" w:sz="0" w:space="0" w:color="auto"/>
      </w:divBdr>
    </w:div>
    <w:div w:id="1527014609">
      <w:bodyDiv w:val="1"/>
      <w:marLeft w:val="0"/>
      <w:marRight w:val="0"/>
      <w:marTop w:val="0"/>
      <w:marBottom w:val="0"/>
      <w:divBdr>
        <w:top w:val="none" w:sz="0" w:space="0" w:color="auto"/>
        <w:left w:val="none" w:sz="0" w:space="0" w:color="auto"/>
        <w:bottom w:val="none" w:sz="0" w:space="0" w:color="auto"/>
        <w:right w:val="none" w:sz="0" w:space="0" w:color="auto"/>
      </w:divBdr>
    </w:div>
    <w:div w:id="1527987428">
      <w:bodyDiv w:val="1"/>
      <w:marLeft w:val="0"/>
      <w:marRight w:val="0"/>
      <w:marTop w:val="0"/>
      <w:marBottom w:val="0"/>
      <w:divBdr>
        <w:top w:val="none" w:sz="0" w:space="0" w:color="auto"/>
        <w:left w:val="none" w:sz="0" w:space="0" w:color="auto"/>
        <w:bottom w:val="none" w:sz="0" w:space="0" w:color="auto"/>
        <w:right w:val="none" w:sz="0" w:space="0" w:color="auto"/>
      </w:divBdr>
    </w:div>
    <w:div w:id="1528056081">
      <w:bodyDiv w:val="1"/>
      <w:marLeft w:val="0"/>
      <w:marRight w:val="0"/>
      <w:marTop w:val="0"/>
      <w:marBottom w:val="0"/>
      <w:divBdr>
        <w:top w:val="none" w:sz="0" w:space="0" w:color="auto"/>
        <w:left w:val="none" w:sz="0" w:space="0" w:color="auto"/>
        <w:bottom w:val="none" w:sz="0" w:space="0" w:color="auto"/>
        <w:right w:val="none" w:sz="0" w:space="0" w:color="auto"/>
      </w:divBdr>
    </w:div>
    <w:div w:id="1528059715">
      <w:bodyDiv w:val="1"/>
      <w:marLeft w:val="0"/>
      <w:marRight w:val="0"/>
      <w:marTop w:val="0"/>
      <w:marBottom w:val="0"/>
      <w:divBdr>
        <w:top w:val="none" w:sz="0" w:space="0" w:color="auto"/>
        <w:left w:val="none" w:sz="0" w:space="0" w:color="auto"/>
        <w:bottom w:val="none" w:sz="0" w:space="0" w:color="auto"/>
        <w:right w:val="none" w:sz="0" w:space="0" w:color="auto"/>
      </w:divBdr>
    </w:div>
    <w:div w:id="1528063935">
      <w:bodyDiv w:val="1"/>
      <w:marLeft w:val="0"/>
      <w:marRight w:val="0"/>
      <w:marTop w:val="0"/>
      <w:marBottom w:val="0"/>
      <w:divBdr>
        <w:top w:val="none" w:sz="0" w:space="0" w:color="auto"/>
        <w:left w:val="none" w:sz="0" w:space="0" w:color="auto"/>
        <w:bottom w:val="none" w:sz="0" w:space="0" w:color="auto"/>
        <w:right w:val="none" w:sz="0" w:space="0" w:color="auto"/>
      </w:divBdr>
    </w:div>
    <w:div w:id="1528131785">
      <w:bodyDiv w:val="1"/>
      <w:marLeft w:val="0"/>
      <w:marRight w:val="0"/>
      <w:marTop w:val="0"/>
      <w:marBottom w:val="0"/>
      <w:divBdr>
        <w:top w:val="none" w:sz="0" w:space="0" w:color="auto"/>
        <w:left w:val="none" w:sz="0" w:space="0" w:color="auto"/>
        <w:bottom w:val="none" w:sz="0" w:space="0" w:color="auto"/>
        <w:right w:val="none" w:sz="0" w:space="0" w:color="auto"/>
      </w:divBdr>
    </w:div>
    <w:div w:id="1528907982">
      <w:bodyDiv w:val="1"/>
      <w:marLeft w:val="0"/>
      <w:marRight w:val="0"/>
      <w:marTop w:val="0"/>
      <w:marBottom w:val="0"/>
      <w:divBdr>
        <w:top w:val="none" w:sz="0" w:space="0" w:color="auto"/>
        <w:left w:val="none" w:sz="0" w:space="0" w:color="auto"/>
        <w:bottom w:val="none" w:sz="0" w:space="0" w:color="auto"/>
        <w:right w:val="none" w:sz="0" w:space="0" w:color="auto"/>
      </w:divBdr>
    </w:div>
    <w:div w:id="1529561669">
      <w:bodyDiv w:val="1"/>
      <w:marLeft w:val="0"/>
      <w:marRight w:val="0"/>
      <w:marTop w:val="0"/>
      <w:marBottom w:val="0"/>
      <w:divBdr>
        <w:top w:val="none" w:sz="0" w:space="0" w:color="auto"/>
        <w:left w:val="none" w:sz="0" w:space="0" w:color="auto"/>
        <w:bottom w:val="none" w:sz="0" w:space="0" w:color="auto"/>
        <w:right w:val="none" w:sz="0" w:space="0" w:color="auto"/>
      </w:divBdr>
    </w:div>
    <w:div w:id="1531065528">
      <w:bodyDiv w:val="1"/>
      <w:marLeft w:val="0"/>
      <w:marRight w:val="0"/>
      <w:marTop w:val="0"/>
      <w:marBottom w:val="0"/>
      <w:divBdr>
        <w:top w:val="none" w:sz="0" w:space="0" w:color="auto"/>
        <w:left w:val="none" w:sz="0" w:space="0" w:color="auto"/>
        <w:bottom w:val="none" w:sz="0" w:space="0" w:color="auto"/>
        <w:right w:val="none" w:sz="0" w:space="0" w:color="auto"/>
      </w:divBdr>
    </w:div>
    <w:div w:id="1531190145">
      <w:bodyDiv w:val="1"/>
      <w:marLeft w:val="0"/>
      <w:marRight w:val="0"/>
      <w:marTop w:val="0"/>
      <w:marBottom w:val="0"/>
      <w:divBdr>
        <w:top w:val="none" w:sz="0" w:space="0" w:color="auto"/>
        <w:left w:val="none" w:sz="0" w:space="0" w:color="auto"/>
        <w:bottom w:val="none" w:sz="0" w:space="0" w:color="auto"/>
        <w:right w:val="none" w:sz="0" w:space="0" w:color="auto"/>
      </w:divBdr>
    </w:div>
    <w:div w:id="1531337229">
      <w:bodyDiv w:val="1"/>
      <w:marLeft w:val="0"/>
      <w:marRight w:val="0"/>
      <w:marTop w:val="0"/>
      <w:marBottom w:val="0"/>
      <w:divBdr>
        <w:top w:val="none" w:sz="0" w:space="0" w:color="auto"/>
        <w:left w:val="none" w:sz="0" w:space="0" w:color="auto"/>
        <w:bottom w:val="none" w:sz="0" w:space="0" w:color="auto"/>
        <w:right w:val="none" w:sz="0" w:space="0" w:color="auto"/>
      </w:divBdr>
    </w:div>
    <w:div w:id="1531839911">
      <w:bodyDiv w:val="1"/>
      <w:marLeft w:val="0"/>
      <w:marRight w:val="0"/>
      <w:marTop w:val="0"/>
      <w:marBottom w:val="0"/>
      <w:divBdr>
        <w:top w:val="none" w:sz="0" w:space="0" w:color="auto"/>
        <w:left w:val="none" w:sz="0" w:space="0" w:color="auto"/>
        <w:bottom w:val="none" w:sz="0" w:space="0" w:color="auto"/>
        <w:right w:val="none" w:sz="0" w:space="0" w:color="auto"/>
      </w:divBdr>
    </w:div>
    <w:div w:id="1532108084">
      <w:bodyDiv w:val="1"/>
      <w:marLeft w:val="0"/>
      <w:marRight w:val="0"/>
      <w:marTop w:val="0"/>
      <w:marBottom w:val="0"/>
      <w:divBdr>
        <w:top w:val="none" w:sz="0" w:space="0" w:color="auto"/>
        <w:left w:val="none" w:sz="0" w:space="0" w:color="auto"/>
        <w:bottom w:val="none" w:sz="0" w:space="0" w:color="auto"/>
        <w:right w:val="none" w:sz="0" w:space="0" w:color="auto"/>
      </w:divBdr>
    </w:div>
    <w:div w:id="1532768437">
      <w:bodyDiv w:val="1"/>
      <w:marLeft w:val="0"/>
      <w:marRight w:val="0"/>
      <w:marTop w:val="0"/>
      <w:marBottom w:val="0"/>
      <w:divBdr>
        <w:top w:val="none" w:sz="0" w:space="0" w:color="auto"/>
        <w:left w:val="none" w:sz="0" w:space="0" w:color="auto"/>
        <w:bottom w:val="none" w:sz="0" w:space="0" w:color="auto"/>
        <w:right w:val="none" w:sz="0" w:space="0" w:color="auto"/>
      </w:divBdr>
    </w:div>
    <w:div w:id="1532913074">
      <w:bodyDiv w:val="1"/>
      <w:marLeft w:val="0"/>
      <w:marRight w:val="0"/>
      <w:marTop w:val="0"/>
      <w:marBottom w:val="0"/>
      <w:divBdr>
        <w:top w:val="none" w:sz="0" w:space="0" w:color="auto"/>
        <w:left w:val="none" w:sz="0" w:space="0" w:color="auto"/>
        <w:bottom w:val="none" w:sz="0" w:space="0" w:color="auto"/>
        <w:right w:val="none" w:sz="0" w:space="0" w:color="auto"/>
      </w:divBdr>
    </w:div>
    <w:div w:id="1532914988">
      <w:bodyDiv w:val="1"/>
      <w:marLeft w:val="0"/>
      <w:marRight w:val="0"/>
      <w:marTop w:val="0"/>
      <w:marBottom w:val="0"/>
      <w:divBdr>
        <w:top w:val="none" w:sz="0" w:space="0" w:color="auto"/>
        <w:left w:val="none" w:sz="0" w:space="0" w:color="auto"/>
        <w:bottom w:val="none" w:sz="0" w:space="0" w:color="auto"/>
        <w:right w:val="none" w:sz="0" w:space="0" w:color="auto"/>
      </w:divBdr>
    </w:div>
    <w:div w:id="1533686275">
      <w:bodyDiv w:val="1"/>
      <w:marLeft w:val="0"/>
      <w:marRight w:val="0"/>
      <w:marTop w:val="0"/>
      <w:marBottom w:val="0"/>
      <w:divBdr>
        <w:top w:val="none" w:sz="0" w:space="0" w:color="auto"/>
        <w:left w:val="none" w:sz="0" w:space="0" w:color="auto"/>
        <w:bottom w:val="none" w:sz="0" w:space="0" w:color="auto"/>
        <w:right w:val="none" w:sz="0" w:space="0" w:color="auto"/>
      </w:divBdr>
    </w:div>
    <w:div w:id="1534151316">
      <w:bodyDiv w:val="1"/>
      <w:marLeft w:val="0"/>
      <w:marRight w:val="0"/>
      <w:marTop w:val="0"/>
      <w:marBottom w:val="0"/>
      <w:divBdr>
        <w:top w:val="none" w:sz="0" w:space="0" w:color="auto"/>
        <w:left w:val="none" w:sz="0" w:space="0" w:color="auto"/>
        <w:bottom w:val="none" w:sz="0" w:space="0" w:color="auto"/>
        <w:right w:val="none" w:sz="0" w:space="0" w:color="auto"/>
      </w:divBdr>
    </w:div>
    <w:div w:id="1534270479">
      <w:bodyDiv w:val="1"/>
      <w:marLeft w:val="0"/>
      <w:marRight w:val="0"/>
      <w:marTop w:val="0"/>
      <w:marBottom w:val="0"/>
      <w:divBdr>
        <w:top w:val="none" w:sz="0" w:space="0" w:color="auto"/>
        <w:left w:val="none" w:sz="0" w:space="0" w:color="auto"/>
        <w:bottom w:val="none" w:sz="0" w:space="0" w:color="auto"/>
        <w:right w:val="none" w:sz="0" w:space="0" w:color="auto"/>
      </w:divBdr>
    </w:div>
    <w:div w:id="1534688964">
      <w:bodyDiv w:val="1"/>
      <w:marLeft w:val="0"/>
      <w:marRight w:val="0"/>
      <w:marTop w:val="0"/>
      <w:marBottom w:val="0"/>
      <w:divBdr>
        <w:top w:val="none" w:sz="0" w:space="0" w:color="auto"/>
        <w:left w:val="none" w:sz="0" w:space="0" w:color="auto"/>
        <w:bottom w:val="none" w:sz="0" w:space="0" w:color="auto"/>
        <w:right w:val="none" w:sz="0" w:space="0" w:color="auto"/>
      </w:divBdr>
    </w:div>
    <w:div w:id="1535002839">
      <w:bodyDiv w:val="1"/>
      <w:marLeft w:val="0"/>
      <w:marRight w:val="0"/>
      <w:marTop w:val="0"/>
      <w:marBottom w:val="0"/>
      <w:divBdr>
        <w:top w:val="none" w:sz="0" w:space="0" w:color="auto"/>
        <w:left w:val="none" w:sz="0" w:space="0" w:color="auto"/>
        <w:bottom w:val="none" w:sz="0" w:space="0" w:color="auto"/>
        <w:right w:val="none" w:sz="0" w:space="0" w:color="auto"/>
      </w:divBdr>
    </w:div>
    <w:div w:id="1535656499">
      <w:bodyDiv w:val="1"/>
      <w:marLeft w:val="0"/>
      <w:marRight w:val="0"/>
      <w:marTop w:val="0"/>
      <w:marBottom w:val="0"/>
      <w:divBdr>
        <w:top w:val="none" w:sz="0" w:space="0" w:color="auto"/>
        <w:left w:val="none" w:sz="0" w:space="0" w:color="auto"/>
        <w:bottom w:val="none" w:sz="0" w:space="0" w:color="auto"/>
        <w:right w:val="none" w:sz="0" w:space="0" w:color="auto"/>
      </w:divBdr>
    </w:div>
    <w:div w:id="1535726277">
      <w:bodyDiv w:val="1"/>
      <w:marLeft w:val="0"/>
      <w:marRight w:val="0"/>
      <w:marTop w:val="0"/>
      <w:marBottom w:val="0"/>
      <w:divBdr>
        <w:top w:val="none" w:sz="0" w:space="0" w:color="auto"/>
        <w:left w:val="none" w:sz="0" w:space="0" w:color="auto"/>
        <w:bottom w:val="none" w:sz="0" w:space="0" w:color="auto"/>
        <w:right w:val="none" w:sz="0" w:space="0" w:color="auto"/>
      </w:divBdr>
    </w:div>
    <w:div w:id="1535729428">
      <w:bodyDiv w:val="1"/>
      <w:marLeft w:val="0"/>
      <w:marRight w:val="0"/>
      <w:marTop w:val="0"/>
      <w:marBottom w:val="0"/>
      <w:divBdr>
        <w:top w:val="none" w:sz="0" w:space="0" w:color="auto"/>
        <w:left w:val="none" w:sz="0" w:space="0" w:color="auto"/>
        <w:bottom w:val="none" w:sz="0" w:space="0" w:color="auto"/>
        <w:right w:val="none" w:sz="0" w:space="0" w:color="auto"/>
      </w:divBdr>
    </w:div>
    <w:div w:id="1536313822">
      <w:bodyDiv w:val="1"/>
      <w:marLeft w:val="0"/>
      <w:marRight w:val="0"/>
      <w:marTop w:val="0"/>
      <w:marBottom w:val="0"/>
      <w:divBdr>
        <w:top w:val="none" w:sz="0" w:space="0" w:color="auto"/>
        <w:left w:val="none" w:sz="0" w:space="0" w:color="auto"/>
        <w:bottom w:val="none" w:sz="0" w:space="0" w:color="auto"/>
        <w:right w:val="none" w:sz="0" w:space="0" w:color="auto"/>
      </w:divBdr>
    </w:div>
    <w:div w:id="1536429657">
      <w:bodyDiv w:val="1"/>
      <w:marLeft w:val="0"/>
      <w:marRight w:val="0"/>
      <w:marTop w:val="0"/>
      <w:marBottom w:val="0"/>
      <w:divBdr>
        <w:top w:val="none" w:sz="0" w:space="0" w:color="auto"/>
        <w:left w:val="none" w:sz="0" w:space="0" w:color="auto"/>
        <w:bottom w:val="none" w:sz="0" w:space="0" w:color="auto"/>
        <w:right w:val="none" w:sz="0" w:space="0" w:color="auto"/>
      </w:divBdr>
    </w:div>
    <w:div w:id="1537085546">
      <w:bodyDiv w:val="1"/>
      <w:marLeft w:val="0"/>
      <w:marRight w:val="0"/>
      <w:marTop w:val="0"/>
      <w:marBottom w:val="0"/>
      <w:divBdr>
        <w:top w:val="none" w:sz="0" w:space="0" w:color="auto"/>
        <w:left w:val="none" w:sz="0" w:space="0" w:color="auto"/>
        <w:bottom w:val="none" w:sz="0" w:space="0" w:color="auto"/>
        <w:right w:val="none" w:sz="0" w:space="0" w:color="auto"/>
      </w:divBdr>
    </w:div>
    <w:div w:id="1537545044">
      <w:bodyDiv w:val="1"/>
      <w:marLeft w:val="0"/>
      <w:marRight w:val="0"/>
      <w:marTop w:val="0"/>
      <w:marBottom w:val="0"/>
      <w:divBdr>
        <w:top w:val="none" w:sz="0" w:space="0" w:color="auto"/>
        <w:left w:val="none" w:sz="0" w:space="0" w:color="auto"/>
        <w:bottom w:val="none" w:sz="0" w:space="0" w:color="auto"/>
        <w:right w:val="none" w:sz="0" w:space="0" w:color="auto"/>
      </w:divBdr>
    </w:div>
    <w:div w:id="1537699890">
      <w:bodyDiv w:val="1"/>
      <w:marLeft w:val="0"/>
      <w:marRight w:val="0"/>
      <w:marTop w:val="0"/>
      <w:marBottom w:val="0"/>
      <w:divBdr>
        <w:top w:val="none" w:sz="0" w:space="0" w:color="auto"/>
        <w:left w:val="none" w:sz="0" w:space="0" w:color="auto"/>
        <w:bottom w:val="none" w:sz="0" w:space="0" w:color="auto"/>
        <w:right w:val="none" w:sz="0" w:space="0" w:color="auto"/>
      </w:divBdr>
    </w:div>
    <w:div w:id="1538081546">
      <w:bodyDiv w:val="1"/>
      <w:marLeft w:val="0"/>
      <w:marRight w:val="0"/>
      <w:marTop w:val="0"/>
      <w:marBottom w:val="0"/>
      <w:divBdr>
        <w:top w:val="none" w:sz="0" w:space="0" w:color="auto"/>
        <w:left w:val="none" w:sz="0" w:space="0" w:color="auto"/>
        <w:bottom w:val="none" w:sz="0" w:space="0" w:color="auto"/>
        <w:right w:val="none" w:sz="0" w:space="0" w:color="auto"/>
      </w:divBdr>
    </w:div>
    <w:div w:id="1538278348">
      <w:bodyDiv w:val="1"/>
      <w:marLeft w:val="0"/>
      <w:marRight w:val="0"/>
      <w:marTop w:val="0"/>
      <w:marBottom w:val="0"/>
      <w:divBdr>
        <w:top w:val="none" w:sz="0" w:space="0" w:color="auto"/>
        <w:left w:val="none" w:sz="0" w:space="0" w:color="auto"/>
        <w:bottom w:val="none" w:sz="0" w:space="0" w:color="auto"/>
        <w:right w:val="none" w:sz="0" w:space="0" w:color="auto"/>
      </w:divBdr>
    </w:div>
    <w:div w:id="1538423996">
      <w:bodyDiv w:val="1"/>
      <w:marLeft w:val="0"/>
      <w:marRight w:val="0"/>
      <w:marTop w:val="0"/>
      <w:marBottom w:val="0"/>
      <w:divBdr>
        <w:top w:val="none" w:sz="0" w:space="0" w:color="auto"/>
        <w:left w:val="none" w:sz="0" w:space="0" w:color="auto"/>
        <w:bottom w:val="none" w:sz="0" w:space="0" w:color="auto"/>
        <w:right w:val="none" w:sz="0" w:space="0" w:color="auto"/>
      </w:divBdr>
    </w:div>
    <w:div w:id="1539006174">
      <w:bodyDiv w:val="1"/>
      <w:marLeft w:val="0"/>
      <w:marRight w:val="0"/>
      <w:marTop w:val="0"/>
      <w:marBottom w:val="0"/>
      <w:divBdr>
        <w:top w:val="none" w:sz="0" w:space="0" w:color="auto"/>
        <w:left w:val="none" w:sz="0" w:space="0" w:color="auto"/>
        <w:bottom w:val="none" w:sz="0" w:space="0" w:color="auto"/>
        <w:right w:val="none" w:sz="0" w:space="0" w:color="auto"/>
      </w:divBdr>
    </w:div>
    <w:div w:id="1539246366">
      <w:bodyDiv w:val="1"/>
      <w:marLeft w:val="0"/>
      <w:marRight w:val="0"/>
      <w:marTop w:val="0"/>
      <w:marBottom w:val="0"/>
      <w:divBdr>
        <w:top w:val="none" w:sz="0" w:space="0" w:color="auto"/>
        <w:left w:val="none" w:sz="0" w:space="0" w:color="auto"/>
        <w:bottom w:val="none" w:sz="0" w:space="0" w:color="auto"/>
        <w:right w:val="none" w:sz="0" w:space="0" w:color="auto"/>
      </w:divBdr>
    </w:div>
    <w:div w:id="1540043689">
      <w:bodyDiv w:val="1"/>
      <w:marLeft w:val="0"/>
      <w:marRight w:val="0"/>
      <w:marTop w:val="0"/>
      <w:marBottom w:val="0"/>
      <w:divBdr>
        <w:top w:val="none" w:sz="0" w:space="0" w:color="auto"/>
        <w:left w:val="none" w:sz="0" w:space="0" w:color="auto"/>
        <w:bottom w:val="none" w:sz="0" w:space="0" w:color="auto"/>
        <w:right w:val="none" w:sz="0" w:space="0" w:color="auto"/>
      </w:divBdr>
    </w:div>
    <w:div w:id="1540164542">
      <w:bodyDiv w:val="1"/>
      <w:marLeft w:val="0"/>
      <w:marRight w:val="0"/>
      <w:marTop w:val="0"/>
      <w:marBottom w:val="0"/>
      <w:divBdr>
        <w:top w:val="none" w:sz="0" w:space="0" w:color="auto"/>
        <w:left w:val="none" w:sz="0" w:space="0" w:color="auto"/>
        <w:bottom w:val="none" w:sz="0" w:space="0" w:color="auto"/>
        <w:right w:val="none" w:sz="0" w:space="0" w:color="auto"/>
      </w:divBdr>
    </w:div>
    <w:div w:id="1540170756">
      <w:bodyDiv w:val="1"/>
      <w:marLeft w:val="0"/>
      <w:marRight w:val="0"/>
      <w:marTop w:val="0"/>
      <w:marBottom w:val="0"/>
      <w:divBdr>
        <w:top w:val="none" w:sz="0" w:space="0" w:color="auto"/>
        <w:left w:val="none" w:sz="0" w:space="0" w:color="auto"/>
        <w:bottom w:val="none" w:sz="0" w:space="0" w:color="auto"/>
        <w:right w:val="none" w:sz="0" w:space="0" w:color="auto"/>
      </w:divBdr>
    </w:div>
    <w:div w:id="1540705882">
      <w:bodyDiv w:val="1"/>
      <w:marLeft w:val="0"/>
      <w:marRight w:val="0"/>
      <w:marTop w:val="0"/>
      <w:marBottom w:val="0"/>
      <w:divBdr>
        <w:top w:val="none" w:sz="0" w:space="0" w:color="auto"/>
        <w:left w:val="none" w:sz="0" w:space="0" w:color="auto"/>
        <w:bottom w:val="none" w:sz="0" w:space="0" w:color="auto"/>
        <w:right w:val="none" w:sz="0" w:space="0" w:color="auto"/>
      </w:divBdr>
    </w:div>
    <w:div w:id="1541278803">
      <w:bodyDiv w:val="1"/>
      <w:marLeft w:val="0"/>
      <w:marRight w:val="0"/>
      <w:marTop w:val="0"/>
      <w:marBottom w:val="0"/>
      <w:divBdr>
        <w:top w:val="none" w:sz="0" w:space="0" w:color="auto"/>
        <w:left w:val="none" w:sz="0" w:space="0" w:color="auto"/>
        <w:bottom w:val="none" w:sz="0" w:space="0" w:color="auto"/>
        <w:right w:val="none" w:sz="0" w:space="0" w:color="auto"/>
      </w:divBdr>
    </w:div>
    <w:div w:id="1541628672">
      <w:bodyDiv w:val="1"/>
      <w:marLeft w:val="0"/>
      <w:marRight w:val="0"/>
      <w:marTop w:val="0"/>
      <w:marBottom w:val="0"/>
      <w:divBdr>
        <w:top w:val="none" w:sz="0" w:space="0" w:color="auto"/>
        <w:left w:val="none" w:sz="0" w:space="0" w:color="auto"/>
        <w:bottom w:val="none" w:sz="0" w:space="0" w:color="auto"/>
        <w:right w:val="none" w:sz="0" w:space="0" w:color="auto"/>
      </w:divBdr>
    </w:div>
    <w:div w:id="1542935304">
      <w:bodyDiv w:val="1"/>
      <w:marLeft w:val="0"/>
      <w:marRight w:val="0"/>
      <w:marTop w:val="0"/>
      <w:marBottom w:val="0"/>
      <w:divBdr>
        <w:top w:val="none" w:sz="0" w:space="0" w:color="auto"/>
        <w:left w:val="none" w:sz="0" w:space="0" w:color="auto"/>
        <w:bottom w:val="none" w:sz="0" w:space="0" w:color="auto"/>
        <w:right w:val="none" w:sz="0" w:space="0" w:color="auto"/>
      </w:divBdr>
    </w:div>
    <w:div w:id="1542983085">
      <w:bodyDiv w:val="1"/>
      <w:marLeft w:val="0"/>
      <w:marRight w:val="0"/>
      <w:marTop w:val="0"/>
      <w:marBottom w:val="0"/>
      <w:divBdr>
        <w:top w:val="none" w:sz="0" w:space="0" w:color="auto"/>
        <w:left w:val="none" w:sz="0" w:space="0" w:color="auto"/>
        <w:bottom w:val="none" w:sz="0" w:space="0" w:color="auto"/>
        <w:right w:val="none" w:sz="0" w:space="0" w:color="auto"/>
      </w:divBdr>
    </w:div>
    <w:div w:id="1543177359">
      <w:bodyDiv w:val="1"/>
      <w:marLeft w:val="0"/>
      <w:marRight w:val="0"/>
      <w:marTop w:val="0"/>
      <w:marBottom w:val="0"/>
      <w:divBdr>
        <w:top w:val="none" w:sz="0" w:space="0" w:color="auto"/>
        <w:left w:val="none" w:sz="0" w:space="0" w:color="auto"/>
        <w:bottom w:val="none" w:sz="0" w:space="0" w:color="auto"/>
        <w:right w:val="none" w:sz="0" w:space="0" w:color="auto"/>
      </w:divBdr>
    </w:div>
    <w:div w:id="1543515063">
      <w:bodyDiv w:val="1"/>
      <w:marLeft w:val="0"/>
      <w:marRight w:val="0"/>
      <w:marTop w:val="0"/>
      <w:marBottom w:val="0"/>
      <w:divBdr>
        <w:top w:val="none" w:sz="0" w:space="0" w:color="auto"/>
        <w:left w:val="none" w:sz="0" w:space="0" w:color="auto"/>
        <w:bottom w:val="none" w:sz="0" w:space="0" w:color="auto"/>
        <w:right w:val="none" w:sz="0" w:space="0" w:color="auto"/>
      </w:divBdr>
    </w:div>
    <w:div w:id="1543593288">
      <w:bodyDiv w:val="1"/>
      <w:marLeft w:val="0"/>
      <w:marRight w:val="0"/>
      <w:marTop w:val="0"/>
      <w:marBottom w:val="0"/>
      <w:divBdr>
        <w:top w:val="none" w:sz="0" w:space="0" w:color="auto"/>
        <w:left w:val="none" w:sz="0" w:space="0" w:color="auto"/>
        <w:bottom w:val="none" w:sz="0" w:space="0" w:color="auto"/>
        <w:right w:val="none" w:sz="0" w:space="0" w:color="auto"/>
      </w:divBdr>
    </w:div>
    <w:div w:id="1543636669">
      <w:bodyDiv w:val="1"/>
      <w:marLeft w:val="0"/>
      <w:marRight w:val="0"/>
      <w:marTop w:val="0"/>
      <w:marBottom w:val="0"/>
      <w:divBdr>
        <w:top w:val="none" w:sz="0" w:space="0" w:color="auto"/>
        <w:left w:val="none" w:sz="0" w:space="0" w:color="auto"/>
        <w:bottom w:val="none" w:sz="0" w:space="0" w:color="auto"/>
        <w:right w:val="none" w:sz="0" w:space="0" w:color="auto"/>
      </w:divBdr>
    </w:div>
    <w:div w:id="1544750029">
      <w:bodyDiv w:val="1"/>
      <w:marLeft w:val="0"/>
      <w:marRight w:val="0"/>
      <w:marTop w:val="0"/>
      <w:marBottom w:val="0"/>
      <w:divBdr>
        <w:top w:val="none" w:sz="0" w:space="0" w:color="auto"/>
        <w:left w:val="none" w:sz="0" w:space="0" w:color="auto"/>
        <w:bottom w:val="none" w:sz="0" w:space="0" w:color="auto"/>
        <w:right w:val="none" w:sz="0" w:space="0" w:color="auto"/>
      </w:divBdr>
    </w:div>
    <w:div w:id="1546062549">
      <w:bodyDiv w:val="1"/>
      <w:marLeft w:val="0"/>
      <w:marRight w:val="0"/>
      <w:marTop w:val="0"/>
      <w:marBottom w:val="0"/>
      <w:divBdr>
        <w:top w:val="none" w:sz="0" w:space="0" w:color="auto"/>
        <w:left w:val="none" w:sz="0" w:space="0" w:color="auto"/>
        <w:bottom w:val="none" w:sz="0" w:space="0" w:color="auto"/>
        <w:right w:val="none" w:sz="0" w:space="0" w:color="auto"/>
      </w:divBdr>
    </w:div>
    <w:div w:id="1546213294">
      <w:bodyDiv w:val="1"/>
      <w:marLeft w:val="0"/>
      <w:marRight w:val="0"/>
      <w:marTop w:val="0"/>
      <w:marBottom w:val="0"/>
      <w:divBdr>
        <w:top w:val="none" w:sz="0" w:space="0" w:color="auto"/>
        <w:left w:val="none" w:sz="0" w:space="0" w:color="auto"/>
        <w:bottom w:val="none" w:sz="0" w:space="0" w:color="auto"/>
        <w:right w:val="none" w:sz="0" w:space="0" w:color="auto"/>
      </w:divBdr>
    </w:div>
    <w:div w:id="1546942740">
      <w:bodyDiv w:val="1"/>
      <w:marLeft w:val="0"/>
      <w:marRight w:val="0"/>
      <w:marTop w:val="0"/>
      <w:marBottom w:val="0"/>
      <w:divBdr>
        <w:top w:val="none" w:sz="0" w:space="0" w:color="auto"/>
        <w:left w:val="none" w:sz="0" w:space="0" w:color="auto"/>
        <w:bottom w:val="none" w:sz="0" w:space="0" w:color="auto"/>
        <w:right w:val="none" w:sz="0" w:space="0" w:color="auto"/>
      </w:divBdr>
    </w:div>
    <w:div w:id="1547637723">
      <w:bodyDiv w:val="1"/>
      <w:marLeft w:val="0"/>
      <w:marRight w:val="0"/>
      <w:marTop w:val="0"/>
      <w:marBottom w:val="0"/>
      <w:divBdr>
        <w:top w:val="none" w:sz="0" w:space="0" w:color="auto"/>
        <w:left w:val="none" w:sz="0" w:space="0" w:color="auto"/>
        <w:bottom w:val="none" w:sz="0" w:space="0" w:color="auto"/>
        <w:right w:val="none" w:sz="0" w:space="0" w:color="auto"/>
      </w:divBdr>
    </w:div>
    <w:div w:id="1547763933">
      <w:bodyDiv w:val="1"/>
      <w:marLeft w:val="0"/>
      <w:marRight w:val="0"/>
      <w:marTop w:val="0"/>
      <w:marBottom w:val="0"/>
      <w:divBdr>
        <w:top w:val="none" w:sz="0" w:space="0" w:color="auto"/>
        <w:left w:val="none" w:sz="0" w:space="0" w:color="auto"/>
        <w:bottom w:val="none" w:sz="0" w:space="0" w:color="auto"/>
        <w:right w:val="none" w:sz="0" w:space="0" w:color="auto"/>
      </w:divBdr>
    </w:div>
    <w:div w:id="1547791375">
      <w:bodyDiv w:val="1"/>
      <w:marLeft w:val="0"/>
      <w:marRight w:val="0"/>
      <w:marTop w:val="0"/>
      <w:marBottom w:val="0"/>
      <w:divBdr>
        <w:top w:val="none" w:sz="0" w:space="0" w:color="auto"/>
        <w:left w:val="none" w:sz="0" w:space="0" w:color="auto"/>
        <w:bottom w:val="none" w:sz="0" w:space="0" w:color="auto"/>
        <w:right w:val="none" w:sz="0" w:space="0" w:color="auto"/>
      </w:divBdr>
    </w:div>
    <w:div w:id="1547988347">
      <w:bodyDiv w:val="1"/>
      <w:marLeft w:val="0"/>
      <w:marRight w:val="0"/>
      <w:marTop w:val="0"/>
      <w:marBottom w:val="0"/>
      <w:divBdr>
        <w:top w:val="none" w:sz="0" w:space="0" w:color="auto"/>
        <w:left w:val="none" w:sz="0" w:space="0" w:color="auto"/>
        <w:bottom w:val="none" w:sz="0" w:space="0" w:color="auto"/>
        <w:right w:val="none" w:sz="0" w:space="0" w:color="auto"/>
      </w:divBdr>
    </w:div>
    <w:div w:id="1548906510">
      <w:bodyDiv w:val="1"/>
      <w:marLeft w:val="0"/>
      <w:marRight w:val="0"/>
      <w:marTop w:val="0"/>
      <w:marBottom w:val="0"/>
      <w:divBdr>
        <w:top w:val="none" w:sz="0" w:space="0" w:color="auto"/>
        <w:left w:val="none" w:sz="0" w:space="0" w:color="auto"/>
        <w:bottom w:val="none" w:sz="0" w:space="0" w:color="auto"/>
        <w:right w:val="none" w:sz="0" w:space="0" w:color="auto"/>
      </w:divBdr>
    </w:div>
    <w:div w:id="1549878664">
      <w:bodyDiv w:val="1"/>
      <w:marLeft w:val="0"/>
      <w:marRight w:val="0"/>
      <w:marTop w:val="0"/>
      <w:marBottom w:val="0"/>
      <w:divBdr>
        <w:top w:val="none" w:sz="0" w:space="0" w:color="auto"/>
        <w:left w:val="none" w:sz="0" w:space="0" w:color="auto"/>
        <w:bottom w:val="none" w:sz="0" w:space="0" w:color="auto"/>
        <w:right w:val="none" w:sz="0" w:space="0" w:color="auto"/>
      </w:divBdr>
    </w:div>
    <w:div w:id="1550459080">
      <w:bodyDiv w:val="1"/>
      <w:marLeft w:val="0"/>
      <w:marRight w:val="0"/>
      <w:marTop w:val="0"/>
      <w:marBottom w:val="0"/>
      <w:divBdr>
        <w:top w:val="none" w:sz="0" w:space="0" w:color="auto"/>
        <w:left w:val="none" w:sz="0" w:space="0" w:color="auto"/>
        <w:bottom w:val="none" w:sz="0" w:space="0" w:color="auto"/>
        <w:right w:val="none" w:sz="0" w:space="0" w:color="auto"/>
      </w:divBdr>
    </w:div>
    <w:div w:id="1551262582">
      <w:bodyDiv w:val="1"/>
      <w:marLeft w:val="0"/>
      <w:marRight w:val="0"/>
      <w:marTop w:val="0"/>
      <w:marBottom w:val="0"/>
      <w:divBdr>
        <w:top w:val="none" w:sz="0" w:space="0" w:color="auto"/>
        <w:left w:val="none" w:sz="0" w:space="0" w:color="auto"/>
        <w:bottom w:val="none" w:sz="0" w:space="0" w:color="auto"/>
        <w:right w:val="none" w:sz="0" w:space="0" w:color="auto"/>
      </w:divBdr>
    </w:div>
    <w:div w:id="1551841652">
      <w:bodyDiv w:val="1"/>
      <w:marLeft w:val="0"/>
      <w:marRight w:val="0"/>
      <w:marTop w:val="0"/>
      <w:marBottom w:val="0"/>
      <w:divBdr>
        <w:top w:val="none" w:sz="0" w:space="0" w:color="auto"/>
        <w:left w:val="none" w:sz="0" w:space="0" w:color="auto"/>
        <w:bottom w:val="none" w:sz="0" w:space="0" w:color="auto"/>
        <w:right w:val="none" w:sz="0" w:space="0" w:color="auto"/>
      </w:divBdr>
    </w:div>
    <w:div w:id="1551990750">
      <w:bodyDiv w:val="1"/>
      <w:marLeft w:val="0"/>
      <w:marRight w:val="0"/>
      <w:marTop w:val="0"/>
      <w:marBottom w:val="0"/>
      <w:divBdr>
        <w:top w:val="none" w:sz="0" w:space="0" w:color="auto"/>
        <w:left w:val="none" w:sz="0" w:space="0" w:color="auto"/>
        <w:bottom w:val="none" w:sz="0" w:space="0" w:color="auto"/>
        <w:right w:val="none" w:sz="0" w:space="0" w:color="auto"/>
      </w:divBdr>
    </w:div>
    <w:div w:id="1552114368">
      <w:bodyDiv w:val="1"/>
      <w:marLeft w:val="0"/>
      <w:marRight w:val="0"/>
      <w:marTop w:val="0"/>
      <w:marBottom w:val="0"/>
      <w:divBdr>
        <w:top w:val="none" w:sz="0" w:space="0" w:color="auto"/>
        <w:left w:val="none" w:sz="0" w:space="0" w:color="auto"/>
        <w:bottom w:val="none" w:sz="0" w:space="0" w:color="auto"/>
        <w:right w:val="none" w:sz="0" w:space="0" w:color="auto"/>
      </w:divBdr>
    </w:div>
    <w:div w:id="1552225536">
      <w:bodyDiv w:val="1"/>
      <w:marLeft w:val="0"/>
      <w:marRight w:val="0"/>
      <w:marTop w:val="0"/>
      <w:marBottom w:val="0"/>
      <w:divBdr>
        <w:top w:val="none" w:sz="0" w:space="0" w:color="auto"/>
        <w:left w:val="none" w:sz="0" w:space="0" w:color="auto"/>
        <w:bottom w:val="none" w:sz="0" w:space="0" w:color="auto"/>
        <w:right w:val="none" w:sz="0" w:space="0" w:color="auto"/>
      </w:divBdr>
    </w:div>
    <w:div w:id="1552420314">
      <w:bodyDiv w:val="1"/>
      <w:marLeft w:val="0"/>
      <w:marRight w:val="0"/>
      <w:marTop w:val="0"/>
      <w:marBottom w:val="0"/>
      <w:divBdr>
        <w:top w:val="none" w:sz="0" w:space="0" w:color="auto"/>
        <w:left w:val="none" w:sz="0" w:space="0" w:color="auto"/>
        <w:bottom w:val="none" w:sz="0" w:space="0" w:color="auto"/>
        <w:right w:val="none" w:sz="0" w:space="0" w:color="auto"/>
      </w:divBdr>
    </w:div>
    <w:div w:id="1552572962">
      <w:bodyDiv w:val="1"/>
      <w:marLeft w:val="0"/>
      <w:marRight w:val="0"/>
      <w:marTop w:val="0"/>
      <w:marBottom w:val="0"/>
      <w:divBdr>
        <w:top w:val="none" w:sz="0" w:space="0" w:color="auto"/>
        <w:left w:val="none" w:sz="0" w:space="0" w:color="auto"/>
        <w:bottom w:val="none" w:sz="0" w:space="0" w:color="auto"/>
        <w:right w:val="none" w:sz="0" w:space="0" w:color="auto"/>
      </w:divBdr>
    </w:div>
    <w:div w:id="1552886186">
      <w:bodyDiv w:val="1"/>
      <w:marLeft w:val="0"/>
      <w:marRight w:val="0"/>
      <w:marTop w:val="0"/>
      <w:marBottom w:val="0"/>
      <w:divBdr>
        <w:top w:val="none" w:sz="0" w:space="0" w:color="auto"/>
        <w:left w:val="none" w:sz="0" w:space="0" w:color="auto"/>
        <w:bottom w:val="none" w:sz="0" w:space="0" w:color="auto"/>
        <w:right w:val="none" w:sz="0" w:space="0" w:color="auto"/>
      </w:divBdr>
    </w:div>
    <w:div w:id="1553231004">
      <w:bodyDiv w:val="1"/>
      <w:marLeft w:val="0"/>
      <w:marRight w:val="0"/>
      <w:marTop w:val="0"/>
      <w:marBottom w:val="0"/>
      <w:divBdr>
        <w:top w:val="none" w:sz="0" w:space="0" w:color="auto"/>
        <w:left w:val="none" w:sz="0" w:space="0" w:color="auto"/>
        <w:bottom w:val="none" w:sz="0" w:space="0" w:color="auto"/>
        <w:right w:val="none" w:sz="0" w:space="0" w:color="auto"/>
      </w:divBdr>
    </w:div>
    <w:div w:id="1553349263">
      <w:bodyDiv w:val="1"/>
      <w:marLeft w:val="0"/>
      <w:marRight w:val="0"/>
      <w:marTop w:val="0"/>
      <w:marBottom w:val="0"/>
      <w:divBdr>
        <w:top w:val="none" w:sz="0" w:space="0" w:color="auto"/>
        <w:left w:val="none" w:sz="0" w:space="0" w:color="auto"/>
        <w:bottom w:val="none" w:sz="0" w:space="0" w:color="auto"/>
        <w:right w:val="none" w:sz="0" w:space="0" w:color="auto"/>
      </w:divBdr>
    </w:div>
    <w:div w:id="1553807256">
      <w:bodyDiv w:val="1"/>
      <w:marLeft w:val="0"/>
      <w:marRight w:val="0"/>
      <w:marTop w:val="0"/>
      <w:marBottom w:val="0"/>
      <w:divBdr>
        <w:top w:val="none" w:sz="0" w:space="0" w:color="auto"/>
        <w:left w:val="none" w:sz="0" w:space="0" w:color="auto"/>
        <w:bottom w:val="none" w:sz="0" w:space="0" w:color="auto"/>
        <w:right w:val="none" w:sz="0" w:space="0" w:color="auto"/>
      </w:divBdr>
    </w:div>
    <w:div w:id="1553928785">
      <w:bodyDiv w:val="1"/>
      <w:marLeft w:val="0"/>
      <w:marRight w:val="0"/>
      <w:marTop w:val="0"/>
      <w:marBottom w:val="0"/>
      <w:divBdr>
        <w:top w:val="none" w:sz="0" w:space="0" w:color="auto"/>
        <w:left w:val="none" w:sz="0" w:space="0" w:color="auto"/>
        <w:bottom w:val="none" w:sz="0" w:space="0" w:color="auto"/>
        <w:right w:val="none" w:sz="0" w:space="0" w:color="auto"/>
      </w:divBdr>
    </w:div>
    <w:div w:id="1554149783">
      <w:bodyDiv w:val="1"/>
      <w:marLeft w:val="0"/>
      <w:marRight w:val="0"/>
      <w:marTop w:val="0"/>
      <w:marBottom w:val="0"/>
      <w:divBdr>
        <w:top w:val="none" w:sz="0" w:space="0" w:color="auto"/>
        <w:left w:val="none" w:sz="0" w:space="0" w:color="auto"/>
        <w:bottom w:val="none" w:sz="0" w:space="0" w:color="auto"/>
        <w:right w:val="none" w:sz="0" w:space="0" w:color="auto"/>
      </w:divBdr>
    </w:div>
    <w:div w:id="1554384152">
      <w:bodyDiv w:val="1"/>
      <w:marLeft w:val="0"/>
      <w:marRight w:val="0"/>
      <w:marTop w:val="0"/>
      <w:marBottom w:val="0"/>
      <w:divBdr>
        <w:top w:val="none" w:sz="0" w:space="0" w:color="auto"/>
        <w:left w:val="none" w:sz="0" w:space="0" w:color="auto"/>
        <w:bottom w:val="none" w:sz="0" w:space="0" w:color="auto"/>
        <w:right w:val="none" w:sz="0" w:space="0" w:color="auto"/>
      </w:divBdr>
    </w:div>
    <w:div w:id="1554534633">
      <w:bodyDiv w:val="1"/>
      <w:marLeft w:val="0"/>
      <w:marRight w:val="0"/>
      <w:marTop w:val="0"/>
      <w:marBottom w:val="0"/>
      <w:divBdr>
        <w:top w:val="none" w:sz="0" w:space="0" w:color="auto"/>
        <w:left w:val="none" w:sz="0" w:space="0" w:color="auto"/>
        <w:bottom w:val="none" w:sz="0" w:space="0" w:color="auto"/>
        <w:right w:val="none" w:sz="0" w:space="0" w:color="auto"/>
      </w:divBdr>
    </w:div>
    <w:div w:id="1554729530">
      <w:bodyDiv w:val="1"/>
      <w:marLeft w:val="0"/>
      <w:marRight w:val="0"/>
      <w:marTop w:val="0"/>
      <w:marBottom w:val="0"/>
      <w:divBdr>
        <w:top w:val="none" w:sz="0" w:space="0" w:color="auto"/>
        <w:left w:val="none" w:sz="0" w:space="0" w:color="auto"/>
        <w:bottom w:val="none" w:sz="0" w:space="0" w:color="auto"/>
        <w:right w:val="none" w:sz="0" w:space="0" w:color="auto"/>
      </w:divBdr>
    </w:div>
    <w:div w:id="1555628105">
      <w:bodyDiv w:val="1"/>
      <w:marLeft w:val="0"/>
      <w:marRight w:val="0"/>
      <w:marTop w:val="0"/>
      <w:marBottom w:val="0"/>
      <w:divBdr>
        <w:top w:val="none" w:sz="0" w:space="0" w:color="auto"/>
        <w:left w:val="none" w:sz="0" w:space="0" w:color="auto"/>
        <w:bottom w:val="none" w:sz="0" w:space="0" w:color="auto"/>
        <w:right w:val="none" w:sz="0" w:space="0" w:color="auto"/>
      </w:divBdr>
    </w:div>
    <w:div w:id="1555921455">
      <w:bodyDiv w:val="1"/>
      <w:marLeft w:val="0"/>
      <w:marRight w:val="0"/>
      <w:marTop w:val="0"/>
      <w:marBottom w:val="0"/>
      <w:divBdr>
        <w:top w:val="none" w:sz="0" w:space="0" w:color="auto"/>
        <w:left w:val="none" w:sz="0" w:space="0" w:color="auto"/>
        <w:bottom w:val="none" w:sz="0" w:space="0" w:color="auto"/>
        <w:right w:val="none" w:sz="0" w:space="0" w:color="auto"/>
      </w:divBdr>
    </w:div>
    <w:div w:id="1556815951">
      <w:bodyDiv w:val="1"/>
      <w:marLeft w:val="0"/>
      <w:marRight w:val="0"/>
      <w:marTop w:val="0"/>
      <w:marBottom w:val="0"/>
      <w:divBdr>
        <w:top w:val="none" w:sz="0" w:space="0" w:color="auto"/>
        <w:left w:val="none" w:sz="0" w:space="0" w:color="auto"/>
        <w:bottom w:val="none" w:sz="0" w:space="0" w:color="auto"/>
        <w:right w:val="none" w:sz="0" w:space="0" w:color="auto"/>
      </w:divBdr>
    </w:div>
    <w:div w:id="1557089222">
      <w:bodyDiv w:val="1"/>
      <w:marLeft w:val="0"/>
      <w:marRight w:val="0"/>
      <w:marTop w:val="0"/>
      <w:marBottom w:val="0"/>
      <w:divBdr>
        <w:top w:val="none" w:sz="0" w:space="0" w:color="auto"/>
        <w:left w:val="none" w:sz="0" w:space="0" w:color="auto"/>
        <w:bottom w:val="none" w:sz="0" w:space="0" w:color="auto"/>
        <w:right w:val="none" w:sz="0" w:space="0" w:color="auto"/>
      </w:divBdr>
    </w:div>
    <w:div w:id="1557160616">
      <w:bodyDiv w:val="1"/>
      <w:marLeft w:val="0"/>
      <w:marRight w:val="0"/>
      <w:marTop w:val="0"/>
      <w:marBottom w:val="0"/>
      <w:divBdr>
        <w:top w:val="none" w:sz="0" w:space="0" w:color="auto"/>
        <w:left w:val="none" w:sz="0" w:space="0" w:color="auto"/>
        <w:bottom w:val="none" w:sz="0" w:space="0" w:color="auto"/>
        <w:right w:val="none" w:sz="0" w:space="0" w:color="auto"/>
      </w:divBdr>
    </w:div>
    <w:div w:id="1557352922">
      <w:bodyDiv w:val="1"/>
      <w:marLeft w:val="0"/>
      <w:marRight w:val="0"/>
      <w:marTop w:val="0"/>
      <w:marBottom w:val="0"/>
      <w:divBdr>
        <w:top w:val="none" w:sz="0" w:space="0" w:color="auto"/>
        <w:left w:val="none" w:sz="0" w:space="0" w:color="auto"/>
        <w:bottom w:val="none" w:sz="0" w:space="0" w:color="auto"/>
        <w:right w:val="none" w:sz="0" w:space="0" w:color="auto"/>
      </w:divBdr>
    </w:div>
    <w:div w:id="1557475923">
      <w:bodyDiv w:val="1"/>
      <w:marLeft w:val="0"/>
      <w:marRight w:val="0"/>
      <w:marTop w:val="0"/>
      <w:marBottom w:val="0"/>
      <w:divBdr>
        <w:top w:val="none" w:sz="0" w:space="0" w:color="auto"/>
        <w:left w:val="none" w:sz="0" w:space="0" w:color="auto"/>
        <w:bottom w:val="none" w:sz="0" w:space="0" w:color="auto"/>
        <w:right w:val="none" w:sz="0" w:space="0" w:color="auto"/>
      </w:divBdr>
    </w:div>
    <w:div w:id="1557617466">
      <w:bodyDiv w:val="1"/>
      <w:marLeft w:val="0"/>
      <w:marRight w:val="0"/>
      <w:marTop w:val="0"/>
      <w:marBottom w:val="0"/>
      <w:divBdr>
        <w:top w:val="none" w:sz="0" w:space="0" w:color="auto"/>
        <w:left w:val="none" w:sz="0" w:space="0" w:color="auto"/>
        <w:bottom w:val="none" w:sz="0" w:space="0" w:color="auto"/>
        <w:right w:val="none" w:sz="0" w:space="0" w:color="auto"/>
      </w:divBdr>
    </w:div>
    <w:div w:id="1557742569">
      <w:bodyDiv w:val="1"/>
      <w:marLeft w:val="0"/>
      <w:marRight w:val="0"/>
      <w:marTop w:val="0"/>
      <w:marBottom w:val="0"/>
      <w:divBdr>
        <w:top w:val="none" w:sz="0" w:space="0" w:color="auto"/>
        <w:left w:val="none" w:sz="0" w:space="0" w:color="auto"/>
        <w:bottom w:val="none" w:sz="0" w:space="0" w:color="auto"/>
        <w:right w:val="none" w:sz="0" w:space="0" w:color="auto"/>
      </w:divBdr>
    </w:div>
    <w:div w:id="1557860924">
      <w:bodyDiv w:val="1"/>
      <w:marLeft w:val="0"/>
      <w:marRight w:val="0"/>
      <w:marTop w:val="0"/>
      <w:marBottom w:val="0"/>
      <w:divBdr>
        <w:top w:val="none" w:sz="0" w:space="0" w:color="auto"/>
        <w:left w:val="none" w:sz="0" w:space="0" w:color="auto"/>
        <w:bottom w:val="none" w:sz="0" w:space="0" w:color="auto"/>
        <w:right w:val="none" w:sz="0" w:space="0" w:color="auto"/>
      </w:divBdr>
    </w:div>
    <w:div w:id="1557933587">
      <w:bodyDiv w:val="1"/>
      <w:marLeft w:val="0"/>
      <w:marRight w:val="0"/>
      <w:marTop w:val="0"/>
      <w:marBottom w:val="0"/>
      <w:divBdr>
        <w:top w:val="none" w:sz="0" w:space="0" w:color="auto"/>
        <w:left w:val="none" w:sz="0" w:space="0" w:color="auto"/>
        <w:bottom w:val="none" w:sz="0" w:space="0" w:color="auto"/>
        <w:right w:val="none" w:sz="0" w:space="0" w:color="auto"/>
      </w:divBdr>
    </w:div>
    <w:div w:id="1558054629">
      <w:bodyDiv w:val="1"/>
      <w:marLeft w:val="0"/>
      <w:marRight w:val="0"/>
      <w:marTop w:val="0"/>
      <w:marBottom w:val="0"/>
      <w:divBdr>
        <w:top w:val="none" w:sz="0" w:space="0" w:color="auto"/>
        <w:left w:val="none" w:sz="0" w:space="0" w:color="auto"/>
        <w:bottom w:val="none" w:sz="0" w:space="0" w:color="auto"/>
        <w:right w:val="none" w:sz="0" w:space="0" w:color="auto"/>
      </w:divBdr>
    </w:div>
    <w:div w:id="1558514321">
      <w:bodyDiv w:val="1"/>
      <w:marLeft w:val="0"/>
      <w:marRight w:val="0"/>
      <w:marTop w:val="0"/>
      <w:marBottom w:val="0"/>
      <w:divBdr>
        <w:top w:val="none" w:sz="0" w:space="0" w:color="auto"/>
        <w:left w:val="none" w:sz="0" w:space="0" w:color="auto"/>
        <w:bottom w:val="none" w:sz="0" w:space="0" w:color="auto"/>
        <w:right w:val="none" w:sz="0" w:space="0" w:color="auto"/>
      </w:divBdr>
    </w:div>
    <w:div w:id="1558738582">
      <w:bodyDiv w:val="1"/>
      <w:marLeft w:val="0"/>
      <w:marRight w:val="0"/>
      <w:marTop w:val="0"/>
      <w:marBottom w:val="0"/>
      <w:divBdr>
        <w:top w:val="none" w:sz="0" w:space="0" w:color="auto"/>
        <w:left w:val="none" w:sz="0" w:space="0" w:color="auto"/>
        <w:bottom w:val="none" w:sz="0" w:space="0" w:color="auto"/>
        <w:right w:val="none" w:sz="0" w:space="0" w:color="auto"/>
      </w:divBdr>
    </w:div>
    <w:div w:id="1559826564">
      <w:bodyDiv w:val="1"/>
      <w:marLeft w:val="0"/>
      <w:marRight w:val="0"/>
      <w:marTop w:val="0"/>
      <w:marBottom w:val="0"/>
      <w:divBdr>
        <w:top w:val="none" w:sz="0" w:space="0" w:color="auto"/>
        <w:left w:val="none" w:sz="0" w:space="0" w:color="auto"/>
        <w:bottom w:val="none" w:sz="0" w:space="0" w:color="auto"/>
        <w:right w:val="none" w:sz="0" w:space="0" w:color="auto"/>
      </w:divBdr>
    </w:div>
    <w:div w:id="1560244376">
      <w:bodyDiv w:val="1"/>
      <w:marLeft w:val="0"/>
      <w:marRight w:val="0"/>
      <w:marTop w:val="0"/>
      <w:marBottom w:val="0"/>
      <w:divBdr>
        <w:top w:val="none" w:sz="0" w:space="0" w:color="auto"/>
        <w:left w:val="none" w:sz="0" w:space="0" w:color="auto"/>
        <w:bottom w:val="none" w:sz="0" w:space="0" w:color="auto"/>
        <w:right w:val="none" w:sz="0" w:space="0" w:color="auto"/>
      </w:divBdr>
    </w:div>
    <w:div w:id="1560245121">
      <w:bodyDiv w:val="1"/>
      <w:marLeft w:val="0"/>
      <w:marRight w:val="0"/>
      <w:marTop w:val="0"/>
      <w:marBottom w:val="0"/>
      <w:divBdr>
        <w:top w:val="none" w:sz="0" w:space="0" w:color="auto"/>
        <w:left w:val="none" w:sz="0" w:space="0" w:color="auto"/>
        <w:bottom w:val="none" w:sz="0" w:space="0" w:color="auto"/>
        <w:right w:val="none" w:sz="0" w:space="0" w:color="auto"/>
      </w:divBdr>
    </w:div>
    <w:div w:id="1560435105">
      <w:bodyDiv w:val="1"/>
      <w:marLeft w:val="0"/>
      <w:marRight w:val="0"/>
      <w:marTop w:val="0"/>
      <w:marBottom w:val="0"/>
      <w:divBdr>
        <w:top w:val="none" w:sz="0" w:space="0" w:color="auto"/>
        <w:left w:val="none" w:sz="0" w:space="0" w:color="auto"/>
        <w:bottom w:val="none" w:sz="0" w:space="0" w:color="auto"/>
        <w:right w:val="none" w:sz="0" w:space="0" w:color="auto"/>
      </w:divBdr>
    </w:div>
    <w:div w:id="1560479665">
      <w:bodyDiv w:val="1"/>
      <w:marLeft w:val="0"/>
      <w:marRight w:val="0"/>
      <w:marTop w:val="0"/>
      <w:marBottom w:val="0"/>
      <w:divBdr>
        <w:top w:val="none" w:sz="0" w:space="0" w:color="auto"/>
        <w:left w:val="none" w:sz="0" w:space="0" w:color="auto"/>
        <w:bottom w:val="none" w:sz="0" w:space="0" w:color="auto"/>
        <w:right w:val="none" w:sz="0" w:space="0" w:color="auto"/>
      </w:divBdr>
    </w:div>
    <w:div w:id="1560749794">
      <w:bodyDiv w:val="1"/>
      <w:marLeft w:val="0"/>
      <w:marRight w:val="0"/>
      <w:marTop w:val="0"/>
      <w:marBottom w:val="0"/>
      <w:divBdr>
        <w:top w:val="none" w:sz="0" w:space="0" w:color="auto"/>
        <w:left w:val="none" w:sz="0" w:space="0" w:color="auto"/>
        <w:bottom w:val="none" w:sz="0" w:space="0" w:color="auto"/>
        <w:right w:val="none" w:sz="0" w:space="0" w:color="auto"/>
      </w:divBdr>
    </w:div>
    <w:div w:id="1560893991">
      <w:bodyDiv w:val="1"/>
      <w:marLeft w:val="0"/>
      <w:marRight w:val="0"/>
      <w:marTop w:val="0"/>
      <w:marBottom w:val="0"/>
      <w:divBdr>
        <w:top w:val="none" w:sz="0" w:space="0" w:color="auto"/>
        <w:left w:val="none" w:sz="0" w:space="0" w:color="auto"/>
        <w:bottom w:val="none" w:sz="0" w:space="0" w:color="auto"/>
        <w:right w:val="none" w:sz="0" w:space="0" w:color="auto"/>
      </w:divBdr>
    </w:div>
    <w:div w:id="1561285440">
      <w:bodyDiv w:val="1"/>
      <w:marLeft w:val="0"/>
      <w:marRight w:val="0"/>
      <w:marTop w:val="0"/>
      <w:marBottom w:val="0"/>
      <w:divBdr>
        <w:top w:val="none" w:sz="0" w:space="0" w:color="auto"/>
        <w:left w:val="none" w:sz="0" w:space="0" w:color="auto"/>
        <w:bottom w:val="none" w:sz="0" w:space="0" w:color="auto"/>
        <w:right w:val="none" w:sz="0" w:space="0" w:color="auto"/>
      </w:divBdr>
    </w:div>
    <w:div w:id="1561288654">
      <w:bodyDiv w:val="1"/>
      <w:marLeft w:val="0"/>
      <w:marRight w:val="0"/>
      <w:marTop w:val="0"/>
      <w:marBottom w:val="0"/>
      <w:divBdr>
        <w:top w:val="none" w:sz="0" w:space="0" w:color="auto"/>
        <w:left w:val="none" w:sz="0" w:space="0" w:color="auto"/>
        <w:bottom w:val="none" w:sz="0" w:space="0" w:color="auto"/>
        <w:right w:val="none" w:sz="0" w:space="0" w:color="auto"/>
      </w:divBdr>
      <w:divsChild>
        <w:div w:id="6761738">
          <w:marLeft w:val="0"/>
          <w:marRight w:val="0"/>
          <w:marTop w:val="0"/>
          <w:marBottom w:val="0"/>
          <w:divBdr>
            <w:top w:val="none" w:sz="0" w:space="0" w:color="auto"/>
            <w:left w:val="none" w:sz="0" w:space="0" w:color="auto"/>
            <w:bottom w:val="none" w:sz="0" w:space="0" w:color="auto"/>
            <w:right w:val="none" w:sz="0" w:space="0" w:color="auto"/>
          </w:divBdr>
        </w:div>
        <w:div w:id="508369338">
          <w:marLeft w:val="0"/>
          <w:marRight w:val="0"/>
          <w:marTop w:val="0"/>
          <w:marBottom w:val="0"/>
          <w:divBdr>
            <w:top w:val="none" w:sz="0" w:space="0" w:color="auto"/>
            <w:left w:val="none" w:sz="0" w:space="0" w:color="auto"/>
            <w:bottom w:val="none" w:sz="0" w:space="0" w:color="auto"/>
            <w:right w:val="none" w:sz="0" w:space="0" w:color="auto"/>
          </w:divBdr>
        </w:div>
      </w:divsChild>
    </w:div>
    <w:div w:id="1562519136">
      <w:bodyDiv w:val="1"/>
      <w:marLeft w:val="0"/>
      <w:marRight w:val="0"/>
      <w:marTop w:val="0"/>
      <w:marBottom w:val="0"/>
      <w:divBdr>
        <w:top w:val="none" w:sz="0" w:space="0" w:color="auto"/>
        <w:left w:val="none" w:sz="0" w:space="0" w:color="auto"/>
        <w:bottom w:val="none" w:sz="0" w:space="0" w:color="auto"/>
        <w:right w:val="none" w:sz="0" w:space="0" w:color="auto"/>
      </w:divBdr>
    </w:div>
    <w:div w:id="1562519781">
      <w:bodyDiv w:val="1"/>
      <w:marLeft w:val="0"/>
      <w:marRight w:val="0"/>
      <w:marTop w:val="0"/>
      <w:marBottom w:val="0"/>
      <w:divBdr>
        <w:top w:val="none" w:sz="0" w:space="0" w:color="auto"/>
        <w:left w:val="none" w:sz="0" w:space="0" w:color="auto"/>
        <w:bottom w:val="none" w:sz="0" w:space="0" w:color="auto"/>
        <w:right w:val="none" w:sz="0" w:space="0" w:color="auto"/>
      </w:divBdr>
    </w:div>
    <w:div w:id="1562670698">
      <w:bodyDiv w:val="1"/>
      <w:marLeft w:val="0"/>
      <w:marRight w:val="0"/>
      <w:marTop w:val="0"/>
      <w:marBottom w:val="0"/>
      <w:divBdr>
        <w:top w:val="none" w:sz="0" w:space="0" w:color="auto"/>
        <w:left w:val="none" w:sz="0" w:space="0" w:color="auto"/>
        <w:bottom w:val="none" w:sz="0" w:space="0" w:color="auto"/>
        <w:right w:val="none" w:sz="0" w:space="0" w:color="auto"/>
      </w:divBdr>
    </w:div>
    <w:div w:id="1562984096">
      <w:bodyDiv w:val="1"/>
      <w:marLeft w:val="0"/>
      <w:marRight w:val="0"/>
      <w:marTop w:val="0"/>
      <w:marBottom w:val="0"/>
      <w:divBdr>
        <w:top w:val="none" w:sz="0" w:space="0" w:color="auto"/>
        <w:left w:val="none" w:sz="0" w:space="0" w:color="auto"/>
        <w:bottom w:val="none" w:sz="0" w:space="0" w:color="auto"/>
        <w:right w:val="none" w:sz="0" w:space="0" w:color="auto"/>
      </w:divBdr>
    </w:div>
    <w:div w:id="1563902666">
      <w:bodyDiv w:val="1"/>
      <w:marLeft w:val="0"/>
      <w:marRight w:val="0"/>
      <w:marTop w:val="0"/>
      <w:marBottom w:val="0"/>
      <w:divBdr>
        <w:top w:val="none" w:sz="0" w:space="0" w:color="auto"/>
        <w:left w:val="none" w:sz="0" w:space="0" w:color="auto"/>
        <w:bottom w:val="none" w:sz="0" w:space="0" w:color="auto"/>
        <w:right w:val="none" w:sz="0" w:space="0" w:color="auto"/>
      </w:divBdr>
    </w:div>
    <w:div w:id="1564100588">
      <w:bodyDiv w:val="1"/>
      <w:marLeft w:val="0"/>
      <w:marRight w:val="0"/>
      <w:marTop w:val="0"/>
      <w:marBottom w:val="0"/>
      <w:divBdr>
        <w:top w:val="none" w:sz="0" w:space="0" w:color="auto"/>
        <w:left w:val="none" w:sz="0" w:space="0" w:color="auto"/>
        <w:bottom w:val="none" w:sz="0" w:space="0" w:color="auto"/>
        <w:right w:val="none" w:sz="0" w:space="0" w:color="auto"/>
      </w:divBdr>
    </w:div>
    <w:div w:id="1564833273">
      <w:bodyDiv w:val="1"/>
      <w:marLeft w:val="0"/>
      <w:marRight w:val="0"/>
      <w:marTop w:val="0"/>
      <w:marBottom w:val="0"/>
      <w:divBdr>
        <w:top w:val="none" w:sz="0" w:space="0" w:color="auto"/>
        <w:left w:val="none" w:sz="0" w:space="0" w:color="auto"/>
        <w:bottom w:val="none" w:sz="0" w:space="0" w:color="auto"/>
        <w:right w:val="none" w:sz="0" w:space="0" w:color="auto"/>
      </w:divBdr>
    </w:div>
    <w:div w:id="1566062529">
      <w:bodyDiv w:val="1"/>
      <w:marLeft w:val="0"/>
      <w:marRight w:val="0"/>
      <w:marTop w:val="0"/>
      <w:marBottom w:val="0"/>
      <w:divBdr>
        <w:top w:val="none" w:sz="0" w:space="0" w:color="auto"/>
        <w:left w:val="none" w:sz="0" w:space="0" w:color="auto"/>
        <w:bottom w:val="none" w:sz="0" w:space="0" w:color="auto"/>
        <w:right w:val="none" w:sz="0" w:space="0" w:color="auto"/>
      </w:divBdr>
    </w:div>
    <w:div w:id="1566794607">
      <w:bodyDiv w:val="1"/>
      <w:marLeft w:val="0"/>
      <w:marRight w:val="0"/>
      <w:marTop w:val="0"/>
      <w:marBottom w:val="0"/>
      <w:divBdr>
        <w:top w:val="none" w:sz="0" w:space="0" w:color="auto"/>
        <w:left w:val="none" w:sz="0" w:space="0" w:color="auto"/>
        <w:bottom w:val="none" w:sz="0" w:space="0" w:color="auto"/>
        <w:right w:val="none" w:sz="0" w:space="0" w:color="auto"/>
      </w:divBdr>
    </w:div>
    <w:div w:id="1567492187">
      <w:bodyDiv w:val="1"/>
      <w:marLeft w:val="0"/>
      <w:marRight w:val="0"/>
      <w:marTop w:val="0"/>
      <w:marBottom w:val="0"/>
      <w:divBdr>
        <w:top w:val="none" w:sz="0" w:space="0" w:color="auto"/>
        <w:left w:val="none" w:sz="0" w:space="0" w:color="auto"/>
        <w:bottom w:val="none" w:sz="0" w:space="0" w:color="auto"/>
        <w:right w:val="none" w:sz="0" w:space="0" w:color="auto"/>
      </w:divBdr>
    </w:div>
    <w:div w:id="1568029558">
      <w:bodyDiv w:val="1"/>
      <w:marLeft w:val="0"/>
      <w:marRight w:val="0"/>
      <w:marTop w:val="0"/>
      <w:marBottom w:val="0"/>
      <w:divBdr>
        <w:top w:val="none" w:sz="0" w:space="0" w:color="auto"/>
        <w:left w:val="none" w:sz="0" w:space="0" w:color="auto"/>
        <w:bottom w:val="none" w:sz="0" w:space="0" w:color="auto"/>
        <w:right w:val="none" w:sz="0" w:space="0" w:color="auto"/>
      </w:divBdr>
    </w:div>
    <w:div w:id="1568030059">
      <w:bodyDiv w:val="1"/>
      <w:marLeft w:val="0"/>
      <w:marRight w:val="0"/>
      <w:marTop w:val="0"/>
      <w:marBottom w:val="0"/>
      <w:divBdr>
        <w:top w:val="none" w:sz="0" w:space="0" w:color="auto"/>
        <w:left w:val="none" w:sz="0" w:space="0" w:color="auto"/>
        <w:bottom w:val="none" w:sz="0" w:space="0" w:color="auto"/>
        <w:right w:val="none" w:sz="0" w:space="0" w:color="auto"/>
      </w:divBdr>
    </w:div>
    <w:div w:id="1568490811">
      <w:bodyDiv w:val="1"/>
      <w:marLeft w:val="0"/>
      <w:marRight w:val="0"/>
      <w:marTop w:val="0"/>
      <w:marBottom w:val="0"/>
      <w:divBdr>
        <w:top w:val="none" w:sz="0" w:space="0" w:color="auto"/>
        <w:left w:val="none" w:sz="0" w:space="0" w:color="auto"/>
        <w:bottom w:val="none" w:sz="0" w:space="0" w:color="auto"/>
        <w:right w:val="none" w:sz="0" w:space="0" w:color="auto"/>
      </w:divBdr>
    </w:div>
    <w:div w:id="1569345377">
      <w:bodyDiv w:val="1"/>
      <w:marLeft w:val="0"/>
      <w:marRight w:val="0"/>
      <w:marTop w:val="0"/>
      <w:marBottom w:val="0"/>
      <w:divBdr>
        <w:top w:val="none" w:sz="0" w:space="0" w:color="auto"/>
        <w:left w:val="none" w:sz="0" w:space="0" w:color="auto"/>
        <w:bottom w:val="none" w:sz="0" w:space="0" w:color="auto"/>
        <w:right w:val="none" w:sz="0" w:space="0" w:color="auto"/>
      </w:divBdr>
    </w:div>
    <w:div w:id="1569605747">
      <w:bodyDiv w:val="1"/>
      <w:marLeft w:val="0"/>
      <w:marRight w:val="0"/>
      <w:marTop w:val="0"/>
      <w:marBottom w:val="0"/>
      <w:divBdr>
        <w:top w:val="none" w:sz="0" w:space="0" w:color="auto"/>
        <w:left w:val="none" w:sz="0" w:space="0" w:color="auto"/>
        <w:bottom w:val="none" w:sz="0" w:space="0" w:color="auto"/>
        <w:right w:val="none" w:sz="0" w:space="0" w:color="auto"/>
      </w:divBdr>
    </w:div>
    <w:div w:id="1569994052">
      <w:bodyDiv w:val="1"/>
      <w:marLeft w:val="0"/>
      <w:marRight w:val="0"/>
      <w:marTop w:val="0"/>
      <w:marBottom w:val="0"/>
      <w:divBdr>
        <w:top w:val="none" w:sz="0" w:space="0" w:color="auto"/>
        <w:left w:val="none" w:sz="0" w:space="0" w:color="auto"/>
        <w:bottom w:val="none" w:sz="0" w:space="0" w:color="auto"/>
        <w:right w:val="none" w:sz="0" w:space="0" w:color="auto"/>
      </w:divBdr>
    </w:div>
    <w:div w:id="1571037461">
      <w:bodyDiv w:val="1"/>
      <w:marLeft w:val="0"/>
      <w:marRight w:val="0"/>
      <w:marTop w:val="0"/>
      <w:marBottom w:val="0"/>
      <w:divBdr>
        <w:top w:val="none" w:sz="0" w:space="0" w:color="auto"/>
        <w:left w:val="none" w:sz="0" w:space="0" w:color="auto"/>
        <w:bottom w:val="none" w:sz="0" w:space="0" w:color="auto"/>
        <w:right w:val="none" w:sz="0" w:space="0" w:color="auto"/>
      </w:divBdr>
    </w:div>
    <w:div w:id="1571310307">
      <w:bodyDiv w:val="1"/>
      <w:marLeft w:val="0"/>
      <w:marRight w:val="0"/>
      <w:marTop w:val="0"/>
      <w:marBottom w:val="0"/>
      <w:divBdr>
        <w:top w:val="none" w:sz="0" w:space="0" w:color="auto"/>
        <w:left w:val="none" w:sz="0" w:space="0" w:color="auto"/>
        <w:bottom w:val="none" w:sz="0" w:space="0" w:color="auto"/>
        <w:right w:val="none" w:sz="0" w:space="0" w:color="auto"/>
      </w:divBdr>
    </w:div>
    <w:div w:id="1572080504">
      <w:bodyDiv w:val="1"/>
      <w:marLeft w:val="0"/>
      <w:marRight w:val="0"/>
      <w:marTop w:val="0"/>
      <w:marBottom w:val="0"/>
      <w:divBdr>
        <w:top w:val="none" w:sz="0" w:space="0" w:color="auto"/>
        <w:left w:val="none" w:sz="0" w:space="0" w:color="auto"/>
        <w:bottom w:val="none" w:sz="0" w:space="0" w:color="auto"/>
        <w:right w:val="none" w:sz="0" w:space="0" w:color="auto"/>
      </w:divBdr>
    </w:div>
    <w:div w:id="1572232648">
      <w:bodyDiv w:val="1"/>
      <w:marLeft w:val="0"/>
      <w:marRight w:val="0"/>
      <w:marTop w:val="0"/>
      <w:marBottom w:val="0"/>
      <w:divBdr>
        <w:top w:val="none" w:sz="0" w:space="0" w:color="auto"/>
        <w:left w:val="none" w:sz="0" w:space="0" w:color="auto"/>
        <w:bottom w:val="none" w:sz="0" w:space="0" w:color="auto"/>
        <w:right w:val="none" w:sz="0" w:space="0" w:color="auto"/>
      </w:divBdr>
    </w:div>
    <w:div w:id="1572547148">
      <w:bodyDiv w:val="1"/>
      <w:marLeft w:val="0"/>
      <w:marRight w:val="0"/>
      <w:marTop w:val="0"/>
      <w:marBottom w:val="0"/>
      <w:divBdr>
        <w:top w:val="none" w:sz="0" w:space="0" w:color="auto"/>
        <w:left w:val="none" w:sz="0" w:space="0" w:color="auto"/>
        <w:bottom w:val="none" w:sz="0" w:space="0" w:color="auto"/>
        <w:right w:val="none" w:sz="0" w:space="0" w:color="auto"/>
      </w:divBdr>
    </w:div>
    <w:div w:id="1572961111">
      <w:bodyDiv w:val="1"/>
      <w:marLeft w:val="0"/>
      <w:marRight w:val="0"/>
      <w:marTop w:val="0"/>
      <w:marBottom w:val="0"/>
      <w:divBdr>
        <w:top w:val="none" w:sz="0" w:space="0" w:color="auto"/>
        <w:left w:val="none" w:sz="0" w:space="0" w:color="auto"/>
        <w:bottom w:val="none" w:sz="0" w:space="0" w:color="auto"/>
        <w:right w:val="none" w:sz="0" w:space="0" w:color="auto"/>
      </w:divBdr>
    </w:div>
    <w:div w:id="1573151417">
      <w:bodyDiv w:val="1"/>
      <w:marLeft w:val="0"/>
      <w:marRight w:val="0"/>
      <w:marTop w:val="0"/>
      <w:marBottom w:val="0"/>
      <w:divBdr>
        <w:top w:val="none" w:sz="0" w:space="0" w:color="auto"/>
        <w:left w:val="none" w:sz="0" w:space="0" w:color="auto"/>
        <w:bottom w:val="none" w:sz="0" w:space="0" w:color="auto"/>
        <w:right w:val="none" w:sz="0" w:space="0" w:color="auto"/>
      </w:divBdr>
    </w:div>
    <w:div w:id="1573612708">
      <w:bodyDiv w:val="1"/>
      <w:marLeft w:val="0"/>
      <w:marRight w:val="0"/>
      <w:marTop w:val="0"/>
      <w:marBottom w:val="0"/>
      <w:divBdr>
        <w:top w:val="none" w:sz="0" w:space="0" w:color="auto"/>
        <w:left w:val="none" w:sz="0" w:space="0" w:color="auto"/>
        <w:bottom w:val="none" w:sz="0" w:space="0" w:color="auto"/>
        <w:right w:val="none" w:sz="0" w:space="0" w:color="auto"/>
      </w:divBdr>
    </w:div>
    <w:div w:id="1573657190">
      <w:bodyDiv w:val="1"/>
      <w:marLeft w:val="0"/>
      <w:marRight w:val="0"/>
      <w:marTop w:val="0"/>
      <w:marBottom w:val="0"/>
      <w:divBdr>
        <w:top w:val="none" w:sz="0" w:space="0" w:color="auto"/>
        <w:left w:val="none" w:sz="0" w:space="0" w:color="auto"/>
        <w:bottom w:val="none" w:sz="0" w:space="0" w:color="auto"/>
        <w:right w:val="none" w:sz="0" w:space="0" w:color="auto"/>
      </w:divBdr>
    </w:div>
    <w:div w:id="1574778052">
      <w:bodyDiv w:val="1"/>
      <w:marLeft w:val="0"/>
      <w:marRight w:val="0"/>
      <w:marTop w:val="0"/>
      <w:marBottom w:val="0"/>
      <w:divBdr>
        <w:top w:val="none" w:sz="0" w:space="0" w:color="auto"/>
        <w:left w:val="none" w:sz="0" w:space="0" w:color="auto"/>
        <w:bottom w:val="none" w:sz="0" w:space="0" w:color="auto"/>
        <w:right w:val="none" w:sz="0" w:space="0" w:color="auto"/>
      </w:divBdr>
    </w:div>
    <w:div w:id="1574926195">
      <w:bodyDiv w:val="1"/>
      <w:marLeft w:val="0"/>
      <w:marRight w:val="0"/>
      <w:marTop w:val="0"/>
      <w:marBottom w:val="0"/>
      <w:divBdr>
        <w:top w:val="none" w:sz="0" w:space="0" w:color="auto"/>
        <w:left w:val="none" w:sz="0" w:space="0" w:color="auto"/>
        <w:bottom w:val="none" w:sz="0" w:space="0" w:color="auto"/>
        <w:right w:val="none" w:sz="0" w:space="0" w:color="auto"/>
      </w:divBdr>
    </w:div>
    <w:div w:id="1574970757">
      <w:bodyDiv w:val="1"/>
      <w:marLeft w:val="0"/>
      <w:marRight w:val="0"/>
      <w:marTop w:val="0"/>
      <w:marBottom w:val="0"/>
      <w:divBdr>
        <w:top w:val="none" w:sz="0" w:space="0" w:color="auto"/>
        <w:left w:val="none" w:sz="0" w:space="0" w:color="auto"/>
        <w:bottom w:val="none" w:sz="0" w:space="0" w:color="auto"/>
        <w:right w:val="none" w:sz="0" w:space="0" w:color="auto"/>
      </w:divBdr>
    </w:div>
    <w:div w:id="1575435571">
      <w:bodyDiv w:val="1"/>
      <w:marLeft w:val="0"/>
      <w:marRight w:val="0"/>
      <w:marTop w:val="0"/>
      <w:marBottom w:val="0"/>
      <w:divBdr>
        <w:top w:val="none" w:sz="0" w:space="0" w:color="auto"/>
        <w:left w:val="none" w:sz="0" w:space="0" w:color="auto"/>
        <w:bottom w:val="none" w:sz="0" w:space="0" w:color="auto"/>
        <w:right w:val="none" w:sz="0" w:space="0" w:color="auto"/>
      </w:divBdr>
    </w:div>
    <w:div w:id="1575629760">
      <w:bodyDiv w:val="1"/>
      <w:marLeft w:val="0"/>
      <w:marRight w:val="0"/>
      <w:marTop w:val="0"/>
      <w:marBottom w:val="0"/>
      <w:divBdr>
        <w:top w:val="none" w:sz="0" w:space="0" w:color="auto"/>
        <w:left w:val="none" w:sz="0" w:space="0" w:color="auto"/>
        <w:bottom w:val="none" w:sz="0" w:space="0" w:color="auto"/>
        <w:right w:val="none" w:sz="0" w:space="0" w:color="auto"/>
      </w:divBdr>
    </w:div>
    <w:div w:id="1575817515">
      <w:bodyDiv w:val="1"/>
      <w:marLeft w:val="0"/>
      <w:marRight w:val="0"/>
      <w:marTop w:val="0"/>
      <w:marBottom w:val="0"/>
      <w:divBdr>
        <w:top w:val="none" w:sz="0" w:space="0" w:color="auto"/>
        <w:left w:val="none" w:sz="0" w:space="0" w:color="auto"/>
        <w:bottom w:val="none" w:sz="0" w:space="0" w:color="auto"/>
        <w:right w:val="none" w:sz="0" w:space="0" w:color="auto"/>
      </w:divBdr>
    </w:div>
    <w:div w:id="1576164830">
      <w:bodyDiv w:val="1"/>
      <w:marLeft w:val="0"/>
      <w:marRight w:val="0"/>
      <w:marTop w:val="0"/>
      <w:marBottom w:val="0"/>
      <w:divBdr>
        <w:top w:val="none" w:sz="0" w:space="0" w:color="auto"/>
        <w:left w:val="none" w:sz="0" w:space="0" w:color="auto"/>
        <w:bottom w:val="none" w:sz="0" w:space="0" w:color="auto"/>
        <w:right w:val="none" w:sz="0" w:space="0" w:color="auto"/>
      </w:divBdr>
    </w:div>
    <w:div w:id="1576470008">
      <w:bodyDiv w:val="1"/>
      <w:marLeft w:val="0"/>
      <w:marRight w:val="0"/>
      <w:marTop w:val="0"/>
      <w:marBottom w:val="0"/>
      <w:divBdr>
        <w:top w:val="none" w:sz="0" w:space="0" w:color="auto"/>
        <w:left w:val="none" w:sz="0" w:space="0" w:color="auto"/>
        <w:bottom w:val="none" w:sz="0" w:space="0" w:color="auto"/>
        <w:right w:val="none" w:sz="0" w:space="0" w:color="auto"/>
      </w:divBdr>
    </w:div>
    <w:div w:id="1577283250">
      <w:bodyDiv w:val="1"/>
      <w:marLeft w:val="0"/>
      <w:marRight w:val="0"/>
      <w:marTop w:val="0"/>
      <w:marBottom w:val="0"/>
      <w:divBdr>
        <w:top w:val="none" w:sz="0" w:space="0" w:color="auto"/>
        <w:left w:val="none" w:sz="0" w:space="0" w:color="auto"/>
        <w:bottom w:val="none" w:sz="0" w:space="0" w:color="auto"/>
        <w:right w:val="none" w:sz="0" w:space="0" w:color="auto"/>
      </w:divBdr>
    </w:div>
    <w:div w:id="1577586927">
      <w:bodyDiv w:val="1"/>
      <w:marLeft w:val="0"/>
      <w:marRight w:val="0"/>
      <w:marTop w:val="0"/>
      <w:marBottom w:val="0"/>
      <w:divBdr>
        <w:top w:val="none" w:sz="0" w:space="0" w:color="auto"/>
        <w:left w:val="none" w:sz="0" w:space="0" w:color="auto"/>
        <w:bottom w:val="none" w:sz="0" w:space="0" w:color="auto"/>
        <w:right w:val="none" w:sz="0" w:space="0" w:color="auto"/>
      </w:divBdr>
    </w:div>
    <w:div w:id="1577714128">
      <w:bodyDiv w:val="1"/>
      <w:marLeft w:val="0"/>
      <w:marRight w:val="0"/>
      <w:marTop w:val="0"/>
      <w:marBottom w:val="0"/>
      <w:divBdr>
        <w:top w:val="none" w:sz="0" w:space="0" w:color="auto"/>
        <w:left w:val="none" w:sz="0" w:space="0" w:color="auto"/>
        <w:bottom w:val="none" w:sz="0" w:space="0" w:color="auto"/>
        <w:right w:val="none" w:sz="0" w:space="0" w:color="auto"/>
      </w:divBdr>
    </w:div>
    <w:div w:id="1577785065">
      <w:bodyDiv w:val="1"/>
      <w:marLeft w:val="0"/>
      <w:marRight w:val="0"/>
      <w:marTop w:val="0"/>
      <w:marBottom w:val="0"/>
      <w:divBdr>
        <w:top w:val="none" w:sz="0" w:space="0" w:color="auto"/>
        <w:left w:val="none" w:sz="0" w:space="0" w:color="auto"/>
        <w:bottom w:val="none" w:sz="0" w:space="0" w:color="auto"/>
        <w:right w:val="none" w:sz="0" w:space="0" w:color="auto"/>
      </w:divBdr>
    </w:div>
    <w:div w:id="1578006555">
      <w:bodyDiv w:val="1"/>
      <w:marLeft w:val="0"/>
      <w:marRight w:val="0"/>
      <w:marTop w:val="0"/>
      <w:marBottom w:val="0"/>
      <w:divBdr>
        <w:top w:val="none" w:sz="0" w:space="0" w:color="auto"/>
        <w:left w:val="none" w:sz="0" w:space="0" w:color="auto"/>
        <w:bottom w:val="none" w:sz="0" w:space="0" w:color="auto"/>
        <w:right w:val="none" w:sz="0" w:space="0" w:color="auto"/>
      </w:divBdr>
    </w:div>
    <w:div w:id="1578173081">
      <w:bodyDiv w:val="1"/>
      <w:marLeft w:val="0"/>
      <w:marRight w:val="0"/>
      <w:marTop w:val="0"/>
      <w:marBottom w:val="0"/>
      <w:divBdr>
        <w:top w:val="none" w:sz="0" w:space="0" w:color="auto"/>
        <w:left w:val="none" w:sz="0" w:space="0" w:color="auto"/>
        <w:bottom w:val="none" w:sz="0" w:space="0" w:color="auto"/>
        <w:right w:val="none" w:sz="0" w:space="0" w:color="auto"/>
      </w:divBdr>
    </w:div>
    <w:div w:id="1578321569">
      <w:bodyDiv w:val="1"/>
      <w:marLeft w:val="0"/>
      <w:marRight w:val="0"/>
      <w:marTop w:val="0"/>
      <w:marBottom w:val="0"/>
      <w:divBdr>
        <w:top w:val="none" w:sz="0" w:space="0" w:color="auto"/>
        <w:left w:val="none" w:sz="0" w:space="0" w:color="auto"/>
        <w:bottom w:val="none" w:sz="0" w:space="0" w:color="auto"/>
        <w:right w:val="none" w:sz="0" w:space="0" w:color="auto"/>
      </w:divBdr>
    </w:div>
    <w:div w:id="1579168783">
      <w:bodyDiv w:val="1"/>
      <w:marLeft w:val="0"/>
      <w:marRight w:val="0"/>
      <w:marTop w:val="0"/>
      <w:marBottom w:val="0"/>
      <w:divBdr>
        <w:top w:val="none" w:sz="0" w:space="0" w:color="auto"/>
        <w:left w:val="none" w:sz="0" w:space="0" w:color="auto"/>
        <w:bottom w:val="none" w:sz="0" w:space="0" w:color="auto"/>
        <w:right w:val="none" w:sz="0" w:space="0" w:color="auto"/>
      </w:divBdr>
    </w:div>
    <w:div w:id="1579973414">
      <w:bodyDiv w:val="1"/>
      <w:marLeft w:val="0"/>
      <w:marRight w:val="0"/>
      <w:marTop w:val="0"/>
      <w:marBottom w:val="0"/>
      <w:divBdr>
        <w:top w:val="none" w:sz="0" w:space="0" w:color="auto"/>
        <w:left w:val="none" w:sz="0" w:space="0" w:color="auto"/>
        <w:bottom w:val="none" w:sz="0" w:space="0" w:color="auto"/>
        <w:right w:val="none" w:sz="0" w:space="0" w:color="auto"/>
      </w:divBdr>
    </w:div>
    <w:div w:id="1580482773">
      <w:bodyDiv w:val="1"/>
      <w:marLeft w:val="0"/>
      <w:marRight w:val="0"/>
      <w:marTop w:val="0"/>
      <w:marBottom w:val="0"/>
      <w:divBdr>
        <w:top w:val="none" w:sz="0" w:space="0" w:color="auto"/>
        <w:left w:val="none" w:sz="0" w:space="0" w:color="auto"/>
        <w:bottom w:val="none" w:sz="0" w:space="0" w:color="auto"/>
        <w:right w:val="none" w:sz="0" w:space="0" w:color="auto"/>
      </w:divBdr>
    </w:div>
    <w:div w:id="1581478044">
      <w:bodyDiv w:val="1"/>
      <w:marLeft w:val="0"/>
      <w:marRight w:val="0"/>
      <w:marTop w:val="0"/>
      <w:marBottom w:val="0"/>
      <w:divBdr>
        <w:top w:val="none" w:sz="0" w:space="0" w:color="auto"/>
        <w:left w:val="none" w:sz="0" w:space="0" w:color="auto"/>
        <w:bottom w:val="none" w:sz="0" w:space="0" w:color="auto"/>
        <w:right w:val="none" w:sz="0" w:space="0" w:color="auto"/>
      </w:divBdr>
    </w:div>
    <w:div w:id="1581597709">
      <w:bodyDiv w:val="1"/>
      <w:marLeft w:val="0"/>
      <w:marRight w:val="0"/>
      <w:marTop w:val="0"/>
      <w:marBottom w:val="0"/>
      <w:divBdr>
        <w:top w:val="none" w:sz="0" w:space="0" w:color="auto"/>
        <w:left w:val="none" w:sz="0" w:space="0" w:color="auto"/>
        <w:bottom w:val="none" w:sz="0" w:space="0" w:color="auto"/>
        <w:right w:val="none" w:sz="0" w:space="0" w:color="auto"/>
      </w:divBdr>
    </w:div>
    <w:div w:id="1581713480">
      <w:bodyDiv w:val="1"/>
      <w:marLeft w:val="0"/>
      <w:marRight w:val="0"/>
      <w:marTop w:val="0"/>
      <w:marBottom w:val="0"/>
      <w:divBdr>
        <w:top w:val="none" w:sz="0" w:space="0" w:color="auto"/>
        <w:left w:val="none" w:sz="0" w:space="0" w:color="auto"/>
        <w:bottom w:val="none" w:sz="0" w:space="0" w:color="auto"/>
        <w:right w:val="none" w:sz="0" w:space="0" w:color="auto"/>
      </w:divBdr>
    </w:div>
    <w:div w:id="1582175028">
      <w:bodyDiv w:val="1"/>
      <w:marLeft w:val="0"/>
      <w:marRight w:val="0"/>
      <w:marTop w:val="0"/>
      <w:marBottom w:val="0"/>
      <w:divBdr>
        <w:top w:val="none" w:sz="0" w:space="0" w:color="auto"/>
        <w:left w:val="none" w:sz="0" w:space="0" w:color="auto"/>
        <w:bottom w:val="none" w:sz="0" w:space="0" w:color="auto"/>
        <w:right w:val="none" w:sz="0" w:space="0" w:color="auto"/>
      </w:divBdr>
    </w:div>
    <w:div w:id="1583296043">
      <w:bodyDiv w:val="1"/>
      <w:marLeft w:val="0"/>
      <w:marRight w:val="0"/>
      <w:marTop w:val="0"/>
      <w:marBottom w:val="0"/>
      <w:divBdr>
        <w:top w:val="none" w:sz="0" w:space="0" w:color="auto"/>
        <w:left w:val="none" w:sz="0" w:space="0" w:color="auto"/>
        <w:bottom w:val="none" w:sz="0" w:space="0" w:color="auto"/>
        <w:right w:val="none" w:sz="0" w:space="0" w:color="auto"/>
      </w:divBdr>
    </w:div>
    <w:div w:id="1583299100">
      <w:bodyDiv w:val="1"/>
      <w:marLeft w:val="0"/>
      <w:marRight w:val="0"/>
      <w:marTop w:val="0"/>
      <w:marBottom w:val="0"/>
      <w:divBdr>
        <w:top w:val="none" w:sz="0" w:space="0" w:color="auto"/>
        <w:left w:val="none" w:sz="0" w:space="0" w:color="auto"/>
        <w:bottom w:val="none" w:sz="0" w:space="0" w:color="auto"/>
        <w:right w:val="none" w:sz="0" w:space="0" w:color="auto"/>
      </w:divBdr>
    </w:div>
    <w:div w:id="1583635111">
      <w:bodyDiv w:val="1"/>
      <w:marLeft w:val="0"/>
      <w:marRight w:val="0"/>
      <w:marTop w:val="0"/>
      <w:marBottom w:val="0"/>
      <w:divBdr>
        <w:top w:val="none" w:sz="0" w:space="0" w:color="auto"/>
        <w:left w:val="none" w:sz="0" w:space="0" w:color="auto"/>
        <w:bottom w:val="none" w:sz="0" w:space="0" w:color="auto"/>
        <w:right w:val="none" w:sz="0" w:space="0" w:color="auto"/>
      </w:divBdr>
    </w:div>
    <w:div w:id="1583949775">
      <w:bodyDiv w:val="1"/>
      <w:marLeft w:val="0"/>
      <w:marRight w:val="0"/>
      <w:marTop w:val="0"/>
      <w:marBottom w:val="0"/>
      <w:divBdr>
        <w:top w:val="none" w:sz="0" w:space="0" w:color="auto"/>
        <w:left w:val="none" w:sz="0" w:space="0" w:color="auto"/>
        <w:bottom w:val="none" w:sz="0" w:space="0" w:color="auto"/>
        <w:right w:val="none" w:sz="0" w:space="0" w:color="auto"/>
      </w:divBdr>
    </w:div>
    <w:div w:id="1584876772">
      <w:bodyDiv w:val="1"/>
      <w:marLeft w:val="0"/>
      <w:marRight w:val="0"/>
      <w:marTop w:val="0"/>
      <w:marBottom w:val="0"/>
      <w:divBdr>
        <w:top w:val="none" w:sz="0" w:space="0" w:color="auto"/>
        <w:left w:val="none" w:sz="0" w:space="0" w:color="auto"/>
        <w:bottom w:val="none" w:sz="0" w:space="0" w:color="auto"/>
        <w:right w:val="none" w:sz="0" w:space="0" w:color="auto"/>
      </w:divBdr>
    </w:div>
    <w:div w:id="1584947190">
      <w:bodyDiv w:val="1"/>
      <w:marLeft w:val="0"/>
      <w:marRight w:val="0"/>
      <w:marTop w:val="0"/>
      <w:marBottom w:val="0"/>
      <w:divBdr>
        <w:top w:val="none" w:sz="0" w:space="0" w:color="auto"/>
        <w:left w:val="none" w:sz="0" w:space="0" w:color="auto"/>
        <w:bottom w:val="none" w:sz="0" w:space="0" w:color="auto"/>
        <w:right w:val="none" w:sz="0" w:space="0" w:color="auto"/>
      </w:divBdr>
    </w:div>
    <w:div w:id="1585802741">
      <w:bodyDiv w:val="1"/>
      <w:marLeft w:val="0"/>
      <w:marRight w:val="0"/>
      <w:marTop w:val="0"/>
      <w:marBottom w:val="0"/>
      <w:divBdr>
        <w:top w:val="none" w:sz="0" w:space="0" w:color="auto"/>
        <w:left w:val="none" w:sz="0" w:space="0" w:color="auto"/>
        <w:bottom w:val="none" w:sz="0" w:space="0" w:color="auto"/>
        <w:right w:val="none" w:sz="0" w:space="0" w:color="auto"/>
      </w:divBdr>
    </w:div>
    <w:div w:id="1585995421">
      <w:bodyDiv w:val="1"/>
      <w:marLeft w:val="0"/>
      <w:marRight w:val="0"/>
      <w:marTop w:val="0"/>
      <w:marBottom w:val="0"/>
      <w:divBdr>
        <w:top w:val="none" w:sz="0" w:space="0" w:color="auto"/>
        <w:left w:val="none" w:sz="0" w:space="0" w:color="auto"/>
        <w:bottom w:val="none" w:sz="0" w:space="0" w:color="auto"/>
        <w:right w:val="none" w:sz="0" w:space="0" w:color="auto"/>
      </w:divBdr>
    </w:div>
    <w:div w:id="1586265235">
      <w:bodyDiv w:val="1"/>
      <w:marLeft w:val="0"/>
      <w:marRight w:val="0"/>
      <w:marTop w:val="0"/>
      <w:marBottom w:val="0"/>
      <w:divBdr>
        <w:top w:val="none" w:sz="0" w:space="0" w:color="auto"/>
        <w:left w:val="none" w:sz="0" w:space="0" w:color="auto"/>
        <w:bottom w:val="none" w:sz="0" w:space="0" w:color="auto"/>
        <w:right w:val="none" w:sz="0" w:space="0" w:color="auto"/>
      </w:divBdr>
    </w:div>
    <w:div w:id="1586458429">
      <w:bodyDiv w:val="1"/>
      <w:marLeft w:val="0"/>
      <w:marRight w:val="0"/>
      <w:marTop w:val="0"/>
      <w:marBottom w:val="0"/>
      <w:divBdr>
        <w:top w:val="none" w:sz="0" w:space="0" w:color="auto"/>
        <w:left w:val="none" w:sz="0" w:space="0" w:color="auto"/>
        <w:bottom w:val="none" w:sz="0" w:space="0" w:color="auto"/>
        <w:right w:val="none" w:sz="0" w:space="0" w:color="auto"/>
      </w:divBdr>
    </w:div>
    <w:div w:id="1586719209">
      <w:bodyDiv w:val="1"/>
      <w:marLeft w:val="0"/>
      <w:marRight w:val="0"/>
      <w:marTop w:val="0"/>
      <w:marBottom w:val="0"/>
      <w:divBdr>
        <w:top w:val="none" w:sz="0" w:space="0" w:color="auto"/>
        <w:left w:val="none" w:sz="0" w:space="0" w:color="auto"/>
        <w:bottom w:val="none" w:sz="0" w:space="0" w:color="auto"/>
        <w:right w:val="none" w:sz="0" w:space="0" w:color="auto"/>
      </w:divBdr>
    </w:div>
    <w:div w:id="1587033780">
      <w:bodyDiv w:val="1"/>
      <w:marLeft w:val="0"/>
      <w:marRight w:val="0"/>
      <w:marTop w:val="0"/>
      <w:marBottom w:val="0"/>
      <w:divBdr>
        <w:top w:val="none" w:sz="0" w:space="0" w:color="auto"/>
        <w:left w:val="none" w:sz="0" w:space="0" w:color="auto"/>
        <w:bottom w:val="none" w:sz="0" w:space="0" w:color="auto"/>
        <w:right w:val="none" w:sz="0" w:space="0" w:color="auto"/>
      </w:divBdr>
    </w:div>
    <w:div w:id="1587417013">
      <w:bodyDiv w:val="1"/>
      <w:marLeft w:val="0"/>
      <w:marRight w:val="0"/>
      <w:marTop w:val="0"/>
      <w:marBottom w:val="0"/>
      <w:divBdr>
        <w:top w:val="none" w:sz="0" w:space="0" w:color="auto"/>
        <w:left w:val="none" w:sz="0" w:space="0" w:color="auto"/>
        <w:bottom w:val="none" w:sz="0" w:space="0" w:color="auto"/>
        <w:right w:val="none" w:sz="0" w:space="0" w:color="auto"/>
      </w:divBdr>
    </w:div>
    <w:div w:id="1588347393">
      <w:bodyDiv w:val="1"/>
      <w:marLeft w:val="0"/>
      <w:marRight w:val="0"/>
      <w:marTop w:val="0"/>
      <w:marBottom w:val="0"/>
      <w:divBdr>
        <w:top w:val="none" w:sz="0" w:space="0" w:color="auto"/>
        <w:left w:val="none" w:sz="0" w:space="0" w:color="auto"/>
        <w:bottom w:val="none" w:sz="0" w:space="0" w:color="auto"/>
        <w:right w:val="none" w:sz="0" w:space="0" w:color="auto"/>
      </w:divBdr>
    </w:div>
    <w:div w:id="1588541031">
      <w:bodyDiv w:val="1"/>
      <w:marLeft w:val="0"/>
      <w:marRight w:val="0"/>
      <w:marTop w:val="0"/>
      <w:marBottom w:val="0"/>
      <w:divBdr>
        <w:top w:val="none" w:sz="0" w:space="0" w:color="auto"/>
        <w:left w:val="none" w:sz="0" w:space="0" w:color="auto"/>
        <w:bottom w:val="none" w:sz="0" w:space="0" w:color="auto"/>
        <w:right w:val="none" w:sz="0" w:space="0" w:color="auto"/>
      </w:divBdr>
    </w:div>
    <w:div w:id="1589921823">
      <w:bodyDiv w:val="1"/>
      <w:marLeft w:val="0"/>
      <w:marRight w:val="0"/>
      <w:marTop w:val="0"/>
      <w:marBottom w:val="0"/>
      <w:divBdr>
        <w:top w:val="none" w:sz="0" w:space="0" w:color="auto"/>
        <w:left w:val="none" w:sz="0" w:space="0" w:color="auto"/>
        <w:bottom w:val="none" w:sz="0" w:space="0" w:color="auto"/>
        <w:right w:val="none" w:sz="0" w:space="0" w:color="auto"/>
      </w:divBdr>
    </w:div>
    <w:div w:id="1590040906">
      <w:bodyDiv w:val="1"/>
      <w:marLeft w:val="0"/>
      <w:marRight w:val="0"/>
      <w:marTop w:val="0"/>
      <w:marBottom w:val="0"/>
      <w:divBdr>
        <w:top w:val="none" w:sz="0" w:space="0" w:color="auto"/>
        <w:left w:val="none" w:sz="0" w:space="0" w:color="auto"/>
        <w:bottom w:val="none" w:sz="0" w:space="0" w:color="auto"/>
        <w:right w:val="none" w:sz="0" w:space="0" w:color="auto"/>
      </w:divBdr>
    </w:div>
    <w:div w:id="1590579266">
      <w:bodyDiv w:val="1"/>
      <w:marLeft w:val="0"/>
      <w:marRight w:val="0"/>
      <w:marTop w:val="0"/>
      <w:marBottom w:val="0"/>
      <w:divBdr>
        <w:top w:val="none" w:sz="0" w:space="0" w:color="auto"/>
        <w:left w:val="none" w:sz="0" w:space="0" w:color="auto"/>
        <w:bottom w:val="none" w:sz="0" w:space="0" w:color="auto"/>
        <w:right w:val="none" w:sz="0" w:space="0" w:color="auto"/>
      </w:divBdr>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114325">
      <w:bodyDiv w:val="1"/>
      <w:marLeft w:val="0"/>
      <w:marRight w:val="0"/>
      <w:marTop w:val="0"/>
      <w:marBottom w:val="0"/>
      <w:divBdr>
        <w:top w:val="none" w:sz="0" w:space="0" w:color="auto"/>
        <w:left w:val="none" w:sz="0" w:space="0" w:color="auto"/>
        <w:bottom w:val="none" w:sz="0" w:space="0" w:color="auto"/>
        <w:right w:val="none" w:sz="0" w:space="0" w:color="auto"/>
      </w:divBdr>
    </w:div>
    <w:div w:id="1591542928">
      <w:bodyDiv w:val="1"/>
      <w:marLeft w:val="0"/>
      <w:marRight w:val="0"/>
      <w:marTop w:val="0"/>
      <w:marBottom w:val="0"/>
      <w:divBdr>
        <w:top w:val="none" w:sz="0" w:space="0" w:color="auto"/>
        <w:left w:val="none" w:sz="0" w:space="0" w:color="auto"/>
        <w:bottom w:val="none" w:sz="0" w:space="0" w:color="auto"/>
        <w:right w:val="none" w:sz="0" w:space="0" w:color="auto"/>
      </w:divBdr>
    </w:div>
    <w:div w:id="1591738460">
      <w:bodyDiv w:val="1"/>
      <w:marLeft w:val="0"/>
      <w:marRight w:val="0"/>
      <w:marTop w:val="0"/>
      <w:marBottom w:val="0"/>
      <w:divBdr>
        <w:top w:val="none" w:sz="0" w:space="0" w:color="auto"/>
        <w:left w:val="none" w:sz="0" w:space="0" w:color="auto"/>
        <w:bottom w:val="none" w:sz="0" w:space="0" w:color="auto"/>
        <w:right w:val="none" w:sz="0" w:space="0" w:color="auto"/>
      </w:divBdr>
    </w:div>
    <w:div w:id="1591740545">
      <w:bodyDiv w:val="1"/>
      <w:marLeft w:val="0"/>
      <w:marRight w:val="0"/>
      <w:marTop w:val="0"/>
      <w:marBottom w:val="0"/>
      <w:divBdr>
        <w:top w:val="none" w:sz="0" w:space="0" w:color="auto"/>
        <w:left w:val="none" w:sz="0" w:space="0" w:color="auto"/>
        <w:bottom w:val="none" w:sz="0" w:space="0" w:color="auto"/>
        <w:right w:val="none" w:sz="0" w:space="0" w:color="auto"/>
      </w:divBdr>
    </w:div>
    <w:div w:id="1591886614">
      <w:bodyDiv w:val="1"/>
      <w:marLeft w:val="0"/>
      <w:marRight w:val="0"/>
      <w:marTop w:val="0"/>
      <w:marBottom w:val="0"/>
      <w:divBdr>
        <w:top w:val="none" w:sz="0" w:space="0" w:color="auto"/>
        <w:left w:val="none" w:sz="0" w:space="0" w:color="auto"/>
        <w:bottom w:val="none" w:sz="0" w:space="0" w:color="auto"/>
        <w:right w:val="none" w:sz="0" w:space="0" w:color="auto"/>
      </w:divBdr>
    </w:div>
    <w:div w:id="1592813767">
      <w:bodyDiv w:val="1"/>
      <w:marLeft w:val="0"/>
      <w:marRight w:val="0"/>
      <w:marTop w:val="0"/>
      <w:marBottom w:val="0"/>
      <w:divBdr>
        <w:top w:val="none" w:sz="0" w:space="0" w:color="auto"/>
        <w:left w:val="none" w:sz="0" w:space="0" w:color="auto"/>
        <w:bottom w:val="none" w:sz="0" w:space="0" w:color="auto"/>
        <w:right w:val="none" w:sz="0" w:space="0" w:color="auto"/>
      </w:divBdr>
    </w:div>
    <w:div w:id="1592817162">
      <w:bodyDiv w:val="1"/>
      <w:marLeft w:val="0"/>
      <w:marRight w:val="0"/>
      <w:marTop w:val="0"/>
      <w:marBottom w:val="0"/>
      <w:divBdr>
        <w:top w:val="none" w:sz="0" w:space="0" w:color="auto"/>
        <w:left w:val="none" w:sz="0" w:space="0" w:color="auto"/>
        <w:bottom w:val="none" w:sz="0" w:space="0" w:color="auto"/>
        <w:right w:val="none" w:sz="0" w:space="0" w:color="auto"/>
      </w:divBdr>
    </w:div>
    <w:div w:id="1593464366">
      <w:bodyDiv w:val="1"/>
      <w:marLeft w:val="0"/>
      <w:marRight w:val="0"/>
      <w:marTop w:val="0"/>
      <w:marBottom w:val="0"/>
      <w:divBdr>
        <w:top w:val="none" w:sz="0" w:space="0" w:color="auto"/>
        <w:left w:val="none" w:sz="0" w:space="0" w:color="auto"/>
        <w:bottom w:val="none" w:sz="0" w:space="0" w:color="auto"/>
        <w:right w:val="none" w:sz="0" w:space="0" w:color="auto"/>
      </w:divBdr>
    </w:div>
    <w:div w:id="1593586786">
      <w:bodyDiv w:val="1"/>
      <w:marLeft w:val="0"/>
      <w:marRight w:val="0"/>
      <w:marTop w:val="0"/>
      <w:marBottom w:val="0"/>
      <w:divBdr>
        <w:top w:val="none" w:sz="0" w:space="0" w:color="auto"/>
        <w:left w:val="none" w:sz="0" w:space="0" w:color="auto"/>
        <w:bottom w:val="none" w:sz="0" w:space="0" w:color="auto"/>
        <w:right w:val="none" w:sz="0" w:space="0" w:color="auto"/>
      </w:divBdr>
    </w:div>
    <w:div w:id="1593780083">
      <w:bodyDiv w:val="1"/>
      <w:marLeft w:val="0"/>
      <w:marRight w:val="0"/>
      <w:marTop w:val="0"/>
      <w:marBottom w:val="0"/>
      <w:divBdr>
        <w:top w:val="none" w:sz="0" w:space="0" w:color="auto"/>
        <w:left w:val="none" w:sz="0" w:space="0" w:color="auto"/>
        <w:bottom w:val="none" w:sz="0" w:space="0" w:color="auto"/>
        <w:right w:val="none" w:sz="0" w:space="0" w:color="auto"/>
      </w:divBdr>
    </w:div>
    <w:div w:id="1594242361">
      <w:bodyDiv w:val="1"/>
      <w:marLeft w:val="0"/>
      <w:marRight w:val="0"/>
      <w:marTop w:val="0"/>
      <w:marBottom w:val="0"/>
      <w:divBdr>
        <w:top w:val="none" w:sz="0" w:space="0" w:color="auto"/>
        <w:left w:val="none" w:sz="0" w:space="0" w:color="auto"/>
        <w:bottom w:val="none" w:sz="0" w:space="0" w:color="auto"/>
        <w:right w:val="none" w:sz="0" w:space="0" w:color="auto"/>
      </w:divBdr>
    </w:div>
    <w:div w:id="1594431280">
      <w:bodyDiv w:val="1"/>
      <w:marLeft w:val="0"/>
      <w:marRight w:val="0"/>
      <w:marTop w:val="0"/>
      <w:marBottom w:val="0"/>
      <w:divBdr>
        <w:top w:val="none" w:sz="0" w:space="0" w:color="auto"/>
        <w:left w:val="none" w:sz="0" w:space="0" w:color="auto"/>
        <w:bottom w:val="none" w:sz="0" w:space="0" w:color="auto"/>
        <w:right w:val="none" w:sz="0" w:space="0" w:color="auto"/>
      </w:divBdr>
    </w:div>
    <w:div w:id="1594780724">
      <w:bodyDiv w:val="1"/>
      <w:marLeft w:val="0"/>
      <w:marRight w:val="0"/>
      <w:marTop w:val="0"/>
      <w:marBottom w:val="0"/>
      <w:divBdr>
        <w:top w:val="none" w:sz="0" w:space="0" w:color="auto"/>
        <w:left w:val="none" w:sz="0" w:space="0" w:color="auto"/>
        <w:bottom w:val="none" w:sz="0" w:space="0" w:color="auto"/>
        <w:right w:val="none" w:sz="0" w:space="0" w:color="auto"/>
      </w:divBdr>
    </w:div>
    <w:div w:id="1595435017">
      <w:bodyDiv w:val="1"/>
      <w:marLeft w:val="0"/>
      <w:marRight w:val="0"/>
      <w:marTop w:val="0"/>
      <w:marBottom w:val="0"/>
      <w:divBdr>
        <w:top w:val="none" w:sz="0" w:space="0" w:color="auto"/>
        <w:left w:val="none" w:sz="0" w:space="0" w:color="auto"/>
        <w:bottom w:val="none" w:sz="0" w:space="0" w:color="auto"/>
        <w:right w:val="none" w:sz="0" w:space="0" w:color="auto"/>
      </w:divBdr>
    </w:div>
    <w:div w:id="1595746990">
      <w:bodyDiv w:val="1"/>
      <w:marLeft w:val="0"/>
      <w:marRight w:val="0"/>
      <w:marTop w:val="0"/>
      <w:marBottom w:val="0"/>
      <w:divBdr>
        <w:top w:val="none" w:sz="0" w:space="0" w:color="auto"/>
        <w:left w:val="none" w:sz="0" w:space="0" w:color="auto"/>
        <w:bottom w:val="none" w:sz="0" w:space="0" w:color="auto"/>
        <w:right w:val="none" w:sz="0" w:space="0" w:color="auto"/>
      </w:divBdr>
    </w:div>
    <w:div w:id="1596286888">
      <w:bodyDiv w:val="1"/>
      <w:marLeft w:val="0"/>
      <w:marRight w:val="0"/>
      <w:marTop w:val="0"/>
      <w:marBottom w:val="0"/>
      <w:divBdr>
        <w:top w:val="none" w:sz="0" w:space="0" w:color="auto"/>
        <w:left w:val="none" w:sz="0" w:space="0" w:color="auto"/>
        <w:bottom w:val="none" w:sz="0" w:space="0" w:color="auto"/>
        <w:right w:val="none" w:sz="0" w:space="0" w:color="auto"/>
      </w:divBdr>
    </w:div>
    <w:div w:id="1596403761">
      <w:bodyDiv w:val="1"/>
      <w:marLeft w:val="0"/>
      <w:marRight w:val="0"/>
      <w:marTop w:val="0"/>
      <w:marBottom w:val="0"/>
      <w:divBdr>
        <w:top w:val="none" w:sz="0" w:space="0" w:color="auto"/>
        <w:left w:val="none" w:sz="0" w:space="0" w:color="auto"/>
        <w:bottom w:val="none" w:sz="0" w:space="0" w:color="auto"/>
        <w:right w:val="none" w:sz="0" w:space="0" w:color="auto"/>
      </w:divBdr>
    </w:div>
    <w:div w:id="1596745463">
      <w:bodyDiv w:val="1"/>
      <w:marLeft w:val="0"/>
      <w:marRight w:val="0"/>
      <w:marTop w:val="0"/>
      <w:marBottom w:val="0"/>
      <w:divBdr>
        <w:top w:val="none" w:sz="0" w:space="0" w:color="auto"/>
        <w:left w:val="none" w:sz="0" w:space="0" w:color="auto"/>
        <w:bottom w:val="none" w:sz="0" w:space="0" w:color="auto"/>
        <w:right w:val="none" w:sz="0" w:space="0" w:color="auto"/>
      </w:divBdr>
    </w:div>
    <w:div w:id="1596784727">
      <w:bodyDiv w:val="1"/>
      <w:marLeft w:val="0"/>
      <w:marRight w:val="0"/>
      <w:marTop w:val="0"/>
      <w:marBottom w:val="0"/>
      <w:divBdr>
        <w:top w:val="none" w:sz="0" w:space="0" w:color="auto"/>
        <w:left w:val="none" w:sz="0" w:space="0" w:color="auto"/>
        <w:bottom w:val="none" w:sz="0" w:space="0" w:color="auto"/>
        <w:right w:val="none" w:sz="0" w:space="0" w:color="auto"/>
      </w:divBdr>
    </w:div>
    <w:div w:id="1596935692">
      <w:bodyDiv w:val="1"/>
      <w:marLeft w:val="0"/>
      <w:marRight w:val="0"/>
      <w:marTop w:val="0"/>
      <w:marBottom w:val="0"/>
      <w:divBdr>
        <w:top w:val="none" w:sz="0" w:space="0" w:color="auto"/>
        <w:left w:val="none" w:sz="0" w:space="0" w:color="auto"/>
        <w:bottom w:val="none" w:sz="0" w:space="0" w:color="auto"/>
        <w:right w:val="none" w:sz="0" w:space="0" w:color="auto"/>
      </w:divBdr>
    </w:div>
    <w:div w:id="1597250304">
      <w:bodyDiv w:val="1"/>
      <w:marLeft w:val="0"/>
      <w:marRight w:val="0"/>
      <w:marTop w:val="0"/>
      <w:marBottom w:val="0"/>
      <w:divBdr>
        <w:top w:val="none" w:sz="0" w:space="0" w:color="auto"/>
        <w:left w:val="none" w:sz="0" w:space="0" w:color="auto"/>
        <w:bottom w:val="none" w:sz="0" w:space="0" w:color="auto"/>
        <w:right w:val="none" w:sz="0" w:space="0" w:color="auto"/>
      </w:divBdr>
    </w:div>
    <w:div w:id="1597716437">
      <w:bodyDiv w:val="1"/>
      <w:marLeft w:val="0"/>
      <w:marRight w:val="0"/>
      <w:marTop w:val="0"/>
      <w:marBottom w:val="0"/>
      <w:divBdr>
        <w:top w:val="none" w:sz="0" w:space="0" w:color="auto"/>
        <w:left w:val="none" w:sz="0" w:space="0" w:color="auto"/>
        <w:bottom w:val="none" w:sz="0" w:space="0" w:color="auto"/>
        <w:right w:val="none" w:sz="0" w:space="0" w:color="auto"/>
      </w:divBdr>
    </w:div>
    <w:div w:id="1597782446">
      <w:bodyDiv w:val="1"/>
      <w:marLeft w:val="0"/>
      <w:marRight w:val="0"/>
      <w:marTop w:val="0"/>
      <w:marBottom w:val="0"/>
      <w:divBdr>
        <w:top w:val="none" w:sz="0" w:space="0" w:color="auto"/>
        <w:left w:val="none" w:sz="0" w:space="0" w:color="auto"/>
        <w:bottom w:val="none" w:sz="0" w:space="0" w:color="auto"/>
        <w:right w:val="none" w:sz="0" w:space="0" w:color="auto"/>
      </w:divBdr>
    </w:div>
    <w:div w:id="1597863400">
      <w:bodyDiv w:val="1"/>
      <w:marLeft w:val="0"/>
      <w:marRight w:val="0"/>
      <w:marTop w:val="0"/>
      <w:marBottom w:val="0"/>
      <w:divBdr>
        <w:top w:val="none" w:sz="0" w:space="0" w:color="auto"/>
        <w:left w:val="none" w:sz="0" w:space="0" w:color="auto"/>
        <w:bottom w:val="none" w:sz="0" w:space="0" w:color="auto"/>
        <w:right w:val="none" w:sz="0" w:space="0" w:color="auto"/>
      </w:divBdr>
    </w:div>
    <w:div w:id="1597900352">
      <w:bodyDiv w:val="1"/>
      <w:marLeft w:val="0"/>
      <w:marRight w:val="0"/>
      <w:marTop w:val="0"/>
      <w:marBottom w:val="0"/>
      <w:divBdr>
        <w:top w:val="none" w:sz="0" w:space="0" w:color="auto"/>
        <w:left w:val="none" w:sz="0" w:space="0" w:color="auto"/>
        <w:bottom w:val="none" w:sz="0" w:space="0" w:color="auto"/>
        <w:right w:val="none" w:sz="0" w:space="0" w:color="auto"/>
      </w:divBdr>
    </w:div>
    <w:div w:id="1597978633">
      <w:bodyDiv w:val="1"/>
      <w:marLeft w:val="0"/>
      <w:marRight w:val="0"/>
      <w:marTop w:val="0"/>
      <w:marBottom w:val="0"/>
      <w:divBdr>
        <w:top w:val="none" w:sz="0" w:space="0" w:color="auto"/>
        <w:left w:val="none" w:sz="0" w:space="0" w:color="auto"/>
        <w:bottom w:val="none" w:sz="0" w:space="0" w:color="auto"/>
        <w:right w:val="none" w:sz="0" w:space="0" w:color="auto"/>
      </w:divBdr>
    </w:div>
    <w:div w:id="1598709809">
      <w:bodyDiv w:val="1"/>
      <w:marLeft w:val="0"/>
      <w:marRight w:val="0"/>
      <w:marTop w:val="0"/>
      <w:marBottom w:val="0"/>
      <w:divBdr>
        <w:top w:val="none" w:sz="0" w:space="0" w:color="auto"/>
        <w:left w:val="none" w:sz="0" w:space="0" w:color="auto"/>
        <w:bottom w:val="none" w:sz="0" w:space="0" w:color="auto"/>
        <w:right w:val="none" w:sz="0" w:space="0" w:color="auto"/>
      </w:divBdr>
    </w:div>
    <w:div w:id="1598825187">
      <w:bodyDiv w:val="1"/>
      <w:marLeft w:val="0"/>
      <w:marRight w:val="0"/>
      <w:marTop w:val="0"/>
      <w:marBottom w:val="0"/>
      <w:divBdr>
        <w:top w:val="none" w:sz="0" w:space="0" w:color="auto"/>
        <w:left w:val="none" w:sz="0" w:space="0" w:color="auto"/>
        <w:bottom w:val="none" w:sz="0" w:space="0" w:color="auto"/>
        <w:right w:val="none" w:sz="0" w:space="0" w:color="auto"/>
      </w:divBdr>
    </w:div>
    <w:div w:id="1599293761">
      <w:bodyDiv w:val="1"/>
      <w:marLeft w:val="0"/>
      <w:marRight w:val="0"/>
      <w:marTop w:val="0"/>
      <w:marBottom w:val="0"/>
      <w:divBdr>
        <w:top w:val="none" w:sz="0" w:space="0" w:color="auto"/>
        <w:left w:val="none" w:sz="0" w:space="0" w:color="auto"/>
        <w:bottom w:val="none" w:sz="0" w:space="0" w:color="auto"/>
        <w:right w:val="none" w:sz="0" w:space="0" w:color="auto"/>
      </w:divBdr>
    </w:div>
    <w:div w:id="1599563055">
      <w:bodyDiv w:val="1"/>
      <w:marLeft w:val="0"/>
      <w:marRight w:val="0"/>
      <w:marTop w:val="0"/>
      <w:marBottom w:val="0"/>
      <w:divBdr>
        <w:top w:val="none" w:sz="0" w:space="0" w:color="auto"/>
        <w:left w:val="none" w:sz="0" w:space="0" w:color="auto"/>
        <w:bottom w:val="none" w:sz="0" w:space="0" w:color="auto"/>
        <w:right w:val="none" w:sz="0" w:space="0" w:color="auto"/>
      </w:divBdr>
    </w:div>
    <w:div w:id="1599755761">
      <w:bodyDiv w:val="1"/>
      <w:marLeft w:val="0"/>
      <w:marRight w:val="0"/>
      <w:marTop w:val="0"/>
      <w:marBottom w:val="0"/>
      <w:divBdr>
        <w:top w:val="none" w:sz="0" w:space="0" w:color="auto"/>
        <w:left w:val="none" w:sz="0" w:space="0" w:color="auto"/>
        <w:bottom w:val="none" w:sz="0" w:space="0" w:color="auto"/>
        <w:right w:val="none" w:sz="0" w:space="0" w:color="auto"/>
      </w:divBdr>
    </w:div>
    <w:div w:id="1600260943">
      <w:bodyDiv w:val="1"/>
      <w:marLeft w:val="0"/>
      <w:marRight w:val="0"/>
      <w:marTop w:val="0"/>
      <w:marBottom w:val="0"/>
      <w:divBdr>
        <w:top w:val="none" w:sz="0" w:space="0" w:color="auto"/>
        <w:left w:val="none" w:sz="0" w:space="0" w:color="auto"/>
        <w:bottom w:val="none" w:sz="0" w:space="0" w:color="auto"/>
        <w:right w:val="none" w:sz="0" w:space="0" w:color="auto"/>
      </w:divBdr>
    </w:div>
    <w:div w:id="1600485428">
      <w:bodyDiv w:val="1"/>
      <w:marLeft w:val="0"/>
      <w:marRight w:val="0"/>
      <w:marTop w:val="0"/>
      <w:marBottom w:val="0"/>
      <w:divBdr>
        <w:top w:val="none" w:sz="0" w:space="0" w:color="auto"/>
        <w:left w:val="none" w:sz="0" w:space="0" w:color="auto"/>
        <w:bottom w:val="none" w:sz="0" w:space="0" w:color="auto"/>
        <w:right w:val="none" w:sz="0" w:space="0" w:color="auto"/>
      </w:divBdr>
    </w:div>
    <w:div w:id="1600868800">
      <w:bodyDiv w:val="1"/>
      <w:marLeft w:val="0"/>
      <w:marRight w:val="0"/>
      <w:marTop w:val="0"/>
      <w:marBottom w:val="0"/>
      <w:divBdr>
        <w:top w:val="none" w:sz="0" w:space="0" w:color="auto"/>
        <w:left w:val="none" w:sz="0" w:space="0" w:color="auto"/>
        <w:bottom w:val="none" w:sz="0" w:space="0" w:color="auto"/>
        <w:right w:val="none" w:sz="0" w:space="0" w:color="auto"/>
      </w:divBdr>
    </w:div>
    <w:div w:id="1600871016">
      <w:bodyDiv w:val="1"/>
      <w:marLeft w:val="0"/>
      <w:marRight w:val="0"/>
      <w:marTop w:val="0"/>
      <w:marBottom w:val="0"/>
      <w:divBdr>
        <w:top w:val="none" w:sz="0" w:space="0" w:color="auto"/>
        <w:left w:val="none" w:sz="0" w:space="0" w:color="auto"/>
        <w:bottom w:val="none" w:sz="0" w:space="0" w:color="auto"/>
        <w:right w:val="none" w:sz="0" w:space="0" w:color="auto"/>
      </w:divBdr>
    </w:div>
    <w:div w:id="1601332779">
      <w:bodyDiv w:val="1"/>
      <w:marLeft w:val="0"/>
      <w:marRight w:val="0"/>
      <w:marTop w:val="0"/>
      <w:marBottom w:val="0"/>
      <w:divBdr>
        <w:top w:val="none" w:sz="0" w:space="0" w:color="auto"/>
        <w:left w:val="none" w:sz="0" w:space="0" w:color="auto"/>
        <w:bottom w:val="none" w:sz="0" w:space="0" w:color="auto"/>
        <w:right w:val="none" w:sz="0" w:space="0" w:color="auto"/>
      </w:divBdr>
    </w:div>
    <w:div w:id="1601647761">
      <w:bodyDiv w:val="1"/>
      <w:marLeft w:val="0"/>
      <w:marRight w:val="0"/>
      <w:marTop w:val="0"/>
      <w:marBottom w:val="0"/>
      <w:divBdr>
        <w:top w:val="none" w:sz="0" w:space="0" w:color="auto"/>
        <w:left w:val="none" w:sz="0" w:space="0" w:color="auto"/>
        <w:bottom w:val="none" w:sz="0" w:space="0" w:color="auto"/>
        <w:right w:val="none" w:sz="0" w:space="0" w:color="auto"/>
      </w:divBdr>
    </w:div>
    <w:div w:id="1602176553">
      <w:bodyDiv w:val="1"/>
      <w:marLeft w:val="0"/>
      <w:marRight w:val="0"/>
      <w:marTop w:val="0"/>
      <w:marBottom w:val="0"/>
      <w:divBdr>
        <w:top w:val="none" w:sz="0" w:space="0" w:color="auto"/>
        <w:left w:val="none" w:sz="0" w:space="0" w:color="auto"/>
        <w:bottom w:val="none" w:sz="0" w:space="0" w:color="auto"/>
        <w:right w:val="none" w:sz="0" w:space="0" w:color="auto"/>
      </w:divBdr>
    </w:div>
    <w:div w:id="1602180338">
      <w:bodyDiv w:val="1"/>
      <w:marLeft w:val="0"/>
      <w:marRight w:val="0"/>
      <w:marTop w:val="0"/>
      <w:marBottom w:val="0"/>
      <w:divBdr>
        <w:top w:val="none" w:sz="0" w:space="0" w:color="auto"/>
        <w:left w:val="none" w:sz="0" w:space="0" w:color="auto"/>
        <w:bottom w:val="none" w:sz="0" w:space="0" w:color="auto"/>
        <w:right w:val="none" w:sz="0" w:space="0" w:color="auto"/>
      </w:divBdr>
    </w:div>
    <w:div w:id="1602374387">
      <w:bodyDiv w:val="1"/>
      <w:marLeft w:val="0"/>
      <w:marRight w:val="0"/>
      <w:marTop w:val="0"/>
      <w:marBottom w:val="0"/>
      <w:divBdr>
        <w:top w:val="none" w:sz="0" w:space="0" w:color="auto"/>
        <w:left w:val="none" w:sz="0" w:space="0" w:color="auto"/>
        <w:bottom w:val="none" w:sz="0" w:space="0" w:color="auto"/>
        <w:right w:val="none" w:sz="0" w:space="0" w:color="auto"/>
      </w:divBdr>
    </w:div>
    <w:div w:id="1603537036">
      <w:bodyDiv w:val="1"/>
      <w:marLeft w:val="0"/>
      <w:marRight w:val="0"/>
      <w:marTop w:val="0"/>
      <w:marBottom w:val="0"/>
      <w:divBdr>
        <w:top w:val="none" w:sz="0" w:space="0" w:color="auto"/>
        <w:left w:val="none" w:sz="0" w:space="0" w:color="auto"/>
        <w:bottom w:val="none" w:sz="0" w:space="0" w:color="auto"/>
        <w:right w:val="none" w:sz="0" w:space="0" w:color="auto"/>
      </w:divBdr>
    </w:div>
    <w:div w:id="1603996852">
      <w:bodyDiv w:val="1"/>
      <w:marLeft w:val="0"/>
      <w:marRight w:val="0"/>
      <w:marTop w:val="0"/>
      <w:marBottom w:val="0"/>
      <w:divBdr>
        <w:top w:val="none" w:sz="0" w:space="0" w:color="auto"/>
        <w:left w:val="none" w:sz="0" w:space="0" w:color="auto"/>
        <w:bottom w:val="none" w:sz="0" w:space="0" w:color="auto"/>
        <w:right w:val="none" w:sz="0" w:space="0" w:color="auto"/>
      </w:divBdr>
    </w:div>
    <w:div w:id="1604917949">
      <w:bodyDiv w:val="1"/>
      <w:marLeft w:val="0"/>
      <w:marRight w:val="0"/>
      <w:marTop w:val="0"/>
      <w:marBottom w:val="0"/>
      <w:divBdr>
        <w:top w:val="none" w:sz="0" w:space="0" w:color="auto"/>
        <w:left w:val="none" w:sz="0" w:space="0" w:color="auto"/>
        <w:bottom w:val="none" w:sz="0" w:space="0" w:color="auto"/>
        <w:right w:val="none" w:sz="0" w:space="0" w:color="auto"/>
      </w:divBdr>
    </w:div>
    <w:div w:id="1605073106">
      <w:bodyDiv w:val="1"/>
      <w:marLeft w:val="0"/>
      <w:marRight w:val="0"/>
      <w:marTop w:val="0"/>
      <w:marBottom w:val="0"/>
      <w:divBdr>
        <w:top w:val="none" w:sz="0" w:space="0" w:color="auto"/>
        <w:left w:val="none" w:sz="0" w:space="0" w:color="auto"/>
        <w:bottom w:val="none" w:sz="0" w:space="0" w:color="auto"/>
        <w:right w:val="none" w:sz="0" w:space="0" w:color="auto"/>
      </w:divBdr>
    </w:div>
    <w:div w:id="1605770481">
      <w:bodyDiv w:val="1"/>
      <w:marLeft w:val="0"/>
      <w:marRight w:val="0"/>
      <w:marTop w:val="0"/>
      <w:marBottom w:val="0"/>
      <w:divBdr>
        <w:top w:val="none" w:sz="0" w:space="0" w:color="auto"/>
        <w:left w:val="none" w:sz="0" w:space="0" w:color="auto"/>
        <w:bottom w:val="none" w:sz="0" w:space="0" w:color="auto"/>
        <w:right w:val="none" w:sz="0" w:space="0" w:color="auto"/>
      </w:divBdr>
    </w:div>
    <w:div w:id="1606304824">
      <w:bodyDiv w:val="1"/>
      <w:marLeft w:val="0"/>
      <w:marRight w:val="0"/>
      <w:marTop w:val="0"/>
      <w:marBottom w:val="0"/>
      <w:divBdr>
        <w:top w:val="none" w:sz="0" w:space="0" w:color="auto"/>
        <w:left w:val="none" w:sz="0" w:space="0" w:color="auto"/>
        <w:bottom w:val="none" w:sz="0" w:space="0" w:color="auto"/>
        <w:right w:val="none" w:sz="0" w:space="0" w:color="auto"/>
      </w:divBdr>
    </w:div>
    <w:div w:id="1606577548">
      <w:bodyDiv w:val="1"/>
      <w:marLeft w:val="0"/>
      <w:marRight w:val="0"/>
      <w:marTop w:val="0"/>
      <w:marBottom w:val="0"/>
      <w:divBdr>
        <w:top w:val="none" w:sz="0" w:space="0" w:color="auto"/>
        <w:left w:val="none" w:sz="0" w:space="0" w:color="auto"/>
        <w:bottom w:val="none" w:sz="0" w:space="0" w:color="auto"/>
        <w:right w:val="none" w:sz="0" w:space="0" w:color="auto"/>
      </w:divBdr>
    </w:div>
    <w:div w:id="1606838786">
      <w:bodyDiv w:val="1"/>
      <w:marLeft w:val="0"/>
      <w:marRight w:val="0"/>
      <w:marTop w:val="0"/>
      <w:marBottom w:val="0"/>
      <w:divBdr>
        <w:top w:val="none" w:sz="0" w:space="0" w:color="auto"/>
        <w:left w:val="none" w:sz="0" w:space="0" w:color="auto"/>
        <w:bottom w:val="none" w:sz="0" w:space="0" w:color="auto"/>
        <w:right w:val="none" w:sz="0" w:space="0" w:color="auto"/>
      </w:divBdr>
    </w:div>
    <w:div w:id="1606880697">
      <w:bodyDiv w:val="1"/>
      <w:marLeft w:val="0"/>
      <w:marRight w:val="0"/>
      <w:marTop w:val="0"/>
      <w:marBottom w:val="0"/>
      <w:divBdr>
        <w:top w:val="none" w:sz="0" w:space="0" w:color="auto"/>
        <w:left w:val="none" w:sz="0" w:space="0" w:color="auto"/>
        <w:bottom w:val="none" w:sz="0" w:space="0" w:color="auto"/>
        <w:right w:val="none" w:sz="0" w:space="0" w:color="auto"/>
      </w:divBdr>
    </w:div>
    <w:div w:id="1607150071">
      <w:bodyDiv w:val="1"/>
      <w:marLeft w:val="0"/>
      <w:marRight w:val="0"/>
      <w:marTop w:val="0"/>
      <w:marBottom w:val="0"/>
      <w:divBdr>
        <w:top w:val="none" w:sz="0" w:space="0" w:color="auto"/>
        <w:left w:val="none" w:sz="0" w:space="0" w:color="auto"/>
        <w:bottom w:val="none" w:sz="0" w:space="0" w:color="auto"/>
        <w:right w:val="none" w:sz="0" w:space="0" w:color="auto"/>
      </w:divBdr>
    </w:div>
    <w:div w:id="1607231678">
      <w:bodyDiv w:val="1"/>
      <w:marLeft w:val="0"/>
      <w:marRight w:val="0"/>
      <w:marTop w:val="0"/>
      <w:marBottom w:val="0"/>
      <w:divBdr>
        <w:top w:val="none" w:sz="0" w:space="0" w:color="auto"/>
        <w:left w:val="none" w:sz="0" w:space="0" w:color="auto"/>
        <w:bottom w:val="none" w:sz="0" w:space="0" w:color="auto"/>
        <w:right w:val="none" w:sz="0" w:space="0" w:color="auto"/>
      </w:divBdr>
    </w:div>
    <w:div w:id="1608269486">
      <w:bodyDiv w:val="1"/>
      <w:marLeft w:val="0"/>
      <w:marRight w:val="0"/>
      <w:marTop w:val="0"/>
      <w:marBottom w:val="0"/>
      <w:divBdr>
        <w:top w:val="none" w:sz="0" w:space="0" w:color="auto"/>
        <w:left w:val="none" w:sz="0" w:space="0" w:color="auto"/>
        <w:bottom w:val="none" w:sz="0" w:space="0" w:color="auto"/>
        <w:right w:val="none" w:sz="0" w:space="0" w:color="auto"/>
      </w:divBdr>
    </w:div>
    <w:div w:id="1608847313">
      <w:bodyDiv w:val="1"/>
      <w:marLeft w:val="0"/>
      <w:marRight w:val="0"/>
      <w:marTop w:val="0"/>
      <w:marBottom w:val="0"/>
      <w:divBdr>
        <w:top w:val="none" w:sz="0" w:space="0" w:color="auto"/>
        <w:left w:val="none" w:sz="0" w:space="0" w:color="auto"/>
        <w:bottom w:val="none" w:sz="0" w:space="0" w:color="auto"/>
        <w:right w:val="none" w:sz="0" w:space="0" w:color="auto"/>
      </w:divBdr>
    </w:div>
    <w:div w:id="1609311938">
      <w:bodyDiv w:val="1"/>
      <w:marLeft w:val="0"/>
      <w:marRight w:val="0"/>
      <w:marTop w:val="0"/>
      <w:marBottom w:val="0"/>
      <w:divBdr>
        <w:top w:val="none" w:sz="0" w:space="0" w:color="auto"/>
        <w:left w:val="none" w:sz="0" w:space="0" w:color="auto"/>
        <w:bottom w:val="none" w:sz="0" w:space="0" w:color="auto"/>
        <w:right w:val="none" w:sz="0" w:space="0" w:color="auto"/>
      </w:divBdr>
    </w:div>
    <w:div w:id="1609505768">
      <w:bodyDiv w:val="1"/>
      <w:marLeft w:val="0"/>
      <w:marRight w:val="0"/>
      <w:marTop w:val="0"/>
      <w:marBottom w:val="0"/>
      <w:divBdr>
        <w:top w:val="none" w:sz="0" w:space="0" w:color="auto"/>
        <w:left w:val="none" w:sz="0" w:space="0" w:color="auto"/>
        <w:bottom w:val="none" w:sz="0" w:space="0" w:color="auto"/>
        <w:right w:val="none" w:sz="0" w:space="0" w:color="auto"/>
      </w:divBdr>
    </w:div>
    <w:div w:id="1609896029">
      <w:bodyDiv w:val="1"/>
      <w:marLeft w:val="0"/>
      <w:marRight w:val="0"/>
      <w:marTop w:val="0"/>
      <w:marBottom w:val="0"/>
      <w:divBdr>
        <w:top w:val="none" w:sz="0" w:space="0" w:color="auto"/>
        <w:left w:val="none" w:sz="0" w:space="0" w:color="auto"/>
        <w:bottom w:val="none" w:sz="0" w:space="0" w:color="auto"/>
        <w:right w:val="none" w:sz="0" w:space="0" w:color="auto"/>
      </w:divBdr>
    </w:div>
    <w:div w:id="1611427765">
      <w:bodyDiv w:val="1"/>
      <w:marLeft w:val="0"/>
      <w:marRight w:val="0"/>
      <w:marTop w:val="0"/>
      <w:marBottom w:val="0"/>
      <w:divBdr>
        <w:top w:val="none" w:sz="0" w:space="0" w:color="auto"/>
        <w:left w:val="none" w:sz="0" w:space="0" w:color="auto"/>
        <w:bottom w:val="none" w:sz="0" w:space="0" w:color="auto"/>
        <w:right w:val="none" w:sz="0" w:space="0" w:color="auto"/>
      </w:divBdr>
    </w:div>
    <w:div w:id="1612011045">
      <w:bodyDiv w:val="1"/>
      <w:marLeft w:val="0"/>
      <w:marRight w:val="0"/>
      <w:marTop w:val="0"/>
      <w:marBottom w:val="0"/>
      <w:divBdr>
        <w:top w:val="none" w:sz="0" w:space="0" w:color="auto"/>
        <w:left w:val="none" w:sz="0" w:space="0" w:color="auto"/>
        <w:bottom w:val="none" w:sz="0" w:space="0" w:color="auto"/>
        <w:right w:val="none" w:sz="0" w:space="0" w:color="auto"/>
      </w:divBdr>
    </w:div>
    <w:div w:id="1612471047">
      <w:bodyDiv w:val="1"/>
      <w:marLeft w:val="0"/>
      <w:marRight w:val="0"/>
      <w:marTop w:val="0"/>
      <w:marBottom w:val="0"/>
      <w:divBdr>
        <w:top w:val="none" w:sz="0" w:space="0" w:color="auto"/>
        <w:left w:val="none" w:sz="0" w:space="0" w:color="auto"/>
        <w:bottom w:val="none" w:sz="0" w:space="0" w:color="auto"/>
        <w:right w:val="none" w:sz="0" w:space="0" w:color="auto"/>
      </w:divBdr>
    </w:div>
    <w:div w:id="1612661542">
      <w:bodyDiv w:val="1"/>
      <w:marLeft w:val="0"/>
      <w:marRight w:val="0"/>
      <w:marTop w:val="0"/>
      <w:marBottom w:val="0"/>
      <w:divBdr>
        <w:top w:val="none" w:sz="0" w:space="0" w:color="auto"/>
        <w:left w:val="none" w:sz="0" w:space="0" w:color="auto"/>
        <w:bottom w:val="none" w:sz="0" w:space="0" w:color="auto"/>
        <w:right w:val="none" w:sz="0" w:space="0" w:color="auto"/>
      </w:divBdr>
    </w:div>
    <w:div w:id="1613171966">
      <w:bodyDiv w:val="1"/>
      <w:marLeft w:val="0"/>
      <w:marRight w:val="0"/>
      <w:marTop w:val="0"/>
      <w:marBottom w:val="0"/>
      <w:divBdr>
        <w:top w:val="none" w:sz="0" w:space="0" w:color="auto"/>
        <w:left w:val="none" w:sz="0" w:space="0" w:color="auto"/>
        <w:bottom w:val="none" w:sz="0" w:space="0" w:color="auto"/>
        <w:right w:val="none" w:sz="0" w:space="0" w:color="auto"/>
      </w:divBdr>
    </w:div>
    <w:div w:id="1613323687">
      <w:bodyDiv w:val="1"/>
      <w:marLeft w:val="0"/>
      <w:marRight w:val="0"/>
      <w:marTop w:val="0"/>
      <w:marBottom w:val="0"/>
      <w:divBdr>
        <w:top w:val="none" w:sz="0" w:space="0" w:color="auto"/>
        <w:left w:val="none" w:sz="0" w:space="0" w:color="auto"/>
        <w:bottom w:val="none" w:sz="0" w:space="0" w:color="auto"/>
        <w:right w:val="none" w:sz="0" w:space="0" w:color="auto"/>
      </w:divBdr>
    </w:div>
    <w:div w:id="1613433615">
      <w:bodyDiv w:val="1"/>
      <w:marLeft w:val="0"/>
      <w:marRight w:val="0"/>
      <w:marTop w:val="0"/>
      <w:marBottom w:val="0"/>
      <w:divBdr>
        <w:top w:val="none" w:sz="0" w:space="0" w:color="auto"/>
        <w:left w:val="none" w:sz="0" w:space="0" w:color="auto"/>
        <w:bottom w:val="none" w:sz="0" w:space="0" w:color="auto"/>
        <w:right w:val="none" w:sz="0" w:space="0" w:color="auto"/>
      </w:divBdr>
    </w:div>
    <w:div w:id="1613710644">
      <w:bodyDiv w:val="1"/>
      <w:marLeft w:val="0"/>
      <w:marRight w:val="0"/>
      <w:marTop w:val="0"/>
      <w:marBottom w:val="0"/>
      <w:divBdr>
        <w:top w:val="none" w:sz="0" w:space="0" w:color="auto"/>
        <w:left w:val="none" w:sz="0" w:space="0" w:color="auto"/>
        <w:bottom w:val="none" w:sz="0" w:space="0" w:color="auto"/>
        <w:right w:val="none" w:sz="0" w:space="0" w:color="auto"/>
      </w:divBdr>
    </w:div>
    <w:div w:id="1613778993">
      <w:bodyDiv w:val="1"/>
      <w:marLeft w:val="0"/>
      <w:marRight w:val="0"/>
      <w:marTop w:val="0"/>
      <w:marBottom w:val="0"/>
      <w:divBdr>
        <w:top w:val="none" w:sz="0" w:space="0" w:color="auto"/>
        <w:left w:val="none" w:sz="0" w:space="0" w:color="auto"/>
        <w:bottom w:val="none" w:sz="0" w:space="0" w:color="auto"/>
        <w:right w:val="none" w:sz="0" w:space="0" w:color="auto"/>
      </w:divBdr>
    </w:div>
    <w:div w:id="1615136632">
      <w:bodyDiv w:val="1"/>
      <w:marLeft w:val="0"/>
      <w:marRight w:val="0"/>
      <w:marTop w:val="0"/>
      <w:marBottom w:val="0"/>
      <w:divBdr>
        <w:top w:val="none" w:sz="0" w:space="0" w:color="auto"/>
        <w:left w:val="none" w:sz="0" w:space="0" w:color="auto"/>
        <w:bottom w:val="none" w:sz="0" w:space="0" w:color="auto"/>
        <w:right w:val="none" w:sz="0" w:space="0" w:color="auto"/>
      </w:divBdr>
    </w:div>
    <w:div w:id="1615163888">
      <w:bodyDiv w:val="1"/>
      <w:marLeft w:val="0"/>
      <w:marRight w:val="0"/>
      <w:marTop w:val="0"/>
      <w:marBottom w:val="0"/>
      <w:divBdr>
        <w:top w:val="none" w:sz="0" w:space="0" w:color="auto"/>
        <w:left w:val="none" w:sz="0" w:space="0" w:color="auto"/>
        <w:bottom w:val="none" w:sz="0" w:space="0" w:color="auto"/>
        <w:right w:val="none" w:sz="0" w:space="0" w:color="auto"/>
      </w:divBdr>
    </w:div>
    <w:div w:id="1615674669">
      <w:bodyDiv w:val="1"/>
      <w:marLeft w:val="0"/>
      <w:marRight w:val="0"/>
      <w:marTop w:val="0"/>
      <w:marBottom w:val="0"/>
      <w:divBdr>
        <w:top w:val="none" w:sz="0" w:space="0" w:color="auto"/>
        <w:left w:val="none" w:sz="0" w:space="0" w:color="auto"/>
        <w:bottom w:val="none" w:sz="0" w:space="0" w:color="auto"/>
        <w:right w:val="none" w:sz="0" w:space="0" w:color="auto"/>
      </w:divBdr>
    </w:div>
    <w:div w:id="1615794844">
      <w:bodyDiv w:val="1"/>
      <w:marLeft w:val="0"/>
      <w:marRight w:val="0"/>
      <w:marTop w:val="0"/>
      <w:marBottom w:val="0"/>
      <w:divBdr>
        <w:top w:val="none" w:sz="0" w:space="0" w:color="auto"/>
        <w:left w:val="none" w:sz="0" w:space="0" w:color="auto"/>
        <w:bottom w:val="none" w:sz="0" w:space="0" w:color="auto"/>
        <w:right w:val="none" w:sz="0" w:space="0" w:color="auto"/>
      </w:divBdr>
    </w:div>
    <w:div w:id="1615819298">
      <w:bodyDiv w:val="1"/>
      <w:marLeft w:val="0"/>
      <w:marRight w:val="0"/>
      <w:marTop w:val="0"/>
      <w:marBottom w:val="0"/>
      <w:divBdr>
        <w:top w:val="none" w:sz="0" w:space="0" w:color="auto"/>
        <w:left w:val="none" w:sz="0" w:space="0" w:color="auto"/>
        <w:bottom w:val="none" w:sz="0" w:space="0" w:color="auto"/>
        <w:right w:val="none" w:sz="0" w:space="0" w:color="auto"/>
      </w:divBdr>
    </w:div>
    <w:div w:id="1615942536">
      <w:bodyDiv w:val="1"/>
      <w:marLeft w:val="0"/>
      <w:marRight w:val="0"/>
      <w:marTop w:val="0"/>
      <w:marBottom w:val="0"/>
      <w:divBdr>
        <w:top w:val="none" w:sz="0" w:space="0" w:color="auto"/>
        <w:left w:val="none" w:sz="0" w:space="0" w:color="auto"/>
        <w:bottom w:val="none" w:sz="0" w:space="0" w:color="auto"/>
        <w:right w:val="none" w:sz="0" w:space="0" w:color="auto"/>
      </w:divBdr>
    </w:div>
    <w:div w:id="1615943402">
      <w:bodyDiv w:val="1"/>
      <w:marLeft w:val="0"/>
      <w:marRight w:val="0"/>
      <w:marTop w:val="0"/>
      <w:marBottom w:val="0"/>
      <w:divBdr>
        <w:top w:val="none" w:sz="0" w:space="0" w:color="auto"/>
        <w:left w:val="none" w:sz="0" w:space="0" w:color="auto"/>
        <w:bottom w:val="none" w:sz="0" w:space="0" w:color="auto"/>
        <w:right w:val="none" w:sz="0" w:space="0" w:color="auto"/>
      </w:divBdr>
    </w:div>
    <w:div w:id="1616906326">
      <w:bodyDiv w:val="1"/>
      <w:marLeft w:val="0"/>
      <w:marRight w:val="0"/>
      <w:marTop w:val="0"/>
      <w:marBottom w:val="0"/>
      <w:divBdr>
        <w:top w:val="none" w:sz="0" w:space="0" w:color="auto"/>
        <w:left w:val="none" w:sz="0" w:space="0" w:color="auto"/>
        <w:bottom w:val="none" w:sz="0" w:space="0" w:color="auto"/>
        <w:right w:val="none" w:sz="0" w:space="0" w:color="auto"/>
      </w:divBdr>
    </w:div>
    <w:div w:id="1616981822">
      <w:bodyDiv w:val="1"/>
      <w:marLeft w:val="0"/>
      <w:marRight w:val="0"/>
      <w:marTop w:val="0"/>
      <w:marBottom w:val="0"/>
      <w:divBdr>
        <w:top w:val="none" w:sz="0" w:space="0" w:color="auto"/>
        <w:left w:val="none" w:sz="0" w:space="0" w:color="auto"/>
        <w:bottom w:val="none" w:sz="0" w:space="0" w:color="auto"/>
        <w:right w:val="none" w:sz="0" w:space="0" w:color="auto"/>
      </w:divBdr>
    </w:div>
    <w:div w:id="1616984334">
      <w:bodyDiv w:val="1"/>
      <w:marLeft w:val="0"/>
      <w:marRight w:val="0"/>
      <w:marTop w:val="0"/>
      <w:marBottom w:val="0"/>
      <w:divBdr>
        <w:top w:val="none" w:sz="0" w:space="0" w:color="auto"/>
        <w:left w:val="none" w:sz="0" w:space="0" w:color="auto"/>
        <w:bottom w:val="none" w:sz="0" w:space="0" w:color="auto"/>
        <w:right w:val="none" w:sz="0" w:space="0" w:color="auto"/>
      </w:divBdr>
    </w:div>
    <w:div w:id="1617103730">
      <w:bodyDiv w:val="1"/>
      <w:marLeft w:val="0"/>
      <w:marRight w:val="0"/>
      <w:marTop w:val="0"/>
      <w:marBottom w:val="0"/>
      <w:divBdr>
        <w:top w:val="none" w:sz="0" w:space="0" w:color="auto"/>
        <w:left w:val="none" w:sz="0" w:space="0" w:color="auto"/>
        <w:bottom w:val="none" w:sz="0" w:space="0" w:color="auto"/>
        <w:right w:val="none" w:sz="0" w:space="0" w:color="auto"/>
      </w:divBdr>
    </w:div>
    <w:div w:id="1618027366">
      <w:bodyDiv w:val="1"/>
      <w:marLeft w:val="0"/>
      <w:marRight w:val="0"/>
      <w:marTop w:val="0"/>
      <w:marBottom w:val="0"/>
      <w:divBdr>
        <w:top w:val="none" w:sz="0" w:space="0" w:color="auto"/>
        <w:left w:val="none" w:sz="0" w:space="0" w:color="auto"/>
        <w:bottom w:val="none" w:sz="0" w:space="0" w:color="auto"/>
        <w:right w:val="none" w:sz="0" w:space="0" w:color="auto"/>
      </w:divBdr>
    </w:div>
    <w:div w:id="1618217771">
      <w:bodyDiv w:val="1"/>
      <w:marLeft w:val="0"/>
      <w:marRight w:val="0"/>
      <w:marTop w:val="0"/>
      <w:marBottom w:val="0"/>
      <w:divBdr>
        <w:top w:val="none" w:sz="0" w:space="0" w:color="auto"/>
        <w:left w:val="none" w:sz="0" w:space="0" w:color="auto"/>
        <w:bottom w:val="none" w:sz="0" w:space="0" w:color="auto"/>
        <w:right w:val="none" w:sz="0" w:space="0" w:color="auto"/>
      </w:divBdr>
    </w:div>
    <w:div w:id="1618293267">
      <w:bodyDiv w:val="1"/>
      <w:marLeft w:val="0"/>
      <w:marRight w:val="0"/>
      <w:marTop w:val="0"/>
      <w:marBottom w:val="0"/>
      <w:divBdr>
        <w:top w:val="none" w:sz="0" w:space="0" w:color="auto"/>
        <w:left w:val="none" w:sz="0" w:space="0" w:color="auto"/>
        <w:bottom w:val="none" w:sz="0" w:space="0" w:color="auto"/>
        <w:right w:val="none" w:sz="0" w:space="0" w:color="auto"/>
      </w:divBdr>
    </w:div>
    <w:div w:id="1618826352">
      <w:bodyDiv w:val="1"/>
      <w:marLeft w:val="0"/>
      <w:marRight w:val="0"/>
      <w:marTop w:val="0"/>
      <w:marBottom w:val="0"/>
      <w:divBdr>
        <w:top w:val="none" w:sz="0" w:space="0" w:color="auto"/>
        <w:left w:val="none" w:sz="0" w:space="0" w:color="auto"/>
        <w:bottom w:val="none" w:sz="0" w:space="0" w:color="auto"/>
        <w:right w:val="none" w:sz="0" w:space="0" w:color="auto"/>
      </w:divBdr>
    </w:div>
    <w:div w:id="1619070330">
      <w:bodyDiv w:val="1"/>
      <w:marLeft w:val="0"/>
      <w:marRight w:val="0"/>
      <w:marTop w:val="0"/>
      <w:marBottom w:val="0"/>
      <w:divBdr>
        <w:top w:val="none" w:sz="0" w:space="0" w:color="auto"/>
        <w:left w:val="none" w:sz="0" w:space="0" w:color="auto"/>
        <w:bottom w:val="none" w:sz="0" w:space="0" w:color="auto"/>
        <w:right w:val="none" w:sz="0" w:space="0" w:color="auto"/>
      </w:divBdr>
    </w:div>
    <w:div w:id="1619071091">
      <w:bodyDiv w:val="1"/>
      <w:marLeft w:val="0"/>
      <w:marRight w:val="0"/>
      <w:marTop w:val="0"/>
      <w:marBottom w:val="0"/>
      <w:divBdr>
        <w:top w:val="none" w:sz="0" w:space="0" w:color="auto"/>
        <w:left w:val="none" w:sz="0" w:space="0" w:color="auto"/>
        <w:bottom w:val="none" w:sz="0" w:space="0" w:color="auto"/>
        <w:right w:val="none" w:sz="0" w:space="0" w:color="auto"/>
      </w:divBdr>
    </w:div>
    <w:div w:id="1619336337">
      <w:bodyDiv w:val="1"/>
      <w:marLeft w:val="0"/>
      <w:marRight w:val="0"/>
      <w:marTop w:val="0"/>
      <w:marBottom w:val="0"/>
      <w:divBdr>
        <w:top w:val="none" w:sz="0" w:space="0" w:color="auto"/>
        <w:left w:val="none" w:sz="0" w:space="0" w:color="auto"/>
        <w:bottom w:val="none" w:sz="0" w:space="0" w:color="auto"/>
        <w:right w:val="none" w:sz="0" w:space="0" w:color="auto"/>
      </w:divBdr>
    </w:div>
    <w:div w:id="1620457256">
      <w:bodyDiv w:val="1"/>
      <w:marLeft w:val="0"/>
      <w:marRight w:val="0"/>
      <w:marTop w:val="0"/>
      <w:marBottom w:val="0"/>
      <w:divBdr>
        <w:top w:val="none" w:sz="0" w:space="0" w:color="auto"/>
        <w:left w:val="none" w:sz="0" w:space="0" w:color="auto"/>
        <w:bottom w:val="none" w:sz="0" w:space="0" w:color="auto"/>
        <w:right w:val="none" w:sz="0" w:space="0" w:color="auto"/>
      </w:divBdr>
    </w:div>
    <w:div w:id="1620989671">
      <w:bodyDiv w:val="1"/>
      <w:marLeft w:val="0"/>
      <w:marRight w:val="0"/>
      <w:marTop w:val="0"/>
      <w:marBottom w:val="0"/>
      <w:divBdr>
        <w:top w:val="none" w:sz="0" w:space="0" w:color="auto"/>
        <w:left w:val="none" w:sz="0" w:space="0" w:color="auto"/>
        <w:bottom w:val="none" w:sz="0" w:space="0" w:color="auto"/>
        <w:right w:val="none" w:sz="0" w:space="0" w:color="auto"/>
      </w:divBdr>
    </w:div>
    <w:div w:id="1620992597">
      <w:bodyDiv w:val="1"/>
      <w:marLeft w:val="0"/>
      <w:marRight w:val="0"/>
      <w:marTop w:val="0"/>
      <w:marBottom w:val="0"/>
      <w:divBdr>
        <w:top w:val="none" w:sz="0" w:space="0" w:color="auto"/>
        <w:left w:val="none" w:sz="0" w:space="0" w:color="auto"/>
        <w:bottom w:val="none" w:sz="0" w:space="0" w:color="auto"/>
        <w:right w:val="none" w:sz="0" w:space="0" w:color="auto"/>
      </w:divBdr>
    </w:div>
    <w:div w:id="1621758932">
      <w:bodyDiv w:val="1"/>
      <w:marLeft w:val="0"/>
      <w:marRight w:val="0"/>
      <w:marTop w:val="0"/>
      <w:marBottom w:val="0"/>
      <w:divBdr>
        <w:top w:val="none" w:sz="0" w:space="0" w:color="auto"/>
        <w:left w:val="none" w:sz="0" w:space="0" w:color="auto"/>
        <w:bottom w:val="none" w:sz="0" w:space="0" w:color="auto"/>
        <w:right w:val="none" w:sz="0" w:space="0" w:color="auto"/>
      </w:divBdr>
    </w:div>
    <w:div w:id="1621838898">
      <w:bodyDiv w:val="1"/>
      <w:marLeft w:val="0"/>
      <w:marRight w:val="0"/>
      <w:marTop w:val="0"/>
      <w:marBottom w:val="0"/>
      <w:divBdr>
        <w:top w:val="none" w:sz="0" w:space="0" w:color="auto"/>
        <w:left w:val="none" w:sz="0" w:space="0" w:color="auto"/>
        <w:bottom w:val="none" w:sz="0" w:space="0" w:color="auto"/>
        <w:right w:val="none" w:sz="0" w:space="0" w:color="auto"/>
      </w:divBdr>
    </w:div>
    <w:div w:id="1621912805">
      <w:bodyDiv w:val="1"/>
      <w:marLeft w:val="0"/>
      <w:marRight w:val="0"/>
      <w:marTop w:val="0"/>
      <w:marBottom w:val="0"/>
      <w:divBdr>
        <w:top w:val="none" w:sz="0" w:space="0" w:color="auto"/>
        <w:left w:val="none" w:sz="0" w:space="0" w:color="auto"/>
        <w:bottom w:val="none" w:sz="0" w:space="0" w:color="auto"/>
        <w:right w:val="none" w:sz="0" w:space="0" w:color="auto"/>
      </w:divBdr>
    </w:div>
    <w:div w:id="1622029431">
      <w:bodyDiv w:val="1"/>
      <w:marLeft w:val="0"/>
      <w:marRight w:val="0"/>
      <w:marTop w:val="0"/>
      <w:marBottom w:val="0"/>
      <w:divBdr>
        <w:top w:val="none" w:sz="0" w:space="0" w:color="auto"/>
        <w:left w:val="none" w:sz="0" w:space="0" w:color="auto"/>
        <w:bottom w:val="none" w:sz="0" w:space="0" w:color="auto"/>
        <w:right w:val="none" w:sz="0" w:space="0" w:color="auto"/>
      </w:divBdr>
    </w:div>
    <w:div w:id="1622224481">
      <w:bodyDiv w:val="1"/>
      <w:marLeft w:val="0"/>
      <w:marRight w:val="0"/>
      <w:marTop w:val="0"/>
      <w:marBottom w:val="0"/>
      <w:divBdr>
        <w:top w:val="none" w:sz="0" w:space="0" w:color="auto"/>
        <w:left w:val="none" w:sz="0" w:space="0" w:color="auto"/>
        <w:bottom w:val="none" w:sz="0" w:space="0" w:color="auto"/>
        <w:right w:val="none" w:sz="0" w:space="0" w:color="auto"/>
      </w:divBdr>
    </w:div>
    <w:div w:id="1622296632">
      <w:bodyDiv w:val="1"/>
      <w:marLeft w:val="0"/>
      <w:marRight w:val="0"/>
      <w:marTop w:val="0"/>
      <w:marBottom w:val="0"/>
      <w:divBdr>
        <w:top w:val="none" w:sz="0" w:space="0" w:color="auto"/>
        <w:left w:val="none" w:sz="0" w:space="0" w:color="auto"/>
        <w:bottom w:val="none" w:sz="0" w:space="0" w:color="auto"/>
        <w:right w:val="none" w:sz="0" w:space="0" w:color="auto"/>
      </w:divBdr>
    </w:div>
    <w:div w:id="1622951174">
      <w:bodyDiv w:val="1"/>
      <w:marLeft w:val="0"/>
      <w:marRight w:val="0"/>
      <w:marTop w:val="0"/>
      <w:marBottom w:val="0"/>
      <w:divBdr>
        <w:top w:val="none" w:sz="0" w:space="0" w:color="auto"/>
        <w:left w:val="none" w:sz="0" w:space="0" w:color="auto"/>
        <w:bottom w:val="none" w:sz="0" w:space="0" w:color="auto"/>
        <w:right w:val="none" w:sz="0" w:space="0" w:color="auto"/>
      </w:divBdr>
    </w:div>
    <w:div w:id="1623071549">
      <w:bodyDiv w:val="1"/>
      <w:marLeft w:val="0"/>
      <w:marRight w:val="0"/>
      <w:marTop w:val="0"/>
      <w:marBottom w:val="0"/>
      <w:divBdr>
        <w:top w:val="none" w:sz="0" w:space="0" w:color="auto"/>
        <w:left w:val="none" w:sz="0" w:space="0" w:color="auto"/>
        <w:bottom w:val="none" w:sz="0" w:space="0" w:color="auto"/>
        <w:right w:val="none" w:sz="0" w:space="0" w:color="auto"/>
      </w:divBdr>
    </w:div>
    <w:div w:id="1623153070">
      <w:bodyDiv w:val="1"/>
      <w:marLeft w:val="0"/>
      <w:marRight w:val="0"/>
      <w:marTop w:val="0"/>
      <w:marBottom w:val="0"/>
      <w:divBdr>
        <w:top w:val="none" w:sz="0" w:space="0" w:color="auto"/>
        <w:left w:val="none" w:sz="0" w:space="0" w:color="auto"/>
        <w:bottom w:val="none" w:sz="0" w:space="0" w:color="auto"/>
        <w:right w:val="none" w:sz="0" w:space="0" w:color="auto"/>
      </w:divBdr>
    </w:div>
    <w:div w:id="1624462985">
      <w:bodyDiv w:val="1"/>
      <w:marLeft w:val="0"/>
      <w:marRight w:val="0"/>
      <w:marTop w:val="0"/>
      <w:marBottom w:val="0"/>
      <w:divBdr>
        <w:top w:val="none" w:sz="0" w:space="0" w:color="auto"/>
        <w:left w:val="none" w:sz="0" w:space="0" w:color="auto"/>
        <w:bottom w:val="none" w:sz="0" w:space="0" w:color="auto"/>
        <w:right w:val="none" w:sz="0" w:space="0" w:color="auto"/>
      </w:divBdr>
    </w:div>
    <w:div w:id="1625844207">
      <w:bodyDiv w:val="1"/>
      <w:marLeft w:val="0"/>
      <w:marRight w:val="0"/>
      <w:marTop w:val="0"/>
      <w:marBottom w:val="0"/>
      <w:divBdr>
        <w:top w:val="none" w:sz="0" w:space="0" w:color="auto"/>
        <w:left w:val="none" w:sz="0" w:space="0" w:color="auto"/>
        <w:bottom w:val="none" w:sz="0" w:space="0" w:color="auto"/>
        <w:right w:val="none" w:sz="0" w:space="0" w:color="auto"/>
      </w:divBdr>
    </w:div>
    <w:div w:id="1625891260">
      <w:bodyDiv w:val="1"/>
      <w:marLeft w:val="0"/>
      <w:marRight w:val="0"/>
      <w:marTop w:val="0"/>
      <w:marBottom w:val="0"/>
      <w:divBdr>
        <w:top w:val="none" w:sz="0" w:space="0" w:color="auto"/>
        <w:left w:val="none" w:sz="0" w:space="0" w:color="auto"/>
        <w:bottom w:val="none" w:sz="0" w:space="0" w:color="auto"/>
        <w:right w:val="none" w:sz="0" w:space="0" w:color="auto"/>
      </w:divBdr>
    </w:div>
    <w:div w:id="1626307028">
      <w:bodyDiv w:val="1"/>
      <w:marLeft w:val="0"/>
      <w:marRight w:val="0"/>
      <w:marTop w:val="0"/>
      <w:marBottom w:val="0"/>
      <w:divBdr>
        <w:top w:val="none" w:sz="0" w:space="0" w:color="auto"/>
        <w:left w:val="none" w:sz="0" w:space="0" w:color="auto"/>
        <w:bottom w:val="none" w:sz="0" w:space="0" w:color="auto"/>
        <w:right w:val="none" w:sz="0" w:space="0" w:color="auto"/>
      </w:divBdr>
    </w:div>
    <w:div w:id="1626349913">
      <w:bodyDiv w:val="1"/>
      <w:marLeft w:val="0"/>
      <w:marRight w:val="0"/>
      <w:marTop w:val="0"/>
      <w:marBottom w:val="0"/>
      <w:divBdr>
        <w:top w:val="none" w:sz="0" w:space="0" w:color="auto"/>
        <w:left w:val="none" w:sz="0" w:space="0" w:color="auto"/>
        <w:bottom w:val="none" w:sz="0" w:space="0" w:color="auto"/>
        <w:right w:val="none" w:sz="0" w:space="0" w:color="auto"/>
      </w:divBdr>
    </w:div>
    <w:div w:id="1626616180">
      <w:bodyDiv w:val="1"/>
      <w:marLeft w:val="0"/>
      <w:marRight w:val="0"/>
      <w:marTop w:val="0"/>
      <w:marBottom w:val="0"/>
      <w:divBdr>
        <w:top w:val="none" w:sz="0" w:space="0" w:color="auto"/>
        <w:left w:val="none" w:sz="0" w:space="0" w:color="auto"/>
        <w:bottom w:val="none" w:sz="0" w:space="0" w:color="auto"/>
        <w:right w:val="none" w:sz="0" w:space="0" w:color="auto"/>
      </w:divBdr>
    </w:div>
    <w:div w:id="1628193368">
      <w:bodyDiv w:val="1"/>
      <w:marLeft w:val="0"/>
      <w:marRight w:val="0"/>
      <w:marTop w:val="0"/>
      <w:marBottom w:val="0"/>
      <w:divBdr>
        <w:top w:val="none" w:sz="0" w:space="0" w:color="auto"/>
        <w:left w:val="none" w:sz="0" w:space="0" w:color="auto"/>
        <w:bottom w:val="none" w:sz="0" w:space="0" w:color="auto"/>
        <w:right w:val="none" w:sz="0" w:space="0" w:color="auto"/>
      </w:divBdr>
    </w:div>
    <w:div w:id="1628195057">
      <w:bodyDiv w:val="1"/>
      <w:marLeft w:val="0"/>
      <w:marRight w:val="0"/>
      <w:marTop w:val="0"/>
      <w:marBottom w:val="0"/>
      <w:divBdr>
        <w:top w:val="none" w:sz="0" w:space="0" w:color="auto"/>
        <w:left w:val="none" w:sz="0" w:space="0" w:color="auto"/>
        <w:bottom w:val="none" w:sz="0" w:space="0" w:color="auto"/>
        <w:right w:val="none" w:sz="0" w:space="0" w:color="auto"/>
      </w:divBdr>
    </w:div>
    <w:div w:id="1628508924">
      <w:bodyDiv w:val="1"/>
      <w:marLeft w:val="0"/>
      <w:marRight w:val="0"/>
      <w:marTop w:val="0"/>
      <w:marBottom w:val="0"/>
      <w:divBdr>
        <w:top w:val="none" w:sz="0" w:space="0" w:color="auto"/>
        <w:left w:val="none" w:sz="0" w:space="0" w:color="auto"/>
        <w:bottom w:val="none" w:sz="0" w:space="0" w:color="auto"/>
        <w:right w:val="none" w:sz="0" w:space="0" w:color="auto"/>
      </w:divBdr>
    </w:div>
    <w:div w:id="1628588121">
      <w:bodyDiv w:val="1"/>
      <w:marLeft w:val="0"/>
      <w:marRight w:val="0"/>
      <w:marTop w:val="0"/>
      <w:marBottom w:val="0"/>
      <w:divBdr>
        <w:top w:val="none" w:sz="0" w:space="0" w:color="auto"/>
        <w:left w:val="none" w:sz="0" w:space="0" w:color="auto"/>
        <w:bottom w:val="none" w:sz="0" w:space="0" w:color="auto"/>
        <w:right w:val="none" w:sz="0" w:space="0" w:color="auto"/>
      </w:divBdr>
    </w:div>
    <w:div w:id="1628703181">
      <w:bodyDiv w:val="1"/>
      <w:marLeft w:val="0"/>
      <w:marRight w:val="0"/>
      <w:marTop w:val="0"/>
      <w:marBottom w:val="0"/>
      <w:divBdr>
        <w:top w:val="none" w:sz="0" w:space="0" w:color="auto"/>
        <w:left w:val="none" w:sz="0" w:space="0" w:color="auto"/>
        <w:bottom w:val="none" w:sz="0" w:space="0" w:color="auto"/>
        <w:right w:val="none" w:sz="0" w:space="0" w:color="auto"/>
      </w:divBdr>
    </w:div>
    <w:div w:id="1629362422">
      <w:bodyDiv w:val="1"/>
      <w:marLeft w:val="0"/>
      <w:marRight w:val="0"/>
      <w:marTop w:val="0"/>
      <w:marBottom w:val="0"/>
      <w:divBdr>
        <w:top w:val="none" w:sz="0" w:space="0" w:color="auto"/>
        <w:left w:val="none" w:sz="0" w:space="0" w:color="auto"/>
        <w:bottom w:val="none" w:sz="0" w:space="0" w:color="auto"/>
        <w:right w:val="none" w:sz="0" w:space="0" w:color="auto"/>
      </w:divBdr>
    </w:div>
    <w:div w:id="1630698405">
      <w:bodyDiv w:val="1"/>
      <w:marLeft w:val="0"/>
      <w:marRight w:val="0"/>
      <w:marTop w:val="0"/>
      <w:marBottom w:val="0"/>
      <w:divBdr>
        <w:top w:val="none" w:sz="0" w:space="0" w:color="auto"/>
        <w:left w:val="none" w:sz="0" w:space="0" w:color="auto"/>
        <w:bottom w:val="none" w:sz="0" w:space="0" w:color="auto"/>
        <w:right w:val="none" w:sz="0" w:space="0" w:color="auto"/>
      </w:divBdr>
    </w:div>
    <w:div w:id="1630739102">
      <w:bodyDiv w:val="1"/>
      <w:marLeft w:val="0"/>
      <w:marRight w:val="0"/>
      <w:marTop w:val="0"/>
      <w:marBottom w:val="0"/>
      <w:divBdr>
        <w:top w:val="none" w:sz="0" w:space="0" w:color="auto"/>
        <w:left w:val="none" w:sz="0" w:space="0" w:color="auto"/>
        <w:bottom w:val="none" w:sz="0" w:space="0" w:color="auto"/>
        <w:right w:val="none" w:sz="0" w:space="0" w:color="auto"/>
      </w:divBdr>
    </w:div>
    <w:div w:id="1631084099">
      <w:bodyDiv w:val="1"/>
      <w:marLeft w:val="0"/>
      <w:marRight w:val="0"/>
      <w:marTop w:val="0"/>
      <w:marBottom w:val="0"/>
      <w:divBdr>
        <w:top w:val="none" w:sz="0" w:space="0" w:color="auto"/>
        <w:left w:val="none" w:sz="0" w:space="0" w:color="auto"/>
        <w:bottom w:val="none" w:sz="0" w:space="0" w:color="auto"/>
        <w:right w:val="none" w:sz="0" w:space="0" w:color="auto"/>
      </w:divBdr>
    </w:div>
    <w:div w:id="1631201195">
      <w:bodyDiv w:val="1"/>
      <w:marLeft w:val="0"/>
      <w:marRight w:val="0"/>
      <w:marTop w:val="0"/>
      <w:marBottom w:val="0"/>
      <w:divBdr>
        <w:top w:val="none" w:sz="0" w:space="0" w:color="auto"/>
        <w:left w:val="none" w:sz="0" w:space="0" w:color="auto"/>
        <w:bottom w:val="none" w:sz="0" w:space="0" w:color="auto"/>
        <w:right w:val="none" w:sz="0" w:space="0" w:color="auto"/>
      </w:divBdr>
    </w:div>
    <w:div w:id="1631475149">
      <w:bodyDiv w:val="1"/>
      <w:marLeft w:val="0"/>
      <w:marRight w:val="0"/>
      <w:marTop w:val="0"/>
      <w:marBottom w:val="0"/>
      <w:divBdr>
        <w:top w:val="none" w:sz="0" w:space="0" w:color="auto"/>
        <w:left w:val="none" w:sz="0" w:space="0" w:color="auto"/>
        <w:bottom w:val="none" w:sz="0" w:space="0" w:color="auto"/>
        <w:right w:val="none" w:sz="0" w:space="0" w:color="auto"/>
      </w:divBdr>
    </w:div>
    <w:div w:id="1631670035">
      <w:bodyDiv w:val="1"/>
      <w:marLeft w:val="0"/>
      <w:marRight w:val="0"/>
      <w:marTop w:val="0"/>
      <w:marBottom w:val="0"/>
      <w:divBdr>
        <w:top w:val="none" w:sz="0" w:space="0" w:color="auto"/>
        <w:left w:val="none" w:sz="0" w:space="0" w:color="auto"/>
        <w:bottom w:val="none" w:sz="0" w:space="0" w:color="auto"/>
        <w:right w:val="none" w:sz="0" w:space="0" w:color="auto"/>
      </w:divBdr>
    </w:div>
    <w:div w:id="1631671915">
      <w:bodyDiv w:val="1"/>
      <w:marLeft w:val="0"/>
      <w:marRight w:val="0"/>
      <w:marTop w:val="0"/>
      <w:marBottom w:val="0"/>
      <w:divBdr>
        <w:top w:val="none" w:sz="0" w:space="0" w:color="auto"/>
        <w:left w:val="none" w:sz="0" w:space="0" w:color="auto"/>
        <w:bottom w:val="none" w:sz="0" w:space="0" w:color="auto"/>
        <w:right w:val="none" w:sz="0" w:space="0" w:color="auto"/>
      </w:divBdr>
    </w:div>
    <w:div w:id="1631782279">
      <w:bodyDiv w:val="1"/>
      <w:marLeft w:val="0"/>
      <w:marRight w:val="0"/>
      <w:marTop w:val="0"/>
      <w:marBottom w:val="0"/>
      <w:divBdr>
        <w:top w:val="none" w:sz="0" w:space="0" w:color="auto"/>
        <w:left w:val="none" w:sz="0" w:space="0" w:color="auto"/>
        <w:bottom w:val="none" w:sz="0" w:space="0" w:color="auto"/>
        <w:right w:val="none" w:sz="0" w:space="0" w:color="auto"/>
      </w:divBdr>
    </w:div>
    <w:div w:id="1631858666">
      <w:bodyDiv w:val="1"/>
      <w:marLeft w:val="0"/>
      <w:marRight w:val="0"/>
      <w:marTop w:val="0"/>
      <w:marBottom w:val="0"/>
      <w:divBdr>
        <w:top w:val="none" w:sz="0" w:space="0" w:color="auto"/>
        <w:left w:val="none" w:sz="0" w:space="0" w:color="auto"/>
        <w:bottom w:val="none" w:sz="0" w:space="0" w:color="auto"/>
        <w:right w:val="none" w:sz="0" w:space="0" w:color="auto"/>
      </w:divBdr>
    </w:div>
    <w:div w:id="1633049339">
      <w:bodyDiv w:val="1"/>
      <w:marLeft w:val="0"/>
      <w:marRight w:val="0"/>
      <w:marTop w:val="0"/>
      <w:marBottom w:val="0"/>
      <w:divBdr>
        <w:top w:val="none" w:sz="0" w:space="0" w:color="auto"/>
        <w:left w:val="none" w:sz="0" w:space="0" w:color="auto"/>
        <w:bottom w:val="none" w:sz="0" w:space="0" w:color="auto"/>
        <w:right w:val="none" w:sz="0" w:space="0" w:color="auto"/>
      </w:divBdr>
    </w:div>
    <w:div w:id="1633754100">
      <w:bodyDiv w:val="1"/>
      <w:marLeft w:val="0"/>
      <w:marRight w:val="0"/>
      <w:marTop w:val="0"/>
      <w:marBottom w:val="0"/>
      <w:divBdr>
        <w:top w:val="none" w:sz="0" w:space="0" w:color="auto"/>
        <w:left w:val="none" w:sz="0" w:space="0" w:color="auto"/>
        <w:bottom w:val="none" w:sz="0" w:space="0" w:color="auto"/>
        <w:right w:val="none" w:sz="0" w:space="0" w:color="auto"/>
      </w:divBdr>
    </w:div>
    <w:div w:id="1634097613">
      <w:bodyDiv w:val="1"/>
      <w:marLeft w:val="0"/>
      <w:marRight w:val="0"/>
      <w:marTop w:val="0"/>
      <w:marBottom w:val="0"/>
      <w:divBdr>
        <w:top w:val="none" w:sz="0" w:space="0" w:color="auto"/>
        <w:left w:val="none" w:sz="0" w:space="0" w:color="auto"/>
        <w:bottom w:val="none" w:sz="0" w:space="0" w:color="auto"/>
        <w:right w:val="none" w:sz="0" w:space="0" w:color="auto"/>
      </w:divBdr>
    </w:div>
    <w:div w:id="1634553720">
      <w:bodyDiv w:val="1"/>
      <w:marLeft w:val="0"/>
      <w:marRight w:val="0"/>
      <w:marTop w:val="0"/>
      <w:marBottom w:val="0"/>
      <w:divBdr>
        <w:top w:val="none" w:sz="0" w:space="0" w:color="auto"/>
        <w:left w:val="none" w:sz="0" w:space="0" w:color="auto"/>
        <w:bottom w:val="none" w:sz="0" w:space="0" w:color="auto"/>
        <w:right w:val="none" w:sz="0" w:space="0" w:color="auto"/>
      </w:divBdr>
    </w:div>
    <w:div w:id="1635910314">
      <w:bodyDiv w:val="1"/>
      <w:marLeft w:val="0"/>
      <w:marRight w:val="0"/>
      <w:marTop w:val="0"/>
      <w:marBottom w:val="0"/>
      <w:divBdr>
        <w:top w:val="none" w:sz="0" w:space="0" w:color="auto"/>
        <w:left w:val="none" w:sz="0" w:space="0" w:color="auto"/>
        <w:bottom w:val="none" w:sz="0" w:space="0" w:color="auto"/>
        <w:right w:val="none" w:sz="0" w:space="0" w:color="auto"/>
      </w:divBdr>
    </w:div>
    <w:div w:id="1637449560">
      <w:bodyDiv w:val="1"/>
      <w:marLeft w:val="0"/>
      <w:marRight w:val="0"/>
      <w:marTop w:val="0"/>
      <w:marBottom w:val="0"/>
      <w:divBdr>
        <w:top w:val="none" w:sz="0" w:space="0" w:color="auto"/>
        <w:left w:val="none" w:sz="0" w:space="0" w:color="auto"/>
        <w:bottom w:val="none" w:sz="0" w:space="0" w:color="auto"/>
        <w:right w:val="none" w:sz="0" w:space="0" w:color="auto"/>
      </w:divBdr>
    </w:div>
    <w:div w:id="1637635736">
      <w:bodyDiv w:val="1"/>
      <w:marLeft w:val="0"/>
      <w:marRight w:val="0"/>
      <w:marTop w:val="0"/>
      <w:marBottom w:val="0"/>
      <w:divBdr>
        <w:top w:val="none" w:sz="0" w:space="0" w:color="auto"/>
        <w:left w:val="none" w:sz="0" w:space="0" w:color="auto"/>
        <w:bottom w:val="none" w:sz="0" w:space="0" w:color="auto"/>
        <w:right w:val="none" w:sz="0" w:space="0" w:color="auto"/>
      </w:divBdr>
    </w:div>
    <w:div w:id="1637877426">
      <w:bodyDiv w:val="1"/>
      <w:marLeft w:val="0"/>
      <w:marRight w:val="0"/>
      <w:marTop w:val="0"/>
      <w:marBottom w:val="0"/>
      <w:divBdr>
        <w:top w:val="none" w:sz="0" w:space="0" w:color="auto"/>
        <w:left w:val="none" w:sz="0" w:space="0" w:color="auto"/>
        <w:bottom w:val="none" w:sz="0" w:space="0" w:color="auto"/>
        <w:right w:val="none" w:sz="0" w:space="0" w:color="auto"/>
      </w:divBdr>
    </w:div>
    <w:div w:id="1638142973">
      <w:bodyDiv w:val="1"/>
      <w:marLeft w:val="0"/>
      <w:marRight w:val="0"/>
      <w:marTop w:val="0"/>
      <w:marBottom w:val="0"/>
      <w:divBdr>
        <w:top w:val="none" w:sz="0" w:space="0" w:color="auto"/>
        <w:left w:val="none" w:sz="0" w:space="0" w:color="auto"/>
        <w:bottom w:val="none" w:sz="0" w:space="0" w:color="auto"/>
        <w:right w:val="none" w:sz="0" w:space="0" w:color="auto"/>
      </w:divBdr>
    </w:div>
    <w:div w:id="1638415988">
      <w:bodyDiv w:val="1"/>
      <w:marLeft w:val="0"/>
      <w:marRight w:val="0"/>
      <w:marTop w:val="0"/>
      <w:marBottom w:val="0"/>
      <w:divBdr>
        <w:top w:val="none" w:sz="0" w:space="0" w:color="auto"/>
        <w:left w:val="none" w:sz="0" w:space="0" w:color="auto"/>
        <w:bottom w:val="none" w:sz="0" w:space="0" w:color="auto"/>
        <w:right w:val="none" w:sz="0" w:space="0" w:color="auto"/>
      </w:divBdr>
    </w:div>
    <w:div w:id="1638996075">
      <w:bodyDiv w:val="1"/>
      <w:marLeft w:val="0"/>
      <w:marRight w:val="0"/>
      <w:marTop w:val="0"/>
      <w:marBottom w:val="0"/>
      <w:divBdr>
        <w:top w:val="none" w:sz="0" w:space="0" w:color="auto"/>
        <w:left w:val="none" w:sz="0" w:space="0" w:color="auto"/>
        <w:bottom w:val="none" w:sz="0" w:space="0" w:color="auto"/>
        <w:right w:val="none" w:sz="0" w:space="0" w:color="auto"/>
      </w:divBdr>
    </w:div>
    <w:div w:id="1640039354">
      <w:bodyDiv w:val="1"/>
      <w:marLeft w:val="0"/>
      <w:marRight w:val="0"/>
      <w:marTop w:val="0"/>
      <w:marBottom w:val="0"/>
      <w:divBdr>
        <w:top w:val="none" w:sz="0" w:space="0" w:color="auto"/>
        <w:left w:val="none" w:sz="0" w:space="0" w:color="auto"/>
        <w:bottom w:val="none" w:sz="0" w:space="0" w:color="auto"/>
        <w:right w:val="none" w:sz="0" w:space="0" w:color="auto"/>
      </w:divBdr>
    </w:div>
    <w:div w:id="1640040131">
      <w:bodyDiv w:val="1"/>
      <w:marLeft w:val="0"/>
      <w:marRight w:val="0"/>
      <w:marTop w:val="0"/>
      <w:marBottom w:val="0"/>
      <w:divBdr>
        <w:top w:val="none" w:sz="0" w:space="0" w:color="auto"/>
        <w:left w:val="none" w:sz="0" w:space="0" w:color="auto"/>
        <w:bottom w:val="none" w:sz="0" w:space="0" w:color="auto"/>
        <w:right w:val="none" w:sz="0" w:space="0" w:color="auto"/>
      </w:divBdr>
    </w:div>
    <w:div w:id="1640726410">
      <w:bodyDiv w:val="1"/>
      <w:marLeft w:val="0"/>
      <w:marRight w:val="0"/>
      <w:marTop w:val="0"/>
      <w:marBottom w:val="0"/>
      <w:divBdr>
        <w:top w:val="none" w:sz="0" w:space="0" w:color="auto"/>
        <w:left w:val="none" w:sz="0" w:space="0" w:color="auto"/>
        <w:bottom w:val="none" w:sz="0" w:space="0" w:color="auto"/>
        <w:right w:val="none" w:sz="0" w:space="0" w:color="auto"/>
      </w:divBdr>
    </w:div>
    <w:div w:id="1640765376">
      <w:bodyDiv w:val="1"/>
      <w:marLeft w:val="0"/>
      <w:marRight w:val="0"/>
      <w:marTop w:val="0"/>
      <w:marBottom w:val="0"/>
      <w:divBdr>
        <w:top w:val="none" w:sz="0" w:space="0" w:color="auto"/>
        <w:left w:val="none" w:sz="0" w:space="0" w:color="auto"/>
        <w:bottom w:val="none" w:sz="0" w:space="0" w:color="auto"/>
        <w:right w:val="none" w:sz="0" w:space="0" w:color="auto"/>
      </w:divBdr>
    </w:div>
    <w:div w:id="1641497533">
      <w:bodyDiv w:val="1"/>
      <w:marLeft w:val="0"/>
      <w:marRight w:val="0"/>
      <w:marTop w:val="0"/>
      <w:marBottom w:val="0"/>
      <w:divBdr>
        <w:top w:val="none" w:sz="0" w:space="0" w:color="auto"/>
        <w:left w:val="none" w:sz="0" w:space="0" w:color="auto"/>
        <w:bottom w:val="none" w:sz="0" w:space="0" w:color="auto"/>
        <w:right w:val="none" w:sz="0" w:space="0" w:color="auto"/>
      </w:divBdr>
    </w:div>
    <w:div w:id="1641567290">
      <w:bodyDiv w:val="1"/>
      <w:marLeft w:val="0"/>
      <w:marRight w:val="0"/>
      <w:marTop w:val="0"/>
      <w:marBottom w:val="0"/>
      <w:divBdr>
        <w:top w:val="none" w:sz="0" w:space="0" w:color="auto"/>
        <w:left w:val="none" w:sz="0" w:space="0" w:color="auto"/>
        <w:bottom w:val="none" w:sz="0" w:space="0" w:color="auto"/>
        <w:right w:val="none" w:sz="0" w:space="0" w:color="auto"/>
      </w:divBdr>
    </w:div>
    <w:div w:id="1641766673">
      <w:bodyDiv w:val="1"/>
      <w:marLeft w:val="0"/>
      <w:marRight w:val="0"/>
      <w:marTop w:val="0"/>
      <w:marBottom w:val="0"/>
      <w:divBdr>
        <w:top w:val="none" w:sz="0" w:space="0" w:color="auto"/>
        <w:left w:val="none" w:sz="0" w:space="0" w:color="auto"/>
        <w:bottom w:val="none" w:sz="0" w:space="0" w:color="auto"/>
        <w:right w:val="none" w:sz="0" w:space="0" w:color="auto"/>
      </w:divBdr>
    </w:div>
    <w:div w:id="1642147474">
      <w:bodyDiv w:val="1"/>
      <w:marLeft w:val="0"/>
      <w:marRight w:val="0"/>
      <w:marTop w:val="0"/>
      <w:marBottom w:val="0"/>
      <w:divBdr>
        <w:top w:val="none" w:sz="0" w:space="0" w:color="auto"/>
        <w:left w:val="none" w:sz="0" w:space="0" w:color="auto"/>
        <w:bottom w:val="none" w:sz="0" w:space="0" w:color="auto"/>
        <w:right w:val="none" w:sz="0" w:space="0" w:color="auto"/>
      </w:divBdr>
    </w:div>
    <w:div w:id="1642926995">
      <w:bodyDiv w:val="1"/>
      <w:marLeft w:val="0"/>
      <w:marRight w:val="0"/>
      <w:marTop w:val="0"/>
      <w:marBottom w:val="0"/>
      <w:divBdr>
        <w:top w:val="none" w:sz="0" w:space="0" w:color="auto"/>
        <w:left w:val="none" w:sz="0" w:space="0" w:color="auto"/>
        <w:bottom w:val="none" w:sz="0" w:space="0" w:color="auto"/>
        <w:right w:val="none" w:sz="0" w:space="0" w:color="auto"/>
      </w:divBdr>
    </w:div>
    <w:div w:id="1643727888">
      <w:bodyDiv w:val="1"/>
      <w:marLeft w:val="0"/>
      <w:marRight w:val="0"/>
      <w:marTop w:val="0"/>
      <w:marBottom w:val="0"/>
      <w:divBdr>
        <w:top w:val="none" w:sz="0" w:space="0" w:color="auto"/>
        <w:left w:val="none" w:sz="0" w:space="0" w:color="auto"/>
        <w:bottom w:val="none" w:sz="0" w:space="0" w:color="auto"/>
        <w:right w:val="none" w:sz="0" w:space="0" w:color="auto"/>
      </w:divBdr>
    </w:div>
    <w:div w:id="1643971155">
      <w:bodyDiv w:val="1"/>
      <w:marLeft w:val="0"/>
      <w:marRight w:val="0"/>
      <w:marTop w:val="0"/>
      <w:marBottom w:val="0"/>
      <w:divBdr>
        <w:top w:val="none" w:sz="0" w:space="0" w:color="auto"/>
        <w:left w:val="none" w:sz="0" w:space="0" w:color="auto"/>
        <w:bottom w:val="none" w:sz="0" w:space="0" w:color="auto"/>
        <w:right w:val="none" w:sz="0" w:space="0" w:color="auto"/>
      </w:divBdr>
    </w:div>
    <w:div w:id="1644461666">
      <w:bodyDiv w:val="1"/>
      <w:marLeft w:val="0"/>
      <w:marRight w:val="0"/>
      <w:marTop w:val="0"/>
      <w:marBottom w:val="0"/>
      <w:divBdr>
        <w:top w:val="none" w:sz="0" w:space="0" w:color="auto"/>
        <w:left w:val="none" w:sz="0" w:space="0" w:color="auto"/>
        <w:bottom w:val="none" w:sz="0" w:space="0" w:color="auto"/>
        <w:right w:val="none" w:sz="0" w:space="0" w:color="auto"/>
      </w:divBdr>
    </w:div>
    <w:div w:id="1644658331">
      <w:bodyDiv w:val="1"/>
      <w:marLeft w:val="0"/>
      <w:marRight w:val="0"/>
      <w:marTop w:val="0"/>
      <w:marBottom w:val="0"/>
      <w:divBdr>
        <w:top w:val="none" w:sz="0" w:space="0" w:color="auto"/>
        <w:left w:val="none" w:sz="0" w:space="0" w:color="auto"/>
        <w:bottom w:val="none" w:sz="0" w:space="0" w:color="auto"/>
        <w:right w:val="none" w:sz="0" w:space="0" w:color="auto"/>
      </w:divBdr>
    </w:div>
    <w:div w:id="1645238344">
      <w:bodyDiv w:val="1"/>
      <w:marLeft w:val="0"/>
      <w:marRight w:val="0"/>
      <w:marTop w:val="0"/>
      <w:marBottom w:val="0"/>
      <w:divBdr>
        <w:top w:val="none" w:sz="0" w:space="0" w:color="auto"/>
        <w:left w:val="none" w:sz="0" w:space="0" w:color="auto"/>
        <w:bottom w:val="none" w:sz="0" w:space="0" w:color="auto"/>
        <w:right w:val="none" w:sz="0" w:space="0" w:color="auto"/>
      </w:divBdr>
    </w:div>
    <w:div w:id="1645502810">
      <w:bodyDiv w:val="1"/>
      <w:marLeft w:val="0"/>
      <w:marRight w:val="0"/>
      <w:marTop w:val="0"/>
      <w:marBottom w:val="0"/>
      <w:divBdr>
        <w:top w:val="none" w:sz="0" w:space="0" w:color="auto"/>
        <w:left w:val="none" w:sz="0" w:space="0" w:color="auto"/>
        <w:bottom w:val="none" w:sz="0" w:space="0" w:color="auto"/>
        <w:right w:val="none" w:sz="0" w:space="0" w:color="auto"/>
      </w:divBdr>
    </w:div>
    <w:div w:id="1645772762">
      <w:bodyDiv w:val="1"/>
      <w:marLeft w:val="0"/>
      <w:marRight w:val="0"/>
      <w:marTop w:val="0"/>
      <w:marBottom w:val="0"/>
      <w:divBdr>
        <w:top w:val="none" w:sz="0" w:space="0" w:color="auto"/>
        <w:left w:val="none" w:sz="0" w:space="0" w:color="auto"/>
        <w:bottom w:val="none" w:sz="0" w:space="0" w:color="auto"/>
        <w:right w:val="none" w:sz="0" w:space="0" w:color="auto"/>
      </w:divBdr>
    </w:div>
    <w:div w:id="1646079608">
      <w:bodyDiv w:val="1"/>
      <w:marLeft w:val="0"/>
      <w:marRight w:val="0"/>
      <w:marTop w:val="0"/>
      <w:marBottom w:val="0"/>
      <w:divBdr>
        <w:top w:val="none" w:sz="0" w:space="0" w:color="auto"/>
        <w:left w:val="none" w:sz="0" w:space="0" w:color="auto"/>
        <w:bottom w:val="none" w:sz="0" w:space="0" w:color="auto"/>
        <w:right w:val="none" w:sz="0" w:space="0" w:color="auto"/>
      </w:divBdr>
    </w:div>
    <w:div w:id="1646085499">
      <w:bodyDiv w:val="1"/>
      <w:marLeft w:val="0"/>
      <w:marRight w:val="0"/>
      <w:marTop w:val="0"/>
      <w:marBottom w:val="0"/>
      <w:divBdr>
        <w:top w:val="none" w:sz="0" w:space="0" w:color="auto"/>
        <w:left w:val="none" w:sz="0" w:space="0" w:color="auto"/>
        <w:bottom w:val="none" w:sz="0" w:space="0" w:color="auto"/>
        <w:right w:val="none" w:sz="0" w:space="0" w:color="auto"/>
      </w:divBdr>
    </w:div>
    <w:div w:id="1646658813">
      <w:bodyDiv w:val="1"/>
      <w:marLeft w:val="0"/>
      <w:marRight w:val="0"/>
      <w:marTop w:val="0"/>
      <w:marBottom w:val="0"/>
      <w:divBdr>
        <w:top w:val="none" w:sz="0" w:space="0" w:color="auto"/>
        <w:left w:val="none" w:sz="0" w:space="0" w:color="auto"/>
        <w:bottom w:val="none" w:sz="0" w:space="0" w:color="auto"/>
        <w:right w:val="none" w:sz="0" w:space="0" w:color="auto"/>
      </w:divBdr>
    </w:div>
    <w:div w:id="1647128567">
      <w:bodyDiv w:val="1"/>
      <w:marLeft w:val="0"/>
      <w:marRight w:val="0"/>
      <w:marTop w:val="0"/>
      <w:marBottom w:val="0"/>
      <w:divBdr>
        <w:top w:val="none" w:sz="0" w:space="0" w:color="auto"/>
        <w:left w:val="none" w:sz="0" w:space="0" w:color="auto"/>
        <w:bottom w:val="none" w:sz="0" w:space="0" w:color="auto"/>
        <w:right w:val="none" w:sz="0" w:space="0" w:color="auto"/>
      </w:divBdr>
    </w:div>
    <w:div w:id="1647970635">
      <w:bodyDiv w:val="1"/>
      <w:marLeft w:val="0"/>
      <w:marRight w:val="0"/>
      <w:marTop w:val="0"/>
      <w:marBottom w:val="0"/>
      <w:divBdr>
        <w:top w:val="none" w:sz="0" w:space="0" w:color="auto"/>
        <w:left w:val="none" w:sz="0" w:space="0" w:color="auto"/>
        <w:bottom w:val="none" w:sz="0" w:space="0" w:color="auto"/>
        <w:right w:val="none" w:sz="0" w:space="0" w:color="auto"/>
      </w:divBdr>
    </w:div>
    <w:div w:id="1648590620">
      <w:bodyDiv w:val="1"/>
      <w:marLeft w:val="0"/>
      <w:marRight w:val="0"/>
      <w:marTop w:val="0"/>
      <w:marBottom w:val="0"/>
      <w:divBdr>
        <w:top w:val="none" w:sz="0" w:space="0" w:color="auto"/>
        <w:left w:val="none" w:sz="0" w:space="0" w:color="auto"/>
        <w:bottom w:val="none" w:sz="0" w:space="0" w:color="auto"/>
        <w:right w:val="none" w:sz="0" w:space="0" w:color="auto"/>
      </w:divBdr>
    </w:div>
    <w:div w:id="1649555828">
      <w:bodyDiv w:val="1"/>
      <w:marLeft w:val="0"/>
      <w:marRight w:val="0"/>
      <w:marTop w:val="0"/>
      <w:marBottom w:val="0"/>
      <w:divBdr>
        <w:top w:val="none" w:sz="0" w:space="0" w:color="auto"/>
        <w:left w:val="none" w:sz="0" w:space="0" w:color="auto"/>
        <w:bottom w:val="none" w:sz="0" w:space="0" w:color="auto"/>
        <w:right w:val="none" w:sz="0" w:space="0" w:color="auto"/>
      </w:divBdr>
    </w:div>
    <w:div w:id="1649702088">
      <w:bodyDiv w:val="1"/>
      <w:marLeft w:val="0"/>
      <w:marRight w:val="0"/>
      <w:marTop w:val="0"/>
      <w:marBottom w:val="0"/>
      <w:divBdr>
        <w:top w:val="none" w:sz="0" w:space="0" w:color="auto"/>
        <w:left w:val="none" w:sz="0" w:space="0" w:color="auto"/>
        <w:bottom w:val="none" w:sz="0" w:space="0" w:color="auto"/>
        <w:right w:val="none" w:sz="0" w:space="0" w:color="auto"/>
      </w:divBdr>
    </w:div>
    <w:div w:id="1650094291">
      <w:bodyDiv w:val="1"/>
      <w:marLeft w:val="0"/>
      <w:marRight w:val="0"/>
      <w:marTop w:val="0"/>
      <w:marBottom w:val="0"/>
      <w:divBdr>
        <w:top w:val="none" w:sz="0" w:space="0" w:color="auto"/>
        <w:left w:val="none" w:sz="0" w:space="0" w:color="auto"/>
        <w:bottom w:val="none" w:sz="0" w:space="0" w:color="auto"/>
        <w:right w:val="none" w:sz="0" w:space="0" w:color="auto"/>
      </w:divBdr>
    </w:div>
    <w:div w:id="1650138043">
      <w:bodyDiv w:val="1"/>
      <w:marLeft w:val="0"/>
      <w:marRight w:val="0"/>
      <w:marTop w:val="0"/>
      <w:marBottom w:val="0"/>
      <w:divBdr>
        <w:top w:val="none" w:sz="0" w:space="0" w:color="auto"/>
        <w:left w:val="none" w:sz="0" w:space="0" w:color="auto"/>
        <w:bottom w:val="none" w:sz="0" w:space="0" w:color="auto"/>
        <w:right w:val="none" w:sz="0" w:space="0" w:color="auto"/>
      </w:divBdr>
    </w:div>
    <w:div w:id="1650405744">
      <w:bodyDiv w:val="1"/>
      <w:marLeft w:val="0"/>
      <w:marRight w:val="0"/>
      <w:marTop w:val="0"/>
      <w:marBottom w:val="0"/>
      <w:divBdr>
        <w:top w:val="none" w:sz="0" w:space="0" w:color="auto"/>
        <w:left w:val="none" w:sz="0" w:space="0" w:color="auto"/>
        <w:bottom w:val="none" w:sz="0" w:space="0" w:color="auto"/>
        <w:right w:val="none" w:sz="0" w:space="0" w:color="auto"/>
      </w:divBdr>
    </w:div>
    <w:div w:id="1650788045">
      <w:bodyDiv w:val="1"/>
      <w:marLeft w:val="0"/>
      <w:marRight w:val="0"/>
      <w:marTop w:val="0"/>
      <w:marBottom w:val="0"/>
      <w:divBdr>
        <w:top w:val="none" w:sz="0" w:space="0" w:color="auto"/>
        <w:left w:val="none" w:sz="0" w:space="0" w:color="auto"/>
        <w:bottom w:val="none" w:sz="0" w:space="0" w:color="auto"/>
        <w:right w:val="none" w:sz="0" w:space="0" w:color="auto"/>
      </w:divBdr>
    </w:div>
    <w:div w:id="1651053762">
      <w:bodyDiv w:val="1"/>
      <w:marLeft w:val="0"/>
      <w:marRight w:val="0"/>
      <w:marTop w:val="0"/>
      <w:marBottom w:val="0"/>
      <w:divBdr>
        <w:top w:val="none" w:sz="0" w:space="0" w:color="auto"/>
        <w:left w:val="none" w:sz="0" w:space="0" w:color="auto"/>
        <w:bottom w:val="none" w:sz="0" w:space="0" w:color="auto"/>
        <w:right w:val="none" w:sz="0" w:space="0" w:color="auto"/>
      </w:divBdr>
    </w:div>
    <w:div w:id="1651212209">
      <w:bodyDiv w:val="1"/>
      <w:marLeft w:val="0"/>
      <w:marRight w:val="0"/>
      <w:marTop w:val="0"/>
      <w:marBottom w:val="0"/>
      <w:divBdr>
        <w:top w:val="none" w:sz="0" w:space="0" w:color="auto"/>
        <w:left w:val="none" w:sz="0" w:space="0" w:color="auto"/>
        <w:bottom w:val="none" w:sz="0" w:space="0" w:color="auto"/>
        <w:right w:val="none" w:sz="0" w:space="0" w:color="auto"/>
      </w:divBdr>
    </w:div>
    <w:div w:id="1651324429">
      <w:bodyDiv w:val="1"/>
      <w:marLeft w:val="0"/>
      <w:marRight w:val="0"/>
      <w:marTop w:val="0"/>
      <w:marBottom w:val="0"/>
      <w:divBdr>
        <w:top w:val="none" w:sz="0" w:space="0" w:color="auto"/>
        <w:left w:val="none" w:sz="0" w:space="0" w:color="auto"/>
        <w:bottom w:val="none" w:sz="0" w:space="0" w:color="auto"/>
        <w:right w:val="none" w:sz="0" w:space="0" w:color="auto"/>
      </w:divBdr>
    </w:div>
    <w:div w:id="1651984376">
      <w:bodyDiv w:val="1"/>
      <w:marLeft w:val="0"/>
      <w:marRight w:val="0"/>
      <w:marTop w:val="0"/>
      <w:marBottom w:val="0"/>
      <w:divBdr>
        <w:top w:val="none" w:sz="0" w:space="0" w:color="auto"/>
        <w:left w:val="none" w:sz="0" w:space="0" w:color="auto"/>
        <w:bottom w:val="none" w:sz="0" w:space="0" w:color="auto"/>
        <w:right w:val="none" w:sz="0" w:space="0" w:color="auto"/>
      </w:divBdr>
    </w:div>
    <w:div w:id="1652908437">
      <w:bodyDiv w:val="1"/>
      <w:marLeft w:val="0"/>
      <w:marRight w:val="0"/>
      <w:marTop w:val="0"/>
      <w:marBottom w:val="0"/>
      <w:divBdr>
        <w:top w:val="none" w:sz="0" w:space="0" w:color="auto"/>
        <w:left w:val="none" w:sz="0" w:space="0" w:color="auto"/>
        <w:bottom w:val="none" w:sz="0" w:space="0" w:color="auto"/>
        <w:right w:val="none" w:sz="0" w:space="0" w:color="auto"/>
      </w:divBdr>
    </w:div>
    <w:div w:id="1653486261">
      <w:bodyDiv w:val="1"/>
      <w:marLeft w:val="0"/>
      <w:marRight w:val="0"/>
      <w:marTop w:val="0"/>
      <w:marBottom w:val="0"/>
      <w:divBdr>
        <w:top w:val="none" w:sz="0" w:space="0" w:color="auto"/>
        <w:left w:val="none" w:sz="0" w:space="0" w:color="auto"/>
        <w:bottom w:val="none" w:sz="0" w:space="0" w:color="auto"/>
        <w:right w:val="none" w:sz="0" w:space="0" w:color="auto"/>
      </w:divBdr>
    </w:div>
    <w:div w:id="1654064642">
      <w:bodyDiv w:val="1"/>
      <w:marLeft w:val="0"/>
      <w:marRight w:val="0"/>
      <w:marTop w:val="0"/>
      <w:marBottom w:val="0"/>
      <w:divBdr>
        <w:top w:val="none" w:sz="0" w:space="0" w:color="auto"/>
        <w:left w:val="none" w:sz="0" w:space="0" w:color="auto"/>
        <w:bottom w:val="none" w:sz="0" w:space="0" w:color="auto"/>
        <w:right w:val="none" w:sz="0" w:space="0" w:color="auto"/>
      </w:divBdr>
    </w:div>
    <w:div w:id="1654405501">
      <w:bodyDiv w:val="1"/>
      <w:marLeft w:val="0"/>
      <w:marRight w:val="0"/>
      <w:marTop w:val="0"/>
      <w:marBottom w:val="0"/>
      <w:divBdr>
        <w:top w:val="none" w:sz="0" w:space="0" w:color="auto"/>
        <w:left w:val="none" w:sz="0" w:space="0" w:color="auto"/>
        <w:bottom w:val="none" w:sz="0" w:space="0" w:color="auto"/>
        <w:right w:val="none" w:sz="0" w:space="0" w:color="auto"/>
      </w:divBdr>
    </w:div>
    <w:div w:id="1654487522">
      <w:bodyDiv w:val="1"/>
      <w:marLeft w:val="0"/>
      <w:marRight w:val="0"/>
      <w:marTop w:val="0"/>
      <w:marBottom w:val="0"/>
      <w:divBdr>
        <w:top w:val="none" w:sz="0" w:space="0" w:color="auto"/>
        <w:left w:val="none" w:sz="0" w:space="0" w:color="auto"/>
        <w:bottom w:val="none" w:sz="0" w:space="0" w:color="auto"/>
        <w:right w:val="none" w:sz="0" w:space="0" w:color="auto"/>
      </w:divBdr>
    </w:div>
    <w:div w:id="1655255549">
      <w:bodyDiv w:val="1"/>
      <w:marLeft w:val="0"/>
      <w:marRight w:val="0"/>
      <w:marTop w:val="0"/>
      <w:marBottom w:val="0"/>
      <w:divBdr>
        <w:top w:val="none" w:sz="0" w:space="0" w:color="auto"/>
        <w:left w:val="none" w:sz="0" w:space="0" w:color="auto"/>
        <w:bottom w:val="none" w:sz="0" w:space="0" w:color="auto"/>
        <w:right w:val="none" w:sz="0" w:space="0" w:color="auto"/>
      </w:divBdr>
    </w:div>
    <w:div w:id="1655330241">
      <w:bodyDiv w:val="1"/>
      <w:marLeft w:val="0"/>
      <w:marRight w:val="0"/>
      <w:marTop w:val="0"/>
      <w:marBottom w:val="0"/>
      <w:divBdr>
        <w:top w:val="none" w:sz="0" w:space="0" w:color="auto"/>
        <w:left w:val="none" w:sz="0" w:space="0" w:color="auto"/>
        <w:bottom w:val="none" w:sz="0" w:space="0" w:color="auto"/>
        <w:right w:val="none" w:sz="0" w:space="0" w:color="auto"/>
      </w:divBdr>
    </w:div>
    <w:div w:id="1655641710">
      <w:bodyDiv w:val="1"/>
      <w:marLeft w:val="0"/>
      <w:marRight w:val="0"/>
      <w:marTop w:val="0"/>
      <w:marBottom w:val="0"/>
      <w:divBdr>
        <w:top w:val="none" w:sz="0" w:space="0" w:color="auto"/>
        <w:left w:val="none" w:sz="0" w:space="0" w:color="auto"/>
        <w:bottom w:val="none" w:sz="0" w:space="0" w:color="auto"/>
        <w:right w:val="none" w:sz="0" w:space="0" w:color="auto"/>
      </w:divBdr>
    </w:div>
    <w:div w:id="1656448765">
      <w:bodyDiv w:val="1"/>
      <w:marLeft w:val="0"/>
      <w:marRight w:val="0"/>
      <w:marTop w:val="0"/>
      <w:marBottom w:val="0"/>
      <w:divBdr>
        <w:top w:val="none" w:sz="0" w:space="0" w:color="auto"/>
        <w:left w:val="none" w:sz="0" w:space="0" w:color="auto"/>
        <w:bottom w:val="none" w:sz="0" w:space="0" w:color="auto"/>
        <w:right w:val="none" w:sz="0" w:space="0" w:color="auto"/>
      </w:divBdr>
    </w:div>
    <w:div w:id="1656490285">
      <w:bodyDiv w:val="1"/>
      <w:marLeft w:val="0"/>
      <w:marRight w:val="0"/>
      <w:marTop w:val="0"/>
      <w:marBottom w:val="0"/>
      <w:divBdr>
        <w:top w:val="none" w:sz="0" w:space="0" w:color="auto"/>
        <w:left w:val="none" w:sz="0" w:space="0" w:color="auto"/>
        <w:bottom w:val="none" w:sz="0" w:space="0" w:color="auto"/>
        <w:right w:val="none" w:sz="0" w:space="0" w:color="auto"/>
      </w:divBdr>
    </w:div>
    <w:div w:id="1656839691">
      <w:bodyDiv w:val="1"/>
      <w:marLeft w:val="0"/>
      <w:marRight w:val="0"/>
      <w:marTop w:val="0"/>
      <w:marBottom w:val="0"/>
      <w:divBdr>
        <w:top w:val="none" w:sz="0" w:space="0" w:color="auto"/>
        <w:left w:val="none" w:sz="0" w:space="0" w:color="auto"/>
        <w:bottom w:val="none" w:sz="0" w:space="0" w:color="auto"/>
        <w:right w:val="none" w:sz="0" w:space="0" w:color="auto"/>
      </w:divBdr>
    </w:div>
    <w:div w:id="1656955067">
      <w:bodyDiv w:val="1"/>
      <w:marLeft w:val="0"/>
      <w:marRight w:val="0"/>
      <w:marTop w:val="0"/>
      <w:marBottom w:val="0"/>
      <w:divBdr>
        <w:top w:val="none" w:sz="0" w:space="0" w:color="auto"/>
        <w:left w:val="none" w:sz="0" w:space="0" w:color="auto"/>
        <w:bottom w:val="none" w:sz="0" w:space="0" w:color="auto"/>
        <w:right w:val="none" w:sz="0" w:space="0" w:color="auto"/>
      </w:divBdr>
    </w:div>
    <w:div w:id="1659113633">
      <w:bodyDiv w:val="1"/>
      <w:marLeft w:val="0"/>
      <w:marRight w:val="0"/>
      <w:marTop w:val="0"/>
      <w:marBottom w:val="0"/>
      <w:divBdr>
        <w:top w:val="none" w:sz="0" w:space="0" w:color="auto"/>
        <w:left w:val="none" w:sz="0" w:space="0" w:color="auto"/>
        <w:bottom w:val="none" w:sz="0" w:space="0" w:color="auto"/>
        <w:right w:val="none" w:sz="0" w:space="0" w:color="auto"/>
      </w:divBdr>
    </w:div>
    <w:div w:id="1659773103">
      <w:bodyDiv w:val="1"/>
      <w:marLeft w:val="0"/>
      <w:marRight w:val="0"/>
      <w:marTop w:val="0"/>
      <w:marBottom w:val="0"/>
      <w:divBdr>
        <w:top w:val="none" w:sz="0" w:space="0" w:color="auto"/>
        <w:left w:val="none" w:sz="0" w:space="0" w:color="auto"/>
        <w:bottom w:val="none" w:sz="0" w:space="0" w:color="auto"/>
        <w:right w:val="none" w:sz="0" w:space="0" w:color="auto"/>
      </w:divBdr>
    </w:div>
    <w:div w:id="1660227271">
      <w:bodyDiv w:val="1"/>
      <w:marLeft w:val="0"/>
      <w:marRight w:val="0"/>
      <w:marTop w:val="0"/>
      <w:marBottom w:val="0"/>
      <w:divBdr>
        <w:top w:val="none" w:sz="0" w:space="0" w:color="auto"/>
        <w:left w:val="none" w:sz="0" w:space="0" w:color="auto"/>
        <w:bottom w:val="none" w:sz="0" w:space="0" w:color="auto"/>
        <w:right w:val="none" w:sz="0" w:space="0" w:color="auto"/>
      </w:divBdr>
    </w:div>
    <w:div w:id="1660428810">
      <w:bodyDiv w:val="1"/>
      <w:marLeft w:val="0"/>
      <w:marRight w:val="0"/>
      <w:marTop w:val="0"/>
      <w:marBottom w:val="0"/>
      <w:divBdr>
        <w:top w:val="none" w:sz="0" w:space="0" w:color="auto"/>
        <w:left w:val="none" w:sz="0" w:space="0" w:color="auto"/>
        <w:bottom w:val="none" w:sz="0" w:space="0" w:color="auto"/>
        <w:right w:val="none" w:sz="0" w:space="0" w:color="auto"/>
      </w:divBdr>
    </w:div>
    <w:div w:id="1660618548">
      <w:bodyDiv w:val="1"/>
      <w:marLeft w:val="0"/>
      <w:marRight w:val="0"/>
      <w:marTop w:val="0"/>
      <w:marBottom w:val="0"/>
      <w:divBdr>
        <w:top w:val="none" w:sz="0" w:space="0" w:color="auto"/>
        <w:left w:val="none" w:sz="0" w:space="0" w:color="auto"/>
        <w:bottom w:val="none" w:sz="0" w:space="0" w:color="auto"/>
        <w:right w:val="none" w:sz="0" w:space="0" w:color="auto"/>
      </w:divBdr>
    </w:div>
    <w:div w:id="1660692538">
      <w:bodyDiv w:val="1"/>
      <w:marLeft w:val="0"/>
      <w:marRight w:val="0"/>
      <w:marTop w:val="0"/>
      <w:marBottom w:val="0"/>
      <w:divBdr>
        <w:top w:val="none" w:sz="0" w:space="0" w:color="auto"/>
        <w:left w:val="none" w:sz="0" w:space="0" w:color="auto"/>
        <w:bottom w:val="none" w:sz="0" w:space="0" w:color="auto"/>
        <w:right w:val="none" w:sz="0" w:space="0" w:color="auto"/>
      </w:divBdr>
    </w:div>
    <w:div w:id="1661079548">
      <w:bodyDiv w:val="1"/>
      <w:marLeft w:val="0"/>
      <w:marRight w:val="0"/>
      <w:marTop w:val="0"/>
      <w:marBottom w:val="0"/>
      <w:divBdr>
        <w:top w:val="none" w:sz="0" w:space="0" w:color="auto"/>
        <w:left w:val="none" w:sz="0" w:space="0" w:color="auto"/>
        <w:bottom w:val="none" w:sz="0" w:space="0" w:color="auto"/>
        <w:right w:val="none" w:sz="0" w:space="0" w:color="auto"/>
      </w:divBdr>
    </w:div>
    <w:div w:id="1661084322">
      <w:bodyDiv w:val="1"/>
      <w:marLeft w:val="0"/>
      <w:marRight w:val="0"/>
      <w:marTop w:val="0"/>
      <w:marBottom w:val="0"/>
      <w:divBdr>
        <w:top w:val="none" w:sz="0" w:space="0" w:color="auto"/>
        <w:left w:val="none" w:sz="0" w:space="0" w:color="auto"/>
        <w:bottom w:val="none" w:sz="0" w:space="0" w:color="auto"/>
        <w:right w:val="none" w:sz="0" w:space="0" w:color="auto"/>
      </w:divBdr>
    </w:div>
    <w:div w:id="1661229386">
      <w:bodyDiv w:val="1"/>
      <w:marLeft w:val="0"/>
      <w:marRight w:val="0"/>
      <w:marTop w:val="0"/>
      <w:marBottom w:val="0"/>
      <w:divBdr>
        <w:top w:val="none" w:sz="0" w:space="0" w:color="auto"/>
        <w:left w:val="none" w:sz="0" w:space="0" w:color="auto"/>
        <w:bottom w:val="none" w:sz="0" w:space="0" w:color="auto"/>
        <w:right w:val="none" w:sz="0" w:space="0" w:color="auto"/>
      </w:divBdr>
    </w:div>
    <w:div w:id="1661344748">
      <w:bodyDiv w:val="1"/>
      <w:marLeft w:val="0"/>
      <w:marRight w:val="0"/>
      <w:marTop w:val="0"/>
      <w:marBottom w:val="0"/>
      <w:divBdr>
        <w:top w:val="none" w:sz="0" w:space="0" w:color="auto"/>
        <w:left w:val="none" w:sz="0" w:space="0" w:color="auto"/>
        <w:bottom w:val="none" w:sz="0" w:space="0" w:color="auto"/>
        <w:right w:val="none" w:sz="0" w:space="0" w:color="auto"/>
      </w:divBdr>
    </w:div>
    <w:div w:id="1661421990">
      <w:bodyDiv w:val="1"/>
      <w:marLeft w:val="0"/>
      <w:marRight w:val="0"/>
      <w:marTop w:val="0"/>
      <w:marBottom w:val="0"/>
      <w:divBdr>
        <w:top w:val="none" w:sz="0" w:space="0" w:color="auto"/>
        <w:left w:val="none" w:sz="0" w:space="0" w:color="auto"/>
        <w:bottom w:val="none" w:sz="0" w:space="0" w:color="auto"/>
        <w:right w:val="none" w:sz="0" w:space="0" w:color="auto"/>
      </w:divBdr>
    </w:div>
    <w:div w:id="1662197574">
      <w:bodyDiv w:val="1"/>
      <w:marLeft w:val="0"/>
      <w:marRight w:val="0"/>
      <w:marTop w:val="0"/>
      <w:marBottom w:val="0"/>
      <w:divBdr>
        <w:top w:val="none" w:sz="0" w:space="0" w:color="auto"/>
        <w:left w:val="none" w:sz="0" w:space="0" w:color="auto"/>
        <w:bottom w:val="none" w:sz="0" w:space="0" w:color="auto"/>
        <w:right w:val="none" w:sz="0" w:space="0" w:color="auto"/>
      </w:divBdr>
    </w:div>
    <w:div w:id="1663044857">
      <w:bodyDiv w:val="1"/>
      <w:marLeft w:val="0"/>
      <w:marRight w:val="0"/>
      <w:marTop w:val="0"/>
      <w:marBottom w:val="0"/>
      <w:divBdr>
        <w:top w:val="none" w:sz="0" w:space="0" w:color="auto"/>
        <w:left w:val="none" w:sz="0" w:space="0" w:color="auto"/>
        <w:bottom w:val="none" w:sz="0" w:space="0" w:color="auto"/>
        <w:right w:val="none" w:sz="0" w:space="0" w:color="auto"/>
      </w:divBdr>
    </w:div>
    <w:div w:id="1664426400">
      <w:bodyDiv w:val="1"/>
      <w:marLeft w:val="0"/>
      <w:marRight w:val="0"/>
      <w:marTop w:val="0"/>
      <w:marBottom w:val="0"/>
      <w:divBdr>
        <w:top w:val="none" w:sz="0" w:space="0" w:color="auto"/>
        <w:left w:val="none" w:sz="0" w:space="0" w:color="auto"/>
        <w:bottom w:val="none" w:sz="0" w:space="0" w:color="auto"/>
        <w:right w:val="none" w:sz="0" w:space="0" w:color="auto"/>
      </w:divBdr>
    </w:div>
    <w:div w:id="1664889132">
      <w:bodyDiv w:val="1"/>
      <w:marLeft w:val="0"/>
      <w:marRight w:val="0"/>
      <w:marTop w:val="0"/>
      <w:marBottom w:val="0"/>
      <w:divBdr>
        <w:top w:val="none" w:sz="0" w:space="0" w:color="auto"/>
        <w:left w:val="none" w:sz="0" w:space="0" w:color="auto"/>
        <w:bottom w:val="none" w:sz="0" w:space="0" w:color="auto"/>
        <w:right w:val="none" w:sz="0" w:space="0" w:color="auto"/>
      </w:divBdr>
    </w:div>
    <w:div w:id="1665818532">
      <w:bodyDiv w:val="1"/>
      <w:marLeft w:val="0"/>
      <w:marRight w:val="0"/>
      <w:marTop w:val="0"/>
      <w:marBottom w:val="0"/>
      <w:divBdr>
        <w:top w:val="none" w:sz="0" w:space="0" w:color="auto"/>
        <w:left w:val="none" w:sz="0" w:space="0" w:color="auto"/>
        <w:bottom w:val="none" w:sz="0" w:space="0" w:color="auto"/>
        <w:right w:val="none" w:sz="0" w:space="0" w:color="auto"/>
      </w:divBdr>
    </w:div>
    <w:div w:id="1665862989">
      <w:bodyDiv w:val="1"/>
      <w:marLeft w:val="0"/>
      <w:marRight w:val="0"/>
      <w:marTop w:val="0"/>
      <w:marBottom w:val="0"/>
      <w:divBdr>
        <w:top w:val="none" w:sz="0" w:space="0" w:color="auto"/>
        <w:left w:val="none" w:sz="0" w:space="0" w:color="auto"/>
        <w:bottom w:val="none" w:sz="0" w:space="0" w:color="auto"/>
        <w:right w:val="none" w:sz="0" w:space="0" w:color="auto"/>
      </w:divBdr>
    </w:div>
    <w:div w:id="1668242866">
      <w:bodyDiv w:val="1"/>
      <w:marLeft w:val="0"/>
      <w:marRight w:val="0"/>
      <w:marTop w:val="0"/>
      <w:marBottom w:val="0"/>
      <w:divBdr>
        <w:top w:val="none" w:sz="0" w:space="0" w:color="auto"/>
        <w:left w:val="none" w:sz="0" w:space="0" w:color="auto"/>
        <w:bottom w:val="none" w:sz="0" w:space="0" w:color="auto"/>
        <w:right w:val="none" w:sz="0" w:space="0" w:color="auto"/>
      </w:divBdr>
    </w:div>
    <w:div w:id="1668484733">
      <w:bodyDiv w:val="1"/>
      <w:marLeft w:val="0"/>
      <w:marRight w:val="0"/>
      <w:marTop w:val="0"/>
      <w:marBottom w:val="0"/>
      <w:divBdr>
        <w:top w:val="none" w:sz="0" w:space="0" w:color="auto"/>
        <w:left w:val="none" w:sz="0" w:space="0" w:color="auto"/>
        <w:bottom w:val="none" w:sz="0" w:space="0" w:color="auto"/>
        <w:right w:val="none" w:sz="0" w:space="0" w:color="auto"/>
      </w:divBdr>
    </w:div>
    <w:div w:id="1668751420">
      <w:bodyDiv w:val="1"/>
      <w:marLeft w:val="0"/>
      <w:marRight w:val="0"/>
      <w:marTop w:val="0"/>
      <w:marBottom w:val="0"/>
      <w:divBdr>
        <w:top w:val="none" w:sz="0" w:space="0" w:color="auto"/>
        <w:left w:val="none" w:sz="0" w:space="0" w:color="auto"/>
        <w:bottom w:val="none" w:sz="0" w:space="0" w:color="auto"/>
        <w:right w:val="none" w:sz="0" w:space="0" w:color="auto"/>
      </w:divBdr>
    </w:div>
    <w:div w:id="1668944070">
      <w:bodyDiv w:val="1"/>
      <w:marLeft w:val="0"/>
      <w:marRight w:val="0"/>
      <w:marTop w:val="0"/>
      <w:marBottom w:val="0"/>
      <w:divBdr>
        <w:top w:val="none" w:sz="0" w:space="0" w:color="auto"/>
        <w:left w:val="none" w:sz="0" w:space="0" w:color="auto"/>
        <w:bottom w:val="none" w:sz="0" w:space="0" w:color="auto"/>
        <w:right w:val="none" w:sz="0" w:space="0" w:color="auto"/>
      </w:divBdr>
    </w:div>
    <w:div w:id="1669022675">
      <w:bodyDiv w:val="1"/>
      <w:marLeft w:val="0"/>
      <w:marRight w:val="0"/>
      <w:marTop w:val="0"/>
      <w:marBottom w:val="0"/>
      <w:divBdr>
        <w:top w:val="none" w:sz="0" w:space="0" w:color="auto"/>
        <w:left w:val="none" w:sz="0" w:space="0" w:color="auto"/>
        <w:bottom w:val="none" w:sz="0" w:space="0" w:color="auto"/>
        <w:right w:val="none" w:sz="0" w:space="0" w:color="auto"/>
      </w:divBdr>
    </w:div>
    <w:div w:id="1669284647">
      <w:bodyDiv w:val="1"/>
      <w:marLeft w:val="0"/>
      <w:marRight w:val="0"/>
      <w:marTop w:val="0"/>
      <w:marBottom w:val="0"/>
      <w:divBdr>
        <w:top w:val="none" w:sz="0" w:space="0" w:color="auto"/>
        <w:left w:val="none" w:sz="0" w:space="0" w:color="auto"/>
        <w:bottom w:val="none" w:sz="0" w:space="0" w:color="auto"/>
        <w:right w:val="none" w:sz="0" w:space="0" w:color="auto"/>
      </w:divBdr>
    </w:div>
    <w:div w:id="1669481570">
      <w:bodyDiv w:val="1"/>
      <w:marLeft w:val="0"/>
      <w:marRight w:val="0"/>
      <w:marTop w:val="0"/>
      <w:marBottom w:val="0"/>
      <w:divBdr>
        <w:top w:val="none" w:sz="0" w:space="0" w:color="auto"/>
        <w:left w:val="none" w:sz="0" w:space="0" w:color="auto"/>
        <w:bottom w:val="none" w:sz="0" w:space="0" w:color="auto"/>
        <w:right w:val="none" w:sz="0" w:space="0" w:color="auto"/>
      </w:divBdr>
    </w:div>
    <w:div w:id="1671324316">
      <w:bodyDiv w:val="1"/>
      <w:marLeft w:val="0"/>
      <w:marRight w:val="0"/>
      <w:marTop w:val="0"/>
      <w:marBottom w:val="0"/>
      <w:divBdr>
        <w:top w:val="none" w:sz="0" w:space="0" w:color="auto"/>
        <w:left w:val="none" w:sz="0" w:space="0" w:color="auto"/>
        <w:bottom w:val="none" w:sz="0" w:space="0" w:color="auto"/>
        <w:right w:val="none" w:sz="0" w:space="0" w:color="auto"/>
      </w:divBdr>
    </w:div>
    <w:div w:id="1671593328">
      <w:bodyDiv w:val="1"/>
      <w:marLeft w:val="0"/>
      <w:marRight w:val="0"/>
      <w:marTop w:val="0"/>
      <w:marBottom w:val="0"/>
      <w:divBdr>
        <w:top w:val="none" w:sz="0" w:space="0" w:color="auto"/>
        <w:left w:val="none" w:sz="0" w:space="0" w:color="auto"/>
        <w:bottom w:val="none" w:sz="0" w:space="0" w:color="auto"/>
        <w:right w:val="none" w:sz="0" w:space="0" w:color="auto"/>
      </w:divBdr>
    </w:div>
    <w:div w:id="1671641886">
      <w:bodyDiv w:val="1"/>
      <w:marLeft w:val="0"/>
      <w:marRight w:val="0"/>
      <w:marTop w:val="0"/>
      <w:marBottom w:val="0"/>
      <w:divBdr>
        <w:top w:val="none" w:sz="0" w:space="0" w:color="auto"/>
        <w:left w:val="none" w:sz="0" w:space="0" w:color="auto"/>
        <w:bottom w:val="none" w:sz="0" w:space="0" w:color="auto"/>
        <w:right w:val="none" w:sz="0" w:space="0" w:color="auto"/>
      </w:divBdr>
    </w:div>
    <w:div w:id="1671785431">
      <w:bodyDiv w:val="1"/>
      <w:marLeft w:val="0"/>
      <w:marRight w:val="0"/>
      <w:marTop w:val="0"/>
      <w:marBottom w:val="0"/>
      <w:divBdr>
        <w:top w:val="none" w:sz="0" w:space="0" w:color="auto"/>
        <w:left w:val="none" w:sz="0" w:space="0" w:color="auto"/>
        <w:bottom w:val="none" w:sz="0" w:space="0" w:color="auto"/>
        <w:right w:val="none" w:sz="0" w:space="0" w:color="auto"/>
      </w:divBdr>
    </w:div>
    <w:div w:id="1671982234">
      <w:bodyDiv w:val="1"/>
      <w:marLeft w:val="0"/>
      <w:marRight w:val="0"/>
      <w:marTop w:val="0"/>
      <w:marBottom w:val="0"/>
      <w:divBdr>
        <w:top w:val="none" w:sz="0" w:space="0" w:color="auto"/>
        <w:left w:val="none" w:sz="0" w:space="0" w:color="auto"/>
        <w:bottom w:val="none" w:sz="0" w:space="0" w:color="auto"/>
        <w:right w:val="none" w:sz="0" w:space="0" w:color="auto"/>
      </w:divBdr>
    </w:div>
    <w:div w:id="1672563454">
      <w:bodyDiv w:val="1"/>
      <w:marLeft w:val="0"/>
      <w:marRight w:val="0"/>
      <w:marTop w:val="0"/>
      <w:marBottom w:val="0"/>
      <w:divBdr>
        <w:top w:val="none" w:sz="0" w:space="0" w:color="auto"/>
        <w:left w:val="none" w:sz="0" w:space="0" w:color="auto"/>
        <w:bottom w:val="none" w:sz="0" w:space="0" w:color="auto"/>
        <w:right w:val="none" w:sz="0" w:space="0" w:color="auto"/>
      </w:divBdr>
    </w:div>
    <w:div w:id="1673140124">
      <w:bodyDiv w:val="1"/>
      <w:marLeft w:val="0"/>
      <w:marRight w:val="0"/>
      <w:marTop w:val="0"/>
      <w:marBottom w:val="0"/>
      <w:divBdr>
        <w:top w:val="none" w:sz="0" w:space="0" w:color="auto"/>
        <w:left w:val="none" w:sz="0" w:space="0" w:color="auto"/>
        <w:bottom w:val="none" w:sz="0" w:space="0" w:color="auto"/>
        <w:right w:val="none" w:sz="0" w:space="0" w:color="auto"/>
      </w:divBdr>
    </w:div>
    <w:div w:id="1674531789">
      <w:bodyDiv w:val="1"/>
      <w:marLeft w:val="0"/>
      <w:marRight w:val="0"/>
      <w:marTop w:val="0"/>
      <w:marBottom w:val="0"/>
      <w:divBdr>
        <w:top w:val="none" w:sz="0" w:space="0" w:color="auto"/>
        <w:left w:val="none" w:sz="0" w:space="0" w:color="auto"/>
        <w:bottom w:val="none" w:sz="0" w:space="0" w:color="auto"/>
        <w:right w:val="none" w:sz="0" w:space="0" w:color="auto"/>
      </w:divBdr>
    </w:div>
    <w:div w:id="1675187393">
      <w:bodyDiv w:val="1"/>
      <w:marLeft w:val="0"/>
      <w:marRight w:val="0"/>
      <w:marTop w:val="0"/>
      <w:marBottom w:val="0"/>
      <w:divBdr>
        <w:top w:val="none" w:sz="0" w:space="0" w:color="auto"/>
        <w:left w:val="none" w:sz="0" w:space="0" w:color="auto"/>
        <w:bottom w:val="none" w:sz="0" w:space="0" w:color="auto"/>
        <w:right w:val="none" w:sz="0" w:space="0" w:color="auto"/>
      </w:divBdr>
    </w:div>
    <w:div w:id="1675524782">
      <w:bodyDiv w:val="1"/>
      <w:marLeft w:val="0"/>
      <w:marRight w:val="0"/>
      <w:marTop w:val="0"/>
      <w:marBottom w:val="0"/>
      <w:divBdr>
        <w:top w:val="none" w:sz="0" w:space="0" w:color="auto"/>
        <w:left w:val="none" w:sz="0" w:space="0" w:color="auto"/>
        <w:bottom w:val="none" w:sz="0" w:space="0" w:color="auto"/>
        <w:right w:val="none" w:sz="0" w:space="0" w:color="auto"/>
      </w:divBdr>
    </w:div>
    <w:div w:id="1675649926">
      <w:bodyDiv w:val="1"/>
      <w:marLeft w:val="0"/>
      <w:marRight w:val="0"/>
      <w:marTop w:val="0"/>
      <w:marBottom w:val="0"/>
      <w:divBdr>
        <w:top w:val="none" w:sz="0" w:space="0" w:color="auto"/>
        <w:left w:val="none" w:sz="0" w:space="0" w:color="auto"/>
        <w:bottom w:val="none" w:sz="0" w:space="0" w:color="auto"/>
        <w:right w:val="none" w:sz="0" w:space="0" w:color="auto"/>
      </w:divBdr>
    </w:div>
    <w:div w:id="1675886635">
      <w:bodyDiv w:val="1"/>
      <w:marLeft w:val="0"/>
      <w:marRight w:val="0"/>
      <w:marTop w:val="0"/>
      <w:marBottom w:val="0"/>
      <w:divBdr>
        <w:top w:val="none" w:sz="0" w:space="0" w:color="auto"/>
        <w:left w:val="none" w:sz="0" w:space="0" w:color="auto"/>
        <w:bottom w:val="none" w:sz="0" w:space="0" w:color="auto"/>
        <w:right w:val="none" w:sz="0" w:space="0" w:color="auto"/>
      </w:divBdr>
    </w:div>
    <w:div w:id="1676683248">
      <w:bodyDiv w:val="1"/>
      <w:marLeft w:val="0"/>
      <w:marRight w:val="0"/>
      <w:marTop w:val="0"/>
      <w:marBottom w:val="0"/>
      <w:divBdr>
        <w:top w:val="none" w:sz="0" w:space="0" w:color="auto"/>
        <w:left w:val="none" w:sz="0" w:space="0" w:color="auto"/>
        <w:bottom w:val="none" w:sz="0" w:space="0" w:color="auto"/>
        <w:right w:val="none" w:sz="0" w:space="0" w:color="auto"/>
      </w:divBdr>
    </w:div>
    <w:div w:id="1676958963">
      <w:bodyDiv w:val="1"/>
      <w:marLeft w:val="0"/>
      <w:marRight w:val="0"/>
      <w:marTop w:val="0"/>
      <w:marBottom w:val="0"/>
      <w:divBdr>
        <w:top w:val="none" w:sz="0" w:space="0" w:color="auto"/>
        <w:left w:val="none" w:sz="0" w:space="0" w:color="auto"/>
        <w:bottom w:val="none" w:sz="0" w:space="0" w:color="auto"/>
        <w:right w:val="none" w:sz="0" w:space="0" w:color="auto"/>
      </w:divBdr>
    </w:div>
    <w:div w:id="1677419003">
      <w:bodyDiv w:val="1"/>
      <w:marLeft w:val="0"/>
      <w:marRight w:val="0"/>
      <w:marTop w:val="0"/>
      <w:marBottom w:val="0"/>
      <w:divBdr>
        <w:top w:val="none" w:sz="0" w:space="0" w:color="auto"/>
        <w:left w:val="none" w:sz="0" w:space="0" w:color="auto"/>
        <w:bottom w:val="none" w:sz="0" w:space="0" w:color="auto"/>
        <w:right w:val="none" w:sz="0" w:space="0" w:color="auto"/>
      </w:divBdr>
    </w:div>
    <w:div w:id="1678196084">
      <w:bodyDiv w:val="1"/>
      <w:marLeft w:val="0"/>
      <w:marRight w:val="0"/>
      <w:marTop w:val="0"/>
      <w:marBottom w:val="0"/>
      <w:divBdr>
        <w:top w:val="none" w:sz="0" w:space="0" w:color="auto"/>
        <w:left w:val="none" w:sz="0" w:space="0" w:color="auto"/>
        <w:bottom w:val="none" w:sz="0" w:space="0" w:color="auto"/>
        <w:right w:val="none" w:sz="0" w:space="0" w:color="auto"/>
      </w:divBdr>
    </w:div>
    <w:div w:id="1678460050">
      <w:bodyDiv w:val="1"/>
      <w:marLeft w:val="0"/>
      <w:marRight w:val="0"/>
      <w:marTop w:val="0"/>
      <w:marBottom w:val="0"/>
      <w:divBdr>
        <w:top w:val="none" w:sz="0" w:space="0" w:color="auto"/>
        <w:left w:val="none" w:sz="0" w:space="0" w:color="auto"/>
        <w:bottom w:val="none" w:sz="0" w:space="0" w:color="auto"/>
        <w:right w:val="none" w:sz="0" w:space="0" w:color="auto"/>
      </w:divBdr>
    </w:div>
    <w:div w:id="1678728726">
      <w:bodyDiv w:val="1"/>
      <w:marLeft w:val="0"/>
      <w:marRight w:val="0"/>
      <w:marTop w:val="0"/>
      <w:marBottom w:val="0"/>
      <w:divBdr>
        <w:top w:val="none" w:sz="0" w:space="0" w:color="auto"/>
        <w:left w:val="none" w:sz="0" w:space="0" w:color="auto"/>
        <w:bottom w:val="none" w:sz="0" w:space="0" w:color="auto"/>
        <w:right w:val="none" w:sz="0" w:space="0" w:color="auto"/>
      </w:divBdr>
    </w:div>
    <w:div w:id="1678926552">
      <w:bodyDiv w:val="1"/>
      <w:marLeft w:val="0"/>
      <w:marRight w:val="0"/>
      <w:marTop w:val="0"/>
      <w:marBottom w:val="0"/>
      <w:divBdr>
        <w:top w:val="none" w:sz="0" w:space="0" w:color="auto"/>
        <w:left w:val="none" w:sz="0" w:space="0" w:color="auto"/>
        <w:bottom w:val="none" w:sz="0" w:space="0" w:color="auto"/>
        <w:right w:val="none" w:sz="0" w:space="0" w:color="auto"/>
      </w:divBdr>
    </w:div>
    <w:div w:id="1679116060">
      <w:bodyDiv w:val="1"/>
      <w:marLeft w:val="0"/>
      <w:marRight w:val="0"/>
      <w:marTop w:val="0"/>
      <w:marBottom w:val="0"/>
      <w:divBdr>
        <w:top w:val="none" w:sz="0" w:space="0" w:color="auto"/>
        <w:left w:val="none" w:sz="0" w:space="0" w:color="auto"/>
        <w:bottom w:val="none" w:sz="0" w:space="0" w:color="auto"/>
        <w:right w:val="none" w:sz="0" w:space="0" w:color="auto"/>
      </w:divBdr>
    </w:div>
    <w:div w:id="1679386274">
      <w:bodyDiv w:val="1"/>
      <w:marLeft w:val="0"/>
      <w:marRight w:val="0"/>
      <w:marTop w:val="0"/>
      <w:marBottom w:val="0"/>
      <w:divBdr>
        <w:top w:val="none" w:sz="0" w:space="0" w:color="auto"/>
        <w:left w:val="none" w:sz="0" w:space="0" w:color="auto"/>
        <w:bottom w:val="none" w:sz="0" w:space="0" w:color="auto"/>
        <w:right w:val="none" w:sz="0" w:space="0" w:color="auto"/>
      </w:divBdr>
    </w:div>
    <w:div w:id="1679457828">
      <w:bodyDiv w:val="1"/>
      <w:marLeft w:val="0"/>
      <w:marRight w:val="0"/>
      <w:marTop w:val="0"/>
      <w:marBottom w:val="0"/>
      <w:divBdr>
        <w:top w:val="none" w:sz="0" w:space="0" w:color="auto"/>
        <w:left w:val="none" w:sz="0" w:space="0" w:color="auto"/>
        <w:bottom w:val="none" w:sz="0" w:space="0" w:color="auto"/>
        <w:right w:val="none" w:sz="0" w:space="0" w:color="auto"/>
      </w:divBdr>
    </w:div>
    <w:div w:id="1679842653">
      <w:bodyDiv w:val="1"/>
      <w:marLeft w:val="0"/>
      <w:marRight w:val="0"/>
      <w:marTop w:val="0"/>
      <w:marBottom w:val="0"/>
      <w:divBdr>
        <w:top w:val="none" w:sz="0" w:space="0" w:color="auto"/>
        <w:left w:val="none" w:sz="0" w:space="0" w:color="auto"/>
        <w:bottom w:val="none" w:sz="0" w:space="0" w:color="auto"/>
        <w:right w:val="none" w:sz="0" w:space="0" w:color="auto"/>
      </w:divBdr>
    </w:div>
    <w:div w:id="1679847512">
      <w:bodyDiv w:val="1"/>
      <w:marLeft w:val="0"/>
      <w:marRight w:val="0"/>
      <w:marTop w:val="0"/>
      <w:marBottom w:val="0"/>
      <w:divBdr>
        <w:top w:val="none" w:sz="0" w:space="0" w:color="auto"/>
        <w:left w:val="none" w:sz="0" w:space="0" w:color="auto"/>
        <w:bottom w:val="none" w:sz="0" w:space="0" w:color="auto"/>
        <w:right w:val="none" w:sz="0" w:space="0" w:color="auto"/>
      </w:divBdr>
    </w:div>
    <w:div w:id="1681539727">
      <w:bodyDiv w:val="1"/>
      <w:marLeft w:val="0"/>
      <w:marRight w:val="0"/>
      <w:marTop w:val="0"/>
      <w:marBottom w:val="0"/>
      <w:divBdr>
        <w:top w:val="none" w:sz="0" w:space="0" w:color="auto"/>
        <w:left w:val="none" w:sz="0" w:space="0" w:color="auto"/>
        <w:bottom w:val="none" w:sz="0" w:space="0" w:color="auto"/>
        <w:right w:val="none" w:sz="0" w:space="0" w:color="auto"/>
      </w:divBdr>
    </w:div>
    <w:div w:id="1682853431">
      <w:bodyDiv w:val="1"/>
      <w:marLeft w:val="0"/>
      <w:marRight w:val="0"/>
      <w:marTop w:val="0"/>
      <w:marBottom w:val="0"/>
      <w:divBdr>
        <w:top w:val="none" w:sz="0" w:space="0" w:color="auto"/>
        <w:left w:val="none" w:sz="0" w:space="0" w:color="auto"/>
        <w:bottom w:val="none" w:sz="0" w:space="0" w:color="auto"/>
        <w:right w:val="none" w:sz="0" w:space="0" w:color="auto"/>
      </w:divBdr>
    </w:div>
    <w:div w:id="1683162247">
      <w:bodyDiv w:val="1"/>
      <w:marLeft w:val="0"/>
      <w:marRight w:val="0"/>
      <w:marTop w:val="0"/>
      <w:marBottom w:val="0"/>
      <w:divBdr>
        <w:top w:val="none" w:sz="0" w:space="0" w:color="auto"/>
        <w:left w:val="none" w:sz="0" w:space="0" w:color="auto"/>
        <w:bottom w:val="none" w:sz="0" w:space="0" w:color="auto"/>
        <w:right w:val="none" w:sz="0" w:space="0" w:color="auto"/>
      </w:divBdr>
    </w:div>
    <w:div w:id="1683315103">
      <w:bodyDiv w:val="1"/>
      <w:marLeft w:val="0"/>
      <w:marRight w:val="0"/>
      <w:marTop w:val="0"/>
      <w:marBottom w:val="0"/>
      <w:divBdr>
        <w:top w:val="none" w:sz="0" w:space="0" w:color="auto"/>
        <w:left w:val="none" w:sz="0" w:space="0" w:color="auto"/>
        <w:bottom w:val="none" w:sz="0" w:space="0" w:color="auto"/>
        <w:right w:val="none" w:sz="0" w:space="0" w:color="auto"/>
      </w:divBdr>
    </w:div>
    <w:div w:id="1684238040">
      <w:bodyDiv w:val="1"/>
      <w:marLeft w:val="0"/>
      <w:marRight w:val="0"/>
      <w:marTop w:val="0"/>
      <w:marBottom w:val="0"/>
      <w:divBdr>
        <w:top w:val="none" w:sz="0" w:space="0" w:color="auto"/>
        <w:left w:val="none" w:sz="0" w:space="0" w:color="auto"/>
        <w:bottom w:val="none" w:sz="0" w:space="0" w:color="auto"/>
        <w:right w:val="none" w:sz="0" w:space="0" w:color="auto"/>
      </w:divBdr>
    </w:div>
    <w:div w:id="1684359123">
      <w:bodyDiv w:val="1"/>
      <w:marLeft w:val="0"/>
      <w:marRight w:val="0"/>
      <w:marTop w:val="0"/>
      <w:marBottom w:val="0"/>
      <w:divBdr>
        <w:top w:val="none" w:sz="0" w:space="0" w:color="auto"/>
        <w:left w:val="none" w:sz="0" w:space="0" w:color="auto"/>
        <w:bottom w:val="none" w:sz="0" w:space="0" w:color="auto"/>
        <w:right w:val="none" w:sz="0" w:space="0" w:color="auto"/>
      </w:divBdr>
    </w:div>
    <w:div w:id="1684866022">
      <w:bodyDiv w:val="1"/>
      <w:marLeft w:val="0"/>
      <w:marRight w:val="0"/>
      <w:marTop w:val="0"/>
      <w:marBottom w:val="0"/>
      <w:divBdr>
        <w:top w:val="none" w:sz="0" w:space="0" w:color="auto"/>
        <w:left w:val="none" w:sz="0" w:space="0" w:color="auto"/>
        <w:bottom w:val="none" w:sz="0" w:space="0" w:color="auto"/>
        <w:right w:val="none" w:sz="0" w:space="0" w:color="auto"/>
      </w:divBdr>
    </w:div>
    <w:div w:id="1685018061">
      <w:bodyDiv w:val="1"/>
      <w:marLeft w:val="0"/>
      <w:marRight w:val="0"/>
      <w:marTop w:val="0"/>
      <w:marBottom w:val="0"/>
      <w:divBdr>
        <w:top w:val="none" w:sz="0" w:space="0" w:color="auto"/>
        <w:left w:val="none" w:sz="0" w:space="0" w:color="auto"/>
        <w:bottom w:val="none" w:sz="0" w:space="0" w:color="auto"/>
        <w:right w:val="none" w:sz="0" w:space="0" w:color="auto"/>
      </w:divBdr>
    </w:div>
    <w:div w:id="1686438852">
      <w:bodyDiv w:val="1"/>
      <w:marLeft w:val="0"/>
      <w:marRight w:val="0"/>
      <w:marTop w:val="0"/>
      <w:marBottom w:val="0"/>
      <w:divBdr>
        <w:top w:val="none" w:sz="0" w:space="0" w:color="auto"/>
        <w:left w:val="none" w:sz="0" w:space="0" w:color="auto"/>
        <w:bottom w:val="none" w:sz="0" w:space="0" w:color="auto"/>
        <w:right w:val="none" w:sz="0" w:space="0" w:color="auto"/>
      </w:divBdr>
    </w:div>
    <w:div w:id="1687751393">
      <w:bodyDiv w:val="1"/>
      <w:marLeft w:val="0"/>
      <w:marRight w:val="0"/>
      <w:marTop w:val="0"/>
      <w:marBottom w:val="0"/>
      <w:divBdr>
        <w:top w:val="none" w:sz="0" w:space="0" w:color="auto"/>
        <w:left w:val="none" w:sz="0" w:space="0" w:color="auto"/>
        <w:bottom w:val="none" w:sz="0" w:space="0" w:color="auto"/>
        <w:right w:val="none" w:sz="0" w:space="0" w:color="auto"/>
      </w:divBdr>
    </w:div>
    <w:div w:id="1687906932">
      <w:bodyDiv w:val="1"/>
      <w:marLeft w:val="0"/>
      <w:marRight w:val="0"/>
      <w:marTop w:val="0"/>
      <w:marBottom w:val="0"/>
      <w:divBdr>
        <w:top w:val="none" w:sz="0" w:space="0" w:color="auto"/>
        <w:left w:val="none" w:sz="0" w:space="0" w:color="auto"/>
        <w:bottom w:val="none" w:sz="0" w:space="0" w:color="auto"/>
        <w:right w:val="none" w:sz="0" w:space="0" w:color="auto"/>
      </w:divBdr>
    </w:div>
    <w:div w:id="1688366002">
      <w:bodyDiv w:val="1"/>
      <w:marLeft w:val="0"/>
      <w:marRight w:val="0"/>
      <w:marTop w:val="0"/>
      <w:marBottom w:val="0"/>
      <w:divBdr>
        <w:top w:val="none" w:sz="0" w:space="0" w:color="auto"/>
        <w:left w:val="none" w:sz="0" w:space="0" w:color="auto"/>
        <w:bottom w:val="none" w:sz="0" w:space="0" w:color="auto"/>
        <w:right w:val="none" w:sz="0" w:space="0" w:color="auto"/>
      </w:divBdr>
    </w:div>
    <w:div w:id="1688753350">
      <w:bodyDiv w:val="1"/>
      <w:marLeft w:val="0"/>
      <w:marRight w:val="0"/>
      <w:marTop w:val="0"/>
      <w:marBottom w:val="0"/>
      <w:divBdr>
        <w:top w:val="none" w:sz="0" w:space="0" w:color="auto"/>
        <w:left w:val="none" w:sz="0" w:space="0" w:color="auto"/>
        <w:bottom w:val="none" w:sz="0" w:space="0" w:color="auto"/>
        <w:right w:val="none" w:sz="0" w:space="0" w:color="auto"/>
      </w:divBdr>
    </w:div>
    <w:div w:id="1689139666">
      <w:bodyDiv w:val="1"/>
      <w:marLeft w:val="0"/>
      <w:marRight w:val="0"/>
      <w:marTop w:val="0"/>
      <w:marBottom w:val="0"/>
      <w:divBdr>
        <w:top w:val="none" w:sz="0" w:space="0" w:color="auto"/>
        <w:left w:val="none" w:sz="0" w:space="0" w:color="auto"/>
        <w:bottom w:val="none" w:sz="0" w:space="0" w:color="auto"/>
        <w:right w:val="none" w:sz="0" w:space="0" w:color="auto"/>
      </w:divBdr>
    </w:div>
    <w:div w:id="1689407320">
      <w:bodyDiv w:val="1"/>
      <w:marLeft w:val="0"/>
      <w:marRight w:val="0"/>
      <w:marTop w:val="0"/>
      <w:marBottom w:val="0"/>
      <w:divBdr>
        <w:top w:val="none" w:sz="0" w:space="0" w:color="auto"/>
        <w:left w:val="none" w:sz="0" w:space="0" w:color="auto"/>
        <w:bottom w:val="none" w:sz="0" w:space="0" w:color="auto"/>
        <w:right w:val="none" w:sz="0" w:space="0" w:color="auto"/>
      </w:divBdr>
    </w:div>
    <w:div w:id="1689484964">
      <w:bodyDiv w:val="1"/>
      <w:marLeft w:val="0"/>
      <w:marRight w:val="0"/>
      <w:marTop w:val="0"/>
      <w:marBottom w:val="0"/>
      <w:divBdr>
        <w:top w:val="none" w:sz="0" w:space="0" w:color="auto"/>
        <w:left w:val="none" w:sz="0" w:space="0" w:color="auto"/>
        <w:bottom w:val="none" w:sz="0" w:space="0" w:color="auto"/>
        <w:right w:val="none" w:sz="0" w:space="0" w:color="auto"/>
      </w:divBdr>
    </w:div>
    <w:div w:id="1689485161">
      <w:bodyDiv w:val="1"/>
      <w:marLeft w:val="0"/>
      <w:marRight w:val="0"/>
      <w:marTop w:val="0"/>
      <w:marBottom w:val="0"/>
      <w:divBdr>
        <w:top w:val="none" w:sz="0" w:space="0" w:color="auto"/>
        <w:left w:val="none" w:sz="0" w:space="0" w:color="auto"/>
        <w:bottom w:val="none" w:sz="0" w:space="0" w:color="auto"/>
        <w:right w:val="none" w:sz="0" w:space="0" w:color="auto"/>
      </w:divBdr>
    </w:div>
    <w:div w:id="1689746666">
      <w:bodyDiv w:val="1"/>
      <w:marLeft w:val="0"/>
      <w:marRight w:val="0"/>
      <w:marTop w:val="0"/>
      <w:marBottom w:val="0"/>
      <w:divBdr>
        <w:top w:val="none" w:sz="0" w:space="0" w:color="auto"/>
        <w:left w:val="none" w:sz="0" w:space="0" w:color="auto"/>
        <w:bottom w:val="none" w:sz="0" w:space="0" w:color="auto"/>
        <w:right w:val="none" w:sz="0" w:space="0" w:color="auto"/>
      </w:divBdr>
    </w:div>
    <w:div w:id="1690062573">
      <w:bodyDiv w:val="1"/>
      <w:marLeft w:val="0"/>
      <w:marRight w:val="0"/>
      <w:marTop w:val="0"/>
      <w:marBottom w:val="0"/>
      <w:divBdr>
        <w:top w:val="none" w:sz="0" w:space="0" w:color="auto"/>
        <w:left w:val="none" w:sz="0" w:space="0" w:color="auto"/>
        <w:bottom w:val="none" w:sz="0" w:space="0" w:color="auto"/>
        <w:right w:val="none" w:sz="0" w:space="0" w:color="auto"/>
      </w:divBdr>
    </w:div>
    <w:div w:id="1690136098">
      <w:bodyDiv w:val="1"/>
      <w:marLeft w:val="0"/>
      <w:marRight w:val="0"/>
      <w:marTop w:val="0"/>
      <w:marBottom w:val="0"/>
      <w:divBdr>
        <w:top w:val="none" w:sz="0" w:space="0" w:color="auto"/>
        <w:left w:val="none" w:sz="0" w:space="0" w:color="auto"/>
        <w:bottom w:val="none" w:sz="0" w:space="0" w:color="auto"/>
        <w:right w:val="none" w:sz="0" w:space="0" w:color="auto"/>
      </w:divBdr>
    </w:div>
    <w:div w:id="1690566868">
      <w:bodyDiv w:val="1"/>
      <w:marLeft w:val="0"/>
      <w:marRight w:val="0"/>
      <w:marTop w:val="0"/>
      <w:marBottom w:val="0"/>
      <w:divBdr>
        <w:top w:val="none" w:sz="0" w:space="0" w:color="auto"/>
        <w:left w:val="none" w:sz="0" w:space="0" w:color="auto"/>
        <w:bottom w:val="none" w:sz="0" w:space="0" w:color="auto"/>
        <w:right w:val="none" w:sz="0" w:space="0" w:color="auto"/>
      </w:divBdr>
    </w:div>
    <w:div w:id="1691102435">
      <w:bodyDiv w:val="1"/>
      <w:marLeft w:val="0"/>
      <w:marRight w:val="0"/>
      <w:marTop w:val="0"/>
      <w:marBottom w:val="0"/>
      <w:divBdr>
        <w:top w:val="none" w:sz="0" w:space="0" w:color="auto"/>
        <w:left w:val="none" w:sz="0" w:space="0" w:color="auto"/>
        <w:bottom w:val="none" w:sz="0" w:space="0" w:color="auto"/>
        <w:right w:val="none" w:sz="0" w:space="0" w:color="auto"/>
      </w:divBdr>
    </w:div>
    <w:div w:id="1693190357">
      <w:bodyDiv w:val="1"/>
      <w:marLeft w:val="0"/>
      <w:marRight w:val="0"/>
      <w:marTop w:val="0"/>
      <w:marBottom w:val="0"/>
      <w:divBdr>
        <w:top w:val="none" w:sz="0" w:space="0" w:color="auto"/>
        <w:left w:val="none" w:sz="0" w:space="0" w:color="auto"/>
        <w:bottom w:val="none" w:sz="0" w:space="0" w:color="auto"/>
        <w:right w:val="none" w:sz="0" w:space="0" w:color="auto"/>
      </w:divBdr>
    </w:div>
    <w:div w:id="1693192170">
      <w:bodyDiv w:val="1"/>
      <w:marLeft w:val="0"/>
      <w:marRight w:val="0"/>
      <w:marTop w:val="0"/>
      <w:marBottom w:val="0"/>
      <w:divBdr>
        <w:top w:val="none" w:sz="0" w:space="0" w:color="auto"/>
        <w:left w:val="none" w:sz="0" w:space="0" w:color="auto"/>
        <w:bottom w:val="none" w:sz="0" w:space="0" w:color="auto"/>
        <w:right w:val="none" w:sz="0" w:space="0" w:color="auto"/>
      </w:divBdr>
    </w:div>
    <w:div w:id="1693802468">
      <w:bodyDiv w:val="1"/>
      <w:marLeft w:val="0"/>
      <w:marRight w:val="0"/>
      <w:marTop w:val="0"/>
      <w:marBottom w:val="0"/>
      <w:divBdr>
        <w:top w:val="none" w:sz="0" w:space="0" w:color="auto"/>
        <w:left w:val="none" w:sz="0" w:space="0" w:color="auto"/>
        <w:bottom w:val="none" w:sz="0" w:space="0" w:color="auto"/>
        <w:right w:val="none" w:sz="0" w:space="0" w:color="auto"/>
      </w:divBdr>
    </w:div>
    <w:div w:id="1694526687">
      <w:bodyDiv w:val="1"/>
      <w:marLeft w:val="0"/>
      <w:marRight w:val="0"/>
      <w:marTop w:val="0"/>
      <w:marBottom w:val="0"/>
      <w:divBdr>
        <w:top w:val="none" w:sz="0" w:space="0" w:color="auto"/>
        <w:left w:val="none" w:sz="0" w:space="0" w:color="auto"/>
        <w:bottom w:val="none" w:sz="0" w:space="0" w:color="auto"/>
        <w:right w:val="none" w:sz="0" w:space="0" w:color="auto"/>
      </w:divBdr>
    </w:div>
    <w:div w:id="1695186146">
      <w:bodyDiv w:val="1"/>
      <w:marLeft w:val="0"/>
      <w:marRight w:val="0"/>
      <w:marTop w:val="0"/>
      <w:marBottom w:val="0"/>
      <w:divBdr>
        <w:top w:val="none" w:sz="0" w:space="0" w:color="auto"/>
        <w:left w:val="none" w:sz="0" w:space="0" w:color="auto"/>
        <w:bottom w:val="none" w:sz="0" w:space="0" w:color="auto"/>
        <w:right w:val="none" w:sz="0" w:space="0" w:color="auto"/>
      </w:divBdr>
    </w:div>
    <w:div w:id="1695421221">
      <w:bodyDiv w:val="1"/>
      <w:marLeft w:val="0"/>
      <w:marRight w:val="0"/>
      <w:marTop w:val="0"/>
      <w:marBottom w:val="0"/>
      <w:divBdr>
        <w:top w:val="none" w:sz="0" w:space="0" w:color="auto"/>
        <w:left w:val="none" w:sz="0" w:space="0" w:color="auto"/>
        <w:bottom w:val="none" w:sz="0" w:space="0" w:color="auto"/>
        <w:right w:val="none" w:sz="0" w:space="0" w:color="auto"/>
      </w:divBdr>
    </w:div>
    <w:div w:id="1697348032">
      <w:bodyDiv w:val="1"/>
      <w:marLeft w:val="0"/>
      <w:marRight w:val="0"/>
      <w:marTop w:val="0"/>
      <w:marBottom w:val="0"/>
      <w:divBdr>
        <w:top w:val="none" w:sz="0" w:space="0" w:color="auto"/>
        <w:left w:val="none" w:sz="0" w:space="0" w:color="auto"/>
        <w:bottom w:val="none" w:sz="0" w:space="0" w:color="auto"/>
        <w:right w:val="none" w:sz="0" w:space="0" w:color="auto"/>
      </w:divBdr>
    </w:div>
    <w:div w:id="1697464265">
      <w:bodyDiv w:val="1"/>
      <w:marLeft w:val="0"/>
      <w:marRight w:val="0"/>
      <w:marTop w:val="0"/>
      <w:marBottom w:val="0"/>
      <w:divBdr>
        <w:top w:val="none" w:sz="0" w:space="0" w:color="auto"/>
        <w:left w:val="none" w:sz="0" w:space="0" w:color="auto"/>
        <w:bottom w:val="none" w:sz="0" w:space="0" w:color="auto"/>
        <w:right w:val="none" w:sz="0" w:space="0" w:color="auto"/>
      </w:divBdr>
    </w:div>
    <w:div w:id="1698193636">
      <w:bodyDiv w:val="1"/>
      <w:marLeft w:val="0"/>
      <w:marRight w:val="0"/>
      <w:marTop w:val="0"/>
      <w:marBottom w:val="0"/>
      <w:divBdr>
        <w:top w:val="none" w:sz="0" w:space="0" w:color="auto"/>
        <w:left w:val="none" w:sz="0" w:space="0" w:color="auto"/>
        <w:bottom w:val="none" w:sz="0" w:space="0" w:color="auto"/>
        <w:right w:val="none" w:sz="0" w:space="0" w:color="auto"/>
      </w:divBdr>
    </w:div>
    <w:div w:id="1698578831">
      <w:bodyDiv w:val="1"/>
      <w:marLeft w:val="0"/>
      <w:marRight w:val="0"/>
      <w:marTop w:val="0"/>
      <w:marBottom w:val="0"/>
      <w:divBdr>
        <w:top w:val="none" w:sz="0" w:space="0" w:color="auto"/>
        <w:left w:val="none" w:sz="0" w:space="0" w:color="auto"/>
        <w:bottom w:val="none" w:sz="0" w:space="0" w:color="auto"/>
        <w:right w:val="none" w:sz="0" w:space="0" w:color="auto"/>
      </w:divBdr>
    </w:div>
    <w:div w:id="1698700324">
      <w:bodyDiv w:val="1"/>
      <w:marLeft w:val="0"/>
      <w:marRight w:val="0"/>
      <w:marTop w:val="0"/>
      <w:marBottom w:val="0"/>
      <w:divBdr>
        <w:top w:val="none" w:sz="0" w:space="0" w:color="auto"/>
        <w:left w:val="none" w:sz="0" w:space="0" w:color="auto"/>
        <w:bottom w:val="none" w:sz="0" w:space="0" w:color="auto"/>
        <w:right w:val="none" w:sz="0" w:space="0" w:color="auto"/>
      </w:divBdr>
    </w:div>
    <w:div w:id="1698851684">
      <w:bodyDiv w:val="1"/>
      <w:marLeft w:val="0"/>
      <w:marRight w:val="0"/>
      <w:marTop w:val="0"/>
      <w:marBottom w:val="0"/>
      <w:divBdr>
        <w:top w:val="none" w:sz="0" w:space="0" w:color="auto"/>
        <w:left w:val="none" w:sz="0" w:space="0" w:color="auto"/>
        <w:bottom w:val="none" w:sz="0" w:space="0" w:color="auto"/>
        <w:right w:val="none" w:sz="0" w:space="0" w:color="auto"/>
      </w:divBdr>
    </w:div>
    <w:div w:id="1700548582">
      <w:bodyDiv w:val="1"/>
      <w:marLeft w:val="0"/>
      <w:marRight w:val="0"/>
      <w:marTop w:val="0"/>
      <w:marBottom w:val="0"/>
      <w:divBdr>
        <w:top w:val="none" w:sz="0" w:space="0" w:color="auto"/>
        <w:left w:val="none" w:sz="0" w:space="0" w:color="auto"/>
        <w:bottom w:val="none" w:sz="0" w:space="0" w:color="auto"/>
        <w:right w:val="none" w:sz="0" w:space="0" w:color="auto"/>
      </w:divBdr>
    </w:div>
    <w:div w:id="1700621934">
      <w:bodyDiv w:val="1"/>
      <w:marLeft w:val="0"/>
      <w:marRight w:val="0"/>
      <w:marTop w:val="0"/>
      <w:marBottom w:val="0"/>
      <w:divBdr>
        <w:top w:val="none" w:sz="0" w:space="0" w:color="auto"/>
        <w:left w:val="none" w:sz="0" w:space="0" w:color="auto"/>
        <w:bottom w:val="none" w:sz="0" w:space="0" w:color="auto"/>
        <w:right w:val="none" w:sz="0" w:space="0" w:color="auto"/>
      </w:divBdr>
    </w:div>
    <w:div w:id="1700935901">
      <w:bodyDiv w:val="1"/>
      <w:marLeft w:val="0"/>
      <w:marRight w:val="0"/>
      <w:marTop w:val="0"/>
      <w:marBottom w:val="0"/>
      <w:divBdr>
        <w:top w:val="none" w:sz="0" w:space="0" w:color="auto"/>
        <w:left w:val="none" w:sz="0" w:space="0" w:color="auto"/>
        <w:bottom w:val="none" w:sz="0" w:space="0" w:color="auto"/>
        <w:right w:val="none" w:sz="0" w:space="0" w:color="auto"/>
      </w:divBdr>
    </w:div>
    <w:div w:id="1701004253">
      <w:bodyDiv w:val="1"/>
      <w:marLeft w:val="0"/>
      <w:marRight w:val="0"/>
      <w:marTop w:val="0"/>
      <w:marBottom w:val="0"/>
      <w:divBdr>
        <w:top w:val="none" w:sz="0" w:space="0" w:color="auto"/>
        <w:left w:val="none" w:sz="0" w:space="0" w:color="auto"/>
        <w:bottom w:val="none" w:sz="0" w:space="0" w:color="auto"/>
        <w:right w:val="none" w:sz="0" w:space="0" w:color="auto"/>
      </w:divBdr>
    </w:div>
    <w:div w:id="1701080731">
      <w:bodyDiv w:val="1"/>
      <w:marLeft w:val="0"/>
      <w:marRight w:val="0"/>
      <w:marTop w:val="0"/>
      <w:marBottom w:val="0"/>
      <w:divBdr>
        <w:top w:val="none" w:sz="0" w:space="0" w:color="auto"/>
        <w:left w:val="none" w:sz="0" w:space="0" w:color="auto"/>
        <w:bottom w:val="none" w:sz="0" w:space="0" w:color="auto"/>
        <w:right w:val="none" w:sz="0" w:space="0" w:color="auto"/>
      </w:divBdr>
    </w:div>
    <w:div w:id="1701734803">
      <w:bodyDiv w:val="1"/>
      <w:marLeft w:val="0"/>
      <w:marRight w:val="0"/>
      <w:marTop w:val="0"/>
      <w:marBottom w:val="0"/>
      <w:divBdr>
        <w:top w:val="none" w:sz="0" w:space="0" w:color="auto"/>
        <w:left w:val="none" w:sz="0" w:space="0" w:color="auto"/>
        <w:bottom w:val="none" w:sz="0" w:space="0" w:color="auto"/>
        <w:right w:val="none" w:sz="0" w:space="0" w:color="auto"/>
      </w:divBdr>
    </w:div>
    <w:div w:id="1701934119">
      <w:bodyDiv w:val="1"/>
      <w:marLeft w:val="0"/>
      <w:marRight w:val="0"/>
      <w:marTop w:val="0"/>
      <w:marBottom w:val="0"/>
      <w:divBdr>
        <w:top w:val="none" w:sz="0" w:space="0" w:color="auto"/>
        <w:left w:val="none" w:sz="0" w:space="0" w:color="auto"/>
        <w:bottom w:val="none" w:sz="0" w:space="0" w:color="auto"/>
        <w:right w:val="none" w:sz="0" w:space="0" w:color="auto"/>
      </w:divBdr>
    </w:div>
    <w:div w:id="1702128771">
      <w:bodyDiv w:val="1"/>
      <w:marLeft w:val="0"/>
      <w:marRight w:val="0"/>
      <w:marTop w:val="0"/>
      <w:marBottom w:val="0"/>
      <w:divBdr>
        <w:top w:val="none" w:sz="0" w:space="0" w:color="auto"/>
        <w:left w:val="none" w:sz="0" w:space="0" w:color="auto"/>
        <w:bottom w:val="none" w:sz="0" w:space="0" w:color="auto"/>
        <w:right w:val="none" w:sz="0" w:space="0" w:color="auto"/>
      </w:divBdr>
    </w:div>
    <w:div w:id="1702166624">
      <w:bodyDiv w:val="1"/>
      <w:marLeft w:val="0"/>
      <w:marRight w:val="0"/>
      <w:marTop w:val="0"/>
      <w:marBottom w:val="0"/>
      <w:divBdr>
        <w:top w:val="none" w:sz="0" w:space="0" w:color="auto"/>
        <w:left w:val="none" w:sz="0" w:space="0" w:color="auto"/>
        <w:bottom w:val="none" w:sz="0" w:space="0" w:color="auto"/>
        <w:right w:val="none" w:sz="0" w:space="0" w:color="auto"/>
      </w:divBdr>
    </w:div>
    <w:div w:id="1702239354">
      <w:bodyDiv w:val="1"/>
      <w:marLeft w:val="0"/>
      <w:marRight w:val="0"/>
      <w:marTop w:val="0"/>
      <w:marBottom w:val="0"/>
      <w:divBdr>
        <w:top w:val="none" w:sz="0" w:space="0" w:color="auto"/>
        <w:left w:val="none" w:sz="0" w:space="0" w:color="auto"/>
        <w:bottom w:val="none" w:sz="0" w:space="0" w:color="auto"/>
        <w:right w:val="none" w:sz="0" w:space="0" w:color="auto"/>
      </w:divBdr>
    </w:div>
    <w:div w:id="1702701983">
      <w:bodyDiv w:val="1"/>
      <w:marLeft w:val="0"/>
      <w:marRight w:val="0"/>
      <w:marTop w:val="0"/>
      <w:marBottom w:val="0"/>
      <w:divBdr>
        <w:top w:val="none" w:sz="0" w:space="0" w:color="auto"/>
        <w:left w:val="none" w:sz="0" w:space="0" w:color="auto"/>
        <w:bottom w:val="none" w:sz="0" w:space="0" w:color="auto"/>
        <w:right w:val="none" w:sz="0" w:space="0" w:color="auto"/>
      </w:divBdr>
    </w:div>
    <w:div w:id="1704092541">
      <w:bodyDiv w:val="1"/>
      <w:marLeft w:val="0"/>
      <w:marRight w:val="0"/>
      <w:marTop w:val="0"/>
      <w:marBottom w:val="0"/>
      <w:divBdr>
        <w:top w:val="none" w:sz="0" w:space="0" w:color="auto"/>
        <w:left w:val="none" w:sz="0" w:space="0" w:color="auto"/>
        <w:bottom w:val="none" w:sz="0" w:space="0" w:color="auto"/>
        <w:right w:val="none" w:sz="0" w:space="0" w:color="auto"/>
      </w:divBdr>
    </w:div>
    <w:div w:id="1704595073">
      <w:bodyDiv w:val="1"/>
      <w:marLeft w:val="0"/>
      <w:marRight w:val="0"/>
      <w:marTop w:val="0"/>
      <w:marBottom w:val="0"/>
      <w:divBdr>
        <w:top w:val="none" w:sz="0" w:space="0" w:color="auto"/>
        <w:left w:val="none" w:sz="0" w:space="0" w:color="auto"/>
        <w:bottom w:val="none" w:sz="0" w:space="0" w:color="auto"/>
        <w:right w:val="none" w:sz="0" w:space="0" w:color="auto"/>
      </w:divBdr>
    </w:div>
    <w:div w:id="1705131743">
      <w:bodyDiv w:val="1"/>
      <w:marLeft w:val="0"/>
      <w:marRight w:val="0"/>
      <w:marTop w:val="0"/>
      <w:marBottom w:val="0"/>
      <w:divBdr>
        <w:top w:val="none" w:sz="0" w:space="0" w:color="auto"/>
        <w:left w:val="none" w:sz="0" w:space="0" w:color="auto"/>
        <w:bottom w:val="none" w:sz="0" w:space="0" w:color="auto"/>
        <w:right w:val="none" w:sz="0" w:space="0" w:color="auto"/>
      </w:divBdr>
    </w:div>
    <w:div w:id="1705709410">
      <w:bodyDiv w:val="1"/>
      <w:marLeft w:val="0"/>
      <w:marRight w:val="0"/>
      <w:marTop w:val="0"/>
      <w:marBottom w:val="0"/>
      <w:divBdr>
        <w:top w:val="none" w:sz="0" w:space="0" w:color="auto"/>
        <w:left w:val="none" w:sz="0" w:space="0" w:color="auto"/>
        <w:bottom w:val="none" w:sz="0" w:space="0" w:color="auto"/>
        <w:right w:val="none" w:sz="0" w:space="0" w:color="auto"/>
      </w:divBdr>
    </w:div>
    <w:div w:id="1705715949">
      <w:bodyDiv w:val="1"/>
      <w:marLeft w:val="0"/>
      <w:marRight w:val="0"/>
      <w:marTop w:val="0"/>
      <w:marBottom w:val="0"/>
      <w:divBdr>
        <w:top w:val="none" w:sz="0" w:space="0" w:color="auto"/>
        <w:left w:val="none" w:sz="0" w:space="0" w:color="auto"/>
        <w:bottom w:val="none" w:sz="0" w:space="0" w:color="auto"/>
        <w:right w:val="none" w:sz="0" w:space="0" w:color="auto"/>
      </w:divBdr>
    </w:div>
    <w:div w:id="1705783898">
      <w:bodyDiv w:val="1"/>
      <w:marLeft w:val="0"/>
      <w:marRight w:val="0"/>
      <w:marTop w:val="0"/>
      <w:marBottom w:val="0"/>
      <w:divBdr>
        <w:top w:val="none" w:sz="0" w:space="0" w:color="auto"/>
        <w:left w:val="none" w:sz="0" w:space="0" w:color="auto"/>
        <w:bottom w:val="none" w:sz="0" w:space="0" w:color="auto"/>
        <w:right w:val="none" w:sz="0" w:space="0" w:color="auto"/>
      </w:divBdr>
    </w:div>
    <w:div w:id="1705866794">
      <w:bodyDiv w:val="1"/>
      <w:marLeft w:val="0"/>
      <w:marRight w:val="0"/>
      <w:marTop w:val="0"/>
      <w:marBottom w:val="0"/>
      <w:divBdr>
        <w:top w:val="none" w:sz="0" w:space="0" w:color="auto"/>
        <w:left w:val="none" w:sz="0" w:space="0" w:color="auto"/>
        <w:bottom w:val="none" w:sz="0" w:space="0" w:color="auto"/>
        <w:right w:val="none" w:sz="0" w:space="0" w:color="auto"/>
      </w:divBdr>
    </w:div>
    <w:div w:id="1707363171">
      <w:bodyDiv w:val="1"/>
      <w:marLeft w:val="0"/>
      <w:marRight w:val="0"/>
      <w:marTop w:val="0"/>
      <w:marBottom w:val="0"/>
      <w:divBdr>
        <w:top w:val="none" w:sz="0" w:space="0" w:color="auto"/>
        <w:left w:val="none" w:sz="0" w:space="0" w:color="auto"/>
        <w:bottom w:val="none" w:sz="0" w:space="0" w:color="auto"/>
        <w:right w:val="none" w:sz="0" w:space="0" w:color="auto"/>
      </w:divBdr>
    </w:div>
    <w:div w:id="1707558585">
      <w:bodyDiv w:val="1"/>
      <w:marLeft w:val="0"/>
      <w:marRight w:val="0"/>
      <w:marTop w:val="0"/>
      <w:marBottom w:val="0"/>
      <w:divBdr>
        <w:top w:val="none" w:sz="0" w:space="0" w:color="auto"/>
        <w:left w:val="none" w:sz="0" w:space="0" w:color="auto"/>
        <w:bottom w:val="none" w:sz="0" w:space="0" w:color="auto"/>
        <w:right w:val="none" w:sz="0" w:space="0" w:color="auto"/>
      </w:divBdr>
    </w:div>
    <w:div w:id="1707758563">
      <w:bodyDiv w:val="1"/>
      <w:marLeft w:val="0"/>
      <w:marRight w:val="0"/>
      <w:marTop w:val="0"/>
      <w:marBottom w:val="0"/>
      <w:divBdr>
        <w:top w:val="none" w:sz="0" w:space="0" w:color="auto"/>
        <w:left w:val="none" w:sz="0" w:space="0" w:color="auto"/>
        <w:bottom w:val="none" w:sz="0" w:space="0" w:color="auto"/>
        <w:right w:val="none" w:sz="0" w:space="0" w:color="auto"/>
      </w:divBdr>
    </w:div>
    <w:div w:id="1708720757">
      <w:bodyDiv w:val="1"/>
      <w:marLeft w:val="0"/>
      <w:marRight w:val="0"/>
      <w:marTop w:val="0"/>
      <w:marBottom w:val="0"/>
      <w:divBdr>
        <w:top w:val="none" w:sz="0" w:space="0" w:color="auto"/>
        <w:left w:val="none" w:sz="0" w:space="0" w:color="auto"/>
        <w:bottom w:val="none" w:sz="0" w:space="0" w:color="auto"/>
        <w:right w:val="none" w:sz="0" w:space="0" w:color="auto"/>
      </w:divBdr>
    </w:div>
    <w:div w:id="1709378827">
      <w:bodyDiv w:val="1"/>
      <w:marLeft w:val="0"/>
      <w:marRight w:val="0"/>
      <w:marTop w:val="0"/>
      <w:marBottom w:val="0"/>
      <w:divBdr>
        <w:top w:val="none" w:sz="0" w:space="0" w:color="auto"/>
        <w:left w:val="none" w:sz="0" w:space="0" w:color="auto"/>
        <w:bottom w:val="none" w:sz="0" w:space="0" w:color="auto"/>
        <w:right w:val="none" w:sz="0" w:space="0" w:color="auto"/>
      </w:divBdr>
    </w:div>
    <w:div w:id="1710911209">
      <w:bodyDiv w:val="1"/>
      <w:marLeft w:val="0"/>
      <w:marRight w:val="0"/>
      <w:marTop w:val="0"/>
      <w:marBottom w:val="0"/>
      <w:divBdr>
        <w:top w:val="none" w:sz="0" w:space="0" w:color="auto"/>
        <w:left w:val="none" w:sz="0" w:space="0" w:color="auto"/>
        <w:bottom w:val="none" w:sz="0" w:space="0" w:color="auto"/>
        <w:right w:val="none" w:sz="0" w:space="0" w:color="auto"/>
      </w:divBdr>
    </w:div>
    <w:div w:id="1711030036">
      <w:bodyDiv w:val="1"/>
      <w:marLeft w:val="0"/>
      <w:marRight w:val="0"/>
      <w:marTop w:val="0"/>
      <w:marBottom w:val="0"/>
      <w:divBdr>
        <w:top w:val="none" w:sz="0" w:space="0" w:color="auto"/>
        <w:left w:val="none" w:sz="0" w:space="0" w:color="auto"/>
        <w:bottom w:val="none" w:sz="0" w:space="0" w:color="auto"/>
        <w:right w:val="none" w:sz="0" w:space="0" w:color="auto"/>
      </w:divBdr>
    </w:div>
    <w:div w:id="1711226762">
      <w:bodyDiv w:val="1"/>
      <w:marLeft w:val="0"/>
      <w:marRight w:val="0"/>
      <w:marTop w:val="0"/>
      <w:marBottom w:val="0"/>
      <w:divBdr>
        <w:top w:val="none" w:sz="0" w:space="0" w:color="auto"/>
        <w:left w:val="none" w:sz="0" w:space="0" w:color="auto"/>
        <w:bottom w:val="none" w:sz="0" w:space="0" w:color="auto"/>
        <w:right w:val="none" w:sz="0" w:space="0" w:color="auto"/>
      </w:divBdr>
    </w:div>
    <w:div w:id="1711299254">
      <w:bodyDiv w:val="1"/>
      <w:marLeft w:val="0"/>
      <w:marRight w:val="0"/>
      <w:marTop w:val="0"/>
      <w:marBottom w:val="0"/>
      <w:divBdr>
        <w:top w:val="none" w:sz="0" w:space="0" w:color="auto"/>
        <w:left w:val="none" w:sz="0" w:space="0" w:color="auto"/>
        <w:bottom w:val="none" w:sz="0" w:space="0" w:color="auto"/>
        <w:right w:val="none" w:sz="0" w:space="0" w:color="auto"/>
      </w:divBdr>
    </w:div>
    <w:div w:id="1711341724">
      <w:bodyDiv w:val="1"/>
      <w:marLeft w:val="0"/>
      <w:marRight w:val="0"/>
      <w:marTop w:val="0"/>
      <w:marBottom w:val="0"/>
      <w:divBdr>
        <w:top w:val="none" w:sz="0" w:space="0" w:color="auto"/>
        <w:left w:val="none" w:sz="0" w:space="0" w:color="auto"/>
        <w:bottom w:val="none" w:sz="0" w:space="0" w:color="auto"/>
        <w:right w:val="none" w:sz="0" w:space="0" w:color="auto"/>
      </w:divBdr>
    </w:div>
    <w:div w:id="1712025659">
      <w:bodyDiv w:val="1"/>
      <w:marLeft w:val="0"/>
      <w:marRight w:val="0"/>
      <w:marTop w:val="0"/>
      <w:marBottom w:val="0"/>
      <w:divBdr>
        <w:top w:val="none" w:sz="0" w:space="0" w:color="auto"/>
        <w:left w:val="none" w:sz="0" w:space="0" w:color="auto"/>
        <w:bottom w:val="none" w:sz="0" w:space="0" w:color="auto"/>
        <w:right w:val="none" w:sz="0" w:space="0" w:color="auto"/>
      </w:divBdr>
    </w:div>
    <w:div w:id="1712070229">
      <w:bodyDiv w:val="1"/>
      <w:marLeft w:val="0"/>
      <w:marRight w:val="0"/>
      <w:marTop w:val="0"/>
      <w:marBottom w:val="0"/>
      <w:divBdr>
        <w:top w:val="none" w:sz="0" w:space="0" w:color="auto"/>
        <w:left w:val="none" w:sz="0" w:space="0" w:color="auto"/>
        <w:bottom w:val="none" w:sz="0" w:space="0" w:color="auto"/>
        <w:right w:val="none" w:sz="0" w:space="0" w:color="auto"/>
      </w:divBdr>
    </w:div>
    <w:div w:id="1712149494">
      <w:bodyDiv w:val="1"/>
      <w:marLeft w:val="0"/>
      <w:marRight w:val="0"/>
      <w:marTop w:val="0"/>
      <w:marBottom w:val="0"/>
      <w:divBdr>
        <w:top w:val="none" w:sz="0" w:space="0" w:color="auto"/>
        <w:left w:val="none" w:sz="0" w:space="0" w:color="auto"/>
        <w:bottom w:val="none" w:sz="0" w:space="0" w:color="auto"/>
        <w:right w:val="none" w:sz="0" w:space="0" w:color="auto"/>
      </w:divBdr>
    </w:div>
    <w:div w:id="1712605908">
      <w:bodyDiv w:val="1"/>
      <w:marLeft w:val="0"/>
      <w:marRight w:val="0"/>
      <w:marTop w:val="0"/>
      <w:marBottom w:val="0"/>
      <w:divBdr>
        <w:top w:val="none" w:sz="0" w:space="0" w:color="auto"/>
        <w:left w:val="none" w:sz="0" w:space="0" w:color="auto"/>
        <w:bottom w:val="none" w:sz="0" w:space="0" w:color="auto"/>
        <w:right w:val="none" w:sz="0" w:space="0" w:color="auto"/>
      </w:divBdr>
    </w:div>
    <w:div w:id="1712921174">
      <w:bodyDiv w:val="1"/>
      <w:marLeft w:val="0"/>
      <w:marRight w:val="0"/>
      <w:marTop w:val="0"/>
      <w:marBottom w:val="0"/>
      <w:divBdr>
        <w:top w:val="none" w:sz="0" w:space="0" w:color="auto"/>
        <w:left w:val="none" w:sz="0" w:space="0" w:color="auto"/>
        <w:bottom w:val="none" w:sz="0" w:space="0" w:color="auto"/>
        <w:right w:val="none" w:sz="0" w:space="0" w:color="auto"/>
      </w:divBdr>
    </w:div>
    <w:div w:id="1713073420">
      <w:bodyDiv w:val="1"/>
      <w:marLeft w:val="0"/>
      <w:marRight w:val="0"/>
      <w:marTop w:val="0"/>
      <w:marBottom w:val="0"/>
      <w:divBdr>
        <w:top w:val="none" w:sz="0" w:space="0" w:color="auto"/>
        <w:left w:val="none" w:sz="0" w:space="0" w:color="auto"/>
        <w:bottom w:val="none" w:sz="0" w:space="0" w:color="auto"/>
        <w:right w:val="none" w:sz="0" w:space="0" w:color="auto"/>
      </w:divBdr>
    </w:div>
    <w:div w:id="1714230790">
      <w:bodyDiv w:val="1"/>
      <w:marLeft w:val="0"/>
      <w:marRight w:val="0"/>
      <w:marTop w:val="0"/>
      <w:marBottom w:val="0"/>
      <w:divBdr>
        <w:top w:val="none" w:sz="0" w:space="0" w:color="auto"/>
        <w:left w:val="none" w:sz="0" w:space="0" w:color="auto"/>
        <w:bottom w:val="none" w:sz="0" w:space="0" w:color="auto"/>
        <w:right w:val="none" w:sz="0" w:space="0" w:color="auto"/>
      </w:divBdr>
    </w:div>
    <w:div w:id="1714303989">
      <w:bodyDiv w:val="1"/>
      <w:marLeft w:val="0"/>
      <w:marRight w:val="0"/>
      <w:marTop w:val="0"/>
      <w:marBottom w:val="0"/>
      <w:divBdr>
        <w:top w:val="none" w:sz="0" w:space="0" w:color="auto"/>
        <w:left w:val="none" w:sz="0" w:space="0" w:color="auto"/>
        <w:bottom w:val="none" w:sz="0" w:space="0" w:color="auto"/>
        <w:right w:val="none" w:sz="0" w:space="0" w:color="auto"/>
      </w:divBdr>
    </w:div>
    <w:div w:id="1714310424">
      <w:bodyDiv w:val="1"/>
      <w:marLeft w:val="0"/>
      <w:marRight w:val="0"/>
      <w:marTop w:val="0"/>
      <w:marBottom w:val="0"/>
      <w:divBdr>
        <w:top w:val="none" w:sz="0" w:space="0" w:color="auto"/>
        <w:left w:val="none" w:sz="0" w:space="0" w:color="auto"/>
        <w:bottom w:val="none" w:sz="0" w:space="0" w:color="auto"/>
        <w:right w:val="none" w:sz="0" w:space="0" w:color="auto"/>
      </w:divBdr>
    </w:div>
    <w:div w:id="1714426837">
      <w:bodyDiv w:val="1"/>
      <w:marLeft w:val="0"/>
      <w:marRight w:val="0"/>
      <w:marTop w:val="0"/>
      <w:marBottom w:val="0"/>
      <w:divBdr>
        <w:top w:val="none" w:sz="0" w:space="0" w:color="auto"/>
        <w:left w:val="none" w:sz="0" w:space="0" w:color="auto"/>
        <w:bottom w:val="none" w:sz="0" w:space="0" w:color="auto"/>
        <w:right w:val="none" w:sz="0" w:space="0" w:color="auto"/>
      </w:divBdr>
    </w:div>
    <w:div w:id="1714692245">
      <w:bodyDiv w:val="1"/>
      <w:marLeft w:val="0"/>
      <w:marRight w:val="0"/>
      <w:marTop w:val="0"/>
      <w:marBottom w:val="0"/>
      <w:divBdr>
        <w:top w:val="none" w:sz="0" w:space="0" w:color="auto"/>
        <w:left w:val="none" w:sz="0" w:space="0" w:color="auto"/>
        <w:bottom w:val="none" w:sz="0" w:space="0" w:color="auto"/>
        <w:right w:val="none" w:sz="0" w:space="0" w:color="auto"/>
      </w:divBdr>
    </w:div>
    <w:div w:id="1715078235">
      <w:bodyDiv w:val="1"/>
      <w:marLeft w:val="0"/>
      <w:marRight w:val="0"/>
      <w:marTop w:val="0"/>
      <w:marBottom w:val="0"/>
      <w:divBdr>
        <w:top w:val="none" w:sz="0" w:space="0" w:color="auto"/>
        <w:left w:val="none" w:sz="0" w:space="0" w:color="auto"/>
        <w:bottom w:val="none" w:sz="0" w:space="0" w:color="auto"/>
        <w:right w:val="none" w:sz="0" w:space="0" w:color="auto"/>
      </w:divBdr>
    </w:div>
    <w:div w:id="1716075625">
      <w:bodyDiv w:val="1"/>
      <w:marLeft w:val="0"/>
      <w:marRight w:val="0"/>
      <w:marTop w:val="0"/>
      <w:marBottom w:val="0"/>
      <w:divBdr>
        <w:top w:val="none" w:sz="0" w:space="0" w:color="auto"/>
        <w:left w:val="none" w:sz="0" w:space="0" w:color="auto"/>
        <w:bottom w:val="none" w:sz="0" w:space="0" w:color="auto"/>
        <w:right w:val="none" w:sz="0" w:space="0" w:color="auto"/>
      </w:divBdr>
    </w:div>
    <w:div w:id="1716662576">
      <w:bodyDiv w:val="1"/>
      <w:marLeft w:val="0"/>
      <w:marRight w:val="0"/>
      <w:marTop w:val="0"/>
      <w:marBottom w:val="0"/>
      <w:divBdr>
        <w:top w:val="none" w:sz="0" w:space="0" w:color="auto"/>
        <w:left w:val="none" w:sz="0" w:space="0" w:color="auto"/>
        <w:bottom w:val="none" w:sz="0" w:space="0" w:color="auto"/>
        <w:right w:val="none" w:sz="0" w:space="0" w:color="auto"/>
      </w:divBdr>
    </w:div>
    <w:div w:id="1717462624">
      <w:bodyDiv w:val="1"/>
      <w:marLeft w:val="0"/>
      <w:marRight w:val="0"/>
      <w:marTop w:val="0"/>
      <w:marBottom w:val="0"/>
      <w:divBdr>
        <w:top w:val="none" w:sz="0" w:space="0" w:color="auto"/>
        <w:left w:val="none" w:sz="0" w:space="0" w:color="auto"/>
        <w:bottom w:val="none" w:sz="0" w:space="0" w:color="auto"/>
        <w:right w:val="none" w:sz="0" w:space="0" w:color="auto"/>
      </w:divBdr>
    </w:div>
    <w:div w:id="1717464442">
      <w:bodyDiv w:val="1"/>
      <w:marLeft w:val="0"/>
      <w:marRight w:val="0"/>
      <w:marTop w:val="0"/>
      <w:marBottom w:val="0"/>
      <w:divBdr>
        <w:top w:val="none" w:sz="0" w:space="0" w:color="auto"/>
        <w:left w:val="none" w:sz="0" w:space="0" w:color="auto"/>
        <w:bottom w:val="none" w:sz="0" w:space="0" w:color="auto"/>
        <w:right w:val="none" w:sz="0" w:space="0" w:color="auto"/>
      </w:divBdr>
    </w:div>
    <w:div w:id="1718041577">
      <w:bodyDiv w:val="1"/>
      <w:marLeft w:val="0"/>
      <w:marRight w:val="0"/>
      <w:marTop w:val="0"/>
      <w:marBottom w:val="0"/>
      <w:divBdr>
        <w:top w:val="none" w:sz="0" w:space="0" w:color="auto"/>
        <w:left w:val="none" w:sz="0" w:space="0" w:color="auto"/>
        <w:bottom w:val="none" w:sz="0" w:space="0" w:color="auto"/>
        <w:right w:val="none" w:sz="0" w:space="0" w:color="auto"/>
      </w:divBdr>
    </w:div>
    <w:div w:id="1718747818">
      <w:bodyDiv w:val="1"/>
      <w:marLeft w:val="0"/>
      <w:marRight w:val="0"/>
      <w:marTop w:val="0"/>
      <w:marBottom w:val="0"/>
      <w:divBdr>
        <w:top w:val="none" w:sz="0" w:space="0" w:color="auto"/>
        <w:left w:val="none" w:sz="0" w:space="0" w:color="auto"/>
        <w:bottom w:val="none" w:sz="0" w:space="0" w:color="auto"/>
        <w:right w:val="none" w:sz="0" w:space="0" w:color="auto"/>
      </w:divBdr>
    </w:div>
    <w:div w:id="1719546459">
      <w:bodyDiv w:val="1"/>
      <w:marLeft w:val="0"/>
      <w:marRight w:val="0"/>
      <w:marTop w:val="0"/>
      <w:marBottom w:val="0"/>
      <w:divBdr>
        <w:top w:val="none" w:sz="0" w:space="0" w:color="auto"/>
        <w:left w:val="none" w:sz="0" w:space="0" w:color="auto"/>
        <w:bottom w:val="none" w:sz="0" w:space="0" w:color="auto"/>
        <w:right w:val="none" w:sz="0" w:space="0" w:color="auto"/>
      </w:divBdr>
    </w:div>
    <w:div w:id="1720782673">
      <w:bodyDiv w:val="1"/>
      <w:marLeft w:val="0"/>
      <w:marRight w:val="0"/>
      <w:marTop w:val="0"/>
      <w:marBottom w:val="0"/>
      <w:divBdr>
        <w:top w:val="none" w:sz="0" w:space="0" w:color="auto"/>
        <w:left w:val="none" w:sz="0" w:space="0" w:color="auto"/>
        <w:bottom w:val="none" w:sz="0" w:space="0" w:color="auto"/>
        <w:right w:val="none" w:sz="0" w:space="0" w:color="auto"/>
      </w:divBdr>
    </w:div>
    <w:div w:id="1721975600">
      <w:bodyDiv w:val="1"/>
      <w:marLeft w:val="0"/>
      <w:marRight w:val="0"/>
      <w:marTop w:val="0"/>
      <w:marBottom w:val="0"/>
      <w:divBdr>
        <w:top w:val="none" w:sz="0" w:space="0" w:color="auto"/>
        <w:left w:val="none" w:sz="0" w:space="0" w:color="auto"/>
        <w:bottom w:val="none" w:sz="0" w:space="0" w:color="auto"/>
        <w:right w:val="none" w:sz="0" w:space="0" w:color="auto"/>
      </w:divBdr>
    </w:div>
    <w:div w:id="1722360526">
      <w:bodyDiv w:val="1"/>
      <w:marLeft w:val="0"/>
      <w:marRight w:val="0"/>
      <w:marTop w:val="0"/>
      <w:marBottom w:val="0"/>
      <w:divBdr>
        <w:top w:val="none" w:sz="0" w:space="0" w:color="auto"/>
        <w:left w:val="none" w:sz="0" w:space="0" w:color="auto"/>
        <w:bottom w:val="none" w:sz="0" w:space="0" w:color="auto"/>
        <w:right w:val="none" w:sz="0" w:space="0" w:color="auto"/>
      </w:divBdr>
    </w:div>
    <w:div w:id="1724254833">
      <w:bodyDiv w:val="1"/>
      <w:marLeft w:val="0"/>
      <w:marRight w:val="0"/>
      <w:marTop w:val="0"/>
      <w:marBottom w:val="0"/>
      <w:divBdr>
        <w:top w:val="none" w:sz="0" w:space="0" w:color="auto"/>
        <w:left w:val="none" w:sz="0" w:space="0" w:color="auto"/>
        <w:bottom w:val="none" w:sz="0" w:space="0" w:color="auto"/>
        <w:right w:val="none" w:sz="0" w:space="0" w:color="auto"/>
      </w:divBdr>
    </w:div>
    <w:div w:id="1724451088">
      <w:bodyDiv w:val="1"/>
      <w:marLeft w:val="0"/>
      <w:marRight w:val="0"/>
      <w:marTop w:val="0"/>
      <w:marBottom w:val="0"/>
      <w:divBdr>
        <w:top w:val="none" w:sz="0" w:space="0" w:color="auto"/>
        <w:left w:val="none" w:sz="0" w:space="0" w:color="auto"/>
        <w:bottom w:val="none" w:sz="0" w:space="0" w:color="auto"/>
        <w:right w:val="none" w:sz="0" w:space="0" w:color="auto"/>
      </w:divBdr>
    </w:div>
    <w:div w:id="1724669631">
      <w:bodyDiv w:val="1"/>
      <w:marLeft w:val="0"/>
      <w:marRight w:val="0"/>
      <w:marTop w:val="0"/>
      <w:marBottom w:val="0"/>
      <w:divBdr>
        <w:top w:val="none" w:sz="0" w:space="0" w:color="auto"/>
        <w:left w:val="none" w:sz="0" w:space="0" w:color="auto"/>
        <w:bottom w:val="none" w:sz="0" w:space="0" w:color="auto"/>
        <w:right w:val="none" w:sz="0" w:space="0" w:color="auto"/>
      </w:divBdr>
    </w:div>
    <w:div w:id="1724988816">
      <w:bodyDiv w:val="1"/>
      <w:marLeft w:val="0"/>
      <w:marRight w:val="0"/>
      <w:marTop w:val="0"/>
      <w:marBottom w:val="0"/>
      <w:divBdr>
        <w:top w:val="none" w:sz="0" w:space="0" w:color="auto"/>
        <w:left w:val="none" w:sz="0" w:space="0" w:color="auto"/>
        <w:bottom w:val="none" w:sz="0" w:space="0" w:color="auto"/>
        <w:right w:val="none" w:sz="0" w:space="0" w:color="auto"/>
      </w:divBdr>
    </w:div>
    <w:div w:id="1725181428">
      <w:bodyDiv w:val="1"/>
      <w:marLeft w:val="0"/>
      <w:marRight w:val="0"/>
      <w:marTop w:val="0"/>
      <w:marBottom w:val="0"/>
      <w:divBdr>
        <w:top w:val="none" w:sz="0" w:space="0" w:color="auto"/>
        <w:left w:val="none" w:sz="0" w:space="0" w:color="auto"/>
        <w:bottom w:val="none" w:sz="0" w:space="0" w:color="auto"/>
        <w:right w:val="none" w:sz="0" w:space="0" w:color="auto"/>
      </w:divBdr>
    </w:div>
    <w:div w:id="1725257066">
      <w:bodyDiv w:val="1"/>
      <w:marLeft w:val="0"/>
      <w:marRight w:val="0"/>
      <w:marTop w:val="0"/>
      <w:marBottom w:val="0"/>
      <w:divBdr>
        <w:top w:val="none" w:sz="0" w:space="0" w:color="auto"/>
        <w:left w:val="none" w:sz="0" w:space="0" w:color="auto"/>
        <w:bottom w:val="none" w:sz="0" w:space="0" w:color="auto"/>
        <w:right w:val="none" w:sz="0" w:space="0" w:color="auto"/>
      </w:divBdr>
    </w:div>
    <w:div w:id="1725325336">
      <w:bodyDiv w:val="1"/>
      <w:marLeft w:val="0"/>
      <w:marRight w:val="0"/>
      <w:marTop w:val="0"/>
      <w:marBottom w:val="0"/>
      <w:divBdr>
        <w:top w:val="none" w:sz="0" w:space="0" w:color="auto"/>
        <w:left w:val="none" w:sz="0" w:space="0" w:color="auto"/>
        <w:bottom w:val="none" w:sz="0" w:space="0" w:color="auto"/>
        <w:right w:val="none" w:sz="0" w:space="0" w:color="auto"/>
      </w:divBdr>
    </w:div>
    <w:div w:id="1725834337">
      <w:bodyDiv w:val="1"/>
      <w:marLeft w:val="0"/>
      <w:marRight w:val="0"/>
      <w:marTop w:val="0"/>
      <w:marBottom w:val="0"/>
      <w:divBdr>
        <w:top w:val="none" w:sz="0" w:space="0" w:color="auto"/>
        <w:left w:val="none" w:sz="0" w:space="0" w:color="auto"/>
        <w:bottom w:val="none" w:sz="0" w:space="0" w:color="auto"/>
        <w:right w:val="none" w:sz="0" w:space="0" w:color="auto"/>
      </w:divBdr>
    </w:div>
    <w:div w:id="1725983839">
      <w:bodyDiv w:val="1"/>
      <w:marLeft w:val="0"/>
      <w:marRight w:val="0"/>
      <w:marTop w:val="0"/>
      <w:marBottom w:val="0"/>
      <w:divBdr>
        <w:top w:val="none" w:sz="0" w:space="0" w:color="auto"/>
        <w:left w:val="none" w:sz="0" w:space="0" w:color="auto"/>
        <w:bottom w:val="none" w:sz="0" w:space="0" w:color="auto"/>
        <w:right w:val="none" w:sz="0" w:space="0" w:color="auto"/>
      </w:divBdr>
    </w:div>
    <w:div w:id="1726828274">
      <w:bodyDiv w:val="1"/>
      <w:marLeft w:val="0"/>
      <w:marRight w:val="0"/>
      <w:marTop w:val="0"/>
      <w:marBottom w:val="0"/>
      <w:divBdr>
        <w:top w:val="none" w:sz="0" w:space="0" w:color="auto"/>
        <w:left w:val="none" w:sz="0" w:space="0" w:color="auto"/>
        <w:bottom w:val="none" w:sz="0" w:space="0" w:color="auto"/>
        <w:right w:val="none" w:sz="0" w:space="0" w:color="auto"/>
      </w:divBdr>
    </w:div>
    <w:div w:id="1727534596">
      <w:bodyDiv w:val="1"/>
      <w:marLeft w:val="0"/>
      <w:marRight w:val="0"/>
      <w:marTop w:val="0"/>
      <w:marBottom w:val="0"/>
      <w:divBdr>
        <w:top w:val="none" w:sz="0" w:space="0" w:color="auto"/>
        <w:left w:val="none" w:sz="0" w:space="0" w:color="auto"/>
        <w:bottom w:val="none" w:sz="0" w:space="0" w:color="auto"/>
        <w:right w:val="none" w:sz="0" w:space="0" w:color="auto"/>
      </w:divBdr>
    </w:div>
    <w:div w:id="1727676670">
      <w:bodyDiv w:val="1"/>
      <w:marLeft w:val="0"/>
      <w:marRight w:val="0"/>
      <w:marTop w:val="0"/>
      <w:marBottom w:val="0"/>
      <w:divBdr>
        <w:top w:val="none" w:sz="0" w:space="0" w:color="auto"/>
        <w:left w:val="none" w:sz="0" w:space="0" w:color="auto"/>
        <w:bottom w:val="none" w:sz="0" w:space="0" w:color="auto"/>
        <w:right w:val="none" w:sz="0" w:space="0" w:color="auto"/>
      </w:divBdr>
    </w:div>
    <w:div w:id="1727681946">
      <w:bodyDiv w:val="1"/>
      <w:marLeft w:val="0"/>
      <w:marRight w:val="0"/>
      <w:marTop w:val="0"/>
      <w:marBottom w:val="0"/>
      <w:divBdr>
        <w:top w:val="none" w:sz="0" w:space="0" w:color="auto"/>
        <w:left w:val="none" w:sz="0" w:space="0" w:color="auto"/>
        <w:bottom w:val="none" w:sz="0" w:space="0" w:color="auto"/>
        <w:right w:val="none" w:sz="0" w:space="0" w:color="auto"/>
      </w:divBdr>
    </w:div>
    <w:div w:id="1727874698">
      <w:bodyDiv w:val="1"/>
      <w:marLeft w:val="0"/>
      <w:marRight w:val="0"/>
      <w:marTop w:val="0"/>
      <w:marBottom w:val="0"/>
      <w:divBdr>
        <w:top w:val="none" w:sz="0" w:space="0" w:color="auto"/>
        <w:left w:val="none" w:sz="0" w:space="0" w:color="auto"/>
        <w:bottom w:val="none" w:sz="0" w:space="0" w:color="auto"/>
        <w:right w:val="none" w:sz="0" w:space="0" w:color="auto"/>
      </w:divBdr>
    </w:div>
    <w:div w:id="1728450970">
      <w:bodyDiv w:val="1"/>
      <w:marLeft w:val="0"/>
      <w:marRight w:val="0"/>
      <w:marTop w:val="0"/>
      <w:marBottom w:val="0"/>
      <w:divBdr>
        <w:top w:val="none" w:sz="0" w:space="0" w:color="auto"/>
        <w:left w:val="none" w:sz="0" w:space="0" w:color="auto"/>
        <w:bottom w:val="none" w:sz="0" w:space="0" w:color="auto"/>
        <w:right w:val="none" w:sz="0" w:space="0" w:color="auto"/>
      </w:divBdr>
    </w:div>
    <w:div w:id="1729526161">
      <w:bodyDiv w:val="1"/>
      <w:marLeft w:val="0"/>
      <w:marRight w:val="0"/>
      <w:marTop w:val="0"/>
      <w:marBottom w:val="0"/>
      <w:divBdr>
        <w:top w:val="none" w:sz="0" w:space="0" w:color="auto"/>
        <w:left w:val="none" w:sz="0" w:space="0" w:color="auto"/>
        <w:bottom w:val="none" w:sz="0" w:space="0" w:color="auto"/>
        <w:right w:val="none" w:sz="0" w:space="0" w:color="auto"/>
      </w:divBdr>
    </w:div>
    <w:div w:id="1729916642">
      <w:bodyDiv w:val="1"/>
      <w:marLeft w:val="0"/>
      <w:marRight w:val="0"/>
      <w:marTop w:val="0"/>
      <w:marBottom w:val="0"/>
      <w:divBdr>
        <w:top w:val="none" w:sz="0" w:space="0" w:color="auto"/>
        <w:left w:val="none" w:sz="0" w:space="0" w:color="auto"/>
        <w:bottom w:val="none" w:sz="0" w:space="0" w:color="auto"/>
        <w:right w:val="none" w:sz="0" w:space="0" w:color="auto"/>
      </w:divBdr>
    </w:div>
    <w:div w:id="1730883666">
      <w:bodyDiv w:val="1"/>
      <w:marLeft w:val="0"/>
      <w:marRight w:val="0"/>
      <w:marTop w:val="0"/>
      <w:marBottom w:val="0"/>
      <w:divBdr>
        <w:top w:val="none" w:sz="0" w:space="0" w:color="auto"/>
        <w:left w:val="none" w:sz="0" w:space="0" w:color="auto"/>
        <w:bottom w:val="none" w:sz="0" w:space="0" w:color="auto"/>
        <w:right w:val="none" w:sz="0" w:space="0" w:color="auto"/>
      </w:divBdr>
    </w:div>
    <w:div w:id="1730960438">
      <w:bodyDiv w:val="1"/>
      <w:marLeft w:val="0"/>
      <w:marRight w:val="0"/>
      <w:marTop w:val="0"/>
      <w:marBottom w:val="0"/>
      <w:divBdr>
        <w:top w:val="none" w:sz="0" w:space="0" w:color="auto"/>
        <w:left w:val="none" w:sz="0" w:space="0" w:color="auto"/>
        <w:bottom w:val="none" w:sz="0" w:space="0" w:color="auto"/>
        <w:right w:val="none" w:sz="0" w:space="0" w:color="auto"/>
      </w:divBdr>
    </w:div>
    <w:div w:id="1731344563">
      <w:bodyDiv w:val="1"/>
      <w:marLeft w:val="0"/>
      <w:marRight w:val="0"/>
      <w:marTop w:val="0"/>
      <w:marBottom w:val="0"/>
      <w:divBdr>
        <w:top w:val="none" w:sz="0" w:space="0" w:color="auto"/>
        <w:left w:val="none" w:sz="0" w:space="0" w:color="auto"/>
        <w:bottom w:val="none" w:sz="0" w:space="0" w:color="auto"/>
        <w:right w:val="none" w:sz="0" w:space="0" w:color="auto"/>
      </w:divBdr>
    </w:div>
    <w:div w:id="1731728311">
      <w:bodyDiv w:val="1"/>
      <w:marLeft w:val="0"/>
      <w:marRight w:val="0"/>
      <w:marTop w:val="0"/>
      <w:marBottom w:val="0"/>
      <w:divBdr>
        <w:top w:val="none" w:sz="0" w:space="0" w:color="auto"/>
        <w:left w:val="none" w:sz="0" w:space="0" w:color="auto"/>
        <w:bottom w:val="none" w:sz="0" w:space="0" w:color="auto"/>
        <w:right w:val="none" w:sz="0" w:space="0" w:color="auto"/>
      </w:divBdr>
    </w:div>
    <w:div w:id="1732314474">
      <w:bodyDiv w:val="1"/>
      <w:marLeft w:val="0"/>
      <w:marRight w:val="0"/>
      <w:marTop w:val="0"/>
      <w:marBottom w:val="0"/>
      <w:divBdr>
        <w:top w:val="none" w:sz="0" w:space="0" w:color="auto"/>
        <w:left w:val="none" w:sz="0" w:space="0" w:color="auto"/>
        <w:bottom w:val="none" w:sz="0" w:space="0" w:color="auto"/>
        <w:right w:val="none" w:sz="0" w:space="0" w:color="auto"/>
      </w:divBdr>
    </w:div>
    <w:div w:id="1732851607">
      <w:bodyDiv w:val="1"/>
      <w:marLeft w:val="0"/>
      <w:marRight w:val="0"/>
      <w:marTop w:val="0"/>
      <w:marBottom w:val="0"/>
      <w:divBdr>
        <w:top w:val="none" w:sz="0" w:space="0" w:color="auto"/>
        <w:left w:val="none" w:sz="0" w:space="0" w:color="auto"/>
        <w:bottom w:val="none" w:sz="0" w:space="0" w:color="auto"/>
        <w:right w:val="none" w:sz="0" w:space="0" w:color="auto"/>
      </w:divBdr>
    </w:div>
    <w:div w:id="1733307745">
      <w:bodyDiv w:val="1"/>
      <w:marLeft w:val="0"/>
      <w:marRight w:val="0"/>
      <w:marTop w:val="0"/>
      <w:marBottom w:val="0"/>
      <w:divBdr>
        <w:top w:val="none" w:sz="0" w:space="0" w:color="auto"/>
        <w:left w:val="none" w:sz="0" w:space="0" w:color="auto"/>
        <w:bottom w:val="none" w:sz="0" w:space="0" w:color="auto"/>
        <w:right w:val="none" w:sz="0" w:space="0" w:color="auto"/>
      </w:divBdr>
    </w:div>
    <w:div w:id="1733501354">
      <w:bodyDiv w:val="1"/>
      <w:marLeft w:val="0"/>
      <w:marRight w:val="0"/>
      <w:marTop w:val="0"/>
      <w:marBottom w:val="0"/>
      <w:divBdr>
        <w:top w:val="none" w:sz="0" w:space="0" w:color="auto"/>
        <w:left w:val="none" w:sz="0" w:space="0" w:color="auto"/>
        <w:bottom w:val="none" w:sz="0" w:space="0" w:color="auto"/>
        <w:right w:val="none" w:sz="0" w:space="0" w:color="auto"/>
      </w:divBdr>
    </w:div>
    <w:div w:id="1734086346">
      <w:bodyDiv w:val="1"/>
      <w:marLeft w:val="0"/>
      <w:marRight w:val="0"/>
      <w:marTop w:val="0"/>
      <w:marBottom w:val="0"/>
      <w:divBdr>
        <w:top w:val="none" w:sz="0" w:space="0" w:color="auto"/>
        <w:left w:val="none" w:sz="0" w:space="0" w:color="auto"/>
        <w:bottom w:val="none" w:sz="0" w:space="0" w:color="auto"/>
        <w:right w:val="none" w:sz="0" w:space="0" w:color="auto"/>
      </w:divBdr>
    </w:div>
    <w:div w:id="1734229228">
      <w:bodyDiv w:val="1"/>
      <w:marLeft w:val="0"/>
      <w:marRight w:val="0"/>
      <w:marTop w:val="0"/>
      <w:marBottom w:val="0"/>
      <w:divBdr>
        <w:top w:val="none" w:sz="0" w:space="0" w:color="auto"/>
        <w:left w:val="none" w:sz="0" w:space="0" w:color="auto"/>
        <w:bottom w:val="none" w:sz="0" w:space="0" w:color="auto"/>
        <w:right w:val="none" w:sz="0" w:space="0" w:color="auto"/>
      </w:divBdr>
    </w:div>
    <w:div w:id="1735617257">
      <w:bodyDiv w:val="1"/>
      <w:marLeft w:val="0"/>
      <w:marRight w:val="0"/>
      <w:marTop w:val="0"/>
      <w:marBottom w:val="0"/>
      <w:divBdr>
        <w:top w:val="none" w:sz="0" w:space="0" w:color="auto"/>
        <w:left w:val="none" w:sz="0" w:space="0" w:color="auto"/>
        <w:bottom w:val="none" w:sz="0" w:space="0" w:color="auto"/>
        <w:right w:val="none" w:sz="0" w:space="0" w:color="auto"/>
      </w:divBdr>
    </w:div>
    <w:div w:id="1735934138">
      <w:bodyDiv w:val="1"/>
      <w:marLeft w:val="0"/>
      <w:marRight w:val="0"/>
      <w:marTop w:val="0"/>
      <w:marBottom w:val="0"/>
      <w:divBdr>
        <w:top w:val="none" w:sz="0" w:space="0" w:color="auto"/>
        <w:left w:val="none" w:sz="0" w:space="0" w:color="auto"/>
        <w:bottom w:val="none" w:sz="0" w:space="0" w:color="auto"/>
        <w:right w:val="none" w:sz="0" w:space="0" w:color="auto"/>
      </w:divBdr>
    </w:div>
    <w:div w:id="1736008430">
      <w:bodyDiv w:val="1"/>
      <w:marLeft w:val="0"/>
      <w:marRight w:val="0"/>
      <w:marTop w:val="0"/>
      <w:marBottom w:val="0"/>
      <w:divBdr>
        <w:top w:val="none" w:sz="0" w:space="0" w:color="auto"/>
        <w:left w:val="none" w:sz="0" w:space="0" w:color="auto"/>
        <w:bottom w:val="none" w:sz="0" w:space="0" w:color="auto"/>
        <w:right w:val="none" w:sz="0" w:space="0" w:color="auto"/>
      </w:divBdr>
    </w:div>
    <w:div w:id="1736511345">
      <w:bodyDiv w:val="1"/>
      <w:marLeft w:val="0"/>
      <w:marRight w:val="0"/>
      <w:marTop w:val="0"/>
      <w:marBottom w:val="0"/>
      <w:divBdr>
        <w:top w:val="none" w:sz="0" w:space="0" w:color="auto"/>
        <w:left w:val="none" w:sz="0" w:space="0" w:color="auto"/>
        <w:bottom w:val="none" w:sz="0" w:space="0" w:color="auto"/>
        <w:right w:val="none" w:sz="0" w:space="0" w:color="auto"/>
      </w:divBdr>
    </w:div>
    <w:div w:id="1737632029">
      <w:bodyDiv w:val="1"/>
      <w:marLeft w:val="0"/>
      <w:marRight w:val="0"/>
      <w:marTop w:val="0"/>
      <w:marBottom w:val="0"/>
      <w:divBdr>
        <w:top w:val="none" w:sz="0" w:space="0" w:color="auto"/>
        <w:left w:val="none" w:sz="0" w:space="0" w:color="auto"/>
        <w:bottom w:val="none" w:sz="0" w:space="0" w:color="auto"/>
        <w:right w:val="none" w:sz="0" w:space="0" w:color="auto"/>
      </w:divBdr>
    </w:div>
    <w:div w:id="1737774596">
      <w:bodyDiv w:val="1"/>
      <w:marLeft w:val="0"/>
      <w:marRight w:val="0"/>
      <w:marTop w:val="0"/>
      <w:marBottom w:val="0"/>
      <w:divBdr>
        <w:top w:val="none" w:sz="0" w:space="0" w:color="auto"/>
        <w:left w:val="none" w:sz="0" w:space="0" w:color="auto"/>
        <w:bottom w:val="none" w:sz="0" w:space="0" w:color="auto"/>
        <w:right w:val="none" w:sz="0" w:space="0" w:color="auto"/>
      </w:divBdr>
    </w:div>
    <w:div w:id="1737967693">
      <w:bodyDiv w:val="1"/>
      <w:marLeft w:val="0"/>
      <w:marRight w:val="0"/>
      <w:marTop w:val="0"/>
      <w:marBottom w:val="0"/>
      <w:divBdr>
        <w:top w:val="none" w:sz="0" w:space="0" w:color="auto"/>
        <w:left w:val="none" w:sz="0" w:space="0" w:color="auto"/>
        <w:bottom w:val="none" w:sz="0" w:space="0" w:color="auto"/>
        <w:right w:val="none" w:sz="0" w:space="0" w:color="auto"/>
      </w:divBdr>
    </w:div>
    <w:div w:id="1738243153">
      <w:bodyDiv w:val="1"/>
      <w:marLeft w:val="0"/>
      <w:marRight w:val="0"/>
      <w:marTop w:val="0"/>
      <w:marBottom w:val="0"/>
      <w:divBdr>
        <w:top w:val="none" w:sz="0" w:space="0" w:color="auto"/>
        <w:left w:val="none" w:sz="0" w:space="0" w:color="auto"/>
        <w:bottom w:val="none" w:sz="0" w:space="0" w:color="auto"/>
        <w:right w:val="none" w:sz="0" w:space="0" w:color="auto"/>
      </w:divBdr>
    </w:div>
    <w:div w:id="1739136666">
      <w:bodyDiv w:val="1"/>
      <w:marLeft w:val="0"/>
      <w:marRight w:val="0"/>
      <w:marTop w:val="0"/>
      <w:marBottom w:val="0"/>
      <w:divBdr>
        <w:top w:val="none" w:sz="0" w:space="0" w:color="auto"/>
        <w:left w:val="none" w:sz="0" w:space="0" w:color="auto"/>
        <w:bottom w:val="none" w:sz="0" w:space="0" w:color="auto"/>
        <w:right w:val="none" w:sz="0" w:space="0" w:color="auto"/>
      </w:divBdr>
    </w:div>
    <w:div w:id="1739480507">
      <w:bodyDiv w:val="1"/>
      <w:marLeft w:val="0"/>
      <w:marRight w:val="0"/>
      <w:marTop w:val="0"/>
      <w:marBottom w:val="0"/>
      <w:divBdr>
        <w:top w:val="none" w:sz="0" w:space="0" w:color="auto"/>
        <w:left w:val="none" w:sz="0" w:space="0" w:color="auto"/>
        <w:bottom w:val="none" w:sz="0" w:space="0" w:color="auto"/>
        <w:right w:val="none" w:sz="0" w:space="0" w:color="auto"/>
      </w:divBdr>
    </w:div>
    <w:div w:id="1739789116">
      <w:bodyDiv w:val="1"/>
      <w:marLeft w:val="0"/>
      <w:marRight w:val="0"/>
      <w:marTop w:val="0"/>
      <w:marBottom w:val="0"/>
      <w:divBdr>
        <w:top w:val="none" w:sz="0" w:space="0" w:color="auto"/>
        <w:left w:val="none" w:sz="0" w:space="0" w:color="auto"/>
        <w:bottom w:val="none" w:sz="0" w:space="0" w:color="auto"/>
        <w:right w:val="none" w:sz="0" w:space="0" w:color="auto"/>
      </w:divBdr>
    </w:div>
    <w:div w:id="1740713822">
      <w:bodyDiv w:val="1"/>
      <w:marLeft w:val="0"/>
      <w:marRight w:val="0"/>
      <w:marTop w:val="0"/>
      <w:marBottom w:val="0"/>
      <w:divBdr>
        <w:top w:val="none" w:sz="0" w:space="0" w:color="auto"/>
        <w:left w:val="none" w:sz="0" w:space="0" w:color="auto"/>
        <w:bottom w:val="none" w:sz="0" w:space="0" w:color="auto"/>
        <w:right w:val="none" w:sz="0" w:space="0" w:color="auto"/>
      </w:divBdr>
    </w:div>
    <w:div w:id="1740899718">
      <w:bodyDiv w:val="1"/>
      <w:marLeft w:val="0"/>
      <w:marRight w:val="0"/>
      <w:marTop w:val="0"/>
      <w:marBottom w:val="0"/>
      <w:divBdr>
        <w:top w:val="none" w:sz="0" w:space="0" w:color="auto"/>
        <w:left w:val="none" w:sz="0" w:space="0" w:color="auto"/>
        <w:bottom w:val="none" w:sz="0" w:space="0" w:color="auto"/>
        <w:right w:val="none" w:sz="0" w:space="0" w:color="auto"/>
      </w:divBdr>
    </w:div>
    <w:div w:id="1740976441">
      <w:bodyDiv w:val="1"/>
      <w:marLeft w:val="0"/>
      <w:marRight w:val="0"/>
      <w:marTop w:val="0"/>
      <w:marBottom w:val="0"/>
      <w:divBdr>
        <w:top w:val="none" w:sz="0" w:space="0" w:color="auto"/>
        <w:left w:val="none" w:sz="0" w:space="0" w:color="auto"/>
        <w:bottom w:val="none" w:sz="0" w:space="0" w:color="auto"/>
        <w:right w:val="none" w:sz="0" w:space="0" w:color="auto"/>
      </w:divBdr>
    </w:div>
    <w:div w:id="1740978841">
      <w:bodyDiv w:val="1"/>
      <w:marLeft w:val="0"/>
      <w:marRight w:val="0"/>
      <w:marTop w:val="0"/>
      <w:marBottom w:val="0"/>
      <w:divBdr>
        <w:top w:val="none" w:sz="0" w:space="0" w:color="auto"/>
        <w:left w:val="none" w:sz="0" w:space="0" w:color="auto"/>
        <w:bottom w:val="none" w:sz="0" w:space="0" w:color="auto"/>
        <w:right w:val="none" w:sz="0" w:space="0" w:color="auto"/>
      </w:divBdr>
    </w:div>
    <w:div w:id="1741370176">
      <w:bodyDiv w:val="1"/>
      <w:marLeft w:val="0"/>
      <w:marRight w:val="0"/>
      <w:marTop w:val="0"/>
      <w:marBottom w:val="0"/>
      <w:divBdr>
        <w:top w:val="none" w:sz="0" w:space="0" w:color="auto"/>
        <w:left w:val="none" w:sz="0" w:space="0" w:color="auto"/>
        <w:bottom w:val="none" w:sz="0" w:space="0" w:color="auto"/>
        <w:right w:val="none" w:sz="0" w:space="0" w:color="auto"/>
      </w:divBdr>
    </w:div>
    <w:div w:id="1742101793">
      <w:bodyDiv w:val="1"/>
      <w:marLeft w:val="0"/>
      <w:marRight w:val="0"/>
      <w:marTop w:val="0"/>
      <w:marBottom w:val="0"/>
      <w:divBdr>
        <w:top w:val="none" w:sz="0" w:space="0" w:color="auto"/>
        <w:left w:val="none" w:sz="0" w:space="0" w:color="auto"/>
        <w:bottom w:val="none" w:sz="0" w:space="0" w:color="auto"/>
        <w:right w:val="none" w:sz="0" w:space="0" w:color="auto"/>
      </w:divBdr>
    </w:div>
    <w:div w:id="1742175539">
      <w:bodyDiv w:val="1"/>
      <w:marLeft w:val="0"/>
      <w:marRight w:val="0"/>
      <w:marTop w:val="0"/>
      <w:marBottom w:val="0"/>
      <w:divBdr>
        <w:top w:val="none" w:sz="0" w:space="0" w:color="auto"/>
        <w:left w:val="none" w:sz="0" w:space="0" w:color="auto"/>
        <w:bottom w:val="none" w:sz="0" w:space="0" w:color="auto"/>
        <w:right w:val="none" w:sz="0" w:space="0" w:color="auto"/>
      </w:divBdr>
    </w:div>
    <w:div w:id="1742215493">
      <w:bodyDiv w:val="1"/>
      <w:marLeft w:val="0"/>
      <w:marRight w:val="0"/>
      <w:marTop w:val="0"/>
      <w:marBottom w:val="0"/>
      <w:divBdr>
        <w:top w:val="none" w:sz="0" w:space="0" w:color="auto"/>
        <w:left w:val="none" w:sz="0" w:space="0" w:color="auto"/>
        <w:bottom w:val="none" w:sz="0" w:space="0" w:color="auto"/>
        <w:right w:val="none" w:sz="0" w:space="0" w:color="auto"/>
      </w:divBdr>
    </w:div>
    <w:div w:id="1742217048">
      <w:bodyDiv w:val="1"/>
      <w:marLeft w:val="0"/>
      <w:marRight w:val="0"/>
      <w:marTop w:val="0"/>
      <w:marBottom w:val="0"/>
      <w:divBdr>
        <w:top w:val="none" w:sz="0" w:space="0" w:color="auto"/>
        <w:left w:val="none" w:sz="0" w:space="0" w:color="auto"/>
        <w:bottom w:val="none" w:sz="0" w:space="0" w:color="auto"/>
        <w:right w:val="none" w:sz="0" w:space="0" w:color="auto"/>
      </w:divBdr>
    </w:div>
    <w:div w:id="1742407433">
      <w:bodyDiv w:val="1"/>
      <w:marLeft w:val="0"/>
      <w:marRight w:val="0"/>
      <w:marTop w:val="0"/>
      <w:marBottom w:val="0"/>
      <w:divBdr>
        <w:top w:val="none" w:sz="0" w:space="0" w:color="auto"/>
        <w:left w:val="none" w:sz="0" w:space="0" w:color="auto"/>
        <w:bottom w:val="none" w:sz="0" w:space="0" w:color="auto"/>
        <w:right w:val="none" w:sz="0" w:space="0" w:color="auto"/>
      </w:divBdr>
    </w:div>
    <w:div w:id="1742408618">
      <w:bodyDiv w:val="1"/>
      <w:marLeft w:val="0"/>
      <w:marRight w:val="0"/>
      <w:marTop w:val="0"/>
      <w:marBottom w:val="0"/>
      <w:divBdr>
        <w:top w:val="none" w:sz="0" w:space="0" w:color="auto"/>
        <w:left w:val="none" w:sz="0" w:space="0" w:color="auto"/>
        <w:bottom w:val="none" w:sz="0" w:space="0" w:color="auto"/>
        <w:right w:val="none" w:sz="0" w:space="0" w:color="auto"/>
      </w:divBdr>
    </w:div>
    <w:div w:id="1742748365">
      <w:bodyDiv w:val="1"/>
      <w:marLeft w:val="0"/>
      <w:marRight w:val="0"/>
      <w:marTop w:val="0"/>
      <w:marBottom w:val="0"/>
      <w:divBdr>
        <w:top w:val="none" w:sz="0" w:space="0" w:color="auto"/>
        <w:left w:val="none" w:sz="0" w:space="0" w:color="auto"/>
        <w:bottom w:val="none" w:sz="0" w:space="0" w:color="auto"/>
        <w:right w:val="none" w:sz="0" w:space="0" w:color="auto"/>
      </w:divBdr>
    </w:div>
    <w:div w:id="1743329038">
      <w:bodyDiv w:val="1"/>
      <w:marLeft w:val="0"/>
      <w:marRight w:val="0"/>
      <w:marTop w:val="0"/>
      <w:marBottom w:val="0"/>
      <w:divBdr>
        <w:top w:val="none" w:sz="0" w:space="0" w:color="auto"/>
        <w:left w:val="none" w:sz="0" w:space="0" w:color="auto"/>
        <w:bottom w:val="none" w:sz="0" w:space="0" w:color="auto"/>
        <w:right w:val="none" w:sz="0" w:space="0" w:color="auto"/>
      </w:divBdr>
    </w:div>
    <w:div w:id="1743596322">
      <w:bodyDiv w:val="1"/>
      <w:marLeft w:val="0"/>
      <w:marRight w:val="0"/>
      <w:marTop w:val="0"/>
      <w:marBottom w:val="0"/>
      <w:divBdr>
        <w:top w:val="none" w:sz="0" w:space="0" w:color="auto"/>
        <w:left w:val="none" w:sz="0" w:space="0" w:color="auto"/>
        <w:bottom w:val="none" w:sz="0" w:space="0" w:color="auto"/>
        <w:right w:val="none" w:sz="0" w:space="0" w:color="auto"/>
      </w:divBdr>
    </w:div>
    <w:div w:id="1744135326">
      <w:bodyDiv w:val="1"/>
      <w:marLeft w:val="0"/>
      <w:marRight w:val="0"/>
      <w:marTop w:val="0"/>
      <w:marBottom w:val="0"/>
      <w:divBdr>
        <w:top w:val="none" w:sz="0" w:space="0" w:color="auto"/>
        <w:left w:val="none" w:sz="0" w:space="0" w:color="auto"/>
        <w:bottom w:val="none" w:sz="0" w:space="0" w:color="auto"/>
        <w:right w:val="none" w:sz="0" w:space="0" w:color="auto"/>
      </w:divBdr>
    </w:div>
    <w:div w:id="1744326669">
      <w:bodyDiv w:val="1"/>
      <w:marLeft w:val="0"/>
      <w:marRight w:val="0"/>
      <w:marTop w:val="0"/>
      <w:marBottom w:val="0"/>
      <w:divBdr>
        <w:top w:val="none" w:sz="0" w:space="0" w:color="auto"/>
        <w:left w:val="none" w:sz="0" w:space="0" w:color="auto"/>
        <w:bottom w:val="none" w:sz="0" w:space="0" w:color="auto"/>
        <w:right w:val="none" w:sz="0" w:space="0" w:color="auto"/>
      </w:divBdr>
    </w:div>
    <w:div w:id="1744453930">
      <w:bodyDiv w:val="1"/>
      <w:marLeft w:val="0"/>
      <w:marRight w:val="0"/>
      <w:marTop w:val="0"/>
      <w:marBottom w:val="0"/>
      <w:divBdr>
        <w:top w:val="none" w:sz="0" w:space="0" w:color="auto"/>
        <w:left w:val="none" w:sz="0" w:space="0" w:color="auto"/>
        <w:bottom w:val="none" w:sz="0" w:space="0" w:color="auto"/>
        <w:right w:val="none" w:sz="0" w:space="0" w:color="auto"/>
      </w:divBdr>
    </w:div>
    <w:div w:id="1744454132">
      <w:bodyDiv w:val="1"/>
      <w:marLeft w:val="0"/>
      <w:marRight w:val="0"/>
      <w:marTop w:val="0"/>
      <w:marBottom w:val="0"/>
      <w:divBdr>
        <w:top w:val="none" w:sz="0" w:space="0" w:color="auto"/>
        <w:left w:val="none" w:sz="0" w:space="0" w:color="auto"/>
        <w:bottom w:val="none" w:sz="0" w:space="0" w:color="auto"/>
        <w:right w:val="none" w:sz="0" w:space="0" w:color="auto"/>
      </w:divBdr>
    </w:div>
    <w:div w:id="1744720450">
      <w:bodyDiv w:val="1"/>
      <w:marLeft w:val="0"/>
      <w:marRight w:val="0"/>
      <w:marTop w:val="0"/>
      <w:marBottom w:val="0"/>
      <w:divBdr>
        <w:top w:val="none" w:sz="0" w:space="0" w:color="auto"/>
        <w:left w:val="none" w:sz="0" w:space="0" w:color="auto"/>
        <w:bottom w:val="none" w:sz="0" w:space="0" w:color="auto"/>
        <w:right w:val="none" w:sz="0" w:space="0" w:color="auto"/>
      </w:divBdr>
    </w:div>
    <w:div w:id="1745100989">
      <w:bodyDiv w:val="1"/>
      <w:marLeft w:val="0"/>
      <w:marRight w:val="0"/>
      <w:marTop w:val="0"/>
      <w:marBottom w:val="0"/>
      <w:divBdr>
        <w:top w:val="none" w:sz="0" w:space="0" w:color="auto"/>
        <w:left w:val="none" w:sz="0" w:space="0" w:color="auto"/>
        <w:bottom w:val="none" w:sz="0" w:space="0" w:color="auto"/>
        <w:right w:val="none" w:sz="0" w:space="0" w:color="auto"/>
      </w:divBdr>
    </w:div>
    <w:div w:id="1745836436">
      <w:bodyDiv w:val="1"/>
      <w:marLeft w:val="0"/>
      <w:marRight w:val="0"/>
      <w:marTop w:val="0"/>
      <w:marBottom w:val="0"/>
      <w:divBdr>
        <w:top w:val="none" w:sz="0" w:space="0" w:color="auto"/>
        <w:left w:val="none" w:sz="0" w:space="0" w:color="auto"/>
        <w:bottom w:val="none" w:sz="0" w:space="0" w:color="auto"/>
        <w:right w:val="none" w:sz="0" w:space="0" w:color="auto"/>
      </w:divBdr>
    </w:div>
    <w:div w:id="1745956652">
      <w:bodyDiv w:val="1"/>
      <w:marLeft w:val="0"/>
      <w:marRight w:val="0"/>
      <w:marTop w:val="0"/>
      <w:marBottom w:val="0"/>
      <w:divBdr>
        <w:top w:val="none" w:sz="0" w:space="0" w:color="auto"/>
        <w:left w:val="none" w:sz="0" w:space="0" w:color="auto"/>
        <w:bottom w:val="none" w:sz="0" w:space="0" w:color="auto"/>
        <w:right w:val="none" w:sz="0" w:space="0" w:color="auto"/>
      </w:divBdr>
    </w:div>
    <w:div w:id="1746491276">
      <w:bodyDiv w:val="1"/>
      <w:marLeft w:val="0"/>
      <w:marRight w:val="0"/>
      <w:marTop w:val="0"/>
      <w:marBottom w:val="0"/>
      <w:divBdr>
        <w:top w:val="none" w:sz="0" w:space="0" w:color="auto"/>
        <w:left w:val="none" w:sz="0" w:space="0" w:color="auto"/>
        <w:bottom w:val="none" w:sz="0" w:space="0" w:color="auto"/>
        <w:right w:val="none" w:sz="0" w:space="0" w:color="auto"/>
      </w:divBdr>
    </w:div>
    <w:div w:id="1746952329">
      <w:bodyDiv w:val="1"/>
      <w:marLeft w:val="0"/>
      <w:marRight w:val="0"/>
      <w:marTop w:val="0"/>
      <w:marBottom w:val="0"/>
      <w:divBdr>
        <w:top w:val="none" w:sz="0" w:space="0" w:color="auto"/>
        <w:left w:val="none" w:sz="0" w:space="0" w:color="auto"/>
        <w:bottom w:val="none" w:sz="0" w:space="0" w:color="auto"/>
        <w:right w:val="none" w:sz="0" w:space="0" w:color="auto"/>
      </w:divBdr>
    </w:div>
    <w:div w:id="1748335231">
      <w:bodyDiv w:val="1"/>
      <w:marLeft w:val="0"/>
      <w:marRight w:val="0"/>
      <w:marTop w:val="0"/>
      <w:marBottom w:val="0"/>
      <w:divBdr>
        <w:top w:val="none" w:sz="0" w:space="0" w:color="auto"/>
        <w:left w:val="none" w:sz="0" w:space="0" w:color="auto"/>
        <w:bottom w:val="none" w:sz="0" w:space="0" w:color="auto"/>
        <w:right w:val="none" w:sz="0" w:space="0" w:color="auto"/>
      </w:divBdr>
    </w:div>
    <w:div w:id="1749108204">
      <w:bodyDiv w:val="1"/>
      <w:marLeft w:val="0"/>
      <w:marRight w:val="0"/>
      <w:marTop w:val="0"/>
      <w:marBottom w:val="0"/>
      <w:divBdr>
        <w:top w:val="none" w:sz="0" w:space="0" w:color="auto"/>
        <w:left w:val="none" w:sz="0" w:space="0" w:color="auto"/>
        <w:bottom w:val="none" w:sz="0" w:space="0" w:color="auto"/>
        <w:right w:val="none" w:sz="0" w:space="0" w:color="auto"/>
      </w:divBdr>
    </w:div>
    <w:div w:id="1749384652">
      <w:bodyDiv w:val="1"/>
      <w:marLeft w:val="0"/>
      <w:marRight w:val="0"/>
      <w:marTop w:val="0"/>
      <w:marBottom w:val="0"/>
      <w:divBdr>
        <w:top w:val="none" w:sz="0" w:space="0" w:color="auto"/>
        <w:left w:val="none" w:sz="0" w:space="0" w:color="auto"/>
        <w:bottom w:val="none" w:sz="0" w:space="0" w:color="auto"/>
        <w:right w:val="none" w:sz="0" w:space="0" w:color="auto"/>
      </w:divBdr>
    </w:div>
    <w:div w:id="1749769545">
      <w:bodyDiv w:val="1"/>
      <w:marLeft w:val="0"/>
      <w:marRight w:val="0"/>
      <w:marTop w:val="0"/>
      <w:marBottom w:val="0"/>
      <w:divBdr>
        <w:top w:val="none" w:sz="0" w:space="0" w:color="auto"/>
        <w:left w:val="none" w:sz="0" w:space="0" w:color="auto"/>
        <w:bottom w:val="none" w:sz="0" w:space="0" w:color="auto"/>
        <w:right w:val="none" w:sz="0" w:space="0" w:color="auto"/>
      </w:divBdr>
    </w:div>
    <w:div w:id="1750274050">
      <w:bodyDiv w:val="1"/>
      <w:marLeft w:val="0"/>
      <w:marRight w:val="0"/>
      <w:marTop w:val="0"/>
      <w:marBottom w:val="0"/>
      <w:divBdr>
        <w:top w:val="none" w:sz="0" w:space="0" w:color="auto"/>
        <w:left w:val="none" w:sz="0" w:space="0" w:color="auto"/>
        <w:bottom w:val="none" w:sz="0" w:space="0" w:color="auto"/>
        <w:right w:val="none" w:sz="0" w:space="0" w:color="auto"/>
      </w:divBdr>
    </w:div>
    <w:div w:id="1750425006">
      <w:bodyDiv w:val="1"/>
      <w:marLeft w:val="0"/>
      <w:marRight w:val="0"/>
      <w:marTop w:val="0"/>
      <w:marBottom w:val="0"/>
      <w:divBdr>
        <w:top w:val="none" w:sz="0" w:space="0" w:color="auto"/>
        <w:left w:val="none" w:sz="0" w:space="0" w:color="auto"/>
        <w:bottom w:val="none" w:sz="0" w:space="0" w:color="auto"/>
        <w:right w:val="none" w:sz="0" w:space="0" w:color="auto"/>
      </w:divBdr>
    </w:div>
    <w:div w:id="1750690896">
      <w:bodyDiv w:val="1"/>
      <w:marLeft w:val="0"/>
      <w:marRight w:val="0"/>
      <w:marTop w:val="0"/>
      <w:marBottom w:val="0"/>
      <w:divBdr>
        <w:top w:val="none" w:sz="0" w:space="0" w:color="auto"/>
        <w:left w:val="none" w:sz="0" w:space="0" w:color="auto"/>
        <w:bottom w:val="none" w:sz="0" w:space="0" w:color="auto"/>
        <w:right w:val="none" w:sz="0" w:space="0" w:color="auto"/>
      </w:divBdr>
    </w:div>
    <w:div w:id="1751270253">
      <w:bodyDiv w:val="1"/>
      <w:marLeft w:val="0"/>
      <w:marRight w:val="0"/>
      <w:marTop w:val="0"/>
      <w:marBottom w:val="0"/>
      <w:divBdr>
        <w:top w:val="none" w:sz="0" w:space="0" w:color="auto"/>
        <w:left w:val="none" w:sz="0" w:space="0" w:color="auto"/>
        <w:bottom w:val="none" w:sz="0" w:space="0" w:color="auto"/>
        <w:right w:val="none" w:sz="0" w:space="0" w:color="auto"/>
      </w:divBdr>
    </w:div>
    <w:div w:id="1751386378">
      <w:bodyDiv w:val="1"/>
      <w:marLeft w:val="0"/>
      <w:marRight w:val="0"/>
      <w:marTop w:val="0"/>
      <w:marBottom w:val="0"/>
      <w:divBdr>
        <w:top w:val="none" w:sz="0" w:space="0" w:color="auto"/>
        <w:left w:val="none" w:sz="0" w:space="0" w:color="auto"/>
        <w:bottom w:val="none" w:sz="0" w:space="0" w:color="auto"/>
        <w:right w:val="none" w:sz="0" w:space="0" w:color="auto"/>
      </w:divBdr>
    </w:div>
    <w:div w:id="1751654683">
      <w:bodyDiv w:val="1"/>
      <w:marLeft w:val="0"/>
      <w:marRight w:val="0"/>
      <w:marTop w:val="0"/>
      <w:marBottom w:val="0"/>
      <w:divBdr>
        <w:top w:val="none" w:sz="0" w:space="0" w:color="auto"/>
        <w:left w:val="none" w:sz="0" w:space="0" w:color="auto"/>
        <w:bottom w:val="none" w:sz="0" w:space="0" w:color="auto"/>
        <w:right w:val="none" w:sz="0" w:space="0" w:color="auto"/>
      </w:divBdr>
    </w:div>
    <w:div w:id="1752265545">
      <w:bodyDiv w:val="1"/>
      <w:marLeft w:val="0"/>
      <w:marRight w:val="0"/>
      <w:marTop w:val="0"/>
      <w:marBottom w:val="0"/>
      <w:divBdr>
        <w:top w:val="none" w:sz="0" w:space="0" w:color="auto"/>
        <w:left w:val="none" w:sz="0" w:space="0" w:color="auto"/>
        <w:bottom w:val="none" w:sz="0" w:space="0" w:color="auto"/>
        <w:right w:val="none" w:sz="0" w:space="0" w:color="auto"/>
      </w:divBdr>
    </w:div>
    <w:div w:id="1752434145">
      <w:bodyDiv w:val="1"/>
      <w:marLeft w:val="0"/>
      <w:marRight w:val="0"/>
      <w:marTop w:val="0"/>
      <w:marBottom w:val="0"/>
      <w:divBdr>
        <w:top w:val="none" w:sz="0" w:space="0" w:color="auto"/>
        <w:left w:val="none" w:sz="0" w:space="0" w:color="auto"/>
        <w:bottom w:val="none" w:sz="0" w:space="0" w:color="auto"/>
        <w:right w:val="none" w:sz="0" w:space="0" w:color="auto"/>
      </w:divBdr>
    </w:div>
    <w:div w:id="1752778610">
      <w:bodyDiv w:val="1"/>
      <w:marLeft w:val="0"/>
      <w:marRight w:val="0"/>
      <w:marTop w:val="0"/>
      <w:marBottom w:val="0"/>
      <w:divBdr>
        <w:top w:val="none" w:sz="0" w:space="0" w:color="auto"/>
        <w:left w:val="none" w:sz="0" w:space="0" w:color="auto"/>
        <w:bottom w:val="none" w:sz="0" w:space="0" w:color="auto"/>
        <w:right w:val="none" w:sz="0" w:space="0" w:color="auto"/>
      </w:divBdr>
    </w:div>
    <w:div w:id="1752895236">
      <w:bodyDiv w:val="1"/>
      <w:marLeft w:val="0"/>
      <w:marRight w:val="0"/>
      <w:marTop w:val="0"/>
      <w:marBottom w:val="0"/>
      <w:divBdr>
        <w:top w:val="none" w:sz="0" w:space="0" w:color="auto"/>
        <w:left w:val="none" w:sz="0" w:space="0" w:color="auto"/>
        <w:bottom w:val="none" w:sz="0" w:space="0" w:color="auto"/>
        <w:right w:val="none" w:sz="0" w:space="0" w:color="auto"/>
      </w:divBdr>
    </w:div>
    <w:div w:id="1753357789">
      <w:bodyDiv w:val="1"/>
      <w:marLeft w:val="0"/>
      <w:marRight w:val="0"/>
      <w:marTop w:val="0"/>
      <w:marBottom w:val="0"/>
      <w:divBdr>
        <w:top w:val="none" w:sz="0" w:space="0" w:color="auto"/>
        <w:left w:val="none" w:sz="0" w:space="0" w:color="auto"/>
        <w:bottom w:val="none" w:sz="0" w:space="0" w:color="auto"/>
        <w:right w:val="none" w:sz="0" w:space="0" w:color="auto"/>
      </w:divBdr>
    </w:div>
    <w:div w:id="1753432639">
      <w:bodyDiv w:val="1"/>
      <w:marLeft w:val="0"/>
      <w:marRight w:val="0"/>
      <w:marTop w:val="0"/>
      <w:marBottom w:val="0"/>
      <w:divBdr>
        <w:top w:val="none" w:sz="0" w:space="0" w:color="auto"/>
        <w:left w:val="none" w:sz="0" w:space="0" w:color="auto"/>
        <w:bottom w:val="none" w:sz="0" w:space="0" w:color="auto"/>
        <w:right w:val="none" w:sz="0" w:space="0" w:color="auto"/>
      </w:divBdr>
    </w:div>
    <w:div w:id="1753622115">
      <w:bodyDiv w:val="1"/>
      <w:marLeft w:val="0"/>
      <w:marRight w:val="0"/>
      <w:marTop w:val="0"/>
      <w:marBottom w:val="0"/>
      <w:divBdr>
        <w:top w:val="none" w:sz="0" w:space="0" w:color="auto"/>
        <w:left w:val="none" w:sz="0" w:space="0" w:color="auto"/>
        <w:bottom w:val="none" w:sz="0" w:space="0" w:color="auto"/>
        <w:right w:val="none" w:sz="0" w:space="0" w:color="auto"/>
      </w:divBdr>
    </w:div>
    <w:div w:id="1753819518">
      <w:bodyDiv w:val="1"/>
      <w:marLeft w:val="0"/>
      <w:marRight w:val="0"/>
      <w:marTop w:val="0"/>
      <w:marBottom w:val="0"/>
      <w:divBdr>
        <w:top w:val="none" w:sz="0" w:space="0" w:color="auto"/>
        <w:left w:val="none" w:sz="0" w:space="0" w:color="auto"/>
        <w:bottom w:val="none" w:sz="0" w:space="0" w:color="auto"/>
        <w:right w:val="none" w:sz="0" w:space="0" w:color="auto"/>
      </w:divBdr>
    </w:div>
    <w:div w:id="1754354050">
      <w:bodyDiv w:val="1"/>
      <w:marLeft w:val="0"/>
      <w:marRight w:val="0"/>
      <w:marTop w:val="0"/>
      <w:marBottom w:val="0"/>
      <w:divBdr>
        <w:top w:val="none" w:sz="0" w:space="0" w:color="auto"/>
        <w:left w:val="none" w:sz="0" w:space="0" w:color="auto"/>
        <w:bottom w:val="none" w:sz="0" w:space="0" w:color="auto"/>
        <w:right w:val="none" w:sz="0" w:space="0" w:color="auto"/>
      </w:divBdr>
    </w:div>
    <w:div w:id="1754468223">
      <w:bodyDiv w:val="1"/>
      <w:marLeft w:val="0"/>
      <w:marRight w:val="0"/>
      <w:marTop w:val="0"/>
      <w:marBottom w:val="0"/>
      <w:divBdr>
        <w:top w:val="none" w:sz="0" w:space="0" w:color="auto"/>
        <w:left w:val="none" w:sz="0" w:space="0" w:color="auto"/>
        <w:bottom w:val="none" w:sz="0" w:space="0" w:color="auto"/>
        <w:right w:val="none" w:sz="0" w:space="0" w:color="auto"/>
      </w:divBdr>
    </w:div>
    <w:div w:id="1755081849">
      <w:bodyDiv w:val="1"/>
      <w:marLeft w:val="0"/>
      <w:marRight w:val="0"/>
      <w:marTop w:val="0"/>
      <w:marBottom w:val="0"/>
      <w:divBdr>
        <w:top w:val="none" w:sz="0" w:space="0" w:color="auto"/>
        <w:left w:val="none" w:sz="0" w:space="0" w:color="auto"/>
        <w:bottom w:val="none" w:sz="0" w:space="0" w:color="auto"/>
        <w:right w:val="none" w:sz="0" w:space="0" w:color="auto"/>
      </w:divBdr>
    </w:div>
    <w:div w:id="1755278289">
      <w:bodyDiv w:val="1"/>
      <w:marLeft w:val="0"/>
      <w:marRight w:val="0"/>
      <w:marTop w:val="0"/>
      <w:marBottom w:val="0"/>
      <w:divBdr>
        <w:top w:val="none" w:sz="0" w:space="0" w:color="auto"/>
        <w:left w:val="none" w:sz="0" w:space="0" w:color="auto"/>
        <w:bottom w:val="none" w:sz="0" w:space="0" w:color="auto"/>
        <w:right w:val="none" w:sz="0" w:space="0" w:color="auto"/>
      </w:divBdr>
    </w:div>
    <w:div w:id="1755514471">
      <w:bodyDiv w:val="1"/>
      <w:marLeft w:val="0"/>
      <w:marRight w:val="0"/>
      <w:marTop w:val="0"/>
      <w:marBottom w:val="0"/>
      <w:divBdr>
        <w:top w:val="none" w:sz="0" w:space="0" w:color="auto"/>
        <w:left w:val="none" w:sz="0" w:space="0" w:color="auto"/>
        <w:bottom w:val="none" w:sz="0" w:space="0" w:color="auto"/>
        <w:right w:val="none" w:sz="0" w:space="0" w:color="auto"/>
      </w:divBdr>
    </w:div>
    <w:div w:id="1757558230">
      <w:bodyDiv w:val="1"/>
      <w:marLeft w:val="0"/>
      <w:marRight w:val="0"/>
      <w:marTop w:val="0"/>
      <w:marBottom w:val="0"/>
      <w:divBdr>
        <w:top w:val="none" w:sz="0" w:space="0" w:color="auto"/>
        <w:left w:val="none" w:sz="0" w:space="0" w:color="auto"/>
        <w:bottom w:val="none" w:sz="0" w:space="0" w:color="auto"/>
        <w:right w:val="none" w:sz="0" w:space="0" w:color="auto"/>
      </w:divBdr>
    </w:div>
    <w:div w:id="1758017344">
      <w:bodyDiv w:val="1"/>
      <w:marLeft w:val="0"/>
      <w:marRight w:val="0"/>
      <w:marTop w:val="0"/>
      <w:marBottom w:val="0"/>
      <w:divBdr>
        <w:top w:val="none" w:sz="0" w:space="0" w:color="auto"/>
        <w:left w:val="none" w:sz="0" w:space="0" w:color="auto"/>
        <w:bottom w:val="none" w:sz="0" w:space="0" w:color="auto"/>
        <w:right w:val="none" w:sz="0" w:space="0" w:color="auto"/>
      </w:divBdr>
    </w:div>
    <w:div w:id="1758480266">
      <w:bodyDiv w:val="1"/>
      <w:marLeft w:val="0"/>
      <w:marRight w:val="0"/>
      <w:marTop w:val="0"/>
      <w:marBottom w:val="0"/>
      <w:divBdr>
        <w:top w:val="none" w:sz="0" w:space="0" w:color="auto"/>
        <w:left w:val="none" w:sz="0" w:space="0" w:color="auto"/>
        <w:bottom w:val="none" w:sz="0" w:space="0" w:color="auto"/>
        <w:right w:val="none" w:sz="0" w:space="0" w:color="auto"/>
      </w:divBdr>
    </w:div>
    <w:div w:id="1759256385">
      <w:bodyDiv w:val="1"/>
      <w:marLeft w:val="0"/>
      <w:marRight w:val="0"/>
      <w:marTop w:val="0"/>
      <w:marBottom w:val="0"/>
      <w:divBdr>
        <w:top w:val="none" w:sz="0" w:space="0" w:color="auto"/>
        <w:left w:val="none" w:sz="0" w:space="0" w:color="auto"/>
        <w:bottom w:val="none" w:sz="0" w:space="0" w:color="auto"/>
        <w:right w:val="none" w:sz="0" w:space="0" w:color="auto"/>
      </w:divBdr>
    </w:div>
    <w:div w:id="1759667670">
      <w:bodyDiv w:val="1"/>
      <w:marLeft w:val="0"/>
      <w:marRight w:val="0"/>
      <w:marTop w:val="0"/>
      <w:marBottom w:val="0"/>
      <w:divBdr>
        <w:top w:val="none" w:sz="0" w:space="0" w:color="auto"/>
        <w:left w:val="none" w:sz="0" w:space="0" w:color="auto"/>
        <w:bottom w:val="none" w:sz="0" w:space="0" w:color="auto"/>
        <w:right w:val="none" w:sz="0" w:space="0" w:color="auto"/>
      </w:divBdr>
    </w:div>
    <w:div w:id="1759668567">
      <w:bodyDiv w:val="1"/>
      <w:marLeft w:val="0"/>
      <w:marRight w:val="0"/>
      <w:marTop w:val="0"/>
      <w:marBottom w:val="0"/>
      <w:divBdr>
        <w:top w:val="none" w:sz="0" w:space="0" w:color="auto"/>
        <w:left w:val="none" w:sz="0" w:space="0" w:color="auto"/>
        <w:bottom w:val="none" w:sz="0" w:space="0" w:color="auto"/>
        <w:right w:val="none" w:sz="0" w:space="0" w:color="auto"/>
      </w:divBdr>
    </w:div>
    <w:div w:id="1760248583">
      <w:bodyDiv w:val="1"/>
      <w:marLeft w:val="0"/>
      <w:marRight w:val="0"/>
      <w:marTop w:val="0"/>
      <w:marBottom w:val="0"/>
      <w:divBdr>
        <w:top w:val="none" w:sz="0" w:space="0" w:color="auto"/>
        <w:left w:val="none" w:sz="0" w:space="0" w:color="auto"/>
        <w:bottom w:val="none" w:sz="0" w:space="0" w:color="auto"/>
        <w:right w:val="none" w:sz="0" w:space="0" w:color="auto"/>
      </w:divBdr>
    </w:div>
    <w:div w:id="1760760010">
      <w:bodyDiv w:val="1"/>
      <w:marLeft w:val="0"/>
      <w:marRight w:val="0"/>
      <w:marTop w:val="0"/>
      <w:marBottom w:val="0"/>
      <w:divBdr>
        <w:top w:val="none" w:sz="0" w:space="0" w:color="auto"/>
        <w:left w:val="none" w:sz="0" w:space="0" w:color="auto"/>
        <w:bottom w:val="none" w:sz="0" w:space="0" w:color="auto"/>
        <w:right w:val="none" w:sz="0" w:space="0" w:color="auto"/>
      </w:divBdr>
    </w:div>
    <w:div w:id="1761871206">
      <w:bodyDiv w:val="1"/>
      <w:marLeft w:val="0"/>
      <w:marRight w:val="0"/>
      <w:marTop w:val="0"/>
      <w:marBottom w:val="0"/>
      <w:divBdr>
        <w:top w:val="none" w:sz="0" w:space="0" w:color="auto"/>
        <w:left w:val="none" w:sz="0" w:space="0" w:color="auto"/>
        <w:bottom w:val="none" w:sz="0" w:space="0" w:color="auto"/>
        <w:right w:val="none" w:sz="0" w:space="0" w:color="auto"/>
      </w:divBdr>
    </w:div>
    <w:div w:id="1761874233">
      <w:bodyDiv w:val="1"/>
      <w:marLeft w:val="0"/>
      <w:marRight w:val="0"/>
      <w:marTop w:val="0"/>
      <w:marBottom w:val="0"/>
      <w:divBdr>
        <w:top w:val="none" w:sz="0" w:space="0" w:color="auto"/>
        <w:left w:val="none" w:sz="0" w:space="0" w:color="auto"/>
        <w:bottom w:val="none" w:sz="0" w:space="0" w:color="auto"/>
        <w:right w:val="none" w:sz="0" w:space="0" w:color="auto"/>
      </w:divBdr>
    </w:div>
    <w:div w:id="1762333531">
      <w:bodyDiv w:val="1"/>
      <w:marLeft w:val="0"/>
      <w:marRight w:val="0"/>
      <w:marTop w:val="0"/>
      <w:marBottom w:val="0"/>
      <w:divBdr>
        <w:top w:val="none" w:sz="0" w:space="0" w:color="auto"/>
        <w:left w:val="none" w:sz="0" w:space="0" w:color="auto"/>
        <w:bottom w:val="none" w:sz="0" w:space="0" w:color="auto"/>
        <w:right w:val="none" w:sz="0" w:space="0" w:color="auto"/>
      </w:divBdr>
    </w:div>
    <w:div w:id="1762407534">
      <w:bodyDiv w:val="1"/>
      <w:marLeft w:val="0"/>
      <w:marRight w:val="0"/>
      <w:marTop w:val="0"/>
      <w:marBottom w:val="0"/>
      <w:divBdr>
        <w:top w:val="none" w:sz="0" w:space="0" w:color="auto"/>
        <w:left w:val="none" w:sz="0" w:space="0" w:color="auto"/>
        <w:bottom w:val="none" w:sz="0" w:space="0" w:color="auto"/>
        <w:right w:val="none" w:sz="0" w:space="0" w:color="auto"/>
      </w:divBdr>
    </w:div>
    <w:div w:id="1762411403">
      <w:bodyDiv w:val="1"/>
      <w:marLeft w:val="0"/>
      <w:marRight w:val="0"/>
      <w:marTop w:val="0"/>
      <w:marBottom w:val="0"/>
      <w:divBdr>
        <w:top w:val="none" w:sz="0" w:space="0" w:color="auto"/>
        <w:left w:val="none" w:sz="0" w:space="0" w:color="auto"/>
        <w:bottom w:val="none" w:sz="0" w:space="0" w:color="auto"/>
        <w:right w:val="none" w:sz="0" w:space="0" w:color="auto"/>
      </w:divBdr>
    </w:div>
    <w:div w:id="1762529985">
      <w:bodyDiv w:val="1"/>
      <w:marLeft w:val="0"/>
      <w:marRight w:val="0"/>
      <w:marTop w:val="0"/>
      <w:marBottom w:val="0"/>
      <w:divBdr>
        <w:top w:val="none" w:sz="0" w:space="0" w:color="auto"/>
        <w:left w:val="none" w:sz="0" w:space="0" w:color="auto"/>
        <w:bottom w:val="none" w:sz="0" w:space="0" w:color="auto"/>
        <w:right w:val="none" w:sz="0" w:space="0" w:color="auto"/>
      </w:divBdr>
    </w:div>
    <w:div w:id="1764378457">
      <w:bodyDiv w:val="1"/>
      <w:marLeft w:val="0"/>
      <w:marRight w:val="0"/>
      <w:marTop w:val="0"/>
      <w:marBottom w:val="0"/>
      <w:divBdr>
        <w:top w:val="none" w:sz="0" w:space="0" w:color="auto"/>
        <w:left w:val="none" w:sz="0" w:space="0" w:color="auto"/>
        <w:bottom w:val="none" w:sz="0" w:space="0" w:color="auto"/>
        <w:right w:val="none" w:sz="0" w:space="0" w:color="auto"/>
      </w:divBdr>
    </w:div>
    <w:div w:id="1764452004">
      <w:bodyDiv w:val="1"/>
      <w:marLeft w:val="0"/>
      <w:marRight w:val="0"/>
      <w:marTop w:val="0"/>
      <w:marBottom w:val="0"/>
      <w:divBdr>
        <w:top w:val="none" w:sz="0" w:space="0" w:color="auto"/>
        <w:left w:val="none" w:sz="0" w:space="0" w:color="auto"/>
        <w:bottom w:val="none" w:sz="0" w:space="0" w:color="auto"/>
        <w:right w:val="none" w:sz="0" w:space="0" w:color="auto"/>
      </w:divBdr>
    </w:div>
    <w:div w:id="1764718317">
      <w:bodyDiv w:val="1"/>
      <w:marLeft w:val="0"/>
      <w:marRight w:val="0"/>
      <w:marTop w:val="0"/>
      <w:marBottom w:val="0"/>
      <w:divBdr>
        <w:top w:val="none" w:sz="0" w:space="0" w:color="auto"/>
        <w:left w:val="none" w:sz="0" w:space="0" w:color="auto"/>
        <w:bottom w:val="none" w:sz="0" w:space="0" w:color="auto"/>
        <w:right w:val="none" w:sz="0" w:space="0" w:color="auto"/>
      </w:divBdr>
    </w:div>
    <w:div w:id="1764718372">
      <w:bodyDiv w:val="1"/>
      <w:marLeft w:val="0"/>
      <w:marRight w:val="0"/>
      <w:marTop w:val="0"/>
      <w:marBottom w:val="0"/>
      <w:divBdr>
        <w:top w:val="none" w:sz="0" w:space="0" w:color="auto"/>
        <w:left w:val="none" w:sz="0" w:space="0" w:color="auto"/>
        <w:bottom w:val="none" w:sz="0" w:space="0" w:color="auto"/>
        <w:right w:val="none" w:sz="0" w:space="0" w:color="auto"/>
      </w:divBdr>
    </w:div>
    <w:div w:id="1764762872">
      <w:bodyDiv w:val="1"/>
      <w:marLeft w:val="0"/>
      <w:marRight w:val="0"/>
      <w:marTop w:val="0"/>
      <w:marBottom w:val="0"/>
      <w:divBdr>
        <w:top w:val="none" w:sz="0" w:space="0" w:color="auto"/>
        <w:left w:val="none" w:sz="0" w:space="0" w:color="auto"/>
        <w:bottom w:val="none" w:sz="0" w:space="0" w:color="auto"/>
        <w:right w:val="none" w:sz="0" w:space="0" w:color="auto"/>
      </w:divBdr>
    </w:div>
    <w:div w:id="1764909846">
      <w:bodyDiv w:val="1"/>
      <w:marLeft w:val="0"/>
      <w:marRight w:val="0"/>
      <w:marTop w:val="0"/>
      <w:marBottom w:val="0"/>
      <w:divBdr>
        <w:top w:val="none" w:sz="0" w:space="0" w:color="auto"/>
        <w:left w:val="none" w:sz="0" w:space="0" w:color="auto"/>
        <w:bottom w:val="none" w:sz="0" w:space="0" w:color="auto"/>
        <w:right w:val="none" w:sz="0" w:space="0" w:color="auto"/>
      </w:divBdr>
    </w:div>
    <w:div w:id="1765027790">
      <w:bodyDiv w:val="1"/>
      <w:marLeft w:val="0"/>
      <w:marRight w:val="0"/>
      <w:marTop w:val="0"/>
      <w:marBottom w:val="0"/>
      <w:divBdr>
        <w:top w:val="none" w:sz="0" w:space="0" w:color="auto"/>
        <w:left w:val="none" w:sz="0" w:space="0" w:color="auto"/>
        <w:bottom w:val="none" w:sz="0" w:space="0" w:color="auto"/>
        <w:right w:val="none" w:sz="0" w:space="0" w:color="auto"/>
      </w:divBdr>
    </w:div>
    <w:div w:id="1766149599">
      <w:bodyDiv w:val="1"/>
      <w:marLeft w:val="0"/>
      <w:marRight w:val="0"/>
      <w:marTop w:val="0"/>
      <w:marBottom w:val="0"/>
      <w:divBdr>
        <w:top w:val="none" w:sz="0" w:space="0" w:color="auto"/>
        <w:left w:val="none" w:sz="0" w:space="0" w:color="auto"/>
        <w:bottom w:val="none" w:sz="0" w:space="0" w:color="auto"/>
        <w:right w:val="none" w:sz="0" w:space="0" w:color="auto"/>
      </w:divBdr>
    </w:div>
    <w:div w:id="1766265533">
      <w:bodyDiv w:val="1"/>
      <w:marLeft w:val="0"/>
      <w:marRight w:val="0"/>
      <w:marTop w:val="0"/>
      <w:marBottom w:val="0"/>
      <w:divBdr>
        <w:top w:val="none" w:sz="0" w:space="0" w:color="auto"/>
        <w:left w:val="none" w:sz="0" w:space="0" w:color="auto"/>
        <w:bottom w:val="none" w:sz="0" w:space="0" w:color="auto"/>
        <w:right w:val="none" w:sz="0" w:space="0" w:color="auto"/>
      </w:divBdr>
    </w:div>
    <w:div w:id="1766342154">
      <w:bodyDiv w:val="1"/>
      <w:marLeft w:val="0"/>
      <w:marRight w:val="0"/>
      <w:marTop w:val="0"/>
      <w:marBottom w:val="0"/>
      <w:divBdr>
        <w:top w:val="none" w:sz="0" w:space="0" w:color="auto"/>
        <w:left w:val="none" w:sz="0" w:space="0" w:color="auto"/>
        <w:bottom w:val="none" w:sz="0" w:space="0" w:color="auto"/>
        <w:right w:val="none" w:sz="0" w:space="0" w:color="auto"/>
      </w:divBdr>
    </w:div>
    <w:div w:id="1766464185">
      <w:bodyDiv w:val="1"/>
      <w:marLeft w:val="0"/>
      <w:marRight w:val="0"/>
      <w:marTop w:val="0"/>
      <w:marBottom w:val="0"/>
      <w:divBdr>
        <w:top w:val="none" w:sz="0" w:space="0" w:color="auto"/>
        <w:left w:val="none" w:sz="0" w:space="0" w:color="auto"/>
        <w:bottom w:val="none" w:sz="0" w:space="0" w:color="auto"/>
        <w:right w:val="none" w:sz="0" w:space="0" w:color="auto"/>
      </w:divBdr>
    </w:div>
    <w:div w:id="1766727641">
      <w:bodyDiv w:val="1"/>
      <w:marLeft w:val="0"/>
      <w:marRight w:val="0"/>
      <w:marTop w:val="0"/>
      <w:marBottom w:val="0"/>
      <w:divBdr>
        <w:top w:val="none" w:sz="0" w:space="0" w:color="auto"/>
        <w:left w:val="none" w:sz="0" w:space="0" w:color="auto"/>
        <w:bottom w:val="none" w:sz="0" w:space="0" w:color="auto"/>
        <w:right w:val="none" w:sz="0" w:space="0" w:color="auto"/>
      </w:divBdr>
    </w:div>
    <w:div w:id="1767075801">
      <w:bodyDiv w:val="1"/>
      <w:marLeft w:val="0"/>
      <w:marRight w:val="0"/>
      <w:marTop w:val="0"/>
      <w:marBottom w:val="0"/>
      <w:divBdr>
        <w:top w:val="none" w:sz="0" w:space="0" w:color="auto"/>
        <w:left w:val="none" w:sz="0" w:space="0" w:color="auto"/>
        <w:bottom w:val="none" w:sz="0" w:space="0" w:color="auto"/>
        <w:right w:val="none" w:sz="0" w:space="0" w:color="auto"/>
      </w:divBdr>
    </w:div>
    <w:div w:id="1767770720">
      <w:bodyDiv w:val="1"/>
      <w:marLeft w:val="0"/>
      <w:marRight w:val="0"/>
      <w:marTop w:val="0"/>
      <w:marBottom w:val="0"/>
      <w:divBdr>
        <w:top w:val="none" w:sz="0" w:space="0" w:color="auto"/>
        <w:left w:val="none" w:sz="0" w:space="0" w:color="auto"/>
        <w:bottom w:val="none" w:sz="0" w:space="0" w:color="auto"/>
        <w:right w:val="none" w:sz="0" w:space="0" w:color="auto"/>
      </w:divBdr>
    </w:div>
    <w:div w:id="1768385551">
      <w:bodyDiv w:val="1"/>
      <w:marLeft w:val="0"/>
      <w:marRight w:val="0"/>
      <w:marTop w:val="0"/>
      <w:marBottom w:val="0"/>
      <w:divBdr>
        <w:top w:val="none" w:sz="0" w:space="0" w:color="auto"/>
        <w:left w:val="none" w:sz="0" w:space="0" w:color="auto"/>
        <w:bottom w:val="none" w:sz="0" w:space="0" w:color="auto"/>
        <w:right w:val="none" w:sz="0" w:space="0" w:color="auto"/>
      </w:divBdr>
    </w:div>
    <w:div w:id="1769306429">
      <w:bodyDiv w:val="1"/>
      <w:marLeft w:val="0"/>
      <w:marRight w:val="0"/>
      <w:marTop w:val="0"/>
      <w:marBottom w:val="0"/>
      <w:divBdr>
        <w:top w:val="none" w:sz="0" w:space="0" w:color="auto"/>
        <w:left w:val="none" w:sz="0" w:space="0" w:color="auto"/>
        <w:bottom w:val="none" w:sz="0" w:space="0" w:color="auto"/>
        <w:right w:val="none" w:sz="0" w:space="0" w:color="auto"/>
      </w:divBdr>
    </w:div>
    <w:div w:id="1769503259">
      <w:bodyDiv w:val="1"/>
      <w:marLeft w:val="0"/>
      <w:marRight w:val="0"/>
      <w:marTop w:val="0"/>
      <w:marBottom w:val="0"/>
      <w:divBdr>
        <w:top w:val="none" w:sz="0" w:space="0" w:color="auto"/>
        <w:left w:val="none" w:sz="0" w:space="0" w:color="auto"/>
        <w:bottom w:val="none" w:sz="0" w:space="0" w:color="auto"/>
        <w:right w:val="none" w:sz="0" w:space="0" w:color="auto"/>
      </w:divBdr>
    </w:div>
    <w:div w:id="1770732078">
      <w:bodyDiv w:val="1"/>
      <w:marLeft w:val="0"/>
      <w:marRight w:val="0"/>
      <w:marTop w:val="0"/>
      <w:marBottom w:val="0"/>
      <w:divBdr>
        <w:top w:val="none" w:sz="0" w:space="0" w:color="auto"/>
        <w:left w:val="none" w:sz="0" w:space="0" w:color="auto"/>
        <w:bottom w:val="none" w:sz="0" w:space="0" w:color="auto"/>
        <w:right w:val="none" w:sz="0" w:space="0" w:color="auto"/>
      </w:divBdr>
    </w:div>
    <w:div w:id="1770813964">
      <w:bodyDiv w:val="1"/>
      <w:marLeft w:val="0"/>
      <w:marRight w:val="0"/>
      <w:marTop w:val="0"/>
      <w:marBottom w:val="0"/>
      <w:divBdr>
        <w:top w:val="none" w:sz="0" w:space="0" w:color="auto"/>
        <w:left w:val="none" w:sz="0" w:space="0" w:color="auto"/>
        <w:bottom w:val="none" w:sz="0" w:space="0" w:color="auto"/>
        <w:right w:val="none" w:sz="0" w:space="0" w:color="auto"/>
      </w:divBdr>
    </w:div>
    <w:div w:id="1771047163">
      <w:bodyDiv w:val="1"/>
      <w:marLeft w:val="0"/>
      <w:marRight w:val="0"/>
      <w:marTop w:val="0"/>
      <w:marBottom w:val="0"/>
      <w:divBdr>
        <w:top w:val="none" w:sz="0" w:space="0" w:color="auto"/>
        <w:left w:val="none" w:sz="0" w:space="0" w:color="auto"/>
        <w:bottom w:val="none" w:sz="0" w:space="0" w:color="auto"/>
        <w:right w:val="none" w:sz="0" w:space="0" w:color="auto"/>
      </w:divBdr>
    </w:div>
    <w:div w:id="1771273993">
      <w:bodyDiv w:val="1"/>
      <w:marLeft w:val="0"/>
      <w:marRight w:val="0"/>
      <w:marTop w:val="0"/>
      <w:marBottom w:val="0"/>
      <w:divBdr>
        <w:top w:val="none" w:sz="0" w:space="0" w:color="auto"/>
        <w:left w:val="none" w:sz="0" w:space="0" w:color="auto"/>
        <w:bottom w:val="none" w:sz="0" w:space="0" w:color="auto"/>
        <w:right w:val="none" w:sz="0" w:space="0" w:color="auto"/>
      </w:divBdr>
    </w:div>
    <w:div w:id="1771311720">
      <w:bodyDiv w:val="1"/>
      <w:marLeft w:val="0"/>
      <w:marRight w:val="0"/>
      <w:marTop w:val="0"/>
      <w:marBottom w:val="0"/>
      <w:divBdr>
        <w:top w:val="none" w:sz="0" w:space="0" w:color="auto"/>
        <w:left w:val="none" w:sz="0" w:space="0" w:color="auto"/>
        <w:bottom w:val="none" w:sz="0" w:space="0" w:color="auto"/>
        <w:right w:val="none" w:sz="0" w:space="0" w:color="auto"/>
      </w:divBdr>
    </w:div>
    <w:div w:id="1771851081">
      <w:bodyDiv w:val="1"/>
      <w:marLeft w:val="0"/>
      <w:marRight w:val="0"/>
      <w:marTop w:val="0"/>
      <w:marBottom w:val="0"/>
      <w:divBdr>
        <w:top w:val="none" w:sz="0" w:space="0" w:color="auto"/>
        <w:left w:val="none" w:sz="0" w:space="0" w:color="auto"/>
        <w:bottom w:val="none" w:sz="0" w:space="0" w:color="auto"/>
        <w:right w:val="none" w:sz="0" w:space="0" w:color="auto"/>
      </w:divBdr>
    </w:div>
    <w:div w:id="1771925329">
      <w:bodyDiv w:val="1"/>
      <w:marLeft w:val="0"/>
      <w:marRight w:val="0"/>
      <w:marTop w:val="0"/>
      <w:marBottom w:val="0"/>
      <w:divBdr>
        <w:top w:val="none" w:sz="0" w:space="0" w:color="auto"/>
        <w:left w:val="none" w:sz="0" w:space="0" w:color="auto"/>
        <w:bottom w:val="none" w:sz="0" w:space="0" w:color="auto"/>
        <w:right w:val="none" w:sz="0" w:space="0" w:color="auto"/>
      </w:divBdr>
    </w:div>
    <w:div w:id="1772385901">
      <w:bodyDiv w:val="1"/>
      <w:marLeft w:val="0"/>
      <w:marRight w:val="0"/>
      <w:marTop w:val="0"/>
      <w:marBottom w:val="0"/>
      <w:divBdr>
        <w:top w:val="none" w:sz="0" w:space="0" w:color="auto"/>
        <w:left w:val="none" w:sz="0" w:space="0" w:color="auto"/>
        <w:bottom w:val="none" w:sz="0" w:space="0" w:color="auto"/>
        <w:right w:val="none" w:sz="0" w:space="0" w:color="auto"/>
      </w:divBdr>
    </w:div>
    <w:div w:id="1772970726">
      <w:bodyDiv w:val="1"/>
      <w:marLeft w:val="0"/>
      <w:marRight w:val="0"/>
      <w:marTop w:val="0"/>
      <w:marBottom w:val="0"/>
      <w:divBdr>
        <w:top w:val="none" w:sz="0" w:space="0" w:color="auto"/>
        <w:left w:val="none" w:sz="0" w:space="0" w:color="auto"/>
        <w:bottom w:val="none" w:sz="0" w:space="0" w:color="auto"/>
        <w:right w:val="none" w:sz="0" w:space="0" w:color="auto"/>
      </w:divBdr>
    </w:div>
    <w:div w:id="1773429887">
      <w:bodyDiv w:val="1"/>
      <w:marLeft w:val="0"/>
      <w:marRight w:val="0"/>
      <w:marTop w:val="0"/>
      <w:marBottom w:val="0"/>
      <w:divBdr>
        <w:top w:val="none" w:sz="0" w:space="0" w:color="auto"/>
        <w:left w:val="none" w:sz="0" w:space="0" w:color="auto"/>
        <w:bottom w:val="none" w:sz="0" w:space="0" w:color="auto"/>
        <w:right w:val="none" w:sz="0" w:space="0" w:color="auto"/>
      </w:divBdr>
    </w:div>
    <w:div w:id="1773471722">
      <w:bodyDiv w:val="1"/>
      <w:marLeft w:val="0"/>
      <w:marRight w:val="0"/>
      <w:marTop w:val="0"/>
      <w:marBottom w:val="0"/>
      <w:divBdr>
        <w:top w:val="none" w:sz="0" w:space="0" w:color="auto"/>
        <w:left w:val="none" w:sz="0" w:space="0" w:color="auto"/>
        <w:bottom w:val="none" w:sz="0" w:space="0" w:color="auto"/>
        <w:right w:val="none" w:sz="0" w:space="0" w:color="auto"/>
      </w:divBdr>
    </w:div>
    <w:div w:id="1773553039">
      <w:bodyDiv w:val="1"/>
      <w:marLeft w:val="0"/>
      <w:marRight w:val="0"/>
      <w:marTop w:val="0"/>
      <w:marBottom w:val="0"/>
      <w:divBdr>
        <w:top w:val="none" w:sz="0" w:space="0" w:color="auto"/>
        <w:left w:val="none" w:sz="0" w:space="0" w:color="auto"/>
        <w:bottom w:val="none" w:sz="0" w:space="0" w:color="auto"/>
        <w:right w:val="none" w:sz="0" w:space="0" w:color="auto"/>
      </w:divBdr>
    </w:div>
    <w:div w:id="1773894802">
      <w:bodyDiv w:val="1"/>
      <w:marLeft w:val="0"/>
      <w:marRight w:val="0"/>
      <w:marTop w:val="0"/>
      <w:marBottom w:val="0"/>
      <w:divBdr>
        <w:top w:val="none" w:sz="0" w:space="0" w:color="auto"/>
        <w:left w:val="none" w:sz="0" w:space="0" w:color="auto"/>
        <w:bottom w:val="none" w:sz="0" w:space="0" w:color="auto"/>
        <w:right w:val="none" w:sz="0" w:space="0" w:color="auto"/>
      </w:divBdr>
    </w:div>
    <w:div w:id="1774746636">
      <w:bodyDiv w:val="1"/>
      <w:marLeft w:val="0"/>
      <w:marRight w:val="0"/>
      <w:marTop w:val="0"/>
      <w:marBottom w:val="0"/>
      <w:divBdr>
        <w:top w:val="none" w:sz="0" w:space="0" w:color="auto"/>
        <w:left w:val="none" w:sz="0" w:space="0" w:color="auto"/>
        <w:bottom w:val="none" w:sz="0" w:space="0" w:color="auto"/>
        <w:right w:val="none" w:sz="0" w:space="0" w:color="auto"/>
      </w:divBdr>
    </w:div>
    <w:div w:id="1775127474">
      <w:bodyDiv w:val="1"/>
      <w:marLeft w:val="0"/>
      <w:marRight w:val="0"/>
      <w:marTop w:val="0"/>
      <w:marBottom w:val="0"/>
      <w:divBdr>
        <w:top w:val="none" w:sz="0" w:space="0" w:color="auto"/>
        <w:left w:val="none" w:sz="0" w:space="0" w:color="auto"/>
        <w:bottom w:val="none" w:sz="0" w:space="0" w:color="auto"/>
        <w:right w:val="none" w:sz="0" w:space="0" w:color="auto"/>
      </w:divBdr>
    </w:div>
    <w:div w:id="1775127818">
      <w:bodyDiv w:val="1"/>
      <w:marLeft w:val="0"/>
      <w:marRight w:val="0"/>
      <w:marTop w:val="0"/>
      <w:marBottom w:val="0"/>
      <w:divBdr>
        <w:top w:val="none" w:sz="0" w:space="0" w:color="auto"/>
        <w:left w:val="none" w:sz="0" w:space="0" w:color="auto"/>
        <w:bottom w:val="none" w:sz="0" w:space="0" w:color="auto"/>
        <w:right w:val="none" w:sz="0" w:space="0" w:color="auto"/>
      </w:divBdr>
    </w:div>
    <w:div w:id="1775176528">
      <w:bodyDiv w:val="1"/>
      <w:marLeft w:val="0"/>
      <w:marRight w:val="0"/>
      <w:marTop w:val="0"/>
      <w:marBottom w:val="0"/>
      <w:divBdr>
        <w:top w:val="none" w:sz="0" w:space="0" w:color="auto"/>
        <w:left w:val="none" w:sz="0" w:space="0" w:color="auto"/>
        <w:bottom w:val="none" w:sz="0" w:space="0" w:color="auto"/>
        <w:right w:val="none" w:sz="0" w:space="0" w:color="auto"/>
      </w:divBdr>
    </w:div>
    <w:div w:id="1775907139">
      <w:bodyDiv w:val="1"/>
      <w:marLeft w:val="0"/>
      <w:marRight w:val="0"/>
      <w:marTop w:val="0"/>
      <w:marBottom w:val="0"/>
      <w:divBdr>
        <w:top w:val="none" w:sz="0" w:space="0" w:color="auto"/>
        <w:left w:val="none" w:sz="0" w:space="0" w:color="auto"/>
        <w:bottom w:val="none" w:sz="0" w:space="0" w:color="auto"/>
        <w:right w:val="none" w:sz="0" w:space="0" w:color="auto"/>
      </w:divBdr>
    </w:div>
    <w:div w:id="1776245530">
      <w:bodyDiv w:val="1"/>
      <w:marLeft w:val="0"/>
      <w:marRight w:val="0"/>
      <w:marTop w:val="0"/>
      <w:marBottom w:val="0"/>
      <w:divBdr>
        <w:top w:val="none" w:sz="0" w:space="0" w:color="auto"/>
        <w:left w:val="none" w:sz="0" w:space="0" w:color="auto"/>
        <w:bottom w:val="none" w:sz="0" w:space="0" w:color="auto"/>
        <w:right w:val="none" w:sz="0" w:space="0" w:color="auto"/>
      </w:divBdr>
    </w:div>
    <w:div w:id="1776288189">
      <w:bodyDiv w:val="1"/>
      <w:marLeft w:val="0"/>
      <w:marRight w:val="0"/>
      <w:marTop w:val="0"/>
      <w:marBottom w:val="0"/>
      <w:divBdr>
        <w:top w:val="none" w:sz="0" w:space="0" w:color="auto"/>
        <w:left w:val="none" w:sz="0" w:space="0" w:color="auto"/>
        <w:bottom w:val="none" w:sz="0" w:space="0" w:color="auto"/>
        <w:right w:val="none" w:sz="0" w:space="0" w:color="auto"/>
      </w:divBdr>
    </w:div>
    <w:div w:id="1776514816">
      <w:bodyDiv w:val="1"/>
      <w:marLeft w:val="0"/>
      <w:marRight w:val="0"/>
      <w:marTop w:val="0"/>
      <w:marBottom w:val="0"/>
      <w:divBdr>
        <w:top w:val="none" w:sz="0" w:space="0" w:color="auto"/>
        <w:left w:val="none" w:sz="0" w:space="0" w:color="auto"/>
        <w:bottom w:val="none" w:sz="0" w:space="0" w:color="auto"/>
        <w:right w:val="none" w:sz="0" w:space="0" w:color="auto"/>
      </w:divBdr>
    </w:div>
    <w:div w:id="1777485361">
      <w:bodyDiv w:val="1"/>
      <w:marLeft w:val="0"/>
      <w:marRight w:val="0"/>
      <w:marTop w:val="0"/>
      <w:marBottom w:val="0"/>
      <w:divBdr>
        <w:top w:val="none" w:sz="0" w:space="0" w:color="auto"/>
        <w:left w:val="none" w:sz="0" w:space="0" w:color="auto"/>
        <w:bottom w:val="none" w:sz="0" w:space="0" w:color="auto"/>
        <w:right w:val="none" w:sz="0" w:space="0" w:color="auto"/>
      </w:divBdr>
    </w:div>
    <w:div w:id="1777674784">
      <w:bodyDiv w:val="1"/>
      <w:marLeft w:val="0"/>
      <w:marRight w:val="0"/>
      <w:marTop w:val="0"/>
      <w:marBottom w:val="0"/>
      <w:divBdr>
        <w:top w:val="none" w:sz="0" w:space="0" w:color="auto"/>
        <w:left w:val="none" w:sz="0" w:space="0" w:color="auto"/>
        <w:bottom w:val="none" w:sz="0" w:space="0" w:color="auto"/>
        <w:right w:val="none" w:sz="0" w:space="0" w:color="auto"/>
      </w:divBdr>
    </w:div>
    <w:div w:id="1777945306">
      <w:bodyDiv w:val="1"/>
      <w:marLeft w:val="0"/>
      <w:marRight w:val="0"/>
      <w:marTop w:val="0"/>
      <w:marBottom w:val="0"/>
      <w:divBdr>
        <w:top w:val="none" w:sz="0" w:space="0" w:color="auto"/>
        <w:left w:val="none" w:sz="0" w:space="0" w:color="auto"/>
        <w:bottom w:val="none" w:sz="0" w:space="0" w:color="auto"/>
        <w:right w:val="none" w:sz="0" w:space="0" w:color="auto"/>
      </w:divBdr>
    </w:div>
    <w:div w:id="1778477148">
      <w:bodyDiv w:val="1"/>
      <w:marLeft w:val="0"/>
      <w:marRight w:val="0"/>
      <w:marTop w:val="0"/>
      <w:marBottom w:val="0"/>
      <w:divBdr>
        <w:top w:val="none" w:sz="0" w:space="0" w:color="auto"/>
        <w:left w:val="none" w:sz="0" w:space="0" w:color="auto"/>
        <w:bottom w:val="none" w:sz="0" w:space="0" w:color="auto"/>
        <w:right w:val="none" w:sz="0" w:space="0" w:color="auto"/>
      </w:divBdr>
    </w:div>
    <w:div w:id="1778670518">
      <w:bodyDiv w:val="1"/>
      <w:marLeft w:val="0"/>
      <w:marRight w:val="0"/>
      <w:marTop w:val="0"/>
      <w:marBottom w:val="0"/>
      <w:divBdr>
        <w:top w:val="none" w:sz="0" w:space="0" w:color="auto"/>
        <w:left w:val="none" w:sz="0" w:space="0" w:color="auto"/>
        <w:bottom w:val="none" w:sz="0" w:space="0" w:color="auto"/>
        <w:right w:val="none" w:sz="0" w:space="0" w:color="auto"/>
      </w:divBdr>
    </w:div>
    <w:div w:id="1778913284">
      <w:bodyDiv w:val="1"/>
      <w:marLeft w:val="0"/>
      <w:marRight w:val="0"/>
      <w:marTop w:val="0"/>
      <w:marBottom w:val="0"/>
      <w:divBdr>
        <w:top w:val="none" w:sz="0" w:space="0" w:color="auto"/>
        <w:left w:val="none" w:sz="0" w:space="0" w:color="auto"/>
        <w:bottom w:val="none" w:sz="0" w:space="0" w:color="auto"/>
        <w:right w:val="none" w:sz="0" w:space="0" w:color="auto"/>
      </w:divBdr>
    </w:div>
    <w:div w:id="1779182905">
      <w:bodyDiv w:val="1"/>
      <w:marLeft w:val="0"/>
      <w:marRight w:val="0"/>
      <w:marTop w:val="0"/>
      <w:marBottom w:val="0"/>
      <w:divBdr>
        <w:top w:val="none" w:sz="0" w:space="0" w:color="auto"/>
        <w:left w:val="none" w:sz="0" w:space="0" w:color="auto"/>
        <w:bottom w:val="none" w:sz="0" w:space="0" w:color="auto"/>
        <w:right w:val="none" w:sz="0" w:space="0" w:color="auto"/>
      </w:divBdr>
    </w:div>
    <w:div w:id="1780375751">
      <w:bodyDiv w:val="1"/>
      <w:marLeft w:val="0"/>
      <w:marRight w:val="0"/>
      <w:marTop w:val="0"/>
      <w:marBottom w:val="0"/>
      <w:divBdr>
        <w:top w:val="none" w:sz="0" w:space="0" w:color="auto"/>
        <w:left w:val="none" w:sz="0" w:space="0" w:color="auto"/>
        <w:bottom w:val="none" w:sz="0" w:space="0" w:color="auto"/>
        <w:right w:val="none" w:sz="0" w:space="0" w:color="auto"/>
      </w:divBdr>
    </w:div>
    <w:div w:id="1781096990">
      <w:bodyDiv w:val="1"/>
      <w:marLeft w:val="0"/>
      <w:marRight w:val="0"/>
      <w:marTop w:val="0"/>
      <w:marBottom w:val="0"/>
      <w:divBdr>
        <w:top w:val="none" w:sz="0" w:space="0" w:color="auto"/>
        <w:left w:val="none" w:sz="0" w:space="0" w:color="auto"/>
        <w:bottom w:val="none" w:sz="0" w:space="0" w:color="auto"/>
        <w:right w:val="none" w:sz="0" w:space="0" w:color="auto"/>
      </w:divBdr>
    </w:div>
    <w:div w:id="1781335815">
      <w:bodyDiv w:val="1"/>
      <w:marLeft w:val="0"/>
      <w:marRight w:val="0"/>
      <w:marTop w:val="0"/>
      <w:marBottom w:val="0"/>
      <w:divBdr>
        <w:top w:val="none" w:sz="0" w:space="0" w:color="auto"/>
        <w:left w:val="none" w:sz="0" w:space="0" w:color="auto"/>
        <w:bottom w:val="none" w:sz="0" w:space="0" w:color="auto"/>
        <w:right w:val="none" w:sz="0" w:space="0" w:color="auto"/>
      </w:divBdr>
    </w:div>
    <w:div w:id="1781486880">
      <w:bodyDiv w:val="1"/>
      <w:marLeft w:val="0"/>
      <w:marRight w:val="0"/>
      <w:marTop w:val="0"/>
      <w:marBottom w:val="0"/>
      <w:divBdr>
        <w:top w:val="none" w:sz="0" w:space="0" w:color="auto"/>
        <w:left w:val="none" w:sz="0" w:space="0" w:color="auto"/>
        <w:bottom w:val="none" w:sz="0" w:space="0" w:color="auto"/>
        <w:right w:val="none" w:sz="0" w:space="0" w:color="auto"/>
      </w:divBdr>
    </w:div>
    <w:div w:id="1781877433">
      <w:bodyDiv w:val="1"/>
      <w:marLeft w:val="0"/>
      <w:marRight w:val="0"/>
      <w:marTop w:val="0"/>
      <w:marBottom w:val="0"/>
      <w:divBdr>
        <w:top w:val="none" w:sz="0" w:space="0" w:color="auto"/>
        <w:left w:val="none" w:sz="0" w:space="0" w:color="auto"/>
        <w:bottom w:val="none" w:sz="0" w:space="0" w:color="auto"/>
        <w:right w:val="none" w:sz="0" w:space="0" w:color="auto"/>
      </w:divBdr>
    </w:div>
    <w:div w:id="1782070403">
      <w:bodyDiv w:val="1"/>
      <w:marLeft w:val="0"/>
      <w:marRight w:val="0"/>
      <w:marTop w:val="0"/>
      <w:marBottom w:val="0"/>
      <w:divBdr>
        <w:top w:val="none" w:sz="0" w:space="0" w:color="auto"/>
        <w:left w:val="none" w:sz="0" w:space="0" w:color="auto"/>
        <w:bottom w:val="none" w:sz="0" w:space="0" w:color="auto"/>
        <w:right w:val="none" w:sz="0" w:space="0" w:color="auto"/>
      </w:divBdr>
    </w:div>
    <w:div w:id="1782216334">
      <w:bodyDiv w:val="1"/>
      <w:marLeft w:val="0"/>
      <w:marRight w:val="0"/>
      <w:marTop w:val="0"/>
      <w:marBottom w:val="0"/>
      <w:divBdr>
        <w:top w:val="none" w:sz="0" w:space="0" w:color="auto"/>
        <w:left w:val="none" w:sz="0" w:space="0" w:color="auto"/>
        <w:bottom w:val="none" w:sz="0" w:space="0" w:color="auto"/>
        <w:right w:val="none" w:sz="0" w:space="0" w:color="auto"/>
      </w:divBdr>
    </w:div>
    <w:div w:id="1783958222">
      <w:bodyDiv w:val="1"/>
      <w:marLeft w:val="0"/>
      <w:marRight w:val="0"/>
      <w:marTop w:val="0"/>
      <w:marBottom w:val="0"/>
      <w:divBdr>
        <w:top w:val="none" w:sz="0" w:space="0" w:color="auto"/>
        <w:left w:val="none" w:sz="0" w:space="0" w:color="auto"/>
        <w:bottom w:val="none" w:sz="0" w:space="0" w:color="auto"/>
        <w:right w:val="none" w:sz="0" w:space="0" w:color="auto"/>
      </w:divBdr>
    </w:div>
    <w:div w:id="1784300617">
      <w:bodyDiv w:val="1"/>
      <w:marLeft w:val="0"/>
      <w:marRight w:val="0"/>
      <w:marTop w:val="0"/>
      <w:marBottom w:val="0"/>
      <w:divBdr>
        <w:top w:val="none" w:sz="0" w:space="0" w:color="auto"/>
        <w:left w:val="none" w:sz="0" w:space="0" w:color="auto"/>
        <w:bottom w:val="none" w:sz="0" w:space="0" w:color="auto"/>
        <w:right w:val="none" w:sz="0" w:space="0" w:color="auto"/>
      </w:divBdr>
    </w:div>
    <w:div w:id="1784883033">
      <w:bodyDiv w:val="1"/>
      <w:marLeft w:val="0"/>
      <w:marRight w:val="0"/>
      <w:marTop w:val="0"/>
      <w:marBottom w:val="0"/>
      <w:divBdr>
        <w:top w:val="none" w:sz="0" w:space="0" w:color="auto"/>
        <w:left w:val="none" w:sz="0" w:space="0" w:color="auto"/>
        <w:bottom w:val="none" w:sz="0" w:space="0" w:color="auto"/>
        <w:right w:val="none" w:sz="0" w:space="0" w:color="auto"/>
      </w:divBdr>
    </w:div>
    <w:div w:id="1784961978">
      <w:bodyDiv w:val="1"/>
      <w:marLeft w:val="0"/>
      <w:marRight w:val="0"/>
      <w:marTop w:val="0"/>
      <w:marBottom w:val="0"/>
      <w:divBdr>
        <w:top w:val="none" w:sz="0" w:space="0" w:color="auto"/>
        <w:left w:val="none" w:sz="0" w:space="0" w:color="auto"/>
        <w:bottom w:val="none" w:sz="0" w:space="0" w:color="auto"/>
        <w:right w:val="none" w:sz="0" w:space="0" w:color="auto"/>
      </w:divBdr>
    </w:div>
    <w:div w:id="1785464762">
      <w:bodyDiv w:val="1"/>
      <w:marLeft w:val="0"/>
      <w:marRight w:val="0"/>
      <w:marTop w:val="0"/>
      <w:marBottom w:val="0"/>
      <w:divBdr>
        <w:top w:val="none" w:sz="0" w:space="0" w:color="auto"/>
        <w:left w:val="none" w:sz="0" w:space="0" w:color="auto"/>
        <w:bottom w:val="none" w:sz="0" w:space="0" w:color="auto"/>
        <w:right w:val="none" w:sz="0" w:space="0" w:color="auto"/>
      </w:divBdr>
    </w:div>
    <w:div w:id="1785466222">
      <w:bodyDiv w:val="1"/>
      <w:marLeft w:val="0"/>
      <w:marRight w:val="0"/>
      <w:marTop w:val="0"/>
      <w:marBottom w:val="0"/>
      <w:divBdr>
        <w:top w:val="none" w:sz="0" w:space="0" w:color="auto"/>
        <w:left w:val="none" w:sz="0" w:space="0" w:color="auto"/>
        <w:bottom w:val="none" w:sz="0" w:space="0" w:color="auto"/>
        <w:right w:val="none" w:sz="0" w:space="0" w:color="auto"/>
      </w:divBdr>
    </w:div>
    <w:div w:id="1785540571">
      <w:bodyDiv w:val="1"/>
      <w:marLeft w:val="0"/>
      <w:marRight w:val="0"/>
      <w:marTop w:val="0"/>
      <w:marBottom w:val="0"/>
      <w:divBdr>
        <w:top w:val="none" w:sz="0" w:space="0" w:color="auto"/>
        <w:left w:val="none" w:sz="0" w:space="0" w:color="auto"/>
        <w:bottom w:val="none" w:sz="0" w:space="0" w:color="auto"/>
        <w:right w:val="none" w:sz="0" w:space="0" w:color="auto"/>
      </w:divBdr>
    </w:div>
    <w:div w:id="1785885628">
      <w:bodyDiv w:val="1"/>
      <w:marLeft w:val="0"/>
      <w:marRight w:val="0"/>
      <w:marTop w:val="0"/>
      <w:marBottom w:val="0"/>
      <w:divBdr>
        <w:top w:val="none" w:sz="0" w:space="0" w:color="auto"/>
        <w:left w:val="none" w:sz="0" w:space="0" w:color="auto"/>
        <w:bottom w:val="none" w:sz="0" w:space="0" w:color="auto"/>
        <w:right w:val="none" w:sz="0" w:space="0" w:color="auto"/>
      </w:divBdr>
    </w:div>
    <w:div w:id="1786538354">
      <w:bodyDiv w:val="1"/>
      <w:marLeft w:val="0"/>
      <w:marRight w:val="0"/>
      <w:marTop w:val="0"/>
      <w:marBottom w:val="0"/>
      <w:divBdr>
        <w:top w:val="none" w:sz="0" w:space="0" w:color="auto"/>
        <w:left w:val="none" w:sz="0" w:space="0" w:color="auto"/>
        <w:bottom w:val="none" w:sz="0" w:space="0" w:color="auto"/>
        <w:right w:val="none" w:sz="0" w:space="0" w:color="auto"/>
      </w:divBdr>
    </w:div>
    <w:div w:id="1787044329">
      <w:bodyDiv w:val="1"/>
      <w:marLeft w:val="0"/>
      <w:marRight w:val="0"/>
      <w:marTop w:val="0"/>
      <w:marBottom w:val="0"/>
      <w:divBdr>
        <w:top w:val="none" w:sz="0" w:space="0" w:color="auto"/>
        <w:left w:val="none" w:sz="0" w:space="0" w:color="auto"/>
        <w:bottom w:val="none" w:sz="0" w:space="0" w:color="auto"/>
        <w:right w:val="none" w:sz="0" w:space="0" w:color="auto"/>
      </w:divBdr>
    </w:div>
    <w:div w:id="1787196133">
      <w:bodyDiv w:val="1"/>
      <w:marLeft w:val="0"/>
      <w:marRight w:val="0"/>
      <w:marTop w:val="0"/>
      <w:marBottom w:val="0"/>
      <w:divBdr>
        <w:top w:val="none" w:sz="0" w:space="0" w:color="auto"/>
        <w:left w:val="none" w:sz="0" w:space="0" w:color="auto"/>
        <w:bottom w:val="none" w:sz="0" w:space="0" w:color="auto"/>
        <w:right w:val="none" w:sz="0" w:space="0" w:color="auto"/>
      </w:divBdr>
    </w:div>
    <w:div w:id="1787852534">
      <w:bodyDiv w:val="1"/>
      <w:marLeft w:val="0"/>
      <w:marRight w:val="0"/>
      <w:marTop w:val="0"/>
      <w:marBottom w:val="0"/>
      <w:divBdr>
        <w:top w:val="none" w:sz="0" w:space="0" w:color="auto"/>
        <w:left w:val="none" w:sz="0" w:space="0" w:color="auto"/>
        <w:bottom w:val="none" w:sz="0" w:space="0" w:color="auto"/>
        <w:right w:val="none" w:sz="0" w:space="0" w:color="auto"/>
      </w:divBdr>
    </w:div>
    <w:div w:id="1788039718">
      <w:bodyDiv w:val="1"/>
      <w:marLeft w:val="0"/>
      <w:marRight w:val="0"/>
      <w:marTop w:val="0"/>
      <w:marBottom w:val="0"/>
      <w:divBdr>
        <w:top w:val="none" w:sz="0" w:space="0" w:color="auto"/>
        <w:left w:val="none" w:sz="0" w:space="0" w:color="auto"/>
        <w:bottom w:val="none" w:sz="0" w:space="0" w:color="auto"/>
        <w:right w:val="none" w:sz="0" w:space="0" w:color="auto"/>
      </w:divBdr>
    </w:div>
    <w:div w:id="1789471985">
      <w:bodyDiv w:val="1"/>
      <w:marLeft w:val="0"/>
      <w:marRight w:val="0"/>
      <w:marTop w:val="0"/>
      <w:marBottom w:val="0"/>
      <w:divBdr>
        <w:top w:val="none" w:sz="0" w:space="0" w:color="auto"/>
        <w:left w:val="none" w:sz="0" w:space="0" w:color="auto"/>
        <w:bottom w:val="none" w:sz="0" w:space="0" w:color="auto"/>
        <w:right w:val="none" w:sz="0" w:space="0" w:color="auto"/>
      </w:divBdr>
    </w:div>
    <w:div w:id="1790053507">
      <w:bodyDiv w:val="1"/>
      <w:marLeft w:val="0"/>
      <w:marRight w:val="0"/>
      <w:marTop w:val="0"/>
      <w:marBottom w:val="0"/>
      <w:divBdr>
        <w:top w:val="none" w:sz="0" w:space="0" w:color="auto"/>
        <w:left w:val="none" w:sz="0" w:space="0" w:color="auto"/>
        <w:bottom w:val="none" w:sz="0" w:space="0" w:color="auto"/>
        <w:right w:val="none" w:sz="0" w:space="0" w:color="auto"/>
      </w:divBdr>
    </w:div>
    <w:div w:id="1790129677">
      <w:bodyDiv w:val="1"/>
      <w:marLeft w:val="0"/>
      <w:marRight w:val="0"/>
      <w:marTop w:val="0"/>
      <w:marBottom w:val="0"/>
      <w:divBdr>
        <w:top w:val="none" w:sz="0" w:space="0" w:color="auto"/>
        <w:left w:val="none" w:sz="0" w:space="0" w:color="auto"/>
        <w:bottom w:val="none" w:sz="0" w:space="0" w:color="auto"/>
        <w:right w:val="none" w:sz="0" w:space="0" w:color="auto"/>
      </w:divBdr>
    </w:div>
    <w:div w:id="1790319140">
      <w:bodyDiv w:val="1"/>
      <w:marLeft w:val="0"/>
      <w:marRight w:val="0"/>
      <w:marTop w:val="0"/>
      <w:marBottom w:val="0"/>
      <w:divBdr>
        <w:top w:val="none" w:sz="0" w:space="0" w:color="auto"/>
        <w:left w:val="none" w:sz="0" w:space="0" w:color="auto"/>
        <w:bottom w:val="none" w:sz="0" w:space="0" w:color="auto"/>
        <w:right w:val="none" w:sz="0" w:space="0" w:color="auto"/>
      </w:divBdr>
    </w:div>
    <w:div w:id="1790398098">
      <w:bodyDiv w:val="1"/>
      <w:marLeft w:val="0"/>
      <w:marRight w:val="0"/>
      <w:marTop w:val="0"/>
      <w:marBottom w:val="0"/>
      <w:divBdr>
        <w:top w:val="none" w:sz="0" w:space="0" w:color="auto"/>
        <w:left w:val="none" w:sz="0" w:space="0" w:color="auto"/>
        <w:bottom w:val="none" w:sz="0" w:space="0" w:color="auto"/>
        <w:right w:val="none" w:sz="0" w:space="0" w:color="auto"/>
      </w:divBdr>
    </w:div>
    <w:div w:id="1790709051">
      <w:bodyDiv w:val="1"/>
      <w:marLeft w:val="0"/>
      <w:marRight w:val="0"/>
      <w:marTop w:val="0"/>
      <w:marBottom w:val="0"/>
      <w:divBdr>
        <w:top w:val="none" w:sz="0" w:space="0" w:color="auto"/>
        <w:left w:val="none" w:sz="0" w:space="0" w:color="auto"/>
        <w:bottom w:val="none" w:sz="0" w:space="0" w:color="auto"/>
        <w:right w:val="none" w:sz="0" w:space="0" w:color="auto"/>
      </w:divBdr>
    </w:div>
    <w:div w:id="1790734535">
      <w:bodyDiv w:val="1"/>
      <w:marLeft w:val="0"/>
      <w:marRight w:val="0"/>
      <w:marTop w:val="0"/>
      <w:marBottom w:val="0"/>
      <w:divBdr>
        <w:top w:val="none" w:sz="0" w:space="0" w:color="auto"/>
        <w:left w:val="none" w:sz="0" w:space="0" w:color="auto"/>
        <w:bottom w:val="none" w:sz="0" w:space="0" w:color="auto"/>
        <w:right w:val="none" w:sz="0" w:space="0" w:color="auto"/>
      </w:divBdr>
    </w:div>
    <w:div w:id="1790734830">
      <w:bodyDiv w:val="1"/>
      <w:marLeft w:val="0"/>
      <w:marRight w:val="0"/>
      <w:marTop w:val="0"/>
      <w:marBottom w:val="0"/>
      <w:divBdr>
        <w:top w:val="none" w:sz="0" w:space="0" w:color="auto"/>
        <w:left w:val="none" w:sz="0" w:space="0" w:color="auto"/>
        <w:bottom w:val="none" w:sz="0" w:space="0" w:color="auto"/>
        <w:right w:val="none" w:sz="0" w:space="0" w:color="auto"/>
      </w:divBdr>
    </w:div>
    <w:div w:id="1790932013">
      <w:bodyDiv w:val="1"/>
      <w:marLeft w:val="0"/>
      <w:marRight w:val="0"/>
      <w:marTop w:val="0"/>
      <w:marBottom w:val="0"/>
      <w:divBdr>
        <w:top w:val="none" w:sz="0" w:space="0" w:color="auto"/>
        <w:left w:val="none" w:sz="0" w:space="0" w:color="auto"/>
        <w:bottom w:val="none" w:sz="0" w:space="0" w:color="auto"/>
        <w:right w:val="none" w:sz="0" w:space="0" w:color="auto"/>
      </w:divBdr>
    </w:div>
    <w:div w:id="1791167448">
      <w:bodyDiv w:val="1"/>
      <w:marLeft w:val="0"/>
      <w:marRight w:val="0"/>
      <w:marTop w:val="0"/>
      <w:marBottom w:val="0"/>
      <w:divBdr>
        <w:top w:val="none" w:sz="0" w:space="0" w:color="auto"/>
        <w:left w:val="none" w:sz="0" w:space="0" w:color="auto"/>
        <w:bottom w:val="none" w:sz="0" w:space="0" w:color="auto"/>
        <w:right w:val="none" w:sz="0" w:space="0" w:color="auto"/>
      </w:divBdr>
    </w:div>
    <w:div w:id="1791506908">
      <w:bodyDiv w:val="1"/>
      <w:marLeft w:val="0"/>
      <w:marRight w:val="0"/>
      <w:marTop w:val="0"/>
      <w:marBottom w:val="0"/>
      <w:divBdr>
        <w:top w:val="none" w:sz="0" w:space="0" w:color="auto"/>
        <w:left w:val="none" w:sz="0" w:space="0" w:color="auto"/>
        <w:bottom w:val="none" w:sz="0" w:space="0" w:color="auto"/>
        <w:right w:val="none" w:sz="0" w:space="0" w:color="auto"/>
      </w:divBdr>
    </w:div>
    <w:div w:id="1791509114">
      <w:bodyDiv w:val="1"/>
      <w:marLeft w:val="0"/>
      <w:marRight w:val="0"/>
      <w:marTop w:val="0"/>
      <w:marBottom w:val="0"/>
      <w:divBdr>
        <w:top w:val="none" w:sz="0" w:space="0" w:color="auto"/>
        <w:left w:val="none" w:sz="0" w:space="0" w:color="auto"/>
        <w:bottom w:val="none" w:sz="0" w:space="0" w:color="auto"/>
        <w:right w:val="none" w:sz="0" w:space="0" w:color="auto"/>
      </w:divBdr>
    </w:div>
    <w:div w:id="1791628837">
      <w:bodyDiv w:val="1"/>
      <w:marLeft w:val="0"/>
      <w:marRight w:val="0"/>
      <w:marTop w:val="0"/>
      <w:marBottom w:val="0"/>
      <w:divBdr>
        <w:top w:val="none" w:sz="0" w:space="0" w:color="auto"/>
        <w:left w:val="none" w:sz="0" w:space="0" w:color="auto"/>
        <w:bottom w:val="none" w:sz="0" w:space="0" w:color="auto"/>
        <w:right w:val="none" w:sz="0" w:space="0" w:color="auto"/>
      </w:divBdr>
    </w:div>
    <w:div w:id="1792818705">
      <w:bodyDiv w:val="1"/>
      <w:marLeft w:val="0"/>
      <w:marRight w:val="0"/>
      <w:marTop w:val="0"/>
      <w:marBottom w:val="0"/>
      <w:divBdr>
        <w:top w:val="none" w:sz="0" w:space="0" w:color="auto"/>
        <w:left w:val="none" w:sz="0" w:space="0" w:color="auto"/>
        <w:bottom w:val="none" w:sz="0" w:space="0" w:color="auto"/>
        <w:right w:val="none" w:sz="0" w:space="0" w:color="auto"/>
      </w:divBdr>
    </w:div>
    <w:div w:id="1792937907">
      <w:bodyDiv w:val="1"/>
      <w:marLeft w:val="0"/>
      <w:marRight w:val="0"/>
      <w:marTop w:val="0"/>
      <w:marBottom w:val="0"/>
      <w:divBdr>
        <w:top w:val="none" w:sz="0" w:space="0" w:color="auto"/>
        <w:left w:val="none" w:sz="0" w:space="0" w:color="auto"/>
        <w:bottom w:val="none" w:sz="0" w:space="0" w:color="auto"/>
        <w:right w:val="none" w:sz="0" w:space="0" w:color="auto"/>
      </w:divBdr>
    </w:div>
    <w:div w:id="1793010756">
      <w:bodyDiv w:val="1"/>
      <w:marLeft w:val="0"/>
      <w:marRight w:val="0"/>
      <w:marTop w:val="0"/>
      <w:marBottom w:val="0"/>
      <w:divBdr>
        <w:top w:val="none" w:sz="0" w:space="0" w:color="auto"/>
        <w:left w:val="none" w:sz="0" w:space="0" w:color="auto"/>
        <w:bottom w:val="none" w:sz="0" w:space="0" w:color="auto"/>
        <w:right w:val="none" w:sz="0" w:space="0" w:color="auto"/>
      </w:divBdr>
    </w:div>
    <w:div w:id="1793131483">
      <w:bodyDiv w:val="1"/>
      <w:marLeft w:val="0"/>
      <w:marRight w:val="0"/>
      <w:marTop w:val="0"/>
      <w:marBottom w:val="0"/>
      <w:divBdr>
        <w:top w:val="none" w:sz="0" w:space="0" w:color="auto"/>
        <w:left w:val="none" w:sz="0" w:space="0" w:color="auto"/>
        <w:bottom w:val="none" w:sz="0" w:space="0" w:color="auto"/>
        <w:right w:val="none" w:sz="0" w:space="0" w:color="auto"/>
      </w:divBdr>
    </w:div>
    <w:div w:id="1793746940">
      <w:bodyDiv w:val="1"/>
      <w:marLeft w:val="0"/>
      <w:marRight w:val="0"/>
      <w:marTop w:val="0"/>
      <w:marBottom w:val="0"/>
      <w:divBdr>
        <w:top w:val="none" w:sz="0" w:space="0" w:color="auto"/>
        <w:left w:val="none" w:sz="0" w:space="0" w:color="auto"/>
        <w:bottom w:val="none" w:sz="0" w:space="0" w:color="auto"/>
        <w:right w:val="none" w:sz="0" w:space="0" w:color="auto"/>
      </w:divBdr>
    </w:div>
    <w:div w:id="1793942480">
      <w:bodyDiv w:val="1"/>
      <w:marLeft w:val="0"/>
      <w:marRight w:val="0"/>
      <w:marTop w:val="0"/>
      <w:marBottom w:val="0"/>
      <w:divBdr>
        <w:top w:val="none" w:sz="0" w:space="0" w:color="auto"/>
        <w:left w:val="none" w:sz="0" w:space="0" w:color="auto"/>
        <w:bottom w:val="none" w:sz="0" w:space="0" w:color="auto"/>
        <w:right w:val="none" w:sz="0" w:space="0" w:color="auto"/>
      </w:divBdr>
    </w:div>
    <w:div w:id="1794059391">
      <w:bodyDiv w:val="1"/>
      <w:marLeft w:val="0"/>
      <w:marRight w:val="0"/>
      <w:marTop w:val="0"/>
      <w:marBottom w:val="0"/>
      <w:divBdr>
        <w:top w:val="none" w:sz="0" w:space="0" w:color="auto"/>
        <w:left w:val="none" w:sz="0" w:space="0" w:color="auto"/>
        <w:bottom w:val="none" w:sz="0" w:space="0" w:color="auto"/>
        <w:right w:val="none" w:sz="0" w:space="0" w:color="auto"/>
      </w:divBdr>
    </w:div>
    <w:div w:id="1794590834">
      <w:bodyDiv w:val="1"/>
      <w:marLeft w:val="0"/>
      <w:marRight w:val="0"/>
      <w:marTop w:val="0"/>
      <w:marBottom w:val="0"/>
      <w:divBdr>
        <w:top w:val="none" w:sz="0" w:space="0" w:color="auto"/>
        <w:left w:val="none" w:sz="0" w:space="0" w:color="auto"/>
        <w:bottom w:val="none" w:sz="0" w:space="0" w:color="auto"/>
        <w:right w:val="none" w:sz="0" w:space="0" w:color="auto"/>
      </w:divBdr>
    </w:div>
    <w:div w:id="1795051425">
      <w:bodyDiv w:val="1"/>
      <w:marLeft w:val="0"/>
      <w:marRight w:val="0"/>
      <w:marTop w:val="0"/>
      <w:marBottom w:val="0"/>
      <w:divBdr>
        <w:top w:val="none" w:sz="0" w:space="0" w:color="auto"/>
        <w:left w:val="none" w:sz="0" w:space="0" w:color="auto"/>
        <w:bottom w:val="none" w:sz="0" w:space="0" w:color="auto"/>
        <w:right w:val="none" w:sz="0" w:space="0" w:color="auto"/>
      </w:divBdr>
    </w:div>
    <w:div w:id="1795753216">
      <w:bodyDiv w:val="1"/>
      <w:marLeft w:val="0"/>
      <w:marRight w:val="0"/>
      <w:marTop w:val="0"/>
      <w:marBottom w:val="0"/>
      <w:divBdr>
        <w:top w:val="none" w:sz="0" w:space="0" w:color="auto"/>
        <w:left w:val="none" w:sz="0" w:space="0" w:color="auto"/>
        <w:bottom w:val="none" w:sz="0" w:space="0" w:color="auto"/>
        <w:right w:val="none" w:sz="0" w:space="0" w:color="auto"/>
      </w:divBdr>
    </w:div>
    <w:div w:id="1795758079">
      <w:bodyDiv w:val="1"/>
      <w:marLeft w:val="0"/>
      <w:marRight w:val="0"/>
      <w:marTop w:val="0"/>
      <w:marBottom w:val="0"/>
      <w:divBdr>
        <w:top w:val="none" w:sz="0" w:space="0" w:color="auto"/>
        <w:left w:val="none" w:sz="0" w:space="0" w:color="auto"/>
        <w:bottom w:val="none" w:sz="0" w:space="0" w:color="auto"/>
        <w:right w:val="none" w:sz="0" w:space="0" w:color="auto"/>
      </w:divBdr>
    </w:div>
    <w:div w:id="1796099668">
      <w:bodyDiv w:val="1"/>
      <w:marLeft w:val="0"/>
      <w:marRight w:val="0"/>
      <w:marTop w:val="0"/>
      <w:marBottom w:val="0"/>
      <w:divBdr>
        <w:top w:val="none" w:sz="0" w:space="0" w:color="auto"/>
        <w:left w:val="none" w:sz="0" w:space="0" w:color="auto"/>
        <w:bottom w:val="none" w:sz="0" w:space="0" w:color="auto"/>
        <w:right w:val="none" w:sz="0" w:space="0" w:color="auto"/>
      </w:divBdr>
    </w:div>
    <w:div w:id="1796680206">
      <w:bodyDiv w:val="1"/>
      <w:marLeft w:val="0"/>
      <w:marRight w:val="0"/>
      <w:marTop w:val="0"/>
      <w:marBottom w:val="0"/>
      <w:divBdr>
        <w:top w:val="none" w:sz="0" w:space="0" w:color="auto"/>
        <w:left w:val="none" w:sz="0" w:space="0" w:color="auto"/>
        <w:bottom w:val="none" w:sz="0" w:space="0" w:color="auto"/>
        <w:right w:val="none" w:sz="0" w:space="0" w:color="auto"/>
      </w:divBdr>
    </w:div>
    <w:div w:id="1797215566">
      <w:bodyDiv w:val="1"/>
      <w:marLeft w:val="0"/>
      <w:marRight w:val="0"/>
      <w:marTop w:val="0"/>
      <w:marBottom w:val="0"/>
      <w:divBdr>
        <w:top w:val="none" w:sz="0" w:space="0" w:color="auto"/>
        <w:left w:val="none" w:sz="0" w:space="0" w:color="auto"/>
        <w:bottom w:val="none" w:sz="0" w:space="0" w:color="auto"/>
        <w:right w:val="none" w:sz="0" w:space="0" w:color="auto"/>
      </w:divBdr>
    </w:div>
    <w:div w:id="1797329333">
      <w:bodyDiv w:val="1"/>
      <w:marLeft w:val="0"/>
      <w:marRight w:val="0"/>
      <w:marTop w:val="0"/>
      <w:marBottom w:val="0"/>
      <w:divBdr>
        <w:top w:val="none" w:sz="0" w:space="0" w:color="auto"/>
        <w:left w:val="none" w:sz="0" w:space="0" w:color="auto"/>
        <w:bottom w:val="none" w:sz="0" w:space="0" w:color="auto"/>
        <w:right w:val="none" w:sz="0" w:space="0" w:color="auto"/>
      </w:divBdr>
    </w:div>
    <w:div w:id="1797604994">
      <w:bodyDiv w:val="1"/>
      <w:marLeft w:val="0"/>
      <w:marRight w:val="0"/>
      <w:marTop w:val="0"/>
      <w:marBottom w:val="0"/>
      <w:divBdr>
        <w:top w:val="none" w:sz="0" w:space="0" w:color="auto"/>
        <w:left w:val="none" w:sz="0" w:space="0" w:color="auto"/>
        <w:bottom w:val="none" w:sz="0" w:space="0" w:color="auto"/>
        <w:right w:val="none" w:sz="0" w:space="0" w:color="auto"/>
      </w:divBdr>
    </w:div>
    <w:div w:id="1797983608">
      <w:bodyDiv w:val="1"/>
      <w:marLeft w:val="0"/>
      <w:marRight w:val="0"/>
      <w:marTop w:val="0"/>
      <w:marBottom w:val="0"/>
      <w:divBdr>
        <w:top w:val="none" w:sz="0" w:space="0" w:color="auto"/>
        <w:left w:val="none" w:sz="0" w:space="0" w:color="auto"/>
        <w:bottom w:val="none" w:sz="0" w:space="0" w:color="auto"/>
        <w:right w:val="none" w:sz="0" w:space="0" w:color="auto"/>
      </w:divBdr>
    </w:div>
    <w:div w:id="1798449549">
      <w:bodyDiv w:val="1"/>
      <w:marLeft w:val="0"/>
      <w:marRight w:val="0"/>
      <w:marTop w:val="0"/>
      <w:marBottom w:val="0"/>
      <w:divBdr>
        <w:top w:val="none" w:sz="0" w:space="0" w:color="auto"/>
        <w:left w:val="none" w:sz="0" w:space="0" w:color="auto"/>
        <w:bottom w:val="none" w:sz="0" w:space="0" w:color="auto"/>
        <w:right w:val="none" w:sz="0" w:space="0" w:color="auto"/>
      </w:divBdr>
    </w:div>
    <w:div w:id="1798718414">
      <w:bodyDiv w:val="1"/>
      <w:marLeft w:val="0"/>
      <w:marRight w:val="0"/>
      <w:marTop w:val="0"/>
      <w:marBottom w:val="0"/>
      <w:divBdr>
        <w:top w:val="none" w:sz="0" w:space="0" w:color="auto"/>
        <w:left w:val="none" w:sz="0" w:space="0" w:color="auto"/>
        <w:bottom w:val="none" w:sz="0" w:space="0" w:color="auto"/>
        <w:right w:val="none" w:sz="0" w:space="0" w:color="auto"/>
      </w:divBdr>
    </w:div>
    <w:div w:id="1798791690">
      <w:bodyDiv w:val="1"/>
      <w:marLeft w:val="0"/>
      <w:marRight w:val="0"/>
      <w:marTop w:val="0"/>
      <w:marBottom w:val="0"/>
      <w:divBdr>
        <w:top w:val="none" w:sz="0" w:space="0" w:color="auto"/>
        <w:left w:val="none" w:sz="0" w:space="0" w:color="auto"/>
        <w:bottom w:val="none" w:sz="0" w:space="0" w:color="auto"/>
        <w:right w:val="none" w:sz="0" w:space="0" w:color="auto"/>
      </w:divBdr>
    </w:div>
    <w:div w:id="1799176597">
      <w:bodyDiv w:val="1"/>
      <w:marLeft w:val="0"/>
      <w:marRight w:val="0"/>
      <w:marTop w:val="0"/>
      <w:marBottom w:val="0"/>
      <w:divBdr>
        <w:top w:val="none" w:sz="0" w:space="0" w:color="auto"/>
        <w:left w:val="none" w:sz="0" w:space="0" w:color="auto"/>
        <w:bottom w:val="none" w:sz="0" w:space="0" w:color="auto"/>
        <w:right w:val="none" w:sz="0" w:space="0" w:color="auto"/>
      </w:divBdr>
    </w:div>
    <w:div w:id="1799180832">
      <w:bodyDiv w:val="1"/>
      <w:marLeft w:val="0"/>
      <w:marRight w:val="0"/>
      <w:marTop w:val="0"/>
      <w:marBottom w:val="0"/>
      <w:divBdr>
        <w:top w:val="none" w:sz="0" w:space="0" w:color="auto"/>
        <w:left w:val="none" w:sz="0" w:space="0" w:color="auto"/>
        <w:bottom w:val="none" w:sz="0" w:space="0" w:color="auto"/>
        <w:right w:val="none" w:sz="0" w:space="0" w:color="auto"/>
      </w:divBdr>
    </w:div>
    <w:div w:id="1799450261">
      <w:bodyDiv w:val="1"/>
      <w:marLeft w:val="0"/>
      <w:marRight w:val="0"/>
      <w:marTop w:val="0"/>
      <w:marBottom w:val="0"/>
      <w:divBdr>
        <w:top w:val="none" w:sz="0" w:space="0" w:color="auto"/>
        <w:left w:val="none" w:sz="0" w:space="0" w:color="auto"/>
        <w:bottom w:val="none" w:sz="0" w:space="0" w:color="auto"/>
        <w:right w:val="none" w:sz="0" w:space="0" w:color="auto"/>
      </w:divBdr>
    </w:div>
    <w:div w:id="1799908471">
      <w:bodyDiv w:val="1"/>
      <w:marLeft w:val="0"/>
      <w:marRight w:val="0"/>
      <w:marTop w:val="0"/>
      <w:marBottom w:val="0"/>
      <w:divBdr>
        <w:top w:val="none" w:sz="0" w:space="0" w:color="auto"/>
        <w:left w:val="none" w:sz="0" w:space="0" w:color="auto"/>
        <w:bottom w:val="none" w:sz="0" w:space="0" w:color="auto"/>
        <w:right w:val="none" w:sz="0" w:space="0" w:color="auto"/>
      </w:divBdr>
    </w:div>
    <w:div w:id="1800031189">
      <w:bodyDiv w:val="1"/>
      <w:marLeft w:val="0"/>
      <w:marRight w:val="0"/>
      <w:marTop w:val="0"/>
      <w:marBottom w:val="0"/>
      <w:divBdr>
        <w:top w:val="none" w:sz="0" w:space="0" w:color="auto"/>
        <w:left w:val="none" w:sz="0" w:space="0" w:color="auto"/>
        <w:bottom w:val="none" w:sz="0" w:space="0" w:color="auto"/>
        <w:right w:val="none" w:sz="0" w:space="0" w:color="auto"/>
      </w:divBdr>
    </w:div>
    <w:div w:id="1800225014">
      <w:bodyDiv w:val="1"/>
      <w:marLeft w:val="0"/>
      <w:marRight w:val="0"/>
      <w:marTop w:val="0"/>
      <w:marBottom w:val="0"/>
      <w:divBdr>
        <w:top w:val="none" w:sz="0" w:space="0" w:color="auto"/>
        <w:left w:val="none" w:sz="0" w:space="0" w:color="auto"/>
        <w:bottom w:val="none" w:sz="0" w:space="0" w:color="auto"/>
        <w:right w:val="none" w:sz="0" w:space="0" w:color="auto"/>
      </w:divBdr>
    </w:div>
    <w:div w:id="1801848050">
      <w:bodyDiv w:val="1"/>
      <w:marLeft w:val="0"/>
      <w:marRight w:val="0"/>
      <w:marTop w:val="0"/>
      <w:marBottom w:val="0"/>
      <w:divBdr>
        <w:top w:val="none" w:sz="0" w:space="0" w:color="auto"/>
        <w:left w:val="none" w:sz="0" w:space="0" w:color="auto"/>
        <w:bottom w:val="none" w:sz="0" w:space="0" w:color="auto"/>
        <w:right w:val="none" w:sz="0" w:space="0" w:color="auto"/>
      </w:divBdr>
    </w:div>
    <w:div w:id="1802067698">
      <w:bodyDiv w:val="1"/>
      <w:marLeft w:val="0"/>
      <w:marRight w:val="0"/>
      <w:marTop w:val="0"/>
      <w:marBottom w:val="0"/>
      <w:divBdr>
        <w:top w:val="none" w:sz="0" w:space="0" w:color="auto"/>
        <w:left w:val="none" w:sz="0" w:space="0" w:color="auto"/>
        <w:bottom w:val="none" w:sz="0" w:space="0" w:color="auto"/>
        <w:right w:val="none" w:sz="0" w:space="0" w:color="auto"/>
      </w:divBdr>
    </w:div>
    <w:div w:id="1802260112">
      <w:bodyDiv w:val="1"/>
      <w:marLeft w:val="0"/>
      <w:marRight w:val="0"/>
      <w:marTop w:val="0"/>
      <w:marBottom w:val="0"/>
      <w:divBdr>
        <w:top w:val="none" w:sz="0" w:space="0" w:color="auto"/>
        <w:left w:val="none" w:sz="0" w:space="0" w:color="auto"/>
        <w:bottom w:val="none" w:sz="0" w:space="0" w:color="auto"/>
        <w:right w:val="none" w:sz="0" w:space="0" w:color="auto"/>
      </w:divBdr>
    </w:div>
    <w:div w:id="1802770728">
      <w:bodyDiv w:val="1"/>
      <w:marLeft w:val="0"/>
      <w:marRight w:val="0"/>
      <w:marTop w:val="0"/>
      <w:marBottom w:val="0"/>
      <w:divBdr>
        <w:top w:val="none" w:sz="0" w:space="0" w:color="auto"/>
        <w:left w:val="none" w:sz="0" w:space="0" w:color="auto"/>
        <w:bottom w:val="none" w:sz="0" w:space="0" w:color="auto"/>
        <w:right w:val="none" w:sz="0" w:space="0" w:color="auto"/>
      </w:divBdr>
    </w:div>
    <w:div w:id="1803040153">
      <w:bodyDiv w:val="1"/>
      <w:marLeft w:val="0"/>
      <w:marRight w:val="0"/>
      <w:marTop w:val="0"/>
      <w:marBottom w:val="0"/>
      <w:divBdr>
        <w:top w:val="none" w:sz="0" w:space="0" w:color="auto"/>
        <w:left w:val="none" w:sz="0" w:space="0" w:color="auto"/>
        <w:bottom w:val="none" w:sz="0" w:space="0" w:color="auto"/>
        <w:right w:val="none" w:sz="0" w:space="0" w:color="auto"/>
      </w:divBdr>
    </w:div>
    <w:div w:id="1803232269">
      <w:bodyDiv w:val="1"/>
      <w:marLeft w:val="0"/>
      <w:marRight w:val="0"/>
      <w:marTop w:val="0"/>
      <w:marBottom w:val="0"/>
      <w:divBdr>
        <w:top w:val="none" w:sz="0" w:space="0" w:color="auto"/>
        <w:left w:val="none" w:sz="0" w:space="0" w:color="auto"/>
        <w:bottom w:val="none" w:sz="0" w:space="0" w:color="auto"/>
        <w:right w:val="none" w:sz="0" w:space="0" w:color="auto"/>
      </w:divBdr>
    </w:div>
    <w:div w:id="1804034362">
      <w:bodyDiv w:val="1"/>
      <w:marLeft w:val="0"/>
      <w:marRight w:val="0"/>
      <w:marTop w:val="0"/>
      <w:marBottom w:val="0"/>
      <w:divBdr>
        <w:top w:val="none" w:sz="0" w:space="0" w:color="auto"/>
        <w:left w:val="none" w:sz="0" w:space="0" w:color="auto"/>
        <w:bottom w:val="none" w:sz="0" w:space="0" w:color="auto"/>
        <w:right w:val="none" w:sz="0" w:space="0" w:color="auto"/>
      </w:divBdr>
    </w:div>
    <w:div w:id="1804344559">
      <w:bodyDiv w:val="1"/>
      <w:marLeft w:val="0"/>
      <w:marRight w:val="0"/>
      <w:marTop w:val="0"/>
      <w:marBottom w:val="0"/>
      <w:divBdr>
        <w:top w:val="none" w:sz="0" w:space="0" w:color="auto"/>
        <w:left w:val="none" w:sz="0" w:space="0" w:color="auto"/>
        <w:bottom w:val="none" w:sz="0" w:space="0" w:color="auto"/>
        <w:right w:val="none" w:sz="0" w:space="0" w:color="auto"/>
      </w:divBdr>
    </w:div>
    <w:div w:id="1806118554">
      <w:bodyDiv w:val="1"/>
      <w:marLeft w:val="0"/>
      <w:marRight w:val="0"/>
      <w:marTop w:val="0"/>
      <w:marBottom w:val="0"/>
      <w:divBdr>
        <w:top w:val="none" w:sz="0" w:space="0" w:color="auto"/>
        <w:left w:val="none" w:sz="0" w:space="0" w:color="auto"/>
        <w:bottom w:val="none" w:sz="0" w:space="0" w:color="auto"/>
        <w:right w:val="none" w:sz="0" w:space="0" w:color="auto"/>
      </w:divBdr>
    </w:div>
    <w:div w:id="1806579168">
      <w:bodyDiv w:val="1"/>
      <w:marLeft w:val="0"/>
      <w:marRight w:val="0"/>
      <w:marTop w:val="0"/>
      <w:marBottom w:val="0"/>
      <w:divBdr>
        <w:top w:val="none" w:sz="0" w:space="0" w:color="auto"/>
        <w:left w:val="none" w:sz="0" w:space="0" w:color="auto"/>
        <w:bottom w:val="none" w:sz="0" w:space="0" w:color="auto"/>
        <w:right w:val="none" w:sz="0" w:space="0" w:color="auto"/>
      </w:divBdr>
    </w:div>
    <w:div w:id="1807119930">
      <w:bodyDiv w:val="1"/>
      <w:marLeft w:val="0"/>
      <w:marRight w:val="0"/>
      <w:marTop w:val="0"/>
      <w:marBottom w:val="0"/>
      <w:divBdr>
        <w:top w:val="none" w:sz="0" w:space="0" w:color="auto"/>
        <w:left w:val="none" w:sz="0" w:space="0" w:color="auto"/>
        <w:bottom w:val="none" w:sz="0" w:space="0" w:color="auto"/>
        <w:right w:val="none" w:sz="0" w:space="0" w:color="auto"/>
      </w:divBdr>
    </w:div>
    <w:div w:id="1807428397">
      <w:bodyDiv w:val="1"/>
      <w:marLeft w:val="0"/>
      <w:marRight w:val="0"/>
      <w:marTop w:val="0"/>
      <w:marBottom w:val="0"/>
      <w:divBdr>
        <w:top w:val="none" w:sz="0" w:space="0" w:color="auto"/>
        <w:left w:val="none" w:sz="0" w:space="0" w:color="auto"/>
        <w:bottom w:val="none" w:sz="0" w:space="0" w:color="auto"/>
        <w:right w:val="none" w:sz="0" w:space="0" w:color="auto"/>
      </w:divBdr>
    </w:div>
    <w:div w:id="1808157253">
      <w:bodyDiv w:val="1"/>
      <w:marLeft w:val="0"/>
      <w:marRight w:val="0"/>
      <w:marTop w:val="0"/>
      <w:marBottom w:val="0"/>
      <w:divBdr>
        <w:top w:val="none" w:sz="0" w:space="0" w:color="auto"/>
        <w:left w:val="none" w:sz="0" w:space="0" w:color="auto"/>
        <w:bottom w:val="none" w:sz="0" w:space="0" w:color="auto"/>
        <w:right w:val="none" w:sz="0" w:space="0" w:color="auto"/>
      </w:divBdr>
    </w:div>
    <w:div w:id="1809282922">
      <w:bodyDiv w:val="1"/>
      <w:marLeft w:val="0"/>
      <w:marRight w:val="0"/>
      <w:marTop w:val="0"/>
      <w:marBottom w:val="0"/>
      <w:divBdr>
        <w:top w:val="none" w:sz="0" w:space="0" w:color="auto"/>
        <w:left w:val="none" w:sz="0" w:space="0" w:color="auto"/>
        <w:bottom w:val="none" w:sz="0" w:space="0" w:color="auto"/>
        <w:right w:val="none" w:sz="0" w:space="0" w:color="auto"/>
      </w:divBdr>
    </w:div>
    <w:div w:id="1809398604">
      <w:bodyDiv w:val="1"/>
      <w:marLeft w:val="0"/>
      <w:marRight w:val="0"/>
      <w:marTop w:val="0"/>
      <w:marBottom w:val="0"/>
      <w:divBdr>
        <w:top w:val="none" w:sz="0" w:space="0" w:color="auto"/>
        <w:left w:val="none" w:sz="0" w:space="0" w:color="auto"/>
        <w:bottom w:val="none" w:sz="0" w:space="0" w:color="auto"/>
        <w:right w:val="none" w:sz="0" w:space="0" w:color="auto"/>
      </w:divBdr>
    </w:div>
    <w:div w:id="1810392959">
      <w:bodyDiv w:val="1"/>
      <w:marLeft w:val="0"/>
      <w:marRight w:val="0"/>
      <w:marTop w:val="0"/>
      <w:marBottom w:val="0"/>
      <w:divBdr>
        <w:top w:val="none" w:sz="0" w:space="0" w:color="auto"/>
        <w:left w:val="none" w:sz="0" w:space="0" w:color="auto"/>
        <w:bottom w:val="none" w:sz="0" w:space="0" w:color="auto"/>
        <w:right w:val="none" w:sz="0" w:space="0" w:color="auto"/>
      </w:divBdr>
    </w:div>
    <w:div w:id="1811357591">
      <w:bodyDiv w:val="1"/>
      <w:marLeft w:val="0"/>
      <w:marRight w:val="0"/>
      <w:marTop w:val="0"/>
      <w:marBottom w:val="0"/>
      <w:divBdr>
        <w:top w:val="none" w:sz="0" w:space="0" w:color="auto"/>
        <w:left w:val="none" w:sz="0" w:space="0" w:color="auto"/>
        <w:bottom w:val="none" w:sz="0" w:space="0" w:color="auto"/>
        <w:right w:val="none" w:sz="0" w:space="0" w:color="auto"/>
      </w:divBdr>
    </w:div>
    <w:div w:id="1811819193">
      <w:bodyDiv w:val="1"/>
      <w:marLeft w:val="0"/>
      <w:marRight w:val="0"/>
      <w:marTop w:val="0"/>
      <w:marBottom w:val="0"/>
      <w:divBdr>
        <w:top w:val="none" w:sz="0" w:space="0" w:color="auto"/>
        <w:left w:val="none" w:sz="0" w:space="0" w:color="auto"/>
        <w:bottom w:val="none" w:sz="0" w:space="0" w:color="auto"/>
        <w:right w:val="none" w:sz="0" w:space="0" w:color="auto"/>
      </w:divBdr>
    </w:div>
    <w:div w:id="1812206880">
      <w:bodyDiv w:val="1"/>
      <w:marLeft w:val="0"/>
      <w:marRight w:val="0"/>
      <w:marTop w:val="0"/>
      <w:marBottom w:val="0"/>
      <w:divBdr>
        <w:top w:val="none" w:sz="0" w:space="0" w:color="auto"/>
        <w:left w:val="none" w:sz="0" w:space="0" w:color="auto"/>
        <w:bottom w:val="none" w:sz="0" w:space="0" w:color="auto"/>
        <w:right w:val="none" w:sz="0" w:space="0" w:color="auto"/>
      </w:divBdr>
    </w:div>
    <w:div w:id="1812406983">
      <w:bodyDiv w:val="1"/>
      <w:marLeft w:val="0"/>
      <w:marRight w:val="0"/>
      <w:marTop w:val="0"/>
      <w:marBottom w:val="0"/>
      <w:divBdr>
        <w:top w:val="none" w:sz="0" w:space="0" w:color="auto"/>
        <w:left w:val="none" w:sz="0" w:space="0" w:color="auto"/>
        <w:bottom w:val="none" w:sz="0" w:space="0" w:color="auto"/>
        <w:right w:val="none" w:sz="0" w:space="0" w:color="auto"/>
      </w:divBdr>
    </w:div>
    <w:div w:id="1812945239">
      <w:bodyDiv w:val="1"/>
      <w:marLeft w:val="0"/>
      <w:marRight w:val="0"/>
      <w:marTop w:val="0"/>
      <w:marBottom w:val="0"/>
      <w:divBdr>
        <w:top w:val="none" w:sz="0" w:space="0" w:color="auto"/>
        <w:left w:val="none" w:sz="0" w:space="0" w:color="auto"/>
        <w:bottom w:val="none" w:sz="0" w:space="0" w:color="auto"/>
        <w:right w:val="none" w:sz="0" w:space="0" w:color="auto"/>
      </w:divBdr>
    </w:div>
    <w:div w:id="1813399358">
      <w:bodyDiv w:val="1"/>
      <w:marLeft w:val="0"/>
      <w:marRight w:val="0"/>
      <w:marTop w:val="0"/>
      <w:marBottom w:val="0"/>
      <w:divBdr>
        <w:top w:val="none" w:sz="0" w:space="0" w:color="auto"/>
        <w:left w:val="none" w:sz="0" w:space="0" w:color="auto"/>
        <w:bottom w:val="none" w:sz="0" w:space="0" w:color="auto"/>
        <w:right w:val="none" w:sz="0" w:space="0" w:color="auto"/>
      </w:divBdr>
    </w:div>
    <w:div w:id="1813476227">
      <w:bodyDiv w:val="1"/>
      <w:marLeft w:val="0"/>
      <w:marRight w:val="0"/>
      <w:marTop w:val="0"/>
      <w:marBottom w:val="0"/>
      <w:divBdr>
        <w:top w:val="none" w:sz="0" w:space="0" w:color="auto"/>
        <w:left w:val="none" w:sz="0" w:space="0" w:color="auto"/>
        <w:bottom w:val="none" w:sz="0" w:space="0" w:color="auto"/>
        <w:right w:val="none" w:sz="0" w:space="0" w:color="auto"/>
      </w:divBdr>
    </w:div>
    <w:div w:id="1813522250">
      <w:bodyDiv w:val="1"/>
      <w:marLeft w:val="0"/>
      <w:marRight w:val="0"/>
      <w:marTop w:val="0"/>
      <w:marBottom w:val="0"/>
      <w:divBdr>
        <w:top w:val="none" w:sz="0" w:space="0" w:color="auto"/>
        <w:left w:val="none" w:sz="0" w:space="0" w:color="auto"/>
        <w:bottom w:val="none" w:sz="0" w:space="0" w:color="auto"/>
        <w:right w:val="none" w:sz="0" w:space="0" w:color="auto"/>
      </w:divBdr>
    </w:div>
    <w:div w:id="1813794131">
      <w:bodyDiv w:val="1"/>
      <w:marLeft w:val="0"/>
      <w:marRight w:val="0"/>
      <w:marTop w:val="0"/>
      <w:marBottom w:val="0"/>
      <w:divBdr>
        <w:top w:val="none" w:sz="0" w:space="0" w:color="auto"/>
        <w:left w:val="none" w:sz="0" w:space="0" w:color="auto"/>
        <w:bottom w:val="none" w:sz="0" w:space="0" w:color="auto"/>
        <w:right w:val="none" w:sz="0" w:space="0" w:color="auto"/>
      </w:divBdr>
    </w:div>
    <w:div w:id="1814055654">
      <w:bodyDiv w:val="1"/>
      <w:marLeft w:val="0"/>
      <w:marRight w:val="0"/>
      <w:marTop w:val="0"/>
      <w:marBottom w:val="0"/>
      <w:divBdr>
        <w:top w:val="none" w:sz="0" w:space="0" w:color="auto"/>
        <w:left w:val="none" w:sz="0" w:space="0" w:color="auto"/>
        <w:bottom w:val="none" w:sz="0" w:space="0" w:color="auto"/>
        <w:right w:val="none" w:sz="0" w:space="0" w:color="auto"/>
      </w:divBdr>
    </w:div>
    <w:div w:id="1814254876">
      <w:bodyDiv w:val="1"/>
      <w:marLeft w:val="0"/>
      <w:marRight w:val="0"/>
      <w:marTop w:val="0"/>
      <w:marBottom w:val="0"/>
      <w:divBdr>
        <w:top w:val="none" w:sz="0" w:space="0" w:color="auto"/>
        <w:left w:val="none" w:sz="0" w:space="0" w:color="auto"/>
        <w:bottom w:val="none" w:sz="0" w:space="0" w:color="auto"/>
        <w:right w:val="none" w:sz="0" w:space="0" w:color="auto"/>
      </w:divBdr>
    </w:div>
    <w:div w:id="1814322616">
      <w:bodyDiv w:val="1"/>
      <w:marLeft w:val="0"/>
      <w:marRight w:val="0"/>
      <w:marTop w:val="0"/>
      <w:marBottom w:val="0"/>
      <w:divBdr>
        <w:top w:val="none" w:sz="0" w:space="0" w:color="auto"/>
        <w:left w:val="none" w:sz="0" w:space="0" w:color="auto"/>
        <w:bottom w:val="none" w:sz="0" w:space="0" w:color="auto"/>
        <w:right w:val="none" w:sz="0" w:space="0" w:color="auto"/>
      </w:divBdr>
    </w:div>
    <w:div w:id="1814980704">
      <w:bodyDiv w:val="1"/>
      <w:marLeft w:val="0"/>
      <w:marRight w:val="0"/>
      <w:marTop w:val="0"/>
      <w:marBottom w:val="0"/>
      <w:divBdr>
        <w:top w:val="none" w:sz="0" w:space="0" w:color="auto"/>
        <w:left w:val="none" w:sz="0" w:space="0" w:color="auto"/>
        <w:bottom w:val="none" w:sz="0" w:space="0" w:color="auto"/>
        <w:right w:val="none" w:sz="0" w:space="0" w:color="auto"/>
      </w:divBdr>
    </w:div>
    <w:div w:id="1816602496">
      <w:bodyDiv w:val="1"/>
      <w:marLeft w:val="0"/>
      <w:marRight w:val="0"/>
      <w:marTop w:val="0"/>
      <w:marBottom w:val="0"/>
      <w:divBdr>
        <w:top w:val="none" w:sz="0" w:space="0" w:color="auto"/>
        <w:left w:val="none" w:sz="0" w:space="0" w:color="auto"/>
        <w:bottom w:val="none" w:sz="0" w:space="0" w:color="auto"/>
        <w:right w:val="none" w:sz="0" w:space="0" w:color="auto"/>
      </w:divBdr>
    </w:div>
    <w:div w:id="1817917741">
      <w:bodyDiv w:val="1"/>
      <w:marLeft w:val="0"/>
      <w:marRight w:val="0"/>
      <w:marTop w:val="0"/>
      <w:marBottom w:val="0"/>
      <w:divBdr>
        <w:top w:val="none" w:sz="0" w:space="0" w:color="auto"/>
        <w:left w:val="none" w:sz="0" w:space="0" w:color="auto"/>
        <w:bottom w:val="none" w:sz="0" w:space="0" w:color="auto"/>
        <w:right w:val="none" w:sz="0" w:space="0" w:color="auto"/>
      </w:divBdr>
    </w:div>
    <w:div w:id="1818180842">
      <w:bodyDiv w:val="1"/>
      <w:marLeft w:val="0"/>
      <w:marRight w:val="0"/>
      <w:marTop w:val="0"/>
      <w:marBottom w:val="0"/>
      <w:divBdr>
        <w:top w:val="none" w:sz="0" w:space="0" w:color="auto"/>
        <w:left w:val="none" w:sz="0" w:space="0" w:color="auto"/>
        <w:bottom w:val="none" w:sz="0" w:space="0" w:color="auto"/>
        <w:right w:val="none" w:sz="0" w:space="0" w:color="auto"/>
      </w:divBdr>
    </w:div>
    <w:div w:id="1818303475">
      <w:bodyDiv w:val="1"/>
      <w:marLeft w:val="0"/>
      <w:marRight w:val="0"/>
      <w:marTop w:val="0"/>
      <w:marBottom w:val="0"/>
      <w:divBdr>
        <w:top w:val="none" w:sz="0" w:space="0" w:color="auto"/>
        <w:left w:val="none" w:sz="0" w:space="0" w:color="auto"/>
        <w:bottom w:val="none" w:sz="0" w:space="0" w:color="auto"/>
        <w:right w:val="none" w:sz="0" w:space="0" w:color="auto"/>
      </w:divBdr>
    </w:div>
    <w:div w:id="1818718066">
      <w:bodyDiv w:val="1"/>
      <w:marLeft w:val="0"/>
      <w:marRight w:val="0"/>
      <w:marTop w:val="0"/>
      <w:marBottom w:val="0"/>
      <w:divBdr>
        <w:top w:val="none" w:sz="0" w:space="0" w:color="auto"/>
        <w:left w:val="none" w:sz="0" w:space="0" w:color="auto"/>
        <w:bottom w:val="none" w:sz="0" w:space="0" w:color="auto"/>
        <w:right w:val="none" w:sz="0" w:space="0" w:color="auto"/>
      </w:divBdr>
    </w:div>
    <w:div w:id="1818835969">
      <w:bodyDiv w:val="1"/>
      <w:marLeft w:val="0"/>
      <w:marRight w:val="0"/>
      <w:marTop w:val="0"/>
      <w:marBottom w:val="0"/>
      <w:divBdr>
        <w:top w:val="none" w:sz="0" w:space="0" w:color="auto"/>
        <w:left w:val="none" w:sz="0" w:space="0" w:color="auto"/>
        <w:bottom w:val="none" w:sz="0" w:space="0" w:color="auto"/>
        <w:right w:val="none" w:sz="0" w:space="0" w:color="auto"/>
      </w:divBdr>
    </w:div>
    <w:div w:id="1819033605">
      <w:bodyDiv w:val="1"/>
      <w:marLeft w:val="0"/>
      <w:marRight w:val="0"/>
      <w:marTop w:val="0"/>
      <w:marBottom w:val="0"/>
      <w:divBdr>
        <w:top w:val="none" w:sz="0" w:space="0" w:color="auto"/>
        <w:left w:val="none" w:sz="0" w:space="0" w:color="auto"/>
        <w:bottom w:val="none" w:sz="0" w:space="0" w:color="auto"/>
        <w:right w:val="none" w:sz="0" w:space="0" w:color="auto"/>
      </w:divBdr>
    </w:div>
    <w:div w:id="1819347930">
      <w:bodyDiv w:val="1"/>
      <w:marLeft w:val="0"/>
      <w:marRight w:val="0"/>
      <w:marTop w:val="0"/>
      <w:marBottom w:val="0"/>
      <w:divBdr>
        <w:top w:val="none" w:sz="0" w:space="0" w:color="auto"/>
        <w:left w:val="none" w:sz="0" w:space="0" w:color="auto"/>
        <w:bottom w:val="none" w:sz="0" w:space="0" w:color="auto"/>
        <w:right w:val="none" w:sz="0" w:space="0" w:color="auto"/>
      </w:divBdr>
    </w:div>
    <w:div w:id="1819568814">
      <w:bodyDiv w:val="1"/>
      <w:marLeft w:val="0"/>
      <w:marRight w:val="0"/>
      <w:marTop w:val="0"/>
      <w:marBottom w:val="0"/>
      <w:divBdr>
        <w:top w:val="none" w:sz="0" w:space="0" w:color="auto"/>
        <w:left w:val="none" w:sz="0" w:space="0" w:color="auto"/>
        <w:bottom w:val="none" w:sz="0" w:space="0" w:color="auto"/>
        <w:right w:val="none" w:sz="0" w:space="0" w:color="auto"/>
      </w:divBdr>
    </w:div>
    <w:div w:id="1819760435">
      <w:bodyDiv w:val="1"/>
      <w:marLeft w:val="0"/>
      <w:marRight w:val="0"/>
      <w:marTop w:val="0"/>
      <w:marBottom w:val="0"/>
      <w:divBdr>
        <w:top w:val="none" w:sz="0" w:space="0" w:color="auto"/>
        <w:left w:val="none" w:sz="0" w:space="0" w:color="auto"/>
        <w:bottom w:val="none" w:sz="0" w:space="0" w:color="auto"/>
        <w:right w:val="none" w:sz="0" w:space="0" w:color="auto"/>
      </w:divBdr>
    </w:div>
    <w:div w:id="1820421259">
      <w:bodyDiv w:val="1"/>
      <w:marLeft w:val="0"/>
      <w:marRight w:val="0"/>
      <w:marTop w:val="0"/>
      <w:marBottom w:val="0"/>
      <w:divBdr>
        <w:top w:val="none" w:sz="0" w:space="0" w:color="auto"/>
        <w:left w:val="none" w:sz="0" w:space="0" w:color="auto"/>
        <w:bottom w:val="none" w:sz="0" w:space="0" w:color="auto"/>
        <w:right w:val="none" w:sz="0" w:space="0" w:color="auto"/>
      </w:divBdr>
    </w:div>
    <w:div w:id="1820536927">
      <w:bodyDiv w:val="1"/>
      <w:marLeft w:val="0"/>
      <w:marRight w:val="0"/>
      <w:marTop w:val="0"/>
      <w:marBottom w:val="0"/>
      <w:divBdr>
        <w:top w:val="none" w:sz="0" w:space="0" w:color="auto"/>
        <w:left w:val="none" w:sz="0" w:space="0" w:color="auto"/>
        <w:bottom w:val="none" w:sz="0" w:space="0" w:color="auto"/>
        <w:right w:val="none" w:sz="0" w:space="0" w:color="auto"/>
      </w:divBdr>
    </w:div>
    <w:div w:id="1822304273">
      <w:bodyDiv w:val="1"/>
      <w:marLeft w:val="0"/>
      <w:marRight w:val="0"/>
      <w:marTop w:val="0"/>
      <w:marBottom w:val="0"/>
      <w:divBdr>
        <w:top w:val="none" w:sz="0" w:space="0" w:color="auto"/>
        <w:left w:val="none" w:sz="0" w:space="0" w:color="auto"/>
        <w:bottom w:val="none" w:sz="0" w:space="0" w:color="auto"/>
        <w:right w:val="none" w:sz="0" w:space="0" w:color="auto"/>
      </w:divBdr>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
    <w:div w:id="1822768149">
      <w:bodyDiv w:val="1"/>
      <w:marLeft w:val="0"/>
      <w:marRight w:val="0"/>
      <w:marTop w:val="0"/>
      <w:marBottom w:val="0"/>
      <w:divBdr>
        <w:top w:val="none" w:sz="0" w:space="0" w:color="auto"/>
        <w:left w:val="none" w:sz="0" w:space="0" w:color="auto"/>
        <w:bottom w:val="none" w:sz="0" w:space="0" w:color="auto"/>
        <w:right w:val="none" w:sz="0" w:space="0" w:color="auto"/>
      </w:divBdr>
    </w:div>
    <w:div w:id="1822771532">
      <w:bodyDiv w:val="1"/>
      <w:marLeft w:val="0"/>
      <w:marRight w:val="0"/>
      <w:marTop w:val="0"/>
      <w:marBottom w:val="0"/>
      <w:divBdr>
        <w:top w:val="none" w:sz="0" w:space="0" w:color="auto"/>
        <w:left w:val="none" w:sz="0" w:space="0" w:color="auto"/>
        <w:bottom w:val="none" w:sz="0" w:space="0" w:color="auto"/>
        <w:right w:val="none" w:sz="0" w:space="0" w:color="auto"/>
      </w:divBdr>
    </w:div>
    <w:div w:id="1823082650">
      <w:bodyDiv w:val="1"/>
      <w:marLeft w:val="0"/>
      <w:marRight w:val="0"/>
      <w:marTop w:val="0"/>
      <w:marBottom w:val="0"/>
      <w:divBdr>
        <w:top w:val="none" w:sz="0" w:space="0" w:color="auto"/>
        <w:left w:val="none" w:sz="0" w:space="0" w:color="auto"/>
        <w:bottom w:val="none" w:sz="0" w:space="0" w:color="auto"/>
        <w:right w:val="none" w:sz="0" w:space="0" w:color="auto"/>
      </w:divBdr>
    </w:div>
    <w:div w:id="1823236693">
      <w:bodyDiv w:val="1"/>
      <w:marLeft w:val="0"/>
      <w:marRight w:val="0"/>
      <w:marTop w:val="0"/>
      <w:marBottom w:val="0"/>
      <w:divBdr>
        <w:top w:val="none" w:sz="0" w:space="0" w:color="auto"/>
        <w:left w:val="none" w:sz="0" w:space="0" w:color="auto"/>
        <w:bottom w:val="none" w:sz="0" w:space="0" w:color="auto"/>
        <w:right w:val="none" w:sz="0" w:space="0" w:color="auto"/>
      </w:divBdr>
    </w:div>
    <w:div w:id="1823545851">
      <w:bodyDiv w:val="1"/>
      <w:marLeft w:val="0"/>
      <w:marRight w:val="0"/>
      <w:marTop w:val="0"/>
      <w:marBottom w:val="0"/>
      <w:divBdr>
        <w:top w:val="none" w:sz="0" w:space="0" w:color="auto"/>
        <w:left w:val="none" w:sz="0" w:space="0" w:color="auto"/>
        <w:bottom w:val="none" w:sz="0" w:space="0" w:color="auto"/>
        <w:right w:val="none" w:sz="0" w:space="0" w:color="auto"/>
      </w:divBdr>
    </w:div>
    <w:div w:id="1823689773">
      <w:bodyDiv w:val="1"/>
      <w:marLeft w:val="0"/>
      <w:marRight w:val="0"/>
      <w:marTop w:val="0"/>
      <w:marBottom w:val="0"/>
      <w:divBdr>
        <w:top w:val="none" w:sz="0" w:space="0" w:color="auto"/>
        <w:left w:val="none" w:sz="0" w:space="0" w:color="auto"/>
        <w:bottom w:val="none" w:sz="0" w:space="0" w:color="auto"/>
        <w:right w:val="none" w:sz="0" w:space="0" w:color="auto"/>
      </w:divBdr>
    </w:div>
    <w:div w:id="1823935073">
      <w:bodyDiv w:val="1"/>
      <w:marLeft w:val="0"/>
      <w:marRight w:val="0"/>
      <w:marTop w:val="0"/>
      <w:marBottom w:val="0"/>
      <w:divBdr>
        <w:top w:val="none" w:sz="0" w:space="0" w:color="auto"/>
        <w:left w:val="none" w:sz="0" w:space="0" w:color="auto"/>
        <w:bottom w:val="none" w:sz="0" w:space="0" w:color="auto"/>
        <w:right w:val="none" w:sz="0" w:space="0" w:color="auto"/>
      </w:divBdr>
    </w:div>
    <w:div w:id="1824740228">
      <w:bodyDiv w:val="1"/>
      <w:marLeft w:val="0"/>
      <w:marRight w:val="0"/>
      <w:marTop w:val="0"/>
      <w:marBottom w:val="0"/>
      <w:divBdr>
        <w:top w:val="none" w:sz="0" w:space="0" w:color="auto"/>
        <w:left w:val="none" w:sz="0" w:space="0" w:color="auto"/>
        <w:bottom w:val="none" w:sz="0" w:space="0" w:color="auto"/>
        <w:right w:val="none" w:sz="0" w:space="0" w:color="auto"/>
      </w:divBdr>
    </w:div>
    <w:div w:id="1825660183">
      <w:bodyDiv w:val="1"/>
      <w:marLeft w:val="0"/>
      <w:marRight w:val="0"/>
      <w:marTop w:val="0"/>
      <w:marBottom w:val="0"/>
      <w:divBdr>
        <w:top w:val="none" w:sz="0" w:space="0" w:color="auto"/>
        <w:left w:val="none" w:sz="0" w:space="0" w:color="auto"/>
        <w:bottom w:val="none" w:sz="0" w:space="0" w:color="auto"/>
        <w:right w:val="none" w:sz="0" w:space="0" w:color="auto"/>
      </w:divBdr>
    </w:div>
    <w:div w:id="1825663396">
      <w:bodyDiv w:val="1"/>
      <w:marLeft w:val="0"/>
      <w:marRight w:val="0"/>
      <w:marTop w:val="0"/>
      <w:marBottom w:val="0"/>
      <w:divBdr>
        <w:top w:val="none" w:sz="0" w:space="0" w:color="auto"/>
        <w:left w:val="none" w:sz="0" w:space="0" w:color="auto"/>
        <w:bottom w:val="none" w:sz="0" w:space="0" w:color="auto"/>
        <w:right w:val="none" w:sz="0" w:space="0" w:color="auto"/>
      </w:divBdr>
    </w:div>
    <w:div w:id="1825781275">
      <w:bodyDiv w:val="1"/>
      <w:marLeft w:val="0"/>
      <w:marRight w:val="0"/>
      <w:marTop w:val="0"/>
      <w:marBottom w:val="0"/>
      <w:divBdr>
        <w:top w:val="none" w:sz="0" w:space="0" w:color="auto"/>
        <w:left w:val="none" w:sz="0" w:space="0" w:color="auto"/>
        <w:bottom w:val="none" w:sz="0" w:space="0" w:color="auto"/>
        <w:right w:val="none" w:sz="0" w:space="0" w:color="auto"/>
      </w:divBdr>
    </w:div>
    <w:div w:id="1825782410">
      <w:bodyDiv w:val="1"/>
      <w:marLeft w:val="0"/>
      <w:marRight w:val="0"/>
      <w:marTop w:val="0"/>
      <w:marBottom w:val="0"/>
      <w:divBdr>
        <w:top w:val="none" w:sz="0" w:space="0" w:color="auto"/>
        <w:left w:val="none" w:sz="0" w:space="0" w:color="auto"/>
        <w:bottom w:val="none" w:sz="0" w:space="0" w:color="auto"/>
        <w:right w:val="none" w:sz="0" w:space="0" w:color="auto"/>
      </w:divBdr>
    </w:div>
    <w:div w:id="1825856923">
      <w:bodyDiv w:val="1"/>
      <w:marLeft w:val="0"/>
      <w:marRight w:val="0"/>
      <w:marTop w:val="0"/>
      <w:marBottom w:val="0"/>
      <w:divBdr>
        <w:top w:val="none" w:sz="0" w:space="0" w:color="auto"/>
        <w:left w:val="none" w:sz="0" w:space="0" w:color="auto"/>
        <w:bottom w:val="none" w:sz="0" w:space="0" w:color="auto"/>
        <w:right w:val="none" w:sz="0" w:space="0" w:color="auto"/>
      </w:divBdr>
    </w:div>
    <w:div w:id="1825924989">
      <w:bodyDiv w:val="1"/>
      <w:marLeft w:val="0"/>
      <w:marRight w:val="0"/>
      <w:marTop w:val="0"/>
      <w:marBottom w:val="0"/>
      <w:divBdr>
        <w:top w:val="none" w:sz="0" w:space="0" w:color="auto"/>
        <w:left w:val="none" w:sz="0" w:space="0" w:color="auto"/>
        <w:bottom w:val="none" w:sz="0" w:space="0" w:color="auto"/>
        <w:right w:val="none" w:sz="0" w:space="0" w:color="auto"/>
      </w:divBdr>
    </w:div>
    <w:div w:id="1825975956">
      <w:bodyDiv w:val="1"/>
      <w:marLeft w:val="0"/>
      <w:marRight w:val="0"/>
      <w:marTop w:val="0"/>
      <w:marBottom w:val="0"/>
      <w:divBdr>
        <w:top w:val="none" w:sz="0" w:space="0" w:color="auto"/>
        <w:left w:val="none" w:sz="0" w:space="0" w:color="auto"/>
        <w:bottom w:val="none" w:sz="0" w:space="0" w:color="auto"/>
        <w:right w:val="none" w:sz="0" w:space="0" w:color="auto"/>
      </w:divBdr>
    </w:div>
    <w:div w:id="1827672377">
      <w:bodyDiv w:val="1"/>
      <w:marLeft w:val="0"/>
      <w:marRight w:val="0"/>
      <w:marTop w:val="0"/>
      <w:marBottom w:val="0"/>
      <w:divBdr>
        <w:top w:val="none" w:sz="0" w:space="0" w:color="auto"/>
        <w:left w:val="none" w:sz="0" w:space="0" w:color="auto"/>
        <w:bottom w:val="none" w:sz="0" w:space="0" w:color="auto"/>
        <w:right w:val="none" w:sz="0" w:space="0" w:color="auto"/>
      </w:divBdr>
    </w:div>
    <w:div w:id="1828281998">
      <w:bodyDiv w:val="1"/>
      <w:marLeft w:val="0"/>
      <w:marRight w:val="0"/>
      <w:marTop w:val="0"/>
      <w:marBottom w:val="0"/>
      <w:divBdr>
        <w:top w:val="none" w:sz="0" w:space="0" w:color="auto"/>
        <w:left w:val="none" w:sz="0" w:space="0" w:color="auto"/>
        <w:bottom w:val="none" w:sz="0" w:space="0" w:color="auto"/>
        <w:right w:val="none" w:sz="0" w:space="0" w:color="auto"/>
      </w:divBdr>
    </w:div>
    <w:div w:id="1828588620">
      <w:bodyDiv w:val="1"/>
      <w:marLeft w:val="0"/>
      <w:marRight w:val="0"/>
      <w:marTop w:val="0"/>
      <w:marBottom w:val="0"/>
      <w:divBdr>
        <w:top w:val="none" w:sz="0" w:space="0" w:color="auto"/>
        <w:left w:val="none" w:sz="0" w:space="0" w:color="auto"/>
        <w:bottom w:val="none" w:sz="0" w:space="0" w:color="auto"/>
        <w:right w:val="none" w:sz="0" w:space="0" w:color="auto"/>
      </w:divBdr>
    </w:div>
    <w:div w:id="1828596832">
      <w:bodyDiv w:val="1"/>
      <w:marLeft w:val="0"/>
      <w:marRight w:val="0"/>
      <w:marTop w:val="0"/>
      <w:marBottom w:val="0"/>
      <w:divBdr>
        <w:top w:val="none" w:sz="0" w:space="0" w:color="auto"/>
        <w:left w:val="none" w:sz="0" w:space="0" w:color="auto"/>
        <w:bottom w:val="none" w:sz="0" w:space="0" w:color="auto"/>
        <w:right w:val="none" w:sz="0" w:space="0" w:color="auto"/>
      </w:divBdr>
    </w:div>
    <w:div w:id="1828743777">
      <w:bodyDiv w:val="1"/>
      <w:marLeft w:val="0"/>
      <w:marRight w:val="0"/>
      <w:marTop w:val="0"/>
      <w:marBottom w:val="0"/>
      <w:divBdr>
        <w:top w:val="none" w:sz="0" w:space="0" w:color="auto"/>
        <w:left w:val="none" w:sz="0" w:space="0" w:color="auto"/>
        <w:bottom w:val="none" w:sz="0" w:space="0" w:color="auto"/>
        <w:right w:val="none" w:sz="0" w:space="0" w:color="auto"/>
      </w:divBdr>
    </w:div>
    <w:div w:id="1828863726">
      <w:bodyDiv w:val="1"/>
      <w:marLeft w:val="0"/>
      <w:marRight w:val="0"/>
      <w:marTop w:val="0"/>
      <w:marBottom w:val="0"/>
      <w:divBdr>
        <w:top w:val="none" w:sz="0" w:space="0" w:color="auto"/>
        <w:left w:val="none" w:sz="0" w:space="0" w:color="auto"/>
        <w:bottom w:val="none" w:sz="0" w:space="0" w:color="auto"/>
        <w:right w:val="none" w:sz="0" w:space="0" w:color="auto"/>
      </w:divBdr>
    </w:div>
    <w:div w:id="1828980545">
      <w:bodyDiv w:val="1"/>
      <w:marLeft w:val="0"/>
      <w:marRight w:val="0"/>
      <w:marTop w:val="0"/>
      <w:marBottom w:val="0"/>
      <w:divBdr>
        <w:top w:val="none" w:sz="0" w:space="0" w:color="auto"/>
        <w:left w:val="none" w:sz="0" w:space="0" w:color="auto"/>
        <w:bottom w:val="none" w:sz="0" w:space="0" w:color="auto"/>
        <w:right w:val="none" w:sz="0" w:space="0" w:color="auto"/>
      </w:divBdr>
    </w:div>
    <w:div w:id="1830319040">
      <w:bodyDiv w:val="1"/>
      <w:marLeft w:val="0"/>
      <w:marRight w:val="0"/>
      <w:marTop w:val="0"/>
      <w:marBottom w:val="0"/>
      <w:divBdr>
        <w:top w:val="none" w:sz="0" w:space="0" w:color="auto"/>
        <w:left w:val="none" w:sz="0" w:space="0" w:color="auto"/>
        <w:bottom w:val="none" w:sz="0" w:space="0" w:color="auto"/>
        <w:right w:val="none" w:sz="0" w:space="0" w:color="auto"/>
      </w:divBdr>
    </w:div>
    <w:div w:id="1831099181">
      <w:bodyDiv w:val="1"/>
      <w:marLeft w:val="0"/>
      <w:marRight w:val="0"/>
      <w:marTop w:val="0"/>
      <w:marBottom w:val="0"/>
      <w:divBdr>
        <w:top w:val="none" w:sz="0" w:space="0" w:color="auto"/>
        <w:left w:val="none" w:sz="0" w:space="0" w:color="auto"/>
        <w:bottom w:val="none" w:sz="0" w:space="0" w:color="auto"/>
        <w:right w:val="none" w:sz="0" w:space="0" w:color="auto"/>
      </w:divBdr>
    </w:div>
    <w:div w:id="1831603860">
      <w:bodyDiv w:val="1"/>
      <w:marLeft w:val="0"/>
      <w:marRight w:val="0"/>
      <w:marTop w:val="0"/>
      <w:marBottom w:val="0"/>
      <w:divBdr>
        <w:top w:val="none" w:sz="0" w:space="0" w:color="auto"/>
        <w:left w:val="none" w:sz="0" w:space="0" w:color="auto"/>
        <w:bottom w:val="none" w:sz="0" w:space="0" w:color="auto"/>
        <w:right w:val="none" w:sz="0" w:space="0" w:color="auto"/>
      </w:divBdr>
    </w:div>
    <w:div w:id="1831827308">
      <w:bodyDiv w:val="1"/>
      <w:marLeft w:val="0"/>
      <w:marRight w:val="0"/>
      <w:marTop w:val="0"/>
      <w:marBottom w:val="0"/>
      <w:divBdr>
        <w:top w:val="none" w:sz="0" w:space="0" w:color="auto"/>
        <w:left w:val="none" w:sz="0" w:space="0" w:color="auto"/>
        <w:bottom w:val="none" w:sz="0" w:space="0" w:color="auto"/>
        <w:right w:val="none" w:sz="0" w:space="0" w:color="auto"/>
      </w:divBdr>
    </w:div>
    <w:div w:id="1832210312">
      <w:bodyDiv w:val="1"/>
      <w:marLeft w:val="0"/>
      <w:marRight w:val="0"/>
      <w:marTop w:val="0"/>
      <w:marBottom w:val="0"/>
      <w:divBdr>
        <w:top w:val="none" w:sz="0" w:space="0" w:color="auto"/>
        <w:left w:val="none" w:sz="0" w:space="0" w:color="auto"/>
        <w:bottom w:val="none" w:sz="0" w:space="0" w:color="auto"/>
        <w:right w:val="none" w:sz="0" w:space="0" w:color="auto"/>
      </w:divBdr>
    </w:div>
    <w:div w:id="1832327760">
      <w:bodyDiv w:val="1"/>
      <w:marLeft w:val="0"/>
      <w:marRight w:val="0"/>
      <w:marTop w:val="0"/>
      <w:marBottom w:val="0"/>
      <w:divBdr>
        <w:top w:val="none" w:sz="0" w:space="0" w:color="auto"/>
        <w:left w:val="none" w:sz="0" w:space="0" w:color="auto"/>
        <w:bottom w:val="none" w:sz="0" w:space="0" w:color="auto"/>
        <w:right w:val="none" w:sz="0" w:space="0" w:color="auto"/>
      </w:divBdr>
    </w:div>
    <w:div w:id="1832912134">
      <w:bodyDiv w:val="1"/>
      <w:marLeft w:val="0"/>
      <w:marRight w:val="0"/>
      <w:marTop w:val="0"/>
      <w:marBottom w:val="0"/>
      <w:divBdr>
        <w:top w:val="none" w:sz="0" w:space="0" w:color="auto"/>
        <w:left w:val="none" w:sz="0" w:space="0" w:color="auto"/>
        <w:bottom w:val="none" w:sz="0" w:space="0" w:color="auto"/>
        <w:right w:val="none" w:sz="0" w:space="0" w:color="auto"/>
      </w:divBdr>
    </w:div>
    <w:div w:id="1833401732">
      <w:bodyDiv w:val="1"/>
      <w:marLeft w:val="0"/>
      <w:marRight w:val="0"/>
      <w:marTop w:val="0"/>
      <w:marBottom w:val="0"/>
      <w:divBdr>
        <w:top w:val="none" w:sz="0" w:space="0" w:color="auto"/>
        <w:left w:val="none" w:sz="0" w:space="0" w:color="auto"/>
        <w:bottom w:val="none" w:sz="0" w:space="0" w:color="auto"/>
        <w:right w:val="none" w:sz="0" w:space="0" w:color="auto"/>
      </w:divBdr>
    </w:div>
    <w:div w:id="1833402270">
      <w:bodyDiv w:val="1"/>
      <w:marLeft w:val="0"/>
      <w:marRight w:val="0"/>
      <w:marTop w:val="0"/>
      <w:marBottom w:val="0"/>
      <w:divBdr>
        <w:top w:val="none" w:sz="0" w:space="0" w:color="auto"/>
        <w:left w:val="none" w:sz="0" w:space="0" w:color="auto"/>
        <w:bottom w:val="none" w:sz="0" w:space="0" w:color="auto"/>
        <w:right w:val="none" w:sz="0" w:space="0" w:color="auto"/>
      </w:divBdr>
    </w:div>
    <w:div w:id="1833718375">
      <w:bodyDiv w:val="1"/>
      <w:marLeft w:val="0"/>
      <w:marRight w:val="0"/>
      <w:marTop w:val="0"/>
      <w:marBottom w:val="0"/>
      <w:divBdr>
        <w:top w:val="none" w:sz="0" w:space="0" w:color="auto"/>
        <w:left w:val="none" w:sz="0" w:space="0" w:color="auto"/>
        <w:bottom w:val="none" w:sz="0" w:space="0" w:color="auto"/>
        <w:right w:val="none" w:sz="0" w:space="0" w:color="auto"/>
      </w:divBdr>
    </w:div>
    <w:div w:id="1833830111">
      <w:bodyDiv w:val="1"/>
      <w:marLeft w:val="0"/>
      <w:marRight w:val="0"/>
      <w:marTop w:val="0"/>
      <w:marBottom w:val="0"/>
      <w:divBdr>
        <w:top w:val="none" w:sz="0" w:space="0" w:color="auto"/>
        <w:left w:val="none" w:sz="0" w:space="0" w:color="auto"/>
        <w:bottom w:val="none" w:sz="0" w:space="0" w:color="auto"/>
        <w:right w:val="none" w:sz="0" w:space="0" w:color="auto"/>
      </w:divBdr>
    </w:div>
    <w:div w:id="1834025650">
      <w:bodyDiv w:val="1"/>
      <w:marLeft w:val="0"/>
      <w:marRight w:val="0"/>
      <w:marTop w:val="0"/>
      <w:marBottom w:val="0"/>
      <w:divBdr>
        <w:top w:val="none" w:sz="0" w:space="0" w:color="auto"/>
        <w:left w:val="none" w:sz="0" w:space="0" w:color="auto"/>
        <w:bottom w:val="none" w:sz="0" w:space="0" w:color="auto"/>
        <w:right w:val="none" w:sz="0" w:space="0" w:color="auto"/>
      </w:divBdr>
    </w:div>
    <w:div w:id="1834032397">
      <w:bodyDiv w:val="1"/>
      <w:marLeft w:val="0"/>
      <w:marRight w:val="0"/>
      <w:marTop w:val="0"/>
      <w:marBottom w:val="0"/>
      <w:divBdr>
        <w:top w:val="none" w:sz="0" w:space="0" w:color="auto"/>
        <w:left w:val="none" w:sz="0" w:space="0" w:color="auto"/>
        <w:bottom w:val="none" w:sz="0" w:space="0" w:color="auto"/>
        <w:right w:val="none" w:sz="0" w:space="0" w:color="auto"/>
      </w:divBdr>
    </w:div>
    <w:div w:id="1834374424">
      <w:bodyDiv w:val="1"/>
      <w:marLeft w:val="0"/>
      <w:marRight w:val="0"/>
      <w:marTop w:val="0"/>
      <w:marBottom w:val="0"/>
      <w:divBdr>
        <w:top w:val="none" w:sz="0" w:space="0" w:color="auto"/>
        <w:left w:val="none" w:sz="0" w:space="0" w:color="auto"/>
        <w:bottom w:val="none" w:sz="0" w:space="0" w:color="auto"/>
        <w:right w:val="none" w:sz="0" w:space="0" w:color="auto"/>
      </w:divBdr>
    </w:div>
    <w:div w:id="1834955924">
      <w:bodyDiv w:val="1"/>
      <w:marLeft w:val="0"/>
      <w:marRight w:val="0"/>
      <w:marTop w:val="0"/>
      <w:marBottom w:val="0"/>
      <w:divBdr>
        <w:top w:val="none" w:sz="0" w:space="0" w:color="auto"/>
        <w:left w:val="none" w:sz="0" w:space="0" w:color="auto"/>
        <w:bottom w:val="none" w:sz="0" w:space="0" w:color="auto"/>
        <w:right w:val="none" w:sz="0" w:space="0" w:color="auto"/>
      </w:divBdr>
    </w:div>
    <w:div w:id="1835101517">
      <w:bodyDiv w:val="1"/>
      <w:marLeft w:val="0"/>
      <w:marRight w:val="0"/>
      <w:marTop w:val="0"/>
      <w:marBottom w:val="0"/>
      <w:divBdr>
        <w:top w:val="none" w:sz="0" w:space="0" w:color="auto"/>
        <w:left w:val="none" w:sz="0" w:space="0" w:color="auto"/>
        <w:bottom w:val="none" w:sz="0" w:space="0" w:color="auto"/>
        <w:right w:val="none" w:sz="0" w:space="0" w:color="auto"/>
      </w:divBdr>
    </w:div>
    <w:div w:id="1835561043">
      <w:bodyDiv w:val="1"/>
      <w:marLeft w:val="0"/>
      <w:marRight w:val="0"/>
      <w:marTop w:val="0"/>
      <w:marBottom w:val="0"/>
      <w:divBdr>
        <w:top w:val="none" w:sz="0" w:space="0" w:color="auto"/>
        <w:left w:val="none" w:sz="0" w:space="0" w:color="auto"/>
        <w:bottom w:val="none" w:sz="0" w:space="0" w:color="auto"/>
        <w:right w:val="none" w:sz="0" w:space="0" w:color="auto"/>
      </w:divBdr>
    </w:div>
    <w:div w:id="1836065114">
      <w:bodyDiv w:val="1"/>
      <w:marLeft w:val="0"/>
      <w:marRight w:val="0"/>
      <w:marTop w:val="0"/>
      <w:marBottom w:val="0"/>
      <w:divBdr>
        <w:top w:val="none" w:sz="0" w:space="0" w:color="auto"/>
        <w:left w:val="none" w:sz="0" w:space="0" w:color="auto"/>
        <w:bottom w:val="none" w:sz="0" w:space="0" w:color="auto"/>
        <w:right w:val="none" w:sz="0" w:space="0" w:color="auto"/>
      </w:divBdr>
    </w:div>
    <w:div w:id="1836605035">
      <w:bodyDiv w:val="1"/>
      <w:marLeft w:val="0"/>
      <w:marRight w:val="0"/>
      <w:marTop w:val="0"/>
      <w:marBottom w:val="0"/>
      <w:divBdr>
        <w:top w:val="none" w:sz="0" w:space="0" w:color="auto"/>
        <w:left w:val="none" w:sz="0" w:space="0" w:color="auto"/>
        <w:bottom w:val="none" w:sz="0" w:space="0" w:color="auto"/>
        <w:right w:val="none" w:sz="0" w:space="0" w:color="auto"/>
      </w:divBdr>
    </w:div>
    <w:div w:id="1836803298">
      <w:bodyDiv w:val="1"/>
      <w:marLeft w:val="0"/>
      <w:marRight w:val="0"/>
      <w:marTop w:val="0"/>
      <w:marBottom w:val="0"/>
      <w:divBdr>
        <w:top w:val="none" w:sz="0" w:space="0" w:color="auto"/>
        <w:left w:val="none" w:sz="0" w:space="0" w:color="auto"/>
        <w:bottom w:val="none" w:sz="0" w:space="0" w:color="auto"/>
        <w:right w:val="none" w:sz="0" w:space="0" w:color="auto"/>
      </w:divBdr>
    </w:div>
    <w:div w:id="1838225017">
      <w:bodyDiv w:val="1"/>
      <w:marLeft w:val="0"/>
      <w:marRight w:val="0"/>
      <w:marTop w:val="0"/>
      <w:marBottom w:val="0"/>
      <w:divBdr>
        <w:top w:val="none" w:sz="0" w:space="0" w:color="auto"/>
        <w:left w:val="none" w:sz="0" w:space="0" w:color="auto"/>
        <w:bottom w:val="none" w:sz="0" w:space="0" w:color="auto"/>
        <w:right w:val="none" w:sz="0" w:space="0" w:color="auto"/>
      </w:divBdr>
    </w:div>
    <w:div w:id="1838577079">
      <w:bodyDiv w:val="1"/>
      <w:marLeft w:val="0"/>
      <w:marRight w:val="0"/>
      <w:marTop w:val="0"/>
      <w:marBottom w:val="0"/>
      <w:divBdr>
        <w:top w:val="none" w:sz="0" w:space="0" w:color="auto"/>
        <w:left w:val="none" w:sz="0" w:space="0" w:color="auto"/>
        <w:bottom w:val="none" w:sz="0" w:space="0" w:color="auto"/>
        <w:right w:val="none" w:sz="0" w:space="0" w:color="auto"/>
      </w:divBdr>
    </w:div>
    <w:div w:id="1838884616">
      <w:bodyDiv w:val="1"/>
      <w:marLeft w:val="0"/>
      <w:marRight w:val="0"/>
      <w:marTop w:val="0"/>
      <w:marBottom w:val="0"/>
      <w:divBdr>
        <w:top w:val="none" w:sz="0" w:space="0" w:color="auto"/>
        <w:left w:val="none" w:sz="0" w:space="0" w:color="auto"/>
        <w:bottom w:val="none" w:sz="0" w:space="0" w:color="auto"/>
        <w:right w:val="none" w:sz="0" w:space="0" w:color="auto"/>
      </w:divBdr>
    </w:div>
    <w:div w:id="1839228656">
      <w:bodyDiv w:val="1"/>
      <w:marLeft w:val="0"/>
      <w:marRight w:val="0"/>
      <w:marTop w:val="0"/>
      <w:marBottom w:val="0"/>
      <w:divBdr>
        <w:top w:val="none" w:sz="0" w:space="0" w:color="auto"/>
        <w:left w:val="none" w:sz="0" w:space="0" w:color="auto"/>
        <w:bottom w:val="none" w:sz="0" w:space="0" w:color="auto"/>
        <w:right w:val="none" w:sz="0" w:space="0" w:color="auto"/>
      </w:divBdr>
    </w:div>
    <w:div w:id="1839613315">
      <w:bodyDiv w:val="1"/>
      <w:marLeft w:val="0"/>
      <w:marRight w:val="0"/>
      <w:marTop w:val="0"/>
      <w:marBottom w:val="0"/>
      <w:divBdr>
        <w:top w:val="none" w:sz="0" w:space="0" w:color="auto"/>
        <w:left w:val="none" w:sz="0" w:space="0" w:color="auto"/>
        <w:bottom w:val="none" w:sz="0" w:space="0" w:color="auto"/>
        <w:right w:val="none" w:sz="0" w:space="0" w:color="auto"/>
      </w:divBdr>
    </w:div>
    <w:div w:id="1839929138">
      <w:bodyDiv w:val="1"/>
      <w:marLeft w:val="0"/>
      <w:marRight w:val="0"/>
      <w:marTop w:val="0"/>
      <w:marBottom w:val="0"/>
      <w:divBdr>
        <w:top w:val="none" w:sz="0" w:space="0" w:color="auto"/>
        <w:left w:val="none" w:sz="0" w:space="0" w:color="auto"/>
        <w:bottom w:val="none" w:sz="0" w:space="0" w:color="auto"/>
        <w:right w:val="none" w:sz="0" w:space="0" w:color="auto"/>
      </w:divBdr>
    </w:div>
    <w:div w:id="1840851876">
      <w:bodyDiv w:val="1"/>
      <w:marLeft w:val="0"/>
      <w:marRight w:val="0"/>
      <w:marTop w:val="0"/>
      <w:marBottom w:val="0"/>
      <w:divBdr>
        <w:top w:val="none" w:sz="0" w:space="0" w:color="auto"/>
        <w:left w:val="none" w:sz="0" w:space="0" w:color="auto"/>
        <w:bottom w:val="none" w:sz="0" w:space="0" w:color="auto"/>
        <w:right w:val="none" w:sz="0" w:space="0" w:color="auto"/>
      </w:divBdr>
    </w:div>
    <w:div w:id="1841969727">
      <w:bodyDiv w:val="1"/>
      <w:marLeft w:val="0"/>
      <w:marRight w:val="0"/>
      <w:marTop w:val="0"/>
      <w:marBottom w:val="0"/>
      <w:divBdr>
        <w:top w:val="none" w:sz="0" w:space="0" w:color="auto"/>
        <w:left w:val="none" w:sz="0" w:space="0" w:color="auto"/>
        <w:bottom w:val="none" w:sz="0" w:space="0" w:color="auto"/>
        <w:right w:val="none" w:sz="0" w:space="0" w:color="auto"/>
      </w:divBdr>
    </w:div>
    <w:div w:id="1842887589">
      <w:bodyDiv w:val="1"/>
      <w:marLeft w:val="0"/>
      <w:marRight w:val="0"/>
      <w:marTop w:val="0"/>
      <w:marBottom w:val="0"/>
      <w:divBdr>
        <w:top w:val="none" w:sz="0" w:space="0" w:color="auto"/>
        <w:left w:val="none" w:sz="0" w:space="0" w:color="auto"/>
        <w:bottom w:val="none" w:sz="0" w:space="0" w:color="auto"/>
        <w:right w:val="none" w:sz="0" w:space="0" w:color="auto"/>
      </w:divBdr>
    </w:div>
    <w:div w:id="1843280446">
      <w:bodyDiv w:val="1"/>
      <w:marLeft w:val="0"/>
      <w:marRight w:val="0"/>
      <w:marTop w:val="0"/>
      <w:marBottom w:val="0"/>
      <w:divBdr>
        <w:top w:val="none" w:sz="0" w:space="0" w:color="auto"/>
        <w:left w:val="none" w:sz="0" w:space="0" w:color="auto"/>
        <w:bottom w:val="none" w:sz="0" w:space="0" w:color="auto"/>
        <w:right w:val="none" w:sz="0" w:space="0" w:color="auto"/>
      </w:divBdr>
    </w:div>
    <w:div w:id="1843549644">
      <w:bodyDiv w:val="1"/>
      <w:marLeft w:val="0"/>
      <w:marRight w:val="0"/>
      <w:marTop w:val="0"/>
      <w:marBottom w:val="0"/>
      <w:divBdr>
        <w:top w:val="none" w:sz="0" w:space="0" w:color="auto"/>
        <w:left w:val="none" w:sz="0" w:space="0" w:color="auto"/>
        <w:bottom w:val="none" w:sz="0" w:space="0" w:color="auto"/>
        <w:right w:val="none" w:sz="0" w:space="0" w:color="auto"/>
      </w:divBdr>
    </w:div>
    <w:div w:id="1843663667">
      <w:bodyDiv w:val="1"/>
      <w:marLeft w:val="0"/>
      <w:marRight w:val="0"/>
      <w:marTop w:val="0"/>
      <w:marBottom w:val="0"/>
      <w:divBdr>
        <w:top w:val="none" w:sz="0" w:space="0" w:color="auto"/>
        <w:left w:val="none" w:sz="0" w:space="0" w:color="auto"/>
        <w:bottom w:val="none" w:sz="0" w:space="0" w:color="auto"/>
        <w:right w:val="none" w:sz="0" w:space="0" w:color="auto"/>
      </w:divBdr>
    </w:div>
    <w:div w:id="1843860377">
      <w:bodyDiv w:val="1"/>
      <w:marLeft w:val="0"/>
      <w:marRight w:val="0"/>
      <w:marTop w:val="0"/>
      <w:marBottom w:val="0"/>
      <w:divBdr>
        <w:top w:val="none" w:sz="0" w:space="0" w:color="auto"/>
        <w:left w:val="none" w:sz="0" w:space="0" w:color="auto"/>
        <w:bottom w:val="none" w:sz="0" w:space="0" w:color="auto"/>
        <w:right w:val="none" w:sz="0" w:space="0" w:color="auto"/>
      </w:divBdr>
    </w:div>
    <w:div w:id="1844125831">
      <w:bodyDiv w:val="1"/>
      <w:marLeft w:val="0"/>
      <w:marRight w:val="0"/>
      <w:marTop w:val="0"/>
      <w:marBottom w:val="0"/>
      <w:divBdr>
        <w:top w:val="none" w:sz="0" w:space="0" w:color="auto"/>
        <w:left w:val="none" w:sz="0" w:space="0" w:color="auto"/>
        <w:bottom w:val="none" w:sz="0" w:space="0" w:color="auto"/>
        <w:right w:val="none" w:sz="0" w:space="0" w:color="auto"/>
      </w:divBdr>
    </w:div>
    <w:div w:id="1844274647">
      <w:bodyDiv w:val="1"/>
      <w:marLeft w:val="0"/>
      <w:marRight w:val="0"/>
      <w:marTop w:val="0"/>
      <w:marBottom w:val="0"/>
      <w:divBdr>
        <w:top w:val="none" w:sz="0" w:space="0" w:color="auto"/>
        <w:left w:val="none" w:sz="0" w:space="0" w:color="auto"/>
        <w:bottom w:val="none" w:sz="0" w:space="0" w:color="auto"/>
        <w:right w:val="none" w:sz="0" w:space="0" w:color="auto"/>
      </w:divBdr>
    </w:div>
    <w:div w:id="1844514256">
      <w:bodyDiv w:val="1"/>
      <w:marLeft w:val="0"/>
      <w:marRight w:val="0"/>
      <w:marTop w:val="0"/>
      <w:marBottom w:val="0"/>
      <w:divBdr>
        <w:top w:val="none" w:sz="0" w:space="0" w:color="auto"/>
        <w:left w:val="none" w:sz="0" w:space="0" w:color="auto"/>
        <w:bottom w:val="none" w:sz="0" w:space="0" w:color="auto"/>
        <w:right w:val="none" w:sz="0" w:space="0" w:color="auto"/>
      </w:divBdr>
    </w:div>
    <w:div w:id="1844658364">
      <w:bodyDiv w:val="1"/>
      <w:marLeft w:val="0"/>
      <w:marRight w:val="0"/>
      <w:marTop w:val="0"/>
      <w:marBottom w:val="0"/>
      <w:divBdr>
        <w:top w:val="none" w:sz="0" w:space="0" w:color="auto"/>
        <w:left w:val="none" w:sz="0" w:space="0" w:color="auto"/>
        <w:bottom w:val="none" w:sz="0" w:space="0" w:color="auto"/>
        <w:right w:val="none" w:sz="0" w:space="0" w:color="auto"/>
      </w:divBdr>
    </w:div>
    <w:div w:id="1844853527">
      <w:bodyDiv w:val="1"/>
      <w:marLeft w:val="0"/>
      <w:marRight w:val="0"/>
      <w:marTop w:val="0"/>
      <w:marBottom w:val="0"/>
      <w:divBdr>
        <w:top w:val="none" w:sz="0" w:space="0" w:color="auto"/>
        <w:left w:val="none" w:sz="0" w:space="0" w:color="auto"/>
        <w:bottom w:val="none" w:sz="0" w:space="0" w:color="auto"/>
        <w:right w:val="none" w:sz="0" w:space="0" w:color="auto"/>
      </w:divBdr>
    </w:div>
    <w:div w:id="1845240836">
      <w:bodyDiv w:val="1"/>
      <w:marLeft w:val="0"/>
      <w:marRight w:val="0"/>
      <w:marTop w:val="0"/>
      <w:marBottom w:val="0"/>
      <w:divBdr>
        <w:top w:val="none" w:sz="0" w:space="0" w:color="auto"/>
        <w:left w:val="none" w:sz="0" w:space="0" w:color="auto"/>
        <w:bottom w:val="none" w:sz="0" w:space="0" w:color="auto"/>
        <w:right w:val="none" w:sz="0" w:space="0" w:color="auto"/>
      </w:divBdr>
    </w:div>
    <w:div w:id="1845657415">
      <w:bodyDiv w:val="1"/>
      <w:marLeft w:val="0"/>
      <w:marRight w:val="0"/>
      <w:marTop w:val="0"/>
      <w:marBottom w:val="0"/>
      <w:divBdr>
        <w:top w:val="none" w:sz="0" w:space="0" w:color="auto"/>
        <w:left w:val="none" w:sz="0" w:space="0" w:color="auto"/>
        <w:bottom w:val="none" w:sz="0" w:space="0" w:color="auto"/>
        <w:right w:val="none" w:sz="0" w:space="0" w:color="auto"/>
      </w:divBdr>
    </w:div>
    <w:div w:id="1846166373">
      <w:bodyDiv w:val="1"/>
      <w:marLeft w:val="0"/>
      <w:marRight w:val="0"/>
      <w:marTop w:val="0"/>
      <w:marBottom w:val="0"/>
      <w:divBdr>
        <w:top w:val="none" w:sz="0" w:space="0" w:color="auto"/>
        <w:left w:val="none" w:sz="0" w:space="0" w:color="auto"/>
        <w:bottom w:val="none" w:sz="0" w:space="0" w:color="auto"/>
        <w:right w:val="none" w:sz="0" w:space="0" w:color="auto"/>
      </w:divBdr>
    </w:div>
    <w:div w:id="1846824463">
      <w:bodyDiv w:val="1"/>
      <w:marLeft w:val="0"/>
      <w:marRight w:val="0"/>
      <w:marTop w:val="0"/>
      <w:marBottom w:val="0"/>
      <w:divBdr>
        <w:top w:val="none" w:sz="0" w:space="0" w:color="auto"/>
        <w:left w:val="none" w:sz="0" w:space="0" w:color="auto"/>
        <w:bottom w:val="none" w:sz="0" w:space="0" w:color="auto"/>
        <w:right w:val="none" w:sz="0" w:space="0" w:color="auto"/>
      </w:divBdr>
    </w:div>
    <w:div w:id="1847017280">
      <w:bodyDiv w:val="1"/>
      <w:marLeft w:val="0"/>
      <w:marRight w:val="0"/>
      <w:marTop w:val="0"/>
      <w:marBottom w:val="0"/>
      <w:divBdr>
        <w:top w:val="none" w:sz="0" w:space="0" w:color="auto"/>
        <w:left w:val="none" w:sz="0" w:space="0" w:color="auto"/>
        <w:bottom w:val="none" w:sz="0" w:space="0" w:color="auto"/>
        <w:right w:val="none" w:sz="0" w:space="0" w:color="auto"/>
      </w:divBdr>
    </w:div>
    <w:div w:id="1847133218">
      <w:bodyDiv w:val="1"/>
      <w:marLeft w:val="0"/>
      <w:marRight w:val="0"/>
      <w:marTop w:val="0"/>
      <w:marBottom w:val="0"/>
      <w:divBdr>
        <w:top w:val="none" w:sz="0" w:space="0" w:color="auto"/>
        <w:left w:val="none" w:sz="0" w:space="0" w:color="auto"/>
        <w:bottom w:val="none" w:sz="0" w:space="0" w:color="auto"/>
        <w:right w:val="none" w:sz="0" w:space="0" w:color="auto"/>
      </w:divBdr>
    </w:div>
    <w:div w:id="1847283734">
      <w:bodyDiv w:val="1"/>
      <w:marLeft w:val="0"/>
      <w:marRight w:val="0"/>
      <w:marTop w:val="0"/>
      <w:marBottom w:val="0"/>
      <w:divBdr>
        <w:top w:val="none" w:sz="0" w:space="0" w:color="auto"/>
        <w:left w:val="none" w:sz="0" w:space="0" w:color="auto"/>
        <w:bottom w:val="none" w:sz="0" w:space="0" w:color="auto"/>
        <w:right w:val="none" w:sz="0" w:space="0" w:color="auto"/>
      </w:divBdr>
    </w:div>
    <w:div w:id="1848249325">
      <w:bodyDiv w:val="1"/>
      <w:marLeft w:val="0"/>
      <w:marRight w:val="0"/>
      <w:marTop w:val="0"/>
      <w:marBottom w:val="0"/>
      <w:divBdr>
        <w:top w:val="none" w:sz="0" w:space="0" w:color="auto"/>
        <w:left w:val="none" w:sz="0" w:space="0" w:color="auto"/>
        <w:bottom w:val="none" w:sz="0" w:space="0" w:color="auto"/>
        <w:right w:val="none" w:sz="0" w:space="0" w:color="auto"/>
      </w:divBdr>
    </w:div>
    <w:div w:id="1849127103">
      <w:bodyDiv w:val="1"/>
      <w:marLeft w:val="0"/>
      <w:marRight w:val="0"/>
      <w:marTop w:val="0"/>
      <w:marBottom w:val="0"/>
      <w:divBdr>
        <w:top w:val="none" w:sz="0" w:space="0" w:color="auto"/>
        <w:left w:val="none" w:sz="0" w:space="0" w:color="auto"/>
        <w:bottom w:val="none" w:sz="0" w:space="0" w:color="auto"/>
        <w:right w:val="none" w:sz="0" w:space="0" w:color="auto"/>
      </w:divBdr>
    </w:div>
    <w:div w:id="1849127271">
      <w:bodyDiv w:val="1"/>
      <w:marLeft w:val="0"/>
      <w:marRight w:val="0"/>
      <w:marTop w:val="0"/>
      <w:marBottom w:val="0"/>
      <w:divBdr>
        <w:top w:val="none" w:sz="0" w:space="0" w:color="auto"/>
        <w:left w:val="none" w:sz="0" w:space="0" w:color="auto"/>
        <w:bottom w:val="none" w:sz="0" w:space="0" w:color="auto"/>
        <w:right w:val="none" w:sz="0" w:space="0" w:color="auto"/>
      </w:divBdr>
    </w:div>
    <w:div w:id="1849562859">
      <w:bodyDiv w:val="1"/>
      <w:marLeft w:val="0"/>
      <w:marRight w:val="0"/>
      <w:marTop w:val="0"/>
      <w:marBottom w:val="0"/>
      <w:divBdr>
        <w:top w:val="none" w:sz="0" w:space="0" w:color="auto"/>
        <w:left w:val="none" w:sz="0" w:space="0" w:color="auto"/>
        <w:bottom w:val="none" w:sz="0" w:space="0" w:color="auto"/>
        <w:right w:val="none" w:sz="0" w:space="0" w:color="auto"/>
      </w:divBdr>
    </w:div>
    <w:div w:id="1849637272">
      <w:bodyDiv w:val="1"/>
      <w:marLeft w:val="0"/>
      <w:marRight w:val="0"/>
      <w:marTop w:val="0"/>
      <w:marBottom w:val="0"/>
      <w:divBdr>
        <w:top w:val="none" w:sz="0" w:space="0" w:color="auto"/>
        <w:left w:val="none" w:sz="0" w:space="0" w:color="auto"/>
        <w:bottom w:val="none" w:sz="0" w:space="0" w:color="auto"/>
        <w:right w:val="none" w:sz="0" w:space="0" w:color="auto"/>
      </w:divBdr>
    </w:div>
    <w:div w:id="1849711650">
      <w:bodyDiv w:val="1"/>
      <w:marLeft w:val="0"/>
      <w:marRight w:val="0"/>
      <w:marTop w:val="0"/>
      <w:marBottom w:val="0"/>
      <w:divBdr>
        <w:top w:val="none" w:sz="0" w:space="0" w:color="auto"/>
        <w:left w:val="none" w:sz="0" w:space="0" w:color="auto"/>
        <w:bottom w:val="none" w:sz="0" w:space="0" w:color="auto"/>
        <w:right w:val="none" w:sz="0" w:space="0" w:color="auto"/>
      </w:divBdr>
    </w:div>
    <w:div w:id="1851338007">
      <w:bodyDiv w:val="1"/>
      <w:marLeft w:val="0"/>
      <w:marRight w:val="0"/>
      <w:marTop w:val="0"/>
      <w:marBottom w:val="0"/>
      <w:divBdr>
        <w:top w:val="none" w:sz="0" w:space="0" w:color="auto"/>
        <w:left w:val="none" w:sz="0" w:space="0" w:color="auto"/>
        <w:bottom w:val="none" w:sz="0" w:space="0" w:color="auto"/>
        <w:right w:val="none" w:sz="0" w:space="0" w:color="auto"/>
      </w:divBdr>
    </w:div>
    <w:div w:id="1852137270">
      <w:bodyDiv w:val="1"/>
      <w:marLeft w:val="0"/>
      <w:marRight w:val="0"/>
      <w:marTop w:val="0"/>
      <w:marBottom w:val="0"/>
      <w:divBdr>
        <w:top w:val="none" w:sz="0" w:space="0" w:color="auto"/>
        <w:left w:val="none" w:sz="0" w:space="0" w:color="auto"/>
        <w:bottom w:val="none" w:sz="0" w:space="0" w:color="auto"/>
        <w:right w:val="none" w:sz="0" w:space="0" w:color="auto"/>
      </w:divBdr>
    </w:div>
    <w:div w:id="1852446143">
      <w:bodyDiv w:val="1"/>
      <w:marLeft w:val="0"/>
      <w:marRight w:val="0"/>
      <w:marTop w:val="0"/>
      <w:marBottom w:val="0"/>
      <w:divBdr>
        <w:top w:val="none" w:sz="0" w:space="0" w:color="auto"/>
        <w:left w:val="none" w:sz="0" w:space="0" w:color="auto"/>
        <w:bottom w:val="none" w:sz="0" w:space="0" w:color="auto"/>
        <w:right w:val="none" w:sz="0" w:space="0" w:color="auto"/>
      </w:divBdr>
    </w:div>
    <w:div w:id="1852597586">
      <w:bodyDiv w:val="1"/>
      <w:marLeft w:val="0"/>
      <w:marRight w:val="0"/>
      <w:marTop w:val="0"/>
      <w:marBottom w:val="0"/>
      <w:divBdr>
        <w:top w:val="none" w:sz="0" w:space="0" w:color="auto"/>
        <w:left w:val="none" w:sz="0" w:space="0" w:color="auto"/>
        <w:bottom w:val="none" w:sz="0" w:space="0" w:color="auto"/>
        <w:right w:val="none" w:sz="0" w:space="0" w:color="auto"/>
      </w:divBdr>
    </w:div>
    <w:div w:id="1852790576">
      <w:bodyDiv w:val="1"/>
      <w:marLeft w:val="0"/>
      <w:marRight w:val="0"/>
      <w:marTop w:val="0"/>
      <w:marBottom w:val="0"/>
      <w:divBdr>
        <w:top w:val="none" w:sz="0" w:space="0" w:color="auto"/>
        <w:left w:val="none" w:sz="0" w:space="0" w:color="auto"/>
        <w:bottom w:val="none" w:sz="0" w:space="0" w:color="auto"/>
        <w:right w:val="none" w:sz="0" w:space="0" w:color="auto"/>
      </w:divBdr>
    </w:div>
    <w:div w:id="1853303128">
      <w:bodyDiv w:val="1"/>
      <w:marLeft w:val="0"/>
      <w:marRight w:val="0"/>
      <w:marTop w:val="0"/>
      <w:marBottom w:val="0"/>
      <w:divBdr>
        <w:top w:val="none" w:sz="0" w:space="0" w:color="auto"/>
        <w:left w:val="none" w:sz="0" w:space="0" w:color="auto"/>
        <w:bottom w:val="none" w:sz="0" w:space="0" w:color="auto"/>
        <w:right w:val="none" w:sz="0" w:space="0" w:color="auto"/>
      </w:divBdr>
    </w:div>
    <w:div w:id="1853445817">
      <w:bodyDiv w:val="1"/>
      <w:marLeft w:val="0"/>
      <w:marRight w:val="0"/>
      <w:marTop w:val="0"/>
      <w:marBottom w:val="0"/>
      <w:divBdr>
        <w:top w:val="none" w:sz="0" w:space="0" w:color="auto"/>
        <w:left w:val="none" w:sz="0" w:space="0" w:color="auto"/>
        <w:bottom w:val="none" w:sz="0" w:space="0" w:color="auto"/>
        <w:right w:val="none" w:sz="0" w:space="0" w:color="auto"/>
      </w:divBdr>
    </w:div>
    <w:div w:id="1854025344">
      <w:bodyDiv w:val="1"/>
      <w:marLeft w:val="0"/>
      <w:marRight w:val="0"/>
      <w:marTop w:val="0"/>
      <w:marBottom w:val="0"/>
      <w:divBdr>
        <w:top w:val="none" w:sz="0" w:space="0" w:color="auto"/>
        <w:left w:val="none" w:sz="0" w:space="0" w:color="auto"/>
        <w:bottom w:val="none" w:sz="0" w:space="0" w:color="auto"/>
        <w:right w:val="none" w:sz="0" w:space="0" w:color="auto"/>
      </w:divBdr>
    </w:div>
    <w:div w:id="1854226749">
      <w:bodyDiv w:val="1"/>
      <w:marLeft w:val="0"/>
      <w:marRight w:val="0"/>
      <w:marTop w:val="0"/>
      <w:marBottom w:val="0"/>
      <w:divBdr>
        <w:top w:val="none" w:sz="0" w:space="0" w:color="auto"/>
        <w:left w:val="none" w:sz="0" w:space="0" w:color="auto"/>
        <w:bottom w:val="none" w:sz="0" w:space="0" w:color="auto"/>
        <w:right w:val="none" w:sz="0" w:space="0" w:color="auto"/>
      </w:divBdr>
    </w:div>
    <w:div w:id="1854341199">
      <w:bodyDiv w:val="1"/>
      <w:marLeft w:val="0"/>
      <w:marRight w:val="0"/>
      <w:marTop w:val="0"/>
      <w:marBottom w:val="0"/>
      <w:divBdr>
        <w:top w:val="none" w:sz="0" w:space="0" w:color="auto"/>
        <w:left w:val="none" w:sz="0" w:space="0" w:color="auto"/>
        <w:bottom w:val="none" w:sz="0" w:space="0" w:color="auto"/>
        <w:right w:val="none" w:sz="0" w:space="0" w:color="auto"/>
      </w:divBdr>
    </w:div>
    <w:div w:id="1854950127">
      <w:bodyDiv w:val="1"/>
      <w:marLeft w:val="0"/>
      <w:marRight w:val="0"/>
      <w:marTop w:val="0"/>
      <w:marBottom w:val="0"/>
      <w:divBdr>
        <w:top w:val="none" w:sz="0" w:space="0" w:color="auto"/>
        <w:left w:val="none" w:sz="0" w:space="0" w:color="auto"/>
        <w:bottom w:val="none" w:sz="0" w:space="0" w:color="auto"/>
        <w:right w:val="none" w:sz="0" w:space="0" w:color="auto"/>
      </w:divBdr>
    </w:div>
    <w:div w:id="1854952331">
      <w:bodyDiv w:val="1"/>
      <w:marLeft w:val="0"/>
      <w:marRight w:val="0"/>
      <w:marTop w:val="0"/>
      <w:marBottom w:val="0"/>
      <w:divBdr>
        <w:top w:val="none" w:sz="0" w:space="0" w:color="auto"/>
        <w:left w:val="none" w:sz="0" w:space="0" w:color="auto"/>
        <w:bottom w:val="none" w:sz="0" w:space="0" w:color="auto"/>
        <w:right w:val="none" w:sz="0" w:space="0" w:color="auto"/>
      </w:divBdr>
    </w:div>
    <w:div w:id="1855797664">
      <w:bodyDiv w:val="1"/>
      <w:marLeft w:val="0"/>
      <w:marRight w:val="0"/>
      <w:marTop w:val="0"/>
      <w:marBottom w:val="0"/>
      <w:divBdr>
        <w:top w:val="none" w:sz="0" w:space="0" w:color="auto"/>
        <w:left w:val="none" w:sz="0" w:space="0" w:color="auto"/>
        <w:bottom w:val="none" w:sz="0" w:space="0" w:color="auto"/>
        <w:right w:val="none" w:sz="0" w:space="0" w:color="auto"/>
      </w:divBdr>
    </w:div>
    <w:div w:id="1855879201">
      <w:bodyDiv w:val="1"/>
      <w:marLeft w:val="0"/>
      <w:marRight w:val="0"/>
      <w:marTop w:val="0"/>
      <w:marBottom w:val="0"/>
      <w:divBdr>
        <w:top w:val="none" w:sz="0" w:space="0" w:color="auto"/>
        <w:left w:val="none" w:sz="0" w:space="0" w:color="auto"/>
        <w:bottom w:val="none" w:sz="0" w:space="0" w:color="auto"/>
        <w:right w:val="none" w:sz="0" w:space="0" w:color="auto"/>
      </w:divBdr>
    </w:div>
    <w:div w:id="1855992031">
      <w:bodyDiv w:val="1"/>
      <w:marLeft w:val="0"/>
      <w:marRight w:val="0"/>
      <w:marTop w:val="0"/>
      <w:marBottom w:val="0"/>
      <w:divBdr>
        <w:top w:val="none" w:sz="0" w:space="0" w:color="auto"/>
        <w:left w:val="none" w:sz="0" w:space="0" w:color="auto"/>
        <w:bottom w:val="none" w:sz="0" w:space="0" w:color="auto"/>
        <w:right w:val="none" w:sz="0" w:space="0" w:color="auto"/>
      </w:divBdr>
    </w:div>
    <w:div w:id="1855996013">
      <w:bodyDiv w:val="1"/>
      <w:marLeft w:val="0"/>
      <w:marRight w:val="0"/>
      <w:marTop w:val="0"/>
      <w:marBottom w:val="0"/>
      <w:divBdr>
        <w:top w:val="none" w:sz="0" w:space="0" w:color="auto"/>
        <w:left w:val="none" w:sz="0" w:space="0" w:color="auto"/>
        <w:bottom w:val="none" w:sz="0" w:space="0" w:color="auto"/>
        <w:right w:val="none" w:sz="0" w:space="0" w:color="auto"/>
      </w:divBdr>
    </w:div>
    <w:div w:id="1856114467">
      <w:bodyDiv w:val="1"/>
      <w:marLeft w:val="0"/>
      <w:marRight w:val="0"/>
      <w:marTop w:val="0"/>
      <w:marBottom w:val="0"/>
      <w:divBdr>
        <w:top w:val="none" w:sz="0" w:space="0" w:color="auto"/>
        <w:left w:val="none" w:sz="0" w:space="0" w:color="auto"/>
        <w:bottom w:val="none" w:sz="0" w:space="0" w:color="auto"/>
        <w:right w:val="none" w:sz="0" w:space="0" w:color="auto"/>
      </w:divBdr>
    </w:div>
    <w:div w:id="1856655596">
      <w:bodyDiv w:val="1"/>
      <w:marLeft w:val="0"/>
      <w:marRight w:val="0"/>
      <w:marTop w:val="0"/>
      <w:marBottom w:val="0"/>
      <w:divBdr>
        <w:top w:val="none" w:sz="0" w:space="0" w:color="auto"/>
        <w:left w:val="none" w:sz="0" w:space="0" w:color="auto"/>
        <w:bottom w:val="none" w:sz="0" w:space="0" w:color="auto"/>
        <w:right w:val="none" w:sz="0" w:space="0" w:color="auto"/>
      </w:divBdr>
    </w:div>
    <w:div w:id="1856964536">
      <w:bodyDiv w:val="1"/>
      <w:marLeft w:val="0"/>
      <w:marRight w:val="0"/>
      <w:marTop w:val="0"/>
      <w:marBottom w:val="0"/>
      <w:divBdr>
        <w:top w:val="none" w:sz="0" w:space="0" w:color="auto"/>
        <w:left w:val="none" w:sz="0" w:space="0" w:color="auto"/>
        <w:bottom w:val="none" w:sz="0" w:space="0" w:color="auto"/>
        <w:right w:val="none" w:sz="0" w:space="0" w:color="auto"/>
      </w:divBdr>
    </w:div>
    <w:div w:id="1857766715">
      <w:bodyDiv w:val="1"/>
      <w:marLeft w:val="0"/>
      <w:marRight w:val="0"/>
      <w:marTop w:val="0"/>
      <w:marBottom w:val="0"/>
      <w:divBdr>
        <w:top w:val="none" w:sz="0" w:space="0" w:color="auto"/>
        <w:left w:val="none" w:sz="0" w:space="0" w:color="auto"/>
        <w:bottom w:val="none" w:sz="0" w:space="0" w:color="auto"/>
        <w:right w:val="none" w:sz="0" w:space="0" w:color="auto"/>
      </w:divBdr>
    </w:div>
    <w:div w:id="1858077878">
      <w:bodyDiv w:val="1"/>
      <w:marLeft w:val="0"/>
      <w:marRight w:val="0"/>
      <w:marTop w:val="0"/>
      <w:marBottom w:val="0"/>
      <w:divBdr>
        <w:top w:val="none" w:sz="0" w:space="0" w:color="auto"/>
        <w:left w:val="none" w:sz="0" w:space="0" w:color="auto"/>
        <w:bottom w:val="none" w:sz="0" w:space="0" w:color="auto"/>
        <w:right w:val="none" w:sz="0" w:space="0" w:color="auto"/>
      </w:divBdr>
    </w:div>
    <w:div w:id="1859078350">
      <w:bodyDiv w:val="1"/>
      <w:marLeft w:val="0"/>
      <w:marRight w:val="0"/>
      <w:marTop w:val="0"/>
      <w:marBottom w:val="0"/>
      <w:divBdr>
        <w:top w:val="none" w:sz="0" w:space="0" w:color="auto"/>
        <w:left w:val="none" w:sz="0" w:space="0" w:color="auto"/>
        <w:bottom w:val="none" w:sz="0" w:space="0" w:color="auto"/>
        <w:right w:val="none" w:sz="0" w:space="0" w:color="auto"/>
      </w:divBdr>
    </w:div>
    <w:div w:id="1859351559">
      <w:bodyDiv w:val="1"/>
      <w:marLeft w:val="0"/>
      <w:marRight w:val="0"/>
      <w:marTop w:val="0"/>
      <w:marBottom w:val="0"/>
      <w:divBdr>
        <w:top w:val="none" w:sz="0" w:space="0" w:color="auto"/>
        <w:left w:val="none" w:sz="0" w:space="0" w:color="auto"/>
        <w:bottom w:val="none" w:sz="0" w:space="0" w:color="auto"/>
        <w:right w:val="none" w:sz="0" w:space="0" w:color="auto"/>
      </w:divBdr>
    </w:div>
    <w:div w:id="1859810512">
      <w:bodyDiv w:val="1"/>
      <w:marLeft w:val="0"/>
      <w:marRight w:val="0"/>
      <w:marTop w:val="0"/>
      <w:marBottom w:val="0"/>
      <w:divBdr>
        <w:top w:val="none" w:sz="0" w:space="0" w:color="auto"/>
        <w:left w:val="none" w:sz="0" w:space="0" w:color="auto"/>
        <w:bottom w:val="none" w:sz="0" w:space="0" w:color="auto"/>
        <w:right w:val="none" w:sz="0" w:space="0" w:color="auto"/>
      </w:divBdr>
    </w:div>
    <w:div w:id="1859926452">
      <w:bodyDiv w:val="1"/>
      <w:marLeft w:val="0"/>
      <w:marRight w:val="0"/>
      <w:marTop w:val="0"/>
      <w:marBottom w:val="0"/>
      <w:divBdr>
        <w:top w:val="none" w:sz="0" w:space="0" w:color="auto"/>
        <w:left w:val="none" w:sz="0" w:space="0" w:color="auto"/>
        <w:bottom w:val="none" w:sz="0" w:space="0" w:color="auto"/>
        <w:right w:val="none" w:sz="0" w:space="0" w:color="auto"/>
      </w:divBdr>
    </w:div>
    <w:div w:id="1860000571">
      <w:bodyDiv w:val="1"/>
      <w:marLeft w:val="0"/>
      <w:marRight w:val="0"/>
      <w:marTop w:val="0"/>
      <w:marBottom w:val="0"/>
      <w:divBdr>
        <w:top w:val="none" w:sz="0" w:space="0" w:color="auto"/>
        <w:left w:val="none" w:sz="0" w:space="0" w:color="auto"/>
        <w:bottom w:val="none" w:sz="0" w:space="0" w:color="auto"/>
        <w:right w:val="none" w:sz="0" w:space="0" w:color="auto"/>
      </w:divBdr>
    </w:div>
    <w:div w:id="1860006678">
      <w:bodyDiv w:val="1"/>
      <w:marLeft w:val="0"/>
      <w:marRight w:val="0"/>
      <w:marTop w:val="0"/>
      <w:marBottom w:val="0"/>
      <w:divBdr>
        <w:top w:val="none" w:sz="0" w:space="0" w:color="auto"/>
        <w:left w:val="none" w:sz="0" w:space="0" w:color="auto"/>
        <w:bottom w:val="none" w:sz="0" w:space="0" w:color="auto"/>
        <w:right w:val="none" w:sz="0" w:space="0" w:color="auto"/>
      </w:divBdr>
    </w:div>
    <w:div w:id="1861822724">
      <w:bodyDiv w:val="1"/>
      <w:marLeft w:val="0"/>
      <w:marRight w:val="0"/>
      <w:marTop w:val="0"/>
      <w:marBottom w:val="0"/>
      <w:divBdr>
        <w:top w:val="none" w:sz="0" w:space="0" w:color="auto"/>
        <w:left w:val="none" w:sz="0" w:space="0" w:color="auto"/>
        <w:bottom w:val="none" w:sz="0" w:space="0" w:color="auto"/>
        <w:right w:val="none" w:sz="0" w:space="0" w:color="auto"/>
      </w:divBdr>
    </w:div>
    <w:div w:id="1862164629">
      <w:bodyDiv w:val="1"/>
      <w:marLeft w:val="0"/>
      <w:marRight w:val="0"/>
      <w:marTop w:val="0"/>
      <w:marBottom w:val="0"/>
      <w:divBdr>
        <w:top w:val="none" w:sz="0" w:space="0" w:color="auto"/>
        <w:left w:val="none" w:sz="0" w:space="0" w:color="auto"/>
        <w:bottom w:val="none" w:sz="0" w:space="0" w:color="auto"/>
        <w:right w:val="none" w:sz="0" w:space="0" w:color="auto"/>
      </w:divBdr>
    </w:div>
    <w:div w:id="1862166344">
      <w:bodyDiv w:val="1"/>
      <w:marLeft w:val="0"/>
      <w:marRight w:val="0"/>
      <w:marTop w:val="0"/>
      <w:marBottom w:val="0"/>
      <w:divBdr>
        <w:top w:val="none" w:sz="0" w:space="0" w:color="auto"/>
        <w:left w:val="none" w:sz="0" w:space="0" w:color="auto"/>
        <w:bottom w:val="none" w:sz="0" w:space="0" w:color="auto"/>
        <w:right w:val="none" w:sz="0" w:space="0" w:color="auto"/>
      </w:divBdr>
    </w:div>
    <w:div w:id="1862427454">
      <w:bodyDiv w:val="1"/>
      <w:marLeft w:val="0"/>
      <w:marRight w:val="0"/>
      <w:marTop w:val="0"/>
      <w:marBottom w:val="0"/>
      <w:divBdr>
        <w:top w:val="none" w:sz="0" w:space="0" w:color="auto"/>
        <w:left w:val="none" w:sz="0" w:space="0" w:color="auto"/>
        <w:bottom w:val="none" w:sz="0" w:space="0" w:color="auto"/>
        <w:right w:val="none" w:sz="0" w:space="0" w:color="auto"/>
      </w:divBdr>
    </w:div>
    <w:div w:id="1862470110">
      <w:bodyDiv w:val="1"/>
      <w:marLeft w:val="0"/>
      <w:marRight w:val="0"/>
      <w:marTop w:val="0"/>
      <w:marBottom w:val="0"/>
      <w:divBdr>
        <w:top w:val="none" w:sz="0" w:space="0" w:color="auto"/>
        <w:left w:val="none" w:sz="0" w:space="0" w:color="auto"/>
        <w:bottom w:val="none" w:sz="0" w:space="0" w:color="auto"/>
        <w:right w:val="none" w:sz="0" w:space="0" w:color="auto"/>
      </w:divBdr>
    </w:div>
    <w:div w:id="1862471363">
      <w:bodyDiv w:val="1"/>
      <w:marLeft w:val="0"/>
      <w:marRight w:val="0"/>
      <w:marTop w:val="0"/>
      <w:marBottom w:val="0"/>
      <w:divBdr>
        <w:top w:val="none" w:sz="0" w:space="0" w:color="auto"/>
        <w:left w:val="none" w:sz="0" w:space="0" w:color="auto"/>
        <w:bottom w:val="none" w:sz="0" w:space="0" w:color="auto"/>
        <w:right w:val="none" w:sz="0" w:space="0" w:color="auto"/>
      </w:divBdr>
    </w:div>
    <w:div w:id="1862546172">
      <w:bodyDiv w:val="1"/>
      <w:marLeft w:val="0"/>
      <w:marRight w:val="0"/>
      <w:marTop w:val="0"/>
      <w:marBottom w:val="0"/>
      <w:divBdr>
        <w:top w:val="none" w:sz="0" w:space="0" w:color="auto"/>
        <w:left w:val="none" w:sz="0" w:space="0" w:color="auto"/>
        <w:bottom w:val="none" w:sz="0" w:space="0" w:color="auto"/>
        <w:right w:val="none" w:sz="0" w:space="0" w:color="auto"/>
      </w:divBdr>
    </w:div>
    <w:div w:id="1863089253">
      <w:bodyDiv w:val="1"/>
      <w:marLeft w:val="0"/>
      <w:marRight w:val="0"/>
      <w:marTop w:val="0"/>
      <w:marBottom w:val="0"/>
      <w:divBdr>
        <w:top w:val="none" w:sz="0" w:space="0" w:color="auto"/>
        <w:left w:val="none" w:sz="0" w:space="0" w:color="auto"/>
        <w:bottom w:val="none" w:sz="0" w:space="0" w:color="auto"/>
        <w:right w:val="none" w:sz="0" w:space="0" w:color="auto"/>
      </w:divBdr>
    </w:div>
    <w:div w:id="1863125248">
      <w:bodyDiv w:val="1"/>
      <w:marLeft w:val="0"/>
      <w:marRight w:val="0"/>
      <w:marTop w:val="0"/>
      <w:marBottom w:val="0"/>
      <w:divBdr>
        <w:top w:val="none" w:sz="0" w:space="0" w:color="auto"/>
        <w:left w:val="none" w:sz="0" w:space="0" w:color="auto"/>
        <w:bottom w:val="none" w:sz="0" w:space="0" w:color="auto"/>
        <w:right w:val="none" w:sz="0" w:space="0" w:color="auto"/>
      </w:divBdr>
    </w:div>
    <w:div w:id="1863199167">
      <w:bodyDiv w:val="1"/>
      <w:marLeft w:val="0"/>
      <w:marRight w:val="0"/>
      <w:marTop w:val="0"/>
      <w:marBottom w:val="0"/>
      <w:divBdr>
        <w:top w:val="none" w:sz="0" w:space="0" w:color="auto"/>
        <w:left w:val="none" w:sz="0" w:space="0" w:color="auto"/>
        <w:bottom w:val="none" w:sz="0" w:space="0" w:color="auto"/>
        <w:right w:val="none" w:sz="0" w:space="0" w:color="auto"/>
      </w:divBdr>
    </w:div>
    <w:div w:id="1863518249">
      <w:bodyDiv w:val="1"/>
      <w:marLeft w:val="0"/>
      <w:marRight w:val="0"/>
      <w:marTop w:val="0"/>
      <w:marBottom w:val="0"/>
      <w:divBdr>
        <w:top w:val="none" w:sz="0" w:space="0" w:color="auto"/>
        <w:left w:val="none" w:sz="0" w:space="0" w:color="auto"/>
        <w:bottom w:val="none" w:sz="0" w:space="0" w:color="auto"/>
        <w:right w:val="none" w:sz="0" w:space="0" w:color="auto"/>
      </w:divBdr>
    </w:div>
    <w:div w:id="1863663384">
      <w:bodyDiv w:val="1"/>
      <w:marLeft w:val="0"/>
      <w:marRight w:val="0"/>
      <w:marTop w:val="0"/>
      <w:marBottom w:val="0"/>
      <w:divBdr>
        <w:top w:val="none" w:sz="0" w:space="0" w:color="auto"/>
        <w:left w:val="none" w:sz="0" w:space="0" w:color="auto"/>
        <w:bottom w:val="none" w:sz="0" w:space="0" w:color="auto"/>
        <w:right w:val="none" w:sz="0" w:space="0" w:color="auto"/>
      </w:divBdr>
    </w:div>
    <w:div w:id="1863741548">
      <w:bodyDiv w:val="1"/>
      <w:marLeft w:val="0"/>
      <w:marRight w:val="0"/>
      <w:marTop w:val="0"/>
      <w:marBottom w:val="0"/>
      <w:divBdr>
        <w:top w:val="none" w:sz="0" w:space="0" w:color="auto"/>
        <w:left w:val="none" w:sz="0" w:space="0" w:color="auto"/>
        <w:bottom w:val="none" w:sz="0" w:space="0" w:color="auto"/>
        <w:right w:val="none" w:sz="0" w:space="0" w:color="auto"/>
      </w:divBdr>
    </w:div>
    <w:div w:id="1863857120">
      <w:bodyDiv w:val="1"/>
      <w:marLeft w:val="0"/>
      <w:marRight w:val="0"/>
      <w:marTop w:val="0"/>
      <w:marBottom w:val="0"/>
      <w:divBdr>
        <w:top w:val="none" w:sz="0" w:space="0" w:color="auto"/>
        <w:left w:val="none" w:sz="0" w:space="0" w:color="auto"/>
        <w:bottom w:val="none" w:sz="0" w:space="0" w:color="auto"/>
        <w:right w:val="none" w:sz="0" w:space="0" w:color="auto"/>
      </w:divBdr>
    </w:div>
    <w:div w:id="1864204162">
      <w:bodyDiv w:val="1"/>
      <w:marLeft w:val="0"/>
      <w:marRight w:val="0"/>
      <w:marTop w:val="0"/>
      <w:marBottom w:val="0"/>
      <w:divBdr>
        <w:top w:val="none" w:sz="0" w:space="0" w:color="auto"/>
        <w:left w:val="none" w:sz="0" w:space="0" w:color="auto"/>
        <w:bottom w:val="none" w:sz="0" w:space="0" w:color="auto"/>
        <w:right w:val="none" w:sz="0" w:space="0" w:color="auto"/>
      </w:divBdr>
    </w:div>
    <w:div w:id="1864400553">
      <w:bodyDiv w:val="1"/>
      <w:marLeft w:val="0"/>
      <w:marRight w:val="0"/>
      <w:marTop w:val="0"/>
      <w:marBottom w:val="0"/>
      <w:divBdr>
        <w:top w:val="none" w:sz="0" w:space="0" w:color="auto"/>
        <w:left w:val="none" w:sz="0" w:space="0" w:color="auto"/>
        <w:bottom w:val="none" w:sz="0" w:space="0" w:color="auto"/>
        <w:right w:val="none" w:sz="0" w:space="0" w:color="auto"/>
      </w:divBdr>
    </w:div>
    <w:div w:id="1864900191">
      <w:bodyDiv w:val="1"/>
      <w:marLeft w:val="0"/>
      <w:marRight w:val="0"/>
      <w:marTop w:val="0"/>
      <w:marBottom w:val="0"/>
      <w:divBdr>
        <w:top w:val="none" w:sz="0" w:space="0" w:color="auto"/>
        <w:left w:val="none" w:sz="0" w:space="0" w:color="auto"/>
        <w:bottom w:val="none" w:sz="0" w:space="0" w:color="auto"/>
        <w:right w:val="none" w:sz="0" w:space="0" w:color="auto"/>
      </w:divBdr>
    </w:div>
    <w:div w:id="1864980258">
      <w:bodyDiv w:val="1"/>
      <w:marLeft w:val="0"/>
      <w:marRight w:val="0"/>
      <w:marTop w:val="0"/>
      <w:marBottom w:val="0"/>
      <w:divBdr>
        <w:top w:val="none" w:sz="0" w:space="0" w:color="auto"/>
        <w:left w:val="none" w:sz="0" w:space="0" w:color="auto"/>
        <w:bottom w:val="none" w:sz="0" w:space="0" w:color="auto"/>
        <w:right w:val="none" w:sz="0" w:space="0" w:color="auto"/>
      </w:divBdr>
    </w:div>
    <w:div w:id="1865748380">
      <w:bodyDiv w:val="1"/>
      <w:marLeft w:val="0"/>
      <w:marRight w:val="0"/>
      <w:marTop w:val="0"/>
      <w:marBottom w:val="0"/>
      <w:divBdr>
        <w:top w:val="none" w:sz="0" w:space="0" w:color="auto"/>
        <w:left w:val="none" w:sz="0" w:space="0" w:color="auto"/>
        <w:bottom w:val="none" w:sz="0" w:space="0" w:color="auto"/>
        <w:right w:val="none" w:sz="0" w:space="0" w:color="auto"/>
      </w:divBdr>
    </w:div>
    <w:div w:id="1866820811">
      <w:bodyDiv w:val="1"/>
      <w:marLeft w:val="0"/>
      <w:marRight w:val="0"/>
      <w:marTop w:val="0"/>
      <w:marBottom w:val="0"/>
      <w:divBdr>
        <w:top w:val="none" w:sz="0" w:space="0" w:color="auto"/>
        <w:left w:val="none" w:sz="0" w:space="0" w:color="auto"/>
        <w:bottom w:val="none" w:sz="0" w:space="0" w:color="auto"/>
        <w:right w:val="none" w:sz="0" w:space="0" w:color="auto"/>
      </w:divBdr>
    </w:div>
    <w:div w:id="1866942589">
      <w:bodyDiv w:val="1"/>
      <w:marLeft w:val="0"/>
      <w:marRight w:val="0"/>
      <w:marTop w:val="0"/>
      <w:marBottom w:val="0"/>
      <w:divBdr>
        <w:top w:val="none" w:sz="0" w:space="0" w:color="auto"/>
        <w:left w:val="none" w:sz="0" w:space="0" w:color="auto"/>
        <w:bottom w:val="none" w:sz="0" w:space="0" w:color="auto"/>
        <w:right w:val="none" w:sz="0" w:space="0" w:color="auto"/>
      </w:divBdr>
    </w:div>
    <w:div w:id="1867137611">
      <w:bodyDiv w:val="1"/>
      <w:marLeft w:val="0"/>
      <w:marRight w:val="0"/>
      <w:marTop w:val="0"/>
      <w:marBottom w:val="0"/>
      <w:divBdr>
        <w:top w:val="none" w:sz="0" w:space="0" w:color="auto"/>
        <w:left w:val="none" w:sz="0" w:space="0" w:color="auto"/>
        <w:bottom w:val="none" w:sz="0" w:space="0" w:color="auto"/>
        <w:right w:val="none" w:sz="0" w:space="0" w:color="auto"/>
      </w:divBdr>
    </w:div>
    <w:div w:id="1867256020">
      <w:bodyDiv w:val="1"/>
      <w:marLeft w:val="0"/>
      <w:marRight w:val="0"/>
      <w:marTop w:val="0"/>
      <w:marBottom w:val="0"/>
      <w:divBdr>
        <w:top w:val="none" w:sz="0" w:space="0" w:color="auto"/>
        <w:left w:val="none" w:sz="0" w:space="0" w:color="auto"/>
        <w:bottom w:val="none" w:sz="0" w:space="0" w:color="auto"/>
        <w:right w:val="none" w:sz="0" w:space="0" w:color="auto"/>
      </w:divBdr>
    </w:div>
    <w:div w:id="1867592639">
      <w:bodyDiv w:val="1"/>
      <w:marLeft w:val="0"/>
      <w:marRight w:val="0"/>
      <w:marTop w:val="0"/>
      <w:marBottom w:val="0"/>
      <w:divBdr>
        <w:top w:val="none" w:sz="0" w:space="0" w:color="auto"/>
        <w:left w:val="none" w:sz="0" w:space="0" w:color="auto"/>
        <w:bottom w:val="none" w:sz="0" w:space="0" w:color="auto"/>
        <w:right w:val="none" w:sz="0" w:space="0" w:color="auto"/>
      </w:divBdr>
    </w:div>
    <w:div w:id="1867864583">
      <w:bodyDiv w:val="1"/>
      <w:marLeft w:val="0"/>
      <w:marRight w:val="0"/>
      <w:marTop w:val="0"/>
      <w:marBottom w:val="0"/>
      <w:divBdr>
        <w:top w:val="none" w:sz="0" w:space="0" w:color="auto"/>
        <w:left w:val="none" w:sz="0" w:space="0" w:color="auto"/>
        <w:bottom w:val="none" w:sz="0" w:space="0" w:color="auto"/>
        <w:right w:val="none" w:sz="0" w:space="0" w:color="auto"/>
      </w:divBdr>
    </w:div>
    <w:div w:id="1869641402">
      <w:bodyDiv w:val="1"/>
      <w:marLeft w:val="0"/>
      <w:marRight w:val="0"/>
      <w:marTop w:val="0"/>
      <w:marBottom w:val="0"/>
      <w:divBdr>
        <w:top w:val="none" w:sz="0" w:space="0" w:color="auto"/>
        <w:left w:val="none" w:sz="0" w:space="0" w:color="auto"/>
        <w:bottom w:val="none" w:sz="0" w:space="0" w:color="auto"/>
        <w:right w:val="none" w:sz="0" w:space="0" w:color="auto"/>
      </w:divBdr>
    </w:div>
    <w:div w:id="1869642927">
      <w:bodyDiv w:val="1"/>
      <w:marLeft w:val="0"/>
      <w:marRight w:val="0"/>
      <w:marTop w:val="0"/>
      <w:marBottom w:val="0"/>
      <w:divBdr>
        <w:top w:val="none" w:sz="0" w:space="0" w:color="auto"/>
        <w:left w:val="none" w:sz="0" w:space="0" w:color="auto"/>
        <w:bottom w:val="none" w:sz="0" w:space="0" w:color="auto"/>
        <w:right w:val="none" w:sz="0" w:space="0" w:color="auto"/>
      </w:divBdr>
    </w:div>
    <w:div w:id="1870797942">
      <w:bodyDiv w:val="1"/>
      <w:marLeft w:val="0"/>
      <w:marRight w:val="0"/>
      <w:marTop w:val="0"/>
      <w:marBottom w:val="0"/>
      <w:divBdr>
        <w:top w:val="none" w:sz="0" w:space="0" w:color="auto"/>
        <w:left w:val="none" w:sz="0" w:space="0" w:color="auto"/>
        <w:bottom w:val="none" w:sz="0" w:space="0" w:color="auto"/>
        <w:right w:val="none" w:sz="0" w:space="0" w:color="auto"/>
      </w:divBdr>
    </w:div>
    <w:div w:id="1870995821">
      <w:bodyDiv w:val="1"/>
      <w:marLeft w:val="0"/>
      <w:marRight w:val="0"/>
      <w:marTop w:val="0"/>
      <w:marBottom w:val="0"/>
      <w:divBdr>
        <w:top w:val="none" w:sz="0" w:space="0" w:color="auto"/>
        <w:left w:val="none" w:sz="0" w:space="0" w:color="auto"/>
        <w:bottom w:val="none" w:sz="0" w:space="0" w:color="auto"/>
        <w:right w:val="none" w:sz="0" w:space="0" w:color="auto"/>
      </w:divBdr>
    </w:div>
    <w:div w:id="1871145354">
      <w:bodyDiv w:val="1"/>
      <w:marLeft w:val="0"/>
      <w:marRight w:val="0"/>
      <w:marTop w:val="0"/>
      <w:marBottom w:val="0"/>
      <w:divBdr>
        <w:top w:val="none" w:sz="0" w:space="0" w:color="auto"/>
        <w:left w:val="none" w:sz="0" w:space="0" w:color="auto"/>
        <w:bottom w:val="none" w:sz="0" w:space="0" w:color="auto"/>
        <w:right w:val="none" w:sz="0" w:space="0" w:color="auto"/>
      </w:divBdr>
    </w:div>
    <w:div w:id="1871532403">
      <w:bodyDiv w:val="1"/>
      <w:marLeft w:val="0"/>
      <w:marRight w:val="0"/>
      <w:marTop w:val="0"/>
      <w:marBottom w:val="0"/>
      <w:divBdr>
        <w:top w:val="none" w:sz="0" w:space="0" w:color="auto"/>
        <w:left w:val="none" w:sz="0" w:space="0" w:color="auto"/>
        <w:bottom w:val="none" w:sz="0" w:space="0" w:color="auto"/>
        <w:right w:val="none" w:sz="0" w:space="0" w:color="auto"/>
      </w:divBdr>
    </w:div>
    <w:div w:id="1871604661">
      <w:bodyDiv w:val="1"/>
      <w:marLeft w:val="0"/>
      <w:marRight w:val="0"/>
      <w:marTop w:val="0"/>
      <w:marBottom w:val="0"/>
      <w:divBdr>
        <w:top w:val="none" w:sz="0" w:space="0" w:color="auto"/>
        <w:left w:val="none" w:sz="0" w:space="0" w:color="auto"/>
        <w:bottom w:val="none" w:sz="0" w:space="0" w:color="auto"/>
        <w:right w:val="none" w:sz="0" w:space="0" w:color="auto"/>
      </w:divBdr>
    </w:div>
    <w:div w:id="1871650557">
      <w:bodyDiv w:val="1"/>
      <w:marLeft w:val="0"/>
      <w:marRight w:val="0"/>
      <w:marTop w:val="0"/>
      <w:marBottom w:val="0"/>
      <w:divBdr>
        <w:top w:val="none" w:sz="0" w:space="0" w:color="auto"/>
        <w:left w:val="none" w:sz="0" w:space="0" w:color="auto"/>
        <w:bottom w:val="none" w:sz="0" w:space="0" w:color="auto"/>
        <w:right w:val="none" w:sz="0" w:space="0" w:color="auto"/>
      </w:divBdr>
    </w:div>
    <w:div w:id="1872302495">
      <w:bodyDiv w:val="1"/>
      <w:marLeft w:val="0"/>
      <w:marRight w:val="0"/>
      <w:marTop w:val="0"/>
      <w:marBottom w:val="0"/>
      <w:divBdr>
        <w:top w:val="none" w:sz="0" w:space="0" w:color="auto"/>
        <w:left w:val="none" w:sz="0" w:space="0" w:color="auto"/>
        <w:bottom w:val="none" w:sz="0" w:space="0" w:color="auto"/>
        <w:right w:val="none" w:sz="0" w:space="0" w:color="auto"/>
      </w:divBdr>
    </w:div>
    <w:div w:id="1872451403">
      <w:bodyDiv w:val="1"/>
      <w:marLeft w:val="0"/>
      <w:marRight w:val="0"/>
      <w:marTop w:val="0"/>
      <w:marBottom w:val="0"/>
      <w:divBdr>
        <w:top w:val="none" w:sz="0" w:space="0" w:color="auto"/>
        <w:left w:val="none" w:sz="0" w:space="0" w:color="auto"/>
        <w:bottom w:val="none" w:sz="0" w:space="0" w:color="auto"/>
        <w:right w:val="none" w:sz="0" w:space="0" w:color="auto"/>
      </w:divBdr>
    </w:div>
    <w:div w:id="1872454445">
      <w:bodyDiv w:val="1"/>
      <w:marLeft w:val="0"/>
      <w:marRight w:val="0"/>
      <w:marTop w:val="0"/>
      <w:marBottom w:val="0"/>
      <w:divBdr>
        <w:top w:val="none" w:sz="0" w:space="0" w:color="auto"/>
        <w:left w:val="none" w:sz="0" w:space="0" w:color="auto"/>
        <w:bottom w:val="none" w:sz="0" w:space="0" w:color="auto"/>
        <w:right w:val="none" w:sz="0" w:space="0" w:color="auto"/>
      </w:divBdr>
    </w:div>
    <w:div w:id="1874029606">
      <w:bodyDiv w:val="1"/>
      <w:marLeft w:val="0"/>
      <w:marRight w:val="0"/>
      <w:marTop w:val="0"/>
      <w:marBottom w:val="0"/>
      <w:divBdr>
        <w:top w:val="none" w:sz="0" w:space="0" w:color="auto"/>
        <w:left w:val="none" w:sz="0" w:space="0" w:color="auto"/>
        <w:bottom w:val="none" w:sz="0" w:space="0" w:color="auto"/>
        <w:right w:val="none" w:sz="0" w:space="0" w:color="auto"/>
      </w:divBdr>
    </w:div>
    <w:div w:id="1874807530">
      <w:bodyDiv w:val="1"/>
      <w:marLeft w:val="0"/>
      <w:marRight w:val="0"/>
      <w:marTop w:val="0"/>
      <w:marBottom w:val="0"/>
      <w:divBdr>
        <w:top w:val="none" w:sz="0" w:space="0" w:color="auto"/>
        <w:left w:val="none" w:sz="0" w:space="0" w:color="auto"/>
        <w:bottom w:val="none" w:sz="0" w:space="0" w:color="auto"/>
        <w:right w:val="none" w:sz="0" w:space="0" w:color="auto"/>
      </w:divBdr>
    </w:div>
    <w:div w:id="1875993003">
      <w:bodyDiv w:val="1"/>
      <w:marLeft w:val="0"/>
      <w:marRight w:val="0"/>
      <w:marTop w:val="0"/>
      <w:marBottom w:val="0"/>
      <w:divBdr>
        <w:top w:val="none" w:sz="0" w:space="0" w:color="auto"/>
        <w:left w:val="none" w:sz="0" w:space="0" w:color="auto"/>
        <w:bottom w:val="none" w:sz="0" w:space="0" w:color="auto"/>
        <w:right w:val="none" w:sz="0" w:space="0" w:color="auto"/>
      </w:divBdr>
    </w:div>
    <w:div w:id="1876304406">
      <w:bodyDiv w:val="1"/>
      <w:marLeft w:val="0"/>
      <w:marRight w:val="0"/>
      <w:marTop w:val="0"/>
      <w:marBottom w:val="0"/>
      <w:divBdr>
        <w:top w:val="none" w:sz="0" w:space="0" w:color="auto"/>
        <w:left w:val="none" w:sz="0" w:space="0" w:color="auto"/>
        <w:bottom w:val="none" w:sz="0" w:space="0" w:color="auto"/>
        <w:right w:val="none" w:sz="0" w:space="0" w:color="auto"/>
      </w:divBdr>
    </w:div>
    <w:div w:id="1876312651">
      <w:bodyDiv w:val="1"/>
      <w:marLeft w:val="0"/>
      <w:marRight w:val="0"/>
      <w:marTop w:val="0"/>
      <w:marBottom w:val="0"/>
      <w:divBdr>
        <w:top w:val="none" w:sz="0" w:space="0" w:color="auto"/>
        <w:left w:val="none" w:sz="0" w:space="0" w:color="auto"/>
        <w:bottom w:val="none" w:sz="0" w:space="0" w:color="auto"/>
        <w:right w:val="none" w:sz="0" w:space="0" w:color="auto"/>
      </w:divBdr>
    </w:div>
    <w:div w:id="1876381064">
      <w:bodyDiv w:val="1"/>
      <w:marLeft w:val="0"/>
      <w:marRight w:val="0"/>
      <w:marTop w:val="0"/>
      <w:marBottom w:val="0"/>
      <w:divBdr>
        <w:top w:val="none" w:sz="0" w:space="0" w:color="auto"/>
        <w:left w:val="none" w:sz="0" w:space="0" w:color="auto"/>
        <w:bottom w:val="none" w:sz="0" w:space="0" w:color="auto"/>
        <w:right w:val="none" w:sz="0" w:space="0" w:color="auto"/>
      </w:divBdr>
    </w:div>
    <w:div w:id="1876845341">
      <w:bodyDiv w:val="1"/>
      <w:marLeft w:val="0"/>
      <w:marRight w:val="0"/>
      <w:marTop w:val="0"/>
      <w:marBottom w:val="0"/>
      <w:divBdr>
        <w:top w:val="none" w:sz="0" w:space="0" w:color="auto"/>
        <w:left w:val="none" w:sz="0" w:space="0" w:color="auto"/>
        <w:bottom w:val="none" w:sz="0" w:space="0" w:color="auto"/>
        <w:right w:val="none" w:sz="0" w:space="0" w:color="auto"/>
      </w:divBdr>
    </w:div>
    <w:div w:id="1877307576">
      <w:bodyDiv w:val="1"/>
      <w:marLeft w:val="0"/>
      <w:marRight w:val="0"/>
      <w:marTop w:val="0"/>
      <w:marBottom w:val="0"/>
      <w:divBdr>
        <w:top w:val="none" w:sz="0" w:space="0" w:color="auto"/>
        <w:left w:val="none" w:sz="0" w:space="0" w:color="auto"/>
        <w:bottom w:val="none" w:sz="0" w:space="0" w:color="auto"/>
        <w:right w:val="none" w:sz="0" w:space="0" w:color="auto"/>
      </w:divBdr>
    </w:div>
    <w:div w:id="1877501064">
      <w:bodyDiv w:val="1"/>
      <w:marLeft w:val="0"/>
      <w:marRight w:val="0"/>
      <w:marTop w:val="0"/>
      <w:marBottom w:val="0"/>
      <w:divBdr>
        <w:top w:val="none" w:sz="0" w:space="0" w:color="auto"/>
        <w:left w:val="none" w:sz="0" w:space="0" w:color="auto"/>
        <w:bottom w:val="none" w:sz="0" w:space="0" w:color="auto"/>
        <w:right w:val="none" w:sz="0" w:space="0" w:color="auto"/>
      </w:divBdr>
    </w:div>
    <w:div w:id="1877690493">
      <w:bodyDiv w:val="1"/>
      <w:marLeft w:val="0"/>
      <w:marRight w:val="0"/>
      <w:marTop w:val="0"/>
      <w:marBottom w:val="0"/>
      <w:divBdr>
        <w:top w:val="none" w:sz="0" w:space="0" w:color="auto"/>
        <w:left w:val="none" w:sz="0" w:space="0" w:color="auto"/>
        <w:bottom w:val="none" w:sz="0" w:space="0" w:color="auto"/>
        <w:right w:val="none" w:sz="0" w:space="0" w:color="auto"/>
      </w:divBdr>
    </w:div>
    <w:div w:id="1877692083">
      <w:bodyDiv w:val="1"/>
      <w:marLeft w:val="0"/>
      <w:marRight w:val="0"/>
      <w:marTop w:val="0"/>
      <w:marBottom w:val="0"/>
      <w:divBdr>
        <w:top w:val="none" w:sz="0" w:space="0" w:color="auto"/>
        <w:left w:val="none" w:sz="0" w:space="0" w:color="auto"/>
        <w:bottom w:val="none" w:sz="0" w:space="0" w:color="auto"/>
        <w:right w:val="none" w:sz="0" w:space="0" w:color="auto"/>
      </w:divBdr>
    </w:div>
    <w:div w:id="1877765706">
      <w:bodyDiv w:val="1"/>
      <w:marLeft w:val="0"/>
      <w:marRight w:val="0"/>
      <w:marTop w:val="0"/>
      <w:marBottom w:val="0"/>
      <w:divBdr>
        <w:top w:val="none" w:sz="0" w:space="0" w:color="auto"/>
        <w:left w:val="none" w:sz="0" w:space="0" w:color="auto"/>
        <w:bottom w:val="none" w:sz="0" w:space="0" w:color="auto"/>
        <w:right w:val="none" w:sz="0" w:space="0" w:color="auto"/>
      </w:divBdr>
    </w:div>
    <w:div w:id="1878010109">
      <w:bodyDiv w:val="1"/>
      <w:marLeft w:val="0"/>
      <w:marRight w:val="0"/>
      <w:marTop w:val="0"/>
      <w:marBottom w:val="0"/>
      <w:divBdr>
        <w:top w:val="none" w:sz="0" w:space="0" w:color="auto"/>
        <w:left w:val="none" w:sz="0" w:space="0" w:color="auto"/>
        <w:bottom w:val="none" w:sz="0" w:space="0" w:color="auto"/>
        <w:right w:val="none" w:sz="0" w:space="0" w:color="auto"/>
      </w:divBdr>
    </w:div>
    <w:div w:id="1878854304">
      <w:bodyDiv w:val="1"/>
      <w:marLeft w:val="0"/>
      <w:marRight w:val="0"/>
      <w:marTop w:val="0"/>
      <w:marBottom w:val="0"/>
      <w:divBdr>
        <w:top w:val="none" w:sz="0" w:space="0" w:color="auto"/>
        <w:left w:val="none" w:sz="0" w:space="0" w:color="auto"/>
        <w:bottom w:val="none" w:sz="0" w:space="0" w:color="auto"/>
        <w:right w:val="none" w:sz="0" w:space="0" w:color="auto"/>
      </w:divBdr>
    </w:div>
    <w:div w:id="1879583427">
      <w:bodyDiv w:val="1"/>
      <w:marLeft w:val="0"/>
      <w:marRight w:val="0"/>
      <w:marTop w:val="0"/>
      <w:marBottom w:val="0"/>
      <w:divBdr>
        <w:top w:val="none" w:sz="0" w:space="0" w:color="auto"/>
        <w:left w:val="none" w:sz="0" w:space="0" w:color="auto"/>
        <w:bottom w:val="none" w:sz="0" w:space="0" w:color="auto"/>
        <w:right w:val="none" w:sz="0" w:space="0" w:color="auto"/>
      </w:divBdr>
    </w:div>
    <w:div w:id="1879704759">
      <w:bodyDiv w:val="1"/>
      <w:marLeft w:val="0"/>
      <w:marRight w:val="0"/>
      <w:marTop w:val="0"/>
      <w:marBottom w:val="0"/>
      <w:divBdr>
        <w:top w:val="none" w:sz="0" w:space="0" w:color="auto"/>
        <w:left w:val="none" w:sz="0" w:space="0" w:color="auto"/>
        <w:bottom w:val="none" w:sz="0" w:space="0" w:color="auto"/>
        <w:right w:val="none" w:sz="0" w:space="0" w:color="auto"/>
      </w:divBdr>
    </w:div>
    <w:div w:id="1880241690">
      <w:bodyDiv w:val="1"/>
      <w:marLeft w:val="0"/>
      <w:marRight w:val="0"/>
      <w:marTop w:val="0"/>
      <w:marBottom w:val="0"/>
      <w:divBdr>
        <w:top w:val="none" w:sz="0" w:space="0" w:color="auto"/>
        <w:left w:val="none" w:sz="0" w:space="0" w:color="auto"/>
        <w:bottom w:val="none" w:sz="0" w:space="0" w:color="auto"/>
        <w:right w:val="none" w:sz="0" w:space="0" w:color="auto"/>
      </w:divBdr>
    </w:div>
    <w:div w:id="1880242099">
      <w:bodyDiv w:val="1"/>
      <w:marLeft w:val="0"/>
      <w:marRight w:val="0"/>
      <w:marTop w:val="0"/>
      <w:marBottom w:val="0"/>
      <w:divBdr>
        <w:top w:val="none" w:sz="0" w:space="0" w:color="auto"/>
        <w:left w:val="none" w:sz="0" w:space="0" w:color="auto"/>
        <w:bottom w:val="none" w:sz="0" w:space="0" w:color="auto"/>
        <w:right w:val="none" w:sz="0" w:space="0" w:color="auto"/>
      </w:divBdr>
    </w:div>
    <w:div w:id="1880437093">
      <w:bodyDiv w:val="1"/>
      <w:marLeft w:val="0"/>
      <w:marRight w:val="0"/>
      <w:marTop w:val="0"/>
      <w:marBottom w:val="0"/>
      <w:divBdr>
        <w:top w:val="none" w:sz="0" w:space="0" w:color="auto"/>
        <w:left w:val="none" w:sz="0" w:space="0" w:color="auto"/>
        <w:bottom w:val="none" w:sz="0" w:space="0" w:color="auto"/>
        <w:right w:val="none" w:sz="0" w:space="0" w:color="auto"/>
      </w:divBdr>
    </w:div>
    <w:div w:id="1880513439">
      <w:bodyDiv w:val="1"/>
      <w:marLeft w:val="0"/>
      <w:marRight w:val="0"/>
      <w:marTop w:val="0"/>
      <w:marBottom w:val="0"/>
      <w:divBdr>
        <w:top w:val="none" w:sz="0" w:space="0" w:color="auto"/>
        <w:left w:val="none" w:sz="0" w:space="0" w:color="auto"/>
        <w:bottom w:val="none" w:sz="0" w:space="0" w:color="auto"/>
        <w:right w:val="none" w:sz="0" w:space="0" w:color="auto"/>
      </w:divBdr>
    </w:div>
    <w:div w:id="1880624209">
      <w:bodyDiv w:val="1"/>
      <w:marLeft w:val="0"/>
      <w:marRight w:val="0"/>
      <w:marTop w:val="0"/>
      <w:marBottom w:val="0"/>
      <w:divBdr>
        <w:top w:val="none" w:sz="0" w:space="0" w:color="auto"/>
        <w:left w:val="none" w:sz="0" w:space="0" w:color="auto"/>
        <w:bottom w:val="none" w:sz="0" w:space="0" w:color="auto"/>
        <w:right w:val="none" w:sz="0" w:space="0" w:color="auto"/>
      </w:divBdr>
    </w:div>
    <w:div w:id="1880702405">
      <w:bodyDiv w:val="1"/>
      <w:marLeft w:val="0"/>
      <w:marRight w:val="0"/>
      <w:marTop w:val="0"/>
      <w:marBottom w:val="0"/>
      <w:divBdr>
        <w:top w:val="none" w:sz="0" w:space="0" w:color="auto"/>
        <w:left w:val="none" w:sz="0" w:space="0" w:color="auto"/>
        <w:bottom w:val="none" w:sz="0" w:space="0" w:color="auto"/>
        <w:right w:val="none" w:sz="0" w:space="0" w:color="auto"/>
      </w:divBdr>
    </w:div>
    <w:div w:id="1880823663">
      <w:bodyDiv w:val="1"/>
      <w:marLeft w:val="0"/>
      <w:marRight w:val="0"/>
      <w:marTop w:val="0"/>
      <w:marBottom w:val="0"/>
      <w:divBdr>
        <w:top w:val="none" w:sz="0" w:space="0" w:color="auto"/>
        <w:left w:val="none" w:sz="0" w:space="0" w:color="auto"/>
        <w:bottom w:val="none" w:sz="0" w:space="0" w:color="auto"/>
        <w:right w:val="none" w:sz="0" w:space="0" w:color="auto"/>
      </w:divBdr>
    </w:div>
    <w:div w:id="1881043830">
      <w:bodyDiv w:val="1"/>
      <w:marLeft w:val="0"/>
      <w:marRight w:val="0"/>
      <w:marTop w:val="0"/>
      <w:marBottom w:val="0"/>
      <w:divBdr>
        <w:top w:val="none" w:sz="0" w:space="0" w:color="auto"/>
        <w:left w:val="none" w:sz="0" w:space="0" w:color="auto"/>
        <w:bottom w:val="none" w:sz="0" w:space="0" w:color="auto"/>
        <w:right w:val="none" w:sz="0" w:space="0" w:color="auto"/>
      </w:divBdr>
    </w:div>
    <w:div w:id="1881045448">
      <w:bodyDiv w:val="1"/>
      <w:marLeft w:val="0"/>
      <w:marRight w:val="0"/>
      <w:marTop w:val="0"/>
      <w:marBottom w:val="0"/>
      <w:divBdr>
        <w:top w:val="none" w:sz="0" w:space="0" w:color="auto"/>
        <w:left w:val="none" w:sz="0" w:space="0" w:color="auto"/>
        <w:bottom w:val="none" w:sz="0" w:space="0" w:color="auto"/>
        <w:right w:val="none" w:sz="0" w:space="0" w:color="auto"/>
      </w:divBdr>
    </w:div>
    <w:div w:id="1881237392">
      <w:bodyDiv w:val="1"/>
      <w:marLeft w:val="0"/>
      <w:marRight w:val="0"/>
      <w:marTop w:val="0"/>
      <w:marBottom w:val="0"/>
      <w:divBdr>
        <w:top w:val="none" w:sz="0" w:space="0" w:color="auto"/>
        <w:left w:val="none" w:sz="0" w:space="0" w:color="auto"/>
        <w:bottom w:val="none" w:sz="0" w:space="0" w:color="auto"/>
        <w:right w:val="none" w:sz="0" w:space="0" w:color="auto"/>
      </w:divBdr>
    </w:div>
    <w:div w:id="1881238921">
      <w:bodyDiv w:val="1"/>
      <w:marLeft w:val="0"/>
      <w:marRight w:val="0"/>
      <w:marTop w:val="0"/>
      <w:marBottom w:val="0"/>
      <w:divBdr>
        <w:top w:val="none" w:sz="0" w:space="0" w:color="auto"/>
        <w:left w:val="none" w:sz="0" w:space="0" w:color="auto"/>
        <w:bottom w:val="none" w:sz="0" w:space="0" w:color="auto"/>
        <w:right w:val="none" w:sz="0" w:space="0" w:color="auto"/>
      </w:divBdr>
    </w:div>
    <w:div w:id="1881279073">
      <w:bodyDiv w:val="1"/>
      <w:marLeft w:val="0"/>
      <w:marRight w:val="0"/>
      <w:marTop w:val="0"/>
      <w:marBottom w:val="0"/>
      <w:divBdr>
        <w:top w:val="none" w:sz="0" w:space="0" w:color="auto"/>
        <w:left w:val="none" w:sz="0" w:space="0" w:color="auto"/>
        <w:bottom w:val="none" w:sz="0" w:space="0" w:color="auto"/>
        <w:right w:val="none" w:sz="0" w:space="0" w:color="auto"/>
      </w:divBdr>
    </w:div>
    <w:div w:id="1881741111">
      <w:bodyDiv w:val="1"/>
      <w:marLeft w:val="0"/>
      <w:marRight w:val="0"/>
      <w:marTop w:val="0"/>
      <w:marBottom w:val="0"/>
      <w:divBdr>
        <w:top w:val="none" w:sz="0" w:space="0" w:color="auto"/>
        <w:left w:val="none" w:sz="0" w:space="0" w:color="auto"/>
        <w:bottom w:val="none" w:sz="0" w:space="0" w:color="auto"/>
        <w:right w:val="none" w:sz="0" w:space="0" w:color="auto"/>
      </w:divBdr>
    </w:div>
    <w:div w:id="1882159845">
      <w:bodyDiv w:val="1"/>
      <w:marLeft w:val="0"/>
      <w:marRight w:val="0"/>
      <w:marTop w:val="0"/>
      <w:marBottom w:val="0"/>
      <w:divBdr>
        <w:top w:val="none" w:sz="0" w:space="0" w:color="auto"/>
        <w:left w:val="none" w:sz="0" w:space="0" w:color="auto"/>
        <w:bottom w:val="none" w:sz="0" w:space="0" w:color="auto"/>
        <w:right w:val="none" w:sz="0" w:space="0" w:color="auto"/>
      </w:divBdr>
    </w:div>
    <w:div w:id="1882205273">
      <w:bodyDiv w:val="1"/>
      <w:marLeft w:val="0"/>
      <w:marRight w:val="0"/>
      <w:marTop w:val="0"/>
      <w:marBottom w:val="0"/>
      <w:divBdr>
        <w:top w:val="none" w:sz="0" w:space="0" w:color="auto"/>
        <w:left w:val="none" w:sz="0" w:space="0" w:color="auto"/>
        <w:bottom w:val="none" w:sz="0" w:space="0" w:color="auto"/>
        <w:right w:val="none" w:sz="0" w:space="0" w:color="auto"/>
      </w:divBdr>
    </w:div>
    <w:div w:id="1882521797">
      <w:bodyDiv w:val="1"/>
      <w:marLeft w:val="0"/>
      <w:marRight w:val="0"/>
      <w:marTop w:val="0"/>
      <w:marBottom w:val="0"/>
      <w:divBdr>
        <w:top w:val="none" w:sz="0" w:space="0" w:color="auto"/>
        <w:left w:val="none" w:sz="0" w:space="0" w:color="auto"/>
        <w:bottom w:val="none" w:sz="0" w:space="0" w:color="auto"/>
        <w:right w:val="none" w:sz="0" w:space="0" w:color="auto"/>
      </w:divBdr>
    </w:div>
    <w:div w:id="1882671019">
      <w:bodyDiv w:val="1"/>
      <w:marLeft w:val="0"/>
      <w:marRight w:val="0"/>
      <w:marTop w:val="0"/>
      <w:marBottom w:val="0"/>
      <w:divBdr>
        <w:top w:val="none" w:sz="0" w:space="0" w:color="auto"/>
        <w:left w:val="none" w:sz="0" w:space="0" w:color="auto"/>
        <w:bottom w:val="none" w:sz="0" w:space="0" w:color="auto"/>
        <w:right w:val="none" w:sz="0" w:space="0" w:color="auto"/>
      </w:divBdr>
    </w:div>
    <w:div w:id="1883907095">
      <w:bodyDiv w:val="1"/>
      <w:marLeft w:val="0"/>
      <w:marRight w:val="0"/>
      <w:marTop w:val="0"/>
      <w:marBottom w:val="0"/>
      <w:divBdr>
        <w:top w:val="none" w:sz="0" w:space="0" w:color="auto"/>
        <w:left w:val="none" w:sz="0" w:space="0" w:color="auto"/>
        <w:bottom w:val="none" w:sz="0" w:space="0" w:color="auto"/>
        <w:right w:val="none" w:sz="0" w:space="0" w:color="auto"/>
      </w:divBdr>
    </w:div>
    <w:div w:id="1884054691">
      <w:bodyDiv w:val="1"/>
      <w:marLeft w:val="0"/>
      <w:marRight w:val="0"/>
      <w:marTop w:val="0"/>
      <w:marBottom w:val="0"/>
      <w:divBdr>
        <w:top w:val="none" w:sz="0" w:space="0" w:color="auto"/>
        <w:left w:val="none" w:sz="0" w:space="0" w:color="auto"/>
        <w:bottom w:val="none" w:sz="0" w:space="0" w:color="auto"/>
        <w:right w:val="none" w:sz="0" w:space="0" w:color="auto"/>
      </w:divBdr>
    </w:div>
    <w:div w:id="1884056464">
      <w:bodyDiv w:val="1"/>
      <w:marLeft w:val="0"/>
      <w:marRight w:val="0"/>
      <w:marTop w:val="0"/>
      <w:marBottom w:val="0"/>
      <w:divBdr>
        <w:top w:val="none" w:sz="0" w:space="0" w:color="auto"/>
        <w:left w:val="none" w:sz="0" w:space="0" w:color="auto"/>
        <w:bottom w:val="none" w:sz="0" w:space="0" w:color="auto"/>
        <w:right w:val="none" w:sz="0" w:space="0" w:color="auto"/>
      </w:divBdr>
    </w:div>
    <w:div w:id="1884094933">
      <w:bodyDiv w:val="1"/>
      <w:marLeft w:val="0"/>
      <w:marRight w:val="0"/>
      <w:marTop w:val="0"/>
      <w:marBottom w:val="0"/>
      <w:divBdr>
        <w:top w:val="none" w:sz="0" w:space="0" w:color="auto"/>
        <w:left w:val="none" w:sz="0" w:space="0" w:color="auto"/>
        <w:bottom w:val="none" w:sz="0" w:space="0" w:color="auto"/>
        <w:right w:val="none" w:sz="0" w:space="0" w:color="auto"/>
      </w:divBdr>
    </w:div>
    <w:div w:id="1884169590">
      <w:bodyDiv w:val="1"/>
      <w:marLeft w:val="0"/>
      <w:marRight w:val="0"/>
      <w:marTop w:val="0"/>
      <w:marBottom w:val="0"/>
      <w:divBdr>
        <w:top w:val="none" w:sz="0" w:space="0" w:color="auto"/>
        <w:left w:val="none" w:sz="0" w:space="0" w:color="auto"/>
        <w:bottom w:val="none" w:sz="0" w:space="0" w:color="auto"/>
        <w:right w:val="none" w:sz="0" w:space="0" w:color="auto"/>
      </w:divBdr>
    </w:div>
    <w:div w:id="1884950104">
      <w:bodyDiv w:val="1"/>
      <w:marLeft w:val="0"/>
      <w:marRight w:val="0"/>
      <w:marTop w:val="0"/>
      <w:marBottom w:val="0"/>
      <w:divBdr>
        <w:top w:val="none" w:sz="0" w:space="0" w:color="auto"/>
        <w:left w:val="none" w:sz="0" w:space="0" w:color="auto"/>
        <w:bottom w:val="none" w:sz="0" w:space="0" w:color="auto"/>
        <w:right w:val="none" w:sz="0" w:space="0" w:color="auto"/>
      </w:divBdr>
    </w:div>
    <w:div w:id="1885101124">
      <w:bodyDiv w:val="1"/>
      <w:marLeft w:val="0"/>
      <w:marRight w:val="0"/>
      <w:marTop w:val="0"/>
      <w:marBottom w:val="0"/>
      <w:divBdr>
        <w:top w:val="none" w:sz="0" w:space="0" w:color="auto"/>
        <w:left w:val="none" w:sz="0" w:space="0" w:color="auto"/>
        <w:bottom w:val="none" w:sz="0" w:space="0" w:color="auto"/>
        <w:right w:val="none" w:sz="0" w:space="0" w:color="auto"/>
      </w:divBdr>
    </w:div>
    <w:div w:id="1885294145">
      <w:bodyDiv w:val="1"/>
      <w:marLeft w:val="0"/>
      <w:marRight w:val="0"/>
      <w:marTop w:val="0"/>
      <w:marBottom w:val="0"/>
      <w:divBdr>
        <w:top w:val="none" w:sz="0" w:space="0" w:color="auto"/>
        <w:left w:val="none" w:sz="0" w:space="0" w:color="auto"/>
        <w:bottom w:val="none" w:sz="0" w:space="0" w:color="auto"/>
        <w:right w:val="none" w:sz="0" w:space="0" w:color="auto"/>
      </w:divBdr>
    </w:div>
    <w:div w:id="1885364954">
      <w:bodyDiv w:val="1"/>
      <w:marLeft w:val="0"/>
      <w:marRight w:val="0"/>
      <w:marTop w:val="0"/>
      <w:marBottom w:val="0"/>
      <w:divBdr>
        <w:top w:val="none" w:sz="0" w:space="0" w:color="auto"/>
        <w:left w:val="none" w:sz="0" w:space="0" w:color="auto"/>
        <w:bottom w:val="none" w:sz="0" w:space="0" w:color="auto"/>
        <w:right w:val="none" w:sz="0" w:space="0" w:color="auto"/>
      </w:divBdr>
    </w:div>
    <w:div w:id="1886287156">
      <w:bodyDiv w:val="1"/>
      <w:marLeft w:val="0"/>
      <w:marRight w:val="0"/>
      <w:marTop w:val="0"/>
      <w:marBottom w:val="0"/>
      <w:divBdr>
        <w:top w:val="none" w:sz="0" w:space="0" w:color="auto"/>
        <w:left w:val="none" w:sz="0" w:space="0" w:color="auto"/>
        <w:bottom w:val="none" w:sz="0" w:space="0" w:color="auto"/>
        <w:right w:val="none" w:sz="0" w:space="0" w:color="auto"/>
      </w:divBdr>
    </w:div>
    <w:div w:id="1886336280">
      <w:bodyDiv w:val="1"/>
      <w:marLeft w:val="0"/>
      <w:marRight w:val="0"/>
      <w:marTop w:val="0"/>
      <w:marBottom w:val="0"/>
      <w:divBdr>
        <w:top w:val="none" w:sz="0" w:space="0" w:color="auto"/>
        <w:left w:val="none" w:sz="0" w:space="0" w:color="auto"/>
        <w:bottom w:val="none" w:sz="0" w:space="0" w:color="auto"/>
        <w:right w:val="none" w:sz="0" w:space="0" w:color="auto"/>
      </w:divBdr>
    </w:div>
    <w:div w:id="1886912894">
      <w:bodyDiv w:val="1"/>
      <w:marLeft w:val="0"/>
      <w:marRight w:val="0"/>
      <w:marTop w:val="0"/>
      <w:marBottom w:val="0"/>
      <w:divBdr>
        <w:top w:val="none" w:sz="0" w:space="0" w:color="auto"/>
        <w:left w:val="none" w:sz="0" w:space="0" w:color="auto"/>
        <w:bottom w:val="none" w:sz="0" w:space="0" w:color="auto"/>
        <w:right w:val="none" w:sz="0" w:space="0" w:color="auto"/>
      </w:divBdr>
    </w:div>
    <w:div w:id="1887182699">
      <w:bodyDiv w:val="1"/>
      <w:marLeft w:val="0"/>
      <w:marRight w:val="0"/>
      <w:marTop w:val="0"/>
      <w:marBottom w:val="0"/>
      <w:divBdr>
        <w:top w:val="none" w:sz="0" w:space="0" w:color="auto"/>
        <w:left w:val="none" w:sz="0" w:space="0" w:color="auto"/>
        <w:bottom w:val="none" w:sz="0" w:space="0" w:color="auto"/>
        <w:right w:val="none" w:sz="0" w:space="0" w:color="auto"/>
      </w:divBdr>
    </w:div>
    <w:div w:id="1887527260">
      <w:bodyDiv w:val="1"/>
      <w:marLeft w:val="0"/>
      <w:marRight w:val="0"/>
      <w:marTop w:val="0"/>
      <w:marBottom w:val="0"/>
      <w:divBdr>
        <w:top w:val="none" w:sz="0" w:space="0" w:color="auto"/>
        <w:left w:val="none" w:sz="0" w:space="0" w:color="auto"/>
        <w:bottom w:val="none" w:sz="0" w:space="0" w:color="auto"/>
        <w:right w:val="none" w:sz="0" w:space="0" w:color="auto"/>
      </w:divBdr>
    </w:div>
    <w:div w:id="1888250746">
      <w:bodyDiv w:val="1"/>
      <w:marLeft w:val="0"/>
      <w:marRight w:val="0"/>
      <w:marTop w:val="0"/>
      <w:marBottom w:val="0"/>
      <w:divBdr>
        <w:top w:val="none" w:sz="0" w:space="0" w:color="auto"/>
        <w:left w:val="none" w:sz="0" w:space="0" w:color="auto"/>
        <w:bottom w:val="none" w:sz="0" w:space="0" w:color="auto"/>
        <w:right w:val="none" w:sz="0" w:space="0" w:color="auto"/>
      </w:divBdr>
    </w:div>
    <w:div w:id="1888448671">
      <w:bodyDiv w:val="1"/>
      <w:marLeft w:val="0"/>
      <w:marRight w:val="0"/>
      <w:marTop w:val="0"/>
      <w:marBottom w:val="0"/>
      <w:divBdr>
        <w:top w:val="none" w:sz="0" w:space="0" w:color="auto"/>
        <w:left w:val="none" w:sz="0" w:space="0" w:color="auto"/>
        <w:bottom w:val="none" w:sz="0" w:space="0" w:color="auto"/>
        <w:right w:val="none" w:sz="0" w:space="0" w:color="auto"/>
      </w:divBdr>
    </w:div>
    <w:div w:id="1888568662">
      <w:bodyDiv w:val="1"/>
      <w:marLeft w:val="0"/>
      <w:marRight w:val="0"/>
      <w:marTop w:val="0"/>
      <w:marBottom w:val="0"/>
      <w:divBdr>
        <w:top w:val="none" w:sz="0" w:space="0" w:color="auto"/>
        <w:left w:val="none" w:sz="0" w:space="0" w:color="auto"/>
        <w:bottom w:val="none" w:sz="0" w:space="0" w:color="auto"/>
        <w:right w:val="none" w:sz="0" w:space="0" w:color="auto"/>
      </w:divBdr>
    </w:div>
    <w:div w:id="1889145797">
      <w:bodyDiv w:val="1"/>
      <w:marLeft w:val="0"/>
      <w:marRight w:val="0"/>
      <w:marTop w:val="0"/>
      <w:marBottom w:val="0"/>
      <w:divBdr>
        <w:top w:val="none" w:sz="0" w:space="0" w:color="auto"/>
        <w:left w:val="none" w:sz="0" w:space="0" w:color="auto"/>
        <w:bottom w:val="none" w:sz="0" w:space="0" w:color="auto"/>
        <w:right w:val="none" w:sz="0" w:space="0" w:color="auto"/>
      </w:divBdr>
    </w:div>
    <w:div w:id="1889150120">
      <w:bodyDiv w:val="1"/>
      <w:marLeft w:val="0"/>
      <w:marRight w:val="0"/>
      <w:marTop w:val="0"/>
      <w:marBottom w:val="0"/>
      <w:divBdr>
        <w:top w:val="none" w:sz="0" w:space="0" w:color="auto"/>
        <w:left w:val="none" w:sz="0" w:space="0" w:color="auto"/>
        <w:bottom w:val="none" w:sz="0" w:space="0" w:color="auto"/>
        <w:right w:val="none" w:sz="0" w:space="0" w:color="auto"/>
      </w:divBdr>
    </w:div>
    <w:div w:id="1889565834">
      <w:bodyDiv w:val="1"/>
      <w:marLeft w:val="0"/>
      <w:marRight w:val="0"/>
      <w:marTop w:val="0"/>
      <w:marBottom w:val="0"/>
      <w:divBdr>
        <w:top w:val="none" w:sz="0" w:space="0" w:color="auto"/>
        <w:left w:val="none" w:sz="0" w:space="0" w:color="auto"/>
        <w:bottom w:val="none" w:sz="0" w:space="0" w:color="auto"/>
        <w:right w:val="none" w:sz="0" w:space="0" w:color="auto"/>
      </w:divBdr>
    </w:div>
    <w:div w:id="1889999267">
      <w:bodyDiv w:val="1"/>
      <w:marLeft w:val="0"/>
      <w:marRight w:val="0"/>
      <w:marTop w:val="0"/>
      <w:marBottom w:val="0"/>
      <w:divBdr>
        <w:top w:val="none" w:sz="0" w:space="0" w:color="auto"/>
        <w:left w:val="none" w:sz="0" w:space="0" w:color="auto"/>
        <w:bottom w:val="none" w:sz="0" w:space="0" w:color="auto"/>
        <w:right w:val="none" w:sz="0" w:space="0" w:color="auto"/>
      </w:divBdr>
    </w:div>
    <w:div w:id="1890191271">
      <w:bodyDiv w:val="1"/>
      <w:marLeft w:val="0"/>
      <w:marRight w:val="0"/>
      <w:marTop w:val="0"/>
      <w:marBottom w:val="0"/>
      <w:divBdr>
        <w:top w:val="none" w:sz="0" w:space="0" w:color="auto"/>
        <w:left w:val="none" w:sz="0" w:space="0" w:color="auto"/>
        <w:bottom w:val="none" w:sz="0" w:space="0" w:color="auto"/>
        <w:right w:val="none" w:sz="0" w:space="0" w:color="auto"/>
      </w:divBdr>
    </w:div>
    <w:div w:id="1890458237">
      <w:bodyDiv w:val="1"/>
      <w:marLeft w:val="0"/>
      <w:marRight w:val="0"/>
      <w:marTop w:val="0"/>
      <w:marBottom w:val="0"/>
      <w:divBdr>
        <w:top w:val="none" w:sz="0" w:space="0" w:color="auto"/>
        <w:left w:val="none" w:sz="0" w:space="0" w:color="auto"/>
        <w:bottom w:val="none" w:sz="0" w:space="0" w:color="auto"/>
        <w:right w:val="none" w:sz="0" w:space="0" w:color="auto"/>
      </w:divBdr>
    </w:div>
    <w:div w:id="1891065617">
      <w:bodyDiv w:val="1"/>
      <w:marLeft w:val="0"/>
      <w:marRight w:val="0"/>
      <w:marTop w:val="0"/>
      <w:marBottom w:val="0"/>
      <w:divBdr>
        <w:top w:val="none" w:sz="0" w:space="0" w:color="auto"/>
        <w:left w:val="none" w:sz="0" w:space="0" w:color="auto"/>
        <w:bottom w:val="none" w:sz="0" w:space="0" w:color="auto"/>
        <w:right w:val="none" w:sz="0" w:space="0" w:color="auto"/>
      </w:divBdr>
    </w:div>
    <w:div w:id="1892109629">
      <w:bodyDiv w:val="1"/>
      <w:marLeft w:val="0"/>
      <w:marRight w:val="0"/>
      <w:marTop w:val="0"/>
      <w:marBottom w:val="0"/>
      <w:divBdr>
        <w:top w:val="none" w:sz="0" w:space="0" w:color="auto"/>
        <w:left w:val="none" w:sz="0" w:space="0" w:color="auto"/>
        <w:bottom w:val="none" w:sz="0" w:space="0" w:color="auto"/>
        <w:right w:val="none" w:sz="0" w:space="0" w:color="auto"/>
      </w:divBdr>
    </w:div>
    <w:div w:id="1892375613">
      <w:bodyDiv w:val="1"/>
      <w:marLeft w:val="0"/>
      <w:marRight w:val="0"/>
      <w:marTop w:val="0"/>
      <w:marBottom w:val="0"/>
      <w:divBdr>
        <w:top w:val="none" w:sz="0" w:space="0" w:color="auto"/>
        <w:left w:val="none" w:sz="0" w:space="0" w:color="auto"/>
        <w:bottom w:val="none" w:sz="0" w:space="0" w:color="auto"/>
        <w:right w:val="none" w:sz="0" w:space="0" w:color="auto"/>
      </w:divBdr>
    </w:div>
    <w:div w:id="1892884815">
      <w:bodyDiv w:val="1"/>
      <w:marLeft w:val="0"/>
      <w:marRight w:val="0"/>
      <w:marTop w:val="0"/>
      <w:marBottom w:val="0"/>
      <w:divBdr>
        <w:top w:val="none" w:sz="0" w:space="0" w:color="auto"/>
        <w:left w:val="none" w:sz="0" w:space="0" w:color="auto"/>
        <w:bottom w:val="none" w:sz="0" w:space="0" w:color="auto"/>
        <w:right w:val="none" w:sz="0" w:space="0" w:color="auto"/>
      </w:divBdr>
    </w:div>
    <w:div w:id="1893037237">
      <w:bodyDiv w:val="1"/>
      <w:marLeft w:val="0"/>
      <w:marRight w:val="0"/>
      <w:marTop w:val="0"/>
      <w:marBottom w:val="0"/>
      <w:divBdr>
        <w:top w:val="none" w:sz="0" w:space="0" w:color="auto"/>
        <w:left w:val="none" w:sz="0" w:space="0" w:color="auto"/>
        <w:bottom w:val="none" w:sz="0" w:space="0" w:color="auto"/>
        <w:right w:val="none" w:sz="0" w:space="0" w:color="auto"/>
      </w:divBdr>
    </w:div>
    <w:div w:id="1893037759">
      <w:bodyDiv w:val="1"/>
      <w:marLeft w:val="0"/>
      <w:marRight w:val="0"/>
      <w:marTop w:val="0"/>
      <w:marBottom w:val="0"/>
      <w:divBdr>
        <w:top w:val="none" w:sz="0" w:space="0" w:color="auto"/>
        <w:left w:val="none" w:sz="0" w:space="0" w:color="auto"/>
        <w:bottom w:val="none" w:sz="0" w:space="0" w:color="auto"/>
        <w:right w:val="none" w:sz="0" w:space="0" w:color="auto"/>
      </w:divBdr>
    </w:div>
    <w:div w:id="1894005589">
      <w:bodyDiv w:val="1"/>
      <w:marLeft w:val="0"/>
      <w:marRight w:val="0"/>
      <w:marTop w:val="0"/>
      <w:marBottom w:val="0"/>
      <w:divBdr>
        <w:top w:val="none" w:sz="0" w:space="0" w:color="auto"/>
        <w:left w:val="none" w:sz="0" w:space="0" w:color="auto"/>
        <w:bottom w:val="none" w:sz="0" w:space="0" w:color="auto"/>
        <w:right w:val="none" w:sz="0" w:space="0" w:color="auto"/>
      </w:divBdr>
    </w:div>
    <w:div w:id="1894342299">
      <w:bodyDiv w:val="1"/>
      <w:marLeft w:val="0"/>
      <w:marRight w:val="0"/>
      <w:marTop w:val="0"/>
      <w:marBottom w:val="0"/>
      <w:divBdr>
        <w:top w:val="none" w:sz="0" w:space="0" w:color="auto"/>
        <w:left w:val="none" w:sz="0" w:space="0" w:color="auto"/>
        <w:bottom w:val="none" w:sz="0" w:space="0" w:color="auto"/>
        <w:right w:val="none" w:sz="0" w:space="0" w:color="auto"/>
      </w:divBdr>
    </w:div>
    <w:div w:id="1894652928">
      <w:bodyDiv w:val="1"/>
      <w:marLeft w:val="0"/>
      <w:marRight w:val="0"/>
      <w:marTop w:val="0"/>
      <w:marBottom w:val="0"/>
      <w:divBdr>
        <w:top w:val="none" w:sz="0" w:space="0" w:color="auto"/>
        <w:left w:val="none" w:sz="0" w:space="0" w:color="auto"/>
        <w:bottom w:val="none" w:sz="0" w:space="0" w:color="auto"/>
        <w:right w:val="none" w:sz="0" w:space="0" w:color="auto"/>
      </w:divBdr>
    </w:div>
    <w:div w:id="1895123033">
      <w:bodyDiv w:val="1"/>
      <w:marLeft w:val="0"/>
      <w:marRight w:val="0"/>
      <w:marTop w:val="0"/>
      <w:marBottom w:val="0"/>
      <w:divBdr>
        <w:top w:val="none" w:sz="0" w:space="0" w:color="auto"/>
        <w:left w:val="none" w:sz="0" w:space="0" w:color="auto"/>
        <w:bottom w:val="none" w:sz="0" w:space="0" w:color="auto"/>
        <w:right w:val="none" w:sz="0" w:space="0" w:color="auto"/>
      </w:divBdr>
    </w:div>
    <w:div w:id="1895847258">
      <w:bodyDiv w:val="1"/>
      <w:marLeft w:val="0"/>
      <w:marRight w:val="0"/>
      <w:marTop w:val="0"/>
      <w:marBottom w:val="0"/>
      <w:divBdr>
        <w:top w:val="none" w:sz="0" w:space="0" w:color="auto"/>
        <w:left w:val="none" w:sz="0" w:space="0" w:color="auto"/>
        <w:bottom w:val="none" w:sz="0" w:space="0" w:color="auto"/>
        <w:right w:val="none" w:sz="0" w:space="0" w:color="auto"/>
      </w:divBdr>
    </w:div>
    <w:div w:id="1895849444">
      <w:bodyDiv w:val="1"/>
      <w:marLeft w:val="0"/>
      <w:marRight w:val="0"/>
      <w:marTop w:val="0"/>
      <w:marBottom w:val="0"/>
      <w:divBdr>
        <w:top w:val="none" w:sz="0" w:space="0" w:color="auto"/>
        <w:left w:val="none" w:sz="0" w:space="0" w:color="auto"/>
        <w:bottom w:val="none" w:sz="0" w:space="0" w:color="auto"/>
        <w:right w:val="none" w:sz="0" w:space="0" w:color="auto"/>
      </w:divBdr>
    </w:div>
    <w:div w:id="1895852943">
      <w:bodyDiv w:val="1"/>
      <w:marLeft w:val="0"/>
      <w:marRight w:val="0"/>
      <w:marTop w:val="0"/>
      <w:marBottom w:val="0"/>
      <w:divBdr>
        <w:top w:val="none" w:sz="0" w:space="0" w:color="auto"/>
        <w:left w:val="none" w:sz="0" w:space="0" w:color="auto"/>
        <w:bottom w:val="none" w:sz="0" w:space="0" w:color="auto"/>
        <w:right w:val="none" w:sz="0" w:space="0" w:color="auto"/>
      </w:divBdr>
    </w:div>
    <w:div w:id="1896115033">
      <w:bodyDiv w:val="1"/>
      <w:marLeft w:val="0"/>
      <w:marRight w:val="0"/>
      <w:marTop w:val="0"/>
      <w:marBottom w:val="0"/>
      <w:divBdr>
        <w:top w:val="none" w:sz="0" w:space="0" w:color="auto"/>
        <w:left w:val="none" w:sz="0" w:space="0" w:color="auto"/>
        <w:bottom w:val="none" w:sz="0" w:space="0" w:color="auto"/>
        <w:right w:val="none" w:sz="0" w:space="0" w:color="auto"/>
      </w:divBdr>
    </w:div>
    <w:div w:id="1896381811">
      <w:bodyDiv w:val="1"/>
      <w:marLeft w:val="0"/>
      <w:marRight w:val="0"/>
      <w:marTop w:val="0"/>
      <w:marBottom w:val="0"/>
      <w:divBdr>
        <w:top w:val="none" w:sz="0" w:space="0" w:color="auto"/>
        <w:left w:val="none" w:sz="0" w:space="0" w:color="auto"/>
        <w:bottom w:val="none" w:sz="0" w:space="0" w:color="auto"/>
        <w:right w:val="none" w:sz="0" w:space="0" w:color="auto"/>
      </w:divBdr>
    </w:div>
    <w:div w:id="1896575937">
      <w:bodyDiv w:val="1"/>
      <w:marLeft w:val="0"/>
      <w:marRight w:val="0"/>
      <w:marTop w:val="0"/>
      <w:marBottom w:val="0"/>
      <w:divBdr>
        <w:top w:val="none" w:sz="0" w:space="0" w:color="auto"/>
        <w:left w:val="none" w:sz="0" w:space="0" w:color="auto"/>
        <w:bottom w:val="none" w:sz="0" w:space="0" w:color="auto"/>
        <w:right w:val="none" w:sz="0" w:space="0" w:color="auto"/>
      </w:divBdr>
    </w:div>
    <w:div w:id="1896696001">
      <w:bodyDiv w:val="1"/>
      <w:marLeft w:val="0"/>
      <w:marRight w:val="0"/>
      <w:marTop w:val="0"/>
      <w:marBottom w:val="0"/>
      <w:divBdr>
        <w:top w:val="none" w:sz="0" w:space="0" w:color="auto"/>
        <w:left w:val="none" w:sz="0" w:space="0" w:color="auto"/>
        <w:bottom w:val="none" w:sz="0" w:space="0" w:color="auto"/>
        <w:right w:val="none" w:sz="0" w:space="0" w:color="auto"/>
      </w:divBdr>
    </w:div>
    <w:div w:id="1896889091">
      <w:bodyDiv w:val="1"/>
      <w:marLeft w:val="0"/>
      <w:marRight w:val="0"/>
      <w:marTop w:val="0"/>
      <w:marBottom w:val="0"/>
      <w:divBdr>
        <w:top w:val="none" w:sz="0" w:space="0" w:color="auto"/>
        <w:left w:val="none" w:sz="0" w:space="0" w:color="auto"/>
        <w:bottom w:val="none" w:sz="0" w:space="0" w:color="auto"/>
        <w:right w:val="none" w:sz="0" w:space="0" w:color="auto"/>
      </w:divBdr>
    </w:div>
    <w:div w:id="1897623173">
      <w:bodyDiv w:val="1"/>
      <w:marLeft w:val="0"/>
      <w:marRight w:val="0"/>
      <w:marTop w:val="0"/>
      <w:marBottom w:val="0"/>
      <w:divBdr>
        <w:top w:val="none" w:sz="0" w:space="0" w:color="auto"/>
        <w:left w:val="none" w:sz="0" w:space="0" w:color="auto"/>
        <w:bottom w:val="none" w:sz="0" w:space="0" w:color="auto"/>
        <w:right w:val="none" w:sz="0" w:space="0" w:color="auto"/>
      </w:divBdr>
    </w:div>
    <w:div w:id="1897935720">
      <w:bodyDiv w:val="1"/>
      <w:marLeft w:val="0"/>
      <w:marRight w:val="0"/>
      <w:marTop w:val="0"/>
      <w:marBottom w:val="0"/>
      <w:divBdr>
        <w:top w:val="none" w:sz="0" w:space="0" w:color="auto"/>
        <w:left w:val="none" w:sz="0" w:space="0" w:color="auto"/>
        <w:bottom w:val="none" w:sz="0" w:space="0" w:color="auto"/>
        <w:right w:val="none" w:sz="0" w:space="0" w:color="auto"/>
      </w:divBdr>
    </w:div>
    <w:div w:id="1897936685">
      <w:bodyDiv w:val="1"/>
      <w:marLeft w:val="0"/>
      <w:marRight w:val="0"/>
      <w:marTop w:val="0"/>
      <w:marBottom w:val="0"/>
      <w:divBdr>
        <w:top w:val="none" w:sz="0" w:space="0" w:color="auto"/>
        <w:left w:val="none" w:sz="0" w:space="0" w:color="auto"/>
        <w:bottom w:val="none" w:sz="0" w:space="0" w:color="auto"/>
        <w:right w:val="none" w:sz="0" w:space="0" w:color="auto"/>
      </w:divBdr>
    </w:div>
    <w:div w:id="1898127181">
      <w:bodyDiv w:val="1"/>
      <w:marLeft w:val="0"/>
      <w:marRight w:val="0"/>
      <w:marTop w:val="0"/>
      <w:marBottom w:val="0"/>
      <w:divBdr>
        <w:top w:val="none" w:sz="0" w:space="0" w:color="auto"/>
        <w:left w:val="none" w:sz="0" w:space="0" w:color="auto"/>
        <w:bottom w:val="none" w:sz="0" w:space="0" w:color="auto"/>
        <w:right w:val="none" w:sz="0" w:space="0" w:color="auto"/>
      </w:divBdr>
    </w:div>
    <w:div w:id="1898279061">
      <w:bodyDiv w:val="1"/>
      <w:marLeft w:val="0"/>
      <w:marRight w:val="0"/>
      <w:marTop w:val="0"/>
      <w:marBottom w:val="0"/>
      <w:divBdr>
        <w:top w:val="none" w:sz="0" w:space="0" w:color="auto"/>
        <w:left w:val="none" w:sz="0" w:space="0" w:color="auto"/>
        <w:bottom w:val="none" w:sz="0" w:space="0" w:color="auto"/>
        <w:right w:val="none" w:sz="0" w:space="0" w:color="auto"/>
      </w:divBdr>
    </w:div>
    <w:div w:id="1898320156">
      <w:bodyDiv w:val="1"/>
      <w:marLeft w:val="0"/>
      <w:marRight w:val="0"/>
      <w:marTop w:val="0"/>
      <w:marBottom w:val="0"/>
      <w:divBdr>
        <w:top w:val="none" w:sz="0" w:space="0" w:color="auto"/>
        <w:left w:val="none" w:sz="0" w:space="0" w:color="auto"/>
        <w:bottom w:val="none" w:sz="0" w:space="0" w:color="auto"/>
        <w:right w:val="none" w:sz="0" w:space="0" w:color="auto"/>
      </w:divBdr>
    </w:div>
    <w:div w:id="1898592423">
      <w:bodyDiv w:val="1"/>
      <w:marLeft w:val="0"/>
      <w:marRight w:val="0"/>
      <w:marTop w:val="0"/>
      <w:marBottom w:val="0"/>
      <w:divBdr>
        <w:top w:val="none" w:sz="0" w:space="0" w:color="auto"/>
        <w:left w:val="none" w:sz="0" w:space="0" w:color="auto"/>
        <w:bottom w:val="none" w:sz="0" w:space="0" w:color="auto"/>
        <w:right w:val="none" w:sz="0" w:space="0" w:color="auto"/>
      </w:divBdr>
    </w:div>
    <w:div w:id="1898785365">
      <w:bodyDiv w:val="1"/>
      <w:marLeft w:val="0"/>
      <w:marRight w:val="0"/>
      <w:marTop w:val="0"/>
      <w:marBottom w:val="0"/>
      <w:divBdr>
        <w:top w:val="none" w:sz="0" w:space="0" w:color="auto"/>
        <w:left w:val="none" w:sz="0" w:space="0" w:color="auto"/>
        <w:bottom w:val="none" w:sz="0" w:space="0" w:color="auto"/>
        <w:right w:val="none" w:sz="0" w:space="0" w:color="auto"/>
      </w:divBdr>
    </w:div>
    <w:div w:id="1899051576">
      <w:bodyDiv w:val="1"/>
      <w:marLeft w:val="0"/>
      <w:marRight w:val="0"/>
      <w:marTop w:val="0"/>
      <w:marBottom w:val="0"/>
      <w:divBdr>
        <w:top w:val="none" w:sz="0" w:space="0" w:color="auto"/>
        <w:left w:val="none" w:sz="0" w:space="0" w:color="auto"/>
        <w:bottom w:val="none" w:sz="0" w:space="0" w:color="auto"/>
        <w:right w:val="none" w:sz="0" w:space="0" w:color="auto"/>
      </w:divBdr>
    </w:div>
    <w:div w:id="1899246436">
      <w:bodyDiv w:val="1"/>
      <w:marLeft w:val="0"/>
      <w:marRight w:val="0"/>
      <w:marTop w:val="0"/>
      <w:marBottom w:val="0"/>
      <w:divBdr>
        <w:top w:val="none" w:sz="0" w:space="0" w:color="auto"/>
        <w:left w:val="none" w:sz="0" w:space="0" w:color="auto"/>
        <w:bottom w:val="none" w:sz="0" w:space="0" w:color="auto"/>
        <w:right w:val="none" w:sz="0" w:space="0" w:color="auto"/>
      </w:divBdr>
    </w:div>
    <w:div w:id="1899514661">
      <w:bodyDiv w:val="1"/>
      <w:marLeft w:val="0"/>
      <w:marRight w:val="0"/>
      <w:marTop w:val="0"/>
      <w:marBottom w:val="0"/>
      <w:divBdr>
        <w:top w:val="none" w:sz="0" w:space="0" w:color="auto"/>
        <w:left w:val="none" w:sz="0" w:space="0" w:color="auto"/>
        <w:bottom w:val="none" w:sz="0" w:space="0" w:color="auto"/>
        <w:right w:val="none" w:sz="0" w:space="0" w:color="auto"/>
      </w:divBdr>
    </w:div>
    <w:div w:id="1899591930">
      <w:bodyDiv w:val="1"/>
      <w:marLeft w:val="0"/>
      <w:marRight w:val="0"/>
      <w:marTop w:val="0"/>
      <w:marBottom w:val="0"/>
      <w:divBdr>
        <w:top w:val="none" w:sz="0" w:space="0" w:color="auto"/>
        <w:left w:val="none" w:sz="0" w:space="0" w:color="auto"/>
        <w:bottom w:val="none" w:sz="0" w:space="0" w:color="auto"/>
        <w:right w:val="none" w:sz="0" w:space="0" w:color="auto"/>
      </w:divBdr>
    </w:div>
    <w:div w:id="1899852002">
      <w:bodyDiv w:val="1"/>
      <w:marLeft w:val="0"/>
      <w:marRight w:val="0"/>
      <w:marTop w:val="0"/>
      <w:marBottom w:val="0"/>
      <w:divBdr>
        <w:top w:val="none" w:sz="0" w:space="0" w:color="auto"/>
        <w:left w:val="none" w:sz="0" w:space="0" w:color="auto"/>
        <w:bottom w:val="none" w:sz="0" w:space="0" w:color="auto"/>
        <w:right w:val="none" w:sz="0" w:space="0" w:color="auto"/>
      </w:divBdr>
    </w:div>
    <w:div w:id="1901209857">
      <w:bodyDiv w:val="1"/>
      <w:marLeft w:val="0"/>
      <w:marRight w:val="0"/>
      <w:marTop w:val="0"/>
      <w:marBottom w:val="0"/>
      <w:divBdr>
        <w:top w:val="none" w:sz="0" w:space="0" w:color="auto"/>
        <w:left w:val="none" w:sz="0" w:space="0" w:color="auto"/>
        <w:bottom w:val="none" w:sz="0" w:space="0" w:color="auto"/>
        <w:right w:val="none" w:sz="0" w:space="0" w:color="auto"/>
      </w:divBdr>
    </w:div>
    <w:div w:id="1901817134">
      <w:bodyDiv w:val="1"/>
      <w:marLeft w:val="0"/>
      <w:marRight w:val="0"/>
      <w:marTop w:val="0"/>
      <w:marBottom w:val="0"/>
      <w:divBdr>
        <w:top w:val="none" w:sz="0" w:space="0" w:color="auto"/>
        <w:left w:val="none" w:sz="0" w:space="0" w:color="auto"/>
        <w:bottom w:val="none" w:sz="0" w:space="0" w:color="auto"/>
        <w:right w:val="none" w:sz="0" w:space="0" w:color="auto"/>
      </w:divBdr>
    </w:div>
    <w:div w:id="1901937430">
      <w:bodyDiv w:val="1"/>
      <w:marLeft w:val="0"/>
      <w:marRight w:val="0"/>
      <w:marTop w:val="0"/>
      <w:marBottom w:val="0"/>
      <w:divBdr>
        <w:top w:val="none" w:sz="0" w:space="0" w:color="auto"/>
        <w:left w:val="none" w:sz="0" w:space="0" w:color="auto"/>
        <w:bottom w:val="none" w:sz="0" w:space="0" w:color="auto"/>
        <w:right w:val="none" w:sz="0" w:space="0" w:color="auto"/>
      </w:divBdr>
    </w:div>
    <w:div w:id="1902134838">
      <w:bodyDiv w:val="1"/>
      <w:marLeft w:val="0"/>
      <w:marRight w:val="0"/>
      <w:marTop w:val="0"/>
      <w:marBottom w:val="0"/>
      <w:divBdr>
        <w:top w:val="none" w:sz="0" w:space="0" w:color="auto"/>
        <w:left w:val="none" w:sz="0" w:space="0" w:color="auto"/>
        <w:bottom w:val="none" w:sz="0" w:space="0" w:color="auto"/>
        <w:right w:val="none" w:sz="0" w:space="0" w:color="auto"/>
      </w:divBdr>
    </w:div>
    <w:div w:id="1903439208">
      <w:bodyDiv w:val="1"/>
      <w:marLeft w:val="0"/>
      <w:marRight w:val="0"/>
      <w:marTop w:val="0"/>
      <w:marBottom w:val="0"/>
      <w:divBdr>
        <w:top w:val="none" w:sz="0" w:space="0" w:color="auto"/>
        <w:left w:val="none" w:sz="0" w:space="0" w:color="auto"/>
        <w:bottom w:val="none" w:sz="0" w:space="0" w:color="auto"/>
        <w:right w:val="none" w:sz="0" w:space="0" w:color="auto"/>
      </w:divBdr>
    </w:div>
    <w:div w:id="1905409210">
      <w:bodyDiv w:val="1"/>
      <w:marLeft w:val="0"/>
      <w:marRight w:val="0"/>
      <w:marTop w:val="0"/>
      <w:marBottom w:val="0"/>
      <w:divBdr>
        <w:top w:val="none" w:sz="0" w:space="0" w:color="auto"/>
        <w:left w:val="none" w:sz="0" w:space="0" w:color="auto"/>
        <w:bottom w:val="none" w:sz="0" w:space="0" w:color="auto"/>
        <w:right w:val="none" w:sz="0" w:space="0" w:color="auto"/>
      </w:divBdr>
    </w:div>
    <w:div w:id="1905992069">
      <w:bodyDiv w:val="1"/>
      <w:marLeft w:val="0"/>
      <w:marRight w:val="0"/>
      <w:marTop w:val="0"/>
      <w:marBottom w:val="0"/>
      <w:divBdr>
        <w:top w:val="none" w:sz="0" w:space="0" w:color="auto"/>
        <w:left w:val="none" w:sz="0" w:space="0" w:color="auto"/>
        <w:bottom w:val="none" w:sz="0" w:space="0" w:color="auto"/>
        <w:right w:val="none" w:sz="0" w:space="0" w:color="auto"/>
      </w:divBdr>
    </w:div>
    <w:div w:id="1906605977">
      <w:bodyDiv w:val="1"/>
      <w:marLeft w:val="0"/>
      <w:marRight w:val="0"/>
      <w:marTop w:val="0"/>
      <w:marBottom w:val="0"/>
      <w:divBdr>
        <w:top w:val="none" w:sz="0" w:space="0" w:color="auto"/>
        <w:left w:val="none" w:sz="0" w:space="0" w:color="auto"/>
        <w:bottom w:val="none" w:sz="0" w:space="0" w:color="auto"/>
        <w:right w:val="none" w:sz="0" w:space="0" w:color="auto"/>
      </w:divBdr>
    </w:div>
    <w:div w:id="1906868019">
      <w:bodyDiv w:val="1"/>
      <w:marLeft w:val="0"/>
      <w:marRight w:val="0"/>
      <w:marTop w:val="0"/>
      <w:marBottom w:val="0"/>
      <w:divBdr>
        <w:top w:val="none" w:sz="0" w:space="0" w:color="auto"/>
        <w:left w:val="none" w:sz="0" w:space="0" w:color="auto"/>
        <w:bottom w:val="none" w:sz="0" w:space="0" w:color="auto"/>
        <w:right w:val="none" w:sz="0" w:space="0" w:color="auto"/>
      </w:divBdr>
    </w:div>
    <w:div w:id="1907296944">
      <w:bodyDiv w:val="1"/>
      <w:marLeft w:val="0"/>
      <w:marRight w:val="0"/>
      <w:marTop w:val="0"/>
      <w:marBottom w:val="0"/>
      <w:divBdr>
        <w:top w:val="none" w:sz="0" w:space="0" w:color="auto"/>
        <w:left w:val="none" w:sz="0" w:space="0" w:color="auto"/>
        <w:bottom w:val="none" w:sz="0" w:space="0" w:color="auto"/>
        <w:right w:val="none" w:sz="0" w:space="0" w:color="auto"/>
      </w:divBdr>
    </w:div>
    <w:div w:id="1907759610">
      <w:bodyDiv w:val="1"/>
      <w:marLeft w:val="0"/>
      <w:marRight w:val="0"/>
      <w:marTop w:val="0"/>
      <w:marBottom w:val="0"/>
      <w:divBdr>
        <w:top w:val="none" w:sz="0" w:space="0" w:color="auto"/>
        <w:left w:val="none" w:sz="0" w:space="0" w:color="auto"/>
        <w:bottom w:val="none" w:sz="0" w:space="0" w:color="auto"/>
        <w:right w:val="none" w:sz="0" w:space="0" w:color="auto"/>
      </w:divBdr>
    </w:div>
    <w:div w:id="1907760422">
      <w:bodyDiv w:val="1"/>
      <w:marLeft w:val="0"/>
      <w:marRight w:val="0"/>
      <w:marTop w:val="0"/>
      <w:marBottom w:val="0"/>
      <w:divBdr>
        <w:top w:val="none" w:sz="0" w:space="0" w:color="auto"/>
        <w:left w:val="none" w:sz="0" w:space="0" w:color="auto"/>
        <w:bottom w:val="none" w:sz="0" w:space="0" w:color="auto"/>
        <w:right w:val="none" w:sz="0" w:space="0" w:color="auto"/>
      </w:divBdr>
    </w:div>
    <w:div w:id="1907957322">
      <w:bodyDiv w:val="1"/>
      <w:marLeft w:val="0"/>
      <w:marRight w:val="0"/>
      <w:marTop w:val="0"/>
      <w:marBottom w:val="0"/>
      <w:divBdr>
        <w:top w:val="none" w:sz="0" w:space="0" w:color="auto"/>
        <w:left w:val="none" w:sz="0" w:space="0" w:color="auto"/>
        <w:bottom w:val="none" w:sz="0" w:space="0" w:color="auto"/>
        <w:right w:val="none" w:sz="0" w:space="0" w:color="auto"/>
      </w:divBdr>
    </w:div>
    <w:div w:id="1908106075">
      <w:bodyDiv w:val="1"/>
      <w:marLeft w:val="0"/>
      <w:marRight w:val="0"/>
      <w:marTop w:val="0"/>
      <w:marBottom w:val="0"/>
      <w:divBdr>
        <w:top w:val="none" w:sz="0" w:space="0" w:color="auto"/>
        <w:left w:val="none" w:sz="0" w:space="0" w:color="auto"/>
        <w:bottom w:val="none" w:sz="0" w:space="0" w:color="auto"/>
        <w:right w:val="none" w:sz="0" w:space="0" w:color="auto"/>
      </w:divBdr>
    </w:div>
    <w:div w:id="1908227972">
      <w:bodyDiv w:val="1"/>
      <w:marLeft w:val="0"/>
      <w:marRight w:val="0"/>
      <w:marTop w:val="0"/>
      <w:marBottom w:val="0"/>
      <w:divBdr>
        <w:top w:val="none" w:sz="0" w:space="0" w:color="auto"/>
        <w:left w:val="none" w:sz="0" w:space="0" w:color="auto"/>
        <w:bottom w:val="none" w:sz="0" w:space="0" w:color="auto"/>
        <w:right w:val="none" w:sz="0" w:space="0" w:color="auto"/>
      </w:divBdr>
    </w:div>
    <w:div w:id="1908421850">
      <w:bodyDiv w:val="1"/>
      <w:marLeft w:val="0"/>
      <w:marRight w:val="0"/>
      <w:marTop w:val="0"/>
      <w:marBottom w:val="0"/>
      <w:divBdr>
        <w:top w:val="none" w:sz="0" w:space="0" w:color="auto"/>
        <w:left w:val="none" w:sz="0" w:space="0" w:color="auto"/>
        <w:bottom w:val="none" w:sz="0" w:space="0" w:color="auto"/>
        <w:right w:val="none" w:sz="0" w:space="0" w:color="auto"/>
      </w:divBdr>
    </w:div>
    <w:div w:id="1909027320">
      <w:bodyDiv w:val="1"/>
      <w:marLeft w:val="0"/>
      <w:marRight w:val="0"/>
      <w:marTop w:val="0"/>
      <w:marBottom w:val="0"/>
      <w:divBdr>
        <w:top w:val="none" w:sz="0" w:space="0" w:color="auto"/>
        <w:left w:val="none" w:sz="0" w:space="0" w:color="auto"/>
        <w:bottom w:val="none" w:sz="0" w:space="0" w:color="auto"/>
        <w:right w:val="none" w:sz="0" w:space="0" w:color="auto"/>
      </w:divBdr>
    </w:div>
    <w:div w:id="1910115769">
      <w:bodyDiv w:val="1"/>
      <w:marLeft w:val="0"/>
      <w:marRight w:val="0"/>
      <w:marTop w:val="0"/>
      <w:marBottom w:val="0"/>
      <w:divBdr>
        <w:top w:val="none" w:sz="0" w:space="0" w:color="auto"/>
        <w:left w:val="none" w:sz="0" w:space="0" w:color="auto"/>
        <w:bottom w:val="none" w:sz="0" w:space="0" w:color="auto"/>
        <w:right w:val="none" w:sz="0" w:space="0" w:color="auto"/>
      </w:divBdr>
    </w:div>
    <w:div w:id="1910118249">
      <w:bodyDiv w:val="1"/>
      <w:marLeft w:val="0"/>
      <w:marRight w:val="0"/>
      <w:marTop w:val="0"/>
      <w:marBottom w:val="0"/>
      <w:divBdr>
        <w:top w:val="none" w:sz="0" w:space="0" w:color="auto"/>
        <w:left w:val="none" w:sz="0" w:space="0" w:color="auto"/>
        <w:bottom w:val="none" w:sz="0" w:space="0" w:color="auto"/>
        <w:right w:val="none" w:sz="0" w:space="0" w:color="auto"/>
      </w:divBdr>
    </w:div>
    <w:div w:id="1910378309">
      <w:bodyDiv w:val="1"/>
      <w:marLeft w:val="0"/>
      <w:marRight w:val="0"/>
      <w:marTop w:val="0"/>
      <w:marBottom w:val="0"/>
      <w:divBdr>
        <w:top w:val="none" w:sz="0" w:space="0" w:color="auto"/>
        <w:left w:val="none" w:sz="0" w:space="0" w:color="auto"/>
        <w:bottom w:val="none" w:sz="0" w:space="0" w:color="auto"/>
        <w:right w:val="none" w:sz="0" w:space="0" w:color="auto"/>
      </w:divBdr>
    </w:div>
    <w:div w:id="1910385857">
      <w:bodyDiv w:val="1"/>
      <w:marLeft w:val="0"/>
      <w:marRight w:val="0"/>
      <w:marTop w:val="0"/>
      <w:marBottom w:val="0"/>
      <w:divBdr>
        <w:top w:val="none" w:sz="0" w:space="0" w:color="auto"/>
        <w:left w:val="none" w:sz="0" w:space="0" w:color="auto"/>
        <w:bottom w:val="none" w:sz="0" w:space="0" w:color="auto"/>
        <w:right w:val="none" w:sz="0" w:space="0" w:color="auto"/>
      </w:divBdr>
    </w:div>
    <w:div w:id="1910462800">
      <w:bodyDiv w:val="1"/>
      <w:marLeft w:val="0"/>
      <w:marRight w:val="0"/>
      <w:marTop w:val="0"/>
      <w:marBottom w:val="0"/>
      <w:divBdr>
        <w:top w:val="none" w:sz="0" w:space="0" w:color="auto"/>
        <w:left w:val="none" w:sz="0" w:space="0" w:color="auto"/>
        <w:bottom w:val="none" w:sz="0" w:space="0" w:color="auto"/>
        <w:right w:val="none" w:sz="0" w:space="0" w:color="auto"/>
      </w:divBdr>
    </w:div>
    <w:div w:id="1910529897">
      <w:bodyDiv w:val="1"/>
      <w:marLeft w:val="0"/>
      <w:marRight w:val="0"/>
      <w:marTop w:val="0"/>
      <w:marBottom w:val="0"/>
      <w:divBdr>
        <w:top w:val="none" w:sz="0" w:space="0" w:color="auto"/>
        <w:left w:val="none" w:sz="0" w:space="0" w:color="auto"/>
        <w:bottom w:val="none" w:sz="0" w:space="0" w:color="auto"/>
        <w:right w:val="none" w:sz="0" w:space="0" w:color="auto"/>
      </w:divBdr>
    </w:div>
    <w:div w:id="1910848485">
      <w:bodyDiv w:val="1"/>
      <w:marLeft w:val="0"/>
      <w:marRight w:val="0"/>
      <w:marTop w:val="0"/>
      <w:marBottom w:val="0"/>
      <w:divBdr>
        <w:top w:val="none" w:sz="0" w:space="0" w:color="auto"/>
        <w:left w:val="none" w:sz="0" w:space="0" w:color="auto"/>
        <w:bottom w:val="none" w:sz="0" w:space="0" w:color="auto"/>
        <w:right w:val="none" w:sz="0" w:space="0" w:color="auto"/>
      </w:divBdr>
    </w:div>
    <w:div w:id="1911649648">
      <w:bodyDiv w:val="1"/>
      <w:marLeft w:val="0"/>
      <w:marRight w:val="0"/>
      <w:marTop w:val="0"/>
      <w:marBottom w:val="0"/>
      <w:divBdr>
        <w:top w:val="none" w:sz="0" w:space="0" w:color="auto"/>
        <w:left w:val="none" w:sz="0" w:space="0" w:color="auto"/>
        <w:bottom w:val="none" w:sz="0" w:space="0" w:color="auto"/>
        <w:right w:val="none" w:sz="0" w:space="0" w:color="auto"/>
      </w:divBdr>
    </w:div>
    <w:div w:id="1912422595">
      <w:bodyDiv w:val="1"/>
      <w:marLeft w:val="0"/>
      <w:marRight w:val="0"/>
      <w:marTop w:val="0"/>
      <w:marBottom w:val="0"/>
      <w:divBdr>
        <w:top w:val="none" w:sz="0" w:space="0" w:color="auto"/>
        <w:left w:val="none" w:sz="0" w:space="0" w:color="auto"/>
        <w:bottom w:val="none" w:sz="0" w:space="0" w:color="auto"/>
        <w:right w:val="none" w:sz="0" w:space="0" w:color="auto"/>
      </w:divBdr>
    </w:div>
    <w:div w:id="1912692981">
      <w:bodyDiv w:val="1"/>
      <w:marLeft w:val="0"/>
      <w:marRight w:val="0"/>
      <w:marTop w:val="0"/>
      <w:marBottom w:val="0"/>
      <w:divBdr>
        <w:top w:val="none" w:sz="0" w:space="0" w:color="auto"/>
        <w:left w:val="none" w:sz="0" w:space="0" w:color="auto"/>
        <w:bottom w:val="none" w:sz="0" w:space="0" w:color="auto"/>
        <w:right w:val="none" w:sz="0" w:space="0" w:color="auto"/>
      </w:divBdr>
    </w:div>
    <w:div w:id="1912765023">
      <w:bodyDiv w:val="1"/>
      <w:marLeft w:val="0"/>
      <w:marRight w:val="0"/>
      <w:marTop w:val="0"/>
      <w:marBottom w:val="0"/>
      <w:divBdr>
        <w:top w:val="none" w:sz="0" w:space="0" w:color="auto"/>
        <w:left w:val="none" w:sz="0" w:space="0" w:color="auto"/>
        <w:bottom w:val="none" w:sz="0" w:space="0" w:color="auto"/>
        <w:right w:val="none" w:sz="0" w:space="0" w:color="auto"/>
      </w:divBdr>
    </w:div>
    <w:div w:id="1913158986">
      <w:bodyDiv w:val="1"/>
      <w:marLeft w:val="0"/>
      <w:marRight w:val="0"/>
      <w:marTop w:val="0"/>
      <w:marBottom w:val="0"/>
      <w:divBdr>
        <w:top w:val="none" w:sz="0" w:space="0" w:color="auto"/>
        <w:left w:val="none" w:sz="0" w:space="0" w:color="auto"/>
        <w:bottom w:val="none" w:sz="0" w:space="0" w:color="auto"/>
        <w:right w:val="none" w:sz="0" w:space="0" w:color="auto"/>
      </w:divBdr>
    </w:div>
    <w:div w:id="1913201690">
      <w:bodyDiv w:val="1"/>
      <w:marLeft w:val="0"/>
      <w:marRight w:val="0"/>
      <w:marTop w:val="0"/>
      <w:marBottom w:val="0"/>
      <w:divBdr>
        <w:top w:val="none" w:sz="0" w:space="0" w:color="auto"/>
        <w:left w:val="none" w:sz="0" w:space="0" w:color="auto"/>
        <w:bottom w:val="none" w:sz="0" w:space="0" w:color="auto"/>
        <w:right w:val="none" w:sz="0" w:space="0" w:color="auto"/>
      </w:divBdr>
    </w:div>
    <w:div w:id="1913462653">
      <w:bodyDiv w:val="1"/>
      <w:marLeft w:val="0"/>
      <w:marRight w:val="0"/>
      <w:marTop w:val="0"/>
      <w:marBottom w:val="0"/>
      <w:divBdr>
        <w:top w:val="none" w:sz="0" w:space="0" w:color="auto"/>
        <w:left w:val="none" w:sz="0" w:space="0" w:color="auto"/>
        <w:bottom w:val="none" w:sz="0" w:space="0" w:color="auto"/>
        <w:right w:val="none" w:sz="0" w:space="0" w:color="auto"/>
      </w:divBdr>
    </w:div>
    <w:div w:id="1913469573">
      <w:bodyDiv w:val="1"/>
      <w:marLeft w:val="0"/>
      <w:marRight w:val="0"/>
      <w:marTop w:val="0"/>
      <w:marBottom w:val="0"/>
      <w:divBdr>
        <w:top w:val="none" w:sz="0" w:space="0" w:color="auto"/>
        <w:left w:val="none" w:sz="0" w:space="0" w:color="auto"/>
        <w:bottom w:val="none" w:sz="0" w:space="0" w:color="auto"/>
        <w:right w:val="none" w:sz="0" w:space="0" w:color="auto"/>
      </w:divBdr>
    </w:div>
    <w:div w:id="1913543207">
      <w:bodyDiv w:val="1"/>
      <w:marLeft w:val="0"/>
      <w:marRight w:val="0"/>
      <w:marTop w:val="0"/>
      <w:marBottom w:val="0"/>
      <w:divBdr>
        <w:top w:val="none" w:sz="0" w:space="0" w:color="auto"/>
        <w:left w:val="none" w:sz="0" w:space="0" w:color="auto"/>
        <w:bottom w:val="none" w:sz="0" w:space="0" w:color="auto"/>
        <w:right w:val="none" w:sz="0" w:space="0" w:color="auto"/>
      </w:divBdr>
    </w:div>
    <w:div w:id="1913544465">
      <w:bodyDiv w:val="1"/>
      <w:marLeft w:val="0"/>
      <w:marRight w:val="0"/>
      <w:marTop w:val="0"/>
      <w:marBottom w:val="0"/>
      <w:divBdr>
        <w:top w:val="none" w:sz="0" w:space="0" w:color="auto"/>
        <w:left w:val="none" w:sz="0" w:space="0" w:color="auto"/>
        <w:bottom w:val="none" w:sz="0" w:space="0" w:color="auto"/>
        <w:right w:val="none" w:sz="0" w:space="0" w:color="auto"/>
      </w:divBdr>
    </w:div>
    <w:div w:id="1913735584">
      <w:bodyDiv w:val="1"/>
      <w:marLeft w:val="0"/>
      <w:marRight w:val="0"/>
      <w:marTop w:val="0"/>
      <w:marBottom w:val="0"/>
      <w:divBdr>
        <w:top w:val="none" w:sz="0" w:space="0" w:color="auto"/>
        <w:left w:val="none" w:sz="0" w:space="0" w:color="auto"/>
        <w:bottom w:val="none" w:sz="0" w:space="0" w:color="auto"/>
        <w:right w:val="none" w:sz="0" w:space="0" w:color="auto"/>
      </w:divBdr>
    </w:div>
    <w:div w:id="1914851428">
      <w:bodyDiv w:val="1"/>
      <w:marLeft w:val="0"/>
      <w:marRight w:val="0"/>
      <w:marTop w:val="0"/>
      <w:marBottom w:val="0"/>
      <w:divBdr>
        <w:top w:val="none" w:sz="0" w:space="0" w:color="auto"/>
        <w:left w:val="none" w:sz="0" w:space="0" w:color="auto"/>
        <w:bottom w:val="none" w:sz="0" w:space="0" w:color="auto"/>
        <w:right w:val="none" w:sz="0" w:space="0" w:color="auto"/>
      </w:divBdr>
    </w:div>
    <w:div w:id="1914897298">
      <w:bodyDiv w:val="1"/>
      <w:marLeft w:val="0"/>
      <w:marRight w:val="0"/>
      <w:marTop w:val="0"/>
      <w:marBottom w:val="0"/>
      <w:divBdr>
        <w:top w:val="none" w:sz="0" w:space="0" w:color="auto"/>
        <w:left w:val="none" w:sz="0" w:space="0" w:color="auto"/>
        <w:bottom w:val="none" w:sz="0" w:space="0" w:color="auto"/>
        <w:right w:val="none" w:sz="0" w:space="0" w:color="auto"/>
      </w:divBdr>
    </w:div>
    <w:div w:id="1915357836">
      <w:bodyDiv w:val="1"/>
      <w:marLeft w:val="0"/>
      <w:marRight w:val="0"/>
      <w:marTop w:val="0"/>
      <w:marBottom w:val="0"/>
      <w:divBdr>
        <w:top w:val="none" w:sz="0" w:space="0" w:color="auto"/>
        <w:left w:val="none" w:sz="0" w:space="0" w:color="auto"/>
        <w:bottom w:val="none" w:sz="0" w:space="0" w:color="auto"/>
        <w:right w:val="none" w:sz="0" w:space="0" w:color="auto"/>
      </w:divBdr>
    </w:div>
    <w:div w:id="1915358408">
      <w:bodyDiv w:val="1"/>
      <w:marLeft w:val="0"/>
      <w:marRight w:val="0"/>
      <w:marTop w:val="0"/>
      <w:marBottom w:val="0"/>
      <w:divBdr>
        <w:top w:val="none" w:sz="0" w:space="0" w:color="auto"/>
        <w:left w:val="none" w:sz="0" w:space="0" w:color="auto"/>
        <w:bottom w:val="none" w:sz="0" w:space="0" w:color="auto"/>
        <w:right w:val="none" w:sz="0" w:space="0" w:color="auto"/>
      </w:divBdr>
    </w:div>
    <w:div w:id="1915510586">
      <w:bodyDiv w:val="1"/>
      <w:marLeft w:val="0"/>
      <w:marRight w:val="0"/>
      <w:marTop w:val="0"/>
      <w:marBottom w:val="0"/>
      <w:divBdr>
        <w:top w:val="none" w:sz="0" w:space="0" w:color="auto"/>
        <w:left w:val="none" w:sz="0" w:space="0" w:color="auto"/>
        <w:bottom w:val="none" w:sz="0" w:space="0" w:color="auto"/>
        <w:right w:val="none" w:sz="0" w:space="0" w:color="auto"/>
      </w:divBdr>
    </w:div>
    <w:div w:id="1915511186">
      <w:bodyDiv w:val="1"/>
      <w:marLeft w:val="0"/>
      <w:marRight w:val="0"/>
      <w:marTop w:val="0"/>
      <w:marBottom w:val="0"/>
      <w:divBdr>
        <w:top w:val="none" w:sz="0" w:space="0" w:color="auto"/>
        <w:left w:val="none" w:sz="0" w:space="0" w:color="auto"/>
        <w:bottom w:val="none" w:sz="0" w:space="0" w:color="auto"/>
        <w:right w:val="none" w:sz="0" w:space="0" w:color="auto"/>
      </w:divBdr>
    </w:div>
    <w:div w:id="1915969360">
      <w:bodyDiv w:val="1"/>
      <w:marLeft w:val="0"/>
      <w:marRight w:val="0"/>
      <w:marTop w:val="0"/>
      <w:marBottom w:val="0"/>
      <w:divBdr>
        <w:top w:val="none" w:sz="0" w:space="0" w:color="auto"/>
        <w:left w:val="none" w:sz="0" w:space="0" w:color="auto"/>
        <w:bottom w:val="none" w:sz="0" w:space="0" w:color="auto"/>
        <w:right w:val="none" w:sz="0" w:space="0" w:color="auto"/>
      </w:divBdr>
    </w:div>
    <w:div w:id="1916932366">
      <w:bodyDiv w:val="1"/>
      <w:marLeft w:val="0"/>
      <w:marRight w:val="0"/>
      <w:marTop w:val="0"/>
      <w:marBottom w:val="0"/>
      <w:divBdr>
        <w:top w:val="none" w:sz="0" w:space="0" w:color="auto"/>
        <w:left w:val="none" w:sz="0" w:space="0" w:color="auto"/>
        <w:bottom w:val="none" w:sz="0" w:space="0" w:color="auto"/>
        <w:right w:val="none" w:sz="0" w:space="0" w:color="auto"/>
      </w:divBdr>
    </w:div>
    <w:div w:id="1917321349">
      <w:bodyDiv w:val="1"/>
      <w:marLeft w:val="0"/>
      <w:marRight w:val="0"/>
      <w:marTop w:val="0"/>
      <w:marBottom w:val="0"/>
      <w:divBdr>
        <w:top w:val="none" w:sz="0" w:space="0" w:color="auto"/>
        <w:left w:val="none" w:sz="0" w:space="0" w:color="auto"/>
        <w:bottom w:val="none" w:sz="0" w:space="0" w:color="auto"/>
        <w:right w:val="none" w:sz="0" w:space="0" w:color="auto"/>
      </w:divBdr>
    </w:div>
    <w:div w:id="1917589798">
      <w:bodyDiv w:val="1"/>
      <w:marLeft w:val="0"/>
      <w:marRight w:val="0"/>
      <w:marTop w:val="0"/>
      <w:marBottom w:val="0"/>
      <w:divBdr>
        <w:top w:val="none" w:sz="0" w:space="0" w:color="auto"/>
        <w:left w:val="none" w:sz="0" w:space="0" w:color="auto"/>
        <w:bottom w:val="none" w:sz="0" w:space="0" w:color="auto"/>
        <w:right w:val="none" w:sz="0" w:space="0" w:color="auto"/>
      </w:divBdr>
    </w:div>
    <w:div w:id="1918513905">
      <w:bodyDiv w:val="1"/>
      <w:marLeft w:val="0"/>
      <w:marRight w:val="0"/>
      <w:marTop w:val="0"/>
      <w:marBottom w:val="0"/>
      <w:divBdr>
        <w:top w:val="none" w:sz="0" w:space="0" w:color="auto"/>
        <w:left w:val="none" w:sz="0" w:space="0" w:color="auto"/>
        <w:bottom w:val="none" w:sz="0" w:space="0" w:color="auto"/>
        <w:right w:val="none" w:sz="0" w:space="0" w:color="auto"/>
      </w:divBdr>
    </w:div>
    <w:div w:id="1918976164">
      <w:bodyDiv w:val="1"/>
      <w:marLeft w:val="0"/>
      <w:marRight w:val="0"/>
      <w:marTop w:val="0"/>
      <w:marBottom w:val="0"/>
      <w:divBdr>
        <w:top w:val="none" w:sz="0" w:space="0" w:color="auto"/>
        <w:left w:val="none" w:sz="0" w:space="0" w:color="auto"/>
        <w:bottom w:val="none" w:sz="0" w:space="0" w:color="auto"/>
        <w:right w:val="none" w:sz="0" w:space="0" w:color="auto"/>
      </w:divBdr>
    </w:div>
    <w:div w:id="1919243773">
      <w:bodyDiv w:val="1"/>
      <w:marLeft w:val="0"/>
      <w:marRight w:val="0"/>
      <w:marTop w:val="0"/>
      <w:marBottom w:val="0"/>
      <w:divBdr>
        <w:top w:val="none" w:sz="0" w:space="0" w:color="auto"/>
        <w:left w:val="none" w:sz="0" w:space="0" w:color="auto"/>
        <w:bottom w:val="none" w:sz="0" w:space="0" w:color="auto"/>
        <w:right w:val="none" w:sz="0" w:space="0" w:color="auto"/>
      </w:divBdr>
    </w:div>
    <w:div w:id="1919948031">
      <w:bodyDiv w:val="1"/>
      <w:marLeft w:val="0"/>
      <w:marRight w:val="0"/>
      <w:marTop w:val="0"/>
      <w:marBottom w:val="0"/>
      <w:divBdr>
        <w:top w:val="none" w:sz="0" w:space="0" w:color="auto"/>
        <w:left w:val="none" w:sz="0" w:space="0" w:color="auto"/>
        <w:bottom w:val="none" w:sz="0" w:space="0" w:color="auto"/>
        <w:right w:val="none" w:sz="0" w:space="0" w:color="auto"/>
      </w:divBdr>
    </w:div>
    <w:div w:id="1920020701">
      <w:bodyDiv w:val="1"/>
      <w:marLeft w:val="0"/>
      <w:marRight w:val="0"/>
      <w:marTop w:val="0"/>
      <w:marBottom w:val="0"/>
      <w:divBdr>
        <w:top w:val="none" w:sz="0" w:space="0" w:color="auto"/>
        <w:left w:val="none" w:sz="0" w:space="0" w:color="auto"/>
        <w:bottom w:val="none" w:sz="0" w:space="0" w:color="auto"/>
        <w:right w:val="none" w:sz="0" w:space="0" w:color="auto"/>
      </w:divBdr>
    </w:div>
    <w:div w:id="1920170151">
      <w:bodyDiv w:val="1"/>
      <w:marLeft w:val="0"/>
      <w:marRight w:val="0"/>
      <w:marTop w:val="0"/>
      <w:marBottom w:val="0"/>
      <w:divBdr>
        <w:top w:val="none" w:sz="0" w:space="0" w:color="auto"/>
        <w:left w:val="none" w:sz="0" w:space="0" w:color="auto"/>
        <w:bottom w:val="none" w:sz="0" w:space="0" w:color="auto"/>
        <w:right w:val="none" w:sz="0" w:space="0" w:color="auto"/>
      </w:divBdr>
    </w:div>
    <w:div w:id="1920214991">
      <w:bodyDiv w:val="1"/>
      <w:marLeft w:val="0"/>
      <w:marRight w:val="0"/>
      <w:marTop w:val="0"/>
      <w:marBottom w:val="0"/>
      <w:divBdr>
        <w:top w:val="none" w:sz="0" w:space="0" w:color="auto"/>
        <w:left w:val="none" w:sz="0" w:space="0" w:color="auto"/>
        <w:bottom w:val="none" w:sz="0" w:space="0" w:color="auto"/>
        <w:right w:val="none" w:sz="0" w:space="0" w:color="auto"/>
      </w:divBdr>
    </w:div>
    <w:div w:id="1920216272">
      <w:bodyDiv w:val="1"/>
      <w:marLeft w:val="0"/>
      <w:marRight w:val="0"/>
      <w:marTop w:val="0"/>
      <w:marBottom w:val="0"/>
      <w:divBdr>
        <w:top w:val="none" w:sz="0" w:space="0" w:color="auto"/>
        <w:left w:val="none" w:sz="0" w:space="0" w:color="auto"/>
        <w:bottom w:val="none" w:sz="0" w:space="0" w:color="auto"/>
        <w:right w:val="none" w:sz="0" w:space="0" w:color="auto"/>
      </w:divBdr>
    </w:div>
    <w:div w:id="1920285820">
      <w:bodyDiv w:val="1"/>
      <w:marLeft w:val="0"/>
      <w:marRight w:val="0"/>
      <w:marTop w:val="0"/>
      <w:marBottom w:val="0"/>
      <w:divBdr>
        <w:top w:val="none" w:sz="0" w:space="0" w:color="auto"/>
        <w:left w:val="none" w:sz="0" w:space="0" w:color="auto"/>
        <w:bottom w:val="none" w:sz="0" w:space="0" w:color="auto"/>
        <w:right w:val="none" w:sz="0" w:space="0" w:color="auto"/>
      </w:divBdr>
    </w:div>
    <w:div w:id="1920479270">
      <w:bodyDiv w:val="1"/>
      <w:marLeft w:val="0"/>
      <w:marRight w:val="0"/>
      <w:marTop w:val="0"/>
      <w:marBottom w:val="0"/>
      <w:divBdr>
        <w:top w:val="none" w:sz="0" w:space="0" w:color="auto"/>
        <w:left w:val="none" w:sz="0" w:space="0" w:color="auto"/>
        <w:bottom w:val="none" w:sz="0" w:space="0" w:color="auto"/>
        <w:right w:val="none" w:sz="0" w:space="0" w:color="auto"/>
      </w:divBdr>
    </w:div>
    <w:div w:id="1920484887">
      <w:bodyDiv w:val="1"/>
      <w:marLeft w:val="0"/>
      <w:marRight w:val="0"/>
      <w:marTop w:val="0"/>
      <w:marBottom w:val="0"/>
      <w:divBdr>
        <w:top w:val="none" w:sz="0" w:space="0" w:color="auto"/>
        <w:left w:val="none" w:sz="0" w:space="0" w:color="auto"/>
        <w:bottom w:val="none" w:sz="0" w:space="0" w:color="auto"/>
        <w:right w:val="none" w:sz="0" w:space="0" w:color="auto"/>
      </w:divBdr>
    </w:div>
    <w:div w:id="1920748298">
      <w:bodyDiv w:val="1"/>
      <w:marLeft w:val="0"/>
      <w:marRight w:val="0"/>
      <w:marTop w:val="0"/>
      <w:marBottom w:val="0"/>
      <w:divBdr>
        <w:top w:val="none" w:sz="0" w:space="0" w:color="auto"/>
        <w:left w:val="none" w:sz="0" w:space="0" w:color="auto"/>
        <w:bottom w:val="none" w:sz="0" w:space="0" w:color="auto"/>
        <w:right w:val="none" w:sz="0" w:space="0" w:color="auto"/>
      </w:divBdr>
    </w:div>
    <w:div w:id="1921401366">
      <w:bodyDiv w:val="1"/>
      <w:marLeft w:val="0"/>
      <w:marRight w:val="0"/>
      <w:marTop w:val="0"/>
      <w:marBottom w:val="0"/>
      <w:divBdr>
        <w:top w:val="none" w:sz="0" w:space="0" w:color="auto"/>
        <w:left w:val="none" w:sz="0" w:space="0" w:color="auto"/>
        <w:bottom w:val="none" w:sz="0" w:space="0" w:color="auto"/>
        <w:right w:val="none" w:sz="0" w:space="0" w:color="auto"/>
      </w:divBdr>
    </w:div>
    <w:div w:id="1922442000">
      <w:bodyDiv w:val="1"/>
      <w:marLeft w:val="0"/>
      <w:marRight w:val="0"/>
      <w:marTop w:val="0"/>
      <w:marBottom w:val="0"/>
      <w:divBdr>
        <w:top w:val="none" w:sz="0" w:space="0" w:color="auto"/>
        <w:left w:val="none" w:sz="0" w:space="0" w:color="auto"/>
        <w:bottom w:val="none" w:sz="0" w:space="0" w:color="auto"/>
        <w:right w:val="none" w:sz="0" w:space="0" w:color="auto"/>
      </w:divBdr>
    </w:div>
    <w:div w:id="1923835536">
      <w:bodyDiv w:val="1"/>
      <w:marLeft w:val="0"/>
      <w:marRight w:val="0"/>
      <w:marTop w:val="0"/>
      <w:marBottom w:val="0"/>
      <w:divBdr>
        <w:top w:val="none" w:sz="0" w:space="0" w:color="auto"/>
        <w:left w:val="none" w:sz="0" w:space="0" w:color="auto"/>
        <w:bottom w:val="none" w:sz="0" w:space="0" w:color="auto"/>
        <w:right w:val="none" w:sz="0" w:space="0" w:color="auto"/>
      </w:divBdr>
    </w:div>
    <w:div w:id="1924488299">
      <w:bodyDiv w:val="1"/>
      <w:marLeft w:val="0"/>
      <w:marRight w:val="0"/>
      <w:marTop w:val="0"/>
      <w:marBottom w:val="0"/>
      <w:divBdr>
        <w:top w:val="none" w:sz="0" w:space="0" w:color="auto"/>
        <w:left w:val="none" w:sz="0" w:space="0" w:color="auto"/>
        <w:bottom w:val="none" w:sz="0" w:space="0" w:color="auto"/>
        <w:right w:val="none" w:sz="0" w:space="0" w:color="auto"/>
      </w:divBdr>
    </w:div>
    <w:div w:id="1924758113">
      <w:bodyDiv w:val="1"/>
      <w:marLeft w:val="0"/>
      <w:marRight w:val="0"/>
      <w:marTop w:val="0"/>
      <w:marBottom w:val="0"/>
      <w:divBdr>
        <w:top w:val="none" w:sz="0" w:space="0" w:color="auto"/>
        <w:left w:val="none" w:sz="0" w:space="0" w:color="auto"/>
        <w:bottom w:val="none" w:sz="0" w:space="0" w:color="auto"/>
        <w:right w:val="none" w:sz="0" w:space="0" w:color="auto"/>
      </w:divBdr>
    </w:div>
    <w:div w:id="1925382775">
      <w:bodyDiv w:val="1"/>
      <w:marLeft w:val="0"/>
      <w:marRight w:val="0"/>
      <w:marTop w:val="0"/>
      <w:marBottom w:val="0"/>
      <w:divBdr>
        <w:top w:val="none" w:sz="0" w:space="0" w:color="auto"/>
        <w:left w:val="none" w:sz="0" w:space="0" w:color="auto"/>
        <w:bottom w:val="none" w:sz="0" w:space="0" w:color="auto"/>
        <w:right w:val="none" w:sz="0" w:space="0" w:color="auto"/>
      </w:divBdr>
    </w:div>
    <w:div w:id="1925869408">
      <w:bodyDiv w:val="1"/>
      <w:marLeft w:val="0"/>
      <w:marRight w:val="0"/>
      <w:marTop w:val="0"/>
      <w:marBottom w:val="0"/>
      <w:divBdr>
        <w:top w:val="none" w:sz="0" w:space="0" w:color="auto"/>
        <w:left w:val="none" w:sz="0" w:space="0" w:color="auto"/>
        <w:bottom w:val="none" w:sz="0" w:space="0" w:color="auto"/>
        <w:right w:val="none" w:sz="0" w:space="0" w:color="auto"/>
      </w:divBdr>
    </w:div>
    <w:div w:id="1926063052">
      <w:bodyDiv w:val="1"/>
      <w:marLeft w:val="0"/>
      <w:marRight w:val="0"/>
      <w:marTop w:val="0"/>
      <w:marBottom w:val="0"/>
      <w:divBdr>
        <w:top w:val="none" w:sz="0" w:space="0" w:color="auto"/>
        <w:left w:val="none" w:sz="0" w:space="0" w:color="auto"/>
        <w:bottom w:val="none" w:sz="0" w:space="0" w:color="auto"/>
        <w:right w:val="none" w:sz="0" w:space="0" w:color="auto"/>
      </w:divBdr>
    </w:div>
    <w:div w:id="1926307022">
      <w:bodyDiv w:val="1"/>
      <w:marLeft w:val="0"/>
      <w:marRight w:val="0"/>
      <w:marTop w:val="0"/>
      <w:marBottom w:val="0"/>
      <w:divBdr>
        <w:top w:val="none" w:sz="0" w:space="0" w:color="auto"/>
        <w:left w:val="none" w:sz="0" w:space="0" w:color="auto"/>
        <w:bottom w:val="none" w:sz="0" w:space="0" w:color="auto"/>
        <w:right w:val="none" w:sz="0" w:space="0" w:color="auto"/>
      </w:divBdr>
    </w:div>
    <w:div w:id="1926528208">
      <w:bodyDiv w:val="1"/>
      <w:marLeft w:val="0"/>
      <w:marRight w:val="0"/>
      <w:marTop w:val="0"/>
      <w:marBottom w:val="0"/>
      <w:divBdr>
        <w:top w:val="none" w:sz="0" w:space="0" w:color="auto"/>
        <w:left w:val="none" w:sz="0" w:space="0" w:color="auto"/>
        <w:bottom w:val="none" w:sz="0" w:space="0" w:color="auto"/>
        <w:right w:val="none" w:sz="0" w:space="0" w:color="auto"/>
      </w:divBdr>
    </w:div>
    <w:div w:id="1926651412">
      <w:bodyDiv w:val="1"/>
      <w:marLeft w:val="0"/>
      <w:marRight w:val="0"/>
      <w:marTop w:val="0"/>
      <w:marBottom w:val="0"/>
      <w:divBdr>
        <w:top w:val="none" w:sz="0" w:space="0" w:color="auto"/>
        <w:left w:val="none" w:sz="0" w:space="0" w:color="auto"/>
        <w:bottom w:val="none" w:sz="0" w:space="0" w:color="auto"/>
        <w:right w:val="none" w:sz="0" w:space="0" w:color="auto"/>
      </w:divBdr>
    </w:div>
    <w:div w:id="1927837567">
      <w:bodyDiv w:val="1"/>
      <w:marLeft w:val="0"/>
      <w:marRight w:val="0"/>
      <w:marTop w:val="0"/>
      <w:marBottom w:val="0"/>
      <w:divBdr>
        <w:top w:val="none" w:sz="0" w:space="0" w:color="auto"/>
        <w:left w:val="none" w:sz="0" w:space="0" w:color="auto"/>
        <w:bottom w:val="none" w:sz="0" w:space="0" w:color="auto"/>
        <w:right w:val="none" w:sz="0" w:space="0" w:color="auto"/>
      </w:divBdr>
    </w:div>
    <w:div w:id="1927957068">
      <w:bodyDiv w:val="1"/>
      <w:marLeft w:val="0"/>
      <w:marRight w:val="0"/>
      <w:marTop w:val="0"/>
      <w:marBottom w:val="0"/>
      <w:divBdr>
        <w:top w:val="none" w:sz="0" w:space="0" w:color="auto"/>
        <w:left w:val="none" w:sz="0" w:space="0" w:color="auto"/>
        <w:bottom w:val="none" w:sz="0" w:space="0" w:color="auto"/>
        <w:right w:val="none" w:sz="0" w:space="0" w:color="auto"/>
      </w:divBdr>
    </w:div>
    <w:div w:id="1928031557">
      <w:bodyDiv w:val="1"/>
      <w:marLeft w:val="0"/>
      <w:marRight w:val="0"/>
      <w:marTop w:val="0"/>
      <w:marBottom w:val="0"/>
      <w:divBdr>
        <w:top w:val="none" w:sz="0" w:space="0" w:color="auto"/>
        <w:left w:val="none" w:sz="0" w:space="0" w:color="auto"/>
        <w:bottom w:val="none" w:sz="0" w:space="0" w:color="auto"/>
        <w:right w:val="none" w:sz="0" w:space="0" w:color="auto"/>
      </w:divBdr>
    </w:div>
    <w:div w:id="1928222789">
      <w:bodyDiv w:val="1"/>
      <w:marLeft w:val="0"/>
      <w:marRight w:val="0"/>
      <w:marTop w:val="0"/>
      <w:marBottom w:val="0"/>
      <w:divBdr>
        <w:top w:val="none" w:sz="0" w:space="0" w:color="auto"/>
        <w:left w:val="none" w:sz="0" w:space="0" w:color="auto"/>
        <w:bottom w:val="none" w:sz="0" w:space="0" w:color="auto"/>
        <w:right w:val="none" w:sz="0" w:space="0" w:color="auto"/>
      </w:divBdr>
    </w:div>
    <w:div w:id="1928224927">
      <w:bodyDiv w:val="1"/>
      <w:marLeft w:val="0"/>
      <w:marRight w:val="0"/>
      <w:marTop w:val="0"/>
      <w:marBottom w:val="0"/>
      <w:divBdr>
        <w:top w:val="none" w:sz="0" w:space="0" w:color="auto"/>
        <w:left w:val="none" w:sz="0" w:space="0" w:color="auto"/>
        <w:bottom w:val="none" w:sz="0" w:space="0" w:color="auto"/>
        <w:right w:val="none" w:sz="0" w:space="0" w:color="auto"/>
      </w:divBdr>
    </w:div>
    <w:div w:id="1928227572">
      <w:bodyDiv w:val="1"/>
      <w:marLeft w:val="0"/>
      <w:marRight w:val="0"/>
      <w:marTop w:val="0"/>
      <w:marBottom w:val="0"/>
      <w:divBdr>
        <w:top w:val="none" w:sz="0" w:space="0" w:color="auto"/>
        <w:left w:val="none" w:sz="0" w:space="0" w:color="auto"/>
        <w:bottom w:val="none" w:sz="0" w:space="0" w:color="auto"/>
        <w:right w:val="none" w:sz="0" w:space="0" w:color="auto"/>
      </w:divBdr>
    </w:div>
    <w:div w:id="1928807648">
      <w:bodyDiv w:val="1"/>
      <w:marLeft w:val="0"/>
      <w:marRight w:val="0"/>
      <w:marTop w:val="0"/>
      <w:marBottom w:val="0"/>
      <w:divBdr>
        <w:top w:val="none" w:sz="0" w:space="0" w:color="auto"/>
        <w:left w:val="none" w:sz="0" w:space="0" w:color="auto"/>
        <w:bottom w:val="none" w:sz="0" w:space="0" w:color="auto"/>
        <w:right w:val="none" w:sz="0" w:space="0" w:color="auto"/>
      </w:divBdr>
    </w:div>
    <w:div w:id="1929776252">
      <w:bodyDiv w:val="1"/>
      <w:marLeft w:val="0"/>
      <w:marRight w:val="0"/>
      <w:marTop w:val="0"/>
      <w:marBottom w:val="0"/>
      <w:divBdr>
        <w:top w:val="none" w:sz="0" w:space="0" w:color="auto"/>
        <w:left w:val="none" w:sz="0" w:space="0" w:color="auto"/>
        <w:bottom w:val="none" w:sz="0" w:space="0" w:color="auto"/>
        <w:right w:val="none" w:sz="0" w:space="0" w:color="auto"/>
      </w:divBdr>
    </w:div>
    <w:div w:id="1930581134">
      <w:bodyDiv w:val="1"/>
      <w:marLeft w:val="0"/>
      <w:marRight w:val="0"/>
      <w:marTop w:val="0"/>
      <w:marBottom w:val="0"/>
      <w:divBdr>
        <w:top w:val="none" w:sz="0" w:space="0" w:color="auto"/>
        <w:left w:val="none" w:sz="0" w:space="0" w:color="auto"/>
        <w:bottom w:val="none" w:sz="0" w:space="0" w:color="auto"/>
        <w:right w:val="none" w:sz="0" w:space="0" w:color="auto"/>
      </w:divBdr>
    </w:div>
    <w:div w:id="1930651648">
      <w:bodyDiv w:val="1"/>
      <w:marLeft w:val="0"/>
      <w:marRight w:val="0"/>
      <w:marTop w:val="0"/>
      <w:marBottom w:val="0"/>
      <w:divBdr>
        <w:top w:val="none" w:sz="0" w:space="0" w:color="auto"/>
        <w:left w:val="none" w:sz="0" w:space="0" w:color="auto"/>
        <w:bottom w:val="none" w:sz="0" w:space="0" w:color="auto"/>
        <w:right w:val="none" w:sz="0" w:space="0" w:color="auto"/>
      </w:divBdr>
    </w:div>
    <w:div w:id="1930767602">
      <w:bodyDiv w:val="1"/>
      <w:marLeft w:val="0"/>
      <w:marRight w:val="0"/>
      <w:marTop w:val="0"/>
      <w:marBottom w:val="0"/>
      <w:divBdr>
        <w:top w:val="none" w:sz="0" w:space="0" w:color="auto"/>
        <w:left w:val="none" w:sz="0" w:space="0" w:color="auto"/>
        <w:bottom w:val="none" w:sz="0" w:space="0" w:color="auto"/>
        <w:right w:val="none" w:sz="0" w:space="0" w:color="auto"/>
      </w:divBdr>
    </w:div>
    <w:div w:id="1930767667">
      <w:bodyDiv w:val="1"/>
      <w:marLeft w:val="0"/>
      <w:marRight w:val="0"/>
      <w:marTop w:val="0"/>
      <w:marBottom w:val="0"/>
      <w:divBdr>
        <w:top w:val="none" w:sz="0" w:space="0" w:color="auto"/>
        <w:left w:val="none" w:sz="0" w:space="0" w:color="auto"/>
        <w:bottom w:val="none" w:sz="0" w:space="0" w:color="auto"/>
        <w:right w:val="none" w:sz="0" w:space="0" w:color="auto"/>
      </w:divBdr>
    </w:div>
    <w:div w:id="1931044880">
      <w:bodyDiv w:val="1"/>
      <w:marLeft w:val="0"/>
      <w:marRight w:val="0"/>
      <w:marTop w:val="0"/>
      <w:marBottom w:val="0"/>
      <w:divBdr>
        <w:top w:val="none" w:sz="0" w:space="0" w:color="auto"/>
        <w:left w:val="none" w:sz="0" w:space="0" w:color="auto"/>
        <w:bottom w:val="none" w:sz="0" w:space="0" w:color="auto"/>
        <w:right w:val="none" w:sz="0" w:space="0" w:color="auto"/>
      </w:divBdr>
    </w:div>
    <w:div w:id="1931305414">
      <w:bodyDiv w:val="1"/>
      <w:marLeft w:val="0"/>
      <w:marRight w:val="0"/>
      <w:marTop w:val="0"/>
      <w:marBottom w:val="0"/>
      <w:divBdr>
        <w:top w:val="none" w:sz="0" w:space="0" w:color="auto"/>
        <w:left w:val="none" w:sz="0" w:space="0" w:color="auto"/>
        <w:bottom w:val="none" w:sz="0" w:space="0" w:color="auto"/>
        <w:right w:val="none" w:sz="0" w:space="0" w:color="auto"/>
      </w:divBdr>
    </w:div>
    <w:div w:id="1931500283">
      <w:bodyDiv w:val="1"/>
      <w:marLeft w:val="0"/>
      <w:marRight w:val="0"/>
      <w:marTop w:val="0"/>
      <w:marBottom w:val="0"/>
      <w:divBdr>
        <w:top w:val="none" w:sz="0" w:space="0" w:color="auto"/>
        <w:left w:val="none" w:sz="0" w:space="0" w:color="auto"/>
        <w:bottom w:val="none" w:sz="0" w:space="0" w:color="auto"/>
        <w:right w:val="none" w:sz="0" w:space="0" w:color="auto"/>
      </w:divBdr>
    </w:div>
    <w:div w:id="1931615961">
      <w:bodyDiv w:val="1"/>
      <w:marLeft w:val="0"/>
      <w:marRight w:val="0"/>
      <w:marTop w:val="0"/>
      <w:marBottom w:val="0"/>
      <w:divBdr>
        <w:top w:val="none" w:sz="0" w:space="0" w:color="auto"/>
        <w:left w:val="none" w:sz="0" w:space="0" w:color="auto"/>
        <w:bottom w:val="none" w:sz="0" w:space="0" w:color="auto"/>
        <w:right w:val="none" w:sz="0" w:space="0" w:color="auto"/>
      </w:divBdr>
    </w:div>
    <w:div w:id="1931617816">
      <w:bodyDiv w:val="1"/>
      <w:marLeft w:val="0"/>
      <w:marRight w:val="0"/>
      <w:marTop w:val="0"/>
      <w:marBottom w:val="0"/>
      <w:divBdr>
        <w:top w:val="none" w:sz="0" w:space="0" w:color="auto"/>
        <w:left w:val="none" w:sz="0" w:space="0" w:color="auto"/>
        <w:bottom w:val="none" w:sz="0" w:space="0" w:color="auto"/>
        <w:right w:val="none" w:sz="0" w:space="0" w:color="auto"/>
      </w:divBdr>
    </w:div>
    <w:div w:id="1932009655">
      <w:bodyDiv w:val="1"/>
      <w:marLeft w:val="0"/>
      <w:marRight w:val="0"/>
      <w:marTop w:val="0"/>
      <w:marBottom w:val="0"/>
      <w:divBdr>
        <w:top w:val="none" w:sz="0" w:space="0" w:color="auto"/>
        <w:left w:val="none" w:sz="0" w:space="0" w:color="auto"/>
        <w:bottom w:val="none" w:sz="0" w:space="0" w:color="auto"/>
        <w:right w:val="none" w:sz="0" w:space="0" w:color="auto"/>
      </w:divBdr>
    </w:div>
    <w:div w:id="1932547663">
      <w:bodyDiv w:val="1"/>
      <w:marLeft w:val="0"/>
      <w:marRight w:val="0"/>
      <w:marTop w:val="0"/>
      <w:marBottom w:val="0"/>
      <w:divBdr>
        <w:top w:val="none" w:sz="0" w:space="0" w:color="auto"/>
        <w:left w:val="none" w:sz="0" w:space="0" w:color="auto"/>
        <w:bottom w:val="none" w:sz="0" w:space="0" w:color="auto"/>
        <w:right w:val="none" w:sz="0" w:space="0" w:color="auto"/>
      </w:divBdr>
    </w:div>
    <w:div w:id="1932615672">
      <w:bodyDiv w:val="1"/>
      <w:marLeft w:val="0"/>
      <w:marRight w:val="0"/>
      <w:marTop w:val="0"/>
      <w:marBottom w:val="0"/>
      <w:divBdr>
        <w:top w:val="none" w:sz="0" w:space="0" w:color="auto"/>
        <w:left w:val="none" w:sz="0" w:space="0" w:color="auto"/>
        <w:bottom w:val="none" w:sz="0" w:space="0" w:color="auto"/>
        <w:right w:val="none" w:sz="0" w:space="0" w:color="auto"/>
      </w:divBdr>
    </w:div>
    <w:div w:id="1932736834">
      <w:bodyDiv w:val="1"/>
      <w:marLeft w:val="0"/>
      <w:marRight w:val="0"/>
      <w:marTop w:val="0"/>
      <w:marBottom w:val="0"/>
      <w:divBdr>
        <w:top w:val="none" w:sz="0" w:space="0" w:color="auto"/>
        <w:left w:val="none" w:sz="0" w:space="0" w:color="auto"/>
        <w:bottom w:val="none" w:sz="0" w:space="0" w:color="auto"/>
        <w:right w:val="none" w:sz="0" w:space="0" w:color="auto"/>
      </w:divBdr>
    </w:div>
    <w:div w:id="1934243805">
      <w:bodyDiv w:val="1"/>
      <w:marLeft w:val="0"/>
      <w:marRight w:val="0"/>
      <w:marTop w:val="0"/>
      <w:marBottom w:val="0"/>
      <w:divBdr>
        <w:top w:val="none" w:sz="0" w:space="0" w:color="auto"/>
        <w:left w:val="none" w:sz="0" w:space="0" w:color="auto"/>
        <w:bottom w:val="none" w:sz="0" w:space="0" w:color="auto"/>
        <w:right w:val="none" w:sz="0" w:space="0" w:color="auto"/>
      </w:divBdr>
    </w:div>
    <w:div w:id="1934780856">
      <w:bodyDiv w:val="1"/>
      <w:marLeft w:val="0"/>
      <w:marRight w:val="0"/>
      <w:marTop w:val="0"/>
      <w:marBottom w:val="0"/>
      <w:divBdr>
        <w:top w:val="none" w:sz="0" w:space="0" w:color="auto"/>
        <w:left w:val="none" w:sz="0" w:space="0" w:color="auto"/>
        <w:bottom w:val="none" w:sz="0" w:space="0" w:color="auto"/>
        <w:right w:val="none" w:sz="0" w:space="0" w:color="auto"/>
      </w:divBdr>
    </w:div>
    <w:div w:id="1935092246">
      <w:bodyDiv w:val="1"/>
      <w:marLeft w:val="0"/>
      <w:marRight w:val="0"/>
      <w:marTop w:val="0"/>
      <w:marBottom w:val="0"/>
      <w:divBdr>
        <w:top w:val="none" w:sz="0" w:space="0" w:color="auto"/>
        <w:left w:val="none" w:sz="0" w:space="0" w:color="auto"/>
        <w:bottom w:val="none" w:sz="0" w:space="0" w:color="auto"/>
        <w:right w:val="none" w:sz="0" w:space="0" w:color="auto"/>
      </w:divBdr>
    </w:div>
    <w:div w:id="1935354992">
      <w:bodyDiv w:val="1"/>
      <w:marLeft w:val="0"/>
      <w:marRight w:val="0"/>
      <w:marTop w:val="0"/>
      <w:marBottom w:val="0"/>
      <w:divBdr>
        <w:top w:val="none" w:sz="0" w:space="0" w:color="auto"/>
        <w:left w:val="none" w:sz="0" w:space="0" w:color="auto"/>
        <w:bottom w:val="none" w:sz="0" w:space="0" w:color="auto"/>
        <w:right w:val="none" w:sz="0" w:space="0" w:color="auto"/>
      </w:divBdr>
    </w:div>
    <w:div w:id="1935672707">
      <w:bodyDiv w:val="1"/>
      <w:marLeft w:val="0"/>
      <w:marRight w:val="0"/>
      <w:marTop w:val="0"/>
      <w:marBottom w:val="0"/>
      <w:divBdr>
        <w:top w:val="none" w:sz="0" w:space="0" w:color="auto"/>
        <w:left w:val="none" w:sz="0" w:space="0" w:color="auto"/>
        <w:bottom w:val="none" w:sz="0" w:space="0" w:color="auto"/>
        <w:right w:val="none" w:sz="0" w:space="0" w:color="auto"/>
      </w:divBdr>
    </w:div>
    <w:div w:id="1936474861">
      <w:bodyDiv w:val="1"/>
      <w:marLeft w:val="0"/>
      <w:marRight w:val="0"/>
      <w:marTop w:val="0"/>
      <w:marBottom w:val="0"/>
      <w:divBdr>
        <w:top w:val="none" w:sz="0" w:space="0" w:color="auto"/>
        <w:left w:val="none" w:sz="0" w:space="0" w:color="auto"/>
        <w:bottom w:val="none" w:sz="0" w:space="0" w:color="auto"/>
        <w:right w:val="none" w:sz="0" w:space="0" w:color="auto"/>
      </w:divBdr>
    </w:div>
    <w:div w:id="1937712682">
      <w:bodyDiv w:val="1"/>
      <w:marLeft w:val="0"/>
      <w:marRight w:val="0"/>
      <w:marTop w:val="0"/>
      <w:marBottom w:val="0"/>
      <w:divBdr>
        <w:top w:val="none" w:sz="0" w:space="0" w:color="auto"/>
        <w:left w:val="none" w:sz="0" w:space="0" w:color="auto"/>
        <w:bottom w:val="none" w:sz="0" w:space="0" w:color="auto"/>
        <w:right w:val="none" w:sz="0" w:space="0" w:color="auto"/>
      </w:divBdr>
    </w:div>
    <w:div w:id="1937782956">
      <w:bodyDiv w:val="1"/>
      <w:marLeft w:val="0"/>
      <w:marRight w:val="0"/>
      <w:marTop w:val="0"/>
      <w:marBottom w:val="0"/>
      <w:divBdr>
        <w:top w:val="none" w:sz="0" w:space="0" w:color="auto"/>
        <w:left w:val="none" w:sz="0" w:space="0" w:color="auto"/>
        <w:bottom w:val="none" w:sz="0" w:space="0" w:color="auto"/>
        <w:right w:val="none" w:sz="0" w:space="0" w:color="auto"/>
      </w:divBdr>
    </w:div>
    <w:div w:id="1937900102">
      <w:bodyDiv w:val="1"/>
      <w:marLeft w:val="0"/>
      <w:marRight w:val="0"/>
      <w:marTop w:val="0"/>
      <w:marBottom w:val="0"/>
      <w:divBdr>
        <w:top w:val="none" w:sz="0" w:space="0" w:color="auto"/>
        <w:left w:val="none" w:sz="0" w:space="0" w:color="auto"/>
        <w:bottom w:val="none" w:sz="0" w:space="0" w:color="auto"/>
        <w:right w:val="none" w:sz="0" w:space="0" w:color="auto"/>
      </w:divBdr>
    </w:div>
    <w:div w:id="1938100793">
      <w:bodyDiv w:val="1"/>
      <w:marLeft w:val="0"/>
      <w:marRight w:val="0"/>
      <w:marTop w:val="0"/>
      <w:marBottom w:val="0"/>
      <w:divBdr>
        <w:top w:val="none" w:sz="0" w:space="0" w:color="auto"/>
        <w:left w:val="none" w:sz="0" w:space="0" w:color="auto"/>
        <w:bottom w:val="none" w:sz="0" w:space="0" w:color="auto"/>
        <w:right w:val="none" w:sz="0" w:space="0" w:color="auto"/>
      </w:divBdr>
    </w:div>
    <w:div w:id="1938514686">
      <w:bodyDiv w:val="1"/>
      <w:marLeft w:val="0"/>
      <w:marRight w:val="0"/>
      <w:marTop w:val="0"/>
      <w:marBottom w:val="0"/>
      <w:divBdr>
        <w:top w:val="none" w:sz="0" w:space="0" w:color="auto"/>
        <w:left w:val="none" w:sz="0" w:space="0" w:color="auto"/>
        <w:bottom w:val="none" w:sz="0" w:space="0" w:color="auto"/>
        <w:right w:val="none" w:sz="0" w:space="0" w:color="auto"/>
      </w:divBdr>
    </w:div>
    <w:div w:id="1938832886">
      <w:bodyDiv w:val="1"/>
      <w:marLeft w:val="0"/>
      <w:marRight w:val="0"/>
      <w:marTop w:val="0"/>
      <w:marBottom w:val="0"/>
      <w:divBdr>
        <w:top w:val="none" w:sz="0" w:space="0" w:color="auto"/>
        <w:left w:val="none" w:sz="0" w:space="0" w:color="auto"/>
        <w:bottom w:val="none" w:sz="0" w:space="0" w:color="auto"/>
        <w:right w:val="none" w:sz="0" w:space="0" w:color="auto"/>
      </w:divBdr>
    </w:div>
    <w:div w:id="1939218879">
      <w:bodyDiv w:val="1"/>
      <w:marLeft w:val="0"/>
      <w:marRight w:val="0"/>
      <w:marTop w:val="0"/>
      <w:marBottom w:val="0"/>
      <w:divBdr>
        <w:top w:val="none" w:sz="0" w:space="0" w:color="auto"/>
        <w:left w:val="none" w:sz="0" w:space="0" w:color="auto"/>
        <w:bottom w:val="none" w:sz="0" w:space="0" w:color="auto"/>
        <w:right w:val="none" w:sz="0" w:space="0" w:color="auto"/>
      </w:divBdr>
    </w:div>
    <w:div w:id="1939479123">
      <w:bodyDiv w:val="1"/>
      <w:marLeft w:val="0"/>
      <w:marRight w:val="0"/>
      <w:marTop w:val="0"/>
      <w:marBottom w:val="0"/>
      <w:divBdr>
        <w:top w:val="none" w:sz="0" w:space="0" w:color="auto"/>
        <w:left w:val="none" w:sz="0" w:space="0" w:color="auto"/>
        <w:bottom w:val="none" w:sz="0" w:space="0" w:color="auto"/>
        <w:right w:val="none" w:sz="0" w:space="0" w:color="auto"/>
      </w:divBdr>
    </w:div>
    <w:div w:id="1939561231">
      <w:bodyDiv w:val="1"/>
      <w:marLeft w:val="0"/>
      <w:marRight w:val="0"/>
      <w:marTop w:val="0"/>
      <w:marBottom w:val="0"/>
      <w:divBdr>
        <w:top w:val="none" w:sz="0" w:space="0" w:color="auto"/>
        <w:left w:val="none" w:sz="0" w:space="0" w:color="auto"/>
        <w:bottom w:val="none" w:sz="0" w:space="0" w:color="auto"/>
        <w:right w:val="none" w:sz="0" w:space="0" w:color="auto"/>
      </w:divBdr>
    </w:div>
    <w:div w:id="1939747521">
      <w:bodyDiv w:val="1"/>
      <w:marLeft w:val="0"/>
      <w:marRight w:val="0"/>
      <w:marTop w:val="0"/>
      <w:marBottom w:val="0"/>
      <w:divBdr>
        <w:top w:val="none" w:sz="0" w:space="0" w:color="auto"/>
        <w:left w:val="none" w:sz="0" w:space="0" w:color="auto"/>
        <w:bottom w:val="none" w:sz="0" w:space="0" w:color="auto"/>
        <w:right w:val="none" w:sz="0" w:space="0" w:color="auto"/>
      </w:divBdr>
    </w:div>
    <w:div w:id="1939754274">
      <w:bodyDiv w:val="1"/>
      <w:marLeft w:val="0"/>
      <w:marRight w:val="0"/>
      <w:marTop w:val="0"/>
      <w:marBottom w:val="0"/>
      <w:divBdr>
        <w:top w:val="none" w:sz="0" w:space="0" w:color="auto"/>
        <w:left w:val="none" w:sz="0" w:space="0" w:color="auto"/>
        <w:bottom w:val="none" w:sz="0" w:space="0" w:color="auto"/>
        <w:right w:val="none" w:sz="0" w:space="0" w:color="auto"/>
      </w:divBdr>
    </w:div>
    <w:div w:id="1940092465">
      <w:bodyDiv w:val="1"/>
      <w:marLeft w:val="0"/>
      <w:marRight w:val="0"/>
      <w:marTop w:val="0"/>
      <w:marBottom w:val="0"/>
      <w:divBdr>
        <w:top w:val="none" w:sz="0" w:space="0" w:color="auto"/>
        <w:left w:val="none" w:sz="0" w:space="0" w:color="auto"/>
        <w:bottom w:val="none" w:sz="0" w:space="0" w:color="auto"/>
        <w:right w:val="none" w:sz="0" w:space="0" w:color="auto"/>
      </w:divBdr>
    </w:div>
    <w:div w:id="1940871306">
      <w:bodyDiv w:val="1"/>
      <w:marLeft w:val="0"/>
      <w:marRight w:val="0"/>
      <w:marTop w:val="0"/>
      <w:marBottom w:val="0"/>
      <w:divBdr>
        <w:top w:val="none" w:sz="0" w:space="0" w:color="auto"/>
        <w:left w:val="none" w:sz="0" w:space="0" w:color="auto"/>
        <w:bottom w:val="none" w:sz="0" w:space="0" w:color="auto"/>
        <w:right w:val="none" w:sz="0" w:space="0" w:color="auto"/>
      </w:divBdr>
    </w:div>
    <w:div w:id="1941329646">
      <w:bodyDiv w:val="1"/>
      <w:marLeft w:val="0"/>
      <w:marRight w:val="0"/>
      <w:marTop w:val="0"/>
      <w:marBottom w:val="0"/>
      <w:divBdr>
        <w:top w:val="none" w:sz="0" w:space="0" w:color="auto"/>
        <w:left w:val="none" w:sz="0" w:space="0" w:color="auto"/>
        <w:bottom w:val="none" w:sz="0" w:space="0" w:color="auto"/>
        <w:right w:val="none" w:sz="0" w:space="0" w:color="auto"/>
      </w:divBdr>
    </w:div>
    <w:div w:id="1942449026">
      <w:bodyDiv w:val="1"/>
      <w:marLeft w:val="0"/>
      <w:marRight w:val="0"/>
      <w:marTop w:val="0"/>
      <w:marBottom w:val="0"/>
      <w:divBdr>
        <w:top w:val="none" w:sz="0" w:space="0" w:color="auto"/>
        <w:left w:val="none" w:sz="0" w:space="0" w:color="auto"/>
        <w:bottom w:val="none" w:sz="0" w:space="0" w:color="auto"/>
        <w:right w:val="none" w:sz="0" w:space="0" w:color="auto"/>
      </w:divBdr>
    </w:div>
    <w:div w:id="1943032868">
      <w:bodyDiv w:val="1"/>
      <w:marLeft w:val="0"/>
      <w:marRight w:val="0"/>
      <w:marTop w:val="0"/>
      <w:marBottom w:val="0"/>
      <w:divBdr>
        <w:top w:val="none" w:sz="0" w:space="0" w:color="auto"/>
        <w:left w:val="none" w:sz="0" w:space="0" w:color="auto"/>
        <w:bottom w:val="none" w:sz="0" w:space="0" w:color="auto"/>
        <w:right w:val="none" w:sz="0" w:space="0" w:color="auto"/>
      </w:divBdr>
    </w:div>
    <w:div w:id="1943486889">
      <w:bodyDiv w:val="1"/>
      <w:marLeft w:val="0"/>
      <w:marRight w:val="0"/>
      <w:marTop w:val="0"/>
      <w:marBottom w:val="0"/>
      <w:divBdr>
        <w:top w:val="none" w:sz="0" w:space="0" w:color="auto"/>
        <w:left w:val="none" w:sz="0" w:space="0" w:color="auto"/>
        <w:bottom w:val="none" w:sz="0" w:space="0" w:color="auto"/>
        <w:right w:val="none" w:sz="0" w:space="0" w:color="auto"/>
      </w:divBdr>
    </w:div>
    <w:div w:id="1944074291">
      <w:bodyDiv w:val="1"/>
      <w:marLeft w:val="0"/>
      <w:marRight w:val="0"/>
      <w:marTop w:val="0"/>
      <w:marBottom w:val="0"/>
      <w:divBdr>
        <w:top w:val="none" w:sz="0" w:space="0" w:color="auto"/>
        <w:left w:val="none" w:sz="0" w:space="0" w:color="auto"/>
        <w:bottom w:val="none" w:sz="0" w:space="0" w:color="auto"/>
        <w:right w:val="none" w:sz="0" w:space="0" w:color="auto"/>
      </w:divBdr>
    </w:div>
    <w:div w:id="1944533233">
      <w:bodyDiv w:val="1"/>
      <w:marLeft w:val="0"/>
      <w:marRight w:val="0"/>
      <w:marTop w:val="0"/>
      <w:marBottom w:val="0"/>
      <w:divBdr>
        <w:top w:val="none" w:sz="0" w:space="0" w:color="auto"/>
        <w:left w:val="none" w:sz="0" w:space="0" w:color="auto"/>
        <w:bottom w:val="none" w:sz="0" w:space="0" w:color="auto"/>
        <w:right w:val="none" w:sz="0" w:space="0" w:color="auto"/>
      </w:divBdr>
    </w:div>
    <w:div w:id="1944873223">
      <w:bodyDiv w:val="1"/>
      <w:marLeft w:val="0"/>
      <w:marRight w:val="0"/>
      <w:marTop w:val="0"/>
      <w:marBottom w:val="0"/>
      <w:divBdr>
        <w:top w:val="none" w:sz="0" w:space="0" w:color="auto"/>
        <w:left w:val="none" w:sz="0" w:space="0" w:color="auto"/>
        <w:bottom w:val="none" w:sz="0" w:space="0" w:color="auto"/>
        <w:right w:val="none" w:sz="0" w:space="0" w:color="auto"/>
      </w:divBdr>
    </w:div>
    <w:div w:id="1944922660">
      <w:bodyDiv w:val="1"/>
      <w:marLeft w:val="0"/>
      <w:marRight w:val="0"/>
      <w:marTop w:val="0"/>
      <w:marBottom w:val="0"/>
      <w:divBdr>
        <w:top w:val="none" w:sz="0" w:space="0" w:color="auto"/>
        <w:left w:val="none" w:sz="0" w:space="0" w:color="auto"/>
        <w:bottom w:val="none" w:sz="0" w:space="0" w:color="auto"/>
        <w:right w:val="none" w:sz="0" w:space="0" w:color="auto"/>
      </w:divBdr>
    </w:div>
    <w:div w:id="1945531329">
      <w:bodyDiv w:val="1"/>
      <w:marLeft w:val="0"/>
      <w:marRight w:val="0"/>
      <w:marTop w:val="0"/>
      <w:marBottom w:val="0"/>
      <w:divBdr>
        <w:top w:val="none" w:sz="0" w:space="0" w:color="auto"/>
        <w:left w:val="none" w:sz="0" w:space="0" w:color="auto"/>
        <w:bottom w:val="none" w:sz="0" w:space="0" w:color="auto"/>
        <w:right w:val="none" w:sz="0" w:space="0" w:color="auto"/>
      </w:divBdr>
    </w:div>
    <w:div w:id="1945721577">
      <w:bodyDiv w:val="1"/>
      <w:marLeft w:val="0"/>
      <w:marRight w:val="0"/>
      <w:marTop w:val="0"/>
      <w:marBottom w:val="0"/>
      <w:divBdr>
        <w:top w:val="none" w:sz="0" w:space="0" w:color="auto"/>
        <w:left w:val="none" w:sz="0" w:space="0" w:color="auto"/>
        <w:bottom w:val="none" w:sz="0" w:space="0" w:color="auto"/>
        <w:right w:val="none" w:sz="0" w:space="0" w:color="auto"/>
      </w:divBdr>
    </w:div>
    <w:div w:id="1946383752">
      <w:bodyDiv w:val="1"/>
      <w:marLeft w:val="0"/>
      <w:marRight w:val="0"/>
      <w:marTop w:val="0"/>
      <w:marBottom w:val="0"/>
      <w:divBdr>
        <w:top w:val="none" w:sz="0" w:space="0" w:color="auto"/>
        <w:left w:val="none" w:sz="0" w:space="0" w:color="auto"/>
        <w:bottom w:val="none" w:sz="0" w:space="0" w:color="auto"/>
        <w:right w:val="none" w:sz="0" w:space="0" w:color="auto"/>
      </w:divBdr>
    </w:div>
    <w:div w:id="1947494026">
      <w:bodyDiv w:val="1"/>
      <w:marLeft w:val="0"/>
      <w:marRight w:val="0"/>
      <w:marTop w:val="0"/>
      <w:marBottom w:val="0"/>
      <w:divBdr>
        <w:top w:val="none" w:sz="0" w:space="0" w:color="auto"/>
        <w:left w:val="none" w:sz="0" w:space="0" w:color="auto"/>
        <w:bottom w:val="none" w:sz="0" w:space="0" w:color="auto"/>
        <w:right w:val="none" w:sz="0" w:space="0" w:color="auto"/>
      </w:divBdr>
    </w:div>
    <w:div w:id="1947883088">
      <w:bodyDiv w:val="1"/>
      <w:marLeft w:val="0"/>
      <w:marRight w:val="0"/>
      <w:marTop w:val="0"/>
      <w:marBottom w:val="0"/>
      <w:divBdr>
        <w:top w:val="none" w:sz="0" w:space="0" w:color="auto"/>
        <w:left w:val="none" w:sz="0" w:space="0" w:color="auto"/>
        <w:bottom w:val="none" w:sz="0" w:space="0" w:color="auto"/>
        <w:right w:val="none" w:sz="0" w:space="0" w:color="auto"/>
      </w:divBdr>
    </w:div>
    <w:div w:id="1949117893">
      <w:bodyDiv w:val="1"/>
      <w:marLeft w:val="0"/>
      <w:marRight w:val="0"/>
      <w:marTop w:val="0"/>
      <w:marBottom w:val="0"/>
      <w:divBdr>
        <w:top w:val="none" w:sz="0" w:space="0" w:color="auto"/>
        <w:left w:val="none" w:sz="0" w:space="0" w:color="auto"/>
        <w:bottom w:val="none" w:sz="0" w:space="0" w:color="auto"/>
        <w:right w:val="none" w:sz="0" w:space="0" w:color="auto"/>
      </w:divBdr>
    </w:div>
    <w:div w:id="1949121649">
      <w:bodyDiv w:val="1"/>
      <w:marLeft w:val="0"/>
      <w:marRight w:val="0"/>
      <w:marTop w:val="0"/>
      <w:marBottom w:val="0"/>
      <w:divBdr>
        <w:top w:val="none" w:sz="0" w:space="0" w:color="auto"/>
        <w:left w:val="none" w:sz="0" w:space="0" w:color="auto"/>
        <w:bottom w:val="none" w:sz="0" w:space="0" w:color="auto"/>
        <w:right w:val="none" w:sz="0" w:space="0" w:color="auto"/>
      </w:divBdr>
    </w:div>
    <w:div w:id="1949388947">
      <w:bodyDiv w:val="1"/>
      <w:marLeft w:val="0"/>
      <w:marRight w:val="0"/>
      <w:marTop w:val="0"/>
      <w:marBottom w:val="0"/>
      <w:divBdr>
        <w:top w:val="none" w:sz="0" w:space="0" w:color="auto"/>
        <w:left w:val="none" w:sz="0" w:space="0" w:color="auto"/>
        <w:bottom w:val="none" w:sz="0" w:space="0" w:color="auto"/>
        <w:right w:val="none" w:sz="0" w:space="0" w:color="auto"/>
      </w:divBdr>
    </w:div>
    <w:div w:id="1949965692">
      <w:bodyDiv w:val="1"/>
      <w:marLeft w:val="0"/>
      <w:marRight w:val="0"/>
      <w:marTop w:val="0"/>
      <w:marBottom w:val="0"/>
      <w:divBdr>
        <w:top w:val="none" w:sz="0" w:space="0" w:color="auto"/>
        <w:left w:val="none" w:sz="0" w:space="0" w:color="auto"/>
        <w:bottom w:val="none" w:sz="0" w:space="0" w:color="auto"/>
        <w:right w:val="none" w:sz="0" w:space="0" w:color="auto"/>
      </w:divBdr>
    </w:div>
    <w:div w:id="1950039224">
      <w:bodyDiv w:val="1"/>
      <w:marLeft w:val="0"/>
      <w:marRight w:val="0"/>
      <w:marTop w:val="0"/>
      <w:marBottom w:val="0"/>
      <w:divBdr>
        <w:top w:val="none" w:sz="0" w:space="0" w:color="auto"/>
        <w:left w:val="none" w:sz="0" w:space="0" w:color="auto"/>
        <w:bottom w:val="none" w:sz="0" w:space="0" w:color="auto"/>
        <w:right w:val="none" w:sz="0" w:space="0" w:color="auto"/>
      </w:divBdr>
    </w:div>
    <w:div w:id="1950158277">
      <w:bodyDiv w:val="1"/>
      <w:marLeft w:val="0"/>
      <w:marRight w:val="0"/>
      <w:marTop w:val="0"/>
      <w:marBottom w:val="0"/>
      <w:divBdr>
        <w:top w:val="none" w:sz="0" w:space="0" w:color="auto"/>
        <w:left w:val="none" w:sz="0" w:space="0" w:color="auto"/>
        <w:bottom w:val="none" w:sz="0" w:space="0" w:color="auto"/>
        <w:right w:val="none" w:sz="0" w:space="0" w:color="auto"/>
      </w:divBdr>
    </w:div>
    <w:div w:id="1950165589">
      <w:bodyDiv w:val="1"/>
      <w:marLeft w:val="0"/>
      <w:marRight w:val="0"/>
      <w:marTop w:val="0"/>
      <w:marBottom w:val="0"/>
      <w:divBdr>
        <w:top w:val="none" w:sz="0" w:space="0" w:color="auto"/>
        <w:left w:val="none" w:sz="0" w:space="0" w:color="auto"/>
        <w:bottom w:val="none" w:sz="0" w:space="0" w:color="auto"/>
        <w:right w:val="none" w:sz="0" w:space="0" w:color="auto"/>
      </w:divBdr>
    </w:div>
    <w:div w:id="1950241078">
      <w:bodyDiv w:val="1"/>
      <w:marLeft w:val="0"/>
      <w:marRight w:val="0"/>
      <w:marTop w:val="0"/>
      <w:marBottom w:val="0"/>
      <w:divBdr>
        <w:top w:val="none" w:sz="0" w:space="0" w:color="auto"/>
        <w:left w:val="none" w:sz="0" w:space="0" w:color="auto"/>
        <w:bottom w:val="none" w:sz="0" w:space="0" w:color="auto"/>
        <w:right w:val="none" w:sz="0" w:space="0" w:color="auto"/>
      </w:divBdr>
    </w:div>
    <w:div w:id="1950316037">
      <w:bodyDiv w:val="1"/>
      <w:marLeft w:val="0"/>
      <w:marRight w:val="0"/>
      <w:marTop w:val="0"/>
      <w:marBottom w:val="0"/>
      <w:divBdr>
        <w:top w:val="none" w:sz="0" w:space="0" w:color="auto"/>
        <w:left w:val="none" w:sz="0" w:space="0" w:color="auto"/>
        <w:bottom w:val="none" w:sz="0" w:space="0" w:color="auto"/>
        <w:right w:val="none" w:sz="0" w:space="0" w:color="auto"/>
      </w:divBdr>
    </w:div>
    <w:div w:id="1951084898">
      <w:bodyDiv w:val="1"/>
      <w:marLeft w:val="0"/>
      <w:marRight w:val="0"/>
      <w:marTop w:val="0"/>
      <w:marBottom w:val="0"/>
      <w:divBdr>
        <w:top w:val="none" w:sz="0" w:space="0" w:color="auto"/>
        <w:left w:val="none" w:sz="0" w:space="0" w:color="auto"/>
        <w:bottom w:val="none" w:sz="0" w:space="0" w:color="auto"/>
        <w:right w:val="none" w:sz="0" w:space="0" w:color="auto"/>
      </w:divBdr>
    </w:div>
    <w:div w:id="1951820611">
      <w:bodyDiv w:val="1"/>
      <w:marLeft w:val="0"/>
      <w:marRight w:val="0"/>
      <w:marTop w:val="0"/>
      <w:marBottom w:val="0"/>
      <w:divBdr>
        <w:top w:val="none" w:sz="0" w:space="0" w:color="auto"/>
        <w:left w:val="none" w:sz="0" w:space="0" w:color="auto"/>
        <w:bottom w:val="none" w:sz="0" w:space="0" w:color="auto"/>
        <w:right w:val="none" w:sz="0" w:space="0" w:color="auto"/>
      </w:divBdr>
    </w:div>
    <w:div w:id="1951934615">
      <w:bodyDiv w:val="1"/>
      <w:marLeft w:val="0"/>
      <w:marRight w:val="0"/>
      <w:marTop w:val="0"/>
      <w:marBottom w:val="0"/>
      <w:divBdr>
        <w:top w:val="none" w:sz="0" w:space="0" w:color="auto"/>
        <w:left w:val="none" w:sz="0" w:space="0" w:color="auto"/>
        <w:bottom w:val="none" w:sz="0" w:space="0" w:color="auto"/>
        <w:right w:val="none" w:sz="0" w:space="0" w:color="auto"/>
      </w:divBdr>
    </w:div>
    <w:div w:id="1952084920">
      <w:bodyDiv w:val="1"/>
      <w:marLeft w:val="0"/>
      <w:marRight w:val="0"/>
      <w:marTop w:val="0"/>
      <w:marBottom w:val="0"/>
      <w:divBdr>
        <w:top w:val="none" w:sz="0" w:space="0" w:color="auto"/>
        <w:left w:val="none" w:sz="0" w:space="0" w:color="auto"/>
        <w:bottom w:val="none" w:sz="0" w:space="0" w:color="auto"/>
        <w:right w:val="none" w:sz="0" w:space="0" w:color="auto"/>
      </w:divBdr>
    </w:div>
    <w:div w:id="1952973611">
      <w:bodyDiv w:val="1"/>
      <w:marLeft w:val="0"/>
      <w:marRight w:val="0"/>
      <w:marTop w:val="0"/>
      <w:marBottom w:val="0"/>
      <w:divBdr>
        <w:top w:val="none" w:sz="0" w:space="0" w:color="auto"/>
        <w:left w:val="none" w:sz="0" w:space="0" w:color="auto"/>
        <w:bottom w:val="none" w:sz="0" w:space="0" w:color="auto"/>
        <w:right w:val="none" w:sz="0" w:space="0" w:color="auto"/>
      </w:divBdr>
    </w:div>
    <w:div w:id="1953321200">
      <w:bodyDiv w:val="1"/>
      <w:marLeft w:val="0"/>
      <w:marRight w:val="0"/>
      <w:marTop w:val="0"/>
      <w:marBottom w:val="0"/>
      <w:divBdr>
        <w:top w:val="none" w:sz="0" w:space="0" w:color="auto"/>
        <w:left w:val="none" w:sz="0" w:space="0" w:color="auto"/>
        <w:bottom w:val="none" w:sz="0" w:space="0" w:color="auto"/>
        <w:right w:val="none" w:sz="0" w:space="0" w:color="auto"/>
      </w:divBdr>
    </w:div>
    <w:div w:id="1954088322">
      <w:bodyDiv w:val="1"/>
      <w:marLeft w:val="0"/>
      <w:marRight w:val="0"/>
      <w:marTop w:val="0"/>
      <w:marBottom w:val="0"/>
      <w:divBdr>
        <w:top w:val="none" w:sz="0" w:space="0" w:color="auto"/>
        <w:left w:val="none" w:sz="0" w:space="0" w:color="auto"/>
        <w:bottom w:val="none" w:sz="0" w:space="0" w:color="auto"/>
        <w:right w:val="none" w:sz="0" w:space="0" w:color="auto"/>
      </w:divBdr>
    </w:div>
    <w:div w:id="1954629199">
      <w:bodyDiv w:val="1"/>
      <w:marLeft w:val="0"/>
      <w:marRight w:val="0"/>
      <w:marTop w:val="0"/>
      <w:marBottom w:val="0"/>
      <w:divBdr>
        <w:top w:val="none" w:sz="0" w:space="0" w:color="auto"/>
        <w:left w:val="none" w:sz="0" w:space="0" w:color="auto"/>
        <w:bottom w:val="none" w:sz="0" w:space="0" w:color="auto"/>
        <w:right w:val="none" w:sz="0" w:space="0" w:color="auto"/>
      </w:divBdr>
    </w:div>
    <w:div w:id="1954632078">
      <w:bodyDiv w:val="1"/>
      <w:marLeft w:val="0"/>
      <w:marRight w:val="0"/>
      <w:marTop w:val="0"/>
      <w:marBottom w:val="0"/>
      <w:divBdr>
        <w:top w:val="none" w:sz="0" w:space="0" w:color="auto"/>
        <w:left w:val="none" w:sz="0" w:space="0" w:color="auto"/>
        <w:bottom w:val="none" w:sz="0" w:space="0" w:color="auto"/>
        <w:right w:val="none" w:sz="0" w:space="0" w:color="auto"/>
      </w:divBdr>
    </w:div>
    <w:div w:id="1955281307">
      <w:bodyDiv w:val="1"/>
      <w:marLeft w:val="0"/>
      <w:marRight w:val="0"/>
      <w:marTop w:val="0"/>
      <w:marBottom w:val="0"/>
      <w:divBdr>
        <w:top w:val="none" w:sz="0" w:space="0" w:color="auto"/>
        <w:left w:val="none" w:sz="0" w:space="0" w:color="auto"/>
        <w:bottom w:val="none" w:sz="0" w:space="0" w:color="auto"/>
        <w:right w:val="none" w:sz="0" w:space="0" w:color="auto"/>
      </w:divBdr>
    </w:div>
    <w:div w:id="1955794040">
      <w:bodyDiv w:val="1"/>
      <w:marLeft w:val="0"/>
      <w:marRight w:val="0"/>
      <w:marTop w:val="0"/>
      <w:marBottom w:val="0"/>
      <w:divBdr>
        <w:top w:val="none" w:sz="0" w:space="0" w:color="auto"/>
        <w:left w:val="none" w:sz="0" w:space="0" w:color="auto"/>
        <w:bottom w:val="none" w:sz="0" w:space="0" w:color="auto"/>
        <w:right w:val="none" w:sz="0" w:space="0" w:color="auto"/>
      </w:divBdr>
    </w:div>
    <w:div w:id="1955940953">
      <w:bodyDiv w:val="1"/>
      <w:marLeft w:val="0"/>
      <w:marRight w:val="0"/>
      <w:marTop w:val="0"/>
      <w:marBottom w:val="0"/>
      <w:divBdr>
        <w:top w:val="none" w:sz="0" w:space="0" w:color="auto"/>
        <w:left w:val="none" w:sz="0" w:space="0" w:color="auto"/>
        <w:bottom w:val="none" w:sz="0" w:space="0" w:color="auto"/>
        <w:right w:val="none" w:sz="0" w:space="0" w:color="auto"/>
      </w:divBdr>
    </w:div>
    <w:div w:id="1956209354">
      <w:bodyDiv w:val="1"/>
      <w:marLeft w:val="0"/>
      <w:marRight w:val="0"/>
      <w:marTop w:val="0"/>
      <w:marBottom w:val="0"/>
      <w:divBdr>
        <w:top w:val="none" w:sz="0" w:space="0" w:color="auto"/>
        <w:left w:val="none" w:sz="0" w:space="0" w:color="auto"/>
        <w:bottom w:val="none" w:sz="0" w:space="0" w:color="auto"/>
        <w:right w:val="none" w:sz="0" w:space="0" w:color="auto"/>
      </w:divBdr>
    </w:div>
    <w:div w:id="1956713670">
      <w:bodyDiv w:val="1"/>
      <w:marLeft w:val="0"/>
      <w:marRight w:val="0"/>
      <w:marTop w:val="0"/>
      <w:marBottom w:val="0"/>
      <w:divBdr>
        <w:top w:val="none" w:sz="0" w:space="0" w:color="auto"/>
        <w:left w:val="none" w:sz="0" w:space="0" w:color="auto"/>
        <w:bottom w:val="none" w:sz="0" w:space="0" w:color="auto"/>
        <w:right w:val="none" w:sz="0" w:space="0" w:color="auto"/>
      </w:divBdr>
    </w:div>
    <w:div w:id="1956910692">
      <w:bodyDiv w:val="1"/>
      <w:marLeft w:val="0"/>
      <w:marRight w:val="0"/>
      <w:marTop w:val="0"/>
      <w:marBottom w:val="0"/>
      <w:divBdr>
        <w:top w:val="none" w:sz="0" w:space="0" w:color="auto"/>
        <w:left w:val="none" w:sz="0" w:space="0" w:color="auto"/>
        <w:bottom w:val="none" w:sz="0" w:space="0" w:color="auto"/>
        <w:right w:val="none" w:sz="0" w:space="0" w:color="auto"/>
      </w:divBdr>
    </w:div>
    <w:div w:id="1956980542">
      <w:bodyDiv w:val="1"/>
      <w:marLeft w:val="0"/>
      <w:marRight w:val="0"/>
      <w:marTop w:val="0"/>
      <w:marBottom w:val="0"/>
      <w:divBdr>
        <w:top w:val="none" w:sz="0" w:space="0" w:color="auto"/>
        <w:left w:val="none" w:sz="0" w:space="0" w:color="auto"/>
        <w:bottom w:val="none" w:sz="0" w:space="0" w:color="auto"/>
        <w:right w:val="none" w:sz="0" w:space="0" w:color="auto"/>
      </w:divBdr>
    </w:div>
    <w:div w:id="1957328570">
      <w:bodyDiv w:val="1"/>
      <w:marLeft w:val="0"/>
      <w:marRight w:val="0"/>
      <w:marTop w:val="0"/>
      <w:marBottom w:val="0"/>
      <w:divBdr>
        <w:top w:val="none" w:sz="0" w:space="0" w:color="auto"/>
        <w:left w:val="none" w:sz="0" w:space="0" w:color="auto"/>
        <w:bottom w:val="none" w:sz="0" w:space="0" w:color="auto"/>
        <w:right w:val="none" w:sz="0" w:space="0" w:color="auto"/>
      </w:divBdr>
    </w:div>
    <w:div w:id="1957635392">
      <w:bodyDiv w:val="1"/>
      <w:marLeft w:val="0"/>
      <w:marRight w:val="0"/>
      <w:marTop w:val="0"/>
      <w:marBottom w:val="0"/>
      <w:divBdr>
        <w:top w:val="none" w:sz="0" w:space="0" w:color="auto"/>
        <w:left w:val="none" w:sz="0" w:space="0" w:color="auto"/>
        <w:bottom w:val="none" w:sz="0" w:space="0" w:color="auto"/>
        <w:right w:val="none" w:sz="0" w:space="0" w:color="auto"/>
      </w:divBdr>
    </w:div>
    <w:div w:id="1957714667">
      <w:bodyDiv w:val="1"/>
      <w:marLeft w:val="0"/>
      <w:marRight w:val="0"/>
      <w:marTop w:val="0"/>
      <w:marBottom w:val="0"/>
      <w:divBdr>
        <w:top w:val="none" w:sz="0" w:space="0" w:color="auto"/>
        <w:left w:val="none" w:sz="0" w:space="0" w:color="auto"/>
        <w:bottom w:val="none" w:sz="0" w:space="0" w:color="auto"/>
        <w:right w:val="none" w:sz="0" w:space="0" w:color="auto"/>
      </w:divBdr>
    </w:div>
    <w:div w:id="1958173429">
      <w:bodyDiv w:val="1"/>
      <w:marLeft w:val="0"/>
      <w:marRight w:val="0"/>
      <w:marTop w:val="0"/>
      <w:marBottom w:val="0"/>
      <w:divBdr>
        <w:top w:val="none" w:sz="0" w:space="0" w:color="auto"/>
        <w:left w:val="none" w:sz="0" w:space="0" w:color="auto"/>
        <w:bottom w:val="none" w:sz="0" w:space="0" w:color="auto"/>
        <w:right w:val="none" w:sz="0" w:space="0" w:color="auto"/>
      </w:divBdr>
    </w:div>
    <w:div w:id="1958296241">
      <w:bodyDiv w:val="1"/>
      <w:marLeft w:val="0"/>
      <w:marRight w:val="0"/>
      <w:marTop w:val="0"/>
      <w:marBottom w:val="0"/>
      <w:divBdr>
        <w:top w:val="none" w:sz="0" w:space="0" w:color="auto"/>
        <w:left w:val="none" w:sz="0" w:space="0" w:color="auto"/>
        <w:bottom w:val="none" w:sz="0" w:space="0" w:color="auto"/>
        <w:right w:val="none" w:sz="0" w:space="0" w:color="auto"/>
      </w:divBdr>
    </w:div>
    <w:div w:id="1958754117">
      <w:bodyDiv w:val="1"/>
      <w:marLeft w:val="0"/>
      <w:marRight w:val="0"/>
      <w:marTop w:val="0"/>
      <w:marBottom w:val="0"/>
      <w:divBdr>
        <w:top w:val="none" w:sz="0" w:space="0" w:color="auto"/>
        <w:left w:val="none" w:sz="0" w:space="0" w:color="auto"/>
        <w:bottom w:val="none" w:sz="0" w:space="0" w:color="auto"/>
        <w:right w:val="none" w:sz="0" w:space="0" w:color="auto"/>
      </w:divBdr>
    </w:div>
    <w:div w:id="1958952047">
      <w:bodyDiv w:val="1"/>
      <w:marLeft w:val="0"/>
      <w:marRight w:val="0"/>
      <w:marTop w:val="0"/>
      <w:marBottom w:val="0"/>
      <w:divBdr>
        <w:top w:val="none" w:sz="0" w:space="0" w:color="auto"/>
        <w:left w:val="none" w:sz="0" w:space="0" w:color="auto"/>
        <w:bottom w:val="none" w:sz="0" w:space="0" w:color="auto"/>
        <w:right w:val="none" w:sz="0" w:space="0" w:color="auto"/>
      </w:divBdr>
    </w:div>
    <w:div w:id="1959026002">
      <w:bodyDiv w:val="1"/>
      <w:marLeft w:val="0"/>
      <w:marRight w:val="0"/>
      <w:marTop w:val="0"/>
      <w:marBottom w:val="0"/>
      <w:divBdr>
        <w:top w:val="none" w:sz="0" w:space="0" w:color="auto"/>
        <w:left w:val="none" w:sz="0" w:space="0" w:color="auto"/>
        <w:bottom w:val="none" w:sz="0" w:space="0" w:color="auto"/>
        <w:right w:val="none" w:sz="0" w:space="0" w:color="auto"/>
      </w:divBdr>
    </w:div>
    <w:div w:id="1959027560">
      <w:bodyDiv w:val="1"/>
      <w:marLeft w:val="0"/>
      <w:marRight w:val="0"/>
      <w:marTop w:val="0"/>
      <w:marBottom w:val="0"/>
      <w:divBdr>
        <w:top w:val="none" w:sz="0" w:space="0" w:color="auto"/>
        <w:left w:val="none" w:sz="0" w:space="0" w:color="auto"/>
        <w:bottom w:val="none" w:sz="0" w:space="0" w:color="auto"/>
        <w:right w:val="none" w:sz="0" w:space="0" w:color="auto"/>
      </w:divBdr>
    </w:div>
    <w:div w:id="1959484883">
      <w:bodyDiv w:val="1"/>
      <w:marLeft w:val="0"/>
      <w:marRight w:val="0"/>
      <w:marTop w:val="0"/>
      <w:marBottom w:val="0"/>
      <w:divBdr>
        <w:top w:val="none" w:sz="0" w:space="0" w:color="auto"/>
        <w:left w:val="none" w:sz="0" w:space="0" w:color="auto"/>
        <w:bottom w:val="none" w:sz="0" w:space="0" w:color="auto"/>
        <w:right w:val="none" w:sz="0" w:space="0" w:color="auto"/>
      </w:divBdr>
    </w:div>
    <w:div w:id="1959532563">
      <w:bodyDiv w:val="1"/>
      <w:marLeft w:val="0"/>
      <w:marRight w:val="0"/>
      <w:marTop w:val="0"/>
      <w:marBottom w:val="0"/>
      <w:divBdr>
        <w:top w:val="none" w:sz="0" w:space="0" w:color="auto"/>
        <w:left w:val="none" w:sz="0" w:space="0" w:color="auto"/>
        <w:bottom w:val="none" w:sz="0" w:space="0" w:color="auto"/>
        <w:right w:val="none" w:sz="0" w:space="0" w:color="auto"/>
      </w:divBdr>
    </w:div>
    <w:div w:id="1959599322">
      <w:bodyDiv w:val="1"/>
      <w:marLeft w:val="0"/>
      <w:marRight w:val="0"/>
      <w:marTop w:val="0"/>
      <w:marBottom w:val="0"/>
      <w:divBdr>
        <w:top w:val="none" w:sz="0" w:space="0" w:color="auto"/>
        <w:left w:val="none" w:sz="0" w:space="0" w:color="auto"/>
        <w:bottom w:val="none" w:sz="0" w:space="0" w:color="auto"/>
        <w:right w:val="none" w:sz="0" w:space="0" w:color="auto"/>
      </w:divBdr>
    </w:div>
    <w:div w:id="1959603869">
      <w:bodyDiv w:val="1"/>
      <w:marLeft w:val="0"/>
      <w:marRight w:val="0"/>
      <w:marTop w:val="0"/>
      <w:marBottom w:val="0"/>
      <w:divBdr>
        <w:top w:val="none" w:sz="0" w:space="0" w:color="auto"/>
        <w:left w:val="none" w:sz="0" w:space="0" w:color="auto"/>
        <w:bottom w:val="none" w:sz="0" w:space="0" w:color="auto"/>
        <w:right w:val="none" w:sz="0" w:space="0" w:color="auto"/>
      </w:divBdr>
    </w:div>
    <w:div w:id="1960605034">
      <w:bodyDiv w:val="1"/>
      <w:marLeft w:val="0"/>
      <w:marRight w:val="0"/>
      <w:marTop w:val="0"/>
      <w:marBottom w:val="0"/>
      <w:divBdr>
        <w:top w:val="none" w:sz="0" w:space="0" w:color="auto"/>
        <w:left w:val="none" w:sz="0" w:space="0" w:color="auto"/>
        <w:bottom w:val="none" w:sz="0" w:space="0" w:color="auto"/>
        <w:right w:val="none" w:sz="0" w:space="0" w:color="auto"/>
      </w:divBdr>
    </w:div>
    <w:div w:id="1960650196">
      <w:bodyDiv w:val="1"/>
      <w:marLeft w:val="0"/>
      <w:marRight w:val="0"/>
      <w:marTop w:val="0"/>
      <w:marBottom w:val="0"/>
      <w:divBdr>
        <w:top w:val="none" w:sz="0" w:space="0" w:color="auto"/>
        <w:left w:val="none" w:sz="0" w:space="0" w:color="auto"/>
        <w:bottom w:val="none" w:sz="0" w:space="0" w:color="auto"/>
        <w:right w:val="none" w:sz="0" w:space="0" w:color="auto"/>
      </w:divBdr>
    </w:div>
    <w:div w:id="1960917715">
      <w:bodyDiv w:val="1"/>
      <w:marLeft w:val="0"/>
      <w:marRight w:val="0"/>
      <w:marTop w:val="0"/>
      <w:marBottom w:val="0"/>
      <w:divBdr>
        <w:top w:val="none" w:sz="0" w:space="0" w:color="auto"/>
        <w:left w:val="none" w:sz="0" w:space="0" w:color="auto"/>
        <w:bottom w:val="none" w:sz="0" w:space="0" w:color="auto"/>
        <w:right w:val="none" w:sz="0" w:space="0" w:color="auto"/>
      </w:divBdr>
    </w:div>
    <w:div w:id="1961260871">
      <w:bodyDiv w:val="1"/>
      <w:marLeft w:val="0"/>
      <w:marRight w:val="0"/>
      <w:marTop w:val="0"/>
      <w:marBottom w:val="0"/>
      <w:divBdr>
        <w:top w:val="none" w:sz="0" w:space="0" w:color="auto"/>
        <w:left w:val="none" w:sz="0" w:space="0" w:color="auto"/>
        <w:bottom w:val="none" w:sz="0" w:space="0" w:color="auto"/>
        <w:right w:val="none" w:sz="0" w:space="0" w:color="auto"/>
      </w:divBdr>
    </w:div>
    <w:div w:id="1961451077">
      <w:bodyDiv w:val="1"/>
      <w:marLeft w:val="0"/>
      <w:marRight w:val="0"/>
      <w:marTop w:val="0"/>
      <w:marBottom w:val="0"/>
      <w:divBdr>
        <w:top w:val="none" w:sz="0" w:space="0" w:color="auto"/>
        <w:left w:val="none" w:sz="0" w:space="0" w:color="auto"/>
        <w:bottom w:val="none" w:sz="0" w:space="0" w:color="auto"/>
        <w:right w:val="none" w:sz="0" w:space="0" w:color="auto"/>
      </w:divBdr>
    </w:div>
    <w:div w:id="1961953934">
      <w:bodyDiv w:val="1"/>
      <w:marLeft w:val="0"/>
      <w:marRight w:val="0"/>
      <w:marTop w:val="0"/>
      <w:marBottom w:val="0"/>
      <w:divBdr>
        <w:top w:val="none" w:sz="0" w:space="0" w:color="auto"/>
        <w:left w:val="none" w:sz="0" w:space="0" w:color="auto"/>
        <w:bottom w:val="none" w:sz="0" w:space="0" w:color="auto"/>
        <w:right w:val="none" w:sz="0" w:space="0" w:color="auto"/>
      </w:divBdr>
    </w:div>
    <w:div w:id="1962299819">
      <w:bodyDiv w:val="1"/>
      <w:marLeft w:val="0"/>
      <w:marRight w:val="0"/>
      <w:marTop w:val="0"/>
      <w:marBottom w:val="0"/>
      <w:divBdr>
        <w:top w:val="none" w:sz="0" w:space="0" w:color="auto"/>
        <w:left w:val="none" w:sz="0" w:space="0" w:color="auto"/>
        <w:bottom w:val="none" w:sz="0" w:space="0" w:color="auto"/>
        <w:right w:val="none" w:sz="0" w:space="0" w:color="auto"/>
      </w:divBdr>
    </w:div>
    <w:div w:id="1962413482">
      <w:bodyDiv w:val="1"/>
      <w:marLeft w:val="0"/>
      <w:marRight w:val="0"/>
      <w:marTop w:val="0"/>
      <w:marBottom w:val="0"/>
      <w:divBdr>
        <w:top w:val="none" w:sz="0" w:space="0" w:color="auto"/>
        <w:left w:val="none" w:sz="0" w:space="0" w:color="auto"/>
        <w:bottom w:val="none" w:sz="0" w:space="0" w:color="auto"/>
        <w:right w:val="none" w:sz="0" w:space="0" w:color="auto"/>
      </w:divBdr>
    </w:div>
    <w:div w:id="1962421699">
      <w:bodyDiv w:val="1"/>
      <w:marLeft w:val="0"/>
      <w:marRight w:val="0"/>
      <w:marTop w:val="0"/>
      <w:marBottom w:val="0"/>
      <w:divBdr>
        <w:top w:val="none" w:sz="0" w:space="0" w:color="auto"/>
        <w:left w:val="none" w:sz="0" w:space="0" w:color="auto"/>
        <w:bottom w:val="none" w:sz="0" w:space="0" w:color="auto"/>
        <w:right w:val="none" w:sz="0" w:space="0" w:color="auto"/>
      </w:divBdr>
    </w:div>
    <w:div w:id="1962953830">
      <w:bodyDiv w:val="1"/>
      <w:marLeft w:val="0"/>
      <w:marRight w:val="0"/>
      <w:marTop w:val="0"/>
      <w:marBottom w:val="0"/>
      <w:divBdr>
        <w:top w:val="none" w:sz="0" w:space="0" w:color="auto"/>
        <w:left w:val="none" w:sz="0" w:space="0" w:color="auto"/>
        <w:bottom w:val="none" w:sz="0" w:space="0" w:color="auto"/>
        <w:right w:val="none" w:sz="0" w:space="0" w:color="auto"/>
      </w:divBdr>
    </w:div>
    <w:div w:id="1962957532">
      <w:bodyDiv w:val="1"/>
      <w:marLeft w:val="0"/>
      <w:marRight w:val="0"/>
      <w:marTop w:val="0"/>
      <w:marBottom w:val="0"/>
      <w:divBdr>
        <w:top w:val="none" w:sz="0" w:space="0" w:color="auto"/>
        <w:left w:val="none" w:sz="0" w:space="0" w:color="auto"/>
        <w:bottom w:val="none" w:sz="0" w:space="0" w:color="auto"/>
        <w:right w:val="none" w:sz="0" w:space="0" w:color="auto"/>
      </w:divBdr>
    </w:div>
    <w:div w:id="1963031989">
      <w:bodyDiv w:val="1"/>
      <w:marLeft w:val="0"/>
      <w:marRight w:val="0"/>
      <w:marTop w:val="0"/>
      <w:marBottom w:val="0"/>
      <w:divBdr>
        <w:top w:val="none" w:sz="0" w:space="0" w:color="auto"/>
        <w:left w:val="none" w:sz="0" w:space="0" w:color="auto"/>
        <w:bottom w:val="none" w:sz="0" w:space="0" w:color="auto"/>
        <w:right w:val="none" w:sz="0" w:space="0" w:color="auto"/>
      </w:divBdr>
    </w:div>
    <w:div w:id="1964538439">
      <w:bodyDiv w:val="1"/>
      <w:marLeft w:val="0"/>
      <w:marRight w:val="0"/>
      <w:marTop w:val="0"/>
      <w:marBottom w:val="0"/>
      <w:divBdr>
        <w:top w:val="none" w:sz="0" w:space="0" w:color="auto"/>
        <w:left w:val="none" w:sz="0" w:space="0" w:color="auto"/>
        <w:bottom w:val="none" w:sz="0" w:space="0" w:color="auto"/>
        <w:right w:val="none" w:sz="0" w:space="0" w:color="auto"/>
      </w:divBdr>
    </w:div>
    <w:div w:id="1965188797">
      <w:bodyDiv w:val="1"/>
      <w:marLeft w:val="0"/>
      <w:marRight w:val="0"/>
      <w:marTop w:val="0"/>
      <w:marBottom w:val="0"/>
      <w:divBdr>
        <w:top w:val="none" w:sz="0" w:space="0" w:color="auto"/>
        <w:left w:val="none" w:sz="0" w:space="0" w:color="auto"/>
        <w:bottom w:val="none" w:sz="0" w:space="0" w:color="auto"/>
        <w:right w:val="none" w:sz="0" w:space="0" w:color="auto"/>
      </w:divBdr>
    </w:div>
    <w:div w:id="1965231716">
      <w:bodyDiv w:val="1"/>
      <w:marLeft w:val="0"/>
      <w:marRight w:val="0"/>
      <w:marTop w:val="0"/>
      <w:marBottom w:val="0"/>
      <w:divBdr>
        <w:top w:val="none" w:sz="0" w:space="0" w:color="auto"/>
        <w:left w:val="none" w:sz="0" w:space="0" w:color="auto"/>
        <w:bottom w:val="none" w:sz="0" w:space="0" w:color="auto"/>
        <w:right w:val="none" w:sz="0" w:space="0" w:color="auto"/>
      </w:divBdr>
    </w:div>
    <w:div w:id="1965650947">
      <w:bodyDiv w:val="1"/>
      <w:marLeft w:val="0"/>
      <w:marRight w:val="0"/>
      <w:marTop w:val="0"/>
      <w:marBottom w:val="0"/>
      <w:divBdr>
        <w:top w:val="none" w:sz="0" w:space="0" w:color="auto"/>
        <w:left w:val="none" w:sz="0" w:space="0" w:color="auto"/>
        <w:bottom w:val="none" w:sz="0" w:space="0" w:color="auto"/>
        <w:right w:val="none" w:sz="0" w:space="0" w:color="auto"/>
      </w:divBdr>
    </w:div>
    <w:div w:id="1965885662">
      <w:bodyDiv w:val="1"/>
      <w:marLeft w:val="0"/>
      <w:marRight w:val="0"/>
      <w:marTop w:val="0"/>
      <w:marBottom w:val="0"/>
      <w:divBdr>
        <w:top w:val="none" w:sz="0" w:space="0" w:color="auto"/>
        <w:left w:val="none" w:sz="0" w:space="0" w:color="auto"/>
        <w:bottom w:val="none" w:sz="0" w:space="0" w:color="auto"/>
        <w:right w:val="none" w:sz="0" w:space="0" w:color="auto"/>
      </w:divBdr>
    </w:div>
    <w:div w:id="1967394292">
      <w:bodyDiv w:val="1"/>
      <w:marLeft w:val="0"/>
      <w:marRight w:val="0"/>
      <w:marTop w:val="0"/>
      <w:marBottom w:val="0"/>
      <w:divBdr>
        <w:top w:val="none" w:sz="0" w:space="0" w:color="auto"/>
        <w:left w:val="none" w:sz="0" w:space="0" w:color="auto"/>
        <w:bottom w:val="none" w:sz="0" w:space="0" w:color="auto"/>
        <w:right w:val="none" w:sz="0" w:space="0" w:color="auto"/>
      </w:divBdr>
    </w:div>
    <w:div w:id="1968388106">
      <w:bodyDiv w:val="1"/>
      <w:marLeft w:val="0"/>
      <w:marRight w:val="0"/>
      <w:marTop w:val="0"/>
      <w:marBottom w:val="0"/>
      <w:divBdr>
        <w:top w:val="none" w:sz="0" w:space="0" w:color="auto"/>
        <w:left w:val="none" w:sz="0" w:space="0" w:color="auto"/>
        <w:bottom w:val="none" w:sz="0" w:space="0" w:color="auto"/>
        <w:right w:val="none" w:sz="0" w:space="0" w:color="auto"/>
      </w:divBdr>
    </w:div>
    <w:div w:id="1968394201">
      <w:bodyDiv w:val="1"/>
      <w:marLeft w:val="0"/>
      <w:marRight w:val="0"/>
      <w:marTop w:val="0"/>
      <w:marBottom w:val="0"/>
      <w:divBdr>
        <w:top w:val="none" w:sz="0" w:space="0" w:color="auto"/>
        <w:left w:val="none" w:sz="0" w:space="0" w:color="auto"/>
        <w:bottom w:val="none" w:sz="0" w:space="0" w:color="auto"/>
        <w:right w:val="none" w:sz="0" w:space="0" w:color="auto"/>
      </w:divBdr>
    </w:div>
    <w:div w:id="1968658050">
      <w:bodyDiv w:val="1"/>
      <w:marLeft w:val="0"/>
      <w:marRight w:val="0"/>
      <w:marTop w:val="0"/>
      <w:marBottom w:val="0"/>
      <w:divBdr>
        <w:top w:val="none" w:sz="0" w:space="0" w:color="auto"/>
        <w:left w:val="none" w:sz="0" w:space="0" w:color="auto"/>
        <w:bottom w:val="none" w:sz="0" w:space="0" w:color="auto"/>
        <w:right w:val="none" w:sz="0" w:space="0" w:color="auto"/>
      </w:divBdr>
    </w:div>
    <w:div w:id="1969582059">
      <w:bodyDiv w:val="1"/>
      <w:marLeft w:val="0"/>
      <w:marRight w:val="0"/>
      <w:marTop w:val="0"/>
      <w:marBottom w:val="0"/>
      <w:divBdr>
        <w:top w:val="none" w:sz="0" w:space="0" w:color="auto"/>
        <w:left w:val="none" w:sz="0" w:space="0" w:color="auto"/>
        <w:bottom w:val="none" w:sz="0" w:space="0" w:color="auto"/>
        <w:right w:val="none" w:sz="0" w:space="0" w:color="auto"/>
      </w:divBdr>
    </w:div>
    <w:div w:id="1969701799">
      <w:bodyDiv w:val="1"/>
      <w:marLeft w:val="0"/>
      <w:marRight w:val="0"/>
      <w:marTop w:val="0"/>
      <w:marBottom w:val="0"/>
      <w:divBdr>
        <w:top w:val="none" w:sz="0" w:space="0" w:color="auto"/>
        <w:left w:val="none" w:sz="0" w:space="0" w:color="auto"/>
        <w:bottom w:val="none" w:sz="0" w:space="0" w:color="auto"/>
        <w:right w:val="none" w:sz="0" w:space="0" w:color="auto"/>
      </w:divBdr>
    </w:div>
    <w:div w:id="1970815641">
      <w:bodyDiv w:val="1"/>
      <w:marLeft w:val="0"/>
      <w:marRight w:val="0"/>
      <w:marTop w:val="0"/>
      <w:marBottom w:val="0"/>
      <w:divBdr>
        <w:top w:val="none" w:sz="0" w:space="0" w:color="auto"/>
        <w:left w:val="none" w:sz="0" w:space="0" w:color="auto"/>
        <w:bottom w:val="none" w:sz="0" w:space="0" w:color="auto"/>
        <w:right w:val="none" w:sz="0" w:space="0" w:color="auto"/>
      </w:divBdr>
    </w:div>
    <w:div w:id="1972514745">
      <w:bodyDiv w:val="1"/>
      <w:marLeft w:val="0"/>
      <w:marRight w:val="0"/>
      <w:marTop w:val="0"/>
      <w:marBottom w:val="0"/>
      <w:divBdr>
        <w:top w:val="none" w:sz="0" w:space="0" w:color="auto"/>
        <w:left w:val="none" w:sz="0" w:space="0" w:color="auto"/>
        <w:bottom w:val="none" w:sz="0" w:space="0" w:color="auto"/>
        <w:right w:val="none" w:sz="0" w:space="0" w:color="auto"/>
      </w:divBdr>
    </w:div>
    <w:div w:id="1972707053">
      <w:bodyDiv w:val="1"/>
      <w:marLeft w:val="0"/>
      <w:marRight w:val="0"/>
      <w:marTop w:val="0"/>
      <w:marBottom w:val="0"/>
      <w:divBdr>
        <w:top w:val="none" w:sz="0" w:space="0" w:color="auto"/>
        <w:left w:val="none" w:sz="0" w:space="0" w:color="auto"/>
        <w:bottom w:val="none" w:sz="0" w:space="0" w:color="auto"/>
        <w:right w:val="none" w:sz="0" w:space="0" w:color="auto"/>
      </w:divBdr>
    </w:div>
    <w:div w:id="1972788149">
      <w:bodyDiv w:val="1"/>
      <w:marLeft w:val="0"/>
      <w:marRight w:val="0"/>
      <w:marTop w:val="0"/>
      <w:marBottom w:val="0"/>
      <w:divBdr>
        <w:top w:val="none" w:sz="0" w:space="0" w:color="auto"/>
        <w:left w:val="none" w:sz="0" w:space="0" w:color="auto"/>
        <w:bottom w:val="none" w:sz="0" w:space="0" w:color="auto"/>
        <w:right w:val="none" w:sz="0" w:space="0" w:color="auto"/>
      </w:divBdr>
    </w:div>
    <w:div w:id="1973367387">
      <w:bodyDiv w:val="1"/>
      <w:marLeft w:val="0"/>
      <w:marRight w:val="0"/>
      <w:marTop w:val="0"/>
      <w:marBottom w:val="0"/>
      <w:divBdr>
        <w:top w:val="none" w:sz="0" w:space="0" w:color="auto"/>
        <w:left w:val="none" w:sz="0" w:space="0" w:color="auto"/>
        <w:bottom w:val="none" w:sz="0" w:space="0" w:color="auto"/>
        <w:right w:val="none" w:sz="0" w:space="0" w:color="auto"/>
      </w:divBdr>
    </w:div>
    <w:div w:id="1974091146">
      <w:bodyDiv w:val="1"/>
      <w:marLeft w:val="0"/>
      <w:marRight w:val="0"/>
      <w:marTop w:val="0"/>
      <w:marBottom w:val="0"/>
      <w:divBdr>
        <w:top w:val="none" w:sz="0" w:space="0" w:color="auto"/>
        <w:left w:val="none" w:sz="0" w:space="0" w:color="auto"/>
        <w:bottom w:val="none" w:sz="0" w:space="0" w:color="auto"/>
        <w:right w:val="none" w:sz="0" w:space="0" w:color="auto"/>
      </w:divBdr>
    </w:div>
    <w:div w:id="1974291431">
      <w:bodyDiv w:val="1"/>
      <w:marLeft w:val="0"/>
      <w:marRight w:val="0"/>
      <w:marTop w:val="0"/>
      <w:marBottom w:val="0"/>
      <w:divBdr>
        <w:top w:val="none" w:sz="0" w:space="0" w:color="auto"/>
        <w:left w:val="none" w:sz="0" w:space="0" w:color="auto"/>
        <w:bottom w:val="none" w:sz="0" w:space="0" w:color="auto"/>
        <w:right w:val="none" w:sz="0" w:space="0" w:color="auto"/>
      </w:divBdr>
    </w:div>
    <w:div w:id="1974292097">
      <w:bodyDiv w:val="1"/>
      <w:marLeft w:val="0"/>
      <w:marRight w:val="0"/>
      <w:marTop w:val="0"/>
      <w:marBottom w:val="0"/>
      <w:divBdr>
        <w:top w:val="none" w:sz="0" w:space="0" w:color="auto"/>
        <w:left w:val="none" w:sz="0" w:space="0" w:color="auto"/>
        <w:bottom w:val="none" w:sz="0" w:space="0" w:color="auto"/>
        <w:right w:val="none" w:sz="0" w:space="0" w:color="auto"/>
      </w:divBdr>
    </w:div>
    <w:div w:id="1974366664">
      <w:bodyDiv w:val="1"/>
      <w:marLeft w:val="0"/>
      <w:marRight w:val="0"/>
      <w:marTop w:val="0"/>
      <w:marBottom w:val="0"/>
      <w:divBdr>
        <w:top w:val="none" w:sz="0" w:space="0" w:color="auto"/>
        <w:left w:val="none" w:sz="0" w:space="0" w:color="auto"/>
        <w:bottom w:val="none" w:sz="0" w:space="0" w:color="auto"/>
        <w:right w:val="none" w:sz="0" w:space="0" w:color="auto"/>
      </w:divBdr>
    </w:div>
    <w:div w:id="1974601774">
      <w:bodyDiv w:val="1"/>
      <w:marLeft w:val="0"/>
      <w:marRight w:val="0"/>
      <w:marTop w:val="0"/>
      <w:marBottom w:val="0"/>
      <w:divBdr>
        <w:top w:val="none" w:sz="0" w:space="0" w:color="auto"/>
        <w:left w:val="none" w:sz="0" w:space="0" w:color="auto"/>
        <w:bottom w:val="none" w:sz="0" w:space="0" w:color="auto"/>
        <w:right w:val="none" w:sz="0" w:space="0" w:color="auto"/>
      </w:divBdr>
    </w:div>
    <w:div w:id="1974827851">
      <w:bodyDiv w:val="1"/>
      <w:marLeft w:val="0"/>
      <w:marRight w:val="0"/>
      <w:marTop w:val="0"/>
      <w:marBottom w:val="0"/>
      <w:divBdr>
        <w:top w:val="none" w:sz="0" w:space="0" w:color="auto"/>
        <w:left w:val="none" w:sz="0" w:space="0" w:color="auto"/>
        <w:bottom w:val="none" w:sz="0" w:space="0" w:color="auto"/>
        <w:right w:val="none" w:sz="0" w:space="0" w:color="auto"/>
      </w:divBdr>
    </w:div>
    <w:div w:id="1974941460">
      <w:bodyDiv w:val="1"/>
      <w:marLeft w:val="0"/>
      <w:marRight w:val="0"/>
      <w:marTop w:val="0"/>
      <w:marBottom w:val="0"/>
      <w:divBdr>
        <w:top w:val="none" w:sz="0" w:space="0" w:color="auto"/>
        <w:left w:val="none" w:sz="0" w:space="0" w:color="auto"/>
        <w:bottom w:val="none" w:sz="0" w:space="0" w:color="auto"/>
        <w:right w:val="none" w:sz="0" w:space="0" w:color="auto"/>
      </w:divBdr>
    </w:div>
    <w:div w:id="1975522080">
      <w:bodyDiv w:val="1"/>
      <w:marLeft w:val="0"/>
      <w:marRight w:val="0"/>
      <w:marTop w:val="0"/>
      <w:marBottom w:val="0"/>
      <w:divBdr>
        <w:top w:val="none" w:sz="0" w:space="0" w:color="auto"/>
        <w:left w:val="none" w:sz="0" w:space="0" w:color="auto"/>
        <w:bottom w:val="none" w:sz="0" w:space="0" w:color="auto"/>
        <w:right w:val="none" w:sz="0" w:space="0" w:color="auto"/>
      </w:divBdr>
    </w:div>
    <w:div w:id="1975866348">
      <w:bodyDiv w:val="1"/>
      <w:marLeft w:val="0"/>
      <w:marRight w:val="0"/>
      <w:marTop w:val="0"/>
      <w:marBottom w:val="0"/>
      <w:divBdr>
        <w:top w:val="none" w:sz="0" w:space="0" w:color="auto"/>
        <w:left w:val="none" w:sz="0" w:space="0" w:color="auto"/>
        <w:bottom w:val="none" w:sz="0" w:space="0" w:color="auto"/>
        <w:right w:val="none" w:sz="0" w:space="0" w:color="auto"/>
      </w:divBdr>
    </w:div>
    <w:div w:id="1975940820">
      <w:bodyDiv w:val="1"/>
      <w:marLeft w:val="0"/>
      <w:marRight w:val="0"/>
      <w:marTop w:val="0"/>
      <w:marBottom w:val="0"/>
      <w:divBdr>
        <w:top w:val="none" w:sz="0" w:space="0" w:color="auto"/>
        <w:left w:val="none" w:sz="0" w:space="0" w:color="auto"/>
        <w:bottom w:val="none" w:sz="0" w:space="0" w:color="auto"/>
        <w:right w:val="none" w:sz="0" w:space="0" w:color="auto"/>
      </w:divBdr>
    </w:div>
    <w:div w:id="1976059677">
      <w:bodyDiv w:val="1"/>
      <w:marLeft w:val="0"/>
      <w:marRight w:val="0"/>
      <w:marTop w:val="0"/>
      <w:marBottom w:val="0"/>
      <w:divBdr>
        <w:top w:val="none" w:sz="0" w:space="0" w:color="auto"/>
        <w:left w:val="none" w:sz="0" w:space="0" w:color="auto"/>
        <w:bottom w:val="none" w:sz="0" w:space="0" w:color="auto"/>
        <w:right w:val="none" w:sz="0" w:space="0" w:color="auto"/>
      </w:divBdr>
    </w:div>
    <w:div w:id="1976836622">
      <w:bodyDiv w:val="1"/>
      <w:marLeft w:val="0"/>
      <w:marRight w:val="0"/>
      <w:marTop w:val="0"/>
      <w:marBottom w:val="0"/>
      <w:divBdr>
        <w:top w:val="none" w:sz="0" w:space="0" w:color="auto"/>
        <w:left w:val="none" w:sz="0" w:space="0" w:color="auto"/>
        <w:bottom w:val="none" w:sz="0" w:space="0" w:color="auto"/>
        <w:right w:val="none" w:sz="0" w:space="0" w:color="auto"/>
      </w:divBdr>
    </w:div>
    <w:div w:id="1976913474">
      <w:bodyDiv w:val="1"/>
      <w:marLeft w:val="0"/>
      <w:marRight w:val="0"/>
      <w:marTop w:val="0"/>
      <w:marBottom w:val="0"/>
      <w:divBdr>
        <w:top w:val="none" w:sz="0" w:space="0" w:color="auto"/>
        <w:left w:val="none" w:sz="0" w:space="0" w:color="auto"/>
        <w:bottom w:val="none" w:sz="0" w:space="0" w:color="auto"/>
        <w:right w:val="none" w:sz="0" w:space="0" w:color="auto"/>
      </w:divBdr>
    </w:div>
    <w:div w:id="1977253665">
      <w:bodyDiv w:val="1"/>
      <w:marLeft w:val="0"/>
      <w:marRight w:val="0"/>
      <w:marTop w:val="0"/>
      <w:marBottom w:val="0"/>
      <w:divBdr>
        <w:top w:val="none" w:sz="0" w:space="0" w:color="auto"/>
        <w:left w:val="none" w:sz="0" w:space="0" w:color="auto"/>
        <w:bottom w:val="none" w:sz="0" w:space="0" w:color="auto"/>
        <w:right w:val="none" w:sz="0" w:space="0" w:color="auto"/>
      </w:divBdr>
    </w:div>
    <w:div w:id="1978877629">
      <w:bodyDiv w:val="1"/>
      <w:marLeft w:val="0"/>
      <w:marRight w:val="0"/>
      <w:marTop w:val="0"/>
      <w:marBottom w:val="0"/>
      <w:divBdr>
        <w:top w:val="none" w:sz="0" w:space="0" w:color="auto"/>
        <w:left w:val="none" w:sz="0" w:space="0" w:color="auto"/>
        <w:bottom w:val="none" w:sz="0" w:space="0" w:color="auto"/>
        <w:right w:val="none" w:sz="0" w:space="0" w:color="auto"/>
      </w:divBdr>
    </w:div>
    <w:div w:id="1979415041">
      <w:bodyDiv w:val="1"/>
      <w:marLeft w:val="0"/>
      <w:marRight w:val="0"/>
      <w:marTop w:val="0"/>
      <w:marBottom w:val="0"/>
      <w:divBdr>
        <w:top w:val="none" w:sz="0" w:space="0" w:color="auto"/>
        <w:left w:val="none" w:sz="0" w:space="0" w:color="auto"/>
        <w:bottom w:val="none" w:sz="0" w:space="0" w:color="auto"/>
        <w:right w:val="none" w:sz="0" w:space="0" w:color="auto"/>
      </w:divBdr>
    </w:div>
    <w:div w:id="1979605903">
      <w:bodyDiv w:val="1"/>
      <w:marLeft w:val="0"/>
      <w:marRight w:val="0"/>
      <w:marTop w:val="0"/>
      <w:marBottom w:val="0"/>
      <w:divBdr>
        <w:top w:val="none" w:sz="0" w:space="0" w:color="auto"/>
        <w:left w:val="none" w:sz="0" w:space="0" w:color="auto"/>
        <w:bottom w:val="none" w:sz="0" w:space="0" w:color="auto"/>
        <w:right w:val="none" w:sz="0" w:space="0" w:color="auto"/>
      </w:divBdr>
    </w:div>
    <w:div w:id="1979646089">
      <w:bodyDiv w:val="1"/>
      <w:marLeft w:val="0"/>
      <w:marRight w:val="0"/>
      <w:marTop w:val="0"/>
      <w:marBottom w:val="0"/>
      <w:divBdr>
        <w:top w:val="none" w:sz="0" w:space="0" w:color="auto"/>
        <w:left w:val="none" w:sz="0" w:space="0" w:color="auto"/>
        <w:bottom w:val="none" w:sz="0" w:space="0" w:color="auto"/>
        <w:right w:val="none" w:sz="0" w:space="0" w:color="auto"/>
      </w:divBdr>
    </w:div>
    <w:div w:id="1979647228">
      <w:bodyDiv w:val="1"/>
      <w:marLeft w:val="0"/>
      <w:marRight w:val="0"/>
      <w:marTop w:val="0"/>
      <w:marBottom w:val="0"/>
      <w:divBdr>
        <w:top w:val="none" w:sz="0" w:space="0" w:color="auto"/>
        <w:left w:val="none" w:sz="0" w:space="0" w:color="auto"/>
        <w:bottom w:val="none" w:sz="0" w:space="0" w:color="auto"/>
        <w:right w:val="none" w:sz="0" w:space="0" w:color="auto"/>
      </w:divBdr>
    </w:div>
    <w:div w:id="1980920540">
      <w:bodyDiv w:val="1"/>
      <w:marLeft w:val="0"/>
      <w:marRight w:val="0"/>
      <w:marTop w:val="0"/>
      <w:marBottom w:val="0"/>
      <w:divBdr>
        <w:top w:val="none" w:sz="0" w:space="0" w:color="auto"/>
        <w:left w:val="none" w:sz="0" w:space="0" w:color="auto"/>
        <w:bottom w:val="none" w:sz="0" w:space="0" w:color="auto"/>
        <w:right w:val="none" w:sz="0" w:space="0" w:color="auto"/>
      </w:divBdr>
    </w:div>
    <w:div w:id="1981112569">
      <w:bodyDiv w:val="1"/>
      <w:marLeft w:val="0"/>
      <w:marRight w:val="0"/>
      <w:marTop w:val="0"/>
      <w:marBottom w:val="0"/>
      <w:divBdr>
        <w:top w:val="none" w:sz="0" w:space="0" w:color="auto"/>
        <w:left w:val="none" w:sz="0" w:space="0" w:color="auto"/>
        <w:bottom w:val="none" w:sz="0" w:space="0" w:color="auto"/>
        <w:right w:val="none" w:sz="0" w:space="0" w:color="auto"/>
      </w:divBdr>
    </w:div>
    <w:div w:id="1981690035">
      <w:bodyDiv w:val="1"/>
      <w:marLeft w:val="0"/>
      <w:marRight w:val="0"/>
      <w:marTop w:val="0"/>
      <w:marBottom w:val="0"/>
      <w:divBdr>
        <w:top w:val="none" w:sz="0" w:space="0" w:color="auto"/>
        <w:left w:val="none" w:sz="0" w:space="0" w:color="auto"/>
        <w:bottom w:val="none" w:sz="0" w:space="0" w:color="auto"/>
        <w:right w:val="none" w:sz="0" w:space="0" w:color="auto"/>
      </w:divBdr>
    </w:div>
    <w:div w:id="1981762613">
      <w:bodyDiv w:val="1"/>
      <w:marLeft w:val="0"/>
      <w:marRight w:val="0"/>
      <w:marTop w:val="0"/>
      <w:marBottom w:val="0"/>
      <w:divBdr>
        <w:top w:val="none" w:sz="0" w:space="0" w:color="auto"/>
        <w:left w:val="none" w:sz="0" w:space="0" w:color="auto"/>
        <w:bottom w:val="none" w:sz="0" w:space="0" w:color="auto"/>
        <w:right w:val="none" w:sz="0" w:space="0" w:color="auto"/>
      </w:divBdr>
    </w:div>
    <w:div w:id="1982224354">
      <w:bodyDiv w:val="1"/>
      <w:marLeft w:val="0"/>
      <w:marRight w:val="0"/>
      <w:marTop w:val="0"/>
      <w:marBottom w:val="0"/>
      <w:divBdr>
        <w:top w:val="none" w:sz="0" w:space="0" w:color="auto"/>
        <w:left w:val="none" w:sz="0" w:space="0" w:color="auto"/>
        <w:bottom w:val="none" w:sz="0" w:space="0" w:color="auto"/>
        <w:right w:val="none" w:sz="0" w:space="0" w:color="auto"/>
      </w:divBdr>
    </w:div>
    <w:div w:id="1982689409">
      <w:bodyDiv w:val="1"/>
      <w:marLeft w:val="0"/>
      <w:marRight w:val="0"/>
      <w:marTop w:val="0"/>
      <w:marBottom w:val="0"/>
      <w:divBdr>
        <w:top w:val="none" w:sz="0" w:space="0" w:color="auto"/>
        <w:left w:val="none" w:sz="0" w:space="0" w:color="auto"/>
        <w:bottom w:val="none" w:sz="0" w:space="0" w:color="auto"/>
        <w:right w:val="none" w:sz="0" w:space="0" w:color="auto"/>
      </w:divBdr>
    </w:div>
    <w:div w:id="1983925001">
      <w:bodyDiv w:val="1"/>
      <w:marLeft w:val="0"/>
      <w:marRight w:val="0"/>
      <w:marTop w:val="0"/>
      <w:marBottom w:val="0"/>
      <w:divBdr>
        <w:top w:val="none" w:sz="0" w:space="0" w:color="auto"/>
        <w:left w:val="none" w:sz="0" w:space="0" w:color="auto"/>
        <w:bottom w:val="none" w:sz="0" w:space="0" w:color="auto"/>
        <w:right w:val="none" w:sz="0" w:space="0" w:color="auto"/>
      </w:divBdr>
    </w:div>
    <w:div w:id="1983995149">
      <w:bodyDiv w:val="1"/>
      <w:marLeft w:val="0"/>
      <w:marRight w:val="0"/>
      <w:marTop w:val="0"/>
      <w:marBottom w:val="0"/>
      <w:divBdr>
        <w:top w:val="none" w:sz="0" w:space="0" w:color="auto"/>
        <w:left w:val="none" w:sz="0" w:space="0" w:color="auto"/>
        <w:bottom w:val="none" w:sz="0" w:space="0" w:color="auto"/>
        <w:right w:val="none" w:sz="0" w:space="0" w:color="auto"/>
      </w:divBdr>
    </w:div>
    <w:div w:id="1984386987">
      <w:bodyDiv w:val="1"/>
      <w:marLeft w:val="0"/>
      <w:marRight w:val="0"/>
      <w:marTop w:val="0"/>
      <w:marBottom w:val="0"/>
      <w:divBdr>
        <w:top w:val="none" w:sz="0" w:space="0" w:color="auto"/>
        <w:left w:val="none" w:sz="0" w:space="0" w:color="auto"/>
        <w:bottom w:val="none" w:sz="0" w:space="0" w:color="auto"/>
        <w:right w:val="none" w:sz="0" w:space="0" w:color="auto"/>
      </w:divBdr>
    </w:div>
    <w:div w:id="1984580386">
      <w:bodyDiv w:val="1"/>
      <w:marLeft w:val="0"/>
      <w:marRight w:val="0"/>
      <w:marTop w:val="0"/>
      <w:marBottom w:val="0"/>
      <w:divBdr>
        <w:top w:val="none" w:sz="0" w:space="0" w:color="auto"/>
        <w:left w:val="none" w:sz="0" w:space="0" w:color="auto"/>
        <w:bottom w:val="none" w:sz="0" w:space="0" w:color="auto"/>
        <w:right w:val="none" w:sz="0" w:space="0" w:color="auto"/>
      </w:divBdr>
    </w:div>
    <w:div w:id="1984892604">
      <w:bodyDiv w:val="1"/>
      <w:marLeft w:val="0"/>
      <w:marRight w:val="0"/>
      <w:marTop w:val="0"/>
      <w:marBottom w:val="0"/>
      <w:divBdr>
        <w:top w:val="none" w:sz="0" w:space="0" w:color="auto"/>
        <w:left w:val="none" w:sz="0" w:space="0" w:color="auto"/>
        <w:bottom w:val="none" w:sz="0" w:space="0" w:color="auto"/>
        <w:right w:val="none" w:sz="0" w:space="0" w:color="auto"/>
      </w:divBdr>
    </w:div>
    <w:div w:id="1984894667">
      <w:bodyDiv w:val="1"/>
      <w:marLeft w:val="0"/>
      <w:marRight w:val="0"/>
      <w:marTop w:val="0"/>
      <w:marBottom w:val="0"/>
      <w:divBdr>
        <w:top w:val="none" w:sz="0" w:space="0" w:color="auto"/>
        <w:left w:val="none" w:sz="0" w:space="0" w:color="auto"/>
        <w:bottom w:val="none" w:sz="0" w:space="0" w:color="auto"/>
        <w:right w:val="none" w:sz="0" w:space="0" w:color="auto"/>
      </w:divBdr>
    </w:div>
    <w:div w:id="1985233350">
      <w:bodyDiv w:val="1"/>
      <w:marLeft w:val="0"/>
      <w:marRight w:val="0"/>
      <w:marTop w:val="0"/>
      <w:marBottom w:val="0"/>
      <w:divBdr>
        <w:top w:val="none" w:sz="0" w:space="0" w:color="auto"/>
        <w:left w:val="none" w:sz="0" w:space="0" w:color="auto"/>
        <w:bottom w:val="none" w:sz="0" w:space="0" w:color="auto"/>
        <w:right w:val="none" w:sz="0" w:space="0" w:color="auto"/>
      </w:divBdr>
    </w:div>
    <w:div w:id="1985233689">
      <w:bodyDiv w:val="1"/>
      <w:marLeft w:val="0"/>
      <w:marRight w:val="0"/>
      <w:marTop w:val="0"/>
      <w:marBottom w:val="0"/>
      <w:divBdr>
        <w:top w:val="none" w:sz="0" w:space="0" w:color="auto"/>
        <w:left w:val="none" w:sz="0" w:space="0" w:color="auto"/>
        <w:bottom w:val="none" w:sz="0" w:space="0" w:color="auto"/>
        <w:right w:val="none" w:sz="0" w:space="0" w:color="auto"/>
      </w:divBdr>
    </w:div>
    <w:div w:id="1986004821">
      <w:bodyDiv w:val="1"/>
      <w:marLeft w:val="0"/>
      <w:marRight w:val="0"/>
      <w:marTop w:val="0"/>
      <w:marBottom w:val="0"/>
      <w:divBdr>
        <w:top w:val="none" w:sz="0" w:space="0" w:color="auto"/>
        <w:left w:val="none" w:sz="0" w:space="0" w:color="auto"/>
        <w:bottom w:val="none" w:sz="0" w:space="0" w:color="auto"/>
        <w:right w:val="none" w:sz="0" w:space="0" w:color="auto"/>
      </w:divBdr>
    </w:div>
    <w:div w:id="1986275383">
      <w:bodyDiv w:val="1"/>
      <w:marLeft w:val="0"/>
      <w:marRight w:val="0"/>
      <w:marTop w:val="0"/>
      <w:marBottom w:val="0"/>
      <w:divBdr>
        <w:top w:val="none" w:sz="0" w:space="0" w:color="auto"/>
        <w:left w:val="none" w:sz="0" w:space="0" w:color="auto"/>
        <w:bottom w:val="none" w:sz="0" w:space="0" w:color="auto"/>
        <w:right w:val="none" w:sz="0" w:space="0" w:color="auto"/>
      </w:divBdr>
    </w:div>
    <w:div w:id="1986423190">
      <w:bodyDiv w:val="1"/>
      <w:marLeft w:val="0"/>
      <w:marRight w:val="0"/>
      <w:marTop w:val="0"/>
      <w:marBottom w:val="0"/>
      <w:divBdr>
        <w:top w:val="none" w:sz="0" w:space="0" w:color="auto"/>
        <w:left w:val="none" w:sz="0" w:space="0" w:color="auto"/>
        <w:bottom w:val="none" w:sz="0" w:space="0" w:color="auto"/>
        <w:right w:val="none" w:sz="0" w:space="0" w:color="auto"/>
      </w:divBdr>
    </w:div>
    <w:div w:id="1987082921">
      <w:bodyDiv w:val="1"/>
      <w:marLeft w:val="0"/>
      <w:marRight w:val="0"/>
      <w:marTop w:val="0"/>
      <w:marBottom w:val="0"/>
      <w:divBdr>
        <w:top w:val="none" w:sz="0" w:space="0" w:color="auto"/>
        <w:left w:val="none" w:sz="0" w:space="0" w:color="auto"/>
        <w:bottom w:val="none" w:sz="0" w:space="0" w:color="auto"/>
        <w:right w:val="none" w:sz="0" w:space="0" w:color="auto"/>
      </w:divBdr>
    </w:div>
    <w:div w:id="1987971549">
      <w:bodyDiv w:val="1"/>
      <w:marLeft w:val="0"/>
      <w:marRight w:val="0"/>
      <w:marTop w:val="0"/>
      <w:marBottom w:val="0"/>
      <w:divBdr>
        <w:top w:val="none" w:sz="0" w:space="0" w:color="auto"/>
        <w:left w:val="none" w:sz="0" w:space="0" w:color="auto"/>
        <w:bottom w:val="none" w:sz="0" w:space="0" w:color="auto"/>
        <w:right w:val="none" w:sz="0" w:space="0" w:color="auto"/>
      </w:divBdr>
    </w:div>
    <w:div w:id="1988196943">
      <w:bodyDiv w:val="1"/>
      <w:marLeft w:val="0"/>
      <w:marRight w:val="0"/>
      <w:marTop w:val="0"/>
      <w:marBottom w:val="0"/>
      <w:divBdr>
        <w:top w:val="none" w:sz="0" w:space="0" w:color="auto"/>
        <w:left w:val="none" w:sz="0" w:space="0" w:color="auto"/>
        <w:bottom w:val="none" w:sz="0" w:space="0" w:color="auto"/>
        <w:right w:val="none" w:sz="0" w:space="0" w:color="auto"/>
      </w:divBdr>
    </w:div>
    <w:div w:id="1988437621">
      <w:bodyDiv w:val="1"/>
      <w:marLeft w:val="0"/>
      <w:marRight w:val="0"/>
      <w:marTop w:val="0"/>
      <w:marBottom w:val="0"/>
      <w:divBdr>
        <w:top w:val="none" w:sz="0" w:space="0" w:color="auto"/>
        <w:left w:val="none" w:sz="0" w:space="0" w:color="auto"/>
        <w:bottom w:val="none" w:sz="0" w:space="0" w:color="auto"/>
        <w:right w:val="none" w:sz="0" w:space="0" w:color="auto"/>
      </w:divBdr>
    </w:div>
    <w:div w:id="1988700367">
      <w:bodyDiv w:val="1"/>
      <w:marLeft w:val="0"/>
      <w:marRight w:val="0"/>
      <w:marTop w:val="0"/>
      <w:marBottom w:val="0"/>
      <w:divBdr>
        <w:top w:val="none" w:sz="0" w:space="0" w:color="auto"/>
        <w:left w:val="none" w:sz="0" w:space="0" w:color="auto"/>
        <w:bottom w:val="none" w:sz="0" w:space="0" w:color="auto"/>
        <w:right w:val="none" w:sz="0" w:space="0" w:color="auto"/>
      </w:divBdr>
    </w:div>
    <w:div w:id="1988708006">
      <w:bodyDiv w:val="1"/>
      <w:marLeft w:val="0"/>
      <w:marRight w:val="0"/>
      <w:marTop w:val="0"/>
      <w:marBottom w:val="0"/>
      <w:divBdr>
        <w:top w:val="none" w:sz="0" w:space="0" w:color="auto"/>
        <w:left w:val="none" w:sz="0" w:space="0" w:color="auto"/>
        <w:bottom w:val="none" w:sz="0" w:space="0" w:color="auto"/>
        <w:right w:val="none" w:sz="0" w:space="0" w:color="auto"/>
      </w:divBdr>
    </w:div>
    <w:div w:id="1988894829">
      <w:bodyDiv w:val="1"/>
      <w:marLeft w:val="0"/>
      <w:marRight w:val="0"/>
      <w:marTop w:val="0"/>
      <w:marBottom w:val="0"/>
      <w:divBdr>
        <w:top w:val="none" w:sz="0" w:space="0" w:color="auto"/>
        <w:left w:val="none" w:sz="0" w:space="0" w:color="auto"/>
        <w:bottom w:val="none" w:sz="0" w:space="0" w:color="auto"/>
        <w:right w:val="none" w:sz="0" w:space="0" w:color="auto"/>
      </w:divBdr>
    </w:div>
    <w:div w:id="1988899905">
      <w:bodyDiv w:val="1"/>
      <w:marLeft w:val="0"/>
      <w:marRight w:val="0"/>
      <w:marTop w:val="0"/>
      <w:marBottom w:val="0"/>
      <w:divBdr>
        <w:top w:val="none" w:sz="0" w:space="0" w:color="auto"/>
        <w:left w:val="none" w:sz="0" w:space="0" w:color="auto"/>
        <w:bottom w:val="none" w:sz="0" w:space="0" w:color="auto"/>
        <w:right w:val="none" w:sz="0" w:space="0" w:color="auto"/>
      </w:divBdr>
    </w:div>
    <w:div w:id="1989435016">
      <w:bodyDiv w:val="1"/>
      <w:marLeft w:val="0"/>
      <w:marRight w:val="0"/>
      <w:marTop w:val="0"/>
      <w:marBottom w:val="0"/>
      <w:divBdr>
        <w:top w:val="none" w:sz="0" w:space="0" w:color="auto"/>
        <w:left w:val="none" w:sz="0" w:space="0" w:color="auto"/>
        <w:bottom w:val="none" w:sz="0" w:space="0" w:color="auto"/>
        <w:right w:val="none" w:sz="0" w:space="0" w:color="auto"/>
      </w:divBdr>
    </w:div>
    <w:div w:id="1990015212">
      <w:bodyDiv w:val="1"/>
      <w:marLeft w:val="0"/>
      <w:marRight w:val="0"/>
      <w:marTop w:val="0"/>
      <w:marBottom w:val="0"/>
      <w:divBdr>
        <w:top w:val="none" w:sz="0" w:space="0" w:color="auto"/>
        <w:left w:val="none" w:sz="0" w:space="0" w:color="auto"/>
        <w:bottom w:val="none" w:sz="0" w:space="0" w:color="auto"/>
        <w:right w:val="none" w:sz="0" w:space="0" w:color="auto"/>
      </w:divBdr>
    </w:div>
    <w:div w:id="1990741726">
      <w:bodyDiv w:val="1"/>
      <w:marLeft w:val="0"/>
      <w:marRight w:val="0"/>
      <w:marTop w:val="0"/>
      <w:marBottom w:val="0"/>
      <w:divBdr>
        <w:top w:val="none" w:sz="0" w:space="0" w:color="auto"/>
        <w:left w:val="none" w:sz="0" w:space="0" w:color="auto"/>
        <w:bottom w:val="none" w:sz="0" w:space="0" w:color="auto"/>
        <w:right w:val="none" w:sz="0" w:space="0" w:color="auto"/>
      </w:divBdr>
    </w:div>
    <w:div w:id="1991012036">
      <w:bodyDiv w:val="1"/>
      <w:marLeft w:val="0"/>
      <w:marRight w:val="0"/>
      <w:marTop w:val="0"/>
      <w:marBottom w:val="0"/>
      <w:divBdr>
        <w:top w:val="none" w:sz="0" w:space="0" w:color="auto"/>
        <w:left w:val="none" w:sz="0" w:space="0" w:color="auto"/>
        <w:bottom w:val="none" w:sz="0" w:space="0" w:color="auto"/>
        <w:right w:val="none" w:sz="0" w:space="0" w:color="auto"/>
      </w:divBdr>
    </w:div>
    <w:div w:id="1991321509">
      <w:bodyDiv w:val="1"/>
      <w:marLeft w:val="0"/>
      <w:marRight w:val="0"/>
      <w:marTop w:val="0"/>
      <w:marBottom w:val="0"/>
      <w:divBdr>
        <w:top w:val="none" w:sz="0" w:space="0" w:color="auto"/>
        <w:left w:val="none" w:sz="0" w:space="0" w:color="auto"/>
        <w:bottom w:val="none" w:sz="0" w:space="0" w:color="auto"/>
        <w:right w:val="none" w:sz="0" w:space="0" w:color="auto"/>
      </w:divBdr>
    </w:div>
    <w:div w:id="1992362460">
      <w:bodyDiv w:val="1"/>
      <w:marLeft w:val="0"/>
      <w:marRight w:val="0"/>
      <w:marTop w:val="0"/>
      <w:marBottom w:val="0"/>
      <w:divBdr>
        <w:top w:val="none" w:sz="0" w:space="0" w:color="auto"/>
        <w:left w:val="none" w:sz="0" w:space="0" w:color="auto"/>
        <w:bottom w:val="none" w:sz="0" w:space="0" w:color="auto"/>
        <w:right w:val="none" w:sz="0" w:space="0" w:color="auto"/>
      </w:divBdr>
    </w:div>
    <w:div w:id="1993099280">
      <w:bodyDiv w:val="1"/>
      <w:marLeft w:val="0"/>
      <w:marRight w:val="0"/>
      <w:marTop w:val="0"/>
      <w:marBottom w:val="0"/>
      <w:divBdr>
        <w:top w:val="none" w:sz="0" w:space="0" w:color="auto"/>
        <w:left w:val="none" w:sz="0" w:space="0" w:color="auto"/>
        <w:bottom w:val="none" w:sz="0" w:space="0" w:color="auto"/>
        <w:right w:val="none" w:sz="0" w:space="0" w:color="auto"/>
      </w:divBdr>
    </w:div>
    <w:div w:id="1993950389">
      <w:bodyDiv w:val="1"/>
      <w:marLeft w:val="0"/>
      <w:marRight w:val="0"/>
      <w:marTop w:val="0"/>
      <w:marBottom w:val="0"/>
      <w:divBdr>
        <w:top w:val="none" w:sz="0" w:space="0" w:color="auto"/>
        <w:left w:val="none" w:sz="0" w:space="0" w:color="auto"/>
        <w:bottom w:val="none" w:sz="0" w:space="0" w:color="auto"/>
        <w:right w:val="none" w:sz="0" w:space="0" w:color="auto"/>
      </w:divBdr>
    </w:div>
    <w:div w:id="1994286257">
      <w:bodyDiv w:val="1"/>
      <w:marLeft w:val="0"/>
      <w:marRight w:val="0"/>
      <w:marTop w:val="0"/>
      <w:marBottom w:val="0"/>
      <w:divBdr>
        <w:top w:val="none" w:sz="0" w:space="0" w:color="auto"/>
        <w:left w:val="none" w:sz="0" w:space="0" w:color="auto"/>
        <w:bottom w:val="none" w:sz="0" w:space="0" w:color="auto"/>
        <w:right w:val="none" w:sz="0" w:space="0" w:color="auto"/>
      </w:divBdr>
    </w:div>
    <w:div w:id="1995445822">
      <w:bodyDiv w:val="1"/>
      <w:marLeft w:val="0"/>
      <w:marRight w:val="0"/>
      <w:marTop w:val="0"/>
      <w:marBottom w:val="0"/>
      <w:divBdr>
        <w:top w:val="none" w:sz="0" w:space="0" w:color="auto"/>
        <w:left w:val="none" w:sz="0" w:space="0" w:color="auto"/>
        <w:bottom w:val="none" w:sz="0" w:space="0" w:color="auto"/>
        <w:right w:val="none" w:sz="0" w:space="0" w:color="auto"/>
      </w:divBdr>
    </w:div>
    <w:div w:id="1997099892">
      <w:bodyDiv w:val="1"/>
      <w:marLeft w:val="0"/>
      <w:marRight w:val="0"/>
      <w:marTop w:val="0"/>
      <w:marBottom w:val="0"/>
      <w:divBdr>
        <w:top w:val="none" w:sz="0" w:space="0" w:color="auto"/>
        <w:left w:val="none" w:sz="0" w:space="0" w:color="auto"/>
        <w:bottom w:val="none" w:sz="0" w:space="0" w:color="auto"/>
        <w:right w:val="none" w:sz="0" w:space="0" w:color="auto"/>
      </w:divBdr>
    </w:div>
    <w:div w:id="1997108645">
      <w:bodyDiv w:val="1"/>
      <w:marLeft w:val="0"/>
      <w:marRight w:val="0"/>
      <w:marTop w:val="0"/>
      <w:marBottom w:val="0"/>
      <w:divBdr>
        <w:top w:val="none" w:sz="0" w:space="0" w:color="auto"/>
        <w:left w:val="none" w:sz="0" w:space="0" w:color="auto"/>
        <w:bottom w:val="none" w:sz="0" w:space="0" w:color="auto"/>
        <w:right w:val="none" w:sz="0" w:space="0" w:color="auto"/>
      </w:divBdr>
    </w:div>
    <w:div w:id="1997148875">
      <w:bodyDiv w:val="1"/>
      <w:marLeft w:val="0"/>
      <w:marRight w:val="0"/>
      <w:marTop w:val="0"/>
      <w:marBottom w:val="0"/>
      <w:divBdr>
        <w:top w:val="none" w:sz="0" w:space="0" w:color="auto"/>
        <w:left w:val="none" w:sz="0" w:space="0" w:color="auto"/>
        <w:bottom w:val="none" w:sz="0" w:space="0" w:color="auto"/>
        <w:right w:val="none" w:sz="0" w:space="0" w:color="auto"/>
      </w:divBdr>
    </w:div>
    <w:div w:id="1997563648">
      <w:bodyDiv w:val="1"/>
      <w:marLeft w:val="0"/>
      <w:marRight w:val="0"/>
      <w:marTop w:val="0"/>
      <w:marBottom w:val="0"/>
      <w:divBdr>
        <w:top w:val="none" w:sz="0" w:space="0" w:color="auto"/>
        <w:left w:val="none" w:sz="0" w:space="0" w:color="auto"/>
        <w:bottom w:val="none" w:sz="0" w:space="0" w:color="auto"/>
        <w:right w:val="none" w:sz="0" w:space="0" w:color="auto"/>
      </w:divBdr>
    </w:div>
    <w:div w:id="1997831195">
      <w:bodyDiv w:val="1"/>
      <w:marLeft w:val="0"/>
      <w:marRight w:val="0"/>
      <w:marTop w:val="0"/>
      <w:marBottom w:val="0"/>
      <w:divBdr>
        <w:top w:val="none" w:sz="0" w:space="0" w:color="auto"/>
        <w:left w:val="none" w:sz="0" w:space="0" w:color="auto"/>
        <w:bottom w:val="none" w:sz="0" w:space="0" w:color="auto"/>
        <w:right w:val="none" w:sz="0" w:space="0" w:color="auto"/>
      </w:divBdr>
    </w:div>
    <w:div w:id="1998073650">
      <w:bodyDiv w:val="1"/>
      <w:marLeft w:val="0"/>
      <w:marRight w:val="0"/>
      <w:marTop w:val="0"/>
      <w:marBottom w:val="0"/>
      <w:divBdr>
        <w:top w:val="none" w:sz="0" w:space="0" w:color="auto"/>
        <w:left w:val="none" w:sz="0" w:space="0" w:color="auto"/>
        <w:bottom w:val="none" w:sz="0" w:space="0" w:color="auto"/>
        <w:right w:val="none" w:sz="0" w:space="0" w:color="auto"/>
      </w:divBdr>
    </w:div>
    <w:div w:id="1998217781">
      <w:bodyDiv w:val="1"/>
      <w:marLeft w:val="0"/>
      <w:marRight w:val="0"/>
      <w:marTop w:val="0"/>
      <w:marBottom w:val="0"/>
      <w:divBdr>
        <w:top w:val="none" w:sz="0" w:space="0" w:color="auto"/>
        <w:left w:val="none" w:sz="0" w:space="0" w:color="auto"/>
        <w:bottom w:val="none" w:sz="0" w:space="0" w:color="auto"/>
        <w:right w:val="none" w:sz="0" w:space="0" w:color="auto"/>
      </w:divBdr>
    </w:div>
    <w:div w:id="1998485735">
      <w:bodyDiv w:val="1"/>
      <w:marLeft w:val="0"/>
      <w:marRight w:val="0"/>
      <w:marTop w:val="0"/>
      <w:marBottom w:val="0"/>
      <w:divBdr>
        <w:top w:val="none" w:sz="0" w:space="0" w:color="auto"/>
        <w:left w:val="none" w:sz="0" w:space="0" w:color="auto"/>
        <w:bottom w:val="none" w:sz="0" w:space="0" w:color="auto"/>
        <w:right w:val="none" w:sz="0" w:space="0" w:color="auto"/>
      </w:divBdr>
    </w:div>
    <w:div w:id="1998799018">
      <w:bodyDiv w:val="1"/>
      <w:marLeft w:val="0"/>
      <w:marRight w:val="0"/>
      <w:marTop w:val="0"/>
      <w:marBottom w:val="0"/>
      <w:divBdr>
        <w:top w:val="none" w:sz="0" w:space="0" w:color="auto"/>
        <w:left w:val="none" w:sz="0" w:space="0" w:color="auto"/>
        <w:bottom w:val="none" w:sz="0" w:space="0" w:color="auto"/>
        <w:right w:val="none" w:sz="0" w:space="0" w:color="auto"/>
      </w:divBdr>
    </w:div>
    <w:div w:id="1998920822">
      <w:bodyDiv w:val="1"/>
      <w:marLeft w:val="0"/>
      <w:marRight w:val="0"/>
      <w:marTop w:val="0"/>
      <w:marBottom w:val="0"/>
      <w:divBdr>
        <w:top w:val="none" w:sz="0" w:space="0" w:color="auto"/>
        <w:left w:val="none" w:sz="0" w:space="0" w:color="auto"/>
        <w:bottom w:val="none" w:sz="0" w:space="0" w:color="auto"/>
        <w:right w:val="none" w:sz="0" w:space="0" w:color="auto"/>
      </w:divBdr>
    </w:div>
    <w:div w:id="1999070634">
      <w:bodyDiv w:val="1"/>
      <w:marLeft w:val="0"/>
      <w:marRight w:val="0"/>
      <w:marTop w:val="0"/>
      <w:marBottom w:val="0"/>
      <w:divBdr>
        <w:top w:val="none" w:sz="0" w:space="0" w:color="auto"/>
        <w:left w:val="none" w:sz="0" w:space="0" w:color="auto"/>
        <w:bottom w:val="none" w:sz="0" w:space="0" w:color="auto"/>
        <w:right w:val="none" w:sz="0" w:space="0" w:color="auto"/>
      </w:divBdr>
    </w:div>
    <w:div w:id="1999071504">
      <w:bodyDiv w:val="1"/>
      <w:marLeft w:val="0"/>
      <w:marRight w:val="0"/>
      <w:marTop w:val="0"/>
      <w:marBottom w:val="0"/>
      <w:divBdr>
        <w:top w:val="none" w:sz="0" w:space="0" w:color="auto"/>
        <w:left w:val="none" w:sz="0" w:space="0" w:color="auto"/>
        <w:bottom w:val="none" w:sz="0" w:space="0" w:color="auto"/>
        <w:right w:val="none" w:sz="0" w:space="0" w:color="auto"/>
      </w:divBdr>
    </w:div>
    <w:div w:id="1999379592">
      <w:bodyDiv w:val="1"/>
      <w:marLeft w:val="0"/>
      <w:marRight w:val="0"/>
      <w:marTop w:val="0"/>
      <w:marBottom w:val="0"/>
      <w:divBdr>
        <w:top w:val="none" w:sz="0" w:space="0" w:color="auto"/>
        <w:left w:val="none" w:sz="0" w:space="0" w:color="auto"/>
        <w:bottom w:val="none" w:sz="0" w:space="0" w:color="auto"/>
        <w:right w:val="none" w:sz="0" w:space="0" w:color="auto"/>
      </w:divBdr>
    </w:div>
    <w:div w:id="2000114235">
      <w:bodyDiv w:val="1"/>
      <w:marLeft w:val="0"/>
      <w:marRight w:val="0"/>
      <w:marTop w:val="0"/>
      <w:marBottom w:val="0"/>
      <w:divBdr>
        <w:top w:val="none" w:sz="0" w:space="0" w:color="auto"/>
        <w:left w:val="none" w:sz="0" w:space="0" w:color="auto"/>
        <w:bottom w:val="none" w:sz="0" w:space="0" w:color="auto"/>
        <w:right w:val="none" w:sz="0" w:space="0" w:color="auto"/>
      </w:divBdr>
    </w:div>
    <w:div w:id="2000619057">
      <w:bodyDiv w:val="1"/>
      <w:marLeft w:val="0"/>
      <w:marRight w:val="0"/>
      <w:marTop w:val="0"/>
      <w:marBottom w:val="0"/>
      <w:divBdr>
        <w:top w:val="none" w:sz="0" w:space="0" w:color="auto"/>
        <w:left w:val="none" w:sz="0" w:space="0" w:color="auto"/>
        <w:bottom w:val="none" w:sz="0" w:space="0" w:color="auto"/>
        <w:right w:val="none" w:sz="0" w:space="0" w:color="auto"/>
      </w:divBdr>
    </w:div>
    <w:div w:id="2001031625">
      <w:bodyDiv w:val="1"/>
      <w:marLeft w:val="0"/>
      <w:marRight w:val="0"/>
      <w:marTop w:val="0"/>
      <w:marBottom w:val="0"/>
      <w:divBdr>
        <w:top w:val="none" w:sz="0" w:space="0" w:color="auto"/>
        <w:left w:val="none" w:sz="0" w:space="0" w:color="auto"/>
        <w:bottom w:val="none" w:sz="0" w:space="0" w:color="auto"/>
        <w:right w:val="none" w:sz="0" w:space="0" w:color="auto"/>
      </w:divBdr>
    </w:div>
    <w:div w:id="2001275323">
      <w:bodyDiv w:val="1"/>
      <w:marLeft w:val="0"/>
      <w:marRight w:val="0"/>
      <w:marTop w:val="0"/>
      <w:marBottom w:val="0"/>
      <w:divBdr>
        <w:top w:val="none" w:sz="0" w:space="0" w:color="auto"/>
        <w:left w:val="none" w:sz="0" w:space="0" w:color="auto"/>
        <w:bottom w:val="none" w:sz="0" w:space="0" w:color="auto"/>
        <w:right w:val="none" w:sz="0" w:space="0" w:color="auto"/>
      </w:divBdr>
    </w:div>
    <w:div w:id="2001737859">
      <w:bodyDiv w:val="1"/>
      <w:marLeft w:val="0"/>
      <w:marRight w:val="0"/>
      <w:marTop w:val="0"/>
      <w:marBottom w:val="0"/>
      <w:divBdr>
        <w:top w:val="none" w:sz="0" w:space="0" w:color="auto"/>
        <w:left w:val="none" w:sz="0" w:space="0" w:color="auto"/>
        <w:bottom w:val="none" w:sz="0" w:space="0" w:color="auto"/>
        <w:right w:val="none" w:sz="0" w:space="0" w:color="auto"/>
      </w:divBdr>
    </w:div>
    <w:div w:id="2001888997">
      <w:bodyDiv w:val="1"/>
      <w:marLeft w:val="0"/>
      <w:marRight w:val="0"/>
      <w:marTop w:val="0"/>
      <w:marBottom w:val="0"/>
      <w:divBdr>
        <w:top w:val="none" w:sz="0" w:space="0" w:color="auto"/>
        <w:left w:val="none" w:sz="0" w:space="0" w:color="auto"/>
        <w:bottom w:val="none" w:sz="0" w:space="0" w:color="auto"/>
        <w:right w:val="none" w:sz="0" w:space="0" w:color="auto"/>
      </w:divBdr>
    </w:div>
    <w:div w:id="2001929912">
      <w:bodyDiv w:val="1"/>
      <w:marLeft w:val="0"/>
      <w:marRight w:val="0"/>
      <w:marTop w:val="0"/>
      <w:marBottom w:val="0"/>
      <w:divBdr>
        <w:top w:val="none" w:sz="0" w:space="0" w:color="auto"/>
        <w:left w:val="none" w:sz="0" w:space="0" w:color="auto"/>
        <w:bottom w:val="none" w:sz="0" w:space="0" w:color="auto"/>
        <w:right w:val="none" w:sz="0" w:space="0" w:color="auto"/>
      </w:divBdr>
    </w:div>
    <w:div w:id="2002921852">
      <w:bodyDiv w:val="1"/>
      <w:marLeft w:val="0"/>
      <w:marRight w:val="0"/>
      <w:marTop w:val="0"/>
      <w:marBottom w:val="0"/>
      <w:divBdr>
        <w:top w:val="none" w:sz="0" w:space="0" w:color="auto"/>
        <w:left w:val="none" w:sz="0" w:space="0" w:color="auto"/>
        <w:bottom w:val="none" w:sz="0" w:space="0" w:color="auto"/>
        <w:right w:val="none" w:sz="0" w:space="0" w:color="auto"/>
      </w:divBdr>
    </w:div>
    <w:div w:id="2003002849">
      <w:bodyDiv w:val="1"/>
      <w:marLeft w:val="0"/>
      <w:marRight w:val="0"/>
      <w:marTop w:val="0"/>
      <w:marBottom w:val="0"/>
      <w:divBdr>
        <w:top w:val="none" w:sz="0" w:space="0" w:color="auto"/>
        <w:left w:val="none" w:sz="0" w:space="0" w:color="auto"/>
        <w:bottom w:val="none" w:sz="0" w:space="0" w:color="auto"/>
        <w:right w:val="none" w:sz="0" w:space="0" w:color="auto"/>
      </w:divBdr>
    </w:div>
    <w:div w:id="2003386787">
      <w:bodyDiv w:val="1"/>
      <w:marLeft w:val="0"/>
      <w:marRight w:val="0"/>
      <w:marTop w:val="0"/>
      <w:marBottom w:val="0"/>
      <w:divBdr>
        <w:top w:val="none" w:sz="0" w:space="0" w:color="auto"/>
        <w:left w:val="none" w:sz="0" w:space="0" w:color="auto"/>
        <w:bottom w:val="none" w:sz="0" w:space="0" w:color="auto"/>
        <w:right w:val="none" w:sz="0" w:space="0" w:color="auto"/>
      </w:divBdr>
    </w:div>
    <w:div w:id="2003778660">
      <w:bodyDiv w:val="1"/>
      <w:marLeft w:val="0"/>
      <w:marRight w:val="0"/>
      <w:marTop w:val="0"/>
      <w:marBottom w:val="0"/>
      <w:divBdr>
        <w:top w:val="none" w:sz="0" w:space="0" w:color="auto"/>
        <w:left w:val="none" w:sz="0" w:space="0" w:color="auto"/>
        <w:bottom w:val="none" w:sz="0" w:space="0" w:color="auto"/>
        <w:right w:val="none" w:sz="0" w:space="0" w:color="auto"/>
      </w:divBdr>
    </w:div>
    <w:div w:id="2003853594">
      <w:bodyDiv w:val="1"/>
      <w:marLeft w:val="0"/>
      <w:marRight w:val="0"/>
      <w:marTop w:val="0"/>
      <w:marBottom w:val="0"/>
      <w:divBdr>
        <w:top w:val="none" w:sz="0" w:space="0" w:color="auto"/>
        <w:left w:val="none" w:sz="0" w:space="0" w:color="auto"/>
        <w:bottom w:val="none" w:sz="0" w:space="0" w:color="auto"/>
        <w:right w:val="none" w:sz="0" w:space="0" w:color="auto"/>
      </w:divBdr>
    </w:div>
    <w:div w:id="2004118140">
      <w:bodyDiv w:val="1"/>
      <w:marLeft w:val="0"/>
      <w:marRight w:val="0"/>
      <w:marTop w:val="0"/>
      <w:marBottom w:val="0"/>
      <w:divBdr>
        <w:top w:val="none" w:sz="0" w:space="0" w:color="auto"/>
        <w:left w:val="none" w:sz="0" w:space="0" w:color="auto"/>
        <w:bottom w:val="none" w:sz="0" w:space="0" w:color="auto"/>
        <w:right w:val="none" w:sz="0" w:space="0" w:color="auto"/>
      </w:divBdr>
    </w:div>
    <w:div w:id="2004235292">
      <w:bodyDiv w:val="1"/>
      <w:marLeft w:val="0"/>
      <w:marRight w:val="0"/>
      <w:marTop w:val="0"/>
      <w:marBottom w:val="0"/>
      <w:divBdr>
        <w:top w:val="none" w:sz="0" w:space="0" w:color="auto"/>
        <w:left w:val="none" w:sz="0" w:space="0" w:color="auto"/>
        <w:bottom w:val="none" w:sz="0" w:space="0" w:color="auto"/>
        <w:right w:val="none" w:sz="0" w:space="0" w:color="auto"/>
      </w:divBdr>
    </w:div>
    <w:div w:id="2004428707">
      <w:bodyDiv w:val="1"/>
      <w:marLeft w:val="0"/>
      <w:marRight w:val="0"/>
      <w:marTop w:val="0"/>
      <w:marBottom w:val="0"/>
      <w:divBdr>
        <w:top w:val="none" w:sz="0" w:space="0" w:color="auto"/>
        <w:left w:val="none" w:sz="0" w:space="0" w:color="auto"/>
        <w:bottom w:val="none" w:sz="0" w:space="0" w:color="auto"/>
        <w:right w:val="none" w:sz="0" w:space="0" w:color="auto"/>
      </w:divBdr>
    </w:div>
    <w:div w:id="2004431622">
      <w:bodyDiv w:val="1"/>
      <w:marLeft w:val="0"/>
      <w:marRight w:val="0"/>
      <w:marTop w:val="0"/>
      <w:marBottom w:val="0"/>
      <w:divBdr>
        <w:top w:val="none" w:sz="0" w:space="0" w:color="auto"/>
        <w:left w:val="none" w:sz="0" w:space="0" w:color="auto"/>
        <w:bottom w:val="none" w:sz="0" w:space="0" w:color="auto"/>
        <w:right w:val="none" w:sz="0" w:space="0" w:color="auto"/>
      </w:divBdr>
    </w:div>
    <w:div w:id="2005038397">
      <w:bodyDiv w:val="1"/>
      <w:marLeft w:val="0"/>
      <w:marRight w:val="0"/>
      <w:marTop w:val="0"/>
      <w:marBottom w:val="0"/>
      <w:divBdr>
        <w:top w:val="none" w:sz="0" w:space="0" w:color="auto"/>
        <w:left w:val="none" w:sz="0" w:space="0" w:color="auto"/>
        <w:bottom w:val="none" w:sz="0" w:space="0" w:color="auto"/>
        <w:right w:val="none" w:sz="0" w:space="0" w:color="auto"/>
      </w:divBdr>
    </w:div>
    <w:div w:id="2005549281">
      <w:bodyDiv w:val="1"/>
      <w:marLeft w:val="0"/>
      <w:marRight w:val="0"/>
      <w:marTop w:val="0"/>
      <w:marBottom w:val="0"/>
      <w:divBdr>
        <w:top w:val="none" w:sz="0" w:space="0" w:color="auto"/>
        <w:left w:val="none" w:sz="0" w:space="0" w:color="auto"/>
        <w:bottom w:val="none" w:sz="0" w:space="0" w:color="auto"/>
        <w:right w:val="none" w:sz="0" w:space="0" w:color="auto"/>
      </w:divBdr>
    </w:div>
    <w:div w:id="2005742305">
      <w:bodyDiv w:val="1"/>
      <w:marLeft w:val="0"/>
      <w:marRight w:val="0"/>
      <w:marTop w:val="0"/>
      <w:marBottom w:val="0"/>
      <w:divBdr>
        <w:top w:val="none" w:sz="0" w:space="0" w:color="auto"/>
        <w:left w:val="none" w:sz="0" w:space="0" w:color="auto"/>
        <w:bottom w:val="none" w:sz="0" w:space="0" w:color="auto"/>
        <w:right w:val="none" w:sz="0" w:space="0" w:color="auto"/>
      </w:divBdr>
    </w:div>
    <w:div w:id="2005888282">
      <w:bodyDiv w:val="1"/>
      <w:marLeft w:val="0"/>
      <w:marRight w:val="0"/>
      <w:marTop w:val="0"/>
      <w:marBottom w:val="0"/>
      <w:divBdr>
        <w:top w:val="none" w:sz="0" w:space="0" w:color="auto"/>
        <w:left w:val="none" w:sz="0" w:space="0" w:color="auto"/>
        <w:bottom w:val="none" w:sz="0" w:space="0" w:color="auto"/>
        <w:right w:val="none" w:sz="0" w:space="0" w:color="auto"/>
      </w:divBdr>
    </w:div>
    <w:div w:id="2005892594">
      <w:bodyDiv w:val="1"/>
      <w:marLeft w:val="0"/>
      <w:marRight w:val="0"/>
      <w:marTop w:val="0"/>
      <w:marBottom w:val="0"/>
      <w:divBdr>
        <w:top w:val="none" w:sz="0" w:space="0" w:color="auto"/>
        <w:left w:val="none" w:sz="0" w:space="0" w:color="auto"/>
        <w:bottom w:val="none" w:sz="0" w:space="0" w:color="auto"/>
        <w:right w:val="none" w:sz="0" w:space="0" w:color="auto"/>
      </w:divBdr>
    </w:div>
    <w:div w:id="2006282757">
      <w:bodyDiv w:val="1"/>
      <w:marLeft w:val="0"/>
      <w:marRight w:val="0"/>
      <w:marTop w:val="0"/>
      <w:marBottom w:val="0"/>
      <w:divBdr>
        <w:top w:val="none" w:sz="0" w:space="0" w:color="auto"/>
        <w:left w:val="none" w:sz="0" w:space="0" w:color="auto"/>
        <w:bottom w:val="none" w:sz="0" w:space="0" w:color="auto"/>
        <w:right w:val="none" w:sz="0" w:space="0" w:color="auto"/>
      </w:divBdr>
    </w:div>
    <w:div w:id="2006783945">
      <w:bodyDiv w:val="1"/>
      <w:marLeft w:val="0"/>
      <w:marRight w:val="0"/>
      <w:marTop w:val="0"/>
      <w:marBottom w:val="0"/>
      <w:divBdr>
        <w:top w:val="none" w:sz="0" w:space="0" w:color="auto"/>
        <w:left w:val="none" w:sz="0" w:space="0" w:color="auto"/>
        <w:bottom w:val="none" w:sz="0" w:space="0" w:color="auto"/>
        <w:right w:val="none" w:sz="0" w:space="0" w:color="auto"/>
      </w:divBdr>
    </w:div>
    <w:div w:id="2006978353">
      <w:bodyDiv w:val="1"/>
      <w:marLeft w:val="0"/>
      <w:marRight w:val="0"/>
      <w:marTop w:val="0"/>
      <w:marBottom w:val="0"/>
      <w:divBdr>
        <w:top w:val="none" w:sz="0" w:space="0" w:color="auto"/>
        <w:left w:val="none" w:sz="0" w:space="0" w:color="auto"/>
        <w:bottom w:val="none" w:sz="0" w:space="0" w:color="auto"/>
        <w:right w:val="none" w:sz="0" w:space="0" w:color="auto"/>
      </w:divBdr>
    </w:div>
    <w:div w:id="2007704527">
      <w:bodyDiv w:val="1"/>
      <w:marLeft w:val="0"/>
      <w:marRight w:val="0"/>
      <w:marTop w:val="0"/>
      <w:marBottom w:val="0"/>
      <w:divBdr>
        <w:top w:val="none" w:sz="0" w:space="0" w:color="auto"/>
        <w:left w:val="none" w:sz="0" w:space="0" w:color="auto"/>
        <w:bottom w:val="none" w:sz="0" w:space="0" w:color="auto"/>
        <w:right w:val="none" w:sz="0" w:space="0" w:color="auto"/>
      </w:divBdr>
    </w:div>
    <w:div w:id="2007829392">
      <w:bodyDiv w:val="1"/>
      <w:marLeft w:val="0"/>
      <w:marRight w:val="0"/>
      <w:marTop w:val="0"/>
      <w:marBottom w:val="0"/>
      <w:divBdr>
        <w:top w:val="none" w:sz="0" w:space="0" w:color="auto"/>
        <w:left w:val="none" w:sz="0" w:space="0" w:color="auto"/>
        <w:bottom w:val="none" w:sz="0" w:space="0" w:color="auto"/>
        <w:right w:val="none" w:sz="0" w:space="0" w:color="auto"/>
      </w:divBdr>
    </w:div>
    <w:div w:id="2008550839">
      <w:bodyDiv w:val="1"/>
      <w:marLeft w:val="0"/>
      <w:marRight w:val="0"/>
      <w:marTop w:val="0"/>
      <w:marBottom w:val="0"/>
      <w:divBdr>
        <w:top w:val="none" w:sz="0" w:space="0" w:color="auto"/>
        <w:left w:val="none" w:sz="0" w:space="0" w:color="auto"/>
        <w:bottom w:val="none" w:sz="0" w:space="0" w:color="auto"/>
        <w:right w:val="none" w:sz="0" w:space="0" w:color="auto"/>
      </w:divBdr>
    </w:div>
    <w:div w:id="2008556410">
      <w:bodyDiv w:val="1"/>
      <w:marLeft w:val="0"/>
      <w:marRight w:val="0"/>
      <w:marTop w:val="0"/>
      <w:marBottom w:val="0"/>
      <w:divBdr>
        <w:top w:val="none" w:sz="0" w:space="0" w:color="auto"/>
        <w:left w:val="none" w:sz="0" w:space="0" w:color="auto"/>
        <w:bottom w:val="none" w:sz="0" w:space="0" w:color="auto"/>
        <w:right w:val="none" w:sz="0" w:space="0" w:color="auto"/>
      </w:divBdr>
    </w:div>
    <w:div w:id="2009362337">
      <w:bodyDiv w:val="1"/>
      <w:marLeft w:val="0"/>
      <w:marRight w:val="0"/>
      <w:marTop w:val="0"/>
      <w:marBottom w:val="0"/>
      <w:divBdr>
        <w:top w:val="none" w:sz="0" w:space="0" w:color="auto"/>
        <w:left w:val="none" w:sz="0" w:space="0" w:color="auto"/>
        <w:bottom w:val="none" w:sz="0" w:space="0" w:color="auto"/>
        <w:right w:val="none" w:sz="0" w:space="0" w:color="auto"/>
      </w:divBdr>
    </w:div>
    <w:div w:id="2009751597">
      <w:bodyDiv w:val="1"/>
      <w:marLeft w:val="0"/>
      <w:marRight w:val="0"/>
      <w:marTop w:val="0"/>
      <w:marBottom w:val="0"/>
      <w:divBdr>
        <w:top w:val="none" w:sz="0" w:space="0" w:color="auto"/>
        <w:left w:val="none" w:sz="0" w:space="0" w:color="auto"/>
        <w:bottom w:val="none" w:sz="0" w:space="0" w:color="auto"/>
        <w:right w:val="none" w:sz="0" w:space="0" w:color="auto"/>
      </w:divBdr>
    </w:div>
    <w:div w:id="2010253371">
      <w:bodyDiv w:val="1"/>
      <w:marLeft w:val="0"/>
      <w:marRight w:val="0"/>
      <w:marTop w:val="0"/>
      <w:marBottom w:val="0"/>
      <w:divBdr>
        <w:top w:val="none" w:sz="0" w:space="0" w:color="auto"/>
        <w:left w:val="none" w:sz="0" w:space="0" w:color="auto"/>
        <w:bottom w:val="none" w:sz="0" w:space="0" w:color="auto"/>
        <w:right w:val="none" w:sz="0" w:space="0" w:color="auto"/>
      </w:divBdr>
    </w:div>
    <w:div w:id="2010671457">
      <w:bodyDiv w:val="1"/>
      <w:marLeft w:val="0"/>
      <w:marRight w:val="0"/>
      <w:marTop w:val="0"/>
      <w:marBottom w:val="0"/>
      <w:divBdr>
        <w:top w:val="none" w:sz="0" w:space="0" w:color="auto"/>
        <w:left w:val="none" w:sz="0" w:space="0" w:color="auto"/>
        <w:bottom w:val="none" w:sz="0" w:space="0" w:color="auto"/>
        <w:right w:val="none" w:sz="0" w:space="0" w:color="auto"/>
      </w:divBdr>
    </w:div>
    <w:div w:id="2010869431">
      <w:bodyDiv w:val="1"/>
      <w:marLeft w:val="0"/>
      <w:marRight w:val="0"/>
      <w:marTop w:val="0"/>
      <w:marBottom w:val="0"/>
      <w:divBdr>
        <w:top w:val="none" w:sz="0" w:space="0" w:color="auto"/>
        <w:left w:val="none" w:sz="0" w:space="0" w:color="auto"/>
        <w:bottom w:val="none" w:sz="0" w:space="0" w:color="auto"/>
        <w:right w:val="none" w:sz="0" w:space="0" w:color="auto"/>
      </w:divBdr>
    </w:div>
    <w:div w:id="2011638986">
      <w:bodyDiv w:val="1"/>
      <w:marLeft w:val="0"/>
      <w:marRight w:val="0"/>
      <w:marTop w:val="0"/>
      <w:marBottom w:val="0"/>
      <w:divBdr>
        <w:top w:val="none" w:sz="0" w:space="0" w:color="auto"/>
        <w:left w:val="none" w:sz="0" w:space="0" w:color="auto"/>
        <w:bottom w:val="none" w:sz="0" w:space="0" w:color="auto"/>
        <w:right w:val="none" w:sz="0" w:space="0" w:color="auto"/>
      </w:divBdr>
    </w:div>
    <w:div w:id="2011828868">
      <w:bodyDiv w:val="1"/>
      <w:marLeft w:val="0"/>
      <w:marRight w:val="0"/>
      <w:marTop w:val="0"/>
      <w:marBottom w:val="0"/>
      <w:divBdr>
        <w:top w:val="none" w:sz="0" w:space="0" w:color="auto"/>
        <w:left w:val="none" w:sz="0" w:space="0" w:color="auto"/>
        <w:bottom w:val="none" w:sz="0" w:space="0" w:color="auto"/>
        <w:right w:val="none" w:sz="0" w:space="0" w:color="auto"/>
      </w:divBdr>
    </w:div>
    <w:div w:id="2012022369">
      <w:bodyDiv w:val="1"/>
      <w:marLeft w:val="0"/>
      <w:marRight w:val="0"/>
      <w:marTop w:val="0"/>
      <w:marBottom w:val="0"/>
      <w:divBdr>
        <w:top w:val="none" w:sz="0" w:space="0" w:color="auto"/>
        <w:left w:val="none" w:sz="0" w:space="0" w:color="auto"/>
        <w:bottom w:val="none" w:sz="0" w:space="0" w:color="auto"/>
        <w:right w:val="none" w:sz="0" w:space="0" w:color="auto"/>
      </w:divBdr>
    </w:div>
    <w:div w:id="2012102073">
      <w:bodyDiv w:val="1"/>
      <w:marLeft w:val="0"/>
      <w:marRight w:val="0"/>
      <w:marTop w:val="0"/>
      <w:marBottom w:val="0"/>
      <w:divBdr>
        <w:top w:val="none" w:sz="0" w:space="0" w:color="auto"/>
        <w:left w:val="none" w:sz="0" w:space="0" w:color="auto"/>
        <w:bottom w:val="none" w:sz="0" w:space="0" w:color="auto"/>
        <w:right w:val="none" w:sz="0" w:space="0" w:color="auto"/>
      </w:divBdr>
    </w:div>
    <w:div w:id="2012562406">
      <w:bodyDiv w:val="1"/>
      <w:marLeft w:val="0"/>
      <w:marRight w:val="0"/>
      <w:marTop w:val="0"/>
      <w:marBottom w:val="0"/>
      <w:divBdr>
        <w:top w:val="none" w:sz="0" w:space="0" w:color="auto"/>
        <w:left w:val="none" w:sz="0" w:space="0" w:color="auto"/>
        <w:bottom w:val="none" w:sz="0" w:space="0" w:color="auto"/>
        <w:right w:val="none" w:sz="0" w:space="0" w:color="auto"/>
      </w:divBdr>
    </w:div>
    <w:div w:id="2012760191">
      <w:bodyDiv w:val="1"/>
      <w:marLeft w:val="0"/>
      <w:marRight w:val="0"/>
      <w:marTop w:val="0"/>
      <w:marBottom w:val="0"/>
      <w:divBdr>
        <w:top w:val="none" w:sz="0" w:space="0" w:color="auto"/>
        <w:left w:val="none" w:sz="0" w:space="0" w:color="auto"/>
        <w:bottom w:val="none" w:sz="0" w:space="0" w:color="auto"/>
        <w:right w:val="none" w:sz="0" w:space="0" w:color="auto"/>
      </w:divBdr>
    </w:div>
    <w:div w:id="2013407339">
      <w:bodyDiv w:val="1"/>
      <w:marLeft w:val="0"/>
      <w:marRight w:val="0"/>
      <w:marTop w:val="0"/>
      <w:marBottom w:val="0"/>
      <w:divBdr>
        <w:top w:val="none" w:sz="0" w:space="0" w:color="auto"/>
        <w:left w:val="none" w:sz="0" w:space="0" w:color="auto"/>
        <w:bottom w:val="none" w:sz="0" w:space="0" w:color="auto"/>
        <w:right w:val="none" w:sz="0" w:space="0" w:color="auto"/>
      </w:divBdr>
    </w:div>
    <w:div w:id="2013409603">
      <w:bodyDiv w:val="1"/>
      <w:marLeft w:val="0"/>
      <w:marRight w:val="0"/>
      <w:marTop w:val="0"/>
      <w:marBottom w:val="0"/>
      <w:divBdr>
        <w:top w:val="none" w:sz="0" w:space="0" w:color="auto"/>
        <w:left w:val="none" w:sz="0" w:space="0" w:color="auto"/>
        <w:bottom w:val="none" w:sz="0" w:space="0" w:color="auto"/>
        <w:right w:val="none" w:sz="0" w:space="0" w:color="auto"/>
      </w:divBdr>
    </w:div>
    <w:div w:id="2013608320">
      <w:bodyDiv w:val="1"/>
      <w:marLeft w:val="0"/>
      <w:marRight w:val="0"/>
      <w:marTop w:val="0"/>
      <w:marBottom w:val="0"/>
      <w:divBdr>
        <w:top w:val="none" w:sz="0" w:space="0" w:color="auto"/>
        <w:left w:val="none" w:sz="0" w:space="0" w:color="auto"/>
        <w:bottom w:val="none" w:sz="0" w:space="0" w:color="auto"/>
        <w:right w:val="none" w:sz="0" w:space="0" w:color="auto"/>
      </w:divBdr>
    </w:div>
    <w:div w:id="2013797050">
      <w:bodyDiv w:val="1"/>
      <w:marLeft w:val="0"/>
      <w:marRight w:val="0"/>
      <w:marTop w:val="0"/>
      <w:marBottom w:val="0"/>
      <w:divBdr>
        <w:top w:val="none" w:sz="0" w:space="0" w:color="auto"/>
        <w:left w:val="none" w:sz="0" w:space="0" w:color="auto"/>
        <w:bottom w:val="none" w:sz="0" w:space="0" w:color="auto"/>
        <w:right w:val="none" w:sz="0" w:space="0" w:color="auto"/>
      </w:divBdr>
    </w:div>
    <w:div w:id="2013989708">
      <w:bodyDiv w:val="1"/>
      <w:marLeft w:val="0"/>
      <w:marRight w:val="0"/>
      <w:marTop w:val="0"/>
      <w:marBottom w:val="0"/>
      <w:divBdr>
        <w:top w:val="none" w:sz="0" w:space="0" w:color="auto"/>
        <w:left w:val="none" w:sz="0" w:space="0" w:color="auto"/>
        <w:bottom w:val="none" w:sz="0" w:space="0" w:color="auto"/>
        <w:right w:val="none" w:sz="0" w:space="0" w:color="auto"/>
      </w:divBdr>
    </w:div>
    <w:div w:id="2014142258">
      <w:bodyDiv w:val="1"/>
      <w:marLeft w:val="0"/>
      <w:marRight w:val="0"/>
      <w:marTop w:val="0"/>
      <w:marBottom w:val="0"/>
      <w:divBdr>
        <w:top w:val="none" w:sz="0" w:space="0" w:color="auto"/>
        <w:left w:val="none" w:sz="0" w:space="0" w:color="auto"/>
        <w:bottom w:val="none" w:sz="0" w:space="0" w:color="auto"/>
        <w:right w:val="none" w:sz="0" w:space="0" w:color="auto"/>
      </w:divBdr>
    </w:div>
    <w:div w:id="2014186558">
      <w:bodyDiv w:val="1"/>
      <w:marLeft w:val="0"/>
      <w:marRight w:val="0"/>
      <w:marTop w:val="0"/>
      <w:marBottom w:val="0"/>
      <w:divBdr>
        <w:top w:val="none" w:sz="0" w:space="0" w:color="auto"/>
        <w:left w:val="none" w:sz="0" w:space="0" w:color="auto"/>
        <w:bottom w:val="none" w:sz="0" w:space="0" w:color="auto"/>
        <w:right w:val="none" w:sz="0" w:space="0" w:color="auto"/>
      </w:divBdr>
    </w:div>
    <w:div w:id="2014645597">
      <w:bodyDiv w:val="1"/>
      <w:marLeft w:val="0"/>
      <w:marRight w:val="0"/>
      <w:marTop w:val="0"/>
      <w:marBottom w:val="0"/>
      <w:divBdr>
        <w:top w:val="none" w:sz="0" w:space="0" w:color="auto"/>
        <w:left w:val="none" w:sz="0" w:space="0" w:color="auto"/>
        <w:bottom w:val="none" w:sz="0" w:space="0" w:color="auto"/>
        <w:right w:val="none" w:sz="0" w:space="0" w:color="auto"/>
      </w:divBdr>
    </w:div>
    <w:div w:id="2014840997">
      <w:bodyDiv w:val="1"/>
      <w:marLeft w:val="0"/>
      <w:marRight w:val="0"/>
      <w:marTop w:val="0"/>
      <w:marBottom w:val="0"/>
      <w:divBdr>
        <w:top w:val="none" w:sz="0" w:space="0" w:color="auto"/>
        <w:left w:val="none" w:sz="0" w:space="0" w:color="auto"/>
        <w:bottom w:val="none" w:sz="0" w:space="0" w:color="auto"/>
        <w:right w:val="none" w:sz="0" w:space="0" w:color="auto"/>
      </w:divBdr>
    </w:div>
    <w:div w:id="2015302972">
      <w:bodyDiv w:val="1"/>
      <w:marLeft w:val="0"/>
      <w:marRight w:val="0"/>
      <w:marTop w:val="0"/>
      <w:marBottom w:val="0"/>
      <w:divBdr>
        <w:top w:val="none" w:sz="0" w:space="0" w:color="auto"/>
        <w:left w:val="none" w:sz="0" w:space="0" w:color="auto"/>
        <w:bottom w:val="none" w:sz="0" w:space="0" w:color="auto"/>
        <w:right w:val="none" w:sz="0" w:space="0" w:color="auto"/>
      </w:divBdr>
    </w:div>
    <w:div w:id="2016153437">
      <w:bodyDiv w:val="1"/>
      <w:marLeft w:val="0"/>
      <w:marRight w:val="0"/>
      <w:marTop w:val="0"/>
      <w:marBottom w:val="0"/>
      <w:divBdr>
        <w:top w:val="none" w:sz="0" w:space="0" w:color="auto"/>
        <w:left w:val="none" w:sz="0" w:space="0" w:color="auto"/>
        <w:bottom w:val="none" w:sz="0" w:space="0" w:color="auto"/>
        <w:right w:val="none" w:sz="0" w:space="0" w:color="auto"/>
      </w:divBdr>
    </w:div>
    <w:div w:id="2016417745">
      <w:bodyDiv w:val="1"/>
      <w:marLeft w:val="0"/>
      <w:marRight w:val="0"/>
      <w:marTop w:val="0"/>
      <w:marBottom w:val="0"/>
      <w:divBdr>
        <w:top w:val="none" w:sz="0" w:space="0" w:color="auto"/>
        <w:left w:val="none" w:sz="0" w:space="0" w:color="auto"/>
        <w:bottom w:val="none" w:sz="0" w:space="0" w:color="auto"/>
        <w:right w:val="none" w:sz="0" w:space="0" w:color="auto"/>
      </w:divBdr>
    </w:div>
    <w:div w:id="2016688343">
      <w:bodyDiv w:val="1"/>
      <w:marLeft w:val="0"/>
      <w:marRight w:val="0"/>
      <w:marTop w:val="0"/>
      <w:marBottom w:val="0"/>
      <w:divBdr>
        <w:top w:val="none" w:sz="0" w:space="0" w:color="auto"/>
        <w:left w:val="none" w:sz="0" w:space="0" w:color="auto"/>
        <w:bottom w:val="none" w:sz="0" w:space="0" w:color="auto"/>
        <w:right w:val="none" w:sz="0" w:space="0" w:color="auto"/>
      </w:divBdr>
    </w:div>
    <w:div w:id="2017265122">
      <w:bodyDiv w:val="1"/>
      <w:marLeft w:val="0"/>
      <w:marRight w:val="0"/>
      <w:marTop w:val="0"/>
      <w:marBottom w:val="0"/>
      <w:divBdr>
        <w:top w:val="none" w:sz="0" w:space="0" w:color="auto"/>
        <w:left w:val="none" w:sz="0" w:space="0" w:color="auto"/>
        <w:bottom w:val="none" w:sz="0" w:space="0" w:color="auto"/>
        <w:right w:val="none" w:sz="0" w:space="0" w:color="auto"/>
      </w:divBdr>
    </w:div>
    <w:div w:id="2017801516">
      <w:bodyDiv w:val="1"/>
      <w:marLeft w:val="0"/>
      <w:marRight w:val="0"/>
      <w:marTop w:val="0"/>
      <w:marBottom w:val="0"/>
      <w:divBdr>
        <w:top w:val="none" w:sz="0" w:space="0" w:color="auto"/>
        <w:left w:val="none" w:sz="0" w:space="0" w:color="auto"/>
        <w:bottom w:val="none" w:sz="0" w:space="0" w:color="auto"/>
        <w:right w:val="none" w:sz="0" w:space="0" w:color="auto"/>
      </w:divBdr>
    </w:div>
    <w:div w:id="2018380023">
      <w:bodyDiv w:val="1"/>
      <w:marLeft w:val="0"/>
      <w:marRight w:val="0"/>
      <w:marTop w:val="0"/>
      <w:marBottom w:val="0"/>
      <w:divBdr>
        <w:top w:val="none" w:sz="0" w:space="0" w:color="auto"/>
        <w:left w:val="none" w:sz="0" w:space="0" w:color="auto"/>
        <w:bottom w:val="none" w:sz="0" w:space="0" w:color="auto"/>
        <w:right w:val="none" w:sz="0" w:space="0" w:color="auto"/>
      </w:divBdr>
    </w:div>
    <w:div w:id="2018578639">
      <w:bodyDiv w:val="1"/>
      <w:marLeft w:val="0"/>
      <w:marRight w:val="0"/>
      <w:marTop w:val="0"/>
      <w:marBottom w:val="0"/>
      <w:divBdr>
        <w:top w:val="none" w:sz="0" w:space="0" w:color="auto"/>
        <w:left w:val="none" w:sz="0" w:space="0" w:color="auto"/>
        <w:bottom w:val="none" w:sz="0" w:space="0" w:color="auto"/>
        <w:right w:val="none" w:sz="0" w:space="0" w:color="auto"/>
      </w:divBdr>
    </w:div>
    <w:div w:id="2018843967">
      <w:bodyDiv w:val="1"/>
      <w:marLeft w:val="0"/>
      <w:marRight w:val="0"/>
      <w:marTop w:val="0"/>
      <w:marBottom w:val="0"/>
      <w:divBdr>
        <w:top w:val="none" w:sz="0" w:space="0" w:color="auto"/>
        <w:left w:val="none" w:sz="0" w:space="0" w:color="auto"/>
        <w:bottom w:val="none" w:sz="0" w:space="0" w:color="auto"/>
        <w:right w:val="none" w:sz="0" w:space="0" w:color="auto"/>
      </w:divBdr>
    </w:div>
    <w:div w:id="2018848240">
      <w:bodyDiv w:val="1"/>
      <w:marLeft w:val="0"/>
      <w:marRight w:val="0"/>
      <w:marTop w:val="0"/>
      <w:marBottom w:val="0"/>
      <w:divBdr>
        <w:top w:val="none" w:sz="0" w:space="0" w:color="auto"/>
        <w:left w:val="none" w:sz="0" w:space="0" w:color="auto"/>
        <w:bottom w:val="none" w:sz="0" w:space="0" w:color="auto"/>
        <w:right w:val="none" w:sz="0" w:space="0" w:color="auto"/>
      </w:divBdr>
    </w:div>
    <w:div w:id="2020346773">
      <w:bodyDiv w:val="1"/>
      <w:marLeft w:val="0"/>
      <w:marRight w:val="0"/>
      <w:marTop w:val="0"/>
      <w:marBottom w:val="0"/>
      <w:divBdr>
        <w:top w:val="none" w:sz="0" w:space="0" w:color="auto"/>
        <w:left w:val="none" w:sz="0" w:space="0" w:color="auto"/>
        <w:bottom w:val="none" w:sz="0" w:space="0" w:color="auto"/>
        <w:right w:val="none" w:sz="0" w:space="0" w:color="auto"/>
      </w:divBdr>
    </w:div>
    <w:div w:id="2021003416">
      <w:bodyDiv w:val="1"/>
      <w:marLeft w:val="0"/>
      <w:marRight w:val="0"/>
      <w:marTop w:val="0"/>
      <w:marBottom w:val="0"/>
      <w:divBdr>
        <w:top w:val="none" w:sz="0" w:space="0" w:color="auto"/>
        <w:left w:val="none" w:sz="0" w:space="0" w:color="auto"/>
        <w:bottom w:val="none" w:sz="0" w:space="0" w:color="auto"/>
        <w:right w:val="none" w:sz="0" w:space="0" w:color="auto"/>
      </w:divBdr>
    </w:div>
    <w:div w:id="2021157033">
      <w:bodyDiv w:val="1"/>
      <w:marLeft w:val="0"/>
      <w:marRight w:val="0"/>
      <w:marTop w:val="0"/>
      <w:marBottom w:val="0"/>
      <w:divBdr>
        <w:top w:val="none" w:sz="0" w:space="0" w:color="auto"/>
        <w:left w:val="none" w:sz="0" w:space="0" w:color="auto"/>
        <w:bottom w:val="none" w:sz="0" w:space="0" w:color="auto"/>
        <w:right w:val="none" w:sz="0" w:space="0" w:color="auto"/>
      </w:divBdr>
    </w:div>
    <w:div w:id="2021346797">
      <w:bodyDiv w:val="1"/>
      <w:marLeft w:val="0"/>
      <w:marRight w:val="0"/>
      <w:marTop w:val="0"/>
      <w:marBottom w:val="0"/>
      <w:divBdr>
        <w:top w:val="none" w:sz="0" w:space="0" w:color="auto"/>
        <w:left w:val="none" w:sz="0" w:space="0" w:color="auto"/>
        <w:bottom w:val="none" w:sz="0" w:space="0" w:color="auto"/>
        <w:right w:val="none" w:sz="0" w:space="0" w:color="auto"/>
      </w:divBdr>
    </w:div>
    <w:div w:id="2021392973">
      <w:bodyDiv w:val="1"/>
      <w:marLeft w:val="0"/>
      <w:marRight w:val="0"/>
      <w:marTop w:val="0"/>
      <w:marBottom w:val="0"/>
      <w:divBdr>
        <w:top w:val="none" w:sz="0" w:space="0" w:color="auto"/>
        <w:left w:val="none" w:sz="0" w:space="0" w:color="auto"/>
        <w:bottom w:val="none" w:sz="0" w:space="0" w:color="auto"/>
        <w:right w:val="none" w:sz="0" w:space="0" w:color="auto"/>
      </w:divBdr>
    </w:div>
    <w:div w:id="2022009240">
      <w:bodyDiv w:val="1"/>
      <w:marLeft w:val="0"/>
      <w:marRight w:val="0"/>
      <w:marTop w:val="0"/>
      <w:marBottom w:val="0"/>
      <w:divBdr>
        <w:top w:val="none" w:sz="0" w:space="0" w:color="auto"/>
        <w:left w:val="none" w:sz="0" w:space="0" w:color="auto"/>
        <w:bottom w:val="none" w:sz="0" w:space="0" w:color="auto"/>
        <w:right w:val="none" w:sz="0" w:space="0" w:color="auto"/>
      </w:divBdr>
    </w:div>
    <w:div w:id="2022664473">
      <w:bodyDiv w:val="1"/>
      <w:marLeft w:val="0"/>
      <w:marRight w:val="0"/>
      <w:marTop w:val="0"/>
      <w:marBottom w:val="0"/>
      <w:divBdr>
        <w:top w:val="none" w:sz="0" w:space="0" w:color="auto"/>
        <w:left w:val="none" w:sz="0" w:space="0" w:color="auto"/>
        <w:bottom w:val="none" w:sz="0" w:space="0" w:color="auto"/>
        <w:right w:val="none" w:sz="0" w:space="0" w:color="auto"/>
      </w:divBdr>
    </w:div>
    <w:div w:id="2022774224">
      <w:bodyDiv w:val="1"/>
      <w:marLeft w:val="0"/>
      <w:marRight w:val="0"/>
      <w:marTop w:val="0"/>
      <w:marBottom w:val="0"/>
      <w:divBdr>
        <w:top w:val="none" w:sz="0" w:space="0" w:color="auto"/>
        <w:left w:val="none" w:sz="0" w:space="0" w:color="auto"/>
        <w:bottom w:val="none" w:sz="0" w:space="0" w:color="auto"/>
        <w:right w:val="none" w:sz="0" w:space="0" w:color="auto"/>
      </w:divBdr>
    </w:div>
    <w:div w:id="2023242729">
      <w:bodyDiv w:val="1"/>
      <w:marLeft w:val="0"/>
      <w:marRight w:val="0"/>
      <w:marTop w:val="0"/>
      <w:marBottom w:val="0"/>
      <w:divBdr>
        <w:top w:val="none" w:sz="0" w:space="0" w:color="auto"/>
        <w:left w:val="none" w:sz="0" w:space="0" w:color="auto"/>
        <w:bottom w:val="none" w:sz="0" w:space="0" w:color="auto"/>
        <w:right w:val="none" w:sz="0" w:space="0" w:color="auto"/>
      </w:divBdr>
    </w:div>
    <w:div w:id="2023436380">
      <w:bodyDiv w:val="1"/>
      <w:marLeft w:val="0"/>
      <w:marRight w:val="0"/>
      <w:marTop w:val="0"/>
      <w:marBottom w:val="0"/>
      <w:divBdr>
        <w:top w:val="none" w:sz="0" w:space="0" w:color="auto"/>
        <w:left w:val="none" w:sz="0" w:space="0" w:color="auto"/>
        <w:bottom w:val="none" w:sz="0" w:space="0" w:color="auto"/>
        <w:right w:val="none" w:sz="0" w:space="0" w:color="auto"/>
      </w:divBdr>
    </w:div>
    <w:div w:id="2023580090">
      <w:bodyDiv w:val="1"/>
      <w:marLeft w:val="0"/>
      <w:marRight w:val="0"/>
      <w:marTop w:val="0"/>
      <w:marBottom w:val="0"/>
      <w:divBdr>
        <w:top w:val="none" w:sz="0" w:space="0" w:color="auto"/>
        <w:left w:val="none" w:sz="0" w:space="0" w:color="auto"/>
        <w:bottom w:val="none" w:sz="0" w:space="0" w:color="auto"/>
        <w:right w:val="none" w:sz="0" w:space="0" w:color="auto"/>
      </w:divBdr>
    </w:div>
    <w:div w:id="2024278184">
      <w:bodyDiv w:val="1"/>
      <w:marLeft w:val="0"/>
      <w:marRight w:val="0"/>
      <w:marTop w:val="0"/>
      <w:marBottom w:val="0"/>
      <w:divBdr>
        <w:top w:val="none" w:sz="0" w:space="0" w:color="auto"/>
        <w:left w:val="none" w:sz="0" w:space="0" w:color="auto"/>
        <w:bottom w:val="none" w:sz="0" w:space="0" w:color="auto"/>
        <w:right w:val="none" w:sz="0" w:space="0" w:color="auto"/>
      </w:divBdr>
    </w:div>
    <w:div w:id="2024474264">
      <w:bodyDiv w:val="1"/>
      <w:marLeft w:val="0"/>
      <w:marRight w:val="0"/>
      <w:marTop w:val="0"/>
      <w:marBottom w:val="0"/>
      <w:divBdr>
        <w:top w:val="none" w:sz="0" w:space="0" w:color="auto"/>
        <w:left w:val="none" w:sz="0" w:space="0" w:color="auto"/>
        <w:bottom w:val="none" w:sz="0" w:space="0" w:color="auto"/>
        <w:right w:val="none" w:sz="0" w:space="0" w:color="auto"/>
      </w:divBdr>
    </w:div>
    <w:div w:id="2024478064">
      <w:bodyDiv w:val="1"/>
      <w:marLeft w:val="0"/>
      <w:marRight w:val="0"/>
      <w:marTop w:val="0"/>
      <w:marBottom w:val="0"/>
      <w:divBdr>
        <w:top w:val="none" w:sz="0" w:space="0" w:color="auto"/>
        <w:left w:val="none" w:sz="0" w:space="0" w:color="auto"/>
        <w:bottom w:val="none" w:sz="0" w:space="0" w:color="auto"/>
        <w:right w:val="none" w:sz="0" w:space="0" w:color="auto"/>
      </w:divBdr>
    </w:div>
    <w:div w:id="2024820225">
      <w:bodyDiv w:val="1"/>
      <w:marLeft w:val="0"/>
      <w:marRight w:val="0"/>
      <w:marTop w:val="0"/>
      <w:marBottom w:val="0"/>
      <w:divBdr>
        <w:top w:val="none" w:sz="0" w:space="0" w:color="auto"/>
        <w:left w:val="none" w:sz="0" w:space="0" w:color="auto"/>
        <w:bottom w:val="none" w:sz="0" w:space="0" w:color="auto"/>
        <w:right w:val="none" w:sz="0" w:space="0" w:color="auto"/>
      </w:divBdr>
    </w:div>
    <w:div w:id="2026055365">
      <w:bodyDiv w:val="1"/>
      <w:marLeft w:val="0"/>
      <w:marRight w:val="0"/>
      <w:marTop w:val="0"/>
      <w:marBottom w:val="0"/>
      <w:divBdr>
        <w:top w:val="none" w:sz="0" w:space="0" w:color="auto"/>
        <w:left w:val="none" w:sz="0" w:space="0" w:color="auto"/>
        <w:bottom w:val="none" w:sz="0" w:space="0" w:color="auto"/>
        <w:right w:val="none" w:sz="0" w:space="0" w:color="auto"/>
      </w:divBdr>
    </w:div>
    <w:div w:id="2026665219">
      <w:bodyDiv w:val="1"/>
      <w:marLeft w:val="0"/>
      <w:marRight w:val="0"/>
      <w:marTop w:val="0"/>
      <w:marBottom w:val="0"/>
      <w:divBdr>
        <w:top w:val="none" w:sz="0" w:space="0" w:color="auto"/>
        <w:left w:val="none" w:sz="0" w:space="0" w:color="auto"/>
        <w:bottom w:val="none" w:sz="0" w:space="0" w:color="auto"/>
        <w:right w:val="none" w:sz="0" w:space="0" w:color="auto"/>
      </w:divBdr>
    </w:div>
    <w:div w:id="2026900777">
      <w:bodyDiv w:val="1"/>
      <w:marLeft w:val="0"/>
      <w:marRight w:val="0"/>
      <w:marTop w:val="0"/>
      <w:marBottom w:val="0"/>
      <w:divBdr>
        <w:top w:val="none" w:sz="0" w:space="0" w:color="auto"/>
        <w:left w:val="none" w:sz="0" w:space="0" w:color="auto"/>
        <w:bottom w:val="none" w:sz="0" w:space="0" w:color="auto"/>
        <w:right w:val="none" w:sz="0" w:space="0" w:color="auto"/>
      </w:divBdr>
    </w:div>
    <w:div w:id="2027174758">
      <w:bodyDiv w:val="1"/>
      <w:marLeft w:val="0"/>
      <w:marRight w:val="0"/>
      <w:marTop w:val="0"/>
      <w:marBottom w:val="0"/>
      <w:divBdr>
        <w:top w:val="none" w:sz="0" w:space="0" w:color="auto"/>
        <w:left w:val="none" w:sz="0" w:space="0" w:color="auto"/>
        <w:bottom w:val="none" w:sz="0" w:space="0" w:color="auto"/>
        <w:right w:val="none" w:sz="0" w:space="0" w:color="auto"/>
      </w:divBdr>
    </w:div>
    <w:div w:id="2027630746">
      <w:bodyDiv w:val="1"/>
      <w:marLeft w:val="0"/>
      <w:marRight w:val="0"/>
      <w:marTop w:val="0"/>
      <w:marBottom w:val="0"/>
      <w:divBdr>
        <w:top w:val="none" w:sz="0" w:space="0" w:color="auto"/>
        <w:left w:val="none" w:sz="0" w:space="0" w:color="auto"/>
        <w:bottom w:val="none" w:sz="0" w:space="0" w:color="auto"/>
        <w:right w:val="none" w:sz="0" w:space="0" w:color="auto"/>
      </w:divBdr>
    </w:div>
    <w:div w:id="2027635088">
      <w:bodyDiv w:val="1"/>
      <w:marLeft w:val="0"/>
      <w:marRight w:val="0"/>
      <w:marTop w:val="0"/>
      <w:marBottom w:val="0"/>
      <w:divBdr>
        <w:top w:val="none" w:sz="0" w:space="0" w:color="auto"/>
        <w:left w:val="none" w:sz="0" w:space="0" w:color="auto"/>
        <w:bottom w:val="none" w:sz="0" w:space="0" w:color="auto"/>
        <w:right w:val="none" w:sz="0" w:space="0" w:color="auto"/>
      </w:divBdr>
    </w:div>
    <w:div w:id="2027906112">
      <w:bodyDiv w:val="1"/>
      <w:marLeft w:val="0"/>
      <w:marRight w:val="0"/>
      <w:marTop w:val="0"/>
      <w:marBottom w:val="0"/>
      <w:divBdr>
        <w:top w:val="none" w:sz="0" w:space="0" w:color="auto"/>
        <w:left w:val="none" w:sz="0" w:space="0" w:color="auto"/>
        <w:bottom w:val="none" w:sz="0" w:space="0" w:color="auto"/>
        <w:right w:val="none" w:sz="0" w:space="0" w:color="auto"/>
      </w:divBdr>
    </w:div>
    <w:div w:id="2027976152">
      <w:bodyDiv w:val="1"/>
      <w:marLeft w:val="0"/>
      <w:marRight w:val="0"/>
      <w:marTop w:val="0"/>
      <w:marBottom w:val="0"/>
      <w:divBdr>
        <w:top w:val="none" w:sz="0" w:space="0" w:color="auto"/>
        <w:left w:val="none" w:sz="0" w:space="0" w:color="auto"/>
        <w:bottom w:val="none" w:sz="0" w:space="0" w:color="auto"/>
        <w:right w:val="none" w:sz="0" w:space="0" w:color="auto"/>
      </w:divBdr>
    </w:div>
    <w:div w:id="2028479880">
      <w:bodyDiv w:val="1"/>
      <w:marLeft w:val="0"/>
      <w:marRight w:val="0"/>
      <w:marTop w:val="0"/>
      <w:marBottom w:val="0"/>
      <w:divBdr>
        <w:top w:val="none" w:sz="0" w:space="0" w:color="auto"/>
        <w:left w:val="none" w:sz="0" w:space="0" w:color="auto"/>
        <w:bottom w:val="none" w:sz="0" w:space="0" w:color="auto"/>
        <w:right w:val="none" w:sz="0" w:space="0" w:color="auto"/>
      </w:divBdr>
    </w:div>
    <w:div w:id="2028755275">
      <w:bodyDiv w:val="1"/>
      <w:marLeft w:val="0"/>
      <w:marRight w:val="0"/>
      <w:marTop w:val="0"/>
      <w:marBottom w:val="0"/>
      <w:divBdr>
        <w:top w:val="none" w:sz="0" w:space="0" w:color="auto"/>
        <w:left w:val="none" w:sz="0" w:space="0" w:color="auto"/>
        <w:bottom w:val="none" w:sz="0" w:space="0" w:color="auto"/>
        <w:right w:val="none" w:sz="0" w:space="0" w:color="auto"/>
      </w:divBdr>
    </w:div>
    <w:div w:id="2028939769">
      <w:bodyDiv w:val="1"/>
      <w:marLeft w:val="0"/>
      <w:marRight w:val="0"/>
      <w:marTop w:val="0"/>
      <w:marBottom w:val="0"/>
      <w:divBdr>
        <w:top w:val="none" w:sz="0" w:space="0" w:color="auto"/>
        <w:left w:val="none" w:sz="0" w:space="0" w:color="auto"/>
        <w:bottom w:val="none" w:sz="0" w:space="0" w:color="auto"/>
        <w:right w:val="none" w:sz="0" w:space="0" w:color="auto"/>
      </w:divBdr>
    </w:div>
    <w:div w:id="2029214364">
      <w:bodyDiv w:val="1"/>
      <w:marLeft w:val="0"/>
      <w:marRight w:val="0"/>
      <w:marTop w:val="0"/>
      <w:marBottom w:val="0"/>
      <w:divBdr>
        <w:top w:val="none" w:sz="0" w:space="0" w:color="auto"/>
        <w:left w:val="none" w:sz="0" w:space="0" w:color="auto"/>
        <w:bottom w:val="none" w:sz="0" w:space="0" w:color="auto"/>
        <w:right w:val="none" w:sz="0" w:space="0" w:color="auto"/>
      </w:divBdr>
    </w:div>
    <w:div w:id="2029527643">
      <w:bodyDiv w:val="1"/>
      <w:marLeft w:val="0"/>
      <w:marRight w:val="0"/>
      <w:marTop w:val="0"/>
      <w:marBottom w:val="0"/>
      <w:divBdr>
        <w:top w:val="none" w:sz="0" w:space="0" w:color="auto"/>
        <w:left w:val="none" w:sz="0" w:space="0" w:color="auto"/>
        <w:bottom w:val="none" w:sz="0" w:space="0" w:color="auto"/>
        <w:right w:val="none" w:sz="0" w:space="0" w:color="auto"/>
      </w:divBdr>
    </w:div>
    <w:div w:id="2031029888">
      <w:bodyDiv w:val="1"/>
      <w:marLeft w:val="0"/>
      <w:marRight w:val="0"/>
      <w:marTop w:val="0"/>
      <w:marBottom w:val="0"/>
      <w:divBdr>
        <w:top w:val="none" w:sz="0" w:space="0" w:color="auto"/>
        <w:left w:val="none" w:sz="0" w:space="0" w:color="auto"/>
        <w:bottom w:val="none" w:sz="0" w:space="0" w:color="auto"/>
        <w:right w:val="none" w:sz="0" w:space="0" w:color="auto"/>
      </w:divBdr>
    </w:div>
    <w:div w:id="2031299320">
      <w:bodyDiv w:val="1"/>
      <w:marLeft w:val="0"/>
      <w:marRight w:val="0"/>
      <w:marTop w:val="0"/>
      <w:marBottom w:val="0"/>
      <w:divBdr>
        <w:top w:val="none" w:sz="0" w:space="0" w:color="auto"/>
        <w:left w:val="none" w:sz="0" w:space="0" w:color="auto"/>
        <w:bottom w:val="none" w:sz="0" w:space="0" w:color="auto"/>
        <w:right w:val="none" w:sz="0" w:space="0" w:color="auto"/>
      </w:divBdr>
    </w:div>
    <w:div w:id="2031375041">
      <w:bodyDiv w:val="1"/>
      <w:marLeft w:val="0"/>
      <w:marRight w:val="0"/>
      <w:marTop w:val="0"/>
      <w:marBottom w:val="0"/>
      <w:divBdr>
        <w:top w:val="none" w:sz="0" w:space="0" w:color="auto"/>
        <w:left w:val="none" w:sz="0" w:space="0" w:color="auto"/>
        <w:bottom w:val="none" w:sz="0" w:space="0" w:color="auto"/>
        <w:right w:val="none" w:sz="0" w:space="0" w:color="auto"/>
      </w:divBdr>
    </w:div>
    <w:div w:id="2031491441">
      <w:bodyDiv w:val="1"/>
      <w:marLeft w:val="0"/>
      <w:marRight w:val="0"/>
      <w:marTop w:val="0"/>
      <w:marBottom w:val="0"/>
      <w:divBdr>
        <w:top w:val="none" w:sz="0" w:space="0" w:color="auto"/>
        <w:left w:val="none" w:sz="0" w:space="0" w:color="auto"/>
        <w:bottom w:val="none" w:sz="0" w:space="0" w:color="auto"/>
        <w:right w:val="none" w:sz="0" w:space="0" w:color="auto"/>
      </w:divBdr>
    </w:div>
    <w:div w:id="2031758206">
      <w:bodyDiv w:val="1"/>
      <w:marLeft w:val="0"/>
      <w:marRight w:val="0"/>
      <w:marTop w:val="0"/>
      <w:marBottom w:val="0"/>
      <w:divBdr>
        <w:top w:val="none" w:sz="0" w:space="0" w:color="auto"/>
        <w:left w:val="none" w:sz="0" w:space="0" w:color="auto"/>
        <w:bottom w:val="none" w:sz="0" w:space="0" w:color="auto"/>
        <w:right w:val="none" w:sz="0" w:space="0" w:color="auto"/>
      </w:divBdr>
    </w:div>
    <w:div w:id="2032104476">
      <w:bodyDiv w:val="1"/>
      <w:marLeft w:val="0"/>
      <w:marRight w:val="0"/>
      <w:marTop w:val="0"/>
      <w:marBottom w:val="0"/>
      <w:divBdr>
        <w:top w:val="none" w:sz="0" w:space="0" w:color="auto"/>
        <w:left w:val="none" w:sz="0" w:space="0" w:color="auto"/>
        <w:bottom w:val="none" w:sz="0" w:space="0" w:color="auto"/>
        <w:right w:val="none" w:sz="0" w:space="0" w:color="auto"/>
      </w:divBdr>
    </w:div>
    <w:div w:id="2032106061">
      <w:bodyDiv w:val="1"/>
      <w:marLeft w:val="0"/>
      <w:marRight w:val="0"/>
      <w:marTop w:val="0"/>
      <w:marBottom w:val="0"/>
      <w:divBdr>
        <w:top w:val="none" w:sz="0" w:space="0" w:color="auto"/>
        <w:left w:val="none" w:sz="0" w:space="0" w:color="auto"/>
        <w:bottom w:val="none" w:sz="0" w:space="0" w:color="auto"/>
        <w:right w:val="none" w:sz="0" w:space="0" w:color="auto"/>
      </w:divBdr>
    </w:div>
    <w:div w:id="2032150041">
      <w:bodyDiv w:val="1"/>
      <w:marLeft w:val="0"/>
      <w:marRight w:val="0"/>
      <w:marTop w:val="0"/>
      <w:marBottom w:val="0"/>
      <w:divBdr>
        <w:top w:val="none" w:sz="0" w:space="0" w:color="auto"/>
        <w:left w:val="none" w:sz="0" w:space="0" w:color="auto"/>
        <w:bottom w:val="none" w:sz="0" w:space="0" w:color="auto"/>
        <w:right w:val="none" w:sz="0" w:space="0" w:color="auto"/>
      </w:divBdr>
    </w:div>
    <w:div w:id="2033143699">
      <w:bodyDiv w:val="1"/>
      <w:marLeft w:val="0"/>
      <w:marRight w:val="0"/>
      <w:marTop w:val="0"/>
      <w:marBottom w:val="0"/>
      <w:divBdr>
        <w:top w:val="none" w:sz="0" w:space="0" w:color="auto"/>
        <w:left w:val="none" w:sz="0" w:space="0" w:color="auto"/>
        <w:bottom w:val="none" w:sz="0" w:space="0" w:color="auto"/>
        <w:right w:val="none" w:sz="0" w:space="0" w:color="auto"/>
      </w:divBdr>
    </w:div>
    <w:div w:id="2033218785">
      <w:bodyDiv w:val="1"/>
      <w:marLeft w:val="0"/>
      <w:marRight w:val="0"/>
      <w:marTop w:val="0"/>
      <w:marBottom w:val="0"/>
      <w:divBdr>
        <w:top w:val="none" w:sz="0" w:space="0" w:color="auto"/>
        <w:left w:val="none" w:sz="0" w:space="0" w:color="auto"/>
        <w:bottom w:val="none" w:sz="0" w:space="0" w:color="auto"/>
        <w:right w:val="none" w:sz="0" w:space="0" w:color="auto"/>
      </w:divBdr>
    </w:div>
    <w:div w:id="2033335009">
      <w:bodyDiv w:val="1"/>
      <w:marLeft w:val="0"/>
      <w:marRight w:val="0"/>
      <w:marTop w:val="0"/>
      <w:marBottom w:val="0"/>
      <w:divBdr>
        <w:top w:val="none" w:sz="0" w:space="0" w:color="auto"/>
        <w:left w:val="none" w:sz="0" w:space="0" w:color="auto"/>
        <w:bottom w:val="none" w:sz="0" w:space="0" w:color="auto"/>
        <w:right w:val="none" w:sz="0" w:space="0" w:color="auto"/>
      </w:divBdr>
    </w:div>
    <w:div w:id="2033337239">
      <w:bodyDiv w:val="1"/>
      <w:marLeft w:val="0"/>
      <w:marRight w:val="0"/>
      <w:marTop w:val="0"/>
      <w:marBottom w:val="0"/>
      <w:divBdr>
        <w:top w:val="none" w:sz="0" w:space="0" w:color="auto"/>
        <w:left w:val="none" w:sz="0" w:space="0" w:color="auto"/>
        <w:bottom w:val="none" w:sz="0" w:space="0" w:color="auto"/>
        <w:right w:val="none" w:sz="0" w:space="0" w:color="auto"/>
      </w:divBdr>
    </w:div>
    <w:div w:id="2033677634">
      <w:bodyDiv w:val="1"/>
      <w:marLeft w:val="0"/>
      <w:marRight w:val="0"/>
      <w:marTop w:val="0"/>
      <w:marBottom w:val="0"/>
      <w:divBdr>
        <w:top w:val="none" w:sz="0" w:space="0" w:color="auto"/>
        <w:left w:val="none" w:sz="0" w:space="0" w:color="auto"/>
        <w:bottom w:val="none" w:sz="0" w:space="0" w:color="auto"/>
        <w:right w:val="none" w:sz="0" w:space="0" w:color="auto"/>
      </w:divBdr>
    </w:div>
    <w:div w:id="2033799721">
      <w:bodyDiv w:val="1"/>
      <w:marLeft w:val="0"/>
      <w:marRight w:val="0"/>
      <w:marTop w:val="0"/>
      <w:marBottom w:val="0"/>
      <w:divBdr>
        <w:top w:val="none" w:sz="0" w:space="0" w:color="auto"/>
        <w:left w:val="none" w:sz="0" w:space="0" w:color="auto"/>
        <w:bottom w:val="none" w:sz="0" w:space="0" w:color="auto"/>
        <w:right w:val="none" w:sz="0" w:space="0" w:color="auto"/>
      </w:divBdr>
    </w:div>
    <w:div w:id="2034189307">
      <w:bodyDiv w:val="1"/>
      <w:marLeft w:val="0"/>
      <w:marRight w:val="0"/>
      <w:marTop w:val="0"/>
      <w:marBottom w:val="0"/>
      <w:divBdr>
        <w:top w:val="none" w:sz="0" w:space="0" w:color="auto"/>
        <w:left w:val="none" w:sz="0" w:space="0" w:color="auto"/>
        <w:bottom w:val="none" w:sz="0" w:space="0" w:color="auto"/>
        <w:right w:val="none" w:sz="0" w:space="0" w:color="auto"/>
      </w:divBdr>
    </w:div>
    <w:div w:id="2034451519">
      <w:bodyDiv w:val="1"/>
      <w:marLeft w:val="0"/>
      <w:marRight w:val="0"/>
      <w:marTop w:val="0"/>
      <w:marBottom w:val="0"/>
      <w:divBdr>
        <w:top w:val="none" w:sz="0" w:space="0" w:color="auto"/>
        <w:left w:val="none" w:sz="0" w:space="0" w:color="auto"/>
        <w:bottom w:val="none" w:sz="0" w:space="0" w:color="auto"/>
        <w:right w:val="none" w:sz="0" w:space="0" w:color="auto"/>
      </w:divBdr>
    </w:div>
    <w:div w:id="2034458008">
      <w:bodyDiv w:val="1"/>
      <w:marLeft w:val="0"/>
      <w:marRight w:val="0"/>
      <w:marTop w:val="0"/>
      <w:marBottom w:val="0"/>
      <w:divBdr>
        <w:top w:val="none" w:sz="0" w:space="0" w:color="auto"/>
        <w:left w:val="none" w:sz="0" w:space="0" w:color="auto"/>
        <w:bottom w:val="none" w:sz="0" w:space="0" w:color="auto"/>
        <w:right w:val="none" w:sz="0" w:space="0" w:color="auto"/>
      </w:divBdr>
    </w:div>
    <w:div w:id="2034531664">
      <w:bodyDiv w:val="1"/>
      <w:marLeft w:val="0"/>
      <w:marRight w:val="0"/>
      <w:marTop w:val="0"/>
      <w:marBottom w:val="0"/>
      <w:divBdr>
        <w:top w:val="none" w:sz="0" w:space="0" w:color="auto"/>
        <w:left w:val="none" w:sz="0" w:space="0" w:color="auto"/>
        <w:bottom w:val="none" w:sz="0" w:space="0" w:color="auto"/>
        <w:right w:val="none" w:sz="0" w:space="0" w:color="auto"/>
      </w:divBdr>
    </w:div>
    <w:div w:id="2035767331">
      <w:bodyDiv w:val="1"/>
      <w:marLeft w:val="0"/>
      <w:marRight w:val="0"/>
      <w:marTop w:val="0"/>
      <w:marBottom w:val="0"/>
      <w:divBdr>
        <w:top w:val="none" w:sz="0" w:space="0" w:color="auto"/>
        <w:left w:val="none" w:sz="0" w:space="0" w:color="auto"/>
        <w:bottom w:val="none" w:sz="0" w:space="0" w:color="auto"/>
        <w:right w:val="none" w:sz="0" w:space="0" w:color="auto"/>
      </w:divBdr>
    </w:div>
    <w:div w:id="2036998287">
      <w:bodyDiv w:val="1"/>
      <w:marLeft w:val="0"/>
      <w:marRight w:val="0"/>
      <w:marTop w:val="0"/>
      <w:marBottom w:val="0"/>
      <w:divBdr>
        <w:top w:val="none" w:sz="0" w:space="0" w:color="auto"/>
        <w:left w:val="none" w:sz="0" w:space="0" w:color="auto"/>
        <w:bottom w:val="none" w:sz="0" w:space="0" w:color="auto"/>
        <w:right w:val="none" w:sz="0" w:space="0" w:color="auto"/>
      </w:divBdr>
    </w:div>
    <w:div w:id="2037847620">
      <w:bodyDiv w:val="1"/>
      <w:marLeft w:val="0"/>
      <w:marRight w:val="0"/>
      <w:marTop w:val="0"/>
      <w:marBottom w:val="0"/>
      <w:divBdr>
        <w:top w:val="none" w:sz="0" w:space="0" w:color="auto"/>
        <w:left w:val="none" w:sz="0" w:space="0" w:color="auto"/>
        <w:bottom w:val="none" w:sz="0" w:space="0" w:color="auto"/>
        <w:right w:val="none" w:sz="0" w:space="0" w:color="auto"/>
      </w:divBdr>
    </w:div>
    <w:div w:id="2038235470">
      <w:bodyDiv w:val="1"/>
      <w:marLeft w:val="0"/>
      <w:marRight w:val="0"/>
      <w:marTop w:val="0"/>
      <w:marBottom w:val="0"/>
      <w:divBdr>
        <w:top w:val="none" w:sz="0" w:space="0" w:color="auto"/>
        <w:left w:val="none" w:sz="0" w:space="0" w:color="auto"/>
        <w:bottom w:val="none" w:sz="0" w:space="0" w:color="auto"/>
        <w:right w:val="none" w:sz="0" w:space="0" w:color="auto"/>
      </w:divBdr>
    </w:div>
    <w:div w:id="2038893470">
      <w:bodyDiv w:val="1"/>
      <w:marLeft w:val="0"/>
      <w:marRight w:val="0"/>
      <w:marTop w:val="0"/>
      <w:marBottom w:val="0"/>
      <w:divBdr>
        <w:top w:val="none" w:sz="0" w:space="0" w:color="auto"/>
        <w:left w:val="none" w:sz="0" w:space="0" w:color="auto"/>
        <w:bottom w:val="none" w:sz="0" w:space="0" w:color="auto"/>
        <w:right w:val="none" w:sz="0" w:space="0" w:color="auto"/>
      </w:divBdr>
    </w:div>
    <w:div w:id="2040885583">
      <w:bodyDiv w:val="1"/>
      <w:marLeft w:val="0"/>
      <w:marRight w:val="0"/>
      <w:marTop w:val="0"/>
      <w:marBottom w:val="0"/>
      <w:divBdr>
        <w:top w:val="none" w:sz="0" w:space="0" w:color="auto"/>
        <w:left w:val="none" w:sz="0" w:space="0" w:color="auto"/>
        <w:bottom w:val="none" w:sz="0" w:space="0" w:color="auto"/>
        <w:right w:val="none" w:sz="0" w:space="0" w:color="auto"/>
      </w:divBdr>
    </w:div>
    <w:div w:id="2040886022">
      <w:bodyDiv w:val="1"/>
      <w:marLeft w:val="0"/>
      <w:marRight w:val="0"/>
      <w:marTop w:val="0"/>
      <w:marBottom w:val="0"/>
      <w:divBdr>
        <w:top w:val="none" w:sz="0" w:space="0" w:color="auto"/>
        <w:left w:val="none" w:sz="0" w:space="0" w:color="auto"/>
        <w:bottom w:val="none" w:sz="0" w:space="0" w:color="auto"/>
        <w:right w:val="none" w:sz="0" w:space="0" w:color="auto"/>
      </w:divBdr>
    </w:div>
    <w:div w:id="2041003300">
      <w:bodyDiv w:val="1"/>
      <w:marLeft w:val="0"/>
      <w:marRight w:val="0"/>
      <w:marTop w:val="0"/>
      <w:marBottom w:val="0"/>
      <w:divBdr>
        <w:top w:val="none" w:sz="0" w:space="0" w:color="auto"/>
        <w:left w:val="none" w:sz="0" w:space="0" w:color="auto"/>
        <w:bottom w:val="none" w:sz="0" w:space="0" w:color="auto"/>
        <w:right w:val="none" w:sz="0" w:space="0" w:color="auto"/>
      </w:divBdr>
    </w:div>
    <w:div w:id="2041393568">
      <w:bodyDiv w:val="1"/>
      <w:marLeft w:val="0"/>
      <w:marRight w:val="0"/>
      <w:marTop w:val="0"/>
      <w:marBottom w:val="0"/>
      <w:divBdr>
        <w:top w:val="none" w:sz="0" w:space="0" w:color="auto"/>
        <w:left w:val="none" w:sz="0" w:space="0" w:color="auto"/>
        <w:bottom w:val="none" w:sz="0" w:space="0" w:color="auto"/>
        <w:right w:val="none" w:sz="0" w:space="0" w:color="auto"/>
      </w:divBdr>
    </w:div>
    <w:div w:id="2041661912">
      <w:bodyDiv w:val="1"/>
      <w:marLeft w:val="0"/>
      <w:marRight w:val="0"/>
      <w:marTop w:val="0"/>
      <w:marBottom w:val="0"/>
      <w:divBdr>
        <w:top w:val="none" w:sz="0" w:space="0" w:color="auto"/>
        <w:left w:val="none" w:sz="0" w:space="0" w:color="auto"/>
        <w:bottom w:val="none" w:sz="0" w:space="0" w:color="auto"/>
        <w:right w:val="none" w:sz="0" w:space="0" w:color="auto"/>
      </w:divBdr>
    </w:div>
    <w:div w:id="2041975014">
      <w:bodyDiv w:val="1"/>
      <w:marLeft w:val="0"/>
      <w:marRight w:val="0"/>
      <w:marTop w:val="0"/>
      <w:marBottom w:val="0"/>
      <w:divBdr>
        <w:top w:val="none" w:sz="0" w:space="0" w:color="auto"/>
        <w:left w:val="none" w:sz="0" w:space="0" w:color="auto"/>
        <w:bottom w:val="none" w:sz="0" w:space="0" w:color="auto"/>
        <w:right w:val="none" w:sz="0" w:space="0" w:color="auto"/>
      </w:divBdr>
    </w:div>
    <w:div w:id="2042167502">
      <w:bodyDiv w:val="1"/>
      <w:marLeft w:val="0"/>
      <w:marRight w:val="0"/>
      <w:marTop w:val="0"/>
      <w:marBottom w:val="0"/>
      <w:divBdr>
        <w:top w:val="none" w:sz="0" w:space="0" w:color="auto"/>
        <w:left w:val="none" w:sz="0" w:space="0" w:color="auto"/>
        <w:bottom w:val="none" w:sz="0" w:space="0" w:color="auto"/>
        <w:right w:val="none" w:sz="0" w:space="0" w:color="auto"/>
      </w:divBdr>
    </w:div>
    <w:div w:id="2044667141">
      <w:bodyDiv w:val="1"/>
      <w:marLeft w:val="0"/>
      <w:marRight w:val="0"/>
      <w:marTop w:val="0"/>
      <w:marBottom w:val="0"/>
      <w:divBdr>
        <w:top w:val="none" w:sz="0" w:space="0" w:color="auto"/>
        <w:left w:val="none" w:sz="0" w:space="0" w:color="auto"/>
        <w:bottom w:val="none" w:sz="0" w:space="0" w:color="auto"/>
        <w:right w:val="none" w:sz="0" w:space="0" w:color="auto"/>
      </w:divBdr>
    </w:div>
    <w:div w:id="2046175405">
      <w:bodyDiv w:val="1"/>
      <w:marLeft w:val="0"/>
      <w:marRight w:val="0"/>
      <w:marTop w:val="0"/>
      <w:marBottom w:val="0"/>
      <w:divBdr>
        <w:top w:val="none" w:sz="0" w:space="0" w:color="auto"/>
        <w:left w:val="none" w:sz="0" w:space="0" w:color="auto"/>
        <w:bottom w:val="none" w:sz="0" w:space="0" w:color="auto"/>
        <w:right w:val="none" w:sz="0" w:space="0" w:color="auto"/>
      </w:divBdr>
    </w:div>
    <w:div w:id="2046633254">
      <w:bodyDiv w:val="1"/>
      <w:marLeft w:val="0"/>
      <w:marRight w:val="0"/>
      <w:marTop w:val="0"/>
      <w:marBottom w:val="0"/>
      <w:divBdr>
        <w:top w:val="none" w:sz="0" w:space="0" w:color="auto"/>
        <w:left w:val="none" w:sz="0" w:space="0" w:color="auto"/>
        <w:bottom w:val="none" w:sz="0" w:space="0" w:color="auto"/>
        <w:right w:val="none" w:sz="0" w:space="0" w:color="auto"/>
      </w:divBdr>
    </w:div>
    <w:div w:id="2046636959">
      <w:bodyDiv w:val="1"/>
      <w:marLeft w:val="0"/>
      <w:marRight w:val="0"/>
      <w:marTop w:val="0"/>
      <w:marBottom w:val="0"/>
      <w:divBdr>
        <w:top w:val="none" w:sz="0" w:space="0" w:color="auto"/>
        <w:left w:val="none" w:sz="0" w:space="0" w:color="auto"/>
        <w:bottom w:val="none" w:sz="0" w:space="0" w:color="auto"/>
        <w:right w:val="none" w:sz="0" w:space="0" w:color="auto"/>
      </w:divBdr>
    </w:div>
    <w:div w:id="2046784056">
      <w:bodyDiv w:val="1"/>
      <w:marLeft w:val="0"/>
      <w:marRight w:val="0"/>
      <w:marTop w:val="0"/>
      <w:marBottom w:val="0"/>
      <w:divBdr>
        <w:top w:val="none" w:sz="0" w:space="0" w:color="auto"/>
        <w:left w:val="none" w:sz="0" w:space="0" w:color="auto"/>
        <w:bottom w:val="none" w:sz="0" w:space="0" w:color="auto"/>
        <w:right w:val="none" w:sz="0" w:space="0" w:color="auto"/>
      </w:divBdr>
    </w:div>
    <w:div w:id="2047102015">
      <w:bodyDiv w:val="1"/>
      <w:marLeft w:val="0"/>
      <w:marRight w:val="0"/>
      <w:marTop w:val="0"/>
      <w:marBottom w:val="0"/>
      <w:divBdr>
        <w:top w:val="none" w:sz="0" w:space="0" w:color="auto"/>
        <w:left w:val="none" w:sz="0" w:space="0" w:color="auto"/>
        <w:bottom w:val="none" w:sz="0" w:space="0" w:color="auto"/>
        <w:right w:val="none" w:sz="0" w:space="0" w:color="auto"/>
      </w:divBdr>
    </w:div>
    <w:div w:id="2047217737">
      <w:bodyDiv w:val="1"/>
      <w:marLeft w:val="0"/>
      <w:marRight w:val="0"/>
      <w:marTop w:val="0"/>
      <w:marBottom w:val="0"/>
      <w:divBdr>
        <w:top w:val="none" w:sz="0" w:space="0" w:color="auto"/>
        <w:left w:val="none" w:sz="0" w:space="0" w:color="auto"/>
        <w:bottom w:val="none" w:sz="0" w:space="0" w:color="auto"/>
        <w:right w:val="none" w:sz="0" w:space="0" w:color="auto"/>
      </w:divBdr>
    </w:div>
    <w:div w:id="2047480201">
      <w:bodyDiv w:val="1"/>
      <w:marLeft w:val="0"/>
      <w:marRight w:val="0"/>
      <w:marTop w:val="0"/>
      <w:marBottom w:val="0"/>
      <w:divBdr>
        <w:top w:val="none" w:sz="0" w:space="0" w:color="auto"/>
        <w:left w:val="none" w:sz="0" w:space="0" w:color="auto"/>
        <w:bottom w:val="none" w:sz="0" w:space="0" w:color="auto"/>
        <w:right w:val="none" w:sz="0" w:space="0" w:color="auto"/>
      </w:divBdr>
    </w:div>
    <w:div w:id="2047756051">
      <w:bodyDiv w:val="1"/>
      <w:marLeft w:val="0"/>
      <w:marRight w:val="0"/>
      <w:marTop w:val="0"/>
      <w:marBottom w:val="0"/>
      <w:divBdr>
        <w:top w:val="none" w:sz="0" w:space="0" w:color="auto"/>
        <w:left w:val="none" w:sz="0" w:space="0" w:color="auto"/>
        <w:bottom w:val="none" w:sz="0" w:space="0" w:color="auto"/>
        <w:right w:val="none" w:sz="0" w:space="0" w:color="auto"/>
      </w:divBdr>
    </w:div>
    <w:div w:id="2048026916">
      <w:bodyDiv w:val="1"/>
      <w:marLeft w:val="0"/>
      <w:marRight w:val="0"/>
      <w:marTop w:val="0"/>
      <w:marBottom w:val="0"/>
      <w:divBdr>
        <w:top w:val="none" w:sz="0" w:space="0" w:color="auto"/>
        <w:left w:val="none" w:sz="0" w:space="0" w:color="auto"/>
        <w:bottom w:val="none" w:sz="0" w:space="0" w:color="auto"/>
        <w:right w:val="none" w:sz="0" w:space="0" w:color="auto"/>
      </w:divBdr>
    </w:div>
    <w:div w:id="2048605269">
      <w:bodyDiv w:val="1"/>
      <w:marLeft w:val="0"/>
      <w:marRight w:val="0"/>
      <w:marTop w:val="0"/>
      <w:marBottom w:val="0"/>
      <w:divBdr>
        <w:top w:val="none" w:sz="0" w:space="0" w:color="auto"/>
        <w:left w:val="none" w:sz="0" w:space="0" w:color="auto"/>
        <w:bottom w:val="none" w:sz="0" w:space="0" w:color="auto"/>
        <w:right w:val="none" w:sz="0" w:space="0" w:color="auto"/>
      </w:divBdr>
    </w:div>
    <w:div w:id="2048800125">
      <w:bodyDiv w:val="1"/>
      <w:marLeft w:val="0"/>
      <w:marRight w:val="0"/>
      <w:marTop w:val="0"/>
      <w:marBottom w:val="0"/>
      <w:divBdr>
        <w:top w:val="none" w:sz="0" w:space="0" w:color="auto"/>
        <w:left w:val="none" w:sz="0" w:space="0" w:color="auto"/>
        <w:bottom w:val="none" w:sz="0" w:space="0" w:color="auto"/>
        <w:right w:val="none" w:sz="0" w:space="0" w:color="auto"/>
      </w:divBdr>
    </w:div>
    <w:div w:id="2048945885">
      <w:bodyDiv w:val="1"/>
      <w:marLeft w:val="0"/>
      <w:marRight w:val="0"/>
      <w:marTop w:val="0"/>
      <w:marBottom w:val="0"/>
      <w:divBdr>
        <w:top w:val="none" w:sz="0" w:space="0" w:color="auto"/>
        <w:left w:val="none" w:sz="0" w:space="0" w:color="auto"/>
        <w:bottom w:val="none" w:sz="0" w:space="0" w:color="auto"/>
        <w:right w:val="none" w:sz="0" w:space="0" w:color="auto"/>
      </w:divBdr>
    </w:div>
    <w:div w:id="2049184263">
      <w:bodyDiv w:val="1"/>
      <w:marLeft w:val="0"/>
      <w:marRight w:val="0"/>
      <w:marTop w:val="0"/>
      <w:marBottom w:val="0"/>
      <w:divBdr>
        <w:top w:val="none" w:sz="0" w:space="0" w:color="auto"/>
        <w:left w:val="none" w:sz="0" w:space="0" w:color="auto"/>
        <w:bottom w:val="none" w:sz="0" w:space="0" w:color="auto"/>
        <w:right w:val="none" w:sz="0" w:space="0" w:color="auto"/>
      </w:divBdr>
    </w:div>
    <w:div w:id="2049376933">
      <w:bodyDiv w:val="1"/>
      <w:marLeft w:val="0"/>
      <w:marRight w:val="0"/>
      <w:marTop w:val="0"/>
      <w:marBottom w:val="0"/>
      <w:divBdr>
        <w:top w:val="none" w:sz="0" w:space="0" w:color="auto"/>
        <w:left w:val="none" w:sz="0" w:space="0" w:color="auto"/>
        <w:bottom w:val="none" w:sz="0" w:space="0" w:color="auto"/>
        <w:right w:val="none" w:sz="0" w:space="0" w:color="auto"/>
      </w:divBdr>
    </w:div>
    <w:div w:id="2049449500">
      <w:bodyDiv w:val="1"/>
      <w:marLeft w:val="0"/>
      <w:marRight w:val="0"/>
      <w:marTop w:val="0"/>
      <w:marBottom w:val="0"/>
      <w:divBdr>
        <w:top w:val="none" w:sz="0" w:space="0" w:color="auto"/>
        <w:left w:val="none" w:sz="0" w:space="0" w:color="auto"/>
        <w:bottom w:val="none" w:sz="0" w:space="0" w:color="auto"/>
        <w:right w:val="none" w:sz="0" w:space="0" w:color="auto"/>
      </w:divBdr>
    </w:div>
    <w:div w:id="2049839821">
      <w:bodyDiv w:val="1"/>
      <w:marLeft w:val="0"/>
      <w:marRight w:val="0"/>
      <w:marTop w:val="0"/>
      <w:marBottom w:val="0"/>
      <w:divBdr>
        <w:top w:val="none" w:sz="0" w:space="0" w:color="auto"/>
        <w:left w:val="none" w:sz="0" w:space="0" w:color="auto"/>
        <w:bottom w:val="none" w:sz="0" w:space="0" w:color="auto"/>
        <w:right w:val="none" w:sz="0" w:space="0" w:color="auto"/>
      </w:divBdr>
    </w:div>
    <w:div w:id="2050110287">
      <w:bodyDiv w:val="1"/>
      <w:marLeft w:val="0"/>
      <w:marRight w:val="0"/>
      <w:marTop w:val="0"/>
      <w:marBottom w:val="0"/>
      <w:divBdr>
        <w:top w:val="none" w:sz="0" w:space="0" w:color="auto"/>
        <w:left w:val="none" w:sz="0" w:space="0" w:color="auto"/>
        <w:bottom w:val="none" w:sz="0" w:space="0" w:color="auto"/>
        <w:right w:val="none" w:sz="0" w:space="0" w:color="auto"/>
      </w:divBdr>
    </w:div>
    <w:div w:id="2050177655">
      <w:bodyDiv w:val="1"/>
      <w:marLeft w:val="0"/>
      <w:marRight w:val="0"/>
      <w:marTop w:val="0"/>
      <w:marBottom w:val="0"/>
      <w:divBdr>
        <w:top w:val="none" w:sz="0" w:space="0" w:color="auto"/>
        <w:left w:val="none" w:sz="0" w:space="0" w:color="auto"/>
        <w:bottom w:val="none" w:sz="0" w:space="0" w:color="auto"/>
        <w:right w:val="none" w:sz="0" w:space="0" w:color="auto"/>
      </w:divBdr>
    </w:div>
    <w:div w:id="2050180047">
      <w:bodyDiv w:val="1"/>
      <w:marLeft w:val="0"/>
      <w:marRight w:val="0"/>
      <w:marTop w:val="0"/>
      <w:marBottom w:val="0"/>
      <w:divBdr>
        <w:top w:val="none" w:sz="0" w:space="0" w:color="auto"/>
        <w:left w:val="none" w:sz="0" w:space="0" w:color="auto"/>
        <w:bottom w:val="none" w:sz="0" w:space="0" w:color="auto"/>
        <w:right w:val="none" w:sz="0" w:space="0" w:color="auto"/>
      </w:divBdr>
    </w:div>
    <w:div w:id="2050491075">
      <w:bodyDiv w:val="1"/>
      <w:marLeft w:val="0"/>
      <w:marRight w:val="0"/>
      <w:marTop w:val="0"/>
      <w:marBottom w:val="0"/>
      <w:divBdr>
        <w:top w:val="none" w:sz="0" w:space="0" w:color="auto"/>
        <w:left w:val="none" w:sz="0" w:space="0" w:color="auto"/>
        <w:bottom w:val="none" w:sz="0" w:space="0" w:color="auto"/>
        <w:right w:val="none" w:sz="0" w:space="0" w:color="auto"/>
      </w:divBdr>
    </w:div>
    <w:div w:id="2051109268">
      <w:bodyDiv w:val="1"/>
      <w:marLeft w:val="0"/>
      <w:marRight w:val="0"/>
      <w:marTop w:val="0"/>
      <w:marBottom w:val="0"/>
      <w:divBdr>
        <w:top w:val="none" w:sz="0" w:space="0" w:color="auto"/>
        <w:left w:val="none" w:sz="0" w:space="0" w:color="auto"/>
        <w:bottom w:val="none" w:sz="0" w:space="0" w:color="auto"/>
        <w:right w:val="none" w:sz="0" w:space="0" w:color="auto"/>
      </w:divBdr>
    </w:div>
    <w:div w:id="2051294245">
      <w:bodyDiv w:val="1"/>
      <w:marLeft w:val="0"/>
      <w:marRight w:val="0"/>
      <w:marTop w:val="0"/>
      <w:marBottom w:val="0"/>
      <w:divBdr>
        <w:top w:val="none" w:sz="0" w:space="0" w:color="auto"/>
        <w:left w:val="none" w:sz="0" w:space="0" w:color="auto"/>
        <w:bottom w:val="none" w:sz="0" w:space="0" w:color="auto"/>
        <w:right w:val="none" w:sz="0" w:space="0" w:color="auto"/>
      </w:divBdr>
    </w:div>
    <w:div w:id="2052264255">
      <w:bodyDiv w:val="1"/>
      <w:marLeft w:val="0"/>
      <w:marRight w:val="0"/>
      <w:marTop w:val="0"/>
      <w:marBottom w:val="0"/>
      <w:divBdr>
        <w:top w:val="none" w:sz="0" w:space="0" w:color="auto"/>
        <w:left w:val="none" w:sz="0" w:space="0" w:color="auto"/>
        <w:bottom w:val="none" w:sz="0" w:space="0" w:color="auto"/>
        <w:right w:val="none" w:sz="0" w:space="0" w:color="auto"/>
      </w:divBdr>
    </w:div>
    <w:div w:id="2052267777">
      <w:bodyDiv w:val="1"/>
      <w:marLeft w:val="0"/>
      <w:marRight w:val="0"/>
      <w:marTop w:val="0"/>
      <w:marBottom w:val="0"/>
      <w:divBdr>
        <w:top w:val="none" w:sz="0" w:space="0" w:color="auto"/>
        <w:left w:val="none" w:sz="0" w:space="0" w:color="auto"/>
        <w:bottom w:val="none" w:sz="0" w:space="0" w:color="auto"/>
        <w:right w:val="none" w:sz="0" w:space="0" w:color="auto"/>
      </w:divBdr>
    </w:div>
    <w:div w:id="2052916983">
      <w:bodyDiv w:val="1"/>
      <w:marLeft w:val="0"/>
      <w:marRight w:val="0"/>
      <w:marTop w:val="0"/>
      <w:marBottom w:val="0"/>
      <w:divBdr>
        <w:top w:val="none" w:sz="0" w:space="0" w:color="auto"/>
        <w:left w:val="none" w:sz="0" w:space="0" w:color="auto"/>
        <w:bottom w:val="none" w:sz="0" w:space="0" w:color="auto"/>
        <w:right w:val="none" w:sz="0" w:space="0" w:color="auto"/>
      </w:divBdr>
    </w:div>
    <w:div w:id="2052917454">
      <w:bodyDiv w:val="1"/>
      <w:marLeft w:val="0"/>
      <w:marRight w:val="0"/>
      <w:marTop w:val="0"/>
      <w:marBottom w:val="0"/>
      <w:divBdr>
        <w:top w:val="none" w:sz="0" w:space="0" w:color="auto"/>
        <w:left w:val="none" w:sz="0" w:space="0" w:color="auto"/>
        <w:bottom w:val="none" w:sz="0" w:space="0" w:color="auto"/>
        <w:right w:val="none" w:sz="0" w:space="0" w:color="auto"/>
      </w:divBdr>
    </w:div>
    <w:div w:id="2052918444">
      <w:bodyDiv w:val="1"/>
      <w:marLeft w:val="0"/>
      <w:marRight w:val="0"/>
      <w:marTop w:val="0"/>
      <w:marBottom w:val="0"/>
      <w:divBdr>
        <w:top w:val="none" w:sz="0" w:space="0" w:color="auto"/>
        <w:left w:val="none" w:sz="0" w:space="0" w:color="auto"/>
        <w:bottom w:val="none" w:sz="0" w:space="0" w:color="auto"/>
        <w:right w:val="none" w:sz="0" w:space="0" w:color="auto"/>
      </w:divBdr>
    </w:div>
    <w:div w:id="2054502800">
      <w:bodyDiv w:val="1"/>
      <w:marLeft w:val="0"/>
      <w:marRight w:val="0"/>
      <w:marTop w:val="0"/>
      <w:marBottom w:val="0"/>
      <w:divBdr>
        <w:top w:val="none" w:sz="0" w:space="0" w:color="auto"/>
        <w:left w:val="none" w:sz="0" w:space="0" w:color="auto"/>
        <w:bottom w:val="none" w:sz="0" w:space="0" w:color="auto"/>
        <w:right w:val="none" w:sz="0" w:space="0" w:color="auto"/>
      </w:divBdr>
    </w:div>
    <w:div w:id="2055888313">
      <w:bodyDiv w:val="1"/>
      <w:marLeft w:val="0"/>
      <w:marRight w:val="0"/>
      <w:marTop w:val="0"/>
      <w:marBottom w:val="0"/>
      <w:divBdr>
        <w:top w:val="none" w:sz="0" w:space="0" w:color="auto"/>
        <w:left w:val="none" w:sz="0" w:space="0" w:color="auto"/>
        <w:bottom w:val="none" w:sz="0" w:space="0" w:color="auto"/>
        <w:right w:val="none" w:sz="0" w:space="0" w:color="auto"/>
      </w:divBdr>
    </w:div>
    <w:div w:id="2056006705">
      <w:bodyDiv w:val="1"/>
      <w:marLeft w:val="0"/>
      <w:marRight w:val="0"/>
      <w:marTop w:val="0"/>
      <w:marBottom w:val="0"/>
      <w:divBdr>
        <w:top w:val="none" w:sz="0" w:space="0" w:color="auto"/>
        <w:left w:val="none" w:sz="0" w:space="0" w:color="auto"/>
        <w:bottom w:val="none" w:sz="0" w:space="0" w:color="auto"/>
        <w:right w:val="none" w:sz="0" w:space="0" w:color="auto"/>
      </w:divBdr>
    </w:div>
    <w:div w:id="2056149500">
      <w:bodyDiv w:val="1"/>
      <w:marLeft w:val="0"/>
      <w:marRight w:val="0"/>
      <w:marTop w:val="0"/>
      <w:marBottom w:val="0"/>
      <w:divBdr>
        <w:top w:val="none" w:sz="0" w:space="0" w:color="auto"/>
        <w:left w:val="none" w:sz="0" w:space="0" w:color="auto"/>
        <w:bottom w:val="none" w:sz="0" w:space="0" w:color="auto"/>
        <w:right w:val="none" w:sz="0" w:space="0" w:color="auto"/>
      </w:divBdr>
    </w:div>
    <w:div w:id="2056153119">
      <w:bodyDiv w:val="1"/>
      <w:marLeft w:val="0"/>
      <w:marRight w:val="0"/>
      <w:marTop w:val="0"/>
      <w:marBottom w:val="0"/>
      <w:divBdr>
        <w:top w:val="none" w:sz="0" w:space="0" w:color="auto"/>
        <w:left w:val="none" w:sz="0" w:space="0" w:color="auto"/>
        <w:bottom w:val="none" w:sz="0" w:space="0" w:color="auto"/>
        <w:right w:val="none" w:sz="0" w:space="0" w:color="auto"/>
      </w:divBdr>
    </w:div>
    <w:div w:id="2056463486">
      <w:bodyDiv w:val="1"/>
      <w:marLeft w:val="0"/>
      <w:marRight w:val="0"/>
      <w:marTop w:val="0"/>
      <w:marBottom w:val="0"/>
      <w:divBdr>
        <w:top w:val="none" w:sz="0" w:space="0" w:color="auto"/>
        <w:left w:val="none" w:sz="0" w:space="0" w:color="auto"/>
        <w:bottom w:val="none" w:sz="0" w:space="0" w:color="auto"/>
        <w:right w:val="none" w:sz="0" w:space="0" w:color="auto"/>
      </w:divBdr>
    </w:div>
    <w:div w:id="2056732519">
      <w:bodyDiv w:val="1"/>
      <w:marLeft w:val="0"/>
      <w:marRight w:val="0"/>
      <w:marTop w:val="0"/>
      <w:marBottom w:val="0"/>
      <w:divBdr>
        <w:top w:val="none" w:sz="0" w:space="0" w:color="auto"/>
        <w:left w:val="none" w:sz="0" w:space="0" w:color="auto"/>
        <w:bottom w:val="none" w:sz="0" w:space="0" w:color="auto"/>
        <w:right w:val="none" w:sz="0" w:space="0" w:color="auto"/>
      </w:divBdr>
    </w:div>
    <w:div w:id="2057580189">
      <w:bodyDiv w:val="1"/>
      <w:marLeft w:val="0"/>
      <w:marRight w:val="0"/>
      <w:marTop w:val="0"/>
      <w:marBottom w:val="0"/>
      <w:divBdr>
        <w:top w:val="none" w:sz="0" w:space="0" w:color="auto"/>
        <w:left w:val="none" w:sz="0" w:space="0" w:color="auto"/>
        <w:bottom w:val="none" w:sz="0" w:space="0" w:color="auto"/>
        <w:right w:val="none" w:sz="0" w:space="0" w:color="auto"/>
      </w:divBdr>
    </w:div>
    <w:div w:id="2057923564">
      <w:bodyDiv w:val="1"/>
      <w:marLeft w:val="0"/>
      <w:marRight w:val="0"/>
      <w:marTop w:val="0"/>
      <w:marBottom w:val="0"/>
      <w:divBdr>
        <w:top w:val="none" w:sz="0" w:space="0" w:color="auto"/>
        <w:left w:val="none" w:sz="0" w:space="0" w:color="auto"/>
        <w:bottom w:val="none" w:sz="0" w:space="0" w:color="auto"/>
        <w:right w:val="none" w:sz="0" w:space="0" w:color="auto"/>
      </w:divBdr>
    </w:div>
    <w:div w:id="2058432050">
      <w:bodyDiv w:val="1"/>
      <w:marLeft w:val="0"/>
      <w:marRight w:val="0"/>
      <w:marTop w:val="0"/>
      <w:marBottom w:val="0"/>
      <w:divBdr>
        <w:top w:val="none" w:sz="0" w:space="0" w:color="auto"/>
        <w:left w:val="none" w:sz="0" w:space="0" w:color="auto"/>
        <w:bottom w:val="none" w:sz="0" w:space="0" w:color="auto"/>
        <w:right w:val="none" w:sz="0" w:space="0" w:color="auto"/>
      </w:divBdr>
    </w:div>
    <w:div w:id="2059089184">
      <w:bodyDiv w:val="1"/>
      <w:marLeft w:val="0"/>
      <w:marRight w:val="0"/>
      <w:marTop w:val="0"/>
      <w:marBottom w:val="0"/>
      <w:divBdr>
        <w:top w:val="none" w:sz="0" w:space="0" w:color="auto"/>
        <w:left w:val="none" w:sz="0" w:space="0" w:color="auto"/>
        <w:bottom w:val="none" w:sz="0" w:space="0" w:color="auto"/>
        <w:right w:val="none" w:sz="0" w:space="0" w:color="auto"/>
      </w:divBdr>
    </w:div>
    <w:div w:id="2059546705">
      <w:bodyDiv w:val="1"/>
      <w:marLeft w:val="0"/>
      <w:marRight w:val="0"/>
      <w:marTop w:val="0"/>
      <w:marBottom w:val="0"/>
      <w:divBdr>
        <w:top w:val="none" w:sz="0" w:space="0" w:color="auto"/>
        <w:left w:val="none" w:sz="0" w:space="0" w:color="auto"/>
        <w:bottom w:val="none" w:sz="0" w:space="0" w:color="auto"/>
        <w:right w:val="none" w:sz="0" w:space="0" w:color="auto"/>
      </w:divBdr>
    </w:div>
    <w:div w:id="2059623041">
      <w:bodyDiv w:val="1"/>
      <w:marLeft w:val="0"/>
      <w:marRight w:val="0"/>
      <w:marTop w:val="0"/>
      <w:marBottom w:val="0"/>
      <w:divBdr>
        <w:top w:val="none" w:sz="0" w:space="0" w:color="auto"/>
        <w:left w:val="none" w:sz="0" w:space="0" w:color="auto"/>
        <w:bottom w:val="none" w:sz="0" w:space="0" w:color="auto"/>
        <w:right w:val="none" w:sz="0" w:space="0" w:color="auto"/>
      </w:divBdr>
    </w:div>
    <w:div w:id="2059890225">
      <w:bodyDiv w:val="1"/>
      <w:marLeft w:val="0"/>
      <w:marRight w:val="0"/>
      <w:marTop w:val="0"/>
      <w:marBottom w:val="0"/>
      <w:divBdr>
        <w:top w:val="none" w:sz="0" w:space="0" w:color="auto"/>
        <w:left w:val="none" w:sz="0" w:space="0" w:color="auto"/>
        <w:bottom w:val="none" w:sz="0" w:space="0" w:color="auto"/>
        <w:right w:val="none" w:sz="0" w:space="0" w:color="auto"/>
      </w:divBdr>
    </w:div>
    <w:div w:id="2060013807">
      <w:bodyDiv w:val="1"/>
      <w:marLeft w:val="0"/>
      <w:marRight w:val="0"/>
      <w:marTop w:val="0"/>
      <w:marBottom w:val="0"/>
      <w:divBdr>
        <w:top w:val="none" w:sz="0" w:space="0" w:color="auto"/>
        <w:left w:val="none" w:sz="0" w:space="0" w:color="auto"/>
        <w:bottom w:val="none" w:sz="0" w:space="0" w:color="auto"/>
        <w:right w:val="none" w:sz="0" w:space="0" w:color="auto"/>
      </w:divBdr>
    </w:div>
    <w:div w:id="2060353128">
      <w:bodyDiv w:val="1"/>
      <w:marLeft w:val="0"/>
      <w:marRight w:val="0"/>
      <w:marTop w:val="0"/>
      <w:marBottom w:val="0"/>
      <w:divBdr>
        <w:top w:val="none" w:sz="0" w:space="0" w:color="auto"/>
        <w:left w:val="none" w:sz="0" w:space="0" w:color="auto"/>
        <w:bottom w:val="none" w:sz="0" w:space="0" w:color="auto"/>
        <w:right w:val="none" w:sz="0" w:space="0" w:color="auto"/>
      </w:divBdr>
    </w:div>
    <w:div w:id="2060394187">
      <w:bodyDiv w:val="1"/>
      <w:marLeft w:val="0"/>
      <w:marRight w:val="0"/>
      <w:marTop w:val="0"/>
      <w:marBottom w:val="0"/>
      <w:divBdr>
        <w:top w:val="none" w:sz="0" w:space="0" w:color="auto"/>
        <w:left w:val="none" w:sz="0" w:space="0" w:color="auto"/>
        <w:bottom w:val="none" w:sz="0" w:space="0" w:color="auto"/>
        <w:right w:val="none" w:sz="0" w:space="0" w:color="auto"/>
      </w:divBdr>
    </w:div>
    <w:div w:id="2060665230">
      <w:bodyDiv w:val="1"/>
      <w:marLeft w:val="0"/>
      <w:marRight w:val="0"/>
      <w:marTop w:val="0"/>
      <w:marBottom w:val="0"/>
      <w:divBdr>
        <w:top w:val="none" w:sz="0" w:space="0" w:color="auto"/>
        <w:left w:val="none" w:sz="0" w:space="0" w:color="auto"/>
        <w:bottom w:val="none" w:sz="0" w:space="0" w:color="auto"/>
        <w:right w:val="none" w:sz="0" w:space="0" w:color="auto"/>
      </w:divBdr>
    </w:div>
    <w:div w:id="2060667053">
      <w:bodyDiv w:val="1"/>
      <w:marLeft w:val="0"/>
      <w:marRight w:val="0"/>
      <w:marTop w:val="0"/>
      <w:marBottom w:val="0"/>
      <w:divBdr>
        <w:top w:val="none" w:sz="0" w:space="0" w:color="auto"/>
        <w:left w:val="none" w:sz="0" w:space="0" w:color="auto"/>
        <w:bottom w:val="none" w:sz="0" w:space="0" w:color="auto"/>
        <w:right w:val="none" w:sz="0" w:space="0" w:color="auto"/>
      </w:divBdr>
    </w:div>
    <w:div w:id="2060858293">
      <w:bodyDiv w:val="1"/>
      <w:marLeft w:val="0"/>
      <w:marRight w:val="0"/>
      <w:marTop w:val="0"/>
      <w:marBottom w:val="0"/>
      <w:divBdr>
        <w:top w:val="none" w:sz="0" w:space="0" w:color="auto"/>
        <w:left w:val="none" w:sz="0" w:space="0" w:color="auto"/>
        <w:bottom w:val="none" w:sz="0" w:space="0" w:color="auto"/>
        <w:right w:val="none" w:sz="0" w:space="0" w:color="auto"/>
      </w:divBdr>
    </w:div>
    <w:div w:id="2060933435">
      <w:bodyDiv w:val="1"/>
      <w:marLeft w:val="0"/>
      <w:marRight w:val="0"/>
      <w:marTop w:val="0"/>
      <w:marBottom w:val="0"/>
      <w:divBdr>
        <w:top w:val="none" w:sz="0" w:space="0" w:color="auto"/>
        <w:left w:val="none" w:sz="0" w:space="0" w:color="auto"/>
        <w:bottom w:val="none" w:sz="0" w:space="0" w:color="auto"/>
        <w:right w:val="none" w:sz="0" w:space="0" w:color="auto"/>
      </w:divBdr>
    </w:div>
    <w:div w:id="2061435060">
      <w:bodyDiv w:val="1"/>
      <w:marLeft w:val="0"/>
      <w:marRight w:val="0"/>
      <w:marTop w:val="0"/>
      <w:marBottom w:val="0"/>
      <w:divBdr>
        <w:top w:val="none" w:sz="0" w:space="0" w:color="auto"/>
        <w:left w:val="none" w:sz="0" w:space="0" w:color="auto"/>
        <w:bottom w:val="none" w:sz="0" w:space="0" w:color="auto"/>
        <w:right w:val="none" w:sz="0" w:space="0" w:color="auto"/>
      </w:divBdr>
    </w:div>
    <w:div w:id="2061661010">
      <w:bodyDiv w:val="1"/>
      <w:marLeft w:val="0"/>
      <w:marRight w:val="0"/>
      <w:marTop w:val="0"/>
      <w:marBottom w:val="0"/>
      <w:divBdr>
        <w:top w:val="none" w:sz="0" w:space="0" w:color="auto"/>
        <w:left w:val="none" w:sz="0" w:space="0" w:color="auto"/>
        <w:bottom w:val="none" w:sz="0" w:space="0" w:color="auto"/>
        <w:right w:val="none" w:sz="0" w:space="0" w:color="auto"/>
      </w:divBdr>
    </w:div>
    <w:div w:id="2061902072">
      <w:bodyDiv w:val="1"/>
      <w:marLeft w:val="0"/>
      <w:marRight w:val="0"/>
      <w:marTop w:val="0"/>
      <w:marBottom w:val="0"/>
      <w:divBdr>
        <w:top w:val="none" w:sz="0" w:space="0" w:color="auto"/>
        <w:left w:val="none" w:sz="0" w:space="0" w:color="auto"/>
        <w:bottom w:val="none" w:sz="0" w:space="0" w:color="auto"/>
        <w:right w:val="none" w:sz="0" w:space="0" w:color="auto"/>
      </w:divBdr>
    </w:div>
    <w:div w:id="2062098874">
      <w:bodyDiv w:val="1"/>
      <w:marLeft w:val="0"/>
      <w:marRight w:val="0"/>
      <w:marTop w:val="0"/>
      <w:marBottom w:val="0"/>
      <w:divBdr>
        <w:top w:val="none" w:sz="0" w:space="0" w:color="auto"/>
        <w:left w:val="none" w:sz="0" w:space="0" w:color="auto"/>
        <w:bottom w:val="none" w:sz="0" w:space="0" w:color="auto"/>
        <w:right w:val="none" w:sz="0" w:space="0" w:color="auto"/>
      </w:divBdr>
    </w:div>
    <w:div w:id="2062820081">
      <w:bodyDiv w:val="1"/>
      <w:marLeft w:val="0"/>
      <w:marRight w:val="0"/>
      <w:marTop w:val="0"/>
      <w:marBottom w:val="0"/>
      <w:divBdr>
        <w:top w:val="none" w:sz="0" w:space="0" w:color="auto"/>
        <w:left w:val="none" w:sz="0" w:space="0" w:color="auto"/>
        <w:bottom w:val="none" w:sz="0" w:space="0" w:color="auto"/>
        <w:right w:val="none" w:sz="0" w:space="0" w:color="auto"/>
      </w:divBdr>
    </w:div>
    <w:div w:id="2062945136">
      <w:bodyDiv w:val="1"/>
      <w:marLeft w:val="0"/>
      <w:marRight w:val="0"/>
      <w:marTop w:val="0"/>
      <w:marBottom w:val="0"/>
      <w:divBdr>
        <w:top w:val="none" w:sz="0" w:space="0" w:color="auto"/>
        <w:left w:val="none" w:sz="0" w:space="0" w:color="auto"/>
        <w:bottom w:val="none" w:sz="0" w:space="0" w:color="auto"/>
        <w:right w:val="none" w:sz="0" w:space="0" w:color="auto"/>
      </w:divBdr>
    </w:div>
    <w:div w:id="2063021803">
      <w:bodyDiv w:val="1"/>
      <w:marLeft w:val="0"/>
      <w:marRight w:val="0"/>
      <w:marTop w:val="0"/>
      <w:marBottom w:val="0"/>
      <w:divBdr>
        <w:top w:val="none" w:sz="0" w:space="0" w:color="auto"/>
        <w:left w:val="none" w:sz="0" w:space="0" w:color="auto"/>
        <w:bottom w:val="none" w:sz="0" w:space="0" w:color="auto"/>
        <w:right w:val="none" w:sz="0" w:space="0" w:color="auto"/>
      </w:divBdr>
    </w:div>
    <w:div w:id="2063140374">
      <w:bodyDiv w:val="1"/>
      <w:marLeft w:val="0"/>
      <w:marRight w:val="0"/>
      <w:marTop w:val="0"/>
      <w:marBottom w:val="0"/>
      <w:divBdr>
        <w:top w:val="none" w:sz="0" w:space="0" w:color="auto"/>
        <w:left w:val="none" w:sz="0" w:space="0" w:color="auto"/>
        <w:bottom w:val="none" w:sz="0" w:space="0" w:color="auto"/>
        <w:right w:val="none" w:sz="0" w:space="0" w:color="auto"/>
      </w:divBdr>
    </w:div>
    <w:div w:id="2063744146">
      <w:bodyDiv w:val="1"/>
      <w:marLeft w:val="0"/>
      <w:marRight w:val="0"/>
      <w:marTop w:val="0"/>
      <w:marBottom w:val="0"/>
      <w:divBdr>
        <w:top w:val="none" w:sz="0" w:space="0" w:color="auto"/>
        <w:left w:val="none" w:sz="0" w:space="0" w:color="auto"/>
        <w:bottom w:val="none" w:sz="0" w:space="0" w:color="auto"/>
        <w:right w:val="none" w:sz="0" w:space="0" w:color="auto"/>
      </w:divBdr>
    </w:div>
    <w:div w:id="2063861996">
      <w:bodyDiv w:val="1"/>
      <w:marLeft w:val="0"/>
      <w:marRight w:val="0"/>
      <w:marTop w:val="0"/>
      <w:marBottom w:val="0"/>
      <w:divBdr>
        <w:top w:val="none" w:sz="0" w:space="0" w:color="auto"/>
        <w:left w:val="none" w:sz="0" w:space="0" w:color="auto"/>
        <w:bottom w:val="none" w:sz="0" w:space="0" w:color="auto"/>
        <w:right w:val="none" w:sz="0" w:space="0" w:color="auto"/>
      </w:divBdr>
    </w:div>
    <w:div w:id="2064332122">
      <w:bodyDiv w:val="1"/>
      <w:marLeft w:val="0"/>
      <w:marRight w:val="0"/>
      <w:marTop w:val="0"/>
      <w:marBottom w:val="0"/>
      <w:divBdr>
        <w:top w:val="none" w:sz="0" w:space="0" w:color="auto"/>
        <w:left w:val="none" w:sz="0" w:space="0" w:color="auto"/>
        <w:bottom w:val="none" w:sz="0" w:space="0" w:color="auto"/>
        <w:right w:val="none" w:sz="0" w:space="0" w:color="auto"/>
      </w:divBdr>
    </w:div>
    <w:div w:id="2064601652">
      <w:bodyDiv w:val="1"/>
      <w:marLeft w:val="0"/>
      <w:marRight w:val="0"/>
      <w:marTop w:val="0"/>
      <w:marBottom w:val="0"/>
      <w:divBdr>
        <w:top w:val="none" w:sz="0" w:space="0" w:color="auto"/>
        <w:left w:val="none" w:sz="0" w:space="0" w:color="auto"/>
        <w:bottom w:val="none" w:sz="0" w:space="0" w:color="auto"/>
        <w:right w:val="none" w:sz="0" w:space="0" w:color="auto"/>
      </w:divBdr>
    </w:div>
    <w:div w:id="2064674351">
      <w:bodyDiv w:val="1"/>
      <w:marLeft w:val="0"/>
      <w:marRight w:val="0"/>
      <w:marTop w:val="0"/>
      <w:marBottom w:val="0"/>
      <w:divBdr>
        <w:top w:val="none" w:sz="0" w:space="0" w:color="auto"/>
        <w:left w:val="none" w:sz="0" w:space="0" w:color="auto"/>
        <w:bottom w:val="none" w:sz="0" w:space="0" w:color="auto"/>
        <w:right w:val="none" w:sz="0" w:space="0" w:color="auto"/>
      </w:divBdr>
    </w:div>
    <w:div w:id="2064787708">
      <w:bodyDiv w:val="1"/>
      <w:marLeft w:val="0"/>
      <w:marRight w:val="0"/>
      <w:marTop w:val="0"/>
      <w:marBottom w:val="0"/>
      <w:divBdr>
        <w:top w:val="none" w:sz="0" w:space="0" w:color="auto"/>
        <w:left w:val="none" w:sz="0" w:space="0" w:color="auto"/>
        <w:bottom w:val="none" w:sz="0" w:space="0" w:color="auto"/>
        <w:right w:val="none" w:sz="0" w:space="0" w:color="auto"/>
      </w:divBdr>
    </w:div>
    <w:div w:id="2064793304">
      <w:bodyDiv w:val="1"/>
      <w:marLeft w:val="0"/>
      <w:marRight w:val="0"/>
      <w:marTop w:val="0"/>
      <w:marBottom w:val="0"/>
      <w:divBdr>
        <w:top w:val="none" w:sz="0" w:space="0" w:color="auto"/>
        <w:left w:val="none" w:sz="0" w:space="0" w:color="auto"/>
        <w:bottom w:val="none" w:sz="0" w:space="0" w:color="auto"/>
        <w:right w:val="none" w:sz="0" w:space="0" w:color="auto"/>
      </w:divBdr>
    </w:div>
    <w:div w:id="2065055203">
      <w:bodyDiv w:val="1"/>
      <w:marLeft w:val="0"/>
      <w:marRight w:val="0"/>
      <w:marTop w:val="0"/>
      <w:marBottom w:val="0"/>
      <w:divBdr>
        <w:top w:val="none" w:sz="0" w:space="0" w:color="auto"/>
        <w:left w:val="none" w:sz="0" w:space="0" w:color="auto"/>
        <w:bottom w:val="none" w:sz="0" w:space="0" w:color="auto"/>
        <w:right w:val="none" w:sz="0" w:space="0" w:color="auto"/>
      </w:divBdr>
    </w:div>
    <w:div w:id="2065251514">
      <w:bodyDiv w:val="1"/>
      <w:marLeft w:val="0"/>
      <w:marRight w:val="0"/>
      <w:marTop w:val="0"/>
      <w:marBottom w:val="0"/>
      <w:divBdr>
        <w:top w:val="none" w:sz="0" w:space="0" w:color="auto"/>
        <w:left w:val="none" w:sz="0" w:space="0" w:color="auto"/>
        <w:bottom w:val="none" w:sz="0" w:space="0" w:color="auto"/>
        <w:right w:val="none" w:sz="0" w:space="0" w:color="auto"/>
      </w:divBdr>
    </w:div>
    <w:div w:id="2065827770">
      <w:bodyDiv w:val="1"/>
      <w:marLeft w:val="0"/>
      <w:marRight w:val="0"/>
      <w:marTop w:val="0"/>
      <w:marBottom w:val="0"/>
      <w:divBdr>
        <w:top w:val="none" w:sz="0" w:space="0" w:color="auto"/>
        <w:left w:val="none" w:sz="0" w:space="0" w:color="auto"/>
        <w:bottom w:val="none" w:sz="0" w:space="0" w:color="auto"/>
        <w:right w:val="none" w:sz="0" w:space="0" w:color="auto"/>
      </w:divBdr>
    </w:div>
    <w:div w:id="2066367637">
      <w:bodyDiv w:val="1"/>
      <w:marLeft w:val="0"/>
      <w:marRight w:val="0"/>
      <w:marTop w:val="0"/>
      <w:marBottom w:val="0"/>
      <w:divBdr>
        <w:top w:val="none" w:sz="0" w:space="0" w:color="auto"/>
        <w:left w:val="none" w:sz="0" w:space="0" w:color="auto"/>
        <w:bottom w:val="none" w:sz="0" w:space="0" w:color="auto"/>
        <w:right w:val="none" w:sz="0" w:space="0" w:color="auto"/>
      </w:divBdr>
    </w:div>
    <w:div w:id="2066678666">
      <w:bodyDiv w:val="1"/>
      <w:marLeft w:val="0"/>
      <w:marRight w:val="0"/>
      <w:marTop w:val="0"/>
      <w:marBottom w:val="0"/>
      <w:divBdr>
        <w:top w:val="none" w:sz="0" w:space="0" w:color="auto"/>
        <w:left w:val="none" w:sz="0" w:space="0" w:color="auto"/>
        <w:bottom w:val="none" w:sz="0" w:space="0" w:color="auto"/>
        <w:right w:val="none" w:sz="0" w:space="0" w:color="auto"/>
      </w:divBdr>
    </w:div>
    <w:div w:id="2067336105">
      <w:bodyDiv w:val="1"/>
      <w:marLeft w:val="0"/>
      <w:marRight w:val="0"/>
      <w:marTop w:val="0"/>
      <w:marBottom w:val="0"/>
      <w:divBdr>
        <w:top w:val="none" w:sz="0" w:space="0" w:color="auto"/>
        <w:left w:val="none" w:sz="0" w:space="0" w:color="auto"/>
        <w:bottom w:val="none" w:sz="0" w:space="0" w:color="auto"/>
        <w:right w:val="none" w:sz="0" w:space="0" w:color="auto"/>
      </w:divBdr>
    </w:div>
    <w:div w:id="2067679323">
      <w:bodyDiv w:val="1"/>
      <w:marLeft w:val="0"/>
      <w:marRight w:val="0"/>
      <w:marTop w:val="0"/>
      <w:marBottom w:val="0"/>
      <w:divBdr>
        <w:top w:val="none" w:sz="0" w:space="0" w:color="auto"/>
        <w:left w:val="none" w:sz="0" w:space="0" w:color="auto"/>
        <w:bottom w:val="none" w:sz="0" w:space="0" w:color="auto"/>
        <w:right w:val="none" w:sz="0" w:space="0" w:color="auto"/>
      </w:divBdr>
    </w:div>
    <w:div w:id="2067799564">
      <w:bodyDiv w:val="1"/>
      <w:marLeft w:val="0"/>
      <w:marRight w:val="0"/>
      <w:marTop w:val="0"/>
      <w:marBottom w:val="0"/>
      <w:divBdr>
        <w:top w:val="none" w:sz="0" w:space="0" w:color="auto"/>
        <w:left w:val="none" w:sz="0" w:space="0" w:color="auto"/>
        <w:bottom w:val="none" w:sz="0" w:space="0" w:color="auto"/>
        <w:right w:val="none" w:sz="0" w:space="0" w:color="auto"/>
      </w:divBdr>
    </w:div>
    <w:div w:id="2067991297">
      <w:bodyDiv w:val="1"/>
      <w:marLeft w:val="0"/>
      <w:marRight w:val="0"/>
      <w:marTop w:val="0"/>
      <w:marBottom w:val="0"/>
      <w:divBdr>
        <w:top w:val="none" w:sz="0" w:space="0" w:color="auto"/>
        <w:left w:val="none" w:sz="0" w:space="0" w:color="auto"/>
        <w:bottom w:val="none" w:sz="0" w:space="0" w:color="auto"/>
        <w:right w:val="none" w:sz="0" w:space="0" w:color="auto"/>
      </w:divBdr>
    </w:div>
    <w:div w:id="2068605055">
      <w:bodyDiv w:val="1"/>
      <w:marLeft w:val="0"/>
      <w:marRight w:val="0"/>
      <w:marTop w:val="0"/>
      <w:marBottom w:val="0"/>
      <w:divBdr>
        <w:top w:val="none" w:sz="0" w:space="0" w:color="auto"/>
        <w:left w:val="none" w:sz="0" w:space="0" w:color="auto"/>
        <w:bottom w:val="none" w:sz="0" w:space="0" w:color="auto"/>
        <w:right w:val="none" w:sz="0" w:space="0" w:color="auto"/>
      </w:divBdr>
    </w:div>
    <w:div w:id="2068717851">
      <w:bodyDiv w:val="1"/>
      <w:marLeft w:val="0"/>
      <w:marRight w:val="0"/>
      <w:marTop w:val="0"/>
      <w:marBottom w:val="0"/>
      <w:divBdr>
        <w:top w:val="none" w:sz="0" w:space="0" w:color="auto"/>
        <w:left w:val="none" w:sz="0" w:space="0" w:color="auto"/>
        <w:bottom w:val="none" w:sz="0" w:space="0" w:color="auto"/>
        <w:right w:val="none" w:sz="0" w:space="0" w:color="auto"/>
      </w:divBdr>
    </w:div>
    <w:div w:id="2068991723">
      <w:bodyDiv w:val="1"/>
      <w:marLeft w:val="0"/>
      <w:marRight w:val="0"/>
      <w:marTop w:val="0"/>
      <w:marBottom w:val="0"/>
      <w:divBdr>
        <w:top w:val="none" w:sz="0" w:space="0" w:color="auto"/>
        <w:left w:val="none" w:sz="0" w:space="0" w:color="auto"/>
        <w:bottom w:val="none" w:sz="0" w:space="0" w:color="auto"/>
        <w:right w:val="none" w:sz="0" w:space="0" w:color="auto"/>
      </w:divBdr>
    </w:div>
    <w:div w:id="2069037113">
      <w:bodyDiv w:val="1"/>
      <w:marLeft w:val="0"/>
      <w:marRight w:val="0"/>
      <w:marTop w:val="0"/>
      <w:marBottom w:val="0"/>
      <w:divBdr>
        <w:top w:val="none" w:sz="0" w:space="0" w:color="auto"/>
        <w:left w:val="none" w:sz="0" w:space="0" w:color="auto"/>
        <w:bottom w:val="none" w:sz="0" w:space="0" w:color="auto"/>
        <w:right w:val="none" w:sz="0" w:space="0" w:color="auto"/>
      </w:divBdr>
    </w:div>
    <w:div w:id="2069645423">
      <w:bodyDiv w:val="1"/>
      <w:marLeft w:val="0"/>
      <w:marRight w:val="0"/>
      <w:marTop w:val="0"/>
      <w:marBottom w:val="0"/>
      <w:divBdr>
        <w:top w:val="none" w:sz="0" w:space="0" w:color="auto"/>
        <w:left w:val="none" w:sz="0" w:space="0" w:color="auto"/>
        <w:bottom w:val="none" w:sz="0" w:space="0" w:color="auto"/>
        <w:right w:val="none" w:sz="0" w:space="0" w:color="auto"/>
      </w:divBdr>
    </w:div>
    <w:div w:id="2070417144">
      <w:bodyDiv w:val="1"/>
      <w:marLeft w:val="0"/>
      <w:marRight w:val="0"/>
      <w:marTop w:val="0"/>
      <w:marBottom w:val="0"/>
      <w:divBdr>
        <w:top w:val="none" w:sz="0" w:space="0" w:color="auto"/>
        <w:left w:val="none" w:sz="0" w:space="0" w:color="auto"/>
        <w:bottom w:val="none" w:sz="0" w:space="0" w:color="auto"/>
        <w:right w:val="none" w:sz="0" w:space="0" w:color="auto"/>
      </w:divBdr>
    </w:div>
    <w:div w:id="2071074427">
      <w:bodyDiv w:val="1"/>
      <w:marLeft w:val="0"/>
      <w:marRight w:val="0"/>
      <w:marTop w:val="0"/>
      <w:marBottom w:val="0"/>
      <w:divBdr>
        <w:top w:val="none" w:sz="0" w:space="0" w:color="auto"/>
        <w:left w:val="none" w:sz="0" w:space="0" w:color="auto"/>
        <w:bottom w:val="none" w:sz="0" w:space="0" w:color="auto"/>
        <w:right w:val="none" w:sz="0" w:space="0" w:color="auto"/>
      </w:divBdr>
    </w:div>
    <w:div w:id="2071270838">
      <w:bodyDiv w:val="1"/>
      <w:marLeft w:val="0"/>
      <w:marRight w:val="0"/>
      <w:marTop w:val="0"/>
      <w:marBottom w:val="0"/>
      <w:divBdr>
        <w:top w:val="none" w:sz="0" w:space="0" w:color="auto"/>
        <w:left w:val="none" w:sz="0" w:space="0" w:color="auto"/>
        <w:bottom w:val="none" w:sz="0" w:space="0" w:color="auto"/>
        <w:right w:val="none" w:sz="0" w:space="0" w:color="auto"/>
      </w:divBdr>
    </w:div>
    <w:div w:id="2072187822">
      <w:bodyDiv w:val="1"/>
      <w:marLeft w:val="0"/>
      <w:marRight w:val="0"/>
      <w:marTop w:val="0"/>
      <w:marBottom w:val="0"/>
      <w:divBdr>
        <w:top w:val="none" w:sz="0" w:space="0" w:color="auto"/>
        <w:left w:val="none" w:sz="0" w:space="0" w:color="auto"/>
        <w:bottom w:val="none" w:sz="0" w:space="0" w:color="auto"/>
        <w:right w:val="none" w:sz="0" w:space="0" w:color="auto"/>
      </w:divBdr>
    </w:div>
    <w:div w:id="2072531740">
      <w:bodyDiv w:val="1"/>
      <w:marLeft w:val="0"/>
      <w:marRight w:val="0"/>
      <w:marTop w:val="0"/>
      <w:marBottom w:val="0"/>
      <w:divBdr>
        <w:top w:val="none" w:sz="0" w:space="0" w:color="auto"/>
        <w:left w:val="none" w:sz="0" w:space="0" w:color="auto"/>
        <w:bottom w:val="none" w:sz="0" w:space="0" w:color="auto"/>
        <w:right w:val="none" w:sz="0" w:space="0" w:color="auto"/>
      </w:divBdr>
    </w:div>
    <w:div w:id="2073692897">
      <w:bodyDiv w:val="1"/>
      <w:marLeft w:val="0"/>
      <w:marRight w:val="0"/>
      <w:marTop w:val="0"/>
      <w:marBottom w:val="0"/>
      <w:divBdr>
        <w:top w:val="none" w:sz="0" w:space="0" w:color="auto"/>
        <w:left w:val="none" w:sz="0" w:space="0" w:color="auto"/>
        <w:bottom w:val="none" w:sz="0" w:space="0" w:color="auto"/>
        <w:right w:val="none" w:sz="0" w:space="0" w:color="auto"/>
      </w:divBdr>
    </w:div>
    <w:div w:id="2073965223">
      <w:bodyDiv w:val="1"/>
      <w:marLeft w:val="0"/>
      <w:marRight w:val="0"/>
      <w:marTop w:val="0"/>
      <w:marBottom w:val="0"/>
      <w:divBdr>
        <w:top w:val="none" w:sz="0" w:space="0" w:color="auto"/>
        <w:left w:val="none" w:sz="0" w:space="0" w:color="auto"/>
        <w:bottom w:val="none" w:sz="0" w:space="0" w:color="auto"/>
        <w:right w:val="none" w:sz="0" w:space="0" w:color="auto"/>
      </w:divBdr>
    </w:div>
    <w:div w:id="2074547054">
      <w:bodyDiv w:val="1"/>
      <w:marLeft w:val="0"/>
      <w:marRight w:val="0"/>
      <w:marTop w:val="0"/>
      <w:marBottom w:val="0"/>
      <w:divBdr>
        <w:top w:val="none" w:sz="0" w:space="0" w:color="auto"/>
        <w:left w:val="none" w:sz="0" w:space="0" w:color="auto"/>
        <w:bottom w:val="none" w:sz="0" w:space="0" w:color="auto"/>
        <w:right w:val="none" w:sz="0" w:space="0" w:color="auto"/>
      </w:divBdr>
    </w:div>
    <w:div w:id="2075270136">
      <w:bodyDiv w:val="1"/>
      <w:marLeft w:val="0"/>
      <w:marRight w:val="0"/>
      <w:marTop w:val="0"/>
      <w:marBottom w:val="0"/>
      <w:divBdr>
        <w:top w:val="none" w:sz="0" w:space="0" w:color="auto"/>
        <w:left w:val="none" w:sz="0" w:space="0" w:color="auto"/>
        <w:bottom w:val="none" w:sz="0" w:space="0" w:color="auto"/>
        <w:right w:val="none" w:sz="0" w:space="0" w:color="auto"/>
      </w:divBdr>
    </w:div>
    <w:div w:id="2076659090">
      <w:bodyDiv w:val="1"/>
      <w:marLeft w:val="0"/>
      <w:marRight w:val="0"/>
      <w:marTop w:val="0"/>
      <w:marBottom w:val="0"/>
      <w:divBdr>
        <w:top w:val="none" w:sz="0" w:space="0" w:color="auto"/>
        <w:left w:val="none" w:sz="0" w:space="0" w:color="auto"/>
        <w:bottom w:val="none" w:sz="0" w:space="0" w:color="auto"/>
        <w:right w:val="none" w:sz="0" w:space="0" w:color="auto"/>
      </w:divBdr>
    </w:div>
    <w:div w:id="2077438975">
      <w:bodyDiv w:val="1"/>
      <w:marLeft w:val="0"/>
      <w:marRight w:val="0"/>
      <w:marTop w:val="0"/>
      <w:marBottom w:val="0"/>
      <w:divBdr>
        <w:top w:val="none" w:sz="0" w:space="0" w:color="auto"/>
        <w:left w:val="none" w:sz="0" w:space="0" w:color="auto"/>
        <w:bottom w:val="none" w:sz="0" w:space="0" w:color="auto"/>
        <w:right w:val="none" w:sz="0" w:space="0" w:color="auto"/>
      </w:divBdr>
    </w:div>
    <w:div w:id="2077629668">
      <w:bodyDiv w:val="1"/>
      <w:marLeft w:val="0"/>
      <w:marRight w:val="0"/>
      <w:marTop w:val="0"/>
      <w:marBottom w:val="0"/>
      <w:divBdr>
        <w:top w:val="none" w:sz="0" w:space="0" w:color="auto"/>
        <w:left w:val="none" w:sz="0" w:space="0" w:color="auto"/>
        <w:bottom w:val="none" w:sz="0" w:space="0" w:color="auto"/>
        <w:right w:val="none" w:sz="0" w:space="0" w:color="auto"/>
      </w:divBdr>
    </w:div>
    <w:div w:id="2077819253">
      <w:bodyDiv w:val="1"/>
      <w:marLeft w:val="0"/>
      <w:marRight w:val="0"/>
      <w:marTop w:val="0"/>
      <w:marBottom w:val="0"/>
      <w:divBdr>
        <w:top w:val="none" w:sz="0" w:space="0" w:color="auto"/>
        <w:left w:val="none" w:sz="0" w:space="0" w:color="auto"/>
        <w:bottom w:val="none" w:sz="0" w:space="0" w:color="auto"/>
        <w:right w:val="none" w:sz="0" w:space="0" w:color="auto"/>
      </w:divBdr>
    </w:div>
    <w:div w:id="2077973256">
      <w:bodyDiv w:val="1"/>
      <w:marLeft w:val="0"/>
      <w:marRight w:val="0"/>
      <w:marTop w:val="0"/>
      <w:marBottom w:val="0"/>
      <w:divBdr>
        <w:top w:val="none" w:sz="0" w:space="0" w:color="auto"/>
        <w:left w:val="none" w:sz="0" w:space="0" w:color="auto"/>
        <w:bottom w:val="none" w:sz="0" w:space="0" w:color="auto"/>
        <w:right w:val="none" w:sz="0" w:space="0" w:color="auto"/>
      </w:divBdr>
    </w:div>
    <w:div w:id="2079547888">
      <w:bodyDiv w:val="1"/>
      <w:marLeft w:val="0"/>
      <w:marRight w:val="0"/>
      <w:marTop w:val="0"/>
      <w:marBottom w:val="0"/>
      <w:divBdr>
        <w:top w:val="none" w:sz="0" w:space="0" w:color="auto"/>
        <w:left w:val="none" w:sz="0" w:space="0" w:color="auto"/>
        <w:bottom w:val="none" w:sz="0" w:space="0" w:color="auto"/>
        <w:right w:val="none" w:sz="0" w:space="0" w:color="auto"/>
      </w:divBdr>
    </w:div>
    <w:div w:id="2079816019">
      <w:bodyDiv w:val="1"/>
      <w:marLeft w:val="0"/>
      <w:marRight w:val="0"/>
      <w:marTop w:val="0"/>
      <w:marBottom w:val="0"/>
      <w:divBdr>
        <w:top w:val="none" w:sz="0" w:space="0" w:color="auto"/>
        <w:left w:val="none" w:sz="0" w:space="0" w:color="auto"/>
        <w:bottom w:val="none" w:sz="0" w:space="0" w:color="auto"/>
        <w:right w:val="none" w:sz="0" w:space="0" w:color="auto"/>
      </w:divBdr>
    </w:div>
    <w:div w:id="2080246151">
      <w:bodyDiv w:val="1"/>
      <w:marLeft w:val="0"/>
      <w:marRight w:val="0"/>
      <w:marTop w:val="0"/>
      <w:marBottom w:val="0"/>
      <w:divBdr>
        <w:top w:val="none" w:sz="0" w:space="0" w:color="auto"/>
        <w:left w:val="none" w:sz="0" w:space="0" w:color="auto"/>
        <w:bottom w:val="none" w:sz="0" w:space="0" w:color="auto"/>
        <w:right w:val="none" w:sz="0" w:space="0" w:color="auto"/>
      </w:divBdr>
    </w:div>
    <w:div w:id="2081049730">
      <w:bodyDiv w:val="1"/>
      <w:marLeft w:val="0"/>
      <w:marRight w:val="0"/>
      <w:marTop w:val="0"/>
      <w:marBottom w:val="0"/>
      <w:divBdr>
        <w:top w:val="none" w:sz="0" w:space="0" w:color="auto"/>
        <w:left w:val="none" w:sz="0" w:space="0" w:color="auto"/>
        <w:bottom w:val="none" w:sz="0" w:space="0" w:color="auto"/>
        <w:right w:val="none" w:sz="0" w:space="0" w:color="auto"/>
      </w:divBdr>
    </w:div>
    <w:div w:id="2081245948">
      <w:bodyDiv w:val="1"/>
      <w:marLeft w:val="0"/>
      <w:marRight w:val="0"/>
      <w:marTop w:val="0"/>
      <w:marBottom w:val="0"/>
      <w:divBdr>
        <w:top w:val="none" w:sz="0" w:space="0" w:color="auto"/>
        <w:left w:val="none" w:sz="0" w:space="0" w:color="auto"/>
        <w:bottom w:val="none" w:sz="0" w:space="0" w:color="auto"/>
        <w:right w:val="none" w:sz="0" w:space="0" w:color="auto"/>
      </w:divBdr>
    </w:div>
    <w:div w:id="2081249924">
      <w:bodyDiv w:val="1"/>
      <w:marLeft w:val="0"/>
      <w:marRight w:val="0"/>
      <w:marTop w:val="0"/>
      <w:marBottom w:val="0"/>
      <w:divBdr>
        <w:top w:val="none" w:sz="0" w:space="0" w:color="auto"/>
        <w:left w:val="none" w:sz="0" w:space="0" w:color="auto"/>
        <w:bottom w:val="none" w:sz="0" w:space="0" w:color="auto"/>
        <w:right w:val="none" w:sz="0" w:space="0" w:color="auto"/>
      </w:divBdr>
    </w:div>
    <w:div w:id="2082096909">
      <w:bodyDiv w:val="1"/>
      <w:marLeft w:val="0"/>
      <w:marRight w:val="0"/>
      <w:marTop w:val="0"/>
      <w:marBottom w:val="0"/>
      <w:divBdr>
        <w:top w:val="none" w:sz="0" w:space="0" w:color="auto"/>
        <w:left w:val="none" w:sz="0" w:space="0" w:color="auto"/>
        <w:bottom w:val="none" w:sz="0" w:space="0" w:color="auto"/>
        <w:right w:val="none" w:sz="0" w:space="0" w:color="auto"/>
      </w:divBdr>
    </w:div>
    <w:div w:id="2082825620">
      <w:bodyDiv w:val="1"/>
      <w:marLeft w:val="0"/>
      <w:marRight w:val="0"/>
      <w:marTop w:val="0"/>
      <w:marBottom w:val="0"/>
      <w:divBdr>
        <w:top w:val="none" w:sz="0" w:space="0" w:color="auto"/>
        <w:left w:val="none" w:sz="0" w:space="0" w:color="auto"/>
        <w:bottom w:val="none" w:sz="0" w:space="0" w:color="auto"/>
        <w:right w:val="none" w:sz="0" w:space="0" w:color="auto"/>
      </w:divBdr>
    </w:div>
    <w:div w:id="2082827334">
      <w:bodyDiv w:val="1"/>
      <w:marLeft w:val="0"/>
      <w:marRight w:val="0"/>
      <w:marTop w:val="0"/>
      <w:marBottom w:val="0"/>
      <w:divBdr>
        <w:top w:val="none" w:sz="0" w:space="0" w:color="auto"/>
        <w:left w:val="none" w:sz="0" w:space="0" w:color="auto"/>
        <w:bottom w:val="none" w:sz="0" w:space="0" w:color="auto"/>
        <w:right w:val="none" w:sz="0" w:space="0" w:color="auto"/>
      </w:divBdr>
    </w:div>
    <w:div w:id="2083210872">
      <w:bodyDiv w:val="1"/>
      <w:marLeft w:val="0"/>
      <w:marRight w:val="0"/>
      <w:marTop w:val="0"/>
      <w:marBottom w:val="0"/>
      <w:divBdr>
        <w:top w:val="none" w:sz="0" w:space="0" w:color="auto"/>
        <w:left w:val="none" w:sz="0" w:space="0" w:color="auto"/>
        <w:bottom w:val="none" w:sz="0" w:space="0" w:color="auto"/>
        <w:right w:val="none" w:sz="0" w:space="0" w:color="auto"/>
      </w:divBdr>
    </w:div>
    <w:div w:id="2083720845">
      <w:bodyDiv w:val="1"/>
      <w:marLeft w:val="0"/>
      <w:marRight w:val="0"/>
      <w:marTop w:val="0"/>
      <w:marBottom w:val="0"/>
      <w:divBdr>
        <w:top w:val="none" w:sz="0" w:space="0" w:color="auto"/>
        <w:left w:val="none" w:sz="0" w:space="0" w:color="auto"/>
        <w:bottom w:val="none" w:sz="0" w:space="0" w:color="auto"/>
        <w:right w:val="none" w:sz="0" w:space="0" w:color="auto"/>
      </w:divBdr>
    </w:div>
    <w:div w:id="2084713740">
      <w:bodyDiv w:val="1"/>
      <w:marLeft w:val="0"/>
      <w:marRight w:val="0"/>
      <w:marTop w:val="0"/>
      <w:marBottom w:val="0"/>
      <w:divBdr>
        <w:top w:val="none" w:sz="0" w:space="0" w:color="auto"/>
        <w:left w:val="none" w:sz="0" w:space="0" w:color="auto"/>
        <w:bottom w:val="none" w:sz="0" w:space="0" w:color="auto"/>
        <w:right w:val="none" w:sz="0" w:space="0" w:color="auto"/>
      </w:divBdr>
    </w:div>
    <w:div w:id="2084716830">
      <w:bodyDiv w:val="1"/>
      <w:marLeft w:val="0"/>
      <w:marRight w:val="0"/>
      <w:marTop w:val="0"/>
      <w:marBottom w:val="0"/>
      <w:divBdr>
        <w:top w:val="none" w:sz="0" w:space="0" w:color="auto"/>
        <w:left w:val="none" w:sz="0" w:space="0" w:color="auto"/>
        <w:bottom w:val="none" w:sz="0" w:space="0" w:color="auto"/>
        <w:right w:val="none" w:sz="0" w:space="0" w:color="auto"/>
      </w:divBdr>
    </w:div>
    <w:div w:id="2085488589">
      <w:bodyDiv w:val="1"/>
      <w:marLeft w:val="0"/>
      <w:marRight w:val="0"/>
      <w:marTop w:val="0"/>
      <w:marBottom w:val="0"/>
      <w:divBdr>
        <w:top w:val="none" w:sz="0" w:space="0" w:color="auto"/>
        <w:left w:val="none" w:sz="0" w:space="0" w:color="auto"/>
        <w:bottom w:val="none" w:sz="0" w:space="0" w:color="auto"/>
        <w:right w:val="none" w:sz="0" w:space="0" w:color="auto"/>
      </w:divBdr>
    </w:div>
    <w:div w:id="2087454393">
      <w:bodyDiv w:val="1"/>
      <w:marLeft w:val="0"/>
      <w:marRight w:val="0"/>
      <w:marTop w:val="0"/>
      <w:marBottom w:val="0"/>
      <w:divBdr>
        <w:top w:val="none" w:sz="0" w:space="0" w:color="auto"/>
        <w:left w:val="none" w:sz="0" w:space="0" w:color="auto"/>
        <w:bottom w:val="none" w:sz="0" w:space="0" w:color="auto"/>
        <w:right w:val="none" w:sz="0" w:space="0" w:color="auto"/>
      </w:divBdr>
    </w:div>
    <w:div w:id="2087918637">
      <w:bodyDiv w:val="1"/>
      <w:marLeft w:val="0"/>
      <w:marRight w:val="0"/>
      <w:marTop w:val="0"/>
      <w:marBottom w:val="0"/>
      <w:divBdr>
        <w:top w:val="none" w:sz="0" w:space="0" w:color="auto"/>
        <w:left w:val="none" w:sz="0" w:space="0" w:color="auto"/>
        <w:bottom w:val="none" w:sz="0" w:space="0" w:color="auto"/>
        <w:right w:val="none" w:sz="0" w:space="0" w:color="auto"/>
      </w:divBdr>
    </w:div>
    <w:div w:id="2088376840">
      <w:bodyDiv w:val="1"/>
      <w:marLeft w:val="0"/>
      <w:marRight w:val="0"/>
      <w:marTop w:val="0"/>
      <w:marBottom w:val="0"/>
      <w:divBdr>
        <w:top w:val="none" w:sz="0" w:space="0" w:color="auto"/>
        <w:left w:val="none" w:sz="0" w:space="0" w:color="auto"/>
        <w:bottom w:val="none" w:sz="0" w:space="0" w:color="auto"/>
        <w:right w:val="none" w:sz="0" w:space="0" w:color="auto"/>
      </w:divBdr>
    </w:div>
    <w:div w:id="2089421361">
      <w:bodyDiv w:val="1"/>
      <w:marLeft w:val="0"/>
      <w:marRight w:val="0"/>
      <w:marTop w:val="0"/>
      <w:marBottom w:val="0"/>
      <w:divBdr>
        <w:top w:val="none" w:sz="0" w:space="0" w:color="auto"/>
        <w:left w:val="none" w:sz="0" w:space="0" w:color="auto"/>
        <w:bottom w:val="none" w:sz="0" w:space="0" w:color="auto"/>
        <w:right w:val="none" w:sz="0" w:space="0" w:color="auto"/>
      </w:divBdr>
    </w:div>
    <w:div w:id="2089763989">
      <w:bodyDiv w:val="1"/>
      <w:marLeft w:val="0"/>
      <w:marRight w:val="0"/>
      <w:marTop w:val="0"/>
      <w:marBottom w:val="0"/>
      <w:divBdr>
        <w:top w:val="none" w:sz="0" w:space="0" w:color="auto"/>
        <w:left w:val="none" w:sz="0" w:space="0" w:color="auto"/>
        <w:bottom w:val="none" w:sz="0" w:space="0" w:color="auto"/>
        <w:right w:val="none" w:sz="0" w:space="0" w:color="auto"/>
      </w:divBdr>
    </w:div>
    <w:div w:id="2089770545">
      <w:bodyDiv w:val="1"/>
      <w:marLeft w:val="0"/>
      <w:marRight w:val="0"/>
      <w:marTop w:val="0"/>
      <w:marBottom w:val="0"/>
      <w:divBdr>
        <w:top w:val="none" w:sz="0" w:space="0" w:color="auto"/>
        <w:left w:val="none" w:sz="0" w:space="0" w:color="auto"/>
        <w:bottom w:val="none" w:sz="0" w:space="0" w:color="auto"/>
        <w:right w:val="none" w:sz="0" w:space="0" w:color="auto"/>
      </w:divBdr>
    </w:div>
    <w:div w:id="2090227741">
      <w:bodyDiv w:val="1"/>
      <w:marLeft w:val="0"/>
      <w:marRight w:val="0"/>
      <w:marTop w:val="0"/>
      <w:marBottom w:val="0"/>
      <w:divBdr>
        <w:top w:val="none" w:sz="0" w:space="0" w:color="auto"/>
        <w:left w:val="none" w:sz="0" w:space="0" w:color="auto"/>
        <w:bottom w:val="none" w:sz="0" w:space="0" w:color="auto"/>
        <w:right w:val="none" w:sz="0" w:space="0" w:color="auto"/>
      </w:divBdr>
    </w:div>
    <w:div w:id="2090537947">
      <w:bodyDiv w:val="1"/>
      <w:marLeft w:val="0"/>
      <w:marRight w:val="0"/>
      <w:marTop w:val="0"/>
      <w:marBottom w:val="0"/>
      <w:divBdr>
        <w:top w:val="none" w:sz="0" w:space="0" w:color="auto"/>
        <w:left w:val="none" w:sz="0" w:space="0" w:color="auto"/>
        <w:bottom w:val="none" w:sz="0" w:space="0" w:color="auto"/>
        <w:right w:val="none" w:sz="0" w:space="0" w:color="auto"/>
      </w:divBdr>
    </w:div>
    <w:div w:id="2090733977">
      <w:bodyDiv w:val="1"/>
      <w:marLeft w:val="0"/>
      <w:marRight w:val="0"/>
      <w:marTop w:val="0"/>
      <w:marBottom w:val="0"/>
      <w:divBdr>
        <w:top w:val="none" w:sz="0" w:space="0" w:color="auto"/>
        <w:left w:val="none" w:sz="0" w:space="0" w:color="auto"/>
        <w:bottom w:val="none" w:sz="0" w:space="0" w:color="auto"/>
        <w:right w:val="none" w:sz="0" w:space="0" w:color="auto"/>
      </w:divBdr>
    </w:div>
    <w:div w:id="2090806838">
      <w:bodyDiv w:val="1"/>
      <w:marLeft w:val="0"/>
      <w:marRight w:val="0"/>
      <w:marTop w:val="0"/>
      <w:marBottom w:val="0"/>
      <w:divBdr>
        <w:top w:val="none" w:sz="0" w:space="0" w:color="auto"/>
        <w:left w:val="none" w:sz="0" w:space="0" w:color="auto"/>
        <w:bottom w:val="none" w:sz="0" w:space="0" w:color="auto"/>
        <w:right w:val="none" w:sz="0" w:space="0" w:color="auto"/>
      </w:divBdr>
    </w:div>
    <w:div w:id="2091000512">
      <w:bodyDiv w:val="1"/>
      <w:marLeft w:val="0"/>
      <w:marRight w:val="0"/>
      <w:marTop w:val="0"/>
      <w:marBottom w:val="0"/>
      <w:divBdr>
        <w:top w:val="none" w:sz="0" w:space="0" w:color="auto"/>
        <w:left w:val="none" w:sz="0" w:space="0" w:color="auto"/>
        <w:bottom w:val="none" w:sz="0" w:space="0" w:color="auto"/>
        <w:right w:val="none" w:sz="0" w:space="0" w:color="auto"/>
      </w:divBdr>
    </w:div>
    <w:div w:id="2091386203">
      <w:bodyDiv w:val="1"/>
      <w:marLeft w:val="0"/>
      <w:marRight w:val="0"/>
      <w:marTop w:val="0"/>
      <w:marBottom w:val="0"/>
      <w:divBdr>
        <w:top w:val="none" w:sz="0" w:space="0" w:color="auto"/>
        <w:left w:val="none" w:sz="0" w:space="0" w:color="auto"/>
        <w:bottom w:val="none" w:sz="0" w:space="0" w:color="auto"/>
        <w:right w:val="none" w:sz="0" w:space="0" w:color="auto"/>
      </w:divBdr>
    </w:div>
    <w:div w:id="2091583139">
      <w:bodyDiv w:val="1"/>
      <w:marLeft w:val="0"/>
      <w:marRight w:val="0"/>
      <w:marTop w:val="0"/>
      <w:marBottom w:val="0"/>
      <w:divBdr>
        <w:top w:val="none" w:sz="0" w:space="0" w:color="auto"/>
        <w:left w:val="none" w:sz="0" w:space="0" w:color="auto"/>
        <w:bottom w:val="none" w:sz="0" w:space="0" w:color="auto"/>
        <w:right w:val="none" w:sz="0" w:space="0" w:color="auto"/>
      </w:divBdr>
    </w:div>
    <w:div w:id="2091612083">
      <w:bodyDiv w:val="1"/>
      <w:marLeft w:val="0"/>
      <w:marRight w:val="0"/>
      <w:marTop w:val="0"/>
      <w:marBottom w:val="0"/>
      <w:divBdr>
        <w:top w:val="none" w:sz="0" w:space="0" w:color="auto"/>
        <w:left w:val="none" w:sz="0" w:space="0" w:color="auto"/>
        <w:bottom w:val="none" w:sz="0" w:space="0" w:color="auto"/>
        <w:right w:val="none" w:sz="0" w:space="0" w:color="auto"/>
      </w:divBdr>
    </w:div>
    <w:div w:id="2091733305">
      <w:bodyDiv w:val="1"/>
      <w:marLeft w:val="0"/>
      <w:marRight w:val="0"/>
      <w:marTop w:val="0"/>
      <w:marBottom w:val="0"/>
      <w:divBdr>
        <w:top w:val="none" w:sz="0" w:space="0" w:color="auto"/>
        <w:left w:val="none" w:sz="0" w:space="0" w:color="auto"/>
        <w:bottom w:val="none" w:sz="0" w:space="0" w:color="auto"/>
        <w:right w:val="none" w:sz="0" w:space="0" w:color="auto"/>
      </w:divBdr>
    </w:div>
    <w:div w:id="2091810579">
      <w:bodyDiv w:val="1"/>
      <w:marLeft w:val="0"/>
      <w:marRight w:val="0"/>
      <w:marTop w:val="0"/>
      <w:marBottom w:val="0"/>
      <w:divBdr>
        <w:top w:val="none" w:sz="0" w:space="0" w:color="auto"/>
        <w:left w:val="none" w:sz="0" w:space="0" w:color="auto"/>
        <w:bottom w:val="none" w:sz="0" w:space="0" w:color="auto"/>
        <w:right w:val="none" w:sz="0" w:space="0" w:color="auto"/>
      </w:divBdr>
    </w:div>
    <w:div w:id="2092313308">
      <w:bodyDiv w:val="1"/>
      <w:marLeft w:val="0"/>
      <w:marRight w:val="0"/>
      <w:marTop w:val="0"/>
      <w:marBottom w:val="0"/>
      <w:divBdr>
        <w:top w:val="none" w:sz="0" w:space="0" w:color="auto"/>
        <w:left w:val="none" w:sz="0" w:space="0" w:color="auto"/>
        <w:bottom w:val="none" w:sz="0" w:space="0" w:color="auto"/>
        <w:right w:val="none" w:sz="0" w:space="0" w:color="auto"/>
      </w:divBdr>
    </w:div>
    <w:div w:id="2092501433">
      <w:bodyDiv w:val="1"/>
      <w:marLeft w:val="0"/>
      <w:marRight w:val="0"/>
      <w:marTop w:val="0"/>
      <w:marBottom w:val="0"/>
      <w:divBdr>
        <w:top w:val="none" w:sz="0" w:space="0" w:color="auto"/>
        <w:left w:val="none" w:sz="0" w:space="0" w:color="auto"/>
        <w:bottom w:val="none" w:sz="0" w:space="0" w:color="auto"/>
        <w:right w:val="none" w:sz="0" w:space="0" w:color="auto"/>
      </w:divBdr>
    </w:div>
    <w:div w:id="2093038625">
      <w:bodyDiv w:val="1"/>
      <w:marLeft w:val="0"/>
      <w:marRight w:val="0"/>
      <w:marTop w:val="0"/>
      <w:marBottom w:val="0"/>
      <w:divBdr>
        <w:top w:val="none" w:sz="0" w:space="0" w:color="auto"/>
        <w:left w:val="none" w:sz="0" w:space="0" w:color="auto"/>
        <w:bottom w:val="none" w:sz="0" w:space="0" w:color="auto"/>
        <w:right w:val="none" w:sz="0" w:space="0" w:color="auto"/>
      </w:divBdr>
    </w:div>
    <w:div w:id="2093699478">
      <w:bodyDiv w:val="1"/>
      <w:marLeft w:val="0"/>
      <w:marRight w:val="0"/>
      <w:marTop w:val="0"/>
      <w:marBottom w:val="0"/>
      <w:divBdr>
        <w:top w:val="none" w:sz="0" w:space="0" w:color="auto"/>
        <w:left w:val="none" w:sz="0" w:space="0" w:color="auto"/>
        <w:bottom w:val="none" w:sz="0" w:space="0" w:color="auto"/>
        <w:right w:val="none" w:sz="0" w:space="0" w:color="auto"/>
      </w:divBdr>
    </w:div>
    <w:div w:id="2093811497">
      <w:bodyDiv w:val="1"/>
      <w:marLeft w:val="0"/>
      <w:marRight w:val="0"/>
      <w:marTop w:val="0"/>
      <w:marBottom w:val="0"/>
      <w:divBdr>
        <w:top w:val="none" w:sz="0" w:space="0" w:color="auto"/>
        <w:left w:val="none" w:sz="0" w:space="0" w:color="auto"/>
        <w:bottom w:val="none" w:sz="0" w:space="0" w:color="auto"/>
        <w:right w:val="none" w:sz="0" w:space="0" w:color="auto"/>
      </w:divBdr>
    </w:div>
    <w:div w:id="2094466565">
      <w:bodyDiv w:val="1"/>
      <w:marLeft w:val="0"/>
      <w:marRight w:val="0"/>
      <w:marTop w:val="0"/>
      <w:marBottom w:val="0"/>
      <w:divBdr>
        <w:top w:val="none" w:sz="0" w:space="0" w:color="auto"/>
        <w:left w:val="none" w:sz="0" w:space="0" w:color="auto"/>
        <w:bottom w:val="none" w:sz="0" w:space="0" w:color="auto"/>
        <w:right w:val="none" w:sz="0" w:space="0" w:color="auto"/>
      </w:divBdr>
    </w:div>
    <w:div w:id="2094930221">
      <w:bodyDiv w:val="1"/>
      <w:marLeft w:val="0"/>
      <w:marRight w:val="0"/>
      <w:marTop w:val="0"/>
      <w:marBottom w:val="0"/>
      <w:divBdr>
        <w:top w:val="none" w:sz="0" w:space="0" w:color="auto"/>
        <w:left w:val="none" w:sz="0" w:space="0" w:color="auto"/>
        <w:bottom w:val="none" w:sz="0" w:space="0" w:color="auto"/>
        <w:right w:val="none" w:sz="0" w:space="0" w:color="auto"/>
      </w:divBdr>
    </w:div>
    <w:div w:id="2095318459">
      <w:bodyDiv w:val="1"/>
      <w:marLeft w:val="0"/>
      <w:marRight w:val="0"/>
      <w:marTop w:val="0"/>
      <w:marBottom w:val="0"/>
      <w:divBdr>
        <w:top w:val="none" w:sz="0" w:space="0" w:color="auto"/>
        <w:left w:val="none" w:sz="0" w:space="0" w:color="auto"/>
        <w:bottom w:val="none" w:sz="0" w:space="0" w:color="auto"/>
        <w:right w:val="none" w:sz="0" w:space="0" w:color="auto"/>
      </w:divBdr>
    </w:div>
    <w:div w:id="2095861283">
      <w:bodyDiv w:val="1"/>
      <w:marLeft w:val="0"/>
      <w:marRight w:val="0"/>
      <w:marTop w:val="0"/>
      <w:marBottom w:val="0"/>
      <w:divBdr>
        <w:top w:val="none" w:sz="0" w:space="0" w:color="auto"/>
        <w:left w:val="none" w:sz="0" w:space="0" w:color="auto"/>
        <w:bottom w:val="none" w:sz="0" w:space="0" w:color="auto"/>
        <w:right w:val="none" w:sz="0" w:space="0" w:color="auto"/>
      </w:divBdr>
    </w:div>
    <w:div w:id="2096200980">
      <w:bodyDiv w:val="1"/>
      <w:marLeft w:val="0"/>
      <w:marRight w:val="0"/>
      <w:marTop w:val="0"/>
      <w:marBottom w:val="0"/>
      <w:divBdr>
        <w:top w:val="none" w:sz="0" w:space="0" w:color="auto"/>
        <w:left w:val="none" w:sz="0" w:space="0" w:color="auto"/>
        <w:bottom w:val="none" w:sz="0" w:space="0" w:color="auto"/>
        <w:right w:val="none" w:sz="0" w:space="0" w:color="auto"/>
      </w:divBdr>
    </w:div>
    <w:div w:id="2096314412">
      <w:bodyDiv w:val="1"/>
      <w:marLeft w:val="0"/>
      <w:marRight w:val="0"/>
      <w:marTop w:val="0"/>
      <w:marBottom w:val="0"/>
      <w:divBdr>
        <w:top w:val="none" w:sz="0" w:space="0" w:color="auto"/>
        <w:left w:val="none" w:sz="0" w:space="0" w:color="auto"/>
        <w:bottom w:val="none" w:sz="0" w:space="0" w:color="auto"/>
        <w:right w:val="none" w:sz="0" w:space="0" w:color="auto"/>
      </w:divBdr>
    </w:div>
    <w:div w:id="2096390966">
      <w:bodyDiv w:val="1"/>
      <w:marLeft w:val="0"/>
      <w:marRight w:val="0"/>
      <w:marTop w:val="0"/>
      <w:marBottom w:val="0"/>
      <w:divBdr>
        <w:top w:val="none" w:sz="0" w:space="0" w:color="auto"/>
        <w:left w:val="none" w:sz="0" w:space="0" w:color="auto"/>
        <w:bottom w:val="none" w:sz="0" w:space="0" w:color="auto"/>
        <w:right w:val="none" w:sz="0" w:space="0" w:color="auto"/>
      </w:divBdr>
    </w:div>
    <w:div w:id="2097095988">
      <w:bodyDiv w:val="1"/>
      <w:marLeft w:val="0"/>
      <w:marRight w:val="0"/>
      <w:marTop w:val="0"/>
      <w:marBottom w:val="0"/>
      <w:divBdr>
        <w:top w:val="none" w:sz="0" w:space="0" w:color="auto"/>
        <w:left w:val="none" w:sz="0" w:space="0" w:color="auto"/>
        <w:bottom w:val="none" w:sz="0" w:space="0" w:color="auto"/>
        <w:right w:val="none" w:sz="0" w:space="0" w:color="auto"/>
      </w:divBdr>
    </w:div>
    <w:div w:id="2098280147">
      <w:bodyDiv w:val="1"/>
      <w:marLeft w:val="0"/>
      <w:marRight w:val="0"/>
      <w:marTop w:val="0"/>
      <w:marBottom w:val="0"/>
      <w:divBdr>
        <w:top w:val="none" w:sz="0" w:space="0" w:color="auto"/>
        <w:left w:val="none" w:sz="0" w:space="0" w:color="auto"/>
        <w:bottom w:val="none" w:sz="0" w:space="0" w:color="auto"/>
        <w:right w:val="none" w:sz="0" w:space="0" w:color="auto"/>
      </w:divBdr>
    </w:div>
    <w:div w:id="2098477702">
      <w:bodyDiv w:val="1"/>
      <w:marLeft w:val="0"/>
      <w:marRight w:val="0"/>
      <w:marTop w:val="0"/>
      <w:marBottom w:val="0"/>
      <w:divBdr>
        <w:top w:val="none" w:sz="0" w:space="0" w:color="auto"/>
        <w:left w:val="none" w:sz="0" w:space="0" w:color="auto"/>
        <w:bottom w:val="none" w:sz="0" w:space="0" w:color="auto"/>
        <w:right w:val="none" w:sz="0" w:space="0" w:color="auto"/>
      </w:divBdr>
    </w:div>
    <w:div w:id="2098937413">
      <w:bodyDiv w:val="1"/>
      <w:marLeft w:val="0"/>
      <w:marRight w:val="0"/>
      <w:marTop w:val="0"/>
      <w:marBottom w:val="0"/>
      <w:divBdr>
        <w:top w:val="none" w:sz="0" w:space="0" w:color="auto"/>
        <w:left w:val="none" w:sz="0" w:space="0" w:color="auto"/>
        <w:bottom w:val="none" w:sz="0" w:space="0" w:color="auto"/>
        <w:right w:val="none" w:sz="0" w:space="0" w:color="auto"/>
      </w:divBdr>
    </w:div>
    <w:div w:id="2100522497">
      <w:bodyDiv w:val="1"/>
      <w:marLeft w:val="0"/>
      <w:marRight w:val="0"/>
      <w:marTop w:val="0"/>
      <w:marBottom w:val="0"/>
      <w:divBdr>
        <w:top w:val="none" w:sz="0" w:space="0" w:color="auto"/>
        <w:left w:val="none" w:sz="0" w:space="0" w:color="auto"/>
        <w:bottom w:val="none" w:sz="0" w:space="0" w:color="auto"/>
        <w:right w:val="none" w:sz="0" w:space="0" w:color="auto"/>
      </w:divBdr>
    </w:div>
    <w:div w:id="2100560673">
      <w:bodyDiv w:val="1"/>
      <w:marLeft w:val="0"/>
      <w:marRight w:val="0"/>
      <w:marTop w:val="0"/>
      <w:marBottom w:val="0"/>
      <w:divBdr>
        <w:top w:val="none" w:sz="0" w:space="0" w:color="auto"/>
        <w:left w:val="none" w:sz="0" w:space="0" w:color="auto"/>
        <w:bottom w:val="none" w:sz="0" w:space="0" w:color="auto"/>
        <w:right w:val="none" w:sz="0" w:space="0" w:color="auto"/>
      </w:divBdr>
    </w:div>
    <w:div w:id="2100783898">
      <w:bodyDiv w:val="1"/>
      <w:marLeft w:val="0"/>
      <w:marRight w:val="0"/>
      <w:marTop w:val="0"/>
      <w:marBottom w:val="0"/>
      <w:divBdr>
        <w:top w:val="none" w:sz="0" w:space="0" w:color="auto"/>
        <w:left w:val="none" w:sz="0" w:space="0" w:color="auto"/>
        <w:bottom w:val="none" w:sz="0" w:space="0" w:color="auto"/>
        <w:right w:val="none" w:sz="0" w:space="0" w:color="auto"/>
      </w:divBdr>
    </w:div>
    <w:div w:id="2100829863">
      <w:bodyDiv w:val="1"/>
      <w:marLeft w:val="0"/>
      <w:marRight w:val="0"/>
      <w:marTop w:val="0"/>
      <w:marBottom w:val="0"/>
      <w:divBdr>
        <w:top w:val="none" w:sz="0" w:space="0" w:color="auto"/>
        <w:left w:val="none" w:sz="0" w:space="0" w:color="auto"/>
        <w:bottom w:val="none" w:sz="0" w:space="0" w:color="auto"/>
        <w:right w:val="none" w:sz="0" w:space="0" w:color="auto"/>
      </w:divBdr>
    </w:div>
    <w:div w:id="2100902228">
      <w:bodyDiv w:val="1"/>
      <w:marLeft w:val="0"/>
      <w:marRight w:val="0"/>
      <w:marTop w:val="0"/>
      <w:marBottom w:val="0"/>
      <w:divBdr>
        <w:top w:val="none" w:sz="0" w:space="0" w:color="auto"/>
        <w:left w:val="none" w:sz="0" w:space="0" w:color="auto"/>
        <w:bottom w:val="none" w:sz="0" w:space="0" w:color="auto"/>
        <w:right w:val="none" w:sz="0" w:space="0" w:color="auto"/>
      </w:divBdr>
    </w:div>
    <w:div w:id="2100908824">
      <w:bodyDiv w:val="1"/>
      <w:marLeft w:val="0"/>
      <w:marRight w:val="0"/>
      <w:marTop w:val="0"/>
      <w:marBottom w:val="0"/>
      <w:divBdr>
        <w:top w:val="none" w:sz="0" w:space="0" w:color="auto"/>
        <w:left w:val="none" w:sz="0" w:space="0" w:color="auto"/>
        <w:bottom w:val="none" w:sz="0" w:space="0" w:color="auto"/>
        <w:right w:val="none" w:sz="0" w:space="0" w:color="auto"/>
      </w:divBdr>
    </w:div>
    <w:div w:id="2101678645">
      <w:bodyDiv w:val="1"/>
      <w:marLeft w:val="0"/>
      <w:marRight w:val="0"/>
      <w:marTop w:val="0"/>
      <w:marBottom w:val="0"/>
      <w:divBdr>
        <w:top w:val="none" w:sz="0" w:space="0" w:color="auto"/>
        <w:left w:val="none" w:sz="0" w:space="0" w:color="auto"/>
        <w:bottom w:val="none" w:sz="0" w:space="0" w:color="auto"/>
        <w:right w:val="none" w:sz="0" w:space="0" w:color="auto"/>
      </w:divBdr>
    </w:div>
    <w:div w:id="2101900995">
      <w:bodyDiv w:val="1"/>
      <w:marLeft w:val="0"/>
      <w:marRight w:val="0"/>
      <w:marTop w:val="0"/>
      <w:marBottom w:val="0"/>
      <w:divBdr>
        <w:top w:val="none" w:sz="0" w:space="0" w:color="auto"/>
        <w:left w:val="none" w:sz="0" w:space="0" w:color="auto"/>
        <w:bottom w:val="none" w:sz="0" w:space="0" w:color="auto"/>
        <w:right w:val="none" w:sz="0" w:space="0" w:color="auto"/>
      </w:divBdr>
    </w:div>
    <w:div w:id="2102725140">
      <w:bodyDiv w:val="1"/>
      <w:marLeft w:val="0"/>
      <w:marRight w:val="0"/>
      <w:marTop w:val="0"/>
      <w:marBottom w:val="0"/>
      <w:divBdr>
        <w:top w:val="none" w:sz="0" w:space="0" w:color="auto"/>
        <w:left w:val="none" w:sz="0" w:space="0" w:color="auto"/>
        <w:bottom w:val="none" w:sz="0" w:space="0" w:color="auto"/>
        <w:right w:val="none" w:sz="0" w:space="0" w:color="auto"/>
      </w:divBdr>
    </w:div>
    <w:div w:id="2103258681">
      <w:bodyDiv w:val="1"/>
      <w:marLeft w:val="0"/>
      <w:marRight w:val="0"/>
      <w:marTop w:val="0"/>
      <w:marBottom w:val="0"/>
      <w:divBdr>
        <w:top w:val="none" w:sz="0" w:space="0" w:color="auto"/>
        <w:left w:val="none" w:sz="0" w:space="0" w:color="auto"/>
        <w:bottom w:val="none" w:sz="0" w:space="0" w:color="auto"/>
        <w:right w:val="none" w:sz="0" w:space="0" w:color="auto"/>
      </w:divBdr>
    </w:div>
    <w:div w:id="2103259748">
      <w:bodyDiv w:val="1"/>
      <w:marLeft w:val="0"/>
      <w:marRight w:val="0"/>
      <w:marTop w:val="0"/>
      <w:marBottom w:val="0"/>
      <w:divBdr>
        <w:top w:val="none" w:sz="0" w:space="0" w:color="auto"/>
        <w:left w:val="none" w:sz="0" w:space="0" w:color="auto"/>
        <w:bottom w:val="none" w:sz="0" w:space="0" w:color="auto"/>
        <w:right w:val="none" w:sz="0" w:space="0" w:color="auto"/>
      </w:divBdr>
    </w:div>
    <w:div w:id="2103721145">
      <w:bodyDiv w:val="1"/>
      <w:marLeft w:val="0"/>
      <w:marRight w:val="0"/>
      <w:marTop w:val="0"/>
      <w:marBottom w:val="0"/>
      <w:divBdr>
        <w:top w:val="none" w:sz="0" w:space="0" w:color="auto"/>
        <w:left w:val="none" w:sz="0" w:space="0" w:color="auto"/>
        <w:bottom w:val="none" w:sz="0" w:space="0" w:color="auto"/>
        <w:right w:val="none" w:sz="0" w:space="0" w:color="auto"/>
      </w:divBdr>
    </w:div>
    <w:div w:id="2104762039">
      <w:bodyDiv w:val="1"/>
      <w:marLeft w:val="0"/>
      <w:marRight w:val="0"/>
      <w:marTop w:val="0"/>
      <w:marBottom w:val="0"/>
      <w:divBdr>
        <w:top w:val="none" w:sz="0" w:space="0" w:color="auto"/>
        <w:left w:val="none" w:sz="0" w:space="0" w:color="auto"/>
        <w:bottom w:val="none" w:sz="0" w:space="0" w:color="auto"/>
        <w:right w:val="none" w:sz="0" w:space="0" w:color="auto"/>
      </w:divBdr>
    </w:div>
    <w:div w:id="2105109636">
      <w:bodyDiv w:val="1"/>
      <w:marLeft w:val="0"/>
      <w:marRight w:val="0"/>
      <w:marTop w:val="0"/>
      <w:marBottom w:val="0"/>
      <w:divBdr>
        <w:top w:val="none" w:sz="0" w:space="0" w:color="auto"/>
        <w:left w:val="none" w:sz="0" w:space="0" w:color="auto"/>
        <w:bottom w:val="none" w:sz="0" w:space="0" w:color="auto"/>
        <w:right w:val="none" w:sz="0" w:space="0" w:color="auto"/>
      </w:divBdr>
    </w:div>
    <w:div w:id="2105373503">
      <w:bodyDiv w:val="1"/>
      <w:marLeft w:val="0"/>
      <w:marRight w:val="0"/>
      <w:marTop w:val="0"/>
      <w:marBottom w:val="0"/>
      <w:divBdr>
        <w:top w:val="none" w:sz="0" w:space="0" w:color="auto"/>
        <w:left w:val="none" w:sz="0" w:space="0" w:color="auto"/>
        <w:bottom w:val="none" w:sz="0" w:space="0" w:color="auto"/>
        <w:right w:val="none" w:sz="0" w:space="0" w:color="auto"/>
      </w:divBdr>
    </w:div>
    <w:div w:id="2105488409">
      <w:bodyDiv w:val="1"/>
      <w:marLeft w:val="0"/>
      <w:marRight w:val="0"/>
      <w:marTop w:val="0"/>
      <w:marBottom w:val="0"/>
      <w:divBdr>
        <w:top w:val="none" w:sz="0" w:space="0" w:color="auto"/>
        <w:left w:val="none" w:sz="0" w:space="0" w:color="auto"/>
        <w:bottom w:val="none" w:sz="0" w:space="0" w:color="auto"/>
        <w:right w:val="none" w:sz="0" w:space="0" w:color="auto"/>
      </w:divBdr>
    </w:div>
    <w:div w:id="2105638580">
      <w:bodyDiv w:val="1"/>
      <w:marLeft w:val="0"/>
      <w:marRight w:val="0"/>
      <w:marTop w:val="0"/>
      <w:marBottom w:val="0"/>
      <w:divBdr>
        <w:top w:val="none" w:sz="0" w:space="0" w:color="auto"/>
        <w:left w:val="none" w:sz="0" w:space="0" w:color="auto"/>
        <w:bottom w:val="none" w:sz="0" w:space="0" w:color="auto"/>
        <w:right w:val="none" w:sz="0" w:space="0" w:color="auto"/>
      </w:divBdr>
    </w:div>
    <w:div w:id="2105762688">
      <w:bodyDiv w:val="1"/>
      <w:marLeft w:val="0"/>
      <w:marRight w:val="0"/>
      <w:marTop w:val="0"/>
      <w:marBottom w:val="0"/>
      <w:divBdr>
        <w:top w:val="none" w:sz="0" w:space="0" w:color="auto"/>
        <w:left w:val="none" w:sz="0" w:space="0" w:color="auto"/>
        <w:bottom w:val="none" w:sz="0" w:space="0" w:color="auto"/>
        <w:right w:val="none" w:sz="0" w:space="0" w:color="auto"/>
      </w:divBdr>
    </w:div>
    <w:div w:id="2106071737">
      <w:bodyDiv w:val="1"/>
      <w:marLeft w:val="0"/>
      <w:marRight w:val="0"/>
      <w:marTop w:val="0"/>
      <w:marBottom w:val="0"/>
      <w:divBdr>
        <w:top w:val="none" w:sz="0" w:space="0" w:color="auto"/>
        <w:left w:val="none" w:sz="0" w:space="0" w:color="auto"/>
        <w:bottom w:val="none" w:sz="0" w:space="0" w:color="auto"/>
        <w:right w:val="none" w:sz="0" w:space="0" w:color="auto"/>
      </w:divBdr>
    </w:div>
    <w:div w:id="2106220638">
      <w:bodyDiv w:val="1"/>
      <w:marLeft w:val="0"/>
      <w:marRight w:val="0"/>
      <w:marTop w:val="0"/>
      <w:marBottom w:val="0"/>
      <w:divBdr>
        <w:top w:val="none" w:sz="0" w:space="0" w:color="auto"/>
        <w:left w:val="none" w:sz="0" w:space="0" w:color="auto"/>
        <w:bottom w:val="none" w:sz="0" w:space="0" w:color="auto"/>
        <w:right w:val="none" w:sz="0" w:space="0" w:color="auto"/>
      </w:divBdr>
    </w:div>
    <w:div w:id="2106222329">
      <w:bodyDiv w:val="1"/>
      <w:marLeft w:val="0"/>
      <w:marRight w:val="0"/>
      <w:marTop w:val="0"/>
      <w:marBottom w:val="0"/>
      <w:divBdr>
        <w:top w:val="none" w:sz="0" w:space="0" w:color="auto"/>
        <w:left w:val="none" w:sz="0" w:space="0" w:color="auto"/>
        <w:bottom w:val="none" w:sz="0" w:space="0" w:color="auto"/>
        <w:right w:val="none" w:sz="0" w:space="0" w:color="auto"/>
      </w:divBdr>
    </w:div>
    <w:div w:id="2107144805">
      <w:bodyDiv w:val="1"/>
      <w:marLeft w:val="0"/>
      <w:marRight w:val="0"/>
      <w:marTop w:val="0"/>
      <w:marBottom w:val="0"/>
      <w:divBdr>
        <w:top w:val="none" w:sz="0" w:space="0" w:color="auto"/>
        <w:left w:val="none" w:sz="0" w:space="0" w:color="auto"/>
        <w:bottom w:val="none" w:sz="0" w:space="0" w:color="auto"/>
        <w:right w:val="none" w:sz="0" w:space="0" w:color="auto"/>
      </w:divBdr>
    </w:div>
    <w:div w:id="2107145379">
      <w:bodyDiv w:val="1"/>
      <w:marLeft w:val="0"/>
      <w:marRight w:val="0"/>
      <w:marTop w:val="0"/>
      <w:marBottom w:val="0"/>
      <w:divBdr>
        <w:top w:val="none" w:sz="0" w:space="0" w:color="auto"/>
        <w:left w:val="none" w:sz="0" w:space="0" w:color="auto"/>
        <w:bottom w:val="none" w:sz="0" w:space="0" w:color="auto"/>
        <w:right w:val="none" w:sz="0" w:space="0" w:color="auto"/>
      </w:divBdr>
    </w:div>
    <w:div w:id="2107312369">
      <w:bodyDiv w:val="1"/>
      <w:marLeft w:val="0"/>
      <w:marRight w:val="0"/>
      <w:marTop w:val="0"/>
      <w:marBottom w:val="0"/>
      <w:divBdr>
        <w:top w:val="none" w:sz="0" w:space="0" w:color="auto"/>
        <w:left w:val="none" w:sz="0" w:space="0" w:color="auto"/>
        <w:bottom w:val="none" w:sz="0" w:space="0" w:color="auto"/>
        <w:right w:val="none" w:sz="0" w:space="0" w:color="auto"/>
      </w:divBdr>
    </w:div>
    <w:div w:id="2107577066">
      <w:bodyDiv w:val="1"/>
      <w:marLeft w:val="0"/>
      <w:marRight w:val="0"/>
      <w:marTop w:val="0"/>
      <w:marBottom w:val="0"/>
      <w:divBdr>
        <w:top w:val="none" w:sz="0" w:space="0" w:color="auto"/>
        <w:left w:val="none" w:sz="0" w:space="0" w:color="auto"/>
        <w:bottom w:val="none" w:sz="0" w:space="0" w:color="auto"/>
        <w:right w:val="none" w:sz="0" w:space="0" w:color="auto"/>
      </w:divBdr>
    </w:div>
    <w:div w:id="2107919173">
      <w:bodyDiv w:val="1"/>
      <w:marLeft w:val="0"/>
      <w:marRight w:val="0"/>
      <w:marTop w:val="0"/>
      <w:marBottom w:val="0"/>
      <w:divBdr>
        <w:top w:val="none" w:sz="0" w:space="0" w:color="auto"/>
        <w:left w:val="none" w:sz="0" w:space="0" w:color="auto"/>
        <w:bottom w:val="none" w:sz="0" w:space="0" w:color="auto"/>
        <w:right w:val="none" w:sz="0" w:space="0" w:color="auto"/>
      </w:divBdr>
    </w:div>
    <w:div w:id="2108842367">
      <w:bodyDiv w:val="1"/>
      <w:marLeft w:val="0"/>
      <w:marRight w:val="0"/>
      <w:marTop w:val="0"/>
      <w:marBottom w:val="0"/>
      <w:divBdr>
        <w:top w:val="none" w:sz="0" w:space="0" w:color="auto"/>
        <w:left w:val="none" w:sz="0" w:space="0" w:color="auto"/>
        <w:bottom w:val="none" w:sz="0" w:space="0" w:color="auto"/>
        <w:right w:val="none" w:sz="0" w:space="0" w:color="auto"/>
      </w:divBdr>
    </w:div>
    <w:div w:id="2109227093">
      <w:bodyDiv w:val="1"/>
      <w:marLeft w:val="0"/>
      <w:marRight w:val="0"/>
      <w:marTop w:val="0"/>
      <w:marBottom w:val="0"/>
      <w:divBdr>
        <w:top w:val="none" w:sz="0" w:space="0" w:color="auto"/>
        <w:left w:val="none" w:sz="0" w:space="0" w:color="auto"/>
        <w:bottom w:val="none" w:sz="0" w:space="0" w:color="auto"/>
        <w:right w:val="none" w:sz="0" w:space="0" w:color="auto"/>
      </w:divBdr>
    </w:div>
    <w:div w:id="2109570905">
      <w:bodyDiv w:val="1"/>
      <w:marLeft w:val="0"/>
      <w:marRight w:val="0"/>
      <w:marTop w:val="0"/>
      <w:marBottom w:val="0"/>
      <w:divBdr>
        <w:top w:val="none" w:sz="0" w:space="0" w:color="auto"/>
        <w:left w:val="none" w:sz="0" w:space="0" w:color="auto"/>
        <w:bottom w:val="none" w:sz="0" w:space="0" w:color="auto"/>
        <w:right w:val="none" w:sz="0" w:space="0" w:color="auto"/>
      </w:divBdr>
    </w:div>
    <w:div w:id="2109695757">
      <w:bodyDiv w:val="1"/>
      <w:marLeft w:val="0"/>
      <w:marRight w:val="0"/>
      <w:marTop w:val="0"/>
      <w:marBottom w:val="0"/>
      <w:divBdr>
        <w:top w:val="none" w:sz="0" w:space="0" w:color="auto"/>
        <w:left w:val="none" w:sz="0" w:space="0" w:color="auto"/>
        <w:bottom w:val="none" w:sz="0" w:space="0" w:color="auto"/>
        <w:right w:val="none" w:sz="0" w:space="0" w:color="auto"/>
      </w:divBdr>
    </w:div>
    <w:div w:id="2110083464">
      <w:bodyDiv w:val="1"/>
      <w:marLeft w:val="0"/>
      <w:marRight w:val="0"/>
      <w:marTop w:val="0"/>
      <w:marBottom w:val="0"/>
      <w:divBdr>
        <w:top w:val="none" w:sz="0" w:space="0" w:color="auto"/>
        <w:left w:val="none" w:sz="0" w:space="0" w:color="auto"/>
        <w:bottom w:val="none" w:sz="0" w:space="0" w:color="auto"/>
        <w:right w:val="none" w:sz="0" w:space="0" w:color="auto"/>
      </w:divBdr>
    </w:div>
    <w:div w:id="2110201791">
      <w:bodyDiv w:val="1"/>
      <w:marLeft w:val="0"/>
      <w:marRight w:val="0"/>
      <w:marTop w:val="0"/>
      <w:marBottom w:val="0"/>
      <w:divBdr>
        <w:top w:val="none" w:sz="0" w:space="0" w:color="auto"/>
        <w:left w:val="none" w:sz="0" w:space="0" w:color="auto"/>
        <w:bottom w:val="none" w:sz="0" w:space="0" w:color="auto"/>
        <w:right w:val="none" w:sz="0" w:space="0" w:color="auto"/>
      </w:divBdr>
    </w:div>
    <w:div w:id="2110345246">
      <w:bodyDiv w:val="1"/>
      <w:marLeft w:val="0"/>
      <w:marRight w:val="0"/>
      <w:marTop w:val="0"/>
      <w:marBottom w:val="0"/>
      <w:divBdr>
        <w:top w:val="none" w:sz="0" w:space="0" w:color="auto"/>
        <w:left w:val="none" w:sz="0" w:space="0" w:color="auto"/>
        <w:bottom w:val="none" w:sz="0" w:space="0" w:color="auto"/>
        <w:right w:val="none" w:sz="0" w:space="0" w:color="auto"/>
      </w:divBdr>
    </w:div>
    <w:div w:id="2110656629">
      <w:bodyDiv w:val="1"/>
      <w:marLeft w:val="0"/>
      <w:marRight w:val="0"/>
      <w:marTop w:val="0"/>
      <w:marBottom w:val="0"/>
      <w:divBdr>
        <w:top w:val="none" w:sz="0" w:space="0" w:color="auto"/>
        <w:left w:val="none" w:sz="0" w:space="0" w:color="auto"/>
        <w:bottom w:val="none" w:sz="0" w:space="0" w:color="auto"/>
        <w:right w:val="none" w:sz="0" w:space="0" w:color="auto"/>
      </w:divBdr>
    </w:div>
    <w:div w:id="2111386764">
      <w:bodyDiv w:val="1"/>
      <w:marLeft w:val="0"/>
      <w:marRight w:val="0"/>
      <w:marTop w:val="0"/>
      <w:marBottom w:val="0"/>
      <w:divBdr>
        <w:top w:val="none" w:sz="0" w:space="0" w:color="auto"/>
        <w:left w:val="none" w:sz="0" w:space="0" w:color="auto"/>
        <w:bottom w:val="none" w:sz="0" w:space="0" w:color="auto"/>
        <w:right w:val="none" w:sz="0" w:space="0" w:color="auto"/>
      </w:divBdr>
    </w:div>
    <w:div w:id="2111388084">
      <w:bodyDiv w:val="1"/>
      <w:marLeft w:val="0"/>
      <w:marRight w:val="0"/>
      <w:marTop w:val="0"/>
      <w:marBottom w:val="0"/>
      <w:divBdr>
        <w:top w:val="none" w:sz="0" w:space="0" w:color="auto"/>
        <w:left w:val="none" w:sz="0" w:space="0" w:color="auto"/>
        <w:bottom w:val="none" w:sz="0" w:space="0" w:color="auto"/>
        <w:right w:val="none" w:sz="0" w:space="0" w:color="auto"/>
      </w:divBdr>
    </w:div>
    <w:div w:id="2111508968">
      <w:bodyDiv w:val="1"/>
      <w:marLeft w:val="0"/>
      <w:marRight w:val="0"/>
      <w:marTop w:val="0"/>
      <w:marBottom w:val="0"/>
      <w:divBdr>
        <w:top w:val="none" w:sz="0" w:space="0" w:color="auto"/>
        <w:left w:val="none" w:sz="0" w:space="0" w:color="auto"/>
        <w:bottom w:val="none" w:sz="0" w:space="0" w:color="auto"/>
        <w:right w:val="none" w:sz="0" w:space="0" w:color="auto"/>
      </w:divBdr>
    </w:div>
    <w:div w:id="2111855254">
      <w:bodyDiv w:val="1"/>
      <w:marLeft w:val="0"/>
      <w:marRight w:val="0"/>
      <w:marTop w:val="0"/>
      <w:marBottom w:val="0"/>
      <w:divBdr>
        <w:top w:val="none" w:sz="0" w:space="0" w:color="auto"/>
        <w:left w:val="none" w:sz="0" w:space="0" w:color="auto"/>
        <w:bottom w:val="none" w:sz="0" w:space="0" w:color="auto"/>
        <w:right w:val="none" w:sz="0" w:space="0" w:color="auto"/>
      </w:divBdr>
    </w:div>
    <w:div w:id="2112318913">
      <w:bodyDiv w:val="1"/>
      <w:marLeft w:val="0"/>
      <w:marRight w:val="0"/>
      <w:marTop w:val="0"/>
      <w:marBottom w:val="0"/>
      <w:divBdr>
        <w:top w:val="none" w:sz="0" w:space="0" w:color="auto"/>
        <w:left w:val="none" w:sz="0" w:space="0" w:color="auto"/>
        <w:bottom w:val="none" w:sz="0" w:space="0" w:color="auto"/>
        <w:right w:val="none" w:sz="0" w:space="0" w:color="auto"/>
      </w:divBdr>
    </w:div>
    <w:div w:id="2112775266">
      <w:bodyDiv w:val="1"/>
      <w:marLeft w:val="0"/>
      <w:marRight w:val="0"/>
      <w:marTop w:val="0"/>
      <w:marBottom w:val="0"/>
      <w:divBdr>
        <w:top w:val="none" w:sz="0" w:space="0" w:color="auto"/>
        <w:left w:val="none" w:sz="0" w:space="0" w:color="auto"/>
        <w:bottom w:val="none" w:sz="0" w:space="0" w:color="auto"/>
        <w:right w:val="none" w:sz="0" w:space="0" w:color="auto"/>
      </w:divBdr>
    </w:div>
    <w:div w:id="2113549230">
      <w:bodyDiv w:val="1"/>
      <w:marLeft w:val="0"/>
      <w:marRight w:val="0"/>
      <w:marTop w:val="0"/>
      <w:marBottom w:val="0"/>
      <w:divBdr>
        <w:top w:val="none" w:sz="0" w:space="0" w:color="auto"/>
        <w:left w:val="none" w:sz="0" w:space="0" w:color="auto"/>
        <w:bottom w:val="none" w:sz="0" w:space="0" w:color="auto"/>
        <w:right w:val="none" w:sz="0" w:space="0" w:color="auto"/>
      </w:divBdr>
    </w:div>
    <w:div w:id="2114473158">
      <w:bodyDiv w:val="1"/>
      <w:marLeft w:val="0"/>
      <w:marRight w:val="0"/>
      <w:marTop w:val="0"/>
      <w:marBottom w:val="0"/>
      <w:divBdr>
        <w:top w:val="none" w:sz="0" w:space="0" w:color="auto"/>
        <w:left w:val="none" w:sz="0" w:space="0" w:color="auto"/>
        <w:bottom w:val="none" w:sz="0" w:space="0" w:color="auto"/>
        <w:right w:val="none" w:sz="0" w:space="0" w:color="auto"/>
      </w:divBdr>
    </w:div>
    <w:div w:id="2115902652">
      <w:bodyDiv w:val="1"/>
      <w:marLeft w:val="0"/>
      <w:marRight w:val="0"/>
      <w:marTop w:val="0"/>
      <w:marBottom w:val="0"/>
      <w:divBdr>
        <w:top w:val="none" w:sz="0" w:space="0" w:color="auto"/>
        <w:left w:val="none" w:sz="0" w:space="0" w:color="auto"/>
        <w:bottom w:val="none" w:sz="0" w:space="0" w:color="auto"/>
        <w:right w:val="none" w:sz="0" w:space="0" w:color="auto"/>
      </w:divBdr>
    </w:div>
    <w:div w:id="2116896692">
      <w:bodyDiv w:val="1"/>
      <w:marLeft w:val="0"/>
      <w:marRight w:val="0"/>
      <w:marTop w:val="0"/>
      <w:marBottom w:val="0"/>
      <w:divBdr>
        <w:top w:val="none" w:sz="0" w:space="0" w:color="auto"/>
        <w:left w:val="none" w:sz="0" w:space="0" w:color="auto"/>
        <w:bottom w:val="none" w:sz="0" w:space="0" w:color="auto"/>
        <w:right w:val="none" w:sz="0" w:space="0" w:color="auto"/>
      </w:divBdr>
    </w:div>
    <w:div w:id="2117358327">
      <w:bodyDiv w:val="1"/>
      <w:marLeft w:val="0"/>
      <w:marRight w:val="0"/>
      <w:marTop w:val="0"/>
      <w:marBottom w:val="0"/>
      <w:divBdr>
        <w:top w:val="none" w:sz="0" w:space="0" w:color="auto"/>
        <w:left w:val="none" w:sz="0" w:space="0" w:color="auto"/>
        <w:bottom w:val="none" w:sz="0" w:space="0" w:color="auto"/>
        <w:right w:val="none" w:sz="0" w:space="0" w:color="auto"/>
      </w:divBdr>
    </w:div>
    <w:div w:id="2117559514">
      <w:bodyDiv w:val="1"/>
      <w:marLeft w:val="0"/>
      <w:marRight w:val="0"/>
      <w:marTop w:val="0"/>
      <w:marBottom w:val="0"/>
      <w:divBdr>
        <w:top w:val="none" w:sz="0" w:space="0" w:color="auto"/>
        <w:left w:val="none" w:sz="0" w:space="0" w:color="auto"/>
        <w:bottom w:val="none" w:sz="0" w:space="0" w:color="auto"/>
        <w:right w:val="none" w:sz="0" w:space="0" w:color="auto"/>
      </w:divBdr>
    </w:div>
    <w:div w:id="2117824519">
      <w:bodyDiv w:val="1"/>
      <w:marLeft w:val="0"/>
      <w:marRight w:val="0"/>
      <w:marTop w:val="0"/>
      <w:marBottom w:val="0"/>
      <w:divBdr>
        <w:top w:val="none" w:sz="0" w:space="0" w:color="auto"/>
        <w:left w:val="none" w:sz="0" w:space="0" w:color="auto"/>
        <w:bottom w:val="none" w:sz="0" w:space="0" w:color="auto"/>
        <w:right w:val="none" w:sz="0" w:space="0" w:color="auto"/>
      </w:divBdr>
    </w:div>
    <w:div w:id="2118332738">
      <w:bodyDiv w:val="1"/>
      <w:marLeft w:val="0"/>
      <w:marRight w:val="0"/>
      <w:marTop w:val="0"/>
      <w:marBottom w:val="0"/>
      <w:divBdr>
        <w:top w:val="none" w:sz="0" w:space="0" w:color="auto"/>
        <w:left w:val="none" w:sz="0" w:space="0" w:color="auto"/>
        <w:bottom w:val="none" w:sz="0" w:space="0" w:color="auto"/>
        <w:right w:val="none" w:sz="0" w:space="0" w:color="auto"/>
      </w:divBdr>
    </w:div>
    <w:div w:id="2119446212">
      <w:bodyDiv w:val="1"/>
      <w:marLeft w:val="0"/>
      <w:marRight w:val="0"/>
      <w:marTop w:val="0"/>
      <w:marBottom w:val="0"/>
      <w:divBdr>
        <w:top w:val="none" w:sz="0" w:space="0" w:color="auto"/>
        <w:left w:val="none" w:sz="0" w:space="0" w:color="auto"/>
        <w:bottom w:val="none" w:sz="0" w:space="0" w:color="auto"/>
        <w:right w:val="none" w:sz="0" w:space="0" w:color="auto"/>
      </w:divBdr>
    </w:div>
    <w:div w:id="2120025314">
      <w:bodyDiv w:val="1"/>
      <w:marLeft w:val="0"/>
      <w:marRight w:val="0"/>
      <w:marTop w:val="0"/>
      <w:marBottom w:val="0"/>
      <w:divBdr>
        <w:top w:val="none" w:sz="0" w:space="0" w:color="auto"/>
        <w:left w:val="none" w:sz="0" w:space="0" w:color="auto"/>
        <w:bottom w:val="none" w:sz="0" w:space="0" w:color="auto"/>
        <w:right w:val="none" w:sz="0" w:space="0" w:color="auto"/>
      </w:divBdr>
    </w:div>
    <w:div w:id="2120366438">
      <w:bodyDiv w:val="1"/>
      <w:marLeft w:val="0"/>
      <w:marRight w:val="0"/>
      <w:marTop w:val="0"/>
      <w:marBottom w:val="0"/>
      <w:divBdr>
        <w:top w:val="none" w:sz="0" w:space="0" w:color="auto"/>
        <w:left w:val="none" w:sz="0" w:space="0" w:color="auto"/>
        <w:bottom w:val="none" w:sz="0" w:space="0" w:color="auto"/>
        <w:right w:val="none" w:sz="0" w:space="0" w:color="auto"/>
      </w:divBdr>
    </w:div>
    <w:div w:id="2120369779">
      <w:bodyDiv w:val="1"/>
      <w:marLeft w:val="0"/>
      <w:marRight w:val="0"/>
      <w:marTop w:val="0"/>
      <w:marBottom w:val="0"/>
      <w:divBdr>
        <w:top w:val="none" w:sz="0" w:space="0" w:color="auto"/>
        <w:left w:val="none" w:sz="0" w:space="0" w:color="auto"/>
        <w:bottom w:val="none" w:sz="0" w:space="0" w:color="auto"/>
        <w:right w:val="none" w:sz="0" w:space="0" w:color="auto"/>
      </w:divBdr>
    </w:div>
    <w:div w:id="2121022113">
      <w:bodyDiv w:val="1"/>
      <w:marLeft w:val="0"/>
      <w:marRight w:val="0"/>
      <w:marTop w:val="0"/>
      <w:marBottom w:val="0"/>
      <w:divBdr>
        <w:top w:val="none" w:sz="0" w:space="0" w:color="auto"/>
        <w:left w:val="none" w:sz="0" w:space="0" w:color="auto"/>
        <w:bottom w:val="none" w:sz="0" w:space="0" w:color="auto"/>
        <w:right w:val="none" w:sz="0" w:space="0" w:color="auto"/>
      </w:divBdr>
    </w:div>
    <w:div w:id="2121022474">
      <w:bodyDiv w:val="1"/>
      <w:marLeft w:val="0"/>
      <w:marRight w:val="0"/>
      <w:marTop w:val="0"/>
      <w:marBottom w:val="0"/>
      <w:divBdr>
        <w:top w:val="none" w:sz="0" w:space="0" w:color="auto"/>
        <w:left w:val="none" w:sz="0" w:space="0" w:color="auto"/>
        <w:bottom w:val="none" w:sz="0" w:space="0" w:color="auto"/>
        <w:right w:val="none" w:sz="0" w:space="0" w:color="auto"/>
      </w:divBdr>
    </w:div>
    <w:div w:id="2121073107">
      <w:bodyDiv w:val="1"/>
      <w:marLeft w:val="0"/>
      <w:marRight w:val="0"/>
      <w:marTop w:val="0"/>
      <w:marBottom w:val="0"/>
      <w:divBdr>
        <w:top w:val="none" w:sz="0" w:space="0" w:color="auto"/>
        <w:left w:val="none" w:sz="0" w:space="0" w:color="auto"/>
        <w:bottom w:val="none" w:sz="0" w:space="0" w:color="auto"/>
        <w:right w:val="none" w:sz="0" w:space="0" w:color="auto"/>
      </w:divBdr>
    </w:div>
    <w:div w:id="2121099769">
      <w:bodyDiv w:val="1"/>
      <w:marLeft w:val="0"/>
      <w:marRight w:val="0"/>
      <w:marTop w:val="0"/>
      <w:marBottom w:val="0"/>
      <w:divBdr>
        <w:top w:val="none" w:sz="0" w:space="0" w:color="auto"/>
        <w:left w:val="none" w:sz="0" w:space="0" w:color="auto"/>
        <w:bottom w:val="none" w:sz="0" w:space="0" w:color="auto"/>
        <w:right w:val="none" w:sz="0" w:space="0" w:color="auto"/>
      </w:divBdr>
    </w:div>
    <w:div w:id="2121795075">
      <w:bodyDiv w:val="1"/>
      <w:marLeft w:val="0"/>
      <w:marRight w:val="0"/>
      <w:marTop w:val="0"/>
      <w:marBottom w:val="0"/>
      <w:divBdr>
        <w:top w:val="none" w:sz="0" w:space="0" w:color="auto"/>
        <w:left w:val="none" w:sz="0" w:space="0" w:color="auto"/>
        <w:bottom w:val="none" w:sz="0" w:space="0" w:color="auto"/>
        <w:right w:val="none" w:sz="0" w:space="0" w:color="auto"/>
      </w:divBdr>
    </w:div>
    <w:div w:id="2121993529">
      <w:bodyDiv w:val="1"/>
      <w:marLeft w:val="0"/>
      <w:marRight w:val="0"/>
      <w:marTop w:val="0"/>
      <w:marBottom w:val="0"/>
      <w:divBdr>
        <w:top w:val="none" w:sz="0" w:space="0" w:color="auto"/>
        <w:left w:val="none" w:sz="0" w:space="0" w:color="auto"/>
        <w:bottom w:val="none" w:sz="0" w:space="0" w:color="auto"/>
        <w:right w:val="none" w:sz="0" w:space="0" w:color="auto"/>
      </w:divBdr>
    </w:div>
    <w:div w:id="2122215426">
      <w:bodyDiv w:val="1"/>
      <w:marLeft w:val="0"/>
      <w:marRight w:val="0"/>
      <w:marTop w:val="0"/>
      <w:marBottom w:val="0"/>
      <w:divBdr>
        <w:top w:val="none" w:sz="0" w:space="0" w:color="auto"/>
        <w:left w:val="none" w:sz="0" w:space="0" w:color="auto"/>
        <w:bottom w:val="none" w:sz="0" w:space="0" w:color="auto"/>
        <w:right w:val="none" w:sz="0" w:space="0" w:color="auto"/>
      </w:divBdr>
    </w:div>
    <w:div w:id="2122845844">
      <w:bodyDiv w:val="1"/>
      <w:marLeft w:val="0"/>
      <w:marRight w:val="0"/>
      <w:marTop w:val="0"/>
      <w:marBottom w:val="0"/>
      <w:divBdr>
        <w:top w:val="none" w:sz="0" w:space="0" w:color="auto"/>
        <w:left w:val="none" w:sz="0" w:space="0" w:color="auto"/>
        <w:bottom w:val="none" w:sz="0" w:space="0" w:color="auto"/>
        <w:right w:val="none" w:sz="0" w:space="0" w:color="auto"/>
      </w:divBdr>
    </w:div>
    <w:div w:id="2122913551">
      <w:bodyDiv w:val="1"/>
      <w:marLeft w:val="0"/>
      <w:marRight w:val="0"/>
      <w:marTop w:val="0"/>
      <w:marBottom w:val="0"/>
      <w:divBdr>
        <w:top w:val="none" w:sz="0" w:space="0" w:color="auto"/>
        <w:left w:val="none" w:sz="0" w:space="0" w:color="auto"/>
        <w:bottom w:val="none" w:sz="0" w:space="0" w:color="auto"/>
        <w:right w:val="none" w:sz="0" w:space="0" w:color="auto"/>
      </w:divBdr>
    </w:div>
    <w:div w:id="2123962090">
      <w:bodyDiv w:val="1"/>
      <w:marLeft w:val="0"/>
      <w:marRight w:val="0"/>
      <w:marTop w:val="0"/>
      <w:marBottom w:val="0"/>
      <w:divBdr>
        <w:top w:val="none" w:sz="0" w:space="0" w:color="auto"/>
        <w:left w:val="none" w:sz="0" w:space="0" w:color="auto"/>
        <w:bottom w:val="none" w:sz="0" w:space="0" w:color="auto"/>
        <w:right w:val="none" w:sz="0" w:space="0" w:color="auto"/>
      </w:divBdr>
    </w:div>
    <w:div w:id="2124037690">
      <w:bodyDiv w:val="1"/>
      <w:marLeft w:val="0"/>
      <w:marRight w:val="0"/>
      <w:marTop w:val="0"/>
      <w:marBottom w:val="0"/>
      <w:divBdr>
        <w:top w:val="none" w:sz="0" w:space="0" w:color="auto"/>
        <w:left w:val="none" w:sz="0" w:space="0" w:color="auto"/>
        <w:bottom w:val="none" w:sz="0" w:space="0" w:color="auto"/>
        <w:right w:val="none" w:sz="0" w:space="0" w:color="auto"/>
      </w:divBdr>
    </w:div>
    <w:div w:id="2124690677">
      <w:bodyDiv w:val="1"/>
      <w:marLeft w:val="0"/>
      <w:marRight w:val="0"/>
      <w:marTop w:val="0"/>
      <w:marBottom w:val="0"/>
      <w:divBdr>
        <w:top w:val="none" w:sz="0" w:space="0" w:color="auto"/>
        <w:left w:val="none" w:sz="0" w:space="0" w:color="auto"/>
        <w:bottom w:val="none" w:sz="0" w:space="0" w:color="auto"/>
        <w:right w:val="none" w:sz="0" w:space="0" w:color="auto"/>
      </w:divBdr>
    </w:div>
    <w:div w:id="2125418919">
      <w:bodyDiv w:val="1"/>
      <w:marLeft w:val="0"/>
      <w:marRight w:val="0"/>
      <w:marTop w:val="0"/>
      <w:marBottom w:val="0"/>
      <w:divBdr>
        <w:top w:val="none" w:sz="0" w:space="0" w:color="auto"/>
        <w:left w:val="none" w:sz="0" w:space="0" w:color="auto"/>
        <w:bottom w:val="none" w:sz="0" w:space="0" w:color="auto"/>
        <w:right w:val="none" w:sz="0" w:space="0" w:color="auto"/>
      </w:divBdr>
    </w:div>
    <w:div w:id="2126071180">
      <w:bodyDiv w:val="1"/>
      <w:marLeft w:val="0"/>
      <w:marRight w:val="0"/>
      <w:marTop w:val="0"/>
      <w:marBottom w:val="0"/>
      <w:divBdr>
        <w:top w:val="none" w:sz="0" w:space="0" w:color="auto"/>
        <w:left w:val="none" w:sz="0" w:space="0" w:color="auto"/>
        <w:bottom w:val="none" w:sz="0" w:space="0" w:color="auto"/>
        <w:right w:val="none" w:sz="0" w:space="0" w:color="auto"/>
      </w:divBdr>
    </w:div>
    <w:div w:id="2126533198">
      <w:bodyDiv w:val="1"/>
      <w:marLeft w:val="0"/>
      <w:marRight w:val="0"/>
      <w:marTop w:val="0"/>
      <w:marBottom w:val="0"/>
      <w:divBdr>
        <w:top w:val="none" w:sz="0" w:space="0" w:color="auto"/>
        <w:left w:val="none" w:sz="0" w:space="0" w:color="auto"/>
        <w:bottom w:val="none" w:sz="0" w:space="0" w:color="auto"/>
        <w:right w:val="none" w:sz="0" w:space="0" w:color="auto"/>
      </w:divBdr>
    </w:div>
    <w:div w:id="2126539080">
      <w:bodyDiv w:val="1"/>
      <w:marLeft w:val="0"/>
      <w:marRight w:val="0"/>
      <w:marTop w:val="0"/>
      <w:marBottom w:val="0"/>
      <w:divBdr>
        <w:top w:val="none" w:sz="0" w:space="0" w:color="auto"/>
        <w:left w:val="none" w:sz="0" w:space="0" w:color="auto"/>
        <w:bottom w:val="none" w:sz="0" w:space="0" w:color="auto"/>
        <w:right w:val="none" w:sz="0" w:space="0" w:color="auto"/>
      </w:divBdr>
    </w:div>
    <w:div w:id="2126844601">
      <w:bodyDiv w:val="1"/>
      <w:marLeft w:val="0"/>
      <w:marRight w:val="0"/>
      <w:marTop w:val="0"/>
      <w:marBottom w:val="0"/>
      <w:divBdr>
        <w:top w:val="none" w:sz="0" w:space="0" w:color="auto"/>
        <w:left w:val="none" w:sz="0" w:space="0" w:color="auto"/>
        <w:bottom w:val="none" w:sz="0" w:space="0" w:color="auto"/>
        <w:right w:val="none" w:sz="0" w:space="0" w:color="auto"/>
      </w:divBdr>
    </w:div>
    <w:div w:id="2127573792">
      <w:bodyDiv w:val="1"/>
      <w:marLeft w:val="0"/>
      <w:marRight w:val="0"/>
      <w:marTop w:val="0"/>
      <w:marBottom w:val="0"/>
      <w:divBdr>
        <w:top w:val="none" w:sz="0" w:space="0" w:color="auto"/>
        <w:left w:val="none" w:sz="0" w:space="0" w:color="auto"/>
        <w:bottom w:val="none" w:sz="0" w:space="0" w:color="auto"/>
        <w:right w:val="none" w:sz="0" w:space="0" w:color="auto"/>
      </w:divBdr>
    </w:div>
    <w:div w:id="2127696371">
      <w:bodyDiv w:val="1"/>
      <w:marLeft w:val="0"/>
      <w:marRight w:val="0"/>
      <w:marTop w:val="0"/>
      <w:marBottom w:val="0"/>
      <w:divBdr>
        <w:top w:val="none" w:sz="0" w:space="0" w:color="auto"/>
        <w:left w:val="none" w:sz="0" w:space="0" w:color="auto"/>
        <w:bottom w:val="none" w:sz="0" w:space="0" w:color="auto"/>
        <w:right w:val="none" w:sz="0" w:space="0" w:color="auto"/>
      </w:divBdr>
    </w:div>
    <w:div w:id="2128310342">
      <w:bodyDiv w:val="1"/>
      <w:marLeft w:val="0"/>
      <w:marRight w:val="0"/>
      <w:marTop w:val="0"/>
      <w:marBottom w:val="0"/>
      <w:divBdr>
        <w:top w:val="none" w:sz="0" w:space="0" w:color="auto"/>
        <w:left w:val="none" w:sz="0" w:space="0" w:color="auto"/>
        <w:bottom w:val="none" w:sz="0" w:space="0" w:color="auto"/>
        <w:right w:val="none" w:sz="0" w:space="0" w:color="auto"/>
      </w:divBdr>
    </w:div>
    <w:div w:id="2128347939">
      <w:bodyDiv w:val="1"/>
      <w:marLeft w:val="0"/>
      <w:marRight w:val="0"/>
      <w:marTop w:val="0"/>
      <w:marBottom w:val="0"/>
      <w:divBdr>
        <w:top w:val="none" w:sz="0" w:space="0" w:color="auto"/>
        <w:left w:val="none" w:sz="0" w:space="0" w:color="auto"/>
        <w:bottom w:val="none" w:sz="0" w:space="0" w:color="auto"/>
        <w:right w:val="none" w:sz="0" w:space="0" w:color="auto"/>
      </w:divBdr>
    </w:div>
    <w:div w:id="2128348744">
      <w:bodyDiv w:val="1"/>
      <w:marLeft w:val="0"/>
      <w:marRight w:val="0"/>
      <w:marTop w:val="0"/>
      <w:marBottom w:val="0"/>
      <w:divBdr>
        <w:top w:val="none" w:sz="0" w:space="0" w:color="auto"/>
        <w:left w:val="none" w:sz="0" w:space="0" w:color="auto"/>
        <w:bottom w:val="none" w:sz="0" w:space="0" w:color="auto"/>
        <w:right w:val="none" w:sz="0" w:space="0" w:color="auto"/>
      </w:divBdr>
    </w:div>
    <w:div w:id="2128573833">
      <w:bodyDiv w:val="1"/>
      <w:marLeft w:val="0"/>
      <w:marRight w:val="0"/>
      <w:marTop w:val="0"/>
      <w:marBottom w:val="0"/>
      <w:divBdr>
        <w:top w:val="none" w:sz="0" w:space="0" w:color="auto"/>
        <w:left w:val="none" w:sz="0" w:space="0" w:color="auto"/>
        <w:bottom w:val="none" w:sz="0" w:space="0" w:color="auto"/>
        <w:right w:val="none" w:sz="0" w:space="0" w:color="auto"/>
      </w:divBdr>
    </w:div>
    <w:div w:id="2128624589">
      <w:bodyDiv w:val="1"/>
      <w:marLeft w:val="0"/>
      <w:marRight w:val="0"/>
      <w:marTop w:val="0"/>
      <w:marBottom w:val="0"/>
      <w:divBdr>
        <w:top w:val="none" w:sz="0" w:space="0" w:color="auto"/>
        <w:left w:val="none" w:sz="0" w:space="0" w:color="auto"/>
        <w:bottom w:val="none" w:sz="0" w:space="0" w:color="auto"/>
        <w:right w:val="none" w:sz="0" w:space="0" w:color="auto"/>
      </w:divBdr>
    </w:div>
    <w:div w:id="2128965177">
      <w:bodyDiv w:val="1"/>
      <w:marLeft w:val="0"/>
      <w:marRight w:val="0"/>
      <w:marTop w:val="0"/>
      <w:marBottom w:val="0"/>
      <w:divBdr>
        <w:top w:val="none" w:sz="0" w:space="0" w:color="auto"/>
        <w:left w:val="none" w:sz="0" w:space="0" w:color="auto"/>
        <w:bottom w:val="none" w:sz="0" w:space="0" w:color="auto"/>
        <w:right w:val="none" w:sz="0" w:space="0" w:color="auto"/>
      </w:divBdr>
    </w:div>
    <w:div w:id="2129084935">
      <w:bodyDiv w:val="1"/>
      <w:marLeft w:val="0"/>
      <w:marRight w:val="0"/>
      <w:marTop w:val="0"/>
      <w:marBottom w:val="0"/>
      <w:divBdr>
        <w:top w:val="none" w:sz="0" w:space="0" w:color="auto"/>
        <w:left w:val="none" w:sz="0" w:space="0" w:color="auto"/>
        <w:bottom w:val="none" w:sz="0" w:space="0" w:color="auto"/>
        <w:right w:val="none" w:sz="0" w:space="0" w:color="auto"/>
      </w:divBdr>
    </w:div>
    <w:div w:id="2129229930">
      <w:bodyDiv w:val="1"/>
      <w:marLeft w:val="0"/>
      <w:marRight w:val="0"/>
      <w:marTop w:val="0"/>
      <w:marBottom w:val="0"/>
      <w:divBdr>
        <w:top w:val="none" w:sz="0" w:space="0" w:color="auto"/>
        <w:left w:val="none" w:sz="0" w:space="0" w:color="auto"/>
        <w:bottom w:val="none" w:sz="0" w:space="0" w:color="auto"/>
        <w:right w:val="none" w:sz="0" w:space="0" w:color="auto"/>
      </w:divBdr>
    </w:div>
    <w:div w:id="2129349393">
      <w:bodyDiv w:val="1"/>
      <w:marLeft w:val="0"/>
      <w:marRight w:val="0"/>
      <w:marTop w:val="0"/>
      <w:marBottom w:val="0"/>
      <w:divBdr>
        <w:top w:val="none" w:sz="0" w:space="0" w:color="auto"/>
        <w:left w:val="none" w:sz="0" w:space="0" w:color="auto"/>
        <w:bottom w:val="none" w:sz="0" w:space="0" w:color="auto"/>
        <w:right w:val="none" w:sz="0" w:space="0" w:color="auto"/>
      </w:divBdr>
    </w:div>
    <w:div w:id="2129469970">
      <w:bodyDiv w:val="1"/>
      <w:marLeft w:val="0"/>
      <w:marRight w:val="0"/>
      <w:marTop w:val="0"/>
      <w:marBottom w:val="0"/>
      <w:divBdr>
        <w:top w:val="none" w:sz="0" w:space="0" w:color="auto"/>
        <w:left w:val="none" w:sz="0" w:space="0" w:color="auto"/>
        <w:bottom w:val="none" w:sz="0" w:space="0" w:color="auto"/>
        <w:right w:val="none" w:sz="0" w:space="0" w:color="auto"/>
      </w:divBdr>
    </w:div>
    <w:div w:id="2131246300">
      <w:bodyDiv w:val="1"/>
      <w:marLeft w:val="0"/>
      <w:marRight w:val="0"/>
      <w:marTop w:val="0"/>
      <w:marBottom w:val="0"/>
      <w:divBdr>
        <w:top w:val="none" w:sz="0" w:space="0" w:color="auto"/>
        <w:left w:val="none" w:sz="0" w:space="0" w:color="auto"/>
        <w:bottom w:val="none" w:sz="0" w:space="0" w:color="auto"/>
        <w:right w:val="none" w:sz="0" w:space="0" w:color="auto"/>
      </w:divBdr>
    </w:div>
    <w:div w:id="2131702990">
      <w:bodyDiv w:val="1"/>
      <w:marLeft w:val="0"/>
      <w:marRight w:val="0"/>
      <w:marTop w:val="0"/>
      <w:marBottom w:val="0"/>
      <w:divBdr>
        <w:top w:val="none" w:sz="0" w:space="0" w:color="auto"/>
        <w:left w:val="none" w:sz="0" w:space="0" w:color="auto"/>
        <w:bottom w:val="none" w:sz="0" w:space="0" w:color="auto"/>
        <w:right w:val="none" w:sz="0" w:space="0" w:color="auto"/>
      </w:divBdr>
    </w:div>
    <w:div w:id="2132280850">
      <w:bodyDiv w:val="1"/>
      <w:marLeft w:val="0"/>
      <w:marRight w:val="0"/>
      <w:marTop w:val="0"/>
      <w:marBottom w:val="0"/>
      <w:divBdr>
        <w:top w:val="none" w:sz="0" w:space="0" w:color="auto"/>
        <w:left w:val="none" w:sz="0" w:space="0" w:color="auto"/>
        <w:bottom w:val="none" w:sz="0" w:space="0" w:color="auto"/>
        <w:right w:val="none" w:sz="0" w:space="0" w:color="auto"/>
      </w:divBdr>
    </w:div>
    <w:div w:id="2132361256">
      <w:bodyDiv w:val="1"/>
      <w:marLeft w:val="0"/>
      <w:marRight w:val="0"/>
      <w:marTop w:val="0"/>
      <w:marBottom w:val="0"/>
      <w:divBdr>
        <w:top w:val="none" w:sz="0" w:space="0" w:color="auto"/>
        <w:left w:val="none" w:sz="0" w:space="0" w:color="auto"/>
        <w:bottom w:val="none" w:sz="0" w:space="0" w:color="auto"/>
        <w:right w:val="none" w:sz="0" w:space="0" w:color="auto"/>
      </w:divBdr>
    </w:div>
    <w:div w:id="2132432575">
      <w:bodyDiv w:val="1"/>
      <w:marLeft w:val="0"/>
      <w:marRight w:val="0"/>
      <w:marTop w:val="0"/>
      <w:marBottom w:val="0"/>
      <w:divBdr>
        <w:top w:val="none" w:sz="0" w:space="0" w:color="auto"/>
        <w:left w:val="none" w:sz="0" w:space="0" w:color="auto"/>
        <w:bottom w:val="none" w:sz="0" w:space="0" w:color="auto"/>
        <w:right w:val="none" w:sz="0" w:space="0" w:color="auto"/>
      </w:divBdr>
    </w:div>
    <w:div w:id="2132506560">
      <w:bodyDiv w:val="1"/>
      <w:marLeft w:val="0"/>
      <w:marRight w:val="0"/>
      <w:marTop w:val="0"/>
      <w:marBottom w:val="0"/>
      <w:divBdr>
        <w:top w:val="none" w:sz="0" w:space="0" w:color="auto"/>
        <w:left w:val="none" w:sz="0" w:space="0" w:color="auto"/>
        <w:bottom w:val="none" w:sz="0" w:space="0" w:color="auto"/>
        <w:right w:val="none" w:sz="0" w:space="0" w:color="auto"/>
      </w:divBdr>
    </w:div>
    <w:div w:id="2132627117">
      <w:bodyDiv w:val="1"/>
      <w:marLeft w:val="0"/>
      <w:marRight w:val="0"/>
      <w:marTop w:val="0"/>
      <w:marBottom w:val="0"/>
      <w:divBdr>
        <w:top w:val="none" w:sz="0" w:space="0" w:color="auto"/>
        <w:left w:val="none" w:sz="0" w:space="0" w:color="auto"/>
        <w:bottom w:val="none" w:sz="0" w:space="0" w:color="auto"/>
        <w:right w:val="none" w:sz="0" w:space="0" w:color="auto"/>
      </w:divBdr>
    </w:div>
    <w:div w:id="2134055770">
      <w:bodyDiv w:val="1"/>
      <w:marLeft w:val="0"/>
      <w:marRight w:val="0"/>
      <w:marTop w:val="0"/>
      <w:marBottom w:val="0"/>
      <w:divBdr>
        <w:top w:val="none" w:sz="0" w:space="0" w:color="auto"/>
        <w:left w:val="none" w:sz="0" w:space="0" w:color="auto"/>
        <w:bottom w:val="none" w:sz="0" w:space="0" w:color="auto"/>
        <w:right w:val="none" w:sz="0" w:space="0" w:color="auto"/>
      </w:divBdr>
    </w:div>
    <w:div w:id="2134709045">
      <w:bodyDiv w:val="1"/>
      <w:marLeft w:val="0"/>
      <w:marRight w:val="0"/>
      <w:marTop w:val="0"/>
      <w:marBottom w:val="0"/>
      <w:divBdr>
        <w:top w:val="none" w:sz="0" w:space="0" w:color="auto"/>
        <w:left w:val="none" w:sz="0" w:space="0" w:color="auto"/>
        <w:bottom w:val="none" w:sz="0" w:space="0" w:color="auto"/>
        <w:right w:val="none" w:sz="0" w:space="0" w:color="auto"/>
      </w:divBdr>
    </w:div>
    <w:div w:id="2134901239">
      <w:bodyDiv w:val="1"/>
      <w:marLeft w:val="0"/>
      <w:marRight w:val="0"/>
      <w:marTop w:val="0"/>
      <w:marBottom w:val="0"/>
      <w:divBdr>
        <w:top w:val="none" w:sz="0" w:space="0" w:color="auto"/>
        <w:left w:val="none" w:sz="0" w:space="0" w:color="auto"/>
        <w:bottom w:val="none" w:sz="0" w:space="0" w:color="auto"/>
        <w:right w:val="none" w:sz="0" w:space="0" w:color="auto"/>
      </w:divBdr>
    </w:div>
    <w:div w:id="2135059352">
      <w:bodyDiv w:val="1"/>
      <w:marLeft w:val="0"/>
      <w:marRight w:val="0"/>
      <w:marTop w:val="0"/>
      <w:marBottom w:val="0"/>
      <w:divBdr>
        <w:top w:val="none" w:sz="0" w:space="0" w:color="auto"/>
        <w:left w:val="none" w:sz="0" w:space="0" w:color="auto"/>
        <w:bottom w:val="none" w:sz="0" w:space="0" w:color="auto"/>
        <w:right w:val="none" w:sz="0" w:space="0" w:color="auto"/>
      </w:divBdr>
    </w:div>
    <w:div w:id="2135366767">
      <w:bodyDiv w:val="1"/>
      <w:marLeft w:val="0"/>
      <w:marRight w:val="0"/>
      <w:marTop w:val="0"/>
      <w:marBottom w:val="0"/>
      <w:divBdr>
        <w:top w:val="none" w:sz="0" w:space="0" w:color="auto"/>
        <w:left w:val="none" w:sz="0" w:space="0" w:color="auto"/>
        <w:bottom w:val="none" w:sz="0" w:space="0" w:color="auto"/>
        <w:right w:val="none" w:sz="0" w:space="0" w:color="auto"/>
      </w:divBdr>
    </w:div>
    <w:div w:id="2135561011">
      <w:bodyDiv w:val="1"/>
      <w:marLeft w:val="0"/>
      <w:marRight w:val="0"/>
      <w:marTop w:val="0"/>
      <w:marBottom w:val="0"/>
      <w:divBdr>
        <w:top w:val="none" w:sz="0" w:space="0" w:color="auto"/>
        <w:left w:val="none" w:sz="0" w:space="0" w:color="auto"/>
        <w:bottom w:val="none" w:sz="0" w:space="0" w:color="auto"/>
        <w:right w:val="none" w:sz="0" w:space="0" w:color="auto"/>
      </w:divBdr>
    </w:div>
    <w:div w:id="2135831767">
      <w:bodyDiv w:val="1"/>
      <w:marLeft w:val="0"/>
      <w:marRight w:val="0"/>
      <w:marTop w:val="0"/>
      <w:marBottom w:val="0"/>
      <w:divBdr>
        <w:top w:val="none" w:sz="0" w:space="0" w:color="auto"/>
        <w:left w:val="none" w:sz="0" w:space="0" w:color="auto"/>
        <w:bottom w:val="none" w:sz="0" w:space="0" w:color="auto"/>
        <w:right w:val="none" w:sz="0" w:space="0" w:color="auto"/>
      </w:divBdr>
    </w:div>
    <w:div w:id="2136017491">
      <w:bodyDiv w:val="1"/>
      <w:marLeft w:val="0"/>
      <w:marRight w:val="0"/>
      <w:marTop w:val="0"/>
      <w:marBottom w:val="0"/>
      <w:divBdr>
        <w:top w:val="none" w:sz="0" w:space="0" w:color="auto"/>
        <w:left w:val="none" w:sz="0" w:space="0" w:color="auto"/>
        <w:bottom w:val="none" w:sz="0" w:space="0" w:color="auto"/>
        <w:right w:val="none" w:sz="0" w:space="0" w:color="auto"/>
      </w:divBdr>
    </w:div>
    <w:div w:id="2136172762">
      <w:bodyDiv w:val="1"/>
      <w:marLeft w:val="0"/>
      <w:marRight w:val="0"/>
      <w:marTop w:val="0"/>
      <w:marBottom w:val="0"/>
      <w:divBdr>
        <w:top w:val="none" w:sz="0" w:space="0" w:color="auto"/>
        <w:left w:val="none" w:sz="0" w:space="0" w:color="auto"/>
        <w:bottom w:val="none" w:sz="0" w:space="0" w:color="auto"/>
        <w:right w:val="none" w:sz="0" w:space="0" w:color="auto"/>
      </w:divBdr>
    </w:div>
    <w:div w:id="2136829429">
      <w:bodyDiv w:val="1"/>
      <w:marLeft w:val="0"/>
      <w:marRight w:val="0"/>
      <w:marTop w:val="0"/>
      <w:marBottom w:val="0"/>
      <w:divBdr>
        <w:top w:val="none" w:sz="0" w:space="0" w:color="auto"/>
        <w:left w:val="none" w:sz="0" w:space="0" w:color="auto"/>
        <w:bottom w:val="none" w:sz="0" w:space="0" w:color="auto"/>
        <w:right w:val="none" w:sz="0" w:space="0" w:color="auto"/>
      </w:divBdr>
    </w:div>
    <w:div w:id="2136948584">
      <w:bodyDiv w:val="1"/>
      <w:marLeft w:val="0"/>
      <w:marRight w:val="0"/>
      <w:marTop w:val="0"/>
      <w:marBottom w:val="0"/>
      <w:divBdr>
        <w:top w:val="none" w:sz="0" w:space="0" w:color="auto"/>
        <w:left w:val="none" w:sz="0" w:space="0" w:color="auto"/>
        <w:bottom w:val="none" w:sz="0" w:space="0" w:color="auto"/>
        <w:right w:val="none" w:sz="0" w:space="0" w:color="auto"/>
      </w:divBdr>
    </w:div>
    <w:div w:id="2137750030">
      <w:bodyDiv w:val="1"/>
      <w:marLeft w:val="0"/>
      <w:marRight w:val="0"/>
      <w:marTop w:val="0"/>
      <w:marBottom w:val="0"/>
      <w:divBdr>
        <w:top w:val="none" w:sz="0" w:space="0" w:color="auto"/>
        <w:left w:val="none" w:sz="0" w:space="0" w:color="auto"/>
        <w:bottom w:val="none" w:sz="0" w:space="0" w:color="auto"/>
        <w:right w:val="none" w:sz="0" w:space="0" w:color="auto"/>
      </w:divBdr>
    </w:div>
    <w:div w:id="2137940301">
      <w:bodyDiv w:val="1"/>
      <w:marLeft w:val="0"/>
      <w:marRight w:val="0"/>
      <w:marTop w:val="0"/>
      <w:marBottom w:val="0"/>
      <w:divBdr>
        <w:top w:val="none" w:sz="0" w:space="0" w:color="auto"/>
        <w:left w:val="none" w:sz="0" w:space="0" w:color="auto"/>
        <w:bottom w:val="none" w:sz="0" w:space="0" w:color="auto"/>
        <w:right w:val="none" w:sz="0" w:space="0" w:color="auto"/>
      </w:divBdr>
    </w:div>
    <w:div w:id="2138139826">
      <w:bodyDiv w:val="1"/>
      <w:marLeft w:val="0"/>
      <w:marRight w:val="0"/>
      <w:marTop w:val="0"/>
      <w:marBottom w:val="0"/>
      <w:divBdr>
        <w:top w:val="none" w:sz="0" w:space="0" w:color="auto"/>
        <w:left w:val="none" w:sz="0" w:space="0" w:color="auto"/>
        <w:bottom w:val="none" w:sz="0" w:space="0" w:color="auto"/>
        <w:right w:val="none" w:sz="0" w:space="0" w:color="auto"/>
      </w:divBdr>
    </w:div>
    <w:div w:id="2138142579">
      <w:bodyDiv w:val="1"/>
      <w:marLeft w:val="0"/>
      <w:marRight w:val="0"/>
      <w:marTop w:val="0"/>
      <w:marBottom w:val="0"/>
      <w:divBdr>
        <w:top w:val="none" w:sz="0" w:space="0" w:color="auto"/>
        <w:left w:val="none" w:sz="0" w:space="0" w:color="auto"/>
        <w:bottom w:val="none" w:sz="0" w:space="0" w:color="auto"/>
        <w:right w:val="none" w:sz="0" w:space="0" w:color="auto"/>
      </w:divBdr>
    </w:div>
    <w:div w:id="2138178120">
      <w:bodyDiv w:val="1"/>
      <w:marLeft w:val="0"/>
      <w:marRight w:val="0"/>
      <w:marTop w:val="0"/>
      <w:marBottom w:val="0"/>
      <w:divBdr>
        <w:top w:val="none" w:sz="0" w:space="0" w:color="auto"/>
        <w:left w:val="none" w:sz="0" w:space="0" w:color="auto"/>
        <w:bottom w:val="none" w:sz="0" w:space="0" w:color="auto"/>
        <w:right w:val="none" w:sz="0" w:space="0" w:color="auto"/>
      </w:divBdr>
    </w:div>
    <w:div w:id="2138446079">
      <w:bodyDiv w:val="1"/>
      <w:marLeft w:val="0"/>
      <w:marRight w:val="0"/>
      <w:marTop w:val="0"/>
      <w:marBottom w:val="0"/>
      <w:divBdr>
        <w:top w:val="none" w:sz="0" w:space="0" w:color="auto"/>
        <w:left w:val="none" w:sz="0" w:space="0" w:color="auto"/>
        <w:bottom w:val="none" w:sz="0" w:space="0" w:color="auto"/>
        <w:right w:val="none" w:sz="0" w:space="0" w:color="auto"/>
      </w:divBdr>
    </w:div>
    <w:div w:id="2138722092">
      <w:bodyDiv w:val="1"/>
      <w:marLeft w:val="0"/>
      <w:marRight w:val="0"/>
      <w:marTop w:val="0"/>
      <w:marBottom w:val="0"/>
      <w:divBdr>
        <w:top w:val="none" w:sz="0" w:space="0" w:color="auto"/>
        <w:left w:val="none" w:sz="0" w:space="0" w:color="auto"/>
        <w:bottom w:val="none" w:sz="0" w:space="0" w:color="auto"/>
        <w:right w:val="none" w:sz="0" w:space="0" w:color="auto"/>
      </w:divBdr>
    </w:div>
    <w:div w:id="2138864943">
      <w:bodyDiv w:val="1"/>
      <w:marLeft w:val="0"/>
      <w:marRight w:val="0"/>
      <w:marTop w:val="0"/>
      <w:marBottom w:val="0"/>
      <w:divBdr>
        <w:top w:val="none" w:sz="0" w:space="0" w:color="auto"/>
        <w:left w:val="none" w:sz="0" w:space="0" w:color="auto"/>
        <w:bottom w:val="none" w:sz="0" w:space="0" w:color="auto"/>
        <w:right w:val="none" w:sz="0" w:space="0" w:color="auto"/>
      </w:divBdr>
    </w:div>
    <w:div w:id="2139837661">
      <w:bodyDiv w:val="1"/>
      <w:marLeft w:val="0"/>
      <w:marRight w:val="0"/>
      <w:marTop w:val="0"/>
      <w:marBottom w:val="0"/>
      <w:divBdr>
        <w:top w:val="none" w:sz="0" w:space="0" w:color="auto"/>
        <w:left w:val="none" w:sz="0" w:space="0" w:color="auto"/>
        <w:bottom w:val="none" w:sz="0" w:space="0" w:color="auto"/>
        <w:right w:val="none" w:sz="0" w:space="0" w:color="auto"/>
      </w:divBdr>
    </w:div>
    <w:div w:id="2141681457">
      <w:bodyDiv w:val="1"/>
      <w:marLeft w:val="0"/>
      <w:marRight w:val="0"/>
      <w:marTop w:val="0"/>
      <w:marBottom w:val="0"/>
      <w:divBdr>
        <w:top w:val="none" w:sz="0" w:space="0" w:color="auto"/>
        <w:left w:val="none" w:sz="0" w:space="0" w:color="auto"/>
        <w:bottom w:val="none" w:sz="0" w:space="0" w:color="auto"/>
        <w:right w:val="none" w:sz="0" w:space="0" w:color="auto"/>
      </w:divBdr>
    </w:div>
    <w:div w:id="2141721792">
      <w:bodyDiv w:val="1"/>
      <w:marLeft w:val="0"/>
      <w:marRight w:val="0"/>
      <w:marTop w:val="0"/>
      <w:marBottom w:val="0"/>
      <w:divBdr>
        <w:top w:val="none" w:sz="0" w:space="0" w:color="auto"/>
        <w:left w:val="none" w:sz="0" w:space="0" w:color="auto"/>
        <w:bottom w:val="none" w:sz="0" w:space="0" w:color="auto"/>
        <w:right w:val="none" w:sz="0" w:space="0" w:color="auto"/>
      </w:divBdr>
    </w:div>
    <w:div w:id="2141726208">
      <w:bodyDiv w:val="1"/>
      <w:marLeft w:val="0"/>
      <w:marRight w:val="0"/>
      <w:marTop w:val="0"/>
      <w:marBottom w:val="0"/>
      <w:divBdr>
        <w:top w:val="none" w:sz="0" w:space="0" w:color="auto"/>
        <w:left w:val="none" w:sz="0" w:space="0" w:color="auto"/>
        <w:bottom w:val="none" w:sz="0" w:space="0" w:color="auto"/>
        <w:right w:val="none" w:sz="0" w:space="0" w:color="auto"/>
      </w:divBdr>
    </w:div>
    <w:div w:id="2141875987">
      <w:bodyDiv w:val="1"/>
      <w:marLeft w:val="0"/>
      <w:marRight w:val="0"/>
      <w:marTop w:val="0"/>
      <w:marBottom w:val="0"/>
      <w:divBdr>
        <w:top w:val="none" w:sz="0" w:space="0" w:color="auto"/>
        <w:left w:val="none" w:sz="0" w:space="0" w:color="auto"/>
        <w:bottom w:val="none" w:sz="0" w:space="0" w:color="auto"/>
        <w:right w:val="none" w:sz="0" w:space="0" w:color="auto"/>
      </w:divBdr>
    </w:div>
    <w:div w:id="2142384662">
      <w:bodyDiv w:val="1"/>
      <w:marLeft w:val="0"/>
      <w:marRight w:val="0"/>
      <w:marTop w:val="0"/>
      <w:marBottom w:val="0"/>
      <w:divBdr>
        <w:top w:val="none" w:sz="0" w:space="0" w:color="auto"/>
        <w:left w:val="none" w:sz="0" w:space="0" w:color="auto"/>
        <w:bottom w:val="none" w:sz="0" w:space="0" w:color="auto"/>
        <w:right w:val="none" w:sz="0" w:space="0" w:color="auto"/>
      </w:divBdr>
    </w:div>
    <w:div w:id="2142962717">
      <w:bodyDiv w:val="1"/>
      <w:marLeft w:val="0"/>
      <w:marRight w:val="0"/>
      <w:marTop w:val="0"/>
      <w:marBottom w:val="0"/>
      <w:divBdr>
        <w:top w:val="none" w:sz="0" w:space="0" w:color="auto"/>
        <w:left w:val="none" w:sz="0" w:space="0" w:color="auto"/>
        <w:bottom w:val="none" w:sz="0" w:space="0" w:color="auto"/>
        <w:right w:val="none" w:sz="0" w:space="0" w:color="auto"/>
      </w:divBdr>
    </w:div>
    <w:div w:id="2143225299">
      <w:bodyDiv w:val="1"/>
      <w:marLeft w:val="0"/>
      <w:marRight w:val="0"/>
      <w:marTop w:val="0"/>
      <w:marBottom w:val="0"/>
      <w:divBdr>
        <w:top w:val="none" w:sz="0" w:space="0" w:color="auto"/>
        <w:left w:val="none" w:sz="0" w:space="0" w:color="auto"/>
        <w:bottom w:val="none" w:sz="0" w:space="0" w:color="auto"/>
        <w:right w:val="none" w:sz="0" w:space="0" w:color="auto"/>
      </w:divBdr>
    </w:div>
    <w:div w:id="2144032746">
      <w:bodyDiv w:val="1"/>
      <w:marLeft w:val="0"/>
      <w:marRight w:val="0"/>
      <w:marTop w:val="0"/>
      <w:marBottom w:val="0"/>
      <w:divBdr>
        <w:top w:val="none" w:sz="0" w:space="0" w:color="auto"/>
        <w:left w:val="none" w:sz="0" w:space="0" w:color="auto"/>
        <w:bottom w:val="none" w:sz="0" w:space="0" w:color="auto"/>
        <w:right w:val="none" w:sz="0" w:space="0" w:color="auto"/>
      </w:divBdr>
    </w:div>
    <w:div w:id="2144228635">
      <w:bodyDiv w:val="1"/>
      <w:marLeft w:val="0"/>
      <w:marRight w:val="0"/>
      <w:marTop w:val="0"/>
      <w:marBottom w:val="0"/>
      <w:divBdr>
        <w:top w:val="none" w:sz="0" w:space="0" w:color="auto"/>
        <w:left w:val="none" w:sz="0" w:space="0" w:color="auto"/>
        <w:bottom w:val="none" w:sz="0" w:space="0" w:color="auto"/>
        <w:right w:val="none" w:sz="0" w:space="0" w:color="auto"/>
      </w:divBdr>
    </w:div>
    <w:div w:id="2144347700">
      <w:bodyDiv w:val="1"/>
      <w:marLeft w:val="0"/>
      <w:marRight w:val="0"/>
      <w:marTop w:val="0"/>
      <w:marBottom w:val="0"/>
      <w:divBdr>
        <w:top w:val="none" w:sz="0" w:space="0" w:color="auto"/>
        <w:left w:val="none" w:sz="0" w:space="0" w:color="auto"/>
        <w:bottom w:val="none" w:sz="0" w:space="0" w:color="auto"/>
        <w:right w:val="none" w:sz="0" w:space="0" w:color="auto"/>
      </w:divBdr>
    </w:div>
    <w:div w:id="2144425588">
      <w:bodyDiv w:val="1"/>
      <w:marLeft w:val="0"/>
      <w:marRight w:val="0"/>
      <w:marTop w:val="0"/>
      <w:marBottom w:val="0"/>
      <w:divBdr>
        <w:top w:val="none" w:sz="0" w:space="0" w:color="auto"/>
        <w:left w:val="none" w:sz="0" w:space="0" w:color="auto"/>
        <w:bottom w:val="none" w:sz="0" w:space="0" w:color="auto"/>
        <w:right w:val="none" w:sz="0" w:space="0" w:color="auto"/>
      </w:divBdr>
    </w:div>
    <w:div w:id="2144884379">
      <w:bodyDiv w:val="1"/>
      <w:marLeft w:val="0"/>
      <w:marRight w:val="0"/>
      <w:marTop w:val="0"/>
      <w:marBottom w:val="0"/>
      <w:divBdr>
        <w:top w:val="none" w:sz="0" w:space="0" w:color="auto"/>
        <w:left w:val="none" w:sz="0" w:space="0" w:color="auto"/>
        <w:bottom w:val="none" w:sz="0" w:space="0" w:color="auto"/>
        <w:right w:val="none" w:sz="0" w:space="0" w:color="auto"/>
      </w:divBdr>
    </w:div>
    <w:div w:id="2144930081">
      <w:bodyDiv w:val="1"/>
      <w:marLeft w:val="0"/>
      <w:marRight w:val="0"/>
      <w:marTop w:val="0"/>
      <w:marBottom w:val="0"/>
      <w:divBdr>
        <w:top w:val="none" w:sz="0" w:space="0" w:color="auto"/>
        <w:left w:val="none" w:sz="0" w:space="0" w:color="auto"/>
        <w:bottom w:val="none" w:sz="0" w:space="0" w:color="auto"/>
        <w:right w:val="none" w:sz="0" w:space="0" w:color="auto"/>
      </w:divBdr>
    </w:div>
    <w:div w:id="2145076004">
      <w:bodyDiv w:val="1"/>
      <w:marLeft w:val="0"/>
      <w:marRight w:val="0"/>
      <w:marTop w:val="0"/>
      <w:marBottom w:val="0"/>
      <w:divBdr>
        <w:top w:val="none" w:sz="0" w:space="0" w:color="auto"/>
        <w:left w:val="none" w:sz="0" w:space="0" w:color="auto"/>
        <w:bottom w:val="none" w:sz="0" w:space="0" w:color="auto"/>
        <w:right w:val="none" w:sz="0" w:space="0" w:color="auto"/>
      </w:divBdr>
    </w:div>
    <w:div w:id="2145271745">
      <w:bodyDiv w:val="1"/>
      <w:marLeft w:val="0"/>
      <w:marRight w:val="0"/>
      <w:marTop w:val="0"/>
      <w:marBottom w:val="0"/>
      <w:divBdr>
        <w:top w:val="none" w:sz="0" w:space="0" w:color="auto"/>
        <w:left w:val="none" w:sz="0" w:space="0" w:color="auto"/>
        <w:bottom w:val="none" w:sz="0" w:space="0" w:color="auto"/>
        <w:right w:val="none" w:sz="0" w:space="0" w:color="auto"/>
      </w:divBdr>
    </w:div>
    <w:div w:id="2145611787">
      <w:bodyDiv w:val="1"/>
      <w:marLeft w:val="0"/>
      <w:marRight w:val="0"/>
      <w:marTop w:val="0"/>
      <w:marBottom w:val="0"/>
      <w:divBdr>
        <w:top w:val="none" w:sz="0" w:space="0" w:color="auto"/>
        <w:left w:val="none" w:sz="0" w:space="0" w:color="auto"/>
        <w:bottom w:val="none" w:sz="0" w:space="0" w:color="auto"/>
        <w:right w:val="none" w:sz="0" w:space="0" w:color="auto"/>
      </w:divBdr>
    </w:div>
    <w:div w:id="2146267398">
      <w:bodyDiv w:val="1"/>
      <w:marLeft w:val="0"/>
      <w:marRight w:val="0"/>
      <w:marTop w:val="0"/>
      <w:marBottom w:val="0"/>
      <w:divBdr>
        <w:top w:val="none" w:sz="0" w:space="0" w:color="auto"/>
        <w:left w:val="none" w:sz="0" w:space="0" w:color="auto"/>
        <w:bottom w:val="none" w:sz="0" w:space="0" w:color="auto"/>
        <w:right w:val="none" w:sz="0" w:space="0" w:color="auto"/>
      </w:divBdr>
    </w:div>
    <w:div w:id="2146313115">
      <w:bodyDiv w:val="1"/>
      <w:marLeft w:val="0"/>
      <w:marRight w:val="0"/>
      <w:marTop w:val="0"/>
      <w:marBottom w:val="0"/>
      <w:divBdr>
        <w:top w:val="none" w:sz="0" w:space="0" w:color="auto"/>
        <w:left w:val="none" w:sz="0" w:space="0" w:color="auto"/>
        <w:bottom w:val="none" w:sz="0" w:space="0" w:color="auto"/>
        <w:right w:val="none" w:sz="0" w:space="0" w:color="auto"/>
      </w:divBdr>
    </w:div>
    <w:div w:id="2147159237">
      <w:bodyDiv w:val="1"/>
      <w:marLeft w:val="0"/>
      <w:marRight w:val="0"/>
      <w:marTop w:val="0"/>
      <w:marBottom w:val="0"/>
      <w:divBdr>
        <w:top w:val="none" w:sz="0" w:space="0" w:color="auto"/>
        <w:left w:val="none" w:sz="0" w:space="0" w:color="auto"/>
        <w:bottom w:val="none" w:sz="0" w:space="0" w:color="auto"/>
        <w:right w:val="none" w:sz="0" w:space="0" w:color="auto"/>
      </w:divBdr>
    </w:div>
    <w:div w:id="2147233033">
      <w:bodyDiv w:val="1"/>
      <w:marLeft w:val="0"/>
      <w:marRight w:val="0"/>
      <w:marTop w:val="0"/>
      <w:marBottom w:val="0"/>
      <w:divBdr>
        <w:top w:val="none" w:sz="0" w:space="0" w:color="auto"/>
        <w:left w:val="none" w:sz="0" w:space="0" w:color="auto"/>
        <w:bottom w:val="none" w:sz="0" w:space="0" w:color="auto"/>
        <w:right w:val="none" w:sz="0" w:space="0" w:color="auto"/>
      </w:divBdr>
    </w:div>
    <w:div w:id="214723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chart" Target="charts/chart24.xml"/><Relationship Id="rId21" Type="http://schemas.openxmlformats.org/officeDocument/2006/relationships/header" Target="header2.xml"/><Relationship Id="rId34" Type="http://schemas.openxmlformats.org/officeDocument/2006/relationships/chart" Target="charts/chart19.xml"/><Relationship Id="rId42" Type="http://schemas.openxmlformats.org/officeDocument/2006/relationships/footer" Target="footer3.xml"/><Relationship Id="rId47" Type="http://schemas.openxmlformats.org/officeDocument/2006/relationships/image" Target="media/image4.emf"/><Relationship Id="rId50" Type="http://schemas.openxmlformats.org/officeDocument/2006/relationships/image" Target="media/image7.emf"/><Relationship Id="rId55" Type="http://schemas.openxmlformats.org/officeDocument/2006/relationships/image" Target="media/image11.emf"/><Relationship Id="rId63" Type="http://schemas.openxmlformats.org/officeDocument/2006/relationships/image" Target="media/image18.emf"/><Relationship Id="rId68" Type="http://schemas.openxmlformats.org/officeDocument/2006/relationships/footer" Target="footer8.xml"/><Relationship Id="rId76" Type="http://schemas.openxmlformats.org/officeDocument/2006/relationships/hyperlink" Target="https://www.canada.ca/en/revenue-agency/services/child-family-benefits/canada-child-benefit-overview/canada-child-benefit-we-calculate-your-ccb.html" TargetMode="External"/><Relationship Id="rId84" Type="http://schemas.openxmlformats.org/officeDocument/2006/relationships/image" Target="media/image30.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image" Target="media/image3.jpeg"/><Relationship Id="rId53" Type="http://schemas.openxmlformats.org/officeDocument/2006/relationships/image" Target="media/image9.emf"/><Relationship Id="rId58" Type="http://schemas.openxmlformats.org/officeDocument/2006/relationships/image" Target="media/image13.emf"/><Relationship Id="rId66" Type="http://schemas.openxmlformats.org/officeDocument/2006/relationships/image" Target="media/image21.emf"/><Relationship Id="rId74" Type="http://schemas.openxmlformats.org/officeDocument/2006/relationships/footer" Target="footer9.xml"/><Relationship Id="rId79" Type="http://schemas.openxmlformats.org/officeDocument/2006/relationships/image" Target="media/image26.emf"/><Relationship Id="rId87" Type="http://schemas.openxmlformats.org/officeDocument/2006/relationships/chart" Target="charts/chart33.xml"/><Relationship Id="rId5" Type="http://schemas.openxmlformats.org/officeDocument/2006/relationships/webSettings" Target="webSettings.xml"/><Relationship Id="rId61" Type="http://schemas.openxmlformats.org/officeDocument/2006/relationships/image" Target="media/image16.emf"/><Relationship Id="rId82" Type="http://schemas.openxmlformats.org/officeDocument/2006/relationships/chart" Target="charts/chart32.xml"/><Relationship Id="rId19" Type="http://schemas.openxmlformats.org/officeDocument/2006/relationships/chart" Target="charts/chart8.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hyperlink" Target="https://www.pregnancybirthbaby.org.au/family-tax-benefit-part-b" TargetMode="Externa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6.xml"/><Relationship Id="rId48" Type="http://schemas.openxmlformats.org/officeDocument/2006/relationships/image" Target="media/image5.emf"/><Relationship Id="rId56" Type="http://schemas.openxmlformats.org/officeDocument/2006/relationships/footer" Target="footer7.xml"/><Relationship Id="rId64" Type="http://schemas.openxmlformats.org/officeDocument/2006/relationships/image" Target="media/image19.emf"/><Relationship Id="rId69" Type="http://schemas.openxmlformats.org/officeDocument/2006/relationships/image" Target="media/image23.emf"/><Relationship Id="rId77" Type="http://schemas.openxmlformats.org/officeDocument/2006/relationships/chart" Target="charts/chart31.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chart" Target="charts/chart29.xml"/><Relationship Id="rId80" Type="http://schemas.openxmlformats.org/officeDocument/2006/relationships/image" Target="media/image27.emf"/><Relationship Id="rId85"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footer" Target="footer5.xml"/><Relationship Id="rId59" Type="http://schemas.openxmlformats.org/officeDocument/2006/relationships/image" Target="media/image14.emf"/><Relationship Id="rId67" Type="http://schemas.openxmlformats.org/officeDocument/2006/relationships/image" Target="media/image22.emf"/><Relationship Id="rId20" Type="http://schemas.openxmlformats.org/officeDocument/2006/relationships/chart" Target="charts/chart9.xml"/><Relationship Id="rId41" Type="http://schemas.openxmlformats.org/officeDocument/2006/relationships/image" Target="media/image2.png"/><Relationship Id="rId54" Type="http://schemas.openxmlformats.org/officeDocument/2006/relationships/image" Target="media/image10.emf"/><Relationship Id="rId62" Type="http://schemas.openxmlformats.org/officeDocument/2006/relationships/image" Target="media/image17.emf"/><Relationship Id="rId70" Type="http://schemas.openxmlformats.org/officeDocument/2006/relationships/chart" Target="charts/chart27.xml"/><Relationship Id="rId75" Type="http://schemas.openxmlformats.org/officeDocument/2006/relationships/chart" Target="charts/chart30.xml"/><Relationship Id="rId83" Type="http://schemas.openxmlformats.org/officeDocument/2006/relationships/image" Target="media/image29.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header" Target="header3.xml"/><Relationship Id="rId36" Type="http://schemas.openxmlformats.org/officeDocument/2006/relationships/chart" Target="charts/chart21.xml"/><Relationship Id="rId49" Type="http://schemas.openxmlformats.org/officeDocument/2006/relationships/image" Target="media/image6.emf"/><Relationship Id="rId57" Type="http://schemas.openxmlformats.org/officeDocument/2006/relationships/image" Target="media/image12.emf"/><Relationship Id="rId10" Type="http://schemas.openxmlformats.org/officeDocument/2006/relationships/header" Target="header1.xml"/><Relationship Id="rId31" Type="http://schemas.openxmlformats.org/officeDocument/2006/relationships/chart" Target="charts/chart16.xml"/><Relationship Id="rId44" Type="http://schemas.openxmlformats.org/officeDocument/2006/relationships/footer" Target="footer4.xml"/><Relationship Id="rId52" Type="http://schemas.openxmlformats.org/officeDocument/2006/relationships/image" Target="media/image8.emf"/><Relationship Id="rId60" Type="http://schemas.openxmlformats.org/officeDocument/2006/relationships/image" Target="media/image15.emf"/><Relationship Id="rId65" Type="http://schemas.openxmlformats.org/officeDocument/2006/relationships/image" Target="media/image20.emf"/><Relationship Id="rId73" Type="http://schemas.openxmlformats.org/officeDocument/2006/relationships/image" Target="media/image24.png"/><Relationship Id="rId78" Type="http://schemas.openxmlformats.org/officeDocument/2006/relationships/image" Target="media/image25.emf"/><Relationship Id="rId81" Type="http://schemas.openxmlformats.org/officeDocument/2006/relationships/image" Target="media/image28.emf"/><Relationship Id="rId86" Type="http://schemas.openxmlformats.org/officeDocument/2006/relationships/image" Target="media/image32.emf"/></Relationships>
</file>

<file path=word/_rels/footnotes.xml.rels><?xml version="1.0" encoding="UTF-8" standalone="yes"?>
<Relationships xmlns="http://schemas.openxmlformats.org/package/2006/relationships"><Relationship Id="rId3" Type="http://schemas.openxmlformats.org/officeDocument/2006/relationships/hyperlink" Target="https://minedu.fi/en/client-fees-ecec" TargetMode="External"/><Relationship Id="rId2" Type="http://schemas.openxmlformats.org/officeDocument/2006/relationships/hyperlink" Target="https://www.servicesaustralia.gov.au/individuals/topics/experiencing-exceptional-circumstances-parental-leave-pay/51463" TargetMode="External"/><Relationship Id="rId1" Type="http://schemas.openxmlformats.org/officeDocument/2006/relationships/hyperlink" Target="https://www.hdb.gov.sg/residential/renting-a-flat/renting-from-hdb/parenthood-provisional-housing-schemepphs" TargetMode="External"/><Relationship Id="rId4" Type="http://schemas.openxmlformats.org/officeDocument/2006/relationships/hyperlink" Target="https://www.msf.gov.sg/policies/Marriages/Pages/Finding-a-Partner.asp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Figures_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na\Desktop\62240do007_201706.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oleObject" Target="file:///C:\Users\u4244719\Downloads\parenting-and-fertility-trends-in-new-zealand-2018%20(1).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Literature\Parental%20leave\Parental%20leave%20figures%20and%20tabl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1" Type="http://schemas.openxmlformats.org/officeDocument/2006/relationships/oleObject" Target="file:///\\cassfile01.anu.edu.au\cass\RSSS\DEMO\Project%20Groups\Fertility%20Policy\Figures_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4244719\Downloads\PF2-2-Use-childbirth-leave.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Figures_Ester.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3.xml"/></Relationships>
</file>

<file path=word/charts/_rels/chart21.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Literature\Childcare\PF3_4_Childcare_support.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2" Type="http://schemas.openxmlformats.org/officeDocument/2006/relationships/oleObject" Target="file:///\\cassfile01.anu.edu.au\cass\RSSS\DEMO\Project%20Groups\Fertility%20Policy\Figures_data.xlsx" TargetMode="External"/><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PF3_2_Enrolment_childcare_preschool.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Anna\Desktop\44020do001_201706.xls"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Figures_Ester.xlsx"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3%20SURVEY%20section\Fertility%20intentions%20and%20population%20views%20-%20Results.xlsx" TargetMode="External"/><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SURVEY%20section\Fertility%20intentions%20and%20population%20views%20-%20Results.xlsx" TargetMode="External"/><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3%20SURVEY%20section\mlogit.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Figures_dat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assfile01.anu.edu.au\cass\RSSS\DEMO\Project%20Groups\Fertility%20Policy\3%20SURVEY%20section\mlogit.xlsx" TargetMode="External"/><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3" Type="http://schemas.openxmlformats.org/officeDocument/2006/relationships/oleObject" Target="file:///\\var\folders\v2\mgcgt1wx31z09w2mg6q_k3jw0000gn\T\com.microsoft.Outlook\Outlook%20Temp\placebo%20tests%20highlighted%5b1%5d.xlsx" TargetMode="External"/><Relationship Id="rId2" Type="http://schemas.microsoft.com/office/2011/relationships/chartColorStyle" Target="colors29.xml"/><Relationship Id="rId1" Type="http://schemas.microsoft.com/office/2011/relationships/chartStyle" Target="style29.xml"/></Relationships>
</file>

<file path=word/charts/_rels/chart33.xml.rels><?xml version="1.0" encoding="UTF-8" standalone="yes"?>
<Relationships xmlns="http://schemas.openxmlformats.org/package/2006/relationships"><Relationship Id="rId3" Type="http://schemas.openxmlformats.org/officeDocument/2006/relationships/oleObject" Target="file:///\\var\folders\v2\mgcgt1wx31z09w2mg6q_k3jw0000gn\T\com.microsoft.Outlook\Outlook%20Temp\placebo%20tests%20highlighted%5b1%5d.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049275391340975E-2"/>
          <c:y val="0.11264993509468907"/>
          <c:w val="0.94536726495895163"/>
          <c:h val="0.81689216917662566"/>
        </c:manualLayout>
      </c:layout>
      <c:barChart>
        <c:barDir val="col"/>
        <c:grouping val="clustered"/>
        <c:varyColors val="0"/>
        <c:ser>
          <c:idx val="0"/>
          <c:order val="0"/>
          <c:tx>
            <c:strRef>
              <c:f>'F1'!$R$3</c:f>
              <c:strCache>
                <c:ptCount val="1"/>
                <c:pt idx="0">
                  <c:v>TFR</c:v>
                </c:pt>
              </c:strCache>
            </c:strRef>
          </c:tx>
          <c:spPr>
            <a:no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5FEB-40DC-B097-92D957BCAFE9}"/>
                </c:ext>
              </c:extLst>
            </c:dLbl>
            <c:dLbl>
              <c:idx val="2"/>
              <c:delete val="1"/>
              <c:extLst>
                <c:ext xmlns:c15="http://schemas.microsoft.com/office/drawing/2012/chart" uri="{CE6537A1-D6FC-4f65-9D91-7224C49458BB}"/>
                <c:ext xmlns:c16="http://schemas.microsoft.com/office/drawing/2014/chart" uri="{C3380CC4-5D6E-409C-BE32-E72D297353CC}">
                  <c16:uniqueId val="{0000000B-5FEB-40DC-B097-92D957BCAFE9}"/>
                </c:ext>
              </c:extLst>
            </c:dLbl>
            <c:dLbl>
              <c:idx val="3"/>
              <c:delete val="1"/>
              <c:extLst>
                <c:ext xmlns:c15="http://schemas.microsoft.com/office/drawing/2012/chart" uri="{CE6537A1-D6FC-4f65-9D91-7224C49458BB}"/>
                <c:ext xmlns:c16="http://schemas.microsoft.com/office/drawing/2014/chart" uri="{C3380CC4-5D6E-409C-BE32-E72D297353CC}">
                  <c16:uniqueId val="{00000009-5FEB-40DC-B097-92D957BCAFE9}"/>
                </c:ext>
              </c:extLst>
            </c:dLbl>
            <c:dLbl>
              <c:idx val="4"/>
              <c:delete val="1"/>
              <c:extLst>
                <c:ext xmlns:c15="http://schemas.microsoft.com/office/drawing/2012/chart" uri="{CE6537A1-D6FC-4f65-9D91-7224C49458BB}"/>
                <c:ext xmlns:c16="http://schemas.microsoft.com/office/drawing/2014/chart" uri="{C3380CC4-5D6E-409C-BE32-E72D297353CC}">
                  <c16:uniqueId val="{0000000E-5FEB-40DC-B097-92D957BCAFE9}"/>
                </c:ext>
              </c:extLst>
            </c:dLbl>
            <c:dLbl>
              <c:idx val="5"/>
              <c:delete val="1"/>
              <c:extLst>
                <c:ext xmlns:c15="http://schemas.microsoft.com/office/drawing/2012/chart" uri="{CE6537A1-D6FC-4f65-9D91-7224C49458BB}"/>
                <c:ext xmlns:c16="http://schemas.microsoft.com/office/drawing/2014/chart" uri="{C3380CC4-5D6E-409C-BE32-E72D297353CC}">
                  <c16:uniqueId val="{0000000D-5FEB-40DC-B097-92D957BCAFE9}"/>
                </c:ext>
              </c:extLst>
            </c:dLbl>
            <c:dLbl>
              <c:idx val="6"/>
              <c:delete val="1"/>
              <c:extLst>
                <c:ext xmlns:c15="http://schemas.microsoft.com/office/drawing/2012/chart" uri="{CE6537A1-D6FC-4f65-9D91-7224C49458BB}"/>
                <c:ext xmlns:c16="http://schemas.microsoft.com/office/drawing/2014/chart" uri="{C3380CC4-5D6E-409C-BE32-E72D297353CC}">
                  <c16:uniqueId val="{0000000A-5FEB-40DC-B097-92D957BCAFE9}"/>
                </c:ext>
              </c:extLst>
            </c:dLbl>
            <c:dLbl>
              <c:idx val="7"/>
              <c:delete val="1"/>
              <c:extLst>
                <c:ext xmlns:c15="http://schemas.microsoft.com/office/drawing/2012/chart" uri="{CE6537A1-D6FC-4f65-9D91-7224C49458BB}"/>
                <c:ext xmlns:c16="http://schemas.microsoft.com/office/drawing/2014/chart" uri="{C3380CC4-5D6E-409C-BE32-E72D297353CC}">
                  <c16:uniqueId val="{0000000F-5FEB-40DC-B097-92D957BCAFE9}"/>
                </c:ext>
              </c:extLst>
            </c:dLbl>
            <c:dLbl>
              <c:idx val="8"/>
              <c:delete val="1"/>
              <c:extLst>
                <c:ext xmlns:c15="http://schemas.microsoft.com/office/drawing/2012/chart" uri="{CE6537A1-D6FC-4f65-9D91-7224C49458BB}"/>
                <c:ext xmlns:c16="http://schemas.microsoft.com/office/drawing/2014/chart" uri="{C3380CC4-5D6E-409C-BE32-E72D297353CC}">
                  <c16:uniqueId val="{0000000C-5FEB-40DC-B097-92D957BCAFE9}"/>
                </c:ext>
              </c:extLst>
            </c:dLbl>
            <c:dLbl>
              <c:idx val="9"/>
              <c:delete val="1"/>
              <c:extLst>
                <c:ext xmlns:c15="http://schemas.microsoft.com/office/drawing/2012/chart" uri="{CE6537A1-D6FC-4f65-9D91-7224C49458BB}"/>
                <c:ext xmlns:c16="http://schemas.microsoft.com/office/drawing/2014/chart" uri="{C3380CC4-5D6E-409C-BE32-E72D297353CC}">
                  <c16:uniqueId val="{00000012-5FEB-40DC-B097-92D957BCAFE9}"/>
                </c:ext>
              </c:extLst>
            </c:dLbl>
            <c:dLbl>
              <c:idx val="10"/>
              <c:delete val="1"/>
              <c:extLst>
                <c:ext xmlns:c15="http://schemas.microsoft.com/office/drawing/2012/chart" uri="{CE6537A1-D6FC-4f65-9D91-7224C49458BB}"/>
                <c:ext xmlns:c16="http://schemas.microsoft.com/office/drawing/2014/chart" uri="{C3380CC4-5D6E-409C-BE32-E72D297353CC}">
                  <c16:uniqueId val="{00000011-5FEB-40DC-B097-92D957BCAFE9}"/>
                </c:ext>
              </c:extLst>
            </c:dLbl>
            <c:dLbl>
              <c:idx val="11"/>
              <c:layout>
                <c:manualLayout>
                  <c:x val="-2.2158209616662972E-3"/>
                  <c:y val="-2.1804306350504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FEB-40DC-B097-92D957BCAFE9}"/>
                </c:ext>
              </c:extLst>
            </c:dLbl>
            <c:dLbl>
              <c:idx val="12"/>
              <c:delete val="1"/>
              <c:extLst>
                <c:ext xmlns:c15="http://schemas.microsoft.com/office/drawing/2012/chart" uri="{CE6537A1-D6FC-4f65-9D91-7224C49458BB}"/>
                <c:ext xmlns:c16="http://schemas.microsoft.com/office/drawing/2014/chart" uri="{C3380CC4-5D6E-409C-BE32-E72D297353CC}">
                  <c16:uniqueId val="{00000013-5FEB-40DC-B097-92D957BCAFE9}"/>
                </c:ext>
              </c:extLst>
            </c:dLbl>
            <c:dLbl>
              <c:idx val="13"/>
              <c:delete val="1"/>
              <c:extLst>
                <c:ext xmlns:c15="http://schemas.microsoft.com/office/drawing/2012/chart" uri="{CE6537A1-D6FC-4f65-9D91-7224C49458BB}"/>
                <c:ext xmlns:c16="http://schemas.microsoft.com/office/drawing/2014/chart" uri="{C3380CC4-5D6E-409C-BE32-E72D297353CC}">
                  <c16:uniqueId val="{00000036-5FEB-40DC-B097-92D957BCAFE9}"/>
                </c:ext>
              </c:extLst>
            </c:dLbl>
            <c:dLbl>
              <c:idx val="14"/>
              <c:delete val="1"/>
              <c:extLst>
                <c:ext xmlns:c15="http://schemas.microsoft.com/office/drawing/2012/chart" uri="{CE6537A1-D6FC-4f65-9D91-7224C49458BB}"/>
                <c:ext xmlns:c16="http://schemas.microsoft.com/office/drawing/2014/chart" uri="{C3380CC4-5D6E-409C-BE32-E72D297353CC}">
                  <c16:uniqueId val="{0000001A-5FEB-40DC-B097-92D957BCAFE9}"/>
                </c:ext>
              </c:extLst>
            </c:dLbl>
            <c:dLbl>
              <c:idx val="15"/>
              <c:delete val="1"/>
              <c:extLst>
                <c:ext xmlns:c15="http://schemas.microsoft.com/office/drawing/2012/chart" uri="{CE6537A1-D6FC-4f65-9D91-7224C49458BB}"/>
                <c:ext xmlns:c16="http://schemas.microsoft.com/office/drawing/2014/chart" uri="{C3380CC4-5D6E-409C-BE32-E72D297353CC}">
                  <c16:uniqueId val="{00000019-5FEB-40DC-B097-92D957BCAFE9}"/>
                </c:ext>
              </c:extLst>
            </c:dLbl>
            <c:dLbl>
              <c:idx val="16"/>
              <c:delete val="1"/>
              <c:extLst>
                <c:ext xmlns:c15="http://schemas.microsoft.com/office/drawing/2012/chart" uri="{CE6537A1-D6FC-4f65-9D91-7224C49458BB}"/>
                <c:ext xmlns:c16="http://schemas.microsoft.com/office/drawing/2014/chart" uri="{C3380CC4-5D6E-409C-BE32-E72D297353CC}">
                  <c16:uniqueId val="{00000037-5FEB-40DC-B097-92D957BCAFE9}"/>
                </c:ext>
              </c:extLst>
            </c:dLbl>
            <c:dLbl>
              <c:idx val="17"/>
              <c:delete val="1"/>
              <c:extLst>
                <c:ext xmlns:c15="http://schemas.microsoft.com/office/drawing/2012/chart" uri="{CE6537A1-D6FC-4f65-9D91-7224C49458BB}"/>
                <c:ext xmlns:c16="http://schemas.microsoft.com/office/drawing/2014/chart" uri="{C3380CC4-5D6E-409C-BE32-E72D297353CC}">
                  <c16:uniqueId val="{00000027-5FEB-40DC-B097-92D957BCAFE9}"/>
                </c:ext>
              </c:extLst>
            </c:dLbl>
            <c:dLbl>
              <c:idx val="18"/>
              <c:delete val="1"/>
              <c:extLst>
                <c:ext xmlns:c15="http://schemas.microsoft.com/office/drawing/2012/chart" uri="{CE6537A1-D6FC-4f65-9D91-7224C49458BB}"/>
                <c:ext xmlns:c16="http://schemas.microsoft.com/office/drawing/2014/chart" uri="{C3380CC4-5D6E-409C-BE32-E72D297353CC}">
                  <c16:uniqueId val="{00000026-5FEB-40DC-B097-92D957BCAFE9}"/>
                </c:ext>
              </c:extLst>
            </c:dLbl>
            <c:dLbl>
              <c:idx val="19"/>
              <c:delete val="1"/>
              <c:extLst>
                <c:ext xmlns:c15="http://schemas.microsoft.com/office/drawing/2012/chart" uri="{CE6537A1-D6FC-4f65-9D91-7224C49458BB}"/>
                <c:ext xmlns:c16="http://schemas.microsoft.com/office/drawing/2014/chart" uri="{C3380CC4-5D6E-409C-BE32-E72D297353CC}">
                  <c16:uniqueId val="{00000018-5FEB-40DC-B097-92D957BCAFE9}"/>
                </c:ext>
              </c:extLst>
            </c:dLbl>
            <c:dLbl>
              <c:idx val="20"/>
              <c:delete val="1"/>
              <c:extLst>
                <c:ext xmlns:c15="http://schemas.microsoft.com/office/drawing/2012/chart" uri="{CE6537A1-D6FC-4f65-9D91-7224C49458BB}"/>
                <c:ext xmlns:c16="http://schemas.microsoft.com/office/drawing/2014/chart" uri="{C3380CC4-5D6E-409C-BE32-E72D297353CC}">
                  <c16:uniqueId val="{0000001B-5FEB-40DC-B097-92D957BCAFE9}"/>
                </c:ext>
              </c:extLst>
            </c:dLbl>
            <c:dLbl>
              <c:idx val="21"/>
              <c:delete val="1"/>
              <c:extLst>
                <c:ext xmlns:c15="http://schemas.microsoft.com/office/drawing/2012/chart" uri="{CE6537A1-D6FC-4f65-9D91-7224C49458BB}"/>
                <c:ext xmlns:c16="http://schemas.microsoft.com/office/drawing/2014/chart" uri="{C3380CC4-5D6E-409C-BE32-E72D297353CC}">
                  <c16:uniqueId val="{00000025-5FEB-40DC-B097-92D957BCAFE9}"/>
                </c:ext>
              </c:extLst>
            </c:dLbl>
            <c:dLbl>
              <c:idx val="22"/>
              <c:delete val="1"/>
              <c:extLst>
                <c:ext xmlns:c15="http://schemas.microsoft.com/office/drawing/2012/chart" uri="{CE6537A1-D6FC-4f65-9D91-7224C49458BB}"/>
                <c:ext xmlns:c16="http://schemas.microsoft.com/office/drawing/2014/chart" uri="{C3380CC4-5D6E-409C-BE32-E72D297353CC}">
                  <c16:uniqueId val="{00000017-5FEB-40DC-B097-92D957BCAFE9}"/>
                </c:ext>
              </c:extLst>
            </c:dLbl>
            <c:dLbl>
              <c:idx val="23"/>
              <c:delete val="1"/>
              <c:extLst>
                <c:ext xmlns:c15="http://schemas.microsoft.com/office/drawing/2012/chart" uri="{CE6537A1-D6FC-4f65-9D91-7224C49458BB}"/>
                <c:ext xmlns:c16="http://schemas.microsoft.com/office/drawing/2014/chart" uri="{C3380CC4-5D6E-409C-BE32-E72D297353CC}">
                  <c16:uniqueId val="{00000038-5FEB-40DC-B097-92D957BCAFE9}"/>
                </c:ext>
              </c:extLst>
            </c:dLbl>
            <c:dLbl>
              <c:idx val="24"/>
              <c:delete val="1"/>
              <c:extLst>
                <c:ext xmlns:c15="http://schemas.microsoft.com/office/drawing/2012/chart" uri="{CE6537A1-D6FC-4f65-9D91-7224C49458BB}"/>
                <c:ext xmlns:c16="http://schemas.microsoft.com/office/drawing/2014/chart" uri="{C3380CC4-5D6E-409C-BE32-E72D297353CC}">
                  <c16:uniqueId val="{0000001C-5FEB-40DC-B097-92D957BCAFE9}"/>
                </c:ext>
              </c:extLst>
            </c:dLbl>
            <c:dLbl>
              <c:idx val="25"/>
              <c:delete val="1"/>
              <c:extLst>
                <c:ext xmlns:c15="http://schemas.microsoft.com/office/drawing/2012/chart" uri="{CE6537A1-D6FC-4f65-9D91-7224C49458BB}"/>
                <c:ext xmlns:c16="http://schemas.microsoft.com/office/drawing/2014/chart" uri="{C3380CC4-5D6E-409C-BE32-E72D297353CC}">
                  <c16:uniqueId val="{00000016-5FEB-40DC-B097-92D957BCAFE9}"/>
                </c:ext>
              </c:extLst>
            </c:dLbl>
            <c:dLbl>
              <c:idx val="26"/>
              <c:delete val="1"/>
              <c:extLst>
                <c:ext xmlns:c15="http://schemas.microsoft.com/office/drawing/2012/chart" uri="{CE6537A1-D6FC-4f65-9D91-7224C49458BB}"/>
                <c:ext xmlns:c16="http://schemas.microsoft.com/office/drawing/2014/chart" uri="{C3380CC4-5D6E-409C-BE32-E72D297353CC}">
                  <c16:uniqueId val="{00000015-5FEB-40DC-B097-92D957BCAFE9}"/>
                </c:ext>
              </c:extLst>
            </c:dLbl>
            <c:dLbl>
              <c:idx val="27"/>
              <c:delete val="1"/>
              <c:extLst>
                <c:ext xmlns:c15="http://schemas.microsoft.com/office/drawing/2012/chart" uri="{CE6537A1-D6FC-4f65-9D91-7224C49458BB}"/>
                <c:ext xmlns:c16="http://schemas.microsoft.com/office/drawing/2014/chart" uri="{C3380CC4-5D6E-409C-BE32-E72D297353CC}">
                  <c16:uniqueId val="{00000039-5FEB-40DC-B097-92D957BCAFE9}"/>
                </c:ext>
              </c:extLst>
            </c:dLbl>
            <c:dLbl>
              <c:idx val="28"/>
              <c:delete val="1"/>
              <c:extLst>
                <c:ext xmlns:c15="http://schemas.microsoft.com/office/drawing/2012/chart" uri="{CE6537A1-D6FC-4f65-9D91-7224C49458BB}"/>
                <c:ext xmlns:c16="http://schemas.microsoft.com/office/drawing/2014/chart" uri="{C3380CC4-5D6E-409C-BE32-E72D297353CC}">
                  <c16:uniqueId val="{00000024-5FEB-40DC-B097-92D957BCAFE9}"/>
                </c:ext>
              </c:extLst>
            </c:dLbl>
            <c:dLbl>
              <c:idx val="29"/>
              <c:delete val="1"/>
              <c:extLst>
                <c:ext xmlns:c15="http://schemas.microsoft.com/office/drawing/2012/chart" uri="{CE6537A1-D6FC-4f65-9D91-7224C49458BB}"/>
                <c:ext xmlns:c16="http://schemas.microsoft.com/office/drawing/2014/chart" uri="{C3380CC4-5D6E-409C-BE32-E72D297353CC}">
                  <c16:uniqueId val="{00000028-5FEB-40DC-B097-92D957BCAFE9}"/>
                </c:ext>
              </c:extLst>
            </c:dLbl>
            <c:dLbl>
              <c:idx val="30"/>
              <c:delete val="1"/>
              <c:extLst>
                <c:ext xmlns:c15="http://schemas.microsoft.com/office/drawing/2012/chart" uri="{CE6537A1-D6FC-4f65-9D91-7224C49458BB}"/>
                <c:ext xmlns:c16="http://schemas.microsoft.com/office/drawing/2014/chart" uri="{C3380CC4-5D6E-409C-BE32-E72D297353CC}">
                  <c16:uniqueId val="{00000001-5FEB-40DC-B097-92D957BCAFE9}"/>
                </c:ext>
              </c:extLst>
            </c:dLbl>
            <c:dLbl>
              <c:idx val="31"/>
              <c:delete val="1"/>
              <c:extLst>
                <c:ext xmlns:c15="http://schemas.microsoft.com/office/drawing/2012/chart" uri="{CE6537A1-D6FC-4f65-9D91-7224C49458BB}"/>
                <c:ext xmlns:c16="http://schemas.microsoft.com/office/drawing/2014/chart" uri="{C3380CC4-5D6E-409C-BE32-E72D297353CC}">
                  <c16:uniqueId val="{0000001D-5FEB-40DC-B097-92D957BCAFE9}"/>
                </c:ext>
              </c:extLst>
            </c:dLbl>
            <c:dLbl>
              <c:idx val="32"/>
              <c:delete val="1"/>
              <c:extLst>
                <c:ext xmlns:c15="http://schemas.microsoft.com/office/drawing/2012/chart" uri="{CE6537A1-D6FC-4f65-9D91-7224C49458BB}"/>
                <c:ext xmlns:c16="http://schemas.microsoft.com/office/drawing/2014/chart" uri="{C3380CC4-5D6E-409C-BE32-E72D297353CC}">
                  <c16:uniqueId val="{0000003A-5FEB-40DC-B097-92D957BCAFE9}"/>
                </c:ext>
              </c:extLst>
            </c:dLbl>
            <c:dLbl>
              <c:idx val="33"/>
              <c:delete val="1"/>
              <c:extLst>
                <c:ext xmlns:c15="http://schemas.microsoft.com/office/drawing/2012/chart" uri="{CE6537A1-D6FC-4f65-9D91-7224C49458BB}"/>
                <c:ext xmlns:c16="http://schemas.microsoft.com/office/drawing/2014/chart" uri="{C3380CC4-5D6E-409C-BE32-E72D297353CC}">
                  <c16:uniqueId val="{00000029-5FEB-40DC-B097-92D957BCAFE9}"/>
                </c:ext>
              </c:extLst>
            </c:dLbl>
            <c:dLbl>
              <c:idx val="34"/>
              <c:delete val="1"/>
              <c:extLst>
                <c:ext xmlns:c15="http://schemas.microsoft.com/office/drawing/2012/chart" uri="{CE6537A1-D6FC-4f65-9D91-7224C49458BB}"/>
                <c:ext xmlns:c16="http://schemas.microsoft.com/office/drawing/2014/chart" uri="{C3380CC4-5D6E-409C-BE32-E72D297353CC}">
                  <c16:uniqueId val="{00000023-5FEB-40DC-B097-92D957BCAFE9}"/>
                </c:ext>
              </c:extLst>
            </c:dLbl>
            <c:dLbl>
              <c:idx val="35"/>
              <c:delete val="1"/>
              <c:extLst>
                <c:ext xmlns:c15="http://schemas.microsoft.com/office/drawing/2012/chart" uri="{CE6537A1-D6FC-4f65-9D91-7224C49458BB}"/>
                <c:ext xmlns:c16="http://schemas.microsoft.com/office/drawing/2014/chart" uri="{C3380CC4-5D6E-409C-BE32-E72D297353CC}">
                  <c16:uniqueId val="{00000034-5FEB-40DC-B097-92D957BCAFE9}"/>
                </c:ext>
              </c:extLst>
            </c:dLbl>
            <c:dLbl>
              <c:idx val="36"/>
              <c:delete val="1"/>
              <c:extLst>
                <c:ext xmlns:c15="http://schemas.microsoft.com/office/drawing/2012/chart" uri="{CE6537A1-D6FC-4f65-9D91-7224C49458BB}"/>
                <c:ext xmlns:c16="http://schemas.microsoft.com/office/drawing/2014/chart" uri="{C3380CC4-5D6E-409C-BE32-E72D297353CC}">
                  <c16:uniqueId val="{0000001E-5FEB-40DC-B097-92D957BCAFE9}"/>
                </c:ext>
              </c:extLst>
            </c:dLbl>
            <c:dLbl>
              <c:idx val="37"/>
              <c:delete val="1"/>
              <c:extLst>
                <c:ext xmlns:c15="http://schemas.microsoft.com/office/drawing/2012/chart" uri="{CE6537A1-D6FC-4f65-9D91-7224C49458BB}"/>
                <c:ext xmlns:c16="http://schemas.microsoft.com/office/drawing/2014/chart" uri="{C3380CC4-5D6E-409C-BE32-E72D297353CC}">
                  <c16:uniqueId val="{0000002A-5FEB-40DC-B097-92D957BCAFE9}"/>
                </c:ext>
              </c:extLst>
            </c:dLbl>
            <c:dLbl>
              <c:idx val="38"/>
              <c:delete val="1"/>
              <c:extLst>
                <c:ext xmlns:c15="http://schemas.microsoft.com/office/drawing/2012/chart" uri="{CE6537A1-D6FC-4f65-9D91-7224C49458BB}"/>
                <c:ext xmlns:c16="http://schemas.microsoft.com/office/drawing/2014/chart" uri="{C3380CC4-5D6E-409C-BE32-E72D297353CC}">
                  <c16:uniqueId val="{00000033-5FEB-40DC-B097-92D957BCAFE9}"/>
                </c:ext>
              </c:extLst>
            </c:dLbl>
            <c:dLbl>
              <c:idx val="39"/>
              <c:delete val="1"/>
              <c:extLst>
                <c:ext xmlns:c15="http://schemas.microsoft.com/office/drawing/2012/chart" uri="{CE6537A1-D6FC-4f65-9D91-7224C49458BB}"/>
                <c:ext xmlns:c16="http://schemas.microsoft.com/office/drawing/2014/chart" uri="{C3380CC4-5D6E-409C-BE32-E72D297353CC}">
                  <c16:uniqueId val="{00000022-5FEB-40DC-B097-92D957BCAFE9}"/>
                </c:ext>
              </c:extLst>
            </c:dLbl>
            <c:dLbl>
              <c:idx val="40"/>
              <c:delete val="1"/>
              <c:extLst>
                <c:ext xmlns:c15="http://schemas.microsoft.com/office/drawing/2012/chart" uri="{CE6537A1-D6FC-4f65-9D91-7224C49458BB}"/>
                <c:ext xmlns:c16="http://schemas.microsoft.com/office/drawing/2014/chart" uri="{C3380CC4-5D6E-409C-BE32-E72D297353CC}">
                  <c16:uniqueId val="{00000035-5FEB-40DC-B097-92D957BCAFE9}"/>
                </c:ext>
              </c:extLst>
            </c:dLbl>
            <c:dLbl>
              <c:idx val="41"/>
              <c:delete val="1"/>
              <c:extLst>
                <c:ext xmlns:c15="http://schemas.microsoft.com/office/drawing/2012/chart" uri="{CE6537A1-D6FC-4f65-9D91-7224C49458BB}"/>
                <c:ext xmlns:c16="http://schemas.microsoft.com/office/drawing/2014/chart" uri="{C3380CC4-5D6E-409C-BE32-E72D297353CC}">
                  <c16:uniqueId val="{00000021-5FEB-40DC-B097-92D957BCAFE9}"/>
                </c:ext>
              </c:extLst>
            </c:dLbl>
            <c:dLbl>
              <c:idx val="42"/>
              <c:delete val="1"/>
              <c:extLst>
                <c:ext xmlns:c15="http://schemas.microsoft.com/office/drawing/2012/chart" uri="{CE6537A1-D6FC-4f65-9D91-7224C49458BB}"/>
                <c:ext xmlns:c16="http://schemas.microsoft.com/office/drawing/2014/chart" uri="{C3380CC4-5D6E-409C-BE32-E72D297353CC}">
                  <c16:uniqueId val="{00000032-5FEB-40DC-B097-92D957BCAFE9}"/>
                </c:ext>
              </c:extLst>
            </c:dLbl>
            <c:dLbl>
              <c:idx val="43"/>
              <c:delete val="1"/>
              <c:extLst>
                <c:ext xmlns:c15="http://schemas.microsoft.com/office/drawing/2012/chart" uri="{CE6537A1-D6FC-4f65-9D91-7224C49458BB}"/>
                <c:ext xmlns:c16="http://schemas.microsoft.com/office/drawing/2014/chart" uri="{C3380CC4-5D6E-409C-BE32-E72D297353CC}">
                  <c16:uniqueId val="{0000002B-5FEB-40DC-B097-92D957BCAFE9}"/>
                </c:ext>
              </c:extLst>
            </c:dLbl>
            <c:dLbl>
              <c:idx val="44"/>
              <c:delete val="1"/>
              <c:extLst>
                <c:ext xmlns:c15="http://schemas.microsoft.com/office/drawing/2012/chart" uri="{CE6537A1-D6FC-4f65-9D91-7224C49458BB}"/>
                <c:ext xmlns:c16="http://schemas.microsoft.com/office/drawing/2014/chart" uri="{C3380CC4-5D6E-409C-BE32-E72D297353CC}">
                  <c16:uniqueId val="{0000001F-5FEB-40DC-B097-92D957BCAFE9}"/>
                </c:ext>
              </c:extLst>
            </c:dLbl>
            <c:dLbl>
              <c:idx val="45"/>
              <c:delete val="1"/>
              <c:extLst>
                <c:ext xmlns:c15="http://schemas.microsoft.com/office/drawing/2012/chart" uri="{CE6537A1-D6FC-4f65-9D91-7224C49458BB}"/>
                <c:ext xmlns:c16="http://schemas.microsoft.com/office/drawing/2014/chart" uri="{C3380CC4-5D6E-409C-BE32-E72D297353CC}">
                  <c16:uniqueId val="{0000003B-5FEB-40DC-B097-92D957BCAFE9}"/>
                </c:ext>
              </c:extLst>
            </c:dLbl>
            <c:dLbl>
              <c:idx val="46"/>
              <c:delete val="1"/>
              <c:extLst>
                <c:ext xmlns:c15="http://schemas.microsoft.com/office/drawing/2012/chart" uri="{CE6537A1-D6FC-4f65-9D91-7224C49458BB}"/>
                <c:ext xmlns:c16="http://schemas.microsoft.com/office/drawing/2014/chart" uri="{C3380CC4-5D6E-409C-BE32-E72D297353CC}">
                  <c16:uniqueId val="{00000020-5FEB-40DC-B097-92D957BCAFE9}"/>
                </c:ext>
              </c:extLst>
            </c:dLbl>
            <c:dLbl>
              <c:idx val="47"/>
              <c:delete val="1"/>
              <c:extLst>
                <c:ext xmlns:c15="http://schemas.microsoft.com/office/drawing/2012/chart" uri="{CE6537A1-D6FC-4f65-9D91-7224C49458BB}"/>
                <c:ext xmlns:c16="http://schemas.microsoft.com/office/drawing/2014/chart" uri="{C3380CC4-5D6E-409C-BE32-E72D297353CC}">
                  <c16:uniqueId val="{00000030-5FEB-40DC-B097-92D957BCAFE9}"/>
                </c:ext>
              </c:extLst>
            </c:dLbl>
            <c:dLbl>
              <c:idx val="48"/>
              <c:layout>
                <c:manualLayout>
                  <c:x val="4.4316419233325945E-3"/>
                  <c:y val="-4.3608612701008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FEB-40DC-B097-92D957BCAFE9}"/>
                </c:ext>
              </c:extLst>
            </c:dLbl>
            <c:dLbl>
              <c:idx val="49"/>
              <c:delete val="1"/>
              <c:extLst>
                <c:ext xmlns:c15="http://schemas.microsoft.com/office/drawing/2012/chart" uri="{CE6537A1-D6FC-4f65-9D91-7224C49458BB}"/>
                <c:ext xmlns:c16="http://schemas.microsoft.com/office/drawing/2014/chart" uri="{C3380CC4-5D6E-409C-BE32-E72D297353CC}">
                  <c16:uniqueId val="{0000002E-5FEB-40DC-B097-92D957BCAFE9}"/>
                </c:ext>
              </c:extLst>
            </c:dLbl>
            <c:dLbl>
              <c:idx val="50"/>
              <c:delete val="1"/>
              <c:extLst>
                <c:ext xmlns:c15="http://schemas.microsoft.com/office/drawing/2012/chart" uri="{CE6537A1-D6FC-4f65-9D91-7224C49458BB}"/>
                <c:ext xmlns:c16="http://schemas.microsoft.com/office/drawing/2014/chart" uri="{C3380CC4-5D6E-409C-BE32-E72D297353CC}">
                  <c16:uniqueId val="{0000002D-5FEB-40DC-B097-92D957BCAFE9}"/>
                </c:ext>
              </c:extLst>
            </c:dLbl>
            <c:dLbl>
              <c:idx val="51"/>
              <c:delete val="1"/>
              <c:extLst>
                <c:ext xmlns:c15="http://schemas.microsoft.com/office/drawing/2012/chart" uri="{CE6537A1-D6FC-4f65-9D91-7224C49458BB}"/>
                <c:ext xmlns:c16="http://schemas.microsoft.com/office/drawing/2014/chart" uri="{C3380CC4-5D6E-409C-BE32-E72D297353CC}">
                  <c16:uniqueId val="{0000002C-5FEB-40DC-B097-92D957BCAFE9}"/>
                </c:ext>
              </c:extLst>
            </c:dLbl>
            <c:dLbl>
              <c:idx val="52"/>
              <c:delete val="1"/>
              <c:extLst>
                <c:ext xmlns:c15="http://schemas.microsoft.com/office/drawing/2012/chart" uri="{CE6537A1-D6FC-4f65-9D91-7224C49458BB}"/>
                <c:ext xmlns:c16="http://schemas.microsoft.com/office/drawing/2014/chart" uri="{C3380CC4-5D6E-409C-BE32-E72D297353CC}">
                  <c16:uniqueId val="{00000014-5FEB-40DC-B097-92D957BCAFE9}"/>
                </c:ext>
              </c:extLst>
            </c:dLbl>
            <c:dLbl>
              <c:idx val="53"/>
              <c:delete val="1"/>
              <c:extLst>
                <c:ext xmlns:c15="http://schemas.microsoft.com/office/drawing/2012/chart" uri="{CE6537A1-D6FC-4f65-9D91-7224C49458BB}"/>
                <c:ext xmlns:c16="http://schemas.microsoft.com/office/drawing/2014/chart" uri="{C3380CC4-5D6E-409C-BE32-E72D297353CC}">
                  <c16:uniqueId val="{00000031-5FEB-40DC-B097-92D957BCAFE9}"/>
                </c:ext>
              </c:extLst>
            </c:dLbl>
            <c:dLbl>
              <c:idx val="54"/>
              <c:delete val="1"/>
              <c:extLst>
                <c:ext xmlns:c15="http://schemas.microsoft.com/office/drawing/2012/chart" uri="{CE6537A1-D6FC-4f65-9D91-7224C49458BB}"/>
                <c:ext xmlns:c16="http://schemas.microsoft.com/office/drawing/2014/chart" uri="{C3380CC4-5D6E-409C-BE32-E72D297353CC}">
                  <c16:uniqueId val="{00000005-5FEB-40DC-B097-92D957BCAFE9}"/>
                </c:ext>
              </c:extLst>
            </c:dLbl>
            <c:dLbl>
              <c:idx val="55"/>
              <c:delete val="1"/>
              <c:extLst>
                <c:ext xmlns:c15="http://schemas.microsoft.com/office/drawing/2012/chart" uri="{CE6537A1-D6FC-4f65-9D91-7224C49458BB}"/>
                <c:ext xmlns:c16="http://schemas.microsoft.com/office/drawing/2014/chart" uri="{C3380CC4-5D6E-409C-BE32-E72D297353CC}">
                  <c16:uniqueId val="{00000002-5FEB-40DC-B097-92D957BCAFE9}"/>
                </c:ext>
              </c:extLst>
            </c:dLbl>
            <c:dLbl>
              <c:idx val="56"/>
              <c:delete val="1"/>
              <c:extLst>
                <c:ext xmlns:c15="http://schemas.microsoft.com/office/drawing/2012/chart" uri="{CE6537A1-D6FC-4f65-9D91-7224C49458BB}"/>
                <c:ext xmlns:c16="http://schemas.microsoft.com/office/drawing/2014/chart" uri="{C3380CC4-5D6E-409C-BE32-E72D297353CC}">
                  <c16:uniqueId val="{00000003-5FEB-40DC-B097-92D957BCAFE9}"/>
                </c:ext>
              </c:extLst>
            </c:dLbl>
            <c:dLbl>
              <c:idx val="57"/>
              <c:delete val="1"/>
              <c:extLst>
                <c:ext xmlns:c15="http://schemas.microsoft.com/office/drawing/2012/chart" uri="{CE6537A1-D6FC-4f65-9D91-7224C49458BB}"/>
                <c:ext xmlns:c16="http://schemas.microsoft.com/office/drawing/2014/chart" uri="{C3380CC4-5D6E-409C-BE32-E72D297353CC}">
                  <c16:uniqueId val="{00000004-5FEB-40DC-B097-92D957BCAFE9}"/>
                </c:ext>
              </c:extLst>
            </c:dLbl>
            <c:dLbl>
              <c:idx val="58"/>
              <c:delete val="1"/>
              <c:extLst>
                <c:ext xmlns:c15="http://schemas.microsoft.com/office/drawing/2012/chart" uri="{CE6537A1-D6FC-4f65-9D91-7224C49458BB}"/>
                <c:ext xmlns:c16="http://schemas.microsoft.com/office/drawing/2014/chart" uri="{C3380CC4-5D6E-409C-BE32-E72D297353CC}">
                  <c16:uniqueId val="{00000007-5FEB-40DC-B097-92D957BCAFE9}"/>
                </c:ext>
              </c:extLst>
            </c:dLbl>
            <c:dLbl>
              <c:idx val="59"/>
              <c:delete val="1"/>
              <c:extLst>
                <c:ext xmlns:c15="http://schemas.microsoft.com/office/drawing/2012/chart" uri="{CE6537A1-D6FC-4f65-9D91-7224C49458BB}"/>
                <c:ext xmlns:c16="http://schemas.microsoft.com/office/drawing/2014/chart" uri="{C3380CC4-5D6E-409C-BE32-E72D297353CC}">
                  <c16:uniqueId val="{00000006-5FEB-40DC-B097-92D957BCAF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minus"/>
            <c:errValType val="percentage"/>
            <c:noEndCap val="1"/>
            <c:val val="100"/>
            <c:spPr>
              <a:noFill/>
              <a:ln w="6350" cap="flat" cmpd="sng" algn="ctr">
                <a:solidFill>
                  <a:schemeClr val="accent2"/>
                </a:solidFill>
                <a:round/>
                <a:headEnd type="oval" w="med" len="med"/>
              </a:ln>
              <a:effectLst/>
            </c:spPr>
          </c:errBars>
          <c:cat>
            <c:numRef>
              <c:f>'F1'!$Q$4:$Q$64</c:f>
              <c:numCache>
                <c:formatCode>General</c:formatCode>
                <c:ptCount val="61"/>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60">
                  <c:v>2020</c:v>
                </c:pt>
              </c:numCache>
            </c:numRef>
          </c:cat>
          <c:val>
            <c:numRef>
              <c:f>'F1'!$R$4:$R$64</c:f>
              <c:numCache>
                <c:formatCode>0.00</c:formatCode>
                <c:ptCount val="61"/>
                <c:pt idx="0">
                  <c:v>3.4736700000000003</c:v>
                </c:pt>
                <c:pt idx="1">
                  <c:v>3.5612600000000008</c:v>
                </c:pt>
                <c:pt idx="2">
                  <c:v>3.4567199999999998</c:v>
                </c:pt>
                <c:pt idx="3">
                  <c:v>3.3617599999999999</c:v>
                </c:pt>
                <c:pt idx="4">
                  <c:v>3.1774499999999999</c:v>
                </c:pt>
                <c:pt idx="5">
                  <c:v>2.9914099999999997</c:v>
                </c:pt>
                <c:pt idx="6">
                  <c:v>2.887830000000001</c:v>
                </c:pt>
                <c:pt idx="7">
                  <c:v>2.8623300000000005</c:v>
                </c:pt>
                <c:pt idx="8">
                  <c:v>2.8979000000000004</c:v>
                </c:pt>
                <c:pt idx="9">
                  <c:v>2.8877999999999995</c:v>
                </c:pt>
                <c:pt idx="10">
                  <c:v>2.8550299999999993</c:v>
                </c:pt>
                <c:pt idx="11">
                  <c:v>2.854200000000001</c:v>
                </c:pt>
                <c:pt idx="12">
                  <c:v>2.6519100000000009</c:v>
                </c:pt>
                <c:pt idx="13">
                  <c:v>2.4081599999999992</c:v>
                </c:pt>
                <c:pt idx="14">
                  <c:v>2.3122799999999994</c:v>
                </c:pt>
                <c:pt idx="15">
                  <c:v>2.1462199999999996</c:v>
                </c:pt>
                <c:pt idx="16">
                  <c:v>2.0581099999999997</c:v>
                </c:pt>
                <c:pt idx="17">
                  <c:v>2.0054199999999995</c:v>
                </c:pt>
                <c:pt idx="18">
                  <c:v>1.9479599999999995</c:v>
                </c:pt>
                <c:pt idx="19">
                  <c:v>1.9053199999999997</c:v>
                </c:pt>
                <c:pt idx="20">
                  <c:v>1.8902099999999995</c:v>
                </c:pt>
                <c:pt idx="21">
                  <c:v>1.9335099999999998</c:v>
                </c:pt>
                <c:pt idx="22">
                  <c:v>1.92875</c:v>
                </c:pt>
                <c:pt idx="23">
                  <c:v>1.92448</c:v>
                </c:pt>
                <c:pt idx="24">
                  <c:v>1.8758299999999999</c:v>
                </c:pt>
                <c:pt idx="25">
                  <c:v>1.8897200000000001</c:v>
                </c:pt>
                <c:pt idx="26">
                  <c:v>1.86721</c:v>
                </c:pt>
                <c:pt idx="27">
                  <c:v>1.8439099999999995</c:v>
                </c:pt>
                <c:pt idx="28">
                  <c:v>1.82999</c:v>
                </c:pt>
                <c:pt idx="29">
                  <c:v>1.8340499999999995</c:v>
                </c:pt>
                <c:pt idx="30">
                  <c:v>1.8973099999999998</c:v>
                </c:pt>
                <c:pt idx="31">
                  <c:v>1.8468200000000001</c:v>
                </c:pt>
                <c:pt idx="32">
                  <c:v>1.8861299999999999</c:v>
                </c:pt>
                <c:pt idx="33">
                  <c:v>1.8576300000000001</c:v>
                </c:pt>
                <c:pt idx="34">
                  <c:v>1.8395600000000001</c:v>
                </c:pt>
                <c:pt idx="35">
                  <c:v>1.81979</c:v>
                </c:pt>
                <c:pt idx="36">
                  <c:v>1.7942599999999997</c:v>
                </c:pt>
                <c:pt idx="37">
                  <c:v>1.7730799999999998</c:v>
                </c:pt>
                <c:pt idx="38">
                  <c:v>1.7578268646340598</c:v>
                </c:pt>
                <c:pt idx="39">
                  <c:v>1.7487411235980352</c:v>
                </c:pt>
                <c:pt idx="40">
                  <c:v>1.7452412442264567</c:v>
                </c:pt>
                <c:pt idx="41">
                  <c:v>1.7420622911908232</c:v>
                </c:pt>
                <c:pt idx="42">
                  <c:v>1.7676457913816519</c:v>
                </c:pt>
                <c:pt idx="43">
                  <c:v>1.7618253621366711</c:v>
                </c:pt>
                <c:pt idx="44">
                  <c:v>1.7801137671804912</c:v>
                </c:pt>
                <c:pt idx="45">
                  <c:v>1.8433871954306966</c:v>
                </c:pt>
                <c:pt idx="46">
                  <c:v>1.8714975527568307</c:v>
                </c:pt>
                <c:pt idx="47">
                  <c:v>1.992031727546516</c:v>
                </c:pt>
                <c:pt idx="48">
                  <c:v>2.0215035025383878</c:v>
                </c:pt>
                <c:pt idx="49">
                  <c:v>1.9683319253434866</c:v>
                </c:pt>
                <c:pt idx="50">
                  <c:v>1.9521421958239549</c:v>
                </c:pt>
                <c:pt idx="51">
                  <c:v>1.9154518410398347</c:v>
                </c:pt>
                <c:pt idx="52">
                  <c:v>1.9277859606039334</c:v>
                </c:pt>
                <c:pt idx="53">
                  <c:v>1.8894828471650678</c:v>
                </c:pt>
                <c:pt idx="54">
                  <c:v>1.7942695741043635</c:v>
                </c:pt>
                <c:pt idx="55">
                  <c:v>1.7949104743570556</c:v>
                </c:pt>
                <c:pt idx="56">
                  <c:v>1.7908037810835353</c:v>
                </c:pt>
                <c:pt idx="57">
                  <c:v>1.74086226763206</c:v>
                </c:pt>
                <c:pt idx="58">
                  <c:v>1.74</c:v>
                </c:pt>
                <c:pt idx="59">
                  <c:v>1.657</c:v>
                </c:pt>
                <c:pt idx="60" formatCode="General">
                  <c:v>1.58</c:v>
                </c:pt>
              </c:numCache>
            </c:numRef>
          </c:val>
          <c:extLst>
            <c:ext xmlns:c16="http://schemas.microsoft.com/office/drawing/2014/chart" uri="{C3380CC4-5D6E-409C-BE32-E72D297353CC}">
              <c16:uniqueId val="{00000000-5FEB-40DC-B097-92D957BCAFE9}"/>
            </c:ext>
          </c:extLst>
        </c:ser>
        <c:dLbls>
          <c:showLegendKey val="0"/>
          <c:showVal val="0"/>
          <c:showCatName val="0"/>
          <c:showSerName val="0"/>
          <c:showPercent val="0"/>
          <c:showBubbleSize val="0"/>
        </c:dLbls>
        <c:gapWidth val="219"/>
        <c:overlap val="-27"/>
        <c:axId val="390016104"/>
        <c:axId val="390018400"/>
      </c:barChart>
      <c:catAx>
        <c:axId val="39001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018400"/>
        <c:crosses val="autoZero"/>
        <c:auto val="1"/>
        <c:lblAlgn val="ctr"/>
        <c:lblOffset val="100"/>
        <c:noMultiLvlLbl val="0"/>
      </c:catAx>
      <c:valAx>
        <c:axId val="390018400"/>
        <c:scaling>
          <c:orientation val="minMax"/>
          <c:max val="3.7"/>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016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7.1'!$A$10</c:f>
              <c:strCache>
                <c:ptCount val="1"/>
                <c:pt idx="0">
                  <c:v>Full-time workers</c:v>
                </c:pt>
              </c:strCache>
            </c:strRef>
          </c:tx>
          <c:spPr>
            <a:solidFill>
              <a:schemeClr val="accent1"/>
            </a:solidFill>
            <a:ln>
              <a:noFill/>
            </a:ln>
            <a:effectLst/>
          </c:spPr>
          <c:invertIfNegative val="0"/>
          <c:cat>
            <c:strRef>
              <c:f>'Table 7.1'!$B$6:$D$6</c:f>
              <c:strCache>
                <c:ptCount val="3"/>
                <c:pt idx="0">
                  <c:v>Youngest child aged 0–4 years</c:v>
                </c:pt>
                <c:pt idx="1">
                  <c:v>Youngest child aged 5–9 years</c:v>
                </c:pt>
                <c:pt idx="2">
                  <c:v>Youngest child aged 10–14 years</c:v>
                </c:pt>
              </c:strCache>
            </c:strRef>
          </c:cat>
          <c:val>
            <c:numRef>
              <c:f>'Table 7.1'!$F$68:$F$70</c:f>
              <c:numCache>
                <c:formatCode>0</c:formatCode>
                <c:ptCount val="3"/>
                <c:pt idx="0">
                  <c:v>22.787738577212259</c:v>
                </c:pt>
                <c:pt idx="1">
                  <c:v>37.314439946018894</c:v>
                </c:pt>
                <c:pt idx="2">
                  <c:v>39.897821476768854</c:v>
                </c:pt>
              </c:numCache>
            </c:numRef>
          </c:val>
          <c:extLst>
            <c:ext xmlns:c16="http://schemas.microsoft.com/office/drawing/2014/chart" uri="{C3380CC4-5D6E-409C-BE32-E72D297353CC}">
              <c16:uniqueId val="{00000000-EFC0-4434-B619-9623836E9771}"/>
            </c:ext>
          </c:extLst>
        </c:ser>
        <c:ser>
          <c:idx val="1"/>
          <c:order val="1"/>
          <c:tx>
            <c:strRef>
              <c:f>'Table 7.1'!$A$20</c:f>
              <c:strCache>
                <c:ptCount val="1"/>
                <c:pt idx="0">
                  <c:v>Part-time workers</c:v>
                </c:pt>
              </c:strCache>
            </c:strRef>
          </c:tx>
          <c:spPr>
            <a:solidFill>
              <a:schemeClr val="accent2"/>
            </a:solidFill>
            <a:ln>
              <a:noFill/>
            </a:ln>
            <a:effectLst/>
          </c:spPr>
          <c:invertIfNegative val="0"/>
          <c:cat>
            <c:strRef>
              <c:f>'Table 7.1'!$B$6:$D$6</c:f>
              <c:strCache>
                <c:ptCount val="3"/>
                <c:pt idx="0">
                  <c:v>Youngest child aged 0–4 years</c:v>
                </c:pt>
                <c:pt idx="1">
                  <c:v>Youngest child aged 5–9 years</c:v>
                </c:pt>
                <c:pt idx="2">
                  <c:v>Youngest child aged 10–14 years</c:v>
                </c:pt>
              </c:strCache>
            </c:strRef>
          </c:cat>
          <c:val>
            <c:numRef>
              <c:f>'Table 7.1'!$G$68:$G$70</c:f>
              <c:numCache>
                <c:formatCode>0</c:formatCode>
                <c:ptCount val="3"/>
                <c:pt idx="0">
                  <c:v>36.549809094064557</c:v>
                </c:pt>
                <c:pt idx="1">
                  <c:v>38.840680319333565</c:v>
                </c:pt>
                <c:pt idx="2">
                  <c:v>24.609510586601878</c:v>
                </c:pt>
              </c:numCache>
            </c:numRef>
          </c:val>
          <c:extLst>
            <c:ext xmlns:c16="http://schemas.microsoft.com/office/drawing/2014/chart" uri="{C3380CC4-5D6E-409C-BE32-E72D297353CC}">
              <c16:uniqueId val="{00000001-EFC0-4434-B619-9623836E9771}"/>
            </c:ext>
          </c:extLst>
        </c:ser>
        <c:ser>
          <c:idx val="2"/>
          <c:order val="2"/>
          <c:tx>
            <c:v>Not in labour force or unemployed</c:v>
          </c:tx>
          <c:spPr>
            <a:solidFill>
              <a:srgbClr val="C00000"/>
            </a:solidFill>
            <a:ln>
              <a:noFill/>
            </a:ln>
            <a:effectLst/>
          </c:spPr>
          <c:invertIfNegative val="0"/>
          <c:cat>
            <c:strRef>
              <c:f>'Table 7.1'!$B$6:$D$6</c:f>
              <c:strCache>
                <c:ptCount val="3"/>
                <c:pt idx="0">
                  <c:v>Youngest child aged 0–4 years</c:v>
                </c:pt>
                <c:pt idx="1">
                  <c:v>Youngest child aged 5–9 years</c:v>
                </c:pt>
                <c:pt idx="2">
                  <c:v>Youngest child aged 10–14 years</c:v>
                </c:pt>
              </c:strCache>
            </c:strRef>
          </c:cat>
          <c:val>
            <c:numRef>
              <c:f>'Table 7.1'!$H$68:$H$70</c:f>
              <c:numCache>
                <c:formatCode>0</c:formatCode>
                <c:ptCount val="3"/>
                <c:pt idx="0">
                  <c:v>39.147609147609153</c:v>
                </c:pt>
                <c:pt idx="1">
                  <c:v>39.189189189189186</c:v>
                </c:pt>
                <c:pt idx="2">
                  <c:v>21.663201663201662</c:v>
                </c:pt>
              </c:numCache>
            </c:numRef>
          </c:val>
          <c:extLst>
            <c:ext xmlns:c16="http://schemas.microsoft.com/office/drawing/2014/chart" uri="{C3380CC4-5D6E-409C-BE32-E72D297353CC}">
              <c16:uniqueId val="{00000002-EFC0-4434-B619-9623836E9771}"/>
            </c:ext>
          </c:extLst>
        </c:ser>
        <c:dLbls>
          <c:showLegendKey val="0"/>
          <c:showVal val="0"/>
          <c:showCatName val="0"/>
          <c:showSerName val="0"/>
          <c:showPercent val="0"/>
          <c:showBubbleSize val="0"/>
        </c:dLbls>
        <c:gapWidth val="219"/>
        <c:overlap val="-27"/>
        <c:axId val="298958159"/>
        <c:axId val="298958575"/>
      </c:barChart>
      <c:catAx>
        <c:axId val="29895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98958575"/>
        <c:crosses val="autoZero"/>
        <c:auto val="1"/>
        <c:lblAlgn val="ctr"/>
        <c:lblOffset val="100"/>
        <c:noMultiLvlLbl val="0"/>
      </c:catAx>
      <c:valAx>
        <c:axId val="298958575"/>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989581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latin typeface="Tw Cen MT" panose="020B0602020104020603" pitchFamily="34" charset="0"/>
              </a:rPr>
              <a:t>English-speaking</a:t>
            </a:r>
          </a:p>
        </c:rich>
      </c:tx>
      <c:layout>
        <c:manualLayout>
          <c:xMode val="edge"/>
          <c:yMode val="edge"/>
          <c:x val="0.31680106251778767"/>
          <c:y val="5.5443548387096774E-2"/>
        </c:manualLayout>
      </c:layout>
      <c:overlay val="1"/>
      <c:spPr>
        <a:noFill/>
        <a:ln>
          <a:solidFill>
            <a:schemeClr val="bg1"/>
          </a:solid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Sheet2!$B$1</c:f>
              <c:strCache>
                <c:ptCount val="1"/>
                <c:pt idx="0">
                  <c:v>Australia</c:v>
                </c:pt>
              </c:strCache>
            </c:strRef>
          </c:tx>
          <c:spPr>
            <a:ln w="28575" cap="rnd">
              <a:solidFill>
                <a:srgbClr val="FF0000"/>
              </a:solidFill>
              <a:round/>
            </a:ln>
            <a:effectLst/>
          </c:spPr>
          <c:marker>
            <c:symbol val="none"/>
          </c:marker>
          <c:cat>
            <c:numRef>
              <c:f>Sheet2!$A$2:$A$51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Sheet2!$B$2:$B$51</c:f>
              <c:numCache>
                <c:formatCode>General</c:formatCode>
                <c:ptCount val="50"/>
                <c:pt idx="0">
                  <c:v>2.86</c:v>
                </c:pt>
                <c:pt idx="1">
                  <c:v>2.95</c:v>
                </c:pt>
                <c:pt idx="2">
                  <c:v>2.74</c:v>
                </c:pt>
                <c:pt idx="3">
                  <c:v>2.4900000000000002</c:v>
                </c:pt>
                <c:pt idx="4">
                  <c:v>2.3199999999999998</c:v>
                </c:pt>
                <c:pt idx="5">
                  <c:v>2.15</c:v>
                </c:pt>
                <c:pt idx="6">
                  <c:v>2.06</c:v>
                </c:pt>
                <c:pt idx="7">
                  <c:v>2.0099999999999998</c:v>
                </c:pt>
                <c:pt idx="8">
                  <c:v>1.95</c:v>
                </c:pt>
                <c:pt idx="9">
                  <c:v>1.91</c:v>
                </c:pt>
                <c:pt idx="10">
                  <c:v>1.89</c:v>
                </c:pt>
                <c:pt idx="11">
                  <c:v>1.94</c:v>
                </c:pt>
                <c:pt idx="12">
                  <c:v>1.93</c:v>
                </c:pt>
                <c:pt idx="13">
                  <c:v>1.92</c:v>
                </c:pt>
                <c:pt idx="14">
                  <c:v>1.84</c:v>
                </c:pt>
                <c:pt idx="15">
                  <c:v>1.92</c:v>
                </c:pt>
                <c:pt idx="16">
                  <c:v>1.87</c:v>
                </c:pt>
                <c:pt idx="17">
                  <c:v>1.85</c:v>
                </c:pt>
                <c:pt idx="18">
                  <c:v>1.83</c:v>
                </c:pt>
                <c:pt idx="19">
                  <c:v>1.84</c:v>
                </c:pt>
                <c:pt idx="20">
                  <c:v>1.9</c:v>
                </c:pt>
                <c:pt idx="21">
                  <c:v>1.85</c:v>
                </c:pt>
                <c:pt idx="22">
                  <c:v>1.89</c:v>
                </c:pt>
                <c:pt idx="23">
                  <c:v>1.86</c:v>
                </c:pt>
                <c:pt idx="24">
                  <c:v>1.84</c:v>
                </c:pt>
                <c:pt idx="25">
                  <c:v>1.82</c:v>
                </c:pt>
                <c:pt idx="26">
                  <c:v>1.8</c:v>
                </c:pt>
                <c:pt idx="27">
                  <c:v>1.78</c:v>
                </c:pt>
                <c:pt idx="28">
                  <c:v>1.76</c:v>
                </c:pt>
                <c:pt idx="29">
                  <c:v>1.76</c:v>
                </c:pt>
                <c:pt idx="30">
                  <c:v>1.76</c:v>
                </c:pt>
                <c:pt idx="31">
                  <c:v>1.73</c:v>
                </c:pt>
                <c:pt idx="32">
                  <c:v>1.77</c:v>
                </c:pt>
                <c:pt idx="33">
                  <c:v>1.77</c:v>
                </c:pt>
                <c:pt idx="34">
                  <c:v>1.78</c:v>
                </c:pt>
                <c:pt idx="35">
                  <c:v>1.85</c:v>
                </c:pt>
                <c:pt idx="36">
                  <c:v>1.88</c:v>
                </c:pt>
                <c:pt idx="37">
                  <c:v>1.99</c:v>
                </c:pt>
                <c:pt idx="38">
                  <c:v>2.02</c:v>
                </c:pt>
                <c:pt idx="39">
                  <c:v>1.97</c:v>
                </c:pt>
                <c:pt idx="40">
                  <c:v>1.95</c:v>
                </c:pt>
                <c:pt idx="41">
                  <c:v>1.92</c:v>
                </c:pt>
                <c:pt idx="42">
                  <c:v>1.93</c:v>
                </c:pt>
                <c:pt idx="43">
                  <c:v>1.88</c:v>
                </c:pt>
                <c:pt idx="44">
                  <c:v>1.79</c:v>
                </c:pt>
                <c:pt idx="45">
                  <c:v>1.79</c:v>
                </c:pt>
                <c:pt idx="46">
                  <c:v>1.79</c:v>
                </c:pt>
                <c:pt idx="47">
                  <c:v>1.74</c:v>
                </c:pt>
                <c:pt idx="48">
                  <c:v>1.74</c:v>
                </c:pt>
                <c:pt idx="49">
                  <c:v>1.66</c:v>
                </c:pt>
              </c:numCache>
            </c:numRef>
          </c:val>
          <c:smooth val="0"/>
          <c:extLst>
            <c:ext xmlns:c16="http://schemas.microsoft.com/office/drawing/2014/chart" uri="{C3380CC4-5D6E-409C-BE32-E72D297353CC}">
              <c16:uniqueId val="{00000000-27B9-4499-8849-9B80A115E438}"/>
            </c:ext>
          </c:extLst>
        </c:ser>
        <c:ser>
          <c:idx val="1"/>
          <c:order val="1"/>
          <c:tx>
            <c:strRef>
              <c:f>Sheet2!$C$1</c:f>
              <c:strCache>
                <c:ptCount val="1"/>
                <c:pt idx="0">
                  <c:v>Canada</c:v>
                </c:pt>
              </c:strCache>
            </c:strRef>
          </c:tx>
          <c:spPr>
            <a:ln w="28575" cap="rnd">
              <a:solidFill>
                <a:srgbClr val="FFC000"/>
              </a:solidFill>
              <a:prstDash val="sysDot"/>
              <a:round/>
            </a:ln>
            <a:effectLst/>
          </c:spPr>
          <c:marker>
            <c:symbol val="none"/>
          </c:marker>
          <c:cat>
            <c:numRef>
              <c:f>Sheet2!$A$2:$A$51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Sheet2!$C$2:$C$51</c:f>
              <c:numCache>
                <c:formatCode>General</c:formatCode>
                <c:ptCount val="50"/>
                <c:pt idx="0">
                  <c:v>2.33</c:v>
                </c:pt>
                <c:pt idx="1">
                  <c:v>2.19</c:v>
                </c:pt>
                <c:pt idx="2">
                  <c:v>2.02</c:v>
                </c:pt>
                <c:pt idx="3">
                  <c:v>1.93</c:v>
                </c:pt>
                <c:pt idx="4">
                  <c:v>1.82</c:v>
                </c:pt>
                <c:pt idx="5">
                  <c:v>1.8</c:v>
                </c:pt>
                <c:pt idx="6">
                  <c:v>1.76</c:v>
                </c:pt>
                <c:pt idx="7">
                  <c:v>1.75</c:v>
                </c:pt>
                <c:pt idx="8">
                  <c:v>1.7</c:v>
                </c:pt>
                <c:pt idx="9">
                  <c:v>1.7</c:v>
                </c:pt>
                <c:pt idx="10">
                  <c:v>1.68</c:v>
                </c:pt>
                <c:pt idx="11">
                  <c:v>1.65</c:v>
                </c:pt>
                <c:pt idx="12">
                  <c:v>1.64</c:v>
                </c:pt>
                <c:pt idx="13">
                  <c:v>1.63</c:v>
                </c:pt>
                <c:pt idx="14">
                  <c:v>1.63</c:v>
                </c:pt>
                <c:pt idx="15">
                  <c:v>1.61</c:v>
                </c:pt>
                <c:pt idx="16">
                  <c:v>1.59</c:v>
                </c:pt>
                <c:pt idx="17">
                  <c:v>1.58</c:v>
                </c:pt>
                <c:pt idx="18">
                  <c:v>1.6</c:v>
                </c:pt>
                <c:pt idx="19">
                  <c:v>1.66</c:v>
                </c:pt>
                <c:pt idx="20">
                  <c:v>1.71</c:v>
                </c:pt>
                <c:pt idx="21">
                  <c:v>1.7</c:v>
                </c:pt>
                <c:pt idx="22">
                  <c:v>1.69</c:v>
                </c:pt>
                <c:pt idx="23">
                  <c:v>1.66</c:v>
                </c:pt>
                <c:pt idx="24">
                  <c:v>1.62</c:v>
                </c:pt>
                <c:pt idx="25">
                  <c:v>1.62</c:v>
                </c:pt>
                <c:pt idx="26">
                  <c:v>1.62</c:v>
                </c:pt>
                <c:pt idx="27">
                  <c:v>1.58</c:v>
                </c:pt>
                <c:pt idx="28">
                  <c:v>1.54</c:v>
                </c:pt>
                <c:pt idx="29">
                  <c:v>1.51</c:v>
                </c:pt>
                <c:pt idx="30">
                  <c:v>1.49</c:v>
                </c:pt>
                <c:pt idx="31">
                  <c:v>1.51</c:v>
                </c:pt>
                <c:pt idx="32">
                  <c:v>1.5</c:v>
                </c:pt>
                <c:pt idx="33">
                  <c:v>1.53</c:v>
                </c:pt>
                <c:pt idx="34">
                  <c:v>1.53</c:v>
                </c:pt>
                <c:pt idx="35">
                  <c:v>1.54</c:v>
                </c:pt>
                <c:pt idx="36">
                  <c:v>1.59</c:v>
                </c:pt>
                <c:pt idx="37">
                  <c:v>1.66</c:v>
                </c:pt>
                <c:pt idx="38">
                  <c:v>1.68</c:v>
                </c:pt>
                <c:pt idx="39">
                  <c:v>1.67</c:v>
                </c:pt>
                <c:pt idx="40">
                  <c:v>1.63</c:v>
                </c:pt>
                <c:pt idx="41">
                  <c:v>1.61</c:v>
                </c:pt>
                <c:pt idx="42">
                  <c:v>1.61</c:v>
                </c:pt>
                <c:pt idx="43">
                  <c:v>1.59</c:v>
                </c:pt>
                <c:pt idx="44">
                  <c:v>1.58</c:v>
                </c:pt>
                <c:pt idx="45">
                  <c:v>1.56</c:v>
                </c:pt>
                <c:pt idx="46">
                  <c:v>1.54</c:v>
                </c:pt>
                <c:pt idx="47">
                  <c:v>1.5</c:v>
                </c:pt>
                <c:pt idx="48">
                  <c:v>1.5</c:v>
                </c:pt>
                <c:pt idx="49">
                  <c:v>1.47</c:v>
                </c:pt>
              </c:numCache>
            </c:numRef>
          </c:val>
          <c:smooth val="0"/>
          <c:extLst>
            <c:ext xmlns:c16="http://schemas.microsoft.com/office/drawing/2014/chart" uri="{C3380CC4-5D6E-409C-BE32-E72D297353CC}">
              <c16:uniqueId val="{00000001-27B9-4499-8849-9B80A115E438}"/>
            </c:ext>
          </c:extLst>
        </c:ser>
        <c:ser>
          <c:idx val="2"/>
          <c:order val="2"/>
          <c:tx>
            <c:strRef>
              <c:f>Sheet2!$D$1</c:f>
              <c:strCache>
                <c:ptCount val="1"/>
                <c:pt idx="0">
                  <c:v>United Kingdom</c:v>
                </c:pt>
              </c:strCache>
            </c:strRef>
          </c:tx>
          <c:spPr>
            <a:ln w="28575" cap="rnd">
              <a:solidFill>
                <a:srgbClr val="0070C0"/>
              </a:solidFill>
              <a:prstDash val="sysDot"/>
              <a:round/>
            </a:ln>
            <a:effectLst/>
          </c:spPr>
          <c:marker>
            <c:symbol val="none"/>
          </c:marker>
          <c:cat>
            <c:numRef>
              <c:f>Sheet2!$A$2:$A$51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Sheet2!$D$2:$D$51</c:f>
              <c:numCache>
                <c:formatCode>General</c:formatCode>
                <c:ptCount val="50"/>
                <c:pt idx="0">
                  <c:v>2.4300000000000002</c:v>
                </c:pt>
                <c:pt idx="1">
                  <c:v>2.4</c:v>
                </c:pt>
                <c:pt idx="2">
                  <c:v>2.2000000000000002</c:v>
                </c:pt>
                <c:pt idx="3">
                  <c:v>2.04</c:v>
                </c:pt>
                <c:pt idx="4">
                  <c:v>1.92</c:v>
                </c:pt>
                <c:pt idx="5">
                  <c:v>1.81</c:v>
                </c:pt>
                <c:pt idx="6">
                  <c:v>1.74</c:v>
                </c:pt>
                <c:pt idx="7">
                  <c:v>1.69</c:v>
                </c:pt>
                <c:pt idx="8">
                  <c:v>1.75</c:v>
                </c:pt>
                <c:pt idx="9">
                  <c:v>1.86</c:v>
                </c:pt>
                <c:pt idx="10">
                  <c:v>1.9</c:v>
                </c:pt>
                <c:pt idx="11">
                  <c:v>1.82</c:v>
                </c:pt>
                <c:pt idx="12">
                  <c:v>1.78</c:v>
                </c:pt>
                <c:pt idx="13">
                  <c:v>1.77</c:v>
                </c:pt>
                <c:pt idx="14">
                  <c:v>1.77</c:v>
                </c:pt>
                <c:pt idx="15">
                  <c:v>1.79</c:v>
                </c:pt>
                <c:pt idx="16">
                  <c:v>1.78</c:v>
                </c:pt>
                <c:pt idx="17">
                  <c:v>1.81</c:v>
                </c:pt>
                <c:pt idx="18">
                  <c:v>1.82</c:v>
                </c:pt>
                <c:pt idx="19">
                  <c:v>1.79</c:v>
                </c:pt>
                <c:pt idx="20">
                  <c:v>1.83</c:v>
                </c:pt>
                <c:pt idx="21">
                  <c:v>1.82</c:v>
                </c:pt>
                <c:pt idx="22">
                  <c:v>1.79</c:v>
                </c:pt>
                <c:pt idx="23">
                  <c:v>1.76</c:v>
                </c:pt>
                <c:pt idx="24">
                  <c:v>1.74</c:v>
                </c:pt>
                <c:pt idx="25">
                  <c:v>1.71</c:v>
                </c:pt>
                <c:pt idx="26">
                  <c:v>1.73</c:v>
                </c:pt>
                <c:pt idx="27">
                  <c:v>1.72</c:v>
                </c:pt>
                <c:pt idx="28">
                  <c:v>1.71</c:v>
                </c:pt>
                <c:pt idx="29">
                  <c:v>1.68</c:v>
                </c:pt>
                <c:pt idx="30">
                  <c:v>1.64</c:v>
                </c:pt>
                <c:pt idx="31">
                  <c:v>1.63</c:v>
                </c:pt>
                <c:pt idx="32">
                  <c:v>1.63</c:v>
                </c:pt>
                <c:pt idx="33">
                  <c:v>1.7</c:v>
                </c:pt>
                <c:pt idx="34">
                  <c:v>1.75</c:v>
                </c:pt>
                <c:pt idx="35">
                  <c:v>1.76</c:v>
                </c:pt>
                <c:pt idx="36">
                  <c:v>1.82</c:v>
                </c:pt>
                <c:pt idx="37">
                  <c:v>1.86</c:v>
                </c:pt>
                <c:pt idx="38">
                  <c:v>1.91</c:v>
                </c:pt>
                <c:pt idx="39">
                  <c:v>1.89</c:v>
                </c:pt>
                <c:pt idx="40">
                  <c:v>1.92</c:v>
                </c:pt>
                <c:pt idx="41">
                  <c:v>1.91</c:v>
                </c:pt>
                <c:pt idx="42">
                  <c:v>1.92</c:v>
                </c:pt>
                <c:pt idx="43">
                  <c:v>1.83</c:v>
                </c:pt>
                <c:pt idx="44">
                  <c:v>1.81</c:v>
                </c:pt>
                <c:pt idx="45">
                  <c:v>1.8</c:v>
                </c:pt>
                <c:pt idx="46">
                  <c:v>1.79</c:v>
                </c:pt>
                <c:pt idx="47">
                  <c:v>1.74</c:v>
                </c:pt>
                <c:pt idx="48">
                  <c:v>1.68</c:v>
                </c:pt>
                <c:pt idx="49">
                  <c:v>1.63</c:v>
                </c:pt>
              </c:numCache>
            </c:numRef>
          </c:val>
          <c:smooth val="0"/>
          <c:extLst>
            <c:ext xmlns:c16="http://schemas.microsoft.com/office/drawing/2014/chart" uri="{C3380CC4-5D6E-409C-BE32-E72D297353CC}">
              <c16:uniqueId val="{00000002-27B9-4499-8849-9B80A115E438}"/>
            </c:ext>
          </c:extLst>
        </c:ser>
        <c:ser>
          <c:idx val="3"/>
          <c:order val="3"/>
          <c:tx>
            <c:strRef>
              <c:f>Sheet2!$E$1</c:f>
              <c:strCache>
                <c:ptCount val="1"/>
                <c:pt idx="0">
                  <c:v>New Zealand</c:v>
                </c:pt>
              </c:strCache>
            </c:strRef>
          </c:tx>
          <c:spPr>
            <a:ln w="28575" cap="rnd">
              <a:solidFill>
                <a:srgbClr val="0070C0"/>
              </a:solidFill>
              <a:round/>
            </a:ln>
            <a:effectLst/>
          </c:spPr>
          <c:marker>
            <c:symbol val="none"/>
          </c:marker>
          <c:cat>
            <c:numRef>
              <c:f>Sheet2!$A$2:$A$51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Sheet2!$E$2:$E$51</c:f>
              <c:numCache>
                <c:formatCode>General</c:formatCode>
                <c:ptCount val="50"/>
                <c:pt idx="0">
                  <c:v>3.17</c:v>
                </c:pt>
                <c:pt idx="1">
                  <c:v>3.18</c:v>
                </c:pt>
                <c:pt idx="2">
                  <c:v>3</c:v>
                </c:pt>
                <c:pt idx="3">
                  <c:v>2.76</c:v>
                </c:pt>
                <c:pt idx="4">
                  <c:v>2.58</c:v>
                </c:pt>
                <c:pt idx="5">
                  <c:v>2.37</c:v>
                </c:pt>
                <c:pt idx="6">
                  <c:v>2.27</c:v>
                </c:pt>
                <c:pt idx="7">
                  <c:v>2.21</c:v>
                </c:pt>
                <c:pt idx="8">
                  <c:v>2.0699999999999998</c:v>
                </c:pt>
                <c:pt idx="9">
                  <c:v>2.12</c:v>
                </c:pt>
                <c:pt idx="10">
                  <c:v>2.0299999999999998</c:v>
                </c:pt>
                <c:pt idx="11">
                  <c:v>2.0099999999999998</c:v>
                </c:pt>
                <c:pt idx="12">
                  <c:v>1.95</c:v>
                </c:pt>
                <c:pt idx="13">
                  <c:v>1.92</c:v>
                </c:pt>
                <c:pt idx="14">
                  <c:v>1.93</c:v>
                </c:pt>
                <c:pt idx="15">
                  <c:v>1.93</c:v>
                </c:pt>
                <c:pt idx="16">
                  <c:v>1.96</c:v>
                </c:pt>
                <c:pt idx="17">
                  <c:v>2.0299999999999998</c:v>
                </c:pt>
                <c:pt idx="18">
                  <c:v>2.1</c:v>
                </c:pt>
                <c:pt idx="19">
                  <c:v>2.12</c:v>
                </c:pt>
                <c:pt idx="20">
                  <c:v>2.1800000000000002</c:v>
                </c:pt>
                <c:pt idx="21">
                  <c:v>2.09</c:v>
                </c:pt>
                <c:pt idx="22">
                  <c:v>2.06</c:v>
                </c:pt>
                <c:pt idx="23">
                  <c:v>2.04</c:v>
                </c:pt>
                <c:pt idx="24">
                  <c:v>1.98</c:v>
                </c:pt>
                <c:pt idx="25">
                  <c:v>1.98</c:v>
                </c:pt>
                <c:pt idx="26">
                  <c:v>1.96</c:v>
                </c:pt>
                <c:pt idx="27">
                  <c:v>1.96</c:v>
                </c:pt>
                <c:pt idx="28">
                  <c:v>1.89</c:v>
                </c:pt>
                <c:pt idx="29">
                  <c:v>1.97</c:v>
                </c:pt>
                <c:pt idx="30">
                  <c:v>1.98</c:v>
                </c:pt>
                <c:pt idx="31">
                  <c:v>1.97</c:v>
                </c:pt>
                <c:pt idx="32">
                  <c:v>1.89</c:v>
                </c:pt>
                <c:pt idx="33">
                  <c:v>1.93</c:v>
                </c:pt>
                <c:pt idx="34">
                  <c:v>1.98</c:v>
                </c:pt>
                <c:pt idx="35">
                  <c:v>1.97</c:v>
                </c:pt>
                <c:pt idx="36">
                  <c:v>2.0099999999999998</c:v>
                </c:pt>
                <c:pt idx="37">
                  <c:v>2.1800000000000002</c:v>
                </c:pt>
                <c:pt idx="38">
                  <c:v>2.19</c:v>
                </c:pt>
                <c:pt idx="39">
                  <c:v>2.13</c:v>
                </c:pt>
                <c:pt idx="40">
                  <c:v>2.17</c:v>
                </c:pt>
                <c:pt idx="41">
                  <c:v>2.09</c:v>
                </c:pt>
                <c:pt idx="42">
                  <c:v>2.1</c:v>
                </c:pt>
                <c:pt idx="43">
                  <c:v>2.0099999999999998</c:v>
                </c:pt>
                <c:pt idx="44">
                  <c:v>1.92</c:v>
                </c:pt>
                <c:pt idx="45">
                  <c:v>1.99</c:v>
                </c:pt>
                <c:pt idx="46">
                  <c:v>1.87</c:v>
                </c:pt>
                <c:pt idx="47">
                  <c:v>1.81</c:v>
                </c:pt>
                <c:pt idx="48">
                  <c:v>1.71</c:v>
                </c:pt>
                <c:pt idx="49">
                  <c:v>1.72</c:v>
                </c:pt>
              </c:numCache>
            </c:numRef>
          </c:val>
          <c:smooth val="0"/>
          <c:extLst>
            <c:ext xmlns:c16="http://schemas.microsoft.com/office/drawing/2014/chart" uri="{C3380CC4-5D6E-409C-BE32-E72D297353CC}">
              <c16:uniqueId val="{00000003-27B9-4499-8849-9B80A115E438}"/>
            </c:ext>
          </c:extLst>
        </c:ser>
        <c:ser>
          <c:idx val="4"/>
          <c:order val="4"/>
          <c:tx>
            <c:strRef>
              <c:f>Sheet2!$F$1</c:f>
              <c:strCache>
                <c:ptCount val="1"/>
                <c:pt idx="0">
                  <c:v>United States</c:v>
                </c:pt>
              </c:strCache>
            </c:strRef>
          </c:tx>
          <c:spPr>
            <a:ln w="28575" cap="rnd">
              <a:solidFill>
                <a:srgbClr val="FFC000"/>
              </a:solidFill>
              <a:prstDash val="solid"/>
              <a:round/>
            </a:ln>
            <a:effectLst/>
          </c:spPr>
          <c:marker>
            <c:symbol val="none"/>
          </c:marker>
          <c:cat>
            <c:numRef>
              <c:f>Sheet2!$A$2:$A$51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Sheet2!$F$2:$F$51</c:f>
              <c:numCache>
                <c:formatCode>General</c:formatCode>
                <c:ptCount val="50"/>
                <c:pt idx="0">
                  <c:v>2.48</c:v>
                </c:pt>
                <c:pt idx="1">
                  <c:v>2.27</c:v>
                </c:pt>
                <c:pt idx="2">
                  <c:v>2.0099999999999998</c:v>
                </c:pt>
                <c:pt idx="3">
                  <c:v>1.88</c:v>
                </c:pt>
                <c:pt idx="4">
                  <c:v>1.84</c:v>
                </c:pt>
                <c:pt idx="5">
                  <c:v>1.77</c:v>
                </c:pt>
                <c:pt idx="6">
                  <c:v>1.74</c:v>
                </c:pt>
                <c:pt idx="7">
                  <c:v>1.79</c:v>
                </c:pt>
                <c:pt idx="8">
                  <c:v>1.76</c:v>
                </c:pt>
                <c:pt idx="9">
                  <c:v>1.81</c:v>
                </c:pt>
                <c:pt idx="10">
                  <c:v>1.84</c:v>
                </c:pt>
                <c:pt idx="11">
                  <c:v>1.81</c:v>
                </c:pt>
                <c:pt idx="12">
                  <c:v>1.83</c:v>
                </c:pt>
                <c:pt idx="13">
                  <c:v>1.8</c:v>
                </c:pt>
                <c:pt idx="14">
                  <c:v>1.81</c:v>
                </c:pt>
                <c:pt idx="15">
                  <c:v>1.84</c:v>
                </c:pt>
                <c:pt idx="16">
                  <c:v>1.84</c:v>
                </c:pt>
                <c:pt idx="17">
                  <c:v>1.87</c:v>
                </c:pt>
                <c:pt idx="18">
                  <c:v>1.93</c:v>
                </c:pt>
                <c:pt idx="19">
                  <c:v>2.0099999999999998</c:v>
                </c:pt>
                <c:pt idx="20">
                  <c:v>2.08</c:v>
                </c:pt>
                <c:pt idx="21">
                  <c:v>2.06</c:v>
                </c:pt>
                <c:pt idx="22">
                  <c:v>2.0499999999999998</c:v>
                </c:pt>
                <c:pt idx="23">
                  <c:v>2.02</c:v>
                </c:pt>
                <c:pt idx="24">
                  <c:v>2</c:v>
                </c:pt>
                <c:pt idx="25">
                  <c:v>1.98</c:v>
                </c:pt>
                <c:pt idx="26">
                  <c:v>1.98</c:v>
                </c:pt>
                <c:pt idx="27">
                  <c:v>1.97</c:v>
                </c:pt>
                <c:pt idx="28">
                  <c:v>2</c:v>
                </c:pt>
                <c:pt idx="29">
                  <c:v>2.0099999999999998</c:v>
                </c:pt>
                <c:pt idx="30">
                  <c:v>2.06</c:v>
                </c:pt>
                <c:pt idx="31">
                  <c:v>2.0299999999999998</c:v>
                </c:pt>
                <c:pt idx="32">
                  <c:v>2.0099999999999998</c:v>
                </c:pt>
                <c:pt idx="33">
                  <c:v>2.04</c:v>
                </c:pt>
                <c:pt idx="34">
                  <c:v>2.0499999999999998</c:v>
                </c:pt>
                <c:pt idx="35">
                  <c:v>2.06</c:v>
                </c:pt>
                <c:pt idx="36">
                  <c:v>2.11</c:v>
                </c:pt>
                <c:pt idx="37">
                  <c:v>2.12</c:v>
                </c:pt>
                <c:pt idx="38">
                  <c:v>2.0699999999999998</c:v>
                </c:pt>
                <c:pt idx="39">
                  <c:v>2</c:v>
                </c:pt>
                <c:pt idx="40">
                  <c:v>1.93</c:v>
                </c:pt>
                <c:pt idx="41">
                  <c:v>1.89</c:v>
                </c:pt>
                <c:pt idx="42">
                  <c:v>1.88</c:v>
                </c:pt>
                <c:pt idx="43">
                  <c:v>1.86</c:v>
                </c:pt>
                <c:pt idx="44">
                  <c:v>1.86</c:v>
                </c:pt>
                <c:pt idx="45">
                  <c:v>1.84</c:v>
                </c:pt>
                <c:pt idx="46">
                  <c:v>1.82</c:v>
                </c:pt>
                <c:pt idx="47">
                  <c:v>1.77</c:v>
                </c:pt>
                <c:pt idx="48">
                  <c:v>1.73</c:v>
                </c:pt>
                <c:pt idx="49">
                  <c:v>1.71</c:v>
                </c:pt>
              </c:numCache>
            </c:numRef>
          </c:val>
          <c:smooth val="0"/>
          <c:extLst>
            <c:ext xmlns:c16="http://schemas.microsoft.com/office/drawing/2014/chart" uri="{C3380CC4-5D6E-409C-BE32-E72D297353CC}">
              <c16:uniqueId val="{00000004-27B9-4499-8849-9B80A115E438}"/>
            </c:ext>
          </c:extLst>
        </c:ser>
        <c:ser>
          <c:idx val="5"/>
          <c:order val="5"/>
          <c:tx>
            <c:strRef>
              <c:f>Sheet2!$G$1</c:f>
              <c:strCache>
                <c:ptCount val="1"/>
                <c:pt idx="0">
                  <c:v>Ireland</c:v>
                </c:pt>
              </c:strCache>
            </c:strRef>
          </c:tx>
          <c:spPr>
            <a:ln w="28575" cap="rnd">
              <a:solidFill>
                <a:srgbClr val="FF0000"/>
              </a:solidFill>
              <a:prstDash val="sysDot"/>
              <a:round/>
            </a:ln>
            <a:effectLst/>
          </c:spPr>
          <c:marker>
            <c:symbol val="none"/>
          </c:marker>
          <c:cat>
            <c:numRef>
              <c:f>Sheet2!$A$2:$A$51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Sheet2!$G$2:$G$51</c:f>
              <c:numCache>
                <c:formatCode>General</c:formatCode>
                <c:ptCount val="50"/>
                <c:pt idx="0">
                  <c:v>3.87</c:v>
                </c:pt>
                <c:pt idx="1">
                  <c:v>3.98</c:v>
                </c:pt>
                <c:pt idx="2">
                  <c:v>3.88</c:v>
                </c:pt>
                <c:pt idx="3">
                  <c:v>3.74</c:v>
                </c:pt>
                <c:pt idx="4">
                  <c:v>3.62</c:v>
                </c:pt>
                <c:pt idx="5">
                  <c:v>3.4</c:v>
                </c:pt>
                <c:pt idx="6">
                  <c:v>3.31</c:v>
                </c:pt>
                <c:pt idx="7">
                  <c:v>3.27</c:v>
                </c:pt>
                <c:pt idx="8">
                  <c:v>3.24</c:v>
                </c:pt>
                <c:pt idx="9">
                  <c:v>3.23</c:v>
                </c:pt>
                <c:pt idx="10">
                  <c:v>3.23</c:v>
                </c:pt>
                <c:pt idx="11">
                  <c:v>3.07</c:v>
                </c:pt>
                <c:pt idx="12">
                  <c:v>2.96</c:v>
                </c:pt>
                <c:pt idx="13">
                  <c:v>2.76</c:v>
                </c:pt>
                <c:pt idx="14">
                  <c:v>2.59</c:v>
                </c:pt>
                <c:pt idx="15">
                  <c:v>2.5</c:v>
                </c:pt>
                <c:pt idx="16">
                  <c:v>2.44</c:v>
                </c:pt>
                <c:pt idx="17">
                  <c:v>2.31</c:v>
                </c:pt>
                <c:pt idx="18">
                  <c:v>2.17</c:v>
                </c:pt>
                <c:pt idx="19">
                  <c:v>2.08</c:v>
                </c:pt>
                <c:pt idx="20">
                  <c:v>2.12</c:v>
                </c:pt>
                <c:pt idx="21">
                  <c:v>2.09</c:v>
                </c:pt>
                <c:pt idx="22">
                  <c:v>1.99</c:v>
                </c:pt>
                <c:pt idx="23">
                  <c:v>1.91</c:v>
                </c:pt>
                <c:pt idx="24">
                  <c:v>1.85</c:v>
                </c:pt>
                <c:pt idx="25">
                  <c:v>1.85</c:v>
                </c:pt>
                <c:pt idx="26">
                  <c:v>1.89</c:v>
                </c:pt>
                <c:pt idx="27">
                  <c:v>1.94</c:v>
                </c:pt>
                <c:pt idx="28">
                  <c:v>1.95</c:v>
                </c:pt>
                <c:pt idx="29">
                  <c:v>1.91</c:v>
                </c:pt>
                <c:pt idx="30">
                  <c:v>1.9</c:v>
                </c:pt>
                <c:pt idx="31">
                  <c:v>1.96</c:v>
                </c:pt>
                <c:pt idx="32">
                  <c:v>1.98</c:v>
                </c:pt>
                <c:pt idx="33">
                  <c:v>1.98</c:v>
                </c:pt>
                <c:pt idx="34">
                  <c:v>1.95</c:v>
                </c:pt>
                <c:pt idx="35">
                  <c:v>1.88</c:v>
                </c:pt>
                <c:pt idx="36">
                  <c:v>1.94</c:v>
                </c:pt>
                <c:pt idx="37">
                  <c:v>2.0099999999999998</c:v>
                </c:pt>
                <c:pt idx="38">
                  <c:v>2.06</c:v>
                </c:pt>
                <c:pt idx="39">
                  <c:v>2.06</c:v>
                </c:pt>
                <c:pt idx="40">
                  <c:v>2.0499999999999998</c:v>
                </c:pt>
                <c:pt idx="41">
                  <c:v>2.0299999999999998</c:v>
                </c:pt>
                <c:pt idx="42">
                  <c:v>1.98</c:v>
                </c:pt>
                <c:pt idx="43">
                  <c:v>1.93</c:v>
                </c:pt>
                <c:pt idx="44">
                  <c:v>1.89</c:v>
                </c:pt>
                <c:pt idx="45">
                  <c:v>1.85</c:v>
                </c:pt>
                <c:pt idx="46">
                  <c:v>1.82</c:v>
                </c:pt>
                <c:pt idx="47">
                  <c:v>1.78</c:v>
                </c:pt>
                <c:pt idx="48">
                  <c:v>1.75</c:v>
                </c:pt>
                <c:pt idx="49">
                  <c:v>1.7</c:v>
                </c:pt>
              </c:numCache>
            </c:numRef>
          </c:val>
          <c:smooth val="0"/>
          <c:extLst>
            <c:ext xmlns:c16="http://schemas.microsoft.com/office/drawing/2014/chart" uri="{C3380CC4-5D6E-409C-BE32-E72D297353CC}">
              <c16:uniqueId val="{00000005-27B9-4499-8849-9B80A115E438}"/>
            </c:ext>
          </c:extLst>
        </c:ser>
        <c:dLbls>
          <c:showLegendKey val="0"/>
          <c:showVal val="0"/>
          <c:showCatName val="0"/>
          <c:showSerName val="0"/>
          <c:showPercent val="0"/>
          <c:showBubbleSize val="0"/>
        </c:dLbls>
        <c:smooth val="0"/>
        <c:axId val="540934096"/>
        <c:axId val="540933440"/>
      </c:lineChart>
      <c:catAx>
        <c:axId val="54093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3440"/>
        <c:crosses val="autoZero"/>
        <c:auto val="1"/>
        <c:lblAlgn val="ctr"/>
        <c:lblOffset val="100"/>
        <c:noMultiLvlLbl val="0"/>
      </c:catAx>
      <c:valAx>
        <c:axId val="54093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fertility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4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latin typeface="Tw Cen MT" panose="020B0602020104020603" pitchFamily="34" charset="0"/>
              </a:rPr>
              <a:t>Very-low fertility</a:t>
            </a:r>
          </a:p>
        </c:rich>
      </c:tx>
      <c:layout>
        <c:manualLayout>
          <c:xMode val="edge"/>
          <c:yMode val="edge"/>
          <c:x val="0.34954876899190418"/>
          <c:y val="4.5362903225806453E-2"/>
        </c:manualLayout>
      </c:layout>
      <c:overlay val="1"/>
      <c:spPr>
        <a:solidFill>
          <a:schemeClr val="bg1"/>
        </a:solidFill>
        <a:ln>
          <a:solidFill>
            <a:schemeClr val="bg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Sheet2!$J$1</c:f>
              <c:strCache>
                <c:ptCount val="1"/>
                <c:pt idx="0">
                  <c:v>Italy</c:v>
                </c:pt>
              </c:strCache>
            </c:strRef>
          </c:tx>
          <c:spPr>
            <a:ln w="28575" cap="rnd">
              <a:solidFill>
                <a:srgbClr val="0070C0"/>
              </a:solidFill>
              <a:prstDash val="sysDot"/>
              <a:round/>
            </a:ln>
            <a:effectLst/>
          </c:spPr>
          <c:marker>
            <c:symbol val="none"/>
          </c:marker>
          <c:cat>
            <c:numRef>
              <c:f>Sheet2!$I$2:$I$50</c:f>
              <c:numCache>
                <c:formatCode>General</c:formatCode>
                <c:ptCount val="49"/>
                <c:pt idx="0">
                  <c:v>1970</c:v>
                </c:pt>
                <c:pt idx="5">
                  <c:v>1975</c:v>
                </c:pt>
                <c:pt idx="10">
                  <c:v>1980</c:v>
                </c:pt>
                <c:pt idx="15">
                  <c:v>1985</c:v>
                </c:pt>
                <c:pt idx="20">
                  <c:v>1990</c:v>
                </c:pt>
                <c:pt idx="25">
                  <c:v>1995</c:v>
                </c:pt>
                <c:pt idx="30">
                  <c:v>2000</c:v>
                </c:pt>
                <c:pt idx="35">
                  <c:v>2005</c:v>
                </c:pt>
                <c:pt idx="40">
                  <c:v>2010</c:v>
                </c:pt>
                <c:pt idx="45">
                  <c:v>2015</c:v>
                </c:pt>
              </c:numCache>
            </c:numRef>
          </c:cat>
          <c:val>
            <c:numRef>
              <c:f>Sheet2!$J$2:$J$50</c:f>
              <c:numCache>
                <c:formatCode>General</c:formatCode>
                <c:ptCount val="49"/>
                <c:pt idx="0">
                  <c:v>2.42</c:v>
                </c:pt>
                <c:pt idx="1">
                  <c:v>2.41</c:v>
                </c:pt>
                <c:pt idx="2">
                  <c:v>2.36</c:v>
                </c:pt>
                <c:pt idx="3">
                  <c:v>2.34</c:v>
                </c:pt>
                <c:pt idx="4">
                  <c:v>2.33</c:v>
                </c:pt>
                <c:pt idx="5">
                  <c:v>2.21</c:v>
                </c:pt>
                <c:pt idx="6">
                  <c:v>2.11</c:v>
                </c:pt>
                <c:pt idx="7">
                  <c:v>1.97</c:v>
                </c:pt>
                <c:pt idx="8">
                  <c:v>1.87</c:v>
                </c:pt>
                <c:pt idx="9">
                  <c:v>1.76</c:v>
                </c:pt>
                <c:pt idx="10">
                  <c:v>1.68</c:v>
                </c:pt>
                <c:pt idx="11">
                  <c:v>1.6</c:v>
                </c:pt>
                <c:pt idx="12">
                  <c:v>1.6</c:v>
                </c:pt>
                <c:pt idx="13">
                  <c:v>1.54</c:v>
                </c:pt>
                <c:pt idx="14">
                  <c:v>1.48</c:v>
                </c:pt>
                <c:pt idx="15">
                  <c:v>1.45</c:v>
                </c:pt>
                <c:pt idx="16">
                  <c:v>1.37</c:v>
                </c:pt>
                <c:pt idx="17">
                  <c:v>1.35</c:v>
                </c:pt>
                <c:pt idx="18">
                  <c:v>1.38</c:v>
                </c:pt>
                <c:pt idx="19">
                  <c:v>1.35</c:v>
                </c:pt>
                <c:pt idx="20">
                  <c:v>1.36</c:v>
                </c:pt>
                <c:pt idx="21">
                  <c:v>1.33</c:v>
                </c:pt>
                <c:pt idx="22">
                  <c:v>1.32</c:v>
                </c:pt>
                <c:pt idx="23">
                  <c:v>1.26</c:v>
                </c:pt>
                <c:pt idx="24">
                  <c:v>1.22</c:v>
                </c:pt>
                <c:pt idx="25">
                  <c:v>1.19</c:v>
                </c:pt>
                <c:pt idx="26">
                  <c:v>1.22</c:v>
                </c:pt>
                <c:pt idx="27">
                  <c:v>1.23</c:v>
                </c:pt>
                <c:pt idx="28">
                  <c:v>1.21</c:v>
                </c:pt>
                <c:pt idx="29">
                  <c:v>1.23</c:v>
                </c:pt>
                <c:pt idx="30">
                  <c:v>1.26</c:v>
                </c:pt>
                <c:pt idx="31">
                  <c:v>1.25</c:v>
                </c:pt>
                <c:pt idx="32">
                  <c:v>1.27</c:v>
                </c:pt>
                <c:pt idx="33">
                  <c:v>1.29</c:v>
                </c:pt>
                <c:pt idx="34">
                  <c:v>1.33</c:v>
                </c:pt>
                <c:pt idx="35">
                  <c:v>1.32</c:v>
                </c:pt>
                <c:pt idx="36">
                  <c:v>1.35</c:v>
                </c:pt>
                <c:pt idx="37">
                  <c:v>1.37</c:v>
                </c:pt>
                <c:pt idx="38">
                  <c:v>1.42</c:v>
                </c:pt>
                <c:pt idx="39">
                  <c:v>1.41</c:v>
                </c:pt>
                <c:pt idx="40">
                  <c:v>1.41</c:v>
                </c:pt>
                <c:pt idx="41">
                  <c:v>1.39</c:v>
                </c:pt>
                <c:pt idx="42">
                  <c:v>1.42</c:v>
                </c:pt>
                <c:pt idx="43">
                  <c:v>1.39</c:v>
                </c:pt>
                <c:pt idx="44">
                  <c:v>1.37</c:v>
                </c:pt>
                <c:pt idx="45">
                  <c:v>1.35</c:v>
                </c:pt>
                <c:pt idx="46">
                  <c:v>1.34</c:v>
                </c:pt>
                <c:pt idx="47">
                  <c:v>1.32</c:v>
                </c:pt>
                <c:pt idx="48">
                  <c:v>1.29</c:v>
                </c:pt>
              </c:numCache>
            </c:numRef>
          </c:val>
          <c:smooth val="0"/>
          <c:extLst>
            <c:ext xmlns:c16="http://schemas.microsoft.com/office/drawing/2014/chart" uri="{C3380CC4-5D6E-409C-BE32-E72D297353CC}">
              <c16:uniqueId val="{00000000-697E-4749-81D8-101C6D046090}"/>
            </c:ext>
          </c:extLst>
        </c:ser>
        <c:ser>
          <c:idx val="1"/>
          <c:order val="1"/>
          <c:tx>
            <c:strRef>
              <c:f>Sheet2!$K$1</c:f>
              <c:strCache>
                <c:ptCount val="1"/>
                <c:pt idx="0">
                  <c:v>Spain</c:v>
                </c:pt>
              </c:strCache>
            </c:strRef>
          </c:tx>
          <c:spPr>
            <a:ln w="28575" cap="rnd">
              <a:solidFill>
                <a:srgbClr val="FFC000"/>
              </a:solidFill>
              <a:round/>
            </a:ln>
            <a:effectLst/>
          </c:spPr>
          <c:marker>
            <c:symbol val="none"/>
          </c:marker>
          <c:cat>
            <c:numRef>
              <c:f>Sheet2!$I$2:$I$50</c:f>
              <c:numCache>
                <c:formatCode>General</c:formatCode>
                <c:ptCount val="49"/>
                <c:pt idx="0">
                  <c:v>1970</c:v>
                </c:pt>
                <c:pt idx="5">
                  <c:v>1975</c:v>
                </c:pt>
                <c:pt idx="10">
                  <c:v>1980</c:v>
                </c:pt>
                <c:pt idx="15">
                  <c:v>1985</c:v>
                </c:pt>
                <c:pt idx="20">
                  <c:v>1990</c:v>
                </c:pt>
                <c:pt idx="25">
                  <c:v>1995</c:v>
                </c:pt>
                <c:pt idx="30">
                  <c:v>2000</c:v>
                </c:pt>
                <c:pt idx="35">
                  <c:v>2005</c:v>
                </c:pt>
                <c:pt idx="40">
                  <c:v>2010</c:v>
                </c:pt>
                <c:pt idx="45">
                  <c:v>2015</c:v>
                </c:pt>
              </c:numCache>
            </c:numRef>
          </c:cat>
          <c:val>
            <c:numRef>
              <c:f>Sheet2!$K$2:$K$50</c:f>
              <c:numCache>
                <c:formatCode>General</c:formatCode>
                <c:ptCount val="49"/>
                <c:pt idx="0">
                  <c:v>2.9</c:v>
                </c:pt>
                <c:pt idx="1">
                  <c:v>2.88</c:v>
                </c:pt>
                <c:pt idx="2">
                  <c:v>2.86</c:v>
                </c:pt>
                <c:pt idx="3">
                  <c:v>2.84</c:v>
                </c:pt>
                <c:pt idx="4">
                  <c:v>2.89</c:v>
                </c:pt>
                <c:pt idx="5">
                  <c:v>2.8</c:v>
                </c:pt>
                <c:pt idx="6">
                  <c:v>2.8</c:v>
                </c:pt>
                <c:pt idx="7">
                  <c:v>2.67</c:v>
                </c:pt>
                <c:pt idx="8">
                  <c:v>2.5499999999999998</c:v>
                </c:pt>
                <c:pt idx="9">
                  <c:v>2.37</c:v>
                </c:pt>
                <c:pt idx="10">
                  <c:v>2.2200000000000002</c:v>
                </c:pt>
                <c:pt idx="11">
                  <c:v>2.04</c:v>
                </c:pt>
                <c:pt idx="12">
                  <c:v>1.94</c:v>
                </c:pt>
                <c:pt idx="13">
                  <c:v>1.8</c:v>
                </c:pt>
                <c:pt idx="14">
                  <c:v>1.73</c:v>
                </c:pt>
                <c:pt idx="15">
                  <c:v>1.64</c:v>
                </c:pt>
                <c:pt idx="16">
                  <c:v>1.56</c:v>
                </c:pt>
                <c:pt idx="17">
                  <c:v>1.5</c:v>
                </c:pt>
                <c:pt idx="18">
                  <c:v>1.45</c:v>
                </c:pt>
                <c:pt idx="19">
                  <c:v>1.4</c:v>
                </c:pt>
                <c:pt idx="20">
                  <c:v>1.36</c:v>
                </c:pt>
                <c:pt idx="21">
                  <c:v>1.33</c:v>
                </c:pt>
                <c:pt idx="22">
                  <c:v>1.32</c:v>
                </c:pt>
                <c:pt idx="23">
                  <c:v>1.27</c:v>
                </c:pt>
                <c:pt idx="24">
                  <c:v>1.2</c:v>
                </c:pt>
                <c:pt idx="25">
                  <c:v>1.17</c:v>
                </c:pt>
                <c:pt idx="26">
                  <c:v>1.1599999999999999</c:v>
                </c:pt>
                <c:pt idx="27">
                  <c:v>1.18</c:v>
                </c:pt>
                <c:pt idx="28">
                  <c:v>1.1599999999999999</c:v>
                </c:pt>
                <c:pt idx="29">
                  <c:v>1.19</c:v>
                </c:pt>
                <c:pt idx="30">
                  <c:v>1.23</c:v>
                </c:pt>
                <c:pt idx="31">
                  <c:v>1.24</c:v>
                </c:pt>
                <c:pt idx="32">
                  <c:v>1.25</c:v>
                </c:pt>
                <c:pt idx="33">
                  <c:v>1.3</c:v>
                </c:pt>
                <c:pt idx="34">
                  <c:v>1.31</c:v>
                </c:pt>
                <c:pt idx="35">
                  <c:v>1.33</c:v>
                </c:pt>
                <c:pt idx="36">
                  <c:v>1.36</c:v>
                </c:pt>
                <c:pt idx="37">
                  <c:v>1.38</c:v>
                </c:pt>
                <c:pt idx="38">
                  <c:v>1.45</c:v>
                </c:pt>
                <c:pt idx="39">
                  <c:v>1.38</c:v>
                </c:pt>
                <c:pt idx="40">
                  <c:v>1.37</c:v>
                </c:pt>
                <c:pt idx="41">
                  <c:v>1.34</c:v>
                </c:pt>
                <c:pt idx="42">
                  <c:v>1.32</c:v>
                </c:pt>
                <c:pt idx="43">
                  <c:v>1.27</c:v>
                </c:pt>
                <c:pt idx="44">
                  <c:v>1.32</c:v>
                </c:pt>
                <c:pt idx="45">
                  <c:v>1.33</c:v>
                </c:pt>
                <c:pt idx="46">
                  <c:v>1.34</c:v>
                </c:pt>
                <c:pt idx="47">
                  <c:v>1.31</c:v>
                </c:pt>
                <c:pt idx="48">
                  <c:v>1.26</c:v>
                </c:pt>
              </c:numCache>
            </c:numRef>
          </c:val>
          <c:smooth val="0"/>
          <c:extLst>
            <c:ext xmlns:c16="http://schemas.microsoft.com/office/drawing/2014/chart" uri="{C3380CC4-5D6E-409C-BE32-E72D297353CC}">
              <c16:uniqueId val="{00000001-697E-4749-81D8-101C6D046090}"/>
            </c:ext>
          </c:extLst>
        </c:ser>
        <c:ser>
          <c:idx val="2"/>
          <c:order val="2"/>
          <c:tx>
            <c:strRef>
              <c:f>Sheet2!$L$1</c:f>
              <c:strCache>
                <c:ptCount val="1"/>
                <c:pt idx="0">
                  <c:v>Greece</c:v>
                </c:pt>
              </c:strCache>
            </c:strRef>
          </c:tx>
          <c:spPr>
            <a:ln w="28575" cap="rnd">
              <a:solidFill>
                <a:srgbClr val="0070C0"/>
              </a:solidFill>
              <a:round/>
            </a:ln>
            <a:effectLst/>
          </c:spPr>
          <c:marker>
            <c:symbol val="none"/>
          </c:marker>
          <c:cat>
            <c:numRef>
              <c:f>Sheet2!$I$2:$I$50</c:f>
              <c:numCache>
                <c:formatCode>General</c:formatCode>
                <c:ptCount val="49"/>
                <c:pt idx="0">
                  <c:v>1970</c:v>
                </c:pt>
                <c:pt idx="5">
                  <c:v>1975</c:v>
                </c:pt>
                <c:pt idx="10">
                  <c:v>1980</c:v>
                </c:pt>
                <c:pt idx="15">
                  <c:v>1985</c:v>
                </c:pt>
                <c:pt idx="20">
                  <c:v>1990</c:v>
                </c:pt>
                <c:pt idx="25">
                  <c:v>1995</c:v>
                </c:pt>
                <c:pt idx="30">
                  <c:v>2000</c:v>
                </c:pt>
                <c:pt idx="35">
                  <c:v>2005</c:v>
                </c:pt>
                <c:pt idx="40">
                  <c:v>2010</c:v>
                </c:pt>
                <c:pt idx="45">
                  <c:v>2015</c:v>
                </c:pt>
              </c:numCache>
            </c:numRef>
          </c:cat>
          <c:val>
            <c:numRef>
              <c:f>Sheet2!$L$2:$L$50</c:f>
              <c:numCache>
                <c:formatCode>General</c:formatCode>
                <c:ptCount val="49"/>
                <c:pt idx="0">
                  <c:v>2.4</c:v>
                </c:pt>
                <c:pt idx="1">
                  <c:v>2.3199999999999998</c:v>
                </c:pt>
                <c:pt idx="2">
                  <c:v>2.3199999999999998</c:v>
                </c:pt>
                <c:pt idx="3">
                  <c:v>2.27</c:v>
                </c:pt>
                <c:pt idx="4">
                  <c:v>2.38</c:v>
                </c:pt>
                <c:pt idx="5">
                  <c:v>2.33</c:v>
                </c:pt>
                <c:pt idx="6">
                  <c:v>2.35</c:v>
                </c:pt>
                <c:pt idx="7">
                  <c:v>2.27</c:v>
                </c:pt>
                <c:pt idx="8">
                  <c:v>2.2799999999999998</c:v>
                </c:pt>
                <c:pt idx="9">
                  <c:v>2.2599999999999998</c:v>
                </c:pt>
                <c:pt idx="10">
                  <c:v>2.23</c:v>
                </c:pt>
                <c:pt idx="11">
                  <c:v>2.1</c:v>
                </c:pt>
                <c:pt idx="12">
                  <c:v>2.0299999999999998</c:v>
                </c:pt>
                <c:pt idx="13">
                  <c:v>1.94</c:v>
                </c:pt>
                <c:pt idx="14">
                  <c:v>1.82</c:v>
                </c:pt>
                <c:pt idx="15">
                  <c:v>1.68</c:v>
                </c:pt>
                <c:pt idx="16">
                  <c:v>1.6</c:v>
                </c:pt>
                <c:pt idx="17">
                  <c:v>1.5</c:v>
                </c:pt>
                <c:pt idx="18">
                  <c:v>1.5</c:v>
                </c:pt>
                <c:pt idx="19">
                  <c:v>1.4</c:v>
                </c:pt>
                <c:pt idx="20">
                  <c:v>1.39</c:v>
                </c:pt>
                <c:pt idx="21">
                  <c:v>1.37</c:v>
                </c:pt>
                <c:pt idx="22">
                  <c:v>1.36</c:v>
                </c:pt>
                <c:pt idx="23">
                  <c:v>1.32</c:v>
                </c:pt>
                <c:pt idx="24">
                  <c:v>1.33</c:v>
                </c:pt>
                <c:pt idx="25">
                  <c:v>1.28</c:v>
                </c:pt>
                <c:pt idx="26">
                  <c:v>1.26</c:v>
                </c:pt>
                <c:pt idx="27">
                  <c:v>1.27</c:v>
                </c:pt>
                <c:pt idx="28">
                  <c:v>1.24</c:v>
                </c:pt>
                <c:pt idx="29">
                  <c:v>1.23</c:v>
                </c:pt>
                <c:pt idx="30">
                  <c:v>1.25</c:v>
                </c:pt>
                <c:pt idx="31">
                  <c:v>1.25</c:v>
                </c:pt>
                <c:pt idx="32">
                  <c:v>1.28</c:v>
                </c:pt>
                <c:pt idx="33">
                  <c:v>1.29</c:v>
                </c:pt>
                <c:pt idx="34">
                  <c:v>1.31</c:v>
                </c:pt>
                <c:pt idx="35">
                  <c:v>1.34</c:v>
                </c:pt>
                <c:pt idx="36">
                  <c:v>1.4</c:v>
                </c:pt>
                <c:pt idx="37">
                  <c:v>1.41</c:v>
                </c:pt>
                <c:pt idx="38">
                  <c:v>1.5</c:v>
                </c:pt>
                <c:pt idx="39">
                  <c:v>1.5</c:v>
                </c:pt>
                <c:pt idx="40">
                  <c:v>1.48</c:v>
                </c:pt>
                <c:pt idx="41">
                  <c:v>1.4</c:v>
                </c:pt>
                <c:pt idx="42">
                  <c:v>1.34</c:v>
                </c:pt>
                <c:pt idx="43">
                  <c:v>1.29</c:v>
                </c:pt>
                <c:pt idx="44">
                  <c:v>1.3</c:v>
                </c:pt>
                <c:pt idx="45">
                  <c:v>1.33</c:v>
                </c:pt>
                <c:pt idx="46">
                  <c:v>1.38</c:v>
                </c:pt>
                <c:pt idx="47">
                  <c:v>1.35</c:v>
                </c:pt>
                <c:pt idx="48">
                  <c:v>1.35</c:v>
                </c:pt>
              </c:numCache>
            </c:numRef>
          </c:val>
          <c:smooth val="0"/>
          <c:extLst>
            <c:ext xmlns:c16="http://schemas.microsoft.com/office/drawing/2014/chart" uri="{C3380CC4-5D6E-409C-BE32-E72D297353CC}">
              <c16:uniqueId val="{00000002-697E-4749-81D8-101C6D046090}"/>
            </c:ext>
          </c:extLst>
        </c:ser>
        <c:ser>
          <c:idx val="3"/>
          <c:order val="3"/>
          <c:tx>
            <c:strRef>
              <c:f>Sheet2!$M$1</c:f>
              <c:strCache>
                <c:ptCount val="1"/>
                <c:pt idx="0">
                  <c:v>Japan</c:v>
                </c:pt>
              </c:strCache>
            </c:strRef>
          </c:tx>
          <c:spPr>
            <a:ln w="28575" cap="rnd">
              <a:solidFill>
                <a:srgbClr val="FF0000"/>
              </a:solidFill>
              <a:prstDash val="sysDot"/>
              <a:round/>
            </a:ln>
            <a:effectLst/>
          </c:spPr>
          <c:marker>
            <c:symbol val="none"/>
          </c:marker>
          <c:cat>
            <c:numRef>
              <c:f>Sheet2!$I$2:$I$50</c:f>
              <c:numCache>
                <c:formatCode>General</c:formatCode>
                <c:ptCount val="49"/>
                <c:pt idx="0">
                  <c:v>1970</c:v>
                </c:pt>
                <c:pt idx="5">
                  <c:v>1975</c:v>
                </c:pt>
                <c:pt idx="10">
                  <c:v>1980</c:v>
                </c:pt>
                <c:pt idx="15">
                  <c:v>1985</c:v>
                </c:pt>
                <c:pt idx="20">
                  <c:v>1990</c:v>
                </c:pt>
                <c:pt idx="25">
                  <c:v>1995</c:v>
                </c:pt>
                <c:pt idx="30">
                  <c:v>2000</c:v>
                </c:pt>
                <c:pt idx="35">
                  <c:v>2005</c:v>
                </c:pt>
                <c:pt idx="40">
                  <c:v>2010</c:v>
                </c:pt>
                <c:pt idx="45">
                  <c:v>2015</c:v>
                </c:pt>
              </c:numCache>
            </c:numRef>
          </c:cat>
          <c:val>
            <c:numRef>
              <c:f>Sheet2!$M$2:$M$50</c:f>
              <c:numCache>
                <c:formatCode>General</c:formatCode>
                <c:ptCount val="49"/>
                <c:pt idx="0">
                  <c:v>2.13</c:v>
                </c:pt>
                <c:pt idx="1">
                  <c:v>2.16</c:v>
                </c:pt>
                <c:pt idx="2">
                  <c:v>2.14</c:v>
                </c:pt>
                <c:pt idx="3">
                  <c:v>2.14</c:v>
                </c:pt>
                <c:pt idx="4">
                  <c:v>2.0499999999999998</c:v>
                </c:pt>
                <c:pt idx="5">
                  <c:v>1.91</c:v>
                </c:pt>
                <c:pt idx="6">
                  <c:v>1.85</c:v>
                </c:pt>
                <c:pt idx="7">
                  <c:v>1.8</c:v>
                </c:pt>
                <c:pt idx="8">
                  <c:v>1.79</c:v>
                </c:pt>
                <c:pt idx="9">
                  <c:v>1.77</c:v>
                </c:pt>
                <c:pt idx="10">
                  <c:v>1.75</c:v>
                </c:pt>
                <c:pt idx="11">
                  <c:v>1.74</c:v>
                </c:pt>
                <c:pt idx="12">
                  <c:v>1.77</c:v>
                </c:pt>
                <c:pt idx="13">
                  <c:v>1.8</c:v>
                </c:pt>
                <c:pt idx="14">
                  <c:v>1.81</c:v>
                </c:pt>
                <c:pt idx="15">
                  <c:v>1.76</c:v>
                </c:pt>
                <c:pt idx="16">
                  <c:v>1.72</c:v>
                </c:pt>
                <c:pt idx="17">
                  <c:v>1.69</c:v>
                </c:pt>
                <c:pt idx="18">
                  <c:v>1.66</c:v>
                </c:pt>
                <c:pt idx="19">
                  <c:v>1.57</c:v>
                </c:pt>
                <c:pt idx="20">
                  <c:v>1.54</c:v>
                </c:pt>
                <c:pt idx="21">
                  <c:v>1.53</c:v>
                </c:pt>
                <c:pt idx="22">
                  <c:v>1.5</c:v>
                </c:pt>
                <c:pt idx="23">
                  <c:v>1.46</c:v>
                </c:pt>
                <c:pt idx="24">
                  <c:v>1.5</c:v>
                </c:pt>
                <c:pt idx="25">
                  <c:v>1.42</c:v>
                </c:pt>
                <c:pt idx="26">
                  <c:v>1.43</c:v>
                </c:pt>
                <c:pt idx="27">
                  <c:v>1.39</c:v>
                </c:pt>
                <c:pt idx="28">
                  <c:v>1.38</c:v>
                </c:pt>
                <c:pt idx="29">
                  <c:v>1.34</c:v>
                </c:pt>
                <c:pt idx="30">
                  <c:v>1.36</c:v>
                </c:pt>
                <c:pt idx="31">
                  <c:v>1.33</c:v>
                </c:pt>
                <c:pt idx="32">
                  <c:v>1.32</c:v>
                </c:pt>
                <c:pt idx="33">
                  <c:v>1.29</c:v>
                </c:pt>
                <c:pt idx="34">
                  <c:v>1.29</c:v>
                </c:pt>
                <c:pt idx="35">
                  <c:v>1.26</c:v>
                </c:pt>
                <c:pt idx="36">
                  <c:v>1.32</c:v>
                </c:pt>
                <c:pt idx="37">
                  <c:v>1.34</c:v>
                </c:pt>
                <c:pt idx="38">
                  <c:v>1.37</c:v>
                </c:pt>
                <c:pt idx="39">
                  <c:v>1.37</c:v>
                </c:pt>
                <c:pt idx="40">
                  <c:v>1.39</c:v>
                </c:pt>
                <c:pt idx="41">
                  <c:v>1.39</c:v>
                </c:pt>
                <c:pt idx="42">
                  <c:v>1.41</c:v>
                </c:pt>
                <c:pt idx="43">
                  <c:v>1.43</c:v>
                </c:pt>
                <c:pt idx="44">
                  <c:v>1.42</c:v>
                </c:pt>
                <c:pt idx="45">
                  <c:v>1.45</c:v>
                </c:pt>
                <c:pt idx="46">
                  <c:v>1.44</c:v>
                </c:pt>
                <c:pt idx="47">
                  <c:v>1.43</c:v>
                </c:pt>
                <c:pt idx="48">
                  <c:v>1.42</c:v>
                </c:pt>
              </c:numCache>
            </c:numRef>
          </c:val>
          <c:smooth val="0"/>
          <c:extLst>
            <c:ext xmlns:c16="http://schemas.microsoft.com/office/drawing/2014/chart" uri="{C3380CC4-5D6E-409C-BE32-E72D297353CC}">
              <c16:uniqueId val="{00000003-697E-4749-81D8-101C6D046090}"/>
            </c:ext>
          </c:extLst>
        </c:ser>
        <c:ser>
          <c:idx val="4"/>
          <c:order val="4"/>
          <c:tx>
            <c:strRef>
              <c:f>Sheet2!$N$1</c:f>
              <c:strCache>
                <c:ptCount val="1"/>
                <c:pt idx="0">
                  <c:v>South Korea</c:v>
                </c:pt>
              </c:strCache>
            </c:strRef>
          </c:tx>
          <c:spPr>
            <a:ln w="28575" cap="rnd">
              <a:solidFill>
                <a:srgbClr val="FF0000"/>
              </a:solidFill>
              <a:round/>
            </a:ln>
            <a:effectLst/>
          </c:spPr>
          <c:marker>
            <c:symbol val="none"/>
          </c:marker>
          <c:cat>
            <c:numRef>
              <c:f>Sheet2!$I$2:$I$50</c:f>
              <c:numCache>
                <c:formatCode>General</c:formatCode>
                <c:ptCount val="49"/>
                <c:pt idx="0">
                  <c:v>1970</c:v>
                </c:pt>
                <c:pt idx="5">
                  <c:v>1975</c:v>
                </c:pt>
                <c:pt idx="10">
                  <c:v>1980</c:v>
                </c:pt>
                <c:pt idx="15">
                  <c:v>1985</c:v>
                </c:pt>
                <c:pt idx="20">
                  <c:v>1990</c:v>
                </c:pt>
                <c:pt idx="25">
                  <c:v>1995</c:v>
                </c:pt>
                <c:pt idx="30">
                  <c:v>2000</c:v>
                </c:pt>
                <c:pt idx="35">
                  <c:v>2005</c:v>
                </c:pt>
                <c:pt idx="40">
                  <c:v>2010</c:v>
                </c:pt>
                <c:pt idx="45">
                  <c:v>2015</c:v>
                </c:pt>
              </c:numCache>
            </c:numRef>
          </c:cat>
          <c:val>
            <c:numRef>
              <c:f>Sheet2!$N$2:$N$50</c:f>
              <c:numCache>
                <c:formatCode>General</c:formatCode>
                <c:ptCount val="49"/>
                <c:pt idx="0">
                  <c:v>4.53</c:v>
                </c:pt>
                <c:pt idx="1">
                  <c:v>4.54</c:v>
                </c:pt>
                <c:pt idx="2">
                  <c:v>4.12</c:v>
                </c:pt>
                <c:pt idx="3">
                  <c:v>4.07</c:v>
                </c:pt>
                <c:pt idx="4">
                  <c:v>3.77</c:v>
                </c:pt>
                <c:pt idx="5">
                  <c:v>3.43</c:v>
                </c:pt>
                <c:pt idx="6">
                  <c:v>3</c:v>
                </c:pt>
                <c:pt idx="7">
                  <c:v>2.99</c:v>
                </c:pt>
                <c:pt idx="8">
                  <c:v>2.64</c:v>
                </c:pt>
                <c:pt idx="9">
                  <c:v>2.9</c:v>
                </c:pt>
                <c:pt idx="10">
                  <c:v>2.82</c:v>
                </c:pt>
                <c:pt idx="11">
                  <c:v>2.57</c:v>
                </c:pt>
                <c:pt idx="12">
                  <c:v>2.39</c:v>
                </c:pt>
                <c:pt idx="13">
                  <c:v>2.06</c:v>
                </c:pt>
                <c:pt idx="14">
                  <c:v>1.74</c:v>
                </c:pt>
                <c:pt idx="15">
                  <c:v>1.66</c:v>
                </c:pt>
                <c:pt idx="16">
                  <c:v>1.58</c:v>
                </c:pt>
                <c:pt idx="17">
                  <c:v>1.53</c:v>
                </c:pt>
                <c:pt idx="18">
                  <c:v>1.55</c:v>
                </c:pt>
                <c:pt idx="19">
                  <c:v>1.56</c:v>
                </c:pt>
                <c:pt idx="20">
                  <c:v>1.57</c:v>
                </c:pt>
                <c:pt idx="21">
                  <c:v>1.71</c:v>
                </c:pt>
                <c:pt idx="22">
                  <c:v>1.76</c:v>
                </c:pt>
                <c:pt idx="23">
                  <c:v>1.65</c:v>
                </c:pt>
                <c:pt idx="24">
                  <c:v>1.66</c:v>
                </c:pt>
                <c:pt idx="25">
                  <c:v>1.63</c:v>
                </c:pt>
                <c:pt idx="26">
                  <c:v>1.57</c:v>
                </c:pt>
                <c:pt idx="27">
                  <c:v>1.54</c:v>
                </c:pt>
                <c:pt idx="28">
                  <c:v>1.46</c:v>
                </c:pt>
                <c:pt idx="29">
                  <c:v>1.43</c:v>
                </c:pt>
                <c:pt idx="30">
                  <c:v>1.48</c:v>
                </c:pt>
                <c:pt idx="31">
                  <c:v>1.31</c:v>
                </c:pt>
                <c:pt idx="32">
                  <c:v>1.18</c:v>
                </c:pt>
                <c:pt idx="33">
                  <c:v>1.19</c:v>
                </c:pt>
                <c:pt idx="34">
                  <c:v>1.1599999999999999</c:v>
                </c:pt>
                <c:pt idx="35">
                  <c:v>1.0900000000000001</c:v>
                </c:pt>
                <c:pt idx="36">
                  <c:v>1.1299999999999999</c:v>
                </c:pt>
                <c:pt idx="37">
                  <c:v>1.26</c:v>
                </c:pt>
                <c:pt idx="38">
                  <c:v>1.19</c:v>
                </c:pt>
                <c:pt idx="39">
                  <c:v>1.1499999999999999</c:v>
                </c:pt>
                <c:pt idx="40">
                  <c:v>1.23</c:v>
                </c:pt>
                <c:pt idx="41">
                  <c:v>1.24</c:v>
                </c:pt>
                <c:pt idx="42">
                  <c:v>1.3</c:v>
                </c:pt>
                <c:pt idx="43">
                  <c:v>1.19</c:v>
                </c:pt>
                <c:pt idx="44">
                  <c:v>1.21</c:v>
                </c:pt>
                <c:pt idx="45">
                  <c:v>1.24</c:v>
                </c:pt>
                <c:pt idx="46">
                  <c:v>1.17</c:v>
                </c:pt>
                <c:pt idx="47">
                  <c:v>1.05</c:v>
                </c:pt>
                <c:pt idx="48">
                  <c:v>0.98</c:v>
                </c:pt>
              </c:numCache>
            </c:numRef>
          </c:val>
          <c:smooth val="0"/>
          <c:extLst>
            <c:ext xmlns:c16="http://schemas.microsoft.com/office/drawing/2014/chart" uri="{C3380CC4-5D6E-409C-BE32-E72D297353CC}">
              <c16:uniqueId val="{00000004-697E-4749-81D8-101C6D046090}"/>
            </c:ext>
          </c:extLst>
        </c:ser>
        <c:dLbls>
          <c:showLegendKey val="0"/>
          <c:showVal val="0"/>
          <c:showCatName val="0"/>
          <c:showSerName val="0"/>
          <c:showPercent val="0"/>
          <c:showBubbleSize val="0"/>
        </c:dLbls>
        <c:smooth val="0"/>
        <c:axId val="507588096"/>
        <c:axId val="507584488"/>
      </c:lineChart>
      <c:catAx>
        <c:axId val="507588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84488"/>
        <c:crosses val="autoZero"/>
        <c:auto val="1"/>
        <c:lblAlgn val="ctr"/>
        <c:lblOffset val="100"/>
        <c:noMultiLvlLbl val="0"/>
      </c:catAx>
      <c:valAx>
        <c:axId val="507584488"/>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fertility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88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latin typeface="Tw Cen MT" panose="020B0602020104020603" pitchFamily="34" charset="0"/>
              </a:rPr>
              <a:t>"High"</a:t>
            </a:r>
            <a:r>
              <a:rPr lang="en-AU" sz="1100" baseline="0">
                <a:latin typeface="Tw Cen MT" panose="020B0602020104020603" pitchFamily="34" charset="0"/>
              </a:rPr>
              <a:t> fertility</a:t>
            </a:r>
            <a:endParaRPr lang="en-AU" sz="1100">
              <a:latin typeface="Tw Cen MT" panose="020B0602020104020603" pitchFamily="34" charset="0"/>
            </a:endParaRPr>
          </a:p>
        </c:rich>
      </c:tx>
      <c:layout>
        <c:manualLayout>
          <c:xMode val="edge"/>
          <c:yMode val="edge"/>
          <c:x val="0.36722216090939191"/>
          <c:y val="5.5555555555555552E-2"/>
        </c:manualLayout>
      </c:layout>
      <c:overlay val="1"/>
      <c:spPr>
        <a:solidFill>
          <a:schemeClr val="bg1"/>
        </a:solidFill>
        <a:ln>
          <a:solidFill>
            <a:schemeClr val="bg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'[TFR for Ester.xlsx]Sheet2 (2)'!$Q$1</c:f>
              <c:strCache>
                <c:ptCount val="1"/>
                <c:pt idx="0">
                  <c:v>Denmark</c:v>
                </c:pt>
              </c:strCache>
            </c:strRef>
          </c:tx>
          <c:spPr>
            <a:ln w="28575" cap="rnd">
              <a:solidFill>
                <a:srgbClr val="0070C0"/>
              </a:solidFill>
              <a:round/>
            </a:ln>
            <a:effectLst/>
          </c:spPr>
          <c:marker>
            <c:symbol val="none"/>
          </c:marker>
          <c:cat>
            <c:numRef>
              <c:f>'[2]Sheet2 (2)'!$P$2:$P$51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'[2]Sheet2 (2)'!$Q$2:$Q$51</c:f>
              <c:numCache>
                <c:formatCode>General</c:formatCode>
                <c:ptCount val="50"/>
                <c:pt idx="0">
                  <c:v>1.95</c:v>
                </c:pt>
                <c:pt idx="1">
                  <c:v>2.04</c:v>
                </c:pt>
                <c:pt idx="2">
                  <c:v>2.0299999999999998</c:v>
                </c:pt>
                <c:pt idx="3">
                  <c:v>1.92</c:v>
                </c:pt>
                <c:pt idx="4">
                  <c:v>1.9</c:v>
                </c:pt>
                <c:pt idx="5">
                  <c:v>1.92</c:v>
                </c:pt>
                <c:pt idx="6">
                  <c:v>1.75</c:v>
                </c:pt>
                <c:pt idx="7">
                  <c:v>1.66</c:v>
                </c:pt>
                <c:pt idx="8">
                  <c:v>1.67</c:v>
                </c:pt>
                <c:pt idx="9">
                  <c:v>1.6</c:v>
                </c:pt>
                <c:pt idx="10">
                  <c:v>1.55</c:v>
                </c:pt>
                <c:pt idx="11">
                  <c:v>1.44</c:v>
                </c:pt>
                <c:pt idx="12">
                  <c:v>1.43</c:v>
                </c:pt>
                <c:pt idx="13">
                  <c:v>1.38</c:v>
                </c:pt>
                <c:pt idx="14">
                  <c:v>1.4</c:v>
                </c:pt>
                <c:pt idx="15">
                  <c:v>1.45</c:v>
                </c:pt>
                <c:pt idx="16">
                  <c:v>1.48</c:v>
                </c:pt>
                <c:pt idx="17">
                  <c:v>1.5</c:v>
                </c:pt>
                <c:pt idx="18">
                  <c:v>1.56</c:v>
                </c:pt>
                <c:pt idx="19">
                  <c:v>1.62</c:v>
                </c:pt>
                <c:pt idx="20">
                  <c:v>1.67</c:v>
                </c:pt>
                <c:pt idx="21">
                  <c:v>1.68</c:v>
                </c:pt>
                <c:pt idx="22">
                  <c:v>1.76</c:v>
                </c:pt>
                <c:pt idx="23">
                  <c:v>1.75</c:v>
                </c:pt>
                <c:pt idx="24">
                  <c:v>1.81</c:v>
                </c:pt>
                <c:pt idx="25">
                  <c:v>1.81</c:v>
                </c:pt>
                <c:pt idx="26">
                  <c:v>1.75</c:v>
                </c:pt>
                <c:pt idx="27">
                  <c:v>1.76</c:v>
                </c:pt>
                <c:pt idx="28">
                  <c:v>1.73</c:v>
                </c:pt>
                <c:pt idx="29">
                  <c:v>1.74</c:v>
                </c:pt>
                <c:pt idx="30">
                  <c:v>1.77</c:v>
                </c:pt>
                <c:pt idx="31">
                  <c:v>1.75</c:v>
                </c:pt>
                <c:pt idx="32">
                  <c:v>1.72</c:v>
                </c:pt>
                <c:pt idx="33">
                  <c:v>1.76</c:v>
                </c:pt>
                <c:pt idx="34">
                  <c:v>1.79</c:v>
                </c:pt>
                <c:pt idx="35">
                  <c:v>1.8</c:v>
                </c:pt>
                <c:pt idx="36">
                  <c:v>1.85</c:v>
                </c:pt>
                <c:pt idx="37">
                  <c:v>1.84</c:v>
                </c:pt>
                <c:pt idx="38">
                  <c:v>1.89</c:v>
                </c:pt>
                <c:pt idx="39">
                  <c:v>1.84</c:v>
                </c:pt>
                <c:pt idx="40">
                  <c:v>1.87</c:v>
                </c:pt>
                <c:pt idx="41">
                  <c:v>1.75</c:v>
                </c:pt>
                <c:pt idx="42">
                  <c:v>1.73</c:v>
                </c:pt>
                <c:pt idx="43">
                  <c:v>1.67</c:v>
                </c:pt>
                <c:pt idx="44">
                  <c:v>1.69</c:v>
                </c:pt>
                <c:pt idx="45">
                  <c:v>1.71</c:v>
                </c:pt>
                <c:pt idx="46">
                  <c:v>1.79</c:v>
                </c:pt>
                <c:pt idx="47">
                  <c:v>1.75</c:v>
                </c:pt>
                <c:pt idx="48">
                  <c:v>1.73</c:v>
                </c:pt>
                <c:pt idx="49">
                  <c:v>1.7</c:v>
                </c:pt>
              </c:numCache>
            </c:numRef>
          </c:val>
          <c:smooth val="0"/>
          <c:extLst>
            <c:ext xmlns:c16="http://schemas.microsoft.com/office/drawing/2014/chart" uri="{C3380CC4-5D6E-409C-BE32-E72D297353CC}">
              <c16:uniqueId val="{00000000-1039-4D93-84BF-ACFBE6B10A5D}"/>
            </c:ext>
          </c:extLst>
        </c:ser>
        <c:ser>
          <c:idx val="1"/>
          <c:order val="1"/>
          <c:tx>
            <c:strRef>
              <c:f>'[TFR for Ester.xlsx]Sheet2 (2)'!$R$1</c:f>
              <c:strCache>
                <c:ptCount val="1"/>
                <c:pt idx="0">
                  <c:v>Finland</c:v>
                </c:pt>
              </c:strCache>
            </c:strRef>
          </c:tx>
          <c:spPr>
            <a:ln w="28575" cap="rnd">
              <a:solidFill>
                <a:srgbClr val="0070C0"/>
              </a:solidFill>
              <a:prstDash val="sysDot"/>
              <a:round/>
            </a:ln>
            <a:effectLst/>
          </c:spPr>
          <c:marker>
            <c:symbol val="none"/>
          </c:marker>
          <c:cat>
            <c:numRef>
              <c:f>'[2]Sheet2 (2)'!$P$2:$P$51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'[2]Sheet2 (2)'!$R$2:$R$51</c:f>
              <c:numCache>
                <c:formatCode>General</c:formatCode>
                <c:ptCount val="50"/>
                <c:pt idx="0">
                  <c:v>1.83</c:v>
                </c:pt>
                <c:pt idx="1">
                  <c:v>1.7</c:v>
                </c:pt>
                <c:pt idx="2">
                  <c:v>1.59</c:v>
                </c:pt>
                <c:pt idx="3">
                  <c:v>1.5</c:v>
                </c:pt>
                <c:pt idx="4">
                  <c:v>1.62</c:v>
                </c:pt>
                <c:pt idx="5">
                  <c:v>1.69</c:v>
                </c:pt>
                <c:pt idx="6">
                  <c:v>1.72</c:v>
                </c:pt>
                <c:pt idx="7">
                  <c:v>1.69</c:v>
                </c:pt>
                <c:pt idx="8">
                  <c:v>1.65</c:v>
                </c:pt>
                <c:pt idx="9">
                  <c:v>1.64</c:v>
                </c:pt>
                <c:pt idx="10">
                  <c:v>1.63</c:v>
                </c:pt>
                <c:pt idx="11">
                  <c:v>1.65</c:v>
                </c:pt>
                <c:pt idx="12">
                  <c:v>1.72</c:v>
                </c:pt>
                <c:pt idx="13">
                  <c:v>1.74</c:v>
                </c:pt>
                <c:pt idx="14">
                  <c:v>1.7</c:v>
                </c:pt>
                <c:pt idx="15">
                  <c:v>1.64</c:v>
                </c:pt>
                <c:pt idx="16">
                  <c:v>1.6</c:v>
                </c:pt>
                <c:pt idx="17">
                  <c:v>1.59</c:v>
                </c:pt>
                <c:pt idx="18">
                  <c:v>1.7</c:v>
                </c:pt>
                <c:pt idx="19">
                  <c:v>1.71</c:v>
                </c:pt>
                <c:pt idx="20">
                  <c:v>1.79</c:v>
                </c:pt>
                <c:pt idx="21">
                  <c:v>1.8</c:v>
                </c:pt>
                <c:pt idx="22">
                  <c:v>1.85</c:v>
                </c:pt>
                <c:pt idx="23">
                  <c:v>1.81</c:v>
                </c:pt>
                <c:pt idx="24">
                  <c:v>1.85</c:v>
                </c:pt>
                <c:pt idx="25">
                  <c:v>1.81</c:v>
                </c:pt>
                <c:pt idx="26">
                  <c:v>1.76</c:v>
                </c:pt>
                <c:pt idx="27">
                  <c:v>1.75</c:v>
                </c:pt>
                <c:pt idx="28">
                  <c:v>1.71</c:v>
                </c:pt>
                <c:pt idx="29">
                  <c:v>1.73</c:v>
                </c:pt>
                <c:pt idx="30">
                  <c:v>1.73</c:v>
                </c:pt>
                <c:pt idx="31">
                  <c:v>1.73</c:v>
                </c:pt>
                <c:pt idx="32">
                  <c:v>1.72</c:v>
                </c:pt>
                <c:pt idx="33">
                  <c:v>1.76</c:v>
                </c:pt>
                <c:pt idx="34">
                  <c:v>1.8</c:v>
                </c:pt>
                <c:pt idx="35">
                  <c:v>1.8</c:v>
                </c:pt>
                <c:pt idx="36">
                  <c:v>1.84</c:v>
                </c:pt>
                <c:pt idx="37">
                  <c:v>1.83</c:v>
                </c:pt>
                <c:pt idx="38">
                  <c:v>1.85</c:v>
                </c:pt>
                <c:pt idx="39">
                  <c:v>1.86</c:v>
                </c:pt>
                <c:pt idx="40">
                  <c:v>1.87</c:v>
                </c:pt>
                <c:pt idx="41">
                  <c:v>1.83</c:v>
                </c:pt>
                <c:pt idx="42">
                  <c:v>1.8</c:v>
                </c:pt>
                <c:pt idx="43">
                  <c:v>1.75</c:v>
                </c:pt>
                <c:pt idx="44">
                  <c:v>1.71</c:v>
                </c:pt>
                <c:pt idx="45">
                  <c:v>1.65</c:v>
                </c:pt>
                <c:pt idx="46">
                  <c:v>1.57</c:v>
                </c:pt>
                <c:pt idx="47">
                  <c:v>1.49</c:v>
                </c:pt>
                <c:pt idx="48">
                  <c:v>1.41</c:v>
                </c:pt>
                <c:pt idx="49">
                  <c:v>1.35</c:v>
                </c:pt>
              </c:numCache>
            </c:numRef>
          </c:val>
          <c:smooth val="0"/>
          <c:extLst>
            <c:ext xmlns:c16="http://schemas.microsoft.com/office/drawing/2014/chart" uri="{C3380CC4-5D6E-409C-BE32-E72D297353CC}">
              <c16:uniqueId val="{00000001-1039-4D93-84BF-ACFBE6B10A5D}"/>
            </c:ext>
          </c:extLst>
        </c:ser>
        <c:ser>
          <c:idx val="2"/>
          <c:order val="2"/>
          <c:tx>
            <c:strRef>
              <c:f>'[TFR for Ester.xlsx]Sheet2 (2)'!$S$1</c:f>
              <c:strCache>
                <c:ptCount val="1"/>
                <c:pt idx="0">
                  <c:v>Norway</c:v>
                </c:pt>
              </c:strCache>
            </c:strRef>
          </c:tx>
          <c:spPr>
            <a:ln w="28575" cap="rnd">
              <a:solidFill>
                <a:srgbClr val="FFC000"/>
              </a:solidFill>
              <a:prstDash val="solid"/>
              <a:round/>
            </a:ln>
            <a:effectLst/>
          </c:spPr>
          <c:marker>
            <c:symbol val="none"/>
          </c:marker>
          <c:cat>
            <c:numRef>
              <c:f>'[2]Sheet2 (2)'!$P$2:$P$51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'[2]Sheet2 (2)'!$S$2:$S$51</c:f>
              <c:numCache>
                <c:formatCode>General</c:formatCode>
                <c:ptCount val="50"/>
                <c:pt idx="0">
                  <c:v>2.5</c:v>
                </c:pt>
                <c:pt idx="1">
                  <c:v>2.4900000000000002</c:v>
                </c:pt>
                <c:pt idx="2">
                  <c:v>2.38</c:v>
                </c:pt>
                <c:pt idx="3">
                  <c:v>2.23</c:v>
                </c:pt>
                <c:pt idx="4">
                  <c:v>2.13</c:v>
                </c:pt>
                <c:pt idx="5">
                  <c:v>1.98</c:v>
                </c:pt>
                <c:pt idx="6">
                  <c:v>1.86</c:v>
                </c:pt>
                <c:pt idx="7">
                  <c:v>1.75</c:v>
                </c:pt>
                <c:pt idx="8">
                  <c:v>1.77</c:v>
                </c:pt>
                <c:pt idx="9">
                  <c:v>1.75</c:v>
                </c:pt>
                <c:pt idx="10">
                  <c:v>1.72</c:v>
                </c:pt>
                <c:pt idx="11">
                  <c:v>1.7</c:v>
                </c:pt>
                <c:pt idx="12">
                  <c:v>1.71</c:v>
                </c:pt>
                <c:pt idx="13">
                  <c:v>1.66</c:v>
                </c:pt>
                <c:pt idx="14">
                  <c:v>1.66</c:v>
                </c:pt>
                <c:pt idx="15">
                  <c:v>1.68</c:v>
                </c:pt>
                <c:pt idx="16">
                  <c:v>1.71</c:v>
                </c:pt>
                <c:pt idx="17">
                  <c:v>1.75</c:v>
                </c:pt>
                <c:pt idx="18">
                  <c:v>1.84</c:v>
                </c:pt>
                <c:pt idx="19">
                  <c:v>1.89</c:v>
                </c:pt>
                <c:pt idx="20">
                  <c:v>1.93</c:v>
                </c:pt>
                <c:pt idx="21">
                  <c:v>1.92</c:v>
                </c:pt>
                <c:pt idx="22">
                  <c:v>1.89</c:v>
                </c:pt>
                <c:pt idx="23">
                  <c:v>1.86</c:v>
                </c:pt>
                <c:pt idx="24">
                  <c:v>1.87</c:v>
                </c:pt>
                <c:pt idx="25">
                  <c:v>1.87</c:v>
                </c:pt>
                <c:pt idx="26">
                  <c:v>1.89</c:v>
                </c:pt>
                <c:pt idx="27">
                  <c:v>1.86</c:v>
                </c:pt>
                <c:pt idx="28">
                  <c:v>1.81</c:v>
                </c:pt>
                <c:pt idx="29">
                  <c:v>1.85</c:v>
                </c:pt>
                <c:pt idx="30">
                  <c:v>1.85</c:v>
                </c:pt>
                <c:pt idx="31">
                  <c:v>1.78</c:v>
                </c:pt>
                <c:pt idx="32">
                  <c:v>1.75</c:v>
                </c:pt>
                <c:pt idx="33">
                  <c:v>1.8</c:v>
                </c:pt>
                <c:pt idx="34">
                  <c:v>1.83</c:v>
                </c:pt>
                <c:pt idx="35">
                  <c:v>1.84</c:v>
                </c:pt>
                <c:pt idx="36">
                  <c:v>1.9</c:v>
                </c:pt>
                <c:pt idx="37">
                  <c:v>1.9</c:v>
                </c:pt>
                <c:pt idx="38">
                  <c:v>1.96</c:v>
                </c:pt>
                <c:pt idx="39">
                  <c:v>1.98</c:v>
                </c:pt>
                <c:pt idx="40">
                  <c:v>1.95</c:v>
                </c:pt>
                <c:pt idx="41">
                  <c:v>1.88</c:v>
                </c:pt>
                <c:pt idx="42">
                  <c:v>1.85</c:v>
                </c:pt>
                <c:pt idx="43">
                  <c:v>1.78</c:v>
                </c:pt>
                <c:pt idx="44">
                  <c:v>1.76</c:v>
                </c:pt>
                <c:pt idx="45">
                  <c:v>1.73</c:v>
                </c:pt>
                <c:pt idx="46">
                  <c:v>1.71</c:v>
                </c:pt>
                <c:pt idx="47">
                  <c:v>1.62</c:v>
                </c:pt>
                <c:pt idx="48">
                  <c:v>1.56</c:v>
                </c:pt>
                <c:pt idx="49">
                  <c:v>1.53</c:v>
                </c:pt>
              </c:numCache>
            </c:numRef>
          </c:val>
          <c:smooth val="0"/>
          <c:extLst>
            <c:ext xmlns:c16="http://schemas.microsoft.com/office/drawing/2014/chart" uri="{C3380CC4-5D6E-409C-BE32-E72D297353CC}">
              <c16:uniqueId val="{00000002-1039-4D93-84BF-ACFBE6B10A5D}"/>
            </c:ext>
          </c:extLst>
        </c:ser>
        <c:ser>
          <c:idx val="3"/>
          <c:order val="3"/>
          <c:tx>
            <c:strRef>
              <c:f>'[TFR for Ester.xlsx]Sheet2 (2)'!$T$1</c:f>
              <c:strCache>
                <c:ptCount val="1"/>
                <c:pt idx="0">
                  <c:v>Sweden</c:v>
                </c:pt>
              </c:strCache>
            </c:strRef>
          </c:tx>
          <c:spPr>
            <a:ln w="28575" cap="rnd">
              <a:solidFill>
                <a:srgbClr val="FF0000"/>
              </a:solidFill>
              <a:prstDash val="sysDot"/>
              <a:round/>
            </a:ln>
            <a:effectLst/>
          </c:spPr>
          <c:marker>
            <c:symbol val="none"/>
          </c:marker>
          <c:cat>
            <c:numRef>
              <c:f>'[2]Sheet2 (2)'!$P$2:$P$51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'[2]Sheet2 (2)'!$T$2:$T$51</c:f>
              <c:numCache>
                <c:formatCode>General</c:formatCode>
                <c:ptCount val="50"/>
                <c:pt idx="0">
                  <c:v>1.94</c:v>
                </c:pt>
                <c:pt idx="1">
                  <c:v>1.96</c:v>
                </c:pt>
                <c:pt idx="2">
                  <c:v>1.91</c:v>
                </c:pt>
                <c:pt idx="3">
                  <c:v>1.86</c:v>
                </c:pt>
                <c:pt idx="4">
                  <c:v>1.87</c:v>
                </c:pt>
                <c:pt idx="5">
                  <c:v>1.77</c:v>
                </c:pt>
                <c:pt idx="6">
                  <c:v>1.68</c:v>
                </c:pt>
                <c:pt idx="7">
                  <c:v>1.64</c:v>
                </c:pt>
                <c:pt idx="8">
                  <c:v>1.6</c:v>
                </c:pt>
                <c:pt idx="9">
                  <c:v>1.66</c:v>
                </c:pt>
                <c:pt idx="10">
                  <c:v>1.68</c:v>
                </c:pt>
                <c:pt idx="11">
                  <c:v>1.63</c:v>
                </c:pt>
                <c:pt idx="12">
                  <c:v>1.62</c:v>
                </c:pt>
                <c:pt idx="13">
                  <c:v>1.61</c:v>
                </c:pt>
                <c:pt idx="14">
                  <c:v>1.65</c:v>
                </c:pt>
                <c:pt idx="15">
                  <c:v>1.73</c:v>
                </c:pt>
                <c:pt idx="16">
                  <c:v>1.79</c:v>
                </c:pt>
                <c:pt idx="17">
                  <c:v>1.84</c:v>
                </c:pt>
                <c:pt idx="18">
                  <c:v>1.96</c:v>
                </c:pt>
                <c:pt idx="19">
                  <c:v>2.02</c:v>
                </c:pt>
                <c:pt idx="20">
                  <c:v>2.14</c:v>
                </c:pt>
                <c:pt idx="21">
                  <c:v>2.12</c:v>
                </c:pt>
                <c:pt idx="22">
                  <c:v>2.09</c:v>
                </c:pt>
                <c:pt idx="23">
                  <c:v>2</c:v>
                </c:pt>
                <c:pt idx="24">
                  <c:v>1.89</c:v>
                </c:pt>
                <c:pt idx="25">
                  <c:v>1.74</c:v>
                </c:pt>
                <c:pt idx="26">
                  <c:v>1.61</c:v>
                </c:pt>
                <c:pt idx="27">
                  <c:v>1.53</c:v>
                </c:pt>
                <c:pt idx="28">
                  <c:v>1.51</c:v>
                </c:pt>
                <c:pt idx="29">
                  <c:v>1.5</c:v>
                </c:pt>
                <c:pt idx="30">
                  <c:v>1.55</c:v>
                </c:pt>
                <c:pt idx="31">
                  <c:v>1.57</c:v>
                </c:pt>
                <c:pt idx="32">
                  <c:v>1.65</c:v>
                </c:pt>
                <c:pt idx="33">
                  <c:v>1.72</c:v>
                </c:pt>
                <c:pt idx="34">
                  <c:v>1.75</c:v>
                </c:pt>
                <c:pt idx="35">
                  <c:v>1.77</c:v>
                </c:pt>
                <c:pt idx="36">
                  <c:v>1.85</c:v>
                </c:pt>
                <c:pt idx="37">
                  <c:v>1.88</c:v>
                </c:pt>
                <c:pt idx="38">
                  <c:v>1.91</c:v>
                </c:pt>
                <c:pt idx="39">
                  <c:v>1.94</c:v>
                </c:pt>
                <c:pt idx="40">
                  <c:v>1.98</c:v>
                </c:pt>
                <c:pt idx="41">
                  <c:v>1.9</c:v>
                </c:pt>
                <c:pt idx="42">
                  <c:v>1.91</c:v>
                </c:pt>
                <c:pt idx="43">
                  <c:v>1.89</c:v>
                </c:pt>
                <c:pt idx="44">
                  <c:v>1.88</c:v>
                </c:pt>
                <c:pt idx="45">
                  <c:v>1.85</c:v>
                </c:pt>
                <c:pt idx="46">
                  <c:v>1.85</c:v>
                </c:pt>
                <c:pt idx="47">
                  <c:v>1.78</c:v>
                </c:pt>
                <c:pt idx="48">
                  <c:v>1.75</c:v>
                </c:pt>
                <c:pt idx="49">
                  <c:v>1.7</c:v>
                </c:pt>
              </c:numCache>
            </c:numRef>
          </c:val>
          <c:smooth val="0"/>
          <c:extLst>
            <c:ext xmlns:c16="http://schemas.microsoft.com/office/drawing/2014/chart" uri="{C3380CC4-5D6E-409C-BE32-E72D297353CC}">
              <c16:uniqueId val="{00000003-1039-4D93-84BF-ACFBE6B10A5D}"/>
            </c:ext>
          </c:extLst>
        </c:ser>
        <c:ser>
          <c:idx val="4"/>
          <c:order val="4"/>
          <c:tx>
            <c:strRef>
              <c:f>'[TFR for Ester.xlsx]Sheet2 (2)'!$U$1</c:f>
              <c:strCache>
                <c:ptCount val="1"/>
                <c:pt idx="0">
                  <c:v>France</c:v>
                </c:pt>
              </c:strCache>
            </c:strRef>
          </c:tx>
          <c:spPr>
            <a:ln w="28575" cap="rnd">
              <a:solidFill>
                <a:srgbClr val="FF0000"/>
              </a:solidFill>
              <a:round/>
            </a:ln>
            <a:effectLst/>
          </c:spPr>
          <c:marker>
            <c:symbol val="none"/>
          </c:marker>
          <c:cat>
            <c:numRef>
              <c:f>'[2]Sheet2 (2)'!$P$2:$P$51</c:f>
              <c:numCache>
                <c:formatCode>General</c:formatCode>
                <c:ptCount val="50"/>
                <c:pt idx="0">
                  <c:v>1970</c:v>
                </c:pt>
                <c:pt idx="5">
                  <c:v>1975</c:v>
                </c:pt>
                <c:pt idx="10">
                  <c:v>1980</c:v>
                </c:pt>
                <c:pt idx="15">
                  <c:v>1985</c:v>
                </c:pt>
                <c:pt idx="20">
                  <c:v>1990</c:v>
                </c:pt>
                <c:pt idx="25">
                  <c:v>1995</c:v>
                </c:pt>
                <c:pt idx="30">
                  <c:v>2000</c:v>
                </c:pt>
                <c:pt idx="35">
                  <c:v>2005</c:v>
                </c:pt>
                <c:pt idx="40">
                  <c:v>2010</c:v>
                </c:pt>
                <c:pt idx="45">
                  <c:v>2015</c:v>
                </c:pt>
              </c:numCache>
            </c:numRef>
          </c:cat>
          <c:val>
            <c:numRef>
              <c:f>'[2]Sheet2 (2)'!$U$2:$U$51</c:f>
              <c:numCache>
                <c:formatCode>General</c:formatCode>
                <c:ptCount val="50"/>
                <c:pt idx="0">
                  <c:v>2.48</c:v>
                </c:pt>
                <c:pt idx="1">
                  <c:v>2.5</c:v>
                </c:pt>
                <c:pt idx="2">
                  <c:v>2.42</c:v>
                </c:pt>
                <c:pt idx="3">
                  <c:v>2.31</c:v>
                </c:pt>
                <c:pt idx="4">
                  <c:v>2.11</c:v>
                </c:pt>
                <c:pt idx="5">
                  <c:v>1.93</c:v>
                </c:pt>
                <c:pt idx="6">
                  <c:v>1.83</c:v>
                </c:pt>
                <c:pt idx="7">
                  <c:v>1.86</c:v>
                </c:pt>
                <c:pt idx="8">
                  <c:v>1.82</c:v>
                </c:pt>
                <c:pt idx="9">
                  <c:v>1.86</c:v>
                </c:pt>
                <c:pt idx="10">
                  <c:v>1.95</c:v>
                </c:pt>
                <c:pt idx="11">
                  <c:v>1.95</c:v>
                </c:pt>
                <c:pt idx="12">
                  <c:v>1.91</c:v>
                </c:pt>
                <c:pt idx="13">
                  <c:v>1.78</c:v>
                </c:pt>
                <c:pt idx="14">
                  <c:v>1.8</c:v>
                </c:pt>
                <c:pt idx="15">
                  <c:v>1.81</c:v>
                </c:pt>
                <c:pt idx="16">
                  <c:v>1.83</c:v>
                </c:pt>
                <c:pt idx="17">
                  <c:v>1.8</c:v>
                </c:pt>
                <c:pt idx="18">
                  <c:v>1.81</c:v>
                </c:pt>
                <c:pt idx="19">
                  <c:v>1.79</c:v>
                </c:pt>
                <c:pt idx="20">
                  <c:v>1.78</c:v>
                </c:pt>
                <c:pt idx="21">
                  <c:v>1.77</c:v>
                </c:pt>
                <c:pt idx="22">
                  <c:v>1.73</c:v>
                </c:pt>
                <c:pt idx="23">
                  <c:v>1.66</c:v>
                </c:pt>
                <c:pt idx="24">
                  <c:v>1.66</c:v>
                </c:pt>
                <c:pt idx="25">
                  <c:v>1.71</c:v>
                </c:pt>
                <c:pt idx="26">
                  <c:v>1.73</c:v>
                </c:pt>
                <c:pt idx="27">
                  <c:v>1.73</c:v>
                </c:pt>
                <c:pt idx="28">
                  <c:v>1.76</c:v>
                </c:pt>
                <c:pt idx="29">
                  <c:v>1.79</c:v>
                </c:pt>
                <c:pt idx="30">
                  <c:v>1.87</c:v>
                </c:pt>
                <c:pt idx="31">
                  <c:v>1.88</c:v>
                </c:pt>
                <c:pt idx="32">
                  <c:v>1.86</c:v>
                </c:pt>
                <c:pt idx="33">
                  <c:v>1.87</c:v>
                </c:pt>
                <c:pt idx="34">
                  <c:v>1.9</c:v>
                </c:pt>
                <c:pt idx="35">
                  <c:v>1.92</c:v>
                </c:pt>
                <c:pt idx="36">
                  <c:v>1.98</c:v>
                </c:pt>
                <c:pt idx="37">
                  <c:v>1.95</c:v>
                </c:pt>
                <c:pt idx="38">
                  <c:v>1.99</c:v>
                </c:pt>
                <c:pt idx="39">
                  <c:v>1.99</c:v>
                </c:pt>
                <c:pt idx="40">
                  <c:v>2.02</c:v>
                </c:pt>
                <c:pt idx="41">
                  <c:v>2</c:v>
                </c:pt>
                <c:pt idx="42">
                  <c:v>1.99</c:v>
                </c:pt>
                <c:pt idx="43">
                  <c:v>1.97</c:v>
                </c:pt>
                <c:pt idx="44">
                  <c:v>1.97</c:v>
                </c:pt>
                <c:pt idx="45">
                  <c:v>1.93</c:v>
                </c:pt>
                <c:pt idx="46">
                  <c:v>1.89</c:v>
                </c:pt>
                <c:pt idx="47">
                  <c:v>1.86</c:v>
                </c:pt>
                <c:pt idx="48">
                  <c:v>1.84</c:v>
                </c:pt>
                <c:pt idx="49">
                  <c:v>1.83</c:v>
                </c:pt>
              </c:numCache>
            </c:numRef>
          </c:val>
          <c:smooth val="0"/>
          <c:extLst>
            <c:ext xmlns:c16="http://schemas.microsoft.com/office/drawing/2014/chart" uri="{C3380CC4-5D6E-409C-BE32-E72D297353CC}">
              <c16:uniqueId val="{00000004-1039-4D93-84BF-ACFBE6B10A5D}"/>
            </c:ext>
          </c:extLst>
        </c:ser>
        <c:dLbls>
          <c:showLegendKey val="0"/>
          <c:showVal val="0"/>
          <c:showCatName val="0"/>
          <c:showSerName val="0"/>
          <c:showPercent val="0"/>
          <c:showBubbleSize val="0"/>
        </c:dLbls>
        <c:smooth val="0"/>
        <c:axId val="509199568"/>
        <c:axId val="509214328"/>
      </c:lineChart>
      <c:catAx>
        <c:axId val="50919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214328"/>
        <c:crosses val="autoZero"/>
        <c:auto val="1"/>
        <c:lblAlgn val="ctr"/>
        <c:lblOffset val="100"/>
        <c:noMultiLvlLbl val="0"/>
      </c:catAx>
      <c:valAx>
        <c:axId val="509214328"/>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fertility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199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'CBD 2015 (2)'!$C$1</c:f>
              <c:strCache>
                <c:ptCount val="1"/>
                <c:pt idx="0">
                  <c:v>Universal child benefit</c:v>
                </c:pt>
              </c:strCache>
            </c:strRef>
          </c:tx>
          <c:spPr>
            <a:solidFill>
              <a:schemeClr val="accent6"/>
            </a:solidFill>
            <a:ln>
              <a:noFill/>
            </a:ln>
            <a:effectLst/>
          </c:spPr>
          <c:invertIfNegative val="0"/>
          <c:cat>
            <c:strRef>
              <c:f>'CBD 2015 (2)'!$A$2:$A$31</c:f>
              <c:strCache>
                <c:ptCount val="30"/>
                <c:pt idx="0">
                  <c:v>Hungary</c:v>
                </c:pt>
                <c:pt idx="1">
                  <c:v>Luxembourg</c:v>
                </c:pt>
                <c:pt idx="2">
                  <c:v>Australia</c:v>
                </c:pt>
                <c:pt idx="3">
                  <c:v>Portugal</c:v>
                </c:pt>
                <c:pt idx="4">
                  <c:v>Belgium</c:v>
                </c:pt>
                <c:pt idx="5">
                  <c:v>Austria</c:v>
                </c:pt>
                <c:pt idx="6">
                  <c:v>Great Britain</c:v>
                </c:pt>
                <c:pt idx="7">
                  <c:v>Ireland</c:v>
                </c:pt>
                <c:pt idx="8">
                  <c:v>Latvia</c:v>
                </c:pt>
                <c:pt idx="9">
                  <c:v>Canada</c:v>
                </c:pt>
                <c:pt idx="10">
                  <c:v>Czechia</c:v>
                </c:pt>
                <c:pt idx="11">
                  <c:v>Slovenia</c:v>
                </c:pt>
                <c:pt idx="12">
                  <c:v>Italy</c:v>
                </c:pt>
                <c:pt idx="13">
                  <c:v>Germany</c:v>
                </c:pt>
                <c:pt idx="14">
                  <c:v>Bulgaria</c:v>
                </c:pt>
                <c:pt idx="15">
                  <c:v>Estonia</c:v>
                </c:pt>
                <c:pt idx="16">
                  <c:v>USA</c:v>
                </c:pt>
                <c:pt idx="17">
                  <c:v>New Zealand</c:v>
                </c:pt>
                <c:pt idx="18">
                  <c:v>Switzerland</c:v>
                </c:pt>
                <c:pt idx="19">
                  <c:v>Slovakia</c:v>
                </c:pt>
                <c:pt idx="20">
                  <c:v>Denmark</c:v>
                </c:pt>
                <c:pt idx="21">
                  <c:v>Sweden</c:v>
                </c:pt>
                <c:pt idx="22">
                  <c:v>Finland</c:v>
                </c:pt>
                <c:pt idx="23">
                  <c:v>Japan</c:v>
                </c:pt>
                <c:pt idx="24">
                  <c:v>Netherlands</c:v>
                </c:pt>
                <c:pt idx="25">
                  <c:v>France</c:v>
                </c:pt>
                <c:pt idx="26">
                  <c:v>Poland</c:v>
                </c:pt>
                <c:pt idx="27">
                  <c:v>Norway</c:v>
                </c:pt>
                <c:pt idx="28">
                  <c:v>Spain</c:v>
                </c:pt>
                <c:pt idx="29">
                  <c:v>Greece</c:v>
                </c:pt>
              </c:strCache>
            </c:strRef>
          </c:cat>
          <c:val>
            <c:numRef>
              <c:f>'CBD 2015 (2)'!$C$2:$C$31</c:f>
              <c:numCache>
                <c:formatCode>0.000</c:formatCode>
                <c:ptCount val="30"/>
                <c:pt idx="0">
                  <c:v>12.463063727174477</c:v>
                </c:pt>
                <c:pt idx="1">
                  <c:v>20.549074593381938</c:v>
                </c:pt>
                <c:pt idx="2">
                  <c:v>0</c:v>
                </c:pt>
                <c:pt idx="3">
                  <c:v>0</c:v>
                </c:pt>
                <c:pt idx="4">
                  <c:v>0</c:v>
                </c:pt>
                <c:pt idx="5">
                  <c:v>9.1946031746031753</c:v>
                </c:pt>
                <c:pt idx="6">
                  <c:v>6.9116056250965858</c:v>
                </c:pt>
                <c:pt idx="7">
                  <c:v>9.6863882328320727</c:v>
                </c:pt>
                <c:pt idx="8">
                  <c:v>3.3026857004597141</c:v>
                </c:pt>
                <c:pt idx="9">
                  <c:v>5.6562540172258648</c:v>
                </c:pt>
                <c:pt idx="10">
                  <c:v>0</c:v>
                </c:pt>
                <c:pt idx="11">
                  <c:v>0</c:v>
                </c:pt>
                <c:pt idx="12">
                  <c:v>0</c:v>
                </c:pt>
                <c:pt idx="13">
                  <c:v>0</c:v>
                </c:pt>
                <c:pt idx="14">
                  <c:v>0</c:v>
                </c:pt>
                <c:pt idx="15">
                  <c:v>9.2331367017183883</c:v>
                </c:pt>
                <c:pt idx="16">
                  <c:v>0</c:v>
                </c:pt>
                <c:pt idx="17">
                  <c:v>0</c:v>
                </c:pt>
                <c:pt idx="18">
                  <c:v>0</c:v>
                </c:pt>
                <c:pt idx="19">
                  <c:v>5.1791907514450868</c:v>
                </c:pt>
                <c:pt idx="20">
                  <c:v>9.588863516249015</c:v>
                </c:pt>
                <c:pt idx="21">
                  <c:v>8.9866697731697975</c:v>
                </c:pt>
                <c:pt idx="22">
                  <c:v>8.5155067412961589</c:v>
                </c:pt>
                <c:pt idx="23">
                  <c:v>7.5907857981458244</c:v>
                </c:pt>
                <c:pt idx="24">
                  <c:v>5.5511939810271507</c:v>
                </c:pt>
                <c:pt idx="25">
                  <c:v>6.5262446116135573</c:v>
                </c:pt>
                <c:pt idx="26">
                  <c:v>0</c:v>
                </c:pt>
                <c:pt idx="27">
                  <c:v>5.8489523139540731</c:v>
                </c:pt>
                <c:pt idx="28">
                  <c:v>0</c:v>
                </c:pt>
                <c:pt idx="29">
                  <c:v>0</c:v>
                </c:pt>
              </c:numCache>
            </c:numRef>
          </c:val>
          <c:extLst>
            <c:ext xmlns:c16="http://schemas.microsoft.com/office/drawing/2014/chart" uri="{C3380CC4-5D6E-409C-BE32-E72D297353CC}">
              <c16:uniqueId val="{00000000-DFB1-4544-8B49-B4F392789865}"/>
            </c:ext>
          </c:extLst>
        </c:ser>
        <c:ser>
          <c:idx val="1"/>
          <c:order val="1"/>
          <c:tx>
            <c:strRef>
              <c:f>'CBD 2015 (2)'!$D$1</c:f>
              <c:strCache>
                <c:ptCount val="1"/>
                <c:pt idx="0">
                  <c:v>Empl. Based child benefit</c:v>
                </c:pt>
              </c:strCache>
            </c:strRef>
          </c:tx>
          <c:spPr>
            <a:solidFill>
              <a:schemeClr val="accent6">
                <a:lumMod val="50000"/>
              </a:schemeClr>
            </a:solidFill>
            <a:ln>
              <a:noFill/>
            </a:ln>
            <a:effectLst/>
          </c:spPr>
          <c:invertIfNegative val="0"/>
          <c:cat>
            <c:strRef>
              <c:f>'CBD 2015 (2)'!$A$2:$A$31</c:f>
              <c:strCache>
                <c:ptCount val="30"/>
                <c:pt idx="0">
                  <c:v>Hungary</c:v>
                </c:pt>
                <c:pt idx="1">
                  <c:v>Luxembourg</c:v>
                </c:pt>
                <c:pt idx="2">
                  <c:v>Australia</c:v>
                </c:pt>
                <c:pt idx="3">
                  <c:v>Portugal</c:v>
                </c:pt>
                <c:pt idx="4">
                  <c:v>Belgium</c:v>
                </c:pt>
                <c:pt idx="5">
                  <c:v>Austria</c:v>
                </c:pt>
                <c:pt idx="6">
                  <c:v>Great Britain</c:v>
                </c:pt>
                <c:pt idx="7">
                  <c:v>Ireland</c:v>
                </c:pt>
                <c:pt idx="8">
                  <c:v>Latvia</c:v>
                </c:pt>
                <c:pt idx="9">
                  <c:v>Canada</c:v>
                </c:pt>
                <c:pt idx="10">
                  <c:v>Czechia</c:v>
                </c:pt>
                <c:pt idx="11">
                  <c:v>Slovenia</c:v>
                </c:pt>
                <c:pt idx="12">
                  <c:v>Italy</c:v>
                </c:pt>
                <c:pt idx="13">
                  <c:v>Germany</c:v>
                </c:pt>
                <c:pt idx="14">
                  <c:v>Bulgaria</c:v>
                </c:pt>
                <c:pt idx="15">
                  <c:v>Estonia</c:v>
                </c:pt>
                <c:pt idx="16">
                  <c:v>USA</c:v>
                </c:pt>
                <c:pt idx="17">
                  <c:v>New Zealand</c:v>
                </c:pt>
                <c:pt idx="18">
                  <c:v>Switzerland</c:v>
                </c:pt>
                <c:pt idx="19">
                  <c:v>Slovakia</c:v>
                </c:pt>
                <c:pt idx="20">
                  <c:v>Denmark</c:v>
                </c:pt>
                <c:pt idx="21">
                  <c:v>Sweden</c:v>
                </c:pt>
                <c:pt idx="22">
                  <c:v>Finland</c:v>
                </c:pt>
                <c:pt idx="23">
                  <c:v>Japan</c:v>
                </c:pt>
                <c:pt idx="24">
                  <c:v>Netherlands</c:v>
                </c:pt>
                <c:pt idx="25">
                  <c:v>France</c:v>
                </c:pt>
                <c:pt idx="26">
                  <c:v>Poland</c:v>
                </c:pt>
                <c:pt idx="27">
                  <c:v>Norway</c:v>
                </c:pt>
                <c:pt idx="28">
                  <c:v>Spain</c:v>
                </c:pt>
                <c:pt idx="29">
                  <c:v>Greece</c:v>
                </c:pt>
              </c:strCache>
            </c:strRef>
          </c:cat>
          <c:val>
            <c:numRef>
              <c:f>'CBD 2015 (2)'!$D$2:$D$31</c:f>
              <c:numCache>
                <c:formatCode>0.000</c:formatCode>
                <c:ptCount val="30"/>
                <c:pt idx="0">
                  <c:v>0</c:v>
                </c:pt>
                <c:pt idx="1">
                  <c:v>0</c:v>
                </c:pt>
                <c:pt idx="2">
                  <c:v>0</c:v>
                </c:pt>
                <c:pt idx="3">
                  <c:v>0</c:v>
                </c:pt>
                <c:pt idx="4">
                  <c:v>11.087504979418403</c:v>
                </c:pt>
                <c:pt idx="5">
                  <c:v>0</c:v>
                </c:pt>
                <c:pt idx="6">
                  <c:v>0</c:v>
                </c:pt>
                <c:pt idx="7">
                  <c:v>0</c:v>
                </c:pt>
                <c:pt idx="8">
                  <c:v>0</c:v>
                </c:pt>
                <c:pt idx="9">
                  <c:v>0</c:v>
                </c:pt>
                <c:pt idx="10">
                  <c:v>0</c:v>
                </c:pt>
                <c:pt idx="11">
                  <c:v>0</c:v>
                </c:pt>
                <c:pt idx="12">
                  <c:v>6.2546097992138323</c:v>
                </c:pt>
                <c:pt idx="13">
                  <c:v>0</c:v>
                </c:pt>
                <c:pt idx="14">
                  <c:v>0</c:v>
                </c:pt>
                <c:pt idx="15">
                  <c:v>0</c:v>
                </c:pt>
                <c:pt idx="16">
                  <c:v>0</c:v>
                </c:pt>
                <c:pt idx="17">
                  <c:v>0</c:v>
                </c:pt>
                <c:pt idx="18">
                  <c:v>11.260838557111219</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1-DFB1-4544-8B49-B4F392789865}"/>
            </c:ext>
          </c:extLst>
        </c:ser>
        <c:ser>
          <c:idx val="2"/>
          <c:order val="2"/>
          <c:tx>
            <c:strRef>
              <c:f>'CBD 2015 (2)'!$E$1</c:f>
              <c:strCache>
                <c:ptCount val="1"/>
                <c:pt idx="0">
                  <c:v>Income-tested child benefit</c:v>
                </c:pt>
              </c:strCache>
            </c:strRef>
          </c:tx>
          <c:spPr>
            <a:solidFill>
              <a:schemeClr val="accent3"/>
            </a:solidFill>
            <a:ln>
              <a:noFill/>
            </a:ln>
            <a:effectLst/>
          </c:spPr>
          <c:invertIfNegative val="0"/>
          <c:cat>
            <c:strRef>
              <c:f>'CBD 2015 (2)'!$A$2:$A$31</c:f>
              <c:strCache>
                <c:ptCount val="30"/>
                <c:pt idx="0">
                  <c:v>Hungary</c:v>
                </c:pt>
                <c:pt idx="1">
                  <c:v>Luxembourg</c:v>
                </c:pt>
                <c:pt idx="2">
                  <c:v>Australia</c:v>
                </c:pt>
                <c:pt idx="3">
                  <c:v>Portugal</c:v>
                </c:pt>
                <c:pt idx="4">
                  <c:v>Belgium</c:v>
                </c:pt>
                <c:pt idx="5">
                  <c:v>Austria</c:v>
                </c:pt>
                <c:pt idx="6">
                  <c:v>Great Britain</c:v>
                </c:pt>
                <c:pt idx="7">
                  <c:v>Ireland</c:v>
                </c:pt>
                <c:pt idx="8">
                  <c:v>Latvia</c:v>
                </c:pt>
                <c:pt idx="9">
                  <c:v>Canada</c:v>
                </c:pt>
                <c:pt idx="10">
                  <c:v>Czechia</c:v>
                </c:pt>
                <c:pt idx="11">
                  <c:v>Slovenia</c:v>
                </c:pt>
                <c:pt idx="12">
                  <c:v>Italy</c:v>
                </c:pt>
                <c:pt idx="13">
                  <c:v>Germany</c:v>
                </c:pt>
                <c:pt idx="14">
                  <c:v>Bulgaria</c:v>
                </c:pt>
                <c:pt idx="15">
                  <c:v>Estonia</c:v>
                </c:pt>
                <c:pt idx="16">
                  <c:v>USA</c:v>
                </c:pt>
                <c:pt idx="17">
                  <c:v>New Zealand</c:v>
                </c:pt>
                <c:pt idx="18">
                  <c:v>Switzerland</c:v>
                </c:pt>
                <c:pt idx="19">
                  <c:v>Slovakia</c:v>
                </c:pt>
                <c:pt idx="20">
                  <c:v>Denmark</c:v>
                </c:pt>
                <c:pt idx="21">
                  <c:v>Sweden</c:v>
                </c:pt>
                <c:pt idx="22">
                  <c:v>Finland</c:v>
                </c:pt>
                <c:pt idx="23">
                  <c:v>Japan</c:v>
                </c:pt>
                <c:pt idx="24">
                  <c:v>Netherlands</c:v>
                </c:pt>
                <c:pt idx="25">
                  <c:v>France</c:v>
                </c:pt>
                <c:pt idx="26">
                  <c:v>Poland</c:v>
                </c:pt>
                <c:pt idx="27">
                  <c:v>Norway</c:v>
                </c:pt>
                <c:pt idx="28">
                  <c:v>Spain</c:v>
                </c:pt>
                <c:pt idx="29">
                  <c:v>Greece</c:v>
                </c:pt>
              </c:strCache>
            </c:strRef>
          </c:cat>
          <c:val>
            <c:numRef>
              <c:f>'CBD 2015 (2)'!$E$2:$E$31</c:f>
              <c:numCache>
                <c:formatCode>0.000</c:formatCode>
                <c:ptCount val="30"/>
                <c:pt idx="0">
                  <c:v>0</c:v>
                </c:pt>
                <c:pt idx="1">
                  <c:v>0</c:v>
                </c:pt>
                <c:pt idx="2">
                  <c:v>0</c:v>
                </c:pt>
                <c:pt idx="3">
                  <c:v>9.1938367242700263</c:v>
                </c:pt>
                <c:pt idx="4">
                  <c:v>0</c:v>
                </c:pt>
                <c:pt idx="5">
                  <c:v>0</c:v>
                </c:pt>
                <c:pt idx="6">
                  <c:v>0</c:v>
                </c:pt>
                <c:pt idx="7">
                  <c:v>0</c:v>
                </c:pt>
                <c:pt idx="8">
                  <c:v>0</c:v>
                </c:pt>
                <c:pt idx="9">
                  <c:v>0.98607361700304241</c:v>
                </c:pt>
                <c:pt idx="10">
                  <c:v>4.2981884361951348</c:v>
                </c:pt>
                <c:pt idx="11">
                  <c:v>5.292395453678183</c:v>
                </c:pt>
                <c:pt idx="12">
                  <c:v>0</c:v>
                </c:pt>
                <c:pt idx="13">
                  <c:v>0</c:v>
                </c:pt>
                <c:pt idx="14">
                  <c:v>12.240489619584784</c:v>
                </c:pt>
                <c:pt idx="15">
                  <c:v>0</c:v>
                </c:pt>
                <c:pt idx="16">
                  <c:v>0</c:v>
                </c:pt>
                <c:pt idx="17">
                  <c:v>0</c:v>
                </c:pt>
                <c:pt idx="18">
                  <c:v>0</c:v>
                </c:pt>
                <c:pt idx="19">
                  <c:v>0</c:v>
                </c:pt>
                <c:pt idx="20">
                  <c:v>0</c:v>
                </c:pt>
                <c:pt idx="21">
                  <c:v>0</c:v>
                </c:pt>
                <c:pt idx="22">
                  <c:v>0</c:v>
                </c:pt>
                <c:pt idx="23">
                  <c:v>0</c:v>
                </c:pt>
                <c:pt idx="24">
                  <c:v>1.8122342165521752</c:v>
                </c:pt>
                <c:pt idx="25">
                  <c:v>0</c:v>
                </c:pt>
                <c:pt idx="26">
                  <c:v>0</c:v>
                </c:pt>
                <c:pt idx="27">
                  <c:v>0</c:v>
                </c:pt>
                <c:pt idx="28">
                  <c:v>0</c:v>
                </c:pt>
                <c:pt idx="29">
                  <c:v>3.6287350456426828</c:v>
                </c:pt>
              </c:numCache>
            </c:numRef>
          </c:val>
          <c:extLst>
            <c:ext xmlns:c16="http://schemas.microsoft.com/office/drawing/2014/chart" uri="{C3380CC4-5D6E-409C-BE32-E72D297353CC}">
              <c16:uniqueId val="{00000002-DFB1-4544-8B49-B4F392789865}"/>
            </c:ext>
          </c:extLst>
        </c:ser>
        <c:ser>
          <c:idx val="3"/>
          <c:order val="3"/>
          <c:tx>
            <c:strRef>
              <c:f>'CBD 2015 (2)'!$F$1</c:f>
              <c:strCache>
                <c:ptCount val="1"/>
                <c:pt idx="0">
                  <c:v>Child tax allowance</c:v>
                </c:pt>
              </c:strCache>
            </c:strRef>
          </c:tx>
          <c:spPr>
            <a:solidFill>
              <a:schemeClr val="accent1"/>
            </a:solidFill>
            <a:ln>
              <a:noFill/>
            </a:ln>
            <a:effectLst/>
          </c:spPr>
          <c:invertIfNegative val="0"/>
          <c:cat>
            <c:strRef>
              <c:f>'CBD 2015 (2)'!$A$2:$A$31</c:f>
              <c:strCache>
                <c:ptCount val="30"/>
                <c:pt idx="0">
                  <c:v>Hungary</c:v>
                </c:pt>
                <c:pt idx="1">
                  <c:v>Luxembourg</c:v>
                </c:pt>
                <c:pt idx="2">
                  <c:v>Australia</c:v>
                </c:pt>
                <c:pt idx="3">
                  <c:v>Portugal</c:v>
                </c:pt>
                <c:pt idx="4">
                  <c:v>Belgium</c:v>
                </c:pt>
                <c:pt idx="5">
                  <c:v>Austria</c:v>
                </c:pt>
                <c:pt idx="6">
                  <c:v>Great Britain</c:v>
                </c:pt>
                <c:pt idx="7">
                  <c:v>Ireland</c:v>
                </c:pt>
                <c:pt idx="8">
                  <c:v>Latvia</c:v>
                </c:pt>
                <c:pt idx="9">
                  <c:v>Canada</c:v>
                </c:pt>
                <c:pt idx="10">
                  <c:v>Czechia</c:v>
                </c:pt>
                <c:pt idx="11">
                  <c:v>Slovenia</c:v>
                </c:pt>
                <c:pt idx="12">
                  <c:v>Italy</c:v>
                </c:pt>
                <c:pt idx="13">
                  <c:v>Germany</c:v>
                </c:pt>
                <c:pt idx="14">
                  <c:v>Bulgaria</c:v>
                </c:pt>
                <c:pt idx="15">
                  <c:v>Estonia</c:v>
                </c:pt>
                <c:pt idx="16">
                  <c:v>USA</c:v>
                </c:pt>
                <c:pt idx="17">
                  <c:v>New Zealand</c:v>
                </c:pt>
                <c:pt idx="18">
                  <c:v>Switzerland</c:v>
                </c:pt>
                <c:pt idx="19">
                  <c:v>Slovakia</c:v>
                </c:pt>
                <c:pt idx="20">
                  <c:v>Denmark</c:v>
                </c:pt>
                <c:pt idx="21">
                  <c:v>Sweden</c:v>
                </c:pt>
                <c:pt idx="22">
                  <c:v>Finland</c:v>
                </c:pt>
                <c:pt idx="23">
                  <c:v>Japan</c:v>
                </c:pt>
                <c:pt idx="24">
                  <c:v>Netherlands</c:v>
                </c:pt>
                <c:pt idx="25">
                  <c:v>France</c:v>
                </c:pt>
                <c:pt idx="26">
                  <c:v>Poland</c:v>
                </c:pt>
                <c:pt idx="27">
                  <c:v>Norway</c:v>
                </c:pt>
                <c:pt idx="28">
                  <c:v>Spain</c:v>
                </c:pt>
                <c:pt idx="29">
                  <c:v>Greece</c:v>
                </c:pt>
              </c:strCache>
            </c:strRef>
          </c:cat>
          <c:val>
            <c:numRef>
              <c:f>'CBD 2015 (2)'!$F$2:$F$31</c:f>
              <c:numCache>
                <c:formatCode>0.000</c:formatCode>
                <c:ptCount val="30"/>
                <c:pt idx="0">
                  <c:v>9.3707246068981025</c:v>
                </c:pt>
                <c:pt idx="1">
                  <c:v>0</c:v>
                </c:pt>
                <c:pt idx="2">
                  <c:v>0</c:v>
                </c:pt>
                <c:pt idx="3">
                  <c:v>0</c:v>
                </c:pt>
                <c:pt idx="4">
                  <c:v>0</c:v>
                </c:pt>
                <c:pt idx="5">
                  <c:v>0.60317460317460325</c:v>
                </c:pt>
                <c:pt idx="6">
                  <c:v>0</c:v>
                </c:pt>
                <c:pt idx="7">
                  <c:v>0</c:v>
                </c:pt>
                <c:pt idx="8">
                  <c:v>11.02105008468425</c:v>
                </c:pt>
                <c:pt idx="9">
                  <c:v>0</c:v>
                </c:pt>
                <c:pt idx="10">
                  <c:v>0</c:v>
                </c:pt>
                <c:pt idx="11">
                  <c:v>8.0571265957412219</c:v>
                </c:pt>
                <c:pt idx="12">
                  <c:v>0</c:v>
                </c:pt>
                <c:pt idx="13">
                  <c:v>0</c:v>
                </c:pt>
                <c:pt idx="14">
                  <c:v>0.48001920076803067</c:v>
                </c:pt>
                <c:pt idx="15">
                  <c:v>3.1632042404035223</c:v>
                </c:pt>
                <c:pt idx="16">
                  <c:v>2.3708503689989455</c:v>
                </c:pt>
                <c:pt idx="17">
                  <c:v>0</c:v>
                </c:pt>
                <c:pt idx="18">
                  <c:v>0.27213693179685444</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3-DFB1-4544-8B49-B4F392789865}"/>
            </c:ext>
          </c:extLst>
        </c:ser>
        <c:ser>
          <c:idx val="4"/>
          <c:order val="4"/>
          <c:tx>
            <c:strRef>
              <c:f>'CBD 2015 (2)'!$G$1</c:f>
              <c:strCache>
                <c:ptCount val="1"/>
                <c:pt idx="0">
                  <c:v>Child tax credit</c:v>
                </c:pt>
              </c:strCache>
            </c:strRef>
          </c:tx>
          <c:spPr>
            <a:pattFill prst="dkDnDiag">
              <a:fgClr>
                <a:schemeClr val="accent1"/>
              </a:fgClr>
              <a:bgClr>
                <a:schemeClr val="bg1"/>
              </a:bgClr>
            </a:pattFill>
            <a:ln>
              <a:noFill/>
            </a:ln>
            <a:effectLst/>
          </c:spPr>
          <c:invertIfNegative val="0"/>
          <c:cat>
            <c:strRef>
              <c:f>'CBD 2015 (2)'!$A$2:$A$31</c:f>
              <c:strCache>
                <c:ptCount val="30"/>
                <c:pt idx="0">
                  <c:v>Hungary</c:v>
                </c:pt>
                <c:pt idx="1">
                  <c:v>Luxembourg</c:v>
                </c:pt>
                <c:pt idx="2">
                  <c:v>Australia</c:v>
                </c:pt>
                <c:pt idx="3">
                  <c:v>Portugal</c:v>
                </c:pt>
                <c:pt idx="4">
                  <c:v>Belgium</c:v>
                </c:pt>
                <c:pt idx="5">
                  <c:v>Austria</c:v>
                </c:pt>
                <c:pt idx="6">
                  <c:v>Great Britain</c:v>
                </c:pt>
                <c:pt idx="7">
                  <c:v>Ireland</c:v>
                </c:pt>
                <c:pt idx="8">
                  <c:v>Latvia</c:v>
                </c:pt>
                <c:pt idx="9">
                  <c:v>Canada</c:v>
                </c:pt>
                <c:pt idx="10">
                  <c:v>Czechia</c:v>
                </c:pt>
                <c:pt idx="11">
                  <c:v>Slovenia</c:v>
                </c:pt>
                <c:pt idx="12">
                  <c:v>Italy</c:v>
                </c:pt>
                <c:pt idx="13">
                  <c:v>Germany</c:v>
                </c:pt>
                <c:pt idx="14">
                  <c:v>Bulgaria</c:v>
                </c:pt>
                <c:pt idx="15">
                  <c:v>Estonia</c:v>
                </c:pt>
                <c:pt idx="16">
                  <c:v>USA</c:v>
                </c:pt>
                <c:pt idx="17">
                  <c:v>New Zealand</c:v>
                </c:pt>
                <c:pt idx="18">
                  <c:v>Switzerland</c:v>
                </c:pt>
                <c:pt idx="19">
                  <c:v>Slovakia</c:v>
                </c:pt>
                <c:pt idx="20">
                  <c:v>Denmark</c:v>
                </c:pt>
                <c:pt idx="21">
                  <c:v>Sweden</c:v>
                </c:pt>
                <c:pt idx="22">
                  <c:v>Finland</c:v>
                </c:pt>
                <c:pt idx="23">
                  <c:v>Japan</c:v>
                </c:pt>
                <c:pt idx="24">
                  <c:v>Netherlands</c:v>
                </c:pt>
                <c:pt idx="25">
                  <c:v>France</c:v>
                </c:pt>
                <c:pt idx="26">
                  <c:v>Poland</c:v>
                </c:pt>
                <c:pt idx="27">
                  <c:v>Norway</c:v>
                </c:pt>
                <c:pt idx="28">
                  <c:v>Spain</c:v>
                </c:pt>
                <c:pt idx="29">
                  <c:v>Greece</c:v>
                </c:pt>
              </c:strCache>
            </c:strRef>
          </c:cat>
          <c:val>
            <c:numRef>
              <c:f>'CBD 2015 (2)'!$G$2:$G$31</c:f>
              <c:numCache>
                <c:formatCode>0.000</c:formatCode>
                <c:ptCount val="30"/>
                <c:pt idx="0">
                  <c:v>0</c:v>
                </c:pt>
                <c:pt idx="1">
                  <c:v>0</c:v>
                </c:pt>
                <c:pt idx="2">
                  <c:v>17.831793617727865</c:v>
                </c:pt>
                <c:pt idx="3">
                  <c:v>6.5974291308419168</c:v>
                </c:pt>
                <c:pt idx="4">
                  <c:v>4.2009693267826318</c:v>
                </c:pt>
                <c:pt idx="5">
                  <c:v>5.4177777777777774</c:v>
                </c:pt>
                <c:pt idx="6">
                  <c:v>8.2753824756606384</c:v>
                </c:pt>
                <c:pt idx="7">
                  <c:v>4.9089658883673648</c:v>
                </c:pt>
                <c:pt idx="8">
                  <c:v>0</c:v>
                </c:pt>
                <c:pt idx="9">
                  <c:v>7.2650726314436307</c:v>
                </c:pt>
                <c:pt idx="10">
                  <c:v>9.4250366249540161</c:v>
                </c:pt>
                <c:pt idx="11">
                  <c:v>0</c:v>
                </c:pt>
                <c:pt idx="12">
                  <c:v>6.9307422054819599</c:v>
                </c:pt>
                <c:pt idx="13">
                  <c:v>12.712723994139525</c:v>
                </c:pt>
                <c:pt idx="14">
                  <c:v>0</c:v>
                </c:pt>
                <c:pt idx="15">
                  <c:v>0</c:v>
                </c:pt>
                <c:pt idx="16">
                  <c:v>9.7508292833449044</c:v>
                </c:pt>
                <c:pt idx="17">
                  <c:v>12.08974664734264</c:v>
                </c:pt>
                <c:pt idx="18">
                  <c:v>0</c:v>
                </c:pt>
                <c:pt idx="19">
                  <c:v>4.716028993485641</c:v>
                </c:pt>
                <c:pt idx="20">
                  <c:v>0.14625277132382025</c:v>
                </c:pt>
                <c:pt idx="21">
                  <c:v>0</c:v>
                </c:pt>
                <c:pt idx="22">
                  <c:v>0.35202590910691028</c:v>
                </c:pt>
                <c:pt idx="23">
                  <c:v>0</c:v>
                </c:pt>
                <c:pt idx="24">
                  <c:v>0</c:v>
                </c:pt>
                <c:pt idx="25">
                  <c:v>0</c:v>
                </c:pt>
                <c:pt idx="26">
                  <c:v>6.0804899387576548</c:v>
                </c:pt>
                <c:pt idx="27">
                  <c:v>0</c:v>
                </c:pt>
                <c:pt idx="28">
                  <c:v>5.3200021386943268</c:v>
                </c:pt>
                <c:pt idx="29">
                  <c:v>0</c:v>
                </c:pt>
              </c:numCache>
            </c:numRef>
          </c:val>
          <c:extLst>
            <c:ext xmlns:c16="http://schemas.microsoft.com/office/drawing/2014/chart" uri="{C3380CC4-5D6E-409C-BE32-E72D297353CC}">
              <c16:uniqueId val="{00000004-DFB1-4544-8B49-B4F392789865}"/>
            </c:ext>
          </c:extLst>
        </c:ser>
        <c:ser>
          <c:idx val="5"/>
          <c:order val="5"/>
          <c:tx>
            <c:strRef>
              <c:f>'CBD 2015 (2)'!$H$1</c:f>
              <c:strCache>
                <c:ptCount val="1"/>
                <c:pt idx="0">
                  <c:v>Child tax rebate</c:v>
                </c:pt>
              </c:strCache>
            </c:strRef>
          </c:tx>
          <c:spPr>
            <a:solidFill>
              <a:schemeClr val="tx2">
                <a:lumMod val="50000"/>
              </a:schemeClr>
            </a:solidFill>
            <a:ln>
              <a:noFill/>
            </a:ln>
            <a:effectLst/>
          </c:spPr>
          <c:invertIfNegative val="0"/>
          <c:cat>
            <c:strRef>
              <c:f>'CBD 2015 (2)'!$A$2:$A$31</c:f>
              <c:strCache>
                <c:ptCount val="30"/>
                <c:pt idx="0">
                  <c:v>Hungary</c:v>
                </c:pt>
                <c:pt idx="1">
                  <c:v>Luxembourg</c:v>
                </c:pt>
                <c:pt idx="2">
                  <c:v>Australia</c:v>
                </c:pt>
                <c:pt idx="3">
                  <c:v>Portugal</c:v>
                </c:pt>
                <c:pt idx="4">
                  <c:v>Belgium</c:v>
                </c:pt>
                <c:pt idx="5">
                  <c:v>Austria</c:v>
                </c:pt>
                <c:pt idx="6">
                  <c:v>Great Britain</c:v>
                </c:pt>
                <c:pt idx="7">
                  <c:v>Ireland</c:v>
                </c:pt>
                <c:pt idx="8">
                  <c:v>Latvia</c:v>
                </c:pt>
                <c:pt idx="9">
                  <c:v>Canada</c:v>
                </c:pt>
                <c:pt idx="10">
                  <c:v>Czechia</c:v>
                </c:pt>
                <c:pt idx="11">
                  <c:v>Slovenia</c:v>
                </c:pt>
                <c:pt idx="12">
                  <c:v>Italy</c:v>
                </c:pt>
                <c:pt idx="13">
                  <c:v>Germany</c:v>
                </c:pt>
                <c:pt idx="14">
                  <c:v>Bulgaria</c:v>
                </c:pt>
                <c:pt idx="15">
                  <c:v>Estonia</c:v>
                </c:pt>
                <c:pt idx="16">
                  <c:v>USA</c:v>
                </c:pt>
                <c:pt idx="17">
                  <c:v>New Zealand</c:v>
                </c:pt>
                <c:pt idx="18">
                  <c:v>Switzerland</c:v>
                </c:pt>
                <c:pt idx="19">
                  <c:v>Slovakia</c:v>
                </c:pt>
                <c:pt idx="20">
                  <c:v>Denmark</c:v>
                </c:pt>
                <c:pt idx="21">
                  <c:v>Sweden</c:v>
                </c:pt>
                <c:pt idx="22">
                  <c:v>Finland</c:v>
                </c:pt>
                <c:pt idx="23">
                  <c:v>Japan</c:v>
                </c:pt>
                <c:pt idx="24">
                  <c:v>Netherlands</c:v>
                </c:pt>
                <c:pt idx="25">
                  <c:v>France</c:v>
                </c:pt>
                <c:pt idx="26">
                  <c:v>Poland</c:v>
                </c:pt>
                <c:pt idx="27">
                  <c:v>Norway</c:v>
                </c:pt>
                <c:pt idx="28">
                  <c:v>Spain</c:v>
                </c:pt>
                <c:pt idx="29">
                  <c:v>Greece</c:v>
                </c:pt>
              </c:strCache>
            </c:strRef>
          </c:cat>
          <c:val>
            <c:numRef>
              <c:f>'CBD 2015 (2)'!$H$2:$H$31</c:f>
              <c:numCache>
                <c:formatCode>0.000</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0.30992899808407526</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5-DFB1-4544-8B49-B4F392789865}"/>
            </c:ext>
          </c:extLst>
        </c:ser>
        <c:dLbls>
          <c:showLegendKey val="0"/>
          <c:showVal val="0"/>
          <c:showCatName val="0"/>
          <c:showSerName val="0"/>
          <c:showPercent val="0"/>
          <c:showBubbleSize val="0"/>
        </c:dLbls>
        <c:gapWidth val="182"/>
        <c:overlap val="100"/>
        <c:axId val="433900128"/>
        <c:axId val="433909312"/>
      </c:barChart>
      <c:catAx>
        <c:axId val="43390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909312"/>
        <c:crosses val="autoZero"/>
        <c:auto val="1"/>
        <c:lblAlgn val="ctr"/>
        <c:lblOffset val="100"/>
        <c:noMultiLvlLbl val="0"/>
      </c:catAx>
      <c:valAx>
        <c:axId val="433909312"/>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average production wage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900128"/>
        <c:crosses val="autoZero"/>
        <c:crossBetween val="between"/>
      </c:valAx>
      <c:spPr>
        <a:noFill/>
        <a:ln>
          <a:solidFill>
            <a:schemeClr val="bg1">
              <a:lumMod val="95000"/>
            </a:scheme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spPr>
            <a:solidFill>
              <a:schemeClr val="accent1">
                <a:lumMod val="20000"/>
                <a:lumOff val="80000"/>
              </a:schemeClr>
            </a:solidFill>
            <a:ln>
              <a:noFill/>
            </a:ln>
            <a:effectLst/>
          </c:spPr>
          <c:invertIfNegative val="0"/>
          <c:val>
            <c:numRef>
              <c:f>'Table 1'!$I$72:$I$89</c:f>
              <c:numCache>
                <c:formatCode>General</c:formatCode>
                <c:ptCount val="18"/>
                <c:pt idx="3">
                  <c:v>2.2999999999999998</c:v>
                </c:pt>
                <c:pt idx="4">
                  <c:v>2.2999999999999998</c:v>
                </c:pt>
                <c:pt idx="5">
                  <c:v>2.2999999999999998</c:v>
                </c:pt>
                <c:pt idx="6">
                  <c:v>2.2999999999999998</c:v>
                </c:pt>
                <c:pt idx="7">
                  <c:v>2.2999999999999998</c:v>
                </c:pt>
                <c:pt idx="8">
                  <c:v>2.2999999999999998</c:v>
                </c:pt>
                <c:pt idx="9">
                  <c:v>2.2999999999999998</c:v>
                </c:pt>
                <c:pt idx="10">
                  <c:v>2.2999999999999998</c:v>
                </c:pt>
                <c:pt idx="11">
                  <c:v>2.2999999999999998</c:v>
                </c:pt>
                <c:pt idx="12">
                  <c:v>2.2999999999999998</c:v>
                </c:pt>
                <c:pt idx="13">
                  <c:v>2.2999999999999998</c:v>
                </c:pt>
              </c:numCache>
            </c:numRef>
          </c:val>
          <c:extLst>
            <c:ext xmlns:c16="http://schemas.microsoft.com/office/drawing/2014/chart" uri="{C3380CC4-5D6E-409C-BE32-E72D297353CC}">
              <c16:uniqueId val="{00000000-B854-493E-ABBE-0526AF63E42C}"/>
            </c:ext>
          </c:extLst>
        </c:ser>
        <c:dLbls>
          <c:showLegendKey val="0"/>
          <c:showVal val="0"/>
          <c:showCatName val="0"/>
          <c:showSerName val="0"/>
          <c:showPercent val="0"/>
          <c:showBubbleSize val="0"/>
        </c:dLbls>
        <c:gapWidth val="0"/>
        <c:overlap val="-10"/>
        <c:axId val="630679152"/>
        <c:axId val="630679808"/>
      </c:barChart>
      <c:lineChart>
        <c:grouping val="standard"/>
        <c:varyColors val="0"/>
        <c:ser>
          <c:idx val="0"/>
          <c:order val="0"/>
          <c:tx>
            <c:v>New Zealand</c:v>
          </c:tx>
          <c:spPr>
            <a:ln w="28575" cap="rnd">
              <a:solidFill>
                <a:schemeClr val="accent1"/>
              </a:solidFill>
              <a:prstDash val="sysDash"/>
              <a:round/>
            </a:ln>
            <a:effectLst/>
          </c:spPr>
          <c:marker>
            <c:symbol val="none"/>
          </c:marker>
          <c:cat>
            <c:numRef>
              <c:f>'Table 1'!$G$72:$G$89</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'Table 1'!$D$72:$D$89</c:f>
              <c:numCache>
                <c:formatCode>#,##0.00</c:formatCode>
                <c:ptCount val="18"/>
                <c:pt idx="0">
                  <c:v>1.97</c:v>
                </c:pt>
                <c:pt idx="1">
                  <c:v>1.89</c:v>
                </c:pt>
                <c:pt idx="2">
                  <c:v>1.93</c:v>
                </c:pt>
                <c:pt idx="3">
                  <c:v>1.98</c:v>
                </c:pt>
                <c:pt idx="4">
                  <c:v>1.97</c:v>
                </c:pt>
                <c:pt idx="5">
                  <c:v>2.0099999999999998</c:v>
                </c:pt>
                <c:pt idx="6">
                  <c:v>2.1800000000000002</c:v>
                </c:pt>
                <c:pt idx="7">
                  <c:v>2.19</c:v>
                </c:pt>
                <c:pt idx="8">
                  <c:v>2.13</c:v>
                </c:pt>
                <c:pt idx="9">
                  <c:v>2.17</c:v>
                </c:pt>
                <c:pt idx="10">
                  <c:v>2.09</c:v>
                </c:pt>
                <c:pt idx="11">
                  <c:v>2.1</c:v>
                </c:pt>
                <c:pt idx="12">
                  <c:v>2.0099999999999998</c:v>
                </c:pt>
                <c:pt idx="13">
                  <c:v>1.93</c:v>
                </c:pt>
                <c:pt idx="14">
                  <c:v>2</c:v>
                </c:pt>
                <c:pt idx="15">
                  <c:v>1.89</c:v>
                </c:pt>
                <c:pt idx="16">
                  <c:v>1.84</c:v>
                </c:pt>
                <c:pt idx="17">
                  <c:v>1.71</c:v>
                </c:pt>
              </c:numCache>
            </c:numRef>
          </c:val>
          <c:smooth val="0"/>
          <c:extLst>
            <c:ext xmlns:c16="http://schemas.microsoft.com/office/drawing/2014/chart" uri="{C3380CC4-5D6E-409C-BE32-E72D297353CC}">
              <c16:uniqueId val="{00000001-B854-493E-ABBE-0526AF63E42C}"/>
            </c:ext>
          </c:extLst>
        </c:ser>
        <c:ser>
          <c:idx val="1"/>
          <c:order val="1"/>
          <c:tx>
            <c:v>Australia</c:v>
          </c:tx>
          <c:spPr>
            <a:ln w="28575" cap="rnd">
              <a:solidFill>
                <a:schemeClr val="accent2"/>
              </a:solidFill>
              <a:round/>
            </a:ln>
            <a:effectLst/>
          </c:spPr>
          <c:marker>
            <c:symbol val="none"/>
          </c:marker>
          <c:cat>
            <c:numRef>
              <c:f>'Table 1'!$G$72:$G$89</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'Table 1'!$H$72:$H$89</c:f>
              <c:numCache>
                <c:formatCode>General</c:formatCode>
                <c:ptCount val="18"/>
                <c:pt idx="0">
                  <c:v>1.74</c:v>
                </c:pt>
                <c:pt idx="1">
                  <c:v>1.77</c:v>
                </c:pt>
                <c:pt idx="2">
                  <c:v>1.77</c:v>
                </c:pt>
                <c:pt idx="3">
                  <c:v>1.78</c:v>
                </c:pt>
                <c:pt idx="4">
                  <c:v>1.85</c:v>
                </c:pt>
                <c:pt idx="5">
                  <c:v>1.88</c:v>
                </c:pt>
                <c:pt idx="6">
                  <c:v>1.99</c:v>
                </c:pt>
                <c:pt idx="7">
                  <c:v>2.02</c:v>
                </c:pt>
                <c:pt idx="8">
                  <c:v>1.97</c:v>
                </c:pt>
                <c:pt idx="9">
                  <c:v>1.95</c:v>
                </c:pt>
                <c:pt idx="10">
                  <c:v>1.92</c:v>
                </c:pt>
                <c:pt idx="11">
                  <c:v>1.93</c:v>
                </c:pt>
                <c:pt idx="12">
                  <c:v>1.88</c:v>
                </c:pt>
                <c:pt idx="13">
                  <c:v>1.8</c:v>
                </c:pt>
                <c:pt idx="14">
                  <c:v>1.8</c:v>
                </c:pt>
                <c:pt idx="15">
                  <c:v>1.79</c:v>
                </c:pt>
                <c:pt idx="16">
                  <c:v>1.74</c:v>
                </c:pt>
                <c:pt idx="17">
                  <c:v>1.74</c:v>
                </c:pt>
              </c:numCache>
            </c:numRef>
          </c:val>
          <c:smooth val="0"/>
          <c:extLst>
            <c:ext xmlns:c16="http://schemas.microsoft.com/office/drawing/2014/chart" uri="{C3380CC4-5D6E-409C-BE32-E72D297353CC}">
              <c16:uniqueId val="{00000002-B854-493E-ABBE-0526AF63E42C}"/>
            </c:ext>
          </c:extLst>
        </c:ser>
        <c:dLbls>
          <c:showLegendKey val="0"/>
          <c:showVal val="0"/>
          <c:showCatName val="0"/>
          <c:showSerName val="0"/>
          <c:showPercent val="0"/>
          <c:showBubbleSize val="0"/>
        </c:dLbls>
        <c:marker val="1"/>
        <c:smooth val="0"/>
        <c:axId val="630679152"/>
        <c:axId val="630679808"/>
      </c:lineChart>
      <c:catAx>
        <c:axId val="63067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79808"/>
        <c:crosses val="autoZero"/>
        <c:auto val="1"/>
        <c:lblAlgn val="ctr"/>
        <c:lblOffset val="100"/>
        <c:noMultiLvlLbl val="0"/>
      </c:catAx>
      <c:valAx>
        <c:axId val="630679808"/>
        <c:scaling>
          <c:orientation val="minMax"/>
          <c:max val="2.2999999999999998"/>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fertility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79152"/>
        <c:crosses val="autoZero"/>
        <c:crossBetween val="between"/>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2"/>
              </a:solidFill>
              <a:ln w="9525">
                <a:noFill/>
              </a:ln>
              <a:effectLst/>
            </c:spPr>
          </c:marker>
          <c:dPt>
            <c:idx val="0"/>
            <c:marker>
              <c:symbol val="circle"/>
              <c:size val="5"/>
              <c:spPr>
                <a:solidFill>
                  <a:schemeClr val="accent2"/>
                </a:solidFill>
                <a:ln w="9525">
                  <a:solidFill>
                    <a:schemeClr val="accent2">
                      <a:lumMod val="50000"/>
                    </a:schemeClr>
                  </a:solidFill>
                </a:ln>
                <a:effectLst/>
              </c:spPr>
            </c:marker>
            <c:bubble3D val="0"/>
            <c:extLst>
              <c:ext xmlns:c16="http://schemas.microsoft.com/office/drawing/2014/chart" uri="{C3380CC4-5D6E-409C-BE32-E72D297353CC}">
                <c16:uniqueId val="{00000000-C055-4BC1-B8F7-A59DC502C19E}"/>
              </c:ext>
            </c:extLst>
          </c:dPt>
          <c:dLbls>
            <c:dLbl>
              <c:idx val="0"/>
              <c:layout>
                <c:manualLayout>
                  <c:x val="-7.313569283009011E-2"/>
                  <c:y val="5.0318685005031748E-2"/>
                </c:manualLayout>
              </c:layout>
              <c:tx>
                <c:rich>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fld id="{39BBADC8-7994-4E5D-AA98-5DA541FA6CE2}" type="CELLRANGE">
                      <a:rPr lang="en-US"/>
                      <a:pPr>
                        <a:defRPr b="1"/>
                      </a:pPr>
                      <a:t>[CELLRANGE]</a:t>
                    </a:fld>
                    <a:endParaRPr lang="en-AU"/>
                  </a:p>
                </c:rich>
              </c:tx>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055-4BC1-B8F7-A59DC502C19E}"/>
                </c:ext>
              </c:extLst>
            </c:dLbl>
            <c:dLbl>
              <c:idx val="1"/>
              <c:tx>
                <c:rich>
                  <a:bodyPr/>
                  <a:lstStyle/>
                  <a:p>
                    <a:fld id="{CF37651E-2789-41AE-8DDF-6AC88B93A4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055-4BC1-B8F7-A59DC502C19E}"/>
                </c:ext>
              </c:extLst>
            </c:dLbl>
            <c:dLbl>
              <c:idx val="2"/>
              <c:layout>
                <c:manualLayout>
                  <c:x val="-1.5732545081896983E-2"/>
                  <c:y val="1.8492831334020431E-2"/>
                </c:manualLayout>
              </c:layout>
              <c:tx>
                <c:rich>
                  <a:bodyPr/>
                  <a:lstStyle/>
                  <a:p>
                    <a:fld id="{5B6364DA-F845-42BB-8A14-4FA56FAE95E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055-4BC1-B8F7-A59DC502C19E}"/>
                </c:ext>
              </c:extLst>
            </c:dLbl>
            <c:dLbl>
              <c:idx val="3"/>
              <c:layout>
                <c:manualLayout>
                  <c:x val="5.3654779374336077E-3"/>
                  <c:y val="3.2255201578500987E-2"/>
                </c:manualLayout>
              </c:layout>
              <c:tx>
                <c:rich>
                  <a:bodyPr/>
                  <a:lstStyle/>
                  <a:p>
                    <a:fld id="{D0AB461B-3373-4645-8CD8-1E85CD7F39C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055-4BC1-B8F7-A59DC502C19E}"/>
                </c:ext>
              </c:extLst>
            </c:dLbl>
            <c:dLbl>
              <c:idx val="4"/>
              <c:layout>
                <c:manualLayout>
                  <c:x val="3.9331362704742454E-2"/>
                  <c:y val="-2.2191397600824586E-2"/>
                </c:manualLayout>
              </c:layout>
              <c:tx>
                <c:rich>
                  <a:bodyPr/>
                  <a:lstStyle/>
                  <a:p>
                    <a:fld id="{21B8435D-973C-45FF-AB40-6DFAB91B04B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055-4BC1-B8F7-A59DC502C19E}"/>
                </c:ext>
              </c:extLst>
            </c:dLbl>
            <c:dLbl>
              <c:idx val="5"/>
              <c:layout>
                <c:manualLayout>
                  <c:x val="-1.3059945148230426E-2"/>
                  <c:y val="-1.3418316001341831E-2"/>
                </c:manualLayout>
              </c:layout>
              <c:tx>
                <c:rich>
                  <a:bodyPr/>
                  <a:lstStyle/>
                  <a:p>
                    <a:fld id="{F2E2A277-B0F0-4E7E-BCB9-430B5EF0A88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055-4BC1-B8F7-A59DC502C19E}"/>
                </c:ext>
              </c:extLst>
            </c:dLbl>
            <c:dLbl>
              <c:idx val="6"/>
              <c:layout>
                <c:manualLayout>
                  <c:x val="-3.6565447420819859E-2"/>
                  <c:y val="-2.7281922378468576E-2"/>
                </c:manualLayout>
              </c:layout>
              <c:tx>
                <c:rich>
                  <a:bodyPr/>
                  <a:lstStyle/>
                  <a:p>
                    <a:fld id="{6078F349-4715-4B19-912D-874B841ADD5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055-4BC1-B8F7-A59DC502C19E}"/>
                </c:ext>
              </c:extLst>
            </c:dLbl>
            <c:dLbl>
              <c:idx val="7"/>
              <c:layout>
                <c:manualLayout>
                  <c:x val="-1.5670906037494187E-2"/>
                  <c:y val="3.6908867791418283E-2"/>
                </c:manualLayout>
              </c:layout>
              <c:tx>
                <c:rich>
                  <a:bodyPr/>
                  <a:lstStyle/>
                  <a:p>
                    <a:fld id="{40A13BAE-08C4-4DF8-904A-2B577992CA1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055-4BC1-B8F7-A59DC502C19E}"/>
                </c:ext>
              </c:extLst>
            </c:dLbl>
            <c:dLbl>
              <c:idx val="8"/>
              <c:tx>
                <c:rich>
                  <a:bodyPr/>
                  <a:lstStyle/>
                  <a:p>
                    <a:fld id="{69013433-84BC-48A0-896F-1B93FF08EE9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055-4BC1-B8F7-A59DC502C19E}"/>
                </c:ext>
              </c:extLst>
            </c:dLbl>
            <c:dLbl>
              <c:idx val="9"/>
              <c:layout>
                <c:manualLayout>
                  <c:x val="-7.3141177588383344E-2"/>
                  <c:y val="2.0984047570783718E-2"/>
                </c:manualLayout>
              </c:layout>
              <c:tx>
                <c:rich>
                  <a:bodyPr/>
                  <a:lstStyle/>
                  <a:p>
                    <a:fld id="{D6F394DA-CDC9-400C-8534-F5AF551FDBD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055-4BC1-B8F7-A59DC502C19E}"/>
                </c:ext>
              </c:extLst>
            </c:dLbl>
            <c:dLbl>
              <c:idx val="10"/>
              <c:layout>
                <c:manualLayout>
                  <c:x val="-7.8354530187470933E-3"/>
                  <c:y val="0"/>
                </c:manualLayout>
              </c:layout>
              <c:tx>
                <c:rich>
                  <a:bodyPr/>
                  <a:lstStyle/>
                  <a:p>
                    <a:fld id="{8949788D-6709-4394-A9A8-C3AFC03326B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055-4BC1-B8F7-A59DC502C19E}"/>
                </c:ext>
              </c:extLst>
            </c:dLbl>
            <c:dLbl>
              <c:idx val="11"/>
              <c:layout>
                <c:manualLayout>
                  <c:x val="-0.1101278155732789"/>
                  <c:y val="-1.4794265067216346E-2"/>
                </c:manualLayout>
              </c:layout>
              <c:tx>
                <c:rich>
                  <a:bodyPr/>
                  <a:lstStyle/>
                  <a:p>
                    <a:fld id="{674B4B30-7756-4527-8C34-CDE71D8C518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055-4BC1-B8F7-A59DC502C19E}"/>
                </c:ext>
              </c:extLst>
            </c:dLbl>
            <c:dLbl>
              <c:idx val="12"/>
              <c:layout>
                <c:manualLayout>
                  <c:x val="-2.089508956345848E-2"/>
                  <c:y val="3.646348131341013E-2"/>
                </c:manualLayout>
              </c:layout>
              <c:tx>
                <c:rich>
                  <a:bodyPr/>
                  <a:lstStyle/>
                  <a:p>
                    <a:fld id="{F9BBE70C-E042-4056-A904-F367598A574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C055-4BC1-B8F7-A59DC502C19E}"/>
                </c:ext>
              </c:extLst>
            </c:dLbl>
            <c:dLbl>
              <c:idx val="13"/>
              <c:layout>
                <c:manualLayout>
                  <c:x val="9.6522249724661391E-2"/>
                  <c:y val="3.0067329306077598E-2"/>
                </c:manualLayout>
              </c:layout>
              <c:tx>
                <c:rich>
                  <a:bodyPr/>
                  <a:lstStyle/>
                  <a:p>
                    <a:fld id="{7D45476C-4EA4-4FFB-A9E6-F6A8F887760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055-4BC1-B8F7-A59DC502C19E}"/>
                </c:ext>
              </c:extLst>
            </c:dLbl>
            <c:dLbl>
              <c:idx val="14"/>
              <c:tx>
                <c:rich>
                  <a:bodyPr/>
                  <a:lstStyle/>
                  <a:p>
                    <a:fld id="{78BB512B-6363-49A3-97CA-A693049F830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055-4BC1-B8F7-A59DC502C19E}"/>
                </c:ext>
              </c:extLst>
            </c:dLbl>
            <c:dLbl>
              <c:idx val="15"/>
              <c:tx>
                <c:rich>
                  <a:bodyPr/>
                  <a:lstStyle/>
                  <a:p>
                    <a:fld id="{6437D218-C760-4216-9576-9982EB0ADB9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055-4BC1-B8F7-A59DC502C19E}"/>
                </c:ext>
              </c:extLst>
            </c:dLbl>
            <c:dLbl>
              <c:idx val="16"/>
              <c:layout>
                <c:manualLayout>
                  <c:x val="1.5732545081897007E-2"/>
                  <c:y val="4.4382795201649033E-2"/>
                </c:manualLayout>
              </c:layout>
              <c:tx>
                <c:rich>
                  <a:bodyPr/>
                  <a:lstStyle/>
                  <a:p>
                    <a:fld id="{7158BF25-B499-4AFB-9D67-779C6E7289E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C055-4BC1-B8F7-A59DC502C19E}"/>
                </c:ext>
              </c:extLst>
            </c:dLbl>
            <c:dLbl>
              <c:idx val="17"/>
              <c:layout>
                <c:manualLayout>
                  <c:x val="-1.0447956118584302E-2"/>
                  <c:y val="-2.3482053002348204E-2"/>
                </c:manualLayout>
              </c:layout>
              <c:tx>
                <c:rich>
                  <a:bodyPr/>
                  <a:lstStyle/>
                  <a:p>
                    <a:fld id="{7A68D5A6-2818-4DF3-91FC-9B13811445F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055-4BC1-B8F7-A59DC502C19E}"/>
                </c:ext>
              </c:extLst>
            </c:dLbl>
            <c:dLbl>
              <c:idx val="18"/>
              <c:tx>
                <c:rich>
                  <a:bodyPr/>
                  <a:lstStyle/>
                  <a:p>
                    <a:fld id="{F1575F1C-984E-4F49-A01C-AA36B803D8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055-4BC1-B8F7-A59DC502C19E}"/>
                </c:ext>
              </c:extLst>
            </c:dLbl>
            <c:dLbl>
              <c:idx val="19"/>
              <c:layout>
                <c:manualLayout>
                  <c:x val="-0.10708452458954359"/>
                  <c:y val="-7.4840075105385394E-3"/>
                </c:manualLayout>
              </c:layout>
              <c:tx>
                <c:rich>
                  <a:bodyPr/>
                  <a:lstStyle/>
                  <a:p>
                    <a:fld id="{905D6227-28F6-43FB-B2F5-D1421222581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055-4BC1-B8F7-A59DC502C19E}"/>
                </c:ext>
              </c:extLst>
            </c:dLbl>
            <c:dLbl>
              <c:idx val="20"/>
              <c:layout>
                <c:manualLayout>
                  <c:x val="-4.4565218732532184E-2"/>
                  <c:y val="-3.5232468953805607E-2"/>
                </c:manualLayout>
              </c:layout>
              <c:tx>
                <c:rich>
                  <a:bodyPr/>
                  <a:lstStyle/>
                  <a:p>
                    <a:fld id="{CC66B4CC-0884-4AB3-B080-FD72C6EC28B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C055-4BC1-B8F7-A59DC502C19E}"/>
                </c:ext>
              </c:extLst>
            </c:dLbl>
            <c:dLbl>
              <c:idx val="21"/>
              <c:layout>
                <c:manualLayout>
                  <c:x val="-0.10766742181257644"/>
                  <c:y val="-4.3609527004360951E-2"/>
                </c:manualLayout>
              </c:layout>
              <c:tx>
                <c:rich>
                  <a:bodyPr/>
                  <a:lstStyle/>
                  <a:p>
                    <a:fld id="{1783503A-CE74-45C3-91F6-7EE368C7A6A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C055-4BC1-B8F7-A59DC502C19E}"/>
                </c:ext>
              </c:extLst>
            </c:dLbl>
            <c:dLbl>
              <c:idx val="22"/>
              <c:tx>
                <c:rich>
                  <a:bodyPr/>
                  <a:lstStyle/>
                  <a:p>
                    <a:fld id="{D135F73E-F05F-45A0-B6C4-DF2407FFE4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055-4BC1-B8F7-A59DC502C19E}"/>
                </c:ext>
              </c:extLst>
            </c:dLbl>
            <c:dLbl>
              <c:idx val="23"/>
              <c:layout>
                <c:manualLayout>
                  <c:x val="-1.0488363387931297E-2"/>
                  <c:y val="-8.8765590403298067E-2"/>
                </c:manualLayout>
              </c:layout>
              <c:tx>
                <c:rich>
                  <a:bodyPr/>
                  <a:lstStyle/>
                  <a:p>
                    <a:fld id="{D10A47CD-E462-4E26-85CF-3C6F6922458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C055-4BC1-B8F7-A59DC502C19E}"/>
                </c:ext>
              </c:extLst>
            </c:dLbl>
            <c:dLbl>
              <c:idx val="24"/>
              <c:tx>
                <c:rich>
                  <a:bodyPr/>
                  <a:lstStyle/>
                  <a:p>
                    <a:fld id="{D46980C1-FE79-44B7-BED9-5E8E277C54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055-4BC1-B8F7-A59DC502C19E}"/>
                </c:ext>
              </c:extLst>
            </c:dLbl>
            <c:dLbl>
              <c:idx val="25"/>
              <c:layout>
                <c:manualLayout>
                  <c:x val="-5.223978059292151E-2"/>
                  <c:y val="2.683663200268354E-2"/>
                </c:manualLayout>
              </c:layout>
              <c:tx>
                <c:rich>
                  <a:bodyPr/>
                  <a:lstStyle/>
                  <a:p>
                    <a:fld id="{A39B00DB-FAAB-42D8-BEE5-2CDAAECCA60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C055-4BC1-B8F7-A59DC502C19E}"/>
                </c:ext>
              </c:extLst>
            </c:dLbl>
            <c:dLbl>
              <c:idx val="26"/>
              <c:layout>
                <c:manualLayout>
                  <c:x val="-2.6119478959605692E-2"/>
                  <c:y val="-3.6609286636889275E-2"/>
                </c:manualLayout>
              </c:layout>
              <c:tx>
                <c:rich>
                  <a:bodyPr/>
                  <a:lstStyle/>
                  <a:p>
                    <a:fld id="{8D026288-217C-4BE5-A5FF-C3BE38968F4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C055-4BC1-B8F7-A59DC502C19E}"/>
                </c:ext>
              </c:extLst>
            </c:dLbl>
            <c:dLbl>
              <c:idx val="27"/>
              <c:layout>
                <c:manualLayout>
                  <c:x val="-5.2441816939656728E-3"/>
                  <c:y val="-5.5478494002061299E-2"/>
                </c:manualLayout>
              </c:layout>
              <c:tx>
                <c:rich>
                  <a:bodyPr/>
                  <a:lstStyle/>
                  <a:p>
                    <a:fld id="{4A1D3537-6CAA-4901-9D23-19B9C60CBFC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C055-4BC1-B8F7-A59DC502C19E}"/>
                </c:ext>
              </c:extLst>
            </c:dLbl>
            <c:dLbl>
              <c:idx val="28"/>
              <c:layout>
                <c:manualLayout>
                  <c:x val="1.3059945148230329E-2"/>
                  <c:y val="-2.6836632002683661E-2"/>
                </c:manualLayout>
              </c:layout>
              <c:tx>
                <c:rich>
                  <a:bodyPr/>
                  <a:lstStyle/>
                  <a:p>
                    <a:fld id="{A2298E90-0F86-4BD7-8E82-7D3FFF0F365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C055-4BC1-B8F7-A59DC502C1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'Table PF2.1.A'!$G$12:$G$40</c:f>
              <c:numCache>
                <c:formatCode>0.0</c:formatCode>
                <c:ptCount val="29"/>
                <c:pt idx="0">
                  <c:v>18</c:v>
                </c:pt>
                <c:pt idx="1">
                  <c:v>60</c:v>
                </c:pt>
                <c:pt idx="2">
                  <c:v>32.333333333333329</c:v>
                </c:pt>
                <c:pt idx="3">
                  <c:v>51</c:v>
                </c:pt>
                <c:pt idx="4">
                  <c:v>63.340524357448253</c:v>
                </c:pt>
                <c:pt idx="5">
                  <c:v>50</c:v>
                </c:pt>
                <c:pt idx="6">
                  <c:v>166</c:v>
                </c:pt>
                <c:pt idx="7">
                  <c:v>161.00000033333328</c:v>
                </c:pt>
                <c:pt idx="8">
                  <c:v>42</c:v>
                </c:pt>
                <c:pt idx="9">
                  <c:v>58</c:v>
                </c:pt>
                <c:pt idx="10">
                  <c:v>43</c:v>
                </c:pt>
                <c:pt idx="11">
                  <c:v>160</c:v>
                </c:pt>
                <c:pt idx="12">
                  <c:v>26</c:v>
                </c:pt>
                <c:pt idx="13">
                  <c:v>26</c:v>
                </c:pt>
                <c:pt idx="14">
                  <c:v>47.7</c:v>
                </c:pt>
                <c:pt idx="15">
                  <c:v>58</c:v>
                </c:pt>
                <c:pt idx="16">
                  <c:v>64.857142857142861</c:v>
                </c:pt>
                <c:pt idx="17">
                  <c:v>94</c:v>
                </c:pt>
                <c:pt idx="18">
                  <c:v>62</c:v>
                </c:pt>
                <c:pt idx="19">
                  <c:v>37.3333333333333</c:v>
                </c:pt>
                <c:pt idx="20">
                  <c:v>16</c:v>
                </c:pt>
                <c:pt idx="21">
                  <c:v>18</c:v>
                </c:pt>
                <c:pt idx="22">
                  <c:v>91</c:v>
                </c:pt>
                <c:pt idx="23">
                  <c:v>52</c:v>
                </c:pt>
                <c:pt idx="24">
                  <c:v>30.14</c:v>
                </c:pt>
                <c:pt idx="25">
                  <c:v>164</c:v>
                </c:pt>
                <c:pt idx="26">
                  <c:v>52.142857142857146</c:v>
                </c:pt>
                <c:pt idx="27">
                  <c:v>16</c:v>
                </c:pt>
                <c:pt idx="28">
                  <c:v>55.714285714285708</c:v>
                </c:pt>
              </c:numCache>
            </c:numRef>
          </c:xVal>
          <c:yVal>
            <c:numRef>
              <c:f>'Table PF2.1.A'!$H$12:$H$40</c:f>
              <c:numCache>
                <c:formatCode>0.0</c:formatCode>
                <c:ptCount val="29"/>
                <c:pt idx="0">
                  <c:v>42.851812806859677</c:v>
                </c:pt>
                <c:pt idx="1">
                  <c:v>82.252618587782365</c:v>
                </c:pt>
                <c:pt idx="2">
                  <c:v>40.407967875968552</c:v>
                </c:pt>
                <c:pt idx="3">
                  <c:v>52.136245630401767</c:v>
                </c:pt>
                <c:pt idx="4">
                  <c:v>74.081637977923961</c:v>
                </c:pt>
                <c:pt idx="5">
                  <c:v>53.042270412618429</c:v>
                </c:pt>
                <c:pt idx="6">
                  <c:v>50.830503225059125</c:v>
                </c:pt>
                <c:pt idx="7">
                  <c:v>25.085616915509178</c:v>
                </c:pt>
                <c:pt idx="8">
                  <c:v>42.913259875761739</c:v>
                </c:pt>
                <c:pt idx="9">
                  <c:v>73.448275862068968</c:v>
                </c:pt>
                <c:pt idx="10">
                  <c:v>49.503149706364027</c:v>
                </c:pt>
                <c:pt idx="11">
                  <c:v>42.596472236917577</c:v>
                </c:pt>
                <c:pt idx="12">
                  <c:v>68.178375740009912</c:v>
                </c:pt>
                <c:pt idx="13">
                  <c:v>26.681130459117803</c:v>
                </c:pt>
                <c:pt idx="14">
                  <c:v>52.746331236897269</c:v>
                </c:pt>
                <c:pt idx="15">
                  <c:v>61.640394088669957</c:v>
                </c:pt>
                <c:pt idx="16">
                  <c:v>38.753469890662842</c:v>
                </c:pt>
                <c:pt idx="17">
                  <c:v>54.930242664467997</c:v>
                </c:pt>
                <c:pt idx="18">
                  <c:v>100</c:v>
                </c:pt>
                <c:pt idx="19">
                  <c:v>84.763621168374669</c:v>
                </c:pt>
                <c:pt idx="20">
                  <c:v>100</c:v>
                </c:pt>
                <c:pt idx="21">
                  <c:v>46.834276319271787</c:v>
                </c:pt>
                <c:pt idx="22">
                  <c:v>47.263552850939497</c:v>
                </c:pt>
                <c:pt idx="23">
                  <c:v>80</c:v>
                </c:pt>
                <c:pt idx="24">
                  <c:v>67.650962176509623</c:v>
                </c:pt>
                <c:pt idx="25">
                  <c:v>32.384304784349865</c:v>
                </c:pt>
                <c:pt idx="26">
                  <c:v>92.876712328767127</c:v>
                </c:pt>
                <c:pt idx="27">
                  <c:v>100</c:v>
                </c:pt>
                <c:pt idx="28">
                  <c:v>62.073559783487973</c:v>
                </c:pt>
              </c:numCache>
            </c:numRef>
          </c:yVal>
          <c:smooth val="0"/>
          <c:extLst>
            <c:ext xmlns:c15="http://schemas.microsoft.com/office/drawing/2012/chart" uri="{02D57815-91ED-43cb-92C2-25804820EDAC}">
              <c15:datalabelsRange>
                <c15:f>'Table PF2.1.A'!$A$12:$A$40</c15:f>
                <c15:dlblRangeCache>
                  <c:ptCount val="29"/>
                  <c:pt idx="0">
                    <c:v>Australia</c:v>
                  </c:pt>
                  <c:pt idx="1">
                    <c:v>Austria</c:v>
                  </c:pt>
                  <c:pt idx="2">
                    <c:v>Belgium</c:v>
                  </c:pt>
                  <c:pt idx="3">
                    <c:v>Canada</c:v>
                  </c:pt>
                  <c:pt idx="4">
                    <c:v>Czech Republic</c:v>
                  </c:pt>
                  <c:pt idx="5">
                    <c:v>Denmark</c:v>
                  </c:pt>
                  <c:pt idx="6">
                    <c:v>Estonia</c:v>
                  </c:pt>
                  <c:pt idx="7">
                    <c:v>Finland</c:v>
                  </c:pt>
                  <c:pt idx="8">
                    <c:v>France</c:v>
                  </c:pt>
                  <c:pt idx="9">
                    <c:v>Germany</c:v>
                  </c:pt>
                  <c:pt idx="10">
                    <c:v>Greece</c:v>
                  </c:pt>
                  <c:pt idx="11">
                    <c:v>Hungary</c:v>
                  </c:pt>
                  <c:pt idx="12">
                    <c:v>Iceland</c:v>
                  </c:pt>
                  <c:pt idx="13">
                    <c:v>Ireland</c:v>
                  </c:pt>
                  <c:pt idx="14">
                    <c:v>Italy</c:v>
                  </c:pt>
                  <c:pt idx="15">
                    <c:v>Japan</c:v>
                  </c:pt>
                  <c:pt idx="16">
                    <c:v>Korea</c:v>
                  </c:pt>
                  <c:pt idx="17">
                    <c:v>Latvia</c:v>
                  </c:pt>
                  <c:pt idx="18">
                    <c:v>Lithuania</c:v>
                  </c:pt>
                  <c:pt idx="19">
                    <c:v>Luxembourg</c:v>
                  </c:pt>
                  <c:pt idx="20">
                    <c:v>Netherlands</c:v>
                  </c:pt>
                  <c:pt idx="21">
                    <c:v>New Zealand</c:v>
                  </c:pt>
                  <c:pt idx="22">
                    <c:v>Norway</c:v>
                  </c:pt>
                  <c:pt idx="23">
                    <c:v>Poland</c:v>
                  </c:pt>
                  <c:pt idx="24">
                    <c:v>Portugal</c:v>
                  </c:pt>
                  <c:pt idx="25">
                    <c:v>Slovak Republic</c:v>
                  </c:pt>
                  <c:pt idx="26">
                    <c:v>Slovenia</c:v>
                  </c:pt>
                  <c:pt idx="27">
                    <c:v>Spain</c:v>
                  </c:pt>
                  <c:pt idx="28">
                    <c:v>Sweden</c:v>
                  </c:pt>
                </c15:dlblRangeCache>
              </c15:datalabelsRange>
            </c:ext>
            <c:ext xmlns:c16="http://schemas.microsoft.com/office/drawing/2014/chart" uri="{C3380CC4-5D6E-409C-BE32-E72D297353CC}">
              <c16:uniqueId val="{0000001D-C055-4BC1-B8F7-A59DC502C19E}"/>
            </c:ext>
          </c:extLst>
        </c:ser>
        <c:dLbls>
          <c:showLegendKey val="0"/>
          <c:showVal val="0"/>
          <c:showCatName val="0"/>
          <c:showSerName val="0"/>
          <c:showPercent val="0"/>
          <c:showBubbleSize val="0"/>
        </c:dLbls>
        <c:axId val="500710488"/>
        <c:axId val="500711800"/>
      </c:scatterChart>
      <c:valAx>
        <c:axId val="500710488"/>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AU"/>
                  <a:t>Length (weeks)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00711800"/>
        <c:crosses val="autoZero"/>
        <c:crossBetween val="midCat"/>
      </c:valAx>
      <c:valAx>
        <c:axId val="50071180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AU"/>
                  <a:t>Average payment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007104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a:noFill/>
            </a:ln>
          </c:spPr>
          <c:marker>
            <c:symbol val="circle"/>
            <c:size val="7"/>
          </c:marker>
          <c:dPt>
            <c:idx val="0"/>
            <c:marker>
              <c:spPr>
                <a:ln>
                  <a:solidFill>
                    <a:schemeClr val="accent2">
                      <a:lumMod val="75000"/>
                    </a:schemeClr>
                  </a:solidFill>
                </a:ln>
              </c:spPr>
            </c:marker>
            <c:bubble3D val="0"/>
            <c:extLst>
              <c:ext xmlns:c16="http://schemas.microsoft.com/office/drawing/2014/chart" uri="{C3380CC4-5D6E-409C-BE32-E72D297353CC}">
                <c16:uniqueId val="{00000000-E920-4029-BAD0-8AEAADC545FE}"/>
              </c:ext>
            </c:extLst>
          </c:dPt>
          <c:dLbls>
            <c:dLbl>
              <c:idx val="0"/>
              <c:tx>
                <c:rich>
                  <a:bodyPr/>
                  <a:lstStyle/>
                  <a:p>
                    <a:fld id="{3AB575E7-79B8-4379-B1D0-062C95179552}" type="CELLRANGE">
                      <a:rPr lang="en-US" b="1"/>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920-4029-BAD0-8AEAADC545FE}"/>
                </c:ext>
              </c:extLst>
            </c:dLbl>
            <c:dLbl>
              <c:idx val="1"/>
              <c:tx>
                <c:rich>
                  <a:bodyPr/>
                  <a:lstStyle/>
                  <a:p>
                    <a:fld id="{D8C10456-2394-4EAF-AD83-BE07B8E215B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920-4029-BAD0-8AEAADC545FE}"/>
                </c:ext>
              </c:extLst>
            </c:dLbl>
            <c:dLbl>
              <c:idx val="2"/>
              <c:tx>
                <c:rich>
                  <a:bodyPr/>
                  <a:lstStyle/>
                  <a:p>
                    <a:fld id="{8DBC603B-5A36-47EE-A141-7989AAA5A7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920-4029-BAD0-8AEAADC545FE}"/>
                </c:ext>
              </c:extLst>
            </c:dLbl>
            <c:dLbl>
              <c:idx val="3"/>
              <c:layout>
                <c:manualLayout>
                  <c:x val="9.9651220727453915E-2"/>
                  <c:y val="-2.5477707006369428E-2"/>
                </c:manualLayout>
              </c:layout>
              <c:tx>
                <c:rich>
                  <a:bodyPr/>
                  <a:lstStyle/>
                  <a:p>
                    <a:fld id="{FEC4C38B-8525-4E08-A8B0-25CDE71AE6B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920-4029-BAD0-8AEAADC545FE}"/>
                </c:ext>
              </c:extLst>
            </c:dLbl>
            <c:dLbl>
              <c:idx val="4"/>
              <c:tx>
                <c:rich>
                  <a:bodyPr/>
                  <a:lstStyle/>
                  <a:p>
                    <a:fld id="{C7154B73-E220-413E-AEBE-79A22CDFC9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920-4029-BAD0-8AEAADC545FE}"/>
                </c:ext>
              </c:extLst>
            </c:dLbl>
            <c:dLbl>
              <c:idx val="5"/>
              <c:tx>
                <c:rich>
                  <a:bodyPr/>
                  <a:lstStyle/>
                  <a:p>
                    <a:fld id="{1E826192-C745-4A50-8D2F-56CD9533F0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920-4029-BAD0-8AEAADC545FE}"/>
                </c:ext>
              </c:extLst>
            </c:dLbl>
            <c:dLbl>
              <c:idx val="6"/>
              <c:layout>
                <c:manualLayout>
                  <c:x val="-1.195814648729447E-2"/>
                  <c:y val="2.8308563340410473E-2"/>
                </c:manualLayout>
              </c:layout>
              <c:tx>
                <c:rich>
                  <a:bodyPr/>
                  <a:lstStyle/>
                  <a:p>
                    <a:fld id="{2B4A0C52-E599-4A1F-87F3-DC4CD73C3ED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920-4029-BAD0-8AEAADC545FE}"/>
                </c:ext>
              </c:extLst>
            </c:dLbl>
            <c:dLbl>
              <c:idx val="7"/>
              <c:tx>
                <c:rich>
                  <a:bodyPr/>
                  <a:lstStyle/>
                  <a:p>
                    <a:fld id="{75B6ACE1-6306-42B3-A62D-101A0CD251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920-4029-BAD0-8AEAADC545FE}"/>
                </c:ext>
              </c:extLst>
            </c:dLbl>
            <c:dLbl>
              <c:idx val="8"/>
              <c:tx>
                <c:rich>
                  <a:bodyPr/>
                  <a:lstStyle/>
                  <a:p>
                    <a:fld id="{91E352B3-AE46-434C-9081-23729C9A6D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920-4029-BAD0-8AEAADC545FE}"/>
                </c:ext>
              </c:extLst>
            </c:dLbl>
            <c:dLbl>
              <c:idx val="9"/>
              <c:tx>
                <c:rich>
                  <a:bodyPr/>
                  <a:lstStyle/>
                  <a:p>
                    <a:fld id="{2C14029C-55BC-41F5-B2D4-396367F8E5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920-4029-BAD0-8AEAADC545FE}"/>
                </c:ext>
              </c:extLst>
            </c:dLbl>
            <c:dLbl>
              <c:idx val="10"/>
              <c:layout>
                <c:manualLayout>
                  <c:x val="-1.3951170901843548E-2"/>
                  <c:y val="-0.10191082802547771"/>
                </c:manualLayout>
              </c:layout>
              <c:tx>
                <c:rich>
                  <a:bodyPr/>
                  <a:lstStyle/>
                  <a:p>
                    <a:fld id="{CA37D905-B51F-4F05-85F4-3015C766633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920-4029-BAD0-8AEAADC545FE}"/>
                </c:ext>
              </c:extLst>
            </c:dLbl>
            <c:dLbl>
              <c:idx val="11"/>
              <c:layout>
                <c:manualLayout>
                  <c:x val="-2.1923259592550932E-2"/>
                  <c:y val="8.6823320963715075E-2"/>
                </c:manualLayout>
              </c:layout>
              <c:tx>
                <c:rich>
                  <a:bodyPr/>
                  <a:lstStyle/>
                  <a:p>
                    <a:fld id="{B928FF5E-5B20-4986-B065-4095BE99990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920-4029-BAD0-8AEAADC545FE}"/>
                </c:ext>
              </c:extLst>
            </c:dLbl>
            <c:dLbl>
              <c:idx val="12"/>
              <c:tx>
                <c:rich>
                  <a:bodyPr/>
                  <a:lstStyle/>
                  <a:p>
                    <a:fld id="{CFE5F36D-F738-4740-81FB-AEA089A081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920-4029-BAD0-8AEAADC545FE}"/>
                </c:ext>
              </c:extLst>
            </c:dLbl>
            <c:dLbl>
              <c:idx val="13"/>
              <c:tx>
                <c:rich>
                  <a:bodyPr/>
                  <a:lstStyle/>
                  <a:p>
                    <a:fld id="{EE167EF0-89A2-4604-B96D-A57ECEC60E7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920-4029-BAD0-8AEAADC545FE}"/>
                </c:ext>
              </c:extLst>
            </c:dLbl>
            <c:dLbl>
              <c:idx val="14"/>
              <c:layout>
                <c:manualLayout>
                  <c:x val="1.9930244145490964E-3"/>
                  <c:y val="-6.7940552016985137E-2"/>
                </c:manualLayout>
              </c:layout>
              <c:tx>
                <c:rich>
                  <a:bodyPr/>
                  <a:lstStyle/>
                  <a:p>
                    <a:fld id="{C65EEADD-065E-4498-8D68-C93B55FA64E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920-4029-BAD0-8AEAADC545FE}"/>
                </c:ext>
              </c:extLst>
            </c:dLbl>
            <c:dLbl>
              <c:idx val="15"/>
              <c:tx>
                <c:rich>
                  <a:bodyPr/>
                  <a:lstStyle/>
                  <a:p>
                    <a:fld id="{6314BF3F-1C07-408F-B88E-2E61464C65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920-4029-BAD0-8AEAADC545FE}"/>
                </c:ext>
              </c:extLst>
            </c:dLbl>
            <c:dLbl>
              <c:idx val="16"/>
              <c:tx>
                <c:rich>
                  <a:bodyPr/>
                  <a:lstStyle/>
                  <a:p>
                    <a:fld id="{B8479D0A-30F0-4A99-9239-E9F6E023B40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920-4029-BAD0-8AEAADC545FE}"/>
                </c:ext>
              </c:extLst>
            </c:dLbl>
            <c:dLbl>
              <c:idx val="17"/>
              <c:tx>
                <c:rich>
                  <a:bodyPr/>
                  <a:lstStyle/>
                  <a:p>
                    <a:fld id="{6A0D4AB4-AF4B-401C-BB6E-1D85C3413D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E920-4029-BAD0-8AEAADC545FE}"/>
                </c:ext>
              </c:extLst>
            </c:dLbl>
            <c:dLbl>
              <c:idx val="18"/>
              <c:layout>
                <c:manualLayout>
                  <c:x val="6.77628300946687E-2"/>
                  <c:y val="-1.9815994338287332E-2"/>
                </c:manualLayout>
              </c:layout>
              <c:tx>
                <c:rich>
                  <a:bodyPr/>
                  <a:lstStyle/>
                  <a:p>
                    <a:fld id="{1ADDF55F-9A84-4B22-B8C3-43A230EB333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920-4029-BAD0-8AEAADC545FE}"/>
                </c:ext>
              </c:extLst>
            </c:dLbl>
            <c:dLbl>
              <c:idx val="19"/>
              <c:tx>
                <c:rich>
                  <a:bodyPr/>
                  <a:lstStyle/>
                  <a:p>
                    <a:fld id="{34F27F2E-91CC-40BD-840B-DEF5B3D5FB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920-4029-BAD0-8AEAADC545FE}"/>
                </c:ext>
              </c:extLst>
            </c:dLbl>
            <c:dLbl>
              <c:idx val="20"/>
              <c:layout>
                <c:manualLayout>
                  <c:x val="0.11360239162929746"/>
                  <c:y val="-4.2462845010615723E-2"/>
                </c:manualLayout>
              </c:layout>
              <c:tx>
                <c:rich>
                  <a:bodyPr/>
                  <a:lstStyle/>
                  <a:p>
                    <a:fld id="{5557A076-8AEE-45B2-A00F-71020871931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920-4029-BAD0-8AEAADC545FE}"/>
                </c:ext>
              </c:extLst>
            </c:dLbl>
            <c:dLbl>
              <c:idx val="21"/>
              <c:layout>
                <c:manualLayout>
                  <c:x val="0.15346287992027902"/>
                  <c:y val="-5.9447983014861996E-2"/>
                </c:manualLayout>
              </c:layout>
              <c:tx>
                <c:rich>
                  <a:bodyPr/>
                  <a:lstStyle/>
                  <a:p>
                    <a:fld id="{3A7DEF4C-164E-44D9-BB73-F9D0B07498D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920-4029-BAD0-8AEAADC545FE}"/>
                </c:ext>
              </c:extLst>
            </c:dLbl>
            <c:dLbl>
              <c:idx val="22"/>
              <c:tx>
                <c:rich>
                  <a:bodyPr/>
                  <a:lstStyle/>
                  <a:p>
                    <a:fld id="{C37B179A-88DE-4303-87D3-B832C6BC3E7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E920-4029-BAD0-8AEAADC545FE}"/>
                </c:ext>
              </c:extLst>
            </c:dLbl>
            <c:dLbl>
              <c:idx val="23"/>
              <c:layout>
                <c:manualLayout>
                  <c:x val="5.9790732436472344E-2"/>
                  <c:y val="-8.209483368719038E-2"/>
                </c:manualLayout>
              </c:layout>
              <c:tx>
                <c:rich>
                  <a:bodyPr/>
                  <a:lstStyle/>
                  <a:p>
                    <a:fld id="{3BD42BF8-3463-482D-A962-402DAEC0F42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E920-4029-BAD0-8AEAADC545FE}"/>
                </c:ext>
              </c:extLst>
            </c:dLbl>
            <c:dLbl>
              <c:idx val="24"/>
              <c:tx>
                <c:rich>
                  <a:bodyPr/>
                  <a:lstStyle/>
                  <a:p>
                    <a:fld id="{F3538E9E-86E4-4CA3-B7AB-345496405E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E920-4029-BAD0-8AEAADC545FE}"/>
                </c:ext>
              </c:extLst>
            </c:dLbl>
            <c:dLbl>
              <c:idx val="25"/>
              <c:layout>
                <c:manualLayout>
                  <c:x val="1.195814648729447E-2"/>
                  <c:y val="-5.095541401273896E-2"/>
                </c:manualLayout>
              </c:layout>
              <c:tx>
                <c:rich>
                  <a:bodyPr/>
                  <a:lstStyle/>
                  <a:p>
                    <a:fld id="{99DE88D8-4536-42F6-848C-A9A20BEF023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E920-4029-BAD0-8AEAADC545FE}"/>
                </c:ext>
              </c:extLst>
            </c:dLbl>
            <c:dLbl>
              <c:idx val="26"/>
              <c:tx>
                <c:rich>
                  <a:bodyPr/>
                  <a:lstStyle/>
                  <a:p>
                    <a:fld id="{14B19DCC-E318-477C-B4F6-44E9C5B240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E920-4029-BAD0-8AEAADC545FE}"/>
                </c:ext>
              </c:extLst>
            </c:dLbl>
            <c:dLbl>
              <c:idx val="27"/>
              <c:layout>
                <c:manualLayout>
                  <c:x val="9.9651220727453547E-3"/>
                  <c:y val="2.8308563340410473E-2"/>
                </c:manualLayout>
              </c:layout>
              <c:tx>
                <c:rich>
                  <a:bodyPr/>
                  <a:lstStyle/>
                  <a:p>
                    <a:fld id="{8205D31B-E7DB-4F80-A0FD-E1452434193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E920-4029-BAD0-8AEAADC545FE}"/>
                </c:ext>
              </c:extLst>
            </c:dLbl>
            <c:dLbl>
              <c:idx val="28"/>
              <c:tx>
                <c:rich>
                  <a:bodyPr/>
                  <a:lstStyle/>
                  <a:p>
                    <a:fld id="{4FE322BF-7B42-4C16-9647-18A92E6C8B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920-4029-BAD0-8AEAADC545FE}"/>
                </c:ext>
              </c:extLst>
            </c:dLbl>
            <c:dLbl>
              <c:idx val="29"/>
              <c:layout>
                <c:manualLayout>
                  <c:x val="9.9651220727453912E-3"/>
                  <c:y val="-8.209483368719038E-2"/>
                </c:manualLayout>
              </c:layout>
              <c:tx>
                <c:rich>
                  <a:bodyPr/>
                  <a:lstStyle/>
                  <a:p>
                    <a:fld id="{8D51DB88-0089-4936-95F9-832C2243069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E920-4029-BAD0-8AEAADC545FE}"/>
                </c:ext>
              </c:extLst>
            </c:dLbl>
            <c:dLbl>
              <c:idx val="30"/>
              <c:tx>
                <c:rich>
                  <a:bodyPr/>
                  <a:lstStyle/>
                  <a:p>
                    <a:fld id="{272ABA55-6AB3-4AA1-9D21-B48106EB5C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E920-4029-BAD0-8AEAADC545FE}"/>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a:solidFill>
                        <a:schemeClr val="bg1">
                          <a:lumMod val="50000"/>
                        </a:schemeClr>
                      </a:solidFill>
                    </a:ln>
                  </c:spPr>
                </c15:leaderLines>
              </c:ext>
            </c:extLst>
          </c:dLbls>
          <c:xVal>
            <c:numRef>
              <c:f>'F17'!$U$12:$U$42</c:f>
              <c:numCache>
                <c:formatCode>0.0</c:formatCode>
                <c:ptCount val="31"/>
                <c:pt idx="0">
                  <c:v>2</c:v>
                </c:pt>
                <c:pt idx="1">
                  <c:v>8.6666659999999993</c:v>
                </c:pt>
                <c:pt idx="2">
                  <c:v>19.333333333333332</c:v>
                </c:pt>
                <c:pt idx="3">
                  <c:v>0</c:v>
                </c:pt>
                <c:pt idx="4">
                  <c:v>1</c:v>
                </c:pt>
                <c:pt idx="5">
                  <c:v>2</c:v>
                </c:pt>
                <c:pt idx="6">
                  <c:v>2</c:v>
                </c:pt>
                <c:pt idx="7">
                  <c:v>9</c:v>
                </c:pt>
                <c:pt idx="8">
                  <c:v>28</c:v>
                </c:pt>
                <c:pt idx="9">
                  <c:v>8.6999999999999993</c:v>
                </c:pt>
                <c:pt idx="10">
                  <c:v>0.4</c:v>
                </c:pt>
                <c:pt idx="11">
                  <c:v>1</c:v>
                </c:pt>
                <c:pt idx="12">
                  <c:v>13</c:v>
                </c:pt>
                <c:pt idx="13">
                  <c:v>2</c:v>
                </c:pt>
                <c:pt idx="14">
                  <c:v>0.8</c:v>
                </c:pt>
                <c:pt idx="15">
                  <c:v>52</c:v>
                </c:pt>
                <c:pt idx="16">
                  <c:v>52.6</c:v>
                </c:pt>
                <c:pt idx="17">
                  <c:v>1.4285714285714286</c:v>
                </c:pt>
                <c:pt idx="18">
                  <c:v>4</c:v>
                </c:pt>
                <c:pt idx="19">
                  <c:v>19.3333333333333</c:v>
                </c:pt>
                <c:pt idx="20">
                  <c:v>0.4</c:v>
                </c:pt>
                <c:pt idx="21">
                  <c:v>0</c:v>
                </c:pt>
                <c:pt idx="22">
                  <c:v>10</c:v>
                </c:pt>
                <c:pt idx="23">
                  <c:v>2</c:v>
                </c:pt>
                <c:pt idx="24">
                  <c:v>22.285714285714299</c:v>
                </c:pt>
                <c:pt idx="25">
                  <c:v>0</c:v>
                </c:pt>
                <c:pt idx="26">
                  <c:v>4.2857142857142856</c:v>
                </c:pt>
                <c:pt idx="27">
                  <c:v>4.2857142857142856</c:v>
                </c:pt>
                <c:pt idx="28">
                  <c:v>14.285714285714286</c:v>
                </c:pt>
                <c:pt idx="29">
                  <c:v>0</c:v>
                </c:pt>
                <c:pt idx="30">
                  <c:v>2</c:v>
                </c:pt>
              </c:numCache>
            </c:numRef>
          </c:xVal>
          <c:yVal>
            <c:numRef>
              <c:f>'F17'!$V$12:$V$42</c:f>
              <c:numCache>
                <c:formatCode>0.0</c:formatCode>
                <c:ptCount val="31"/>
                <c:pt idx="0">
                  <c:v>42.851812806859677</c:v>
                </c:pt>
                <c:pt idx="1">
                  <c:v>75.799025346975952</c:v>
                </c:pt>
                <c:pt idx="2">
                  <c:v>25.730523866197224</c:v>
                </c:pt>
                <c:pt idx="3">
                  <c:v>0</c:v>
                </c:pt>
                <c:pt idx="4">
                  <c:v>60.992614086027551</c:v>
                </c:pt>
                <c:pt idx="5">
                  <c:v>53.042270412618429</c:v>
                </c:pt>
                <c:pt idx="6">
                  <c:v>100</c:v>
                </c:pt>
                <c:pt idx="7">
                  <c:v>62.876100025427228</c:v>
                </c:pt>
                <c:pt idx="8">
                  <c:v>19.191184377922578</c:v>
                </c:pt>
                <c:pt idx="9">
                  <c:v>65</c:v>
                </c:pt>
                <c:pt idx="10">
                  <c:v>100</c:v>
                </c:pt>
                <c:pt idx="11">
                  <c:v>100</c:v>
                </c:pt>
                <c:pt idx="12">
                  <c:v>68.178375740009912</c:v>
                </c:pt>
                <c:pt idx="13">
                  <c:v>26.681130459117803</c:v>
                </c:pt>
                <c:pt idx="14">
                  <c:v>100</c:v>
                </c:pt>
                <c:pt idx="15">
                  <c:v>58.406593406593409</c:v>
                </c:pt>
                <c:pt idx="16">
                  <c:v>29.325496346324016</c:v>
                </c:pt>
                <c:pt idx="17">
                  <c:v>80</c:v>
                </c:pt>
                <c:pt idx="18">
                  <c:v>100</c:v>
                </c:pt>
                <c:pt idx="19">
                  <c:v>70.578027083757959</c:v>
                </c:pt>
                <c:pt idx="20">
                  <c:v>100</c:v>
                </c:pt>
                <c:pt idx="21">
                  <c:v>0</c:v>
                </c:pt>
                <c:pt idx="22">
                  <c:v>94.187109088768324</c:v>
                </c:pt>
                <c:pt idx="23">
                  <c:v>100</c:v>
                </c:pt>
                <c:pt idx="24">
                  <c:v>56.249999999999957</c:v>
                </c:pt>
                <c:pt idx="25">
                  <c:v>0</c:v>
                </c:pt>
                <c:pt idx="26">
                  <c:v>90</c:v>
                </c:pt>
                <c:pt idx="27">
                  <c:v>100</c:v>
                </c:pt>
                <c:pt idx="28">
                  <c:v>75.677613497852093</c:v>
                </c:pt>
                <c:pt idx="29">
                  <c:v>0</c:v>
                </c:pt>
                <c:pt idx="30">
                  <c:v>19.195551000633287</c:v>
                </c:pt>
              </c:numCache>
            </c:numRef>
          </c:yVal>
          <c:smooth val="0"/>
          <c:extLst>
            <c:ext xmlns:c15="http://schemas.microsoft.com/office/drawing/2012/chart" uri="{02D57815-91ED-43cb-92C2-25804820EDAC}">
              <c15:datalabelsRange>
                <c15:f>'F17'!$S$12:$S$42</c15:f>
                <c15:dlblRangeCache>
                  <c:ptCount val="31"/>
                  <c:pt idx="0">
                    <c:v>Australia</c:v>
                  </c:pt>
                  <c:pt idx="1">
                    <c:v>Austria</c:v>
                  </c:pt>
                  <c:pt idx="2">
                    <c:v>Belgium</c:v>
                  </c:pt>
                  <c:pt idx="3">
                    <c:v>Canada</c:v>
                  </c:pt>
                  <c:pt idx="4">
                    <c:v>Czech Republic</c:v>
                  </c:pt>
                  <c:pt idx="5">
                    <c:v>Denmark</c:v>
                  </c:pt>
                  <c:pt idx="6">
                    <c:v>Estonia</c:v>
                  </c:pt>
                  <c:pt idx="7">
                    <c:v>Finland</c:v>
                  </c:pt>
                  <c:pt idx="8">
                    <c:v>France</c:v>
                  </c:pt>
                  <c:pt idx="9">
                    <c:v>Germany</c:v>
                  </c:pt>
                  <c:pt idx="10">
                    <c:v>Greece</c:v>
                  </c:pt>
                  <c:pt idx="11">
                    <c:v>Hungary</c:v>
                  </c:pt>
                  <c:pt idx="12">
                    <c:v>Iceland</c:v>
                  </c:pt>
                  <c:pt idx="13">
                    <c:v>Ireland</c:v>
                  </c:pt>
                  <c:pt idx="14">
                    <c:v>Italy</c:v>
                  </c:pt>
                  <c:pt idx="15">
                    <c:v>Japan</c:v>
                  </c:pt>
                  <c:pt idx="16">
                    <c:v>Korea</c:v>
                  </c:pt>
                  <c:pt idx="17">
                    <c:v>Latvia</c:v>
                  </c:pt>
                  <c:pt idx="18">
                    <c:v>Lithuania</c:v>
                  </c:pt>
                  <c:pt idx="19">
                    <c:v>Luxembourg</c:v>
                  </c:pt>
                  <c:pt idx="20">
                    <c:v>Netherlands</c:v>
                  </c:pt>
                  <c:pt idx="21">
                    <c:v>New Zealand</c:v>
                  </c:pt>
                  <c:pt idx="22">
                    <c:v>Norway</c:v>
                  </c:pt>
                  <c:pt idx="23">
                    <c:v>Poland</c:v>
                  </c:pt>
                  <c:pt idx="24">
                    <c:v>Portugal</c:v>
                  </c:pt>
                  <c:pt idx="25">
                    <c:v>Slovak Republic</c:v>
                  </c:pt>
                  <c:pt idx="26">
                    <c:v>Slovenia</c:v>
                  </c:pt>
                  <c:pt idx="27">
                    <c:v>Spain</c:v>
                  </c:pt>
                  <c:pt idx="28">
                    <c:v>Sweden</c:v>
                  </c:pt>
                  <c:pt idx="29">
                    <c:v>Switzerland</c:v>
                  </c:pt>
                  <c:pt idx="30">
                    <c:v>United Kingdom</c:v>
                  </c:pt>
                </c15:dlblRangeCache>
              </c15:datalabelsRange>
            </c:ext>
            <c:ext xmlns:c16="http://schemas.microsoft.com/office/drawing/2014/chart" uri="{C3380CC4-5D6E-409C-BE32-E72D297353CC}">
              <c16:uniqueId val="{0000001F-E920-4029-BAD0-8AEAADC545FE}"/>
            </c:ext>
          </c:extLst>
        </c:ser>
        <c:ser>
          <c:idx val="0"/>
          <c:order val="1"/>
          <c:spPr>
            <a:ln w="19050" cap="rnd">
              <a:noFill/>
              <a:round/>
            </a:ln>
            <a:effectLst/>
          </c:spPr>
          <c:marker>
            <c:symbol val="circle"/>
            <c:size val="5"/>
            <c:spPr>
              <a:solidFill>
                <a:schemeClr val="accent2"/>
              </a:solidFill>
              <a:ln w="9525">
                <a:noFill/>
              </a:ln>
              <a:effectLst/>
            </c:spPr>
          </c:marker>
          <c:dPt>
            <c:idx val="0"/>
            <c:marker>
              <c:spPr>
                <a:solidFill>
                  <a:schemeClr val="accent2"/>
                </a:solidFill>
                <a:ln w="9525">
                  <a:solidFill>
                    <a:schemeClr val="accent2">
                      <a:lumMod val="50000"/>
                    </a:schemeClr>
                  </a:solidFill>
                </a:ln>
                <a:effectLst/>
              </c:spPr>
            </c:marker>
            <c:bubble3D val="0"/>
            <c:extLst>
              <c:ext xmlns:c16="http://schemas.microsoft.com/office/drawing/2014/chart" uri="{C3380CC4-5D6E-409C-BE32-E72D297353CC}">
                <c16:uniqueId val="{00000020-E920-4029-BAD0-8AEAADC545FE}"/>
              </c:ext>
            </c:extLst>
          </c:dPt>
          <c:xVal>
            <c:numRef>
              <c:f>'[14]Table PF2.1'!$R$12:$R$40</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xVal>
          <c:yVal>
            <c:numRef>
              <c:f>'[14]Table PF2.1'!$S$12:$S$40</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yVal>
          <c:smooth val="0"/>
          <c:extLst>
            <c:ext xmlns:c16="http://schemas.microsoft.com/office/drawing/2014/chart" uri="{C3380CC4-5D6E-409C-BE32-E72D297353CC}">
              <c16:uniqueId val="{00000021-E920-4029-BAD0-8AEAADC545FE}"/>
            </c:ext>
          </c:extLst>
        </c:ser>
        <c:dLbls>
          <c:showLegendKey val="0"/>
          <c:showVal val="0"/>
          <c:showCatName val="0"/>
          <c:showSerName val="0"/>
          <c:showPercent val="0"/>
          <c:showBubbleSize val="0"/>
        </c:dLbls>
        <c:axId val="500710488"/>
        <c:axId val="500711800"/>
      </c:scatterChart>
      <c:valAx>
        <c:axId val="500710488"/>
        <c:scaling>
          <c:orientation val="minMax"/>
          <c:max val="40"/>
        </c:scaling>
        <c:delete val="0"/>
        <c:axPos val="b"/>
        <c:majorGridlines>
          <c:spPr>
            <a:ln w="9525" cap="flat" cmpd="sng" algn="ctr">
              <a:solidFill>
                <a:schemeClr val="bg1">
                  <a:lumMod val="95000"/>
                </a:schemeClr>
              </a:solidFill>
              <a:round/>
            </a:ln>
            <a:effectLst/>
          </c:spPr>
        </c:majorGridlines>
        <c:title>
          <c:tx>
            <c:rich>
              <a:bodyPr rot="0" vert="horz"/>
              <a:lstStyle/>
              <a:p>
                <a:pPr>
                  <a:defRPr b="0"/>
                </a:pPr>
                <a:r>
                  <a:rPr lang="en-AU" b="0"/>
                  <a:t>Length (weeks)</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00711800"/>
        <c:crosses val="autoZero"/>
        <c:crossBetween val="midCat"/>
      </c:valAx>
      <c:valAx>
        <c:axId val="500711800"/>
        <c:scaling>
          <c:orientation val="minMax"/>
        </c:scaling>
        <c:delete val="0"/>
        <c:axPos val="l"/>
        <c:majorGridlines>
          <c:spPr>
            <a:ln w="9525" cap="flat" cmpd="sng" algn="ctr">
              <a:solidFill>
                <a:schemeClr val="bg1">
                  <a:lumMod val="95000"/>
                </a:schemeClr>
              </a:solidFill>
              <a:round/>
            </a:ln>
            <a:effectLst/>
          </c:spPr>
        </c:majorGridlines>
        <c:title>
          <c:tx>
            <c:rich>
              <a:bodyPr rot="-5400000" vert="horz"/>
              <a:lstStyle/>
              <a:p>
                <a:pPr>
                  <a:defRPr b="0"/>
                </a:pPr>
                <a:r>
                  <a:rPr lang="en-AU" b="0"/>
                  <a:t>Average payment rate (%)</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00710488"/>
        <c:crosses val="autoZero"/>
        <c:crossBetween val="midCat"/>
      </c:valAx>
    </c:plotArea>
    <c:plotVisOnly val="1"/>
    <c:dispBlanksAs val="gap"/>
    <c:showDLblsOverMax val="0"/>
  </c:chart>
  <c:spPr>
    <a:solidFill>
      <a:schemeClr val="bg1"/>
    </a:solidFill>
    <a:ln w="9525" cap="flat" cmpd="sng" algn="ctr">
      <a:noFill/>
      <a:round/>
    </a:ln>
    <a:effectLst/>
  </c:spPr>
  <c:txPr>
    <a:bodyPr/>
    <a:lstStyle/>
    <a:p>
      <a:pPr>
        <a:defRPr sz="900">
          <a:latin typeface="+mj-lt"/>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5322701355685218E-2"/>
          <c:y val="0.1305938876284532"/>
          <c:w val="0.89914667391956304"/>
          <c:h val="0.56852084167445172"/>
        </c:manualLayout>
      </c:layout>
      <c:barChart>
        <c:barDir val="col"/>
        <c:grouping val="stacked"/>
        <c:varyColors val="0"/>
        <c:ser>
          <c:idx val="1"/>
          <c:order val="0"/>
          <c:tx>
            <c:v>Men</c:v>
          </c:tx>
          <c:spPr>
            <a:solidFill>
              <a:schemeClr val="accent2"/>
            </a:solidFill>
            <a:ln w="6350" cmpd="sng">
              <a:solidFill>
                <a:srgbClr val="000000"/>
              </a:solidFill>
              <a:round/>
            </a:ln>
            <a:effectLst/>
          </c:spPr>
          <c:invertIfNegative val="0"/>
          <c:dPt>
            <c:idx val="9"/>
            <c:invertIfNegative val="0"/>
            <c:bubble3D val="0"/>
            <c:extLst>
              <c:ext xmlns:c16="http://schemas.microsoft.com/office/drawing/2014/chart" uri="{C3380CC4-5D6E-409C-BE32-E72D297353CC}">
                <c16:uniqueId val="{00000000-FCC3-4353-96B4-54358312D04F}"/>
              </c:ext>
            </c:extLst>
          </c:dPt>
          <c:dPt>
            <c:idx val="13"/>
            <c:invertIfNegative val="0"/>
            <c:bubble3D val="0"/>
            <c:extLst>
              <c:ext xmlns:c16="http://schemas.microsoft.com/office/drawing/2014/chart" uri="{C3380CC4-5D6E-409C-BE32-E72D297353CC}">
                <c16:uniqueId val="{00000001-FCC3-4353-96B4-54358312D04F}"/>
              </c:ext>
            </c:extLst>
          </c:dPt>
          <c:dPt>
            <c:idx val="18"/>
            <c:invertIfNegative val="0"/>
            <c:bubble3D val="0"/>
            <c:extLst>
              <c:ext xmlns:c16="http://schemas.microsoft.com/office/drawing/2014/chart" uri="{C3380CC4-5D6E-409C-BE32-E72D297353CC}">
                <c16:uniqueId val="{00000002-FCC3-4353-96B4-54358312D04F}"/>
              </c:ext>
            </c:extLst>
          </c:dPt>
          <c:dPt>
            <c:idx val="19"/>
            <c:invertIfNegative val="0"/>
            <c:bubble3D val="0"/>
            <c:extLst>
              <c:ext xmlns:c16="http://schemas.microsoft.com/office/drawing/2014/chart" uri="{C3380CC4-5D6E-409C-BE32-E72D297353CC}">
                <c16:uniqueId val="{00000003-FCC3-4353-96B4-54358312D04F}"/>
              </c:ext>
            </c:extLst>
          </c:dPt>
          <c:cat>
            <c:strRef>
              <c:f>'[PF2-2-Use-childbirth-leave.xlsx]Chart PF2.2.B'!$L$5:$L$25</c:f>
              <c:strCache>
                <c:ptCount val="21"/>
                <c:pt idx="0">
                  <c:v>Sweden</c:v>
                </c:pt>
                <c:pt idx="1">
                  <c:v>Iceland</c:v>
                </c:pt>
                <c:pt idx="2">
                  <c:v>Portugal</c:v>
                </c:pt>
                <c:pt idx="3">
                  <c:v>Norway</c:v>
                </c:pt>
                <c:pt idx="4">
                  <c:v>Germany</c:v>
                </c:pt>
                <c:pt idx="5">
                  <c:v>Denmark</c:v>
                </c:pt>
                <c:pt idx="6">
                  <c:v>Finland</c:v>
                </c:pt>
                <c:pt idx="7">
                  <c:v>Luxembourg</c:v>
                </c:pt>
                <c:pt idx="8">
                  <c:v>Lithuania</c:v>
                </c:pt>
                <c:pt idx="9">
                  <c:v>Average</c:v>
                </c:pt>
                <c:pt idx="10">
                  <c:v>Italy</c:v>
                </c:pt>
                <c:pt idx="11">
                  <c:v>Canada</c:v>
                </c:pt>
                <c:pt idx="12">
                  <c:v>Korea</c:v>
                </c:pt>
                <c:pt idx="13">
                  <c:v>Estonia</c:v>
                </c:pt>
                <c:pt idx="14">
                  <c:v>France</c:v>
                </c:pt>
                <c:pt idx="15">
                  <c:v>Austria</c:v>
                </c:pt>
                <c:pt idx="16">
                  <c:v>Czech Republic</c:v>
                </c:pt>
                <c:pt idx="17">
                  <c:v>Poland</c:v>
                </c:pt>
                <c:pt idx="18">
                  <c:v>New Zealand</c:v>
                </c:pt>
                <c:pt idx="19">
                  <c:v>Australia</c:v>
                </c:pt>
                <c:pt idx="20">
                  <c:v>Chile</c:v>
                </c:pt>
              </c:strCache>
            </c:strRef>
          </c:cat>
          <c:val>
            <c:numRef>
              <c:f>'[PF2-2-Use-childbirth-leave.xlsx]Chart PF2.2.B'!$M$5:$M$25</c:f>
              <c:numCache>
                <c:formatCode>0.0</c:formatCode>
                <c:ptCount val="21"/>
                <c:pt idx="0">
                  <c:v>45.256620139361019</c:v>
                </c:pt>
                <c:pt idx="1">
                  <c:v>45.183268650280297</c:v>
                </c:pt>
                <c:pt idx="2">
                  <c:v>44.759826611693711</c:v>
                </c:pt>
                <c:pt idx="3">
                  <c:v>39.199080389726404</c:v>
                </c:pt>
                <c:pt idx="4">
                  <c:v>27.161027127944269</c:v>
                </c:pt>
                <c:pt idx="5">
                  <c:v>26.840324105572883</c:v>
                </c:pt>
                <c:pt idx="6">
                  <c:v>25.863364086365298</c:v>
                </c:pt>
                <c:pt idx="7">
                  <c:v>24.639830508474574</c:v>
                </c:pt>
                <c:pt idx="8">
                  <c:v>21.610476052669657</c:v>
                </c:pt>
                <c:pt idx="9">
                  <c:v>18.047522722163599</c:v>
                </c:pt>
                <c:pt idx="10">
                  <c:v>17.029499614489993</c:v>
                </c:pt>
                <c:pt idx="11">
                  <c:v>13.571646496491407</c:v>
                </c:pt>
                <c:pt idx="12">
                  <c:v>8.4815412884904511</c:v>
                </c:pt>
                <c:pt idx="13">
                  <c:v>8.3534800865250034</c:v>
                </c:pt>
                <c:pt idx="14">
                  <c:v>4.3666650618651008</c:v>
                </c:pt>
                <c:pt idx="15">
                  <c:v>4.1808436261943607</c:v>
                </c:pt>
                <c:pt idx="16">
                  <c:v>1.8890002733983415</c:v>
                </c:pt>
                <c:pt idx="17">
                  <c:v>1.057718541273001</c:v>
                </c:pt>
                <c:pt idx="18">
                  <c:v>0.88970958536175926</c:v>
                </c:pt>
                <c:pt idx="19">
                  <c:v>0.42834258119935925</c:v>
                </c:pt>
                <c:pt idx="20">
                  <c:v>0.18818961589508926</c:v>
                </c:pt>
              </c:numCache>
            </c:numRef>
          </c:val>
          <c:extLst>
            <c:ext xmlns:c16="http://schemas.microsoft.com/office/drawing/2014/chart" uri="{C3380CC4-5D6E-409C-BE32-E72D297353CC}">
              <c16:uniqueId val="{00000004-FCC3-4353-96B4-54358312D04F}"/>
            </c:ext>
          </c:extLst>
        </c:ser>
        <c:ser>
          <c:idx val="4"/>
          <c:order val="1"/>
          <c:tx>
            <c:v>Women</c:v>
          </c:tx>
          <c:spPr>
            <a:pattFill prst="dkUpDiag">
              <a:fgClr>
                <a:schemeClr val="accent2"/>
              </a:fgClr>
              <a:bgClr>
                <a:schemeClr val="bg1"/>
              </a:bgClr>
            </a:pattFill>
            <a:ln w="6350" cap="rnd" cmpd="sng" algn="ctr">
              <a:solidFill>
                <a:sysClr val="windowText" lastClr="000000"/>
              </a:solidFill>
              <a:prstDash val="solid"/>
              <a:round/>
            </a:ln>
            <a:effectLst/>
          </c:spPr>
          <c:invertIfNegative val="0"/>
          <c:dPt>
            <c:idx val="9"/>
            <c:invertIfNegative val="0"/>
            <c:bubble3D val="0"/>
            <c:extLst>
              <c:ext xmlns:c16="http://schemas.microsoft.com/office/drawing/2014/chart" uri="{C3380CC4-5D6E-409C-BE32-E72D297353CC}">
                <c16:uniqueId val="{00000005-FCC3-4353-96B4-54358312D04F}"/>
              </c:ext>
            </c:extLst>
          </c:dPt>
          <c:dPt>
            <c:idx val="18"/>
            <c:invertIfNegative val="0"/>
            <c:bubble3D val="0"/>
            <c:extLst>
              <c:ext xmlns:c16="http://schemas.microsoft.com/office/drawing/2014/chart" uri="{C3380CC4-5D6E-409C-BE32-E72D297353CC}">
                <c16:uniqueId val="{00000006-FCC3-4353-96B4-54358312D04F}"/>
              </c:ext>
            </c:extLst>
          </c:dPt>
          <c:dPt>
            <c:idx val="19"/>
            <c:invertIfNegative val="0"/>
            <c:bubble3D val="0"/>
            <c:extLst>
              <c:ext xmlns:c16="http://schemas.microsoft.com/office/drawing/2014/chart" uri="{C3380CC4-5D6E-409C-BE32-E72D297353CC}">
                <c16:uniqueId val="{00000007-FCC3-4353-96B4-54358312D04F}"/>
              </c:ext>
            </c:extLst>
          </c:dPt>
          <c:cat>
            <c:strRef>
              <c:f>'[PF2-2-Use-childbirth-leave.xlsx]Chart PF2.2.B'!$L$5:$L$25</c:f>
              <c:strCache>
                <c:ptCount val="21"/>
                <c:pt idx="0">
                  <c:v>Sweden</c:v>
                </c:pt>
                <c:pt idx="1">
                  <c:v>Iceland</c:v>
                </c:pt>
                <c:pt idx="2">
                  <c:v>Portugal</c:v>
                </c:pt>
                <c:pt idx="3">
                  <c:v>Norway</c:v>
                </c:pt>
                <c:pt idx="4">
                  <c:v>Germany</c:v>
                </c:pt>
                <c:pt idx="5">
                  <c:v>Denmark</c:v>
                </c:pt>
                <c:pt idx="6">
                  <c:v>Finland</c:v>
                </c:pt>
                <c:pt idx="7">
                  <c:v>Luxembourg</c:v>
                </c:pt>
                <c:pt idx="8">
                  <c:v>Lithuania</c:v>
                </c:pt>
                <c:pt idx="9">
                  <c:v>Average</c:v>
                </c:pt>
                <c:pt idx="10">
                  <c:v>Italy</c:v>
                </c:pt>
                <c:pt idx="11">
                  <c:v>Canada</c:v>
                </c:pt>
                <c:pt idx="12">
                  <c:v>Korea</c:v>
                </c:pt>
                <c:pt idx="13">
                  <c:v>Estonia</c:v>
                </c:pt>
                <c:pt idx="14">
                  <c:v>France</c:v>
                </c:pt>
                <c:pt idx="15">
                  <c:v>Austria</c:v>
                </c:pt>
                <c:pt idx="16">
                  <c:v>Czech Republic</c:v>
                </c:pt>
                <c:pt idx="17">
                  <c:v>Poland</c:v>
                </c:pt>
                <c:pt idx="18">
                  <c:v>New Zealand</c:v>
                </c:pt>
                <c:pt idx="19">
                  <c:v>Australia</c:v>
                </c:pt>
                <c:pt idx="20">
                  <c:v>Chile</c:v>
                </c:pt>
              </c:strCache>
            </c:strRef>
          </c:cat>
          <c:val>
            <c:numRef>
              <c:f>'[PF2-2-Use-childbirth-leave.xlsx]Chart PF2.2.B'!$P$5:$P$25</c:f>
              <c:numCache>
                <c:formatCode>;;;</c:formatCode>
                <c:ptCount val="21"/>
                <c:pt idx="0">
                  <c:v>54.743379860638981</c:v>
                </c:pt>
                <c:pt idx="1">
                  <c:v>54.816731349719703</c:v>
                </c:pt>
                <c:pt idx="2">
                  <c:v>55.240173388306289</c:v>
                </c:pt>
                <c:pt idx="3">
                  <c:v>60.800919610273596</c:v>
                </c:pt>
                <c:pt idx="4">
                  <c:v>72.838972872055734</c:v>
                </c:pt>
                <c:pt idx="5">
                  <c:v>73.159675894427124</c:v>
                </c:pt>
                <c:pt idx="6">
                  <c:v>74.136635913634706</c:v>
                </c:pt>
                <c:pt idx="7">
                  <c:v>75.360169491525426</c:v>
                </c:pt>
                <c:pt idx="8">
                  <c:v>78.389523947330346</c:v>
                </c:pt>
                <c:pt idx="9">
                  <c:v>81.952477277836408</c:v>
                </c:pt>
                <c:pt idx="10">
                  <c:v>82.970500385510007</c:v>
                </c:pt>
                <c:pt idx="11">
                  <c:v>86.428353503508589</c:v>
                </c:pt>
                <c:pt idx="12">
                  <c:v>91.518458711509552</c:v>
                </c:pt>
                <c:pt idx="13">
                  <c:v>91.646519913475004</c:v>
                </c:pt>
                <c:pt idx="14">
                  <c:v>95.633334938134894</c:v>
                </c:pt>
                <c:pt idx="15">
                  <c:v>95.81915637380564</c:v>
                </c:pt>
                <c:pt idx="16">
                  <c:v>98.110999726601662</c:v>
                </c:pt>
                <c:pt idx="17">
                  <c:v>98.942281458726995</c:v>
                </c:pt>
                <c:pt idx="18">
                  <c:v>99.110290414638243</c:v>
                </c:pt>
                <c:pt idx="19">
                  <c:v>99.57165741880064</c:v>
                </c:pt>
                <c:pt idx="20">
                  <c:v>99.811810384104916</c:v>
                </c:pt>
              </c:numCache>
            </c:numRef>
          </c:val>
          <c:extLst>
            <c:ext xmlns:c16="http://schemas.microsoft.com/office/drawing/2014/chart" uri="{C3380CC4-5D6E-409C-BE32-E72D297353CC}">
              <c16:uniqueId val="{00000008-FCC3-4353-96B4-54358312D04F}"/>
            </c:ext>
          </c:extLst>
        </c:ser>
        <c:dLbls>
          <c:showLegendKey val="0"/>
          <c:showVal val="0"/>
          <c:showCatName val="0"/>
          <c:showSerName val="0"/>
          <c:showPercent val="0"/>
          <c:showBubbleSize val="0"/>
        </c:dLbls>
        <c:gapWidth val="150"/>
        <c:overlap val="100"/>
        <c:axId val="285592960"/>
        <c:axId val="285602944"/>
      </c:barChart>
      <c:catAx>
        <c:axId val="285592960"/>
        <c:scaling>
          <c:orientation val="minMax"/>
        </c:scaling>
        <c:delete val="0"/>
        <c:axPos val="b"/>
        <c:majorGridlines>
          <c:spPr>
            <a:ln w="9525" cmpd="sng">
              <a:noFill/>
              <a:prstDash val="solid"/>
            </a:ln>
          </c:spPr>
        </c:majorGridlines>
        <c:numFmt formatCode="General" sourceLinked="1"/>
        <c:majorTickMark val="none"/>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a:pPr>
            <a:endParaRPr lang="en-US"/>
          </a:p>
        </c:txPr>
        <c:crossAx val="285602944"/>
        <c:crosses val="autoZero"/>
        <c:auto val="1"/>
        <c:lblAlgn val="ctr"/>
        <c:lblOffset val="0"/>
        <c:tickLblSkip val="1"/>
        <c:noMultiLvlLbl val="0"/>
      </c:catAx>
      <c:valAx>
        <c:axId val="285602944"/>
        <c:scaling>
          <c:orientation val="minMax"/>
          <c:max val="100"/>
        </c:scaling>
        <c:delete val="0"/>
        <c:axPos val="l"/>
        <c:majorGridlines>
          <c:spPr>
            <a:ln w="9525" cmpd="sng">
              <a:solidFill>
                <a:srgbClr val="FFFFFF"/>
              </a:solidFill>
              <a:prstDash val="solid"/>
            </a:ln>
          </c:spPr>
        </c:majorGridlines>
        <c:title>
          <c:tx>
            <c:rich>
              <a:bodyPr/>
              <a:lstStyle/>
              <a:p>
                <a:pPr>
                  <a:defRPr/>
                </a:pPr>
                <a:r>
                  <a:rPr lang="en-AU"/>
                  <a:t>Share of users (%) </a:t>
                </a:r>
              </a:p>
            </c:rich>
          </c:tx>
          <c:overlay val="0"/>
        </c:title>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a:pPr>
            <a:endParaRPr lang="en-US"/>
          </a:p>
        </c:txPr>
        <c:crossAx val="285592960"/>
        <c:crosses val="autoZero"/>
        <c:crossBetween val="between"/>
      </c:valAx>
      <c:spPr>
        <a:solidFill>
          <a:srgbClr val="F4FFFF">
            <a:alpha val="50000"/>
          </a:srgbClr>
        </a:solidFill>
        <a:ln w="9525">
          <a:solidFill>
            <a:srgbClr val="000000"/>
          </a:solidFill>
        </a:ln>
      </c:spPr>
    </c:plotArea>
    <c:legend>
      <c:legendPos val="t"/>
      <c:overlay val="0"/>
      <c:spPr>
        <a:noFill/>
        <a:ln>
          <a:noFill/>
          <a:round/>
        </a:ln>
        <a:effectLst/>
        <a:extLst>
          <a:ext uri="{91240B29-F687-4F45-9708-019B960494DF}">
            <a14:hiddenLine xmlns:a14="http://schemas.microsoft.com/office/drawing/2010/main">
              <a:noFill/>
              <a:round/>
            </a14:hiddenLine>
          </a:ext>
        </a:extLst>
      </c:spPr>
    </c:legend>
    <c:plotVisOnly val="1"/>
    <c:dispBlanksAs val="gap"/>
    <c:showDLblsOverMax val="1"/>
  </c:chart>
  <c:spPr>
    <a:noFill/>
    <a:ln>
      <a:noFill/>
    </a:ln>
    <a:extLst>
      <a:ext uri="{909E8E84-426E-40DD-AFC4-6F175D3DCCD1}">
        <a14:hiddenFill xmlns:a14="http://schemas.microsoft.com/office/drawing/2010/main">
          <a:solidFill>
            <a:sysClr val="window" lastClr="FFFFFF"/>
          </a:solidFill>
        </a14:hiddenFill>
      </a:ext>
    </a:extLst>
  </c:spPr>
  <c:txPr>
    <a:bodyPr/>
    <a:lstStyle/>
    <a:p>
      <a:pPr>
        <a:defRPr sz="1000" b="0" i="0" u="none" strike="noStrike" baseline="0">
          <a:solidFill>
            <a:srgbClr val="000000"/>
          </a:solidFill>
          <a:latin typeface="+mj-lt"/>
          <a:ea typeface="Arial Narrow"/>
          <a:cs typeface="Arial Narrow"/>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'F19'!$D$3</c:f>
              <c:strCache>
                <c:ptCount val="1"/>
                <c:pt idx="0">
                  <c:v>Childcare</c:v>
                </c:pt>
              </c:strCache>
            </c:strRef>
          </c:tx>
          <c:spPr>
            <a:solidFill>
              <a:schemeClr val="accent2"/>
            </a:solidFill>
            <a:ln w="6350">
              <a:solidFill>
                <a:schemeClr val="accent2">
                  <a:lumMod val="50000"/>
                </a:schemeClr>
              </a:solidFill>
            </a:ln>
            <a:effectLst/>
          </c:spPr>
          <c:invertIfNegative val="0"/>
          <c:dPt>
            <c:idx val="10"/>
            <c:invertIfNegative val="0"/>
            <c:bubble3D val="0"/>
            <c:spPr>
              <a:solidFill>
                <a:schemeClr val="accent2">
                  <a:lumMod val="75000"/>
                </a:schemeClr>
              </a:solidFill>
              <a:ln w="6350">
                <a:solidFill>
                  <a:schemeClr val="accent2">
                    <a:lumMod val="50000"/>
                  </a:schemeClr>
                </a:solidFill>
              </a:ln>
              <a:effectLst/>
            </c:spPr>
            <c:extLst>
              <c:ext xmlns:c16="http://schemas.microsoft.com/office/drawing/2014/chart" uri="{C3380CC4-5D6E-409C-BE32-E72D297353CC}">
                <c16:uniqueId val="{00000001-523A-4545-BA05-6659B20BAA26}"/>
              </c:ext>
            </c:extLst>
          </c:dPt>
          <c:cat>
            <c:strRef>
              <c:f>'F19'!$B$5:$B$23</c:f>
              <c:strCache>
                <c:ptCount val="19"/>
                <c:pt idx="0">
                  <c:v>Iceland</c:v>
                </c:pt>
                <c:pt idx="1">
                  <c:v>Sweden</c:v>
                </c:pt>
                <c:pt idx="2">
                  <c:v>Norway</c:v>
                </c:pt>
                <c:pt idx="3">
                  <c:v>France</c:v>
                </c:pt>
                <c:pt idx="4">
                  <c:v>Finland</c:v>
                </c:pt>
                <c:pt idx="5">
                  <c:v>Korea</c:v>
                </c:pt>
                <c:pt idx="6">
                  <c:v>New Zealand</c:v>
                </c:pt>
                <c:pt idx="7">
                  <c:v>Belgium</c:v>
                </c:pt>
                <c:pt idx="8">
                  <c:v>Latvia</c:v>
                </c:pt>
                <c:pt idx="9">
                  <c:v>Hungary</c:v>
                </c:pt>
                <c:pt idx="10">
                  <c:v>Australia</c:v>
                </c:pt>
                <c:pt idx="11">
                  <c:v>United Kingdom</c:v>
                </c:pt>
                <c:pt idx="12">
                  <c:v>Germany</c:v>
                </c:pt>
                <c:pt idx="13">
                  <c:v>Netherlands</c:v>
                </c:pt>
                <c:pt idx="14">
                  <c:v>Mexico</c:v>
                </c:pt>
                <c:pt idx="15">
                  <c:v>Italy</c:v>
                </c:pt>
                <c:pt idx="16">
                  <c:v>Chile</c:v>
                </c:pt>
                <c:pt idx="17">
                  <c:v>Slovak Republic</c:v>
                </c:pt>
                <c:pt idx="18">
                  <c:v>Spain</c:v>
                </c:pt>
              </c:strCache>
            </c:strRef>
          </c:cat>
          <c:val>
            <c:numRef>
              <c:f>'F19'!$D$5:$D$23</c:f>
              <c:numCache>
                <c:formatCode>0.0</c:formatCode>
                <c:ptCount val="19"/>
                <c:pt idx="0">
                  <c:v>0.90895123822561441</c:v>
                </c:pt>
                <c:pt idx="1">
                  <c:v>1.0572495273651978</c:v>
                </c:pt>
                <c:pt idx="2">
                  <c:v>0.66721789014810984</c:v>
                </c:pt>
                <c:pt idx="3">
                  <c:v>0.62807127560621134</c:v>
                </c:pt>
                <c:pt idx="4">
                  <c:v>0.59311065001738694</c:v>
                </c:pt>
                <c:pt idx="5">
                  <c:v>0.48323352318828455</c:v>
                </c:pt>
                <c:pt idx="6">
                  <c:v>7.9888028402551547E-2</c:v>
                </c:pt>
                <c:pt idx="7">
                  <c:v>0.12404206287983757</c:v>
                </c:pt>
                <c:pt idx="8">
                  <c:v>0.18694408405085391</c:v>
                </c:pt>
                <c:pt idx="9">
                  <c:v>0.11071752188184922</c:v>
                </c:pt>
                <c:pt idx="10">
                  <c:v>0.43919829227393875</c:v>
                </c:pt>
                <c:pt idx="11">
                  <c:v>7.9118134357565262E-2</c:v>
                </c:pt>
                <c:pt idx="12">
                  <c:v>0.19376417430825166</c:v>
                </c:pt>
                <c:pt idx="13">
                  <c:v>0.23834710888907423</c:v>
                </c:pt>
                <c:pt idx="14">
                  <c:v>3.681009357710302E-2</c:v>
                </c:pt>
                <c:pt idx="15">
                  <c:v>8.1627846846796151E-2</c:v>
                </c:pt>
                <c:pt idx="16">
                  <c:v>0.30742151812322238</c:v>
                </c:pt>
                <c:pt idx="17">
                  <c:v>8.4081103630996398E-2</c:v>
                </c:pt>
                <c:pt idx="18">
                  <c:v>2.6368432689554099E-2</c:v>
                </c:pt>
              </c:numCache>
            </c:numRef>
          </c:val>
          <c:extLst>
            <c:ext xmlns:c16="http://schemas.microsoft.com/office/drawing/2014/chart" uri="{C3380CC4-5D6E-409C-BE32-E72D297353CC}">
              <c16:uniqueId val="{00000002-523A-4545-BA05-6659B20BAA26}"/>
            </c:ext>
          </c:extLst>
        </c:ser>
        <c:ser>
          <c:idx val="1"/>
          <c:order val="1"/>
          <c:tx>
            <c:strRef>
              <c:f>'F19'!$E$3</c:f>
              <c:strCache>
                <c:ptCount val="1"/>
                <c:pt idx="0">
                  <c:v>Pre-primary</c:v>
                </c:pt>
              </c:strCache>
            </c:strRef>
          </c:tx>
          <c:spPr>
            <a:pattFill prst="dkUpDiag">
              <a:fgClr>
                <a:schemeClr val="accent2"/>
              </a:fgClr>
              <a:bgClr>
                <a:schemeClr val="bg1"/>
              </a:bgClr>
            </a:pattFill>
            <a:ln w="6350">
              <a:solidFill>
                <a:schemeClr val="accent2">
                  <a:lumMod val="50000"/>
                </a:schemeClr>
              </a:solidFill>
            </a:ln>
            <a:effectLst/>
          </c:spPr>
          <c:invertIfNegative val="0"/>
          <c:dPt>
            <c:idx val="10"/>
            <c:invertIfNegative val="0"/>
            <c:bubble3D val="0"/>
            <c:spPr>
              <a:pattFill prst="dkUpDiag">
                <a:fgClr>
                  <a:schemeClr val="accent2">
                    <a:lumMod val="75000"/>
                  </a:schemeClr>
                </a:fgClr>
                <a:bgClr>
                  <a:schemeClr val="bg1"/>
                </a:bgClr>
              </a:pattFill>
              <a:ln w="6350">
                <a:solidFill>
                  <a:schemeClr val="accent2">
                    <a:lumMod val="50000"/>
                  </a:schemeClr>
                </a:solidFill>
              </a:ln>
              <a:effectLst/>
            </c:spPr>
            <c:extLst>
              <c:ext xmlns:c16="http://schemas.microsoft.com/office/drawing/2014/chart" uri="{C3380CC4-5D6E-409C-BE32-E72D297353CC}">
                <c16:uniqueId val="{00000004-523A-4545-BA05-6659B20BAA26}"/>
              </c:ext>
            </c:extLst>
          </c:dPt>
          <c:cat>
            <c:strRef>
              <c:f>'F19'!$B$5:$B$23</c:f>
              <c:strCache>
                <c:ptCount val="19"/>
                <c:pt idx="0">
                  <c:v>Iceland</c:v>
                </c:pt>
                <c:pt idx="1">
                  <c:v>Sweden</c:v>
                </c:pt>
                <c:pt idx="2">
                  <c:v>Norway</c:v>
                </c:pt>
                <c:pt idx="3">
                  <c:v>France</c:v>
                </c:pt>
                <c:pt idx="4">
                  <c:v>Finland</c:v>
                </c:pt>
                <c:pt idx="5">
                  <c:v>Korea</c:v>
                </c:pt>
                <c:pt idx="6">
                  <c:v>New Zealand</c:v>
                </c:pt>
                <c:pt idx="7">
                  <c:v>Belgium</c:v>
                </c:pt>
                <c:pt idx="8">
                  <c:v>Latvia</c:v>
                </c:pt>
                <c:pt idx="9">
                  <c:v>Hungary</c:v>
                </c:pt>
                <c:pt idx="10">
                  <c:v>Australia</c:v>
                </c:pt>
                <c:pt idx="11">
                  <c:v>United Kingdom</c:v>
                </c:pt>
                <c:pt idx="12">
                  <c:v>Germany</c:v>
                </c:pt>
                <c:pt idx="13">
                  <c:v>Netherlands</c:v>
                </c:pt>
                <c:pt idx="14">
                  <c:v>Mexico</c:v>
                </c:pt>
                <c:pt idx="15">
                  <c:v>Italy</c:v>
                </c:pt>
                <c:pt idx="16">
                  <c:v>Chile</c:v>
                </c:pt>
                <c:pt idx="17">
                  <c:v>Slovak Republic</c:v>
                </c:pt>
                <c:pt idx="18">
                  <c:v>Spain</c:v>
                </c:pt>
              </c:strCache>
            </c:strRef>
          </c:cat>
          <c:val>
            <c:numRef>
              <c:f>'F19'!$E$5:$E$23</c:f>
              <c:numCache>
                <c:formatCode>0.0</c:formatCode>
                <c:ptCount val="19"/>
                <c:pt idx="0">
                  <c:v>0.88945543905058888</c:v>
                </c:pt>
                <c:pt idx="1">
                  <c:v>0.5470372076754173</c:v>
                </c:pt>
                <c:pt idx="2">
                  <c:v>0.66102737077226303</c:v>
                </c:pt>
                <c:pt idx="3">
                  <c:v>0.69246205623627932</c:v>
                </c:pt>
                <c:pt idx="4">
                  <c:v>0.53264410657122774</c:v>
                </c:pt>
                <c:pt idx="5">
                  <c:v>0.46973103326405274</c:v>
                </c:pt>
                <c:pt idx="6">
                  <c:v>0.93251742190077913</c:v>
                </c:pt>
                <c:pt idx="7">
                  <c:v>0.69283112472162389</c:v>
                </c:pt>
                <c:pt idx="8">
                  <c:v>0.56870698466519287</c:v>
                </c:pt>
                <c:pt idx="9">
                  <c:v>0.6153809664561537</c:v>
                </c:pt>
                <c:pt idx="10">
                  <c:v>0.2197703805709926</c:v>
                </c:pt>
                <c:pt idx="11">
                  <c:v>0.57045427964734807</c:v>
                </c:pt>
                <c:pt idx="12">
                  <c:v>0.40628006133065192</c:v>
                </c:pt>
                <c:pt idx="13">
                  <c:v>0.35738480036600695</c:v>
                </c:pt>
                <c:pt idx="14">
                  <c:v>0.52411115277075415</c:v>
                </c:pt>
                <c:pt idx="15">
                  <c:v>0.47625059709878348</c:v>
                </c:pt>
                <c:pt idx="16">
                  <c:v>0.2408625912971398</c:v>
                </c:pt>
                <c:pt idx="17">
                  <c:v>0.41447053100693898</c:v>
                </c:pt>
                <c:pt idx="18">
                  <c:v>0.47012512472264778</c:v>
                </c:pt>
              </c:numCache>
            </c:numRef>
          </c:val>
          <c:extLst>
            <c:ext xmlns:c16="http://schemas.microsoft.com/office/drawing/2014/chart" uri="{C3380CC4-5D6E-409C-BE32-E72D297353CC}">
              <c16:uniqueId val="{00000005-523A-4545-BA05-6659B20BAA26}"/>
            </c:ext>
          </c:extLst>
        </c:ser>
        <c:dLbls>
          <c:showLegendKey val="0"/>
          <c:showVal val="0"/>
          <c:showCatName val="0"/>
          <c:showSerName val="0"/>
          <c:showPercent val="0"/>
          <c:showBubbleSize val="0"/>
        </c:dLbls>
        <c:gapWidth val="150"/>
        <c:overlap val="100"/>
        <c:axId val="1238608512"/>
        <c:axId val="1238609344"/>
      </c:barChart>
      <c:catAx>
        <c:axId val="12386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38609344"/>
        <c:crosses val="autoZero"/>
        <c:auto val="1"/>
        <c:lblAlgn val="ctr"/>
        <c:lblOffset val="100"/>
        <c:noMultiLvlLbl val="0"/>
      </c:catAx>
      <c:valAx>
        <c:axId val="1238609344"/>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t>% of GDP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38608512"/>
        <c:crosses val="autoZero"/>
        <c:crossBetween val="between"/>
      </c:valAx>
      <c:spPr>
        <a:noFill/>
        <a:ln>
          <a:noFill/>
        </a:ln>
        <a:effectLst/>
      </c:spPr>
    </c:plotArea>
    <c:legend>
      <c:legendPos val="b"/>
      <c:layout>
        <c:manualLayout>
          <c:xMode val="edge"/>
          <c:yMode val="edge"/>
          <c:x val="0.71237773403324589"/>
          <c:y val="0.22280037911927675"/>
          <c:w val="0.21691097987751529"/>
          <c:h val="0.152199620880723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000"/>
            </a:solidFill>
            <a:ln>
              <a:solidFill>
                <a:srgbClr val="FFC000"/>
              </a:solidFill>
            </a:ln>
            <a:effectLst/>
          </c:spPr>
          <c:invertIfNegative val="0"/>
          <c:dPt>
            <c:idx val="14"/>
            <c:invertIfNegative val="0"/>
            <c:bubble3D val="0"/>
            <c:spPr>
              <a:solidFill>
                <a:srgbClr val="FFC000"/>
              </a:solidFill>
              <a:ln>
                <a:solidFill>
                  <a:srgbClr val="FFC000"/>
                </a:solidFill>
              </a:ln>
              <a:effectLst/>
            </c:spPr>
            <c:extLst>
              <c:ext xmlns:c16="http://schemas.microsoft.com/office/drawing/2014/chart" uri="{C3380CC4-5D6E-409C-BE32-E72D297353CC}">
                <c16:uniqueId val="{00000001-62B3-40F0-BD3C-60F5AE870668}"/>
              </c:ext>
            </c:extLst>
          </c:dPt>
          <c:dPt>
            <c:idx val="22"/>
            <c:invertIfNegative val="0"/>
            <c:bubble3D val="0"/>
            <c:spPr>
              <a:solidFill>
                <a:srgbClr val="FF0000"/>
              </a:solidFill>
              <a:ln>
                <a:solidFill>
                  <a:srgbClr val="FF0000"/>
                </a:solidFill>
              </a:ln>
              <a:effectLst/>
            </c:spPr>
            <c:extLst>
              <c:ext xmlns:c16="http://schemas.microsoft.com/office/drawing/2014/chart" uri="{C3380CC4-5D6E-409C-BE32-E72D297353CC}">
                <c16:uniqueId val="{00000003-62B3-40F0-BD3C-60F5AE870668}"/>
              </c:ext>
            </c:extLst>
          </c:dPt>
          <c:dPt>
            <c:idx val="26"/>
            <c:invertIfNegative val="0"/>
            <c:bubble3D val="0"/>
            <c:spPr>
              <a:solidFill>
                <a:srgbClr val="FFC000"/>
              </a:solidFill>
              <a:ln>
                <a:solidFill>
                  <a:srgbClr val="FFC000"/>
                </a:solidFill>
              </a:ln>
              <a:effectLst/>
            </c:spPr>
            <c:extLst>
              <c:ext xmlns:c16="http://schemas.microsoft.com/office/drawing/2014/chart" uri="{C3380CC4-5D6E-409C-BE32-E72D297353CC}">
                <c16:uniqueId val="{00000005-62B3-40F0-BD3C-60F5AE870668}"/>
              </c:ext>
            </c:extLst>
          </c:dPt>
          <c:dPt>
            <c:idx val="28"/>
            <c:invertIfNegative val="0"/>
            <c:bubble3D val="0"/>
            <c:spPr>
              <a:solidFill>
                <a:srgbClr val="0070C0"/>
              </a:solidFill>
              <a:ln>
                <a:solidFill>
                  <a:srgbClr val="0070C0"/>
                </a:solidFill>
              </a:ln>
              <a:effectLst/>
            </c:spPr>
            <c:extLst>
              <c:ext xmlns:c16="http://schemas.microsoft.com/office/drawing/2014/chart" uri="{C3380CC4-5D6E-409C-BE32-E72D297353CC}">
                <c16:uniqueId val="{00000007-62B3-40F0-BD3C-60F5AE870668}"/>
              </c:ext>
            </c:extLst>
          </c:dPt>
          <c:dPt>
            <c:idx val="31"/>
            <c:invertIfNegative val="0"/>
            <c:bubble3D val="0"/>
            <c:spPr>
              <a:solidFill>
                <a:srgbClr val="FFC000"/>
              </a:solidFill>
              <a:ln>
                <a:solidFill>
                  <a:srgbClr val="FFC000"/>
                </a:solidFill>
              </a:ln>
              <a:effectLst/>
            </c:spPr>
            <c:extLst>
              <c:ext xmlns:c16="http://schemas.microsoft.com/office/drawing/2014/chart" uri="{C3380CC4-5D6E-409C-BE32-E72D297353CC}">
                <c16:uniqueId val="{00000009-62B3-40F0-BD3C-60F5AE870668}"/>
              </c:ext>
            </c:extLst>
          </c:dPt>
          <c:dPt>
            <c:idx val="37"/>
            <c:invertIfNegative val="0"/>
            <c:bubble3D val="0"/>
            <c:spPr>
              <a:solidFill>
                <a:srgbClr val="0070C0"/>
              </a:solidFill>
              <a:ln>
                <a:solidFill>
                  <a:srgbClr val="0070C0"/>
                </a:solidFill>
              </a:ln>
              <a:effectLst/>
            </c:spPr>
            <c:extLst>
              <c:ext xmlns:c16="http://schemas.microsoft.com/office/drawing/2014/chart" uri="{C3380CC4-5D6E-409C-BE32-E72D297353CC}">
                <c16:uniqueId val="{0000000B-62B3-40F0-BD3C-60F5AE870668}"/>
              </c:ext>
            </c:extLst>
          </c:dPt>
          <c:cat>
            <c:strRef>
              <c:f>Sheet6!$A$2:$A$55</c:f>
              <c:strCache>
                <c:ptCount val="54"/>
                <c:pt idx="0">
                  <c:v>Israel</c:v>
                </c:pt>
                <c:pt idx="1">
                  <c:v>South Africa</c:v>
                </c:pt>
                <c:pt idx="2">
                  <c:v>Indonesia</c:v>
                </c:pt>
                <c:pt idx="3">
                  <c:v>Saudi Arabia</c:v>
                </c:pt>
                <c:pt idx="4">
                  <c:v>Argentina</c:v>
                </c:pt>
                <c:pt idx="5">
                  <c:v>Peru</c:v>
                </c:pt>
                <c:pt idx="6">
                  <c:v>India</c:v>
                </c:pt>
                <c:pt idx="7">
                  <c:v>Mexico</c:v>
                </c:pt>
                <c:pt idx="8">
                  <c:v>Turkey</c:v>
                </c:pt>
                <c:pt idx="9">
                  <c:v>France</c:v>
                </c:pt>
                <c:pt idx="10">
                  <c:v>Costa Rica</c:v>
                </c:pt>
                <c:pt idx="11">
                  <c:v>Romania</c:v>
                </c:pt>
                <c:pt idx="12">
                  <c:v>Iceland</c:v>
                </c:pt>
                <c:pt idx="13">
                  <c:v>Croatia</c:v>
                </c:pt>
                <c:pt idx="14">
                  <c:v>Bulgaria</c:v>
                </c:pt>
                <c:pt idx="15">
                  <c:v>New Zealand</c:v>
                </c:pt>
                <c:pt idx="16">
                  <c:v>Czech Republic</c:v>
                </c:pt>
                <c:pt idx="17">
                  <c:v>United States</c:v>
                </c:pt>
                <c:pt idx="18">
                  <c:v>Colombia</c:v>
                </c:pt>
                <c:pt idx="19">
                  <c:v>Denmark</c:v>
                </c:pt>
                <c:pt idx="20">
                  <c:v>Ireland</c:v>
                </c:pt>
                <c:pt idx="21">
                  <c:v>Sweden</c:v>
                </c:pt>
                <c:pt idx="22">
                  <c:v>Australia</c:v>
                </c:pt>
                <c:pt idx="23">
                  <c:v>Estonia</c:v>
                </c:pt>
                <c:pt idx="24">
                  <c:v>China</c:v>
                </c:pt>
                <c:pt idx="25">
                  <c:v>United Kingdom</c:v>
                </c:pt>
                <c:pt idx="26">
                  <c:v>Lithuania</c:v>
                </c:pt>
                <c:pt idx="27">
                  <c:v>Latvia</c:v>
                </c:pt>
                <c:pt idx="28">
                  <c:v>OECD average</c:v>
                </c:pt>
                <c:pt idx="29">
                  <c:v>Slovenia</c:v>
                </c:pt>
                <c:pt idx="30">
                  <c:v>Brazil</c:v>
                </c:pt>
                <c:pt idx="31">
                  <c:v>Belgium</c:v>
                </c:pt>
                <c:pt idx="32">
                  <c:v>Netherlands</c:v>
                </c:pt>
                <c:pt idx="33">
                  <c:v>Slovakia</c:v>
                </c:pt>
                <c:pt idx="34">
                  <c:v>Germany</c:v>
                </c:pt>
                <c:pt idx="35">
                  <c:v>Norway</c:v>
                </c:pt>
                <c:pt idx="36">
                  <c:v>Russia</c:v>
                </c:pt>
                <c:pt idx="37">
                  <c:v>EU average</c:v>
                </c:pt>
                <c:pt idx="38">
                  <c:v>Hungary</c:v>
                </c:pt>
                <c:pt idx="39">
                  <c:v>Chile</c:v>
                </c:pt>
                <c:pt idx="40">
                  <c:v>Canada</c:v>
                </c:pt>
                <c:pt idx="41">
                  <c:v>Croatia</c:v>
                </c:pt>
                <c:pt idx="42">
                  <c:v>Austria</c:v>
                </c:pt>
                <c:pt idx="43">
                  <c:v>Poland</c:v>
                </c:pt>
                <c:pt idx="44">
                  <c:v>Portugal</c:v>
                </c:pt>
                <c:pt idx="45">
                  <c:v>Japan</c:v>
                </c:pt>
                <c:pt idx="46">
                  <c:v>Finland</c:v>
                </c:pt>
                <c:pt idx="47">
                  <c:v>Greece</c:v>
                </c:pt>
                <c:pt idx="48">
                  <c:v>Luxenburg</c:v>
                </c:pt>
                <c:pt idx="49">
                  <c:v>Cyprus</c:v>
                </c:pt>
                <c:pt idx="50">
                  <c:v>Italy</c:v>
                </c:pt>
                <c:pt idx="51">
                  <c:v>Spain</c:v>
                </c:pt>
                <c:pt idx="52">
                  <c:v>Malta</c:v>
                </c:pt>
                <c:pt idx="53">
                  <c:v>South Korea</c:v>
                </c:pt>
              </c:strCache>
            </c:strRef>
          </c:cat>
          <c:val>
            <c:numRef>
              <c:f>Sheet6!$C$2:$C$55</c:f>
              <c:numCache>
                <c:formatCode>0.00</c:formatCode>
                <c:ptCount val="54"/>
                <c:pt idx="0">
                  <c:v>3.01</c:v>
                </c:pt>
                <c:pt idx="1">
                  <c:v>2.4</c:v>
                </c:pt>
                <c:pt idx="2">
                  <c:v>2.29</c:v>
                </c:pt>
                <c:pt idx="3">
                  <c:v>2.2799999999999998</c:v>
                </c:pt>
                <c:pt idx="4">
                  <c:v>2.25</c:v>
                </c:pt>
                <c:pt idx="5">
                  <c:v>2.23</c:v>
                </c:pt>
                <c:pt idx="6">
                  <c:v>2.2000000000000002</c:v>
                </c:pt>
                <c:pt idx="7">
                  <c:v>2.1</c:v>
                </c:pt>
                <c:pt idx="8">
                  <c:v>1.88</c:v>
                </c:pt>
                <c:pt idx="9">
                  <c:v>1.83</c:v>
                </c:pt>
                <c:pt idx="10">
                  <c:v>1.79</c:v>
                </c:pt>
                <c:pt idx="11">
                  <c:v>1.77</c:v>
                </c:pt>
                <c:pt idx="12">
                  <c:v>1.75</c:v>
                </c:pt>
                <c:pt idx="13">
                  <c:v>1.74</c:v>
                </c:pt>
                <c:pt idx="14">
                  <c:v>1.72</c:v>
                </c:pt>
                <c:pt idx="15">
                  <c:v>1.72</c:v>
                </c:pt>
                <c:pt idx="16">
                  <c:v>1.71</c:v>
                </c:pt>
                <c:pt idx="17">
                  <c:v>1.71</c:v>
                </c:pt>
                <c:pt idx="18">
                  <c:v>1.7</c:v>
                </c:pt>
                <c:pt idx="19">
                  <c:v>1.7</c:v>
                </c:pt>
                <c:pt idx="20">
                  <c:v>1.7</c:v>
                </c:pt>
                <c:pt idx="21">
                  <c:v>1.7</c:v>
                </c:pt>
                <c:pt idx="22">
                  <c:v>1.66</c:v>
                </c:pt>
                <c:pt idx="23">
                  <c:v>1.66</c:v>
                </c:pt>
                <c:pt idx="24">
                  <c:v>1.63</c:v>
                </c:pt>
                <c:pt idx="25">
                  <c:v>1.63</c:v>
                </c:pt>
                <c:pt idx="26">
                  <c:v>1.61</c:v>
                </c:pt>
                <c:pt idx="27">
                  <c:v>1.61</c:v>
                </c:pt>
                <c:pt idx="28">
                  <c:v>1.61</c:v>
                </c:pt>
                <c:pt idx="29">
                  <c:v>1.61</c:v>
                </c:pt>
                <c:pt idx="30">
                  <c:v>1.58</c:v>
                </c:pt>
                <c:pt idx="31">
                  <c:v>1.57</c:v>
                </c:pt>
                <c:pt idx="32">
                  <c:v>1.57</c:v>
                </c:pt>
                <c:pt idx="33">
                  <c:v>1.57</c:v>
                </c:pt>
                <c:pt idx="34">
                  <c:v>1.54</c:v>
                </c:pt>
                <c:pt idx="35">
                  <c:v>1.53</c:v>
                </c:pt>
                <c:pt idx="36">
                  <c:v>1.5</c:v>
                </c:pt>
                <c:pt idx="37">
                  <c:v>1.5</c:v>
                </c:pt>
                <c:pt idx="38">
                  <c:v>1.49</c:v>
                </c:pt>
                <c:pt idx="39">
                  <c:v>1.48</c:v>
                </c:pt>
                <c:pt idx="40">
                  <c:v>1.47</c:v>
                </c:pt>
                <c:pt idx="41">
                  <c:v>1.47</c:v>
                </c:pt>
                <c:pt idx="42">
                  <c:v>1.46</c:v>
                </c:pt>
                <c:pt idx="43">
                  <c:v>1.42</c:v>
                </c:pt>
                <c:pt idx="44">
                  <c:v>1.42</c:v>
                </c:pt>
                <c:pt idx="45">
                  <c:v>1.36</c:v>
                </c:pt>
                <c:pt idx="46">
                  <c:v>1.35</c:v>
                </c:pt>
                <c:pt idx="47">
                  <c:v>1.34</c:v>
                </c:pt>
                <c:pt idx="48">
                  <c:v>1.34</c:v>
                </c:pt>
                <c:pt idx="49">
                  <c:v>1.33</c:v>
                </c:pt>
                <c:pt idx="50">
                  <c:v>1.27</c:v>
                </c:pt>
                <c:pt idx="51">
                  <c:v>1.23</c:v>
                </c:pt>
                <c:pt idx="52">
                  <c:v>1.1399999999999999</c:v>
                </c:pt>
                <c:pt idx="53">
                  <c:v>0.92</c:v>
                </c:pt>
              </c:numCache>
            </c:numRef>
          </c:val>
          <c:extLst>
            <c:ext xmlns:c16="http://schemas.microsoft.com/office/drawing/2014/chart" uri="{C3380CC4-5D6E-409C-BE32-E72D297353CC}">
              <c16:uniqueId val="{0000000C-62B3-40F0-BD3C-60F5AE870668}"/>
            </c:ext>
          </c:extLst>
        </c:ser>
        <c:dLbls>
          <c:showLegendKey val="0"/>
          <c:showVal val="0"/>
          <c:showCatName val="0"/>
          <c:showSerName val="0"/>
          <c:showPercent val="0"/>
          <c:showBubbleSize val="0"/>
        </c:dLbls>
        <c:gapWidth val="182"/>
        <c:axId val="549930088"/>
        <c:axId val="549927464"/>
      </c:barChart>
      <c:catAx>
        <c:axId val="549930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927464"/>
        <c:crossesAt val="0"/>
        <c:auto val="1"/>
        <c:lblAlgn val="ctr"/>
        <c:lblOffset val="100"/>
        <c:tickLblSkip val="1"/>
        <c:noMultiLvlLbl val="0"/>
      </c:catAx>
      <c:valAx>
        <c:axId val="549927464"/>
        <c:scaling>
          <c:orientation val="minMax"/>
          <c:max val="3.2"/>
          <c:min val="0"/>
        </c:scaling>
        <c:delete val="0"/>
        <c:axPos val="b"/>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930088"/>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27405949256344"/>
          <c:y val="5.0925925925925923E-2"/>
          <c:w val="0.75827449693788274"/>
          <c:h val="0.76469483509489999"/>
        </c:manualLayout>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1-4546-4DBC-B7DE-25F874F32BE2}"/>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4546-4DBC-B7DE-25F874F32BE2}"/>
              </c:ext>
            </c:extLst>
          </c:dPt>
          <c:cat>
            <c:strRef>
              <c:f>Sheet1!$B$7:$B$8</c:f>
              <c:strCache>
                <c:ptCount val="2"/>
                <c:pt idx="0">
                  <c:v>Unitary setting</c:v>
                </c:pt>
                <c:pt idx="1">
                  <c:v>Separate setting</c:v>
                </c:pt>
              </c:strCache>
            </c:strRef>
          </c:cat>
          <c:val>
            <c:numRef>
              <c:f>Sheet1!$C$7:$C$8</c:f>
              <c:numCache>
                <c:formatCode>General</c:formatCode>
                <c:ptCount val="2"/>
                <c:pt idx="0">
                  <c:v>6</c:v>
                </c:pt>
                <c:pt idx="1">
                  <c:v>3</c:v>
                </c:pt>
              </c:numCache>
            </c:numRef>
          </c:val>
          <c:extLst>
            <c:ext xmlns:c16="http://schemas.microsoft.com/office/drawing/2014/chart" uri="{C3380CC4-5D6E-409C-BE32-E72D297353CC}">
              <c16:uniqueId val="{00000004-4546-4DBC-B7DE-25F874F32BE2}"/>
            </c:ext>
          </c:extLst>
        </c:ser>
        <c:ser>
          <c:idx val="1"/>
          <c:order val="1"/>
          <c:spPr>
            <a:solidFill>
              <a:schemeClr val="accent2"/>
            </a:solidFill>
            <a:ln>
              <a:noFill/>
            </a:ln>
            <a:effectLst/>
          </c:spPr>
          <c:invertIfNegative val="0"/>
          <c:cat>
            <c:strRef>
              <c:f>Sheet1!$B$7:$B$8</c:f>
              <c:strCache>
                <c:ptCount val="2"/>
                <c:pt idx="0">
                  <c:v>Unitary setting</c:v>
                </c:pt>
                <c:pt idx="1">
                  <c:v>Separate setting</c:v>
                </c:pt>
              </c:strCache>
            </c:strRef>
          </c:cat>
          <c:val>
            <c:numRef>
              <c:f>Sheet1!$D$7:$D$8</c:f>
              <c:numCache>
                <c:formatCode>General</c:formatCode>
                <c:ptCount val="2"/>
                <c:pt idx="0">
                  <c:v>0</c:v>
                </c:pt>
                <c:pt idx="1">
                  <c:v>3</c:v>
                </c:pt>
              </c:numCache>
            </c:numRef>
          </c:val>
          <c:extLst>
            <c:ext xmlns:c16="http://schemas.microsoft.com/office/drawing/2014/chart" uri="{C3380CC4-5D6E-409C-BE32-E72D297353CC}">
              <c16:uniqueId val="{00000005-4546-4DBC-B7DE-25F874F32BE2}"/>
            </c:ext>
          </c:extLst>
        </c:ser>
        <c:dLbls>
          <c:showLegendKey val="0"/>
          <c:showVal val="0"/>
          <c:showCatName val="0"/>
          <c:showSerName val="0"/>
          <c:showPercent val="0"/>
          <c:showBubbleSize val="0"/>
        </c:dLbls>
        <c:gapWidth val="150"/>
        <c:overlap val="100"/>
        <c:axId val="1143562192"/>
        <c:axId val="1143561776"/>
      </c:barChart>
      <c:catAx>
        <c:axId val="114356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143561776"/>
        <c:crosses val="autoZero"/>
        <c:auto val="1"/>
        <c:lblAlgn val="ctr"/>
        <c:lblOffset val="100"/>
        <c:noMultiLvlLbl val="0"/>
      </c:catAx>
      <c:valAx>
        <c:axId val="1143561776"/>
        <c:scaling>
          <c:orientation val="minMax"/>
          <c:max val="6"/>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AU"/>
                  <a:t>Child's 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General" sourceLinked="1"/>
        <c:majorTickMark val="cross"/>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143562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noFill/>
              <a:round/>
            </a:ln>
            <a:effectLst/>
          </c:spPr>
          <c:marker>
            <c:symbol val="circle"/>
            <c:size val="5"/>
            <c:spPr>
              <a:solidFill>
                <a:schemeClr val="accent2"/>
              </a:solidFill>
              <a:ln w="9525">
                <a:solidFill>
                  <a:schemeClr val="accent2"/>
                </a:solidFill>
              </a:ln>
              <a:effectLst/>
            </c:spPr>
          </c:marker>
          <c:dPt>
            <c:idx val="7"/>
            <c:marker>
              <c:symbol val="circle"/>
              <c:size val="5"/>
              <c:spPr>
                <a:solidFill>
                  <a:schemeClr val="accent2">
                    <a:lumMod val="50000"/>
                  </a:schemeClr>
                </a:solidFill>
                <a:ln w="9525">
                  <a:solidFill>
                    <a:schemeClr val="accent2"/>
                  </a:solidFill>
                </a:ln>
                <a:effectLst/>
              </c:spPr>
            </c:marker>
            <c:bubble3D val="0"/>
            <c:extLst>
              <c:ext xmlns:c16="http://schemas.microsoft.com/office/drawing/2014/chart" uri="{C3380CC4-5D6E-409C-BE32-E72D297353CC}">
                <c16:uniqueId val="{00000000-7B62-43CC-B153-DC5F651A4354}"/>
              </c:ext>
            </c:extLst>
          </c:dPt>
          <c:dPt>
            <c:idx val="13"/>
            <c:marker>
              <c:symbol val="circle"/>
              <c:size val="5"/>
              <c:spPr>
                <a:solidFill>
                  <a:schemeClr val="accent2">
                    <a:lumMod val="50000"/>
                  </a:schemeClr>
                </a:solidFill>
                <a:ln w="9525">
                  <a:solidFill>
                    <a:schemeClr val="accent2"/>
                  </a:solidFill>
                </a:ln>
                <a:effectLst/>
              </c:spPr>
            </c:marker>
            <c:bubble3D val="0"/>
            <c:extLst>
              <c:ext xmlns:c16="http://schemas.microsoft.com/office/drawing/2014/chart" uri="{C3380CC4-5D6E-409C-BE32-E72D297353CC}">
                <c16:uniqueId val="{00000001-7B62-43CC-B153-DC5F651A4354}"/>
              </c:ext>
            </c:extLst>
          </c:dPt>
          <c:dLbls>
            <c:dLbl>
              <c:idx val="7"/>
              <c:layout>
                <c:manualLayout>
                  <c:x val="-1.7726567693330378E-2"/>
                  <c:y val="-8.6330935251798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62-43CC-B153-DC5F651A4354}"/>
                </c:ext>
              </c:extLst>
            </c:dLbl>
            <c:dLbl>
              <c:idx val="13"/>
              <c:layout>
                <c:manualLayout>
                  <c:x val="0"/>
                  <c:y val="-8.1534772182254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62-43CC-B153-DC5F651A43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PF3.4.B (2)'!$AQ$8:$AQ$42</c:f>
              <c:strCache>
                <c:ptCount val="35"/>
                <c:pt idx="0">
                  <c:v>United Kingdom</c:v>
                </c:pt>
                <c:pt idx="1">
                  <c:v>New Zealand</c:v>
                </c:pt>
                <c:pt idx="2">
                  <c:v>Ireland</c:v>
                </c:pt>
                <c:pt idx="3">
                  <c:v>Switzerland</c:v>
                </c:pt>
                <c:pt idx="4">
                  <c:v>United States</c:v>
                </c:pt>
                <c:pt idx="5">
                  <c:v>Canada</c:v>
                </c:pt>
                <c:pt idx="6">
                  <c:v>Slovak Rep.</c:v>
                </c:pt>
                <c:pt idx="7">
                  <c:v>Australia</c:v>
                </c:pt>
                <c:pt idx="8">
                  <c:v>Netherlands</c:v>
                </c:pt>
                <c:pt idx="9">
                  <c:v>Finland</c:v>
                </c:pt>
                <c:pt idx="10">
                  <c:v>Japan</c:v>
                </c:pt>
                <c:pt idx="11">
                  <c:v>Poland</c:v>
                </c:pt>
                <c:pt idx="12">
                  <c:v>Luxembourg</c:v>
                </c:pt>
                <c:pt idx="13">
                  <c:v>OECD Average</c:v>
                </c:pt>
                <c:pt idx="14">
                  <c:v>Latvia</c:v>
                </c:pt>
                <c:pt idx="15">
                  <c:v>Lithuania</c:v>
                </c:pt>
                <c:pt idx="16">
                  <c:v>France</c:v>
                </c:pt>
                <c:pt idx="17">
                  <c:v>Israel</c:v>
                </c:pt>
                <c:pt idx="18">
                  <c:v>Belgium</c:v>
                </c:pt>
                <c:pt idx="19">
                  <c:v>Slovenia</c:v>
                </c:pt>
                <c:pt idx="20">
                  <c:v>Denmark</c:v>
                </c:pt>
                <c:pt idx="21">
                  <c:v>Bulgaria</c:v>
                </c:pt>
                <c:pt idx="22">
                  <c:v>Czech Republic</c:v>
                </c:pt>
                <c:pt idx="23">
                  <c:v>Spain</c:v>
                </c:pt>
                <c:pt idx="24">
                  <c:v>Hungary</c:v>
                </c:pt>
                <c:pt idx="25">
                  <c:v>Norway</c:v>
                </c:pt>
                <c:pt idx="26">
                  <c:v>Croatia</c:v>
                </c:pt>
                <c:pt idx="27">
                  <c:v>Greece</c:v>
                </c:pt>
                <c:pt idx="28">
                  <c:v>Estonia</c:v>
                </c:pt>
                <c:pt idx="29">
                  <c:v>Portugal</c:v>
                </c:pt>
                <c:pt idx="30">
                  <c:v>Korea</c:v>
                </c:pt>
                <c:pt idx="31">
                  <c:v>Germany</c:v>
                </c:pt>
                <c:pt idx="32">
                  <c:v>Iceland</c:v>
                </c:pt>
                <c:pt idx="33">
                  <c:v>Sweden</c:v>
                </c:pt>
                <c:pt idx="34">
                  <c:v>Austria</c:v>
                </c:pt>
              </c:strCache>
            </c:strRef>
          </c:cat>
          <c:val>
            <c:numRef>
              <c:f>'Chart PF3.4.B (2)'!$AW$8:$AW$42</c:f>
              <c:numCache>
                <c:formatCode>0.0</c:formatCode>
                <c:ptCount val="35"/>
                <c:pt idx="0">
                  <c:v>55.332559045261078</c:v>
                </c:pt>
                <c:pt idx="1">
                  <c:v>39.695287443762595</c:v>
                </c:pt>
                <c:pt idx="2">
                  <c:v>38.83655530492176</c:v>
                </c:pt>
                <c:pt idx="3">
                  <c:v>32.686089732067714</c:v>
                </c:pt>
                <c:pt idx="4">
                  <c:v>29.986992564406215</c:v>
                </c:pt>
                <c:pt idx="5">
                  <c:v>29.56423403522281</c:v>
                </c:pt>
                <c:pt idx="6">
                  <c:v>27.453402482788739</c:v>
                </c:pt>
                <c:pt idx="7">
                  <c:v>25.886888107559368</c:v>
                </c:pt>
                <c:pt idx="8">
                  <c:v>25.43096208346671</c:v>
                </c:pt>
                <c:pt idx="9">
                  <c:v>24.12295694918436</c:v>
                </c:pt>
                <c:pt idx="10">
                  <c:v>20.889449962292773</c:v>
                </c:pt>
                <c:pt idx="11">
                  <c:v>20.691649037627879</c:v>
                </c:pt>
                <c:pt idx="12">
                  <c:v>19.617558093737692</c:v>
                </c:pt>
                <c:pt idx="13">
                  <c:v>17.403209360176245</c:v>
                </c:pt>
                <c:pt idx="14">
                  <c:v>16.270337922403002</c:v>
                </c:pt>
                <c:pt idx="15">
                  <c:v>14.472585255279153</c:v>
                </c:pt>
                <c:pt idx="16">
                  <c:v>13.135561537894313</c:v>
                </c:pt>
                <c:pt idx="17">
                  <c:v>12.924845578235974</c:v>
                </c:pt>
                <c:pt idx="18">
                  <c:v>12.584577992058534</c:v>
                </c:pt>
                <c:pt idx="19">
                  <c:v>12.147270616847234</c:v>
                </c:pt>
                <c:pt idx="20">
                  <c:v>10.537041625371655</c:v>
                </c:pt>
                <c:pt idx="21">
                  <c:v>9.9879774345694994</c:v>
                </c:pt>
                <c:pt idx="22">
                  <c:v>8.257527982654576</c:v>
                </c:pt>
                <c:pt idx="23">
                  <c:v>7.7702534393870586</c:v>
                </c:pt>
                <c:pt idx="24">
                  <c:v>6.8157549963270654</c:v>
                </c:pt>
                <c:pt idx="25">
                  <c:v>6.6701968552596185</c:v>
                </c:pt>
                <c:pt idx="26">
                  <c:v>6.6369583767896074</c:v>
                </c:pt>
                <c:pt idx="27">
                  <c:v>6.1711632557139531</c:v>
                </c:pt>
                <c:pt idx="28">
                  <c:v>5.7991215325149179</c:v>
                </c:pt>
                <c:pt idx="29">
                  <c:v>5.7376620100216655</c:v>
                </c:pt>
                <c:pt idx="30">
                  <c:v>5.5932775515763122</c:v>
                </c:pt>
                <c:pt idx="31">
                  <c:v>5.3955769230769235</c:v>
                </c:pt>
                <c:pt idx="32">
                  <c:v>5.1930926216640501</c:v>
                </c:pt>
                <c:pt idx="33">
                  <c:v>5.1638241137281238</c:v>
                </c:pt>
                <c:pt idx="34">
                  <c:v>3.1378187684289349</c:v>
                </c:pt>
              </c:numCache>
            </c:numRef>
          </c:val>
          <c:smooth val="0"/>
          <c:extLst>
            <c:ext xmlns:c16="http://schemas.microsoft.com/office/drawing/2014/chart" uri="{C3380CC4-5D6E-409C-BE32-E72D297353CC}">
              <c16:uniqueId val="{00000002-7B62-43CC-B153-DC5F651A435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548476864"/>
        <c:axId val="1548477280"/>
      </c:lineChart>
      <c:catAx>
        <c:axId val="154847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477280"/>
        <c:crosses val="autoZero"/>
        <c:auto val="1"/>
        <c:lblAlgn val="ctr"/>
        <c:lblOffset val="100"/>
        <c:noMultiLvlLbl val="0"/>
      </c:catAx>
      <c:valAx>
        <c:axId val="1548477280"/>
        <c:scaling>
          <c:orientation val="minMax"/>
        </c:scaling>
        <c:delete val="0"/>
        <c:axPos val="l"/>
        <c:majorGridlines>
          <c:spPr>
            <a:ln w="3175" cap="flat" cmpd="sng" algn="ctr">
              <a:solidFill>
                <a:schemeClr val="accent3">
                  <a:lumMod val="20000"/>
                  <a:lumOff val="8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a:t>% of average earnings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48476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70210963448589E-2"/>
          <c:y val="6.2584031087106667E-2"/>
          <c:w val="0.90484103514210046"/>
          <c:h val="0.50369475241577777"/>
        </c:manualLayout>
      </c:layout>
      <c:lineChart>
        <c:grouping val="standard"/>
        <c:varyColors val="0"/>
        <c:ser>
          <c:idx val="0"/>
          <c:order val="0"/>
          <c:tx>
            <c:strRef>
              <c:f>'F22'!$P$3</c:f>
              <c:strCache>
                <c:ptCount val="1"/>
                <c:pt idx="0">
                  <c:v>Enrolment rate (%)</c:v>
                </c:pt>
              </c:strCache>
            </c:strRef>
          </c:tx>
          <c:spPr>
            <a:ln w="28575" cap="rnd">
              <a:noFill/>
              <a:round/>
            </a:ln>
            <a:effectLst/>
          </c:spPr>
          <c:marker>
            <c:symbol val="circle"/>
            <c:size val="7"/>
            <c:spPr>
              <a:solidFill>
                <a:schemeClr val="accent2"/>
              </a:solidFill>
              <a:ln w="9525">
                <a:noFill/>
              </a:ln>
              <a:effectLst/>
            </c:spPr>
          </c:marker>
          <c:dPt>
            <c:idx val="7"/>
            <c:marker>
              <c:spPr>
                <a:solidFill>
                  <a:srgbClr val="ED7D31"/>
                </a:solidFill>
                <a:ln w="9525">
                  <a:noFill/>
                </a:ln>
                <a:effectLst/>
              </c:spPr>
            </c:marker>
            <c:bubble3D val="0"/>
            <c:extLst>
              <c:ext xmlns:c16="http://schemas.microsoft.com/office/drawing/2014/chart" uri="{C3380CC4-5D6E-409C-BE32-E72D297353CC}">
                <c16:uniqueId val="{00000000-DCA7-47FB-9EE9-0A2F8F3D2E8F}"/>
              </c:ext>
            </c:extLst>
          </c:dPt>
          <c:dPt>
            <c:idx val="13"/>
            <c:marker>
              <c:spPr>
                <a:solidFill>
                  <a:srgbClr val="ED7D31"/>
                </a:solidFill>
                <a:ln w="9525">
                  <a:noFill/>
                </a:ln>
                <a:effectLst/>
              </c:spPr>
            </c:marker>
            <c:bubble3D val="0"/>
            <c:extLst>
              <c:ext xmlns:c16="http://schemas.microsoft.com/office/drawing/2014/chart" uri="{C3380CC4-5D6E-409C-BE32-E72D297353CC}">
                <c16:uniqueId val="{00000001-DCA7-47FB-9EE9-0A2F8F3D2E8F}"/>
              </c:ext>
            </c:extLst>
          </c:dPt>
          <c:dPt>
            <c:idx val="14"/>
            <c:marker>
              <c:spPr>
                <a:solidFill>
                  <a:srgbClr val="ED7D31">
                    <a:lumMod val="50000"/>
                  </a:srgbClr>
                </a:solidFill>
                <a:ln w="9525">
                  <a:noFill/>
                </a:ln>
                <a:effectLst/>
              </c:spPr>
            </c:marker>
            <c:bubble3D val="0"/>
            <c:extLst>
              <c:ext xmlns:c16="http://schemas.microsoft.com/office/drawing/2014/chart" uri="{C3380CC4-5D6E-409C-BE32-E72D297353CC}">
                <c16:uniqueId val="{00000002-DCA7-47FB-9EE9-0A2F8F3D2E8F}"/>
              </c:ext>
            </c:extLst>
          </c:dPt>
          <c:dPt>
            <c:idx val="18"/>
            <c:marker>
              <c:spPr>
                <a:solidFill>
                  <a:srgbClr val="ED7D31">
                    <a:lumMod val="50000"/>
                  </a:srgbClr>
                </a:solidFill>
                <a:ln w="9525">
                  <a:noFill/>
                </a:ln>
                <a:effectLst/>
              </c:spPr>
            </c:marker>
            <c:bubble3D val="0"/>
            <c:extLst>
              <c:ext xmlns:c16="http://schemas.microsoft.com/office/drawing/2014/chart" uri="{C3380CC4-5D6E-409C-BE32-E72D297353CC}">
                <c16:uniqueId val="{00000003-DCA7-47FB-9EE9-0A2F8F3D2E8F}"/>
              </c:ext>
            </c:extLst>
          </c:dPt>
          <c:dLbls>
            <c:dLbl>
              <c:idx val="14"/>
              <c:layout>
                <c:manualLayout>
                  <c:x val="-1.3513513513513514E-2"/>
                  <c:y val="-8.9552219670676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A7-47FB-9EE9-0A2F8F3D2E8F}"/>
                </c:ext>
              </c:extLst>
            </c:dLbl>
            <c:dLbl>
              <c:idx val="18"/>
              <c:layout>
                <c:manualLayout>
                  <c:x val="1.2012012012012012E-2"/>
                  <c:y val="-4.88466652749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A7-47FB-9EE9-0A2F8F3D2E8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'F22'!$O$4:$O$37</c:f>
              <c:strCache>
                <c:ptCount val="34"/>
                <c:pt idx="0">
                  <c:v>Netherlands </c:v>
                </c:pt>
                <c:pt idx="1">
                  <c:v>Korea</c:v>
                </c:pt>
                <c:pt idx="2">
                  <c:v>Luxembourg </c:v>
                </c:pt>
                <c:pt idx="3">
                  <c:v>France </c:v>
                </c:pt>
                <c:pt idx="4">
                  <c:v>Iceland</c:v>
                </c:pt>
                <c:pt idx="5">
                  <c:v>Belgium </c:v>
                </c:pt>
                <c:pt idx="6">
                  <c:v>Israel</c:v>
                </c:pt>
                <c:pt idx="7">
                  <c:v>Norway</c:v>
                </c:pt>
                <c:pt idx="8">
                  <c:v>Denmark</c:v>
                </c:pt>
                <c:pt idx="9">
                  <c:v>New Zealand</c:v>
                </c:pt>
                <c:pt idx="10">
                  <c:v>Sweden</c:v>
                </c:pt>
                <c:pt idx="11">
                  <c:v>United Kingdom </c:v>
                </c:pt>
                <c:pt idx="12">
                  <c:v>Ireland </c:v>
                </c:pt>
                <c:pt idx="13">
                  <c:v>Slovenia</c:v>
                </c:pt>
                <c:pt idx="14">
                  <c:v>Australia</c:v>
                </c:pt>
                <c:pt idx="15">
                  <c:v>Portugal</c:v>
                </c:pt>
                <c:pt idx="16">
                  <c:v>Spain</c:v>
                </c:pt>
                <c:pt idx="17">
                  <c:v>Germany</c:v>
                </c:pt>
                <c:pt idx="18">
                  <c:v>OECD average</c:v>
                </c:pt>
                <c:pt idx="19">
                  <c:v>Greece </c:v>
                </c:pt>
                <c:pt idx="20">
                  <c:v>Finland</c:v>
                </c:pt>
                <c:pt idx="21">
                  <c:v>Japan</c:v>
                </c:pt>
                <c:pt idx="22">
                  <c:v>Latvia</c:v>
                </c:pt>
                <c:pt idx="23">
                  <c:v>Lithuania</c:v>
                </c:pt>
                <c:pt idx="24">
                  <c:v>Italy</c:v>
                </c:pt>
                <c:pt idx="25">
                  <c:v>Estonia</c:v>
                </c:pt>
                <c:pt idx="26">
                  <c:v>Austria</c:v>
                </c:pt>
                <c:pt idx="27">
                  <c:v>Bulgaria </c:v>
                </c:pt>
                <c:pt idx="28">
                  <c:v>Hungary </c:v>
                </c:pt>
                <c:pt idx="29">
                  <c:v>Russian Fed.</c:v>
                </c:pt>
                <c:pt idx="30">
                  <c:v>Croatia </c:v>
                </c:pt>
                <c:pt idx="31">
                  <c:v>Romania </c:v>
                </c:pt>
                <c:pt idx="32">
                  <c:v>Poland </c:v>
                </c:pt>
                <c:pt idx="33">
                  <c:v>Czech Republic</c:v>
                </c:pt>
              </c:strCache>
            </c:strRef>
          </c:cat>
          <c:val>
            <c:numRef>
              <c:f>'F22'!$P$4:$P$37</c:f>
              <c:numCache>
                <c:formatCode>0.0</c:formatCode>
                <c:ptCount val="34"/>
                <c:pt idx="0">
                  <c:v>65.531784296035767</c:v>
                </c:pt>
                <c:pt idx="1">
                  <c:v>62.737000000000002</c:v>
                </c:pt>
                <c:pt idx="2">
                  <c:v>60.704725980758667</c:v>
                </c:pt>
                <c:pt idx="3">
                  <c:v>60.363531112670799</c:v>
                </c:pt>
                <c:pt idx="4">
                  <c:v>58.849999999999994</c:v>
                </c:pt>
                <c:pt idx="5">
                  <c:v>58.10549259185791</c:v>
                </c:pt>
                <c:pt idx="6">
                  <c:v>57.72</c:v>
                </c:pt>
                <c:pt idx="7">
                  <c:v>57.304000000000002</c:v>
                </c:pt>
                <c:pt idx="8">
                  <c:v>55.966000000000001</c:v>
                </c:pt>
                <c:pt idx="9">
                  <c:v>47.589999999999996</c:v>
                </c:pt>
                <c:pt idx="10">
                  <c:v>46.28</c:v>
                </c:pt>
                <c:pt idx="11">
                  <c:v>45.091310143470764</c:v>
                </c:pt>
                <c:pt idx="12">
                  <c:v>42.868319153785706</c:v>
                </c:pt>
                <c:pt idx="13">
                  <c:v>42.561999999999998</c:v>
                </c:pt>
                <c:pt idx="14">
                  <c:v>39.826000000000001</c:v>
                </c:pt>
                <c:pt idx="15">
                  <c:v>39.664000000000001</c:v>
                </c:pt>
                <c:pt idx="16">
                  <c:v>38.198999999999998</c:v>
                </c:pt>
                <c:pt idx="17">
                  <c:v>37.655999999999999</c:v>
                </c:pt>
                <c:pt idx="18">
                  <c:v>36.05311023233277</c:v>
                </c:pt>
                <c:pt idx="19">
                  <c:v>35.331496596336365</c:v>
                </c:pt>
                <c:pt idx="20">
                  <c:v>33.374000000000002</c:v>
                </c:pt>
                <c:pt idx="21">
                  <c:v>32.64</c:v>
                </c:pt>
                <c:pt idx="22">
                  <c:v>28.481724858283997</c:v>
                </c:pt>
                <c:pt idx="23">
                  <c:v>28.295000000000002</c:v>
                </c:pt>
                <c:pt idx="24">
                  <c:v>27.820399403572083</c:v>
                </c:pt>
                <c:pt idx="25">
                  <c:v>27.696000000000002</c:v>
                </c:pt>
                <c:pt idx="26">
                  <c:v>20.893000000000001</c:v>
                </c:pt>
                <c:pt idx="27">
                  <c:v>20.047308504581451</c:v>
                </c:pt>
                <c:pt idx="28">
                  <c:v>19.915890693664551</c:v>
                </c:pt>
                <c:pt idx="29">
                  <c:v>19.857532298252998</c:v>
                </c:pt>
                <c:pt idx="30">
                  <c:v>16.6622593998909</c:v>
                </c:pt>
                <c:pt idx="31">
                  <c:v>16.122551262378693</c:v>
                </c:pt>
                <c:pt idx="32">
                  <c:v>11.624686419963837</c:v>
                </c:pt>
                <c:pt idx="33">
                  <c:v>7.4058040976524353</c:v>
                </c:pt>
              </c:numCache>
            </c:numRef>
          </c:val>
          <c:smooth val="0"/>
          <c:extLst>
            <c:ext xmlns:c16="http://schemas.microsoft.com/office/drawing/2014/chart" uri="{C3380CC4-5D6E-409C-BE32-E72D297353CC}">
              <c16:uniqueId val="{00000004-DCA7-47FB-9EE9-0A2F8F3D2E8F}"/>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548476864"/>
        <c:axId val="1548477280"/>
      </c:lineChart>
      <c:catAx>
        <c:axId val="154847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1548477280"/>
        <c:crosses val="autoZero"/>
        <c:auto val="1"/>
        <c:lblAlgn val="ctr"/>
        <c:lblOffset val="100"/>
        <c:noMultiLvlLbl val="0"/>
      </c:catAx>
      <c:valAx>
        <c:axId val="1548477280"/>
        <c:scaling>
          <c:orientation val="minMax"/>
        </c:scaling>
        <c:delete val="0"/>
        <c:axPos val="l"/>
        <c:majorGridlines>
          <c:spPr>
            <a:ln w="9525" cap="flat" cmpd="sng" algn="ctr">
              <a:solidFill>
                <a:schemeClr val="bg1">
                  <a:lumMod val="95000"/>
                </a:schemeClr>
              </a:solidFill>
              <a:round/>
            </a:ln>
            <a:effectLst/>
          </c:spPr>
        </c:majorGridlines>
        <c:title>
          <c:tx>
            <c:rich>
              <a:bodyPr rot="-5400000" vert="horz"/>
              <a:lstStyle/>
              <a:p>
                <a:pPr>
                  <a:defRPr b="0"/>
                </a:pPr>
                <a:r>
                  <a:rPr lang="en-AU" b="0"/>
                  <a:t>%</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154847686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mj-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noFill/>
            <a:ln>
              <a:noFill/>
            </a:ln>
            <a:effectLst/>
          </c:spPr>
          <c:invertIfNegative val="0"/>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F547-431E-BA2F-EFF63B3BFFA9}"/>
              </c:ext>
            </c:extLst>
          </c:dPt>
          <c:cat>
            <c:strRef>
              <c:f>Sheet1!$B$15:$B$18</c:f>
              <c:strCache>
                <c:ptCount val="4"/>
                <c:pt idx="0">
                  <c:v>Pre-school</c:v>
                </c:pt>
                <c:pt idx="1">
                  <c:v>Home-based provision</c:v>
                </c:pt>
                <c:pt idx="2">
                  <c:v>Centere-based setting</c:v>
                </c:pt>
                <c:pt idx="3">
                  <c:v>Parental leave</c:v>
                </c:pt>
              </c:strCache>
            </c:strRef>
          </c:cat>
          <c:val>
            <c:numRef>
              <c:f>Sheet1!$C$15:$C$18</c:f>
              <c:numCache>
                <c:formatCode>General</c:formatCode>
                <c:ptCount val="4"/>
                <c:pt idx="0">
                  <c:v>6</c:v>
                </c:pt>
                <c:pt idx="1">
                  <c:v>1</c:v>
                </c:pt>
                <c:pt idx="2">
                  <c:v>1</c:v>
                </c:pt>
                <c:pt idx="3">
                  <c:v>1</c:v>
                </c:pt>
              </c:numCache>
            </c:numRef>
          </c:val>
          <c:extLst>
            <c:ext xmlns:c16="http://schemas.microsoft.com/office/drawing/2014/chart" uri="{C3380CC4-5D6E-409C-BE32-E72D297353CC}">
              <c16:uniqueId val="{00000002-F547-431E-BA2F-EFF63B3BFFA9}"/>
            </c:ext>
          </c:extLst>
        </c:ser>
        <c:ser>
          <c:idx val="1"/>
          <c:order val="1"/>
          <c:spPr>
            <a:solidFill>
              <a:schemeClr val="accent2"/>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4-F547-431E-BA2F-EFF63B3BFFA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6-F547-431E-BA2F-EFF63B3BFFA9}"/>
              </c:ext>
            </c:extLst>
          </c:dPt>
          <c:cat>
            <c:strRef>
              <c:f>Sheet1!$B$15:$B$18</c:f>
              <c:strCache>
                <c:ptCount val="4"/>
                <c:pt idx="0">
                  <c:v>Pre-school</c:v>
                </c:pt>
                <c:pt idx="1">
                  <c:v>Home-based provision</c:v>
                </c:pt>
                <c:pt idx="2">
                  <c:v>Centere-based setting</c:v>
                </c:pt>
                <c:pt idx="3">
                  <c:v>Parental leave</c:v>
                </c:pt>
              </c:strCache>
            </c:strRef>
          </c:cat>
          <c:val>
            <c:numRef>
              <c:f>Sheet1!$D$15:$D$18</c:f>
              <c:numCache>
                <c:formatCode>General</c:formatCode>
                <c:ptCount val="4"/>
                <c:pt idx="0">
                  <c:v>1</c:v>
                </c:pt>
                <c:pt idx="1">
                  <c:v>5</c:v>
                </c:pt>
                <c:pt idx="2">
                  <c:v>5</c:v>
                </c:pt>
              </c:numCache>
            </c:numRef>
          </c:val>
          <c:extLst>
            <c:ext xmlns:c16="http://schemas.microsoft.com/office/drawing/2014/chart" uri="{C3380CC4-5D6E-409C-BE32-E72D297353CC}">
              <c16:uniqueId val="{00000007-F547-431E-BA2F-EFF63B3BFFA9}"/>
            </c:ext>
          </c:extLst>
        </c:ser>
        <c:ser>
          <c:idx val="2"/>
          <c:order val="2"/>
          <c:spPr>
            <a:solidFill>
              <a:schemeClr val="accent2"/>
            </a:solidFill>
            <a:ln>
              <a:solidFill>
                <a:schemeClr val="tx1"/>
              </a:solidFill>
            </a:ln>
            <a:effectLst/>
          </c:spPr>
          <c:invertIfNegative val="0"/>
          <c:val>
            <c:numRef>
              <c:f>Sheet1!$E$15:$E$18</c:f>
              <c:numCache>
                <c:formatCode>General</c:formatCode>
                <c:ptCount val="4"/>
              </c:numCache>
            </c:numRef>
          </c:val>
          <c:extLst>
            <c:ext xmlns:c16="http://schemas.microsoft.com/office/drawing/2014/chart" uri="{C3380CC4-5D6E-409C-BE32-E72D297353CC}">
              <c16:uniqueId val="{00000008-F547-431E-BA2F-EFF63B3BFFA9}"/>
            </c:ext>
          </c:extLst>
        </c:ser>
        <c:dLbls>
          <c:showLegendKey val="0"/>
          <c:showVal val="0"/>
          <c:showCatName val="0"/>
          <c:showSerName val="0"/>
          <c:showPercent val="0"/>
          <c:showBubbleSize val="0"/>
        </c:dLbls>
        <c:gapWidth val="62"/>
        <c:overlap val="100"/>
        <c:axId val="988675216"/>
        <c:axId val="1144548496"/>
      </c:barChart>
      <c:catAx>
        <c:axId val="98867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548496"/>
        <c:crosses val="autoZero"/>
        <c:auto val="1"/>
        <c:lblAlgn val="ctr"/>
        <c:lblOffset val="100"/>
        <c:noMultiLvlLbl val="0"/>
      </c:catAx>
      <c:valAx>
        <c:axId val="1144548496"/>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6752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percentStacked"/>
        <c:varyColors val="0"/>
        <c:ser>
          <c:idx val="0"/>
          <c:order val="0"/>
          <c:tx>
            <c:strRef>
              <c:f>Sheet2!$C$1</c:f>
              <c:strCache>
                <c:ptCount val="1"/>
                <c:pt idx="0">
                  <c:v>Family members</c:v>
                </c:pt>
              </c:strCache>
            </c:strRef>
          </c:tx>
          <c:spPr>
            <a:solidFill>
              <a:schemeClr val="accent2"/>
            </a:solidFill>
            <a:ln>
              <a:noFill/>
            </a:ln>
            <a:effectLst/>
          </c:spPr>
          <c:invertIfNegative val="0"/>
          <c:cat>
            <c:strRef>
              <c:f>Sheet2!$B$2:$B$30</c:f>
              <c:strCache>
                <c:ptCount val="29"/>
                <c:pt idx="0">
                  <c:v>Iceland</c:v>
                </c:pt>
                <c:pt idx="1">
                  <c:v>Sweden</c:v>
                </c:pt>
                <c:pt idx="2">
                  <c:v>Finland</c:v>
                </c:pt>
                <c:pt idx="3">
                  <c:v>Denmark</c:v>
                </c:pt>
                <c:pt idx="4">
                  <c:v>Norway</c:v>
                </c:pt>
                <c:pt idx="5">
                  <c:v>Netherlands</c:v>
                </c:pt>
                <c:pt idx="6">
                  <c:v>Slovenia</c:v>
                </c:pt>
                <c:pt idx="7">
                  <c:v>Belgium</c:v>
                </c:pt>
                <c:pt idx="8">
                  <c:v>France</c:v>
                </c:pt>
                <c:pt idx="9">
                  <c:v>Germany</c:v>
                </c:pt>
                <c:pt idx="10">
                  <c:v>Ireland</c:v>
                </c:pt>
                <c:pt idx="11">
                  <c:v>Lithuania</c:v>
                </c:pt>
                <c:pt idx="12">
                  <c:v>Australia</c:v>
                </c:pt>
                <c:pt idx="13">
                  <c:v>Great Britain</c:v>
                </c:pt>
                <c:pt idx="14">
                  <c:v>Canada</c:v>
                </c:pt>
                <c:pt idx="15">
                  <c:v>United States</c:v>
                </c:pt>
                <c:pt idx="16">
                  <c:v>Czechia</c:v>
                </c:pt>
                <c:pt idx="17">
                  <c:v>Korea</c:v>
                </c:pt>
                <c:pt idx="18">
                  <c:v>Portugal</c:v>
                </c:pt>
                <c:pt idx="19">
                  <c:v>Austria</c:v>
                </c:pt>
                <c:pt idx="20">
                  <c:v>Spain</c:v>
                </c:pt>
                <c:pt idx="21">
                  <c:v>Russia</c:v>
                </c:pt>
                <c:pt idx="22">
                  <c:v>Japan</c:v>
                </c:pt>
                <c:pt idx="23">
                  <c:v>Hungary</c:v>
                </c:pt>
                <c:pt idx="24">
                  <c:v>Croatia</c:v>
                </c:pt>
                <c:pt idx="25">
                  <c:v>Poland</c:v>
                </c:pt>
                <c:pt idx="26">
                  <c:v>Latvia</c:v>
                </c:pt>
                <c:pt idx="27">
                  <c:v>Switzerland</c:v>
                </c:pt>
                <c:pt idx="28">
                  <c:v>Bulgaria</c:v>
                </c:pt>
              </c:strCache>
            </c:strRef>
          </c:cat>
          <c:val>
            <c:numRef>
              <c:f>Sheet2!$C$2:$C$30</c:f>
              <c:numCache>
                <c:formatCode>General</c:formatCode>
                <c:ptCount val="29"/>
                <c:pt idx="0">
                  <c:v>6.06</c:v>
                </c:pt>
                <c:pt idx="1">
                  <c:v>9.5299999999999994</c:v>
                </c:pt>
                <c:pt idx="2">
                  <c:v>12.2</c:v>
                </c:pt>
                <c:pt idx="3">
                  <c:v>12.76</c:v>
                </c:pt>
                <c:pt idx="4">
                  <c:v>17.04</c:v>
                </c:pt>
                <c:pt idx="5">
                  <c:v>19.649999999999999</c:v>
                </c:pt>
                <c:pt idx="6">
                  <c:v>26.21</c:v>
                </c:pt>
                <c:pt idx="7">
                  <c:v>28.2</c:v>
                </c:pt>
                <c:pt idx="8">
                  <c:v>29.88</c:v>
                </c:pt>
                <c:pt idx="9">
                  <c:v>41.26</c:v>
                </c:pt>
                <c:pt idx="10">
                  <c:v>41.4</c:v>
                </c:pt>
                <c:pt idx="11">
                  <c:v>44.26</c:v>
                </c:pt>
                <c:pt idx="12">
                  <c:v>44.55</c:v>
                </c:pt>
                <c:pt idx="13">
                  <c:v>46.4</c:v>
                </c:pt>
                <c:pt idx="14">
                  <c:v>46.51</c:v>
                </c:pt>
                <c:pt idx="15">
                  <c:v>48.93</c:v>
                </c:pt>
                <c:pt idx="16">
                  <c:v>53.8</c:v>
                </c:pt>
                <c:pt idx="17">
                  <c:v>54.93</c:v>
                </c:pt>
                <c:pt idx="18">
                  <c:v>55.65</c:v>
                </c:pt>
                <c:pt idx="19">
                  <c:v>56.37</c:v>
                </c:pt>
                <c:pt idx="20">
                  <c:v>61.84</c:v>
                </c:pt>
                <c:pt idx="21">
                  <c:v>68.209999999999994</c:v>
                </c:pt>
                <c:pt idx="22">
                  <c:v>71.290000000000006</c:v>
                </c:pt>
                <c:pt idx="23">
                  <c:v>72.739999999999995</c:v>
                </c:pt>
                <c:pt idx="24">
                  <c:v>74.569999999999993</c:v>
                </c:pt>
                <c:pt idx="25">
                  <c:v>74.81</c:v>
                </c:pt>
                <c:pt idx="26">
                  <c:v>76.45</c:v>
                </c:pt>
                <c:pt idx="27">
                  <c:v>79.55</c:v>
                </c:pt>
                <c:pt idx="28">
                  <c:v>80.739999999999995</c:v>
                </c:pt>
              </c:numCache>
            </c:numRef>
          </c:val>
          <c:extLst>
            <c:ext xmlns:c16="http://schemas.microsoft.com/office/drawing/2014/chart" uri="{C3380CC4-5D6E-409C-BE32-E72D297353CC}">
              <c16:uniqueId val="{00000000-3C1F-49C4-997E-CF6AF8DF2448}"/>
            </c:ext>
          </c:extLst>
        </c:ser>
        <c:ser>
          <c:idx val="1"/>
          <c:order val="1"/>
          <c:tx>
            <c:strRef>
              <c:f>Sheet2!$D$1</c:f>
              <c:strCache>
                <c:ptCount val="1"/>
                <c:pt idx="0">
                  <c:v>Government agencies</c:v>
                </c:pt>
              </c:strCache>
            </c:strRef>
          </c:tx>
          <c:spPr>
            <a:solidFill>
              <a:schemeClr val="accent2">
                <a:lumMod val="50000"/>
              </a:schemeClr>
            </a:solidFill>
            <a:ln>
              <a:noFill/>
            </a:ln>
            <a:effectLst/>
          </c:spPr>
          <c:invertIfNegative val="0"/>
          <c:cat>
            <c:strRef>
              <c:f>Sheet2!$B$2:$B$30</c:f>
              <c:strCache>
                <c:ptCount val="29"/>
                <c:pt idx="0">
                  <c:v>Iceland</c:v>
                </c:pt>
                <c:pt idx="1">
                  <c:v>Sweden</c:v>
                </c:pt>
                <c:pt idx="2">
                  <c:v>Finland</c:v>
                </c:pt>
                <c:pt idx="3">
                  <c:v>Denmark</c:v>
                </c:pt>
                <c:pt idx="4">
                  <c:v>Norway</c:v>
                </c:pt>
                <c:pt idx="5">
                  <c:v>Netherlands</c:v>
                </c:pt>
                <c:pt idx="6">
                  <c:v>Slovenia</c:v>
                </c:pt>
                <c:pt idx="7">
                  <c:v>Belgium</c:v>
                </c:pt>
                <c:pt idx="8">
                  <c:v>France</c:v>
                </c:pt>
                <c:pt idx="9">
                  <c:v>Germany</c:v>
                </c:pt>
                <c:pt idx="10">
                  <c:v>Ireland</c:v>
                </c:pt>
                <c:pt idx="11">
                  <c:v>Lithuania</c:v>
                </c:pt>
                <c:pt idx="12">
                  <c:v>Australia</c:v>
                </c:pt>
                <c:pt idx="13">
                  <c:v>Great Britain</c:v>
                </c:pt>
                <c:pt idx="14">
                  <c:v>Canada</c:v>
                </c:pt>
                <c:pt idx="15">
                  <c:v>United States</c:v>
                </c:pt>
                <c:pt idx="16">
                  <c:v>Czechia</c:v>
                </c:pt>
                <c:pt idx="17">
                  <c:v>Korea</c:v>
                </c:pt>
                <c:pt idx="18">
                  <c:v>Portugal</c:v>
                </c:pt>
                <c:pt idx="19">
                  <c:v>Austria</c:v>
                </c:pt>
                <c:pt idx="20">
                  <c:v>Spain</c:v>
                </c:pt>
                <c:pt idx="21">
                  <c:v>Russia</c:v>
                </c:pt>
                <c:pt idx="22">
                  <c:v>Japan</c:v>
                </c:pt>
                <c:pt idx="23">
                  <c:v>Hungary</c:v>
                </c:pt>
                <c:pt idx="24">
                  <c:v>Croatia</c:v>
                </c:pt>
                <c:pt idx="25">
                  <c:v>Poland</c:v>
                </c:pt>
                <c:pt idx="26">
                  <c:v>Latvia</c:v>
                </c:pt>
                <c:pt idx="27">
                  <c:v>Switzerland</c:v>
                </c:pt>
                <c:pt idx="28">
                  <c:v>Bulgaria</c:v>
                </c:pt>
              </c:strCache>
            </c:strRef>
          </c:cat>
          <c:val>
            <c:numRef>
              <c:f>Sheet2!$D$2:$D$30</c:f>
              <c:numCache>
                <c:formatCode>General</c:formatCode>
                <c:ptCount val="29"/>
                <c:pt idx="0">
                  <c:v>73.47</c:v>
                </c:pt>
                <c:pt idx="1">
                  <c:v>75.38</c:v>
                </c:pt>
                <c:pt idx="2">
                  <c:v>74.12</c:v>
                </c:pt>
                <c:pt idx="3">
                  <c:v>67.28</c:v>
                </c:pt>
                <c:pt idx="4">
                  <c:v>53.81</c:v>
                </c:pt>
                <c:pt idx="5">
                  <c:v>18.48</c:v>
                </c:pt>
                <c:pt idx="6">
                  <c:v>63.83</c:v>
                </c:pt>
                <c:pt idx="7">
                  <c:v>14.92</c:v>
                </c:pt>
                <c:pt idx="8">
                  <c:v>15.13</c:v>
                </c:pt>
                <c:pt idx="9">
                  <c:v>35.69</c:v>
                </c:pt>
                <c:pt idx="10">
                  <c:v>19.82</c:v>
                </c:pt>
                <c:pt idx="11">
                  <c:v>47.9</c:v>
                </c:pt>
                <c:pt idx="12">
                  <c:v>12.23</c:v>
                </c:pt>
                <c:pt idx="13">
                  <c:v>15.88</c:v>
                </c:pt>
                <c:pt idx="14">
                  <c:v>13.64</c:v>
                </c:pt>
                <c:pt idx="15">
                  <c:v>6.96</c:v>
                </c:pt>
                <c:pt idx="16">
                  <c:v>37.42</c:v>
                </c:pt>
                <c:pt idx="17">
                  <c:v>28.91</c:v>
                </c:pt>
                <c:pt idx="18">
                  <c:v>37.409999999999997</c:v>
                </c:pt>
                <c:pt idx="19">
                  <c:v>27.26</c:v>
                </c:pt>
                <c:pt idx="20">
                  <c:v>29.37</c:v>
                </c:pt>
                <c:pt idx="21">
                  <c:v>24.45</c:v>
                </c:pt>
                <c:pt idx="22">
                  <c:v>10.31</c:v>
                </c:pt>
                <c:pt idx="23">
                  <c:v>23.18</c:v>
                </c:pt>
                <c:pt idx="24">
                  <c:v>18.239999999999998</c:v>
                </c:pt>
                <c:pt idx="25">
                  <c:v>13.5</c:v>
                </c:pt>
                <c:pt idx="26">
                  <c:v>20.29</c:v>
                </c:pt>
                <c:pt idx="27">
                  <c:v>5.98</c:v>
                </c:pt>
                <c:pt idx="28">
                  <c:v>12.4</c:v>
                </c:pt>
              </c:numCache>
            </c:numRef>
          </c:val>
          <c:extLst>
            <c:ext xmlns:c16="http://schemas.microsoft.com/office/drawing/2014/chart" uri="{C3380CC4-5D6E-409C-BE32-E72D297353CC}">
              <c16:uniqueId val="{00000001-3C1F-49C4-997E-CF6AF8DF2448}"/>
            </c:ext>
          </c:extLst>
        </c:ser>
        <c:ser>
          <c:idx val="2"/>
          <c:order val="2"/>
          <c:tx>
            <c:strRef>
              <c:f>Sheet2!$E$1</c:f>
              <c:strCache>
                <c:ptCount val="1"/>
                <c:pt idx="0">
                  <c:v>Non-profit organisations (e.g. charitable organisations, churches/religious organisations)</c:v>
                </c:pt>
              </c:strCache>
            </c:strRef>
          </c:tx>
          <c:spPr>
            <a:solidFill>
              <a:schemeClr val="accent2">
                <a:lumMod val="40000"/>
                <a:lumOff val="60000"/>
              </a:schemeClr>
            </a:solidFill>
            <a:ln>
              <a:noFill/>
            </a:ln>
            <a:effectLst/>
          </c:spPr>
          <c:invertIfNegative val="0"/>
          <c:cat>
            <c:strRef>
              <c:f>Sheet2!$B$2:$B$30</c:f>
              <c:strCache>
                <c:ptCount val="29"/>
                <c:pt idx="0">
                  <c:v>Iceland</c:v>
                </c:pt>
                <c:pt idx="1">
                  <c:v>Sweden</c:v>
                </c:pt>
                <c:pt idx="2">
                  <c:v>Finland</c:v>
                </c:pt>
                <c:pt idx="3">
                  <c:v>Denmark</c:v>
                </c:pt>
                <c:pt idx="4">
                  <c:v>Norway</c:v>
                </c:pt>
                <c:pt idx="5">
                  <c:v>Netherlands</c:v>
                </c:pt>
                <c:pt idx="6">
                  <c:v>Slovenia</c:v>
                </c:pt>
                <c:pt idx="7">
                  <c:v>Belgium</c:v>
                </c:pt>
                <c:pt idx="8">
                  <c:v>France</c:v>
                </c:pt>
                <c:pt idx="9">
                  <c:v>Germany</c:v>
                </c:pt>
                <c:pt idx="10">
                  <c:v>Ireland</c:v>
                </c:pt>
                <c:pt idx="11">
                  <c:v>Lithuania</c:v>
                </c:pt>
                <c:pt idx="12">
                  <c:v>Australia</c:v>
                </c:pt>
                <c:pt idx="13">
                  <c:v>Great Britain</c:v>
                </c:pt>
                <c:pt idx="14">
                  <c:v>Canada</c:v>
                </c:pt>
                <c:pt idx="15">
                  <c:v>United States</c:v>
                </c:pt>
                <c:pt idx="16">
                  <c:v>Czechia</c:v>
                </c:pt>
                <c:pt idx="17">
                  <c:v>Korea</c:v>
                </c:pt>
                <c:pt idx="18">
                  <c:v>Portugal</c:v>
                </c:pt>
                <c:pt idx="19">
                  <c:v>Austria</c:v>
                </c:pt>
                <c:pt idx="20">
                  <c:v>Spain</c:v>
                </c:pt>
                <c:pt idx="21">
                  <c:v>Russia</c:v>
                </c:pt>
                <c:pt idx="22">
                  <c:v>Japan</c:v>
                </c:pt>
                <c:pt idx="23">
                  <c:v>Hungary</c:v>
                </c:pt>
                <c:pt idx="24">
                  <c:v>Croatia</c:v>
                </c:pt>
                <c:pt idx="25">
                  <c:v>Poland</c:v>
                </c:pt>
                <c:pt idx="26">
                  <c:v>Latvia</c:v>
                </c:pt>
                <c:pt idx="27">
                  <c:v>Switzerland</c:v>
                </c:pt>
                <c:pt idx="28">
                  <c:v>Bulgaria</c:v>
                </c:pt>
              </c:strCache>
            </c:strRef>
          </c:cat>
          <c:val>
            <c:numRef>
              <c:f>Sheet2!$E$2:$E$30</c:f>
              <c:numCache>
                <c:formatCode>General</c:formatCode>
                <c:ptCount val="29"/>
                <c:pt idx="0">
                  <c:v>0.11</c:v>
                </c:pt>
                <c:pt idx="1">
                  <c:v>0.66</c:v>
                </c:pt>
                <c:pt idx="2">
                  <c:v>1.37</c:v>
                </c:pt>
                <c:pt idx="3">
                  <c:v>0.5</c:v>
                </c:pt>
                <c:pt idx="4">
                  <c:v>1.25</c:v>
                </c:pt>
                <c:pt idx="5">
                  <c:v>1.06</c:v>
                </c:pt>
                <c:pt idx="6">
                  <c:v>1.06</c:v>
                </c:pt>
                <c:pt idx="7">
                  <c:v>0.91</c:v>
                </c:pt>
                <c:pt idx="8">
                  <c:v>2.69</c:v>
                </c:pt>
                <c:pt idx="9">
                  <c:v>5.35</c:v>
                </c:pt>
                <c:pt idx="10">
                  <c:v>1.59</c:v>
                </c:pt>
                <c:pt idx="11">
                  <c:v>0.51</c:v>
                </c:pt>
                <c:pt idx="12">
                  <c:v>2.04</c:v>
                </c:pt>
                <c:pt idx="13">
                  <c:v>3.17</c:v>
                </c:pt>
                <c:pt idx="14">
                  <c:v>2.78</c:v>
                </c:pt>
                <c:pt idx="15">
                  <c:v>2.79</c:v>
                </c:pt>
                <c:pt idx="16">
                  <c:v>1.4</c:v>
                </c:pt>
                <c:pt idx="17">
                  <c:v>1.2</c:v>
                </c:pt>
                <c:pt idx="18">
                  <c:v>1.33</c:v>
                </c:pt>
                <c:pt idx="19">
                  <c:v>2.5499999999999998</c:v>
                </c:pt>
                <c:pt idx="20">
                  <c:v>0.38</c:v>
                </c:pt>
                <c:pt idx="21">
                  <c:v>0.35</c:v>
                </c:pt>
                <c:pt idx="22">
                  <c:v>0.25</c:v>
                </c:pt>
                <c:pt idx="23">
                  <c:v>0.79</c:v>
                </c:pt>
                <c:pt idx="24">
                  <c:v>0.21</c:v>
                </c:pt>
                <c:pt idx="25">
                  <c:v>0.84</c:v>
                </c:pt>
                <c:pt idx="26">
                  <c:v>0.28000000000000003</c:v>
                </c:pt>
                <c:pt idx="27">
                  <c:v>0.73</c:v>
                </c:pt>
                <c:pt idx="28">
                  <c:v>0.36</c:v>
                </c:pt>
              </c:numCache>
            </c:numRef>
          </c:val>
          <c:extLst>
            <c:ext xmlns:c16="http://schemas.microsoft.com/office/drawing/2014/chart" uri="{C3380CC4-5D6E-409C-BE32-E72D297353CC}">
              <c16:uniqueId val="{00000002-3C1F-49C4-997E-CF6AF8DF2448}"/>
            </c:ext>
          </c:extLst>
        </c:ser>
        <c:ser>
          <c:idx val="3"/>
          <c:order val="3"/>
          <c:tx>
            <c:strRef>
              <c:f>Sheet2!$F$1</c:f>
              <c:strCache>
                <c:ptCount val="1"/>
                <c:pt idx="0">
                  <c:v>Private childcare providers (e.g. private crèche, nanny, babysitter)</c:v>
                </c:pt>
              </c:strCache>
            </c:strRef>
          </c:tx>
          <c:spPr>
            <a:solidFill>
              <a:schemeClr val="accent5">
                <a:lumMod val="40000"/>
                <a:lumOff val="60000"/>
              </a:schemeClr>
            </a:solidFill>
            <a:ln>
              <a:noFill/>
            </a:ln>
            <a:effectLst/>
          </c:spPr>
          <c:invertIfNegative val="0"/>
          <c:cat>
            <c:strRef>
              <c:f>Sheet2!$B$2:$B$30</c:f>
              <c:strCache>
                <c:ptCount val="29"/>
                <c:pt idx="0">
                  <c:v>Iceland</c:v>
                </c:pt>
                <c:pt idx="1">
                  <c:v>Sweden</c:v>
                </c:pt>
                <c:pt idx="2">
                  <c:v>Finland</c:v>
                </c:pt>
                <c:pt idx="3">
                  <c:v>Denmark</c:v>
                </c:pt>
                <c:pt idx="4">
                  <c:v>Norway</c:v>
                </c:pt>
                <c:pt idx="5">
                  <c:v>Netherlands</c:v>
                </c:pt>
                <c:pt idx="6">
                  <c:v>Slovenia</c:v>
                </c:pt>
                <c:pt idx="7">
                  <c:v>Belgium</c:v>
                </c:pt>
                <c:pt idx="8">
                  <c:v>France</c:v>
                </c:pt>
                <c:pt idx="9">
                  <c:v>Germany</c:v>
                </c:pt>
                <c:pt idx="10">
                  <c:v>Ireland</c:v>
                </c:pt>
                <c:pt idx="11">
                  <c:v>Lithuania</c:v>
                </c:pt>
                <c:pt idx="12">
                  <c:v>Australia</c:v>
                </c:pt>
                <c:pt idx="13">
                  <c:v>Great Britain</c:v>
                </c:pt>
                <c:pt idx="14">
                  <c:v>Canada</c:v>
                </c:pt>
                <c:pt idx="15">
                  <c:v>United States</c:v>
                </c:pt>
                <c:pt idx="16">
                  <c:v>Czechia</c:v>
                </c:pt>
                <c:pt idx="17">
                  <c:v>Korea</c:v>
                </c:pt>
                <c:pt idx="18">
                  <c:v>Portugal</c:v>
                </c:pt>
                <c:pt idx="19">
                  <c:v>Austria</c:v>
                </c:pt>
                <c:pt idx="20">
                  <c:v>Spain</c:v>
                </c:pt>
                <c:pt idx="21">
                  <c:v>Russia</c:v>
                </c:pt>
                <c:pt idx="22">
                  <c:v>Japan</c:v>
                </c:pt>
                <c:pt idx="23">
                  <c:v>Hungary</c:v>
                </c:pt>
                <c:pt idx="24">
                  <c:v>Croatia</c:v>
                </c:pt>
                <c:pt idx="25">
                  <c:v>Poland</c:v>
                </c:pt>
                <c:pt idx="26">
                  <c:v>Latvia</c:v>
                </c:pt>
                <c:pt idx="27">
                  <c:v>Switzerland</c:v>
                </c:pt>
                <c:pt idx="28">
                  <c:v>Bulgaria</c:v>
                </c:pt>
              </c:strCache>
            </c:strRef>
          </c:cat>
          <c:val>
            <c:numRef>
              <c:f>Sheet2!$F$2:$F$30</c:f>
              <c:numCache>
                <c:formatCode>General</c:formatCode>
                <c:ptCount val="29"/>
                <c:pt idx="0">
                  <c:v>15.08</c:v>
                </c:pt>
                <c:pt idx="1">
                  <c:v>5.47</c:v>
                </c:pt>
                <c:pt idx="2">
                  <c:v>3.47</c:v>
                </c:pt>
                <c:pt idx="3">
                  <c:v>14.11</c:v>
                </c:pt>
                <c:pt idx="4">
                  <c:v>18.28</c:v>
                </c:pt>
                <c:pt idx="5">
                  <c:v>34.01</c:v>
                </c:pt>
                <c:pt idx="6">
                  <c:v>3.48</c:v>
                </c:pt>
                <c:pt idx="7">
                  <c:v>35.130000000000003</c:v>
                </c:pt>
                <c:pt idx="8">
                  <c:v>38.83</c:v>
                </c:pt>
                <c:pt idx="9">
                  <c:v>8.11</c:v>
                </c:pt>
                <c:pt idx="10">
                  <c:v>22.73</c:v>
                </c:pt>
                <c:pt idx="11">
                  <c:v>2.62</c:v>
                </c:pt>
                <c:pt idx="12">
                  <c:v>19.440000000000001</c:v>
                </c:pt>
                <c:pt idx="13">
                  <c:v>16.61</c:v>
                </c:pt>
                <c:pt idx="14">
                  <c:v>20.02</c:v>
                </c:pt>
                <c:pt idx="15">
                  <c:v>20.57</c:v>
                </c:pt>
                <c:pt idx="16">
                  <c:v>2.67</c:v>
                </c:pt>
                <c:pt idx="17">
                  <c:v>11.29</c:v>
                </c:pt>
                <c:pt idx="18">
                  <c:v>3.63</c:v>
                </c:pt>
                <c:pt idx="19">
                  <c:v>6.44</c:v>
                </c:pt>
                <c:pt idx="20">
                  <c:v>2.98</c:v>
                </c:pt>
                <c:pt idx="21">
                  <c:v>0.94</c:v>
                </c:pt>
                <c:pt idx="22">
                  <c:v>10.64</c:v>
                </c:pt>
                <c:pt idx="23">
                  <c:v>1.08</c:v>
                </c:pt>
                <c:pt idx="24">
                  <c:v>5.87</c:v>
                </c:pt>
                <c:pt idx="25">
                  <c:v>7.09</c:v>
                </c:pt>
                <c:pt idx="26">
                  <c:v>0.96</c:v>
                </c:pt>
                <c:pt idx="27">
                  <c:v>10.51</c:v>
                </c:pt>
                <c:pt idx="28">
                  <c:v>1.1000000000000001</c:v>
                </c:pt>
              </c:numCache>
            </c:numRef>
          </c:val>
          <c:extLst>
            <c:ext xmlns:c16="http://schemas.microsoft.com/office/drawing/2014/chart" uri="{C3380CC4-5D6E-409C-BE32-E72D297353CC}">
              <c16:uniqueId val="{00000003-3C1F-49C4-997E-CF6AF8DF2448}"/>
            </c:ext>
          </c:extLst>
        </c:ser>
        <c:ser>
          <c:idx val="4"/>
          <c:order val="4"/>
          <c:tx>
            <c:strRef>
              <c:f>Sheet2!$G$1</c:f>
              <c:strCache>
                <c:ptCount val="1"/>
                <c:pt idx="0">
                  <c:v>Employers</c:v>
                </c:pt>
              </c:strCache>
            </c:strRef>
          </c:tx>
          <c:spPr>
            <a:solidFill>
              <a:schemeClr val="accent5">
                <a:lumMod val="75000"/>
              </a:schemeClr>
            </a:solidFill>
            <a:ln>
              <a:noFill/>
            </a:ln>
            <a:effectLst/>
          </c:spPr>
          <c:invertIfNegative val="0"/>
          <c:cat>
            <c:strRef>
              <c:f>Sheet2!$B$2:$B$30</c:f>
              <c:strCache>
                <c:ptCount val="29"/>
                <c:pt idx="0">
                  <c:v>Iceland</c:v>
                </c:pt>
                <c:pt idx="1">
                  <c:v>Sweden</c:v>
                </c:pt>
                <c:pt idx="2">
                  <c:v>Finland</c:v>
                </c:pt>
                <c:pt idx="3">
                  <c:v>Denmark</c:v>
                </c:pt>
                <c:pt idx="4">
                  <c:v>Norway</c:v>
                </c:pt>
                <c:pt idx="5">
                  <c:v>Netherlands</c:v>
                </c:pt>
                <c:pt idx="6">
                  <c:v>Slovenia</c:v>
                </c:pt>
                <c:pt idx="7">
                  <c:v>Belgium</c:v>
                </c:pt>
                <c:pt idx="8">
                  <c:v>France</c:v>
                </c:pt>
                <c:pt idx="9">
                  <c:v>Germany</c:v>
                </c:pt>
                <c:pt idx="10">
                  <c:v>Ireland</c:v>
                </c:pt>
                <c:pt idx="11">
                  <c:v>Lithuania</c:v>
                </c:pt>
                <c:pt idx="12">
                  <c:v>Australia</c:v>
                </c:pt>
                <c:pt idx="13">
                  <c:v>Great Britain</c:v>
                </c:pt>
                <c:pt idx="14">
                  <c:v>Canada</c:v>
                </c:pt>
                <c:pt idx="15">
                  <c:v>United States</c:v>
                </c:pt>
                <c:pt idx="16">
                  <c:v>Czechia</c:v>
                </c:pt>
                <c:pt idx="17">
                  <c:v>Korea</c:v>
                </c:pt>
                <c:pt idx="18">
                  <c:v>Portugal</c:v>
                </c:pt>
                <c:pt idx="19">
                  <c:v>Austria</c:v>
                </c:pt>
                <c:pt idx="20">
                  <c:v>Spain</c:v>
                </c:pt>
                <c:pt idx="21">
                  <c:v>Russia</c:v>
                </c:pt>
                <c:pt idx="22">
                  <c:v>Japan</c:v>
                </c:pt>
                <c:pt idx="23">
                  <c:v>Hungary</c:v>
                </c:pt>
                <c:pt idx="24">
                  <c:v>Croatia</c:v>
                </c:pt>
                <c:pt idx="25">
                  <c:v>Poland</c:v>
                </c:pt>
                <c:pt idx="26">
                  <c:v>Latvia</c:v>
                </c:pt>
                <c:pt idx="27">
                  <c:v>Switzerland</c:v>
                </c:pt>
                <c:pt idx="28">
                  <c:v>Bulgaria</c:v>
                </c:pt>
              </c:strCache>
            </c:strRef>
          </c:cat>
          <c:val>
            <c:numRef>
              <c:f>Sheet2!$G$2:$G$30</c:f>
              <c:numCache>
                <c:formatCode>General</c:formatCode>
                <c:ptCount val="29"/>
                <c:pt idx="0">
                  <c:v>1.0900000000000001</c:v>
                </c:pt>
                <c:pt idx="1">
                  <c:v>0.28000000000000003</c:v>
                </c:pt>
                <c:pt idx="2">
                  <c:v>1.1200000000000001</c:v>
                </c:pt>
                <c:pt idx="3">
                  <c:v>0.56999999999999995</c:v>
                </c:pt>
                <c:pt idx="4">
                  <c:v>0.48</c:v>
                </c:pt>
                <c:pt idx="5">
                  <c:v>9.1</c:v>
                </c:pt>
                <c:pt idx="6">
                  <c:v>0.57999999999999996</c:v>
                </c:pt>
                <c:pt idx="7">
                  <c:v>7.39</c:v>
                </c:pt>
                <c:pt idx="8">
                  <c:v>5.36</c:v>
                </c:pt>
                <c:pt idx="9">
                  <c:v>1.25</c:v>
                </c:pt>
                <c:pt idx="10">
                  <c:v>3.8</c:v>
                </c:pt>
                <c:pt idx="11">
                  <c:v>0.09</c:v>
                </c:pt>
                <c:pt idx="12">
                  <c:v>3.33</c:v>
                </c:pt>
                <c:pt idx="13">
                  <c:v>2.74</c:v>
                </c:pt>
                <c:pt idx="14">
                  <c:v>4.76</c:v>
                </c:pt>
                <c:pt idx="15">
                  <c:v>6.12</c:v>
                </c:pt>
                <c:pt idx="16">
                  <c:v>0.99</c:v>
                </c:pt>
                <c:pt idx="17">
                  <c:v>2.81</c:v>
                </c:pt>
                <c:pt idx="18">
                  <c:v>1.1499999999999999</c:v>
                </c:pt>
                <c:pt idx="19">
                  <c:v>0.67</c:v>
                </c:pt>
                <c:pt idx="20">
                  <c:v>2.83</c:v>
                </c:pt>
                <c:pt idx="21">
                  <c:v>2.27</c:v>
                </c:pt>
                <c:pt idx="22">
                  <c:v>0.66</c:v>
                </c:pt>
                <c:pt idx="23">
                  <c:v>0.22</c:v>
                </c:pt>
                <c:pt idx="24">
                  <c:v>0.09</c:v>
                </c:pt>
                <c:pt idx="25">
                  <c:v>0.57999999999999996</c:v>
                </c:pt>
                <c:pt idx="26">
                  <c:v>0.23</c:v>
                </c:pt>
                <c:pt idx="27">
                  <c:v>1.1299999999999999</c:v>
                </c:pt>
                <c:pt idx="28">
                  <c:v>0.32</c:v>
                </c:pt>
              </c:numCache>
            </c:numRef>
          </c:val>
          <c:extLst>
            <c:ext xmlns:c16="http://schemas.microsoft.com/office/drawing/2014/chart" uri="{C3380CC4-5D6E-409C-BE32-E72D297353CC}">
              <c16:uniqueId val="{00000004-3C1F-49C4-997E-CF6AF8DF2448}"/>
            </c:ext>
          </c:extLst>
        </c:ser>
        <c:ser>
          <c:idx val="5"/>
          <c:order val="5"/>
          <c:tx>
            <c:strRef>
              <c:f>Sheet2!$H$1</c:f>
              <c:strCache>
                <c:ptCount val="1"/>
                <c:pt idx="0">
                  <c:v>Cant't choose/missing</c:v>
                </c:pt>
              </c:strCache>
            </c:strRef>
          </c:tx>
          <c:spPr>
            <a:solidFill>
              <a:schemeClr val="accent3">
                <a:lumMod val="75000"/>
              </a:schemeClr>
            </a:solidFill>
            <a:ln>
              <a:noFill/>
            </a:ln>
            <a:effectLst/>
          </c:spPr>
          <c:invertIfNegative val="0"/>
          <c:cat>
            <c:strRef>
              <c:f>Sheet2!$B$2:$B$30</c:f>
              <c:strCache>
                <c:ptCount val="29"/>
                <c:pt idx="0">
                  <c:v>Iceland</c:v>
                </c:pt>
                <c:pt idx="1">
                  <c:v>Sweden</c:v>
                </c:pt>
                <c:pt idx="2">
                  <c:v>Finland</c:v>
                </c:pt>
                <c:pt idx="3">
                  <c:v>Denmark</c:v>
                </c:pt>
                <c:pt idx="4">
                  <c:v>Norway</c:v>
                </c:pt>
                <c:pt idx="5">
                  <c:v>Netherlands</c:v>
                </c:pt>
                <c:pt idx="6">
                  <c:v>Slovenia</c:v>
                </c:pt>
                <c:pt idx="7">
                  <c:v>Belgium</c:v>
                </c:pt>
                <c:pt idx="8">
                  <c:v>France</c:v>
                </c:pt>
                <c:pt idx="9">
                  <c:v>Germany</c:v>
                </c:pt>
                <c:pt idx="10">
                  <c:v>Ireland</c:v>
                </c:pt>
                <c:pt idx="11">
                  <c:v>Lithuania</c:v>
                </c:pt>
                <c:pt idx="12">
                  <c:v>Australia</c:v>
                </c:pt>
                <c:pt idx="13">
                  <c:v>Great Britain</c:v>
                </c:pt>
                <c:pt idx="14">
                  <c:v>Canada</c:v>
                </c:pt>
                <c:pt idx="15">
                  <c:v>United States</c:v>
                </c:pt>
                <c:pt idx="16">
                  <c:v>Czechia</c:v>
                </c:pt>
                <c:pt idx="17">
                  <c:v>Korea</c:v>
                </c:pt>
                <c:pt idx="18">
                  <c:v>Portugal</c:v>
                </c:pt>
                <c:pt idx="19">
                  <c:v>Austria</c:v>
                </c:pt>
                <c:pt idx="20">
                  <c:v>Spain</c:v>
                </c:pt>
                <c:pt idx="21">
                  <c:v>Russia</c:v>
                </c:pt>
                <c:pt idx="22">
                  <c:v>Japan</c:v>
                </c:pt>
                <c:pt idx="23">
                  <c:v>Hungary</c:v>
                </c:pt>
                <c:pt idx="24">
                  <c:v>Croatia</c:v>
                </c:pt>
                <c:pt idx="25">
                  <c:v>Poland</c:v>
                </c:pt>
                <c:pt idx="26">
                  <c:v>Latvia</c:v>
                </c:pt>
                <c:pt idx="27">
                  <c:v>Switzerland</c:v>
                </c:pt>
                <c:pt idx="28">
                  <c:v>Bulgaria</c:v>
                </c:pt>
              </c:strCache>
            </c:strRef>
          </c:cat>
          <c:val>
            <c:numRef>
              <c:f>Sheet2!$H$2:$H$30</c:f>
              <c:numCache>
                <c:formatCode>General</c:formatCode>
                <c:ptCount val="29"/>
                <c:pt idx="0">
                  <c:v>4.18</c:v>
                </c:pt>
                <c:pt idx="1">
                  <c:v>8.67</c:v>
                </c:pt>
                <c:pt idx="2">
                  <c:v>7.72</c:v>
                </c:pt>
                <c:pt idx="3">
                  <c:v>4.78</c:v>
                </c:pt>
                <c:pt idx="4">
                  <c:v>9.15</c:v>
                </c:pt>
                <c:pt idx="5">
                  <c:v>17.71</c:v>
                </c:pt>
                <c:pt idx="6">
                  <c:v>4.84</c:v>
                </c:pt>
                <c:pt idx="7">
                  <c:v>13.45</c:v>
                </c:pt>
                <c:pt idx="8">
                  <c:v>8.11</c:v>
                </c:pt>
                <c:pt idx="9">
                  <c:v>8.34</c:v>
                </c:pt>
                <c:pt idx="10">
                  <c:v>10.67</c:v>
                </c:pt>
                <c:pt idx="11">
                  <c:v>4.63</c:v>
                </c:pt>
                <c:pt idx="12">
                  <c:v>18.41</c:v>
                </c:pt>
                <c:pt idx="13">
                  <c:v>15.2</c:v>
                </c:pt>
                <c:pt idx="14">
                  <c:v>12.31</c:v>
                </c:pt>
                <c:pt idx="15">
                  <c:v>14.629999999999999</c:v>
                </c:pt>
                <c:pt idx="16">
                  <c:v>3.72</c:v>
                </c:pt>
                <c:pt idx="17">
                  <c:v>0.86</c:v>
                </c:pt>
                <c:pt idx="18">
                  <c:v>0.83</c:v>
                </c:pt>
                <c:pt idx="19">
                  <c:v>6.71</c:v>
                </c:pt>
                <c:pt idx="20">
                  <c:v>2.6</c:v>
                </c:pt>
                <c:pt idx="21">
                  <c:v>3.79</c:v>
                </c:pt>
                <c:pt idx="22">
                  <c:v>6.85</c:v>
                </c:pt>
                <c:pt idx="23">
                  <c:v>1.99</c:v>
                </c:pt>
                <c:pt idx="24">
                  <c:v>1.02</c:v>
                </c:pt>
                <c:pt idx="25">
                  <c:v>3.17</c:v>
                </c:pt>
                <c:pt idx="26">
                  <c:v>1.79</c:v>
                </c:pt>
                <c:pt idx="27">
                  <c:v>2.1</c:v>
                </c:pt>
                <c:pt idx="28">
                  <c:v>5.07</c:v>
                </c:pt>
              </c:numCache>
            </c:numRef>
          </c:val>
          <c:extLst>
            <c:ext xmlns:c16="http://schemas.microsoft.com/office/drawing/2014/chart" uri="{C3380CC4-5D6E-409C-BE32-E72D297353CC}">
              <c16:uniqueId val="{00000005-3C1F-49C4-997E-CF6AF8DF2448}"/>
            </c:ext>
          </c:extLst>
        </c:ser>
        <c:dLbls>
          <c:showLegendKey val="0"/>
          <c:showVal val="0"/>
          <c:showCatName val="0"/>
          <c:showSerName val="0"/>
          <c:showPercent val="0"/>
          <c:showBubbleSize val="0"/>
        </c:dLbls>
        <c:gapWidth val="150"/>
        <c:overlap val="100"/>
        <c:axId val="1726627392"/>
        <c:axId val="1726614912"/>
      </c:barChart>
      <c:catAx>
        <c:axId val="172662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26614912"/>
        <c:crosses val="autoZero"/>
        <c:auto val="1"/>
        <c:lblAlgn val="ctr"/>
        <c:lblOffset val="100"/>
        <c:noMultiLvlLbl val="0"/>
      </c:catAx>
      <c:valAx>
        <c:axId val="1726614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2662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8"/>
          <c:order val="0"/>
          <c:tx>
            <c:strRef>
              <c:f>'Table 1'!$A$37</c:f>
              <c:strCache>
                <c:ptCount val="1"/>
                <c:pt idx="0">
                  <c:v>Other relative</c:v>
                </c:pt>
              </c:strCache>
            </c:strRef>
          </c:tx>
          <c:spPr>
            <a:pattFill prst="dkUpDiag">
              <a:fgClr>
                <a:srgbClr val="ED7D31"/>
              </a:fgClr>
              <a:bgClr>
                <a:sysClr val="window" lastClr="FFFFFF"/>
              </a:bgClr>
            </a:pattFill>
            <a:ln>
              <a:noFill/>
            </a:ln>
            <a:effectLst/>
          </c:spPr>
          <c:invertIfNegative val="0"/>
          <c:cat>
            <c:strRef>
              <c:f>'Table 1'!$B$6:$I$6</c:f>
              <c:strCache>
                <c:ptCount val="8"/>
                <c:pt idx="0">
                  <c:v>Under 1</c:v>
                </c:pt>
                <c:pt idx="1">
                  <c:v>1</c:v>
                </c:pt>
                <c:pt idx="2">
                  <c:v>2</c:v>
                </c:pt>
                <c:pt idx="3">
                  <c:v>3</c:v>
                </c:pt>
                <c:pt idx="4">
                  <c:v>4</c:v>
                </c:pt>
                <c:pt idx="5">
                  <c:v>5</c:v>
                </c:pt>
                <c:pt idx="6">
                  <c:v>6–8</c:v>
                </c:pt>
                <c:pt idx="7">
                  <c:v>9–12</c:v>
                </c:pt>
              </c:strCache>
            </c:strRef>
          </c:cat>
          <c:val>
            <c:numRef>
              <c:f>'Table 1'!$B$37:$I$37</c:f>
              <c:numCache>
                <c:formatCode>#,##0.0</c:formatCode>
                <c:ptCount val="8"/>
                <c:pt idx="0">
                  <c:v>2.9</c:v>
                </c:pt>
                <c:pt idx="1">
                  <c:v>4.2</c:v>
                </c:pt>
                <c:pt idx="2">
                  <c:v>3</c:v>
                </c:pt>
                <c:pt idx="3">
                  <c:v>4.3</c:v>
                </c:pt>
                <c:pt idx="4">
                  <c:v>3.2</c:v>
                </c:pt>
                <c:pt idx="5">
                  <c:v>4.4000000000000004</c:v>
                </c:pt>
                <c:pt idx="6">
                  <c:v>6.1</c:v>
                </c:pt>
                <c:pt idx="7">
                  <c:v>8.1999999999999993</c:v>
                </c:pt>
              </c:numCache>
            </c:numRef>
          </c:val>
          <c:extLst>
            <c:ext xmlns:c16="http://schemas.microsoft.com/office/drawing/2014/chart" uri="{C3380CC4-5D6E-409C-BE32-E72D297353CC}">
              <c16:uniqueId val="{00000000-B097-46F1-BE46-8C8285EDDD63}"/>
            </c:ext>
          </c:extLst>
        </c:ser>
        <c:ser>
          <c:idx val="0"/>
          <c:order val="1"/>
          <c:tx>
            <c:strRef>
              <c:f>'Table 1'!$A$29</c:f>
              <c:strCache>
                <c:ptCount val="1"/>
                <c:pt idx="0">
                  <c:v>Formal care</c:v>
                </c:pt>
              </c:strCache>
            </c:strRef>
          </c:tx>
          <c:spPr>
            <a:solidFill>
              <a:srgbClr val="ED7D31"/>
            </a:solidFill>
            <a:ln>
              <a:noFill/>
            </a:ln>
            <a:effectLst/>
          </c:spPr>
          <c:invertIfNegative val="0"/>
          <c:cat>
            <c:strRef>
              <c:f>'Table 1'!$B$6:$I$6</c:f>
              <c:strCache>
                <c:ptCount val="8"/>
                <c:pt idx="0">
                  <c:v>Under 1</c:v>
                </c:pt>
                <c:pt idx="1">
                  <c:v>1</c:v>
                </c:pt>
                <c:pt idx="2">
                  <c:v>2</c:v>
                </c:pt>
                <c:pt idx="3">
                  <c:v>3</c:v>
                </c:pt>
                <c:pt idx="4">
                  <c:v>4</c:v>
                </c:pt>
                <c:pt idx="5">
                  <c:v>5</c:v>
                </c:pt>
                <c:pt idx="6">
                  <c:v>6–8</c:v>
                </c:pt>
                <c:pt idx="7">
                  <c:v>9–12</c:v>
                </c:pt>
              </c:strCache>
            </c:strRef>
          </c:cat>
          <c:val>
            <c:numRef>
              <c:f>'Table 1'!$B$29:$I$29</c:f>
              <c:numCache>
                <c:formatCode>General</c:formatCode>
                <c:ptCount val="8"/>
              </c:numCache>
            </c:numRef>
          </c:val>
          <c:extLst>
            <c:ext xmlns:c16="http://schemas.microsoft.com/office/drawing/2014/chart" uri="{C3380CC4-5D6E-409C-BE32-E72D297353CC}">
              <c16:uniqueId val="{00000001-B097-46F1-BE46-8C8285EDDD63}"/>
            </c:ext>
          </c:extLst>
        </c:ser>
        <c:ser>
          <c:idx val="1"/>
          <c:order val="2"/>
          <c:tx>
            <c:strRef>
              <c:f>'Table 1'!$A$30</c:f>
              <c:strCache>
                <c:ptCount val="1"/>
                <c:pt idx="0">
                  <c:v>Before and/or after school care</c:v>
                </c:pt>
              </c:strCache>
            </c:strRef>
          </c:tx>
          <c:spPr>
            <a:solidFill>
              <a:schemeClr val="accent2"/>
            </a:solidFill>
            <a:ln>
              <a:noFill/>
            </a:ln>
            <a:effectLst/>
          </c:spPr>
          <c:invertIfNegative val="0"/>
          <c:cat>
            <c:strRef>
              <c:f>'Table 1'!$B$6:$I$6</c:f>
              <c:strCache>
                <c:ptCount val="8"/>
                <c:pt idx="0">
                  <c:v>Under 1</c:v>
                </c:pt>
                <c:pt idx="1">
                  <c:v>1</c:v>
                </c:pt>
                <c:pt idx="2">
                  <c:v>2</c:v>
                </c:pt>
                <c:pt idx="3">
                  <c:v>3</c:v>
                </c:pt>
                <c:pt idx="4">
                  <c:v>4</c:v>
                </c:pt>
                <c:pt idx="5">
                  <c:v>5</c:v>
                </c:pt>
                <c:pt idx="6">
                  <c:v>6–8</c:v>
                </c:pt>
                <c:pt idx="7">
                  <c:v>9–12</c:v>
                </c:pt>
              </c:strCache>
            </c:strRef>
          </c:cat>
          <c:val>
            <c:numRef>
              <c:f>'Table 1'!$B$30:$I$30</c:f>
              <c:numCache>
                <c:formatCode>#,##0.0</c:formatCode>
                <c:ptCount val="8"/>
                <c:pt idx="0">
                  <c:v>0</c:v>
                </c:pt>
                <c:pt idx="1">
                  <c:v>0</c:v>
                </c:pt>
                <c:pt idx="2">
                  <c:v>0</c:v>
                </c:pt>
                <c:pt idx="3">
                  <c:v>0</c:v>
                </c:pt>
                <c:pt idx="4">
                  <c:v>3.6</c:v>
                </c:pt>
                <c:pt idx="5">
                  <c:v>17.7</c:v>
                </c:pt>
                <c:pt idx="6">
                  <c:v>20.5</c:v>
                </c:pt>
                <c:pt idx="7">
                  <c:v>9</c:v>
                </c:pt>
              </c:numCache>
            </c:numRef>
          </c:val>
          <c:extLst>
            <c:ext xmlns:c16="http://schemas.microsoft.com/office/drawing/2014/chart" uri="{C3380CC4-5D6E-409C-BE32-E72D297353CC}">
              <c16:uniqueId val="{00000002-B097-46F1-BE46-8C8285EDDD63}"/>
            </c:ext>
          </c:extLst>
        </c:ser>
        <c:ser>
          <c:idx val="2"/>
          <c:order val="3"/>
          <c:tx>
            <c:strRef>
              <c:f>'Table 1'!$A$31</c:f>
              <c:strCache>
                <c:ptCount val="1"/>
                <c:pt idx="0">
                  <c:v>Long day care</c:v>
                </c:pt>
              </c:strCache>
            </c:strRef>
          </c:tx>
          <c:spPr>
            <a:solidFill>
              <a:schemeClr val="accent6">
                <a:lumMod val="50000"/>
              </a:schemeClr>
            </a:solidFill>
            <a:ln>
              <a:noFill/>
            </a:ln>
            <a:effectLst/>
          </c:spPr>
          <c:invertIfNegative val="0"/>
          <c:cat>
            <c:strRef>
              <c:f>'Table 1'!$B$6:$I$6</c:f>
              <c:strCache>
                <c:ptCount val="8"/>
                <c:pt idx="0">
                  <c:v>Under 1</c:v>
                </c:pt>
                <c:pt idx="1">
                  <c:v>1</c:v>
                </c:pt>
                <c:pt idx="2">
                  <c:v>2</c:v>
                </c:pt>
                <c:pt idx="3">
                  <c:v>3</c:v>
                </c:pt>
                <c:pt idx="4">
                  <c:v>4</c:v>
                </c:pt>
                <c:pt idx="5">
                  <c:v>5</c:v>
                </c:pt>
                <c:pt idx="6">
                  <c:v>6–8</c:v>
                </c:pt>
                <c:pt idx="7">
                  <c:v>9–12</c:v>
                </c:pt>
              </c:strCache>
            </c:strRef>
          </c:cat>
          <c:val>
            <c:numRef>
              <c:f>'Table 1'!$B$31:$I$31</c:f>
              <c:numCache>
                <c:formatCode>#,##0.0</c:formatCode>
                <c:ptCount val="8"/>
                <c:pt idx="0">
                  <c:v>9.6999999999999993</c:v>
                </c:pt>
                <c:pt idx="1">
                  <c:v>35.5</c:v>
                </c:pt>
                <c:pt idx="2">
                  <c:v>48.3</c:v>
                </c:pt>
                <c:pt idx="3">
                  <c:v>50.9</c:v>
                </c:pt>
                <c:pt idx="4">
                  <c:v>37.799999999999997</c:v>
                </c:pt>
                <c:pt idx="5">
                  <c:v>7.9</c:v>
                </c:pt>
                <c:pt idx="6">
                  <c:v>0.2</c:v>
                </c:pt>
                <c:pt idx="7">
                  <c:v>0</c:v>
                </c:pt>
              </c:numCache>
            </c:numRef>
          </c:val>
          <c:extLst>
            <c:ext xmlns:c16="http://schemas.microsoft.com/office/drawing/2014/chart" uri="{C3380CC4-5D6E-409C-BE32-E72D297353CC}">
              <c16:uniqueId val="{00000003-B097-46F1-BE46-8C8285EDDD63}"/>
            </c:ext>
          </c:extLst>
        </c:ser>
        <c:ser>
          <c:idx val="4"/>
          <c:order val="4"/>
          <c:tx>
            <c:v>Informal care</c:v>
          </c:tx>
          <c:spPr>
            <a:solidFill>
              <a:schemeClr val="accent5"/>
            </a:solidFill>
            <a:ln>
              <a:noFill/>
            </a:ln>
            <a:effectLst/>
          </c:spPr>
          <c:invertIfNegative val="0"/>
          <c:cat>
            <c:strRef>
              <c:f>'Table 1'!$B$6:$I$6</c:f>
              <c:strCache>
                <c:ptCount val="8"/>
                <c:pt idx="0">
                  <c:v>Under 1</c:v>
                </c:pt>
                <c:pt idx="1">
                  <c:v>1</c:v>
                </c:pt>
                <c:pt idx="2">
                  <c:v>2</c:v>
                </c:pt>
                <c:pt idx="3">
                  <c:v>3</c:v>
                </c:pt>
                <c:pt idx="4">
                  <c:v>4</c:v>
                </c:pt>
                <c:pt idx="5">
                  <c:v>5</c:v>
                </c:pt>
                <c:pt idx="6">
                  <c:v>6–8</c:v>
                </c:pt>
                <c:pt idx="7">
                  <c:v>9–12</c:v>
                </c:pt>
              </c:strCache>
            </c:strRef>
          </c:cat>
          <c:val>
            <c:numRef>
              <c:f>'Table 1'!$B$33:$I$33</c:f>
              <c:numCache>
                <c:formatCode>#,##0.0</c:formatCode>
                <c:ptCount val="8"/>
                <c:pt idx="0">
                  <c:v>12.4</c:v>
                </c:pt>
                <c:pt idx="1">
                  <c:v>41.9</c:v>
                </c:pt>
                <c:pt idx="2">
                  <c:v>58.3</c:v>
                </c:pt>
                <c:pt idx="3">
                  <c:v>58.1</c:v>
                </c:pt>
                <c:pt idx="4">
                  <c:v>44.6</c:v>
                </c:pt>
                <c:pt idx="5">
                  <c:v>28</c:v>
                </c:pt>
                <c:pt idx="6">
                  <c:v>22.1</c:v>
                </c:pt>
                <c:pt idx="7">
                  <c:v>9.6</c:v>
                </c:pt>
              </c:numCache>
            </c:numRef>
          </c:val>
          <c:extLst>
            <c:ext xmlns:c16="http://schemas.microsoft.com/office/drawing/2014/chart" uri="{C3380CC4-5D6E-409C-BE32-E72D297353CC}">
              <c16:uniqueId val="{00000004-B097-46F1-BE46-8C8285EDDD63}"/>
            </c:ext>
          </c:extLst>
        </c:ser>
        <c:ser>
          <c:idx val="5"/>
          <c:order val="5"/>
          <c:tx>
            <c:strRef>
              <c:f>'Table 1'!$A$34</c:f>
              <c:strCache>
                <c:ptCount val="1"/>
                <c:pt idx="0">
                  <c:v>Informal care</c:v>
                </c:pt>
              </c:strCache>
            </c:strRef>
          </c:tx>
          <c:spPr>
            <a:solidFill>
              <a:schemeClr val="accent5"/>
            </a:solidFill>
            <a:ln>
              <a:noFill/>
            </a:ln>
            <a:effectLst/>
          </c:spPr>
          <c:invertIfNegative val="0"/>
          <c:cat>
            <c:strRef>
              <c:f>'Table 1'!$B$6:$I$6</c:f>
              <c:strCache>
                <c:ptCount val="8"/>
                <c:pt idx="0">
                  <c:v>Under 1</c:v>
                </c:pt>
                <c:pt idx="1">
                  <c:v>1</c:v>
                </c:pt>
                <c:pt idx="2">
                  <c:v>2</c:v>
                </c:pt>
                <c:pt idx="3">
                  <c:v>3</c:v>
                </c:pt>
                <c:pt idx="4">
                  <c:v>4</c:v>
                </c:pt>
                <c:pt idx="5">
                  <c:v>5</c:v>
                </c:pt>
                <c:pt idx="6">
                  <c:v>6–8</c:v>
                </c:pt>
                <c:pt idx="7">
                  <c:v>9–12</c:v>
                </c:pt>
              </c:strCache>
            </c:strRef>
          </c:cat>
          <c:val>
            <c:numRef>
              <c:f>'Table 1'!$B$34:$I$34</c:f>
              <c:numCache>
                <c:formatCode>General</c:formatCode>
                <c:ptCount val="8"/>
              </c:numCache>
            </c:numRef>
          </c:val>
          <c:extLst>
            <c:ext xmlns:c16="http://schemas.microsoft.com/office/drawing/2014/chart" uri="{C3380CC4-5D6E-409C-BE32-E72D297353CC}">
              <c16:uniqueId val="{00000005-B097-46F1-BE46-8C8285EDDD63}"/>
            </c:ext>
          </c:extLst>
        </c:ser>
        <c:ser>
          <c:idx val="6"/>
          <c:order val="6"/>
          <c:tx>
            <c:strRef>
              <c:f>'Table 1'!$A$35</c:f>
              <c:strCache>
                <c:ptCount val="1"/>
                <c:pt idx="0">
                  <c:v>Grandparent</c:v>
                </c:pt>
              </c:strCache>
            </c:strRef>
          </c:tx>
          <c:spPr>
            <a:solidFill>
              <a:schemeClr val="accent5"/>
            </a:solidFill>
            <a:ln>
              <a:noFill/>
            </a:ln>
            <a:effectLst/>
          </c:spPr>
          <c:invertIfNegative val="0"/>
          <c:cat>
            <c:strRef>
              <c:f>'Table 1'!$B$6:$I$6</c:f>
              <c:strCache>
                <c:ptCount val="8"/>
                <c:pt idx="0">
                  <c:v>Under 1</c:v>
                </c:pt>
                <c:pt idx="1">
                  <c:v>1</c:v>
                </c:pt>
                <c:pt idx="2">
                  <c:v>2</c:v>
                </c:pt>
                <c:pt idx="3">
                  <c:v>3</c:v>
                </c:pt>
                <c:pt idx="4">
                  <c:v>4</c:v>
                </c:pt>
                <c:pt idx="5">
                  <c:v>5</c:v>
                </c:pt>
                <c:pt idx="6">
                  <c:v>6–8</c:v>
                </c:pt>
                <c:pt idx="7">
                  <c:v>9–12</c:v>
                </c:pt>
              </c:strCache>
            </c:strRef>
          </c:cat>
          <c:val>
            <c:numRef>
              <c:f>'Table 1'!$B$35:$I$35</c:f>
              <c:numCache>
                <c:formatCode>#,##0.0</c:formatCode>
                <c:ptCount val="8"/>
                <c:pt idx="0">
                  <c:v>19.600000000000001</c:v>
                </c:pt>
                <c:pt idx="1">
                  <c:v>32.5</c:v>
                </c:pt>
                <c:pt idx="2">
                  <c:v>29.6</c:v>
                </c:pt>
                <c:pt idx="3">
                  <c:v>25.2</c:v>
                </c:pt>
                <c:pt idx="4">
                  <c:v>23.6</c:v>
                </c:pt>
                <c:pt idx="5">
                  <c:v>22.1</c:v>
                </c:pt>
                <c:pt idx="6">
                  <c:v>20.7</c:v>
                </c:pt>
                <c:pt idx="7">
                  <c:v>16.7</c:v>
                </c:pt>
              </c:numCache>
            </c:numRef>
          </c:val>
          <c:extLst>
            <c:ext xmlns:c16="http://schemas.microsoft.com/office/drawing/2014/chart" uri="{C3380CC4-5D6E-409C-BE32-E72D297353CC}">
              <c16:uniqueId val="{00000006-B097-46F1-BE46-8C8285EDDD63}"/>
            </c:ext>
          </c:extLst>
        </c:ser>
        <c:ser>
          <c:idx val="7"/>
          <c:order val="7"/>
          <c:tx>
            <c:strRef>
              <c:f>'Table 1'!$A$36</c:f>
              <c:strCache>
                <c:ptCount val="1"/>
                <c:pt idx="0">
                  <c:v>Non-resident parent</c:v>
                </c:pt>
              </c:strCache>
            </c:strRef>
          </c:tx>
          <c:spPr>
            <a:solidFill>
              <a:schemeClr val="accent5"/>
            </a:solidFill>
            <a:ln>
              <a:noFill/>
            </a:ln>
            <a:effectLst/>
          </c:spPr>
          <c:invertIfNegative val="0"/>
          <c:cat>
            <c:strRef>
              <c:f>'Table 1'!$B$6:$I$6</c:f>
              <c:strCache>
                <c:ptCount val="8"/>
                <c:pt idx="0">
                  <c:v>Under 1</c:v>
                </c:pt>
                <c:pt idx="1">
                  <c:v>1</c:v>
                </c:pt>
                <c:pt idx="2">
                  <c:v>2</c:v>
                </c:pt>
                <c:pt idx="3">
                  <c:v>3</c:v>
                </c:pt>
                <c:pt idx="4">
                  <c:v>4</c:v>
                </c:pt>
                <c:pt idx="5">
                  <c:v>5</c:v>
                </c:pt>
                <c:pt idx="6">
                  <c:v>6–8</c:v>
                </c:pt>
                <c:pt idx="7">
                  <c:v>9–12</c:v>
                </c:pt>
              </c:strCache>
            </c:strRef>
          </c:cat>
          <c:val>
            <c:numRef>
              <c:f>'Table 1'!$B$36:$I$36</c:f>
              <c:numCache>
                <c:formatCode>#,##0.0</c:formatCode>
                <c:ptCount val="8"/>
                <c:pt idx="0">
                  <c:v>0.9</c:v>
                </c:pt>
                <c:pt idx="1">
                  <c:v>1</c:v>
                </c:pt>
                <c:pt idx="2">
                  <c:v>1.8</c:v>
                </c:pt>
                <c:pt idx="3">
                  <c:v>2.2000000000000002</c:v>
                </c:pt>
                <c:pt idx="4">
                  <c:v>3.9</c:v>
                </c:pt>
                <c:pt idx="5">
                  <c:v>4.7</c:v>
                </c:pt>
                <c:pt idx="6">
                  <c:v>5.5</c:v>
                </c:pt>
                <c:pt idx="7">
                  <c:v>6</c:v>
                </c:pt>
              </c:numCache>
            </c:numRef>
          </c:val>
          <c:extLst>
            <c:ext xmlns:c16="http://schemas.microsoft.com/office/drawing/2014/chart" uri="{C3380CC4-5D6E-409C-BE32-E72D297353CC}">
              <c16:uniqueId val="{00000007-B097-46F1-BE46-8C8285EDDD63}"/>
            </c:ext>
          </c:extLst>
        </c:ser>
        <c:dLbls>
          <c:showLegendKey val="0"/>
          <c:showVal val="0"/>
          <c:showCatName val="0"/>
          <c:showSerName val="0"/>
          <c:showPercent val="0"/>
          <c:showBubbleSize val="0"/>
        </c:dLbls>
        <c:gapWidth val="150"/>
        <c:overlap val="100"/>
        <c:axId val="1587554383"/>
        <c:axId val="1587553551"/>
      </c:barChart>
      <c:catAx>
        <c:axId val="15875543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of child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553551"/>
        <c:crosses val="autoZero"/>
        <c:auto val="1"/>
        <c:lblAlgn val="ctr"/>
        <c:lblOffset val="100"/>
        <c:noMultiLvlLbl val="0"/>
      </c:catAx>
      <c:valAx>
        <c:axId val="1587553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554383"/>
        <c:crosses val="autoZero"/>
        <c:crossBetween val="between"/>
      </c:valAx>
      <c:spPr>
        <a:noFill/>
        <a:ln>
          <a:noFill/>
        </a:ln>
        <a:effectLst/>
      </c:spPr>
    </c:plotArea>
    <c:legend>
      <c:legendPos val="r"/>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Sheet1!$D$2</c:f>
              <c:strCache>
                <c:ptCount val="1"/>
                <c:pt idx="0">
                  <c:v>No longer achieving a live birth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Sheet1!$C$3:$C$9</c:f>
              <c:numCache>
                <c:formatCode>General</c:formatCode>
                <c:ptCount val="7"/>
                <c:pt idx="0">
                  <c:v>25</c:v>
                </c:pt>
                <c:pt idx="1">
                  <c:v>30</c:v>
                </c:pt>
                <c:pt idx="2">
                  <c:v>35</c:v>
                </c:pt>
                <c:pt idx="3">
                  <c:v>40</c:v>
                </c:pt>
                <c:pt idx="4">
                  <c:v>45</c:v>
                </c:pt>
              </c:numCache>
            </c:numRef>
          </c:cat>
          <c:val>
            <c:numRef>
              <c:f>Sheet1!$D$3:$D$7</c:f>
              <c:numCache>
                <c:formatCode>General</c:formatCode>
                <c:ptCount val="5"/>
                <c:pt idx="0">
                  <c:v>5</c:v>
                </c:pt>
                <c:pt idx="1">
                  <c:v>10</c:v>
                </c:pt>
                <c:pt idx="2">
                  <c:v>17</c:v>
                </c:pt>
                <c:pt idx="3">
                  <c:v>33</c:v>
                </c:pt>
                <c:pt idx="4">
                  <c:v>62</c:v>
                </c:pt>
              </c:numCache>
            </c:numRef>
          </c:val>
          <c:smooth val="0"/>
          <c:extLst>
            <c:ext xmlns:c16="http://schemas.microsoft.com/office/drawing/2014/chart" uri="{C3380CC4-5D6E-409C-BE32-E72D297353CC}">
              <c16:uniqueId val="{00000000-0FB6-4F61-A38D-550D31CD0D19}"/>
            </c:ext>
          </c:extLst>
        </c:ser>
        <c:ser>
          <c:idx val="2"/>
          <c:order val="1"/>
          <c:tx>
            <c:strRef>
              <c:f>Sheet1!$E$2</c:f>
              <c:strCache>
                <c:ptCount val="1"/>
                <c:pt idx="0">
                  <c:v>No longer achieving conception</c:v>
                </c:pt>
              </c:strCache>
            </c:strRef>
          </c:tx>
          <c:spPr>
            <a:ln w="28575" cap="rnd">
              <a:solidFill>
                <a:schemeClr val="accent1"/>
              </a:solidFill>
              <a:round/>
            </a:ln>
            <a:effectLst/>
          </c:spPr>
          <c:marker>
            <c:symbol val="circle"/>
            <c:size val="5"/>
            <c:spPr>
              <a:solidFill>
                <a:schemeClr val="accent1"/>
              </a:solidFill>
              <a:ln w="9525">
                <a:solidFill>
                  <a:schemeClr val="accent3"/>
                </a:solidFill>
              </a:ln>
              <a:effectLst/>
            </c:spPr>
          </c:marker>
          <c:cat>
            <c:numRef>
              <c:f>Sheet1!$C$3:$C$9</c:f>
              <c:numCache>
                <c:formatCode>General</c:formatCode>
                <c:ptCount val="7"/>
                <c:pt idx="0">
                  <c:v>25</c:v>
                </c:pt>
                <c:pt idx="1">
                  <c:v>30</c:v>
                </c:pt>
                <c:pt idx="2">
                  <c:v>35</c:v>
                </c:pt>
                <c:pt idx="3">
                  <c:v>40</c:v>
                </c:pt>
                <c:pt idx="4">
                  <c:v>45</c:v>
                </c:pt>
              </c:numCache>
            </c:numRef>
          </c:cat>
          <c:val>
            <c:numRef>
              <c:f>Sheet1!$E$3:$E$7</c:f>
              <c:numCache>
                <c:formatCode>General</c:formatCode>
                <c:ptCount val="5"/>
                <c:pt idx="0">
                  <c:v>1</c:v>
                </c:pt>
                <c:pt idx="1">
                  <c:v>2</c:v>
                </c:pt>
                <c:pt idx="2">
                  <c:v>5</c:v>
                </c:pt>
                <c:pt idx="3">
                  <c:v>17</c:v>
                </c:pt>
                <c:pt idx="4">
                  <c:v>55</c:v>
                </c:pt>
              </c:numCache>
            </c:numRef>
          </c:val>
          <c:smooth val="0"/>
          <c:extLst>
            <c:ext xmlns:c16="http://schemas.microsoft.com/office/drawing/2014/chart" uri="{C3380CC4-5D6E-409C-BE32-E72D297353CC}">
              <c16:uniqueId val="{00000001-0FB6-4F61-A38D-550D31CD0D19}"/>
            </c:ext>
          </c:extLst>
        </c:ser>
        <c:dLbls>
          <c:showLegendKey val="0"/>
          <c:showVal val="0"/>
          <c:showCatName val="0"/>
          <c:showSerName val="0"/>
          <c:showPercent val="0"/>
          <c:showBubbleSize val="0"/>
        </c:dLbls>
        <c:marker val="1"/>
        <c:smooth val="0"/>
        <c:axId val="515767808"/>
        <c:axId val="515773216"/>
      </c:lineChart>
      <c:catAx>
        <c:axId val="515767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Woman's 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773216"/>
        <c:crosses val="autoZero"/>
        <c:auto val="1"/>
        <c:lblAlgn val="ctr"/>
        <c:lblOffset val="100"/>
        <c:noMultiLvlLbl val="0"/>
      </c:catAx>
      <c:valAx>
        <c:axId val="51577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76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454366557977931E-2"/>
          <c:y val="3.2511038609192883E-2"/>
          <c:w val="0.83106587119400466"/>
          <c:h val="0.76581455136555954"/>
        </c:manualLayout>
      </c:layout>
      <c:barChart>
        <c:barDir val="col"/>
        <c:grouping val="clustered"/>
        <c:varyColors val="0"/>
        <c:ser>
          <c:idx val="0"/>
          <c:order val="0"/>
          <c:tx>
            <c:strRef>
              <c:f>'April - Fertility intentions'!$B$1</c:f>
              <c:strCache>
                <c:ptCount val="1"/>
                <c:pt idx="0">
                  <c:v>Chidless</c:v>
                </c:pt>
              </c:strCache>
            </c:strRef>
          </c:tx>
          <c:spPr>
            <a:solidFill>
              <a:schemeClr val="accent2"/>
            </a:solidFill>
            <a:ln>
              <a:solidFill>
                <a:schemeClr val="accent2">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'April - Fertility intentions'!$A$2:$A$12</c:f>
              <c:strCache>
                <c:ptCount val="11"/>
                <c:pt idx="0">
                  <c:v>0 - Definitely doesn't want children</c:v>
                </c:pt>
                <c:pt idx="1">
                  <c:v>1</c:v>
                </c:pt>
                <c:pt idx="2">
                  <c:v>2</c:v>
                </c:pt>
                <c:pt idx="3">
                  <c:v>3</c:v>
                </c:pt>
                <c:pt idx="4">
                  <c:v>4</c:v>
                </c:pt>
                <c:pt idx="5">
                  <c:v>5</c:v>
                </c:pt>
                <c:pt idx="6">
                  <c:v>6</c:v>
                </c:pt>
                <c:pt idx="7">
                  <c:v>7</c:v>
                </c:pt>
                <c:pt idx="8">
                  <c:v>8</c:v>
                </c:pt>
                <c:pt idx="9">
                  <c:v>9</c:v>
                </c:pt>
                <c:pt idx="10">
                  <c:v>10 - Very much like to have children</c:v>
                </c:pt>
              </c:strCache>
            </c:strRef>
          </c:cat>
          <c:val>
            <c:numRef>
              <c:f>'April - Fertility intentions'!$B$2:$B$12</c:f>
              <c:numCache>
                <c:formatCode>0</c:formatCode>
                <c:ptCount val="11"/>
                <c:pt idx="0">
                  <c:v>14.61</c:v>
                </c:pt>
                <c:pt idx="1">
                  <c:v>3.05</c:v>
                </c:pt>
                <c:pt idx="2">
                  <c:v>12.37</c:v>
                </c:pt>
                <c:pt idx="3">
                  <c:v>4.62</c:v>
                </c:pt>
                <c:pt idx="4">
                  <c:v>2.75</c:v>
                </c:pt>
                <c:pt idx="5">
                  <c:v>12.09</c:v>
                </c:pt>
                <c:pt idx="6">
                  <c:v>4.59</c:v>
                </c:pt>
                <c:pt idx="7">
                  <c:v>6.55</c:v>
                </c:pt>
                <c:pt idx="8">
                  <c:v>9.18</c:v>
                </c:pt>
                <c:pt idx="9">
                  <c:v>5.92</c:v>
                </c:pt>
                <c:pt idx="10">
                  <c:v>24.28</c:v>
                </c:pt>
              </c:numCache>
            </c:numRef>
          </c:val>
          <c:extLst>
            <c:ext xmlns:c16="http://schemas.microsoft.com/office/drawing/2014/chart" uri="{C3380CC4-5D6E-409C-BE32-E72D297353CC}">
              <c16:uniqueId val="{00000000-FC8C-4C28-8EF0-B9FE76C18A24}"/>
            </c:ext>
          </c:extLst>
        </c:ser>
        <c:ser>
          <c:idx val="1"/>
          <c:order val="1"/>
          <c:tx>
            <c:strRef>
              <c:f>'April - Fertility intentions'!$C$1</c:f>
              <c:strCache>
                <c:ptCount val="1"/>
                <c:pt idx="0">
                  <c:v>Parents</c:v>
                </c:pt>
              </c:strCache>
            </c:strRef>
          </c:tx>
          <c:spPr>
            <a:solidFill>
              <a:schemeClr val="accent2">
                <a:lumMod val="20000"/>
                <a:lumOff val="80000"/>
              </a:schemeClr>
            </a:solidFill>
            <a:ln>
              <a:solidFill>
                <a:schemeClr val="accent2">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'April - Fertility intentions'!$A$2:$A$12</c:f>
              <c:strCache>
                <c:ptCount val="11"/>
                <c:pt idx="0">
                  <c:v>0 - Definitely doesn't want children</c:v>
                </c:pt>
                <c:pt idx="1">
                  <c:v>1</c:v>
                </c:pt>
                <c:pt idx="2">
                  <c:v>2</c:v>
                </c:pt>
                <c:pt idx="3">
                  <c:v>3</c:v>
                </c:pt>
                <c:pt idx="4">
                  <c:v>4</c:v>
                </c:pt>
                <c:pt idx="5">
                  <c:v>5</c:v>
                </c:pt>
                <c:pt idx="6">
                  <c:v>6</c:v>
                </c:pt>
                <c:pt idx="7">
                  <c:v>7</c:v>
                </c:pt>
                <c:pt idx="8">
                  <c:v>8</c:v>
                </c:pt>
                <c:pt idx="9">
                  <c:v>9</c:v>
                </c:pt>
                <c:pt idx="10">
                  <c:v>10 - Very much like to have children</c:v>
                </c:pt>
              </c:strCache>
            </c:strRef>
          </c:cat>
          <c:val>
            <c:numRef>
              <c:f>'April - Fertility intentions'!$C$2:$C$12</c:f>
              <c:numCache>
                <c:formatCode>0</c:formatCode>
                <c:ptCount val="11"/>
                <c:pt idx="0">
                  <c:v>48.16</c:v>
                </c:pt>
                <c:pt idx="1">
                  <c:v>10.7</c:v>
                </c:pt>
                <c:pt idx="2">
                  <c:v>4.12</c:v>
                </c:pt>
                <c:pt idx="3">
                  <c:v>5.98</c:v>
                </c:pt>
                <c:pt idx="4">
                  <c:v>2.1</c:v>
                </c:pt>
                <c:pt idx="5">
                  <c:v>5.21</c:v>
                </c:pt>
                <c:pt idx="6">
                  <c:v>0.84</c:v>
                </c:pt>
                <c:pt idx="7">
                  <c:v>4.87</c:v>
                </c:pt>
                <c:pt idx="8">
                  <c:v>3.26</c:v>
                </c:pt>
                <c:pt idx="9">
                  <c:v>1.64</c:v>
                </c:pt>
                <c:pt idx="10">
                  <c:v>13.13</c:v>
                </c:pt>
              </c:numCache>
            </c:numRef>
          </c:val>
          <c:extLst>
            <c:ext xmlns:c16="http://schemas.microsoft.com/office/drawing/2014/chart" uri="{C3380CC4-5D6E-409C-BE32-E72D297353CC}">
              <c16:uniqueId val="{00000001-FC8C-4C28-8EF0-B9FE76C18A24}"/>
            </c:ext>
          </c:extLst>
        </c:ser>
        <c:dLbls>
          <c:dLblPos val="outEnd"/>
          <c:showLegendKey val="0"/>
          <c:showVal val="1"/>
          <c:showCatName val="0"/>
          <c:showSerName val="0"/>
          <c:showPercent val="0"/>
          <c:showBubbleSize val="0"/>
        </c:dLbls>
        <c:gapWidth val="219"/>
        <c:overlap val="-27"/>
        <c:axId val="461744271"/>
        <c:axId val="461845711"/>
      </c:barChart>
      <c:catAx>
        <c:axId val="46174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1845711"/>
        <c:crosses val="autoZero"/>
        <c:auto val="1"/>
        <c:lblAlgn val="ctr"/>
        <c:lblOffset val="100"/>
        <c:noMultiLvlLbl val="0"/>
      </c:catAx>
      <c:valAx>
        <c:axId val="461845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461744271"/>
        <c:crosses val="autoZero"/>
        <c:crossBetween val="between"/>
      </c:valAx>
      <c:spPr>
        <a:noFill/>
        <a:ln>
          <a:solidFill>
            <a:schemeClr val="bg2"/>
          </a:solidFill>
        </a:ln>
        <a:effectLst/>
      </c:spPr>
    </c:plotArea>
    <c:legend>
      <c:legendPos val="b"/>
      <c:layout>
        <c:manualLayout>
          <c:xMode val="edge"/>
          <c:yMode val="edge"/>
          <c:x val="0.35727506426735217"/>
          <c:y val="8.3212552310902577E-2"/>
          <c:w val="0.39856041131105396"/>
          <c:h val="5.295143011955130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mj-lt"/>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34515177128281E-2"/>
          <c:y val="0.10814183588893493"/>
          <c:w val="0.88681821551967022"/>
          <c:h val="0.81225859925404065"/>
        </c:manualLayout>
      </c:layout>
      <c:barChart>
        <c:barDir val="col"/>
        <c:grouping val="clustered"/>
        <c:varyColors val="0"/>
        <c:ser>
          <c:idx val="4"/>
          <c:order val="0"/>
          <c:tx>
            <c:strRef>
              <c:f>'COVID effects'!$A$6</c:f>
              <c:strCache>
                <c:ptCount val="1"/>
                <c:pt idx="0">
                  <c:v>A lot less</c:v>
                </c:pt>
              </c:strCache>
            </c:strRef>
          </c:tx>
          <c:spPr>
            <a:solidFill>
              <a:schemeClr val="accent5"/>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effects'!$B$1:$D$1</c:f>
              <c:strCache>
                <c:ptCount val="3"/>
                <c:pt idx="0">
                  <c:v>Total</c:v>
                </c:pt>
                <c:pt idx="1">
                  <c:v>Has children</c:v>
                </c:pt>
                <c:pt idx="2">
                  <c:v>Doesn't have children</c:v>
                </c:pt>
              </c:strCache>
            </c:strRef>
          </c:cat>
          <c:val>
            <c:numRef>
              <c:f>'COVID effects'!$B$6:$D$6</c:f>
              <c:numCache>
                <c:formatCode>0</c:formatCode>
                <c:ptCount val="3"/>
                <c:pt idx="0">
                  <c:v>19.37</c:v>
                </c:pt>
                <c:pt idx="1">
                  <c:v>28.42</c:v>
                </c:pt>
                <c:pt idx="2">
                  <c:v>12.32</c:v>
                </c:pt>
              </c:numCache>
            </c:numRef>
          </c:val>
          <c:extLst>
            <c:ext xmlns:c16="http://schemas.microsoft.com/office/drawing/2014/chart" uri="{C3380CC4-5D6E-409C-BE32-E72D297353CC}">
              <c16:uniqueId val="{00000000-CC9D-4101-B057-42D3EFEFD39D}"/>
            </c:ext>
          </c:extLst>
        </c:ser>
        <c:ser>
          <c:idx val="3"/>
          <c:order val="1"/>
          <c:tx>
            <c:strRef>
              <c:f>'COVID effects'!$A$5</c:f>
              <c:strCache>
                <c:ptCount val="1"/>
                <c:pt idx="0">
                  <c:v>A little less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effects'!$B$1:$D$1</c:f>
              <c:strCache>
                <c:ptCount val="3"/>
                <c:pt idx="0">
                  <c:v>Total</c:v>
                </c:pt>
                <c:pt idx="1">
                  <c:v>Has children</c:v>
                </c:pt>
                <c:pt idx="2">
                  <c:v>Doesn't have children</c:v>
                </c:pt>
              </c:strCache>
            </c:strRef>
          </c:cat>
          <c:val>
            <c:numRef>
              <c:f>'COVID effects'!$B$5:$D$5</c:f>
              <c:numCache>
                <c:formatCode>0</c:formatCode>
                <c:ptCount val="3"/>
                <c:pt idx="0">
                  <c:v>13.38</c:v>
                </c:pt>
                <c:pt idx="1">
                  <c:v>9.0299999999999994</c:v>
                </c:pt>
                <c:pt idx="2">
                  <c:v>15.15</c:v>
                </c:pt>
              </c:numCache>
            </c:numRef>
          </c:val>
          <c:extLst>
            <c:ext xmlns:c16="http://schemas.microsoft.com/office/drawing/2014/chart" uri="{C3380CC4-5D6E-409C-BE32-E72D297353CC}">
              <c16:uniqueId val="{00000001-CC9D-4101-B057-42D3EFEFD39D}"/>
            </c:ext>
          </c:extLst>
        </c:ser>
        <c:ser>
          <c:idx val="2"/>
          <c:order val="2"/>
          <c:tx>
            <c:strRef>
              <c:f>'COVID effects'!$A$4</c:f>
              <c:strCache>
                <c:ptCount val="1"/>
                <c:pt idx="0">
                  <c:v>About the same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effects'!$B$1:$D$1</c:f>
              <c:strCache>
                <c:ptCount val="3"/>
                <c:pt idx="0">
                  <c:v>Total</c:v>
                </c:pt>
                <c:pt idx="1">
                  <c:v>Has children</c:v>
                </c:pt>
                <c:pt idx="2">
                  <c:v>Doesn't have children</c:v>
                </c:pt>
              </c:strCache>
            </c:strRef>
          </c:cat>
          <c:val>
            <c:numRef>
              <c:f>'COVID effects'!$B$4:$D$4</c:f>
              <c:numCache>
                <c:formatCode>0</c:formatCode>
                <c:ptCount val="3"/>
                <c:pt idx="0">
                  <c:v>57.63</c:v>
                </c:pt>
                <c:pt idx="1">
                  <c:v>53.98</c:v>
                </c:pt>
                <c:pt idx="2">
                  <c:v>62.16</c:v>
                </c:pt>
              </c:numCache>
            </c:numRef>
          </c:val>
          <c:extLst>
            <c:ext xmlns:c16="http://schemas.microsoft.com/office/drawing/2014/chart" uri="{C3380CC4-5D6E-409C-BE32-E72D297353CC}">
              <c16:uniqueId val="{00000002-CC9D-4101-B057-42D3EFEFD39D}"/>
            </c:ext>
          </c:extLst>
        </c:ser>
        <c:ser>
          <c:idx val="1"/>
          <c:order val="3"/>
          <c:tx>
            <c:strRef>
              <c:f>'COVID effects'!$A$3</c:f>
              <c:strCache>
                <c:ptCount val="1"/>
                <c:pt idx="0">
                  <c:v>A little more</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effects'!$B$1:$D$1</c:f>
              <c:strCache>
                <c:ptCount val="3"/>
                <c:pt idx="0">
                  <c:v>Total</c:v>
                </c:pt>
                <c:pt idx="1">
                  <c:v>Has children</c:v>
                </c:pt>
                <c:pt idx="2">
                  <c:v>Doesn't have children</c:v>
                </c:pt>
              </c:strCache>
            </c:strRef>
          </c:cat>
          <c:val>
            <c:numRef>
              <c:f>'COVID effects'!$B$3:$D$3</c:f>
              <c:numCache>
                <c:formatCode>0</c:formatCode>
                <c:ptCount val="3"/>
                <c:pt idx="0">
                  <c:v>6.63</c:v>
                </c:pt>
                <c:pt idx="1">
                  <c:v>5.0599999999999996</c:v>
                </c:pt>
                <c:pt idx="2">
                  <c:v>8.0399999999999991</c:v>
                </c:pt>
              </c:numCache>
            </c:numRef>
          </c:val>
          <c:extLst>
            <c:ext xmlns:c16="http://schemas.microsoft.com/office/drawing/2014/chart" uri="{C3380CC4-5D6E-409C-BE32-E72D297353CC}">
              <c16:uniqueId val="{00000003-CC9D-4101-B057-42D3EFEFD39D}"/>
            </c:ext>
          </c:extLst>
        </c:ser>
        <c:ser>
          <c:idx val="0"/>
          <c:order val="4"/>
          <c:tx>
            <c:strRef>
              <c:f>'COVID effects'!$A$2</c:f>
              <c:strCache>
                <c:ptCount val="1"/>
                <c:pt idx="0">
                  <c:v>A lot more</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effects'!$B$1:$D$1</c:f>
              <c:strCache>
                <c:ptCount val="3"/>
                <c:pt idx="0">
                  <c:v>Total</c:v>
                </c:pt>
                <c:pt idx="1">
                  <c:v>Has children</c:v>
                </c:pt>
                <c:pt idx="2">
                  <c:v>Doesn't have children</c:v>
                </c:pt>
              </c:strCache>
            </c:strRef>
          </c:cat>
          <c:val>
            <c:numRef>
              <c:f>'COVID effects'!$B$2:$D$2</c:f>
              <c:numCache>
                <c:formatCode>0</c:formatCode>
                <c:ptCount val="3"/>
                <c:pt idx="0">
                  <c:v>2.97</c:v>
                </c:pt>
                <c:pt idx="1">
                  <c:v>3.5</c:v>
                </c:pt>
                <c:pt idx="2">
                  <c:v>2.3199999999999998</c:v>
                </c:pt>
              </c:numCache>
            </c:numRef>
          </c:val>
          <c:extLst>
            <c:ext xmlns:c16="http://schemas.microsoft.com/office/drawing/2014/chart" uri="{C3380CC4-5D6E-409C-BE32-E72D297353CC}">
              <c16:uniqueId val="{00000004-CC9D-4101-B057-42D3EFEFD39D}"/>
            </c:ext>
          </c:extLst>
        </c:ser>
        <c:dLbls>
          <c:dLblPos val="ctr"/>
          <c:showLegendKey val="0"/>
          <c:showVal val="1"/>
          <c:showCatName val="0"/>
          <c:showSerName val="0"/>
          <c:showPercent val="0"/>
          <c:showBubbleSize val="0"/>
        </c:dLbls>
        <c:gapWidth val="150"/>
        <c:axId val="493756703"/>
        <c:axId val="483029567"/>
      </c:barChart>
      <c:catAx>
        <c:axId val="49375670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crossAx val="483029567"/>
        <c:crosses val="autoZero"/>
        <c:auto val="1"/>
        <c:lblAlgn val="ctr"/>
        <c:lblOffset val="100"/>
        <c:noMultiLvlLbl val="0"/>
      </c:catAx>
      <c:valAx>
        <c:axId val="483029567"/>
        <c:scaling>
          <c:orientation val="minMax"/>
          <c:max val="80"/>
        </c:scaling>
        <c:delete val="0"/>
        <c:axPos val="r"/>
        <c:majorGridlines>
          <c:spPr>
            <a:ln w="9525" cap="flat" cmpd="sng" algn="ctr">
              <a:solidFill>
                <a:schemeClr val="bg1">
                  <a:lumMod val="9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93756703"/>
        <c:crosses val="autoZero"/>
        <c:crossBetween val="between"/>
      </c:valAx>
      <c:spPr>
        <a:noFill/>
        <a:ln>
          <a:solidFill>
            <a:schemeClr val="bg1">
              <a:lumMod val="95000"/>
            </a:schemeClr>
          </a:solidFill>
        </a:ln>
        <a:effectLst/>
      </c:spPr>
    </c:plotArea>
    <c:legend>
      <c:legendPos val="t"/>
      <c:layout>
        <c:manualLayout>
          <c:xMode val="edge"/>
          <c:yMode val="edge"/>
          <c:x val="0.12625818391326363"/>
          <c:y val="3.0983733539891558E-2"/>
          <c:w val="0.77124325645547076"/>
          <c:h val="7.003452124642436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solidFill>
                <a:schemeClr val="accent2"/>
              </a:solidFill>
            </a:ln>
            <a:effectLst/>
          </c:spPr>
          <c:invertIfNegative val="0"/>
          <c:dPt>
            <c:idx val="3"/>
            <c:invertIfNegative val="0"/>
            <c:bubble3D val="0"/>
            <c:spPr>
              <a:solidFill>
                <a:schemeClr val="accent2">
                  <a:lumMod val="60000"/>
                  <a:lumOff val="40000"/>
                </a:schemeClr>
              </a:solidFill>
              <a:ln>
                <a:solidFill>
                  <a:schemeClr val="accent2"/>
                </a:solidFill>
              </a:ln>
              <a:effectLst/>
            </c:spPr>
            <c:extLst>
              <c:ext xmlns:c16="http://schemas.microsoft.com/office/drawing/2014/chart" uri="{C3380CC4-5D6E-409C-BE32-E72D297353CC}">
                <c16:uniqueId val="{00000001-16AB-4299-A3B3-55E41D10A509}"/>
              </c:ext>
            </c:extLst>
          </c:dPt>
          <c:dPt>
            <c:idx val="4"/>
            <c:invertIfNegative val="0"/>
            <c:bubble3D val="0"/>
            <c:spPr>
              <a:solidFill>
                <a:schemeClr val="accent2">
                  <a:lumMod val="60000"/>
                  <a:lumOff val="40000"/>
                </a:schemeClr>
              </a:solidFill>
              <a:ln>
                <a:solidFill>
                  <a:schemeClr val="accent2"/>
                </a:solidFill>
              </a:ln>
              <a:effectLst/>
            </c:spPr>
            <c:extLst>
              <c:ext xmlns:c16="http://schemas.microsoft.com/office/drawing/2014/chart" uri="{C3380CC4-5D6E-409C-BE32-E72D297353CC}">
                <c16:uniqueId val="{00000003-16AB-4299-A3B3-55E41D10A509}"/>
              </c:ext>
            </c:extLst>
          </c:dPt>
          <c:dPt>
            <c:idx val="5"/>
            <c:invertIfNegative val="0"/>
            <c:bubble3D val="0"/>
            <c:spPr>
              <a:solidFill>
                <a:schemeClr val="accent2">
                  <a:lumMod val="60000"/>
                  <a:lumOff val="40000"/>
                </a:schemeClr>
              </a:solidFill>
              <a:ln>
                <a:solidFill>
                  <a:schemeClr val="accent2"/>
                </a:solidFill>
              </a:ln>
              <a:effectLst/>
            </c:spPr>
            <c:extLst>
              <c:ext xmlns:c16="http://schemas.microsoft.com/office/drawing/2014/chart" uri="{C3380CC4-5D6E-409C-BE32-E72D297353CC}">
                <c16:uniqueId val="{00000005-16AB-4299-A3B3-55E41D10A509}"/>
              </c:ext>
            </c:extLst>
          </c:dPt>
          <c:dPt>
            <c:idx val="6"/>
            <c:invertIfNegative val="0"/>
            <c:bubble3D val="0"/>
            <c:spPr>
              <a:solidFill>
                <a:schemeClr val="accent2">
                  <a:lumMod val="20000"/>
                  <a:lumOff val="80000"/>
                </a:schemeClr>
              </a:solidFill>
              <a:ln>
                <a:solidFill>
                  <a:schemeClr val="accent2"/>
                </a:solidFill>
              </a:ln>
              <a:effectLst/>
            </c:spPr>
            <c:extLst>
              <c:ext xmlns:c16="http://schemas.microsoft.com/office/drawing/2014/chart" uri="{C3380CC4-5D6E-409C-BE32-E72D297353CC}">
                <c16:uniqueId val="{00000007-16AB-4299-A3B3-55E41D10A509}"/>
              </c:ext>
            </c:extLst>
          </c:dPt>
          <c:dPt>
            <c:idx val="7"/>
            <c:invertIfNegative val="0"/>
            <c:bubble3D val="0"/>
            <c:spPr>
              <a:solidFill>
                <a:schemeClr val="accent2">
                  <a:lumMod val="20000"/>
                  <a:lumOff val="80000"/>
                </a:schemeClr>
              </a:solidFill>
              <a:ln>
                <a:solidFill>
                  <a:schemeClr val="accent2"/>
                </a:solidFill>
              </a:ln>
              <a:effectLst/>
            </c:spPr>
            <c:extLst>
              <c:ext xmlns:c16="http://schemas.microsoft.com/office/drawing/2014/chart" uri="{C3380CC4-5D6E-409C-BE32-E72D297353CC}">
                <c16:uniqueId val="{00000009-16AB-4299-A3B3-55E41D10A509}"/>
              </c:ext>
            </c:extLst>
          </c:dPt>
          <c:dPt>
            <c:idx val="8"/>
            <c:invertIfNegative val="0"/>
            <c:bubble3D val="0"/>
            <c:spPr>
              <a:solidFill>
                <a:schemeClr val="accent2">
                  <a:lumMod val="20000"/>
                  <a:lumOff val="80000"/>
                </a:schemeClr>
              </a:solidFill>
              <a:ln>
                <a:solidFill>
                  <a:schemeClr val="accent2"/>
                </a:solidFill>
              </a:ln>
              <a:effectLst/>
            </c:spPr>
            <c:extLst>
              <c:ext xmlns:c16="http://schemas.microsoft.com/office/drawing/2014/chart" uri="{C3380CC4-5D6E-409C-BE32-E72D297353CC}">
                <c16:uniqueId val="{0000000B-16AB-4299-A3B3-55E41D10A509}"/>
              </c:ext>
            </c:extLst>
          </c:dPt>
          <c:errBars>
            <c:errBarType val="both"/>
            <c:errValType val="cust"/>
            <c:noEndCap val="0"/>
            <c:plus>
              <c:numRef>
                <c:f>Sheet1!$R$1:$R$9</c:f>
                <c:numCache>
                  <c:formatCode>General</c:formatCode>
                  <c:ptCount val="9"/>
                  <c:pt idx="0">
                    <c:v>2.5020700000000007E-2</c:v>
                  </c:pt>
                  <c:pt idx="1">
                    <c:v>4.7553400000000079E-2</c:v>
                  </c:pt>
                  <c:pt idx="2">
                    <c:v>4.6399599999999985E-2</c:v>
                  </c:pt>
                  <c:pt idx="3">
                    <c:v>4.0034899999999998E-2</c:v>
                  </c:pt>
                  <c:pt idx="4">
                    <c:v>6.2970400000000093E-2</c:v>
                  </c:pt>
                  <c:pt idx="5">
                    <c:v>5.6077999999999989E-2</c:v>
                  </c:pt>
                  <c:pt idx="6">
                    <c:v>8.3792800000000001E-2</c:v>
                  </c:pt>
                  <c:pt idx="7">
                    <c:v>9.5739999999999936E-2</c:v>
                  </c:pt>
                  <c:pt idx="8">
                    <c:v>7.9436099999999954E-2</c:v>
                  </c:pt>
                </c:numCache>
              </c:numRef>
            </c:plus>
            <c:minus>
              <c:numRef>
                <c:f>Sheet1!$R$1:$R$9</c:f>
                <c:numCache>
                  <c:formatCode>General</c:formatCode>
                  <c:ptCount val="9"/>
                  <c:pt idx="0">
                    <c:v>2.5020700000000007E-2</c:v>
                  </c:pt>
                  <c:pt idx="1">
                    <c:v>4.7553400000000079E-2</c:v>
                  </c:pt>
                  <c:pt idx="2">
                    <c:v>4.6399599999999985E-2</c:v>
                  </c:pt>
                  <c:pt idx="3">
                    <c:v>4.0034899999999998E-2</c:v>
                  </c:pt>
                  <c:pt idx="4">
                    <c:v>6.2970400000000093E-2</c:v>
                  </c:pt>
                  <c:pt idx="5">
                    <c:v>5.6077999999999989E-2</c:v>
                  </c:pt>
                  <c:pt idx="6">
                    <c:v>8.3792800000000001E-2</c:v>
                  </c:pt>
                  <c:pt idx="7">
                    <c:v>9.5739999999999936E-2</c:v>
                  </c:pt>
                  <c:pt idx="8">
                    <c:v>7.9436099999999954E-2</c:v>
                  </c:pt>
                </c:numCache>
              </c:numRef>
            </c:minus>
            <c:spPr>
              <a:noFill/>
              <a:ln w="9525" cap="flat" cmpd="sng" algn="ctr">
                <a:solidFill>
                  <a:schemeClr val="tx1">
                    <a:lumMod val="65000"/>
                    <a:lumOff val="35000"/>
                  </a:schemeClr>
                </a:solidFill>
                <a:round/>
              </a:ln>
              <a:effectLst/>
            </c:spPr>
          </c:errBars>
          <c:cat>
            <c:multiLvlStrRef>
              <c:f>Sheet1!$J$1:$K$9</c:f>
              <c:multiLvlStrCache>
                <c:ptCount val="9"/>
                <c:lvl>
                  <c:pt idx="0">
                    <c:v>More likely</c:v>
                  </c:pt>
                  <c:pt idx="1">
                    <c:v>No change</c:v>
                  </c:pt>
                  <c:pt idx="2">
                    <c:v>Less likely</c:v>
                  </c:pt>
                  <c:pt idx="3">
                    <c:v>More likely</c:v>
                  </c:pt>
                  <c:pt idx="4">
                    <c:v>No change</c:v>
                  </c:pt>
                  <c:pt idx="5">
                    <c:v>Less likely</c:v>
                  </c:pt>
                  <c:pt idx="6">
                    <c:v>More likely</c:v>
                  </c:pt>
                  <c:pt idx="7">
                    <c:v>No change</c:v>
                  </c:pt>
                  <c:pt idx="8">
                    <c:v>Less likely</c:v>
                  </c:pt>
                </c:lvl>
                <c:lvl>
                  <c:pt idx="0">
                    <c:v>Future: Negative</c:v>
                  </c:pt>
                  <c:pt idx="3">
                    <c:v>Future: No change</c:v>
                  </c:pt>
                  <c:pt idx="6">
                    <c:v>Future: positive</c:v>
                  </c:pt>
                </c:lvl>
              </c:multiLvlStrCache>
            </c:multiLvlStrRef>
          </c:cat>
          <c:val>
            <c:numRef>
              <c:f>Sheet1!$L$1:$L$9</c:f>
              <c:numCache>
                <c:formatCode>General</c:formatCode>
                <c:ptCount val="9"/>
                <c:pt idx="0">
                  <c:v>6.7515699999999998E-2</c:v>
                </c:pt>
                <c:pt idx="1">
                  <c:v>0.52781639999999996</c:v>
                </c:pt>
                <c:pt idx="2">
                  <c:v>0.40466790000000002</c:v>
                </c:pt>
                <c:pt idx="3">
                  <c:v>8.4536799999999995E-2</c:v>
                </c:pt>
                <c:pt idx="4">
                  <c:v>0.71789919999999996</c:v>
                </c:pt>
                <c:pt idx="5">
                  <c:v>0.19756399999999999</c:v>
                </c:pt>
                <c:pt idx="6">
                  <c:v>0.21280850000000001</c:v>
                </c:pt>
                <c:pt idx="7">
                  <c:v>0.53082010000000002</c:v>
                </c:pt>
                <c:pt idx="8">
                  <c:v>0.25637140000000003</c:v>
                </c:pt>
              </c:numCache>
            </c:numRef>
          </c:val>
          <c:extLst>
            <c:ext xmlns:c16="http://schemas.microsoft.com/office/drawing/2014/chart" uri="{C3380CC4-5D6E-409C-BE32-E72D297353CC}">
              <c16:uniqueId val="{0000000C-16AB-4299-A3B3-55E41D10A509}"/>
            </c:ext>
          </c:extLst>
        </c:ser>
        <c:dLbls>
          <c:showLegendKey val="0"/>
          <c:showVal val="0"/>
          <c:showCatName val="0"/>
          <c:showSerName val="0"/>
          <c:showPercent val="0"/>
          <c:showBubbleSize val="0"/>
        </c:dLbls>
        <c:gapWidth val="219"/>
        <c:overlap val="-27"/>
        <c:axId val="1802852927"/>
        <c:axId val="1802854175"/>
      </c:barChart>
      <c:catAx>
        <c:axId val="180285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854175"/>
        <c:crosses val="autoZero"/>
        <c:auto val="1"/>
        <c:lblAlgn val="ctr"/>
        <c:lblOffset val="100"/>
        <c:noMultiLvlLbl val="0"/>
      </c:catAx>
      <c:valAx>
        <c:axId val="1802854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8529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'F3'!$A$29</c:f>
              <c:strCache>
                <c:ptCount val="1"/>
                <c:pt idx="0">
                  <c:v>15-19</c:v>
                </c:pt>
              </c:strCache>
            </c:strRef>
          </c:tx>
          <c:spPr>
            <a:ln w="28575" cap="rnd">
              <a:solidFill>
                <a:schemeClr val="accent1"/>
              </a:solidFill>
              <a:round/>
            </a:ln>
            <a:effectLst/>
          </c:spPr>
          <c:marker>
            <c:symbol val="none"/>
          </c:marker>
          <c:dPt>
            <c:idx val="30"/>
            <c:marker>
              <c:symbol val="none"/>
            </c:marker>
            <c:bubble3D val="0"/>
            <c:spPr>
              <a:ln w="28575" cap="rnd">
                <a:solidFill>
                  <a:schemeClr val="accent1"/>
                </a:solidFill>
                <a:round/>
              </a:ln>
              <a:effectLst/>
            </c:spPr>
            <c:extLst>
              <c:ext xmlns:c16="http://schemas.microsoft.com/office/drawing/2014/chart" uri="{C3380CC4-5D6E-409C-BE32-E72D297353CC}">
                <c16:uniqueId val="{00000001-FEDF-4062-A9A7-2F4FD0A61FA3}"/>
              </c:ext>
            </c:extLst>
          </c:dPt>
          <c:cat>
            <c:numRef>
              <c:f>'F3'!$B$28:$BJ$28</c:f>
              <c:numCache>
                <c:formatCode>General</c:formatCode>
                <c:ptCount val="61"/>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60">
                  <c:v>2020</c:v>
                </c:pt>
              </c:numCache>
            </c:numRef>
          </c:cat>
          <c:val>
            <c:numRef>
              <c:f>'F3'!$B$29:$BJ$29</c:f>
              <c:numCache>
                <c:formatCode>0.0</c:formatCode>
                <c:ptCount val="61"/>
                <c:pt idx="0">
                  <c:v>46.974000000000004</c:v>
                </c:pt>
                <c:pt idx="1">
                  <c:v>49.844000000000001</c:v>
                </c:pt>
                <c:pt idx="2">
                  <c:v>48.74199999999999</c:v>
                </c:pt>
                <c:pt idx="3">
                  <c:v>48.692</c:v>
                </c:pt>
                <c:pt idx="4">
                  <c:v>48.949999999999996</c:v>
                </c:pt>
                <c:pt idx="5">
                  <c:v>48.383999999999993</c:v>
                </c:pt>
                <c:pt idx="6">
                  <c:v>48.148000000000003</c:v>
                </c:pt>
                <c:pt idx="7">
                  <c:v>48.607999999999997</c:v>
                </c:pt>
                <c:pt idx="8">
                  <c:v>49.384</c:v>
                </c:pt>
                <c:pt idx="9">
                  <c:v>49.153999999999996</c:v>
                </c:pt>
                <c:pt idx="10">
                  <c:v>50.956000000000003</c:v>
                </c:pt>
                <c:pt idx="11">
                  <c:v>55.018000000000001</c:v>
                </c:pt>
                <c:pt idx="12">
                  <c:v>53.436</c:v>
                </c:pt>
                <c:pt idx="13">
                  <c:v>48.18</c:v>
                </c:pt>
                <c:pt idx="14">
                  <c:v>44.64</c:v>
                </c:pt>
                <c:pt idx="15">
                  <c:v>40.546000000000006</c:v>
                </c:pt>
                <c:pt idx="16">
                  <c:v>35.626000000000005</c:v>
                </c:pt>
                <c:pt idx="17">
                  <c:v>32.311999999999998</c:v>
                </c:pt>
                <c:pt idx="18">
                  <c:v>29.854000000000003</c:v>
                </c:pt>
                <c:pt idx="19">
                  <c:v>28.173999999999996</c:v>
                </c:pt>
                <c:pt idx="20">
                  <c:v>27.004000000000001</c:v>
                </c:pt>
                <c:pt idx="21">
                  <c:v>27.32</c:v>
                </c:pt>
                <c:pt idx="22">
                  <c:v>26.714000000000006</c:v>
                </c:pt>
                <c:pt idx="23">
                  <c:v>26.057999999999996</c:v>
                </c:pt>
                <c:pt idx="24">
                  <c:v>23.57</c:v>
                </c:pt>
                <c:pt idx="25">
                  <c:v>22.541999999999998</c:v>
                </c:pt>
                <c:pt idx="26">
                  <c:v>22.26</c:v>
                </c:pt>
                <c:pt idx="27">
                  <c:v>20.990000000000002</c:v>
                </c:pt>
                <c:pt idx="28">
                  <c:v>20.198</c:v>
                </c:pt>
                <c:pt idx="29">
                  <c:v>20.041999999999998</c:v>
                </c:pt>
                <c:pt idx="30">
                  <c:v>21.017999999999997</c:v>
                </c:pt>
                <c:pt idx="31">
                  <c:v>21.181999999999999</c:v>
                </c:pt>
                <c:pt idx="32">
                  <c:v>21.133999999999997</c:v>
                </c:pt>
                <c:pt idx="33">
                  <c:v>20.260000000000002</c:v>
                </c:pt>
                <c:pt idx="34">
                  <c:v>20.144000000000002</c:v>
                </c:pt>
                <c:pt idx="35">
                  <c:v>20.09</c:v>
                </c:pt>
                <c:pt idx="36">
                  <c:v>19.862000000000002</c:v>
                </c:pt>
                <c:pt idx="37">
                  <c:v>19.358000000000001</c:v>
                </c:pt>
                <c:pt idx="38">
                  <c:v>18.636470525803347</c:v>
                </c:pt>
                <c:pt idx="39">
                  <c:v>18.394226805416753</c:v>
                </c:pt>
                <c:pt idx="40">
                  <c:v>17.376091922340674</c:v>
                </c:pt>
                <c:pt idx="41">
                  <c:v>17.838195493455594</c:v>
                </c:pt>
                <c:pt idx="42">
                  <c:v>17.322741564232828</c:v>
                </c:pt>
                <c:pt idx="43">
                  <c:v>16.111144735867796</c:v>
                </c:pt>
                <c:pt idx="44">
                  <c:v>16.038807366355666</c:v>
                </c:pt>
                <c:pt idx="45">
                  <c:v>16.471012376234835</c:v>
                </c:pt>
                <c:pt idx="46">
                  <c:v>16.2519500344027</c:v>
                </c:pt>
                <c:pt idx="47">
                  <c:v>17.094528769063469</c:v>
                </c:pt>
                <c:pt idx="48">
                  <c:v>18.14789915617655</c:v>
                </c:pt>
                <c:pt idx="49">
                  <c:v>17.506079203631607</c:v>
                </c:pt>
                <c:pt idx="50">
                  <c:v>16.393762841095903</c:v>
                </c:pt>
                <c:pt idx="51">
                  <c:v>15.82279601703187</c:v>
                </c:pt>
                <c:pt idx="52">
                  <c:v>15.826339715070754</c:v>
                </c:pt>
                <c:pt idx="53">
                  <c:v>15.668839044011065</c:v>
                </c:pt>
                <c:pt idx="54">
                  <c:v>12.514053796250646</c:v>
                </c:pt>
                <c:pt idx="55">
                  <c:v>11.682037294912282</c:v>
                </c:pt>
                <c:pt idx="56">
                  <c:v>10.266898001442989</c:v>
                </c:pt>
                <c:pt idx="57">
                  <c:v>9.983166946868252</c:v>
                </c:pt>
                <c:pt idx="58">
                  <c:v>9.5</c:v>
                </c:pt>
                <c:pt idx="59" formatCode="General">
                  <c:v>8.6999999999999993</c:v>
                </c:pt>
                <c:pt idx="60" formatCode="General">
                  <c:v>7.8</c:v>
                </c:pt>
              </c:numCache>
            </c:numRef>
          </c:val>
          <c:smooth val="0"/>
          <c:extLst>
            <c:ext xmlns:c16="http://schemas.microsoft.com/office/drawing/2014/chart" uri="{C3380CC4-5D6E-409C-BE32-E72D297353CC}">
              <c16:uniqueId val="{00000002-FEDF-4062-A9A7-2F4FD0A61FA3}"/>
            </c:ext>
          </c:extLst>
        </c:ser>
        <c:ser>
          <c:idx val="1"/>
          <c:order val="1"/>
          <c:tx>
            <c:strRef>
              <c:f>'F3'!$A$30</c:f>
              <c:strCache>
                <c:ptCount val="1"/>
                <c:pt idx="0">
                  <c:v>20-24</c:v>
                </c:pt>
              </c:strCache>
            </c:strRef>
          </c:tx>
          <c:spPr>
            <a:ln w="28575" cap="rnd">
              <a:solidFill>
                <a:srgbClr val="FFC000"/>
              </a:solidFill>
              <a:prstDash val="solid"/>
              <a:round/>
            </a:ln>
            <a:effectLst/>
          </c:spPr>
          <c:marker>
            <c:symbol val="none"/>
          </c:marker>
          <c:cat>
            <c:numRef>
              <c:f>'F3'!$B$28:$BJ$28</c:f>
              <c:numCache>
                <c:formatCode>General</c:formatCode>
                <c:ptCount val="61"/>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60">
                  <c:v>2020</c:v>
                </c:pt>
              </c:numCache>
            </c:numRef>
          </c:cat>
          <c:val>
            <c:numRef>
              <c:f>'F3'!$B$30:$BJ$30</c:f>
              <c:numCache>
                <c:formatCode>0.0</c:formatCode>
                <c:ptCount val="61"/>
                <c:pt idx="0">
                  <c:v>220.58600000000004</c:v>
                </c:pt>
                <c:pt idx="1">
                  <c:v>226.38200000000003</c:v>
                </c:pt>
                <c:pt idx="2">
                  <c:v>217.26600000000002</c:v>
                </c:pt>
                <c:pt idx="3">
                  <c:v>209.19400000000002</c:v>
                </c:pt>
                <c:pt idx="4">
                  <c:v>192.82399999999996</c:v>
                </c:pt>
                <c:pt idx="5">
                  <c:v>181.88</c:v>
                </c:pt>
                <c:pt idx="6">
                  <c:v>175.02</c:v>
                </c:pt>
                <c:pt idx="7">
                  <c:v>174.334</c:v>
                </c:pt>
                <c:pt idx="8">
                  <c:v>176.13400000000001</c:v>
                </c:pt>
                <c:pt idx="9">
                  <c:v>175.83799999999999</c:v>
                </c:pt>
                <c:pt idx="10">
                  <c:v>172.786</c:v>
                </c:pt>
                <c:pt idx="11">
                  <c:v>175.57799999999997</c:v>
                </c:pt>
                <c:pt idx="12">
                  <c:v>163.77000000000001</c:v>
                </c:pt>
                <c:pt idx="13">
                  <c:v>151.11199999999999</c:v>
                </c:pt>
                <c:pt idx="14">
                  <c:v>145.59200000000001</c:v>
                </c:pt>
                <c:pt idx="15">
                  <c:v>134.02399999999997</c:v>
                </c:pt>
                <c:pt idx="16">
                  <c:v>128.29399999999998</c:v>
                </c:pt>
                <c:pt idx="17">
                  <c:v>122.12799999999999</c:v>
                </c:pt>
                <c:pt idx="18">
                  <c:v>116.20599999999999</c:v>
                </c:pt>
                <c:pt idx="19">
                  <c:v>109.708</c:v>
                </c:pt>
                <c:pt idx="20">
                  <c:v>107.59</c:v>
                </c:pt>
                <c:pt idx="21">
                  <c:v>108.062</c:v>
                </c:pt>
                <c:pt idx="22">
                  <c:v>104.398</c:v>
                </c:pt>
                <c:pt idx="23">
                  <c:v>102.902</c:v>
                </c:pt>
                <c:pt idx="24">
                  <c:v>95.718000000000004</c:v>
                </c:pt>
                <c:pt idx="25">
                  <c:v>93.481999999999999</c:v>
                </c:pt>
                <c:pt idx="26">
                  <c:v>89.294000000000011</c:v>
                </c:pt>
                <c:pt idx="27">
                  <c:v>84.36399999999999</c:v>
                </c:pt>
                <c:pt idx="28">
                  <c:v>81.057999999999993</c:v>
                </c:pt>
                <c:pt idx="29">
                  <c:v>78.278000000000006</c:v>
                </c:pt>
                <c:pt idx="30">
                  <c:v>79.402000000000001</c:v>
                </c:pt>
                <c:pt idx="31">
                  <c:v>75.736000000000004</c:v>
                </c:pt>
                <c:pt idx="32">
                  <c:v>75.572000000000003</c:v>
                </c:pt>
                <c:pt idx="33">
                  <c:v>71.429999999999993</c:v>
                </c:pt>
                <c:pt idx="34">
                  <c:v>69.335999999999999</c:v>
                </c:pt>
                <c:pt idx="35">
                  <c:v>66.415999999999997</c:v>
                </c:pt>
                <c:pt idx="36">
                  <c:v>64.534000000000006</c:v>
                </c:pt>
                <c:pt idx="37">
                  <c:v>61.746000000000002</c:v>
                </c:pt>
                <c:pt idx="38">
                  <c:v>59.882332176844535</c:v>
                </c:pt>
                <c:pt idx="39">
                  <c:v>58.860065597958993</c:v>
                </c:pt>
                <c:pt idx="40">
                  <c:v>56.36985368014075</c:v>
                </c:pt>
                <c:pt idx="41">
                  <c:v>58.622301626288142</c:v>
                </c:pt>
                <c:pt idx="42">
                  <c:v>57.034299846285386</c:v>
                </c:pt>
                <c:pt idx="43">
                  <c:v>54.942503604531403</c:v>
                </c:pt>
                <c:pt idx="44">
                  <c:v>53.511073221819437</c:v>
                </c:pt>
                <c:pt idx="45">
                  <c:v>54.416121974753359</c:v>
                </c:pt>
                <c:pt idx="46">
                  <c:v>53.984450677673919</c:v>
                </c:pt>
                <c:pt idx="47">
                  <c:v>58.55464763212278</c:v>
                </c:pt>
                <c:pt idx="48">
                  <c:v>59.164899084452955</c:v>
                </c:pt>
                <c:pt idx="49">
                  <c:v>56.497823818254822</c:v>
                </c:pt>
                <c:pt idx="50">
                  <c:v>55.171608937129193</c:v>
                </c:pt>
                <c:pt idx="51">
                  <c:v>52.872797178915924</c:v>
                </c:pt>
                <c:pt idx="52">
                  <c:v>52.856702244631165</c:v>
                </c:pt>
                <c:pt idx="53">
                  <c:v>52.203859691996612</c:v>
                </c:pt>
                <c:pt idx="54">
                  <c:v>46.998455690112557</c:v>
                </c:pt>
                <c:pt idx="55">
                  <c:v>46.889793773841959</c:v>
                </c:pt>
                <c:pt idx="56">
                  <c:v>44.307221758480118</c:v>
                </c:pt>
                <c:pt idx="57">
                  <c:v>42.54541448670259</c:v>
                </c:pt>
                <c:pt idx="58">
                  <c:v>42.6</c:v>
                </c:pt>
                <c:pt idx="59" formatCode="General">
                  <c:v>39.700000000000003</c:v>
                </c:pt>
                <c:pt idx="60" formatCode="General">
                  <c:v>37.5</c:v>
                </c:pt>
              </c:numCache>
            </c:numRef>
          </c:val>
          <c:smooth val="0"/>
          <c:extLst>
            <c:ext xmlns:c16="http://schemas.microsoft.com/office/drawing/2014/chart" uri="{C3380CC4-5D6E-409C-BE32-E72D297353CC}">
              <c16:uniqueId val="{00000003-FEDF-4062-A9A7-2F4FD0A61FA3}"/>
            </c:ext>
          </c:extLst>
        </c:ser>
        <c:ser>
          <c:idx val="2"/>
          <c:order val="2"/>
          <c:tx>
            <c:strRef>
              <c:f>'F3'!$A$31</c:f>
              <c:strCache>
                <c:ptCount val="1"/>
                <c:pt idx="0">
                  <c:v>25-29</c:v>
                </c:pt>
              </c:strCache>
            </c:strRef>
          </c:tx>
          <c:spPr>
            <a:ln w="28575" cap="rnd">
              <a:solidFill>
                <a:srgbClr val="FF0000"/>
              </a:solidFill>
              <a:prstDash val="solid"/>
              <a:round/>
            </a:ln>
            <a:effectLst/>
          </c:spPr>
          <c:marker>
            <c:symbol val="none"/>
          </c:marker>
          <c:cat>
            <c:numRef>
              <c:f>'F3'!$B$28:$BJ$28</c:f>
              <c:numCache>
                <c:formatCode>General</c:formatCode>
                <c:ptCount val="61"/>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60">
                  <c:v>2020</c:v>
                </c:pt>
              </c:numCache>
            </c:numRef>
          </c:cat>
          <c:val>
            <c:numRef>
              <c:f>'F3'!$B$31:$BJ$31</c:f>
              <c:numCache>
                <c:formatCode>0.0</c:formatCode>
                <c:ptCount val="61"/>
                <c:pt idx="0">
                  <c:v>217.24599999999998</c:v>
                </c:pt>
                <c:pt idx="1">
                  <c:v>221.07599999999999</c:v>
                </c:pt>
                <c:pt idx="2">
                  <c:v>216.16399999999996</c:v>
                </c:pt>
                <c:pt idx="3">
                  <c:v>210.52799999999996</c:v>
                </c:pt>
                <c:pt idx="4">
                  <c:v>197.494</c:v>
                </c:pt>
                <c:pt idx="5">
                  <c:v>188.102</c:v>
                </c:pt>
                <c:pt idx="6">
                  <c:v>183.59200000000001</c:v>
                </c:pt>
                <c:pt idx="7">
                  <c:v>184.46199999999999</c:v>
                </c:pt>
                <c:pt idx="8">
                  <c:v>190.34</c:v>
                </c:pt>
                <c:pt idx="9">
                  <c:v>190.57</c:v>
                </c:pt>
                <c:pt idx="10">
                  <c:v>188.34599999999998</c:v>
                </c:pt>
                <c:pt idx="11">
                  <c:v>186.90599999999995</c:v>
                </c:pt>
                <c:pt idx="12">
                  <c:v>174.36999999999998</c:v>
                </c:pt>
                <c:pt idx="13">
                  <c:v>160.09400000000002</c:v>
                </c:pt>
                <c:pt idx="14">
                  <c:v>158.28199999999998</c:v>
                </c:pt>
                <c:pt idx="15">
                  <c:v>149.23400000000004</c:v>
                </c:pt>
                <c:pt idx="16">
                  <c:v>146.58799999999999</c:v>
                </c:pt>
                <c:pt idx="17">
                  <c:v>145.68600000000001</c:v>
                </c:pt>
                <c:pt idx="18">
                  <c:v>143.85600000000002</c:v>
                </c:pt>
                <c:pt idx="19">
                  <c:v>142.40199999999999</c:v>
                </c:pt>
                <c:pt idx="20">
                  <c:v>141.018</c:v>
                </c:pt>
                <c:pt idx="21">
                  <c:v>145.13799999999998</c:v>
                </c:pt>
                <c:pt idx="22">
                  <c:v>144.96799999999999</c:v>
                </c:pt>
                <c:pt idx="23">
                  <c:v>146.00800000000001</c:v>
                </c:pt>
                <c:pt idx="24">
                  <c:v>143.33199999999999</c:v>
                </c:pt>
                <c:pt idx="25">
                  <c:v>144.15200000000002</c:v>
                </c:pt>
                <c:pt idx="26">
                  <c:v>141.84</c:v>
                </c:pt>
                <c:pt idx="27">
                  <c:v>139.59399999999999</c:v>
                </c:pt>
                <c:pt idx="28">
                  <c:v>136.81399999999999</c:v>
                </c:pt>
                <c:pt idx="29">
                  <c:v>135.24600000000001</c:v>
                </c:pt>
                <c:pt idx="30">
                  <c:v>137.648</c:v>
                </c:pt>
                <c:pt idx="31">
                  <c:v>131.68600000000001</c:v>
                </c:pt>
                <c:pt idx="32">
                  <c:v>131.98000000000002</c:v>
                </c:pt>
                <c:pt idx="33">
                  <c:v>129.54</c:v>
                </c:pt>
                <c:pt idx="34">
                  <c:v>125.72</c:v>
                </c:pt>
                <c:pt idx="35">
                  <c:v>121.78999999999999</c:v>
                </c:pt>
                <c:pt idx="36">
                  <c:v>117.47</c:v>
                </c:pt>
                <c:pt idx="37">
                  <c:v>114.092</c:v>
                </c:pt>
                <c:pt idx="38">
                  <c:v>111.52661460023441</c:v>
                </c:pt>
                <c:pt idx="39">
                  <c:v>108.33252914910832</c:v>
                </c:pt>
                <c:pt idx="40">
                  <c:v>106.46140156840231</c:v>
                </c:pt>
                <c:pt idx="41">
                  <c:v>104.65654887183493</c:v>
                </c:pt>
                <c:pt idx="42">
                  <c:v>104.71932507135129</c:v>
                </c:pt>
                <c:pt idx="43">
                  <c:v>102.9728640984151</c:v>
                </c:pt>
                <c:pt idx="44">
                  <c:v>102.68358495529436</c:v>
                </c:pt>
                <c:pt idx="45">
                  <c:v>105.23328055567745</c:v>
                </c:pt>
                <c:pt idx="46">
                  <c:v>104.63192959822729</c:v>
                </c:pt>
                <c:pt idx="47">
                  <c:v>110.17713641111956</c:v>
                </c:pt>
                <c:pt idx="48">
                  <c:v>109.1405214193375</c:v>
                </c:pt>
                <c:pt idx="49">
                  <c:v>106.46572439799675</c:v>
                </c:pt>
                <c:pt idx="50">
                  <c:v>104.14723702090053</c:v>
                </c:pt>
                <c:pt idx="51">
                  <c:v>103.00960522039564</c:v>
                </c:pt>
                <c:pt idx="52">
                  <c:v>102.36670696041818</c:v>
                </c:pt>
                <c:pt idx="53">
                  <c:v>100.13201164658838</c:v>
                </c:pt>
                <c:pt idx="54">
                  <c:v>94.538263819597049</c:v>
                </c:pt>
                <c:pt idx="55">
                  <c:v>93.289883115654817</c:v>
                </c:pt>
                <c:pt idx="56">
                  <c:v>92.059362678785334</c:v>
                </c:pt>
                <c:pt idx="57">
                  <c:v>89.271120734564192</c:v>
                </c:pt>
                <c:pt idx="58">
                  <c:v>89</c:v>
                </c:pt>
                <c:pt idx="59" formatCode="General">
                  <c:v>83.8</c:v>
                </c:pt>
                <c:pt idx="60" formatCode="General">
                  <c:v>79.7</c:v>
                </c:pt>
              </c:numCache>
            </c:numRef>
          </c:val>
          <c:smooth val="0"/>
          <c:extLst>
            <c:ext xmlns:c16="http://schemas.microsoft.com/office/drawing/2014/chart" uri="{C3380CC4-5D6E-409C-BE32-E72D297353CC}">
              <c16:uniqueId val="{00000004-FEDF-4062-A9A7-2F4FD0A61FA3}"/>
            </c:ext>
          </c:extLst>
        </c:ser>
        <c:ser>
          <c:idx val="3"/>
          <c:order val="3"/>
          <c:tx>
            <c:strRef>
              <c:f>'F3'!$A$32</c:f>
              <c:strCache>
                <c:ptCount val="1"/>
                <c:pt idx="0">
                  <c:v>30-34</c:v>
                </c:pt>
              </c:strCache>
            </c:strRef>
          </c:tx>
          <c:spPr>
            <a:ln w="28575" cap="rnd">
              <a:solidFill>
                <a:schemeClr val="accent1"/>
              </a:solidFill>
              <a:prstDash val="dash"/>
              <a:round/>
            </a:ln>
            <a:effectLst/>
          </c:spPr>
          <c:marker>
            <c:symbol val="none"/>
          </c:marker>
          <c:cat>
            <c:numRef>
              <c:f>'F3'!$B$28:$BJ$28</c:f>
              <c:numCache>
                <c:formatCode>General</c:formatCode>
                <c:ptCount val="61"/>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60">
                  <c:v>2020</c:v>
                </c:pt>
              </c:numCache>
            </c:numRef>
          </c:cat>
          <c:val>
            <c:numRef>
              <c:f>'F3'!$B$32:$BJ$32</c:f>
              <c:numCache>
                <c:formatCode>0.0</c:formatCode>
                <c:ptCount val="61"/>
                <c:pt idx="0">
                  <c:v>128.06800000000001</c:v>
                </c:pt>
                <c:pt idx="1">
                  <c:v>131.55199999999999</c:v>
                </c:pt>
                <c:pt idx="2">
                  <c:v>128.614</c:v>
                </c:pt>
                <c:pt idx="3">
                  <c:v>124.914</c:v>
                </c:pt>
                <c:pt idx="4">
                  <c:v>120.02400000000002</c:v>
                </c:pt>
                <c:pt idx="5">
                  <c:v>110.62400000000001</c:v>
                </c:pt>
                <c:pt idx="6">
                  <c:v>104.908</c:v>
                </c:pt>
                <c:pt idx="7">
                  <c:v>102.24799999999998</c:v>
                </c:pt>
                <c:pt idx="8">
                  <c:v>102.59400000000001</c:v>
                </c:pt>
                <c:pt idx="9">
                  <c:v>102.756</c:v>
                </c:pt>
                <c:pt idx="10">
                  <c:v>101.25399999999999</c:v>
                </c:pt>
                <c:pt idx="11">
                  <c:v>98.820000000000007</c:v>
                </c:pt>
                <c:pt idx="12">
                  <c:v>90.667999999999992</c:v>
                </c:pt>
                <c:pt idx="13">
                  <c:v>81.054000000000002</c:v>
                </c:pt>
                <c:pt idx="14">
                  <c:v>77.367999999999995</c:v>
                </c:pt>
                <c:pt idx="15">
                  <c:v>73.042000000000002</c:v>
                </c:pt>
                <c:pt idx="16">
                  <c:v>71.400000000000006</c:v>
                </c:pt>
                <c:pt idx="17">
                  <c:v>72.111999999999995</c:v>
                </c:pt>
                <c:pt idx="18">
                  <c:v>71.820000000000007</c:v>
                </c:pt>
                <c:pt idx="19">
                  <c:v>72.830000000000013</c:v>
                </c:pt>
                <c:pt idx="20">
                  <c:v>74.695999999999984</c:v>
                </c:pt>
                <c:pt idx="21">
                  <c:v>77.725999999999999</c:v>
                </c:pt>
                <c:pt idx="22">
                  <c:v>80.430000000000007</c:v>
                </c:pt>
                <c:pt idx="23">
                  <c:v>81.259999999999991</c:v>
                </c:pt>
                <c:pt idx="24">
                  <c:v>83.043999999999997</c:v>
                </c:pt>
                <c:pt idx="25">
                  <c:v>87.09</c:v>
                </c:pt>
                <c:pt idx="26">
                  <c:v>88.414000000000001</c:v>
                </c:pt>
                <c:pt idx="27">
                  <c:v>90.307999999999979</c:v>
                </c:pt>
                <c:pt idx="28">
                  <c:v>92.913999999999987</c:v>
                </c:pt>
                <c:pt idx="29">
                  <c:v>95.657999999999987</c:v>
                </c:pt>
                <c:pt idx="30">
                  <c:v>101.158</c:v>
                </c:pt>
                <c:pt idx="31">
                  <c:v>99.545999999999992</c:v>
                </c:pt>
                <c:pt idx="32">
                  <c:v>104.10400000000001</c:v>
                </c:pt>
                <c:pt idx="33">
                  <c:v>105.21799999999999</c:v>
                </c:pt>
                <c:pt idx="34">
                  <c:v>105.08600000000001</c:v>
                </c:pt>
                <c:pt idx="35">
                  <c:v>106.366</c:v>
                </c:pt>
                <c:pt idx="36">
                  <c:v>106.09399999999999</c:v>
                </c:pt>
                <c:pt idx="37">
                  <c:v>107.14399999999999</c:v>
                </c:pt>
                <c:pt idx="38">
                  <c:v>107.72295145839935</c:v>
                </c:pt>
                <c:pt idx="39">
                  <c:v>108.54217566687221</c:v>
                </c:pt>
                <c:pt idx="40">
                  <c:v>110.31732209414943</c:v>
                </c:pt>
                <c:pt idx="41">
                  <c:v>108.17035357576113</c:v>
                </c:pt>
                <c:pt idx="42">
                  <c:v>111.4812452316816</c:v>
                </c:pt>
                <c:pt idx="43">
                  <c:v>112.98134290472461</c:v>
                </c:pt>
                <c:pt idx="44">
                  <c:v>115.07725275026803</c:v>
                </c:pt>
                <c:pt idx="45">
                  <c:v>119.81165374332474</c:v>
                </c:pt>
                <c:pt idx="46">
                  <c:v>123.24330531254199</c:v>
                </c:pt>
                <c:pt idx="47">
                  <c:v>129.89258344608882</c:v>
                </c:pt>
                <c:pt idx="48">
                  <c:v>130.75900031991861</c:v>
                </c:pt>
                <c:pt idx="49">
                  <c:v>127.66065455802492</c:v>
                </c:pt>
                <c:pt idx="50">
                  <c:v>127.11033869020363</c:v>
                </c:pt>
                <c:pt idx="51">
                  <c:v>124.65798320012078</c:v>
                </c:pt>
                <c:pt idx="52">
                  <c:v>126.63310163282642</c:v>
                </c:pt>
                <c:pt idx="53">
                  <c:v>121.92588473235604</c:v>
                </c:pt>
                <c:pt idx="54">
                  <c:v>120.12449243700141</c:v>
                </c:pt>
                <c:pt idx="55">
                  <c:v>121.50885737250391</c:v>
                </c:pt>
                <c:pt idx="56">
                  <c:v>123.40093276741118</c:v>
                </c:pt>
                <c:pt idx="57">
                  <c:v>118.89841555804044</c:v>
                </c:pt>
                <c:pt idx="58">
                  <c:v>119.7</c:v>
                </c:pt>
                <c:pt idx="59" formatCode="General">
                  <c:v>114.9</c:v>
                </c:pt>
                <c:pt idx="60" formatCode="General">
                  <c:v>110</c:v>
                </c:pt>
              </c:numCache>
            </c:numRef>
          </c:val>
          <c:smooth val="0"/>
          <c:extLst>
            <c:ext xmlns:c16="http://schemas.microsoft.com/office/drawing/2014/chart" uri="{C3380CC4-5D6E-409C-BE32-E72D297353CC}">
              <c16:uniqueId val="{00000005-FEDF-4062-A9A7-2F4FD0A61FA3}"/>
            </c:ext>
          </c:extLst>
        </c:ser>
        <c:ser>
          <c:idx val="4"/>
          <c:order val="4"/>
          <c:tx>
            <c:strRef>
              <c:f>'F3'!$A$33</c:f>
              <c:strCache>
                <c:ptCount val="1"/>
                <c:pt idx="0">
                  <c:v>35-39</c:v>
                </c:pt>
              </c:strCache>
            </c:strRef>
          </c:tx>
          <c:spPr>
            <a:ln w="28575" cap="rnd">
              <a:solidFill>
                <a:srgbClr val="FFC000"/>
              </a:solidFill>
              <a:prstDash val="dash"/>
              <a:round/>
            </a:ln>
            <a:effectLst/>
          </c:spPr>
          <c:marker>
            <c:symbol val="none"/>
          </c:marker>
          <c:cat>
            <c:numRef>
              <c:f>'F3'!$B$28:$BJ$28</c:f>
              <c:numCache>
                <c:formatCode>General</c:formatCode>
                <c:ptCount val="61"/>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60">
                  <c:v>2020</c:v>
                </c:pt>
              </c:numCache>
            </c:numRef>
          </c:cat>
          <c:val>
            <c:numRef>
              <c:f>'F3'!$B$33:$BJ$33</c:f>
              <c:numCache>
                <c:formatCode>0.0</c:formatCode>
                <c:ptCount val="61"/>
                <c:pt idx="0">
                  <c:v>62.324000000000005</c:v>
                </c:pt>
                <c:pt idx="1">
                  <c:v>63.39</c:v>
                </c:pt>
                <c:pt idx="2">
                  <c:v>61.583999999999996</c:v>
                </c:pt>
                <c:pt idx="3">
                  <c:v>59.832000000000008</c:v>
                </c:pt>
                <c:pt idx="4">
                  <c:v>58.647999999999996</c:v>
                </c:pt>
                <c:pt idx="5">
                  <c:v>53.212000000000003</c:v>
                </c:pt>
                <c:pt idx="6">
                  <c:v>50.780000000000008</c:v>
                </c:pt>
                <c:pt idx="7">
                  <c:v>48.275999999999996</c:v>
                </c:pt>
                <c:pt idx="8">
                  <c:v>47.223999999999997</c:v>
                </c:pt>
                <c:pt idx="9">
                  <c:v>46.015999999999998</c:v>
                </c:pt>
                <c:pt idx="10">
                  <c:v>45.101999999999997</c:v>
                </c:pt>
                <c:pt idx="11">
                  <c:v>42.698</c:v>
                </c:pt>
                <c:pt idx="12">
                  <c:v>37.494000000000007</c:v>
                </c:pt>
                <c:pt idx="13">
                  <c:v>32.234000000000002</c:v>
                </c:pt>
                <c:pt idx="14">
                  <c:v>28.805999999999997</c:v>
                </c:pt>
                <c:pt idx="15">
                  <c:v>25.843999999999998</c:v>
                </c:pt>
                <c:pt idx="16">
                  <c:v>23.895999999999997</c:v>
                </c:pt>
                <c:pt idx="17">
                  <c:v>23.617999999999999</c:v>
                </c:pt>
                <c:pt idx="18">
                  <c:v>23.231999999999999</c:v>
                </c:pt>
                <c:pt idx="19">
                  <c:v>23.156000000000002</c:v>
                </c:pt>
                <c:pt idx="20">
                  <c:v>23.159999999999997</c:v>
                </c:pt>
                <c:pt idx="21">
                  <c:v>23.869999999999997</c:v>
                </c:pt>
                <c:pt idx="22">
                  <c:v>24.585999999999999</c:v>
                </c:pt>
                <c:pt idx="23">
                  <c:v>24.2</c:v>
                </c:pt>
                <c:pt idx="24">
                  <c:v>24.972000000000001</c:v>
                </c:pt>
                <c:pt idx="25">
                  <c:v>26.280000000000005</c:v>
                </c:pt>
                <c:pt idx="26">
                  <c:v>27.266000000000002</c:v>
                </c:pt>
                <c:pt idx="27">
                  <c:v>28.774000000000004</c:v>
                </c:pt>
                <c:pt idx="28">
                  <c:v>30.42</c:v>
                </c:pt>
                <c:pt idx="29">
                  <c:v>32.524000000000001</c:v>
                </c:pt>
                <c:pt idx="30">
                  <c:v>34.624000000000002</c:v>
                </c:pt>
                <c:pt idx="31">
                  <c:v>35.622</c:v>
                </c:pt>
                <c:pt idx="32">
                  <c:v>38.048000000000002</c:v>
                </c:pt>
                <c:pt idx="33">
                  <c:v>38.597999999999999</c:v>
                </c:pt>
                <c:pt idx="34">
                  <c:v>40.779999999999994</c:v>
                </c:pt>
                <c:pt idx="35">
                  <c:v>41.941999999999993</c:v>
                </c:pt>
                <c:pt idx="36">
                  <c:v>43.283999999999999</c:v>
                </c:pt>
                <c:pt idx="37">
                  <c:v>44.607999999999997</c:v>
                </c:pt>
                <c:pt idx="38">
                  <c:v>45.56717571140144</c:v>
                </c:pt>
                <c:pt idx="39">
                  <c:v>46.905578559754815</c:v>
                </c:pt>
                <c:pt idx="40">
                  <c:v>49.508566280834877</c:v>
                </c:pt>
                <c:pt idx="41">
                  <c:v>49.674752188079509</c:v>
                </c:pt>
                <c:pt idx="42">
                  <c:v>52.905376892235914</c:v>
                </c:pt>
                <c:pt idx="43">
                  <c:v>54.910332235899105</c:v>
                </c:pt>
                <c:pt idx="44">
                  <c:v>57.574147784182571</c:v>
                </c:pt>
                <c:pt idx="45">
                  <c:v>61.069326078102989</c:v>
                </c:pt>
                <c:pt idx="46">
                  <c:v>63.849201706470375</c:v>
                </c:pt>
                <c:pt idx="47">
                  <c:v>68.830381349623678</c:v>
                </c:pt>
                <c:pt idx="48">
                  <c:v>71.864720776293836</c:v>
                </c:pt>
                <c:pt idx="49">
                  <c:v>70.443195059983779</c:v>
                </c:pt>
                <c:pt idx="50">
                  <c:v>71.970451446484361</c:v>
                </c:pt>
                <c:pt idx="51">
                  <c:v>71.112657583614819</c:v>
                </c:pt>
                <c:pt idx="52">
                  <c:v>72.044563397819473</c:v>
                </c:pt>
                <c:pt idx="53">
                  <c:v>72.113896662849385</c:v>
                </c:pt>
                <c:pt idx="54">
                  <c:v>69.122826539894248</c:v>
                </c:pt>
                <c:pt idx="55">
                  <c:v>69.480406317508326</c:v>
                </c:pt>
                <c:pt idx="56">
                  <c:v>71.312008830421632</c:v>
                </c:pt>
                <c:pt idx="57">
                  <c:v>70.661341790381599</c:v>
                </c:pt>
                <c:pt idx="58">
                  <c:v>71.900000000000006</c:v>
                </c:pt>
                <c:pt idx="59" formatCode="General">
                  <c:v>69.5</c:v>
                </c:pt>
                <c:pt idx="60" formatCode="General">
                  <c:v>66.2</c:v>
                </c:pt>
              </c:numCache>
            </c:numRef>
          </c:val>
          <c:smooth val="0"/>
          <c:extLst>
            <c:ext xmlns:c16="http://schemas.microsoft.com/office/drawing/2014/chart" uri="{C3380CC4-5D6E-409C-BE32-E72D297353CC}">
              <c16:uniqueId val="{00000006-FEDF-4062-A9A7-2F4FD0A61FA3}"/>
            </c:ext>
          </c:extLst>
        </c:ser>
        <c:ser>
          <c:idx val="5"/>
          <c:order val="5"/>
          <c:tx>
            <c:strRef>
              <c:f>'F3'!$A$34</c:f>
              <c:strCache>
                <c:ptCount val="1"/>
                <c:pt idx="0">
                  <c:v>40-44</c:v>
                </c:pt>
              </c:strCache>
            </c:strRef>
          </c:tx>
          <c:spPr>
            <a:ln w="28575" cap="rnd">
              <a:solidFill>
                <a:srgbClr val="FF0000"/>
              </a:solidFill>
              <a:prstDash val="dash"/>
              <a:round/>
            </a:ln>
            <a:effectLst/>
          </c:spPr>
          <c:marker>
            <c:symbol val="none"/>
          </c:marker>
          <c:cat>
            <c:numRef>
              <c:f>'F3'!$B$28:$BJ$28</c:f>
              <c:numCache>
                <c:formatCode>General</c:formatCode>
                <c:ptCount val="61"/>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60">
                  <c:v>2020</c:v>
                </c:pt>
              </c:numCache>
            </c:numRef>
          </c:cat>
          <c:val>
            <c:numRef>
              <c:f>'F3'!$B$34:$BJ$34</c:f>
              <c:numCache>
                <c:formatCode>0.0</c:formatCode>
                <c:ptCount val="61"/>
                <c:pt idx="0">
                  <c:v>18.275999999999996</c:v>
                </c:pt>
                <c:pt idx="1">
                  <c:v>18.628000000000004</c:v>
                </c:pt>
                <c:pt idx="2">
                  <c:v>17.795999999999999</c:v>
                </c:pt>
                <c:pt idx="3">
                  <c:v>18.068000000000001</c:v>
                </c:pt>
                <c:pt idx="4">
                  <c:v>16.378</c:v>
                </c:pt>
                <c:pt idx="5">
                  <c:v>15.004</c:v>
                </c:pt>
                <c:pt idx="6">
                  <c:v>14.14</c:v>
                </c:pt>
                <c:pt idx="7">
                  <c:v>13.517999999999999</c:v>
                </c:pt>
                <c:pt idx="8">
                  <c:v>12.906000000000001</c:v>
                </c:pt>
                <c:pt idx="9">
                  <c:v>12.239999999999998</c:v>
                </c:pt>
                <c:pt idx="10">
                  <c:v>11.799999999999999</c:v>
                </c:pt>
                <c:pt idx="11">
                  <c:v>11.07</c:v>
                </c:pt>
                <c:pt idx="12">
                  <c:v>9.9140000000000015</c:v>
                </c:pt>
                <c:pt idx="13">
                  <c:v>8.3800000000000008</c:v>
                </c:pt>
                <c:pt idx="14">
                  <c:v>7.3200000000000021</c:v>
                </c:pt>
                <c:pt idx="15">
                  <c:v>6.2039999999999997</c:v>
                </c:pt>
                <c:pt idx="16">
                  <c:v>5.4219999999999997</c:v>
                </c:pt>
                <c:pt idx="17">
                  <c:v>4.9279999999999999</c:v>
                </c:pt>
                <c:pt idx="18">
                  <c:v>4.3820000000000006</c:v>
                </c:pt>
                <c:pt idx="19">
                  <c:v>4.4620000000000006</c:v>
                </c:pt>
                <c:pt idx="20">
                  <c:v>4.2940000000000005</c:v>
                </c:pt>
                <c:pt idx="21">
                  <c:v>4.3239999999999998</c:v>
                </c:pt>
                <c:pt idx="22">
                  <c:v>4.4059999999999997</c:v>
                </c:pt>
                <c:pt idx="23">
                  <c:v>4.2420000000000009</c:v>
                </c:pt>
                <c:pt idx="24">
                  <c:v>4.2859999999999996</c:v>
                </c:pt>
                <c:pt idx="25">
                  <c:v>4.1739999999999995</c:v>
                </c:pt>
                <c:pt idx="26">
                  <c:v>4.1680000000000001</c:v>
                </c:pt>
                <c:pt idx="27">
                  <c:v>4.4820000000000002</c:v>
                </c:pt>
                <c:pt idx="28">
                  <c:v>4.3840000000000003</c:v>
                </c:pt>
                <c:pt idx="29">
                  <c:v>4.8719999999999999</c:v>
                </c:pt>
                <c:pt idx="30">
                  <c:v>5.41</c:v>
                </c:pt>
                <c:pt idx="31">
                  <c:v>5.3920000000000003</c:v>
                </c:pt>
                <c:pt idx="32">
                  <c:v>6.0980000000000008</c:v>
                </c:pt>
                <c:pt idx="33">
                  <c:v>6.2559999999999993</c:v>
                </c:pt>
                <c:pt idx="34">
                  <c:v>6.61</c:v>
                </c:pt>
                <c:pt idx="35">
                  <c:v>7.0979999999999999</c:v>
                </c:pt>
                <c:pt idx="36">
                  <c:v>7.3679999999999994</c:v>
                </c:pt>
                <c:pt idx="37">
                  <c:v>7.4059999999999988</c:v>
                </c:pt>
                <c:pt idx="38">
                  <c:v>7.925878700866706</c:v>
                </c:pt>
                <c:pt idx="39">
                  <c:v>8.3834325183859377</c:v>
                </c:pt>
                <c:pt idx="40">
                  <c:v>8.6321238042088133</c:v>
                </c:pt>
                <c:pt idx="41">
                  <c:v>9.0309139815614206</c:v>
                </c:pt>
                <c:pt idx="42">
                  <c:v>9.6304946845863046</c:v>
                </c:pt>
                <c:pt idx="43">
                  <c:v>9.9870236393993963</c:v>
                </c:pt>
                <c:pt idx="44">
                  <c:v>10.619800303896376</c:v>
                </c:pt>
                <c:pt idx="45">
                  <c:v>11.183095149735905</c:v>
                </c:pt>
                <c:pt idx="46">
                  <c:v>11.750435790440523</c:v>
                </c:pt>
                <c:pt idx="47">
                  <c:v>13.190779031424475</c:v>
                </c:pt>
                <c:pt idx="48">
                  <c:v>14.560834519233397</c:v>
                </c:pt>
                <c:pt idx="49">
                  <c:v>14.363938836969075</c:v>
                </c:pt>
                <c:pt idx="50">
                  <c:v>14.855861976780041</c:v>
                </c:pt>
                <c:pt idx="51">
                  <c:v>14.752420950473111</c:v>
                </c:pt>
                <c:pt idx="52">
                  <c:v>14.86988789872645</c:v>
                </c:pt>
                <c:pt idx="53">
                  <c:v>14.903338578431891</c:v>
                </c:pt>
                <c:pt idx="54">
                  <c:v>14.576574047585719</c:v>
                </c:pt>
                <c:pt idx="55">
                  <c:v>15.003802626439336</c:v>
                </c:pt>
                <c:pt idx="56">
                  <c:v>15.593880632713548</c:v>
                </c:pt>
                <c:pt idx="57">
                  <c:v>15.613123758182352</c:v>
                </c:pt>
                <c:pt idx="58">
                  <c:v>16</c:v>
                </c:pt>
                <c:pt idx="59" formatCode="General">
                  <c:v>15.6</c:v>
                </c:pt>
                <c:pt idx="60" formatCode="General">
                  <c:v>15.2</c:v>
                </c:pt>
              </c:numCache>
            </c:numRef>
          </c:val>
          <c:smooth val="0"/>
          <c:extLst>
            <c:ext xmlns:c16="http://schemas.microsoft.com/office/drawing/2014/chart" uri="{C3380CC4-5D6E-409C-BE32-E72D297353CC}">
              <c16:uniqueId val="{00000007-FEDF-4062-A9A7-2F4FD0A61FA3}"/>
            </c:ext>
          </c:extLst>
        </c:ser>
        <c:dLbls>
          <c:showLegendKey val="0"/>
          <c:showVal val="0"/>
          <c:showCatName val="0"/>
          <c:showSerName val="0"/>
          <c:showPercent val="0"/>
          <c:showBubbleSize val="0"/>
        </c:dLbls>
        <c:smooth val="0"/>
        <c:axId val="497435384"/>
        <c:axId val="497430792"/>
      </c:lineChart>
      <c:catAx>
        <c:axId val="49743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430792"/>
        <c:crosses val="autoZero"/>
        <c:auto val="1"/>
        <c:lblAlgn val="ctr"/>
        <c:lblOffset val="100"/>
        <c:noMultiLvlLbl val="0"/>
      </c:catAx>
      <c:valAx>
        <c:axId val="497430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Births per</a:t>
                </a:r>
                <a:r>
                  <a:rPr lang="en-AU" baseline="0"/>
                  <a:t> 1,000 women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435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v>The mother</c:v>
          </c:tx>
          <c:spPr>
            <a:solidFill>
              <a:schemeClr val="accent2">
                <a:lumMod val="20000"/>
                <a:lumOff val="80000"/>
              </a:schemeClr>
            </a:solidFill>
            <a:ln>
              <a:solidFill>
                <a:schemeClr val="accent2"/>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Sheet3!$E$1:$E$6</c:f>
              <c:strCache>
                <c:ptCount val="6"/>
                <c:pt idx="0">
                  <c:v>Don't know/ refused</c:v>
                </c:pt>
                <c:pt idx="1">
                  <c:v>No, there should be no subsidised childcare</c:v>
                </c:pt>
                <c:pt idx="2">
                  <c:v>Yes, for less than half of the cost </c:v>
                </c:pt>
                <c:pt idx="3">
                  <c:v>Yes, for about half of the cost </c:v>
                </c:pt>
                <c:pt idx="4">
                  <c:v>Yes, for more than half of the cost but not all of the cost </c:v>
                </c:pt>
                <c:pt idx="5">
                  <c:v>Yes, for all of the cost </c:v>
                </c:pt>
              </c:strCache>
            </c:strRef>
          </c:cat>
          <c:val>
            <c:numRef>
              <c:f>Sheet3!$I$1:$I$6</c:f>
              <c:numCache>
                <c:formatCode>0</c:formatCode>
                <c:ptCount val="6"/>
                <c:pt idx="0">
                  <c:v>3.69</c:v>
                </c:pt>
                <c:pt idx="1">
                  <c:v>10.38</c:v>
                </c:pt>
                <c:pt idx="2">
                  <c:v>11.71</c:v>
                </c:pt>
                <c:pt idx="3">
                  <c:v>35.49</c:v>
                </c:pt>
                <c:pt idx="4">
                  <c:v>20.88</c:v>
                </c:pt>
                <c:pt idx="5">
                  <c:v>17.86</c:v>
                </c:pt>
              </c:numCache>
            </c:numRef>
          </c:val>
          <c:extLst>
            <c:ext xmlns:c16="http://schemas.microsoft.com/office/drawing/2014/chart" uri="{C3380CC4-5D6E-409C-BE32-E72D297353CC}">
              <c16:uniqueId val="{00000000-D562-4370-BC1D-84D79912F0F4}"/>
            </c:ext>
          </c:extLst>
        </c:ser>
        <c:ser>
          <c:idx val="2"/>
          <c:order val="1"/>
          <c:tx>
            <c:v>The father</c:v>
          </c:tx>
          <c:spPr>
            <a:solidFill>
              <a:schemeClr val="accent2">
                <a:lumMod val="75000"/>
              </a:schemeClr>
            </a:solidFill>
            <a:ln>
              <a:solidFill>
                <a:schemeClr val="accent2"/>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Sheet3!$E$1:$E$6</c:f>
              <c:strCache>
                <c:ptCount val="6"/>
                <c:pt idx="0">
                  <c:v>Don't know/ refused</c:v>
                </c:pt>
                <c:pt idx="1">
                  <c:v>No, there should be no subsidised childcare</c:v>
                </c:pt>
                <c:pt idx="2">
                  <c:v>Yes, for less than half of the cost </c:v>
                </c:pt>
                <c:pt idx="3">
                  <c:v>Yes, for about half of the cost </c:v>
                </c:pt>
                <c:pt idx="4">
                  <c:v>Yes, for more than half of the cost but not all of the cost </c:v>
                </c:pt>
                <c:pt idx="5">
                  <c:v>Yes, for all of the cost </c:v>
                </c:pt>
              </c:strCache>
            </c:strRef>
          </c:cat>
          <c:val>
            <c:numRef>
              <c:f>Sheet3!$H$1:$H$6</c:f>
              <c:numCache>
                <c:formatCode>0</c:formatCode>
                <c:ptCount val="6"/>
                <c:pt idx="0">
                  <c:v>2.85</c:v>
                </c:pt>
                <c:pt idx="1">
                  <c:v>11.62</c:v>
                </c:pt>
                <c:pt idx="2">
                  <c:v>12.66</c:v>
                </c:pt>
                <c:pt idx="3">
                  <c:v>38.99</c:v>
                </c:pt>
                <c:pt idx="4">
                  <c:v>21.79</c:v>
                </c:pt>
                <c:pt idx="5">
                  <c:v>12.09</c:v>
                </c:pt>
              </c:numCache>
            </c:numRef>
          </c:val>
          <c:extLst>
            <c:ext xmlns:c16="http://schemas.microsoft.com/office/drawing/2014/chart" uri="{C3380CC4-5D6E-409C-BE32-E72D297353CC}">
              <c16:uniqueId val="{00000001-D562-4370-BC1D-84D79912F0F4}"/>
            </c:ext>
          </c:extLst>
        </c:ser>
        <c:ser>
          <c:idx val="1"/>
          <c:order val="2"/>
          <c:tx>
            <c:v>One parent</c:v>
          </c:tx>
          <c:spPr>
            <a:solidFill>
              <a:schemeClr val="accent2"/>
            </a:solidFill>
            <a:ln>
              <a:solidFill>
                <a:schemeClr val="accent2"/>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Sheet3!$E$1:$E$6</c:f>
              <c:strCache>
                <c:ptCount val="6"/>
                <c:pt idx="0">
                  <c:v>Don't know/ refused</c:v>
                </c:pt>
                <c:pt idx="1">
                  <c:v>No, there should be no subsidised childcare</c:v>
                </c:pt>
                <c:pt idx="2">
                  <c:v>Yes, for less than half of the cost </c:v>
                </c:pt>
                <c:pt idx="3">
                  <c:v>Yes, for about half of the cost </c:v>
                </c:pt>
                <c:pt idx="4">
                  <c:v>Yes, for more than half of the cost but not all of the cost </c:v>
                </c:pt>
                <c:pt idx="5">
                  <c:v>Yes, for all of the cost </c:v>
                </c:pt>
              </c:strCache>
            </c:strRef>
          </c:cat>
          <c:val>
            <c:numRef>
              <c:f>Sheet3!$G$1:$G$6</c:f>
              <c:numCache>
                <c:formatCode>0</c:formatCode>
                <c:ptCount val="6"/>
                <c:pt idx="0">
                  <c:v>1.1600000000000001</c:v>
                </c:pt>
                <c:pt idx="1">
                  <c:v>12.2</c:v>
                </c:pt>
                <c:pt idx="2">
                  <c:v>15.78</c:v>
                </c:pt>
                <c:pt idx="3">
                  <c:v>36.61</c:v>
                </c:pt>
                <c:pt idx="4">
                  <c:v>20.95</c:v>
                </c:pt>
                <c:pt idx="5">
                  <c:v>13.31</c:v>
                </c:pt>
              </c:numCache>
            </c:numRef>
          </c:val>
          <c:extLst>
            <c:ext xmlns:c16="http://schemas.microsoft.com/office/drawing/2014/chart" uri="{C3380CC4-5D6E-409C-BE32-E72D297353CC}">
              <c16:uniqueId val="{00000002-D562-4370-BC1D-84D79912F0F4}"/>
            </c:ext>
          </c:extLst>
        </c:ser>
        <c:dLbls>
          <c:showLegendKey val="0"/>
          <c:showVal val="0"/>
          <c:showCatName val="0"/>
          <c:showSerName val="0"/>
          <c:showPercent val="0"/>
          <c:showBubbleSize val="0"/>
        </c:dLbls>
        <c:gapWidth val="182"/>
        <c:axId val="1699451583"/>
        <c:axId val="1699439103"/>
      </c:barChart>
      <c:catAx>
        <c:axId val="1699451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99439103"/>
        <c:crosses val="autoZero"/>
        <c:auto val="1"/>
        <c:lblAlgn val="ctr"/>
        <c:lblOffset val="100"/>
        <c:noMultiLvlLbl val="0"/>
      </c:catAx>
      <c:valAx>
        <c:axId val="1699439103"/>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AU"/>
                  <a:t>%</a:t>
                </a:r>
              </a:p>
              <a:p>
                <a:pPr>
                  <a:defRPr/>
                </a:pP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994515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88813855386434E-2"/>
          <c:y val="0.12141619394349902"/>
          <c:w val="0.88052799575010243"/>
          <c:h val="0.80209014195806172"/>
        </c:manualLayout>
      </c:layout>
      <c:lineChart>
        <c:grouping val="standard"/>
        <c:varyColors val="0"/>
        <c:ser>
          <c:idx val="1"/>
          <c:order val="0"/>
          <c:tx>
            <c:strRef>
              <c:f>Sheet2!$C$4</c:f>
              <c:strCache>
                <c:ptCount val="1"/>
                <c:pt idx="0">
                  <c:v>Full sample</c:v>
                </c:pt>
              </c:strCache>
            </c:strRef>
          </c:tx>
          <c:spPr>
            <a:ln w="22225" cap="rnd">
              <a:solidFill>
                <a:schemeClr val="accent2"/>
              </a:solidFill>
              <a:round/>
            </a:ln>
            <a:effectLst/>
          </c:spPr>
          <c:marker>
            <c:symbol val="circle"/>
            <c:size val="6"/>
            <c:spPr>
              <a:solidFill>
                <a:schemeClr val="accent2"/>
              </a:solidFill>
              <a:ln w="9525">
                <a:solidFill>
                  <a:schemeClr val="accent2"/>
                </a:solidFill>
                <a:round/>
              </a:ln>
              <a:effectLst/>
            </c:spPr>
          </c:marker>
          <c:cat>
            <c:numRef>
              <c:f>Sheet2!$B$5:$B$23</c:f>
              <c:numCache>
                <c:formatCode>General</c:formatCode>
                <c:ptCount val="19"/>
                <c:pt idx="0">
                  <c:v>2001</c:v>
                </c:pt>
                <c:pt idx="4">
                  <c:v>2005</c:v>
                </c:pt>
                <c:pt idx="7">
                  <c:v>2008</c:v>
                </c:pt>
                <c:pt idx="10">
                  <c:v>2011</c:v>
                </c:pt>
                <c:pt idx="14">
                  <c:v>2015</c:v>
                </c:pt>
                <c:pt idx="18">
                  <c:v>2019</c:v>
                </c:pt>
              </c:numCache>
            </c:numRef>
          </c:cat>
          <c:val>
            <c:numRef>
              <c:f>Sheet2!$C$5:$C$23</c:f>
              <c:numCache>
                <c:formatCode>0.0</c:formatCode>
                <c:ptCount val="19"/>
                <c:pt idx="0">
                  <c:v>3.9390619999999998</c:v>
                </c:pt>
                <c:pt idx="1">
                  <c:v>4.0290629999999998</c:v>
                </c:pt>
                <c:pt idx="2">
                  <c:v>4.2214489999999998</c:v>
                </c:pt>
                <c:pt idx="3">
                  <c:v>4.3468770000000001</c:v>
                </c:pt>
                <c:pt idx="4">
                  <c:v>5.9874780000000003</c:v>
                </c:pt>
                <c:pt idx="5">
                  <c:v>5.6544990000000004</c:v>
                </c:pt>
                <c:pt idx="6">
                  <c:v>5.6986650000000001</c:v>
                </c:pt>
                <c:pt idx="7">
                  <c:v>6.0434400000000004</c:v>
                </c:pt>
                <c:pt idx="8">
                  <c:v>5.6881389999999996</c:v>
                </c:pt>
                <c:pt idx="9">
                  <c:v>5.6534129999999996</c:v>
                </c:pt>
                <c:pt idx="10">
                  <c:v>6.2281199999999997</c:v>
                </c:pt>
                <c:pt idx="11">
                  <c:v>5.7858039999999997</c:v>
                </c:pt>
                <c:pt idx="12">
                  <c:v>5.764411</c:v>
                </c:pt>
                <c:pt idx="13">
                  <c:v>5.6880179999999996</c:v>
                </c:pt>
                <c:pt idx="14">
                  <c:v>5.6656319999999996</c:v>
                </c:pt>
                <c:pt idx="15">
                  <c:v>4.9709960000000004</c:v>
                </c:pt>
                <c:pt idx="16">
                  <c:v>4.8799830000000002</c:v>
                </c:pt>
                <c:pt idx="17">
                  <c:v>4.800789</c:v>
                </c:pt>
                <c:pt idx="18">
                  <c:v>5.2442120000000001</c:v>
                </c:pt>
              </c:numCache>
            </c:numRef>
          </c:val>
          <c:smooth val="0"/>
          <c:extLst>
            <c:ext xmlns:c16="http://schemas.microsoft.com/office/drawing/2014/chart" uri="{C3380CC4-5D6E-409C-BE32-E72D297353CC}">
              <c16:uniqueId val="{00000000-89CD-4928-B0E1-5EA4A3D5FCC8}"/>
            </c:ext>
          </c:extLst>
        </c:ser>
        <c:ser>
          <c:idx val="2"/>
          <c:order val="1"/>
          <c:tx>
            <c:strRef>
              <c:f>Sheet2!$D$4</c:f>
              <c:strCache>
                <c:ptCount val="1"/>
                <c:pt idx="0">
                  <c:v>Excluding those aged 45+</c:v>
                </c:pt>
              </c:strCache>
            </c:strRef>
          </c:tx>
          <c:spPr>
            <a:ln w="22225" cap="rnd">
              <a:solidFill>
                <a:schemeClr val="accent1"/>
              </a:solidFill>
              <a:round/>
            </a:ln>
            <a:effectLst/>
          </c:spPr>
          <c:marker>
            <c:symbol val="circle"/>
            <c:size val="6"/>
            <c:spPr>
              <a:solidFill>
                <a:schemeClr val="accent1"/>
              </a:solidFill>
              <a:ln w="9525">
                <a:solidFill>
                  <a:schemeClr val="accent1"/>
                </a:solidFill>
                <a:round/>
              </a:ln>
              <a:effectLst/>
            </c:spPr>
          </c:marker>
          <c:cat>
            <c:numRef>
              <c:f>Sheet2!$B$5:$B$23</c:f>
              <c:numCache>
                <c:formatCode>General</c:formatCode>
                <c:ptCount val="19"/>
                <c:pt idx="0">
                  <c:v>2001</c:v>
                </c:pt>
                <c:pt idx="4">
                  <c:v>2005</c:v>
                </c:pt>
                <c:pt idx="7">
                  <c:v>2008</c:v>
                </c:pt>
                <c:pt idx="10">
                  <c:v>2011</c:v>
                </c:pt>
                <c:pt idx="14">
                  <c:v>2015</c:v>
                </c:pt>
                <c:pt idx="18">
                  <c:v>2019</c:v>
                </c:pt>
              </c:numCache>
            </c:numRef>
          </c:cat>
          <c:val>
            <c:numRef>
              <c:f>Sheet2!$D$5:$D$23</c:f>
              <c:numCache>
                <c:formatCode>0.0</c:formatCode>
                <c:ptCount val="19"/>
                <c:pt idx="0">
                  <c:v>4.6301410000000001</c:v>
                </c:pt>
                <c:pt idx="1">
                  <c:v>4.790089</c:v>
                </c:pt>
                <c:pt idx="2">
                  <c:v>5.0773070000000002</c:v>
                </c:pt>
                <c:pt idx="3">
                  <c:v>5.265123</c:v>
                </c:pt>
                <c:pt idx="4">
                  <c:v>5.9874780000000003</c:v>
                </c:pt>
                <c:pt idx="5">
                  <c:v>5.6544990000000004</c:v>
                </c:pt>
                <c:pt idx="6">
                  <c:v>5.6986650000000001</c:v>
                </c:pt>
                <c:pt idx="7">
                  <c:v>6.0434400000000004</c:v>
                </c:pt>
                <c:pt idx="8">
                  <c:v>5.6881389999999996</c:v>
                </c:pt>
                <c:pt idx="9">
                  <c:v>5.6534129999999996</c:v>
                </c:pt>
                <c:pt idx="10">
                  <c:v>6.2281199999999997</c:v>
                </c:pt>
                <c:pt idx="11">
                  <c:v>5.7872130000000004</c:v>
                </c:pt>
                <c:pt idx="12">
                  <c:v>5.7658560000000003</c:v>
                </c:pt>
                <c:pt idx="13">
                  <c:v>5.6891959999999999</c:v>
                </c:pt>
                <c:pt idx="14">
                  <c:v>6.1186889999999998</c:v>
                </c:pt>
                <c:pt idx="15">
                  <c:v>5.4868230000000002</c:v>
                </c:pt>
                <c:pt idx="16">
                  <c:v>5.4257299999999997</c:v>
                </c:pt>
                <c:pt idx="17">
                  <c:v>5.3565740000000002</c:v>
                </c:pt>
                <c:pt idx="18">
                  <c:v>5.7156459999999996</c:v>
                </c:pt>
              </c:numCache>
            </c:numRef>
          </c:val>
          <c:smooth val="0"/>
          <c:extLst>
            <c:ext xmlns:c16="http://schemas.microsoft.com/office/drawing/2014/chart" uri="{C3380CC4-5D6E-409C-BE32-E72D297353CC}">
              <c16:uniqueId val="{00000001-89CD-4928-B0E1-5EA4A3D5FCC8}"/>
            </c:ext>
          </c:extLst>
        </c:ser>
        <c:ser>
          <c:idx val="0"/>
          <c:order val="2"/>
          <c:tx>
            <c:strRef>
              <c:f>Sheet2!$E$4</c:f>
              <c:strCache>
                <c:ptCount val="1"/>
                <c:pt idx="0">
                  <c:v>Excluding from year of operation</c:v>
                </c:pt>
              </c:strCache>
            </c:strRef>
          </c:tx>
          <c:spPr>
            <a:ln w="22225" cap="rnd">
              <a:solidFill>
                <a:schemeClr val="accent1"/>
              </a:solidFill>
              <a:prstDash val="sysDot"/>
              <a:round/>
            </a:ln>
            <a:effectLst/>
          </c:spPr>
          <c:marker>
            <c:symbol val="circle"/>
            <c:size val="6"/>
            <c:spPr>
              <a:noFill/>
              <a:ln w="9525">
                <a:solidFill>
                  <a:schemeClr val="accent1"/>
                </a:solidFill>
                <a:round/>
              </a:ln>
              <a:effectLst/>
            </c:spPr>
          </c:marker>
          <c:cat>
            <c:numRef>
              <c:f>Sheet2!$B$5:$B$23</c:f>
              <c:numCache>
                <c:formatCode>General</c:formatCode>
                <c:ptCount val="19"/>
                <c:pt idx="0">
                  <c:v>2001</c:v>
                </c:pt>
                <c:pt idx="4">
                  <c:v>2005</c:v>
                </c:pt>
                <c:pt idx="7">
                  <c:v>2008</c:v>
                </c:pt>
                <c:pt idx="10">
                  <c:v>2011</c:v>
                </c:pt>
                <c:pt idx="14">
                  <c:v>2015</c:v>
                </c:pt>
                <c:pt idx="18">
                  <c:v>2019</c:v>
                </c:pt>
              </c:numCache>
            </c:numRef>
          </c:cat>
          <c:val>
            <c:numRef>
              <c:f>Sheet2!$E$5:$E$23</c:f>
              <c:numCache>
                <c:formatCode>0</c:formatCode>
                <c:ptCount val="19"/>
                <c:pt idx="0">
                  <c:v>4.6455299999999999</c:v>
                </c:pt>
                <c:pt idx="1">
                  <c:v>4.8119360000000002</c:v>
                </c:pt>
                <c:pt idx="2">
                  <c:v>5.1103899999999998</c:v>
                </c:pt>
                <c:pt idx="3">
                  <c:v>5.3087119999999999</c:v>
                </c:pt>
                <c:pt idx="4">
                  <c:v>6</c:v>
                </c:pt>
                <c:pt idx="5">
                  <c:v>5.7233099999999997</c:v>
                </c:pt>
                <c:pt idx="6">
                  <c:v>5.7855030000000003</c:v>
                </c:pt>
                <c:pt idx="7">
                  <c:v>6.0553319999999999</c:v>
                </c:pt>
                <c:pt idx="8">
                  <c:v>5.7932610000000002</c:v>
                </c:pt>
                <c:pt idx="9">
                  <c:v>5.7640029999999998</c:v>
                </c:pt>
                <c:pt idx="10">
                  <c:v>6.247878</c:v>
                </c:pt>
                <c:pt idx="11">
                  <c:v>5.8645860000000001</c:v>
                </c:pt>
                <c:pt idx="12">
                  <c:v>5.8367820000000004</c:v>
                </c:pt>
                <c:pt idx="13">
                  <c:v>5.7480190000000002</c:v>
                </c:pt>
                <c:pt idx="14">
                  <c:v>6.1303770000000002</c:v>
                </c:pt>
                <c:pt idx="15">
                  <c:v>5.5397920000000003</c:v>
                </c:pt>
                <c:pt idx="16">
                  <c:v>5.4715670000000003</c:v>
                </c:pt>
                <c:pt idx="17">
                  <c:v>5.3981389999999996</c:v>
                </c:pt>
                <c:pt idx="18">
                  <c:v>5.7281659999999999</c:v>
                </c:pt>
              </c:numCache>
            </c:numRef>
          </c:val>
          <c:smooth val="0"/>
          <c:extLst>
            <c:ext xmlns:c16="http://schemas.microsoft.com/office/drawing/2014/chart" uri="{C3380CC4-5D6E-409C-BE32-E72D297353CC}">
              <c16:uniqueId val="{00000002-89CD-4928-B0E1-5EA4A3D5FCC8}"/>
            </c:ext>
          </c:extLst>
        </c:ser>
        <c:dLbls>
          <c:showLegendKey val="0"/>
          <c:showVal val="0"/>
          <c:showCatName val="0"/>
          <c:showSerName val="0"/>
          <c:showPercent val="0"/>
          <c:showBubbleSize val="0"/>
        </c:dLbls>
        <c:marker val="1"/>
        <c:smooth val="0"/>
        <c:axId val="821604688"/>
        <c:axId val="821607184"/>
      </c:lineChart>
      <c:catAx>
        <c:axId val="821604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21607184"/>
        <c:crosses val="autoZero"/>
        <c:auto val="1"/>
        <c:lblAlgn val="ctr"/>
        <c:lblOffset val="100"/>
        <c:noMultiLvlLbl val="0"/>
      </c:catAx>
      <c:valAx>
        <c:axId val="821607184"/>
        <c:scaling>
          <c:orientation val="minMax"/>
          <c:max val="7"/>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cap="none" baseline="0"/>
                  <a:t>Average childbearing desires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604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40000"/>
                <a:lumOff val="60000"/>
              </a:schemeClr>
            </a:solidFill>
            <a:ln>
              <a:noFill/>
            </a:ln>
            <a:effectLst/>
          </c:spPr>
          <c:invertIfNegative val="0"/>
          <c:dPt>
            <c:idx val="9"/>
            <c:invertIfNegative val="0"/>
            <c:bubble3D val="0"/>
            <c:spPr>
              <a:solidFill>
                <a:schemeClr val="accent2"/>
              </a:solidFill>
              <a:ln>
                <a:noFill/>
              </a:ln>
              <a:effectLst/>
            </c:spPr>
            <c:extLst>
              <c:ext xmlns:c16="http://schemas.microsoft.com/office/drawing/2014/chart" uri="{C3380CC4-5D6E-409C-BE32-E72D297353CC}">
                <c16:uniqueId val="{00000001-FD88-4929-84B1-A239F9D1011B}"/>
              </c:ext>
            </c:extLst>
          </c:dPt>
          <c:errBars>
            <c:errBarType val="both"/>
            <c:errValType val="cust"/>
            <c:noEndCap val="0"/>
            <c:plus>
              <c:numRef>
                <c:f>Sheet2!$N$12:$N$28</c:f>
                <c:numCache>
                  <c:formatCode>General</c:formatCode>
                  <c:ptCount val="17"/>
                  <c:pt idx="0">
                    <c:v>2.8420000000000001E-2</c:v>
                  </c:pt>
                  <c:pt idx="1">
                    <c:v>2.1167999999999999E-2</c:v>
                  </c:pt>
                  <c:pt idx="2">
                    <c:v>1.9207999999999999E-2</c:v>
                  </c:pt>
                  <c:pt idx="3">
                    <c:v>1.7639999999999999E-2</c:v>
                  </c:pt>
                  <c:pt idx="4">
                    <c:v>1.6660000000000001E-2</c:v>
                  </c:pt>
                  <c:pt idx="5">
                    <c:v>1.6268000000000001E-2</c:v>
                  </c:pt>
                  <c:pt idx="6">
                    <c:v>1.5875999999999998E-2</c:v>
                  </c:pt>
                  <c:pt idx="7">
                    <c:v>1.5092E-2</c:v>
                  </c:pt>
                  <c:pt idx="8">
                    <c:v>1.4896E-2</c:v>
                  </c:pt>
                  <c:pt idx="9">
                    <c:v>1.47E-2</c:v>
                  </c:pt>
                  <c:pt idx="10">
                    <c:v>1.4504E-2</c:v>
                  </c:pt>
                  <c:pt idx="11">
                    <c:v>1.4308E-2</c:v>
                  </c:pt>
                  <c:pt idx="12">
                    <c:v>1.4504E-2</c:v>
                  </c:pt>
                  <c:pt idx="13">
                    <c:v>1.47E-2</c:v>
                  </c:pt>
                  <c:pt idx="14">
                    <c:v>1.5484000000000001E-2</c:v>
                  </c:pt>
                  <c:pt idx="15">
                    <c:v>1.6855999999999999E-2</c:v>
                  </c:pt>
                  <c:pt idx="16">
                    <c:v>1.9207999999999999E-2</c:v>
                  </c:pt>
                </c:numCache>
              </c:numRef>
            </c:plus>
            <c:minus>
              <c:numRef>
                <c:f>Sheet2!$N$12:$N$28</c:f>
                <c:numCache>
                  <c:formatCode>General</c:formatCode>
                  <c:ptCount val="17"/>
                  <c:pt idx="0">
                    <c:v>2.8420000000000001E-2</c:v>
                  </c:pt>
                  <c:pt idx="1">
                    <c:v>2.1167999999999999E-2</c:v>
                  </c:pt>
                  <c:pt idx="2">
                    <c:v>1.9207999999999999E-2</c:v>
                  </c:pt>
                  <c:pt idx="3">
                    <c:v>1.7639999999999999E-2</c:v>
                  </c:pt>
                  <c:pt idx="4">
                    <c:v>1.6660000000000001E-2</c:v>
                  </c:pt>
                  <c:pt idx="5">
                    <c:v>1.6268000000000001E-2</c:v>
                  </c:pt>
                  <c:pt idx="6">
                    <c:v>1.5875999999999998E-2</c:v>
                  </c:pt>
                  <c:pt idx="7">
                    <c:v>1.5092E-2</c:v>
                  </c:pt>
                  <c:pt idx="8">
                    <c:v>1.4896E-2</c:v>
                  </c:pt>
                  <c:pt idx="9">
                    <c:v>1.47E-2</c:v>
                  </c:pt>
                  <c:pt idx="10">
                    <c:v>1.4504E-2</c:v>
                  </c:pt>
                  <c:pt idx="11">
                    <c:v>1.4308E-2</c:v>
                  </c:pt>
                  <c:pt idx="12">
                    <c:v>1.4504E-2</c:v>
                  </c:pt>
                  <c:pt idx="13">
                    <c:v>1.47E-2</c:v>
                  </c:pt>
                  <c:pt idx="14">
                    <c:v>1.5484000000000001E-2</c:v>
                  </c:pt>
                  <c:pt idx="15">
                    <c:v>1.6855999999999999E-2</c:v>
                  </c:pt>
                  <c:pt idx="16">
                    <c:v>1.9207999999999999E-2</c:v>
                  </c:pt>
                </c:numCache>
              </c:numRef>
            </c:minus>
            <c:spPr>
              <a:noFill/>
              <a:ln w="9525" cap="flat" cmpd="sng" algn="ctr">
                <a:solidFill>
                  <a:schemeClr val="tx1">
                    <a:lumMod val="65000"/>
                    <a:lumOff val="35000"/>
                  </a:schemeClr>
                </a:solidFill>
                <a:round/>
              </a:ln>
              <a:effectLst/>
            </c:spPr>
          </c:errBars>
          <c:cat>
            <c:numRef>
              <c:f>Sheet2!$B$12:$B$28</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Sheet2!$F$12:$F$28</c:f>
              <c:numCache>
                <c:formatCode>General</c:formatCode>
                <c:ptCount val="17"/>
                <c:pt idx="0">
                  <c:v>1.67E-2</c:v>
                </c:pt>
                <c:pt idx="1">
                  <c:v>1.2500000000000001E-2</c:v>
                </c:pt>
                <c:pt idx="2">
                  <c:v>1.41E-2</c:v>
                </c:pt>
                <c:pt idx="3">
                  <c:v>1.46E-2</c:v>
                </c:pt>
                <c:pt idx="4">
                  <c:v>1.7000000000000001E-2</c:v>
                </c:pt>
                <c:pt idx="5">
                  <c:v>2.5000000000000001E-2</c:v>
                </c:pt>
                <c:pt idx="6">
                  <c:v>2.8500000000000001E-2</c:v>
                </c:pt>
                <c:pt idx="7">
                  <c:v>3.3000000000000002E-2</c:v>
                </c:pt>
                <c:pt idx="8">
                  <c:v>3.2099999999999997E-2</c:v>
                </c:pt>
                <c:pt idx="9">
                  <c:v>3.7499999999999999E-2</c:v>
                </c:pt>
                <c:pt idx="10">
                  <c:v>3.6400000000000002E-2</c:v>
                </c:pt>
                <c:pt idx="11">
                  <c:v>4.5999999999999999E-2</c:v>
                </c:pt>
                <c:pt idx="12">
                  <c:v>4.8099999999999997E-2</c:v>
                </c:pt>
                <c:pt idx="13">
                  <c:v>4.1599999999999998E-2</c:v>
                </c:pt>
                <c:pt idx="14">
                  <c:v>4.0599999999999997E-2</c:v>
                </c:pt>
                <c:pt idx="15">
                  <c:v>3.0700000000000002E-2</c:v>
                </c:pt>
                <c:pt idx="16">
                  <c:v>2.63E-2</c:v>
                </c:pt>
              </c:numCache>
            </c:numRef>
          </c:val>
          <c:extLst>
            <c:ext xmlns:c16="http://schemas.microsoft.com/office/drawing/2014/chart" uri="{C3380CC4-5D6E-409C-BE32-E72D297353CC}">
              <c16:uniqueId val="{00000002-FD88-4929-84B1-A239F9D1011B}"/>
            </c:ext>
          </c:extLst>
        </c:ser>
        <c:dLbls>
          <c:showLegendKey val="0"/>
          <c:showVal val="0"/>
          <c:showCatName val="0"/>
          <c:showSerName val="0"/>
          <c:showPercent val="0"/>
          <c:showBubbleSize val="0"/>
        </c:dLbls>
        <c:gapWidth val="219"/>
        <c:overlap val="-27"/>
        <c:axId val="467265007"/>
        <c:axId val="467265423"/>
      </c:barChart>
      <c:catAx>
        <c:axId val="4672650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265423"/>
        <c:crosses val="autoZero"/>
        <c:auto val="1"/>
        <c:lblAlgn val="ctr"/>
        <c:lblOffset val="100"/>
        <c:noMultiLvlLbl val="0"/>
      </c:catAx>
      <c:valAx>
        <c:axId val="467265423"/>
        <c:scaling>
          <c:orientation val="minMax"/>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2650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75000"/>
              </a:schemeClr>
            </a:solidFill>
            <a:ln>
              <a:noFill/>
            </a:ln>
            <a:effectLst/>
          </c:spPr>
          <c:invertIfNegative val="0"/>
          <c:dPt>
            <c:idx val="11"/>
            <c:invertIfNegative val="0"/>
            <c:bubble3D val="0"/>
            <c:spPr>
              <a:solidFill>
                <a:schemeClr val="accent2"/>
              </a:solidFill>
              <a:ln>
                <a:noFill/>
              </a:ln>
              <a:effectLst/>
            </c:spPr>
            <c:extLst>
              <c:ext xmlns:c16="http://schemas.microsoft.com/office/drawing/2014/chart" uri="{C3380CC4-5D6E-409C-BE32-E72D297353CC}">
                <c16:uniqueId val="{00000001-1D4D-48E0-B588-4F76695BF4D8}"/>
              </c:ext>
            </c:extLst>
          </c:dPt>
          <c:errBars>
            <c:errBarType val="both"/>
            <c:errValType val="cust"/>
            <c:noEndCap val="0"/>
            <c:plus>
              <c:numRef>
                <c:f>Sheet2!$N$67:$N$83</c:f>
                <c:numCache>
                  <c:formatCode>General</c:formatCode>
                  <c:ptCount val="17"/>
                  <c:pt idx="0">
                    <c:v>5.7231999999999998E-2</c:v>
                  </c:pt>
                  <c:pt idx="1">
                    <c:v>4.1551999999999999E-2</c:v>
                  </c:pt>
                  <c:pt idx="2">
                    <c:v>3.4495999999999999E-2</c:v>
                  </c:pt>
                  <c:pt idx="3">
                    <c:v>3.3711999999999999E-2</c:v>
                  </c:pt>
                  <c:pt idx="4">
                    <c:v>3.2143999999999999E-2</c:v>
                  </c:pt>
                  <c:pt idx="5">
                    <c:v>3.1164000000000001E-2</c:v>
                  </c:pt>
                  <c:pt idx="6">
                    <c:v>2.9007999999999999E-2</c:v>
                  </c:pt>
                  <c:pt idx="7">
                    <c:v>2.6263999999999999E-2</c:v>
                  </c:pt>
                  <c:pt idx="8">
                    <c:v>2.5087999999999999E-2</c:v>
                  </c:pt>
                  <c:pt idx="9">
                    <c:v>2.4303999999999999E-2</c:v>
                  </c:pt>
                  <c:pt idx="10">
                    <c:v>2.2932000000000001E-2</c:v>
                  </c:pt>
                  <c:pt idx="11">
                    <c:v>2.1756000000000001E-2</c:v>
                  </c:pt>
                  <c:pt idx="12">
                    <c:v>2.1756000000000001E-2</c:v>
                  </c:pt>
                  <c:pt idx="13">
                    <c:v>2.1951999999999999E-2</c:v>
                  </c:pt>
                  <c:pt idx="14">
                    <c:v>2.2539999999999998E-2</c:v>
                  </c:pt>
                  <c:pt idx="15">
                    <c:v>2.4108000000000001E-2</c:v>
                  </c:pt>
                  <c:pt idx="16">
                    <c:v>2.6852000000000001E-2</c:v>
                  </c:pt>
                </c:numCache>
              </c:numRef>
            </c:plus>
            <c:minus>
              <c:numRef>
                <c:f>Sheet2!$N$67:$N$83</c:f>
                <c:numCache>
                  <c:formatCode>General</c:formatCode>
                  <c:ptCount val="17"/>
                  <c:pt idx="0">
                    <c:v>5.7231999999999998E-2</c:v>
                  </c:pt>
                  <c:pt idx="1">
                    <c:v>4.1551999999999999E-2</c:v>
                  </c:pt>
                  <c:pt idx="2">
                    <c:v>3.4495999999999999E-2</c:v>
                  </c:pt>
                  <c:pt idx="3">
                    <c:v>3.3711999999999999E-2</c:v>
                  </c:pt>
                  <c:pt idx="4">
                    <c:v>3.2143999999999999E-2</c:v>
                  </c:pt>
                  <c:pt idx="5">
                    <c:v>3.1164000000000001E-2</c:v>
                  </c:pt>
                  <c:pt idx="6">
                    <c:v>2.9007999999999999E-2</c:v>
                  </c:pt>
                  <c:pt idx="7">
                    <c:v>2.6263999999999999E-2</c:v>
                  </c:pt>
                  <c:pt idx="8">
                    <c:v>2.5087999999999999E-2</c:v>
                  </c:pt>
                  <c:pt idx="9">
                    <c:v>2.4303999999999999E-2</c:v>
                  </c:pt>
                  <c:pt idx="10">
                    <c:v>2.2932000000000001E-2</c:v>
                  </c:pt>
                  <c:pt idx="11">
                    <c:v>2.1756000000000001E-2</c:v>
                  </c:pt>
                  <c:pt idx="12">
                    <c:v>2.1756000000000001E-2</c:v>
                  </c:pt>
                  <c:pt idx="13">
                    <c:v>2.1951999999999999E-2</c:v>
                  </c:pt>
                  <c:pt idx="14">
                    <c:v>2.2539999999999998E-2</c:v>
                  </c:pt>
                  <c:pt idx="15">
                    <c:v>2.4108000000000001E-2</c:v>
                  </c:pt>
                  <c:pt idx="16">
                    <c:v>2.6852000000000001E-2</c:v>
                  </c:pt>
                </c:numCache>
              </c:numRef>
            </c:minus>
            <c:spPr>
              <a:noFill/>
              <a:ln w="9525" cap="flat" cmpd="sng" algn="ctr">
                <a:solidFill>
                  <a:schemeClr val="tx1">
                    <a:lumMod val="65000"/>
                    <a:lumOff val="35000"/>
                  </a:schemeClr>
                </a:solidFill>
                <a:round/>
              </a:ln>
              <a:effectLst/>
            </c:spPr>
          </c:errBars>
          <c:cat>
            <c:numRef>
              <c:f>Sheet2!$B$12:$B$28</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Sheet2!$F$67:$F$83</c:f>
              <c:numCache>
                <c:formatCode>General</c:formatCode>
                <c:ptCount val="17"/>
                <c:pt idx="0">
                  <c:v>2.1399999999999999E-2</c:v>
                </c:pt>
                <c:pt idx="1">
                  <c:v>1.3299999999999999E-2</c:v>
                </c:pt>
                <c:pt idx="2">
                  <c:v>-5.3E-3</c:v>
                </c:pt>
                <c:pt idx="3">
                  <c:v>5.3E-3</c:v>
                </c:pt>
                <c:pt idx="4">
                  <c:v>2.0799999999999999E-2</c:v>
                </c:pt>
                <c:pt idx="5">
                  <c:v>3.0700000000000002E-2</c:v>
                </c:pt>
                <c:pt idx="6">
                  <c:v>3.2899999999999999E-2</c:v>
                </c:pt>
                <c:pt idx="7">
                  <c:v>2.6800000000000001E-2</c:v>
                </c:pt>
                <c:pt idx="8">
                  <c:v>2.4799999999999999E-2</c:v>
                </c:pt>
                <c:pt idx="9">
                  <c:v>3.2199999999999999E-2</c:v>
                </c:pt>
                <c:pt idx="10">
                  <c:v>3.0499999999999999E-2</c:v>
                </c:pt>
                <c:pt idx="11">
                  <c:v>3.2000000000000001E-2</c:v>
                </c:pt>
                <c:pt idx="12">
                  <c:v>2.4899999999999999E-2</c:v>
                </c:pt>
                <c:pt idx="13">
                  <c:v>1.66E-2</c:v>
                </c:pt>
                <c:pt idx="14">
                  <c:v>1.14E-2</c:v>
                </c:pt>
                <c:pt idx="15">
                  <c:v>-2.3E-3</c:v>
                </c:pt>
                <c:pt idx="16">
                  <c:v>0.02</c:v>
                </c:pt>
              </c:numCache>
            </c:numRef>
          </c:val>
          <c:extLst>
            <c:ext xmlns:c16="http://schemas.microsoft.com/office/drawing/2014/chart" uri="{C3380CC4-5D6E-409C-BE32-E72D297353CC}">
              <c16:uniqueId val="{00000002-1D4D-48E0-B588-4F76695BF4D8}"/>
            </c:ext>
          </c:extLst>
        </c:ser>
        <c:dLbls>
          <c:showLegendKey val="0"/>
          <c:showVal val="0"/>
          <c:showCatName val="0"/>
          <c:showSerName val="0"/>
          <c:showPercent val="0"/>
          <c:showBubbleSize val="0"/>
        </c:dLbls>
        <c:gapWidth val="219"/>
        <c:overlap val="-27"/>
        <c:axId val="467265007"/>
        <c:axId val="467265423"/>
      </c:barChart>
      <c:catAx>
        <c:axId val="4672650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265423"/>
        <c:crosses val="autoZero"/>
        <c:auto val="1"/>
        <c:lblAlgn val="ctr"/>
        <c:lblOffset val="100"/>
        <c:noMultiLvlLbl val="0"/>
      </c:catAx>
      <c:valAx>
        <c:axId val="467265423"/>
        <c:scaling>
          <c:orientation val="minMax"/>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2650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areaChart>
        <c:grouping val="percentStacked"/>
        <c:varyColors val="0"/>
        <c:ser>
          <c:idx val="0"/>
          <c:order val="0"/>
          <c:tx>
            <c:v>Childless</c:v>
          </c:tx>
          <c:spPr>
            <a:solidFill>
              <a:schemeClr val="accent1">
                <a:lumMod val="20000"/>
                <a:lumOff val="80000"/>
              </a:schemeClr>
            </a:solidFill>
            <a:ln>
              <a:noFill/>
            </a:ln>
            <a:effectLst/>
          </c:spPr>
          <c:cat>
            <c:numRef>
              <c:f>'[TFR for Ester.xlsx]Sheet3'!$P$1:$P$27</c:f>
              <c:numCache>
                <c:formatCode>General</c:formatCode>
                <c:ptCount val="27"/>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numCache>
            </c:numRef>
          </c:cat>
          <c:val>
            <c:numRef>
              <c:f>'[TFR for Ester.xlsx]Sheet3'!$A$1:$A$27</c:f>
              <c:numCache>
                <c:formatCode>General</c:formatCode>
                <c:ptCount val="27"/>
                <c:pt idx="0">
                  <c:v>9.6393757825076012</c:v>
                </c:pt>
                <c:pt idx="1">
                  <c:v>9.7793577639883775</c:v>
                </c:pt>
                <c:pt idx="2">
                  <c:v>9.9043769629843492</c:v>
                </c:pt>
                <c:pt idx="3">
                  <c:v>10.13975726369989</c:v>
                </c:pt>
                <c:pt idx="4">
                  <c:v>10.573979591836736</c:v>
                </c:pt>
                <c:pt idx="5">
                  <c:v>10.769675875189591</c:v>
                </c:pt>
                <c:pt idx="6">
                  <c:v>11.005530159056278</c:v>
                </c:pt>
                <c:pt idx="7">
                  <c:v>11.498834577576597</c:v>
                </c:pt>
                <c:pt idx="8">
                  <c:v>11.994351758137713</c:v>
                </c:pt>
                <c:pt idx="9">
                  <c:v>12.455289016640963</c:v>
                </c:pt>
                <c:pt idx="10">
                  <c:v>12.611131745943938</c:v>
                </c:pt>
                <c:pt idx="11">
                  <c:v>13.155775116791066</c:v>
                </c:pt>
                <c:pt idx="12">
                  <c:v>13.300923308837383</c:v>
                </c:pt>
                <c:pt idx="13">
                  <c:v>13.49324240273377</c:v>
                </c:pt>
                <c:pt idx="14">
                  <c:v>13.911034837326843</c:v>
                </c:pt>
                <c:pt idx="15">
                  <c:v>13.880048442516756</c:v>
                </c:pt>
                <c:pt idx="16">
                  <c:v>14.248846164349892</c:v>
                </c:pt>
                <c:pt idx="17">
                  <c:v>14.702580605656513</c:v>
                </c:pt>
                <c:pt idx="18">
                  <c:v>14.844251169888784</c:v>
                </c:pt>
                <c:pt idx="19">
                  <c:v>15.039507802876139</c:v>
                </c:pt>
                <c:pt idx="20">
                  <c:v>15.397915293750842</c:v>
                </c:pt>
                <c:pt idx="21">
                  <c:v>15.419210218381243</c:v>
                </c:pt>
                <c:pt idx="22">
                  <c:v>15.549635643508536</c:v>
                </c:pt>
                <c:pt idx="23">
                  <c:v>15.545983288733547</c:v>
                </c:pt>
                <c:pt idx="24">
                  <c:v>15.549863342883926</c:v>
                </c:pt>
                <c:pt idx="25">
                  <c:v>15.918806905329113</c:v>
                </c:pt>
                <c:pt idx="26">
                  <c:v>16.246707691560765</c:v>
                </c:pt>
              </c:numCache>
            </c:numRef>
          </c:val>
          <c:extLst>
            <c:ext xmlns:c16="http://schemas.microsoft.com/office/drawing/2014/chart" uri="{C3380CC4-5D6E-409C-BE32-E72D297353CC}">
              <c16:uniqueId val="{00000000-5A88-4EC2-9A3C-A284E3C91053}"/>
            </c:ext>
          </c:extLst>
        </c:ser>
        <c:ser>
          <c:idx val="1"/>
          <c:order val="1"/>
          <c:tx>
            <c:v>1 child</c:v>
          </c:tx>
          <c:spPr>
            <a:solidFill>
              <a:schemeClr val="accent1">
                <a:lumMod val="40000"/>
                <a:lumOff val="60000"/>
              </a:schemeClr>
            </a:solidFill>
            <a:ln>
              <a:noFill/>
            </a:ln>
            <a:effectLst/>
          </c:spPr>
          <c:cat>
            <c:numRef>
              <c:f>'[TFR for Ester.xlsx]Sheet3'!$P$1:$P$27</c:f>
              <c:numCache>
                <c:formatCode>General</c:formatCode>
                <c:ptCount val="27"/>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numCache>
            </c:numRef>
          </c:cat>
          <c:val>
            <c:numRef>
              <c:f>'[TFR for Ester.xlsx]Sheet3'!$B$1:$B$27</c:f>
              <c:numCache>
                <c:formatCode>General</c:formatCode>
                <c:ptCount val="27"/>
                <c:pt idx="0">
                  <c:v>8.7942675728849942</c:v>
                </c:pt>
                <c:pt idx="1">
                  <c:v>9.1343544112481769</c:v>
                </c:pt>
                <c:pt idx="2">
                  <c:v>9.5395571419822751</c:v>
                </c:pt>
                <c:pt idx="3">
                  <c:v>9.7324383964692895</c:v>
                </c:pt>
                <c:pt idx="4">
                  <c:v>10.153061224489795</c:v>
                </c:pt>
                <c:pt idx="5">
                  <c:v>10.419863055733336</c:v>
                </c:pt>
                <c:pt idx="6">
                  <c:v>10.717037341414557</c:v>
                </c:pt>
                <c:pt idx="7">
                  <c:v>10.998040739114279</c:v>
                </c:pt>
                <c:pt idx="8">
                  <c:v>11.37157595742597</c:v>
                </c:pt>
                <c:pt idx="9">
                  <c:v>11.888478898030698</c:v>
                </c:pt>
                <c:pt idx="10">
                  <c:v>12.335327448454626</c:v>
                </c:pt>
                <c:pt idx="11">
                  <c:v>12.426262455795827</c:v>
                </c:pt>
                <c:pt idx="12">
                  <c:v>12.596947427925381</c:v>
                </c:pt>
                <c:pt idx="13">
                  <c:v>12.513445679455002</c:v>
                </c:pt>
                <c:pt idx="14">
                  <c:v>12.37807659722373</c:v>
                </c:pt>
                <c:pt idx="15">
                  <c:v>12.528164253928914</c:v>
                </c:pt>
                <c:pt idx="16">
                  <c:v>12.657372258786904</c:v>
                </c:pt>
                <c:pt idx="17">
                  <c:v>12.741782951537953</c:v>
                </c:pt>
                <c:pt idx="18">
                  <c:v>13.621354437474256</c:v>
                </c:pt>
                <c:pt idx="19">
                  <c:v>13.643633492816454</c:v>
                </c:pt>
                <c:pt idx="20">
                  <c:v>13.604444349964215</c:v>
                </c:pt>
                <c:pt idx="21">
                  <c:v>13.766195316575264</c:v>
                </c:pt>
                <c:pt idx="22">
                  <c:v>13.882193750264282</c:v>
                </c:pt>
                <c:pt idx="23">
                  <c:v>14.279667959150238</c:v>
                </c:pt>
                <c:pt idx="24">
                  <c:v>14.492256096755879</c:v>
                </c:pt>
                <c:pt idx="25">
                  <c:v>14.627810592957607</c:v>
                </c:pt>
                <c:pt idx="26">
                  <c:v>14.755610579082159</c:v>
                </c:pt>
              </c:numCache>
            </c:numRef>
          </c:val>
          <c:extLst>
            <c:ext xmlns:c16="http://schemas.microsoft.com/office/drawing/2014/chart" uri="{C3380CC4-5D6E-409C-BE32-E72D297353CC}">
              <c16:uniqueId val="{00000001-5A88-4EC2-9A3C-A284E3C91053}"/>
            </c:ext>
          </c:extLst>
        </c:ser>
        <c:ser>
          <c:idx val="2"/>
          <c:order val="2"/>
          <c:tx>
            <c:v>2 children</c:v>
          </c:tx>
          <c:spPr>
            <a:solidFill>
              <a:schemeClr val="accent1">
                <a:lumMod val="60000"/>
                <a:lumOff val="40000"/>
              </a:schemeClr>
            </a:solidFill>
            <a:ln>
              <a:noFill/>
            </a:ln>
            <a:effectLst/>
          </c:spPr>
          <c:cat>
            <c:numRef>
              <c:f>'[TFR for Ester.xlsx]Sheet3'!$P$1:$P$27</c:f>
              <c:numCache>
                <c:formatCode>General</c:formatCode>
                <c:ptCount val="27"/>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numCache>
            </c:numRef>
          </c:cat>
          <c:val>
            <c:numRef>
              <c:f>'[TFR for Ester.xlsx]Sheet3'!$C$1:$C$27</c:f>
              <c:numCache>
                <c:formatCode>General</c:formatCode>
                <c:ptCount val="27"/>
                <c:pt idx="0">
                  <c:v>36.56769808620998</c:v>
                </c:pt>
                <c:pt idx="1">
                  <c:v>37.775270614030418</c:v>
                </c:pt>
                <c:pt idx="2">
                  <c:v>38.483679343499297</c:v>
                </c:pt>
                <c:pt idx="3">
                  <c:v>38.665869805075396</c:v>
                </c:pt>
                <c:pt idx="4">
                  <c:v>38.723578717201171</c:v>
                </c:pt>
                <c:pt idx="5">
                  <c:v>38.710865238775746</c:v>
                </c:pt>
                <c:pt idx="6">
                  <c:v>38.331021966545102</c:v>
                </c:pt>
                <c:pt idx="7">
                  <c:v>38.349998310981995</c:v>
                </c:pt>
                <c:pt idx="8">
                  <c:v>37.961572366058313</c:v>
                </c:pt>
                <c:pt idx="9">
                  <c:v>37.401393610063707</c:v>
                </c:pt>
                <c:pt idx="10">
                  <c:v>37.297592046720773</c:v>
                </c:pt>
                <c:pt idx="11">
                  <c:v>36.997261450894051</c:v>
                </c:pt>
                <c:pt idx="12">
                  <c:v>37.11324665536084</c:v>
                </c:pt>
                <c:pt idx="13">
                  <c:v>36.945434322886562</c:v>
                </c:pt>
                <c:pt idx="14">
                  <c:v>37.305121688064361</c:v>
                </c:pt>
                <c:pt idx="15">
                  <c:v>37.731650988565313</c:v>
                </c:pt>
                <c:pt idx="16">
                  <c:v>37.75841822104487</c:v>
                </c:pt>
                <c:pt idx="17">
                  <c:v>37.97429599744185</c:v>
                </c:pt>
                <c:pt idx="18">
                  <c:v>37.931407040265782</c:v>
                </c:pt>
                <c:pt idx="19">
                  <c:v>38.124179047593124</c:v>
                </c:pt>
                <c:pt idx="20">
                  <c:v>38.417550647307671</c:v>
                </c:pt>
                <c:pt idx="21">
                  <c:v>38.50079654875865</c:v>
                </c:pt>
                <c:pt idx="22">
                  <c:v>38.808547225393603</c:v>
                </c:pt>
                <c:pt idx="23">
                  <c:v>38.654360766752227</c:v>
                </c:pt>
                <c:pt idx="24">
                  <c:v>38.908327501749476</c:v>
                </c:pt>
                <c:pt idx="25">
                  <c:v>38.981822928564434</c:v>
                </c:pt>
                <c:pt idx="26">
                  <c:v>39.115051766619331</c:v>
                </c:pt>
              </c:numCache>
            </c:numRef>
          </c:val>
          <c:extLst>
            <c:ext xmlns:c16="http://schemas.microsoft.com/office/drawing/2014/chart" uri="{C3380CC4-5D6E-409C-BE32-E72D297353CC}">
              <c16:uniqueId val="{00000002-5A88-4EC2-9A3C-A284E3C91053}"/>
            </c:ext>
          </c:extLst>
        </c:ser>
        <c:ser>
          <c:idx val="3"/>
          <c:order val="3"/>
          <c:tx>
            <c:v>3 children</c:v>
          </c:tx>
          <c:spPr>
            <a:solidFill>
              <a:schemeClr val="accent1">
                <a:lumMod val="75000"/>
              </a:schemeClr>
            </a:solidFill>
            <a:ln>
              <a:noFill/>
            </a:ln>
            <a:effectLst/>
          </c:spPr>
          <c:cat>
            <c:numRef>
              <c:f>'[TFR for Ester.xlsx]Sheet3'!$P$1:$P$27</c:f>
              <c:numCache>
                <c:formatCode>General</c:formatCode>
                <c:ptCount val="27"/>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numCache>
            </c:numRef>
          </c:cat>
          <c:val>
            <c:numRef>
              <c:f>'[TFR for Ester.xlsx]Sheet3'!$D$1:$D$27</c:f>
              <c:numCache>
                <c:formatCode>General</c:formatCode>
                <c:ptCount val="27"/>
                <c:pt idx="0">
                  <c:v>26.778527991414773</c:v>
                </c:pt>
                <c:pt idx="1">
                  <c:v>26.250359222164271</c:v>
                </c:pt>
                <c:pt idx="2">
                  <c:v>26.026438501176695</c:v>
                </c:pt>
                <c:pt idx="3">
                  <c:v>25.839463037881572</c:v>
                </c:pt>
                <c:pt idx="4">
                  <c:v>25.360787172011662</c:v>
                </c:pt>
                <c:pt idx="5">
                  <c:v>25.071672175414911</c:v>
                </c:pt>
                <c:pt idx="6">
                  <c:v>25.361686099268923</c:v>
                </c:pt>
                <c:pt idx="7">
                  <c:v>24.802384893422964</c:v>
                </c:pt>
                <c:pt idx="8">
                  <c:v>24.582095399784517</c:v>
                </c:pt>
                <c:pt idx="9">
                  <c:v>24.3873686930263</c:v>
                </c:pt>
                <c:pt idx="10">
                  <c:v>24.179106836627444</c:v>
                </c:pt>
                <c:pt idx="11">
                  <c:v>23.802364204018073</c:v>
                </c:pt>
                <c:pt idx="12">
                  <c:v>23.587714339551535</c:v>
                </c:pt>
                <c:pt idx="13">
                  <c:v>23.758789998609696</c:v>
                </c:pt>
                <c:pt idx="14">
                  <c:v>23.301399720490373</c:v>
                </c:pt>
                <c:pt idx="15">
                  <c:v>23.039767926547626</c:v>
                </c:pt>
                <c:pt idx="16">
                  <c:v>22.832973755359532</c:v>
                </c:pt>
                <c:pt idx="17">
                  <c:v>22.322613126866738</c:v>
                </c:pt>
                <c:pt idx="18">
                  <c:v>21.835222937248044</c:v>
                </c:pt>
                <c:pt idx="19">
                  <c:v>21.584667841805448</c:v>
                </c:pt>
                <c:pt idx="20">
                  <c:v>21.140423602105965</c:v>
                </c:pt>
                <c:pt idx="21">
                  <c:v>21.096558627398458</c:v>
                </c:pt>
                <c:pt idx="22">
                  <c:v>20.727444430349415</c:v>
                </c:pt>
                <c:pt idx="23">
                  <c:v>20.548440827917645</c:v>
                </c:pt>
                <c:pt idx="24">
                  <c:v>20.416705177126108</c:v>
                </c:pt>
                <c:pt idx="25">
                  <c:v>20.139673008517441</c:v>
                </c:pt>
                <c:pt idx="26">
                  <c:v>19.670101591231841</c:v>
                </c:pt>
              </c:numCache>
            </c:numRef>
          </c:val>
          <c:extLst>
            <c:ext xmlns:c16="http://schemas.microsoft.com/office/drawing/2014/chart" uri="{C3380CC4-5D6E-409C-BE32-E72D297353CC}">
              <c16:uniqueId val="{00000003-5A88-4EC2-9A3C-A284E3C91053}"/>
            </c:ext>
          </c:extLst>
        </c:ser>
        <c:ser>
          <c:idx val="4"/>
          <c:order val="4"/>
          <c:tx>
            <c:v>4 + children</c:v>
          </c:tx>
          <c:spPr>
            <a:solidFill>
              <a:schemeClr val="accent1">
                <a:lumMod val="50000"/>
              </a:schemeClr>
            </a:solidFill>
            <a:ln>
              <a:noFill/>
            </a:ln>
            <a:effectLst/>
          </c:spPr>
          <c:cat>
            <c:numRef>
              <c:f>'[TFR for Ester.xlsx]Sheet3'!$P$1:$P$27</c:f>
              <c:numCache>
                <c:formatCode>General</c:formatCode>
                <c:ptCount val="27"/>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numCache>
            </c:numRef>
          </c:cat>
          <c:val>
            <c:numRef>
              <c:f>'[TFR for Ester.xlsx]Sheet3'!$E$1:$E$27</c:f>
              <c:numCache>
                <c:formatCode>General</c:formatCode>
                <c:ptCount val="27"/>
                <c:pt idx="0">
                  <c:v>18.212305490967626</c:v>
                </c:pt>
                <c:pt idx="1">
                  <c:v>17.052143092823009</c:v>
                </c:pt>
                <c:pt idx="2">
                  <c:v>16.043323447328593</c:v>
                </c:pt>
                <c:pt idx="3">
                  <c:v>15.612357484369255</c:v>
                </c:pt>
                <c:pt idx="4">
                  <c:v>15.181304664723033</c:v>
                </c:pt>
                <c:pt idx="5">
                  <c:v>15.018279692445272</c:v>
                </c:pt>
                <c:pt idx="6">
                  <c:v>14.574451692434126</c:v>
                </c:pt>
                <c:pt idx="7">
                  <c:v>14.3473634428943</c:v>
                </c:pt>
                <c:pt idx="8">
                  <c:v>14.079793659603643</c:v>
                </c:pt>
                <c:pt idx="9">
                  <c:v>13.852936189453457</c:v>
                </c:pt>
                <c:pt idx="10">
                  <c:v>13.563407328965774</c:v>
                </c:pt>
                <c:pt idx="11">
                  <c:v>13.604528961882773</c:v>
                </c:pt>
                <c:pt idx="12">
                  <c:v>13.388355002826454</c:v>
                </c:pt>
                <c:pt idx="13">
                  <c:v>13.28323369505565</c:v>
                </c:pt>
                <c:pt idx="14">
                  <c:v>13.095677738434022</c:v>
                </c:pt>
                <c:pt idx="15">
                  <c:v>12.806990367825154</c:v>
                </c:pt>
                <c:pt idx="16">
                  <c:v>12.494879427588279</c:v>
                </c:pt>
                <c:pt idx="17">
                  <c:v>12.251923718031582</c:v>
                </c:pt>
                <c:pt idx="18">
                  <c:v>11.760336549824094</c:v>
                </c:pt>
                <c:pt idx="19">
                  <c:v>11.595761333396855</c:v>
                </c:pt>
                <c:pt idx="20">
                  <c:v>11.429745682844043</c:v>
                </c:pt>
                <c:pt idx="21">
                  <c:v>11.201026349550972</c:v>
                </c:pt>
                <c:pt idx="22">
                  <c:v>11.025131436142473</c:v>
                </c:pt>
                <c:pt idx="23">
                  <c:v>10.957894161979139</c:v>
                </c:pt>
                <c:pt idx="24">
                  <c:v>10.616343398867132</c:v>
                </c:pt>
                <c:pt idx="25">
                  <c:v>10.315569624384036</c:v>
                </c:pt>
                <c:pt idx="26">
                  <c:v>10.207066477321002</c:v>
                </c:pt>
              </c:numCache>
            </c:numRef>
          </c:val>
          <c:extLst>
            <c:ext xmlns:c16="http://schemas.microsoft.com/office/drawing/2014/chart" uri="{C3380CC4-5D6E-409C-BE32-E72D297353CC}">
              <c16:uniqueId val="{00000004-5A88-4EC2-9A3C-A284E3C91053}"/>
            </c:ext>
          </c:extLst>
        </c:ser>
        <c:dLbls>
          <c:showLegendKey val="0"/>
          <c:showVal val="0"/>
          <c:showCatName val="0"/>
          <c:showSerName val="0"/>
          <c:showPercent val="0"/>
          <c:showBubbleSize val="0"/>
        </c:dLbls>
        <c:axId val="476638824"/>
        <c:axId val="476634232"/>
      </c:areaChart>
      <c:lineChart>
        <c:grouping val="standard"/>
        <c:varyColors val="0"/>
        <c:ser>
          <c:idx val="5"/>
          <c:order val="5"/>
          <c:tx>
            <c:v>Average number of children</c:v>
          </c:tx>
          <c:spPr>
            <a:ln w="28575" cap="rnd">
              <a:solidFill>
                <a:srgbClr val="002060"/>
              </a:solidFill>
              <a:round/>
            </a:ln>
            <a:effectLst/>
          </c:spPr>
          <c:marker>
            <c:symbol val="circle"/>
            <c:size val="6"/>
            <c:spPr>
              <a:solidFill>
                <a:schemeClr val="accent2"/>
              </a:solidFill>
              <a:ln w="9525">
                <a:solidFill>
                  <a:srgbClr val="002060"/>
                </a:solidFill>
              </a:ln>
              <a:effectLst/>
            </c:spPr>
          </c:marker>
          <c:val>
            <c:numRef>
              <c:f>'[TFR for Ester.xlsx]Sheet3'!$N$1:$N$27</c:f>
              <c:numCache>
                <c:formatCode>General</c:formatCode>
                <c:ptCount val="27"/>
                <c:pt idx="0">
                  <c:v>2.4623390270076908</c:v>
                </c:pt>
                <c:pt idx="1">
                  <c:v>2.4171766734431044</c:v>
                </c:pt>
                <c:pt idx="2">
                  <c:v>2.3754757092989687</c:v>
                </c:pt>
                <c:pt idx="3">
                  <c:v>2.357741816844428</c:v>
                </c:pt>
                <c:pt idx="4">
                  <c:v>2.3239067055393585</c:v>
                </c:pt>
                <c:pt idx="5">
                  <c:v>2.3124556158546743</c:v>
                </c:pt>
                <c:pt idx="6">
                  <c:v>2.2941856284349478</c:v>
                </c:pt>
                <c:pt idx="7">
                  <c:v>2.270614464750194</c:v>
                </c:pt>
                <c:pt idx="8">
                  <c:v>2.2462045773613242</c:v>
                </c:pt>
                <c:pt idx="9">
                  <c:v>2.2257632154766616</c:v>
                </c:pt>
                <c:pt idx="10">
                  <c:v>2.2076197852045616</c:v>
                </c:pt>
                <c:pt idx="11">
                  <c:v>2.1957794125543684</c:v>
                </c:pt>
                <c:pt idx="12">
                  <c:v>2.1832447710570944</c:v>
                </c:pt>
                <c:pt idx="13">
                  <c:v>2.1784927667732563</c:v>
                </c:pt>
                <c:pt idx="14">
                  <c:v>2.1618983482863743</c:v>
                </c:pt>
                <c:pt idx="15">
                  <c:v>2.1507702923449559</c:v>
                </c:pt>
                <c:pt idx="16">
                  <c:v>2.1344047846628613</c:v>
                </c:pt>
                <c:pt idx="17">
                  <c:v>2.1136201277716169</c:v>
                </c:pt>
                <c:pt idx="18">
                  <c:v>2.0861024640254979</c:v>
                </c:pt>
                <c:pt idx="19">
                  <c:v>2.0741766655550489</c:v>
                </c:pt>
                <c:pt idx="20">
                  <c:v>2.0631647569850413</c:v>
                </c:pt>
                <c:pt idx="21">
                  <c:v>2.0561108683086378</c:v>
                </c:pt>
                <c:pt idx="22">
                  <c:v>2.0427572695110436</c:v>
                </c:pt>
                <c:pt idx="23">
                  <c:v>2.0363442739337012</c:v>
                </c:pt>
                <c:pt idx="24">
                  <c:v>2.0246907059957486</c:v>
                </c:pt>
                <c:pt idx="25">
                  <c:v>2.0050125640439904</c:v>
                </c:pt>
                <c:pt idx="26">
                  <c:v>1.9901503841532244</c:v>
                </c:pt>
              </c:numCache>
            </c:numRef>
          </c:val>
          <c:smooth val="0"/>
          <c:extLst>
            <c:ext xmlns:c16="http://schemas.microsoft.com/office/drawing/2014/chart" uri="{C3380CC4-5D6E-409C-BE32-E72D297353CC}">
              <c16:uniqueId val="{00000005-5A88-4EC2-9A3C-A284E3C91053}"/>
            </c:ext>
          </c:extLst>
        </c:ser>
        <c:dLbls>
          <c:showLegendKey val="0"/>
          <c:showVal val="0"/>
          <c:showCatName val="0"/>
          <c:showSerName val="0"/>
          <c:showPercent val="0"/>
          <c:showBubbleSize val="0"/>
        </c:dLbls>
        <c:marker val="1"/>
        <c:smooth val="0"/>
        <c:axId val="550129064"/>
        <c:axId val="550130048"/>
      </c:lineChart>
      <c:catAx>
        <c:axId val="47663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634232"/>
        <c:crosses val="autoZero"/>
        <c:auto val="1"/>
        <c:lblAlgn val="ctr"/>
        <c:lblOffset val="100"/>
        <c:noMultiLvlLbl val="0"/>
      </c:catAx>
      <c:valAx>
        <c:axId val="476634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distribution of number</a:t>
                </a:r>
                <a:r>
                  <a:rPr lang="en-AU" baseline="0"/>
                  <a:t> of children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638824"/>
        <c:crosses val="autoZero"/>
        <c:crossBetween val="between"/>
      </c:valAx>
      <c:valAx>
        <c:axId val="550130048"/>
        <c:scaling>
          <c:orientation val="minMax"/>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 number of children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129064"/>
        <c:crosses val="max"/>
        <c:crossBetween val="between"/>
        <c:majorUnit val="0.1"/>
      </c:valAx>
      <c:catAx>
        <c:axId val="550129064"/>
        <c:scaling>
          <c:orientation val="minMax"/>
        </c:scaling>
        <c:delete val="1"/>
        <c:axPos val="b"/>
        <c:majorTickMark val="none"/>
        <c:minorTickMark val="none"/>
        <c:tickLblPos val="nextTo"/>
        <c:crossAx val="550130048"/>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'[TFR countries.xlsx]Sheet6'!$D$38</c:f>
              <c:strCache>
                <c:ptCount val="1"/>
                <c:pt idx="0">
                  <c:v>1945-49</c:v>
                </c:pt>
              </c:strCache>
            </c:strRef>
          </c:tx>
          <c:spPr>
            <a:ln w="28575" cap="rnd">
              <a:solidFill>
                <a:schemeClr val="tx2"/>
              </a:solidFill>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countries.xlsx]Sheet6'!$D$39:$D$73</c:f>
              <c:numCache>
                <c:formatCode>0.0000</c:formatCode>
                <c:ptCount val="35"/>
                <c:pt idx="0">
                  <c:v>3.7620000000000002E-3</c:v>
                </c:pt>
                <c:pt idx="1">
                  <c:v>1.5938000000000001E-2</c:v>
                </c:pt>
                <c:pt idx="2">
                  <c:v>4.1926000000000005E-2</c:v>
                </c:pt>
                <c:pt idx="3">
                  <c:v>7.4450000000000002E-2</c:v>
                </c:pt>
                <c:pt idx="4">
                  <c:v>0.10349</c:v>
                </c:pt>
                <c:pt idx="5">
                  <c:v>0.128446</c:v>
                </c:pt>
                <c:pt idx="6">
                  <c:v>0.15390000000000001</c:v>
                </c:pt>
                <c:pt idx="7">
                  <c:v>0.17880000000000001</c:v>
                </c:pt>
                <c:pt idx="8">
                  <c:v>0.197546</c:v>
                </c:pt>
                <c:pt idx="9">
                  <c:v>0.202184</c:v>
                </c:pt>
                <c:pt idx="10">
                  <c:v>0.19647000000000001</c:v>
                </c:pt>
                <c:pt idx="11">
                  <c:v>0.18273200000000003</c:v>
                </c:pt>
                <c:pt idx="12">
                  <c:v>0.16117199999999998</c:v>
                </c:pt>
                <c:pt idx="13">
                  <c:v>0.14161000000000001</c:v>
                </c:pt>
                <c:pt idx="14">
                  <c:v>0.12261</c:v>
                </c:pt>
                <c:pt idx="15">
                  <c:v>0.103698</c:v>
                </c:pt>
                <c:pt idx="16">
                  <c:v>8.5400000000000004E-2</c:v>
                </c:pt>
                <c:pt idx="17">
                  <c:v>7.2134000000000004E-2</c:v>
                </c:pt>
                <c:pt idx="18">
                  <c:v>5.8940000000000006E-2</c:v>
                </c:pt>
                <c:pt idx="19">
                  <c:v>4.8956E-2</c:v>
                </c:pt>
                <c:pt idx="20">
                  <c:v>3.8825999999999999E-2</c:v>
                </c:pt>
                <c:pt idx="21">
                  <c:v>3.0848000000000004E-2</c:v>
                </c:pt>
                <c:pt idx="22">
                  <c:v>2.3702000000000001E-2</c:v>
                </c:pt>
                <c:pt idx="23">
                  <c:v>1.7868000000000002E-2</c:v>
                </c:pt>
                <c:pt idx="24">
                  <c:v>1.3402000000000001E-2</c:v>
                </c:pt>
                <c:pt idx="25">
                  <c:v>9.3200000000000002E-3</c:v>
                </c:pt>
                <c:pt idx="26">
                  <c:v>6.202E-3</c:v>
                </c:pt>
                <c:pt idx="27">
                  <c:v>4.078E-3</c:v>
                </c:pt>
                <c:pt idx="28">
                  <c:v>2.4479999999999997E-3</c:v>
                </c:pt>
                <c:pt idx="29">
                  <c:v>1.2980000000000001E-3</c:v>
                </c:pt>
                <c:pt idx="30">
                  <c:v>6.3199999999999997E-4</c:v>
                </c:pt>
                <c:pt idx="31">
                  <c:v>3.1599999999999998E-4</c:v>
                </c:pt>
                <c:pt idx="32">
                  <c:v>1.4200000000000001E-4</c:v>
                </c:pt>
                <c:pt idx="33">
                  <c:v>6.0000000000000008E-5</c:v>
                </c:pt>
                <c:pt idx="34">
                  <c:v>3.4030920000000001E-5</c:v>
                </c:pt>
              </c:numCache>
            </c:numRef>
          </c:val>
          <c:smooth val="0"/>
          <c:extLst>
            <c:ext xmlns:c16="http://schemas.microsoft.com/office/drawing/2014/chart" uri="{C3380CC4-5D6E-409C-BE32-E72D297353CC}">
              <c16:uniqueId val="{00000000-1DE5-AB43-B5DA-9C1E38AC16C4}"/>
            </c:ext>
          </c:extLst>
        </c:ser>
        <c:ser>
          <c:idx val="1"/>
          <c:order val="1"/>
          <c:tx>
            <c:strRef>
              <c:f>'[TFR countries.xlsx]Sheet6'!$E$38</c:f>
              <c:strCache>
                <c:ptCount val="1"/>
                <c:pt idx="0">
                  <c:v>1950-54</c:v>
                </c:pt>
              </c:strCache>
            </c:strRef>
          </c:tx>
          <c:spPr>
            <a:ln w="28575" cap="rnd">
              <a:solidFill>
                <a:schemeClr val="accent1"/>
              </a:solidFill>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countries.xlsx]Sheet6'!$E$39:$E$73</c:f>
              <c:numCache>
                <c:formatCode>0.0000</c:formatCode>
                <c:ptCount val="35"/>
                <c:pt idx="0">
                  <c:v>4.2760000000000003E-3</c:v>
                </c:pt>
                <c:pt idx="1">
                  <c:v>1.7736000000000002E-2</c:v>
                </c:pt>
                <c:pt idx="2">
                  <c:v>4.6272000000000001E-2</c:v>
                </c:pt>
                <c:pt idx="3">
                  <c:v>7.9156000000000004E-2</c:v>
                </c:pt>
                <c:pt idx="4">
                  <c:v>0.10294600000000001</c:v>
                </c:pt>
                <c:pt idx="5">
                  <c:v>0.120618</c:v>
                </c:pt>
                <c:pt idx="6">
                  <c:v>0.135852</c:v>
                </c:pt>
                <c:pt idx="7">
                  <c:v>0.147372</c:v>
                </c:pt>
                <c:pt idx="8">
                  <c:v>0.15647799999999998</c:v>
                </c:pt>
                <c:pt idx="9">
                  <c:v>0.160858</c:v>
                </c:pt>
                <c:pt idx="10">
                  <c:v>0.161164</c:v>
                </c:pt>
                <c:pt idx="11">
                  <c:v>0.15565800000000002</c:v>
                </c:pt>
                <c:pt idx="12">
                  <c:v>0.14929399999999998</c:v>
                </c:pt>
                <c:pt idx="13">
                  <c:v>0.13872799999999999</c:v>
                </c:pt>
                <c:pt idx="14">
                  <c:v>0.12717000000000001</c:v>
                </c:pt>
                <c:pt idx="15">
                  <c:v>0.112152</c:v>
                </c:pt>
                <c:pt idx="16">
                  <c:v>9.7394000000000008E-2</c:v>
                </c:pt>
                <c:pt idx="17">
                  <c:v>8.2546000000000008E-2</c:v>
                </c:pt>
                <c:pt idx="18">
                  <c:v>6.9845999999999991E-2</c:v>
                </c:pt>
                <c:pt idx="19">
                  <c:v>5.7938000000000003E-2</c:v>
                </c:pt>
                <c:pt idx="20">
                  <c:v>4.7890000000000002E-2</c:v>
                </c:pt>
                <c:pt idx="21">
                  <c:v>3.8533999999999999E-2</c:v>
                </c:pt>
                <c:pt idx="22">
                  <c:v>3.0117999999999999E-2</c:v>
                </c:pt>
                <c:pt idx="23">
                  <c:v>2.3865999999999998E-2</c:v>
                </c:pt>
                <c:pt idx="24">
                  <c:v>1.7664000000000003E-2</c:v>
                </c:pt>
                <c:pt idx="25">
                  <c:v>1.2931999999999999E-2</c:v>
                </c:pt>
                <c:pt idx="26">
                  <c:v>8.4019999999999997E-3</c:v>
                </c:pt>
                <c:pt idx="27">
                  <c:v>5.5400000000000007E-3</c:v>
                </c:pt>
                <c:pt idx="28">
                  <c:v>3.2799999999999995E-3</c:v>
                </c:pt>
                <c:pt idx="29">
                  <c:v>1.5941270000000001E-3</c:v>
                </c:pt>
                <c:pt idx="30">
                  <c:v>7.7662559999999996E-4</c:v>
                </c:pt>
                <c:pt idx="31">
                  <c:v>3.7808779999999999E-4</c:v>
                </c:pt>
                <c:pt idx="32">
                  <c:v>1.86579E-4</c:v>
                </c:pt>
                <c:pt idx="33">
                  <c:v>8.3915840000000017E-5</c:v>
                </c:pt>
                <c:pt idx="34">
                  <c:v>1.5132471999999999E-4</c:v>
                </c:pt>
              </c:numCache>
            </c:numRef>
          </c:val>
          <c:smooth val="0"/>
          <c:extLst>
            <c:ext xmlns:c16="http://schemas.microsoft.com/office/drawing/2014/chart" uri="{C3380CC4-5D6E-409C-BE32-E72D297353CC}">
              <c16:uniqueId val="{00000001-1DE5-AB43-B5DA-9C1E38AC16C4}"/>
            </c:ext>
          </c:extLst>
        </c:ser>
        <c:ser>
          <c:idx val="2"/>
          <c:order val="2"/>
          <c:tx>
            <c:strRef>
              <c:f>'[TFR countries.xlsx]Sheet6'!$F$38</c:f>
              <c:strCache>
                <c:ptCount val="1"/>
                <c:pt idx="0">
                  <c:v>1955-59</c:v>
                </c:pt>
              </c:strCache>
            </c:strRef>
          </c:tx>
          <c:spPr>
            <a:ln w="28575" cap="rnd">
              <a:solidFill>
                <a:schemeClr val="accent1">
                  <a:lumMod val="40000"/>
                  <a:lumOff val="60000"/>
                </a:schemeClr>
              </a:solidFill>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countries.xlsx]Sheet6'!$F$39:$F$73</c:f>
              <c:numCache>
                <c:formatCode>0.0000</c:formatCode>
                <c:ptCount val="35"/>
                <c:pt idx="0">
                  <c:v>6.0480000000000004E-3</c:v>
                </c:pt>
                <c:pt idx="1">
                  <c:v>2.146E-2</c:v>
                </c:pt>
                <c:pt idx="2">
                  <c:v>4.3217999999999999E-2</c:v>
                </c:pt>
                <c:pt idx="3">
                  <c:v>5.933200000000001E-2</c:v>
                </c:pt>
                <c:pt idx="4">
                  <c:v>7.3355999999999991E-2</c:v>
                </c:pt>
                <c:pt idx="5">
                  <c:v>8.6882000000000015E-2</c:v>
                </c:pt>
                <c:pt idx="6">
                  <c:v>0.10040199999999999</c:v>
                </c:pt>
                <c:pt idx="7">
                  <c:v>0.11428000000000001</c:v>
                </c:pt>
                <c:pt idx="8">
                  <c:v>0.12825000000000003</c:v>
                </c:pt>
                <c:pt idx="9">
                  <c:v>0.13960800000000001</c:v>
                </c:pt>
                <c:pt idx="10">
                  <c:v>0.1487</c:v>
                </c:pt>
                <c:pt idx="11">
                  <c:v>0.15179399999999998</c:v>
                </c:pt>
                <c:pt idx="12">
                  <c:v>0.149924</c:v>
                </c:pt>
                <c:pt idx="13">
                  <c:v>0.14384200000000003</c:v>
                </c:pt>
                <c:pt idx="14">
                  <c:v>0.134462</c:v>
                </c:pt>
                <c:pt idx="15">
                  <c:v>0.12275</c:v>
                </c:pt>
                <c:pt idx="16">
                  <c:v>0.109094</c:v>
                </c:pt>
                <c:pt idx="17">
                  <c:v>9.6130000000000007E-2</c:v>
                </c:pt>
                <c:pt idx="18">
                  <c:v>8.4066000000000002E-2</c:v>
                </c:pt>
                <c:pt idx="19">
                  <c:v>7.1559999999999999E-2</c:v>
                </c:pt>
                <c:pt idx="20">
                  <c:v>6.0104000000000005E-2</c:v>
                </c:pt>
                <c:pt idx="21">
                  <c:v>4.8905999999999991E-2</c:v>
                </c:pt>
                <c:pt idx="22">
                  <c:v>3.8766000000000009E-2</c:v>
                </c:pt>
                <c:pt idx="23">
                  <c:v>3.0268E-2</c:v>
                </c:pt>
                <c:pt idx="24">
                  <c:v>2.2737225600000001E-2</c:v>
                </c:pt>
                <c:pt idx="25">
                  <c:v>1.5997666599999998E-2</c:v>
                </c:pt>
                <c:pt idx="26">
                  <c:v>1.08256012E-2</c:v>
                </c:pt>
                <c:pt idx="27">
                  <c:v>7.0030653999999994E-3</c:v>
                </c:pt>
                <c:pt idx="28">
                  <c:v>4.1678226000000001E-3</c:v>
                </c:pt>
                <c:pt idx="29">
                  <c:v>2.2258717999999998E-3</c:v>
                </c:pt>
                <c:pt idx="30">
                  <c:v>1.1671476000000001E-3</c:v>
                </c:pt>
                <c:pt idx="31">
                  <c:v>5.7751999999999999E-4</c:v>
                </c:pt>
                <c:pt idx="32">
                  <c:v>2.6252380000000002E-4</c:v>
                </c:pt>
                <c:pt idx="33">
                  <c:v>1.673318E-4</c:v>
                </c:pt>
                <c:pt idx="34">
                  <c:v>2.9921519999999999E-4</c:v>
                </c:pt>
              </c:numCache>
            </c:numRef>
          </c:val>
          <c:smooth val="0"/>
          <c:extLst>
            <c:ext xmlns:c16="http://schemas.microsoft.com/office/drawing/2014/chart" uri="{C3380CC4-5D6E-409C-BE32-E72D297353CC}">
              <c16:uniqueId val="{00000002-1DE5-AB43-B5DA-9C1E38AC16C4}"/>
            </c:ext>
          </c:extLst>
        </c:ser>
        <c:ser>
          <c:idx val="3"/>
          <c:order val="3"/>
          <c:tx>
            <c:strRef>
              <c:f>'[TFR countries.xlsx]Sheet6'!$G$38</c:f>
              <c:strCache>
                <c:ptCount val="1"/>
                <c:pt idx="0">
                  <c:v>1960-64</c:v>
                </c:pt>
              </c:strCache>
            </c:strRef>
          </c:tx>
          <c:spPr>
            <a:ln w="28575" cap="rnd">
              <a:solidFill>
                <a:schemeClr val="accent4">
                  <a:lumMod val="60000"/>
                  <a:lumOff val="40000"/>
                </a:schemeClr>
              </a:solidFill>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countries.xlsx]Sheet6'!$G$39:$G$73</c:f>
              <c:numCache>
                <c:formatCode>0.0000</c:formatCode>
                <c:ptCount val="35"/>
                <c:pt idx="0">
                  <c:v>4.7460000000000002E-3</c:v>
                </c:pt>
                <c:pt idx="1">
                  <c:v>1.3573999999999999E-2</c:v>
                </c:pt>
                <c:pt idx="2">
                  <c:v>2.6619999999999998E-2</c:v>
                </c:pt>
                <c:pt idx="3">
                  <c:v>4.0781999999999999E-2</c:v>
                </c:pt>
                <c:pt idx="4">
                  <c:v>5.4635999999999997E-2</c:v>
                </c:pt>
                <c:pt idx="5">
                  <c:v>6.8246000000000001E-2</c:v>
                </c:pt>
                <c:pt idx="6">
                  <c:v>8.2640000000000005E-2</c:v>
                </c:pt>
                <c:pt idx="7">
                  <c:v>9.7145999999999996E-2</c:v>
                </c:pt>
                <c:pt idx="8">
                  <c:v>0.11047999999999999</c:v>
                </c:pt>
                <c:pt idx="9">
                  <c:v>0.12153800000000001</c:v>
                </c:pt>
                <c:pt idx="10">
                  <c:v>0.13173599999999999</c:v>
                </c:pt>
                <c:pt idx="11">
                  <c:v>0.138984</c:v>
                </c:pt>
                <c:pt idx="12">
                  <c:v>0.141648</c:v>
                </c:pt>
                <c:pt idx="13">
                  <c:v>0.14183999999999999</c:v>
                </c:pt>
                <c:pt idx="14">
                  <c:v>0.13775599999999999</c:v>
                </c:pt>
                <c:pt idx="15">
                  <c:v>0.12969</c:v>
                </c:pt>
                <c:pt idx="16">
                  <c:v>0.11837</c:v>
                </c:pt>
                <c:pt idx="17">
                  <c:v>0.107322</c:v>
                </c:pt>
                <c:pt idx="18">
                  <c:v>9.3296000000000004E-2</c:v>
                </c:pt>
                <c:pt idx="19">
                  <c:v>8.1116443400000002E-2</c:v>
                </c:pt>
                <c:pt idx="20">
                  <c:v>6.8827285799999999E-2</c:v>
                </c:pt>
                <c:pt idx="21">
                  <c:v>5.7019221600000003E-2</c:v>
                </c:pt>
                <c:pt idx="22">
                  <c:v>4.5335971999999995E-2</c:v>
                </c:pt>
                <c:pt idx="23">
                  <c:v>3.5774066600000001E-2</c:v>
                </c:pt>
                <c:pt idx="24">
                  <c:v>2.7415376200000001E-2</c:v>
                </c:pt>
                <c:pt idx="25">
                  <c:v>1.9827931799999997E-2</c:v>
                </c:pt>
                <c:pt idx="26">
                  <c:v>1.37858444E-2</c:v>
                </c:pt>
                <c:pt idx="27">
                  <c:v>8.8855937999999992E-3</c:v>
                </c:pt>
                <c:pt idx="28">
                  <c:v>5.3384799999999996E-3</c:v>
                </c:pt>
                <c:pt idx="29">
                  <c:v>2.9815777999999999E-3</c:v>
                </c:pt>
                <c:pt idx="30">
                  <c:v>1.4539220000000001E-3</c:v>
                </c:pt>
                <c:pt idx="31">
                  <c:v>8.4621539999999991E-4</c:v>
                </c:pt>
                <c:pt idx="32">
                  <c:v>4.3233459999999997E-4</c:v>
                </c:pt>
                <c:pt idx="33">
                  <c:v>2.5746459999999999E-4</c:v>
                </c:pt>
                <c:pt idx="34">
                  <c:v>4.4629479999999997E-4</c:v>
                </c:pt>
              </c:numCache>
            </c:numRef>
          </c:val>
          <c:smooth val="0"/>
          <c:extLst>
            <c:ext xmlns:c16="http://schemas.microsoft.com/office/drawing/2014/chart" uri="{C3380CC4-5D6E-409C-BE32-E72D297353CC}">
              <c16:uniqueId val="{00000003-1DE5-AB43-B5DA-9C1E38AC16C4}"/>
            </c:ext>
          </c:extLst>
        </c:ser>
        <c:ser>
          <c:idx val="4"/>
          <c:order val="4"/>
          <c:tx>
            <c:strRef>
              <c:f>'[TFR countries.xlsx]Sheet6'!$H$38</c:f>
              <c:strCache>
                <c:ptCount val="1"/>
                <c:pt idx="0">
                  <c:v>1965-69</c:v>
                </c:pt>
              </c:strCache>
            </c:strRef>
          </c:tx>
          <c:spPr>
            <a:ln w="28575" cap="rnd">
              <a:solidFill>
                <a:srgbClr val="FFC000"/>
              </a:solidFill>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countries.xlsx]Sheet6'!$H$39:$H$73</c:f>
              <c:numCache>
                <c:formatCode>0.0000</c:formatCode>
                <c:ptCount val="35"/>
                <c:pt idx="0">
                  <c:v>3.5959999999999998E-3</c:v>
                </c:pt>
                <c:pt idx="1">
                  <c:v>1.1149999999999998E-2</c:v>
                </c:pt>
                <c:pt idx="2">
                  <c:v>2.2536E-2</c:v>
                </c:pt>
                <c:pt idx="3">
                  <c:v>3.4084000000000003E-2</c:v>
                </c:pt>
                <c:pt idx="4">
                  <c:v>4.4962000000000002E-2</c:v>
                </c:pt>
                <c:pt idx="5">
                  <c:v>5.6274000000000005E-2</c:v>
                </c:pt>
                <c:pt idx="6">
                  <c:v>6.6310000000000008E-2</c:v>
                </c:pt>
                <c:pt idx="7">
                  <c:v>7.847800000000002E-2</c:v>
                </c:pt>
                <c:pt idx="8">
                  <c:v>9.1532000000000002E-2</c:v>
                </c:pt>
                <c:pt idx="9">
                  <c:v>0.10289999999999999</c:v>
                </c:pt>
                <c:pt idx="10">
                  <c:v>0.11498000000000001</c:v>
                </c:pt>
                <c:pt idx="11">
                  <c:v>0.12404</c:v>
                </c:pt>
                <c:pt idx="12">
                  <c:v>0.12912000000000001</c:v>
                </c:pt>
                <c:pt idx="13">
                  <c:v>0.13188999999999998</c:v>
                </c:pt>
                <c:pt idx="14">
                  <c:v>0.13168443000000002</c:v>
                </c:pt>
                <c:pt idx="15">
                  <c:v>0.12701754839999999</c:v>
                </c:pt>
                <c:pt idx="16">
                  <c:v>0.12052946960000002</c:v>
                </c:pt>
                <c:pt idx="17">
                  <c:v>0.11104165259999998</c:v>
                </c:pt>
                <c:pt idx="18">
                  <c:v>0.10116786600000001</c:v>
                </c:pt>
                <c:pt idx="19">
                  <c:v>9.0845585800000003E-2</c:v>
                </c:pt>
                <c:pt idx="20">
                  <c:v>8.0152138999999997E-2</c:v>
                </c:pt>
                <c:pt idx="21">
                  <c:v>6.8075407800000015E-2</c:v>
                </c:pt>
                <c:pt idx="22">
                  <c:v>5.6441252399999996E-2</c:v>
                </c:pt>
                <c:pt idx="23">
                  <c:v>4.6433492600000001E-2</c:v>
                </c:pt>
                <c:pt idx="24">
                  <c:v>3.6586046400000002E-2</c:v>
                </c:pt>
                <c:pt idx="25">
                  <c:v>2.6979361200000003E-2</c:v>
                </c:pt>
                <c:pt idx="26">
                  <c:v>1.8939796000000002E-2</c:v>
                </c:pt>
                <c:pt idx="27">
                  <c:v>1.2068417000000001E-2</c:v>
                </c:pt>
                <c:pt idx="28">
                  <c:v>7.1159055999999998E-3</c:v>
                </c:pt>
                <c:pt idx="29">
                  <c:v>3.7576935999999997E-3</c:v>
                </c:pt>
                <c:pt idx="30">
                  <c:v>2.0718254000000004E-3</c:v>
                </c:pt>
                <c:pt idx="31">
                  <c:v>1.1720456E-3</c:v>
                </c:pt>
                <c:pt idx="32">
                  <c:v>7.0312339999999997E-4</c:v>
                </c:pt>
                <c:pt idx="33">
                  <c:v>4.2784600000000006E-4</c:v>
                </c:pt>
                <c:pt idx="34">
                  <c:v>8.6676660000000014E-4</c:v>
                </c:pt>
              </c:numCache>
            </c:numRef>
          </c:val>
          <c:smooth val="0"/>
          <c:extLst>
            <c:ext xmlns:c16="http://schemas.microsoft.com/office/drawing/2014/chart" uri="{C3380CC4-5D6E-409C-BE32-E72D297353CC}">
              <c16:uniqueId val="{00000004-1DE5-AB43-B5DA-9C1E38AC16C4}"/>
            </c:ext>
          </c:extLst>
        </c:ser>
        <c:ser>
          <c:idx val="5"/>
          <c:order val="5"/>
          <c:tx>
            <c:strRef>
              <c:f>'[TFR countries.xlsx]Sheet6'!$I$38</c:f>
              <c:strCache>
                <c:ptCount val="1"/>
                <c:pt idx="0">
                  <c:v>1970-74</c:v>
                </c:pt>
              </c:strCache>
            </c:strRef>
          </c:tx>
          <c:spPr>
            <a:ln w="28575" cap="rnd">
              <a:solidFill>
                <a:srgbClr val="FF0000"/>
              </a:solidFill>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countries.xlsx]Sheet6'!$I$39:$I$73</c:f>
              <c:numCache>
                <c:formatCode>0.0000</c:formatCode>
                <c:ptCount val="35"/>
                <c:pt idx="0">
                  <c:v>2.8019999999999998E-3</c:v>
                </c:pt>
                <c:pt idx="1">
                  <c:v>8.796E-3</c:v>
                </c:pt>
                <c:pt idx="2">
                  <c:v>1.9387999999999996E-2</c:v>
                </c:pt>
                <c:pt idx="3">
                  <c:v>3.0515999999999998E-2</c:v>
                </c:pt>
                <c:pt idx="4">
                  <c:v>4.1970000000000007E-2</c:v>
                </c:pt>
                <c:pt idx="5">
                  <c:v>5.1766E-2</c:v>
                </c:pt>
                <c:pt idx="6">
                  <c:v>5.9041999999999997E-2</c:v>
                </c:pt>
                <c:pt idx="7">
                  <c:v>6.7383999999999999E-2</c:v>
                </c:pt>
                <c:pt idx="8">
                  <c:v>7.5999999999999998E-2</c:v>
                </c:pt>
                <c:pt idx="9">
                  <c:v>8.5228480999999995E-2</c:v>
                </c:pt>
                <c:pt idx="10">
                  <c:v>9.4347106799999997E-2</c:v>
                </c:pt>
                <c:pt idx="11">
                  <c:v>0.10215705500000001</c:v>
                </c:pt>
                <c:pt idx="12">
                  <c:v>0.11065415199999999</c:v>
                </c:pt>
                <c:pt idx="13">
                  <c:v>0.11830913399999998</c:v>
                </c:pt>
                <c:pt idx="14">
                  <c:v>0.12288785360000001</c:v>
                </c:pt>
                <c:pt idx="15">
                  <c:v>0.1229904106</c:v>
                </c:pt>
                <c:pt idx="16">
                  <c:v>0.12336507000000001</c:v>
                </c:pt>
                <c:pt idx="17">
                  <c:v>0.12009285580000002</c:v>
                </c:pt>
                <c:pt idx="18">
                  <c:v>0.11508758180000001</c:v>
                </c:pt>
                <c:pt idx="19">
                  <c:v>0.1081167398</c:v>
                </c:pt>
                <c:pt idx="20">
                  <c:v>9.8574485600000011E-2</c:v>
                </c:pt>
                <c:pt idx="21">
                  <c:v>8.4309334999999999E-2</c:v>
                </c:pt>
                <c:pt idx="22">
                  <c:v>6.9589646599999999E-2</c:v>
                </c:pt>
                <c:pt idx="23">
                  <c:v>5.5395640799999993E-2</c:v>
                </c:pt>
                <c:pt idx="24">
                  <c:v>4.2926016600000005E-2</c:v>
                </c:pt>
                <c:pt idx="25">
                  <c:v>3.02455082E-2</c:v>
                </c:pt>
                <c:pt idx="26">
                  <c:v>2.00884884E-2</c:v>
                </c:pt>
                <c:pt idx="27">
                  <c:v>1.2464318999999998E-2</c:v>
                </c:pt>
                <c:pt idx="28">
                  <c:v>7.5445668000000011E-3</c:v>
                </c:pt>
              </c:numCache>
            </c:numRef>
          </c:val>
          <c:smooth val="0"/>
          <c:extLst>
            <c:ext xmlns:c16="http://schemas.microsoft.com/office/drawing/2014/chart" uri="{C3380CC4-5D6E-409C-BE32-E72D297353CC}">
              <c16:uniqueId val="{00000005-1DE5-AB43-B5DA-9C1E38AC16C4}"/>
            </c:ext>
          </c:extLst>
        </c:ser>
        <c:ser>
          <c:idx val="6"/>
          <c:order val="6"/>
          <c:tx>
            <c:strRef>
              <c:f>'[TFR countries.xlsx]Sheet6'!$J$38</c:f>
              <c:strCache>
                <c:ptCount val="1"/>
                <c:pt idx="0">
                  <c:v>1975-79</c:v>
                </c:pt>
              </c:strCache>
            </c:strRef>
          </c:tx>
          <c:spPr>
            <a:ln w="28575" cap="rnd">
              <a:solidFill>
                <a:srgbClr val="C00000"/>
              </a:solidFill>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countries.xlsx]Sheet6'!$J$39:$J$73</c:f>
              <c:numCache>
                <c:formatCode>0.0000</c:formatCode>
                <c:ptCount val="35"/>
                <c:pt idx="0">
                  <c:v>2.8060000000000003E-3</c:v>
                </c:pt>
                <c:pt idx="1">
                  <c:v>8.9780000000000016E-3</c:v>
                </c:pt>
                <c:pt idx="2">
                  <c:v>1.9130000000000001E-2</c:v>
                </c:pt>
                <c:pt idx="3">
                  <c:v>2.8489999999999998E-2</c:v>
                </c:pt>
                <c:pt idx="4">
                  <c:v>3.9885396400000002E-2</c:v>
                </c:pt>
                <c:pt idx="5">
                  <c:v>4.6037265600000002E-2</c:v>
                </c:pt>
                <c:pt idx="6">
                  <c:v>5.0660719600000001E-2</c:v>
                </c:pt>
                <c:pt idx="7">
                  <c:v>5.7840529200000004E-2</c:v>
                </c:pt>
                <c:pt idx="8">
                  <c:v>6.5558558599999997E-2</c:v>
                </c:pt>
                <c:pt idx="9">
                  <c:v>7.4376316400000003E-2</c:v>
                </c:pt>
                <c:pt idx="10">
                  <c:v>8.3704531599999993E-2</c:v>
                </c:pt>
                <c:pt idx="11">
                  <c:v>9.4568200800000002E-2</c:v>
                </c:pt>
                <c:pt idx="12">
                  <c:v>0.10490085140000001</c:v>
                </c:pt>
                <c:pt idx="13">
                  <c:v>0.11738929000000001</c:v>
                </c:pt>
                <c:pt idx="14">
                  <c:v>0.12765311339999999</c:v>
                </c:pt>
                <c:pt idx="15">
                  <c:v>0.13223209620000001</c:v>
                </c:pt>
                <c:pt idx="16">
                  <c:v>0.13637694680000001</c:v>
                </c:pt>
                <c:pt idx="17">
                  <c:v>0.1327485846</c:v>
                </c:pt>
                <c:pt idx="18">
                  <c:v>0.12416650139999999</c:v>
                </c:pt>
                <c:pt idx="19">
                  <c:v>0.11281850140000001</c:v>
                </c:pt>
                <c:pt idx="20">
                  <c:v>0.10120157219999999</c:v>
                </c:pt>
                <c:pt idx="21">
                  <c:v>8.4764388199999999E-2</c:v>
                </c:pt>
                <c:pt idx="22">
                  <c:v>7.0390244199999993E-2</c:v>
                </c:pt>
                <c:pt idx="23">
                  <c:v>5.5462073200000003E-2</c:v>
                </c:pt>
              </c:numCache>
            </c:numRef>
          </c:val>
          <c:smooth val="0"/>
          <c:extLst>
            <c:ext xmlns:c16="http://schemas.microsoft.com/office/drawing/2014/chart" uri="{C3380CC4-5D6E-409C-BE32-E72D297353CC}">
              <c16:uniqueId val="{00000006-1DE5-AB43-B5DA-9C1E38AC16C4}"/>
            </c:ext>
          </c:extLst>
        </c:ser>
        <c:ser>
          <c:idx val="7"/>
          <c:order val="7"/>
          <c:tx>
            <c:strRef>
              <c:f>'[TFR countries.xlsx]Sheet6'!$K$38</c:f>
              <c:strCache>
                <c:ptCount val="1"/>
                <c:pt idx="0">
                  <c:v>1980-84</c:v>
                </c:pt>
              </c:strCache>
            </c:strRef>
          </c:tx>
          <c:spPr>
            <a:ln w="28575" cap="rnd">
              <a:solidFill>
                <a:schemeClr val="tx1"/>
              </a:solidFill>
              <a:prstDash val="sysDot"/>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countries.xlsx]Sheet6'!$K$39:$K$73</c:f>
              <c:numCache>
                <c:formatCode>0.0000</c:formatCode>
                <c:ptCount val="35"/>
                <c:pt idx="0">
                  <c:v>3.0065106000000002E-3</c:v>
                </c:pt>
                <c:pt idx="1">
                  <c:v>8.0920798000000006E-3</c:v>
                </c:pt>
                <c:pt idx="2">
                  <c:v>1.6831705200000002E-2</c:v>
                </c:pt>
                <c:pt idx="3">
                  <c:v>2.5504971199999997E-2</c:v>
                </c:pt>
                <c:pt idx="4">
                  <c:v>3.6315008400000001E-2</c:v>
                </c:pt>
                <c:pt idx="5">
                  <c:v>4.1374583199999995E-2</c:v>
                </c:pt>
                <c:pt idx="6">
                  <c:v>4.7547343800000003E-2</c:v>
                </c:pt>
                <c:pt idx="7">
                  <c:v>5.3409903599999996E-2</c:v>
                </c:pt>
                <c:pt idx="8">
                  <c:v>6.2039367400000003E-2</c:v>
                </c:pt>
                <c:pt idx="9">
                  <c:v>7.1840445599999997E-2</c:v>
                </c:pt>
                <c:pt idx="10">
                  <c:v>8.3735870400000009E-2</c:v>
                </c:pt>
                <c:pt idx="11">
                  <c:v>9.5705834799999986E-2</c:v>
                </c:pt>
                <c:pt idx="12">
                  <c:v>0.10711151020000001</c:v>
                </c:pt>
                <c:pt idx="13">
                  <c:v>0.1180795338</c:v>
                </c:pt>
                <c:pt idx="14">
                  <c:v>0.1247677344</c:v>
                </c:pt>
                <c:pt idx="15">
                  <c:v>0.12701502580000001</c:v>
                </c:pt>
                <c:pt idx="16">
                  <c:v>0.130340134</c:v>
                </c:pt>
                <c:pt idx="17">
                  <c:v>0.12679202159999997</c:v>
                </c:pt>
                <c:pt idx="18">
                  <c:v>0.119561871</c:v>
                </c:pt>
              </c:numCache>
            </c:numRef>
          </c:val>
          <c:smooth val="0"/>
          <c:extLst>
            <c:ext xmlns:c16="http://schemas.microsoft.com/office/drawing/2014/chart" uri="{C3380CC4-5D6E-409C-BE32-E72D297353CC}">
              <c16:uniqueId val="{00000007-1DE5-AB43-B5DA-9C1E38AC16C4}"/>
            </c:ext>
          </c:extLst>
        </c:ser>
        <c:ser>
          <c:idx val="8"/>
          <c:order val="8"/>
          <c:tx>
            <c:strRef>
              <c:f>'[TFR countries.xlsx]Sheet6'!$L$38</c:f>
              <c:strCache>
                <c:ptCount val="1"/>
                <c:pt idx="0">
                  <c:v>1985-89</c:v>
                </c:pt>
              </c:strCache>
            </c:strRef>
          </c:tx>
          <c:spPr>
            <a:ln w="28575" cap="rnd">
              <a:solidFill>
                <a:schemeClr val="tx1"/>
              </a:solidFill>
              <a:prstDash val="dash"/>
              <a:round/>
            </a:ln>
            <a:effectLst/>
          </c:spPr>
          <c:marker>
            <c:symbol val="none"/>
          </c:marker>
          <c:cat>
            <c:numRef>
              <c:f>'[TFR countries.xlsx]Sheet6'!$C$39:$C$73</c:f>
              <c:numCache>
                <c:formatCode>General</c:formatCode>
                <c:ptCount val="35"/>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numCache>
            </c:numRef>
          </c:cat>
          <c:val>
            <c:numRef>
              <c:f>'[TFR countries.xlsx]Sheet6'!$L$39:$L$73</c:f>
              <c:numCache>
                <c:formatCode>0.0000</c:formatCode>
                <c:ptCount val="35"/>
                <c:pt idx="0">
                  <c:v>2.9325129999999999E-3</c:v>
                </c:pt>
                <c:pt idx="1">
                  <c:v>7.1610441999999993E-3</c:v>
                </c:pt>
                <c:pt idx="2">
                  <c:v>1.46325476E-2</c:v>
                </c:pt>
                <c:pt idx="3">
                  <c:v>2.3143548000000003E-2</c:v>
                </c:pt>
                <c:pt idx="4">
                  <c:v>3.5271352399999997E-2</c:v>
                </c:pt>
                <c:pt idx="5">
                  <c:v>4.2677488E-2</c:v>
                </c:pt>
                <c:pt idx="6">
                  <c:v>4.8717798199999995E-2</c:v>
                </c:pt>
                <c:pt idx="7">
                  <c:v>5.6135551799999996E-2</c:v>
                </c:pt>
                <c:pt idx="8">
                  <c:v>6.1359633600000005E-2</c:v>
                </c:pt>
                <c:pt idx="9">
                  <c:v>6.8818932600000007E-2</c:v>
                </c:pt>
                <c:pt idx="10">
                  <c:v>7.64619562E-2</c:v>
                </c:pt>
                <c:pt idx="11">
                  <c:v>8.6425815800000014E-2</c:v>
                </c:pt>
                <c:pt idx="12">
                  <c:v>9.6971541999999994E-2</c:v>
                </c:pt>
                <c:pt idx="13">
                  <c:v>0.10642521299999999</c:v>
                </c:pt>
              </c:numCache>
            </c:numRef>
          </c:val>
          <c:smooth val="0"/>
          <c:extLst>
            <c:ext xmlns:c16="http://schemas.microsoft.com/office/drawing/2014/chart" uri="{C3380CC4-5D6E-409C-BE32-E72D297353CC}">
              <c16:uniqueId val="{00000008-1DE5-AB43-B5DA-9C1E38AC16C4}"/>
            </c:ext>
          </c:extLst>
        </c:ser>
        <c:dLbls>
          <c:showLegendKey val="0"/>
          <c:showVal val="0"/>
          <c:showCatName val="0"/>
          <c:showSerName val="0"/>
          <c:showPercent val="0"/>
          <c:showBubbleSize val="0"/>
        </c:dLbls>
        <c:smooth val="0"/>
        <c:axId val="471393640"/>
        <c:axId val="471394296"/>
      </c:lineChart>
      <c:catAx>
        <c:axId val="471393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394296"/>
        <c:crosses val="autoZero"/>
        <c:auto val="1"/>
        <c:lblAlgn val="ctr"/>
        <c:lblOffset val="100"/>
        <c:noMultiLvlLbl val="0"/>
      </c:catAx>
      <c:valAx>
        <c:axId val="471394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Age-specific</a:t>
                </a:r>
                <a:r>
                  <a:rPr lang="en-AU" baseline="0"/>
                  <a:t> fertilty rate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393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adjTFR!$B$44</c:f>
              <c:strCache>
                <c:ptCount val="1"/>
                <c:pt idx="0">
                  <c:v>TFR</c:v>
                </c:pt>
              </c:strCache>
            </c:strRef>
          </c:tx>
          <c:spPr>
            <a:ln w="28575" cap="rnd">
              <a:solidFill>
                <a:srgbClr val="FF6600"/>
              </a:solidFill>
              <a:round/>
            </a:ln>
            <a:effectLst/>
          </c:spPr>
          <c:marker>
            <c:symbol val="none"/>
          </c:marker>
          <c:cat>
            <c:numRef>
              <c:f>adjTFR!$A$45:$A$104</c:f>
              <c:numCache>
                <c:formatCode>General</c:formatCode>
                <c:ptCount val="60"/>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59">
                  <c:v>2019</c:v>
                </c:pt>
              </c:numCache>
            </c:numRef>
          </c:cat>
          <c:val>
            <c:numRef>
              <c:f>adjTFR!$B$45:$B$104</c:f>
              <c:numCache>
                <c:formatCode>General</c:formatCode>
                <c:ptCount val="60"/>
                <c:pt idx="0">
                  <c:v>3.4736700000000003</c:v>
                </c:pt>
                <c:pt idx="1">
                  <c:v>3.5612600000000008</c:v>
                </c:pt>
                <c:pt idx="2">
                  <c:v>3.4567199999999998</c:v>
                </c:pt>
                <c:pt idx="3">
                  <c:v>3.3617599999999999</c:v>
                </c:pt>
                <c:pt idx="4">
                  <c:v>3.1774499999999999</c:v>
                </c:pt>
                <c:pt idx="5">
                  <c:v>2.9914099999999997</c:v>
                </c:pt>
                <c:pt idx="6">
                  <c:v>2.887830000000001</c:v>
                </c:pt>
                <c:pt idx="7">
                  <c:v>2.8623300000000005</c:v>
                </c:pt>
                <c:pt idx="8">
                  <c:v>2.8979000000000004</c:v>
                </c:pt>
                <c:pt idx="9">
                  <c:v>2.8877999999999995</c:v>
                </c:pt>
                <c:pt idx="10">
                  <c:v>2.8550299999999993</c:v>
                </c:pt>
                <c:pt idx="11">
                  <c:v>2.854200000000001</c:v>
                </c:pt>
                <c:pt idx="12">
                  <c:v>2.6519100000000009</c:v>
                </c:pt>
                <c:pt idx="13">
                  <c:v>2.4081599999999992</c:v>
                </c:pt>
                <c:pt idx="14">
                  <c:v>2.3122799999999994</c:v>
                </c:pt>
                <c:pt idx="15">
                  <c:v>2.1462199999999996</c:v>
                </c:pt>
                <c:pt idx="16">
                  <c:v>2.0581099999999997</c:v>
                </c:pt>
                <c:pt idx="17">
                  <c:v>2.0054199999999995</c:v>
                </c:pt>
                <c:pt idx="18">
                  <c:v>1.9479599999999995</c:v>
                </c:pt>
                <c:pt idx="19">
                  <c:v>1.9053199999999997</c:v>
                </c:pt>
                <c:pt idx="20">
                  <c:v>1.8902099999999995</c:v>
                </c:pt>
                <c:pt idx="21">
                  <c:v>1.9335099999999998</c:v>
                </c:pt>
                <c:pt idx="22">
                  <c:v>1.92875</c:v>
                </c:pt>
                <c:pt idx="23">
                  <c:v>1.92448</c:v>
                </c:pt>
                <c:pt idx="24">
                  <c:v>1.8758299999999999</c:v>
                </c:pt>
                <c:pt idx="25">
                  <c:v>1.8897200000000001</c:v>
                </c:pt>
                <c:pt idx="26">
                  <c:v>1.86721</c:v>
                </c:pt>
                <c:pt idx="27">
                  <c:v>1.8439099999999995</c:v>
                </c:pt>
                <c:pt idx="28">
                  <c:v>1.82999</c:v>
                </c:pt>
                <c:pt idx="29">
                  <c:v>1.8340499999999995</c:v>
                </c:pt>
                <c:pt idx="30">
                  <c:v>1.8973099999999998</c:v>
                </c:pt>
                <c:pt idx="31">
                  <c:v>1.8468200000000001</c:v>
                </c:pt>
                <c:pt idx="32">
                  <c:v>1.8861299999999999</c:v>
                </c:pt>
                <c:pt idx="33">
                  <c:v>1.8576300000000001</c:v>
                </c:pt>
                <c:pt idx="34">
                  <c:v>1.8395600000000001</c:v>
                </c:pt>
                <c:pt idx="35">
                  <c:v>1.81979</c:v>
                </c:pt>
                <c:pt idx="36">
                  <c:v>1.7942599999999997</c:v>
                </c:pt>
                <c:pt idx="37">
                  <c:v>1.7730799999999998</c:v>
                </c:pt>
                <c:pt idx="38">
                  <c:v>1.7578268646340598</c:v>
                </c:pt>
                <c:pt idx="39">
                  <c:v>1.7487411235980352</c:v>
                </c:pt>
                <c:pt idx="40">
                  <c:v>1.7452412442264567</c:v>
                </c:pt>
                <c:pt idx="41">
                  <c:v>1.7420622911908232</c:v>
                </c:pt>
                <c:pt idx="42">
                  <c:v>1.7676457913816519</c:v>
                </c:pt>
                <c:pt idx="43">
                  <c:v>1.7618253621366711</c:v>
                </c:pt>
                <c:pt idx="44">
                  <c:v>1.7801137671804912</c:v>
                </c:pt>
                <c:pt idx="45">
                  <c:v>1.8433871954306966</c:v>
                </c:pt>
                <c:pt idx="46">
                  <c:v>1.8714975527568307</c:v>
                </c:pt>
                <c:pt idx="47">
                  <c:v>1.992031727546516</c:v>
                </c:pt>
                <c:pt idx="48">
                  <c:v>2.0215035025383878</c:v>
                </c:pt>
                <c:pt idx="49">
                  <c:v>1.9683319253434866</c:v>
                </c:pt>
                <c:pt idx="50">
                  <c:v>1.9521421958239549</c:v>
                </c:pt>
                <c:pt idx="51">
                  <c:v>1.9154518410398347</c:v>
                </c:pt>
                <c:pt idx="52">
                  <c:v>1.9277859606039334</c:v>
                </c:pt>
                <c:pt idx="53">
                  <c:v>1.8894828471650678</c:v>
                </c:pt>
                <c:pt idx="54">
                  <c:v>1.7942695741043635</c:v>
                </c:pt>
                <c:pt idx="55">
                  <c:v>1.7949104743570556</c:v>
                </c:pt>
                <c:pt idx="56">
                  <c:v>1.7908037810835353</c:v>
                </c:pt>
                <c:pt idx="57">
                  <c:v>1.74086226763206</c:v>
                </c:pt>
                <c:pt idx="58">
                  <c:v>1.74</c:v>
                </c:pt>
                <c:pt idx="59">
                  <c:v>1.657</c:v>
                </c:pt>
              </c:numCache>
            </c:numRef>
          </c:val>
          <c:smooth val="0"/>
          <c:extLst>
            <c:ext xmlns:c16="http://schemas.microsoft.com/office/drawing/2014/chart" uri="{C3380CC4-5D6E-409C-BE32-E72D297353CC}">
              <c16:uniqueId val="{00000000-BD82-46FE-8BE1-0D86FEA98520}"/>
            </c:ext>
          </c:extLst>
        </c:ser>
        <c:ser>
          <c:idx val="1"/>
          <c:order val="1"/>
          <c:tx>
            <c:strRef>
              <c:f>adjTFR!$C$44</c:f>
              <c:strCache>
                <c:ptCount val="1"/>
                <c:pt idx="0">
                  <c:v>adjusted TFR</c:v>
                </c:pt>
              </c:strCache>
            </c:strRef>
          </c:tx>
          <c:spPr>
            <a:ln w="28575" cap="rnd">
              <a:solidFill>
                <a:srgbClr val="00B050"/>
              </a:solidFill>
              <a:round/>
            </a:ln>
            <a:effectLst/>
          </c:spPr>
          <c:marker>
            <c:symbol val="none"/>
          </c:marker>
          <c:cat>
            <c:numRef>
              <c:f>adjTFR!$A$45:$A$104</c:f>
              <c:numCache>
                <c:formatCode>General</c:formatCode>
                <c:ptCount val="60"/>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59">
                  <c:v>2019</c:v>
                </c:pt>
              </c:numCache>
            </c:numRef>
          </c:cat>
          <c:val>
            <c:numRef>
              <c:f>adjTFR!$C$45:$C$104</c:f>
              <c:numCache>
                <c:formatCode>General</c:formatCode>
                <c:ptCount val="60"/>
                <c:pt idx="0">
                  <c:v>3.4301019263101846</c:v>
                </c:pt>
                <c:pt idx="1">
                  <c:v>3.5989145525533326</c:v>
                </c:pt>
                <c:pt idx="2">
                  <c:v>3.4579529206747783</c:v>
                </c:pt>
                <c:pt idx="3">
                  <c:v>3.4378851193765634</c:v>
                </c:pt>
                <c:pt idx="4">
                  <c:v>3.0085048223407482</c:v>
                </c:pt>
                <c:pt idx="5">
                  <c:v>2.8918755455398473</c:v>
                </c:pt>
                <c:pt idx="6">
                  <c:v>2.7874230680694363</c:v>
                </c:pt>
                <c:pt idx="7">
                  <c:v>2.7698228432708518</c:v>
                </c:pt>
                <c:pt idx="8">
                  <c:v>2.8640876103377977</c:v>
                </c:pt>
                <c:pt idx="9">
                  <c:v>2.803180157364848</c:v>
                </c:pt>
                <c:pt idx="10">
                  <c:v>2.6148558293576154</c:v>
                </c:pt>
                <c:pt idx="11">
                  <c:v>2.708186223328132</c:v>
                </c:pt>
                <c:pt idx="12">
                  <c:v>2.5405599140333477</c:v>
                </c:pt>
                <c:pt idx="13">
                  <c:v>2.3502356970853646</c:v>
                </c:pt>
                <c:pt idx="14">
                  <c:v>2.3029729148358933</c:v>
                </c:pt>
                <c:pt idx="15">
                  <c:v>2.2016101528866208</c:v>
                </c:pt>
                <c:pt idx="16">
                  <c:v>2.2032236112103916</c:v>
                </c:pt>
                <c:pt idx="17">
                  <c:v>2.0904244686281301</c:v>
                </c:pt>
                <c:pt idx="18">
                  <c:v>2.0833794609942498</c:v>
                </c:pt>
                <c:pt idx="19">
                  <c:v>1.9781193912219945</c:v>
                </c:pt>
                <c:pt idx="20">
                  <c:v>1.9469196584724153</c:v>
                </c:pt>
                <c:pt idx="21">
                  <c:v>2.0514777927685222</c:v>
                </c:pt>
                <c:pt idx="22">
                  <c:v>1.9563315764711486</c:v>
                </c:pt>
                <c:pt idx="23">
                  <c:v>2.1446526930091734</c:v>
                </c:pt>
                <c:pt idx="24">
                  <c:v>2.0148154420409576</c:v>
                </c:pt>
                <c:pt idx="25">
                  <c:v>2.0029098216775179</c:v>
                </c:pt>
                <c:pt idx="26">
                  <c:v>2.0572587806739993</c:v>
                </c:pt>
                <c:pt idx="27">
                  <c:v>1.9813056518515406</c:v>
                </c:pt>
                <c:pt idx="28">
                  <c:v>1.9842859500433792</c:v>
                </c:pt>
                <c:pt idx="29">
                  <c:v>1.912989688058899</c:v>
                </c:pt>
                <c:pt idx="30">
                  <c:v>1.9799998611784444</c:v>
                </c:pt>
                <c:pt idx="31">
                  <c:v>1.9866945170933596</c:v>
                </c:pt>
                <c:pt idx="32">
                  <c:v>2.0029254050874656</c:v>
                </c:pt>
                <c:pt idx="33">
                  <c:v>1.9772314554779893</c:v>
                </c:pt>
                <c:pt idx="34">
                  <c:v>1.9626073671083264</c:v>
                </c:pt>
                <c:pt idx="35">
                  <c:v>1.921746266811357</c:v>
                </c:pt>
                <c:pt idx="36">
                  <c:v>1.9127103766645805</c:v>
                </c:pt>
                <c:pt idx="37">
                  <c:v>1.8889396499830344</c:v>
                </c:pt>
                <c:pt idx="38">
                  <c:v>1.8470241354075196</c:v>
                </c:pt>
                <c:pt idx="39">
                  <c:v>1.9214950550803596</c:v>
                </c:pt>
                <c:pt idx="40">
                  <c:v>1.7140328387520669</c:v>
                </c:pt>
                <c:pt idx="41">
                  <c:v>1.9007745769704572</c:v>
                </c:pt>
                <c:pt idx="42">
                  <c:v>1.9229019594041907</c:v>
                </c:pt>
                <c:pt idx="43">
                  <c:v>1.8859386709146087</c:v>
                </c:pt>
                <c:pt idx="44">
                  <c:v>1.8451036947958304</c:v>
                </c:pt>
                <c:pt idx="45">
                  <c:v>1.9662962769517629</c:v>
                </c:pt>
                <c:pt idx="46">
                  <c:v>1.8903184454408077</c:v>
                </c:pt>
                <c:pt idx="47">
                  <c:v>2.0538628519287605</c:v>
                </c:pt>
                <c:pt idx="48">
                  <c:v>2.0680351142721864</c:v>
                </c:pt>
                <c:pt idx="49">
                  <c:v>2.1014466136075205</c:v>
                </c:pt>
                <c:pt idx="50">
                  <c:v>1.9993109641216158</c:v>
                </c:pt>
                <c:pt idx="51">
                  <c:v>1.9575393665813243</c:v>
                </c:pt>
                <c:pt idx="52">
                  <c:v>1.9416216282935015</c:v>
                </c:pt>
                <c:pt idx="53">
                  <c:v>2.0991053546127905</c:v>
                </c:pt>
                <c:pt idx="54">
                  <c:v>1.8675814877447972</c:v>
                </c:pt>
                <c:pt idx="55">
                  <c:v>1.9881804798734768</c:v>
                </c:pt>
                <c:pt idx="56">
                  <c:v>1.8326609360375195</c:v>
                </c:pt>
                <c:pt idx="57">
                  <c:v>1.8241896151922044</c:v>
                </c:pt>
                <c:pt idx="58">
                  <c:v>1.8315789473684223</c:v>
                </c:pt>
                <c:pt idx="59">
                  <c:v>1.8026227978236973</c:v>
                </c:pt>
              </c:numCache>
            </c:numRef>
          </c:val>
          <c:smooth val="0"/>
          <c:extLst>
            <c:ext xmlns:c16="http://schemas.microsoft.com/office/drawing/2014/chart" uri="{C3380CC4-5D6E-409C-BE32-E72D297353CC}">
              <c16:uniqueId val="{00000001-BD82-46FE-8BE1-0D86FEA98520}"/>
            </c:ext>
          </c:extLst>
        </c:ser>
        <c:dLbls>
          <c:showLegendKey val="0"/>
          <c:showVal val="0"/>
          <c:showCatName val="0"/>
          <c:showSerName val="0"/>
          <c:showPercent val="0"/>
          <c:showBubbleSize val="0"/>
        </c:dLbls>
        <c:marker val="1"/>
        <c:smooth val="0"/>
        <c:axId val="1006905647"/>
        <c:axId val="1006907295"/>
      </c:lineChart>
      <c:lineChart>
        <c:grouping val="standard"/>
        <c:varyColors val="0"/>
        <c:ser>
          <c:idx val="2"/>
          <c:order val="2"/>
          <c:tx>
            <c:strRef>
              <c:f>adjTFR!$D$44</c:f>
              <c:strCache>
                <c:ptCount val="1"/>
                <c:pt idx="0">
                  <c:v>MAC</c:v>
                </c:pt>
              </c:strCache>
            </c:strRef>
          </c:tx>
          <c:spPr>
            <a:ln w="28575" cap="rnd">
              <a:solidFill>
                <a:schemeClr val="accent1"/>
              </a:solidFill>
              <a:round/>
            </a:ln>
            <a:effectLst/>
          </c:spPr>
          <c:marker>
            <c:symbol val="none"/>
          </c:marker>
          <c:cat>
            <c:numRef>
              <c:f>adjTFR!$A$45:$A$104</c:f>
              <c:numCache>
                <c:formatCode>General</c:formatCode>
                <c:ptCount val="60"/>
                <c:pt idx="0">
                  <c:v>1960</c:v>
                </c:pt>
                <c:pt idx="5">
                  <c:v>1965</c:v>
                </c:pt>
                <c:pt idx="10">
                  <c:v>1970</c:v>
                </c:pt>
                <c:pt idx="15">
                  <c:v>1975</c:v>
                </c:pt>
                <c:pt idx="20">
                  <c:v>1980</c:v>
                </c:pt>
                <c:pt idx="25">
                  <c:v>1985</c:v>
                </c:pt>
                <c:pt idx="30">
                  <c:v>1990</c:v>
                </c:pt>
                <c:pt idx="35">
                  <c:v>1995</c:v>
                </c:pt>
                <c:pt idx="40">
                  <c:v>2000</c:v>
                </c:pt>
                <c:pt idx="45">
                  <c:v>2005</c:v>
                </c:pt>
                <c:pt idx="50">
                  <c:v>2010</c:v>
                </c:pt>
                <c:pt idx="55">
                  <c:v>2015</c:v>
                </c:pt>
                <c:pt idx="59">
                  <c:v>2019</c:v>
                </c:pt>
              </c:numCache>
            </c:numRef>
          </c:cat>
          <c:val>
            <c:numRef>
              <c:f>adjTFR!$D$45:$D$104</c:f>
              <c:numCache>
                <c:formatCode>General</c:formatCode>
                <c:ptCount val="60"/>
                <c:pt idx="0">
                  <c:v>26.982966142437242</c:v>
                </c:pt>
                <c:pt idx="1">
                  <c:v>26.957562772726501</c:v>
                </c:pt>
                <c:pt idx="2">
                  <c:v>26.978488277905068</c:v>
                </c:pt>
                <c:pt idx="3">
                  <c:v>26.97920137071058</c:v>
                </c:pt>
                <c:pt idx="4">
                  <c:v>27.023487387685094</c:v>
                </c:pt>
                <c:pt idx="5">
                  <c:v>26.911175666324578</c:v>
                </c:pt>
                <c:pt idx="6">
                  <c:v>26.842338364792937</c:v>
                </c:pt>
                <c:pt idx="7">
                  <c:v>26.770295528468065</c:v>
                </c:pt>
                <c:pt idx="8">
                  <c:v>26.703499085544713</c:v>
                </c:pt>
                <c:pt idx="9">
                  <c:v>26.679887803864531</c:v>
                </c:pt>
                <c:pt idx="10">
                  <c:v>26.619513630329632</c:v>
                </c:pt>
                <c:pt idx="11">
                  <c:v>26.435813888304942</c:v>
                </c:pt>
                <c:pt idx="12">
                  <c:v>26.327982473010017</c:v>
                </c:pt>
                <c:pt idx="13">
                  <c:v>26.240324563151958</c:v>
                </c:pt>
                <c:pt idx="14">
                  <c:v>26.191032227930879</c:v>
                </c:pt>
                <c:pt idx="15">
                  <c:v>26.182949557827254</c:v>
                </c:pt>
                <c:pt idx="16">
                  <c:v>26.233267415249919</c:v>
                </c:pt>
                <c:pt idx="17">
                  <c:v>26.364995861216102</c:v>
                </c:pt>
                <c:pt idx="18">
                  <c:v>26.446323333127989</c:v>
                </c:pt>
                <c:pt idx="19">
                  <c:v>26.57632313732076</c:v>
                </c:pt>
                <c:pt idx="20">
                  <c:v>26.649927785801577</c:v>
                </c:pt>
                <c:pt idx="21">
                  <c:v>26.708183562536529</c:v>
                </c:pt>
                <c:pt idx="22">
                  <c:v>26.823191186001296</c:v>
                </c:pt>
                <c:pt idx="23">
                  <c:v>26.851388427003656</c:v>
                </c:pt>
                <c:pt idx="24">
                  <c:v>27.056710895976714</c:v>
                </c:pt>
                <c:pt idx="25">
                  <c:v>27.194674343288941</c:v>
                </c:pt>
                <c:pt idx="26">
                  <c:v>27.307699723116315</c:v>
                </c:pt>
                <c:pt idx="27">
                  <c:v>27.492458959493689</c:v>
                </c:pt>
                <c:pt idx="28">
                  <c:v>27.631150989896117</c:v>
                </c:pt>
                <c:pt idx="29">
                  <c:v>27.786668847632292</c:v>
                </c:pt>
                <c:pt idx="30">
                  <c:v>27.869199023881176</c:v>
                </c:pt>
                <c:pt idx="31">
                  <c:v>27.952724142038743</c:v>
                </c:pt>
                <c:pt idx="32">
                  <c:v>28.093535440293081</c:v>
                </c:pt>
                <c:pt idx="33">
                  <c:v>28.2101602579631</c:v>
                </c:pt>
                <c:pt idx="34">
                  <c:v>28.331138968014084</c:v>
                </c:pt>
                <c:pt idx="35">
                  <c:v>28.456530698597092</c:v>
                </c:pt>
                <c:pt idx="36">
                  <c:v>28.562638636540964</c:v>
                </c:pt>
                <c:pt idx="37">
                  <c:v>28.686494687210946</c:v>
                </c:pt>
                <c:pt idx="38">
                  <c:v>28.809166314103905</c:v>
                </c:pt>
                <c:pt idx="39">
                  <c:v>28.905751160033709</c:v>
                </c:pt>
                <c:pt idx="40">
                  <c:v>29.085563156973887</c:v>
                </c:pt>
                <c:pt idx="41">
                  <c:v>29.049147978957674</c:v>
                </c:pt>
                <c:pt idx="42">
                  <c:v>29.216145462723038</c:v>
                </c:pt>
                <c:pt idx="43">
                  <c:v>29.377626569196771</c:v>
                </c:pt>
                <c:pt idx="44">
                  <c:v>29.509246234981276</c:v>
                </c:pt>
                <c:pt idx="45">
                  <c:v>29.579692061737415</c:v>
                </c:pt>
                <c:pt idx="46">
                  <c:v>29.70470789273071</c:v>
                </c:pt>
                <c:pt idx="47">
                  <c:v>29.72462082616196</c:v>
                </c:pt>
                <c:pt idx="48">
                  <c:v>29.784830420316887</c:v>
                </c:pt>
                <c:pt idx="49">
                  <c:v>29.829831214948147</c:v>
                </c:pt>
                <c:pt idx="50">
                  <c:v>29.956519837349564</c:v>
                </c:pt>
                <c:pt idx="51">
                  <c:v>30.00370486173458</c:v>
                </c:pt>
                <c:pt idx="52">
                  <c:v>30.046705300203406</c:v>
                </c:pt>
                <c:pt idx="53">
                  <c:v>30.060956962306829</c:v>
                </c:pt>
                <c:pt idx="54">
                  <c:v>30.26068253300015</c:v>
                </c:pt>
                <c:pt idx="55">
                  <c:v>30.339192535505006</c:v>
                </c:pt>
                <c:pt idx="56">
                  <c:v>30.533611510515492</c:v>
                </c:pt>
                <c:pt idx="57">
                  <c:v>30.579290614741375</c:v>
                </c:pt>
                <c:pt idx="58">
                  <c:v>30.657894736842103</c:v>
                </c:pt>
                <c:pt idx="59">
                  <c:v>30.738401206636507</c:v>
                </c:pt>
              </c:numCache>
            </c:numRef>
          </c:val>
          <c:smooth val="0"/>
          <c:extLst>
            <c:ext xmlns:c16="http://schemas.microsoft.com/office/drawing/2014/chart" uri="{C3380CC4-5D6E-409C-BE32-E72D297353CC}">
              <c16:uniqueId val="{00000002-BD82-46FE-8BE1-0D86FEA98520}"/>
            </c:ext>
          </c:extLst>
        </c:ser>
        <c:dLbls>
          <c:showLegendKey val="0"/>
          <c:showVal val="0"/>
          <c:showCatName val="0"/>
          <c:showSerName val="0"/>
          <c:showPercent val="0"/>
          <c:showBubbleSize val="0"/>
        </c:dLbls>
        <c:marker val="1"/>
        <c:smooth val="0"/>
        <c:axId val="916651983"/>
        <c:axId val="918371135"/>
      </c:lineChart>
      <c:catAx>
        <c:axId val="100690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06907295"/>
        <c:crosses val="autoZero"/>
        <c:auto val="1"/>
        <c:lblAlgn val="ctr"/>
        <c:lblOffset val="100"/>
        <c:noMultiLvlLbl val="0"/>
      </c:catAx>
      <c:valAx>
        <c:axId val="1006907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Births per woman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06905647"/>
        <c:crosses val="autoZero"/>
        <c:crossBetween val="between"/>
        <c:majorUnit val="1"/>
      </c:valAx>
      <c:valAx>
        <c:axId val="918371135"/>
        <c:scaling>
          <c:orientation val="minMax"/>
          <c:min val="26"/>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16651983"/>
        <c:crosses val="max"/>
        <c:crossBetween val="between"/>
        <c:majorUnit val="1"/>
      </c:valAx>
      <c:catAx>
        <c:axId val="916651983"/>
        <c:scaling>
          <c:orientation val="minMax"/>
        </c:scaling>
        <c:delete val="1"/>
        <c:axPos val="b"/>
        <c:numFmt formatCode="General" sourceLinked="1"/>
        <c:majorTickMark val="out"/>
        <c:minorTickMark val="none"/>
        <c:tickLblPos val="nextTo"/>
        <c:crossAx val="9183711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55018834478174"/>
          <c:y val="3.3454987834549879E-2"/>
          <c:w val="0.86040327941502326"/>
          <c:h val="0.83152360288905491"/>
        </c:manualLayout>
      </c:layout>
      <c:scatterChart>
        <c:scatterStyle val="lineMarker"/>
        <c:varyColors val="0"/>
        <c:ser>
          <c:idx val="0"/>
          <c:order val="0"/>
          <c:spPr>
            <a:ln w="19050" cap="rnd">
              <a:noFill/>
              <a:round/>
            </a:ln>
            <a:effectLst/>
          </c:spPr>
          <c:marker>
            <c:symbol val="circle"/>
            <c:size val="5"/>
            <c:spPr>
              <a:solidFill>
                <a:srgbClr val="0070C0"/>
              </a:solidFill>
              <a:ln w="9525">
                <a:noFill/>
              </a:ln>
              <a:effectLst/>
            </c:spPr>
          </c:marker>
          <c:dLbls>
            <c:dLbl>
              <c:idx val="0"/>
              <c:tx>
                <c:rich>
                  <a:bodyPr/>
                  <a:lstStyle/>
                  <a:p>
                    <a:fld id="{5D54E294-B302-46D3-B9B6-888E724F6F4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CFE-49F2-886F-3737FA8A1A1E}"/>
                </c:ext>
              </c:extLst>
            </c:dLbl>
            <c:dLbl>
              <c:idx val="1"/>
              <c:tx>
                <c:rich>
                  <a:bodyPr/>
                  <a:lstStyle/>
                  <a:p>
                    <a:fld id="{E254F24D-C001-4B42-88F8-19FFF8D7D4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CFE-49F2-886F-3737FA8A1A1E}"/>
                </c:ext>
              </c:extLst>
            </c:dLbl>
            <c:dLbl>
              <c:idx val="2"/>
              <c:tx>
                <c:rich>
                  <a:bodyPr/>
                  <a:lstStyle/>
                  <a:p>
                    <a:fld id="{243F9648-5462-451E-9921-98B378E830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CFE-49F2-886F-3737FA8A1A1E}"/>
                </c:ext>
              </c:extLst>
            </c:dLbl>
            <c:dLbl>
              <c:idx val="3"/>
              <c:layout>
                <c:manualLayout>
                  <c:x val="-7.7553733658320412E-2"/>
                  <c:y val="0"/>
                </c:manualLayout>
              </c:layout>
              <c:tx>
                <c:rich>
                  <a:bodyPr/>
                  <a:lstStyle/>
                  <a:p>
                    <a:fld id="{251333F3-51D2-4977-AA81-F7D532391A9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CFE-49F2-886F-3737FA8A1A1E}"/>
                </c:ext>
              </c:extLst>
            </c:dLbl>
            <c:dLbl>
              <c:idx val="4"/>
              <c:tx>
                <c:rich>
                  <a:bodyPr/>
                  <a:lstStyle/>
                  <a:p>
                    <a:fld id="{14DB1FDE-DAA6-4CCC-9321-76E60FDB37F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CFE-49F2-886F-3737FA8A1A1E}"/>
                </c:ext>
              </c:extLst>
            </c:dLbl>
            <c:dLbl>
              <c:idx val="5"/>
              <c:layout>
                <c:manualLayout>
                  <c:x val="-0.10414358519831605"/>
                  <c:y val="4.2579075425790786E-2"/>
                </c:manualLayout>
              </c:layout>
              <c:tx>
                <c:rich>
                  <a:bodyPr/>
                  <a:lstStyle/>
                  <a:p>
                    <a:fld id="{3DF6BF67-30DF-4722-A453-0A1F16DE8E9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CFE-49F2-886F-3737FA8A1A1E}"/>
                </c:ext>
              </c:extLst>
            </c:dLbl>
            <c:dLbl>
              <c:idx val="6"/>
              <c:tx>
                <c:rich>
                  <a:bodyPr/>
                  <a:lstStyle/>
                  <a:p>
                    <a:fld id="{4A53A86B-63B6-408A-B7E0-000F3EB0C3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CFE-49F2-886F-3737FA8A1A1E}"/>
                </c:ext>
              </c:extLst>
            </c:dLbl>
            <c:dLbl>
              <c:idx val="7"/>
              <c:tx>
                <c:rich>
                  <a:bodyPr/>
                  <a:lstStyle/>
                  <a:p>
                    <a:fld id="{4008C2B9-7FCD-41BA-B26A-847A4777AA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CFE-49F2-886F-3737FA8A1A1E}"/>
                </c:ext>
              </c:extLst>
            </c:dLbl>
            <c:dLbl>
              <c:idx val="8"/>
              <c:tx>
                <c:rich>
                  <a:bodyPr/>
                  <a:lstStyle/>
                  <a:p>
                    <a:fld id="{5FC6AB15-C86E-40AF-8D6C-0F11194DA9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CFE-49F2-886F-3737FA8A1A1E}"/>
                </c:ext>
              </c:extLst>
            </c:dLbl>
            <c:dLbl>
              <c:idx val="9"/>
              <c:layout>
                <c:manualLayout>
                  <c:x val="0"/>
                  <c:y val="2.4330900243308976E-2"/>
                </c:manualLayout>
              </c:layout>
              <c:tx>
                <c:rich>
                  <a:bodyPr/>
                  <a:lstStyle/>
                  <a:p>
                    <a:fld id="{BAE62647-B120-4869-8524-4C0450E3BDD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CFE-49F2-886F-3737FA8A1A1E}"/>
                </c:ext>
              </c:extLst>
            </c:dLbl>
            <c:dLbl>
              <c:idx val="10"/>
              <c:layout>
                <c:manualLayout>
                  <c:x val="-8.4201196543319298E-2"/>
                  <c:y val="-6.5222455159562084E-2"/>
                </c:manualLayout>
              </c:layout>
              <c:tx>
                <c:rich>
                  <a:bodyPr/>
                  <a:lstStyle/>
                  <a:p>
                    <a:fld id="{9B6F81C0-2763-4416-AF1A-102A6E38D9E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CFE-49F2-886F-3737FA8A1A1E}"/>
                </c:ext>
              </c:extLst>
            </c:dLbl>
            <c:dLbl>
              <c:idx val="11"/>
              <c:tx>
                <c:rich>
                  <a:bodyPr/>
                  <a:lstStyle/>
                  <a:p>
                    <a:fld id="{E1C3C80F-B25B-4643-96D0-4B5AF3FCC0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CFE-49F2-886F-3737FA8A1A1E}"/>
                </c:ext>
              </c:extLst>
            </c:dLbl>
            <c:dLbl>
              <c:idx val="12"/>
              <c:layout>
                <c:manualLayout>
                  <c:x val="-0.17536984145539308"/>
                  <c:y val="4.9779680824568462E-2"/>
                </c:manualLayout>
              </c:layout>
              <c:tx>
                <c:rich>
                  <a:bodyPr/>
                  <a:lstStyle/>
                  <a:p>
                    <a:fld id="{7FBF1338-BF0B-469F-9AAD-48F1DD28B7A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CFE-49F2-886F-3737FA8A1A1E}"/>
                </c:ext>
              </c:extLst>
            </c:dLbl>
            <c:dLbl>
              <c:idx val="13"/>
              <c:tx>
                <c:rich>
                  <a:bodyPr/>
                  <a:lstStyle/>
                  <a:p>
                    <a:fld id="{5409050A-CD10-4514-A227-29C5C2BC40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CFE-49F2-886F-3737FA8A1A1E}"/>
                </c:ext>
              </c:extLst>
            </c:dLbl>
            <c:dLbl>
              <c:idx val="14"/>
              <c:tx>
                <c:rich>
                  <a:bodyPr/>
                  <a:lstStyle/>
                  <a:p>
                    <a:fld id="{D7159A19-72BC-47C2-A67D-B3FE3DC8E2C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CFE-49F2-886F-3737FA8A1A1E}"/>
                </c:ext>
              </c:extLst>
            </c:dLbl>
            <c:dLbl>
              <c:idx val="15"/>
              <c:layout>
                <c:manualLayout>
                  <c:x val="-1.3550135501355014E-3"/>
                  <c:y val="-8.5470085470085201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F91AF6E2-7E9C-4A4E-A1AF-AEF2B502EE6A}" type="CELLRANGE">
                      <a:rPr lang="en-US"/>
                      <a:pPr>
                        <a:defRPr b="1"/>
                      </a:pPr>
                      <a:t>[CELLRANGE]</a:t>
                    </a:fld>
                    <a:endParaRPr lang="en-AU"/>
                  </a:p>
                </c:rich>
              </c:tx>
              <c:spPr>
                <a:noFill/>
                <a:ln>
                  <a:solidFill>
                    <a:srgbClr val="0070C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BCFE-49F2-886F-3737FA8A1A1E}"/>
                </c:ext>
              </c:extLst>
            </c:dLbl>
            <c:dLbl>
              <c:idx val="16"/>
              <c:tx>
                <c:rich>
                  <a:bodyPr/>
                  <a:lstStyle/>
                  <a:p>
                    <a:fld id="{69B6B62D-BF3C-4430-BBAB-46E0004E44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BCFE-49F2-886F-3737FA8A1A1E}"/>
                </c:ext>
              </c:extLst>
            </c:dLbl>
            <c:dLbl>
              <c:idx val="17"/>
              <c:layout>
                <c:manualLayout>
                  <c:x val="-6.0975609756097664E-2"/>
                  <c:y val="1.4245014245014245E-2"/>
                </c:manualLayout>
              </c:layout>
              <c:tx>
                <c:rich>
                  <a:bodyPr/>
                  <a:lstStyle/>
                  <a:p>
                    <a:fld id="{9BA94700-4FB7-440B-9D1E-262FDF38DF1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BCFE-49F2-886F-3737FA8A1A1E}"/>
                </c:ext>
              </c:extLst>
            </c:dLbl>
            <c:dLbl>
              <c:idx val="18"/>
              <c:layout>
                <c:manualLayout>
                  <c:x val="-3.7668956348327134E-2"/>
                  <c:y val="3.9537712895377129E-2"/>
                </c:manualLayout>
              </c:layout>
              <c:tx>
                <c:rich>
                  <a:bodyPr/>
                  <a:lstStyle/>
                  <a:p>
                    <a:fld id="{0DB707B8-33B6-456F-A19F-E73E28F5D9E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BCFE-49F2-886F-3737FA8A1A1E}"/>
                </c:ext>
              </c:extLst>
            </c:dLbl>
            <c:dLbl>
              <c:idx val="19"/>
              <c:layout>
                <c:manualLayout>
                  <c:x val="2.2158209616662972E-3"/>
                  <c:y val="1.2165450121654472E-2"/>
                </c:manualLayout>
              </c:layout>
              <c:tx>
                <c:rich>
                  <a:bodyPr/>
                  <a:lstStyle/>
                  <a:p>
                    <a:fld id="{3F8161ED-20A2-468E-BA8E-DCCCEB4E5C6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BCFE-49F2-886F-3737FA8A1A1E}"/>
                </c:ext>
              </c:extLst>
            </c:dLbl>
            <c:dLbl>
              <c:idx val="20"/>
              <c:layout>
                <c:manualLayout>
                  <c:x val="-2.3035230352303624E-2"/>
                  <c:y val="-3.4188034188034198E-2"/>
                </c:manualLayout>
              </c:layout>
              <c:tx>
                <c:rich>
                  <a:bodyPr/>
                  <a:lstStyle/>
                  <a:p>
                    <a:fld id="{66A63DC3-D9A6-4167-B76D-A37F41CE4DA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BCFE-49F2-886F-3737FA8A1A1E}"/>
                </c:ext>
              </c:extLst>
            </c:dLbl>
            <c:dLbl>
              <c:idx val="21"/>
              <c:tx>
                <c:rich>
                  <a:bodyPr/>
                  <a:lstStyle/>
                  <a:p>
                    <a:fld id="{14726531-EC89-4B02-8318-A4186D40130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CFE-49F2-886F-3737FA8A1A1E}"/>
                </c:ext>
              </c:extLst>
            </c:dLbl>
            <c:dLbl>
              <c:idx val="22"/>
              <c:layout>
                <c:manualLayout>
                  <c:x val="4.210059827165949E-2"/>
                  <c:y val="2.4330900243309004E-2"/>
                </c:manualLayout>
              </c:layout>
              <c:tx>
                <c:rich>
                  <a:bodyPr/>
                  <a:lstStyle/>
                  <a:p>
                    <a:fld id="{0B446788-0FF2-49D2-ABA3-1F89957503B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CFE-49F2-886F-3737FA8A1A1E}"/>
                </c:ext>
              </c:extLst>
            </c:dLbl>
            <c:dLbl>
              <c:idx val="23"/>
              <c:layout>
                <c:manualLayout>
                  <c:x val="-8.1245830035669357E-17"/>
                  <c:y val="2.1289537712895375E-2"/>
                </c:manualLayout>
              </c:layout>
              <c:tx>
                <c:rich>
                  <a:bodyPr/>
                  <a:lstStyle/>
                  <a:p>
                    <a:fld id="{E9CE10D9-97BF-4C20-90E3-9746AB854E2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CFE-49F2-886F-3737FA8A1A1E}"/>
                </c:ext>
              </c:extLst>
            </c:dLbl>
            <c:dLbl>
              <c:idx val="24"/>
              <c:tx>
                <c:rich>
                  <a:bodyPr/>
                  <a:lstStyle/>
                  <a:p>
                    <a:fld id="{9F155BA1-4764-4445-BA49-34D6E10FAA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CFE-49F2-886F-3737FA8A1A1E}"/>
                </c:ext>
              </c:extLst>
            </c:dLbl>
            <c:dLbl>
              <c:idx val="25"/>
              <c:layout>
                <c:manualLayout>
                  <c:x val="0"/>
                  <c:y val="-4.1928721174004195E-2"/>
                </c:manualLayout>
              </c:layout>
              <c:tx>
                <c:rich>
                  <a:bodyPr/>
                  <a:lstStyle/>
                  <a:p>
                    <a:fld id="{3D168444-4F50-422C-AD94-5848CC8798E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CFE-49F2-886F-3737FA8A1A1E}"/>
                </c:ext>
              </c:extLst>
            </c:dLbl>
            <c:dLbl>
              <c:idx val="26"/>
              <c:layout>
                <c:manualLayout>
                  <c:x val="-1.7615176151761617E-2"/>
                  <c:y val="3.4188034188034191E-2"/>
                </c:manualLayout>
              </c:layout>
              <c:tx>
                <c:rich>
                  <a:bodyPr/>
                  <a:lstStyle/>
                  <a:p>
                    <a:fld id="{C840CC7C-AE64-4756-B91E-925247B154E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CFE-49F2-886F-3737FA8A1A1E}"/>
                </c:ext>
              </c:extLst>
            </c:dLbl>
            <c:dLbl>
              <c:idx val="27"/>
              <c:layout>
                <c:manualLayout>
                  <c:x val="2.2158209616662972E-3"/>
                  <c:y val="-3.9537712895377129E-2"/>
                </c:manualLayout>
              </c:layout>
              <c:tx>
                <c:rich>
                  <a:bodyPr/>
                  <a:lstStyle/>
                  <a:p>
                    <a:fld id="{DA12CD2A-3971-4BCB-BE7A-70F3A426C1D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CFE-49F2-886F-3737FA8A1A1E}"/>
                </c:ext>
              </c:extLst>
            </c:dLbl>
            <c:dLbl>
              <c:idx val="28"/>
              <c:tx>
                <c:rich>
                  <a:bodyPr/>
                  <a:lstStyle/>
                  <a:p>
                    <a:fld id="{BBACD22D-808B-4015-843A-9ADF1D1251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CFE-49F2-886F-3737FA8A1A1E}"/>
                </c:ext>
              </c:extLst>
            </c:dLbl>
            <c:dLbl>
              <c:idx val="29"/>
              <c:tx>
                <c:rich>
                  <a:bodyPr/>
                  <a:lstStyle/>
                  <a:p>
                    <a:fld id="{292808C5-2ACA-4855-A4BD-D2FCBF236B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CFE-49F2-886F-3737FA8A1A1E}"/>
                </c:ext>
              </c:extLst>
            </c:dLbl>
            <c:dLbl>
              <c:idx val="30"/>
              <c:layout>
                <c:manualLayout>
                  <c:x val="-0.12851761577664525"/>
                  <c:y val="-1.5206812652068127E-2"/>
                </c:manualLayout>
              </c:layout>
              <c:tx>
                <c:rich>
                  <a:bodyPr/>
                  <a:lstStyle/>
                  <a:p>
                    <a:fld id="{1BBC27F7-C8AC-4EEA-AE80-471F4A08780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BCFE-49F2-886F-3737FA8A1A1E}"/>
                </c:ext>
              </c:extLst>
            </c:dLbl>
            <c:dLbl>
              <c:idx val="3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AF2F83CE-625D-4B43-A9ED-58D9104D30B0}" type="CELLRANGE">
                      <a:rPr lang="en-AU"/>
                      <a:pPr>
                        <a:defRPr b="1"/>
                      </a:pPr>
                      <a:t>[CELLRANGE]</a:t>
                    </a:fld>
                    <a:endParaRPr lang="en-AU"/>
                  </a:p>
                </c:rich>
              </c:tx>
              <c:spPr>
                <a:noFill/>
                <a:ln>
                  <a:solidFill>
                    <a:srgbClr val="0070C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BCFE-49F2-886F-3737FA8A1A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flat" cmpd="sng" algn="ctr">
                <a:solidFill>
                  <a:srgbClr val="FF0000"/>
                </a:solidFill>
                <a:prstDash val="solid"/>
                <a:miter lim="800000"/>
              </a:ln>
              <a:effectLst/>
            </c:spPr>
            <c:trendlineType val="linear"/>
            <c:dispRSqr val="0"/>
            <c:dispEq val="0"/>
          </c:trendline>
          <c:xVal>
            <c:numRef>
              <c:f>[adjTFR.xlsx]Sheet3!$C$2:$C$33</c:f>
              <c:numCache>
                <c:formatCode>General</c:formatCode>
                <c:ptCount val="32"/>
                <c:pt idx="0">
                  <c:v>26.1</c:v>
                </c:pt>
                <c:pt idx="1">
                  <c:v>26.5</c:v>
                </c:pt>
                <c:pt idx="2">
                  <c:v>26.78</c:v>
                </c:pt>
                <c:pt idx="3">
                  <c:v>26.9</c:v>
                </c:pt>
                <c:pt idx="4">
                  <c:v>27.3</c:v>
                </c:pt>
                <c:pt idx="5">
                  <c:v>27.5</c:v>
                </c:pt>
                <c:pt idx="6">
                  <c:v>27.7</c:v>
                </c:pt>
                <c:pt idx="7">
                  <c:v>27.9</c:v>
                </c:pt>
                <c:pt idx="8">
                  <c:v>28</c:v>
                </c:pt>
                <c:pt idx="9">
                  <c:v>28.2</c:v>
                </c:pt>
                <c:pt idx="10">
                  <c:v>28.6</c:v>
                </c:pt>
                <c:pt idx="11">
                  <c:v>28.7</c:v>
                </c:pt>
                <c:pt idx="12">
                  <c:v>28.9</c:v>
                </c:pt>
                <c:pt idx="13">
                  <c:v>29</c:v>
                </c:pt>
                <c:pt idx="14">
                  <c:v>29</c:v>
                </c:pt>
                <c:pt idx="15">
                  <c:v>29.08387096774193</c:v>
                </c:pt>
                <c:pt idx="16">
                  <c:v>29.1</c:v>
                </c:pt>
                <c:pt idx="17">
                  <c:v>29.2</c:v>
                </c:pt>
                <c:pt idx="18">
                  <c:v>29.3</c:v>
                </c:pt>
                <c:pt idx="19">
                  <c:v>29.3</c:v>
                </c:pt>
                <c:pt idx="20">
                  <c:v>29.3</c:v>
                </c:pt>
                <c:pt idx="21">
                  <c:v>29.4</c:v>
                </c:pt>
                <c:pt idx="22">
                  <c:v>29.6</c:v>
                </c:pt>
                <c:pt idx="23">
                  <c:v>29.6</c:v>
                </c:pt>
                <c:pt idx="24">
                  <c:v>29.9</c:v>
                </c:pt>
                <c:pt idx="25">
                  <c:v>30.3</c:v>
                </c:pt>
                <c:pt idx="26">
                  <c:v>30.4</c:v>
                </c:pt>
                <c:pt idx="27">
                  <c:v>30.7</c:v>
                </c:pt>
                <c:pt idx="28">
                  <c:v>30.9</c:v>
                </c:pt>
                <c:pt idx="29">
                  <c:v>31.1</c:v>
                </c:pt>
                <c:pt idx="30">
                  <c:v>31.62</c:v>
                </c:pt>
                <c:pt idx="31">
                  <c:v>30.6</c:v>
                </c:pt>
              </c:numCache>
            </c:numRef>
          </c:xVal>
          <c:yVal>
            <c:numRef>
              <c:f>[adjTFR.xlsx]Sheet3!$D$2:$D$33</c:f>
              <c:numCache>
                <c:formatCode>General</c:formatCode>
                <c:ptCount val="32"/>
                <c:pt idx="0">
                  <c:v>1.72</c:v>
                </c:pt>
                <c:pt idx="1">
                  <c:v>1.77</c:v>
                </c:pt>
                <c:pt idx="2">
                  <c:v>1.71</c:v>
                </c:pt>
                <c:pt idx="3">
                  <c:v>1.61</c:v>
                </c:pt>
                <c:pt idx="4">
                  <c:v>1.42</c:v>
                </c:pt>
                <c:pt idx="5">
                  <c:v>1.61</c:v>
                </c:pt>
                <c:pt idx="6">
                  <c:v>1.66</c:v>
                </c:pt>
                <c:pt idx="7">
                  <c:v>1.75</c:v>
                </c:pt>
                <c:pt idx="8">
                  <c:v>1.49</c:v>
                </c:pt>
                <c:pt idx="9">
                  <c:v>1.71</c:v>
                </c:pt>
                <c:pt idx="10">
                  <c:v>1.74</c:v>
                </c:pt>
                <c:pt idx="11">
                  <c:v>1.83</c:v>
                </c:pt>
                <c:pt idx="12">
                  <c:v>1.63</c:v>
                </c:pt>
                <c:pt idx="13">
                  <c:v>1.57</c:v>
                </c:pt>
                <c:pt idx="14">
                  <c:v>1.1399999999999999</c:v>
                </c:pt>
                <c:pt idx="15">
                  <c:v>1.61</c:v>
                </c:pt>
                <c:pt idx="16">
                  <c:v>1.35</c:v>
                </c:pt>
                <c:pt idx="17">
                  <c:v>1.47</c:v>
                </c:pt>
                <c:pt idx="18">
                  <c:v>1.46</c:v>
                </c:pt>
                <c:pt idx="19">
                  <c:v>1.53</c:v>
                </c:pt>
                <c:pt idx="20">
                  <c:v>1.7</c:v>
                </c:pt>
                <c:pt idx="21">
                  <c:v>1.7</c:v>
                </c:pt>
                <c:pt idx="22">
                  <c:v>1.54</c:v>
                </c:pt>
                <c:pt idx="23">
                  <c:v>1.42</c:v>
                </c:pt>
                <c:pt idx="24">
                  <c:v>1.57</c:v>
                </c:pt>
                <c:pt idx="25">
                  <c:v>1.7</c:v>
                </c:pt>
                <c:pt idx="26">
                  <c:v>1.34</c:v>
                </c:pt>
                <c:pt idx="27">
                  <c:v>1.36</c:v>
                </c:pt>
                <c:pt idx="28">
                  <c:v>1.23</c:v>
                </c:pt>
                <c:pt idx="29">
                  <c:v>1.27</c:v>
                </c:pt>
                <c:pt idx="30">
                  <c:v>0.92</c:v>
                </c:pt>
                <c:pt idx="31">
                  <c:v>1.66</c:v>
                </c:pt>
              </c:numCache>
            </c:numRef>
          </c:yVal>
          <c:smooth val="0"/>
          <c:extLst>
            <c:ext xmlns:c15="http://schemas.microsoft.com/office/drawing/2012/chart" uri="{02D57815-91ED-43cb-92C2-25804820EDAC}">
              <c15:datalabelsRange>
                <c15:f>[adjTFR.xlsx]Sheet3!$B$2:$B$33</c15:f>
                <c15:dlblRangeCache>
                  <c:ptCount val="32"/>
                  <c:pt idx="0">
                    <c:v>Bulgaria</c:v>
                  </c:pt>
                  <c:pt idx="1">
                    <c:v>Romania</c:v>
                  </c:pt>
                  <c:pt idx="2">
                    <c:v>United States</c:v>
                  </c:pt>
                  <c:pt idx="3">
                    <c:v>Latvia</c:v>
                  </c:pt>
                  <c:pt idx="4">
                    <c:v>Poland</c:v>
                  </c:pt>
                  <c:pt idx="5">
                    <c:v>Lithuania</c:v>
                  </c:pt>
                  <c:pt idx="6">
                    <c:v>Estonia</c:v>
                  </c:pt>
                  <c:pt idx="7">
                    <c:v>Iceland</c:v>
                  </c:pt>
                  <c:pt idx="8">
                    <c:v>Hungary</c:v>
                  </c:pt>
                  <c:pt idx="9">
                    <c:v>Czech Republic</c:v>
                  </c:pt>
                  <c:pt idx="10">
                    <c:v>Croatia</c:v>
                  </c:pt>
                  <c:pt idx="11">
                    <c:v>France</c:v>
                  </c:pt>
                  <c:pt idx="12">
                    <c:v>United Kingdom</c:v>
                  </c:pt>
                  <c:pt idx="13">
                    <c:v>Belgium</c:v>
                  </c:pt>
                  <c:pt idx="14">
                    <c:v>Malta</c:v>
                  </c:pt>
                  <c:pt idx="15">
                    <c:v>OECD average</c:v>
                  </c:pt>
                  <c:pt idx="16">
                    <c:v>Finland</c:v>
                  </c:pt>
                  <c:pt idx="17">
                    <c:v>Canada</c:v>
                  </c:pt>
                  <c:pt idx="18">
                    <c:v>Austria</c:v>
                  </c:pt>
                  <c:pt idx="19">
                    <c:v>Norway</c:v>
                  </c:pt>
                  <c:pt idx="20">
                    <c:v>Sweden</c:v>
                  </c:pt>
                  <c:pt idx="21">
                    <c:v>Denmark</c:v>
                  </c:pt>
                  <c:pt idx="22">
                    <c:v>Germany</c:v>
                  </c:pt>
                  <c:pt idx="23">
                    <c:v>Portugal</c:v>
                  </c:pt>
                  <c:pt idx="24">
                    <c:v>Netherlands</c:v>
                  </c:pt>
                  <c:pt idx="25">
                    <c:v>Ireland</c:v>
                  </c:pt>
                  <c:pt idx="26">
                    <c:v>Greece</c:v>
                  </c:pt>
                  <c:pt idx="27">
                    <c:v>Japan</c:v>
                  </c:pt>
                  <c:pt idx="28">
                    <c:v>Spain</c:v>
                  </c:pt>
                  <c:pt idx="29">
                    <c:v>Italy</c:v>
                  </c:pt>
                  <c:pt idx="30">
                    <c:v>South Korea</c:v>
                  </c:pt>
                  <c:pt idx="31">
                    <c:v>Australia</c:v>
                  </c:pt>
                </c15:dlblRangeCache>
              </c15:datalabelsRange>
            </c:ext>
            <c:ext xmlns:c16="http://schemas.microsoft.com/office/drawing/2014/chart" uri="{C3380CC4-5D6E-409C-BE32-E72D297353CC}">
              <c16:uniqueId val="{00000020-BCFE-49F2-886F-3737FA8A1A1E}"/>
            </c:ext>
          </c:extLst>
        </c:ser>
        <c:dLbls>
          <c:showLegendKey val="0"/>
          <c:showVal val="0"/>
          <c:showCatName val="0"/>
          <c:showSerName val="0"/>
          <c:showPercent val="0"/>
          <c:showBubbleSize val="0"/>
        </c:dLbls>
        <c:axId val="298750864"/>
        <c:axId val="298749880"/>
      </c:scatterChart>
      <c:valAx>
        <c:axId val="298750864"/>
        <c:scaling>
          <c:orientation val="minMax"/>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Mean age at first birth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49880"/>
        <c:crosses val="autoZero"/>
        <c:crossBetween val="midCat"/>
      </c:valAx>
      <c:valAx>
        <c:axId val="298749880"/>
        <c:scaling>
          <c:orientation val="minMax"/>
          <c:min val="0.5"/>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a:t>
                </a:r>
                <a:r>
                  <a:rPr lang="en-AU" baseline="0"/>
                  <a:t> fertility rate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508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[CCF_edu.xlsx]Sheet1!$B$1</c:f>
              <c:strCache>
                <c:ptCount val="1"/>
                <c:pt idx="0">
                  <c:v>Low</c:v>
                </c:pt>
              </c:strCache>
            </c:strRef>
          </c:tx>
          <c:spPr>
            <a:ln w="28575" cap="rnd">
              <a:solidFill>
                <a:srgbClr val="0070C0"/>
              </a:solidFill>
              <a:round/>
            </a:ln>
            <a:effectLst/>
          </c:spPr>
          <c:marker>
            <c:symbol val="none"/>
          </c:marker>
          <c:cat>
            <c:numRef>
              <c:f>[CCF_edu.xlsx]Sheet1!$A$2:$A$32</c:f>
              <c:numCache>
                <c:formatCode>General</c:formatCode>
                <c:ptCount val="31"/>
                <c:pt idx="0">
                  <c:v>1940</c:v>
                </c:pt>
                <c:pt idx="5">
                  <c:v>1945</c:v>
                </c:pt>
                <c:pt idx="10">
                  <c:v>1950</c:v>
                </c:pt>
                <c:pt idx="15">
                  <c:v>1955</c:v>
                </c:pt>
                <c:pt idx="20">
                  <c:v>1960</c:v>
                </c:pt>
                <c:pt idx="25">
                  <c:v>1965</c:v>
                </c:pt>
                <c:pt idx="30">
                  <c:v>1970</c:v>
                </c:pt>
              </c:numCache>
            </c:numRef>
          </c:cat>
          <c:val>
            <c:numRef>
              <c:f>[CCF_edu.xlsx]Sheet1!$B$2:$B$32</c:f>
              <c:numCache>
                <c:formatCode>General</c:formatCode>
                <c:ptCount val="31"/>
                <c:pt idx="0">
                  <c:v>2.9060429999999999</c:v>
                </c:pt>
                <c:pt idx="1">
                  <c:v>2.8249599999999999</c:v>
                </c:pt>
                <c:pt idx="2">
                  <c:v>2.7826390000000001</c:v>
                </c:pt>
                <c:pt idx="3">
                  <c:v>2.7283119999999998</c:v>
                </c:pt>
                <c:pt idx="4">
                  <c:v>2.6585480000000001</c:v>
                </c:pt>
                <c:pt idx="5">
                  <c:v>2.6129129999999998</c:v>
                </c:pt>
                <c:pt idx="6">
                  <c:v>2.575482</c:v>
                </c:pt>
                <c:pt idx="7">
                  <c:v>2.535962</c:v>
                </c:pt>
                <c:pt idx="8">
                  <c:v>2.5323570000000002</c:v>
                </c:pt>
                <c:pt idx="9">
                  <c:v>2.49302</c:v>
                </c:pt>
                <c:pt idx="10">
                  <c:v>2.4817390000000001</c:v>
                </c:pt>
                <c:pt idx="11">
                  <c:v>2.4649740000000002</c:v>
                </c:pt>
                <c:pt idx="12">
                  <c:v>2.4455300000000002</c:v>
                </c:pt>
                <c:pt idx="13">
                  <c:v>2.429465</c:v>
                </c:pt>
                <c:pt idx="14">
                  <c:v>2.4240219999999999</c:v>
                </c:pt>
                <c:pt idx="15">
                  <c:v>2.4088090000000002</c:v>
                </c:pt>
                <c:pt idx="16">
                  <c:v>2.4005239999999999</c:v>
                </c:pt>
                <c:pt idx="17">
                  <c:v>2.3989530000000001</c:v>
                </c:pt>
                <c:pt idx="18">
                  <c:v>2.3961809999999999</c:v>
                </c:pt>
                <c:pt idx="19">
                  <c:v>2.3824709999999998</c:v>
                </c:pt>
                <c:pt idx="20">
                  <c:v>2.3863129999999999</c:v>
                </c:pt>
                <c:pt idx="21">
                  <c:v>2.363127</c:v>
                </c:pt>
                <c:pt idx="22">
                  <c:v>2.3474050000000002</c:v>
                </c:pt>
                <c:pt idx="23">
                  <c:v>2.3224779999999998</c:v>
                </c:pt>
                <c:pt idx="24">
                  <c:v>2.321059</c:v>
                </c:pt>
                <c:pt idx="25">
                  <c:v>2.3154340000000002</c:v>
                </c:pt>
                <c:pt idx="26">
                  <c:v>2.3099910000000001</c:v>
                </c:pt>
                <c:pt idx="27">
                  <c:v>2.3192089999999999</c:v>
                </c:pt>
                <c:pt idx="28">
                  <c:v>2.3339819999999998</c:v>
                </c:pt>
                <c:pt idx="29">
                  <c:v>2.322273</c:v>
                </c:pt>
                <c:pt idx="30">
                  <c:v>2.3258640000000002</c:v>
                </c:pt>
              </c:numCache>
            </c:numRef>
          </c:val>
          <c:smooth val="0"/>
          <c:extLst>
            <c:ext xmlns:c16="http://schemas.microsoft.com/office/drawing/2014/chart" uri="{C3380CC4-5D6E-409C-BE32-E72D297353CC}">
              <c16:uniqueId val="{00000000-E508-4B28-BED0-7C6D465DAEC7}"/>
            </c:ext>
          </c:extLst>
        </c:ser>
        <c:ser>
          <c:idx val="1"/>
          <c:order val="1"/>
          <c:tx>
            <c:strRef>
              <c:f>[CCF_edu.xlsx]Sheet1!$C$1</c:f>
              <c:strCache>
                <c:ptCount val="1"/>
                <c:pt idx="0">
                  <c:v>Medium</c:v>
                </c:pt>
              </c:strCache>
            </c:strRef>
          </c:tx>
          <c:spPr>
            <a:ln w="28575" cap="rnd">
              <a:solidFill>
                <a:srgbClr val="FFC000"/>
              </a:solidFill>
              <a:round/>
            </a:ln>
            <a:effectLst/>
          </c:spPr>
          <c:marker>
            <c:symbol val="none"/>
          </c:marker>
          <c:cat>
            <c:numRef>
              <c:f>[CCF_edu.xlsx]Sheet1!$A$2:$A$32</c:f>
              <c:numCache>
                <c:formatCode>General</c:formatCode>
                <c:ptCount val="31"/>
                <c:pt idx="0">
                  <c:v>1940</c:v>
                </c:pt>
                <c:pt idx="5">
                  <c:v>1945</c:v>
                </c:pt>
                <c:pt idx="10">
                  <c:v>1950</c:v>
                </c:pt>
                <c:pt idx="15">
                  <c:v>1955</c:v>
                </c:pt>
                <c:pt idx="20">
                  <c:v>1960</c:v>
                </c:pt>
                <c:pt idx="25">
                  <c:v>1965</c:v>
                </c:pt>
                <c:pt idx="30">
                  <c:v>1970</c:v>
                </c:pt>
              </c:numCache>
            </c:numRef>
          </c:cat>
          <c:val>
            <c:numRef>
              <c:f>[CCF_edu.xlsx]Sheet1!$C$2:$C$32</c:f>
              <c:numCache>
                <c:formatCode>General</c:formatCode>
                <c:ptCount val="31"/>
                <c:pt idx="0">
                  <c:v>2.595917</c:v>
                </c:pt>
                <c:pt idx="1">
                  <c:v>2.538122</c:v>
                </c:pt>
                <c:pt idx="2">
                  <c:v>2.4691999999999998</c:v>
                </c:pt>
                <c:pt idx="3">
                  <c:v>2.4259249999999999</c:v>
                </c:pt>
                <c:pt idx="4">
                  <c:v>2.3792810000000002</c:v>
                </c:pt>
                <c:pt idx="5">
                  <c:v>2.3518020000000002</c:v>
                </c:pt>
                <c:pt idx="6">
                  <c:v>2.3169680000000001</c:v>
                </c:pt>
                <c:pt idx="7">
                  <c:v>2.274448</c:v>
                </c:pt>
                <c:pt idx="8">
                  <c:v>2.2770830000000002</c:v>
                </c:pt>
                <c:pt idx="9">
                  <c:v>2.255001</c:v>
                </c:pt>
                <c:pt idx="10">
                  <c:v>2.2419440000000002</c:v>
                </c:pt>
                <c:pt idx="11">
                  <c:v>2.2468499999999998</c:v>
                </c:pt>
                <c:pt idx="12">
                  <c:v>2.2131129999999999</c:v>
                </c:pt>
                <c:pt idx="13">
                  <c:v>2.2101440000000001</c:v>
                </c:pt>
                <c:pt idx="14">
                  <c:v>2.1965180000000002</c:v>
                </c:pt>
                <c:pt idx="15">
                  <c:v>2.193864</c:v>
                </c:pt>
                <c:pt idx="16">
                  <c:v>2.1885340000000002</c:v>
                </c:pt>
                <c:pt idx="17">
                  <c:v>2.1774830000000001</c:v>
                </c:pt>
                <c:pt idx="18">
                  <c:v>2.1778919999999999</c:v>
                </c:pt>
                <c:pt idx="19">
                  <c:v>2.1689080000000001</c:v>
                </c:pt>
                <c:pt idx="20">
                  <c:v>2.165889</c:v>
                </c:pt>
                <c:pt idx="21">
                  <c:v>2.1643940000000002</c:v>
                </c:pt>
                <c:pt idx="22">
                  <c:v>2.1485590000000001</c:v>
                </c:pt>
                <c:pt idx="23">
                  <c:v>2.1235620000000002</c:v>
                </c:pt>
                <c:pt idx="24">
                  <c:v>2.1181480000000001</c:v>
                </c:pt>
                <c:pt idx="25">
                  <c:v>2.1078709999999998</c:v>
                </c:pt>
                <c:pt idx="26">
                  <c:v>2.1152549999999999</c:v>
                </c:pt>
                <c:pt idx="27">
                  <c:v>2.0917629999999998</c:v>
                </c:pt>
                <c:pt idx="28">
                  <c:v>2.0950899999999999</c:v>
                </c:pt>
                <c:pt idx="29">
                  <c:v>2.0820560000000001</c:v>
                </c:pt>
                <c:pt idx="30">
                  <c:v>2.0671909999999998</c:v>
                </c:pt>
              </c:numCache>
            </c:numRef>
          </c:val>
          <c:smooth val="0"/>
          <c:extLst>
            <c:ext xmlns:c16="http://schemas.microsoft.com/office/drawing/2014/chart" uri="{C3380CC4-5D6E-409C-BE32-E72D297353CC}">
              <c16:uniqueId val="{00000001-E508-4B28-BED0-7C6D465DAEC7}"/>
            </c:ext>
          </c:extLst>
        </c:ser>
        <c:ser>
          <c:idx val="2"/>
          <c:order val="2"/>
          <c:tx>
            <c:strRef>
              <c:f>[CCF_edu.xlsx]Sheet1!$D$1</c:f>
              <c:strCache>
                <c:ptCount val="1"/>
                <c:pt idx="0">
                  <c:v>High</c:v>
                </c:pt>
              </c:strCache>
            </c:strRef>
          </c:tx>
          <c:spPr>
            <a:ln w="28575" cap="rnd">
              <a:solidFill>
                <a:srgbClr val="FF0000"/>
              </a:solidFill>
              <a:round/>
            </a:ln>
            <a:effectLst/>
          </c:spPr>
          <c:marker>
            <c:symbol val="none"/>
          </c:marker>
          <c:cat>
            <c:numRef>
              <c:f>[CCF_edu.xlsx]Sheet1!$A$2:$A$32</c:f>
              <c:numCache>
                <c:formatCode>General</c:formatCode>
                <c:ptCount val="31"/>
                <c:pt idx="0">
                  <c:v>1940</c:v>
                </c:pt>
                <c:pt idx="5">
                  <c:v>1945</c:v>
                </c:pt>
                <c:pt idx="10">
                  <c:v>1950</c:v>
                </c:pt>
                <c:pt idx="15">
                  <c:v>1955</c:v>
                </c:pt>
                <c:pt idx="20">
                  <c:v>1960</c:v>
                </c:pt>
                <c:pt idx="25">
                  <c:v>1965</c:v>
                </c:pt>
                <c:pt idx="30">
                  <c:v>1970</c:v>
                </c:pt>
              </c:numCache>
            </c:numRef>
          </c:cat>
          <c:val>
            <c:numRef>
              <c:f>[CCF_edu.xlsx]Sheet1!$D$2:$D$32</c:f>
              <c:numCache>
                <c:formatCode>General</c:formatCode>
                <c:ptCount val="31"/>
                <c:pt idx="0">
                  <c:v>2.4308489999999998</c:v>
                </c:pt>
                <c:pt idx="1">
                  <c:v>2.3788179999999999</c:v>
                </c:pt>
                <c:pt idx="2">
                  <c:v>2.312303</c:v>
                </c:pt>
                <c:pt idx="3">
                  <c:v>2.2684959999999998</c:v>
                </c:pt>
                <c:pt idx="4">
                  <c:v>2.2142550000000001</c:v>
                </c:pt>
                <c:pt idx="5">
                  <c:v>2.207328</c:v>
                </c:pt>
                <c:pt idx="6">
                  <c:v>2.1663540000000001</c:v>
                </c:pt>
                <c:pt idx="7">
                  <c:v>2.1476700000000002</c:v>
                </c:pt>
                <c:pt idx="8">
                  <c:v>2.1117409999999999</c:v>
                </c:pt>
                <c:pt idx="9">
                  <c:v>2.0872929999999998</c:v>
                </c:pt>
                <c:pt idx="10">
                  <c:v>2.1036049999999999</c:v>
                </c:pt>
                <c:pt idx="11">
                  <c:v>2.0773899999999998</c:v>
                </c:pt>
                <c:pt idx="12">
                  <c:v>2.069623</c:v>
                </c:pt>
                <c:pt idx="13">
                  <c:v>2.0493250000000001</c:v>
                </c:pt>
                <c:pt idx="14">
                  <c:v>2.0326240000000002</c:v>
                </c:pt>
                <c:pt idx="15">
                  <c:v>2.0067529999999998</c:v>
                </c:pt>
                <c:pt idx="16">
                  <c:v>2.0008520000000001</c:v>
                </c:pt>
                <c:pt idx="17">
                  <c:v>1.994645</c:v>
                </c:pt>
                <c:pt idx="18">
                  <c:v>1.9946969999999999</c:v>
                </c:pt>
                <c:pt idx="19">
                  <c:v>1.977344</c:v>
                </c:pt>
                <c:pt idx="20">
                  <c:v>1.9612499999999999</c:v>
                </c:pt>
                <c:pt idx="21">
                  <c:v>1.942318</c:v>
                </c:pt>
                <c:pt idx="22">
                  <c:v>1.921281</c:v>
                </c:pt>
                <c:pt idx="23">
                  <c:v>1.891996</c:v>
                </c:pt>
                <c:pt idx="24">
                  <c:v>1.884104</c:v>
                </c:pt>
                <c:pt idx="25">
                  <c:v>1.8692850000000001</c:v>
                </c:pt>
                <c:pt idx="26">
                  <c:v>1.8665689999999999</c:v>
                </c:pt>
                <c:pt idx="27">
                  <c:v>1.8579840000000001</c:v>
                </c:pt>
                <c:pt idx="28">
                  <c:v>1.8532729999999999</c:v>
                </c:pt>
                <c:pt idx="29">
                  <c:v>1.8532820000000001</c:v>
                </c:pt>
                <c:pt idx="30">
                  <c:v>1.8341689999999999</c:v>
                </c:pt>
              </c:numCache>
            </c:numRef>
          </c:val>
          <c:smooth val="0"/>
          <c:extLst>
            <c:ext xmlns:c16="http://schemas.microsoft.com/office/drawing/2014/chart" uri="{C3380CC4-5D6E-409C-BE32-E72D297353CC}">
              <c16:uniqueId val="{00000002-E508-4B28-BED0-7C6D465DAEC7}"/>
            </c:ext>
          </c:extLst>
        </c:ser>
        <c:dLbls>
          <c:showLegendKey val="0"/>
          <c:showVal val="0"/>
          <c:showCatName val="0"/>
          <c:showSerName val="0"/>
          <c:showPercent val="0"/>
          <c:showBubbleSize val="0"/>
        </c:dLbls>
        <c:smooth val="0"/>
        <c:axId val="468336392"/>
        <c:axId val="468334424"/>
      </c:lineChart>
      <c:catAx>
        <c:axId val="468336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of birth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334424"/>
        <c:crosses val="autoZero"/>
        <c:auto val="1"/>
        <c:lblAlgn val="ctr"/>
        <c:lblOffset val="100"/>
        <c:noMultiLvlLbl val="0"/>
      </c:catAx>
      <c:valAx>
        <c:axId val="468334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Completed cohort fertility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336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[CCF_edu.xlsx]Sheet1!$G$1</c:f>
              <c:strCache>
                <c:ptCount val="1"/>
                <c:pt idx="0">
                  <c:v>Low</c:v>
                </c:pt>
              </c:strCache>
            </c:strRef>
          </c:tx>
          <c:spPr>
            <a:ln w="28575" cap="rnd">
              <a:solidFill>
                <a:srgbClr val="0070C0"/>
              </a:solidFill>
              <a:round/>
            </a:ln>
            <a:effectLst/>
          </c:spPr>
          <c:marker>
            <c:symbol val="none"/>
          </c:marker>
          <c:cat>
            <c:numRef>
              <c:f>[CCF_edu.xlsx]Sheet1!$F$2:$F$32</c:f>
              <c:numCache>
                <c:formatCode>General</c:formatCode>
                <c:ptCount val="31"/>
                <c:pt idx="0">
                  <c:v>1940</c:v>
                </c:pt>
                <c:pt idx="5">
                  <c:v>1945</c:v>
                </c:pt>
                <c:pt idx="10">
                  <c:v>1950</c:v>
                </c:pt>
                <c:pt idx="15">
                  <c:v>1955</c:v>
                </c:pt>
                <c:pt idx="20">
                  <c:v>1960</c:v>
                </c:pt>
                <c:pt idx="25">
                  <c:v>1965</c:v>
                </c:pt>
                <c:pt idx="30">
                  <c:v>1970</c:v>
                </c:pt>
              </c:numCache>
            </c:numRef>
          </c:cat>
          <c:val>
            <c:numRef>
              <c:f>[CCF_edu.xlsx]Sheet1!$G$2:$G$32</c:f>
              <c:numCache>
                <c:formatCode>General</c:formatCode>
                <c:ptCount val="31"/>
                <c:pt idx="0">
                  <c:v>5.9955939999999996</c:v>
                </c:pt>
                <c:pt idx="1">
                  <c:v>6.4307189999999999</c:v>
                </c:pt>
                <c:pt idx="2">
                  <c:v>6.2913230000000002</c:v>
                </c:pt>
                <c:pt idx="3">
                  <c:v>6.2520049999999996</c:v>
                </c:pt>
                <c:pt idx="4">
                  <c:v>6.7459160000000002</c:v>
                </c:pt>
                <c:pt idx="5">
                  <c:v>6.9950239999999999</c:v>
                </c:pt>
                <c:pt idx="6">
                  <c:v>6.9975159999999992</c:v>
                </c:pt>
                <c:pt idx="7">
                  <c:v>6.9732310000000002</c:v>
                </c:pt>
                <c:pt idx="8">
                  <c:v>6.8924490000000009</c:v>
                </c:pt>
                <c:pt idx="9">
                  <c:v>7.4034430000000002</c:v>
                </c:pt>
                <c:pt idx="10">
                  <c:v>7.5545059999999999</c:v>
                </c:pt>
                <c:pt idx="11">
                  <c:v>7.592854</c:v>
                </c:pt>
                <c:pt idx="12">
                  <c:v>8.0815769999999993</c:v>
                </c:pt>
                <c:pt idx="13">
                  <c:v>8.2712199999999996</c:v>
                </c:pt>
                <c:pt idx="14">
                  <c:v>8.7253709999999991</c:v>
                </c:pt>
                <c:pt idx="15">
                  <c:v>8.9996809999999989</c:v>
                </c:pt>
                <c:pt idx="16">
                  <c:v>9.5214679999999987</c:v>
                </c:pt>
                <c:pt idx="17">
                  <c:v>9.7155339999999999</c:v>
                </c:pt>
                <c:pt idx="18">
                  <c:v>10.060407</c:v>
                </c:pt>
                <c:pt idx="19">
                  <c:v>10.415761</c:v>
                </c:pt>
                <c:pt idx="20">
                  <c:v>10.324484</c:v>
                </c:pt>
                <c:pt idx="21">
                  <c:v>10.496658</c:v>
                </c:pt>
                <c:pt idx="22">
                  <c:v>11.324786000000001</c:v>
                </c:pt>
                <c:pt idx="23">
                  <c:v>11.371655000000001</c:v>
                </c:pt>
                <c:pt idx="24">
                  <c:v>11.63753</c:v>
                </c:pt>
                <c:pt idx="25">
                  <c:v>11.999303999999999</c:v>
                </c:pt>
                <c:pt idx="26">
                  <c:v>12.314155</c:v>
                </c:pt>
                <c:pt idx="27">
                  <c:v>12.122165000000001</c:v>
                </c:pt>
                <c:pt idx="28">
                  <c:v>11.914031</c:v>
                </c:pt>
                <c:pt idx="29">
                  <c:v>12.532378999999999</c:v>
                </c:pt>
                <c:pt idx="30">
                  <c:v>12.374902000000001</c:v>
                </c:pt>
              </c:numCache>
            </c:numRef>
          </c:val>
          <c:smooth val="0"/>
          <c:extLst>
            <c:ext xmlns:c16="http://schemas.microsoft.com/office/drawing/2014/chart" uri="{C3380CC4-5D6E-409C-BE32-E72D297353CC}">
              <c16:uniqueId val="{00000000-09E8-40CF-B37C-0CE49A4E18A8}"/>
            </c:ext>
          </c:extLst>
        </c:ser>
        <c:ser>
          <c:idx val="1"/>
          <c:order val="1"/>
          <c:tx>
            <c:strRef>
              <c:f>[CCF_edu.xlsx]Sheet1!$H$1</c:f>
              <c:strCache>
                <c:ptCount val="1"/>
                <c:pt idx="0">
                  <c:v>Medium</c:v>
                </c:pt>
              </c:strCache>
            </c:strRef>
          </c:tx>
          <c:spPr>
            <a:ln w="28575" cap="rnd">
              <a:solidFill>
                <a:srgbClr val="FFC000"/>
              </a:solidFill>
              <a:round/>
            </a:ln>
            <a:effectLst/>
          </c:spPr>
          <c:marker>
            <c:symbol val="none"/>
          </c:marker>
          <c:cat>
            <c:numRef>
              <c:f>[CCF_edu.xlsx]Sheet1!$F$2:$F$32</c:f>
              <c:numCache>
                <c:formatCode>General</c:formatCode>
                <c:ptCount val="31"/>
                <c:pt idx="0">
                  <c:v>1940</c:v>
                </c:pt>
                <c:pt idx="5">
                  <c:v>1945</c:v>
                </c:pt>
                <c:pt idx="10">
                  <c:v>1950</c:v>
                </c:pt>
                <c:pt idx="15">
                  <c:v>1955</c:v>
                </c:pt>
                <c:pt idx="20">
                  <c:v>1960</c:v>
                </c:pt>
                <c:pt idx="25">
                  <c:v>1965</c:v>
                </c:pt>
                <c:pt idx="30">
                  <c:v>1970</c:v>
                </c:pt>
              </c:numCache>
            </c:numRef>
          </c:cat>
          <c:val>
            <c:numRef>
              <c:f>[CCF_edu.xlsx]Sheet1!$H$2:$H$32</c:f>
              <c:numCache>
                <c:formatCode>General</c:formatCode>
                <c:ptCount val="31"/>
                <c:pt idx="0">
                  <c:v>9.1914739999999995</c:v>
                </c:pt>
                <c:pt idx="1">
                  <c:v>9.9658359999999995</c:v>
                </c:pt>
                <c:pt idx="2">
                  <c:v>9.5870979999999992</c:v>
                </c:pt>
                <c:pt idx="3">
                  <c:v>9.9479799999999994</c:v>
                </c:pt>
                <c:pt idx="4">
                  <c:v>9.7612140000000007</c:v>
                </c:pt>
                <c:pt idx="5">
                  <c:v>10.009740000000001</c:v>
                </c:pt>
                <c:pt idx="6">
                  <c:v>10.335224</c:v>
                </c:pt>
                <c:pt idx="7">
                  <c:v>10.330358</c:v>
                </c:pt>
                <c:pt idx="8">
                  <c:v>10.291667</c:v>
                </c:pt>
                <c:pt idx="9">
                  <c:v>10.631161000000001</c:v>
                </c:pt>
                <c:pt idx="10">
                  <c:v>10.728118</c:v>
                </c:pt>
                <c:pt idx="11">
                  <c:v>10.569879999999999</c:v>
                </c:pt>
                <c:pt idx="12">
                  <c:v>11.146441999999999</c:v>
                </c:pt>
                <c:pt idx="13">
                  <c:v>11.316698000000001</c:v>
                </c:pt>
                <c:pt idx="14">
                  <c:v>11.330049000000001</c:v>
                </c:pt>
                <c:pt idx="15">
                  <c:v>11.394102</c:v>
                </c:pt>
                <c:pt idx="16">
                  <c:v>11.814029</c:v>
                </c:pt>
                <c:pt idx="17">
                  <c:v>11.827726</c:v>
                </c:pt>
                <c:pt idx="18">
                  <c:v>11.930391</c:v>
                </c:pt>
                <c:pt idx="19">
                  <c:v>12.262212999999999</c:v>
                </c:pt>
                <c:pt idx="20">
                  <c:v>12.374559</c:v>
                </c:pt>
                <c:pt idx="21">
                  <c:v>12.658689000000001</c:v>
                </c:pt>
                <c:pt idx="22">
                  <c:v>12.958246000000001</c:v>
                </c:pt>
                <c:pt idx="23">
                  <c:v>13.225071999999999</c:v>
                </c:pt>
                <c:pt idx="24">
                  <c:v>13.201473</c:v>
                </c:pt>
                <c:pt idx="25">
                  <c:v>13.690385999999998</c:v>
                </c:pt>
                <c:pt idx="26">
                  <c:v>13.497131000000001</c:v>
                </c:pt>
                <c:pt idx="27">
                  <c:v>14.045618000000001</c:v>
                </c:pt>
                <c:pt idx="28">
                  <c:v>13.857152000000001</c:v>
                </c:pt>
                <c:pt idx="29">
                  <c:v>13.963614999999999</c:v>
                </c:pt>
                <c:pt idx="30">
                  <c:v>14.250257999999999</c:v>
                </c:pt>
              </c:numCache>
            </c:numRef>
          </c:val>
          <c:smooth val="0"/>
          <c:extLst>
            <c:ext xmlns:c16="http://schemas.microsoft.com/office/drawing/2014/chart" uri="{C3380CC4-5D6E-409C-BE32-E72D297353CC}">
              <c16:uniqueId val="{00000001-09E8-40CF-B37C-0CE49A4E18A8}"/>
            </c:ext>
          </c:extLst>
        </c:ser>
        <c:ser>
          <c:idx val="2"/>
          <c:order val="2"/>
          <c:tx>
            <c:strRef>
              <c:f>[CCF_edu.xlsx]Sheet1!$I$1</c:f>
              <c:strCache>
                <c:ptCount val="1"/>
                <c:pt idx="0">
                  <c:v>High</c:v>
                </c:pt>
              </c:strCache>
            </c:strRef>
          </c:tx>
          <c:spPr>
            <a:ln w="28575" cap="rnd">
              <a:solidFill>
                <a:srgbClr val="FF0000"/>
              </a:solidFill>
              <a:round/>
            </a:ln>
            <a:effectLst/>
          </c:spPr>
          <c:marker>
            <c:symbol val="none"/>
          </c:marker>
          <c:cat>
            <c:numRef>
              <c:f>[CCF_edu.xlsx]Sheet1!$F$2:$F$32</c:f>
              <c:numCache>
                <c:formatCode>General</c:formatCode>
                <c:ptCount val="31"/>
                <c:pt idx="0">
                  <c:v>1940</c:v>
                </c:pt>
                <c:pt idx="5">
                  <c:v>1945</c:v>
                </c:pt>
                <c:pt idx="10">
                  <c:v>1950</c:v>
                </c:pt>
                <c:pt idx="15">
                  <c:v>1955</c:v>
                </c:pt>
                <c:pt idx="20">
                  <c:v>1960</c:v>
                </c:pt>
                <c:pt idx="25">
                  <c:v>1965</c:v>
                </c:pt>
                <c:pt idx="30">
                  <c:v>1970</c:v>
                </c:pt>
              </c:numCache>
            </c:numRef>
          </c:cat>
          <c:val>
            <c:numRef>
              <c:f>[CCF_edu.xlsx]Sheet1!$I$2:$I$32</c:f>
              <c:numCache>
                <c:formatCode>General</c:formatCode>
                <c:ptCount val="31"/>
                <c:pt idx="0">
                  <c:v>13.821629999999999</c:v>
                </c:pt>
                <c:pt idx="1">
                  <c:v>13.70683</c:v>
                </c:pt>
                <c:pt idx="2">
                  <c:v>13.62815</c:v>
                </c:pt>
                <c:pt idx="3">
                  <c:v>14.162069999999998</c:v>
                </c:pt>
                <c:pt idx="4">
                  <c:v>14.336389999999998</c:v>
                </c:pt>
                <c:pt idx="5">
                  <c:v>14.213120000000002</c:v>
                </c:pt>
                <c:pt idx="6">
                  <c:v>14.006759999999998</c:v>
                </c:pt>
                <c:pt idx="7">
                  <c:v>14.334150000000001</c:v>
                </c:pt>
                <c:pt idx="8">
                  <c:v>14.906140000000001</c:v>
                </c:pt>
                <c:pt idx="9">
                  <c:v>15.107529999999999</c:v>
                </c:pt>
                <c:pt idx="10">
                  <c:v>15.011550000000002</c:v>
                </c:pt>
                <c:pt idx="11">
                  <c:v>15.574189999999998</c:v>
                </c:pt>
                <c:pt idx="12">
                  <c:v>15.586510000000001</c:v>
                </c:pt>
                <c:pt idx="13">
                  <c:v>16.209810000000001</c:v>
                </c:pt>
                <c:pt idx="14">
                  <c:v>16.765150000000002</c:v>
                </c:pt>
                <c:pt idx="15">
                  <c:v>16.735140000000001</c:v>
                </c:pt>
                <c:pt idx="16">
                  <c:v>17.078199999999999</c:v>
                </c:pt>
                <c:pt idx="17">
                  <c:v>17.088629999999998</c:v>
                </c:pt>
                <c:pt idx="18">
                  <c:v>17.149729999999998</c:v>
                </c:pt>
                <c:pt idx="19">
                  <c:v>17.515090000000001</c:v>
                </c:pt>
                <c:pt idx="20">
                  <c:v>17.231279999999998</c:v>
                </c:pt>
                <c:pt idx="21">
                  <c:v>17.634319999999999</c:v>
                </c:pt>
                <c:pt idx="22">
                  <c:v>18.046309999999998</c:v>
                </c:pt>
                <c:pt idx="23">
                  <c:v>18.12518</c:v>
                </c:pt>
                <c:pt idx="24">
                  <c:v>18.1753</c:v>
                </c:pt>
                <c:pt idx="25">
                  <c:v>18.454149999999998</c:v>
                </c:pt>
                <c:pt idx="26">
                  <c:v>18.252099999999999</c:v>
                </c:pt>
                <c:pt idx="27">
                  <c:v>18.101030000000002</c:v>
                </c:pt>
                <c:pt idx="28">
                  <c:v>17.905609999999999</c:v>
                </c:pt>
                <c:pt idx="29">
                  <c:v>17.756979999999999</c:v>
                </c:pt>
                <c:pt idx="30">
                  <c:v>18.20176</c:v>
                </c:pt>
              </c:numCache>
            </c:numRef>
          </c:val>
          <c:smooth val="0"/>
          <c:extLst>
            <c:ext xmlns:c16="http://schemas.microsoft.com/office/drawing/2014/chart" uri="{C3380CC4-5D6E-409C-BE32-E72D297353CC}">
              <c16:uniqueId val="{00000002-09E8-40CF-B37C-0CE49A4E18A8}"/>
            </c:ext>
          </c:extLst>
        </c:ser>
        <c:dLbls>
          <c:showLegendKey val="0"/>
          <c:showVal val="0"/>
          <c:showCatName val="0"/>
          <c:showSerName val="0"/>
          <c:showPercent val="0"/>
          <c:showBubbleSize val="0"/>
        </c:dLbls>
        <c:smooth val="0"/>
        <c:axId val="468587120"/>
        <c:axId val="468585152"/>
      </c:lineChart>
      <c:catAx>
        <c:axId val="468587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of birth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585152"/>
        <c:crossesAt val="0"/>
        <c:auto val="1"/>
        <c:lblAlgn val="ctr"/>
        <c:lblOffset val="100"/>
        <c:noMultiLvlLbl val="0"/>
      </c:catAx>
      <c:valAx>
        <c:axId val="46858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permanently childless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587120"/>
        <c:crosses val="autoZero"/>
        <c:crossBetween val="between"/>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5">
  <a:schemeClr val="accent2"/>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0.91476</cdr:x>
      <cdr:y>0.93535</cdr:y>
    </cdr:from>
    <cdr:to>
      <cdr:x>1</cdr:x>
      <cdr:y>0.9734</cdr:y>
    </cdr:to>
    <cdr:sp macro="" textlink="">
      <cdr:nvSpPr>
        <cdr:cNvPr id="2" name="Text Box 196"/>
        <cdr:cNvSpPr txBox="1"/>
      </cdr:nvSpPr>
      <cdr:spPr>
        <a:xfrm xmlns:a="http://schemas.openxmlformats.org/drawingml/2006/main">
          <a:off x="2930509" y="6431279"/>
          <a:ext cx="273066" cy="2616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AU" sz="900">
              <a:solidFill>
                <a:srgbClr val="0070C0"/>
              </a:solidFill>
              <a:effectLst/>
              <a:latin typeface="Calibri" panose="020F0502020204030204" pitchFamily="34" charset="0"/>
              <a:ea typeface="Calibri" panose="020F0502020204030204" pitchFamily="34" charset="0"/>
              <a:cs typeface="Times New Roman" panose="02020603050405020304" pitchFamily="18" charset="0"/>
            </a:rPr>
            <a:t>3.01</a:t>
          </a:r>
          <a:endParaRPr lang="en-AU" sz="105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0.31728</cdr:x>
      <cdr:y>0.63983</cdr:y>
    </cdr:from>
    <cdr:to>
      <cdr:x>0.55676</cdr:x>
      <cdr:y>0.79723</cdr:y>
    </cdr:to>
    <cdr:sp macro="" textlink="">
      <cdr:nvSpPr>
        <cdr:cNvPr id="2" name="Text Box 1"/>
        <cdr:cNvSpPr txBox="1"/>
      </cdr:nvSpPr>
      <cdr:spPr>
        <a:xfrm xmlns:a="http://schemas.openxmlformats.org/drawingml/2006/main">
          <a:off x="1781033" y="2135875"/>
          <a:ext cx="1344304" cy="5254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a:latin typeface="Tw Cen MT Condensed" panose="020B0606020104020203" pitchFamily="34" charset="0"/>
            </a:rPr>
            <a:t>Baby bonus</a:t>
          </a:r>
        </a:p>
      </cdr:txBody>
    </cdr:sp>
  </cdr:relSizeAnchor>
</c:userShapes>
</file>

<file path=word/drawings/drawing3.xml><?xml version="1.0" encoding="utf-8"?>
<c:userShapes xmlns:c="http://schemas.openxmlformats.org/drawingml/2006/chart">
  <cdr:relSizeAnchor xmlns:cdr="http://schemas.openxmlformats.org/drawingml/2006/chartDrawing">
    <cdr:from>
      <cdr:x>0.39091</cdr:x>
      <cdr:y>0.56932</cdr:y>
    </cdr:from>
    <cdr:to>
      <cdr:x>0.90909</cdr:x>
      <cdr:y>0.68182</cdr:y>
    </cdr:to>
    <cdr:sp macro="" textlink="">
      <cdr:nvSpPr>
        <cdr:cNvPr id="2" name="Text Box 2"/>
        <cdr:cNvSpPr txBox="1">
          <a:spLocks xmlns:a="http://schemas.openxmlformats.org/drawingml/2006/main" noChangeArrowheads="1"/>
        </cdr:cNvSpPr>
      </cdr:nvSpPr>
      <cdr:spPr bwMode="auto">
        <a:xfrm xmlns:a="http://schemas.openxmlformats.org/drawingml/2006/main">
          <a:off x="1787237" y="1561753"/>
          <a:ext cx="2369127" cy="3086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AU" sz="900">
              <a:solidFill>
                <a:srgbClr val="000000"/>
              </a:solidFill>
              <a:effectLst/>
              <a:latin typeface="Tw Cen MT" panose="020B0602020104020603" pitchFamily="34" charset="0"/>
              <a:ea typeface="Calibri" panose="020F0502020204030204" pitchFamily="34" charset="0"/>
              <a:cs typeface="Times New Roman" panose="02020603050405020304" pitchFamily="18" charset="0"/>
            </a:rPr>
            <a:t>Education</a:t>
          </a:r>
          <a:r>
            <a:rPr lang="en-AU" sz="900" baseline="0">
              <a:solidFill>
                <a:srgbClr val="000000"/>
              </a:solidFill>
              <a:effectLst/>
              <a:latin typeface="Tw Cen MT" panose="020B0602020104020603" pitchFamily="34" charset="0"/>
              <a:ea typeface="Calibri" panose="020F0502020204030204" pitchFamily="34" charset="0"/>
              <a:cs typeface="Times New Roman" panose="02020603050405020304" pitchFamily="18" charset="0"/>
            </a:rPr>
            <a:t> and care unitary</a:t>
          </a:r>
          <a:r>
            <a:rPr lang="en-AU" sz="900">
              <a:solidFill>
                <a:srgbClr val="000000"/>
              </a:solidFill>
              <a:effectLst/>
              <a:latin typeface="Tw Cen MT" panose="020B0602020104020603" pitchFamily="34" charset="0"/>
              <a:ea typeface="Calibri" panose="020F0502020204030204" pitchFamily="34" charset="0"/>
              <a:cs typeface="Times New Roman" panose="02020603050405020304" pitchFamily="18" charset="0"/>
            </a:rPr>
            <a:t> setting</a:t>
          </a:r>
          <a:endParaRPr lang="en-AU" sz="1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AU" sz="900">
              <a:solidFill>
                <a:srgbClr val="000000"/>
              </a:solidFill>
              <a:effectLst/>
              <a:latin typeface="Tw Cen MT" panose="020B0602020104020603" pitchFamily="34" charset="0"/>
              <a:ea typeface="Calibri" panose="020F0502020204030204" pitchFamily="34" charset="0"/>
              <a:cs typeface="Times New Roman" panose="02020603050405020304" pitchFamily="18" charset="0"/>
            </a:rPr>
            <a:t> </a:t>
          </a:r>
          <a:endParaRPr lang="en-A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Eur19</b:Tag>
    <b:SourceType>Report</b:SourceType>
    <b:Guid>{2582D5C3-BBE2-4D70-8E4F-DEA071FDE865}</b:Guid>
    <b:Title>Key data on Early Childhood Education and Care in Europe- 2019 Edition</b:Title>
    <b:Year>2019</b:Year>
    <b:Publisher>European Commission/ EACEA/ Eurydice</b:Publisher>
    <b:City>Luxembourg</b:City>
    <b:Author>
      <b:Author>
        <b:NameList>
          <b:Person>
            <b:Last>European  Commission</b:Last>
          </b:Person>
        </b:NameList>
      </b:Author>
    </b:Author>
    <b:RefOrder>25</b:RefOrder>
  </b:Source>
  <b:Source>
    <b:Tag>Hur20</b:Tag>
    <b:SourceType>Report</b:SourceType>
    <b:Guid>{1551B59A-8695-4A52-9882-EA550B37DBBE}</b:Guid>
    <b:Title>Australian investment in education: Early Childhood Education and Care</b:Title>
    <b:Year>2020</b:Year>
    <b:Publisher>Mitchell Institute- Victoria University</b:Publisher>
    <b:Author>
      <b:Author>
        <b:NameList>
          <b:Person>
            <b:Last>Hurley</b:Last>
            <b:First>P</b:First>
          </b:Person>
          <b:Person>
            <b:Last>Noble</b:Last>
            <b:First>K</b:First>
          </b:Person>
          <b:Person>
            <b:Last>Jackson</b:Last>
            <b:First>J</b:First>
          </b:Person>
        </b:NameList>
      </b:Author>
    </b:Author>
    <b:RefOrder>33</b:RefOrder>
  </b:Source>
  <b:Source>
    <b:Tag>Placeholder1</b:Tag>
    <b:SourceType>BookSection</b:SourceType>
    <b:Guid>{61537B62-8DDF-431C-AF2E-7A479388C787}</b:Guid>
    <b:Title>From universalism to selectivity: Old wine in new bottles for child benefits in Europe and other countries</b:Title>
    <b:Year>2013</b:Year>
    <b:Pages>137-160</b:Pages>
    <b:Author>
      <b:Author>
        <b:NameList>
          <b:Person>
            <b:Last>Ferrarini</b:Last>
            <b:First>T</b:First>
          </b:Person>
          <b:Person>
            <b:Last>Nelson</b:Last>
            <b:First>K</b:First>
          </b:Person>
          <b:Person>
            <b:Last>Höög</b:Last>
            <b:First>H</b:First>
          </b:Person>
        </b:NameList>
      </b:Author>
      <b:BookAuthor>
        <b:NameList>
          <b:Person>
            <b:Last>Marx</b:Last>
            <b:First>I</b:First>
          </b:Person>
          <b:Person>
            <b:Last>Nelson</b:Last>
            <b:First>K</b:First>
          </b:Person>
        </b:NameList>
      </b:BookAuthor>
    </b:Author>
    <b:BookTitle>Minimum Income Protection in Flux</b:BookTitle>
    <b:City>London</b:City>
    <b:Publisher>Palgrave Macmillan</b:Publisher>
    <b:RefOrder>34</b:RefOrder>
  </b:Source>
  <b:Source>
    <b:Tag>Placeholder2</b:Tag>
    <b:SourceType>Report</b:SourceType>
    <b:Guid>{17E136C7-3D09-47AB-8321-531EC04BF4CC}</b:Guid>
    <b:Title>The OECD Tax-Benefit model for Poland. Description of policy rules for 2020</b:Title>
    <b:Year>2020</b:Year>
    <b:Author>
      <b:Author>
        <b:NameList>
          <b:Person>
            <b:Last>OECD</b:Last>
          </b:Person>
        </b:NameList>
      </b:Author>
    </b:Author>
    <b:Publisher>OECD</b:Publisher>
    <b:URL>https://www.oecd.org/els/soc/TaxBEN-Poland-2020.pdf</b:URL>
    <b:RefOrder>35</b:RefOrder>
  </b:Source>
  <b:Source>
    <b:Tag>Cas03</b:Tag>
    <b:SourceType>JournalArticle</b:SourceType>
    <b:Guid>{437249B0-1E68-4F5A-9137-320AAB7B900D}</b:Guid>
    <b:Title>Taxing women: the politics of gender in the tax/transfer system</b:Title>
    <b:Year>2003</b:Year>
    <b:Pages>37-63</b:Pages>
    <b:JournalName>eJournal of Tax Research</b:JournalName>
    <b:Author>
      <b:Author>
        <b:NameList>
          <b:Person>
            <b:Last>Cass</b:Last>
            <b:First>B</b:First>
          </b:Person>
          <b:Person>
            <b:Last>Brennan</b:Last>
            <b:First>D</b:First>
          </b:Person>
        </b:NameList>
      </b:Author>
    </b:Author>
    <b:Volume>1</b:Volume>
    <b:Issue>1</b:Issue>
    <b:RefOrder>36</b:RefOrder>
  </b:Source>
  <b:Source>
    <b:Tag>Woo19</b:Tag>
    <b:SourceType>JournalArticle</b:SourceType>
    <b:Guid>{51173E11-4DDD-4463-8325-01F5122A115C}</b:Guid>
    <b:Title>Local childcare availability and dual-earner fertility: variation in childcare coverage and birth hazards over place and time</b:Title>
    <b:JournalName>European Jounal of Population</b:JournalName>
    <b:Year>2019</b:Year>
    <b:Pages>913-937</b:Pages>
    <b:Author>
      <b:Author>
        <b:NameList>
          <b:Person>
            <b:Last>Wood</b:Last>
            <b:First>J</b:First>
          </b:Person>
          <b:Person>
            <b:Last>Neels</b:Last>
            <b:First>K</b:First>
          </b:Person>
        </b:NameList>
      </b:Author>
    </b:Author>
    <b:Volume>35</b:Volume>
    <b:RefOrder>32</b:RefOrder>
  </b:Source>
  <b:Source>
    <b:Tag>Woo20</b:Tag>
    <b:SourceType>Report</b:SourceType>
    <b:Guid>{4873BB9A-C937-4125-A7E7-F33E0BECB6EE}</b:Guid>
    <b:Title>Cheaper childcare: A practical plan to boost female workforce participation</b:Title>
    <b:Year>2020</b:Year>
    <b:Publisher>Grattan Institute</b:Publisher>
    <b:Author>
      <b:Author>
        <b:NameList>
          <b:Person>
            <b:Last>Wood</b:Last>
            <b:First>D</b:First>
          </b:Person>
          <b:Person>
            <b:Last>Griffiths</b:Last>
            <b:First>K</b:First>
          </b:Person>
          <b:Person>
            <b:Last>Emslie</b:Last>
            <b:First>O</b:First>
          </b:Person>
        </b:NameList>
      </b:Author>
    </b:Author>
    <b:RefOrder>37</b:RefOrder>
  </b:Source>
  <b:Source>
    <b:Tag>Wes05</b:Tag>
    <b:SourceType>Report</b:SourceType>
    <b:Guid>{7D526A3A-9F47-4F7C-8CB3-553DF8035727}</b:Guid>
    <b:Title>'It's not for lack of wanting kids...' A report on the Fertility Decision Making Project</b:Title>
    <b:Year>2005</b:Year>
    <b:Publisher>Australian Institute of Family Studies</b:Publisher>
    <b:Author>
      <b:Author>
        <b:NameList>
          <b:Person>
            <b:Last>Weston</b:Last>
            <b:First>R</b:First>
          </b:Person>
          <b:Person>
            <b:Last>Qu</b:Last>
            <b:First>L</b:First>
          </b:Person>
          <b:Person>
            <b:Last>Parker</b:Last>
            <b:First>R</b:First>
          </b:Person>
        </b:NameList>
      </b:Author>
    </b:Author>
    <b:RefOrder>38</b:RefOrder>
  </b:Source>
  <b:Source>
    <b:Tag>UNI20</b:Tag>
    <b:SourceType>Report</b:SourceType>
    <b:Guid>{5F07459F-5D41-46F4-9E1D-6D9F2029F149}</b:Guid>
    <b:Author>
      <b:Author>
        <b:NameList>
          <b:Person>
            <b:Last>UNICEF</b:Last>
          </b:Person>
        </b:NameList>
      </b:Author>
    </b:Author>
    <b:Title>Universal child benefits: Policy issues and options</b:Title>
    <b:Year>2020</b:Year>
    <b:RefOrder>39</b:RefOrder>
  </b:Source>
  <b:Source>
    <b:Tag>Thé11</b:Tag>
    <b:SourceType>JournalArticle</b:SourceType>
    <b:Guid>{1BCB8242-09D8-428F-854A-1C8D9B57312B}</b:Guid>
    <b:JournalName>Community, Work &amp; Family</b:JournalName>
    <b:Year>2011</b:Year>
    <b:Pages>197-216</b:Pages>
    <b:Author>
      <b:Author>
        <b:NameList>
          <b:Person>
            <b:Last>Thévenon </b:Last>
            <b:First>O</b:First>
          </b:Person>
          <b:Person>
            <b:Last>Gauthier</b:Last>
            <b:Middle>H</b:Middle>
            <b:First>A</b:First>
          </b:Person>
        </b:NameList>
      </b:Author>
    </b:Author>
    <b:Volume>14</b:Volume>
    <b:Issue>2</b:Issue>
    <b:RefOrder>40</b:RefOrder>
  </b:Source>
  <b:Source>
    <b:Tag>Tay21</b:Tag>
    <b:SourceType>JournalArticle</b:SourceType>
    <b:Guid>{622A8DFF-3743-4E2E-957A-71D4AB1CDAE1}</b:Guid>
    <b:Title>Horizontal equity in the design of Australian family payments for newborns</b:Title>
    <b:JournalName>Australian Journal of Social Issues</b:JournalName>
    <b:Year>2021</b:Year>
    <b:Pages>online first</b:Pages>
    <b:Author>
      <b:Author>
        <b:NameList>
          <b:Person>
            <b:Last>Taylor</b:Last>
            <b:First>M</b:First>
          </b:Person>
        </b:NameList>
      </b:Author>
    </b:Author>
    <b:RefOrder>41</b:RefOrder>
  </b:Source>
  <b:Source>
    <b:Tag>Šta09</b:Tag>
    <b:SourceType>Report</b:SourceType>
    <b:Guid>{2AB39B8E-F2D1-47BF-81F5-E70CD9859EB0}</b:Guid>
    <b:Title>Changing parental leave and shifts in second and</b:Title>
    <b:Year>2009</b:Year>
    <b:Author>
      <b:Author>
        <b:NameList>
          <b:Person>
            <b:Last>Št'astná</b:Last>
            <b:First>A</b:First>
          </b:Person>
          <b:Person>
            <b:Last>Sobotka</b:Last>
            <b:First>T</b:First>
          </b:Person>
        </b:NameList>
      </b:Author>
    </b:Author>
    <b:Publisher>Vienna Institute of Demography</b:Publisher>
    <b:ThesisType>Working Papers, No. 7/2009</b:ThesisType>
    <b:RefOrder>42</b:RefOrder>
  </b:Source>
  <b:Source>
    <b:Tag>Sob20</b:Tag>
    <b:SourceType>Report</b:SourceType>
    <b:Guid>{0E6FF350-FB05-4E9B-8606-856282F262C5}</b:Guid>
    <b:Title>Policy responses to low fertility: How effective are they?</b:Title>
    <b:Year>2020</b:Year>
    <b:Publisher>UNFPA Technical Division</b:Publisher>
    <b:Author>
      <b:Author>
        <b:NameList>
          <b:Person>
            <b:Last>Sobokta</b:Last>
            <b:First>T</b:First>
          </b:Person>
          <b:Person>
            <b:Last>Matyasiak</b:Last>
            <b:First>A</b:First>
          </b:Person>
          <b:Person>
            <b:Last>Brozozowska</b:Last>
            <b:First>Z</b:First>
          </b:Person>
        </b:NameList>
      </b:Author>
    </b:Author>
    <b:ThesisType>Working Paper Series, Population &amp; Development Branch</b:ThesisType>
    <b:RefOrder>43</b:RefOrder>
  </b:Source>
  <b:Source>
    <b:Tag>Sin12</b:Tag>
    <b:SourceType>JournalArticle</b:SourceType>
    <b:Guid>{0ACDA4A0-372A-485B-B75F-5C16685E47D2}</b:Guid>
    <b:Title>A Re-appraisal of the fertility response to the Australian Baby Bonus</b:Title>
    <b:JournalName>The Economic Record</b:JournalName>
    <b:Year>2012</b:Year>
    <b:Pages>78-87</b:Pages>
    <b:Author>
      <b:Author>
        <b:NameList>
          <b:Person>
            <b:Last>Sinclair</b:Last>
            <b:First>S</b:First>
          </b:Person>
          <b:Person>
            <b:Last>Boymal</b:Last>
            <b:First>J</b:First>
          </b:Person>
          <b:Person>
            <b:Last>De Silva</b:Last>
            <b:First>Ashton</b:First>
          </b:Person>
        </b:NameList>
      </b:Author>
    </b:Author>
    <b:Volume>88</b:Volume>
    <b:RefOrder>44</b:RefOrder>
  </b:Source>
  <b:Source>
    <b:Tag>Ris10</b:Tag>
    <b:SourceType>JournalArticle</b:SourceType>
    <b:Guid>{914131F4-5999-4795-BBF3-DDE5C2FB8CF1}</b:Guid>
    <b:Title>'…And one for the country’ : The effect of the baby bonus on Australian women’s childbearing intentions</b:Title>
    <b:JournalName>Journal of Population Research</b:JournalName>
    <b:Year>2010</b:Year>
    <b:Pages>213-240</b:Pages>
    <b:Author>
      <b:Author>
        <b:NameList>
          <b:Person>
            <b:Last>Risse</b:Last>
            <b:First>L</b:First>
          </b:Person>
        </b:NameList>
      </b:Author>
    </b:Author>
    <b:Volume>27</b:Volume>
    <b:RefOrder>45</b:RefOrder>
  </b:Source>
  <b:Source>
    <b:Tag>Rip17</b:Tag>
    <b:SourceType>JournalArticle</b:SourceType>
    <b:Guid>{38B29EF5-463C-498E-9A37-AF959BC5BC80}</b:Guid>
    <b:Title>Fertiliy effects of child benefits</b:Title>
    <b:Year>2017</b:Year>
    <b:JournalName>Journal of Population Economics</b:JournalName>
    <b:Pages>1135-1184</b:Pages>
    <b:Author>
      <b:Author>
        <b:NameList>
          <b:Person>
            <b:Last>Riphahn </b:Last>
            <b:Middle>T</b:Middle>
            <b:First>R</b:First>
          </b:Person>
          <b:Person>
            <b:Last>Wiynck</b:Last>
            <b:First>F</b:First>
          </b:Person>
        </b:NameList>
      </b:Author>
    </b:Author>
    <b:Volume>30</b:Volume>
    <b:RefOrder>46</b:RefOrder>
  </b:Source>
  <b:Source>
    <b:Tag>Rin10</b:Tag>
    <b:SourceType>JournalArticle</b:SourceType>
    <b:Guid>{97539AFA-A222-463D-BE65-462D8E1EAE33}</b:Guid>
    <b:Author>
      <b:Author>
        <b:NameList>
          <b:Person>
            <b:Last>Rindfuss</b:Last>
            <b:Middle>R</b:Middle>
            <b:First>R</b:First>
          </b:Person>
          <b:Person>
            <b:Last>Guilkey</b:Last>
            <b:Middle>K</b:Middle>
            <b:First>D</b:First>
          </b:Person>
          <b:Person>
            <b:Last>Morgan</b:Last>
            <b:Middle>P</b:Middle>
            <b:First>S</b:First>
          </b:Person>
          <b:Person>
            <b:Last>Kravdal</b:Last>
            <b:First>Ø</b:First>
          </b:Person>
        </b:NameList>
      </b:Author>
    </b:Author>
    <b:Title>Child-Care Availability and Fertility in Norway</b:Title>
    <b:JournalName>Population and Development Review</b:JournalName>
    <b:Year>2010</b:Year>
    <b:Pages>725-748</b:Pages>
    <b:Volume>36</b:Volume>
    <b:Issue>4</b:Issue>
    <b:RefOrder>47</b:RefOrder>
  </b:Source>
  <b:Source>
    <b:Tag>Raw16</b:Tag>
    <b:SourceType>JournalArticle</b:SourceType>
    <b:Guid>{57F9B8DE-DB92-4DB1-BE99-5DADCA9ECA98}</b:Guid>
    <b:Title>Socioeconomic responses by age group to the Australian Baby Bonus: A multivariate analysis of birth data from 2001-13</b:Title>
    <b:JournalName>Australian Journal of Labour Economics</b:JournalName>
    <b:Year>2016</b:Year>
    <b:Pages>111-129</b:Pages>
    <b:Author>
      <b:Author>
        <b:NameList>
          <b:Person>
            <b:Last>Rawlings</b:Last>
            <b:First>Louise</b:First>
          </b:Person>
          <b:Person>
            <b:Last>Robson</b:Last>
            <b:Middle>J</b:Middle>
            <b:First>S</b:First>
          </b:Person>
          <b:Person>
            <b:Last>Ding</b:Last>
            <b:First>P</b:First>
          </b:Person>
        </b:NameList>
      </b:Author>
    </b:Author>
    <b:RefOrder>48</b:RefOrder>
  </b:Source>
  <b:Source>
    <b:Tag>Rau19</b:Tag>
    <b:SourceType>JournalArticle</b:SourceType>
    <b:Guid>{7921EDBB-AA86-4941-8ED8-1ED95B190698}</b:Guid>
    <b:Title>Can financial incentives reduce the baby gap? Evidence from a reform in maternity leave benefits</b:Title>
    <b:JournalName>Journal of Public Economics</b:JournalName>
    <b:Year>2019</b:Year>
    <b:Pages>203-222</b:Pages>
    <b:Author>
      <b:Author>
        <b:NameList>
          <b:Person>
            <b:Last>Raute</b:Last>
            <b:First>A</b:First>
          </b:Person>
        </b:NameList>
      </b:Author>
    </b:Author>
    <b:RefOrder>49</b:RefOrder>
  </b:Source>
  <b:Source>
    <b:Tag>Prs08</b:Tag>
    <b:SourceType>JournalArticle</b:SourceType>
    <b:Guid>{AB06379E-1F45-4514-AB45-3A23A59D2C9E}</b:Guid>
    <b:Title>Austria: Persistent low fertility since the mid-1980s</b:Title>
    <b:Year>2008</b:Year>
    <b:Author>
      <b:Author>
        <b:NameList>
          <b:Person>
            <b:Last>Prskawetz</b:Last>
            <b:First>A</b:First>
          </b:Person>
          <b:Person>
            <b:Last>Sobotka</b:Last>
            <b:First>T</b:First>
          </b:Person>
          <b:Person>
            <b:Last>Buber</b:Last>
            <b:First>I</b:First>
          </b:Person>
          <b:Person>
            <b:Last>Engelhardt</b:Last>
            <b:First>H</b:First>
          </b:Person>
          <b:Person>
            <b:Last>Gisser</b:Last>
            <b:First>R</b:First>
          </b:Person>
        </b:NameList>
      </b:Author>
    </b:Author>
    <b:JournalName>Demographic Research</b:JournalName>
    <b:Pages>293-360</b:Pages>
    <b:Volume>19</b:Volume>
    <b:RefOrder>50</b:RefOrder>
  </b:Source>
  <b:Source>
    <b:Tag>Pro20</b:Tag>
    <b:SourceType>Report</b:SourceType>
    <b:Guid>{03711CD8-7A5F-42D9-9882-1E22E4AC024A}</b:Guid>
    <b:Title>Why did young people's incomes decline</b:Title>
    <b:Year>2020</b:Year>
    <b:Publisher>Productivity Commission</b:Publisher>
    <b:City>Canberra</b:City>
    <b:Author>
      <b:Author>
        <b:NameList>
          <b:Person>
            <b:Last>Productivity Commission</b:Last>
          </b:Person>
        </b:NameList>
      </b:Author>
    </b:Author>
    <b:ThesisType>Research Paper</b:ThesisType>
    <b:RefOrder>51</b:RefOrder>
  </b:Source>
  <b:Source>
    <b:Tag>OEC21</b:Tag>
    <b:SourceType>InternetSite</b:SourceType>
    <b:Guid>{93577341-7F52-4C54-9FA6-3CA0691F97EE}</b:Guid>
    <b:Title>OECD Family Database</b:Title>
    <b:Year>2021</b:Year>
    <b:Author>
      <b:Author>
        <b:NameList>
          <b:Person>
            <b:Last>OECD</b:Last>
          </b:Person>
        </b:NameList>
      </b:Author>
    </b:Author>
    <b:Month>May</b:Month>
    <b:Day>24</b:Day>
    <b:URL>https://www.oecd.org/els/family/database.htm</b:URL>
    <b:RefOrder>3</b:RefOrder>
  </b:Source>
  <b:Source>
    <b:Tag>NíB11</b:Tag>
    <b:SourceType>JournalArticle</b:SourceType>
    <b:Guid>{5478CFD4-C95A-4583-9374-AD2BA6B6C0F1}</b:Guid>
    <b:Title>Tempo and the TFR</b:Title>
    <b:Year>2011</b:Year>
    <b:Author>
      <b:Author>
        <b:NameList>
          <b:Person>
            <b:Last>Ní Bhrolcháin</b:Last>
            <b:First>M</b:First>
          </b:Person>
        </b:NameList>
      </b:Author>
    </b:Author>
    <b:JournalName>Demography</b:JournalName>
    <b:Pages>841–861</b:Pages>
    <b:Volume>48</b:Volume>
    <b:RefOrder>52</b:RefOrder>
  </b:Source>
  <b:Source>
    <b:Tag>Mil05</b:Tag>
    <b:SourceType>JournalArticle</b:SourceType>
    <b:Guid>{58A88CF0-9930-4D26-ACCD-9A77434498CB}</b:Guid>
    <b:Title>Subsidizing the stork: new evidence of tax incentives and fertility</b:Title>
    <b:Year>2005</b:Year>
    <b:JournalName>The Review of Economics and Statistics</b:JournalName>
    <b:Pages>539-555</b:Pages>
    <b:Author>
      <b:Author>
        <b:NameList>
          <b:Person>
            <b:Last>Milligan</b:Last>
            <b:First>K</b:First>
          </b:Person>
        </b:NameList>
      </b:Author>
    </b:Author>
    <b:Volume>87</b:Volume>
    <b:Issue>3</b:Issue>
    <b:RefOrder>53</b:RefOrder>
  </b:Source>
  <b:Source>
    <b:Tag>McD03</b:Tag>
    <b:SourceType>JournalArticle</b:SourceType>
    <b:Guid>{FBE9F69C-6B97-43F7-B33D-68CF065DECF6}</b:Guid>
    <b:Title>Reforming family support policy in Australia</b:Title>
    <b:JournalName>People and Place</b:JournalName>
    <b:Year>2003</b:Year>
    <b:Pages>1-9</b:Pages>
    <b:Author>
      <b:Author>
        <b:NameList>
          <b:Person>
            <b:Last>McDonald</b:Last>
            <b:First>Peter</b:First>
          </b:Person>
        </b:NameList>
      </b:Author>
    </b:Author>
    <b:Volume>11</b:Volume>
    <b:Issue>2</b:Issue>
    <b:RefOrder>54</b:RefOrder>
  </b:Source>
  <b:Source>
    <b:Tag>Mat16</b:Tag>
    <b:SourceType>JournalArticle</b:SourceType>
    <b:Guid>{C0C0D391-B283-41A5-B292-11B4F52D204C}</b:Guid>
    <b:Title>Country-specific conditions for work and family reconciliation: An attempt at quantification</b:Title>
    <b:JournalName>European Journal of Population</b:JournalName>
    <b:Year>2016</b:Year>
    <b:Pages>475-510</b:Pages>
    <b:Author>
      <b:Author>
        <b:NameList>
          <b:Person>
            <b:Last>Matysiak</b:Last>
            <b:First>A</b:First>
          </b:Person>
          <b:Person>
            <b:Last>Węziak-Białowolska </b:Last>
            <b:First>D</b:First>
          </b:Person>
        </b:NameList>
      </b:Author>
    </b:Author>
    <b:Volume>32</b:Volume>
    <b:RefOrder>55</b:RefOrder>
  </b:Source>
  <b:Source>
    <b:Tag>Mal19</b:Tag>
    <b:SourceType>JournalArticle</b:SourceType>
    <b:Guid>{823AE7B4-C0B1-4237-87FF-2A6CE947A9DD}</b:Guid>
    <b:Title>Baby bonus, anyone? Examining heterogeneous</b:Title>
    <b:Year>2019</b:Year>
    <b:JournalName>Journal of Population Economics</b:JournalName>
    <b:Pages>1205-1246</b:Pages>
    <b:Author>
      <b:Author>
        <b:NameList>
          <b:Person>
            <b:Last>Malak</b:Last>
            <b:First>N</b:First>
          </b:Person>
          <b:Person>
            <b:Last>Rahman</b:Last>
            <b:Middle>M</b:Middle>
            <b:First>M </b:First>
          </b:Person>
          <b:Person>
            <b:Last>Yip</b:Last>
            <b:Middle>A</b:Middle>
            <b:First>T</b:First>
          </b:Person>
        </b:NameList>
      </b:Author>
    </b:Author>
    <b:Volume>32</b:Volume>
    <b:RefOrder>56</b:RefOrder>
  </b:Source>
  <b:Source>
    <b:Tag>Laß19</b:Tag>
    <b:SourceType>BookSection</b:SourceType>
    <b:Guid>{4D86BB92-E96E-42E4-8D31-1A6E412BB920}</b:Guid>
    <b:Title>Households and family life</b:Title>
    <b:Year>2019</b:Year>
    <b:Publisher>Melbourne Institute: Applied Economic &amp; Social Research</b:Publisher>
    <b:City>Melbourne</b:City>
    <b:BookTitle>The Household, Income and Labour Dynamics in Australia Survey: Selected findings from Waves 1 to 17</b:BookTitle>
    <b:Pages>6-28</b:Pages>
    <b:Author>
      <b:Author>
        <b:NameList>
          <b:Person>
            <b:Last>Laß</b:Last>
            <b:First>I</b:First>
          </b:Person>
        </b:NameList>
      </b:Author>
      <b:BookAuthor>
        <b:NameList>
          <b:Person>
            <b:Last>Wilkins</b:Last>
            <b:First>R</b:First>
          </b:Person>
          <b:Person>
            <b:Last>Laß</b:Last>
            <b:First>I</b:First>
          </b:Person>
          <b:Person>
            <b:Last>Butterworth</b:Last>
            <b:First>P</b:First>
          </b:Person>
          <b:Person>
            <b:Last>Vera-Toscano</b:Last>
            <b:First>E</b:First>
          </b:Person>
        </b:NameList>
      </b:BookAuthor>
    </b:Author>
    <b:RefOrder>57</b:RefOrder>
  </b:Source>
  <b:Source>
    <b:Tag>Lan12</b:Tag>
    <b:SourceType>JournalArticle</b:SourceType>
    <b:Guid>{0717E833-F8DA-43DD-A145-CBBA5F12E7C4}</b:Guid>
    <b:Title>The impact of monetary incentives on general fertility rates in Western Australia</b:Title>
    <b:JournalName>Journal of Epidemiology and Community Health</b:JournalName>
    <b:Year>2012</b:Year>
    <b:Pages>296-301</b:Pages>
    <b:Author>
      <b:Author>
        <b:NameList>
          <b:Person>
            <b:Last>Langridge</b:Last>
            <b:First>A</b:First>
          </b:Person>
          <b:Person>
            <b:Last>Nassar</b:Last>
            <b:First>N</b:First>
          </b:Person>
          <b:Person>
            <b:Last>Li</b:Last>
            <b:First>J</b:First>
          </b:Person>
          <b:Person>
            <b:Last>Jacoby</b:Last>
            <b:First>P</b:First>
          </b:Person>
          <b:Person>
            <b:Last>Stanley</b:Last>
            <b:Middle>J</b:Middle>
            <b:First>F</b:First>
          </b:Person>
        </b:NameList>
      </b:Author>
    </b:Author>
    <b:Volume>66</b:Volume>
    <b:DOI>doi:10.1136/jech.2009.100347</b:DOI>
    <b:RefOrder>58</b:RefOrder>
  </b:Source>
  <b:Source>
    <b:Tag>Lav09</b:Tag>
    <b:SourceType>JournalArticle</b:SourceType>
    <b:Guid>{C123950F-106E-4F8F-A7DF-1FB0DE0D4CBD}</b:Guid>
    <b:Title>How does parental leave effect fertility and return to work? Evidence from two natural experiments</b:Title>
    <b:JournalName>The Quarterly Journal of Economics</b:JournalName>
    <b:Year>2009</b:Year>
    <b:Pages>1363-1402</b:Pages>
    <b:Author>
      <b:Author>
        <b:NameList>
          <b:Person>
            <b:Last>Lalive</b:Last>
            <b:First>R</b:First>
          </b:Person>
          <b:Person>
            <b:Last>Zweimüller</b:Last>
            <b:First>J</b:First>
          </b:Person>
        </b:NameList>
      </b:Author>
    </b:Author>
    <b:Volume>124</b:Volume>
    <b:Issue>3</b:Issue>
    <b:RefOrder>59</b:RefOrder>
  </b:Source>
  <b:Source>
    <b:Tag>The</b:Tag>
    <b:SourceType>JournalArticle</b:SourceType>
    <b:Guid>{472945F1-FD57-4482-AF1E-DCD9FB8795B8}</b:Guid>
    <b:Title>The impact of the Baby Bonus payment in New South Wales: who is having “one for the country”?</b:Title>
    <b:Author>
      <b:Author>
        <b:NameList>
          <b:Person>
            <b:Last>Lain</b:Last>
            <b:First>S.</b:First>
            <b:Middle>J</b:Middle>
          </b:Person>
          <b:Person>
            <b:First>Ford,</b:First>
            <b:Middle>J. B.</b:Middle>
          </b:Person>
          <b:Person>
            <b:Last>Raynes‐Greenow</b:Last>
            <b:First>C.</b:First>
            <b:Middle>H.</b:Middle>
          </b:Person>
          <b:Person>
            <b:Last>Hadfield</b:Last>
            <b:First>R.</b:First>
            <b:Middle>M.</b:Middle>
          </b:Person>
          <b:Person>
            <b:Last>Simpson</b:Last>
            <b:First>J.</b:First>
            <b:Middle>M.</b:Middle>
          </b:Person>
          <b:Person>
            <b:Last>Morris</b:Last>
            <b:First>J.</b:First>
            <b:Middle>M.</b:Middle>
          </b:Person>
          <b:Person>
            <b:Last>Roberts</b:Last>
            <b:First>C.</b:First>
            <b:Middle>L.</b:Middle>
          </b:Person>
        </b:NameList>
      </b:Author>
    </b:Author>
    <b:JournalName>Medical Journal of Australia</b:JournalName>
    <b:Year>2009</b:Year>
    <b:Pages>238-241</b:Pages>
    <b:Volume>190</b:Volume>
    <b:Issue>5</b:Issue>
    <b:RefOrder>60</b:RefOrder>
  </b:Source>
  <b:Source>
    <b:Tag>KPM20</b:Tag>
    <b:SourceType>Report</b:SourceType>
    <b:Guid>{6AAACDF5-5DC7-443C-9D32-481988F73207}</b:Guid>
    <b:Title>The child care subsidy: Options for increasing support for caregivers who want to work</b:Title>
    <b:Year>2020</b:Year>
    <b:Publisher>KPMG</b:Publisher>
    <b:Author>
      <b:Author>
        <b:NameList>
          <b:Person>
            <b:Last>KPMG</b:Last>
          </b:Person>
        </b:NameList>
      </b:Author>
    </b:Author>
    <b:RefOrder>61</b:RefOrder>
  </b:Source>
  <b:Source>
    <b:Tag>Kel21</b:Tag>
    <b:SourceType>Report</b:SourceType>
    <b:Guid>{DFCC21FB-46EE-42EF-9AA6-DE3A78EDF85D}</b:Guid>
    <b:Title>Preliminary Fertility Rate Projections for the 2021 NSW Intergenerational Report</b:Title>
    <b:Year>2021</b:Year>
    <b:Publisher>NSW Treasury</b:Publisher>
    <b:Author>
      <b:Author>
        <b:NameList>
          <b:Person>
            <b:Last>Kelly</b:Last>
            <b:First>R</b:First>
          </b:Person>
        </b:NameList>
      </b:Author>
    </b:Author>
    <b:RefOrder>62</b:RefOrder>
  </b:Source>
  <b:Source>
    <b:Tag>Kal10</b:Tag>
    <b:SourceType>JournalArticle</b:SourceType>
    <b:Guid>{795A1FD1-0299-48F3-8A5E-724026071118}</b:Guid>
    <b:Title>The impact of family policy expenditure on fertility in Western Europe</b:Title>
    <b:JournalName>Demography</b:JournalName>
    <b:Year>2010</b:Year>
    <b:Pages>503-519</b:Pages>
    <b:Author>
      <b:Author>
        <b:NameList>
          <b:Person>
            <b:Last>Kalwij</b:Last>
            <b:First>A</b:First>
          </b:Person>
        </b:NameList>
      </b:Author>
    </b:Author>
    <b:Volume>47</b:Volume>
    <b:Issue>2</b:Issue>
    <b:RefOrder>63</b:RefOrder>
  </b:Source>
  <b:Source>
    <b:Tag>Hol11</b:Tag>
    <b:SourceType>JournalArticle</b:SourceType>
    <b:Guid>{4AF176E1-2DAD-438F-BED9-FE7500AB024B}</b:Guid>
    <b:Title>To have or not to have? Australian women’s childbearing desires, expectations and outcomes</b:Title>
    <b:Year>2011</b:Year>
    <b:Pages>353-379</b:Pages>
    <b:JournalName>Journal of Population Research</b:JournalName>
    <b:Author>
      <b:Author>
        <b:NameList>
          <b:Person>
            <b:Last>Holton</b:Last>
            <b:First>S</b:First>
          </b:Person>
          <b:Person>
            <b:Last>Fisher</b:Last>
            <b:First>J</b:First>
          </b:Person>
          <b:Person>
            <b:Last>Rowe</b:Last>
            <b:First>H</b:First>
          </b:Person>
        </b:NameList>
      </b:Author>
    </b:Author>
    <b:Volume>28</b:Volume>
    <b:RefOrder>64</b:RefOrder>
  </b:Source>
  <b:Source>
    <b:Tag>Har19</b:Tag>
    <b:SourceType>Report</b:SourceType>
    <b:Guid>{551A07E2-1573-4F5F-BBDE-6E1DA4273B87}</b:Guid>
    <b:Title>Effects of extended paternity leave on union stability and fertility</b:Title>
    <b:Year>2019</b:Year>
    <b:Author>
      <b:Author>
        <b:NameList>
          <b:Person>
            <b:Last>Hart</b:Last>
            <b:Middle>K</b:Middle>
            <b:First>R</b:First>
          </b:Person>
          <b:Person>
            <b:Last>Andersen</b:Last>
            <b:Middle>N</b:Middle>
            <b:First>S</b:First>
          </b:Person>
          <b:Person>
            <b:Last>Drange</b:Last>
            <b:First>N</b:First>
          </b:Person>
        </b:NameList>
      </b:Author>
    </b:Author>
    <b:Publisher>Statistics Norway</b:Publisher>
    <b:ThesisType>Discussion Papers No. 899</b:ThesisType>
    <b:RefOrder>65</b:RefOrder>
  </b:Source>
  <b:Source>
    <b:Tag>Gra18</b:Tag>
    <b:SourceType>JournalArticle</b:SourceType>
    <b:Guid>{5506BD1B-3844-418F-A77C-04923C04C68F}</b:Guid>
    <b:Title>Geographic variation in parity progression in Australia</b:Title>
    <b:JournalName>Population Space and Place</b:JournalName>
    <b:Year>2018</b:Year>
    <b:Pages>e2080</b:Pages>
    <b:Author>
      <b:Author>
        <b:NameList>
          <b:Person>
            <b:Last>Gray</b:Last>
            <b:First>E</b:First>
          </b:Person>
          <b:Person>
            <b:Last>Evans</b:Last>
            <b:First>A</b:First>
          </b:Person>
        </b:NameList>
      </b:Author>
    </b:Author>
    <b:Volume>24</b:Volume>
    <b:RefOrder>6</b:RefOrder>
  </b:Source>
  <b:Source>
    <b:Tag>Gra19</b:Tag>
    <b:SourceType>JournalArticle</b:SourceType>
    <b:Guid>{32E37E79-D802-49C5-861F-762415A027BF}</b:Guid>
    <b:Title>Changing education, changing fertility: a decomposition of completed fertility in Australia</b:Title>
    <b:Year>2019</b:Year>
    <b:Author>
      <b:Author>
        <b:NameList>
          <b:Person>
            <b:Last>Gray</b:Last>
            <b:First>E</b:First>
          </b:Person>
          <b:Person>
            <b:Last>Evans</b:Last>
            <b:First>A</b:First>
          </b:Person>
        </b:NameList>
      </b:Author>
    </b:Author>
    <b:JournalName>Australian Population Studies</b:JournalName>
    <b:Pages>1-15</b:Pages>
    <b:Volume>3</b:Volume>
    <b:Issue>2</b:Issue>
    <b:RefOrder>16</b:RefOrder>
  </b:Source>
  <b:Source>
    <b:Tag>Gon21</b:Tag>
    <b:SourceType>JournalArticle</b:SourceType>
    <b:Guid>{126BA3B8-5254-4987-A976-A2F9C7E0FC03}</b:Guid>
    <b:Title>Cash Transfers and Fertility: How the introduction and cancellation of a child benefit affected births and abortions</b:Title>
    <b:Year>2021</b:Year>
    <b:JournalName>The Journal of Human Resources</b:JournalName>
    <b:Pages>Online first</b:Pages>
    <b:Author>
      <b:Author>
        <b:NameList>
          <b:Person>
            <b:Last>González</b:Last>
            <b:First>L</b:First>
          </b:Person>
          <b:Person>
            <b:Last> Trommlerová</b:Last>
            <b:Middle>K</b:Middle>
            <b:First>S</b:First>
          </b:Person>
        </b:NameList>
      </b:Author>
    </b:Author>
    <b:RefOrder>66</b:RefOrder>
  </b:Source>
  <b:Source>
    <b:Tag>Gau211</b:Tag>
    <b:SourceType>JournalArticle</b:SourceType>
    <b:Guid>{4717ABDA-FE66-488A-9ECA-6BAEC6591985}</b:Guid>
    <b:Title>Exploring the concept of intensive parenting in a three-country study</b:Title>
    <b:JournalName>Demographic Research</b:JournalName>
    <b:Year>2021</b:Year>
    <b:Pages>333-348</b:Pages>
    <b:Author>
      <b:Author>
        <b:NameList>
          <b:Person>
            <b:Last>Gauthier</b:Last>
            <b:Middle>H</b:Middle>
            <b:First>A</b:First>
          </b:Person>
          <b:Person>
            <b:Last>Bryson</b:Last>
            <b:First>C</b:First>
          </b:Person>
          <b:Person>
            <b:Last>Fadel</b:Last>
            <b:First>L</b:First>
          </b:Person>
          <b:Person>
            <b:Last>Haux</b:Last>
            <b:First>T</b:First>
          </b:Person>
          <b:Person>
            <b:Last>Judith</b:Last>
            <b:First>K</b:First>
          </b:Person>
          <b:Person>
            <b:Last>Mynarska</b:Last>
            <b:First>M</b:First>
          </b:Person>
        </b:NameList>
      </b:Author>
    </b:Author>
    <b:Volume>44</b:Volume>
    <b:Issue>13</b:Issue>
    <b:RefOrder>67</b:RefOrder>
  </b:Source>
  <b:Source>
    <b:Tag>Gau21</b:Tag>
    <b:SourceType>JournalArticle</b:SourceType>
    <b:Guid>{A444D037-B1ED-4A51-B052-30A995EC97C5}</b:Guid>
    <b:Title>Costly children: the motivations for parental investment in children in a low fertility context</b:Title>
    <b:JournalName>Genus</b:JournalName>
    <b:Year>2021</b:Year>
    <b:Pages>1-19</b:Pages>
    <b:Author>
      <b:Author>
        <b:NameList>
          <b:Person>
            <b:Last>Gauthier</b:Last>
            <b:Middle>H</b:Middle>
            <b:First>A</b:First>
          </b:Person>
          <b:Person>
            <b:Last>de Jong</b:Last>
            <b:Middle>W</b:Middle>
            <b:First>P</b:First>
          </b:Person>
        </b:NameList>
      </b:Author>
    </b:Author>
    <b:Volume>77</b:Volume>
    <b:Issue>6</b:Issue>
    <b:RefOrder>68</b:RefOrder>
  </b:Source>
  <b:Source>
    <b:Tag>Gau08</b:Tag>
    <b:SourceType>JournalArticle</b:SourceType>
    <b:Guid>{63BB63F4-C0FA-4B78-99B3-9341E0BEEEBE}</b:Guid>
    <b:Title>Can policies enhance fertility in Europe?</b:Title>
    <b:JournalName>Vienna Yearbook of Population Research</b:JournalName>
    <b:Year>2008</b:Year>
    <b:Pages>1-16</b:Pages>
    <b:Author>
      <b:Author>
        <b:NameList>
          <b:Person>
            <b:Last>Gauthier</b:Last>
            <b:Middle>H</b:Middle>
            <b:First>A</b:First>
          </b:Person>
          <b:Person>
            <b:Last>Philipov</b:Last>
            <b:First>D</b:First>
          </b:Person>
        </b:NameList>
      </b:Author>
    </b:Author>
    <b:Volume>6</b:Volume>
    <b:RefOrder>69</b:RefOrder>
  </b:Source>
  <b:Source>
    <b:Tag>Far19</b:Tag>
    <b:SourceType>JournalArticle</b:SourceType>
    <b:Guid>{638A45AA-BFF6-48D3-9C2D-905AED095160}</b:Guid>
    <b:Title>Does paternity leave reduce fertility?</b:Title>
    <b:JournalName>Journal of Public Economics</b:JournalName>
    <b:Year>2019</b:Year>
    <b:Pages>52-66</b:Pages>
    <b:Author>
      <b:Author>
        <b:NameList>
          <b:Person>
            <b:Last>Farré</b:Last>
            <b:First>L</b:First>
          </b:Person>
          <b:Person>
            <b:Last>González</b:Last>
          </b:Person>
        </b:NameList>
      </b:Author>
    </b:Author>
    <b:Volume>72</b:Volume>
    <b:RefOrder>70</b:RefOrder>
  </b:Source>
  <b:Source>
    <b:Tag>Eva09</b:Tag>
    <b:SourceType>JournalArticle</b:SourceType>
    <b:Guid>{325492EE-571F-4C6A-B611-681FA64220C3}</b:Guid>
    <b:Title>Taking stock: parents' reasons for and against having a third child</b:Title>
    <b:Year>2009</b:Year>
    <b:JournalName>Community, Work &amp; Family</b:JournalName>
    <b:Pages>437-454</b:Pages>
    <b:Author>
      <b:Author>
        <b:NameList>
          <b:Person>
            <b:Last>Evans</b:Last>
            <b:First>A</b:First>
          </b:Person>
          <b:Person>
            <b:Last>Barbato</b:Last>
            <b:First>C</b:First>
          </b:Person>
          <b:Person>
            <b:Last>Bettini</b:Last>
            <b:First>E</b:First>
          </b:Person>
          <b:Person>
            <b:Last>Gray</b:Last>
            <b:First>E</b:First>
          </b:Person>
          <b:Person>
            <b:Last>Kippen</b:Last>
            <b:First>R</b:First>
          </b:Person>
        </b:NameList>
      </b:Author>
    </b:Author>
    <b:Volume>12</b:Volume>
    <b:Issue>4</b:Issue>
    <b:RefOrder>71</b:RefOrder>
  </b:Source>
  <b:Source>
    <b:Tag>Esp17</b:Tag>
    <b:SourceType>JournalArticle</b:SourceType>
    <b:Guid>{86A0578A-AC08-4FD7-BE45-9527611F2ED3}</b:Guid>
    <b:Title>Education, gender revolution, and fertility recovery</b:Title>
    <b:JournalName>Vienna Yearbook of Population Research</b:JournalName>
    <b:Year>2017</b:Year>
    <b:Pages>55-59</b:Pages>
    <b:Author>
      <b:Author>
        <b:NameList>
          <b:Person>
            <b:Last>Esping-Andersen</b:Last>
            <b:First>G</b:First>
          </b:Person>
        </b:NameList>
      </b:Author>
    </b:Author>
    <b:RefOrder>72</b:RefOrder>
  </b:Source>
  <b:Source>
    <b:Tag>Ein12</b:Tag>
    <b:SourceType>JournalArticle</b:SourceType>
    <b:Guid>{40720D11-4EC9-4B43-A390-997BCC5AB9FA}</b:Guid>
    <b:Title>The Australian Baby Bonus Maternity Payment and Birth Characteristics in Western Australia</b:Title>
    <b:JournalName>PLoS ONE</b:JournalName>
    <b:Year>2012</b:Year>
    <b:Pages>e48885</b:Pages>
    <b:Author>
      <b:Author>
        <b:NameList>
          <b:Person>
            <b:Last>Einarsdóttir</b:Last>
            <b:First>K</b:First>
          </b:Person>
          <b:Person>
            <b:Last>Langridge</b:Last>
            <b:First>A</b:First>
          </b:Person>
          <b:Person>
            <b:Last>Hammond</b:Last>
            <b:First>G</b:First>
          </b:Person>
          <b:Person>
            <b:Last>Gunnell</b:Last>
            <b:Middle>S</b:Middle>
            <b:First>A</b:First>
          </b:Person>
          <b:Person>
            <b:Last>Haggar</b:Last>
            <b:Middle>A</b:Middle>
            <b:First>F</b:First>
          </b:Person>
          <b:Person>
            <b:Last>Stanley</b:Last>
            <b:Middle>J</b:Middle>
            <b:First>F</b:First>
          </b:Person>
        </b:NameList>
      </b:Author>
    </b:Author>
    <b:Volume>7</b:Volume>
    <b:Issue>11</b:Issue>
    <b:RefOrder>73</b:RefOrder>
  </b:Source>
  <b:Source>
    <b:Tag>Dra11</b:Tag>
    <b:SourceType>JournalArticle</b:SourceType>
    <b:Guid>{5B873E41-4368-4C70-8E18-FFB8F10F2A30}</b:Guid>
    <b:Title>Did Australia's Baby Bonus increase fertility intentions and births?</b:Title>
    <b:JournalName>Population Research and Policy Review</b:JournalName>
    <b:Year>2011</b:Year>
    <b:Pages>381-397</b:Pages>
    <b:Volume>30</b:Volume>
    <b:Issue>3</b:Issue>
    <b:Author>
      <b:Author>
        <b:NameList>
          <b:Person>
            <b:Last>Drago</b:Last>
            <b:First>Robert</b:First>
          </b:Person>
          <b:Person>
            <b:Last>Sawyer</b:Last>
            <b:First>Katrina</b:First>
          </b:Person>
          <b:Person>
            <b:Last>Shreffler</b:Last>
            <b:Middle>M</b:Middle>
            <b:First>K</b:First>
          </b:Person>
          <b:Person>
            <b:Last>Warren</b:Last>
            <b:First>D</b:First>
          </b:Person>
          <b:Person>
            <b:Last>Wooden</b:Last>
            <b:First>M</b:First>
          </b:Person>
        </b:NameList>
      </b:Author>
    </b:Author>
    <b:RefOrder>74</b:RefOrder>
  </b:Source>
  <b:Source>
    <b:Tag>Dal18</b:Tag>
    <b:SourceType>JournalArticle</b:SourceType>
    <b:Guid>{DAE96CEA-F248-49C0-9BC7-5569862ECB27}</b:Guid>
    <b:Title>Family policy in high-income countries: five decades of development</b:Title>
    <b:JournalName>Journal of European Social Policy</b:JournalName>
    <b:Year>2018</b:Year>
    <b:Pages>255-270</b:Pages>
    <b:Author>
      <b:Author>
        <b:NameList>
          <b:Person>
            <b:Last>Daly</b:Last>
            <b:First>M</b:First>
          </b:Person>
          <b:Person>
            <b:Last>Ferragina</b:Last>
            <b:First>E</b:First>
          </b:Person>
        </b:NameList>
      </b:Author>
    </b:Author>
    <b:Volume>28</b:Volume>
    <b:Issue>3</b:Issue>
    <b:RefOrder>75</b:RefOrder>
  </b:Source>
  <b:Source>
    <b:Tag>DAd05</b:Tag>
    <b:SourceType>Report</b:SourceType>
    <b:Guid>{68869E89-ABE2-49F3-82BA-920564AC743E}</b:Guid>
    <b:Title>Policies, institutions and fertility rates: A panel data analysis for OECD countries</b:Title>
    <b:Year>2005</b:Year>
    <b:Author>
      <b:Author>
        <b:NameList>
          <b:Person>
            <b:Last>D'Addio</b:Last>
            <b:First>A</b:First>
            <b:Middle>C</b:Middle>
          </b:Person>
          <b:Person>
            <b:Last>d'Ercole</b:Last>
            <b:First>M</b:First>
            <b:Middle>M</b:Middle>
          </b:Person>
        </b:NameList>
      </b:Author>
    </b:Author>
    <b:Publisher>OECD</b:Publisher>
    <b:ThesisType>OECD Economic Studies No. 41</b:ThesisType>
    <b:RefOrder>18</b:RefOrder>
  </b:Source>
  <b:Source>
    <b:Tag>Coo15</b:Tag>
    <b:SourceType>JournalArticle</b:SourceType>
    <b:Guid>{DADF97E5-6833-4CF9-94D9-A0FA528A73D8}</b:Guid>
    <b:Title>Causal effects of paternity leave on children and parents</b:Title>
    <b:JournalName>The Scandinavian Journal of Economics</b:JournalName>
    <b:Year>2015</b:Year>
    <b:Pages>801-828</b:Pages>
    <b:Author>
      <b:Author>
        <b:NameList>
          <b:Person>
            <b:Last>Cools</b:Last>
            <b:First>S</b:First>
          </b:Person>
          <b:Person>
            <b:Last>Fiva</b:Last>
            <b:Middle>H</b:Middle>
            <b:First>J</b:First>
          </b:Person>
          <b:Person>
            <b:Last>Kirkebøen</b:Last>
            <b:Middle>J</b:Middle>
            <b:First>L</b:First>
          </b:Person>
        </b:NameList>
      </b:Author>
    </b:Author>
    <b:Volume>117</b:Volume>
    <b:Issue>3</b:Issue>
    <b:RefOrder>76</b:RefOrder>
  </b:Source>
  <b:Source>
    <b:Tag>Bon20</b:Tag>
    <b:SourceType>JournalArticle</b:SourceType>
    <b:Guid>{C6872268-38B7-4EE8-90BE-7A74F7983E6F}</b:Guid>
    <b:Title>Who responds to fertility-boosting incentives? Evidence from pro-natal policies in Australia</b:Title>
    <b:JournalName>Demographic Research</b:JournalName>
    <b:Year>2020</b:Year>
    <b:Pages>513-548</b:Pages>
    <b:Author>
      <b:Author>
        <b:NameList>
          <b:Person>
            <b:Last>Bonner</b:Last>
            <b:First>S</b:First>
          </b:Person>
          <b:Person>
            <b:Last>Sarkar</b:Last>
            <b:First>D</b:First>
          </b:Person>
        </b:NameList>
      </b:Author>
    </b:Author>
    <b:Volume>42</b:Volume>
    <b:RefOrder>77</b:RefOrder>
  </b:Source>
  <b:Source>
    <b:Tag>Ber20</b:Tag>
    <b:SourceType>Report</b:SourceType>
    <b:Guid>{927314CF-AC71-4CF4-AC05-ACC7A8CC5E5B}</b:Guid>
    <b:Title>Effects of policy on fertility:</b:Title>
    <b:Year>2020</b:Year>
    <b:Publisher>Statistics Norway, Research Department</b:Publisher>
    <b:Author>
      <b:Author>
        <b:NameList>
          <b:Person>
            <b:Last>Bergsvik</b:Last>
            <b:First>J</b:First>
          </b:Person>
          <b:Person>
            <b:Last>Fauske</b:Last>
            <b:First>A</b:First>
          </b:Person>
          <b:Person>
            <b:Last>Hart</b:Last>
            <b:Middle>K</b:Middle>
            <b:First>R</b:First>
          </b:Person>
        </b:NameList>
      </b:Author>
    </b:Author>
    <b:ThesisType>Discussion Papers No. 922</b:ThesisType>
    <b:RefOrder>78</b:RefOrder>
  </b:Source>
  <b:Source>
    <b:Tag>Bea19</b:Tag>
    <b:SourceType>JournalArticle</b:SourceType>
    <b:Guid>{6CE73D3A-12BA-4A79-8376-0D56846F2C88}</b:Guid>
    <b:Title>Declining realisation of reproductive intentions with age</b:Title>
    <b:JournalName>Human Reproduction</b:JournalName>
    <b:Year>2019</b:Year>
    <b:Pages>1906-1914</b:Pages>
    <b:Author>
      <b:Author>
        <b:NameList>
          <b:Person>
            <b:Last>Beaujouan</b:Last>
            <b:First>É</b:First>
          </b:Person>
          <b:Person>
            <b:Last>Reimondos</b:Last>
            <b:First>A</b:First>
          </b:Person>
          <b:Person>
            <b:Last>Gray</b:Last>
            <b:First>E</b:First>
          </b:Person>
          <b:Person>
            <b:Last>Evans</b:Last>
            <b:First>A</b:First>
          </b:Person>
          <b:Person>
            <b:Last>Sobotka</b:Last>
            <b:First>T</b:First>
          </b:Person>
        </b:NameList>
      </b:Author>
    </b:Author>
    <b:Volume>34</b:Volume>
    <b:Issue>10</b:Issue>
    <b:RefOrder>79</b:RefOrder>
  </b:Source>
  <b:Source>
    <b:Tag>Bea</b:Tag>
    <b:SourceType>JournalArticle</b:SourceType>
    <b:Guid>{5216B2BC-FF84-4B85-A2BF-F4D72C2D6299}</b:Guid>
    <b:Title>The gap between lifetime fertility intentions and completed fertility in Europe and the United States: A cohort approach</b:Title>
    <b:Author>
      <b:Author>
        <b:NameList>
          <b:Person>
            <b:Last>Beaujouan</b:Last>
            <b:First>E</b:First>
          </b:Person>
          <b:Person>
            <b:Last>Berghammer</b:Last>
            <b:First>C</b:First>
          </b:Person>
        </b:NameList>
      </b:Author>
    </b:Author>
    <b:JournalName>Population Research and Policy Review</b:JournalName>
    <b:Year>2019</b:Year>
    <b:Pages>507-535</b:Pages>
    <b:Volume>38</b:Volume>
    <b:RefOrder>80</b:RefOrder>
  </b:Source>
  <b:Source>
    <b:Tag>Bax</b:Tag>
    <b:SourceType>Report</b:SourceType>
    <b:Guid>{B8C4E487-3A45-4915-A1BB-4C378A033B7D}</b:Guid>
    <b:Title>Review of government initiatives for reconciling work and family life</b:Title>
    <b:Author>
      <b:Author>
        <b:NameList>
          <b:Person>
            <b:Last>Baxter</b:Last>
            <b:First>J</b:First>
          </b:Person>
          <b:Person>
            <b:Last>Renda</b:Last>
            <b:First>J</b:First>
          </b:Person>
        </b:NameList>
      </b:Author>
    </b:Author>
    <b:Year>2015</b:Year>
    <b:Publisher>Australian Institute of Family Studies</b:Publisher>
    <b:City>Melbourne</b:City>
    <b:ThesisType>Research Report No. 34</b:ThesisType>
    <b:RefOrder>81</b:RefOrder>
  </b:Source>
  <b:Source>
    <b:Tag>Bas20</b:Tag>
    <b:SourceType>JournalArticle</b:SourceType>
    <b:Guid>{7BE07678-63F6-43DD-ABA3-F42601C16563}</b:Guid>
    <b:Title>The impact of paid parental leave on fertility intentions</b:Title>
    <b:Year>2020</b:Year>
    <b:Author>
      <b:Author>
        <b:NameList>
          <b:Person>
            <b:Last>Bassford</b:Last>
            <b:First>M</b:First>
          </b:Person>
          <b:Person>
            <b:Last>Fisher</b:Last>
            <b:First>H</b:First>
          </b:Person>
        </b:NameList>
      </b:Author>
    </b:Author>
    <b:JournalName>Economic Record</b:JournalName>
    <b:Pages>402-430</b:Pages>
    <b:Volume>96</b:Volume>
    <b:Issue>315</b:Issue>
    <b:RefOrder>2</b:RefOrder>
  </b:Source>
  <b:Source>
    <b:Tag>Bar19</b:Tag>
    <b:SourceType>JournalArticle</b:SourceType>
    <b:Guid>{740977C6-63EC-4662-A888-6C26FAE84058}</b:Guid>
    <b:Title>The effect of maternity leave expansions on fertility intentions: evidence from Switzerland</b:Title>
    <b:JournalName>Journal of Family and Economic Issues</b:JournalName>
    <b:Year>2019</b:Year>
    <b:Pages>323-337</b:Pages>
    <b:Author>
      <b:Author>
        <b:NameList>
          <b:Person>
            <b:Last>Barbos</b:Last>
            <b:First>A</b:First>
          </b:Person>
          <b:Person>
            <b:Last>Milovanska-Farrington</b:Last>
            <b:First>S</b:First>
          </b:Person>
        </b:NameList>
      </b:Author>
    </b:Author>
    <b:Volume>40</b:Volume>
    <b:RefOrder>82</b:RefOrder>
  </b:Source>
  <b:Source>
    <b:Tag>Bai21</b:Tag>
    <b:SourceType>JournalArticle</b:SourceType>
    <b:Guid>{BB97016A-34A8-49BC-9B55-C171E42D945C}</b:Guid>
    <b:Title>Gender equality and paid parental leave in Australia: A decade of giant leaps or baby steps?</b:Title>
    <b:JournalName>Journal of Industrial Relations</b:JournalName>
    <b:Year>2021</b:Year>
    <b:Pages>1-22</b:Pages>
    <b:Author>
      <b:Author>
        <b:NameList>
          <b:Person>
            <b:Last>Baird</b:Last>
            <b:First>M</b:First>
          </b:Person>
          <b:Person>
            <b:Last>Hamilton</b:Last>
            <b:First>M</b:First>
          </b:Person>
          <b:Person>
            <b:Last>Constantin</b:Last>
            <b:First>A</b:First>
          </b:Person>
        </b:NameList>
      </b:Author>
    </b:Author>
    <b:Volume>online first</b:Volume>
    <b:DOI>10.1177/00221856211008219</b:DOI>
    <b:RefOrder>83</b:RefOrder>
  </b:Source>
  <b:Source>
    <b:Tag>Bai15</b:Tag>
    <b:SourceType>JournalArticle</b:SourceType>
    <b:Guid>{2265FFF8-C059-44D6-B139-44053DC82A1C}</b:Guid>
    <b:Title>Dynamics of parental leave in Anglophone countries: the paradox of state expansion in liberal welfare regimes</b:Title>
    <b:JournalName>Community, Work &amp; Family</b:JournalName>
    <b:Year>2015</b:Year>
    <b:Pages>198-217</b:Pages>
    <b:Author>
      <b:Author>
        <b:NameList>
          <b:Person>
            <b:Last>Baird</b:Last>
            <b:First>M</b:First>
          </b:Person>
          <b:Person>
            <b:Last>O'Brien</b:Last>
            <b:First>M</b:First>
          </b:Person>
        </b:NameList>
      </b:Author>
    </b:Author>
    <b:Volume>18</b:Volume>
    <b:Issue>2</b:Issue>
    <b:RefOrder>84</b:RefOrder>
  </b:Source>
  <b:Source>
    <b:Tag>Ang15</b:Tag>
    <b:SourceType>JournalArticle</b:SourceType>
    <b:Guid>{0280C7B5-1354-4A0B-B27F-38AEE5A6B14D}</b:Guid>
    <b:Title>The effects of cash transfer fertility incentives and parental leave benefits and labor supply: Evidence from two natural experiments</b:Title>
    <b:JournalName>Journal of Family and Economic Issues</b:JournalName>
    <b:Year>2015</b:Year>
    <b:Pages>263-288</b:Pages>
    <b:Author>
      <b:Author>
        <b:NameList>
          <b:Person>
            <b:Last>Ang</b:Last>
            <b:Middle>L</b:Middle>
            <b:First>X</b:First>
          </b:Person>
        </b:NameList>
      </b:Author>
    </b:Author>
    <b:Volume>36</b:Volume>
    <b:RefOrder>85</b:RefOrder>
  </b:Source>
  <b:Source>
    <b:Tag>Wor21</b:Tag>
    <b:SourceType>Report</b:SourceType>
    <b:Guid>{B7F1623F-779C-43E8-8046-C613F2B302F5}</b:Guid>
    <b:Title>Unpaid care work and the labour market</b:Title>
    <b:Year>2021</b:Year>
    <b:Author>
      <b:Author>
        <b:Corporate>Workplace Gender Equality Agency</b:Corporate>
      </b:Author>
    </b:Author>
    <b:RefOrder>12</b:RefOrder>
  </b:Source>
  <b:Source>
    <b:Tag>Lys21</b:Tag>
    <b:SourceType>JournalArticle</b:SourceType>
    <b:Guid>{3959B2AE-11CB-4636-9666-CC42EA2B3EBD}</b:Guid>
    <b:Title>Can targeted child benefits affect fertility? Evidence from a natural experiment</b:Title>
    <b:Year>2021</b:Year>
    <b:JournalName>The B.E Journal of Economic Analysis and Policy</b:JournalName>
    <b:Pages>online first</b:Pages>
    <b:Author>
      <b:Author>
        <b:NameList>
          <b:Person>
            <b:Last>Lyssiotou</b:Last>
            <b:First>P</b:First>
          </b:Person>
        </b:NameList>
      </b:Author>
    </b:Author>
    <b:RefOrder>20</b:RefOrder>
  </b:Source>
  <b:Source>
    <b:Tag>Coh13</b:Tag>
    <b:SourceType>JournalArticle</b:SourceType>
    <b:Guid>{5064500F-2728-4917-AE59-FCD2838E0CC6}</b:Guid>
    <b:Title>Financial incentives and fertility</b:Title>
    <b:JournalName>The Review of Economics and Fertility</b:JournalName>
    <b:Year>2013</b:Year>
    <b:Pages>1-20</b:Pages>
    <b:Author>
      <b:Author>
        <b:NameList>
          <b:Person>
            <b:Last>Cohen</b:Last>
            <b:First>A</b:First>
          </b:Person>
          <b:Person>
            <b:Last>Dehejia</b:Last>
            <b:First>R</b:First>
          </b:Person>
          <b:Person>
            <b:Last>Romanov</b:Last>
            <b:First>D</b:First>
          </b:Person>
        </b:NameList>
      </b:Author>
    </b:Author>
    <b:Volume>95</b:Volume>
    <b:Issue>1</b:Issue>
    <b:RefOrder>86</b:RefOrder>
  </b:Source>
  <b:Source>
    <b:Tag>Yon20</b:Tag>
    <b:SourceType>Report</b:SourceType>
    <b:Guid>{4CAB3E85-3153-48F8-8753-1E33FCDE158E}</b:Guid>
    <b:Title>Economic incentives surrounding fertility: Evidence from Alaska's Permanent Fund Dividend</b:Title>
    <b:Year>2020</b:Year>
    <b:Publisher>National Bureau of Economic Research</b:Publisher>
    <b:City>Cambridge, Massachussets</b:City>
    <b:Author>
      <b:Author>
        <b:NameList>
          <b:Person>
            <b:Last>Yonzan</b:Last>
            <b:First>N</b:First>
          </b:Person>
          <b:Person>
            <b:Last>Timilsina</b:Last>
            <b:First>L</b:First>
          </b:Person>
          <b:Person>
            <b:Last>Rashad Kelly</b:Last>
            <b:First>I</b:First>
          </b:Person>
        </b:NameList>
      </b:Author>
    </b:Author>
    <b:ThesisType>Working Paper 26712</b:ThesisType>
    <b:RefOrder>87</b:RefOrder>
  </b:Source>
  <b:Source>
    <b:Tag>Par071</b:Tag>
    <b:SourceType>JournalArticle</b:SourceType>
    <b:Guid>{4A8AEA41-3009-46C5-9342-F9DF4550C01F}</b:Guid>
    <b:Title>Tax incentives and fertility in Canada: quantum vs tempo effects</b:Title>
    <b:JournalName>Canadian Journal of Economics</b:JournalName>
    <b:Year>2007</b:Year>
    <b:Pages>371-400</b:Pages>
    <b:Author>
      <b:Author>
        <b:NameList>
          <b:Person>
            <b:Last>Parent</b:Last>
            <b:First>D</b:First>
          </b:Person>
          <b:Person>
            <b:Last>Wang</b:Last>
            <b:First>L</b:First>
          </b:Person>
        </b:NameList>
      </b:Author>
    </b:Author>
    <b:Volume>40</b:Volume>
    <b:Issue>2</b:Issue>
    <b:RefOrder>88</b:RefOrder>
  </b:Source>
  <b:Source>
    <b:Tag>Gal15</b:Tag>
    <b:SourceType>Report</b:SourceType>
    <b:Guid>{FF8031AE-C8C7-4C9E-98DE-0961C2E30E50}</b:Guid>
    <b:Title>Effects of income and the cost of children on fertility: Quasi-experimental evidence from Norway</b:Title>
    <b:Year>2015</b:Year>
    <b:Publisher>Statistics Norway</b:Publisher>
    <b:Author>
      <b:Author>
        <b:NameList>
          <b:Person>
            <b:Last>Galloway</b:Last>
            <b:Middle>A</b:Middle>
            <b:First>T</b:First>
          </b:Person>
          <b:Person>
            <b:Last>Hart</b:Last>
            <b:Middle>K</b:Middle>
            <b:First>R</b:First>
          </b:Person>
        </b:NameList>
      </b:Author>
    </b:Author>
    <b:ThesisType>Discussion Papers, No. 828</b:ThesisType>
    <b:RefOrder>89</b:RefOrder>
  </b:Source>
  <b:Source>
    <b:Tag>Ohi11</b:Tag>
    <b:SourceType>Report</b:SourceType>
    <b:Guid>{66D8DB82-7CE7-40EC-B6AC-452CE017AABE}</b:Guid>
    <b:Title>Fertility responses to financial incentives: Evidence from the Working Families Tax Credit in the UK</b:Title>
    <b:Year>2011</b:Year>
    <b:Publisher>The Warwick Economics Research Paper Series (TWERPS), No. 851</b:Publisher>
    <b:Author>
      <b:Author>
        <b:NameList>
          <b:Person>
            <b:Last>Ohinata</b:Last>
            <b:First>A</b:First>
          </b:Person>
        </b:NameList>
      </b:Author>
    </b:Author>
    <b:RefOrder>90</b:RefOrder>
  </b:Source>
  <b:Source>
    <b:Tag>Bre12</b:Tag>
    <b:SourceType>JournalArticle</b:SourceType>
    <b:Guid>{F8BD9D27-CF00-4B5E-B23B-9794F9F57EE5}</b:Guid>
    <b:Title>Does welfare reform affect fertility? Evidence from the UK</b:Title>
    <b:Year>2012</b:Year>
    <b:JournalName>Journal of Population Economics</b:JournalName>
    <b:Pages>245-266</b:Pages>
    <b:Author>
      <b:Author>
        <b:NameList>
          <b:Person>
            <b:Last>Brewer</b:Last>
            <b:First>M</b:First>
          </b:Person>
          <b:Person>
            <b:Last>Ratcliffe</b:Last>
            <b:First>A</b:First>
          </b:Person>
          <b:Person>
            <b:Last>dSmith</b:Last>
            <b:First>S</b:First>
          </b:Person>
        </b:NameList>
      </b:Author>
    </b:Author>
    <b:Volume>25</b:Volume>
    <b:RefOrder>91</b:RefOrder>
  </b:Source>
  <b:Source>
    <b:Tag>Gra15</b:Tag>
    <b:SourceType>Report</b:SourceType>
    <b:Guid>{6C2B86F1-F559-450C-B5D7-201B43DF173E}</b:Guid>
    <b:Title>Three essays on the economics of fertility</b:Title>
    <b:Year>2016</b:Year>
    <b:Publisher>University of Michigan</b:Publisher>
    <b:Author>
      <b:Author>
        <b:NameList>
          <b:Person>
            <b:Last>Gray Collins</b:Last>
            <b:First>Emily</b:First>
          </b:Person>
        </b:NameList>
      </b:Author>
    </b:Author>
    <b:RefOrder>92</b:RefOrder>
  </b:Source>
  <b:Source>
    <b:Tag>Bla13</b:Tag>
    <b:SourceType>JournalArticle</b:SourceType>
    <b:Guid>{63758E3C-2610-46EE-BC19-EC98B9C9CDE8}</b:Guid>
    <b:Title>Are children "normal"?</b:Title>
    <b:JournalName>The Review of Economics and Statistics</b:JournalName>
    <b:Year>2013</b:Year>
    <b:Pages>21-33</b:Pages>
    <b:Author>
      <b:Author>
        <b:NameList>
          <b:Person>
            <b:Last>Black</b:Last>
            <b:Middle>A</b:Middle>
            <b:First>D</b:First>
          </b:Person>
          <b:Person>
            <b:Last>Kolesnikova</b:Last>
            <b:First>N</b:First>
          </b:Person>
          <b:Person>
            <b:Last>Sanders</b:Last>
            <b:First>S</b:First>
          </b:Person>
          <b:Person>
            <b:Last>Taylor</b:Last>
            <b:Middle>J</b:Middle>
            <b:First>L</b:First>
          </b:Person>
        </b:NameList>
      </b:Author>
    </b:Author>
    <b:Volume>95</b:Volume>
    <b:Issue>1</b:Issue>
    <b:RefOrder>93</b:RefOrder>
  </b:Source>
  <b:Source>
    <b:Tag>Min11</b:Tag>
    <b:SourceType>InternetSite</b:SourceType>
    <b:Guid>{3A1018C8-2CF6-4457-8DFD-411683C7A6D8}</b:Guid>
    <b:Title>Baby Bonus Scheme</b:Title>
    <b:Year>2021</b:Year>
    <b:Author>
      <b:Author>
        <b:NameList>
          <b:Person>
            <b:Last>Ministry of Social and Family Development </b:Last>
          </b:Person>
        </b:NameList>
      </b:Author>
    </b:Author>
    <b:URL>https://www.msf.gov.sg/policies/Strong-and-Stable-Families/Supporting-Families/Pages/Baby-Bonus-Scheme.aspx</b:URL>
    <b:YearAccessed>2021</b:YearAccessed>
    <b:MonthAccessed>June </b:MonthAccessed>
    <b:DayAccessed>22</b:DayAccessed>
    <b:RefOrder>94</b:RefOrder>
  </b:Source>
  <b:Source>
    <b:Tag>Kim14</b:Tag>
    <b:SourceType>JournalArticle</b:SourceType>
    <b:Guid>{B765DF1E-438F-44FD-AADB-4DBA33D25766}</b:Guid>
    <b:Title>Lifetime impact of cash transfer on fertility</b:Title>
    <b:Year>2014</b:Year>
    <b:Pages>97-110</b:Pages>
    <b:JournalName>Canadian Studies in Population</b:JournalName>
    <b:Author>
      <b:Author>
        <b:NameList>
          <b:Person>
            <b:Last>Kim</b:Last>
            <b:Middle>A</b:Middle>
            <b:First>Y-I</b:First>
          </b:Person>
        </b:NameList>
      </b:Author>
    </b:Author>
    <b:Volume>41</b:Volume>
    <b:Issue>1-2</b:Issue>
    <b:RefOrder>95</b:RefOrder>
  </b:Source>
  <b:Source>
    <b:Tag>Wal20</b:Tag>
    <b:SourceType>BookSection</b:SourceType>
    <b:Guid>{7DAE6D65-E292-4539-86E8-05CD97B755D5}</b:Guid>
    <b:Title>Portugal country note</b:Title>
    <b:Year>2020</b:Year>
    <b:Author>
      <b:Author>
        <b:NameList>
          <b:Person>
            <b:Last>Wall</b:Last>
            <b:First>K</b:First>
          </b:Person>
          <b:Person>
            <b:Last>Correia</b:Last>
            <b:Middle>B</b:Middle>
            <b:First>R</b:First>
          </b:Person>
          <b:Person>
            <b:Last>Leitão</b:Last>
            <b:First>M</b:First>
          </b:Person>
        </b:NameList>
      </b:Author>
      <b:BookAuthor>
        <b:NameList>
          <b:Person>
            <b:Last>Koslowski</b:Last>
            <b:First>A</b:First>
          </b:Person>
          <b:Person>
            <b:Last>Dobrotić</b:Last>
            <b:First>I</b:First>
          </b:Person>
          <b:Person>
            <b:Last>Kaufman</b:Last>
            <b:First>G</b:First>
          </b:Person>
          <b:Person>
            <b:Last>Moss</b:Last>
            <b:First>P</b:First>
          </b:Person>
        </b:NameList>
      </b:BookAuthor>
    </b:Author>
    <b:BookTitle>International Review of Leave Policies and Research 2020</b:BookTitle>
    <b:URL>https://www.leavenetwork.org/annual-review-reports/review-2020/</b:URL>
    <b:RefOrder>96</b:RefOrder>
  </b:Source>
  <b:Source>
    <b:Tag>Duv20</b:Tag>
    <b:SourceType>BookSection</b:SourceType>
    <b:Guid>{ECB42EDB-88A4-4D22-8856-87CA73D80325}</b:Guid>
    <b:Title>Sweden country note</b:Title>
    <b:BookTitle>International Review of Leave Policies and Research 2020</b:BookTitle>
    <b:Year>2020</b:Year>
    <b:Author>
      <b:Author>
        <b:NameList>
          <b:Person>
            <b:Last>Duvander</b:Last>
            <b:First>A-Z</b:First>
          </b:Person>
          <b:Person>
            <b:Last>Löfgren</b:Last>
            <b:First>N</b:First>
          </b:Person>
        </b:NameList>
      </b:Author>
      <b:BookAuthor>
        <b:NameList>
          <b:Person>
            <b:Last>Koslowski</b:Last>
            <b:First>A.</b:First>
          </b:Person>
          <b:Person>
            <b:Last>Blum</b:Last>
            <b:First>S.</b:First>
          </b:Person>
          <b:Person>
            <b:Last>Dobrotić</b:Last>
            <b:First>I.</b:First>
          </b:Person>
          <b:Person>
            <b:Last>Kaufman</b:Last>
            <b:First>G.</b:First>
          </b:Person>
          <b:Person>
            <b:Last>Moss</b:Last>
            <b:First>P.</b:First>
          </b:Person>
        </b:NameList>
      </b:BookAuthor>
    </b:Author>
    <b:URL>https://www.leavenetwork.org/annual-review-reports/review-2020/</b:URL>
    <b:RefOrder>97</b:RefOrder>
  </b:Source>
  <b:Source>
    <b:Tag>Pre01</b:Tag>
    <b:SourceType>Book</b:SourceType>
    <b:Guid>{4324666F-D3F4-4F99-85D9-D08F02D841C0}</b:Guid>
    <b:Title>Demography. Measuring and modeling population processes.</b:Title>
    <b:Year>2001</b:Year>
    <b:City>Malden, MA</b:City>
    <b:Publisher>Blackwell Publishing.</b:Publisher>
    <b:Author>
      <b:Author>
        <b:NameList>
          <b:Person>
            <b:Last>Preston</b:Last>
            <b:Middle>H.</b:Middle>
            <b:First>Samuel</b:First>
          </b:Person>
          <b:Person>
            <b:Last>Heuveline</b:Last>
            <b:First>Patrick</b:First>
          </b:Person>
          <b:Person>
            <b:Last>Guillot</b:Last>
            <b:First>Michel</b:First>
          </b:Person>
        </b:NameList>
      </b:Author>
    </b:Author>
    <b:RefOrder>98</b:RefOrder>
  </b:Source>
  <b:Source>
    <b:Tag>San91</b:Tag>
    <b:SourceType>JournalArticle</b:SourceType>
    <b:Guid>{E77EEAA5-20FD-4516-B60F-E5748A506B13}</b:Guid>
    <b:Title>Trends in contraception and sterilization in Australia</b:Title>
    <b:JournalName>Australian and New Zealand Journal of Obstetrics and Gynaecology</b:JournalName>
    <b:Year>1991</b:Year>
    <b:Pages>201-208</b:Pages>
    <b:Author>
      <b:Author>
        <b:NameList>
          <b:Person>
            <b:Last>Santow</b:Last>
            <b:First>Gigi</b:First>
          </b:Person>
        </b:NameList>
      </b:Author>
    </b:Author>
    <b:Volume>31</b:Volume>
    <b:Issue>3</b:Issue>
    <b:DOI>10.1111/j.1479-828X.1991.tb02781.x</b:DOI>
    <b:RefOrder>99</b:RefOrder>
  </b:Source>
  <b:Source>
    <b:Tag>Sob17</b:Tag>
    <b:SourceType>JournalArticle</b:SourceType>
    <b:Guid>{220D978D-FA5B-4E0D-B1D1-330C5AB986C9}</b:Guid>
    <b:Title>Post-transitional fertility: The role of childbearing postponement in fuelling the shift to low and unstable fertility levels.</b:Title>
    <b:Year>2017</b:Year>
    <b:JournalName>Journal of Biosocial Science</b:JournalName>
    <b:Pages>S20-S45</b:Pages>
    <b:Author>
      <b:Author>
        <b:NameList>
          <b:Person>
            <b:Last>Sobotka</b:Last>
            <b:First>Tomas</b:First>
          </b:Person>
        </b:NameList>
      </b:Author>
    </b:Author>
    <b:DOI>10.1017/S0021932017000323</b:DOI>
    <b:RefOrder>100</b:RefOrder>
  </b:Source>
  <b:Source>
    <b:Tag>Koh02</b:Tag>
    <b:SourceType>JournalArticle</b:SourceType>
    <b:Guid>{7B9A46A1-86FD-4F5B-80EA-C246CA52A050}</b:Guid>
    <b:Title>The emergence of lowest-low fertility in Europe during the 1990s</b:Title>
    <b:JournalName>Population and Development Review</b:JournalName>
    <b:Year>2002</b:Year>
    <b:Pages>641-680</b:Pages>
    <b:Author>
      <b:Author>
        <b:NameList>
          <b:Person>
            <b:Last>Kohler</b:Last>
            <b:First>Peter</b:First>
          </b:Person>
          <b:Person>
            <b:Last>Billari</b:Last>
            <b:Middle>C</b:Middle>
            <b:First>Francesco</b:First>
          </b:Person>
          <b:Person>
            <b:Last>Ortega</b:Last>
            <b:Middle>Antonio</b:Middle>
            <b:First>José</b:First>
          </b:Person>
        </b:NameList>
      </b:Author>
    </b:Author>
    <b:Volume>28</b:Volume>
    <b:Issue>4</b:Issue>
    <b:DOI>10.1111/j.1728-4457.2002.00641.x</b:DOI>
    <b:RefOrder>101</b:RefOrder>
  </b:Source>
  <b:Source>
    <b:Tag>Bil04</b:Tag>
    <b:SourceType>JournalArticle</b:SourceType>
    <b:Guid>{FBD2E951-45E9-4299-8543-F71FBE6619CF}</b:Guid>
    <b:Title>Patterns of low and very low fertility in Europe</b:Title>
    <b:JournalName>Population Studies</b:JournalName>
    <b:Year>2004</b:Year>
    <b:Pages>161-176</b:Pages>
    <b:Author>
      <b:Author>
        <b:NameList>
          <b:Person>
            <b:Last>Billari</b:Last>
            <b:Middle>C</b:Middle>
            <b:First>Francesco</b:First>
          </b:Person>
          <b:Person>
            <b:Last>Kohler</b:Last>
            <b:First>Hans-Peter</b:First>
          </b:Person>
        </b:NameList>
      </b:Author>
    </b:Author>
    <b:Volume>2</b:Volume>
    <b:Issue>58</b:Issue>
    <b:RefOrder>102</b:RefOrder>
  </b:Source>
  <b:Source>
    <b:Tag>McD11</b:Tag>
    <b:SourceType>JournalArticle</b:SourceType>
    <b:Guid>{3881592E-99F6-484B-8AF8-BE8F9BF95E17}</b:Guid>
    <b:Title>Why do English-speaking countries have relatively high fertility?</b:Title>
    <b:JournalName>Journal of Population Research</b:JournalName>
    <b:Year>2011</b:Year>
    <b:Pages>247-273</b:Pages>
    <b:Author>
      <b:Author>
        <b:NameList>
          <b:Person>
            <b:Last>McDonald</b:Last>
            <b:First>Peter</b:First>
          </b:Person>
          <b:Person>
            <b:Last>Moyle</b:Last>
            <b:First>Helen</b:First>
          </b:Person>
        </b:NameList>
      </b:Author>
    </b:Author>
    <b:Volume>27</b:Volume>
    <b:DOI>https://doi.org/10.1007/s12546-010-9043-0</b:DOI>
    <b:RefOrder>103</b:RefOrder>
  </b:Source>
  <b:Source>
    <b:Tag>Bon98</b:Tag>
    <b:SourceType>JournalArticle</b:SourceType>
    <b:Guid>{EFD2DBCE-0315-4449-BD0C-97E1A7BD8097}</b:Guid>
    <b:Title>On the quantum and tempo of fertility</b:Title>
    <b:Year>1998</b:Year>
    <b:Author>
      <b:Author>
        <b:NameList>
          <b:Person>
            <b:Last>Bongaarts</b:Last>
            <b:First>John</b:First>
          </b:Person>
          <b:Person>
            <b:Last>Feeney</b:Last>
            <b:First>Griffith</b:First>
          </b:Person>
        </b:NameList>
      </b:Author>
    </b:Author>
    <b:Volume>24</b:Volume>
    <b:Pages>271-291</b:Pages>
    <b:DOI>10.1111/j.1728-4457.2000.00560.x</b:DOI>
    <b:Issue>2</b:Issue>
    <b:RefOrder>104</b:RefOrder>
  </b:Source>
  <b:Source>
    <b:Tag>Bir03</b:Tag>
    <b:SourceType>JournalArticle</b:SourceType>
    <b:Guid>{2CDF1D62-FDD7-4FDD-A034-6B2179A5A139}</b:Guid>
    <b:Title>Immigration policy and the Australian labour market</b:Title>
    <b:JournalName>Economic Papers</b:JournalName>
    <b:Year>2003</b:Year>
    <b:Pages>36-45</b:Pages>
    <b:Author>
      <b:Author>
        <b:NameList>
          <b:Person>
            <b:Last>Birrell</b:Last>
            <b:First>B.</b:First>
          </b:Person>
        </b:NameList>
      </b:Author>
    </b:Author>
    <b:Volume>1</b:Volume>
    <b:Issue>22</b:Issue>
    <b:RefOrder>105</b:RefOrder>
  </b:Source>
  <b:Source>
    <b:Tag>Baf20</b:Tag>
    <b:SourceType>JournalArticle</b:SourceType>
    <b:Guid>{E551CD21-CABF-4339-B69E-5846E533AEA7}</b:Guid>
    <b:Title>Recent trends in immigrant fertility in Australia</b:Title>
    <b:JournalName>Journal of Inetrnational Migration and Integration</b:JournalName>
    <b:Year>2020</b:Year>
    <b:Author>
      <b:Author>
        <b:NameList>
          <b:Person>
            <b:Last>Baffour</b:Last>
            <b:First>Bernard</b:First>
          </b:Person>
          <b:Person>
            <b:Last>Raymer</b:Last>
            <b:First>James</b:First>
          </b:Person>
          <b:Person>
            <b:Last>Evans</b:Last>
            <b:First>Ann</b:First>
          </b:Person>
        </b:NameList>
      </b:Author>
    </b:Author>
    <b:DOI> https://doi.org/10.1007/s12134-020-00767-0.</b:DOI>
    <b:RefOrder>106</b:RefOrder>
  </b:Source>
  <b:Source>
    <b:Tag>Eva18</b:Tag>
    <b:SourceType>JournalArticle</b:SourceType>
    <b:Guid>{066B8778-49D4-4124-81E7-F96811A78F8A}</b:Guid>
    <b:Title>Modelling variations in fertility rates using geographically weighted regression</b:Title>
    <b:Year>2018</b:Year>
    <b:Author>
      <b:Author>
        <b:NameList>
          <b:Person>
            <b:Last>Evans</b:Last>
            <b:First>Ann</b:First>
          </b:Person>
          <b:Person>
            <b:Last>Gray</b:Last>
            <b:First>Edith</b:First>
          </b:Person>
        </b:NameList>
      </b:Author>
    </b:Author>
    <b:JournalName>Spatial Demography</b:JournalName>
    <b:Pages>121-140</b:Pages>
    <b:Volume>6</b:Volume>
    <b:RefOrder>5</b:RefOrder>
  </b:Source>
  <b:Source>
    <b:Tag>Hug02</b:Tag>
    <b:SourceType>JournalArticle</b:SourceType>
    <b:Guid>{1561FDC0-83E9-4C39-B331-7253EDEC9C46}</b:Guid>
    <b:Title>Changing patterns of population in Australia</b:Title>
    <b:JournalName>Joint Special Issue, Journal of Population Research and NZ Population Review</b:JournalName>
    <b:Year>2002</b:Year>
    <b:Pages>1-21</b:Pages>
    <b:Author>
      <b:Author>
        <b:NameList>
          <b:Person>
            <b:Last>Hugo</b:Last>
            <b:First>Graeme</b:First>
          </b:Person>
        </b:NameList>
      </b:Author>
    </b:Author>
    <b:Volume>19</b:Volume>
    <b:Issue>1</b:Issue>
    <b:RefOrder>107</b:RefOrder>
  </b:Source>
  <b:Source>
    <b:Tag>Gra17</b:Tag>
    <b:SourceType>JournalArticle</b:SourceType>
    <b:Guid>{8EC19542-7F91-4A40-80F4-ED7455197CD0}</b:Guid>
    <b:Title>Geographic variation in parity progression in Australia</b:Title>
    <b:JournalName>Population, Space and Place</b:JournalName>
    <b:Year>2017</b:Year>
    <b:Author>
      <b:Author>
        <b:NameList>
          <b:Person>
            <b:Last>Gray</b:Last>
            <b:First>Edith</b:First>
          </b:Person>
          <b:Person>
            <b:Last>Evans</b:Last>
            <b:First>Ann</b:First>
          </b:Person>
        </b:NameList>
      </b:Author>
    </b:Author>
    <b:Volume>24</b:Volume>
    <b:Issue>2</b:Issue>
    <b:DOI>https://doi.org/10.1002/psp.2080</b:DOI>
    <b:RefOrder>108</b:RefOrder>
  </b:Source>
  <b:Source>
    <b:Tag>Kha06</b:Tag>
    <b:SourceType>JournalArticle</b:SourceType>
    <b:Guid>{C78BB739-ACB1-4160-AA0F-AD5CC4596AA8}</b:Guid>
    <b:Author>
      <b:Author>
        <b:NameList>
          <b:Person>
            <b:Last>Khawaja</b:Last>
            <b:First>M.</b:First>
          </b:Person>
          <b:Person>
            <b:Last>Boddington</b:Last>
            <b:First>B.</b:First>
          </b:Person>
          <b:Person>
            <b:Last>Ryan</b:Last>
            <b:First>M.</b:First>
          </b:Person>
        </b:NameList>
      </b:Author>
    </b:Author>
    <b:Title>Sub-replacement fertility, delayed parenthood and regional differentials in New Zealand.</b:Title>
    <b:JournalName>New Zealand Population Review</b:JournalName>
    <b:Year>2006</b:Year>
    <b:Pages>1-20</b:Pages>
    <b:Volume>2</b:Volume>
    <b:Issue>32</b:Issue>
    <b:RefOrder>109</b:RefOrder>
  </b:Source>
  <b:Source>
    <b:Tag>Cle09</b:Tag>
    <b:SourceType>JournalArticle</b:SourceType>
    <b:Guid>{88DD440D-6D4C-419F-AF7E-FB7EAC475F50}</b:Guid>
    <b:Title>Education and future fertility trends, with special reference to mid-transitional countries</b:Title>
    <b:Year>2009</b:Year>
    <b:JournalName>Completing the fertility transition, United Nations Population Bulletin</b:JournalName>
    <b:Author>
      <b:Author>
        <b:NameList>
          <b:Person>
            <b:Last>Cleland</b:Last>
            <b:First>John</b:First>
          </b:Person>
        </b:NameList>
      </b:Author>
    </b:Author>
    <b:Volume>Special Issue </b:Volume>
    <b:Issue>48/49</b:Issue>
    <b:RefOrder>110</b:RefOrder>
  </b:Source>
  <b:Source>
    <b:Tag>NiB12</b:Tag>
    <b:SourceType>JournalArticle</b:SourceType>
    <b:Guid>{BF0E1A1D-8587-4F4B-900E-CA0795DD480B}</b:Guid>
    <b:Title>Fertility postponement is largely due to rising educational enrolment</b:Title>
    <b:JournalName>Population Studies</b:JournalName>
    <b:Year>2012</b:Year>
    <b:Pages>311-327</b:Pages>
    <b:Author>
      <b:Author>
        <b:NameList>
          <b:Person>
            <b:Last>Ni Bhrolchain</b:Last>
            <b:First>M.</b:First>
          </b:Person>
          <b:Person>
            <b:Last>Beaujouan</b:Last>
            <b:First>E.</b:First>
          </b:Person>
        </b:NameList>
      </b:Author>
    </b:Author>
    <b:Volume>66</b:Volume>
    <b:Issue>3</b:Issue>
    <b:RefOrder>111</b:RefOrder>
  </b:Source>
  <b:Source>
    <b:Tag>Blo91</b:Tag>
    <b:SourceType>JournalArticle</b:SourceType>
    <b:Guid>{A9F09845-6C52-4B2A-8CC5-A2180CCE1D56}</b:Guid>
    <b:Title>Human capital investments or norms of role transition? How women's schooling and career affect the process of family formation.</b:Title>
    <b:JournalName>American Journal of Sociology</b:JournalName>
    <b:Year>1991</b:Year>
    <b:Pages>143-168</b:Pages>
    <b:Author>
      <b:Author>
        <b:NameList>
          <b:Person>
            <b:Last>Blossfeld</b:Last>
            <b:First>H.P.</b:First>
          </b:Person>
          <b:Person>
            <b:Last>Huinink</b:Last>
            <b:First>J.</b:First>
          </b:Person>
        </b:NameList>
      </b:Author>
    </b:Author>
    <b:Volume>97</b:Volume>
    <b:Issue>1</b:Issue>
    <b:RefOrder>112</b:RefOrder>
  </b:Source>
  <b:Source>
    <b:Tag>Gei05</b:Tag>
    <b:SourceType>JournalArticle</b:SourceType>
    <b:Guid>{9F1374CD-4D67-4EB2-98F3-191AD29B1AD3}</b:Guid>
    <b:Title>The welfare state and the home: Regime differences in the domestic division of labour</b:Title>
    <b:JournalName>European Sociological Review</b:JournalName>
    <b:Year>2005</b:Year>
    <b:Pages>23-41</b:Pages>
    <b:Author>
      <b:Author>
        <b:NameList>
          <b:Person>
            <b:Last>Geist</b:Last>
            <b:First>Claudia</b:First>
          </b:Person>
        </b:NameList>
      </b:Author>
    </b:Author>
    <b:Volume>21</b:Volume>
    <b:Issue>1</b:Issue>
    <b:DOI>https://doi.org/10.1093/esr/jci002</b:DOI>
    <b:RefOrder>113</b:RefOrder>
  </b:Source>
  <b:Source>
    <b:Tag>Bax08</b:Tag>
    <b:SourceType>JournalArticle</b:SourceType>
    <b:Guid>{A9F98857-F709-446A-A0D1-7BD8FBE6E031}</b:Guid>
    <b:Title>Lifecourse transitions and housework: Marriage, parenthood and time on housework</b:Title>
    <b:JournalName>Journal of Marriage and Family</b:JournalName>
    <b:Year>2008</b:Year>
    <b:Pages>259-272</b:Pages>
    <b:Author>
      <b:Author>
        <b:NameList>
          <b:Person>
            <b:Last>Baxter</b:Last>
            <b:First>Janeen</b:First>
          </b:Person>
          <b:Person>
            <b:Last>Hewitt</b:Last>
            <b:First>B.</b:First>
          </b:Person>
          <b:Person>
            <b:Last>Haynes</b:Last>
            <b:First>M.</b:First>
          </b:Person>
        </b:NameList>
      </b:Author>
    </b:Author>
    <b:Volume>70</b:Volume>
    <b:Issue>2</b:Issue>
    <b:RefOrder>114</b:RefOrder>
  </b:Source>
  <b:Source>
    <b:Tag>Bai09</b:Tag>
    <b:SourceType>JournalArticle</b:SourceType>
    <b:Guid>{3955108D-CDAE-47F9-8684-D735CE946423}</b:Guid>
    <b:Title>Regional child care availability and fertility decisions in Spain</b:Title>
    <b:Year>2009</b:Year>
    <b:Author>
      <b:Author>
        <b:NameList>
          <b:Person>
            <b:Last>Baizán</b:Last>
            <b:First>P</b:First>
          </b:Person>
        </b:NameList>
      </b:Author>
    </b:Author>
    <b:JournalName>Demographic Research</b:JournalName>
    <b:Pages>803-842</b:Pages>
    <b:Volume>21</b:Volume>
    <b:RefOrder>115</b:RefOrder>
  </b:Source>
  <b:Source>
    <b:Tag>Sch12</b:Tag>
    <b:SourceType>JournalArticle</b:SourceType>
    <b:Guid>{6635432F-6D75-4B74-9E60-0A8D8C609E4B}</b:Guid>
    <b:Title>Demographic and medical consequences of the postponement of parenthood</b:Title>
    <b:JournalName>Human Reproduction Update</b:JournalName>
    <b:Year>2012</b:Year>
    <b:Pages>29-43</b:Pages>
    <b:Author>
      <b:Author>
        <b:NameList>
          <b:Person>
            <b:Last>Schmidt</b:Last>
            <b:First>L.</b:First>
          </b:Person>
          <b:Person>
            <b:Last>Sobotka</b:Last>
            <b:First>T.</b:First>
          </b:Person>
          <b:Person>
            <b:Last>Bentzen</b:Last>
            <b:First>J.G.</b:First>
          </b:Person>
          <b:Person>
            <b:Last>Andersen</b:Last>
            <b:First>A. N.</b:First>
          </b:Person>
          <b:Person>
            <b:Last>ESHRE Reproduction and Society Task Force</b:Last>
          </b:Person>
        </b:NameList>
      </b:Author>
    </b:Author>
    <b:Volume>1</b:Volume>
    <b:Issue>18</b:Issue>
    <b:DOI>10.1093/humupd/dmr040</b:DOI>
    <b:RefOrder>116</b:RefOrder>
  </b:Source>
  <b:Source>
    <b:Tag>Mir09</b:Tag>
    <b:SourceType>JournalArticle</b:SourceType>
    <b:Guid>{DEB68D6F-8CC0-49C8-B659-CCA269EA9634}</b:Guid>
    <b:Title>A narrowing gap? Trends in the childlessness of professional women in Australia 1986-2006.</b:Title>
    <b:JournalName>Journal of Population Research</b:JournalName>
    <b:Year>2009</b:Year>
    <b:Pages>359-379</b:Pages>
    <b:Author>
      <b:Author>
        <b:NameList>
          <b:Person>
            <b:Last>Miranti</b:Last>
            <b:First>Riyana</b:First>
          </b:Person>
          <b:Person>
            <b:Last>McNamara</b:Last>
            <b:First>Justine</b:First>
          </b:Person>
          <b:Person>
            <b:Last>Tanton</b:Last>
            <b:First>Robert</b:First>
          </b:Person>
          <b:Person>
            <b:Last>Yap</b:Last>
            <b:First>Mandy</b:First>
          </b:Person>
        </b:NameList>
      </b:Author>
    </b:Author>
    <b:Volume>26</b:Volume>
    <b:Issue>4</b:Issue>
    <b:RefOrder>117</b:RefOrder>
  </b:Source>
  <b:Source>
    <b:Tag>Bec81</b:Tag>
    <b:SourceType>Book</b:SourceType>
    <b:Guid>{A96872F6-1EBE-4DDA-B24C-475FFE9F3CB8}</b:Guid>
    <b:Title>A treatise on the family</b:Title>
    <b:Year>1981</b:Year>
    <b:Author>
      <b:Author>
        <b:NameList>
          <b:Person>
            <b:Last>Becker</b:Last>
            <b:First>G.S.</b:First>
          </b:Person>
        </b:NameList>
      </b:Author>
    </b:Author>
    <b:City>Harvard University Press, Cambridge, Mass.</b:City>
    <b:RefOrder>13</b:RefOrder>
  </b:Source>
  <b:Source>
    <b:Tag>Hoe06</b:Tag>
    <b:SourceType>JournalArticle</b:SourceType>
    <b:Guid>{7F5FFD1D-BF3D-4447-8E18-4A4CA28154A2}</b:Guid>
    <b:Title>Educational attainment and ultimate fertility among Swedish women born in 1955-59.</b:Title>
    <b:JournalName>Demographic Research</b:JournalName>
    <b:Year>2006</b:Year>
    <b:Pages>381-404</b:Pages>
    <b:Author>
      <b:Author>
        <b:NameList>
          <b:Person>
            <b:Last>Hoem</b:Last>
            <b:First>J.M.</b:First>
          </b:Person>
          <b:Person>
            <b:Last>Neyer</b:Last>
            <b:First>G.</b:First>
          </b:Person>
          <b:Person>
            <b:Last>Andersson</b:Last>
            <b:First>G.</b:First>
          </b:Person>
        </b:NameList>
      </b:Author>
    </b:Author>
    <b:Volume>14</b:Volume>
    <b:Issue>16</b:Issue>
    <b:RefOrder>118</b:RefOrder>
  </b:Source>
  <b:Source>
    <b:Tag>Bec811</b:Tag>
    <b:SourceType>Book</b:SourceType>
    <b:Guid>{FEE80DB9-C285-4743-B74B-D61DD71B1B98}</b:Guid>
    <b:Title>A treatise on the family</b:Title>
    <b:Year>1981</b:Year>
    <b:Author>
      <b:Author>
        <b:NameList>
          <b:Person>
            <b:Last>Becker</b:Last>
            <b:First>G.S.</b:First>
          </b:Person>
        </b:NameList>
      </b:Author>
    </b:Author>
    <b:Publisher>Cambridge: Harvard University Press</b:Publisher>
    <b:RefOrder>14</b:RefOrder>
  </b:Source>
  <b:Source>
    <b:Tag>Qia16</b:Tag>
    <b:SourceType>JournalArticle</b:SourceType>
    <b:Guid>{32B2678D-FBCC-4A9A-97B5-C7F851BDEFFD}</b:Guid>
    <b:Title>Gender asymmetry in educational and income assortative marriage</b:Title>
    <b:Year>2016</b:Year>
    <b:Author>
      <b:Author>
        <b:NameList>
          <b:Person>
            <b:Last>Qian</b:Last>
            <b:First>Yue</b:First>
          </b:Person>
        </b:NameList>
      </b:Author>
    </b:Author>
    <b:JournalName>Journal of marriage and family</b:JournalName>
    <b:Pages>318-336</b:Pages>
    <b:Volume>79</b:Volume>
    <b:Issue>2</b:Issue>
    <b:DOI>https://doi.org/10.1111/jomf.12372</b:DOI>
    <b:RefOrder>15</b:RefOrder>
  </b:Source>
  <b:Source>
    <b:Tag>Bag10</b:Tag>
    <b:SourceType>JournalArticle</b:SourceType>
    <b:Guid>{7DBE1245-E400-4C82-884C-A6B98011FDB7}</b:Guid>
    <b:Title>Education and childlessness: the relationship between educational field, educational level, employment and childlessness among Greek women born in 1955-1959.</b:Title>
    <b:Year>2010</b:Year>
    <b:Author>
      <b:Author>
        <b:NameList>
          <b:Person>
            <b:Last>Bagavos</b:Last>
            <b:First>Christos</b:First>
          </b:Person>
        </b:NameList>
      </b:Author>
    </b:Author>
    <b:Pages>51-75</b:Pages>
    <b:Volume>8</b:Volume>
    <b:DOI> 10.1553/populationyearbook</b:DOI>
    <b:RefOrder>119</b:RefOrder>
  </b:Source>
  <b:Source>
    <b:Tag>Beg13</b:Tag>
    <b:SourceType>JournalArticle</b:SourceType>
    <b:Guid>{453A4685-16C2-44E3-B34D-BDE5EDFC5539}</b:Guid>
    <b:Title>The influence of educational field, occupation, and occupational sex segregation on fertility in the Netherlands</b:Title>
    <b:Year>2013</b:Year>
    <b:Pages>720-742</b:Pages>
    <b:Author>
      <b:Author>
        <b:NameList>
          <b:Person>
            <b:Last>Begall</b:Last>
            <b:First>Katia</b:First>
          </b:Person>
          <b:Person>
            <b:Last>Mills</b:Last>
            <b:First>Melinda C.</b:First>
          </b:Person>
        </b:NameList>
      </b:Author>
    </b:Author>
    <b:Volume>29</b:Volume>
    <b:Issue>4</b:Issue>
    <b:DOI>10.1093/esr/jcs051</b:DOI>
    <b:RefOrder>120</b:RefOrder>
  </b:Source>
  <b:Source>
    <b:Tag>Mic14</b:Tag>
    <b:SourceType>JournalArticle</b:SourceType>
    <b:Guid>{DF70ACB5-1C2F-44EE-AB55-5C8698AD37A1}</b:Guid>
    <b:Title>Fertility patterns of college graduates by field of study, US women born 1960-79.</b:Title>
    <b:JournalName>Population Studies</b:JournalName>
    <b:Year>2014</b:Year>
    <b:Pages>359-374</b:Pages>
    <b:Author>
      <b:Author>
        <b:NameList>
          <b:Person>
            <b:Last>Michelmore</b:Last>
            <b:First>K.</b:First>
          </b:Person>
          <b:Person>
            <b:Last>Musick</b:Last>
            <b:First>K.</b:First>
          </b:Person>
        </b:NameList>
      </b:Author>
    </b:Author>
    <b:Volume>68</b:Volume>
    <b:Issue>3</b:Issue>
    <b:RefOrder>121</b:RefOrder>
  </b:Source>
  <b:Source>
    <b:Tag>Bed18</b:Tag>
    <b:SourceType>JournalArticle</b:SourceType>
    <b:Guid>{1B1204AD-6E81-44BD-B331-D894E4859CAF}</b:Guid>
    <b:Title>New estimates of the costs of raising children in Australia</b:Title>
    <b:Year>2018</b:Year>
    <b:Author>
      <b:Author>
        <b:NameList>
          <b:Person>
            <b:Last>Bedford</b:Last>
            <b:First>Megan</b:First>
          </b:Person>
          <b:Person>
            <b:Last>Saunders</b:Last>
            <b:First>Peter</b:First>
          </b:Person>
        </b:NameList>
      </b:Author>
    </b:Author>
    <b:JournalName>Family matters</b:JournalName>
    <b:RefOrder>8</b:RefOrder>
  </b:Source>
  <b:Source>
    <b:Tag>Sau</b:Tag>
    <b:SourceType>JournalArticle</b:SourceType>
    <b:Guid>{FE57F663-73FE-4E9A-9A16-A1BFE561AB98}</b:Guid>
    <b:Title>Budget standards and the costs of children.</b:Title>
    <b:JournalName>Family matters</b:JournalName>
    <b:Author>
      <b:Author>
        <b:NameList>
          <b:Person>
            <b:Last>Saunders</b:Last>
          </b:Person>
        </b:NameList>
      </b:Author>
    </b:Author>
    <b:Volume>53</b:Volume>
    <b:Year>1999</b:Year>
    <b:RefOrder>9</b:RefOrder>
  </b:Source>
  <b:Source>
    <b:Tag>Bre04</b:Tag>
    <b:SourceType>JournalArticle</b:SourceType>
    <b:Guid>{DE4D23CE-E0B8-4436-9E45-E856ED35DA41}</b:Guid>
    <b:Title>New estimates of mothers' foregone earnings using HILDA data.</b:Title>
    <b:JournalName>Australian Journal of Labour Economics</b:JournalName>
    <b:Year>2004</b:Year>
    <b:Pages>125-150</b:Pages>
    <b:Author>
      <b:Author>
        <b:NameList>
          <b:Person>
            <b:Last>Breusch</b:Last>
            <b:First>T.</b:First>
          </b:Person>
          <b:Person>
            <b:Last>Gray</b:Last>
            <b:First>E.</b:First>
          </b:Person>
        </b:NameList>
      </b:Author>
    </b:Author>
    <b:Volume>7</b:Volume>
    <b:Issue>2</b:Issue>
    <b:RefOrder>11</b:RefOrder>
  </b:Source>
  <b:Source>
    <b:Tag>Car03</b:Tag>
    <b:SourceType>Book</b:SourceType>
    <b:Guid>{C2CB2D1B-A1D7-4A43-BE59-3F4A52B884DD}</b:Guid>
    <b:Title>Fertility trends and differentials</b:Title>
    <b:Year>2003</b:Year>
    <b:City>Sydney</b:City>
    <b:Publisher>UNSW Press</b:Publisher>
    <b:Pages>40-76</b:Pages>
    <b:Author>
      <b:Author>
        <b:NameList>
          <b:Person>
            <b:Last>Carmichael</b:Last>
            <b:First>Gordon</b:First>
          </b:Person>
          <b:Person>
            <b:Last>McDonald</b:Last>
            <b:First>Peter</b:First>
          </b:Person>
        </b:NameList>
      </b:Author>
      <b:Editor>
        <b:NameList>
          <b:Person>
            <b:Last>Khoo</b:Last>
            <b:First>Siew-Ean</b:First>
          </b:Person>
          <b:Person>
            <b:Last>McDonald</b:Last>
            <b:First>Peter</b:First>
          </b:Person>
        </b:NameList>
      </b:Editor>
    </b:Author>
    <b:ShortTitle>The trasformation of Australia's population: 1970-2030</b:ShortTitle>
    <b:RefOrder>122</b:RefOrder>
  </b:Source>
  <b:Source>
    <b:Tag>Whi01</b:Tag>
    <b:SourceType>Report</b:SourceType>
    <b:Guid>{E42E15C6-7B70-45A1-AC53-7FFD240E4481}</b:Guid>
    <b:Title>The Australian system of social protection- an overview. 2nd edition</b:Title>
    <b:Year>2001</b:Year>
    <b:Publisher>Department of Family and Community Services</b:Publisher>
    <b:City>Canberra</b:City>
    <b:Author>
      <b:Author>
        <b:NameList>
          <b:Person>
            <b:Last>Whiteford</b:Last>
            <b:First>P</b:First>
          </b:Person>
          <b:Person>
            <b:Last>Angenent</b:Last>
            <b:First>G</b:First>
          </b:Person>
        </b:NameList>
      </b:Author>
    </b:Author>
    <b:ThesisType>Occasional Paper No. 6</b:ThesisType>
    <b:RefOrder>19</b:RefOrder>
  </b:Source>
  <b:Source>
    <b:Tag>Mil19</b:Tag>
    <b:SourceType>JournalArticle</b:SourceType>
    <b:Guid>{D5D21C16-0A80-4FEB-88DE-600EBDD0DEC2}</b:Guid>
    <b:Title>The effect of family welfare support on the likelihood of having another child and parents' labor supply</b:Title>
    <b:Year>2019</b:Year>
    <b:JournalName>Research in Economics</b:JournalName>
    <b:Pages>243-263</b:Pages>
    <b:Author>
      <b:Author>
        <b:NameList>
          <b:Person>
            <b:Last>Milonavska-Farrington</b:Last>
            <b:First>S</b:First>
          </b:Person>
        </b:NameList>
      </b:Author>
    </b:Author>
    <b:Volume>73</b:Volume>
    <b:Issue>3</b:Issue>
    <b:RefOrder>123</b:RefOrder>
  </b:Source>
  <b:Source>
    <b:Tag>Gar17</b:Tag>
    <b:SourceType>JournalArticle</b:SourceType>
    <b:Guid>{9A8C14E7-72B6-44DC-B1A5-3350891D4237}</b:Guid>
    <b:Title>Young mother's experiences receiving the baby bonus: a qualitative study</b:Title>
    <b:Year>2017</b:Year>
    <b:JournalName>Australian Social Work</b:JournalName>
    <b:Pages>54-65</b:Pages>
    <b:Author>
      <b:Author>
        <b:NameList>
          <b:Person>
            <b:Last>Garret</b:Last>
            <b:Middle>C</b:Middle>
            <b:First>C</b:First>
          </b:Person>
          <b:Person>
            <b:Last>Keogh</b:Last>
            <b:First>L</b:First>
          </b:Person>
          <b:Person>
            <b:Last>Hewitt</b:Last>
            <b:First>B</b:First>
          </b:Person>
          <b:Person>
            <b:Last>Newton</b:Last>
            <b:Middle>C</b:Middle>
            <b:First>D</b:First>
          </b:Person>
          <b:Person>
            <b:Last>Kavanagh</b:Last>
            <b:Middle>M</b:Middle>
            <b:First>A</b:First>
          </b:Person>
        </b:NameList>
      </b:Author>
    </b:Author>
    <b:Volume>70</b:Volume>
    <b:Issue>1</b:Issue>
    <b:RefOrder>124</b:RefOrder>
  </b:Source>
  <b:Source>
    <b:Tag>Hum07</b:Tag>
    <b:SourceType>Report</b:SourceType>
    <b:Guid>{F455A34C-1387-46F7-A293-7C029992D5B1}</b:Guid>
    <b:Author>
      <b:Author>
        <b:Corporate>Human Rights and Equal Opportunity Commission</b:Corporate>
      </b:Author>
    </b:Author>
    <b:Title>It's about time: Women, men, work and family- final paper 2007</b:Title>
    <b:Year>2007</b:Year>
    <b:Publisher>Human Rights and Equal Opportunity Commission</b:Publisher>
    <b:City>Sydney</b:City>
    <b:RefOrder>125</b:RefOrder>
  </b:Source>
  <b:Source>
    <b:Tag>Hay14</b:Tag>
    <b:SourceType>Report</b:SourceType>
    <b:Guid>{42459908-33EB-4104-95B6-B8B053F94E2F}</b:Guid>
    <b:Title>Could a universal family payment improve gender equity and reduce child poverty in Australia? A microsimulation analysis</b:Title>
    <b:Year>2014</b:Year>
    <b:Publisher>EUROMOD Work Paper No. EM 3/14</b:Publisher>
    <b:Author>
      <b:Author>
        <b:NameList>
          <b:Person>
            <b:Last>Hayes</b:Last>
            <b:First>P</b:First>
          </b:Person>
          <b:Person>
            <b:Last>Redmond</b:Last>
            <b:First>G</b:First>
          </b:Person>
        </b:NameList>
      </b:Author>
    </b:Author>
    <b:RefOrder>126</b:RefOrder>
  </b:Source>
  <b:Source>
    <b:Tag>Ros18</b:Tag>
    <b:SourceType>BookSection</b:SourceType>
    <b:Guid>{9CFC3A7C-74A4-460A-8F25-8B304369A602}</b:Guid>
    <b:Title>Maternity and Family Leave Policy</b:Title>
    <b:Year>2018</b:Year>
    <b:BookTitle>The Oxford Handbook of Women and the Economy</b:BookTitle>
    <b:Author>
      <b:Author>
        <b:NameList>
          <b:Person>
            <b:Last>Rossin-Slater</b:Last>
            <b:First>M</b:First>
          </b:Person>
        </b:NameList>
      </b:Author>
      <b:BookAuthor>
        <b:NameList>
          <b:Person>
            <b:Last>Averett</b:Last>
            <b:Middle>L</b:Middle>
            <b:First>S</b:First>
          </b:Person>
          <b:Person>
            <b:Last>Argys</b:Last>
            <b:Middle>M</b:Middle>
            <b:First>L</b:First>
          </b:Person>
          <b:Person>
            <b:Last>Hoffman</b:Last>
            <b:Middle>D</b:Middle>
            <b:First>S</b:First>
          </b:Person>
        </b:NameList>
      </b:BookAuthor>
    </b:Author>
    <b:RefOrder>127</b:RefOrder>
  </b:Source>
  <b:Source>
    <b:Tag>Wor17</b:Tag>
    <b:SourceType>Report</b:SourceType>
    <b:Guid>{E5500E43-B35E-4E66-A4F0-AC72052C72E6}</b:Guid>
    <b:Title>Towards gender balanced parental leave</b:Title>
    <b:Year>2017</b:Year>
    <b:Publisher>Workplace Gender Equality Agency</b:Publisher>
    <b:Author>
      <b:Author>
        <b:Corporate>Workplace Gender Equality Agency</b:Corporate>
      </b:Author>
    </b:Author>
    <b:RefOrder>128</b:RefOrder>
  </b:Source>
  <b:Source>
    <b:Tag>OEC0a</b:Tag>
    <b:SourceType>Report</b:SourceType>
    <b:Guid>{E5A377D2-ACEB-4872-821F-241FAB3DD46C}</b:Guid>
    <b:Author>
      <b:Author>
        <b:Corporate>OECD</b:Corporate>
      </b:Author>
    </b:Author>
    <b:Title>Is Childcare Affordable?</b:Title>
    <b:Year>2020a</b:Year>
    <b:Publisher>OECD</b:Publisher>
    <b:RefOrder>129</b:RefOrder>
  </b:Source>
  <b:Source>
    <b:Tag>Placeholder4</b:Tag>
    <b:SourceType>Report</b:SourceType>
    <b:Guid>{0375D296-8B02-43BC-B175-56FD1CDF7CB6}</b:Guid>
    <b:Title>Childhood Education and Care, Australia</b:Title>
    <b:Year>2018</b:Year>
    <b:Publisher>Australian Bureau of Statistics</b:Publisher>
    <b:City>Canberra</b:City>
    <b:Author>
      <b:Author>
        <b:Corporate>Australian Bureau of Statistics</b:Corporate>
      </b:Author>
    </b:Author>
    <b:RefOrder>130</b:RefOrder>
  </b:Source>
  <b:Source>
    <b:Tag>Cla21</b:Tag>
    <b:SourceType>Report</b:SourceType>
    <b:Guid>{10C88710-513A-4EFF-A79B-512F8A09C5CD}</b:Guid>
    <b:Title>Universal access to preschool</b:Title>
    <b:Year>2021</b:Year>
    <b:Publisher>Parliamentary Library</b:Publisher>
    <b:City>Canberra</b:City>
    <b:Author>
      <b:Author>
        <b:NameList>
          <b:Person>
            <b:Last>Clark</b:Last>
            <b:First>S</b:First>
          </b:Person>
        </b:NameList>
      </b:Author>
    </b:Author>
    <b:ThesisType>Budget Review 2021-22 Index</b:ThesisType>
    <b:RefOrder>131</b:RefOrder>
  </b:Source>
  <b:Source>
    <b:Tag>Nou20</b:Tag>
    <b:SourceType>Report</b:SourceType>
    <b:Guid>{76D6E609-5BB9-4FBC-B6A4-09D95EC83D35}</b:Guid>
    <b:Author>
      <b:Author>
        <b:Corporate>Nous Group</b:Corporate>
      </b:Author>
    </b:Author>
    <b:Title>UANP Review: Final Review Report COAG Education Council</b:Title>
    <b:Year>2020</b:Year>
    <b:Publisher>Nous Group</b:Publisher>
    <b:RefOrder>132</b:RefOrder>
  </b:Source>
  <b:Source>
    <b:Tag>Placeholder5</b:Tag>
    <b:SourceType>JournalArticle</b:SourceType>
    <b:Guid>{DDF2AD65-1187-4306-87F8-2753C59B75E5}</b:Guid>
    <b:Title>Child care availability and first-birth timing in Norway</b:Title>
    <b:Year>2007</b:Year>
    <b:JournalName>Demography</b:JournalName>
    <b:Pages>345-372</b:Pages>
    <b:Author>
      <b:Author>
        <b:NameList>
          <b:Person>
            <b:Last>Rindfuss</b:Last>
            <b:Middle>R</b:Middle>
            <b:First>R</b:First>
          </b:Person>
          <b:Person>
            <b:Last>Guilkey</b:Last>
            <b:First>D</b:First>
          </b:Person>
          <b:Person>
            <b:Last>Morgan</b:Last>
            <b:Middle>P</b:Middle>
            <b:First>S</b:First>
          </b:Person>
          <b:Person>
            <b:Last>Kravdal</b:Last>
            <b:First>Ø</b:First>
          </b:Person>
          <b:Person>
            <b:Last>Guzzo</b:Last>
            <b:Middle>B</b:Middle>
            <b:First>K</b:First>
          </b:Person>
        </b:NameList>
      </b:Author>
    </b:Author>
    <b:Volume>44</b:Volume>
    <b:RefOrder>133</b:RefOrder>
  </b:Source>
  <b:Source>
    <b:Tag>Kla21</b:Tag>
    <b:SourceType>Report</b:SourceType>
    <b:Guid>{62A61289-CC21-42D3-99BE-67E7DDA2C409}</b:Guid>
    <b:Title>Child Care Subsidy changes: Budget Review 2021-22 Index</b:Title>
    <b:Year>2021</b:Year>
    <b:City>Canberra</b:City>
    <b:Publisher>Parliament Library</b:Publisher>
    <b:Author>
      <b:Author>
        <b:NameList>
          <b:Person>
            <b:Last>Klapdor</b:Last>
            <b:First>M</b:First>
          </b:Person>
        </b:NameList>
      </b:Author>
    </b:Author>
    <b:RefOrder>134</b:RefOrder>
  </b:Source>
  <b:Source>
    <b:Tag>Lop18</b:Tag>
    <b:SourceType>BookSection</b:SourceType>
    <b:Guid>{22A088C9-E47D-4366-81BF-1316BB250C36}</b:Guid>
    <b:Title>Fertility policy in developed countries</b:Title>
    <b:Year>2018</b:Year>
    <b:Publisher>Oxford University Press</b:Publisher>
    <b:BookTitle>The Oxford Handbook of Women and the Economy</b:BookTitle>
    <b:Pages>1-23</b:Pages>
    <b:Author>
      <b:Author>
        <b:NameList>
          <b:Person>
            <b:Last>Lopoo</b:Last>
            <b:Middle>M</b:Middle>
            <b:First>L</b:First>
          </b:Person>
          <b:Person>
            <b:Last>Raissian</b:Last>
            <b:Middle>M</b:Middle>
            <b:First>K</b:First>
          </b:Person>
        </b:NameList>
      </b:Author>
      <b:BookAuthor>
        <b:NameList>
          <b:Person>
            <b:Last>Averett</b:Last>
            <b:Middle>L</b:Middle>
            <b:First>S</b:First>
          </b:Person>
          <b:Person>
            <b:Last>Argys</b:Last>
            <b:Middle>M</b:Middle>
            <b:First>L</b:First>
          </b:Person>
          <b:Person>
            <b:Last>Hoffman</b:Last>
            <b:Middle>D</b:Middle>
            <b:First>S</b:First>
          </b:Person>
        </b:NameList>
      </b:BookAuthor>
    </b:Author>
    <b:RefOrder>135</b:RefOrder>
  </b:Source>
  <b:Source>
    <b:Tag>Hoe08</b:Tag>
    <b:SourceType>JournalArticle</b:SourceType>
    <b:Guid>{5191B2DA-BDED-4632-A430-20D138217806}</b:Guid>
    <b:Title>Overview Chapter 8: The impact of public policies on European fertility</b:Title>
    <b:Year>2008</b:Year>
    <b:Pages>249-260</b:Pages>
    <b:JournalName>Demographic Research</b:JournalName>
    <b:Author>
      <b:Author>
        <b:NameList>
          <b:Person>
            <b:Last>Hoem</b:Last>
            <b:Middle>M</b:Middle>
            <b:First>J</b:First>
          </b:Person>
        </b:NameList>
      </b:Author>
    </b:Author>
    <b:Volume>19</b:Volume>
    <b:Issue>10</b:Issue>
    <b:RefOrder>136</b:RefOrder>
  </b:Source>
  <b:Source>
    <b:Tag>Ney08</b:Tag>
    <b:SourceType>JournalArticle</b:SourceType>
    <b:Guid>{41633946-14F3-4261-A081-AB7C94DFCD61}</b:Guid>
    <b:Title>Consequences of family policies on childbearing behaviour: Effects or artifacts?</b:Title>
    <b:Year>2008</b:Year>
    <b:Pages>699-724</b:Pages>
    <b:JournalName>Population and Development Review</b:JournalName>
    <b:Author>
      <b:Author>
        <b:NameList>
          <b:Person>
            <b:Last>Neyer</b:Last>
            <b:First>G</b:First>
          </b:Person>
          <b:Person>
            <b:Last>Andersson</b:Last>
            <b:First>G</b:First>
          </b:Person>
        </b:NameList>
      </b:Author>
    </b:Author>
    <b:Volume>34</b:Volume>
    <b:Issue>4</b:Issue>
    <b:RefOrder>137</b:RefOrder>
  </b:Source>
  <b:Source>
    <b:Tag>Ney21</b:Tag>
    <b:SourceType>BookSection</b:SourceType>
    <b:Guid>{1F6161EE-CBBB-45EC-95DB-586EBCB84D8F}</b:Guid>
    <b:Title>Welfare state regimes, family policies, and family behaviour</b:Title>
    <b:Year>2021</b:Year>
    <b:Pages>22-41</b:Pages>
    <b:BookTitle>Research Handbook on the Sociology of the Family</b:BookTitle>
    <b:City>Cheltenham</b:City>
    <b:Publisher>Edward Elgar Publishing</b:Publisher>
    <b:Author>
      <b:Author>
        <b:NameList>
          <b:Person>
            <b:Last>Neyer</b:Last>
            <b:First>G</b:First>
          </b:Person>
        </b:NameList>
      </b:Author>
      <b:BookAuthor>
        <b:NameList>
          <b:Person>
            <b:Last>Schneider</b:Last>
            <b:Middle>F</b:Middle>
            <b:First>N</b:First>
          </b:Person>
          <b:Person>
            <b:Last>Kreyenfeld</b:Last>
            <b:First>M</b:First>
          </b:Person>
        </b:NameList>
      </b:BookAuthor>
    </b:Author>
    <b:RefOrder>138</b:RefOrder>
  </b:Source>
  <b:Source>
    <b:Tag>Kel212</b:Tag>
    <b:SourceType>Report</b:SourceType>
    <b:Guid>{E8B09341-8A58-4F40-B4A5-DE308C0B48F5}</b:Guid>
    <b:Title>Preliminary Fertility Rate Projections for the 2021 NSW Intergenerational Report</b:Title>
    <b:Year>2021</b:Year>
    <b:Publisher>NSW Treasury</b:Publisher>
    <b:Author>
      <b:Author>
        <b:NameList>
          <b:Person>
            <b:Last>Kelly</b:Last>
            <b:First>R</b:First>
          </b:Person>
        </b:NameList>
      </b:Author>
    </b:Author>
    <b:ThesisType>Treasury Technical Research Paper Series</b:ThesisType>
    <b:RefOrder>139</b:RefOrder>
  </b:Source>
  <b:Source>
    <b:Tag>Lat08</b:Tag>
    <b:SourceType>Report</b:SourceType>
    <b:Guid>{14D87D71-24F2-43FD-BF50-B0A3E38163EA}</b:Guid>
    <b:Title>Recent trends in Australian fertility </b:Title>
    <b:Year>2008</b:Year>
    <b:Publisher>Productivity Commission</b:Publisher>
    <b:City>Melbourne</b:City>
    <b:Author>
      <b:Author>
        <b:NameList>
          <b:Person>
            <b:Last>Lattimore</b:Last>
            <b:Middle>G</b:Middle>
            <b:First>R</b:First>
          </b:Person>
          <b:Person>
            <b:Last>Pobke</b:Last>
            <b:First>C</b:First>
          </b:Person>
        </b:NameList>
      </b:Author>
    </b:Author>
    <b:RefOrder>140</b:RefOrder>
  </b:Source>
  <b:Source>
    <b:Tag>Swe21</b:Tag>
    <b:SourceType>InternetSite</b:SourceType>
    <b:Guid>{13A4621A-2625-4EF4-972C-383F13C27DC5}</b:Guid>
    <b:Title>Child allowance</b:Title>
    <b:Year>2021</b:Year>
    <b:Author>
      <b:Author>
        <b:Corporate>Swedish Social Insurance Agency (Försäkringskassan)</b:Corporate>
      </b:Author>
    </b:Author>
    <b:InternetSiteTitle>Child allowance</b:InternetSiteTitle>
    <b:URL>https://www.forsakringskassan.se/english/parents/when-the-child-is-born/child-allowance</b:URL>
    <b:YearAccessed>2021</b:YearAccessed>
    <b:MonthAccessed>June</b:MonthAccessed>
    <b:DayAccessed>25</b:DayAccessed>
    <b:RefOrder>141</b:RefOrder>
  </b:Source>
  <b:Source>
    <b:Tag>Fin19</b:Tag>
    <b:SourceType>Report</b:SourceType>
    <b:Guid>{56B124F1-71DD-41CB-AE2C-A6269CEF8097}</b:Guid>
    <b:Title>Benefits for families with children</b:Title>
    <b:Year>2019</b:Year>
    <b:Author>
      <b:Author>
        <b:Corporate>Social Insurance Institution of Finland (Kela)</b:Corporate>
      </b:Author>
    </b:Author>
    <b:URL>https://www.kela.fi/documents/10180/3571044/Koti+ja+perhe_esite_en_Kela.pdf</b:URL>
    <b:RefOrder>142</b:RefOrder>
  </b:Source>
  <b:Source>
    <b:Tag>Lux</b:Tag>
    <b:SourceType>InternetSite</b:SourceType>
    <b:Guid>{0FA76114-F6FD-41B0-86FB-3BFFE118CE71}</b:Guid>
    <b:Author>
      <b:Author>
        <b:Corporate>Luxembourg Government</b:Corporate>
      </b:Author>
    </b:Author>
    <b:Title>Caisse pour l'avenir des enfants</b:Title>
    <b:URL>https://cae.public.lu/en/allocations/premiere-demande/allocation-pour-lavenir-des-enfants/montants.html</b:URL>
    <b:Year>2021</b:Year>
    <b:RefOrder>143</b:RefOrder>
  </b:Source>
  <b:Source>
    <b:Tag>Gov21</b:Tag>
    <b:SourceType>InternetSite</b:SourceType>
    <b:Guid>{B7AA95A1-C235-4980-AA28-6190606D4425}</b:Guid>
    <b:Author>
      <b:Author>
        <b:Corporate>UK Government</b:Corporate>
      </b:Author>
    </b:Author>
    <b:Title>Claim Child Benefit</b:Title>
    <b:Year>2021</b:Year>
    <b:URL>https://www.gov.uk/child-benefit/what-youll-get</b:URL>
    <b:RefOrder>144</b:RefOrder>
  </b:Source>
  <b:Source>
    <b:Tag>Gov211</b:Tag>
    <b:SourceType>InternetSite</b:SourceType>
    <b:Guid>{5B34C629-ECB6-427C-830C-5DF401DA798B}</b:Guid>
    <b:Author>
      <b:Author>
        <b:Corporate>Government of Canada</b:Corporate>
      </b:Author>
    </b:Author>
    <b:Title>Canada Child Benefit: How much can you get</b:Title>
    <b:Year>2021</b:Year>
    <b:URL>https://www.canada.ca/en/revenue-agency/services/child-family-benefits/canada-child-benefit-overview/canada-child-benefit-we-calculate-your-ccb.html</b:URL>
    <b:RefOrder>145</b:RefOrder>
  </b:Source>
  <b:Source>
    <b:Tag>Che19</b:Tag>
    <b:SourceType>JournalArticle</b:SourceType>
    <b:Guid>{2FBDBE8A-6499-46EB-A895-6C950954787E}</b:Guid>
    <b:Title>A new method of identifying target groups for pronatalist policy applied to Australia</b:Title>
    <b:Year>2019</b:Year>
    <b:JournalName>PLoS ONE</b:JournalName>
    <b:Pages>e0192007</b:Pages>
    <b:Author>
      <b:Author>
        <b:NameList>
          <b:Person>
            <b:Last>Chen</b:Last>
            <b:First>M</b:First>
          </b:Person>
          <b:Person>
            <b:Last>Lloyd</b:Last>
            <b:Middle>J</b:Middle>
            <b:First>C</b:First>
          </b:Person>
          <b:Person>
            <b:Last>Yip</b:Last>
            <b:Middle>S.F</b:Middle>
            <b:First>P</b:First>
          </b:Person>
        </b:NameList>
      </b:Author>
    </b:Author>
    <b:Volume>13</b:Volume>
    <b:Issue>2</b:Issue>
    <b:RefOrder>146</b:RefOrder>
  </b:Source>
  <b:Source>
    <b:Tag>Sle03</b:Tag>
    <b:SourceType>Report</b:SourceType>
    <b:Guid>{E13EF13C-5FB0-45FD-BE2E-3F781319173C}</b:Guid>
    <b:Title>Low Fertility Rates in OECD: Facts and Policy Responses</b:Title>
    <b:Year>2003</b:Year>
    <b:Publisher>OECD</b:Publisher>
    <b:Author>
      <b:Author>
        <b:NameList>
          <b:Person>
            <b:Last>Sleebos</b:Last>
            <b:First>J</b:First>
          </b:Person>
        </b:NameList>
      </b:Author>
    </b:Author>
    <b:ThesisType>OECD Labour Market and Social Policy Occasional Papers No. 15</b:ThesisType>
    <b:RefOrder>17</b:RefOrder>
  </b:Source>
  <b:Source>
    <b:Tag>Sch05</b:Tag>
    <b:SourceType>Report</b:SourceType>
    <b:Guid>{A56E9D86-47FB-45F6-9E52-F41CC2DDBD4E}</b:Guid>
    <b:Title>Public preschool and the labor supply of Arab mothers: Evidence from a natural experiment</b:Title>
    <b:Year>2005</b:Year>
    <b:Publisher>The Hebrew University of Jerusalem</b:Publisher>
    <b:Author>
      <b:Author>
        <b:NameList>
          <b:Person>
            <b:Last>Schlosser</b:Last>
            <b:First>A</b:First>
          </b:Person>
        </b:NameList>
      </b:Author>
    </b:Author>
    <b:ThesisType>Manuscript</b:ThesisType>
    <b:RefOrder>147</b:RefOrder>
  </b:Source>
  <b:Source>
    <b:Tag>Fuk17</b:Tag>
    <b:SourceType>JournalArticle</b:SourceType>
    <b:Guid>{45321FD1-4047-4F23-88D6-59B589774212}</b:Guid>
    <b:Title>Childcare availability and fertility: Evidence from municipalities in Japan</b:Title>
    <b:JournalName>Journal of the Japanese and International Economies</b:JournalName>
    <b:Year>2017</b:Year>
    <b:Pages>1-18</b:Pages>
    <b:Author>
      <b:Author>
        <b:NameList>
          <b:Person>
            <b:Last>Fukai</b:Last>
            <b:First>T</b:First>
          </b:Person>
        </b:NameList>
      </b:Author>
    </b:Author>
    <b:Volume>43</b:Volume>
    <b:RefOrder>148</b:RefOrder>
  </b:Source>
  <b:Source>
    <b:Tag>Mor13</b:Tag>
    <b:SourceType>JournalArticle</b:SourceType>
    <b:Guid>{954DEEF4-4538-4605-A0CC-8EF1003556C5}</b:Guid>
    <b:Title>Childcare costs and the demand for children—evidence from a nationwide reform</b:Title>
    <b:JournalName>Journal of Population Economics</b:JournalName>
    <b:Year>2013</b:Year>
    <b:Pages>33-65</b:Pages>
    <b:Volume>26</b:Volume>
    <b:Author>
      <b:Author>
        <b:NameList>
          <b:Person>
            <b:Last>Mörk</b:Last>
            <b:First>E</b:First>
          </b:Person>
          <b:Person>
            <b:Last>Sjögren</b:Last>
            <b:First>A</b:First>
          </b:Person>
          <b:Person>
            <b:Last>Svalderyd</b:Last>
            <b:First>H</b:First>
          </b:Person>
        </b:NameList>
      </b:Author>
    </b:Author>
    <b:RefOrder>149</b:RefOrder>
  </b:Source>
  <b:Source>
    <b:Tag>Gat18</b:Tag>
    <b:SourceType>JournalArticle</b:SourceType>
    <b:Guid>{C5512F58-5E55-425E-89F6-CBB07E1E2297}</b:Guid>
    <b:Title>Taxing childcare: Effects on childcare choices, family labor supply, and children</b:Title>
    <b:Year>2018</b:Year>
    <b:JournalName>Journal of  Labor Economics</b:JournalName>
    <b:Author>
      <b:Author>
        <b:NameList>
          <b:Person>
            <b:Last>Gathmann</b:Last>
            <b:First>C</b:First>
          </b:Person>
          <b:Person>
            <b:Last>Sass</b:Last>
            <b:First>B</b:First>
          </b:Person>
        </b:NameList>
      </b:Author>
    </b:Author>
    <b:Volume>36</b:Volume>
    <b:Issue>3</b:Issue>
    <b:RefOrder>150</b:RefOrder>
  </b:Source>
  <b:Source>
    <b:Tag>Fey08</b:Tag>
    <b:SourceType>JournalArticle</b:SourceType>
    <b:Guid>{02BE7276-F1BD-4100-AD27-8571186874DD}</b:Guid>
    <b:Title>Will th stork return to Europe and Japan? Understanding fertility within developed nations</b:Title>
    <b:JournalName>Journal of Economic Perspectives</b:JournalName>
    <b:Year>2008</b:Year>
    <b:Pages>3-22</b:Pages>
    <b:Author>
      <b:Author>
        <b:NameList>
          <b:Person>
            <b:Last>Feyer</b:Last>
            <b:First>J</b:First>
          </b:Person>
          <b:Person>
            <b:Last>Sacerdote</b:Last>
            <b:First>B</b:First>
          </b:Person>
          <b:Person>
            <b:Last>Stern</b:Last>
            <b:Middle>D</b:Middle>
            <b:First>A</b:First>
          </b:Person>
        </b:NameList>
      </b:Author>
    </b:Author>
    <b:Volume>22</b:Volume>
    <b:Issue>3</b:Issue>
    <b:RefOrder>151</b:RefOrder>
  </b:Source>
  <b:Source>
    <b:Tag>Del09</b:Tag>
    <b:SourceType>JournalArticle</b:SourceType>
    <b:Guid>{6755EB62-F44A-4289-BCFD-E1BD85282B57}</b:Guid>
    <b:Title>Motherhood and market work decisions in institutional context: a European perspective</b:Title>
    <b:JournalName>Oxford Economic Papers</b:JournalName>
    <b:Year>2009</b:Year>
    <b:Pages>147-171</b:Pages>
    <b:Author>
      <b:Author>
        <b:NameList>
          <b:Person>
            <b:Last>Del Boca</b:Last>
            <b:First>D</b:First>
          </b:Person>
          <b:Person>
            <b:Last>Pasqua</b:Last>
            <b:First>S</b:First>
          </b:Person>
          <b:Person>
            <b:Last>Pronzato</b:Last>
            <b:First>C</b:First>
          </b:Person>
        </b:NameList>
      </b:Author>
    </b:Author>
    <b:Volume>61</b:Volume>
    <b:RefOrder>27</b:RefOrder>
  </b:Source>
  <b:Source>
    <b:Tag>Aus21</b:Tag>
    <b:SourceType>Report</b:SourceType>
    <b:Guid>{54D4D785-85AA-4609-B300-29994C382471}</b:Guid>
    <b:Title>Young people living with their parents</b:Title>
    <b:Year>2021</b:Year>
    <b:Author>
      <b:Author>
        <b:Corporate>Australian Institute of Family Studies</b:Corporate>
      </b:Author>
    </b:Author>
    <b:Publisher>Australian Institute of Family Studies</b:Publisher>
    <b:ThesisType>Facts and Figures </b:ThesisType>
    <b:YearAccessed>2021</b:YearAccessed>
    <b:MonthAccessed>June</b:MonthAccessed>
    <b:DayAccessed>26</b:DayAccessed>
    <b:URL>https://aifs.gov.au/facts-and-figures/young-people-living-their-parents</b:URL>
    <b:RefOrder>152</b:RefOrder>
  </b:Source>
  <b:Source>
    <b:Tag>Str191</b:Tag>
    <b:SourceType>Report</b:SourceType>
    <b:Guid>{0DA17096-5F89-4478-ADFF-E21A697152C3}</b:Guid>
    <b:Author>
      <b:Author>
        <b:NameList>
          <b:Person>
            <b:Last>Strazdins</b:Last>
            <b:First>L</b:First>
          </b:Person>
          <b:Person>
            <b:Last>Townsend</b:Last>
            <b:First>B</b:First>
          </b:Person>
        </b:NameList>
      </b:Author>
    </b:Author>
    <b:Title>Next Steps for Paid Parental Leave In Australia: Roundtable Discussion Report</b:Title>
    <b:Year>2019</b:Year>
    <b:Publisher>The Austrlian National University, Families Australia, and the Work+Family Policy Roundtable</b:Publisher>
    <b:City>Canberra</b:City>
    <b:RefOrder>153</b:RefOrder>
  </b:Source>
  <b:Source>
    <b:Tag>KPM21</b:Tag>
    <b:SourceType>Report</b:SourceType>
    <b:Guid>{9C9EAEC2-0C3E-4287-B043-FAFC589DC0C3}</b:Guid>
    <b:Title>Enhancing work-life balance: A better system of Parental Leave</b:Title>
    <b:Year>2021</b:Year>
    <b:Publisher>KPMG </b:Publisher>
    <b:Author>
      <b:Author>
        <b:Corporate>KPMG</b:Corporate>
      </b:Author>
    </b:Author>
    <b:RefOrder>154</b:RefOrder>
  </b:Source>
  <b:Source>
    <b:Tag>Lie15</b:Tag>
    <b:SourceType>BookSection</b:SourceType>
    <b:Guid>{56AACDA7-6A59-4E41-BB69-16469379E4DB}</b:Guid>
    <b:Title>Reproductive decision-making in a Macro-Micro Perspective: A conceptual framework</b:Title>
    <b:Year>2015</b:Year>
    <b:Pages>1-15</b:Pages>
    <b:BookTitle>Reproductive decision-making in a Macro-Micro Perspective</b:BookTitle>
    <b:Publisher>Springer</b:Publisher>
    <b:Author>
      <b:Author>
        <b:Corporate>Liefbroer, A C; Klobas, J E; Philipov, D; Ajzen, I;</b:Corporate>
      </b:Author>
      <b:BookAuthor>
        <b:NameList>
          <b:Person>
            <b:Last>Philipov</b:Last>
            <b:First>D</b:First>
          </b:Person>
          <b:Person>
            <b:Last>Liefbroer</b:Last>
            <b:First>A</b:First>
            <b:Middle>C</b:Middle>
          </b:Person>
          <b:Person>
            <b:Last>Klobas</b:Last>
            <b:First>J</b:First>
            <b:Middle>E</b:Middle>
          </b:Person>
        </b:NameList>
      </b:BookAuthor>
    </b:Author>
    <b:RefOrder>155</b:RefOrder>
  </b:Source>
  <b:Source>
    <b:Tag>Spé15</b:Tag>
    <b:SourceType>BookSection</b:SourceType>
    <b:Guid>{A3347418-2892-4B00-9A1F-38B0289FDF91}</b:Guid>
    <b:Title>Influences on the link between fertility intentions and behavioural outcomes</b:Title>
    <b:Year>2015</b:Year>
    <b:Pages>79-111</b:Pages>
    <b:Author>
      <b:Author>
        <b:NameList>
          <b:Person>
            <b:Last>Spéder </b:Last>
            <b:First>Z</b:First>
          </b:Person>
          <b:Person>
            <b:Last>Kapitány</b:Last>
            <b:First>B</b:First>
          </b:Person>
        </b:NameList>
      </b:Author>
      <b:BookAuthor>
        <b:NameList>
          <b:Person>
            <b:Last>al</b:Last>
            <b:First>Phlipov</b:First>
            <b:Middle>et</b:Middle>
          </b:Person>
        </b:NameList>
      </b:BookAuthor>
    </b:Author>
    <b:BookTitle>Reproductive Decision-making in a Macro-Micro Perspective</b:BookTitle>
    <b:RefOrder>156</b:RefOrder>
  </b:Source>
  <b:Source>
    <b:Tag>Gra13</b:Tag>
    <b:SourceType>JournalArticle</b:SourceType>
    <b:Guid>{9BEB5F4C-AB6F-40C3-BB1C-11F60B5F0817}</b:Guid>
    <b:Title>Childbearing desires of childless men and women: when are goals adjusted?</b:Title>
    <b:Year>2013</b:Year>
    <b:Pages>141-149</b:Pages>
    <b:JournalName>Advances in Life Course Research</b:JournalName>
    <b:Author>
      <b:Author>
        <b:NameList>
          <b:Person>
            <b:Last>Gray</b:Last>
            <b:First>E</b:First>
          </b:Person>
          <b:Person>
            <b:Last>Evans</b:Last>
            <b:First>A</b:First>
          </b:Person>
          <b:Person>
            <b:Last>Reimondos</b:Last>
            <b:First>A</b:First>
          </b:Person>
        </b:NameList>
      </b:Author>
    </b:Author>
    <b:Volume>18</b:Volume>
    <b:Issue>2</b:Issue>
    <b:RefOrder>157</b:RefOrder>
  </b:Source>
  <b:Source>
    <b:Tag>Zel85</b:Tag>
    <b:SourceType>Book</b:SourceType>
    <b:Guid>{86A28E17-6993-468A-ACCD-CD74393DB881}</b:Guid>
    <b:Title>Pricing the priceless child: the changing social value of children </b:Title>
    <b:Year>1985</b:Year>
    <b:City>Princeton</b:City>
    <b:Publisher>Princeton University Press</b:Publisher>
    <b:Author>
      <b:Author>
        <b:NameList>
          <b:Person>
            <b:Last>Zelizer </b:Last>
            <b:First>V</b:First>
          </b:Person>
        </b:NameList>
      </b:Author>
    </b:Author>
    <b:RefOrder>158</b:RefOrder>
  </b:Source>
  <b:Source>
    <b:Tag>Cra06</b:Tag>
    <b:SourceType>JournalArticle</b:SourceType>
    <b:Guid>{6116B352-0C0A-4B67-8E09-EA387C3CAE06}</b:Guid>
    <b:Title>Parental education, time in paid work and time with children: an Australian time-diary analysis</b:Title>
    <b:Year>2006</b:Year>
    <b:JournalName>The British Journal of Sociology</b:JournalName>
    <b:Pages>553-575</b:Pages>
    <b:Author>
      <b:Author>
        <b:NameList>
          <b:Person>
            <b:Last>Craig</b:Last>
            <b:First>L</b:First>
          </b:Person>
        </b:NameList>
      </b:Author>
    </b:Author>
    <b:Volume>57</b:Volume>
    <b:Issue>4</b:Issue>
    <b:RefOrder>159</b:RefOrder>
  </b:Source>
  <b:Source>
    <b:Tag>Fah189</b:Tag>
    <b:SourceType>JournalArticle</b:SourceType>
    <b:Guid>{A860A908-B53B-4AF2-ACBF-559308B523B3}</b:Guid>
    <b:Title>Economic uncertainty and first-birth intentions in Europe</b:Title>
    <b:JournalName>Demographic Research</b:JournalName>
    <b:Year>2018</b:Year>
    <b:Pages>795-834</b:Pages>
    <b:Author>
      <b:Author>
        <b:NameList>
          <b:Person>
            <b:Last>Fahlén</b:Last>
            <b:First>S</b:First>
          </b:Person>
          <b:Person>
            <b:Last>Oláh</b:Last>
            <b:Middle>S</b:Middle>
            <b:First>L</b:First>
          </b:Person>
        </b:NameList>
      </b:Author>
    </b:Author>
    <b:Volume>39</b:Volume>
    <b:Issue>28</b:Issue>
    <b:RefOrder>160</b:RefOrder>
  </b:Source>
  <b:Source>
    <b:Tag>Vig12</b:Tag>
    <b:SourceType>JournalArticle</b:SourceType>
    <b:Guid>{DEE83350-A5A7-4A71-BEDD-E1F38767222C}</b:Guid>
    <b:Title>A home to plan the first child? Fertility intentions and housing conditions in Italy</b:Title>
    <b:JournalName>Population, Space and Place</b:JournalName>
    <b:Year>2012</b:Year>
    <b:Pages>60-71</b:Pages>
    <b:Author>
      <b:Author>
        <b:NameList>
          <b:Person>
            <b:Last>Vignoli</b:Last>
            <b:First>D</b:First>
          </b:Person>
          <b:Person>
            <b:Last>Rinesi</b:Last>
            <b:First>F</b:First>
          </b:Person>
          <b:Person>
            <b:Last>Mussino</b:Last>
            <b:First>E</b:First>
          </b:Person>
        </b:NameList>
      </b:Author>
    </b:Author>
    <b:Volume>19</b:Volume>
    <b:Issue>1</b:Issue>
    <b:RefOrder>161</b:RefOrder>
  </b:Source>
  <b:Source>
    <b:Tag>Cob081</b:Tag>
    <b:SourceType>JournalArticle</b:SourceType>
    <b:Guid>{C1D0745B-5784-48DF-A96B-94D1CF0109D6}</b:Guid>
    <b:Title>Leaving home: what economics has to say about the living arrangements of young Australians</b:Title>
    <b:JournalName>The Australian Economic Review</b:JournalName>
    <b:Year>2008</b:Year>
    <b:Pages>160-176</b:Pages>
    <b:Author>
      <b:Author>
        <b:NameList>
          <b:Person>
            <b:Last>Cobb-Clark</b:Last>
            <b:Middle>A</b:Middle>
            <b:First>D</b:First>
          </b:Person>
        </b:NameList>
      </b:Author>
    </b:Author>
    <b:Volume>41</b:Volume>
    <b:Issue>2</b:Issue>
    <b:RefOrder>162</b:RefOrder>
  </b:Source>
  <b:Source>
    <b:Tag>Rup13</b:Tag>
    <b:SourceType>JournalArticle</b:SourceType>
    <b:Guid>{9DFB0A91-AAF9-46C1-AF68-895531E38B2E}</b:Guid>
    <b:Title>Blurred boundaries: Gender and work-family interference in cross-national context</b:Title>
    <b:JournalName>Work and Occupations</b:JournalName>
    <b:Year>2013</b:Year>
    <b:Pages>210-236</b:Pages>
    <b:Author>
      <b:Author>
        <b:NameList>
          <b:Person>
            <b:Last>Ruppaner</b:Last>
            <b:First>L</b:First>
          </b:Person>
          <b:Person>
            <b:Last>Huffman</b:Last>
            <b:Middle>L</b:Middle>
            <b:First>M</b:First>
          </b:Person>
        </b:NameList>
      </b:Author>
    </b:Author>
    <b:Volume>41</b:Volume>
    <b:Issue>2</b:Issue>
    <b:RefOrder>163</b:RefOrder>
  </b:Source>
  <b:Source>
    <b:Tag>McD02</b:Tag>
    <b:SourceType>JournalArticle</b:SourceType>
    <b:Guid>{479D71BB-A126-436B-A089-9D4C7615890A}</b:Guid>
    <b:Author>
      <b:Author>
        <b:NameList>
          <b:Person>
            <b:Last>McDonald</b:Last>
            <b:First>P</b:First>
          </b:Person>
        </b:NameList>
      </b:Author>
    </b:Author>
    <b:Title>Sustaining fertility through public policy: the range of options</b:Title>
    <b:JournalName>Population (English Edition)</b:JournalName>
    <b:Year>2002</b:Year>
    <b:Pages>417-446</b:Pages>
    <b:Volume>57</b:Volume>
    <b:Issue>3</b:Issue>
    <b:RefOrder>164</b:RefOrder>
  </b:Source>
  <b:Source>
    <b:Tag>Les10</b:Tag>
    <b:SourceType>JournalArticle</b:SourceType>
    <b:Guid>{B5AEB2A7-7C1C-4F67-BCE9-FBF77C8E3686}</b:Guid>
    <b:Title>The unfolding story of the Second Demographic Transition</b:Title>
    <b:JournalName>Population and Development Review</b:JournalName>
    <b:Year>2010</b:Year>
    <b:Pages>211-251</b:Pages>
    <b:Author>
      <b:Author>
        <b:NameList>
          <b:Person>
            <b:Last>Lesthaeghe</b:Last>
            <b:First>R</b:First>
          </b:Person>
        </b:NameList>
      </b:Author>
    </b:Author>
    <b:Volume>36</b:Volume>
    <b:Issue>2</b:Issue>
    <b:RefOrder>165</b:RefOrder>
  </b:Source>
  <b:Source>
    <b:Tag>Mil11</b:Tag>
    <b:SourceType>JournalArticle</b:SourceType>
    <b:Guid>{1889F287-7E77-48F7-8253-689EACF61230}</b:Guid>
    <b:Title>Why do people postpone parenthood? Reasons and policy measures</b:Title>
    <b:JournalName>Human Reproduction Update</b:JournalName>
    <b:Year>2011</b:Year>
    <b:Pages>848-860</b:Pages>
    <b:Author>
      <b:Author>
        <b:NameList>
          <b:Person>
            <b:Last>Mills</b:Last>
            <b:First>M</b:First>
          </b:Person>
          <b:Person>
            <b:Last>Rindfuss</b:Last>
            <b:Middle>R</b:Middle>
            <b:First>R</b:First>
          </b:Person>
          <b:Person>
            <b:Last>McDonald</b:Last>
            <b:First>P</b:First>
          </b:Person>
          <b:Person>
            <b:Last>te Velde</b:Last>
            <b:First>E</b:First>
          </b:Person>
        </b:NameList>
      </b:Author>
    </b:Author>
    <b:Volume>17</b:Volume>
    <b:Issue>6</b:Issue>
    <b:RefOrder>166</b:RefOrder>
  </b:Source>
  <b:Source>
    <b:Tag>Son18</b:Tag>
    <b:SourceType>JournalArticle</b:SourceType>
    <b:Guid>{1ECB5C9F-ECB2-4222-A1BB-97788DC76F78}</b:Guid>
    <b:Title>Do childbirth grants increase the fertility rate? Policy impacts in South Korea</b:Title>
    <b:JournalName>Review of Economics of the Households</b:JournalName>
    <b:Year>2018</b:Year>
    <b:Pages>713-735</b:Pages>
    <b:Author>
      <b:Author>
        <b:NameList>
          <b:Person>
            <b:Last>Son</b:Last>
            <b:Middle>J</b:Middle>
            <b:First>Y</b:First>
          </b:Person>
        </b:NameList>
      </b:Author>
    </b:Author>
    <b:Volume>16</b:Volume>
    <b:RefOrder>167</b:RefOrder>
  </b:Source>
  <b:Source>
    <b:Tag>Jha14</b:Tag>
    <b:SourceType>Report</b:SourceType>
    <b:Guid>{1BB8FECA-66CC-4D4B-9687-23E2507188FA}</b:Guid>
    <b:Title>Complex Family Payments: What it costs the village to raise a child</b:Title>
    <b:Year>2014</b:Year>
    <b:Publisher>The Center for Independent Studies</b:Publisher>
    <b:City>St Leonards NSW</b:City>
    <b:Author>
      <b:Author>
        <b:NameList>
          <b:Person>
            <b:Last>Jha</b:Last>
            <b:First>T</b:First>
          </b:Person>
        </b:NameList>
      </b:Author>
    </b:Author>
    <b:ThesisType>Policy Monographs</b:ThesisType>
    <b:RefOrder>168</b:RefOrder>
  </b:Source>
  <b:Source>
    <b:Tag>Hen10</b:Tag>
    <b:SourceType>Report</b:SourceType>
    <b:Guid>{595385E0-EDEB-484C-B690-AFE7D52B98B2}</b:Guid>
    <b:Title>Australia's Future Tax System Review: Final Report</b:Title>
    <b:Year>2010</b:Year>
    <b:Publisher>The Treasury</b:Publisher>
    <b:City>Canberra</b:City>
    <b:Author>
      <b:Author>
        <b:NameList>
          <b:Person>
            <b:Last>Henry</b:Last>
            <b:First>K</b:First>
          </b:Person>
        </b:NameList>
      </b:Author>
    </b:Author>
    <b:RefOrder>169</b:RefOrder>
  </b:Source>
  <b:Source>
    <b:Tag>Kal09</b:Tag>
    <b:SourceType>JournalArticle</b:SourceType>
    <b:Guid>{285D6DA8-6269-4C45-8A12-B09F8094E470}</b:Guid>
    <b:Title>A comparison of family policy designs of Australia and Norway using microsimulation models</b:Title>
    <b:Year>2009</b:Year>
    <b:JournalName>Review of Economics of the Household</b:JournalName>
    <b:Pages>255-287</b:Pages>
    <b:Author>
      <b:Author>
        <b:NameList>
          <b:Person>
            <b:Last>Kalb</b:Last>
            <b:First>Guyonne</b:First>
          </b:Person>
          <b:Person>
            <b:Last>Thoresen</b:Last>
            <b:Middle>O</b:Middle>
            <b:First>T</b:First>
          </b:Person>
        </b:NameList>
      </b:Author>
    </b:Author>
    <b:Volume>8</b:Volume>
    <b:RefOrder>170</b:RefOrder>
  </b:Source>
  <b:Source>
    <b:Tag>Dep15</b:Tag>
    <b:SourceType>Report</b:SourceType>
    <b:Guid>{6559BD00-C2DF-433E-8385-ACFB98F39CC7}</b:Guid>
    <b:Author>
      <b:Author>
        <b:Corporate>Department of Social Services</b:Corporate>
      </b:Author>
    </b:Author>
    <b:Title>A new system for better employment and social outcomes- Final report of the Reference Group on Welfare Reform to the Minister for Social Services</b:Title>
    <b:Year>2015</b:Year>
    <b:Publisher>Department of Social Services</b:Publisher>
    <b:City>Canberra</b:City>
    <b:RefOrder>171</b:RefOrder>
  </b:Source>
  <b:Source>
    <b:Tag>Nat14</b:Tag>
    <b:SourceType>Report</b:SourceType>
    <b:Guid>{16982F4A-BFAE-4A40-ACE2-FFA9F7D74DD7}</b:Guid>
    <b:Author>
      <b:Author>
        <b:Corporate>National Commission of Audit</b:Corporate>
      </b:Author>
    </b:Author>
    <b:Title>Towards Responsible Government: The Report of the National Commission of Audit - Phase One</b:Title>
    <b:Year>2014</b:Year>
    <b:Publisher>Australian Government</b:Publisher>
    <b:City>Canberra </b:City>
    <b:RefOrder>172</b:RefOrder>
  </b:Source>
  <b:Source>
    <b:Tag>The20</b:Tag>
    <b:SourceType>Report</b:SourceType>
    <b:Guid>{60321C1A-CDBF-4F2C-8A3D-191BA5FE65C4}</b:Guid>
    <b:Author>
      <b:Author>
        <b:Corporate>The Front Project</b:Corporate>
      </b:Author>
    </b:Author>
    <b:Title>Realising the benefits of early childhood education and care: Funding after COVID-19</b:Title>
    <b:Year>2020</b:Year>
    <b:Publisher>The Front Project</b:Publisher>
    <b:City>Melbourne</b:City>
    <b:RefOrder>173</b:RefOrder>
  </b:Source>
  <b:Source>
    <b:Tag>Eur21</b:Tag>
    <b:SourceType>InternetSite</b:SourceType>
    <b:Guid>{8A3F5CE3-EBEE-40B2-B49D-D1699F1EA8E4}</b:Guid>
    <b:Title>Age of young people leaving their parental household</b:Title>
    <b:Year>2021</b:Year>
    <b:Author>
      <b:Author>
        <b:Corporate>Eurostat</b:Corporate>
      </b:Author>
    </b:Author>
    <b:Month>June</b:Month>
    <b:Day>25</b:Day>
    <b:URL>https://ec.europa.eu/eurostat/statistics-explained/index.php?title=Age_of_young_people_leaving_their_parental_household&amp;oldid=494351#Geographical_differences</b:URL>
    <b:RefOrder>174</b:RefOrder>
  </b:Source>
  <b:Source>
    <b:Tag>Cyg16</b:Tag>
    <b:SourceType>JournalArticle</b:SourceType>
    <b:Guid>{F4C14530-C144-41DE-BD9D-A0E7A3416376}</b:Guid>
    <b:Title>Parental leave benefit and differential fertility responses: Evidence from a German reform</b:Title>
    <b:JournalName>Journal of Population Economics</b:JournalName>
    <b:Year>2016</b:Year>
    <b:Pages>73-103</b:Pages>
    <b:Author>
      <b:Author>
        <b:NameList>
          <b:Person>
            <b:Last>Cygan-Rehm</b:Last>
            <b:First>K</b:First>
          </b:Person>
        </b:NameList>
      </b:Author>
    </b:Author>
    <b:Volume>29</b:Volume>
    <b:Issue>1</b:Issue>
    <b:RefOrder>175</b:RefOrder>
  </b:Source>
  <b:Source>
    <b:Tag>Hoo07</b:Tag>
    <b:SourceType>JournalArticle</b:SourceType>
    <b:Guid>{76807C61-4CEC-4293-9B6F-E211FD0E091A}</b:Guid>
    <b:Title>Can assisted reproductive technologies help to offset population ageing? An assessment of the demographic and economic impact of ART in Denmark and UK</b:Title>
    <b:JournalName>Human Reproduction</b:JournalName>
    <b:Year>2007</b:Year>
    <b:Pages>2471-2475</b:Pages>
    <b:Author>
      <b:Author>
        <b:NameList>
          <b:Person>
            <b:Last>Hoorens</b:Last>
            <b:First>S</b:First>
          </b:Person>
          <b:Person>
            <b:Last>Gallo</b:Last>
            <b:First>F</b:First>
          </b:Person>
          <b:Person>
            <b:Last>Cave</b:Last>
            <b:First>J.A.K</b:First>
          </b:Person>
          <b:Person>
            <b:Last>Grant</b:Last>
            <b:Middle>C</b:Middle>
            <b:First>J</b:First>
          </b:Person>
        </b:NameList>
      </b:Author>
    </b:Author>
    <b:Volume>22</b:Volume>
    <b:Issue>9</b:Issue>
    <b:RefOrder>176</b:RefOrder>
  </b:Source>
  <b:Source>
    <b:Tag>Mla10</b:Tag>
    <b:SourceType>JournalArticle</b:SourceType>
    <b:Guid>{0BB010BB-0F04-4461-AF44-8ECB765ADE7D}</b:Guid>
    <b:Title>Public financing of IVF: a review of policy rationales</b:Title>
    <b:JournalName>Health Care Analysis</b:JournalName>
    <b:Year>2010</b:Year>
    <b:Pages>113-128</b:Pages>
    <b:Author>
      <b:Author>
        <b:NameList>
          <b:Person>
            <b:Last>Mladovsky</b:Last>
            <b:First>P</b:First>
          </b:Person>
          <b:Person>
            <b:Last>Sorenson</b:Last>
            <b:First>C</b:First>
          </b:Person>
        </b:NameList>
      </b:Author>
    </b:Author>
    <b:Volume>18</b:Volume>
    <b:Issue>2</b:Issue>
    <b:RefOrder>177</b:RefOrder>
  </b:Source>
  <b:Source>
    <b:Tag>Nat21</b:Tag>
    <b:SourceType>DocumentFromInternetSite</b:SourceType>
    <b:Guid>{CAEB8A05-EA04-4753-B232-681F181A8D8C}</b:Guid>
    <b:Title>Barn och personal i förskola 2019 [Children and staff in centre-based childcare in 2019]</b:Title>
    <b:Author>
      <b:Author>
        <b:Corporate>National Agency for Education (Skolverket)</b:Corporate>
      </b:Author>
    </b:Author>
    <b:URL>https://www.skolverket.se/publikationsserier/beskrivande-statistik/2020/pm---barn-och-personal-i-forskola-2019</b:URL>
    <b:YearAccessed>2021</b:YearAccessed>
    <b:MonthAccessed>June</b:MonthAccessed>
    <b:DayAccessed>29</b:DayAccessed>
    <b:Year>2021</b:Year>
    <b:RefOrder>26</b:RefOrder>
  </b:Source>
  <b:Source>
    <b:Tag>Ajz13</b:Tag>
    <b:SourceType>JournalArticle</b:SourceType>
    <b:Guid>{2EF96542-D2B1-4B60-92CF-6AA805744819}</b:Guid>
    <b:Title>Fertility intentions: An approach based on the theory of planned behaviour</b:Title>
    <b:Year>2013</b:Year>
    <b:JournalName>Demographic Research</b:JournalName>
    <b:Pages>203-232</b:Pages>
    <b:Author>
      <b:Author>
        <b:NameList>
          <b:Person>
            <b:Last>Ajzen</b:Last>
            <b:First>I</b:First>
          </b:Person>
          <b:Person>
            <b:Last>Klobas</b:Last>
            <b:First>J</b:First>
          </b:Person>
        </b:NameList>
      </b:Author>
    </b:Author>
    <b:Volume>29</b:Volume>
    <b:Issue>8</b:Issue>
    <b:RefOrder>178</b:RefOrder>
  </b:Source>
  <b:Source>
    <b:Tag>Par17</b:Tag>
    <b:SourceType>Report</b:SourceType>
    <b:Guid>{BEC2A040-0B0D-4D07-B782-7C89FEDC23C3}</b:Guid>
    <b:Title>Housing support for young generation in Korea responding to socioeconomic changes</b:Title>
    <b:Year>2017</b:Year>
    <b:Publisher>Korean Research Institute for Human Settlements (KRIHS)</b:Publisher>
    <b:Author>
      <b:Author>
        <b:NameList>
          <b:Person>
            <b:Last>Park</b:Last>
            <b:First>M</b:First>
          </b:Person>
        </b:NameList>
      </b:Author>
    </b:Author>
    <b:ThesisType>KRIHS Special report N. 39</b:ThesisType>
    <b:RefOrder>179</b:RefOrder>
  </b:Source>
  <b:Source>
    <b:Tag>PCA21</b:Tag>
    <b:SourceType>InternetSite</b:SourceType>
    <b:Guid>{644CE150-4CC4-4E15-B774-DFDEF4B95254}</b:Guid>
    <b:Title>5 key tasks for creating a society in which all members care for one another and work together</b:Title>
    <b:URL>http://www.betterfuture.go.kr/eng/pcaspp/fertility.do</b:URL>
    <b:Author>
      <b:Author>
        <b:Corporate>Presidential Committee on Ageing Society and Population Policy</b:Corporate>
      </b:Author>
    </b:Author>
    <b:YearAccessed>2021</b:YearAccessed>
    <b:MonthAccessed>June</b:MonthAccessed>
    <b:DayAccessed>29</b:DayAccessed>
    <b:Year>2021</b:Year>
    <b:RefOrder>180</b:RefOrder>
  </b:Source>
  <b:Source>
    <b:Tag>OEC19</b:Tag>
    <b:SourceType>Report</b:SourceType>
    <b:Guid>{997E0DEC-183C-4714-8D0A-56FB6742426D}</b:Guid>
    <b:Author>
      <b:Author>
        <b:Corporate>OECD</b:Corporate>
      </b:Author>
    </b:Author>
    <b:Title>Rejuvinating Korea: Policies for a changing society</b:Title>
    <b:Year>2019</b:Year>
    <b:Publisher>OECD</b:Publisher>
    <b:DOI>https://doi.org/10.1787/c5eed747-en</b:DOI>
    <b:RefOrder>181</b:RefOrder>
  </b:Source>
  <b:Source>
    <b:Tag>Tou11</b:Tag>
    <b:SourceType>JournalArticle</b:SourceType>
    <b:Guid>{80F82860-56B4-4617-A236-D7DE8BB2BE1C}</b:Guid>
    <b:Title>Should governments in Europe be more aggressive in pushing for gender equality to raise fertility? The first "YES"</b:Title>
    <b:Year>2011</b:Year>
    <b:JournalName>Demographic Research</b:JournalName>
    <b:Pages>179-200</b:Pages>
    <b:Author>
      <b:Author>
        <b:NameList>
          <b:Person>
            <b:Last>Toulemon</b:Last>
            <b:First>L</b:First>
          </b:Person>
        </b:NameList>
      </b:Author>
    </b:Author>
    <b:Volume>24</b:Volume>
    <b:RefOrder>182</b:RefOrder>
  </b:Source>
  <b:Source>
    <b:Tag>Kip07</b:Tag>
    <b:SourceType>JournalArticle</b:SourceType>
    <b:Guid>{68575B2A-2C29-4881-AF52-30AAB0AB2DB7}</b:Guid>
    <b:Title>Parental preferences for sons and daughters in a western industrial setting: Evidence and implications</b:Title>
    <b:Year>2007</b:Year>
    <b:JournalName>Journal of Biosocial Science</b:JournalName>
    <b:Pages>583-597</b:Pages>
    <b:Author>
      <b:Author>
        <b:NameList>
          <b:Person>
            <b:Last>Kippen</b:Last>
            <b:First>Rebecca</b:First>
          </b:Person>
          <b:Person>
            <b:Last>Evans</b:Last>
            <b:First>Ann</b:First>
          </b:Person>
          <b:Person>
            <b:Last>Gray</b:Last>
            <b:First>Edith</b:First>
          </b:Person>
        </b:NameList>
      </b:Author>
    </b:Author>
    <b:DOI>https://doi.org/10.1017/S0021932006001477</b:DOI>
    <b:RefOrder>183</b:RefOrder>
  </b:Source>
  <b:Source>
    <b:Tag>Bea21</b:Tag>
    <b:SourceType>JournalArticle</b:SourceType>
    <b:Guid>{D3B9526A-35A4-4D8E-8AB8-D3CF771C0D6A}</b:Guid>
    <b:Title>European countries with delayed childbearing are not those with lower fertility</b:Title>
    <b:JournalName>Genus</b:JournalName>
    <b:Year>2021</b:Year>
    <b:Author>
      <b:Author>
        <b:NameList>
          <b:Person>
            <b:Last>Beaujouan</b:Last>
            <b:First>Eva</b:First>
          </b:Person>
          <b:Person>
            <b:Last>Toulemon</b:Last>
            <b:First>Laurent</b:First>
          </b:Person>
        </b:NameList>
      </b:Author>
    </b:Author>
    <b:Volume>77</b:Volume>
    <b:Issue>2</b:Issue>
    <b:RefOrder>184</b:RefOrder>
  </b:Source>
  <b:Source>
    <b:Tag>And09</b:Tag>
    <b:SourceType>JournalArticle</b:SourceType>
    <b:Guid>{0FC2A9C4-2370-482E-AE6F-130B452F5D19}</b:Guid>
    <b:Title>Cohort fertility patterns in the Nordic countries</b:Title>
    <b:Year>2009</b:Year>
    <b:JournalName>Demographic Research</b:JournalName>
    <b:Pages>313-352</b:Pages>
    <b:Author>
      <b:Author>
        <b:NameList>
          <b:Person>
            <b:Last>Andersson</b:Last>
            <b:First>Gunnar</b:First>
          </b:Person>
          <b:Person>
            <b:Last>Rønsen</b:Last>
            <b:First>Marit</b:First>
          </b:Person>
          <b:Person>
            <b:Last>Knudsen</b:Last>
            <b:Middle>B.</b:Middle>
            <b:First>Lisbeth</b:First>
          </b:Person>
          <b:Person>
            <b:Last> Lappegård</b:Last>
            <b:First>Trude</b:First>
          </b:Person>
          <b:Person>
            <b:Last>Neyer</b:Last>
            <b:First>Gerda</b:First>
          </b:Person>
          <b:Person>
            <b:Last>Skrede</b:Last>
            <b:First>Kari</b:First>
          </b:Person>
          <b:Person>
            <b:Last>Teschner</b:Last>
            <b:First>Kathrin</b:First>
          </b:Person>
          <b:Person>
            <b:Last>Vikat</b:Last>
            <b:First>Andres</b:First>
          </b:Person>
        </b:NameList>
      </b:Author>
    </b:Author>
    <b:Volume>20</b:Volume>
    <b:Issue>14</b:Issue>
    <b:DOI>10.4054/DemRes.2009.20.14</b:DOI>
    <b:RefOrder>185</b:RefOrder>
  </b:Source>
  <b:Source>
    <b:Tag>Esp</b:Tag>
    <b:SourceType>JournalArticle</b:SourceType>
    <b:Guid>{5642722F-3A8A-489F-ADAD-807EA47D66CD}</b:Guid>
    <b:Title>The three worlds of welfare Capitalism.</b:Title>
    <b:Author>
      <b:Author>
        <b:NameList>
          <b:Person>
            <b:Last>Esping-Andersen</b:Last>
          </b:Person>
        </b:NameList>
      </b:Author>
    </b:Author>
    <b:Publisher>Cambridge: Polity</b:Publisher>
    <b:Year>1990</b:Year>
    <b:RefOrder>186</b:RefOrder>
  </b:Source>
  <b:Source>
    <b:Tag>Asp06</b:Tag>
    <b:SourceType>JournalArticle</b:SourceType>
    <b:Guid>{9DD51FF3-11AD-4BBA-B149-5DA84F40A07F}</b:Guid>
    <b:Title>The East Asian welfare model</b:Title>
    <b:Year>2006</b:Year>
    <b:JournalName>International Journal of Social Welfare</b:JournalName>
    <b:Pages>290-301</b:Pages>
    <b:Author>
      <b:Author>
        <b:NameList>
          <b:Person>
            <b:Last>Aspalter</b:Last>
            <b:First>C.</b:First>
          </b:Person>
        </b:NameList>
      </b:Author>
    </b:Author>
    <b:Volume>15</b:Volume>
    <b:DOI>10.1111/j.1468-2397.2006.00413.x</b:DOI>
    <b:RefOrder>187</b:RefOrder>
  </b:Source>
  <b:Source>
    <b:Tag>Art02</b:Tag>
    <b:SourceType>JournalArticle</b:SourceType>
    <b:Guid>{0E5CD01C-42F2-4DE9-8346-1E6E0B26DC6A}</b:Guid>
    <b:Title>Three worlds of welfare capitalism or more? A state-of-the art report</b:Title>
    <b:JournalName>Journal of European Social Policy</b:JournalName>
    <b:Year>2002</b:Year>
    <b:Pages>137-158</b:Pages>
    <b:Volume>12</b:Volume>
    <b:Issue>2</b:Issue>
    <b:DOI>10.1177/0952872002012002114</b:DOI>
    <b:Author>
      <b:Author>
        <b:NameList>
          <b:Person>
            <b:Last>Arts</b:Last>
            <b:First>W.</b:First>
          </b:Person>
          <b:Person>
            <b:Last>Gelissen</b:Last>
            <b:First>J.</b:First>
          </b:Person>
        </b:NameList>
      </b:Author>
    </b:Author>
    <b:RefOrder>188</b:RefOrder>
  </b:Source>
  <b:Source>
    <b:Tag>Zeg17</b:Tag>
    <b:SourceType>JournalArticle</b:SourceType>
    <b:Guid>{100A58A0-90DD-4640-9220-EF0C3066DFA2}</b:Guid>
    <b:Title>The International Glossary on Infertility and Fertility Care, 2017.</b:Title>
    <b:JournalName>Human Reproduction</b:JournalName>
    <b:Year>2017</b:Year>
    <b:Pages>1786-1801</b:Pages>
    <b:Author>
      <b:Author>
        <b:NameList>
          <b:Person>
            <b:Last>Zegers-Hochschild</b:Last>
            <b:First>Fernando</b:First>
          </b:Person>
          <b:Person>
            <b:Last>Adamson</b:Last>
            <b:First>G.D.</b:First>
          </b:Person>
          <b:Person>
            <b:Last>Dyer</b:Last>
            <b:First>S.</b:First>
          </b:Person>
          <b:Person>
            <b:Last>Racowsky</b:Last>
            <b:First>C.</b:First>
          </b:Person>
          <b:Person>
            <b:Last>de Mouzon</b:Last>
            <b:First>J.</b:First>
          </b:Person>
          <b:Person>
            <b:Last>Sokol</b:Last>
            <b:First>R.</b:First>
          </b:Person>
          <b:Person>
            <b:Last>Rienzi</b:Last>
            <b:First>L.</b:First>
          </b:Person>
          <b:Person>
            <b:Last>Sunde</b:Last>
            <b:First>A.</b:First>
          </b:Person>
          <b:Person>
            <b:Last>Schmidt</b:Last>
            <b:First>L.</b:First>
          </b:Person>
          <b:Person>
            <b:Last>Cooke</b:Last>
            <b:First>I.D.</b:First>
          </b:Person>
          <b:Person>
            <b:Last>Simpson</b:Last>
            <b:First>J.L.</b:First>
          </b:Person>
          <b:Person>
            <b:Last>van der Poel</b:Last>
            <b:First>S.</b:First>
          </b:Person>
        </b:NameList>
      </b:Author>
    </b:Author>
    <b:Volume>32</b:Volume>
    <b:Issue>9</b:Issue>
    <b:DOI>10.1093/humrep/dex234 </b:DOI>
    <b:RefOrder>189</b:RefOrder>
  </b:Source>
  <b:Source>
    <b:Tag>Tan14</b:Tag>
    <b:SourceType>JournalArticle</b:SourceType>
    <b:Guid>{4339E29A-122C-462A-BA60-B14A0D705F57}</b:Guid>
    <b:Title>Female ageing and reproductive outcome in assisted reproduction cycles.</b:Title>
    <b:JournalName>Singapore Medical Journal</b:JournalName>
    <b:Year>2014</b:Year>
    <b:Pages>305-309</b:Pages>
    <b:Author>
      <b:Author>
        <b:NameList>
          <b:Person>
            <b:Last>Tan</b:Last>
            <b:First>T.Y.</b:First>
          </b:Person>
          <b:Person>
            <b:Last>Lau</b:Last>
            <b:First>S.K.</b:First>
          </b:Person>
          <b:Person>
            <b:Last>Loh</b:Last>
            <b:First>S.F.</b:First>
          </b:Person>
          <b:Person>
            <b:Last>Tan</b:Last>
            <b:First>H.H.</b:First>
          </b:Person>
        </b:NameList>
      </b:Author>
    </b:Author>
    <b:Volume>55</b:Volume>
    <b:Issue>6</b:Issue>
    <b:DOI>10.11622/smedj.2014081</b:DOI>
    <b:RefOrder>190</b:RefOrder>
  </b:Source>
  <b:Source>
    <b:Tag>Wyn20</b:Tag>
    <b:SourceType>JournalArticle</b:SourceType>
    <b:Guid>{492D28AD-0CD9-47DA-8B06-3D835D7E5603}</b:Guid>
    <b:Title>ART in Europe, 2016: Results generated from European registries by ESHRE</b:Title>
    <b:JournalName>Human Reproduction Open</b:JournalName>
    <b:Year>2020</b:Year>
    <b:Author>
      <b:Author>
        <b:NameList>
          <b:Person>
            <b:Last>Wyns</b:Last>
            <b:First>C.</b:First>
          </b:Person>
          <b:Person>
            <b:Last>Bergh</b:Last>
            <b:First>C.</b:First>
          </b:Person>
          <b:Person>
            <b:Last>Calhaz-Jorge</b:Last>
            <b:First>C.</b:First>
          </b:Person>
          <b:Person>
            <b:Last>De Geyter</b:Last>
            <b:First>C.</b:First>
          </b:Person>
          <b:Person>
            <b:Last>Kupka</b:Last>
            <b:First>M.S.</b:First>
          </b:Person>
          <b:Person>
            <b:Last>Motrenko</b:Last>
            <b:First>T.</b:First>
          </b:Person>
          <b:Person>
            <b:Last>Rugescu</b:Last>
            <b:First>I.</b:First>
          </b:Person>
          <b:Person>
            <b:Last>Smeenk</b:Last>
            <b:First>J.</b:First>
          </b:Person>
          <b:Person>
            <b:Last>Tandler-Schneider</b:Last>
            <b:First>A.</b:First>
          </b:Person>
          <b:Person>
            <b:Last>Vidakovic</b:Last>
            <b:First>S.</b:First>
          </b:Person>
          <b:Person>
            <b:Last>Goossens</b:Last>
            <b:First>V.</b:First>
          </b:Person>
        </b:NameList>
      </b:Author>
    </b:Author>
    <b:DOI>10.1093/hropen/hoaa032 </b:DOI>
    <b:RefOrder>28</b:RefOrder>
  </b:Source>
  <b:Source>
    <b:Tag>Cen20</b:Tag>
    <b:SourceType>Report</b:SourceType>
    <b:Guid>{1F5FADD5-D3CB-4AA4-8880-C8851370E2B6}</b:Guid>
    <b:Title>2018 Fertility success rates report</b:Title>
    <b:Year>2020</b:Year>
    <b:Author>
      <b:Author>
        <b:NameList>
          <b:Person>
            <b:Last>CDC</b:Last>
          </b:Person>
        </b:NameList>
      </b:Author>
    </b:Author>
    <b:Publisher>US Department of Health and Human Services, Centers for Disease Control and Prevention, Atlanta.</b:Publisher>
    <b:RefOrder>29</b:RefOrder>
  </b:Source>
  <b:Source>
    <b:Tag>Koc15</b:Tag>
    <b:SourceType>JournalArticle</b:SourceType>
    <b:Guid>{7DF47D7A-10FA-4318-BA39-F4BA70344020}</b:Guid>
    <b:Title>How old is too old? A contribution to the discussion on age limits for assisted reproduction technique access.</b:Title>
    <b:JournalName>Reproductive Biomedicine Online</b:JournalName>
    <b:Year>2015</b:Year>
    <b:Pages>482-492</b:Pages>
    <b:Author>
      <b:Author>
        <b:NameList>
          <b:Person>
            <b:Last>Kocourkova</b:Last>
            <b:First>J.</b:First>
          </b:Person>
          <b:Person>
            <b:Last>Konecna</b:Last>
            <b:First>H.</b:First>
          </b:Person>
          <b:Person>
            <b:Last>Burcin</b:Last>
            <b:First>B.</b:First>
          </b:Person>
          <b:Person>
            <b:Last>Kucera</b:Last>
            <b:First>T.</b:First>
          </b:Person>
        </b:NameList>
      </b:Author>
    </b:Author>
    <b:DOI>10.1016/j.rbmo.2015.01.017 </b:DOI>
    <b:RefOrder>191</b:RefOrder>
  </b:Source>
  <b:Source>
    <b:Tag>Cha09</b:Tag>
    <b:SourceType>JournalArticle</b:SourceType>
    <b:Guid>{C48E6B91-A29B-4A1E-91A2-CE6FF3788EE7}</b:Guid>
    <b:Title>The economic impact of assisted reproductive technology: a review of selected developed countries.</b:Title>
    <b:JournalName>Fertility and Sterility</b:JournalName>
    <b:Year>2009</b:Year>
    <b:Pages>2281-2294</b:Pages>
    <b:Author>
      <b:Author>
        <b:NameList>
          <b:Person>
            <b:Last>Chambers</b:Last>
            <b:First>G.M.</b:First>
          </b:Person>
          <b:Person>
            <b:Last>Sullivan</b:Last>
            <b:Middle>A.</b:Middle>
            <b:First>E.</b:First>
          </b:Person>
          <b:Person>
            <b:Last>Ishihara</b:Last>
            <b:First>O.</b:First>
          </b:Person>
          <b:Person>
            <b:Last>Chapman</b:Last>
            <b:Middle>G.</b:Middle>
            <b:First>M.</b:First>
          </b:Person>
          <b:Person>
            <b:Last>Adamson</b:Last>
            <b:Middle>D.</b:Middle>
            <b:First>G.</b:First>
          </b:Person>
        </b:NameList>
      </b:Author>
    </b:Author>
    <b:Volume>91</b:Volume>
    <b:Issue>6</b:Issue>
    <b:DOI>10.1016/j.fertnstert.2009.04.029</b:DOI>
    <b:RefOrder>192</b:RefOrder>
  </b:Source>
  <b:Source>
    <b:Tag>All19</b:Tag>
    <b:SourceType>JournalArticle</b:SourceType>
    <b:Guid>{3CB16499-B086-4DAA-A895-5502D0D242AB}</b:Guid>
    <b:Title>International Federation of Fertility Socoeties' Surveillance (IFFS) 2019: Global trends in reproductive policy and practice, 8th Edition</b:Title>
    <b:JournalName>Global Reproductive Health</b:JournalName>
    <b:Year>2019</b:Year>
    <b:Pages>1-138</b:Pages>
    <b:Volume>4</b:Volume>
    <b:Issue>1</b:Issue>
    <b:DOI>10.1097/GRH.0000000000000029</b:DOI>
    <b:Author>
      <b:Author>
        <b:NameList>
          <b:Person>
            <b:Last>Allan</b:Last>
            <b:First>S.</b:First>
          </b:Person>
          <b:Person>
            <b:Last>Balaban</b:Last>
            <b:First>B.</b:First>
          </b:Person>
          <b:Person>
            <b:Last>Banker</b:Last>
            <b:First>M.</b:First>
          </b:Person>
          <b:Person>
            <b:Last>Buster</b:Last>
            <b:First>J.</b:First>
          </b:Person>
          <b:Person>
            <b:Last>Horton</b:Last>
            <b:First>M.</b:First>
          </b:Person>
          <b:Person>
            <b:Last>Miller</b:Last>
            <b:First>K.</b:First>
          </b:Person>
          <b:Person>
            <b:Last>Mocanu</b:Last>
            <b:First>E.</b:First>
          </b:Person>
          <b:Person>
            <b:Last>Ory</b:Last>
            <b:Middle>J.</b:Middle>
            <b:First>S.</b:First>
          </b:Person>
          <b:Person>
            <b:Last>Pai</b:Last>
            <b:First>H.</b:First>
          </b:Person>
          <b:Person>
            <b:Last>van der Poel</b:Last>
            <b:First>S.</b:First>
          </b:Person>
          <b:Person>
            <b:Last>Zegers-Hochschild</b:Last>
            <b:First>F.</b:First>
          </b:Person>
        </b:NameList>
      </b:Author>
    </b:Author>
    <b:RefOrder>193</b:RefOrder>
  </b:Source>
  <b:Source>
    <b:Tag>Sob</b:Tag>
    <b:SourceType>JournalArticle</b:SourceType>
    <b:Guid>{925E8395-9C67-477B-AC80-14A692B029AE}</b:Guid>
    <b:DOI>10.1111/j.1728-4457.2008.00206.x</b:DOI>
    <b:Author>
      <b:Author>
        <b:NameList>
          <b:Person>
            <b:Last>Sobotka</b:Last>
            <b:First>T.</b:First>
          </b:Person>
          <b:Person>
            <b:Last>Hansen</b:Last>
            <b:Middle>A.</b:Middle>
            <b:First>M.</b:First>
          </b:Person>
          <b:Person>
            <b:Last>Jensen</b:Last>
            <b:Middle>K.</b:Middle>
            <b:First>T.</b:First>
          </b:Person>
          <b:Person>
            <b:Last>Pedersen</b:Last>
            <b:Middle>T.</b:Middle>
            <b:First>A.</b:First>
          </b:Person>
          <b:Person>
            <b:Last>Lutz</b:Last>
            <b:First>W.</b:First>
          </b:Person>
          <b:Person>
            <b:Last> Skakkebæk</b:Last>
            <b:Middle>E.</b:Middle>
            <b:First>N.</b:First>
          </b:Person>
        </b:NameList>
      </b:Author>
    </b:Author>
    <b:Title>The contribution of assisted reproduction to completed fertility: An analysis of Danish Data</b:Title>
    <b:JournalName>Population and Development Review</b:JournalName>
    <b:Year>2008</b:Year>
    <b:RefOrder>194</b:RefOrder>
  </b:Source>
  <b:Source>
    <b:Tag>Ler08</b:Tag>
    <b:SourceType>JournalArticle</b:SourceType>
    <b:Guid>{433F1F2A-54B9-4652-A55D-CD5053C1DF6C}</b:Guid>
    <b:Title>The impact of a decline in fecundity and of pregnancy postponement on final number of children and demand for assisted reproduction technology</b:Title>
    <b:JournalName>Human Reproduction</b:JournalName>
    <b:Year>2008</b:Year>
    <b:Pages>1312-1319</b:Pages>
    <b:Volume>23</b:Volume>
    <b:Issue>6</b:Issue>
    <b:DOI>10.1093/humrep/den106</b:DOI>
    <b:Author>
      <b:Author>
        <b:NameList>
          <b:Person>
            <b:Last>Leridon</b:Last>
            <b:First>H.</b:First>
          </b:Person>
          <b:Person>
            <b:Last>Slama</b:Last>
            <b:First>R.</b:First>
          </b:Person>
        </b:NameList>
      </b:Author>
    </b:Author>
    <b:RefOrder>195</b:RefOrder>
  </b:Source>
  <b:Source>
    <b:Tag>Kea17</b:Tag>
    <b:SourceType>Report</b:SourceType>
    <b:Guid>{93C31E10-3274-40C0-A2B0-D84025035ADB}</b:Guid>
    <b:Title>Assisted reproductive technologies: International approaches to public funding mechanisms and criteria - an evidence review.</b:Title>
    <b:JournalName>2017</b:JournalName>
    <b:Year>2017</b:Year>
    <b:Author>
      <b:Author>
        <b:NameList>
          <b:Person>
            <b:Last>Keane</b:Last>
            <b:First>M.</b:First>
          </b:Person>
          <b:Person>
            <b:Last>Long</b:Last>
            <b:First>J.</b:First>
          </b:Person>
          <b:Person>
            <b:Last>O'Nolan</b:Last>
            <b:First>G.</b:First>
          </b:Person>
          <b:Person>
            <b:Last>Faragher</b:Last>
            <b:First>L.</b:First>
          </b:Person>
        </b:NameList>
      </b:Author>
    </b:Author>
    <b:Publisher>Health Research Board, Dublin.</b:Publisher>
    <b:RefOrder>196</b:RefOrder>
  </b:Source>
  <b:Source>
    <b:Tag>Kim19</b:Tag>
    <b:SourceType>JournalArticle</b:SourceType>
    <b:Guid>{DD40549E-1972-42E7-AB1C-B9369D46BDFE}</b:Guid>
    <b:Title>Reproductive technologies as population control: how pronatalist policies harm reproductive health in South Korea.</b:Title>
    <b:Year>2019</b:Year>
    <b:JournalName>Sexual and Reproductive Health</b:JournalName>
    <b:Pages>6-12</b:Pages>
    <b:Author>
      <b:Author>
        <b:NameList>
          <b:Person>
            <b:Last>Kim</b:Last>
          </b:Person>
        </b:NameList>
      </b:Author>
    </b:Author>
    <b:Volume>27</b:Volume>
    <b:Issue>2</b:Issue>
    <b:RefOrder>30</b:RefOrder>
  </b:Source>
  <b:Source>
    <b:Tag>Bir16</b:Tag>
    <b:SourceType>JournalArticle</b:SourceType>
    <b:Guid>{368304FE-E573-430D-94FC-BC9426D70439}</b:Guid>
    <b:Title>Thirty-five years of assisted reproductive technologies in Israel</b:Title>
    <b:Year>2016</b:Year>
    <b:JournalName>Reproductive Biomedicine &amp; Society Online</b:JournalName>
    <b:Pages>16-23</b:Pages>
    <b:Author>
      <b:Author>
        <b:NameList>
          <b:Person>
            <b:Last>Birenbaum-Carmeli</b:Last>
            <b:First>D.</b:First>
          </b:Person>
        </b:NameList>
      </b:Author>
    </b:Author>
    <b:Volume>2</b:Volume>
    <b:RefOrder>197</b:RefOrder>
  </b:Source>
  <b:Source>
    <b:Tag>Gau07</b:Tag>
    <b:SourceType>JournalArticle</b:SourceType>
    <b:Guid>{07627E6C-9593-4E0C-8449-0E19165379BD}</b:Guid>
    <b:Title>The impact of family policies on fertility in industrialized countries: A review of the literature</b:Title>
    <b:Year>2007</b:Year>
    <b:Pages>232-346</b:Pages>
    <b:Author>
      <b:Author>
        <b:NameList>
          <b:Person>
            <b:Last>Gauthier</b:Last>
            <b:Middle>H</b:Middle>
            <b:First>A</b:First>
          </b:Person>
        </b:NameList>
      </b:Author>
    </b:Author>
    <b:RefOrder>198</b:RefOrder>
  </b:Source>
  <b:Source>
    <b:Tag>Cha18</b:Tag>
    <b:SourceType>Report</b:SourceType>
    <b:Guid>{477116ED-CD1F-44EB-AF42-58616FED8112}</b:Guid>
    <b:Title>South Korea has limited a working week to 52 hours, in order to stop overwork</b:Title>
    <b:Year>2018</b:Year>
    <b:Author>
      <b:Author>
        <b:NameList>
          <b:Person>
            <b:Last>Chan</b:Last>
            <b:Middle>F</b:Middle>
            <b:First>T</b:First>
          </b:Person>
        </b:NameList>
      </b:Author>
    </b:Author>
    <b:URL>https://www.weforum.org/agenda/2018/07/south-korea-is-trying-to-stop-overwork-by-limiting-the-maximum-workweek-to-52-hours</b:URL>
    <b:Publisher>World Economic Forum </b:Publisher>
    <b:YearAccessed>2021</b:YearAccessed>
    <b:MonthAccessed>June </b:MonthAccessed>
    <b:DayAccessed>30</b:DayAccessed>
    <b:RefOrder>199</b:RefOrder>
  </b:Source>
  <b:Source>
    <b:Tag>Udr83</b:Tag>
    <b:SourceType>JournalArticle</b:SourceType>
    <b:Guid>{190F9CEA-7BB0-4C30-96FD-B0E24ECA025D}</b:Guid>
    <b:Title>Do couples make fertility plans one birth at a time?</b:Title>
    <b:Year>1983</b:Year>
    <b:Author>
      <b:Author>
        <b:NameList>
          <b:Person>
            <b:Last>Udry</b:Last>
            <b:Middle>R</b:Middle>
            <b:First>J</b:First>
          </b:Person>
        </b:NameList>
      </b:Author>
    </b:Author>
    <b:Pages>117-128</b:Pages>
    <b:JournalName>Demography</b:JournalName>
    <b:Volume>20</b:Volume>
    <b:RefOrder>200</b:RefOrder>
  </b:Source>
  <b:Source>
    <b:Tag>OEC0a1</b:Tag>
    <b:SourceType>Report</b:SourceType>
    <b:Guid>{74926309-A1F6-4EB1-8621-25C04B637087}</b:Guid>
    <b:Author>
      <b:Author>
        <b:NameList>
          <b:Person>
            <b:Last>OECD</b:Last>
          </b:Person>
        </b:NameList>
      </b:Author>
    </b:Author>
    <b:Title>OECD Labour force statistics 2020</b:Title>
    <b:Year>2020a</b:Year>
    <b:Publisher>OECD Publishing</b:Publisher>
    <b:City>Paris</b:City>
    <b:RefOrder>1</b:RefOrder>
  </b:Source>
  <b:Source>
    <b:Tag>Aus20a</b:Tag>
    <b:SourceType>Report</b:SourceType>
    <b:Guid>{ABCAF51C-3F97-40B6-8C84-66DCE7F64A40}</b:Guid>
    <b:Author>
      <b:Author>
        <b:Corporate>Australian Institute of Health and Welfare</b:Corporate>
      </b:Author>
    </b:Author>
    <b:Title>Australia's mothers and babies 2018: in brief. Perinatal statistics series no. 36. Cat. no. PER 108.</b:Title>
    <b:Year>2020</b:Year>
    <b:Publisher>AIHW</b:Publisher>
    <b:City>Canberra</b:City>
    <b:RefOrder>4</b:RefOrder>
  </b:Source>
  <b:Source>
    <b:Tag>Yoo14</b:Tag>
    <b:SourceType>JournalArticle</b:SourceType>
    <b:Guid>{B58A2F24-DF71-4A0E-894F-E93E2D9FBE8D}</b:Guid>
    <b:Title>Educational differentials in cohort fertility during the fertility transition in South Korea</b:Title>
    <b:JournalName>Demographic Research</b:JournalName>
    <b:Year>2014</b:Year>
    <b:Pages>1463-1494</b:Pages>
    <b:Author>
      <b:Author>
        <b:NameList>
          <b:Person>
            <b:Last>Yoo</b:Last>
            <b:First>Sam</b:First>
          </b:Person>
        </b:NameList>
      </b:Author>
    </b:Author>
    <b:Volume>38</b:Volume>
    <b:Issue>56</b:Issue>
    <b:DOI>10.4054/DemRes.2018.38.25</b:DOI>
    <b:RefOrder>201</b:RefOrder>
  </b:Source>
  <b:Source>
    <b:Tag>Aus201</b:Tag>
    <b:SourceType>Report</b:SourceType>
    <b:Guid>{D02F2484-6178-461E-A1F6-B0ABCC1B22CA}</b:Guid>
    <b:Title>Gender Indicators, Australia</b:Title>
    <b:Year>2020b</b:Year>
    <b:Publisher>Australian Bureau of Statistics</b:Publisher>
    <b:City>Canberra</b:City>
    <b:Author>
      <b:Author>
        <b:NameList>
          <b:Person>
            <b:Last>Australian Bureau of Statistics</b:Last>
          </b:Person>
        </b:NameList>
      </b:Author>
    </b:Author>
    <b:RefOrder>202</b:RefOrder>
  </b:Source>
  <b:Source>
    <b:Tag>Bax02</b:Tag>
    <b:SourceType>JournalArticle</b:SourceType>
    <b:Guid>{98D9043D-0BDF-4FEB-BC68-4CCB42E1DEFF}</b:Guid>
    <b:Title>Patterns of change and stability in the gender division of houshold labour in Australia, 1986-1997.</b:Title>
    <b:JournalName>Journal of Sociology</b:JournalName>
    <b:Year>2002</b:Year>
    <b:Pages>399-424</b:Pages>
    <b:Author>
      <b:Author>
        <b:NameList>
          <b:Person>
            <b:Last>Baxter</b:Last>
          </b:Person>
        </b:NameList>
      </b:Author>
    </b:Author>
    <b:Volume>38</b:Volume>
    <b:Issue>4</b:Issue>
    <b:RefOrder>203</b:RefOrder>
  </b:Source>
  <b:Source>
    <b:Tag>Cas93</b:Tag>
    <b:SourceType>Book</b:SourceType>
    <b:Guid>{4C841084-ED5A-4485-9C2F-A7FDF6AE4350}</b:Guid>
    <b:Title>Worlds of welfare and families of nations.</b:Title>
    <b:Year>1993</b:Year>
    <b:Author>
      <b:Author>
        <b:NameList>
          <b:Person>
            <b:Last>Castles</b:Last>
            <b:First>F.</b:First>
          </b:Person>
          <b:Person>
            <b:Last>Mitchell</b:Last>
            <b:First>D.</b:First>
          </b:Person>
        </b:NameList>
      </b:Author>
    </b:Author>
    <b:RefOrder>204</b:RefOrder>
  </b:Source>
  <b:Source>
    <b:Tag>Mah12</b:Tag>
    <b:SourceType>JournalArticle</b:SourceType>
    <b:Guid>{D9A58BEE-7D82-477C-BE5B-DD27A253A4CE}</b:Guid>
    <b:Title>Convergent care regimes? Childcare arrangements in Australia, Canada. Finland, and Sweden.</b:Title>
    <b:Year>2012</b:Year>
    <b:JournalName>Journal of European Social Policy</b:JournalName>
    <b:Pages>419-431</b:Pages>
    <b:Author>
      <b:Author>
        <b:NameList>
          <b:Person>
            <b:Last>Mahon</b:Last>
            <b:First>R.</b:First>
          </b:Person>
          <b:Person>
            <b:Last>Anttonen</b:Last>
            <b:First>A.</b:First>
          </b:Person>
          <b:Person>
            <b:Last>Bergqvist</b:Last>
            <b:First>C.</b:First>
          </b:Person>
          <b:Person>
            <b:Last>Brennan</b:Last>
            <b:First>D.</b:First>
          </b:Person>
          <b:Person>
            <b:Last>Hobson</b:Last>
            <b:First>B.</b:First>
          </b:Person>
        </b:NameList>
      </b:Author>
    </b:Author>
    <b:Volume>22</b:Volume>
    <b:RefOrder>205</b:RefOrder>
  </b:Source>
  <b:Source>
    <b:Tag>Ada18</b:Tag>
    <b:SourceType>JournalArticle</b:SourceType>
    <b:Guid>{A8FF23A2-40DC-4D04-8F5F-889DBC869179}</b:Guid>
    <b:Title>International Committee for Monitoring Assisted Reproductive Technology: world report on assisted reproductive technology, 2011. </b:Title>
    <b:JournalName>Fertility and Sterility</b:JournalName>
    <b:Year>2018</b:Year>
    <b:Pages>1067-1080</b:Pages>
    <b:Author>
      <b:Author>
        <b:NameList>
          <b:Person>
            <b:Last>Adamson</b:Last>
            <b:Middle>D.</b:Middle>
            <b:First>G.</b:First>
          </b:Person>
          <b:Person>
            <b:Last>de Mouzon</b:Last>
            <b:First>J.</b:First>
          </b:Person>
          <b:Person>
            <b:Last>Chambers</b:Last>
            <b:Middle>M.</b:Middle>
            <b:First>G.</b:First>
          </b:Person>
          <b:Person>
            <b:Last>Zegers-Hochschild</b:Last>
            <b:First>F.</b:First>
          </b:Person>
          <b:Person>
            <b:Last>Mansour</b:Last>
            <b:First>R.</b:First>
          </b:Person>
          <b:Person>
            <b:Last>Ishihara</b:Last>
            <b:First>O.</b:First>
          </b:Person>
          <b:Person>
            <b:Last>Banker</b:Last>
            <b:First>M.</b:First>
          </b:Person>
          <b:Person>
            <b:Last>Dyer</b:Last>
            <b:First>S.</b:First>
          </b:Person>
        </b:NameList>
      </b:Author>
    </b:Author>
    <b:RefOrder>31</b:RefOrder>
  </b:Source>
  <b:Source>
    <b:Tag>Laz211</b:Tag>
    <b:SourceType>ConferenceProceedings</b:SourceType>
    <b:Guid>{1DE46AD7-54D3-4E15-A4C0-F7EA2DCC233C}</b:Guid>
    <b:Title>The contribution of assisted reproduction to total fertility rates and birth timing: an analysis of Australian data</b:Title>
    <b:Year>2021</b:Year>
    <b:ConferenceName>2021 Population Association of America Annual Meeting</b:ConferenceName>
    <b:Author>
      <b:Author>
        <b:NameList>
          <b:Person>
            <b:Last>Lazzari</b:Last>
            <b:First>Ester</b:First>
          </b:Person>
          <b:Person>
            <b:Last>Gray</b:Last>
            <b:First>Edith</b:First>
          </b:Person>
          <b:Person>
            <b:Last>Chambers</b:Last>
            <b:Middle>Mary</b:Middle>
            <b:First>Georgina</b:First>
          </b:Person>
        </b:NameList>
      </b:Author>
    </b:Author>
    <b:RefOrder>206</b:RefOrder>
  </b:Source>
  <b:Source>
    <b:Tag>New20</b:Tag>
    <b:SourceType>Report</b:SourceType>
    <b:Guid>{F11F5342-1E7F-46B9-8E1D-98AD1E96EEF5}</b:Guid>
    <b:Title>Assisted reproductive technology in Australia and New Zealand 2018</b:Title>
    <b:Year>2020</b:Year>
    <b:City>Sydney</b:City>
    <b:Publisher>National Perinatal Epidemiology and Statistics Unit</b:Publisher>
    <b:Author>
      <b:Author>
        <b:NameList>
          <b:Person>
            <b:Last>Newman</b:Last>
            <b:Middle>E.</b:Middle>
            <b:First>J.</b:First>
          </b:Person>
          <b:Person>
            <b:Last>Paul</b:Last>
            <b:Middle>C.</b:Middle>
            <b:First>R.</b:First>
          </b:Person>
          <b:Person>
            <b:Last>Chambers</b:Last>
            <b:Middle>M.</b:Middle>
            <b:First>G.</b:First>
          </b:Person>
        </b:NameList>
      </b:Author>
    </b:Author>
    <b:RefOrder>207</b:RefOrder>
  </b:Source>
  <b:Source>
    <b:Tag>Osm02</b:Tag>
    <b:SourceType>JournalArticle</b:SourceType>
    <b:Guid>{E7C9FC15-71D6-44F1-88BD-31188AD71CB3}</b:Guid>
    <b:Title>Spontaneous pregnancies in couples who discontinued intracytoplasmic sperm injection treatment: a 5-year follow-up study.</b:Title>
    <b:Year>2002</b:Year>
    <b:JournalName>Fertility and Sterility</b:JournalName>
    <b:Pages>550-556</b:Pages>
    <b:Author>
      <b:Author>
        <b:NameList>
          <b:Person>
            <b:Last>Osmanagaoglu</b:Last>
            <b:First>K.</b:First>
          </b:Person>
          <b:Person>
            <b:Last>Collins</b:Last>
            <b:First>J.</b:First>
          </b:Person>
          <b:Person>
            <b:Last>Kolibianakis</b:Last>
            <b:First>E.</b:First>
          </b:Person>
          <b:Person>
            <b:Last>Tournaye</b:Last>
            <b:First>H.</b:First>
          </b:Person>
          <b:Person>
            <b:Last>Camus</b:Last>
            <b:First>M.</b:First>
          </b:Person>
          <b:Person>
            <b:Last>Van Steirteghem</b:Last>
            <b:First>A.</b:First>
          </b:Person>
          <b:Person>
            <b:Last>Devroey</b:Last>
            <b:First>P.</b:First>
          </b:Person>
        </b:NameList>
      </b:Author>
    </b:Author>
    <b:Volume>78</b:Volume>
    <b:Issue>3</b:Issue>
    <b:RefOrder>208</b:RefOrder>
  </b:Source>
  <b:Source>
    <b:Tag>Ped18</b:Tag>
    <b:SourceType>JournalArticle</b:SourceType>
    <b:Guid>{A2AFCAE2-4375-4EC1-8000-8DCB0B44B53B}</b:Guid>
    <b:Title>What do people know about fertility? A systematic review on fertility awarness and its associated factors.</b:Title>
    <b:JournalName>Upsala Journal of Medical Sciences</b:JournalName>
    <b:Year>2018</b:Year>
    <b:Pages>71-81</b:Pages>
    <b:Author>
      <b:Author>
        <b:NameList>
          <b:Person>
            <b:Last>Pedro</b:Last>
            <b:First>J.</b:First>
          </b:Person>
          <b:Person>
            <b:Last>Brandão</b:Last>
            <b:First>T.</b:First>
          </b:Person>
          <b:Person>
            <b:Last>Schmidt</b:Last>
            <b:First>L.</b:First>
          </b:Person>
          <b:Person>
            <b:Last>Costa</b:Last>
            <b:Middle>E.</b:Middle>
            <b:First>M.</b:First>
          </b:Person>
          <b:Person>
            <b:Last>Martins</b:Last>
            <b:Middle>V.</b:Middle>
            <b:First>M.</b:First>
          </b:Person>
        </b:NameList>
      </b:Author>
    </b:Author>
    <b:Volume>123</b:Volume>
    <b:Issue>2</b:Issue>
    <b:RefOrder>209</b:RefOrder>
  </b:Source>
  <b:Source>
    <b:Tag>Ham15</b:Tag>
    <b:SourceType>JournalArticle</b:SourceType>
    <b:Guid>{07B9002C-5D9B-44FD-BDBE-85F9E2918305}</b:Guid>
    <b:Title>Fertility-related knowledge and information-seeking behaviour among people of reproductive age: a qualitative study.</b:Title>
    <b:JournalName>Human Fertility</b:JournalName>
    <b:Year>2015</b:Year>
    <b:Pages>88-95</b:Pages>
    <b:Author>
      <b:Author>
        <b:NameList>
          <b:Person>
            <b:Last>Hammarberg</b:Last>
            <b:First>K.</b:First>
          </b:Person>
          <b:Person>
            <b:Last>Zosel</b:Last>
            <b:First>R.</b:First>
          </b:Person>
          <b:Person>
            <b:Last>Comoy</b:Last>
            <b:First>C.</b:First>
          </b:Person>
          <b:Person>
            <b:Last>Robertson</b:Last>
            <b:First>S.</b:First>
          </b:Person>
          <b:Person>
            <b:Last>Holden</b:Last>
            <b:First>C.</b:First>
          </b:Person>
          <b:Person>
            <b:Last>Deeks</b:Last>
            <b:First>M.</b:First>
          </b:Person>
          <b:Person>
            <b:Last>Johnson</b:Last>
            <b:First>L.</b:First>
          </b:Person>
        </b:NameList>
      </b:Author>
    </b:Author>
    <b:Volume>20</b:Volume>
    <b:Issue>2</b:Issue>
    <b:RefOrder>210</b:RefOrder>
  </b:Source>
  <b:Source>
    <b:Tag>Ham12</b:Tag>
    <b:SourceType>JournalArticle</b:SourceType>
    <b:Guid>{E90D45D5-C907-4303-BF7E-EF4F4F90804E}</b:Guid>
    <b:Title>Fertility-awarness knowledge, attotudes, and practices of women seeking fertility assistance</b:Title>
    <b:JournalName>Journal of Advanced Nursing</b:JournalName>
    <b:Year>2012</b:Year>
    <b:Pages>1076-1084</b:Pages>
    <b:Author>
      <b:Author>
        <b:NameList>
          <b:Person>
            <b:Last>Hampton</b:Last>
            <b:Middle>D.</b:Middle>
            <b:First>K.</b:First>
          </b:Person>
          <b:Person>
            <b:Last>Mazza</b:Last>
            <b:First>D.</b:First>
          </b:Person>
          <b:Person>
            <b:Last>Newton</b:Last>
            <b:Middle>M.</b:Middle>
            <b:First>J.</b:First>
          </b:Person>
        </b:NameList>
      </b:Author>
    </b:Author>
    <b:Volume>69</b:Volume>
    <b:Issue>5</b:Issue>
    <b:RefOrder>211</b:RefOrder>
  </b:Source>
  <b:Source>
    <b:Tag>Nel20</b:Tag>
    <b:SourceType>JournalArticle</b:SourceType>
    <b:Guid>{7E8F0D15-861B-4018-9A2D-7F7210222D83}</b:Guid>
    <b:Title>The Social Policy Indicators (SPIN) database</b:Title>
    <b:JournalName>International Journal of Social Welfare</b:JournalName>
    <b:Year>2020</b:Year>
    <b:Pages>285-289</b:Pages>
    <b:Author>
      <b:Author>
        <b:NameList>
          <b:Person>
            <b:Last>Nelson</b:Last>
            <b:First>K</b:First>
          </b:Person>
          <b:Person>
            <b:Last>Fredriksson</b:Last>
            <b:First>D</b:First>
          </b:Person>
          <b:Person>
            <b:Last>Korpi</b:Last>
            <b:First>T</b:First>
          </b:Person>
          <b:Person>
            <b:Last>Palme</b:Last>
            <b:First>J</b:First>
          </b:Person>
          <b:Person>
            <b:Last>Sjöberg</b:Last>
            <b:First>O</b:First>
          </b:Person>
        </b:NameList>
      </b:Author>
    </b:Author>
    <b:Volume>29</b:Volume>
    <b:Issue>3</b:Issue>
    <b:RefOrder>212</b:RefOrder>
  </b:Source>
  <b:Source>
    <b:Tag>Sta19</b:Tag>
    <b:SourceType>InternetSite</b:SourceType>
    <b:Guid>{15EE0433-7AFA-45AB-99E7-6950D65646F2}</b:Guid>
    <b:Title>Parenting and fertility trends in New Zealand: 2018</b:Title>
    <b:Year>2019</b:Year>
    <b:Author>
      <b:Author>
        <b:Corporate>Stats NZ</b:Corporate>
      </b:Author>
    </b:Author>
    <b:URL>https://www.stats.govt.nz/reports/parenting-and-fertility-trends-in-new-zealand-2018</b:URL>
    <b:YearAccessed>2021</b:YearAccessed>
    <b:MonthAccessed>June</b:MonthAccessed>
    <b:DayAccessed>15</b:DayAccessed>
    <b:RefOrder>23</b:RefOrder>
  </b:Source>
  <b:Source>
    <b:Tag>Har14</b:Tag>
    <b:SourceType>JournalArticle</b:SourceType>
    <b:Guid>{117D5F56-231D-4E37-B5B8-974B3A5391EF}</b:Guid>
    <b:Title>Do family support environments influence fertility? Evidence from 20 European countries</b:Title>
    <b:JournalName>European Journal of Population</b:JournalName>
    <b:Year>2014</b:Year>
    <b:Pages>1-33</b:Pages>
    <b:Author>
      <b:Author>
        <b:NameList>
          <b:Person>
            <b:Last>Harknett</b:Last>
            <b:First>K</b:First>
          </b:Person>
          <b:Person>
            <b:Last>Billari</b:Last>
            <b:First>F</b:First>
          </b:Person>
          <b:Person>
            <b:Last>Medalia</b:Last>
            <b:First>C</b:First>
          </b:Person>
        </b:NameList>
      </b:Author>
    </b:Author>
    <b:Volume>30</b:Volume>
    <b:RefOrder>213</b:RefOrder>
  </b:Source>
  <b:Source>
    <b:Tag>Ber05</b:Tag>
    <b:SourceType>JournalArticle</b:SourceType>
    <b:Guid>{A49E6557-FF29-460C-8F41-3DEEA3DF63F0}</b:Guid>
    <b:Title>Public policies and low fertility: rationales for public intervention and a diagnosis for the Spanish case</b:Title>
    <b:JournalName>Journal of European Social Policy</b:JournalName>
    <b:Year>2005</b:Year>
    <b:Pages>123-138</b:Pages>
    <b:Author>
      <b:Author>
        <b:NameList>
          <b:Person>
            <b:Last>Bernardi</b:Last>
            <b:First>F</b:First>
          </b:Person>
        </b:NameList>
      </b:Author>
    </b:Author>
    <b:Volume>15</b:Volume>
    <b:Issue>2</b:Issue>
    <b:RefOrder>214</b:RefOrder>
  </b:Source>
  <b:Source>
    <b:Tag>Sag21</b:Tag>
    <b:SourceType>Report</b:SourceType>
    <b:Guid>{7872B659-6F49-46A7-A074-507F9CDE1786}</b:Guid>
    <b:Title>No flat, no child in Singapore: Cointegration analysis of housing, income, and fertility</b:Title>
    <b:Year>2021</b:Year>
    <b:Publisher>Asian Development Bank Institute</b:Publisher>
    <b:City>Tokyo</b:City>
    <b:Author>
      <b:Author>
        <b:NameList>
          <b:Person>
            <b:Last>Saguin</b:Last>
            <b:First>K</b:First>
          </b:Person>
        </b:NameList>
      </b:Author>
    </b:Author>
    <b:ThesisType>ADBI Working Paper Series 1231</b:ThesisType>
    <b:RefOrder>215</b:RefOrder>
  </b:Source>
  <b:Source>
    <b:Tag>Lut05</b:Tag>
    <b:SourceType>JournalArticle</b:SourceType>
    <b:Guid>{77346C6F-17CD-42EA-A1CD-39C179C75F72}</b:Guid>
    <b:Title>Policies addressing the tempo effect in low-fertility countries</b:Title>
    <b:Year>2005</b:Year>
    <b:JournalName>Population and Development Review</b:JournalName>
    <b:Pages>699-720</b:Pages>
    <b:Author>
      <b:Author>
        <b:NameList>
          <b:Person>
            <b:Last>Lutƶ</b:Last>
            <b:First>W</b:First>
          </b:Person>
          <b:Person>
            <b:Last>Skirkbekk</b:Last>
            <b:First>V</b:First>
          </b:Person>
        </b:NameList>
      </b:Author>
    </b:Author>
    <b:Volume>31</b:Volume>
    <b:Issue>4</b:Issue>
    <b:RefOrder>216</b:RefOrder>
  </b:Source>
  <b:Source>
    <b:Tag>Placeholder3</b:Tag>
    <b:SourceType>JournalArticle</b:SourceType>
    <b:Guid>{1AFA4641-DC98-4CE9-A966-0F1215A2FC6C}</b:Guid>
    <b:Title>Reforming family support policy in Australia</b:Title>
    <b:JournalName>People and Place</b:JournalName>
    <b:Year>2003</b:Year>
    <b:Pages>1-9</b:Pages>
    <b:Author>
      <b:Author>
        <b:NameList>
          <b:Person>
            <b:Last>McDonald</b:Last>
            <b:First>P</b:First>
          </b:Person>
        </b:NameList>
      </b:Author>
    </b:Author>
    <b:Volume>11</b:Volume>
    <b:Issue>2</b:Issue>
    <b:RefOrder>217</b:RefOrder>
  </b:Source>
  <b:Source>
    <b:Tag>Aru15</b:Tag>
    <b:SourceType>BookSection</b:SourceType>
    <b:Guid>{D57C03C8-7A1E-46E8-BB97-197E82BA3D3A}</b:Guid>
    <b:Title>Australians' desire for children</b:Title>
    <b:Year>2015</b:Year>
    <b:Pages>141-158</b:Pages>
    <b:BookTitle>Family formation in 21st Century Australia</b:BookTitle>
    <b:City>Dordrecht</b:City>
    <b:Publisher>Springer</b:Publisher>
    <b:Author>
      <b:Author>
        <b:NameList>
          <b:Person>
            <b:Last>Arunachalam</b:Last>
            <b:First>D</b:First>
          </b:Person>
          <b:Person>
            <b:Last>Heard</b:Last>
            <b:First>G</b:First>
          </b:Person>
        </b:NameList>
      </b:Author>
      <b:BookAuthor>
        <b:NameList>
          <b:Person>
            <b:Last>Heard</b:Last>
            <b:First>G</b:First>
          </b:Person>
          <b:Person>
            <b:Last>Arunachalam</b:Last>
            <b:First>D</b:First>
          </b:Person>
        </b:NameList>
      </b:BookAuthor>
    </b:Author>
    <b:RefOrder>218</b:RefOrder>
  </b:Source>
  <b:Source>
    <b:Tag>McD20</b:Tag>
    <b:SourceType>Report</b:SourceType>
    <b:Guid>{083462FF-02EF-4D67-9D23-7F70CB0D106A}</b:Guid>
    <b:Title>A projection of Australia's future fertility rates</b:Title>
    <b:Year>2020</b:Year>
    <b:City>Canberra</b:City>
    <b:Publisher>The Australian Government</b:Publisher>
    <b:JournalName>Centre for Population Research Paper</b:JournalName>
    <b:Author>
      <b:Author>
        <b:NameList>
          <b:Person>
            <b:Last>McDonald</b:Last>
            <b:First>Peter</b:First>
          </b:Person>
        </b:NameList>
      </b:Author>
    </b:Author>
    <b:RefOrder>219</b:RefOrder>
  </b:Source>
  <b:Source>
    <b:Tag>McD06</b:Tag>
    <b:SourceType>JournalArticle</b:SourceType>
    <b:Guid>{F8F38FF2-3627-435A-A917-AED3EF5B5B10}</b:Guid>
    <b:Year>2006</b:Year>
    <b:Author>
      <b:Author>
        <b:NameList>
          <b:Person>
            <b:Last>McDonald</b:Last>
            <b:First>Peter</b:First>
          </b:Person>
        </b:NameList>
      </b:Author>
    </b:Author>
    <b:Title>Low fertility and the state: The efficacy of policy</b:Title>
    <b:JournalName>Population and Development Review</b:JournalName>
    <b:Pages>485-510</b:Pages>
    <b:Volume>32</b:Volume>
    <b:Issue>3</b:Issue>
    <b:RefOrder>220</b:RefOrder>
  </b:Source>
  <b:Source>
    <b:Tag>Mil13</b:Tag>
    <b:SourceType>BookSection</b:SourceType>
    <b:Guid>{D55BB073-3727-4BE6-B746-3D9D97C7972C}</b:Guid>
    <b:Title>The second demographic transition meets globalization: A comprehensive theory to understand changes in family formation in an era of rising uncertainty</b:Title>
    <b:Year>2013</b:Year>
    <b:Pages>9-33</b:Pages>
    <b:City>Dordrecht</b:City>
    <b:Publisher>Springer</b:Publisher>
    <b:Author>
      <b:Author>
        <b:NameList>
          <b:Person>
            <b:Last>Mills</b:Last>
            <b:First>Melinda</b:First>
          </b:Person>
          <b:Person>
            <b:Last>Blossfeld</b:Last>
            <b:First>Hans-Peter</b:First>
          </b:Person>
        </b:NameList>
      </b:Author>
      <b:BookAuthor>
        <b:NameList>
          <b:Person>
            <b:Last>Baxter</b:Last>
            <b:First>Janeen</b:First>
          </b:Person>
          <b:Person>
            <b:Last>Evans</b:Last>
            <b:First>Ann</b:First>
          </b:Person>
        </b:NameList>
      </b:BookAuthor>
    </b:Author>
    <b:BookTitle>Negotiating the Life Course</b:BookTitle>
    <b:RefOrder>221</b:RefOrder>
  </b:Source>
  <b:Source>
    <b:Tag>Mit07</b:Tag>
    <b:SourceType>JournalArticle</b:SourceType>
    <b:Guid>{A7D881E4-9334-4D56-A4BF-2D48758869F6}</b:Guid>
    <b:Title>Declining fertility: intentions, attitudes and aspirations</b:Title>
    <b:Year>2007</b:Year>
    <b:Pages>23-44</b:Pages>
    <b:Author>
      <b:Author>
        <b:NameList>
          <b:Person>
            <b:Last>Mitchell</b:Last>
            <b:First>Deborah</b:First>
          </b:Person>
          <b:Person>
            <b:Last>Gray</b:Last>
            <b:First>Edith</b:First>
          </b:Person>
        </b:NameList>
      </b:Author>
    </b:Author>
    <b:JournalName>Journal of Sociology</b:JournalName>
    <b:Volume>43</b:Volume>
    <b:Issue>1</b:Issue>
    <b:RefOrder>222</b:RefOrder>
  </b:Source>
  <b:Source>
    <b:Tag>Win13</b:Tag>
    <b:SourceType>Book</b:SourceType>
    <b:Guid>{07830861-DA14-4B38-B6F1-87ECD9B05905}</b:Guid>
    <b:Title>The Global Spread of Fertility Decline: Population, fear, and uncertainty</b:Title>
    <b:Year>2013</b:Year>
    <b:Publisher>Yale University Press</b:Publisher>
    <b:Author>
      <b:Author>
        <b:NameList>
          <b:Person>
            <b:Last>Winter</b:Last>
            <b:First>J</b:First>
          </b:Person>
          <b:Person>
            <b:Last>Teitelbaum</b:Last>
            <b:First>M</b:First>
          </b:Person>
        </b:NameList>
      </b:Author>
    </b:Author>
    <b:RefOrder>223</b:RefOrder>
  </b:Source>
  <b:Source>
    <b:Tag>Sob05</b:Tag>
    <b:SourceType>JournalArticle</b:SourceType>
    <b:Guid>{20A5FA15-A94E-420E-9A13-DBD8F737FF12}</b:Guid>
    <b:Title>Is lowest-low fertility in Europe Explained by the Postponement of childbearing?</b:Title>
    <b:Year>2005</b:Year>
    <b:JournalName>Population and Development Review</b:JournalName>
    <b:Pages>195-220</b:Pages>
    <b:Author>
      <b:Author>
        <b:NameList>
          <b:Person>
            <b:Last>Sobotka</b:Last>
            <b:First>Tomas</b:First>
          </b:Person>
        </b:NameList>
      </b:Author>
    </b:Author>
    <b:Volume>30</b:Volume>
    <b:Issue>2</b:Issue>
    <b:DOI>10.1111/j.1728-4457.2004.010_1.x</b:DOI>
    <b:RefOrder>224</b:RefOrder>
  </b:Source>
  <b:Source>
    <b:Tag>Com03</b:Tag>
    <b:SourceType>Report</b:SourceType>
    <b:Guid>{0759D2C1-FABE-45C7-983E-04BE0B4251C8}</b:Guid>
    <b:Title>Own motion investigation into Family assistance administration and impacts on Family Assistance Office customers</b:Title>
    <b:Year>2003</b:Year>
    <b:Author>
      <b:Author>
        <b:Corporate>Commonwealth Ombudsman</b:Corporate>
      </b:Author>
    </b:Author>
    <b:Publisher>Commonwealth Ombudsman</b:Publisher>
    <b:ThesisType>Report under section 15 of the Ombudsman Act 1976</b:ThesisType>
    <b:RefOrder>225</b:RefOrder>
  </b:Source>
  <b:Source>
    <b:Tag>Fen07</b:Tag>
    <b:SourceType>JournalArticle</b:SourceType>
    <b:Guid>{FF27E2D4-516C-4B56-ADAE-3B64D6FCA1BF}</b:Guid>
    <b:Title>Welfare regimes in Central and Eastern Europe: Incorporating post-communist countries in a welfare regime typology</b:Title>
    <b:Year>2007</b:Year>
    <b:JournalName>Contemporary Issues and Ideas in Social Sciences</b:JournalName>
    <b:Pages>1-30</b:Pages>
    <b:Author>
      <b:Author>
        <b:NameList>
          <b:Person>
            <b:Last>Fenger</b:Last>
            <b:First>Menno</b:First>
          </b:Person>
        </b:NameList>
      </b:Author>
    </b:Author>
    <b:Volume>3</b:Volume>
    <b:Issue>2</b:Issue>
    <b:RefOrder>226</b:RefOrder>
  </b:Source>
  <b:Source>
    <b:Tag>Wal18</b:Tag>
    <b:SourceType>ConferenceProceedings</b:SourceType>
    <b:Guid>{5329CC1C-38AD-4D72-AF58-444A86C43D7B}</b:Guid>
    <b:Title>Fathers and Parental Leave</b:Title>
    <b:Year>2018</b:Year>
    <b:Publisher>Australian Institute of Family Studies</b:Publisher>
    <b:URL>https://aifs.gov.au/aifs-conference/fathers-and-parental-leave</b:URL>
    <b:ConferenceName>Australian Institute of Family Studies 2018 Conference </b:ConferenceName>
    <b:Author>
      <b:Author>
        <b:NameList>
          <b:Person>
            <b:Last>Walsh</b:Last>
            <b:First>E</b:First>
          </b:Person>
        </b:NameList>
      </b:Author>
    </b:Author>
    <b:RefOrder>227</b:RefOrder>
  </b:Source>
  <b:Source>
    <b:Tag>Dep14</b:Tag>
    <b:SourceType>Report</b:SourceType>
    <b:Guid>{7BD92E79-C76E-4ABD-9EF2-6F057FCE2076}</b:Guid>
    <b:Author>
      <b:Author>
        <b:Corporate>Department of Social Services</b:Corporate>
      </b:Author>
    </b:Author>
    <b:Title>Paid Parental Leave Scheme: Review Report</b:Title>
    <b:Year>2014</b:Year>
    <b:City>Canberra</b:City>
    <b:Publisher>Department of Social Services</b:Publisher>
    <b:URL>https://www.dss.gov.au/sites/default/files/documents/06_2014/paid_parental_leave_scheme_review_report.pdf</b:URL>
    <b:RefOrder>21</b:RefOrder>
  </b:Source>
  <b:Source>
    <b:Tag>Ins14</b:Tag>
    <b:SourceType>Report</b:SourceType>
    <b:Guid>{2EE1F631-3DD9-48BC-9882-FC8DB66D266D}</b:Guid>
    <b:Author>
      <b:Author>
        <b:Corporate>Institute for Social Science Research</b:Corporate>
      </b:Author>
    </b:Author>
    <b:Title>PPL Evaluation: Final Report</b:Title>
    <b:City>Brisbane</b:City>
    <b:Year>2014</b:Year>
    <b:Publisher>Institute for Social Research, The University of Queensland</b:Publisher>
    <b:RefOrder>228</b:RefOrder>
  </b:Source>
  <b:Source>
    <b:Tag>Wid21</b:Tag>
    <b:SourceType>Report</b:SourceType>
    <b:Guid>{5C7058F4-A644-4DEC-9460-896B0A0E0D0B}</b:Guid>
    <b:Title>The hidden gender of gender-neutral paid parental leave: Examining recently-enacted law in the United States and Australia</b:Title>
    <b:Year>2021</b:Year>
    <b:Publisher>Maurer Faculty</b:Publisher>
    <b:Author>
      <b:Author>
        <b:NameList>
          <b:Person>
            <b:Last>Widiss</b:Last>
            <b:Middle>A</b:Middle>
            <b:First>D</b:First>
          </b:Person>
        </b:NameList>
      </b:Author>
    </b:Author>
    <b:URL>https://www.repository.law.indiana.edu/cgi/viewcontent.cgi?article=3991&amp;context=facpub</b:URL>
    <b:RefOrder>229</b:RefOrder>
  </b:Source>
  <b:Source>
    <b:Tag>Dep20</b:Tag>
    <b:SourceType>Report</b:SourceType>
    <b:Guid>{ED8DCBDF-AEC0-43FC-9DE2-CCC60AB88A71}</b:Guid>
    <b:Author>
      <b:Author>
        <b:Corporate>Department of Social Services </b:Corporate>
      </b:Author>
    </b:Author>
    <b:Title>Annual Report 2019-20</b:Title>
    <b:Year>2020</b:Year>
    <b:Publisher>Australian Government</b:Publisher>
    <b:City>Canberra</b:City>
    <b:RefOrder>230</b:RefOrder>
  </b:Source>
  <b:Source>
    <b:Tag>Dep212</b:Tag>
    <b:SourceType>DocumentFromInternetSite</b:SourceType>
    <b:Guid>{A0857E31-DB99-45B4-A996-D0CC42177E7C}</b:Guid>
    <b:Title>Parental Leave Pay: Who can get it</b:Title>
    <b:Year>2021</b:Year>
    <b:Author>
      <b:Author>
        <b:Corporate>Department of Social Services</b:Corporate>
      </b:Author>
    </b:Author>
    <b:URL>https://www.servicesaustralia.gov.au/individuals/services/centrelink/parental-leave-pay/who-can-get-it</b:URL>
    <b:YearAccessed>2021</b:YearAccessed>
    <b:MonthAccessed>August</b:MonthAccessed>
    <b:DayAccessed>10</b:DayAccessed>
    <b:RefOrder>231</b:RefOrder>
  </b:Source>
  <b:Source>
    <b:Tag>Aus181</b:Tag>
    <b:SourceType>Report</b:SourceType>
    <b:Guid>{707B4EAF-B869-4981-9AF6-0C8C9FC68B91}</b:Guid>
    <b:Title>Pregnancy and Employment Transitions, Australia Nov 2017</b:Title>
    <b:Year>2018</b:Year>
    <b:Author>
      <b:Author>
        <b:Corporate>Australian Bureau of Statistics</b:Corporate>
      </b:Author>
    </b:Author>
    <b:Publisher>Australian Bureau of Statistics</b:Publisher>
    <b:City>Canberra</b:City>
    <b:YearAccessed>2021</b:YearAccessed>
    <b:MonthAccessed>August</b:MonthAccessed>
    <b:DayAccessed>11</b:DayAccessed>
    <b:URL>https://www.abs.gov.au/AUSSTATS/abs@.nsf/Lookup/4913.0Main+Features1Nov%202017?OpenDocument</b:URL>
    <b:RefOrder>232</b:RefOrder>
  </b:Source>
  <b:Source>
    <b:Tag>Bax13</b:Tag>
    <b:SourceType>Report</b:SourceType>
    <b:Guid>{8C14DFEF-363F-4024-A965-EBA97841C5D1}</b:Guid>
    <b:Title>Employment characteristics and transitions of mothers in the Longitudinal Study of Australian Children</b:Title>
    <b:Year>2013</b:Year>
    <b:Publisher>Department of Social Services</b:Publisher>
    <b:City>Canberra</b:City>
    <b:Author>
      <b:Author>
        <b:NameList>
          <b:Person>
            <b:Last>Baxter</b:Last>
            <b:First>J</b:First>
          </b:Person>
        </b:NameList>
      </b:Author>
    </b:Author>
    <b:ThesisType>Occasional Paper No. 5</b:ThesisType>
    <b:RefOrder>233</b:RefOrder>
  </b:Source>
  <b:Source>
    <b:Tag>Ulk11</b:Tag>
    <b:SourceType>JournalArticle</b:SourceType>
    <b:Guid>{5A328DBC-BA08-4B0A-B6BD-2A2CC2362234}</b:Guid>
    <b:Title>Determinants of maternity leave duration in Australia: Evidence from the HILDA survey</b:Title>
    <b:Year>2011</b:Year>
    <b:JournalName>Economic Recrod</b:JournalName>
    <b:Pages>399-413</b:Pages>
    <b:Author>
      <b:Author>
        <b:NameList>
          <b:Person>
            <b:Last>Ulker</b:Last>
            <b:First>A</b:First>
          </b:Person>
          <b:Person>
            <b:Last>Guven</b:Last>
            <b:First>C</b:First>
          </b:Person>
        </b:NameList>
      </b:Author>
    </b:Author>
    <b:Volume>87</b:Volume>
    <b:Issue>278</b:Issue>
    <b:RefOrder>234</b:RefOrder>
  </b:Source>
  <b:Source>
    <b:Tag>Aus211</b:Tag>
    <b:SourceType>Report</b:SourceType>
    <b:Guid>{360C1BA5-FFF1-43FF-910F-5CC350034CD0}</b:Guid>
    <b:Title>National, state and territory populations</b:Title>
    <b:Year>2021</b:Year>
    <b:Author>
      <b:Author>
        <b:Corporate>Australian Bureau of Statistics</b:Corporate>
      </b:Author>
    </b:Author>
    <b:Publisher>Australian Bureau of Statistics</b:Publisher>
    <b:City>Canberra</b:City>
    <b:YearAccessed>2021</b:YearAccessed>
    <b:MonthAccessed>August</b:MonthAccessed>
    <b:DayAccessed>11</b:DayAccessed>
    <b:URL>https://www.abs.gov.au/statistics/people/population/national-state-and-territory-population/latest-release</b:URL>
    <b:RefOrder>235</b:RefOrder>
  </b:Source>
  <b:Source>
    <b:Tag>Duv201</b:Tag>
    <b:SourceType>JournalArticle</b:SourceType>
    <b:Guid>{34031E84-72C7-4016-83F4-9043F1FA7884}</b:Guid>
    <b:Title>Impact of a reform towards shared parental leave on continued fertility in Norway and Sweden</b:Title>
    <b:Year>2020</b:Year>
    <b:JournalName>Population Research and Policy Review</b:JournalName>
    <b:Pages>1205-1229</b:Pages>
    <b:Author>
      <b:Author>
        <b:NameList>
          <b:Person>
            <b:Last>Duvander</b:Last>
            <b:First>A-Z</b:First>
          </b:Person>
          <b:Person>
            <b:Last>Lappegard</b:Last>
            <b:First>T</b:First>
          </b:Person>
          <b:Person>
            <b:Last>Johansson </b:Last>
            <b:First>M</b:First>
          </b:Person>
        </b:NameList>
      </b:Author>
    </b:Author>
    <b:Volume>39</b:Volume>
    <b:RefOrder>236</b:RefOrder>
  </b:Source>
  <b:Source>
    <b:Tag>Ola03</b:Tag>
    <b:SourceType>JournalArticle</b:SourceType>
    <b:Guid>{978A284D-7DF4-4B6B-BCB3-85F60D399E6B}</b:Guid>
    <b:Title>Gendering fertility: Second births in Sweden and Hungary</b:Title>
    <b:JournalName>Population Research and Policy Review</b:JournalName>
    <b:Year>2003</b:Year>
    <b:Pages>171-200</b:Pages>
    <b:Author>
      <b:Author>
        <b:NameList>
          <b:Person>
            <b:Last>Olah</b:Last>
            <b:Middle>S</b:Middle>
            <b:First>L</b:First>
          </b:Person>
        </b:NameList>
      </b:Author>
    </b:Author>
    <b:Volume>22</b:Volume>
    <b:RefOrder>237</b:RefOrder>
  </b:Source>
  <b:Source>
    <b:Tag>Duv06</b:Tag>
    <b:SourceType>JournalArticle</b:SourceType>
    <b:Guid>{0587E427-D973-4B57-AF5D-930220EE0D6E}</b:Guid>
    <b:Title>Gender equality and fertility in Sweden</b:Title>
    <b:JournalName>Marriage &amp; Family Review</b:JournalName>
    <b:Year>2006</b:Year>
    <b:Pages>121-142</b:Pages>
    <b:Author>
      <b:Author>
        <b:NameList>
          <b:Person>
            <b:Last>Duvander</b:Last>
            <b:First>A-Z</b:First>
          </b:Person>
          <b:Person>
            <b:Last>Andersson</b:Last>
            <b:First>G</b:First>
          </b:Person>
        </b:NameList>
      </b:Author>
    </b:Author>
    <b:Volume>39</b:Volume>
    <b:Issue>1-2</b:Issue>
    <b:RefOrder>238</b:RefOrder>
  </b:Source>
  <b:Source>
    <b:Tag>Lap10</b:Tag>
    <b:SourceType>JournalArticle</b:SourceType>
    <b:Guid>{7C4FD5A8-42D1-4B6F-BF9F-F89FE4326B4D}</b:Guid>
    <b:Title>Family policies and fertility in Norway</b:Title>
    <b:JournalName>European Journal of Population</b:JournalName>
    <b:Year>2010</b:Year>
    <b:Pages>99-116</b:Pages>
    <b:Author>
      <b:Author>
        <b:NameList>
          <b:Person>
            <b:Last>Lappegard</b:Last>
            <b:First>T</b:First>
          </b:Person>
        </b:NameList>
      </b:Author>
    </b:Author>
    <b:Issue>26</b:Issue>
    <b:RefOrder>239</b:RefOrder>
  </b:Source>
  <b:Source>
    <b:Tag>Bil14</b:Tag>
    <b:SourceType>JournalArticle</b:SourceType>
    <b:Guid>{FE0596D9-E3FB-484D-B859-8FA8B4B3B6EF}</b:Guid>
    <b:Title>Family policy and fertility intentions in 21 European countries</b:Title>
    <b:JournalName>Journal of Marriage and Family</b:JournalName>
    <b:Year>2014</b:Year>
    <b:Pages>428-445</b:Pages>
    <b:Author>
      <b:Author>
        <b:NameList>
          <b:Person>
            <b:Last>Billingsley</b:Last>
            <b:First>S</b:First>
          </b:Person>
          <b:Person>
            <b:Last>Ferrarini</b:Last>
            <b:First>T</b:First>
          </b:Person>
        </b:NameList>
      </b:Author>
    </b:Author>
    <b:Volume>76</b:Volume>
    <b:RefOrder>240</b:RefOrder>
  </b:Source>
  <b:Source>
    <b:Tag>Wes18</b:Tag>
    <b:SourceType>JournalArticle</b:SourceType>
    <b:Guid>{E7FB178A-7E76-4049-9EF7-E51CB772DD83}</b:Guid>
    <b:Title>Family policies and fertility: Examining the link between family policy institutions and fertility rates in 33 countries in 1995-2001</b:Title>
    <b:JournalName>International Journal of Sociology</b:JournalName>
    <b:Year>2018</b:Year>
    <b:Pages>1057-1070</b:Pages>
    <b:Author>
      <b:Author>
        <b:NameList>
          <b:Person>
            <b:Last>Wesolowski</b:Last>
            <b:First>K</b:First>
          </b:Person>
          <b:Person>
            <b:Last>Ferrarini</b:Last>
            <b:First>T</b:First>
          </b:Person>
        </b:NameList>
      </b:Author>
    </b:Author>
    <b:Volume>38</b:Volume>
    <b:Issue>11/12</b:Issue>
    <b:RefOrder>241</b:RefOrder>
  </b:Source>
  <b:Source>
    <b:Tag>Han19</b:Tag>
    <b:SourceType>JournalArticle</b:SourceType>
    <b:Guid>{0B19D3AA-D2AB-4BAD-B591-DC29B2F40284}</b:Guid>
    <b:Title>Families adn their institutional contexts: the role of family policies and legal regulations</b:Title>
    <b:JournalName>KZfSS Kölner Zeitschrift für Soziologie und Sozialpsychologie</b:JournalName>
    <b:Year>2019</b:Year>
    <b:Pages>375-398</b:Pages>
    <b:Author>
      <b:Author>
        <b:NameList>
          <b:Person>
            <b:Last>Hank</b:Last>
            <b:First>K</b:First>
          </b:Person>
          <b:Person>
            <b:Last>Steinbach</b:Last>
            <b:First>A</b:First>
          </b:Person>
        </b:NameList>
      </b:Author>
    </b:Author>
    <b:Volume>71</b:Volume>
    <b:Issue>1</b:Issue>
    <b:RefOrder>242</b:RefOrder>
  </b:Source>
  <b:Source>
    <b:Tag>Šťa20</b:Tag>
    <b:SourceType>JournalArticle</b:SourceType>
    <b:Guid>{1A8F94A5-D576-48BD-A434-478DB9C42CE9}</b:Guid>
    <b:Title>Parental leave policies and second births: A comparison of Czechia and Slovakia</b:Title>
    <b:JournalName>Population Research and Policy REview</b:JournalName>
    <b:Year>2020</b:Year>
    <b:Pages>415-437</b:Pages>
    <b:Author>
      <b:Author>
        <b:NameList>
          <b:Person>
            <b:Last> Šťastná</b:Last>
            <b:First>A</b:First>
          </b:Person>
          <b:Person>
            <b:Last>Kocourková</b:Last>
            <b:First>J</b:First>
          </b:Person>
          <b:Person>
            <b:Last>Šprocha</b:Last>
            <b:First>B</b:First>
          </b:Person>
        </b:NameList>
      </b:Author>
    </b:Author>
    <b:Volume>39</b:Volume>
    <b:RefOrder>243</b:RefOrder>
  </b:Source>
  <b:Source>
    <b:Tag>And02</b:Tag>
    <b:SourceType>JournalArticle</b:SourceType>
    <b:Guid>{9ADFDD49-4F40-471B-9853-1B1A7718151C}</b:Guid>
    <b:Title>Fertility developments in Norway and Sweden since the early 1960s</b:Title>
    <b:JournalName>Demographic Research</b:JournalName>
    <b:Year>2002</b:Year>
    <b:Pages>67-86</b:Pages>
    <b:Author>
      <b:Author>
        <b:NameList>
          <b:Person>
            <b:Last>Andersson</b:Last>
            <b:First>G</b:First>
          </b:Person>
        </b:NameList>
      </b:Author>
    </b:Author>
    <b:Volume>6</b:Volume>
    <b:RefOrder>244</b:RefOrder>
  </b:Source>
  <b:Source>
    <b:Tag>And06</b:Tag>
    <b:SourceType>JournalArticle</b:SourceType>
    <b:Guid>{FE6BE8D6-1BFF-459E-B97C-C6368DC9F423}</b:Guid>
    <b:Title>Social differentials in speed-premium effects in childbearing in Sweden</b:Title>
    <b:JournalName>Demographic Research</b:JournalName>
    <b:Year>2006</b:Year>
    <b:Pages>51-70</b:Pages>
    <b:Author>
      <b:Author>
        <b:NameList>
          <b:Person>
            <b:Last>Andersson</b:Last>
            <b:First>G</b:First>
          </b:Person>
          <b:Person>
            <b:Last>Hoem</b:Last>
            <b:Middle>M</b:Middle>
            <b:First>J</b:First>
          </b:Person>
          <b:Person>
            <b:Last>Duvander</b:Last>
            <b:First>A-Z</b:First>
          </b:Person>
        </b:NameList>
      </b:Author>
    </b:Author>
    <b:Volume>14</b:Volume>
    <b:RefOrder>245</b:RefOrder>
  </b:Source>
  <b:Source>
    <b:Tag>Can144</b:Tag>
    <b:SourceType>JournalArticle</b:SourceType>
    <b:Guid>{331D549B-213D-4686-A24D-D5E4CEAC78C7}</b:Guid>
    <b:Title>Does the Family and Medical Leave Act (FMLA) increase fertility behaviour?</b:Title>
    <b:JournalName>Journal of Labor Research</b:JournalName>
    <b:Year>2014</b:Year>
    <b:Pages>105-132</b:Pages>
    <b:Author>
      <b:Author>
        <b:NameList>
          <b:Person>
            <b:Last>Cannonier</b:Last>
            <b:First>C</b:First>
          </b:Person>
        </b:NameList>
      </b:Author>
    </b:Author>
    <b:Volume>35</b:Volume>
    <b:RefOrder>246</b:RefOrder>
  </b:Source>
  <b:Source>
    <b:Tag>Duv19</b:Tag>
    <b:SourceType>JournalArticle</b:SourceType>
    <b:Guid>{40BCF899-647B-4A0A-8859-E6FB608013F1}</b:Guid>
    <b:Title>Parental leave policies and continued childbearing in Iceland, Norway and Sweden</b:Title>
    <b:JournalName>Demographic Research</b:JournalName>
    <b:Year>2019</b:Year>
    <b:Pages>1501-1528</b:Pages>
    <b:Author>
      <b:Author>
        <b:NameList>
          <b:Person>
            <b:Last>Duvander</b:Last>
            <b:First>A-Z</b:First>
          </b:Person>
          <b:Person>
            <b:Last>Lappegård</b:Last>
            <b:First>T</b:First>
          </b:Person>
          <b:Person>
            <b:Last>Andersen</b:Last>
            <b:Middle>N</b:Middle>
            <b:First>S</b:First>
          </b:Person>
          <b:Person>
            <b:Last>Garðarsdóttir</b:Last>
            <b:First>Ó</b:First>
          </b:Person>
          <b:Person>
            <b:Last>Neyer</b:Last>
            <b:First>G</b:First>
          </b:Person>
          <b:Person>
            <b:Last>Viklund</b:Last>
            <b:First>I</b:First>
          </b:Person>
        </b:NameList>
      </b:Author>
    </b:Author>
    <b:Volume>40</b:Volume>
    <b:RefOrder>247</b:RefOrder>
  </b:Source>
  <b:Source>
    <b:Tag>Ünv18</b:Tag>
    <b:SourceType>JournalArticle</b:SourceType>
    <b:Guid>{9ABD6850-6725-42B8-8A5A-B70E5AB2E1E3}</b:Guid>
    <b:Title>Perceived accessibility of childcare in Europe: a cross-country multilevel study</b:Title>
    <b:JournalName>International Journal of Child Care and Education Policy</b:JournalName>
    <b:Year>2018</b:Year>
    <b:Pages>1-30</b:Pages>
    <b:Author>
      <b:Author>
        <b:NameList>
          <b:Person>
            <b:Last>Ünver</b:Last>
            <b:First>Ö</b:First>
          </b:Person>
          <b:Person>
            <b:Last>Bircan</b:Last>
            <b:First>T</b:First>
          </b:Person>
          <b:Person>
            <b:Last>Nicaise</b:Last>
            <b:First>I</b:First>
          </b:Person>
        </b:NameList>
      </b:Author>
    </b:Author>
    <b:Volume>12</b:Volume>
    <b:Issue>5</b:Issue>
    <b:RefOrder>248</b:RefOrder>
  </b:Source>
  <b:Source>
    <b:Tag>Ren09</b:Tag>
    <b:SourceType>JournalArticle</b:SourceType>
    <b:Guid>{4234D452-7195-40A8-826F-70851014D67A}</b:Guid>
    <b:Title>Exploring the work-family policies mothers say would help after the birth of a child</b:Title>
    <b:JournalName>Australian Journal of Labour Economics</b:JournalName>
    <b:Year>2009</b:Year>
    <b:Pages>65-69</b:Pages>
    <b:Author>
      <b:Author>
        <b:NameList>
          <b:Person>
            <b:Last>Renda</b:Last>
            <b:First>J</b:First>
          </b:Person>
          <b:Person>
            <b:Last>Baxter</b:Last>
            <b:First>J</b:First>
          </b:Person>
          <b:Person>
            <b:Last>Alexander</b:Last>
            <b:First>M</b:First>
          </b:Person>
        </b:NameList>
      </b:Author>
    </b:Author>
    <b:Volume>12</b:Volume>
    <b:Issue>1</b:Issue>
    <b:RefOrder>249</b:RefOrder>
  </b:Source>
  <b:Source>
    <b:Tag>Chu17</b:Tag>
    <b:SourceType>JournalArticle</b:SourceType>
    <b:Guid>{40B8A4CF-9456-4C48-B1F2-D71E7F441967}</b:Guid>
    <b:Title>European partner's attitudes towards public childcare provision: the role of current provisions, interest and ideologies</b:Title>
    <b:JournalName>European Societies</b:JournalName>
    <b:Year>2017</b:Year>
    <b:Pages>49-68</b:Pages>
    <b:Author>
      <b:Author>
        <b:NameList>
          <b:Person>
            <b:Last>Chung</b:Last>
            <b:First>H</b:First>
          </b:Person>
          <b:Person>
            <b:Last>Meuleman</b:Last>
            <b:First>B</b:First>
          </b:Person>
        </b:NameList>
      </b:Author>
    </b:Author>
    <b:Volume>19</b:Volume>
    <b:RefOrder>250</b:RefOrder>
  </b:Source>
  <b:Source>
    <b:Tag>The21</b:Tag>
    <b:SourceType>Report</b:SourceType>
    <b:Guid>{D368D773-F35B-40AC-BE24-2A29615396A7}</b:Guid>
    <b:Title>Work and play: Understanding how Australian families experience early childhood education and care</b:Title>
    <b:Year>2021</b:Year>
    <b:Author>
      <b:Author>
        <b:Corporate>The Front Project</b:Corporate>
      </b:Author>
    </b:Author>
    <b:Publisher>The Front Project </b:Publisher>
    <b:RefOrder>251</b:RefOrder>
  </b:Source>
  <b:Source>
    <b:Tag>Ste14</b:Tag>
    <b:SourceType>JournalArticle</b:SourceType>
    <b:Guid>{3993F70D-B42D-4C6E-82B8-5D74464848C1}</b:Guid>
    <b:Title>Is precarious employment associated with women remaining childless until age 35 years? Results from an Australian birth cohort study</b:Title>
    <b:Year>2014</b:Year>
    <b:JournalName>Human Reproduction</b:JournalName>
    <b:Pages>155-160</b:Pages>
    <b:Author>
      <b:Author>
        <b:NameList>
          <b:Person>
            <b:Last>Steele</b:Last>
            <b:Middle>J</b:Middle>
            <b:First>E</b:First>
          </b:Person>
          <b:Person>
            <b:Last>Giles</b:Last>
            <b:Middle>C</b:Middle>
            <b:First>L</b:First>
          </b:Person>
          <b:Person>
            <b:Last>Davies</b:Last>
            <b:Middle>J</b:Middle>
            <b:First>M</b:First>
          </b:Person>
          <b:Person>
            <b:Last>Moore</b:Last>
            <b:Middle>M</b:Middle>
            <b:First>V</b:First>
          </b:Person>
        </b:NameList>
      </b:Author>
    </b:Author>
    <b:Volume>29</b:Volume>
    <b:Issue>1</b:Issue>
    <b:RefOrder>252</b:RefOrder>
  </b:Source>
  <b:Source>
    <b:Tag>Guz20</b:Tag>
    <b:SourceType>JournalArticle</b:SourceType>
    <b:Guid>{2118437B-B7EE-45AA-86ED-5F9CA39716C5}</b:Guid>
    <b:Title>Pathways to parenthood in social and family contexts: Decade in Review, 2020</b:Title>
    <b:JournalName>Journal of Marriage and Family</b:JournalName>
    <b:Year>2020</b:Year>
    <b:Pages>117-144</b:Pages>
    <b:Author>
      <b:Author>
        <b:NameList>
          <b:Person>
            <b:Last>Guzzo</b:Last>
            <b:Middle>B</b:Middle>
            <b:First>K</b:First>
          </b:Person>
          <b:Person>
            <b:Last>Hayford</b:Last>
            <b:Middle>R</b:Middle>
            <b:First>S</b:First>
          </b:Person>
        </b:NameList>
      </b:Author>
    </b:Author>
    <b:Volume>82</b:Volume>
    <b:Issue>1</b:Issue>
    <b:RefOrder>253</b:RefOrder>
  </b:Source>
  <b:Source>
    <b:Tag>Tes</b:Tag>
    <b:SourceType>JournalArticle</b:SourceType>
    <b:Guid>{71768F84-C880-4826-A663-4379A57C78CA}</b:Guid>
    <b:Title>When partners' disagreement prevents childbearing: A couple-level analysis in Australia</b:Title>
    <b:Author>
      <b:Author>
        <b:NameList>
          <b:Person>
            <b:Last>Testa</b:Last>
            <b:Middle>R</b:Middle>
            <b:First>M</b:First>
          </b:Person>
          <b:Person>
            <b:Last>Bolano</b:Last>
            <b:First>D</b:First>
          </b:Person>
        </b:NameList>
      </b:Author>
    </b:Author>
    <b:JournalName>Demographic Research</b:JournalName>
    <b:Year>2021</b:Year>
    <b:Pages>811-838</b:Pages>
    <b:Volume>44</b:Volume>
    <b:RefOrder>254</b:RefOrder>
  </b:Source>
  <b:Source>
    <b:Tag>Wes13</b:Tag>
    <b:SourceType>JournalArticle</b:SourceType>
    <b:Guid>{E81A8912-8819-4168-90D9-B447910B8B96}</b:Guid>
    <b:Title>Working out relationship</b:Title>
    <b:JournalName>Australian Family Trends</b:JournalName>
    <b:Year>2013</b:Year>
    <b:Pages>1-14</b:Pages>
    <b:Author>
      <b:Author>
        <b:NameList>
          <b:Person>
            <b:Last>Weston</b:Last>
            <b:First>R</b:First>
          </b:Person>
          <b:Person>
            <b:Last>Qu</b:Last>
            <b:First>L</b:First>
          </b:Person>
        </b:NameList>
      </b:Author>
    </b:Author>
    <b:Volume>3</b:Volume>
    <b:RefOrder>255</b:RefOrder>
  </b:Source>
  <b:Source>
    <b:Tag>Aus17</b:Tag>
    <b:SourceType>Report</b:SourceType>
    <b:Guid>{92A6BBF3-B3F9-4AE2-A40B-2FF57FA5C370}</b:Guid>
    <b:Title>Census of Population and Housing: Reflecting Australia - Stories from the Census, 2016</b:Title>
    <b:Year>2017</b:Year>
    <b:Author>
      <b:Author>
        <b:Corporate>Australian Bureau of Statistics</b:Corporate>
      </b:Author>
    </b:Author>
    <b:Publisher>Australian Bureau of Statistics</b:Publisher>
    <b:City>Canberra</b:City>
    <b:YearAccessed>2021</b:YearAccessed>
    <b:MonthAccessed>August </b:MonthAccessed>
    <b:DayAccessed>29</b:DayAccessed>
    <b:URL>Census of Population and Housing: Reflecting Australia - Stories from the Census, 2016  </b:URL>
    <b:RefOrder>256</b:RefOrder>
  </b:Source>
  <b:Source>
    <b:Tag>Her19</b:Tag>
    <b:SourceType>JournalArticle</b:SourceType>
    <b:Guid>{DAC255C5-B334-4A99-9494-C6DD767DF242}</b:Guid>
    <b:Title>A note on the effect of religiosity on fertility</b:Title>
    <b:Year>2019</b:Year>
    <b:JournalName>Demography</b:JournalName>
    <b:Pages>991-998</b:Pages>
    <b:Author>
      <b:Author>
        <b:NameList>
          <b:Person>
            <b:Last>Herzer</b:Last>
            <b:First>D</b:First>
          </b:Person>
        </b:NameList>
      </b:Author>
    </b:Author>
    <b:Volume>56</b:Volume>
    <b:Issue>3</b:Issue>
    <b:RefOrder>257</b:RefOrder>
  </b:Source>
  <b:Source>
    <b:Tag>Bub21</b:Tag>
    <b:SourceType>JournalArticle</b:SourceType>
    <b:Guid>{D634AD52-7B38-4432-974E-1E14ABBFD616}</b:Guid>
    <b:Title>Religiosity and the realisation of fertility intentions: A comparative study of eight European countries</b:Title>
    <b:JournalName>Population, Space and Place</b:JournalName>
    <b:Year>2021</b:Year>
    <b:Pages>e2433</b:Pages>
    <b:Author>
      <b:Author>
        <b:NameList>
          <b:Person>
            <b:Last>Buber-Ennser</b:Last>
            <b:First>I</b:First>
          </b:Person>
          <b:Person>
            <b:Last>Berghammer</b:Last>
            <b:First>C</b:First>
          </b:Person>
        </b:NameList>
      </b:Author>
    </b:Author>
    <b:Volume>27</b:Volume>
    <b:Issue>6</b:Issue>
    <b:RefOrder>258</b:RefOrder>
  </b:Source>
  <b:Source>
    <b:Tag>Ell17</b:Tag>
    <b:SourceType>JournalArticle</b:SourceType>
    <b:Guid>{45B23B36-FAEB-4C72-A77F-098F2B4CE27E}</b:Guid>
    <b:Author>
      <b:Author>
        <b:NameList>
          <b:Person>
            <b:Last>Ellingsæter</b:Last>
            <b:First>A.</b:First>
            <b:Middle>L.</b:Middle>
          </b:Person>
          <b:Person>
            <b:Last>Kitterød</b:Last>
            <b:First>R.</b:First>
            <b:Middle>H.</b:Middle>
          </b:Person>
          <b:Person>
            <b:Last>Lyngstad</b:Last>
            <b:First>J</b:First>
          </b:Person>
        </b:NameList>
      </b:Author>
    </b:Author>
    <b:Title>Universalising childcare, changing mothers' attitudes: Policy feedback in Norway</b:Title>
    <b:JournalName>Journal of Social Policy</b:JournalName>
    <b:Year>2017</b:Year>
    <b:Pages>149-173</b:Pages>
    <b:Volume>46</b:Volume>
    <b:Issue>1</b:Issue>
    <b:RefOrder>259</b:RefOrder>
  </b:Source>
  <b:Source>
    <b:Tag>Hil09</b:Tag>
    <b:SourceType>JournalArticle</b:SourceType>
    <b:Guid>{0632838C-820D-4C1C-95C9-194B16689CE6}</b:Guid>
    <b:Title>Women's employment and fertility: A welfare regime paradox</b:Title>
    <b:JournalName>Social Science Research</b:JournalName>
    <b:Year>2009</b:Year>
    <b:Pages>103-117</b:Pages>
    <b:Author>
      <b:Author>
        <b:NameList>
          <b:Person>
            <b:Last>Hilgeman</b:Last>
            <b:First>C</b:First>
          </b:Person>
          <b:Person>
            <b:Last>Butts</b:Last>
            <b:First>C</b:First>
          </b:Person>
        </b:NameList>
      </b:Author>
    </b:Author>
    <b:Volume>38</b:Volume>
    <b:Issue>1</b:Issue>
    <b:RefOrder>260</b:RefOrder>
  </b:Source>
  <b:Source>
    <b:Tag>Bai16</b:Tag>
    <b:SourceType>JournalArticle</b:SourceType>
    <b:Guid>{D6EBF802-1AAA-4ECC-9460-8664DBFFAF3D}</b:Guid>
    <b:Title>The effect of gender policies on fertility: the moderating role of education and normative context</b:Title>
    <b:Year>2016</b:Year>
    <b:JournalName>European Journal of Population</b:JournalName>
    <b:Pages>1-30</b:Pages>
    <b:Author>
      <b:Author>
        <b:NameList>
          <b:Person>
            <b:Last>Baizan</b:Last>
            <b:First>P</b:First>
          </b:Person>
          <b:Person>
            <b:Last>Arpino</b:Last>
            <b:First>B</b:First>
          </b:Person>
          <b:Person>
            <b:Last>Delclós</b:Last>
            <b:First>C</b:First>
            <b:Middle>E</b:Middle>
          </b:Person>
        </b:NameList>
      </b:Author>
    </b:Author>
    <b:Volume>32</b:Volume>
    <b:Issue>1</b:Issue>
    <b:RefOrder>261</b:RefOrder>
  </b:Source>
  <b:Source>
    <b:Tag>Luc13</b:Tag>
    <b:SourceType>JournalArticle</b:SourceType>
    <b:Guid>{95FAB199-411C-435C-B570-3465B1DB76FB}</b:Guid>
    <b:Title>The impact of family policies on fertility trends in developed countries</b:Title>
    <b:JournalName>European Journal of Population</b:JournalName>
    <b:Year>2013</b:Year>
    <b:Pages>387-416</b:Pages>
    <b:Author>
      <b:Author>
        <b:NameList>
          <b:Person>
            <b:Last>Luci-Greulich</b:Last>
            <b:First>A</b:First>
          </b:Person>
          <b:Person>
            <b:Last>Thévenon</b:Last>
            <b:First>O</b:First>
          </b:Person>
        </b:NameList>
      </b:Author>
    </b:Author>
    <b:Volume>29</b:Volume>
    <b:RefOrder>262</b:RefOrder>
  </b:Source>
  <b:Source>
    <b:Tag>Yan17</b:Tag>
    <b:SourceType>JournalArticle</b:SourceType>
    <b:Guid>{CE3AD0B2-D97E-4B8B-992B-220F13B58FD7}</b:Guid>
    <b:Title>Domestic division of labour and fertility preference in China, Japan, South Korea and Taiwan</b:Title>
    <b:JournalName>Demographic Research</b:JournalName>
    <b:Year>2017</b:Year>
    <b:Pages>557-588</b:Pages>
    <b:Author>
      <b:Author>
        <b:NameList>
          <b:Person>
            <b:Last>Yan</b:Last>
            <b:First>M-Y</b:First>
          </b:Person>
          <b:Person>
            <b:Last>Hertog</b:Last>
            <b:First>E</b:First>
          </b:Person>
        </b:NameList>
      </b:Author>
    </b:Author>
    <b:Volume>36</b:Volume>
    <b:RefOrder>263</b:RefOrder>
  </b:Source>
  <b:Source>
    <b:Tag>Osi18</b:Tag>
    <b:SourceType>JournalArticle</b:SourceType>
    <b:Guid>{92B00020-4AC1-40C9-9168-A3D96BA461A6}</b:Guid>
    <b:Title>Partner's empowerment and fertility in ten European countries</b:Title>
    <b:JournalName>Demographic Research</b:JournalName>
    <b:Year>2018</b:Year>
    <b:Pages>1495-1534</b:Pages>
    <b:Author>
      <b:Author>
        <b:NameList>
          <b:Person>
            <b:Last>Osiewalska</b:Last>
            <b:First>B</b:First>
          </b:Person>
        </b:NameList>
      </b:Author>
    </b:Author>
    <b:Volume>38</b:Volume>
    <b:RefOrder>264</b:RefOrder>
  </b:Source>
  <b:Source>
    <b:Tag>Cra10</b:Tag>
    <b:SourceType>JournalArticle</b:SourceType>
    <b:Guid>{13739C9D-C11D-4E47-B5FD-674CF80AE62D}</b:Guid>
    <b:Title>Men's housework, women's housework, and second births in Australia</b:Title>
    <b:JournalName>Social Politics: International Studies in Gender, State &amp; Society</b:JournalName>
    <b:Year>2010</b:Year>
    <b:Pages>235-266</b:Pages>
    <b:Author>
      <b:Author>
        <b:NameList>
          <b:Person>
            <b:Last>Craig</b:Last>
            <b:First>L</b:First>
          </b:Person>
          <b:Person>
            <b:Last>Siminski</b:Last>
            <b:First>P</b:First>
          </b:Person>
        </b:NameList>
      </b:Author>
    </b:Author>
    <b:Volume>17</b:Volume>
    <b:Issue>2</b:Issue>
    <b:RefOrder>265</b:RefOrder>
  </b:Source>
  <b:Source>
    <b:Tag>Wri07</b:Tag>
    <b:SourceType>JournalArticle</b:SourceType>
    <b:Guid>{0BA9A1CC-6F4D-4CC9-967E-193E73552AF6}</b:Guid>
    <b:Title>Family size and the gendered division of unpaid work: Implications for fertility decisions in Australia</b:Title>
    <b:JournalName>Australian Journal of Social Issues</b:JournalName>
    <b:Year>2007</b:Year>
    <b:Pages>513-529</b:Pages>
    <b:Author>
      <b:Author>
        <b:NameList>
          <b:Person>
            <b:Last>Wright</b:Last>
            <b:First>P</b:First>
          </b:Person>
        </b:NameList>
      </b:Author>
    </b:Author>
    <b:Volume>42</b:Volume>
    <b:Issue>4</b:Issue>
    <b:RefOrder>266</b:RefOrder>
  </b:Source>
  <b:Source>
    <b:Tag>Bir19</b:Tag>
    <b:SourceType>JournalArticle</b:SourceType>
    <b:Guid>{338A9C12-4404-4027-B7D1-C5A020016425}</b:Guid>
    <b:Title>Where's dad? Exploring low take-up of inclusive parenting policies in the UK</b:Title>
    <b:JournalName>Policy Studies</b:JournalName>
    <b:Year>2019</b:Year>
    <b:Pages>205-224</b:Pages>
    <b:Author>
      <b:Author>
        <b:NameList>
          <b:Person>
            <b:Last>Birkett</b:Last>
            <b:First>H</b:First>
          </b:Person>
          <b:Person>
            <b:Last>Forbes</b:Last>
            <b:First>S</b:First>
          </b:Person>
        </b:NameList>
      </b:Author>
    </b:Author>
    <b:Volume>40</b:Volume>
    <b:Issue>2</b:Issue>
    <b:RefOrder>267</b:RefOrder>
  </b:Source>
  <b:Source>
    <b:Tag>Kau18</b:Tag>
    <b:SourceType>JournalArticle</b:SourceType>
    <b:Guid>{A7162BCC-C26D-4F40-B23F-193E240DE5D5}</b:Guid>
    <b:Title>Barriers to equality: why British fathers do not use parental leave</b:Title>
    <b:JournalName>Community, Work &amp; Family</b:JournalName>
    <b:Year>2018</b:Year>
    <b:Pages>310-325</b:Pages>
    <b:Author>
      <b:Author>
        <b:NameList>
          <b:Person>
            <b:Last>Kaufman</b:Last>
            <b:First>G</b:First>
          </b:Person>
        </b:NameList>
      </b:Author>
    </b:Author>
    <b:Volume>21</b:Volume>
    <b:Issue>3</b:Issue>
    <b:RefOrder>268</b:RefOrder>
  </b:Source>
  <b:Source>
    <b:Tag>Mon08</b:Tag>
    <b:SourceType>JournalArticle</b:SourceType>
    <b:Guid>{ABBE9B4A-1E6C-402E-AD98-9DA547017090}</b:Guid>
    <b:Title>Education and fertility: Evidence from a natural experiment</b:Title>
    <b:JournalName>The Scandinavian Journal of Economics</b:JournalName>
    <b:Year>2008</b:Year>
    <b:Pages>827-852</b:Pages>
    <b:Author>
      <b:Author>
        <b:NameList>
          <b:Person>
            <b:Last>Monstad</b:Last>
            <b:First>K</b:First>
          </b:Person>
          <b:Person>
            <b:Last>Propper</b:Last>
            <b:First>C</b:First>
          </b:Person>
          <b:Person>
            <b:Last>Salvanes</b:Last>
            <b:Middle>G</b:Middle>
            <b:First>K</b:First>
          </b:Person>
        </b:NameList>
      </b:Author>
    </b:Author>
    <b:Volume>110</b:Volume>
    <b:Issue>4</b:Issue>
    <b:RefOrder>269</b:RefOrder>
  </b:Source>
  <b:Source>
    <b:Tag>And13</b:Tag>
    <b:SourceType>JournalArticle</b:SourceType>
    <b:Guid>{8BD7106D-3F10-4559-91E9-C03D62371A41}</b:Guid>
    <b:Title>Education fever and the East-Asian fertiltiy puzzle</b:Title>
    <b:JournalName>Asian Population Studies</b:JournalName>
    <b:Year>2013</b:Year>
    <b:Pages>196-215</b:Pages>
    <b:Author>
      <b:Author>
        <b:NameList>
          <b:Person>
            <b:Last>Anderson</b:Last>
            <b:First>T</b:First>
          </b:Person>
          <b:Person>
            <b:Last>Kohler</b:Last>
            <b:First>H-P</b:First>
          </b:Person>
        </b:NameList>
      </b:Author>
    </b:Author>
    <b:Volume>9</b:Volume>
    <b:Issue>2</b:Issue>
    <b:RefOrder>270</b:RefOrder>
  </b:Source>
  <b:Source>
    <b:Tag>Jon19</b:Tag>
    <b:SourceType>JournalArticle</b:SourceType>
    <b:Guid>{B5B06040-E71D-45A1-99E7-735642FAE0D0}</b:Guid>
    <b:Title>Ultra-low fertility in East Asia: policy responses and challenges</b:Title>
    <b:JournalName>Asian Population Studies</b:JournalName>
    <b:Year>2019</b:Year>
    <b:Pages>131-149</b:Pages>
    <b:Author>
      <b:Author>
        <b:NameList>
          <b:Person>
            <b:Last>Jones</b:Last>
            <b:First>G</b:First>
          </b:Person>
        </b:NameList>
      </b:Author>
    </b:Author>
    <b:Volume>15</b:Volume>
    <b:Issue>2</b:Issue>
    <b:RefOrder>271</b:RefOrder>
  </b:Source>
  <b:Source>
    <b:Tag>Cyg13</b:Tag>
    <b:SourceType>JournalArticle</b:SourceType>
    <b:Guid>{B9767D6B-DF9C-4923-AC3C-3C6F65779302}</b:Guid>
    <b:Title>The effect of education on fertility: Evidence from a compulsory schooling reform</b:Title>
    <b:JournalName>Labour Economics</b:JournalName>
    <b:Year>2013</b:Year>
    <b:Pages>35-48</b:Pages>
    <b:Author>
      <b:Author>
        <b:NameList>
          <b:Person>
            <b:Last>Cygan-Rehm</b:Last>
            <b:First>K</b:First>
          </b:Person>
          <b:Person>
            <b:Last>Maeder</b:Last>
            <b:First>M</b:First>
          </b:Person>
        </b:NameList>
      </b:Author>
    </b:Author>
    <b:Volume>25</b:Volume>
    <b:RefOrder>272</b:RefOrder>
  </b:Source>
  <b:Source>
    <b:Tag>YuP07</b:Tag>
    <b:SourceType>JournalArticle</b:SourceType>
    <b:Guid>{9ECA0F7A-13F9-4613-92E2-3B94F44E08AE}</b:Guid>
    <b:Title>Births, debts and mirages: The impact of the Higher Education Contribution Scheme (HECS) and other factors on Australian fertility expectations</b:Title>
    <b:JournalName>Journal of Population Research</b:JournalName>
    <b:Year>2007</b:Year>
    <b:Pages>73-90</b:Pages>
    <b:Author>
      <b:Author>
        <b:NameList>
          <b:Person>
            <b:Last>Yu</b:Last>
            <b:First>P</b:First>
          </b:Person>
          <b:Person>
            <b:Last>Kippen</b:Last>
            <b:First>R</b:First>
          </b:Person>
          <b:Person>
            <b:Last>Chapman</b:Last>
            <b:First>B</b:First>
          </b:Person>
        </b:NameList>
      </b:Author>
    </b:Author>
    <b:Volume>24</b:Volume>
    <b:RefOrder>273</b:RefOrder>
  </b:Source>
  <b:Source>
    <b:Tag>Lut055</b:Tag>
    <b:SourceType>JournalArticle</b:SourceType>
    <b:Guid>{3827A936-A102-4463-B62A-95AA357F0CDE}</b:Guid>
    <b:Title>Policies addressing the tempo effect in low-fertiltiy countries</b:Title>
    <b:JournalName>Population and Development Review</b:JournalName>
    <b:Year>2005</b:Year>
    <b:Pages>699-720</b:Pages>
    <b:Author>
      <b:Author>
        <b:NameList>
          <b:Person>
            <b:Last>Lutz</b:Last>
            <b:First>W</b:First>
          </b:Person>
          <b:Person>
            <b:Last>Skirbekk</b:Last>
            <b:First>V</b:First>
          </b:Person>
        </b:NameList>
      </b:Author>
    </b:Author>
    <b:Volume>31</b:Volume>
    <b:Issue>4</b:Issue>
    <b:RefOrder>274</b:RefOrder>
  </b:Source>
  <b:Source>
    <b:Tag>Aus0c</b:Tag>
    <b:SourceType>Report</b:SourceType>
    <b:Guid>{28D0012F-EFF6-411F-8B35-AE55EFABC7F8}</b:Guid>
    <b:Author>
      <b:Author>
        <b:Corporate>Australian Bureau of Statistics</b:Corporate>
      </b:Author>
    </b:Author>
    <b:Title>Barriers and Incentives to Labour Force Participation, Australia, 2018-2019, Catalogue No. 6239.0</b:Title>
    <b:Year>2020c</b:Year>
    <b:Publisher>Australian Bureau of Statistics</b:Publisher>
    <b:City>Canberra</b:City>
    <b:ThesisType>Table 2.1</b:ThesisType>
    <b:RefOrder>275</b:RefOrder>
  </b:Source>
  <b:Source>
    <b:Tag>Par12</b:Tag>
    <b:SourceType>JournalArticle</b:SourceType>
    <b:Guid>{3006F227-D5F1-47D1-9933-1E7678751D28}</b:Guid>
    <b:Title>Trends in differentials in the workforce participation of mothers with young children in Australia 2002–2008</b:Title>
    <b:Year>2012</b:Year>
    <b:JournalName>Journal of Population Research</b:JournalName>
    <b:Pages>203-227</b:Pages>
    <b:Author>
      <b:Author>
        <b:NameList>
          <b:Person>
            <b:Last>Parr</b:Last>
            <b:First>N</b:First>
          </b:Person>
        </b:NameList>
      </b:Author>
    </b:Author>
    <b:Volume>29</b:Volume>
    <b:RefOrder>276</b:RefOrder>
  </b:Source>
  <b:Source>
    <b:Tag>Aus171</b:Tag>
    <b:SourceType>Report</b:SourceType>
    <b:Guid>{2A0BAEA9-4ECA-4F47-8236-BC5B0E4311E4}</b:Guid>
    <b:Title>Labour Force, Australia: Labour Force Status and Other Characteristics of Families, June 2017</b:Title>
    <b:Year>2017</b:Year>
    <b:Author>
      <b:Author>
        <b:Corporate>Australian Bureau of Statistics</b:Corporate>
      </b:Author>
    </b:Author>
    <b:Publisher>Australian Bureau of Statistics</b:Publisher>
    <b:City>Canberra</b:City>
    <b:RefOrder>10</b:RefOrder>
  </b:Source>
  <b:Source>
    <b:Tag>Dep21</b:Tag>
    <b:SourceType>InternetSite</b:SourceType>
    <b:Guid>{9168573A-F627-40F7-9FF3-763B98F96A01}</b:Guid>
    <b:Title>Early Childhood</b:Title>
    <b:Author>
      <b:Author>
        <b:Corporate>Department of Education, Skills and Employment</b:Corporate>
      </b:Author>
    </b:Author>
    <b:URL>https://www.dese.gov.au/early-childhood/providing-child-care</b:URL>
    <b:YearAccessed>2021</b:YearAccessed>
    <b:MonthAccessed>August </b:MonthAccessed>
    <b:DayAccessed>30</b:DayAccessed>
    <b:Year>2021</b:Year>
    <b:RefOrder>277</b:RefOrder>
  </b:Source>
  <b:Source>
    <b:Tag>Par</b:Tag>
    <b:SourceType>JournalArticle</b:SourceType>
    <b:Guid>{CE52BEA6-826E-4EB2-B781-278D57856382}</b:Guid>
    <b:Title>The contribution of increases in family benefits to Australia's early 21st-century fertility increase: An empirical analysis</b:Title>
    <b:Author>
      <b:Author>
        <b:NameList>
          <b:Person>
            <b:Last>Parr</b:Last>
            <b:First>Nick</b:First>
          </b:Person>
          <b:Person>
            <b:Last>Guest</b:Last>
            <b:First>Ross</b:First>
          </b:Person>
        </b:NameList>
      </b:Author>
    </b:Author>
    <b:JournalName>Demographic Research</b:JournalName>
    <b:Year>2011</b:Year>
    <b:Pages>215-244</b:Pages>
    <b:Volume>25</b:Volume>
    <b:RefOrder>278</b:RefOrder>
  </b:Source>
  <b:Source>
    <b:Tag>Aus20</b:Tag>
    <b:SourceType>Report</b:SourceType>
    <b:Guid>{A31EB37A-42AE-4C66-98AE-05AD3C2760AC}</b:Guid>
    <b:Title>Births Australia 2020</b:Title>
    <b:Year>2021a</b:Year>
    <b:Author>
      <b:Author>
        <b:NameList>
          <b:Person>
            <b:Last>Australian Bureau of Statistics</b:Last>
          </b:Person>
        </b:NameList>
      </b:Author>
    </b:Author>
    <b:Publisher>Australian Bureau of Statistics</b:Publisher>
    <b:City>Canberra</b:City>
    <b:RefOrder>22</b:RefOrder>
  </b:Source>
  <b:Source>
    <b:Tag>Aus212</b:Tag>
    <b:SourceType>DocumentFromInternetSite</b:SourceType>
    <b:Guid>{D321ECF8-A3C5-41BA-B60A-F553F3BEDD5A}</b:Guid>
    <b:Author>
      <b:Author>
        <b:Corporate>Department of Social Services</b:Corporate>
      </b:Author>
    </b:Author>
    <b:Title>Parental Leave Guide, Version 1.72 Released 9 August 2021</b:Title>
    <b:Year>2021</b:Year>
    <b:URL>https://guides.dss.gov.au/paid-parental-leave-guide/1/2/1</b:URL>
    <b:RefOrder>24</b:RefOrder>
  </b:Source>
  <b:Source>
    <b:Tag>Laz21</b:Tag>
    <b:SourceType>JournalArticle</b:SourceType>
    <b:Guid>{8E39869B-C41D-46AA-AF60-12E5D667BCE1}</b:Guid>
    <b:Title>Educational composition and parity contribution to completed cohort fertility change in low fertility settings</b:Title>
    <b:Year>2021b</b:Year>
    <b:JournalName>Population Studies</b:JournalName>
    <b:Author>
      <b:Author>
        <b:NameList>
          <b:Person>
            <b:Last>Lazzari</b:Last>
            <b:First>Ester</b:First>
          </b:Person>
          <b:Person>
            <b:Last>Mogi</b:Last>
            <b:First>Ryohei</b:First>
          </b:Person>
          <b:Person>
            <b:Last>Canudas-Romo</b:Last>
            <b:First>Vladimir</b:First>
          </b:Person>
        </b:NameList>
      </b:Author>
    </b:Author>
    <b:DOI>10.1080/00324728.2021.1895291</b:DOI>
    <b:RefOrder>7</b:RefOrder>
  </b:Source>
</b:Sources>
</file>

<file path=customXml/itemProps1.xml><?xml version="1.0" encoding="utf-8"?>
<ds:datastoreItem xmlns:ds="http://schemas.openxmlformats.org/officeDocument/2006/customXml" ds:itemID="{DB216878-021E-4152-A410-56EED836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71249</Words>
  <Characters>406125</Characters>
  <Application>Microsoft Office Word</Application>
  <DocSecurity>0</DocSecurity>
  <Lines>3384</Lines>
  <Paragraphs>952</Paragraphs>
  <ScaleCrop>false</ScaleCrop>
  <HeadingPairs>
    <vt:vector size="2" baseType="variant">
      <vt:variant>
        <vt:lpstr>Title</vt:lpstr>
      </vt:variant>
      <vt:variant>
        <vt:i4>1</vt:i4>
      </vt:variant>
    </vt:vector>
  </HeadingPairs>
  <TitlesOfParts>
    <vt:vector size="1" baseType="lpstr">
      <vt:lpstr>Impacts of policies on fertility rates</vt:lpstr>
    </vt:vector>
  </TitlesOfParts>
  <Company/>
  <LinksUpToDate>false</LinksUpToDate>
  <CharactersWithSpaces>476422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Impacts of policies on fertility rates</dc:title>
  <dc:subject/>
  <dc:creator/>
  <cp:keywords/>
  <dc:description/>
  <cp:lastModifiedBy/>
  <cp:revision>1</cp:revision>
  <dcterms:created xsi:type="dcterms:W3CDTF">2022-03-18T00:13:00Z</dcterms:created>
  <dcterms:modified xsi:type="dcterms:W3CDTF">2022-03-18T00:14:00Z</dcterms:modified>
</cp:coreProperties>
</file>